
<file path=[Content_Types].xml><?xml version="1.0" encoding="utf-8"?>
<Types xmlns="http://schemas.openxmlformats.org/package/2006/content-types">
  <Default Extension="png" ContentType="image/png"/>
  <Default Extension="svg" ContentType="image/svg+xml"/>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2.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4.xml" ContentType="application/vnd.openxmlformats-officedocument.wordprocessingml.header+xml"/>
  <Override PartName="/word/header3.xml" ContentType="application/vnd.openxmlformats-officedocument.wordprocessingml.header+xml"/>
  <Override PartName="/word/charts/style1.xml" ContentType="application/vnd.ms-office.chartstyle+xml"/>
  <Override PartName="/word/charts/chart1.xml" ContentType="application/vnd.openxmlformats-officedocument.drawingml.chart+xml"/>
  <Override PartName="/word/theme/themeOverride1.xml" ContentType="application/vnd.openxmlformats-officedocument.themeOverrid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414E" w:rsidRDefault="006252C4" w:rsidP="006E1414">
      <w:pPr>
        <w:spacing w:before="3480" w:after="2040" w:line="800" w:lineRule="exact"/>
        <w:jc w:val="center"/>
        <w:rPr>
          <w:rFonts w:ascii="Calibri" w:hAnsi="Calibri" w:cs="Calibri"/>
          <w:b/>
          <w:bCs/>
          <w:color w:val="002060"/>
          <w:sz w:val="80"/>
          <w:szCs w:val="80"/>
          <w:rtl/>
        </w:rPr>
        <w:sectPr w:rsidR="00FB414E" w:rsidSect="00FB414E">
          <w:headerReference w:type="default" r:id="rId8"/>
          <w:headerReference w:type="first" r:id="rId9"/>
          <w:footerReference w:type="first" r:id="rId10"/>
          <w:pgSz w:w="11340" w:h="14175" w:code="9"/>
          <w:pgMar w:top="2268" w:right="1276" w:bottom="1588" w:left="1134" w:header="709" w:footer="709" w:gutter="0"/>
          <w:cols w:space="708"/>
          <w:titlePg/>
          <w:bidi/>
          <w:rtlGutter/>
          <w:docGrid w:linePitch="360"/>
        </w:sectPr>
      </w:pPr>
      <w:r w:rsidRPr="006252C4">
        <w:rPr>
          <w:rFonts w:ascii="Calibri" w:hAnsi="Calibri" w:cs="Calibri"/>
          <w:b/>
          <w:bCs/>
          <w:color w:val="002060"/>
          <w:sz w:val="80"/>
          <w:szCs w:val="80"/>
          <w:rtl/>
        </w:rPr>
        <w:t>ההיערכות והפעילות של רשות המיסים לפיצוי בגין נזקי מלחמה</w:t>
      </w:r>
    </w:p>
    <w:p w:rsidR="00930B35" w:rsidRDefault="00930B35">
      <w:pPr>
        <w:bidi w:val="0"/>
        <w:spacing w:after="200" w:line="276" w:lineRule="auto"/>
        <w:rPr>
          <w:rFonts w:eastAsiaTheme="majorEastAsia"/>
          <w:bCs/>
          <w:szCs w:val="36"/>
          <w:u w:val="single"/>
          <w:rtl/>
        </w:rPr>
      </w:pPr>
      <w:bookmarkStart w:id="0" w:name="_Hlk217294539"/>
      <w:bookmarkStart w:id="1" w:name="_Hlk191275204"/>
      <w:bookmarkStart w:id="2" w:name="_Toc182299306"/>
      <w:bookmarkStart w:id="3" w:name="_Hlk201565957"/>
      <w:bookmarkStart w:id="4" w:name="tempMark"/>
      <w:bookmarkStart w:id="5" w:name="_Hlk192594390"/>
      <w:r>
        <w:rPr>
          <w:rtl/>
        </w:rPr>
        <w:br w:type="page"/>
      </w:r>
    </w:p>
    <w:p w:rsidR="006252C4" w:rsidRPr="00454081" w:rsidRDefault="006252C4" w:rsidP="006252C4">
      <w:pPr>
        <w:pStyle w:val="11"/>
        <w:spacing w:line="269" w:lineRule="auto"/>
      </w:pPr>
      <w:r w:rsidRPr="00A81964">
        <w:rPr>
          <w:rFonts w:hint="cs"/>
          <w:rtl/>
        </w:rPr>
        <w:lastRenderedPageBreak/>
        <w:t>ה</w:t>
      </w:r>
      <w:r>
        <w:rPr>
          <w:rFonts w:hint="cs"/>
          <w:rtl/>
        </w:rPr>
        <w:t>ה</w:t>
      </w:r>
      <w:r w:rsidRPr="00A81964">
        <w:rPr>
          <w:rFonts w:hint="cs"/>
          <w:rtl/>
        </w:rPr>
        <w:t>יערכות ו</w:t>
      </w:r>
      <w:r>
        <w:rPr>
          <w:rFonts w:hint="cs"/>
          <w:rtl/>
        </w:rPr>
        <w:t>ה</w:t>
      </w:r>
      <w:r w:rsidRPr="00A81964">
        <w:rPr>
          <w:rFonts w:hint="cs"/>
          <w:rtl/>
        </w:rPr>
        <w:t xml:space="preserve">פעילות </w:t>
      </w:r>
      <w:r>
        <w:rPr>
          <w:rFonts w:hint="cs"/>
          <w:rtl/>
        </w:rPr>
        <w:t xml:space="preserve">של </w:t>
      </w:r>
      <w:r w:rsidRPr="00A81964">
        <w:rPr>
          <w:rFonts w:hint="cs"/>
          <w:rtl/>
        </w:rPr>
        <w:t>רשות המיסים לפיצוי בגין נזקי מלחמה</w:t>
      </w:r>
    </w:p>
    <w:bookmarkEnd w:id="0"/>
    <w:p w:rsidR="006252C4" w:rsidRPr="0029015C" w:rsidRDefault="006252C4" w:rsidP="006252C4">
      <w:pPr>
        <w:spacing w:line="269" w:lineRule="auto"/>
        <w:rPr>
          <w:rtl/>
        </w:rPr>
      </w:pPr>
    </w:p>
    <w:p w:rsidR="006252C4" w:rsidRPr="004538DB" w:rsidRDefault="006252C4" w:rsidP="006252C4">
      <w:pPr>
        <w:pStyle w:val="31"/>
        <w:spacing w:before="0" w:line="269" w:lineRule="auto"/>
        <w:rPr>
          <w:sz w:val="28"/>
          <w:rtl/>
        </w:rPr>
      </w:pPr>
      <w:r w:rsidRPr="004538DB">
        <w:rPr>
          <w:sz w:val="28"/>
          <w:rtl/>
        </w:rPr>
        <w:t>מבוא</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חוק מס רכוש וקרן פיצויים, התשכ"א-1961 (להלן - חוק מס רכוש או החוק</w:t>
      </w:r>
      <w:r w:rsidRPr="00A81964">
        <w:rPr>
          <w:rFonts w:hint="cs"/>
          <w:rtl/>
        </w:rPr>
        <w:t xml:space="preserve"> או חוק קרן הפיצויים</w:t>
      </w:r>
      <w:r w:rsidRPr="00A81964">
        <w:rPr>
          <w:rtl/>
        </w:rPr>
        <w:t xml:space="preserve">), </w:t>
      </w:r>
      <w:r w:rsidRPr="00A81964">
        <w:rPr>
          <w:rFonts w:hint="cs"/>
          <w:rtl/>
        </w:rPr>
        <w:t>התקבל</w:t>
      </w:r>
      <w:r w:rsidRPr="00A81964">
        <w:rPr>
          <w:rtl/>
        </w:rPr>
        <w:t xml:space="preserve"> בכנסת ביום 28.3.61</w:t>
      </w:r>
      <w:r w:rsidRPr="00A81964">
        <w:rPr>
          <w:rFonts w:hint="cs"/>
          <w:rtl/>
        </w:rPr>
        <w:t>. חוק זה</w:t>
      </w:r>
      <w:r w:rsidRPr="00A81964">
        <w:rPr>
          <w:rtl/>
        </w:rPr>
        <w:t xml:space="preserve"> החליף חוקים </w:t>
      </w:r>
      <w:r w:rsidRPr="00A81964">
        <w:rPr>
          <w:rFonts w:hint="cs"/>
          <w:rtl/>
        </w:rPr>
        <w:t>אחרים ובהם</w:t>
      </w:r>
      <w:r w:rsidRPr="00A81964">
        <w:rPr>
          <w:rtl/>
        </w:rPr>
        <w:t xml:space="preserve"> חוק הארנונה לפיצויי נזקי מלחמה, </w:t>
      </w:r>
      <w:r w:rsidRPr="00A81964">
        <w:rPr>
          <w:rFonts w:hint="cs"/>
          <w:rtl/>
        </w:rPr>
        <w:t>ה</w:t>
      </w:r>
      <w:r w:rsidRPr="00A81964">
        <w:rPr>
          <w:rtl/>
        </w:rPr>
        <w:t>תשי"א</w:t>
      </w:r>
      <w:r w:rsidRPr="00A81964">
        <w:rPr>
          <w:rFonts w:hint="cs"/>
          <w:rtl/>
        </w:rPr>
        <w:t>-</w:t>
      </w:r>
      <w:r w:rsidRPr="00A81964">
        <w:rPr>
          <w:rtl/>
        </w:rPr>
        <w:t>1951.</w:t>
      </w:r>
    </w:p>
    <w:p w:rsidR="006252C4" w:rsidRDefault="006252C4" w:rsidP="006252C4">
      <w:pPr>
        <w:pStyle w:val="a8"/>
        <w:spacing w:line="269" w:lineRule="auto"/>
        <w:rPr>
          <w:rtl/>
        </w:rPr>
      </w:pPr>
    </w:p>
    <w:p w:rsidR="006252C4" w:rsidRPr="00A81964" w:rsidRDefault="006252C4" w:rsidP="006252C4">
      <w:pPr>
        <w:spacing w:line="269" w:lineRule="auto"/>
        <w:rPr>
          <w:rtl/>
        </w:rPr>
      </w:pPr>
      <w:bookmarkStart w:id="6" w:name="_Hlk196288162"/>
      <w:r w:rsidRPr="00FA10CB">
        <w:rPr>
          <w:rtl/>
        </w:rPr>
        <w:t>בחוק מס רכוש</w:t>
      </w:r>
      <w:r w:rsidRPr="00A81964">
        <w:rPr>
          <w:rtl/>
        </w:rPr>
        <w:t xml:space="preserve"> </w:t>
      </w:r>
      <w:bookmarkEnd w:id="6"/>
      <w:r w:rsidRPr="00A81964">
        <w:rPr>
          <w:rFonts w:hint="cs"/>
          <w:rtl/>
        </w:rPr>
        <w:t xml:space="preserve">ובתקנות מס רכוש וקרן פיצויים (תשלום פיצויים) (נזק מלחמה ונזק עקיף), התשל"ג-1973 (להלן - תקנות קרן הפיצויים או התקנות), </w:t>
      </w:r>
      <w:r w:rsidRPr="00A81964">
        <w:rPr>
          <w:rtl/>
        </w:rPr>
        <w:t xml:space="preserve">הוסדר </w:t>
      </w:r>
      <w:bookmarkStart w:id="7" w:name="OLE_LINK3"/>
      <w:bookmarkStart w:id="8" w:name="OLE_LINK4"/>
      <w:r w:rsidRPr="00A81964">
        <w:rPr>
          <w:rFonts w:hint="cs"/>
          <w:rtl/>
        </w:rPr>
        <w:t xml:space="preserve">תשלום </w:t>
      </w:r>
      <w:r w:rsidRPr="00A81964">
        <w:rPr>
          <w:rtl/>
        </w:rPr>
        <w:t xml:space="preserve">פיצויים מטעם המדינה </w:t>
      </w:r>
      <w:r w:rsidRPr="00A81964">
        <w:rPr>
          <w:rFonts w:hint="cs"/>
          <w:rtl/>
        </w:rPr>
        <w:t>בעד</w:t>
      </w:r>
      <w:r w:rsidRPr="00A81964">
        <w:rPr>
          <w:rtl/>
        </w:rPr>
        <w:t xml:space="preserve"> "נזק </w:t>
      </w:r>
      <w:r w:rsidRPr="00A81964">
        <w:rPr>
          <w:rFonts w:hint="cs"/>
          <w:rtl/>
        </w:rPr>
        <w:t>מלחמה</w:t>
      </w:r>
      <w:r w:rsidRPr="00A81964">
        <w:rPr>
          <w:rtl/>
        </w:rPr>
        <w:t xml:space="preserve">" </w:t>
      </w:r>
      <w:r w:rsidRPr="00A81964">
        <w:rPr>
          <w:rFonts w:hint="cs"/>
          <w:rtl/>
        </w:rPr>
        <w:t xml:space="preserve">- </w:t>
      </w:r>
      <w:r w:rsidRPr="00A81964">
        <w:rPr>
          <w:rtl/>
        </w:rPr>
        <w:t>נזק פיזי לנכס</w:t>
      </w:r>
      <w:r w:rsidRPr="00A81964">
        <w:rPr>
          <w:rFonts w:hint="cs"/>
          <w:rtl/>
        </w:rPr>
        <w:t>, ובעד</w:t>
      </w:r>
      <w:r w:rsidRPr="00A81964">
        <w:rPr>
          <w:rtl/>
        </w:rPr>
        <w:t xml:space="preserve"> "נזק עקיף" </w:t>
      </w:r>
      <w:r w:rsidRPr="00A81964">
        <w:rPr>
          <w:rFonts w:hint="cs"/>
          <w:rtl/>
        </w:rPr>
        <w:t>-</w:t>
      </w:r>
      <w:r w:rsidRPr="00A81964">
        <w:rPr>
          <w:rtl/>
        </w:rPr>
        <w:t xml:space="preserve"> אובדן רווחים</w:t>
      </w:r>
      <w:r w:rsidRPr="00A81964">
        <w:rPr>
          <w:rFonts w:hint="cs"/>
          <w:rtl/>
        </w:rPr>
        <w:t xml:space="preserve"> של עסקים</w:t>
      </w:r>
      <w:r w:rsidRPr="00A81964">
        <w:rPr>
          <w:rtl/>
        </w:rPr>
        <w:t xml:space="preserve"> </w:t>
      </w:r>
      <w:r w:rsidRPr="00A81964">
        <w:rPr>
          <w:rFonts w:hint="cs"/>
          <w:rtl/>
        </w:rPr>
        <w:t xml:space="preserve">כתוצאה ממלחמה </w:t>
      </w:r>
      <w:r w:rsidRPr="00A81964">
        <w:rPr>
          <w:rtl/>
        </w:rPr>
        <w:t>ו</w:t>
      </w:r>
      <w:r w:rsidRPr="00A81964">
        <w:rPr>
          <w:rFonts w:hint="cs"/>
          <w:rtl/>
        </w:rPr>
        <w:t xml:space="preserve">נזק למעסיק בשל </w:t>
      </w:r>
      <w:r w:rsidRPr="00A81964">
        <w:rPr>
          <w:rtl/>
        </w:rPr>
        <w:t>תשלומי שכר</w:t>
      </w:r>
      <w:r w:rsidRPr="00A81964">
        <w:rPr>
          <w:rFonts w:hint="cs"/>
          <w:rtl/>
        </w:rPr>
        <w:t xml:space="preserve"> לעובדיו שנעדרו מעבודתם בשל המצב הביטחוני.</w:t>
      </w:r>
      <w:r w:rsidRPr="00A81964">
        <w:rPr>
          <w:rtl/>
        </w:rPr>
        <w:t xml:space="preserve"> כללים </w:t>
      </w:r>
      <w:r w:rsidRPr="00A81964">
        <w:rPr>
          <w:rFonts w:hint="cs"/>
          <w:rtl/>
        </w:rPr>
        <w:t xml:space="preserve">בעניין תנאי הזכאות לפיצויים ושיעורם </w:t>
      </w:r>
      <w:r w:rsidRPr="00A81964">
        <w:rPr>
          <w:rtl/>
        </w:rPr>
        <w:t>נקבעו בתקנות</w:t>
      </w:r>
      <w:r w:rsidRPr="00A81964">
        <w:rPr>
          <w:rFonts w:hint="cs"/>
          <w:rtl/>
        </w:rPr>
        <w:t xml:space="preserve">. </w:t>
      </w:r>
    </w:p>
    <w:bookmarkEnd w:id="7"/>
    <w:bookmarkEnd w:id="8"/>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על תכלית החוק ניתן ללמוד מדברים אלו של בית המשפט העליון</w:t>
      </w:r>
      <w:r w:rsidRPr="00A81964">
        <w:rPr>
          <w:rStyle w:val="af2"/>
          <w:rtl/>
        </w:rPr>
        <w:footnoteReference w:id="1"/>
      </w:r>
      <w:r w:rsidRPr="00A81964">
        <w:rPr>
          <w:rFonts w:hint="cs"/>
          <w:rtl/>
        </w:rPr>
        <w:t>: "</w:t>
      </w:r>
      <w:r w:rsidRPr="00A81964">
        <w:rPr>
          <w:rtl/>
        </w:rPr>
        <w:t>ביסודו של חוק הפיצויים</w:t>
      </w:r>
      <w:r w:rsidRPr="00A81964">
        <w:rPr>
          <w:rFonts w:hint="cs"/>
          <w:rtl/>
        </w:rPr>
        <w:t xml:space="preserve">... </w:t>
      </w:r>
      <w:r w:rsidRPr="00A81964">
        <w:rPr>
          <w:rtl/>
        </w:rPr>
        <w:t xml:space="preserve">עומד הרעיון שנזקים שנגרמו לרכושו של פלוני עקב פעולות מלחמה או פעולות איבה אינם דומים באופיים לנזקים השונים שעלולים להיגרם לרכושו במהלך חיי היום יום ושמפניהם עליו לבטח את עצמו באופן עצמאי. התפיסה הינה שנזקי מלחמה לא צריכים ליפול על כתפיו של הניזוק הספציפי לבדו, אלא </w:t>
      </w:r>
      <w:r w:rsidRPr="00A81964">
        <w:rPr>
          <w:rFonts w:hint="cs"/>
          <w:rtl/>
        </w:rPr>
        <w:t>'</w:t>
      </w:r>
      <w:r w:rsidRPr="00A81964">
        <w:rPr>
          <w:rtl/>
        </w:rPr>
        <w:t>להתפזר</w:t>
      </w:r>
      <w:r w:rsidRPr="00A81964">
        <w:rPr>
          <w:rFonts w:hint="cs"/>
          <w:rtl/>
        </w:rPr>
        <w:t>'</w:t>
      </w:r>
      <w:r w:rsidRPr="00A81964">
        <w:rPr>
          <w:rtl/>
        </w:rPr>
        <w:t xml:space="preserve"> וליפול על כתפי הציבור כולו. ביסודו של החוק עומד, כאמור, רעיון סוציאלי של ביטוח או ערבות סטטוטוריים של המדינה לנזקים שייגרמו לנכסים עקב פעולות מלחמה או פעולות איבה</w:t>
      </w:r>
      <w:r w:rsidRPr="00A81964">
        <w:rPr>
          <w:rFonts w:hint="cs"/>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בחוק</w:t>
      </w:r>
      <w:r w:rsidRPr="00A81964">
        <w:rPr>
          <w:rFonts w:hint="cs"/>
          <w:rtl/>
        </w:rPr>
        <w:t xml:space="preserve"> </w:t>
      </w:r>
      <w:r w:rsidRPr="00A81964">
        <w:rPr>
          <w:rtl/>
        </w:rPr>
        <w:t>מוגדר "נזק מלחמה" כ"נזק שנגרם לגופו של נכס עקב פעולות מלחמה על-ידי הצבאות הסדירים של האויב או עקב פעולות איבה אחרות נגד ישראל או עקב פעולות מלחמה על-ידי צבא הגנה לישראל"</w:t>
      </w:r>
      <w:r w:rsidRPr="00A81964">
        <w:rPr>
          <w:rFonts w:hint="cs"/>
          <w:rtl/>
        </w:rPr>
        <w:t xml:space="preserve"> (להלן - נזק ישיר)</w:t>
      </w:r>
      <w:r w:rsidRPr="00A81964">
        <w:rPr>
          <w:rtl/>
        </w:rPr>
        <w:t>. "נזק עקיף" מוגדר</w:t>
      </w:r>
      <w:r w:rsidRPr="00A81964">
        <w:rPr>
          <w:rFonts w:hint="cs"/>
          <w:rtl/>
        </w:rPr>
        <w:t xml:space="preserve"> בחוק</w:t>
      </w:r>
      <w:r w:rsidRPr="00A81964">
        <w:rPr>
          <w:rtl/>
        </w:rPr>
        <w:t xml:space="preserve"> כ</w:t>
      </w:r>
      <w:r w:rsidRPr="00A81964">
        <w:rPr>
          <w:rFonts w:hint="cs"/>
          <w:rtl/>
        </w:rPr>
        <w:t>"</w:t>
      </w:r>
      <w:r w:rsidRPr="00A81964">
        <w:rPr>
          <w:rtl/>
        </w:rPr>
        <w:t>הפסד או מניעת ריווח כתוצאה מנזק מלחמה בתחום ישוב ספר, או מחמת אי אפשרות לנצל נכסים המצויים בתחום ישוב ספר, עקב פעולות מלחמה על-ידי הצבאות הסדירים של האויב או עקב פעולות איבה אחרות נגד ישראל, או עקב פעולות מלחמה על-ידי צבא הגנה לישראל"</w:t>
      </w:r>
      <w:r w:rsidRPr="00A81964">
        <w:rPr>
          <w:rFonts w:hint="cs"/>
          <w:rtl/>
        </w:rPr>
        <w:t xml:space="preserve"> (להלן - נזק עקיף).</w:t>
      </w:r>
      <w:r w:rsidRPr="00A81964">
        <w:rPr>
          <w:rtl/>
        </w:rPr>
        <w:t xml:space="preserve"> לפי סעיף 35 לחוק</w:t>
      </w:r>
      <w:r w:rsidRPr="00A81964">
        <w:rPr>
          <w:rFonts w:hint="cs"/>
          <w:rtl/>
        </w:rPr>
        <w:t>,</w:t>
      </w:r>
      <w:r w:rsidRPr="00A81964">
        <w:rPr>
          <w:rtl/>
        </w:rPr>
        <w:t xml:space="preserve"> י</w:t>
      </w:r>
      <w:r w:rsidRPr="00A81964">
        <w:rPr>
          <w:rFonts w:hint="cs"/>
          <w:rtl/>
        </w:rPr>
        <w:t>י</w:t>
      </w:r>
      <w:r w:rsidRPr="00A81964">
        <w:rPr>
          <w:rtl/>
        </w:rPr>
        <w:t xml:space="preserve">שוב ספר </w:t>
      </w:r>
      <w:r w:rsidRPr="00A81964">
        <w:rPr>
          <w:rFonts w:hint="cs"/>
          <w:rtl/>
        </w:rPr>
        <w:t>הוא</w:t>
      </w:r>
      <w:r w:rsidRPr="00A81964">
        <w:rPr>
          <w:rtl/>
        </w:rPr>
        <w:t xml:space="preserve"> י</w:t>
      </w:r>
      <w:r w:rsidRPr="00A81964">
        <w:rPr>
          <w:rFonts w:hint="cs"/>
          <w:rtl/>
        </w:rPr>
        <w:t>י</w:t>
      </w:r>
      <w:r w:rsidRPr="00A81964">
        <w:rPr>
          <w:rtl/>
        </w:rPr>
        <w:t xml:space="preserve">שוב ששר האוצר, באישור ועדת הכספים של הכנסת, </w:t>
      </w:r>
      <w:r w:rsidRPr="00FA10CB">
        <w:rPr>
          <w:rtl/>
        </w:rPr>
        <w:t>הודיע עליו</w:t>
      </w:r>
      <w:r w:rsidRPr="00A81964">
        <w:rPr>
          <w:rtl/>
        </w:rPr>
        <w:t xml:space="preserve"> שהוא י</w:t>
      </w:r>
      <w:r w:rsidRPr="00A81964">
        <w:rPr>
          <w:rFonts w:hint="cs"/>
          <w:rtl/>
        </w:rPr>
        <w:t>י</w:t>
      </w:r>
      <w:r w:rsidRPr="00A81964">
        <w:rPr>
          <w:rtl/>
        </w:rPr>
        <w:t>שוב ספר</w:t>
      </w:r>
      <w:r w:rsidRPr="00A81964">
        <w:rPr>
          <w:rFonts w:hint="cs"/>
          <w:rtl/>
        </w:rPr>
        <w:t xml:space="preserve"> לתקופה </w:t>
      </w:r>
      <w:r w:rsidRPr="00054D2F">
        <w:rPr>
          <w:rFonts w:hint="cs"/>
          <w:rtl/>
        </w:rPr>
        <w:t>קצובה שקבע</w:t>
      </w:r>
      <w:r w:rsidRPr="00054D2F">
        <w:rPr>
          <w:rtl/>
        </w:rPr>
        <w:t>.</w:t>
      </w:r>
      <w:r w:rsidRPr="00054D2F">
        <w:rPr>
          <w:rStyle w:val="af2"/>
          <w:rtl/>
        </w:rPr>
        <w:footnoteReference w:id="2"/>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 xml:space="preserve">בתקנות קרן הפיצויים נקבע, בין היתר, </w:t>
      </w:r>
      <w:r w:rsidRPr="00A81964">
        <w:rPr>
          <w:rFonts w:hint="cs"/>
          <w:rtl/>
        </w:rPr>
        <w:t xml:space="preserve">כי </w:t>
      </w:r>
      <w:r w:rsidRPr="00A81964">
        <w:rPr>
          <w:rtl/>
        </w:rPr>
        <w:t>ניזוק זכאי לפיצויים בשיעור</w:t>
      </w:r>
      <w:r w:rsidRPr="00A81964">
        <w:rPr>
          <w:rFonts w:hint="cs"/>
          <w:rtl/>
        </w:rPr>
        <w:t xml:space="preserve"> של</w:t>
      </w:r>
      <w:r w:rsidRPr="00A81964">
        <w:rPr>
          <w:rtl/>
        </w:rPr>
        <w:t xml:space="preserve"> </w:t>
      </w:r>
      <w:r w:rsidRPr="00A81964">
        <w:rPr>
          <w:rFonts w:hint="cs"/>
          <w:rtl/>
        </w:rPr>
        <w:t>100% משווי הנזק הישיר</w:t>
      </w:r>
      <w:r w:rsidRPr="00A81964">
        <w:rPr>
          <w:rStyle w:val="af2"/>
          <w:rtl/>
        </w:rPr>
        <w:footnoteReference w:id="3"/>
      </w:r>
      <w:r w:rsidRPr="00A81964">
        <w:rPr>
          <w:rtl/>
        </w:rPr>
        <w:t xml:space="preserve">, וכי פיצויים בעד נזק עקיף שנגרם כתוצאה מנזק מלחמה בתחום יישוב ספר, ישולמו לתקופת הזמן הדרושה באופן סביר לשיקומו של הנכס. </w:t>
      </w:r>
    </w:p>
    <w:p w:rsidR="006252C4" w:rsidRDefault="006252C4" w:rsidP="006252C4">
      <w:pPr>
        <w:pStyle w:val="a8"/>
        <w:spacing w:line="269" w:lineRule="auto"/>
        <w:rPr>
          <w:rtl/>
        </w:rPr>
      </w:pPr>
    </w:p>
    <w:p w:rsidR="006252C4" w:rsidRPr="009D1007" w:rsidRDefault="006252C4" w:rsidP="006252C4">
      <w:pPr>
        <w:spacing w:line="269" w:lineRule="auto"/>
        <w:rPr>
          <w:sz w:val="24"/>
          <w:rtl/>
        </w:rPr>
      </w:pPr>
      <w:r w:rsidRPr="00A81964">
        <w:rPr>
          <w:rtl/>
        </w:rPr>
        <w:lastRenderedPageBreak/>
        <w:t>סעיף 2א</w:t>
      </w:r>
      <w:r w:rsidRPr="00A81964">
        <w:rPr>
          <w:rFonts w:hint="cs"/>
          <w:rtl/>
        </w:rPr>
        <w:t>(א)</w:t>
      </w:r>
      <w:r w:rsidRPr="00A81964">
        <w:rPr>
          <w:rtl/>
        </w:rPr>
        <w:t xml:space="preserve"> לחוק </w:t>
      </w:r>
      <w:r w:rsidRPr="00A81964">
        <w:rPr>
          <w:rFonts w:hint="cs"/>
          <w:rtl/>
        </w:rPr>
        <w:t>קובע</w:t>
      </w:r>
      <w:r w:rsidRPr="00A81964">
        <w:rPr>
          <w:rtl/>
        </w:rPr>
        <w:t xml:space="preserve"> כי 25% ממס הרכוש</w:t>
      </w:r>
      <w:r w:rsidRPr="00A81964">
        <w:rPr>
          <w:rFonts w:hint="cs"/>
          <w:rtl/>
        </w:rPr>
        <w:t xml:space="preserve"> </w:t>
      </w:r>
      <w:r w:rsidRPr="00A81964">
        <w:rPr>
          <w:rtl/>
        </w:rPr>
        <w:t>ו</w:t>
      </w:r>
      <w:r w:rsidRPr="00A81964">
        <w:rPr>
          <w:rFonts w:hint="cs"/>
          <w:rtl/>
        </w:rPr>
        <w:t xml:space="preserve">כן 15% </w:t>
      </w:r>
      <w:r w:rsidRPr="00A81964">
        <w:rPr>
          <w:rtl/>
        </w:rPr>
        <w:t>ממס רכישה כמשמעותו בסעיף 9 לחוק מס שבח מקרקעין</w:t>
      </w:r>
      <w:r w:rsidRPr="00A81964">
        <w:rPr>
          <w:rFonts w:hint="cs"/>
          <w:rtl/>
        </w:rPr>
        <w:t>,</w:t>
      </w:r>
      <w:r w:rsidRPr="00A81964">
        <w:rPr>
          <w:rtl/>
        </w:rPr>
        <w:t xml:space="preserve"> </w:t>
      </w:r>
      <w:r w:rsidRPr="00A81964">
        <w:rPr>
          <w:rFonts w:hint="cs"/>
          <w:rtl/>
        </w:rPr>
        <w:t>ה</w:t>
      </w:r>
      <w:r w:rsidRPr="00A81964">
        <w:rPr>
          <w:rtl/>
        </w:rPr>
        <w:t>תשכ"</w:t>
      </w:r>
      <w:bookmarkStart w:id="10" w:name="_Hlk196295048"/>
      <w:r w:rsidRPr="00A81964">
        <w:rPr>
          <w:rtl/>
        </w:rPr>
        <w:t>ג-1963</w:t>
      </w:r>
      <w:r w:rsidRPr="00A81964">
        <w:rPr>
          <w:rFonts w:hint="cs"/>
          <w:rtl/>
        </w:rPr>
        <w:t xml:space="preserve">, </w:t>
      </w:r>
      <w:bookmarkEnd w:id="10"/>
      <w:r w:rsidRPr="00A81964">
        <w:rPr>
          <w:rtl/>
        </w:rPr>
        <w:t>הנגבים בכל</w:t>
      </w:r>
      <w:r w:rsidRPr="00A81964">
        <w:rPr>
          <w:rFonts w:hint="cs"/>
          <w:rtl/>
        </w:rPr>
        <w:t xml:space="preserve"> שנה</w:t>
      </w:r>
      <w:r w:rsidRPr="00A81964">
        <w:rPr>
          <w:rtl/>
        </w:rPr>
        <w:t xml:space="preserve"> יהי</w:t>
      </w:r>
      <w:r w:rsidRPr="00A81964">
        <w:rPr>
          <w:rFonts w:hint="cs"/>
          <w:rtl/>
        </w:rPr>
        <w:t>ו</w:t>
      </w:r>
      <w:r w:rsidRPr="00A81964">
        <w:rPr>
          <w:rtl/>
        </w:rPr>
        <w:t xml:space="preserve"> קרן מיוחדת </w:t>
      </w:r>
      <w:r w:rsidRPr="00A81964">
        <w:rPr>
          <w:rFonts w:hint="cs"/>
          <w:rtl/>
        </w:rPr>
        <w:t>לשם מימון תשלום</w:t>
      </w:r>
      <w:r w:rsidRPr="00A81964">
        <w:rPr>
          <w:rtl/>
        </w:rPr>
        <w:t xml:space="preserve"> פיצויים </w:t>
      </w:r>
      <w:r w:rsidRPr="009D1007">
        <w:rPr>
          <w:sz w:val="24"/>
          <w:rtl/>
        </w:rPr>
        <w:t>בגין נזק</w:t>
      </w:r>
      <w:r w:rsidRPr="009D1007">
        <w:rPr>
          <w:rFonts w:hint="cs"/>
          <w:sz w:val="24"/>
          <w:rtl/>
        </w:rPr>
        <w:t xml:space="preserve"> </w:t>
      </w:r>
      <w:r w:rsidRPr="009D1007">
        <w:rPr>
          <w:sz w:val="24"/>
          <w:rtl/>
        </w:rPr>
        <w:t>מלחמה</w:t>
      </w:r>
      <w:r w:rsidRPr="009D1007">
        <w:rPr>
          <w:rFonts w:hint="cs"/>
          <w:sz w:val="24"/>
          <w:rtl/>
        </w:rPr>
        <w:t xml:space="preserve">, </w:t>
      </w:r>
      <w:r w:rsidRPr="009D1007">
        <w:rPr>
          <w:sz w:val="24"/>
          <w:rtl/>
        </w:rPr>
        <w:t>נזק עקי</w:t>
      </w:r>
      <w:r w:rsidRPr="009D1007">
        <w:rPr>
          <w:rFonts w:hint="cs"/>
          <w:sz w:val="24"/>
          <w:rtl/>
        </w:rPr>
        <w:t>ף</w:t>
      </w:r>
      <w:r w:rsidRPr="009D1007">
        <w:rPr>
          <w:sz w:val="24"/>
          <w:rtl/>
        </w:rPr>
        <w:t xml:space="preserve"> </w:t>
      </w:r>
      <w:r w:rsidRPr="009D1007">
        <w:rPr>
          <w:rFonts w:hint="cs"/>
          <w:sz w:val="24"/>
          <w:rtl/>
        </w:rPr>
        <w:t>ונזק בצורת</w:t>
      </w:r>
      <w:r w:rsidRPr="009D1007">
        <w:rPr>
          <w:rStyle w:val="af2"/>
          <w:sz w:val="24"/>
          <w:rtl/>
        </w:rPr>
        <w:footnoteReference w:id="4"/>
      </w:r>
      <w:r w:rsidRPr="009D1007">
        <w:rPr>
          <w:rFonts w:hint="cs"/>
          <w:sz w:val="24"/>
          <w:rtl/>
        </w:rPr>
        <w:t>. עוד</w:t>
      </w:r>
      <w:r w:rsidRPr="009D1007">
        <w:rPr>
          <w:sz w:val="24"/>
          <w:rtl/>
        </w:rPr>
        <w:t xml:space="preserve"> נקבע ב</w:t>
      </w:r>
      <w:r w:rsidRPr="009D1007">
        <w:rPr>
          <w:rFonts w:hint="cs"/>
          <w:sz w:val="24"/>
          <w:rtl/>
        </w:rPr>
        <w:t>סעיף 2א(ג) ל</w:t>
      </w:r>
      <w:r w:rsidRPr="009D1007">
        <w:rPr>
          <w:sz w:val="24"/>
          <w:rtl/>
        </w:rPr>
        <w:t xml:space="preserve">חוק כי כספי קרן הפיצויים שלא </w:t>
      </w:r>
      <w:bookmarkStart w:id="11" w:name="_Hlk196296859"/>
      <w:r w:rsidRPr="009D1007">
        <w:rPr>
          <w:sz w:val="24"/>
          <w:rtl/>
        </w:rPr>
        <w:t>הוצאו יושקעו בדרך שיורה שר האוצר</w:t>
      </w:r>
      <w:r w:rsidRPr="009D1007">
        <w:rPr>
          <w:rFonts w:hint="cs"/>
          <w:sz w:val="24"/>
          <w:rtl/>
        </w:rPr>
        <w:t>;</w:t>
      </w:r>
      <w:r w:rsidRPr="009D1007">
        <w:rPr>
          <w:sz w:val="24"/>
          <w:rtl/>
        </w:rPr>
        <w:t xml:space="preserve"> רווחי ההשקעות יצורפו לקרן </w:t>
      </w:r>
      <w:r w:rsidRPr="009D1007">
        <w:rPr>
          <w:rFonts w:hint="cs"/>
          <w:sz w:val="24"/>
          <w:rtl/>
        </w:rPr>
        <w:t xml:space="preserve">הפיצויים </w:t>
      </w:r>
      <w:r w:rsidRPr="009D1007">
        <w:rPr>
          <w:sz w:val="24"/>
          <w:rtl/>
        </w:rPr>
        <w:t>ויהיו חלק ממנה.</w:t>
      </w:r>
      <w:r w:rsidRPr="009D1007">
        <w:rPr>
          <w:rFonts w:hint="cs"/>
          <w:sz w:val="24"/>
          <w:rtl/>
        </w:rPr>
        <w:t xml:space="preserve"> סעיף 2א(ב) בחוק </w:t>
      </w:r>
      <w:r w:rsidRPr="009D1007">
        <w:rPr>
          <w:sz w:val="24"/>
          <w:rtl/>
        </w:rPr>
        <w:t>מסמיך את שר האוצר</w:t>
      </w:r>
      <w:r w:rsidRPr="009D1007">
        <w:rPr>
          <w:rFonts w:hint="cs"/>
          <w:sz w:val="24"/>
          <w:rtl/>
        </w:rPr>
        <w:t xml:space="preserve">, </w:t>
      </w:r>
      <w:r w:rsidRPr="009D1007">
        <w:rPr>
          <w:sz w:val="24"/>
          <w:rtl/>
        </w:rPr>
        <w:t xml:space="preserve">באישור ועדת הכספים </w:t>
      </w:r>
      <w:r w:rsidRPr="009D1007">
        <w:rPr>
          <w:rFonts w:hint="cs"/>
          <w:sz w:val="24"/>
          <w:rtl/>
        </w:rPr>
        <w:t xml:space="preserve">לשנות </w:t>
      </w:r>
      <w:r w:rsidRPr="009D1007">
        <w:rPr>
          <w:sz w:val="24"/>
          <w:rtl/>
        </w:rPr>
        <w:t>את שיעור ההפרשה מ</w:t>
      </w:r>
      <w:r w:rsidRPr="009D1007">
        <w:rPr>
          <w:rFonts w:hint="cs"/>
          <w:sz w:val="24"/>
          <w:rtl/>
        </w:rPr>
        <w:t>ההכנסות מ</w:t>
      </w:r>
      <w:r w:rsidRPr="009D1007">
        <w:rPr>
          <w:sz w:val="24"/>
          <w:rtl/>
        </w:rPr>
        <w:t>מס רכוש וממס רכישה</w:t>
      </w:r>
      <w:r w:rsidRPr="009D1007">
        <w:rPr>
          <w:rFonts w:hint="cs"/>
          <w:sz w:val="24"/>
          <w:rtl/>
        </w:rPr>
        <w:t xml:space="preserve"> לקרן הפיצויים. </w:t>
      </w:r>
      <w:r w:rsidRPr="009D1007">
        <w:rPr>
          <w:sz w:val="24"/>
          <w:rtl/>
        </w:rPr>
        <w:t>בהתאם לאמור</w:t>
      </w:r>
      <w:r w:rsidRPr="009D1007">
        <w:rPr>
          <w:rFonts w:hint="cs"/>
          <w:sz w:val="24"/>
          <w:rtl/>
        </w:rPr>
        <w:t xml:space="preserve">, בשנת 1991 </w:t>
      </w:r>
      <w:r w:rsidRPr="009D1007">
        <w:rPr>
          <w:sz w:val="24"/>
          <w:rtl/>
        </w:rPr>
        <w:t>הותקנו תקנו</w:t>
      </w:r>
      <w:r w:rsidRPr="009D1007">
        <w:rPr>
          <w:rFonts w:hint="cs"/>
          <w:sz w:val="24"/>
          <w:rtl/>
        </w:rPr>
        <w:t>ת</w:t>
      </w:r>
      <w:r w:rsidRPr="009D1007">
        <w:rPr>
          <w:sz w:val="24"/>
          <w:rtl/>
        </w:rPr>
        <w:t xml:space="preserve"> מס רכוש וקרן פיצויים (שיעור ההפרשה לקרן פיצויים), התשנ"א-1991, ונקבע כי שיעור ההפרשה</w:t>
      </w:r>
      <w:r w:rsidRPr="009D1007">
        <w:rPr>
          <w:rFonts w:hint="cs"/>
          <w:sz w:val="24"/>
          <w:rtl/>
        </w:rPr>
        <w:t xml:space="preserve"> הן ממס רכוש והן ממס רכישה</w:t>
      </w:r>
      <w:r w:rsidRPr="009D1007">
        <w:rPr>
          <w:sz w:val="24"/>
          <w:rtl/>
        </w:rPr>
        <w:t xml:space="preserve"> יעמוד על 25%.</w:t>
      </w:r>
      <w:r w:rsidRPr="009D1007">
        <w:rPr>
          <w:rFonts w:hint="cs"/>
          <w:sz w:val="24"/>
          <w:rtl/>
        </w:rPr>
        <w:t xml:space="preserve"> מאז שנת 1991 שונו מדי פעם שיעורי ההפרשה לקרן הפיצויים</w:t>
      </w:r>
      <w:r w:rsidRPr="009D1007">
        <w:rPr>
          <w:rStyle w:val="af2"/>
          <w:sz w:val="24"/>
          <w:rtl/>
        </w:rPr>
        <w:footnoteReference w:id="5"/>
      </w:r>
      <w:r w:rsidRPr="009D1007">
        <w:rPr>
          <w:rFonts w:hint="cs"/>
          <w:sz w:val="24"/>
          <w:rtl/>
        </w:rPr>
        <w:t>. בשנים 2022 ו-2023 שיעור ההפרשה לקרן הפיצויים עמד על 0%</w:t>
      </w:r>
      <w:r w:rsidRPr="009D1007">
        <w:rPr>
          <w:rStyle w:val="af8"/>
          <w:rFonts w:hint="cs"/>
          <w:sz w:val="24"/>
          <w:szCs w:val="24"/>
          <w:rtl/>
        </w:rPr>
        <w:t xml:space="preserve">. </w:t>
      </w:r>
      <w:r w:rsidRPr="009D1007">
        <w:rPr>
          <w:sz w:val="24"/>
          <w:rtl/>
        </w:rPr>
        <w:t>החל מ-</w:t>
      </w:r>
      <w:r w:rsidRPr="009D1007">
        <w:rPr>
          <w:rFonts w:hint="cs"/>
          <w:sz w:val="24"/>
          <w:rtl/>
        </w:rPr>
        <w:t xml:space="preserve">1.1.00 </w:t>
      </w:r>
      <w:r w:rsidRPr="009D1007">
        <w:rPr>
          <w:sz w:val="24"/>
          <w:rtl/>
        </w:rPr>
        <w:t xml:space="preserve">לא נגבה יותר מס רכוש כך שהפרשות לקרן הפיצויים מאותו מועד מקורן במס רכישה בלבד. </w:t>
      </w:r>
      <w:r w:rsidRPr="009D1007">
        <w:rPr>
          <w:rFonts w:hint="cs"/>
          <w:sz w:val="24"/>
          <w:rtl/>
        </w:rPr>
        <w:t>ב-</w:t>
      </w:r>
      <w:r w:rsidRPr="009D1007">
        <w:rPr>
          <w:sz w:val="24"/>
          <w:rtl/>
        </w:rPr>
        <w:t>30.9.23</w:t>
      </w:r>
      <w:r w:rsidRPr="009D1007">
        <w:rPr>
          <w:rFonts w:hint="cs"/>
          <w:sz w:val="24"/>
          <w:rtl/>
        </w:rPr>
        <w:t xml:space="preserve"> יתרת</w:t>
      </w:r>
      <w:r w:rsidRPr="009D1007">
        <w:rPr>
          <w:sz w:val="24"/>
          <w:rtl/>
        </w:rPr>
        <w:t xml:space="preserve"> הכספים בקרן הפיצויים עמדה על כ-17.7 מיליארד ש"ח</w:t>
      </w:r>
      <w:r w:rsidRPr="009D1007">
        <w:rPr>
          <w:rFonts w:hint="cs"/>
          <w:sz w:val="24"/>
          <w:rtl/>
        </w:rPr>
        <w:t xml:space="preserve">. </w:t>
      </w:r>
    </w:p>
    <w:bookmarkEnd w:id="11"/>
    <w:p w:rsidR="006252C4" w:rsidRDefault="006252C4" w:rsidP="006252C4">
      <w:pPr>
        <w:pStyle w:val="a8"/>
        <w:spacing w:line="269" w:lineRule="auto"/>
        <w:rPr>
          <w:rtl/>
        </w:rPr>
      </w:pPr>
    </w:p>
    <w:p w:rsidR="006252C4" w:rsidRPr="00A81964" w:rsidRDefault="006252C4" w:rsidP="006252C4">
      <w:pPr>
        <w:spacing w:line="269" w:lineRule="auto"/>
        <w:rPr>
          <w:rtl/>
        </w:rPr>
      </w:pPr>
      <w:bookmarkStart w:id="12" w:name="_Hlk196296977"/>
      <w:r w:rsidRPr="00A81964">
        <w:rPr>
          <w:rtl/>
        </w:rPr>
        <w:t>בשנת 1973 הוק</w:t>
      </w:r>
      <w:r w:rsidRPr="00A81964">
        <w:rPr>
          <w:rFonts w:hint="cs"/>
          <w:rtl/>
        </w:rPr>
        <w:t>מה</w:t>
      </w:r>
      <w:r w:rsidRPr="00A81964">
        <w:rPr>
          <w:rtl/>
        </w:rPr>
        <w:t xml:space="preserve"> ברשות המיסים</w:t>
      </w:r>
      <w:r>
        <w:rPr>
          <w:rFonts w:hint="cs"/>
          <w:rtl/>
        </w:rPr>
        <w:t xml:space="preserve"> בישראל (להלן - רשות המיסים)</w:t>
      </w:r>
      <w:r w:rsidRPr="00A81964">
        <w:rPr>
          <w:rtl/>
        </w:rPr>
        <w:t xml:space="preserve"> מחלקת פיצויי פעולות איבה, גוף מקצועי </w:t>
      </w:r>
      <w:r>
        <w:rPr>
          <w:rFonts w:hint="cs"/>
          <w:rtl/>
        </w:rPr>
        <w:t>האמון על יישום</w:t>
      </w:r>
      <w:r w:rsidRPr="00A81964">
        <w:rPr>
          <w:rtl/>
        </w:rPr>
        <w:t xml:space="preserve"> הוראות החוק והתקנות </w:t>
      </w:r>
      <w:r>
        <w:rPr>
          <w:rFonts w:hint="cs"/>
          <w:rtl/>
        </w:rPr>
        <w:t xml:space="preserve">ועל האכיפה בתחום זה </w:t>
      </w:r>
      <w:r w:rsidRPr="00A81964">
        <w:rPr>
          <w:rFonts w:hint="cs"/>
          <w:rtl/>
        </w:rPr>
        <w:t>(להלן - קרן הפיצויים)</w:t>
      </w:r>
      <w:r w:rsidRPr="00A81964">
        <w:rPr>
          <w:rtl/>
        </w:rPr>
        <w:t xml:space="preserve">. </w:t>
      </w:r>
      <w:bookmarkEnd w:id="12"/>
    </w:p>
    <w:p w:rsidR="006252C4" w:rsidRDefault="006252C4" w:rsidP="006252C4">
      <w:pPr>
        <w:pStyle w:val="a8"/>
        <w:spacing w:line="269" w:lineRule="auto"/>
        <w:rPr>
          <w:rtl/>
        </w:rPr>
      </w:pPr>
    </w:p>
    <w:p w:rsidR="006252C4" w:rsidRDefault="006252C4" w:rsidP="006252C4">
      <w:pPr>
        <w:spacing w:line="269" w:lineRule="auto"/>
        <w:rPr>
          <w:rtl/>
        </w:rPr>
      </w:pPr>
      <w:r w:rsidRPr="00A81964">
        <w:rPr>
          <w:rtl/>
        </w:rPr>
        <w:t>ב-7.10.23, בבוקר יום שבת, חג שמחת תורה, חוותה מדינת ישראל התקפה רצחנית בהיקף חסר תקדים</w:t>
      </w:r>
      <w:r w:rsidRPr="00A81964">
        <w:rPr>
          <w:rFonts w:hint="cs"/>
          <w:rtl/>
        </w:rPr>
        <w:t xml:space="preserve"> (להלן - מתקפת הטרור)</w:t>
      </w:r>
      <w:r w:rsidRPr="00A81964">
        <w:rPr>
          <w:rtl/>
        </w:rPr>
        <w:t xml:space="preserve">. ההתקפה החלה בירי כבד של טילים ורקטות על דרום הארץ </w:t>
      </w:r>
      <w:r w:rsidRPr="00054D2F">
        <w:rPr>
          <w:rtl/>
        </w:rPr>
        <w:t>ומרכזה, ובחסות מטחים אלו חדרו כ-3,000 מחבלים לבסיסי צה"ל וליישובים במרחב הנגב המערבי</w:t>
      </w:r>
      <w:r w:rsidRPr="00054D2F">
        <w:rPr>
          <w:rFonts w:hint="cs"/>
          <w:rtl/>
        </w:rPr>
        <w:t xml:space="preserve">. </w:t>
      </w:r>
      <w:r w:rsidRPr="00054D2F">
        <w:rPr>
          <w:rtl/>
        </w:rPr>
        <w:t>במהל</w:t>
      </w:r>
      <w:r w:rsidRPr="00F35441">
        <w:rPr>
          <w:rFonts w:hint="eastAsia"/>
          <w:rtl/>
        </w:rPr>
        <w:t>ך</w:t>
      </w:r>
      <w:r>
        <w:rPr>
          <w:rFonts w:hint="cs"/>
          <w:rtl/>
        </w:rPr>
        <w:t xml:space="preserve"> </w:t>
      </w:r>
      <w:r w:rsidRPr="00054D2F">
        <w:rPr>
          <w:rFonts w:hint="cs"/>
          <w:rtl/>
        </w:rPr>
        <w:t>מתקפת הטרור</w:t>
      </w:r>
      <w:r w:rsidRPr="00054D2F">
        <w:rPr>
          <w:rtl/>
        </w:rPr>
        <w:t xml:space="preserve"> נרצחו, נחטפו ונפגעו אזרחים וחיילים רבים</w:t>
      </w:r>
      <w:r w:rsidRPr="00054D2F">
        <w:rPr>
          <w:rFonts w:hint="cs"/>
          <w:rtl/>
        </w:rPr>
        <w:t>, ונגרם נזק רב לרכוש, בתים ורכבים</w:t>
      </w:r>
      <w:r w:rsidRPr="00054D2F">
        <w:rPr>
          <w:rtl/>
        </w:rPr>
        <w:t>.</w:t>
      </w:r>
      <w:r w:rsidRPr="0099217F">
        <w:rPr>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מכוח סמכותו לפי סעיף 9ג</w:t>
      </w:r>
      <w:r w:rsidRPr="00A81964">
        <w:rPr>
          <w:rFonts w:hint="cs"/>
          <w:rtl/>
        </w:rPr>
        <w:t>(</w:t>
      </w:r>
      <w:r w:rsidRPr="00A81964">
        <w:rPr>
          <w:rtl/>
        </w:rPr>
        <w:t>ב</w:t>
      </w:r>
      <w:r w:rsidRPr="00A81964">
        <w:rPr>
          <w:rFonts w:hint="cs"/>
          <w:rtl/>
        </w:rPr>
        <w:t>)(1)</w:t>
      </w:r>
      <w:r w:rsidRPr="00A81964">
        <w:rPr>
          <w:rtl/>
        </w:rPr>
        <w:t xml:space="preserve"> לחוק ההתגוננות</w:t>
      </w:r>
      <w:r w:rsidRPr="00A81964">
        <w:rPr>
          <w:rFonts w:hint="cs"/>
          <w:rtl/>
        </w:rPr>
        <w:t xml:space="preserve"> </w:t>
      </w:r>
      <w:r w:rsidRPr="00A81964">
        <w:rPr>
          <w:rtl/>
        </w:rPr>
        <w:t>האזרחית, התשי"א-1951</w:t>
      </w:r>
      <w:r w:rsidRPr="00A81964">
        <w:rPr>
          <w:rFonts w:hint="cs"/>
          <w:rtl/>
        </w:rPr>
        <w:t xml:space="preserve"> (להלן - חוק ההתגוננות האזרחית), </w:t>
      </w:r>
      <w:r w:rsidRPr="00A81964">
        <w:rPr>
          <w:rtl/>
        </w:rPr>
        <w:t>הכריז שר</w:t>
      </w:r>
      <w:r w:rsidRPr="00A81964">
        <w:rPr>
          <w:rFonts w:hint="cs"/>
          <w:rtl/>
        </w:rPr>
        <w:t xml:space="preserve"> </w:t>
      </w:r>
      <w:r w:rsidRPr="00A81964">
        <w:rPr>
          <w:rtl/>
        </w:rPr>
        <w:t xml:space="preserve">הביטחון </w:t>
      </w:r>
      <w:r w:rsidRPr="00A81964">
        <w:rPr>
          <w:rFonts w:hint="cs"/>
          <w:rtl/>
        </w:rPr>
        <w:t>ב-7.10.23</w:t>
      </w:r>
      <w:r w:rsidRPr="00A81964">
        <w:rPr>
          <w:rtl/>
        </w:rPr>
        <w:t xml:space="preserve"> על מצב מיוחד בעורף</w:t>
      </w:r>
      <w:r w:rsidRPr="00A81964">
        <w:rPr>
          <w:rFonts w:hint="cs"/>
          <w:rtl/>
        </w:rPr>
        <w:t xml:space="preserve"> אשר אפשר, בין היתר, לגורמים הרלוונטיים בצה"ל להטיל מגבלות על הלימודים במוסדות החינוך ותנועת אזרחים ותושבים באזורים מסוימים, לרבות לצורך הגעה למקומות עבודה</w:t>
      </w:r>
      <w:r w:rsidRPr="00A81964">
        <w:rPr>
          <w:rStyle w:val="af2"/>
          <w:rtl/>
        </w:rPr>
        <w:footnoteReference w:id="6"/>
      </w:r>
      <w:r w:rsidRPr="00A81964">
        <w:rPr>
          <w:rFonts w:hint="cs"/>
          <w:rtl/>
        </w:rPr>
        <w:t>. ב-8.10.23</w:t>
      </w:r>
      <w:r w:rsidRPr="00A81964">
        <w:rPr>
          <w:rtl/>
        </w:rPr>
        <w:t xml:space="preserve"> </w:t>
      </w:r>
      <w:r w:rsidRPr="00A81964">
        <w:rPr>
          <w:rFonts w:hint="cs"/>
          <w:rtl/>
        </w:rPr>
        <w:t xml:space="preserve">החליטה </w:t>
      </w:r>
      <w:r w:rsidRPr="00A81964">
        <w:rPr>
          <w:rtl/>
        </w:rPr>
        <w:t>ועדת השרים לענייני ביטחון לאומי על נקיטת פעולות צבאיות</w:t>
      </w:r>
      <w:r w:rsidRPr="00A81964">
        <w:rPr>
          <w:rFonts w:hint="cs"/>
          <w:rtl/>
        </w:rPr>
        <w:t xml:space="preserve"> </w:t>
      </w:r>
      <w:r w:rsidRPr="00A81964">
        <w:rPr>
          <w:rtl/>
        </w:rPr>
        <w:t>משמעותיות</w:t>
      </w:r>
      <w:r w:rsidRPr="00A81964">
        <w:rPr>
          <w:rFonts w:hint="cs"/>
          <w:rtl/>
        </w:rPr>
        <w:t xml:space="preserve"> החל מיום 7.10.23 בשעה 06:00</w:t>
      </w:r>
      <w:r w:rsidRPr="00A81964">
        <w:rPr>
          <w:rtl/>
        </w:rPr>
        <w:t xml:space="preserve">, </w:t>
      </w:r>
      <w:r w:rsidRPr="00A81964">
        <w:rPr>
          <w:rFonts w:hint="cs"/>
          <w:rtl/>
        </w:rPr>
        <w:t xml:space="preserve">מכוח הסמכות </w:t>
      </w:r>
      <w:r w:rsidRPr="00A81964">
        <w:rPr>
          <w:rFonts w:hint="eastAsia"/>
          <w:rtl/>
        </w:rPr>
        <w:t>שהואצלה</w:t>
      </w:r>
      <w:r w:rsidRPr="00A81964">
        <w:rPr>
          <w:rtl/>
        </w:rPr>
        <w:t xml:space="preserve"> </w:t>
      </w:r>
      <w:r w:rsidRPr="00A81964">
        <w:rPr>
          <w:rFonts w:hint="eastAsia"/>
          <w:rtl/>
        </w:rPr>
        <w:t>לה</w:t>
      </w:r>
      <w:r w:rsidRPr="00A81964">
        <w:rPr>
          <w:rtl/>
        </w:rPr>
        <w:t xml:space="preserve"> </w:t>
      </w:r>
      <w:r w:rsidRPr="00A81964">
        <w:rPr>
          <w:rFonts w:hint="eastAsia"/>
          <w:rtl/>
        </w:rPr>
        <w:t>ב</w:t>
      </w:r>
      <w:r w:rsidRPr="00A81964">
        <w:rPr>
          <w:rtl/>
        </w:rPr>
        <w:t xml:space="preserve">סעיף </w:t>
      </w:r>
      <w:r>
        <w:rPr>
          <w:rFonts w:hint="cs"/>
          <w:rtl/>
        </w:rPr>
        <w:t>40(</w:t>
      </w:r>
      <w:r w:rsidRPr="00A81964">
        <w:rPr>
          <w:rtl/>
        </w:rPr>
        <w:t xml:space="preserve">א) </w:t>
      </w:r>
      <w:r w:rsidRPr="00A81964">
        <w:rPr>
          <w:rFonts w:hint="eastAsia"/>
          <w:rtl/>
        </w:rPr>
        <w:t>ו</w:t>
      </w:r>
      <w:r w:rsidRPr="00A81964">
        <w:rPr>
          <w:rtl/>
        </w:rPr>
        <w:t>-40</w:t>
      </w:r>
      <w:r>
        <w:rPr>
          <w:rFonts w:hint="cs"/>
          <w:rtl/>
        </w:rPr>
        <w:t>(</w:t>
      </w:r>
      <w:r w:rsidRPr="00A81964">
        <w:rPr>
          <w:rtl/>
        </w:rPr>
        <w:t>א1)</w:t>
      </w:r>
      <w:r w:rsidRPr="00A81964">
        <w:rPr>
          <w:rFonts w:hint="cs"/>
          <w:rtl/>
        </w:rPr>
        <w:t xml:space="preserve"> </w:t>
      </w:r>
      <w:r w:rsidRPr="00A81964">
        <w:rPr>
          <w:rtl/>
        </w:rPr>
        <w:t>לחוק</w:t>
      </w:r>
      <w:r w:rsidRPr="00A81964">
        <w:rPr>
          <w:rFonts w:hint="cs"/>
          <w:rtl/>
        </w:rPr>
        <w:t>-</w:t>
      </w:r>
      <w:r w:rsidRPr="00A81964">
        <w:rPr>
          <w:rtl/>
        </w:rPr>
        <w:t>יסוד: הממשלה</w:t>
      </w:r>
      <w:r w:rsidRPr="00A81964">
        <w:rPr>
          <w:rFonts w:hint="cs"/>
          <w:rtl/>
        </w:rPr>
        <w:t xml:space="preserve"> (להלן - המלחמה או מלחמת חרבות ברזל).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ב-12.10.23 </w:t>
      </w:r>
      <w:r w:rsidRPr="00A81964">
        <w:rPr>
          <w:rtl/>
        </w:rPr>
        <w:t>החליטה ועדת החוץ והביטחון של</w:t>
      </w:r>
      <w:r w:rsidRPr="00A81964">
        <w:rPr>
          <w:rFonts w:hint="cs"/>
          <w:rtl/>
        </w:rPr>
        <w:t xml:space="preserve"> </w:t>
      </w:r>
      <w:r w:rsidRPr="00A81964">
        <w:rPr>
          <w:rtl/>
        </w:rPr>
        <w:t>הכנסת</w:t>
      </w:r>
      <w:r w:rsidRPr="00A81964">
        <w:rPr>
          <w:rFonts w:hint="cs"/>
          <w:rtl/>
        </w:rPr>
        <w:t>,</w:t>
      </w:r>
      <w:r w:rsidRPr="00A81964">
        <w:rPr>
          <w:rtl/>
        </w:rPr>
        <w:t xml:space="preserve"> בהתאם לסעיף 9ג</w:t>
      </w:r>
      <w:r w:rsidRPr="00A81964">
        <w:rPr>
          <w:rFonts w:hint="cs"/>
          <w:rtl/>
        </w:rPr>
        <w:t>(</w:t>
      </w:r>
      <w:r w:rsidRPr="00A81964">
        <w:rPr>
          <w:rtl/>
        </w:rPr>
        <w:t>א</w:t>
      </w:r>
      <w:r w:rsidRPr="00A81964">
        <w:rPr>
          <w:rFonts w:hint="cs"/>
          <w:rtl/>
        </w:rPr>
        <w:t>)(5) לחוק ההתגוננות האזרחית,</w:t>
      </w:r>
      <w:r w:rsidRPr="00A81964">
        <w:rPr>
          <w:rtl/>
        </w:rPr>
        <w:t xml:space="preserve"> לאשר את ההכרזה על מצב מיוחד בעורף</w:t>
      </w:r>
      <w:r w:rsidRPr="00A81964">
        <w:rPr>
          <w:rFonts w:hint="cs"/>
          <w:rtl/>
        </w:rPr>
        <w:t xml:space="preserve"> </w:t>
      </w:r>
      <w:r w:rsidRPr="00A81964">
        <w:rPr>
          <w:rtl/>
        </w:rPr>
        <w:t>בשטחה של כל מדינת ישראל</w:t>
      </w:r>
      <w:r w:rsidRPr="00A81964">
        <w:rPr>
          <w:rStyle w:val="af2"/>
          <w:rtl/>
        </w:rPr>
        <w:footnoteReference w:id="7"/>
      </w:r>
      <w:r w:rsidRPr="00A81964">
        <w:rPr>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lastRenderedPageBreak/>
        <w:t xml:space="preserve">ביומה השני של המלחמה החל גם ארגון הטרור חיזבאללה </w:t>
      </w:r>
      <w:r w:rsidRPr="00A81964">
        <w:rPr>
          <w:rFonts w:hint="cs"/>
          <w:rtl/>
        </w:rPr>
        <w:t>לבצע</w:t>
      </w:r>
      <w:r w:rsidRPr="00A81964">
        <w:rPr>
          <w:rtl/>
        </w:rPr>
        <w:t xml:space="preserve"> תקיפות </w:t>
      </w:r>
      <w:r w:rsidRPr="00A81964">
        <w:rPr>
          <w:rFonts w:hint="cs"/>
          <w:rtl/>
        </w:rPr>
        <w:t>על יישובי הצפון</w:t>
      </w:r>
      <w:r w:rsidRPr="00A81964">
        <w:rPr>
          <w:rtl/>
        </w:rPr>
        <w:t xml:space="preserve"> באמצעות ירי צלפים</w:t>
      </w:r>
      <w:r w:rsidRPr="00A81964">
        <w:rPr>
          <w:rFonts w:hint="cs"/>
          <w:rtl/>
        </w:rPr>
        <w:t xml:space="preserve"> וטילי נ"ט,</w:t>
      </w:r>
      <w:r w:rsidRPr="00A81964">
        <w:rPr>
          <w:rtl/>
        </w:rPr>
        <w:t xml:space="preserve"> שיגור פצצות מרגמה</w:t>
      </w:r>
      <w:r w:rsidRPr="00A81964">
        <w:rPr>
          <w:rFonts w:hint="cs"/>
          <w:rtl/>
        </w:rPr>
        <w:t xml:space="preserve">, </w:t>
      </w:r>
      <w:r w:rsidRPr="00A81964">
        <w:rPr>
          <w:rtl/>
        </w:rPr>
        <w:t>רקטות</w:t>
      </w:r>
      <w:r w:rsidRPr="00A81964">
        <w:rPr>
          <w:rFonts w:hint="cs"/>
          <w:rtl/>
        </w:rPr>
        <w:t xml:space="preserve"> וכטב"מים ושימוש ב</w:t>
      </w:r>
      <w:r w:rsidRPr="00A81964">
        <w:rPr>
          <w:rtl/>
        </w:rPr>
        <w:t>אמצעי לחימה מתקדמים נוספים</w:t>
      </w:r>
      <w:r w:rsidRPr="00A81964">
        <w:rPr>
          <w:rFonts w:hint="cs"/>
          <w:rtl/>
        </w:rPr>
        <w:t xml:space="preserve">. כמו כן, במהלך המלחמה שוגרו טילים וכטב"מים מתימן, מאיראן, מעיראק ומסוריה אל עבר אזורים נרחבים בישראל. </w:t>
      </w:r>
      <w:r w:rsidRPr="00A81964">
        <w:rPr>
          <w:rFonts w:hint="eastAsia"/>
          <w:rtl/>
        </w:rPr>
        <w:t>כך</w:t>
      </w:r>
      <w:r w:rsidRPr="00A81964">
        <w:rPr>
          <w:rtl/>
        </w:rPr>
        <w:t xml:space="preserve">, </w:t>
      </w:r>
      <w:r w:rsidRPr="00A81964">
        <w:rPr>
          <w:rFonts w:hint="eastAsia"/>
          <w:rtl/>
        </w:rPr>
        <w:t>שלמלחמה</w:t>
      </w:r>
      <w:r w:rsidRPr="00A81964">
        <w:rPr>
          <w:rFonts w:hint="cs"/>
          <w:rtl/>
        </w:rPr>
        <w:t xml:space="preserve"> שהחלה בדרום הארץ נוספו חזיתות נוספות, אשר הביאו לכך שיישובים רבים ברחבי הארץ הפכו מאוימים</w:t>
      </w:r>
      <w:r>
        <w:rPr>
          <w:rFonts w:hint="cs"/>
          <w:rtl/>
        </w:rPr>
        <w:t xml:space="preserve"> ונפגעו במהלכה</w:t>
      </w:r>
      <w:r w:rsidRPr="00A81964">
        <w:rPr>
          <w:rFonts w:hint="cs"/>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במהלך חודש אוקטובר 2023 קבעה</w:t>
      </w:r>
      <w:r w:rsidRPr="00A81964">
        <w:rPr>
          <w:rtl/>
        </w:rPr>
        <w:t xml:space="preserve"> </w:t>
      </w:r>
      <w:r w:rsidRPr="00A81964">
        <w:rPr>
          <w:rFonts w:hint="cs"/>
          <w:rtl/>
        </w:rPr>
        <w:t>ממשלת ישראל, במספר החלטות</w:t>
      </w:r>
      <w:r w:rsidRPr="00A81964">
        <w:rPr>
          <w:rStyle w:val="af2"/>
          <w:rtl/>
        </w:rPr>
        <w:footnoteReference w:id="8"/>
      </w:r>
      <w:r w:rsidRPr="00A81964">
        <w:rPr>
          <w:rFonts w:hint="cs"/>
          <w:rtl/>
        </w:rPr>
        <w:t>, שיש לפנות</w:t>
      </w:r>
      <w:r w:rsidRPr="00A81964">
        <w:rPr>
          <w:rtl/>
        </w:rPr>
        <w:t xml:space="preserve"> י</w:t>
      </w:r>
      <w:r w:rsidRPr="00A81964">
        <w:rPr>
          <w:rFonts w:hint="cs"/>
          <w:rtl/>
        </w:rPr>
        <w:t>י</w:t>
      </w:r>
      <w:r w:rsidRPr="00A81964">
        <w:rPr>
          <w:rtl/>
        </w:rPr>
        <w:t>שובים הסמוכים לקווי ה</w:t>
      </w:r>
      <w:r>
        <w:rPr>
          <w:rFonts w:hint="cs"/>
          <w:rtl/>
        </w:rPr>
        <w:t xml:space="preserve">עימות </w:t>
      </w:r>
      <w:r w:rsidRPr="00A81964">
        <w:rPr>
          <w:rFonts w:hint="cs"/>
          <w:rtl/>
        </w:rPr>
        <w:t>בדרום הארץ ובצפונה</w:t>
      </w:r>
      <w:r w:rsidRPr="00A81964">
        <w:rPr>
          <w:rtl/>
        </w:rPr>
        <w:t xml:space="preserve"> </w:t>
      </w:r>
      <w:r w:rsidRPr="00A81964">
        <w:rPr>
          <w:rFonts w:hint="cs"/>
          <w:rtl/>
        </w:rPr>
        <w:t>ולקלוט את</w:t>
      </w:r>
      <w:r w:rsidRPr="00A81964">
        <w:rPr>
          <w:rtl/>
        </w:rPr>
        <w:t xml:space="preserve"> המתפנים </w:t>
      </w:r>
      <w:r w:rsidRPr="00A81964">
        <w:rPr>
          <w:rFonts w:hint="cs"/>
          <w:rtl/>
        </w:rPr>
        <w:t>במתקני קליטה</w:t>
      </w:r>
      <w:r w:rsidRPr="00A81964">
        <w:rPr>
          <w:rStyle w:val="af2"/>
          <w:rtl/>
        </w:rPr>
        <w:footnoteReference w:id="9"/>
      </w:r>
      <w:r w:rsidRPr="00A81964">
        <w:rPr>
          <w:rtl/>
        </w:rPr>
        <w:t xml:space="preserve"> ברחבי הארץ. במקביל </w:t>
      </w:r>
      <w:r w:rsidRPr="00A81964">
        <w:rPr>
          <w:rFonts w:hint="cs"/>
          <w:rtl/>
        </w:rPr>
        <w:t xml:space="preserve">לכך </w:t>
      </w:r>
      <w:r w:rsidRPr="00A81964">
        <w:rPr>
          <w:rtl/>
        </w:rPr>
        <w:t>התפנו תושב</w:t>
      </w:r>
      <w:r w:rsidRPr="00A81964">
        <w:rPr>
          <w:rFonts w:hint="cs"/>
          <w:rtl/>
        </w:rPr>
        <w:t>י</w:t>
      </w:r>
      <w:r w:rsidRPr="00A81964">
        <w:rPr>
          <w:rtl/>
        </w:rPr>
        <w:t xml:space="preserve">ם גם באופן עצמאי. </w:t>
      </w:r>
      <w:r w:rsidRPr="00A81964">
        <w:rPr>
          <w:rFonts w:hint="cs"/>
          <w:rtl/>
        </w:rPr>
        <w:t xml:space="preserve">על פי </w:t>
      </w:r>
      <w:r w:rsidRPr="00A81964">
        <w:rPr>
          <w:rtl/>
        </w:rPr>
        <w:t>נתוני רשות החירום הלאומית</w:t>
      </w:r>
      <w:r w:rsidRPr="00A81964">
        <w:rPr>
          <w:rFonts w:hint="cs"/>
          <w:rtl/>
        </w:rPr>
        <w:t xml:space="preserve"> (להלן - רח"ל)</w:t>
      </w:r>
      <w:r w:rsidRPr="00A81964">
        <w:rPr>
          <w:rStyle w:val="af2"/>
          <w:rtl/>
        </w:rPr>
        <w:footnoteReference w:id="10"/>
      </w:r>
      <w:r w:rsidRPr="00A81964">
        <w:rPr>
          <w:rFonts w:hint="cs"/>
          <w:rtl/>
        </w:rPr>
        <w:t>,</w:t>
      </w:r>
      <w:r w:rsidRPr="00A81964">
        <w:rPr>
          <w:rtl/>
        </w:rPr>
        <w:t xml:space="preserve"> </w:t>
      </w:r>
      <w:r w:rsidRPr="003F5E9F">
        <w:rPr>
          <w:rtl/>
        </w:rPr>
        <w:t>פונו והתפנו</w:t>
      </w:r>
      <w:r w:rsidRPr="003F5E9F">
        <w:rPr>
          <w:rFonts w:hint="cs"/>
          <w:rtl/>
        </w:rPr>
        <w:t xml:space="preserve"> מבתיהם</w:t>
      </w:r>
      <w:r w:rsidRPr="003F5E9F">
        <w:rPr>
          <w:rtl/>
        </w:rPr>
        <w:t xml:space="preserve"> כ-</w:t>
      </w:r>
      <w:r w:rsidRPr="003F5E9F">
        <w:rPr>
          <w:rFonts w:hint="cs"/>
          <w:rtl/>
        </w:rPr>
        <w:t>25</w:t>
      </w:r>
      <w:r>
        <w:rPr>
          <w:rFonts w:hint="cs"/>
          <w:rtl/>
        </w:rPr>
        <w:t>0</w:t>
      </w:r>
      <w:r w:rsidRPr="003F5E9F">
        <w:rPr>
          <w:rFonts w:hint="cs"/>
          <w:rtl/>
        </w:rPr>
        <w:t>,000</w:t>
      </w:r>
      <w:r w:rsidRPr="00A81964">
        <w:rPr>
          <w:rStyle w:val="af2"/>
          <w:rtl/>
        </w:rPr>
        <w:footnoteReference w:id="11"/>
      </w:r>
      <w:r w:rsidRPr="00A81964">
        <w:rPr>
          <w:rtl/>
        </w:rPr>
        <w:t xml:space="preserve"> תושבים.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מפרוץ המלחמה ועד למועד סיום הביקורת בדצמבר 2024 שוגרו לישראל מהחזיתות השונות יותר מ-</w:t>
      </w:r>
      <w:r w:rsidRPr="003F5E9F">
        <w:rPr>
          <w:rFonts w:hint="cs"/>
          <w:rtl/>
        </w:rPr>
        <w:t>27,000 טילים</w:t>
      </w:r>
      <w:r w:rsidRPr="00A81964">
        <w:rPr>
          <w:rFonts w:hint="cs"/>
          <w:rtl/>
        </w:rPr>
        <w:t>, רקטות וכטב"מים</w:t>
      </w:r>
      <w:r w:rsidRPr="00A81964">
        <w:rPr>
          <w:rStyle w:val="af2"/>
          <w:rtl/>
        </w:rPr>
        <w:footnoteReference w:id="12"/>
      </w:r>
      <w:r w:rsidRPr="00A81964">
        <w:rPr>
          <w:rFonts w:hint="cs"/>
          <w:rtl/>
        </w:rPr>
        <w:t xml:space="preserve">, אשר גרמו גם לנזק רב לרכוש (כגון בתים, מבנים, רכבים ומכונות). כמו כן, המחבלים שחדרו לדרום מדינת ישראל גרמו גם נזק לרכוש, וזאת בין היתר על ידי הצתות ושימוש בכלי נשק קלים וכבדים וגניבת רכוש אל תוך שטח רצועת עזה.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פעולות הלחימה המתמשכות במסגרת מלחמת חרבות ברזל</w:t>
      </w:r>
      <w:r w:rsidRPr="00A81964">
        <w:rPr>
          <w:rFonts w:hint="cs"/>
          <w:rtl/>
        </w:rPr>
        <w:t>, ה</w:t>
      </w:r>
      <w:r w:rsidRPr="00A81964">
        <w:rPr>
          <w:rtl/>
        </w:rPr>
        <w:t>מגבלות ו</w:t>
      </w:r>
      <w:r w:rsidRPr="00A81964">
        <w:rPr>
          <w:rFonts w:hint="cs"/>
          <w:rtl/>
        </w:rPr>
        <w:t>ה</w:t>
      </w:r>
      <w:r w:rsidRPr="00A81964">
        <w:rPr>
          <w:rtl/>
        </w:rPr>
        <w:t xml:space="preserve">הנחיות </w:t>
      </w:r>
      <w:r w:rsidRPr="00A81964">
        <w:rPr>
          <w:rFonts w:hint="cs"/>
          <w:rtl/>
        </w:rPr>
        <w:t xml:space="preserve">שקבע </w:t>
      </w:r>
      <w:r w:rsidRPr="00A81964">
        <w:rPr>
          <w:rtl/>
        </w:rPr>
        <w:t>פיקוד העורף</w:t>
      </w:r>
      <w:r w:rsidRPr="00A81964">
        <w:rPr>
          <w:rFonts w:hint="cs"/>
          <w:rtl/>
        </w:rPr>
        <w:t>, גיוס המילואים הנרחב</w:t>
      </w:r>
      <w:r w:rsidRPr="00A81964">
        <w:rPr>
          <w:rtl/>
        </w:rPr>
        <w:t xml:space="preserve"> </w:t>
      </w:r>
      <w:r w:rsidRPr="00A81964">
        <w:rPr>
          <w:rFonts w:hint="cs"/>
          <w:rtl/>
        </w:rPr>
        <w:t>ופינוי תושביהם של יישובים רבים באזורי הדרום והצפון גרמו לפגיעה</w:t>
      </w:r>
      <w:r w:rsidRPr="00A81964">
        <w:rPr>
          <w:rtl/>
        </w:rPr>
        <w:t xml:space="preserve"> </w:t>
      </w:r>
      <w:r w:rsidRPr="00A81964">
        <w:rPr>
          <w:rFonts w:hint="cs"/>
          <w:rtl/>
        </w:rPr>
        <w:t>ב</w:t>
      </w:r>
      <w:r w:rsidRPr="00A81964">
        <w:rPr>
          <w:rtl/>
        </w:rPr>
        <w:t>פעילות הכלכלית הסדירה של חלק מהעסקים</w:t>
      </w:r>
      <w:r w:rsidRPr="00A81964">
        <w:rPr>
          <w:rFonts w:hint="cs"/>
          <w:rtl/>
        </w:rPr>
        <w:t xml:space="preserve"> בישראל.</w:t>
      </w:r>
      <w:r w:rsidRPr="00A81964">
        <w:rPr>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נוכח האמור לעיל נקבעו בחוק ובתקנות מסלולי פיצוי בגין נזקים עקיפים שנגרמו לעסקים בי</w:t>
      </w:r>
      <w:r>
        <w:rPr>
          <w:rFonts w:hint="cs"/>
          <w:rtl/>
        </w:rPr>
        <w:t>י</w:t>
      </w:r>
      <w:r w:rsidRPr="00A81964">
        <w:rPr>
          <w:rFonts w:hint="cs"/>
          <w:rtl/>
        </w:rPr>
        <w:t>שובים הנמצאים במרחק של עד 40 ק"מ מגבול רצועת עזה</w:t>
      </w:r>
      <w:r>
        <w:rPr>
          <w:rFonts w:hint="cs"/>
          <w:rtl/>
        </w:rPr>
        <w:t xml:space="preserve"> וביישובי קו העימות בצפון</w:t>
      </w:r>
      <w:r w:rsidRPr="00A81964">
        <w:rPr>
          <w:rFonts w:hint="cs"/>
          <w:rtl/>
        </w:rPr>
        <w:t xml:space="preserve"> וכן מסלולי פיצוי נוספים לעסקים בכל רחבי הארץ, וזאת לתקופות מוגדרות (רא</w:t>
      </w:r>
      <w:r>
        <w:rPr>
          <w:rFonts w:hint="cs"/>
          <w:rtl/>
        </w:rPr>
        <w:t>ו</w:t>
      </w:r>
      <w:r w:rsidRPr="00A81964">
        <w:rPr>
          <w:rFonts w:hint="cs"/>
          <w:rtl/>
        </w:rPr>
        <w:t xml:space="preserve"> הרחבה בפרק "פיצוי בגין נזק עקיף" בדוח זה). </w:t>
      </w:r>
    </w:p>
    <w:p w:rsidR="006252C4" w:rsidRDefault="006252C4" w:rsidP="006252C4">
      <w:pPr>
        <w:pStyle w:val="a8"/>
        <w:spacing w:line="269" w:lineRule="auto"/>
        <w:rPr>
          <w:rtl/>
        </w:rPr>
      </w:pPr>
    </w:p>
    <w:p w:rsidR="006252C4" w:rsidRPr="00052E9F" w:rsidRDefault="006252C4" w:rsidP="006252C4">
      <w:pPr>
        <w:spacing w:line="269" w:lineRule="auto"/>
        <w:rPr>
          <w:b/>
          <w:bCs/>
          <w:rtl/>
        </w:rPr>
      </w:pPr>
      <w:r w:rsidRPr="00052E9F">
        <w:rPr>
          <w:rFonts w:hint="eastAsia"/>
          <w:b/>
          <w:bCs/>
          <w:rtl/>
        </w:rPr>
        <w:t>נכון</w:t>
      </w:r>
      <w:r w:rsidRPr="00052E9F">
        <w:rPr>
          <w:b/>
          <w:bCs/>
          <w:rtl/>
        </w:rPr>
        <w:t xml:space="preserve"> </w:t>
      </w:r>
      <w:r w:rsidRPr="00052E9F">
        <w:rPr>
          <w:rFonts w:hint="eastAsia"/>
          <w:b/>
          <w:bCs/>
          <w:rtl/>
        </w:rPr>
        <w:t>לדצמבר</w:t>
      </w:r>
      <w:r w:rsidRPr="00052E9F">
        <w:rPr>
          <w:b/>
          <w:bCs/>
          <w:rtl/>
        </w:rPr>
        <w:t xml:space="preserve"> 2024, </w:t>
      </w:r>
      <w:r w:rsidRPr="00052E9F">
        <w:rPr>
          <w:rFonts w:hint="eastAsia"/>
          <w:b/>
          <w:bCs/>
          <w:rtl/>
        </w:rPr>
        <w:t>ההיקף</w:t>
      </w:r>
      <w:r w:rsidRPr="00052E9F">
        <w:rPr>
          <w:b/>
          <w:bCs/>
          <w:rtl/>
        </w:rPr>
        <w:t xml:space="preserve"> </w:t>
      </w:r>
      <w:r w:rsidRPr="00052E9F">
        <w:rPr>
          <w:rFonts w:hint="eastAsia"/>
          <w:b/>
          <w:bCs/>
          <w:rtl/>
        </w:rPr>
        <w:t>הכספי</w:t>
      </w:r>
      <w:r w:rsidRPr="00052E9F">
        <w:rPr>
          <w:b/>
          <w:bCs/>
          <w:rtl/>
        </w:rPr>
        <w:t xml:space="preserve"> </w:t>
      </w:r>
      <w:r w:rsidRPr="00052E9F">
        <w:rPr>
          <w:rFonts w:hint="eastAsia"/>
          <w:b/>
          <w:bCs/>
          <w:rtl/>
        </w:rPr>
        <w:t>של</w:t>
      </w:r>
      <w:r w:rsidRPr="00052E9F">
        <w:rPr>
          <w:b/>
          <w:bCs/>
          <w:rtl/>
        </w:rPr>
        <w:t xml:space="preserve"> </w:t>
      </w:r>
      <w:r w:rsidRPr="00052E9F">
        <w:rPr>
          <w:rFonts w:hint="eastAsia"/>
          <w:b/>
          <w:bCs/>
          <w:rtl/>
        </w:rPr>
        <w:t>הפיצויים</w:t>
      </w:r>
      <w:r w:rsidRPr="00052E9F">
        <w:rPr>
          <w:b/>
          <w:bCs/>
          <w:rtl/>
        </w:rPr>
        <w:t xml:space="preserve"> </w:t>
      </w:r>
      <w:r w:rsidRPr="00052E9F">
        <w:rPr>
          <w:rFonts w:hint="eastAsia"/>
          <w:b/>
          <w:bCs/>
          <w:rtl/>
        </w:rPr>
        <w:t>ששולמו</w:t>
      </w:r>
      <w:r w:rsidRPr="00052E9F">
        <w:rPr>
          <w:b/>
          <w:bCs/>
          <w:rtl/>
        </w:rPr>
        <w:t xml:space="preserve"> </w:t>
      </w:r>
      <w:r w:rsidRPr="00052E9F">
        <w:rPr>
          <w:rFonts w:hint="eastAsia"/>
          <w:b/>
          <w:bCs/>
          <w:rtl/>
        </w:rPr>
        <w:t>על</w:t>
      </w:r>
      <w:r w:rsidRPr="00052E9F">
        <w:rPr>
          <w:b/>
          <w:bCs/>
          <w:rtl/>
        </w:rPr>
        <w:t xml:space="preserve"> </w:t>
      </w:r>
      <w:r w:rsidRPr="00052E9F">
        <w:rPr>
          <w:rFonts w:hint="eastAsia"/>
          <w:b/>
          <w:bCs/>
          <w:rtl/>
        </w:rPr>
        <w:t>ידי</w:t>
      </w:r>
      <w:r w:rsidRPr="00052E9F">
        <w:rPr>
          <w:b/>
          <w:bCs/>
          <w:rtl/>
        </w:rPr>
        <w:t xml:space="preserve"> </w:t>
      </w:r>
      <w:r w:rsidRPr="00052E9F">
        <w:rPr>
          <w:rFonts w:hint="eastAsia"/>
          <w:b/>
          <w:bCs/>
          <w:rtl/>
        </w:rPr>
        <w:t>קרן</w:t>
      </w:r>
      <w:r w:rsidRPr="00052E9F">
        <w:rPr>
          <w:b/>
          <w:bCs/>
          <w:rtl/>
        </w:rPr>
        <w:t xml:space="preserve"> </w:t>
      </w:r>
      <w:r w:rsidRPr="00052E9F">
        <w:rPr>
          <w:rFonts w:hint="eastAsia"/>
          <w:b/>
          <w:bCs/>
          <w:rtl/>
        </w:rPr>
        <w:t>הפיצויים</w:t>
      </w:r>
      <w:r w:rsidRPr="00052E9F">
        <w:rPr>
          <w:b/>
          <w:bCs/>
          <w:rtl/>
        </w:rPr>
        <w:t xml:space="preserve"> </w:t>
      </w:r>
      <w:r w:rsidRPr="00052E9F">
        <w:rPr>
          <w:rFonts w:hint="eastAsia"/>
          <w:b/>
          <w:bCs/>
          <w:rtl/>
        </w:rPr>
        <w:t>בגין</w:t>
      </w:r>
      <w:r w:rsidRPr="00052E9F">
        <w:rPr>
          <w:b/>
          <w:bCs/>
          <w:rtl/>
        </w:rPr>
        <w:t xml:space="preserve"> </w:t>
      </w:r>
      <w:r w:rsidRPr="00052E9F">
        <w:rPr>
          <w:rFonts w:hint="eastAsia"/>
          <w:b/>
          <w:bCs/>
          <w:rtl/>
        </w:rPr>
        <w:t>נזקים</w:t>
      </w:r>
      <w:r w:rsidRPr="00052E9F">
        <w:rPr>
          <w:b/>
          <w:bCs/>
          <w:rtl/>
        </w:rPr>
        <w:t xml:space="preserve"> </w:t>
      </w:r>
      <w:r w:rsidRPr="00052E9F">
        <w:rPr>
          <w:rFonts w:hint="eastAsia"/>
          <w:b/>
          <w:bCs/>
          <w:rtl/>
        </w:rPr>
        <w:t>עקיפים</w:t>
      </w:r>
      <w:r w:rsidRPr="00052E9F">
        <w:rPr>
          <w:b/>
          <w:bCs/>
          <w:rtl/>
        </w:rPr>
        <w:t xml:space="preserve"> </w:t>
      </w:r>
      <w:r w:rsidRPr="00052E9F">
        <w:rPr>
          <w:rFonts w:hint="eastAsia"/>
          <w:b/>
          <w:bCs/>
          <w:rtl/>
        </w:rPr>
        <w:t>וישירים</w:t>
      </w:r>
      <w:r w:rsidRPr="00052E9F">
        <w:rPr>
          <w:b/>
          <w:bCs/>
          <w:rtl/>
        </w:rPr>
        <w:t xml:space="preserve"> </w:t>
      </w:r>
      <w:r w:rsidRPr="00052E9F">
        <w:rPr>
          <w:rFonts w:hint="eastAsia"/>
          <w:b/>
          <w:bCs/>
          <w:rtl/>
        </w:rPr>
        <w:t>שנגרמו</w:t>
      </w:r>
      <w:r w:rsidRPr="00052E9F">
        <w:rPr>
          <w:b/>
          <w:bCs/>
          <w:rtl/>
        </w:rPr>
        <w:t xml:space="preserve"> </w:t>
      </w:r>
      <w:r w:rsidRPr="00052E9F">
        <w:rPr>
          <w:rFonts w:hint="eastAsia"/>
          <w:b/>
          <w:bCs/>
          <w:rtl/>
        </w:rPr>
        <w:t>במתקפת</w:t>
      </w:r>
      <w:r w:rsidRPr="00052E9F">
        <w:rPr>
          <w:b/>
          <w:bCs/>
          <w:rtl/>
        </w:rPr>
        <w:t xml:space="preserve"> </w:t>
      </w:r>
      <w:r w:rsidRPr="00052E9F">
        <w:rPr>
          <w:rFonts w:hint="eastAsia"/>
          <w:b/>
          <w:bCs/>
          <w:rtl/>
        </w:rPr>
        <w:t>הטרור</w:t>
      </w:r>
      <w:r w:rsidRPr="00052E9F">
        <w:rPr>
          <w:b/>
          <w:bCs/>
          <w:rtl/>
        </w:rPr>
        <w:t xml:space="preserve"> </w:t>
      </w:r>
      <w:r w:rsidRPr="00052E9F">
        <w:rPr>
          <w:rFonts w:hint="eastAsia"/>
          <w:b/>
          <w:bCs/>
          <w:rtl/>
        </w:rPr>
        <w:t>ובמלחמת</w:t>
      </w:r>
      <w:r w:rsidRPr="00052E9F">
        <w:rPr>
          <w:b/>
          <w:bCs/>
          <w:rtl/>
        </w:rPr>
        <w:t xml:space="preserve"> </w:t>
      </w:r>
      <w:r w:rsidRPr="00052E9F">
        <w:rPr>
          <w:rFonts w:hint="eastAsia"/>
          <w:b/>
          <w:bCs/>
          <w:rtl/>
        </w:rPr>
        <w:t>חרבות</w:t>
      </w:r>
      <w:r w:rsidRPr="00052E9F">
        <w:rPr>
          <w:b/>
          <w:bCs/>
          <w:rtl/>
        </w:rPr>
        <w:t xml:space="preserve"> </w:t>
      </w:r>
      <w:r w:rsidRPr="00052E9F">
        <w:rPr>
          <w:rFonts w:hint="eastAsia"/>
          <w:b/>
          <w:bCs/>
          <w:rtl/>
        </w:rPr>
        <w:t>ברזל</w:t>
      </w:r>
      <w:r w:rsidRPr="00052E9F">
        <w:rPr>
          <w:b/>
          <w:bCs/>
          <w:rtl/>
        </w:rPr>
        <w:t xml:space="preserve">, </w:t>
      </w:r>
      <w:r w:rsidRPr="00052E9F">
        <w:rPr>
          <w:rFonts w:hint="eastAsia"/>
          <w:b/>
          <w:bCs/>
          <w:rtl/>
        </w:rPr>
        <w:t>בהתאם</w:t>
      </w:r>
      <w:r w:rsidRPr="00052E9F">
        <w:rPr>
          <w:b/>
          <w:bCs/>
          <w:rtl/>
        </w:rPr>
        <w:t xml:space="preserve"> </w:t>
      </w:r>
      <w:r w:rsidRPr="00052E9F">
        <w:rPr>
          <w:rFonts w:hint="eastAsia"/>
          <w:b/>
          <w:bCs/>
          <w:rtl/>
        </w:rPr>
        <w:t>להוראות</w:t>
      </w:r>
      <w:r w:rsidRPr="00052E9F">
        <w:rPr>
          <w:b/>
          <w:bCs/>
          <w:rtl/>
        </w:rPr>
        <w:t xml:space="preserve"> </w:t>
      </w:r>
      <w:r w:rsidRPr="00052E9F">
        <w:rPr>
          <w:rFonts w:hint="eastAsia"/>
          <w:b/>
          <w:bCs/>
          <w:rtl/>
        </w:rPr>
        <w:t>החוק</w:t>
      </w:r>
      <w:r w:rsidRPr="00052E9F">
        <w:rPr>
          <w:b/>
          <w:bCs/>
          <w:rtl/>
        </w:rPr>
        <w:t xml:space="preserve">, </w:t>
      </w:r>
      <w:r w:rsidRPr="00052E9F">
        <w:rPr>
          <w:rFonts w:hint="eastAsia"/>
          <w:b/>
          <w:bCs/>
          <w:rtl/>
        </w:rPr>
        <w:t>הוא</w:t>
      </w:r>
      <w:r w:rsidRPr="00052E9F">
        <w:rPr>
          <w:b/>
          <w:bCs/>
          <w:rtl/>
        </w:rPr>
        <w:t xml:space="preserve"> </w:t>
      </w:r>
      <w:r w:rsidRPr="00052E9F">
        <w:rPr>
          <w:rFonts w:hint="eastAsia"/>
          <w:b/>
          <w:bCs/>
          <w:rtl/>
        </w:rPr>
        <w:t>כ</w:t>
      </w:r>
      <w:r w:rsidRPr="00052E9F">
        <w:rPr>
          <w:b/>
          <w:bCs/>
          <w:rtl/>
        </w:rPr>
        <w:t xml:space="preserve">-17 </w:t>
      </w:r>
      <w:r w:rsidRPr="00052E9F">
        <w:rPr>
          <w:rFonts w:hint="eastAsia"/>
          <w:b/>
          <w:bCs/>
          <w:rtl/>
        </w:rPr>
        <w:t>מיליארד</w:t>
      </w:r>
      <w:r w:rsidRPr="00052E9F">
        <w:rPr>
          <w:b/>
          <w:bCs/>
          <w:rtl/>
        </w:rPr>
        <w:t xml:space="preserve"> </w:t>
      </w:r>
      <w:r w:rsidRPr="00052E9F">
        <w:rPr>
          <w:rFonts w:hint="eastAsia"/>
          <w:b/>
          <w:bCs/>
          <w:rtl/>
        </w:rPr>
        <w:t>ש</w:t>
      </w:r>
      <w:r w:rsidRPr="00052E9F">
        <w:rPr>
          <w:b/>
          <w:bCs/>
          <w:rtl/>
        </w:rPr>
        <w:t>"ח.</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לצורך </w:t>
      </w:r>
      <w:r w:rsidRPr="00A81964">
        <w:rPr>
          <w:rtl/>
        </w:rPr>
        <w:t xml:space="preserve">מימון </w:t>
      </w:r>
      <w:r w:rsidRPr="00A81964">
        <w:rPr>
          <w:rFonts w:hint="cs"/>
          <w:rtl/>
        </w:rPr>
        <w:t>ה</w:t>
      </w:r>
      <w:r w:rsidRPr="00A81964">
        <w:rPr>
          <w:rtl/>
        </w:rPr>
        <w:t xml:space="preserve">תשלומים לפי חוק </w:t>
      </w:r>
      <w:r w:rsidRPr="00A81964">
        <w:rPr>
          <w:rFonts w:hint="cs"/>
          <w:rtl/>
        </w:rPr>
        <w:t>קרן הפיצויים</w:t>
      </w:r>
      <w:r w:rsidRPr="00A81964">
        <w:rPr>
          <w:rtl/>
        </w:rPr>
        <w:t xml:space="preserve"> בשל אירועי מלחמת חרבות ברזל ו</w:t>
      </w:r>
      <w:r w:rsidRPr="00A81964">
        <w:rPr>
          <w:rFonts w:hint="cs"/>
          <w:rtl/>
        </w:rPr>
        <w:t xml:space="preserve">לצורך תשלומים בשל </w:t>
      </w:r>
      <w:r w:rsidRPr="00A81964">
        <w:rPr>
          <w:rtl/>
        </w:rPr>
        <w:t>אירועי לחימה עתידיים, ב-7.3.24 נקבע בהוראת שעה</w:t>
      </w:r>
      <w:r w:rsidRPr="00A81964">
        <w:rPr>
          <w:rStyle w:val="af2"/>
          <w:rtl/>
        </w:rPr>
        <w:footnoteReference w:id="13"/>
      </w:r>
      <w:r w:rsidRPr="00A81964">
        <w:rPr>
          <w:rtl/>
        </w:rPr>
        <w:t xml:space="preserve"> כי שיעור ההפרשה לקרן</w:t>
      </w:r>
      <w:r w:rsidRPr="00A81964">
        <w:rPr>
          <w:rFonts w:hint="cs"/>
          <w:rtl/>
        </w:rPr>
        <w:t xml:space="preserve"> הפיצויים</w:t>
      </w:r>
      <w:r w:rsidRPr="00A81964">
        <w:rPr>
          <w:rtl/>
        </w:rPr>
        <w:t xml:space="preserve"> יעמוד על 80% בשנת המס 2024 ועל 100% בשנת המס 2025.</w:t>
      </w:r>
    </w:p>
    <w:p w:rsidR="006252C4" w:rsidRPr="00A81964" w:rsidRDefault="006252C4" w:rsidP="006252C4">
      <w:pPr>
        <w:pStyle w:val="31"/>
        <w:spacing w:before="0" w:line="269" w:lineRule="auto"/>
        <w:rPr>
          <w:rtl/>
        </w:rPr>
      </w:pPr>
      <w:r w:rsidRPr="00A81964">
        <w:rPr>
          <w:rFonts w:hint="cs"/>
          <w:rtl/>
        </w:rPr>
        <w:lastRenderedPageBreak/>
        <w:t>פעולות</w:t>
      </w:r>
      <w:r w:rsidRPr="00A81964">
        <w:rPr>
          <w:rtl/>
        </w:rPr>
        <w:t xml:space="preserve"> </w:t>
      </w:r>
      <w:r w:rsidRPr="00A81964">
        <w:rPr>
          <w:rFonts w:hint="eastAsia"/>
          <w:rtl/>
        </w:rPr>
        <w:t>הביקורת</w:t>
      </w:r>
    </w:p>
    <w:p w:rsidR="006252C4" w:rsidRDefault="006252C4" w:rsidP="006252C4">
      <w:pPr>
        <w:pStyle w:val="a8"/>
        <w:spacing w:line="269" w:lineRule="auto"/>
        <w:rPr>
          <w:rtl/>
        </w:rPr>
      </w:pPr>
    </w:p>
    <w:p w:rsidR="006252C4" w:rsidRDefault="006252C4" w:rsidP="006252C4">
      <w:pPr>
        <w:spacing w:line="269" w:lineRule="auto"/>
        <w:rPr>
          <w:rtl/>
        </w:rPr>
      </w:pPr>
      <w:r w:rsidRPr="00A81964">
        <w:rPr>
          <w:rtl/>
        </w:rPr>
        <w:t xml:space="preserve">בחודשים </w:t>
      </w:r>
      <w:r w:rsidRPr="00A81964">
        <w:rPr>
          <w:rFonts w:hint="cs"/>
          <w:rtl/>
        </w:rPr>
        <w:t>פברואר</w:t>
      </w:r>
      <w:r w:rsidR="00A20B3B">
        <w:rPr>
          <w:rFonts w:hint="cs"/>
          <w:rtl/>
        </w:rPr>
        <w:t>-</w:t>
      </w:r>
      <w:r w:rsidRPr="00A81964">
        <w:rPr>
          <w:rFonts w:hint="cs"/>
          <w:rtl/>
        </w:rPr>
        <w:t xml:space="preserve">דצמבר </w:t>
      </w:r>
      <w:r w:rsidRPr="00A81964">
        <w:rPr>
          <w:rtl/>
        </w:rPr>
        <w:t>202</w:t>
      </w:r>
      <w:r w:rsidRPr="00A81964">
        <w:rPr>
          <w:rFonts w:hint="cs"/>
          <w:rtl/>
        </w:rPr>
        <w:t>4</w:t>
      </w:r>
      <w:r w:rsidRPr="00A81964">
        <w:rPr>
          <w:rtl/>
        </w:rPr>
        <w:t xml:space="preserve"> בדק משרד מבקר המדינה היבטים ב</w:t>
      </w:r>
      <w:r>
        <w:rPr>
          <w:rFonts w:hint="cs"/>
          <w:rtl/>
        </w:rPr>
        <w:t>היערכות וב</w:t>
      </w:r>
      <w:r w:rsidRPr="00A81964">
        <w:rPr>
          <w:rFonts w:hint="cs"/>
          <w:rtl/>
        </w:rPr>
        <w:t xml:space="preserve">פעילות </w:t>
      </w:r>
      <w:r>
        <w:rPr>
          <w:rFonts w:hint="cs"/>
          <w:rtl/>
        </w:rPr>
        <w:t>רשות המיסים לטיפול בתביעות לפיצוי בגין נזקים ישירים ונזקים עקיפים ולתשלומן</w:t>
      </w:r>
      <w:r w:rsidRPr="00A81964">
        <w:rPr>
          <w:rtl/>
        </w:rPr>
        <w:t xml:space="preserve">. הביקורת נעשתה בעיקרה </w:t>
      </w:r>
      <w:r w:rsidRPr="00A81964">
        <w:rPr>
          <w:rFonts w:hint="cs"/>
          <w:rtl/>
        </w:rPr>
        <w:t xml:space="preserve">ברשות </w:t>
      </w:r>
      <w:r>
        <w:rPr>
          <w:rFonts w:hint="cs"/>
          <w:rtl/>
        </w:rPr>
        <w:t>המיסים</w:t>
      </w:r>
      <w:r w:rsidRPr="00A81964">
        <w:rPr>
          <w:rFonts w:hint="cs"/>
          <w:rtl/>
        </w:rPr>
        <w:t xml:space="preserve"> ובמשרד האוצר. בדיקות השלמה נערכו</w:t>
      </w:r>
      <w:r w:rsidRPr="00A81964">
        <w:rPr>
          <w:rtl/>
        </w:rPr>
        <w:t xml:space="preserve"> ב</w:t>
      </w:r>
      <w:r>
        <w:rPr>
          <w:rFonts w:hint="cs"/>
          <w:rtl/>
        </w:rPr>
        <w:t>משרד המשפטים, ב</w:t>
      </w:r>
      <w:r w:rsidRPr="00A81964">
        <w:rPr>
          <w:rFonts w:hint="cs"/>
          <w:rtl/>
        </w:rPr>
        <w:t xml:space="preserve">משרד החקלאות, </w:t>
      </w:r>
      <w:bookmarkStart w:id="13" w:name="_Hlk196302082"/>
      <w:r w:rsidRPr="00A81964">
        <w:rPr>
          <w:rFonts w:hint="cs"/>
          <w:rtl/>
        </w:rPr>
        <w:t xml:space="preserve">במועצה </w:t>
      </w:r>
      <w:r>
        <w:rPr>
          <w:rFonts w:hint="cs"/>
          <w:rtl/>
        </w:rPr>
        <w:t>ה</w:t>
      </w:r>
      <w:r w:rsidRPr="00A81964">
        <w:rPr>
          <w:rFonts w:hint="cs"/>
          <w:rtl/>
        </w:rPr>
        <w:t xml:space="preserve">אזורית חוף אשקלון, במועצה </w:t>
      </w:r>
      <w:r>
        <w:rPr>
          <w:rFonts w:hint="cs"/>
          <w:rtl/>
        </w:rPr>
        <w:t>ה</w:t>
      </w:r>
      <w:r w:rsidRPr="00A81964">
        <w:rPr>
          <w:rFonts w:hint="cs"/>
          <w:rtl/>
        </w:rPr>
        <w:t xml:space="preserve">אזורית שער הנגב </w:t>
      </w:r>
      <w:proofErr w:type="spellStart"/>
      <w:r w:rsidRPr="00A81964">
        <w:rPr>
          <w:rFonts w:hint="cs"/>
          <w:rtl/>
        </w:rPr>
        <w:t>ובמ</w:t>
      </w:r>
      <w:r>
        <w:rPr>
          <w:rFonts w:hint="cs"/>
          <w:rtl/>
        </w:rPr>
        <w:t>י</w:t>
      </w:r>
      <w:r w:rsidRPr="00A81964">
        <w:rPr>
          <w:rFonts w:hint="cs"/>
          <w:rtl/>
        </w:rPr>
        <w:t>נהלת</w:t>
      </w:r>
      <w:proofErr w:type="spellEnd"/>
      <w:r w:rsidRPr="00A81964">
        <w:rPr>
          <w:rFonts w:hint="cs"/>
          <w:rtl/>
        </w:rPr>
        <w:t xml:space="preserve"> תקומה.</w:t>
      </w:r>
    </w:p>
    <w:p w:rsidR="006252C4" w:rsidRPr="00504013" w:rsidRDefault="006252C4" w:rsidP="00930B35">
      <w:pPr>
        <w:spacing w:line="269" w:lineRule="auto"/>
      </w:pPr>
      <w:r w:rsidRPr="00A81964">
        <w:rPr>
          <w:rFonts w:hint="cs"/>
          <w:rtl/>
        </w:rPr>
        <w:t xml:space="preserve"> </w:t>
      </w:r>
    </w:p>
    <w:p w:rsidR="006252C4" w:rsidRPr="00930B35" w:rsidRDefault="006252C4" w:rsidP="006252C4">
      <w:pPr>
        <w:pStyle w:val="20"/>
        <w:spacing w:before="0" w:line="269" w:lineRule="auto"/>
        <w:rPr>
          <w:sz w:val="28"/>
          <w:szCs w:val="28"/>
          <w:rtl/>
        </w:rPr>
      </w:pPr>
      <w:r w:rsidRPr="00930B35">
        <w:rPr>
          <w:sz w:val="28"/>
          <w:szCs w:val="28"/>
          <w:rtl/>
        </w:rPr>
        <w:t xml:space="preserve">פיצוי </w:t>
      </w:r>
      <w:r w:rsidRPr="00930B35">
        <w:rPr>
          <w:rFonts w:hint="eastAsia"/>
          <w:sz w:val="28"/>
          <w:szCs w:val="28"/>
          <w:rtl/>
        </w:rPr>
        <w:t>בגין</w:t>
      </w:r>
      <w:r w:rsidRPr="00930B35">
        <w:rPr>
          <w:sz w:val="28"/>
          <w:szCs w:val="28"/>
          <w:rtl/>
        </w:rPr>
        <w:t xml:space="preserve"> נזק ישיר</w:t>
      </w:r>
    </w:p>
    <w:bookmarkEnd w:id="13"/>
    <w:p w:rsidR="006252C4" w:rsidRDefault="006252C4" w:rsidP="006252C4">
      <w:pPr>
        <w:pStyle w:val="a8"/>
        <w:spacing w:line="269" w:lineRule="auto"/>
        <w:rPr>
          <w:rtl/>
        </w:rPr>
      </w:pPr>
    </w:p>
    <w:p w:rsidR="006252C4" w:rsidRPr="00A81964" w:rsidRDefault="006252C4" w:rsidP="006252C4">
      <w:pPr>
        <w:spacing w:line="269" w:lineRule="auto"/>
        <w:rPr>
          <w:rtl/>
        </w:rPr>
      </w:pPr>
      <w:r w:rsidRPr="003F5E9F">
        <w:rPr>
          <w:rFonts w:hint="cs"/>
          <w:rtl/>
        </w:rPr>
        <w:t>בנוהל</w:t>
      </w:r>
      <w:r w:rsidRPr="00A81964">
        <w:rPr>
          <w:rFonts w:hint="cs"/>
          <w:rtl/>
        </w:rPr>
        <w:t xml:space="preserve"> של רשות המיסים משנת 2019</w:t>
      </w:r>
      <w:r w:rsidRPr="00A81964">
        <w:rPr>
          <w:rtl/>
        </w:rPr>
        <w:t xml:space="preserve"> </w:t>
      </w:r>
      <w:r w:rsidRPr="00A81964">
        <w:rPr>
          <w:rFonts w:hint="cs"/>
          <w:rtl/>
        </w:rPr>
        <w:t>בנושא "</w:t>
      </w:r>
      <w:r w:rsidRPr="00A81964">
        <w:rPr>
          <w:rtl/>
        </w:rPr>
        <w:t>הכנה והפעלת מוקד בשעת חירום, סגירת מוקד וחזרה לשגרה"</w:t>
      </w:r>
      <w:r w:rsidRPr="00A81964">
        <w:rPr>
          <w:rStyle w:val="af2"/>
          <w:rtl/>
        </w:rPr>
        <w:footnoteReference w:id="14"/>
      </w:r>
      <w:r w:rsidRPr="00A81964">
        <w:rPr>
          <w:rFonts w:hint="cs"/>
          <w:rtl/>
        </w:rPr>
        <w:t xml:space="preserve"> </w:t>
      </w:r>
      <w:r w:rsidRPr="00A81964">
        <w:rPr>
          <w:rtl/>
        </w:rPr>
        <w:t>(להלן - נוהל</w:t>
      </w:r>
      <w:r w:rsidRPr="00A81964">
        <w:rPr>
          <w:rFonts w:hint="cs"/>
          <w:rtl/>
        </w:rPr>
        <w:t xml:space="preserve"> הפעלת מוקדים או הנוהל</w:t>
      </w:r>
      <w:r w:rsidRPr="00A81964">
        <w:rPr>
          <w:rtl/>
        </w:rPr>
        <w:t>)</w:t>
      </w:r>
      <w:r w:rsidRPr="00A81964">
        <w:rPr>
          <w:rFonts w:hint="cs"/>
          <w:rtl/>
        </w:rPr>
        <w:t>, נכתב ש</w:t>
      </w:r>
      <w:r w:rsidRPr="00A81964">
        <w:rPr>
          <w:rtl/>
        </w:rPr>
        <w:t>מדינת ישראל נטלה על עצמה</w:t>
      </w:r>
      <w:r w:rsidRPr="00A81964">
        <w:rPr>
          <w:rFonts w:hint="cs"/>
          <w:rtl/>
        </w:rPr>
        <w:t xml:space="preserve"> בחוק קרן הפיצויים</w:t>
      </w:r>
      <w:r w:rsidRPr="00A81964">
        <w:rPr>
          <w:rtl/>
        </w:rPr>
        <w:t xml:space="preserve"> את האחריות </w:t>
      </w:r>
      <w:r w:rsidRPr="00A81964">
        <w:rPr>
          <w:rFonts w:hint="cs"/>
          <w:rtl/>
        </w:rPr>
        <w:t xml:space="preserve">לפיצוי של </w:t>
      </w:r>
      <w:r w:rsidRPr="00A81964">
        <w:rPr>
          <w:rtl/>
        </w:rPr>
        <w:t>נזקי רכוש</w:t>
      </w:r>
      <w:r w:rsidRPr="00A81964">
        <w:rPr>
          <w:rFonts w:hint="cs"/>
          <w:rtl/>
        </w:rPr>
        <w:t xml:space="preserve"> ונזקים עקיפים </w:t>
      </w:r>
      <w:r w:rsidRPr="00A81964">
        <w:rPr>
          <w:rtl/>
        </w:rPr>
        <w:t>ש</w:t>
      </w:r>
      <w:r w:rsidRPr="00A81964">
        <w:rPr>
          <w:rFonts w:hint="cs"/>
          <w:rtl/>
        </w:rPr>
        <w:t>י</w:t>
      </w:r>
      <w:r w:rsidRPr="00A81964">
        <w:rPr>
          <w:rtl/>
        </w:rPr>
        <w:t>יגרמו לתושבי המדינה עקב פעולות איבה, או פעולות מלחמה או ממעשה אלימות עקב הסכסוך הערבי ישראלי. לשם כך בשנת 1973 הוקמה, כאמור, ברשות המיסים קרן פיצויים</w:t>
      </w:r>
      <w:r w:rsidRPr="00A81964">
        <w:rPr>
          <w:rFonts w:hint="cs"/>
          <w:rtl/>
        </w:rPr>
        <w:t xml:space="preserve"> ייעודית</w:t>
      </w:r>
      <w:r w:rsidRPr="00A81964">
        <w:rPr>
          <w:rtl/>
        </w:rPr>
        <w:t>.</w:t>
      </w:r>
    </w:p>
    <w:p w:rsidR="006252C4" w:rsidRDefault="006252C4" w:rsidP="006252C4">
      <w:pPr>
        <w:pStyle w:val="a8"/>
        <w:spacing w:line="269" w:lineRule="auto"/>
        <w:rPr>
          <w:rtl/>
        </w:rPr>
      </w:pPr>
    </w:p>
    <w:p w:rsidR="006252C4" w:rsidRPr="00A81964" w:rsidRDefault="006252C4" w:rsidP="006252C4">
      <w:pPr>
        <w:spacing w:line="269" w:lineRule="auto"/>
      </w:pPr>
      <w:r w:rsidRPr="00A81964">
        <w:rPr>
          <w:rFonts w:hint="cs"/>
          <w:rtl/>
        </w:rPr>
        <w:t>בנוהל נכתב כי ה</w:t>
      </w:r>
      <w:r w:rsidRPr="006B16E5">
        <w:rPr>
          <w:rtl/>
        </w:rPr>
        <w:t>מטרה העיקרית</w:t>
      </w:r>
      <w:r w:rsidRPr="00A81964">
        <w:rPr>
          <w:rtl/>
        </w:rPr>
        <w:t xml:space="preserve"> של קרן הפיצויים</w:t>
      </w:r>
      <w:r w:rsidRPr="00A81964">
        <w:rPr>
          <w:rFonts w:hint="cs"/>
          <w:rtl/>
        </w:rPr>
        <w:t xml:space="preserve"> היא</w:t>
      </w:r>
      <w:r w:rsidRPr="00A81964">
        <w:rPr>
          <w:rtl/>
        </w:rPr>
        <w:t xml:space="preserve"> חיזוק החוסן הלאומי באמצעות שיקום מהיר של</w:t>
      </w:r>
      <w:r w:rsidRPr="00A81964">
        <w:rPr>
          <w:rFonts w:hint="cs"/>
          <w:rtl/>
        </w:rPr>
        <w:t xml:space="preserve"> </w:t>
      </w:r>
      <w:r w:rsidRPr="00A81964">
        <w:rPr>
          <w:rtl/>
        </w:rPr>
        <w:t xml:space="preserve">הנזקים שנגרמו וחזרה לשגרת </w:t>
      </w:r>
      <w:r w:rsidRPr="00A81964">
        <w:rPr>
          <w:rFonts w:hint="cs"/>
          <w:rtl/>
        </w:rPr>
        <w:t>ה</w:t>
      </w:r>
      <w:r w:rsidRPr="00A81964">
        <w:rPr>
          <w:rtl/>
        </w:rPr>
        <w:t>חיים במהירות האפשרית</w:t>
      </w:r>
      <w:r w:rsidRPr="00A81964">
        <w:rPr>
          <w:rFonts w:hint="cs"/>
          <w:rtl/>
        </w:rPr>
        <w:t>.</w:t>
      </w:r>
      <w:r w:rsidRPr="00A81964">
        <w:rPr>
          <w:rtl/>
        </w:rPr>
        <w:t xml:space="preserve"> </w:t>
      </w:r>
      <w:r w:rsidRPr="00A81964">
        <w:rPr>
          <w:rFonts w:hint="cs"/>
          <w:rtl/>
        </w:rPr>
        <w:t>ב</w:t>
      </w:r>
      <w:r w:rsidRPr="00A81964">
        <w:rPr>
          <w:rtl/>
        </w:rPr>
        <w:t xml:space="preserve">מטרה זו </w:t>
      </w:r>
      <w:r w:rsidRPr="00A81964">
        <w:rPr>
          <w:rFonts w:hint="cs"/>
          <w:rtl/>
        </w:rPr>
        <w:t xml:space="preserve">יש </w:t>
      </w:r>
      <w:r w:rsidRPr="00A81964">
        <w:rPr>
          <w:rtl/>
        </w:rPr>
        <w:t>שני היבטים</w:t>
      </w:r>
      <w:r w:rsidRPr="00A81964">
        <w:rPr>
          <w:rFonts w:hint="cs"/>
          <w:rtl/>
        </w:rPr>
        <w:t xml:space="preserve"> </w:t>
      </w:r>
      <w:r w:rsidRPr="00A81964">
        <w:rPr>
          <w:rtl/>
        </w:rPr>
        <w:t>חשובים:</w:t>
      </w:r>
      <w:r w:rsidRPr="00A81964">
        <w:rPr>
          <w:rFonts w:hint="cs"/>
          <w:rtl/>
        </w:rPr>
        <w:t xml:space="preserve"> </w:t>
      </w:r>
      <w:r w:rsidRPr="00A81964">
        <w:rPr>
          <w:rtl/>
        </w:rPr>
        <w:t xml:space="preserve">(א) </w:t>
      </w:r>
      <w:r w:rsidRPr="00A81964">
        <w:rPr>
          <w:rFonts w:hint="eastAsia"/>
          <w:b/>
          <w:bCs/>
          <w:rtl/>
        </w:rPr>
        <w:t>ה</w:t>
      </w:r>
      <w:r w:rsidRPr="00A81964">
        <w:rPr>
          <w:b/>
          <w:bCs/>
          <w:rtl/>
        </w:rPr>
        <w:t xml:space="preserve">היבט </w:t>
      </w:r>
      <w:r w:rsidRPr="00A81964">
        <w:rPr>
          <w:rFonts w:hint="eastAsia"/>
          <w:b/>
          <w:bCs/>
          <w:rtl/>
        </w:rPr>
        <w:t>ה</w:t>
      </w:r>
      <w:r w:rsidRPr="00A81964">
        <w:rPr>
          <w:b/>
          <w:bCs/>
          <w:rtl/>
        </w:rPr>
        <w:t>כלכלי</w:t>
      </w:r>
      <w:r w:rsidRPr="00A81964">
        <w:rPr>
          <w:rFonts w:hint="cs"/>
          <w:rtl/>
        </w:rPr>
        <w:t xml:space="preserve"> - </w:t>
      </w:r>
      <w:r w:rsidRPr="00A81964">
        <w:rPr>
          <w:rtl/>
        </w:rPr>
        <w:t>מעבר לצורך בשיקום הנזקים</w:t>
      </w:r>
      <w:r w:rsidRPr="00A81964">
        <w:rPr>
          <w:rFonts w:hint="cs"/>
          <w:rtl/>
        </w:rPr>
        <w:t xml:space="preserve"> הישירים והשבת מצב הרכוש לקדמותו</w:t>
      </w:r>
      <w:r w:rsidRPr="00A81964">
        <w:rPr>
          <w:rtl/>
        </w:rPr>
        <w:t xml:space="preserve">, </w:t>
      </w:r>
      <w:r w:rsidRPr="00A81964">
        <w:rPr>
          <w:rFonts w:hint="cs"/>
          <w:rtl/>
        </w:rPr>
        <w:t>ה</w:t>
      </w:r>
      <w:r w:rsidRPr="00A81964">
        <w:rPr>
          <w:rtl/>
        </w:rPr>
        <w:t xml:space="preserve">שיקום </w:t>
      </w:r>
      <w:r w:rsidRPr="00A81964">
        <w:rPr>
          <w:rFonts w:hint="cs"/>
          <w:rtl/>
        </w:rPr>
        <w:t>ה</w:t>
      </w:r>
      <w:r w:rsidRPr="00A81964">
        <w:rPr>
          <w:rtl/>
        </w:rPr>
        <w:t xml:space="preserve">מהיר של הנזקים מפחית באופן משמעותי את הנזק הכלכלי הנגרם </w:t>
      </w:r>
      <w:r w:rsidRPr="00A81964">
        <w:rPr>
          <w:rFonts w:hint="cs"/>
          <w:rtl/>
        </w:rPr>
        <w:t>בשל</w:t>
      </w:r>
      <w:r w:rsidRPr="00A81964">
        <w:rPr>
          <w:rtl/>
        </w:rPr>
        <w:t xml:space="preserve"> השבתת העבודה</w:t>
      </w:r>
      <w:r w:rsidRPr="00A81964">
        <w:rPr>
          <w:rFonts w:hint="cs"/>
          <w:rtl/>
        </w:rPr>
        <w:t xml:space="preserve"> והגבלת הפעילות העסקית עד לסיום הליך השיקום; (ב) </w:t>
      </w:r>
      <w:r w:rsidRPr="00A81964">
        <w:rPr>
          <w:rFonts w:hint="eastAsia"/>
          <w:b/>
          <w:bCs/>
          <w:rtl/>
        </w:rPr>
        <w:t>ה</w:t>
      </w:r>
      <w:r w:rsidRPr="00A81964">
        <w:rPr>
          <w:b/>
          <w:bCs/>
          <w:rtl/>
        </w:rPr>
        <w:t xml:space="preserve">היבט </w:t>
      </w:r>
      <w:r w:rsidRPr="00A81964">
        <w:rPr>
          <w:rFonts w:hint="eastAsia"/>
          <w:b/>
          <w:bCs/>
          <w:rtl/>
        </w:rPr>
        <w:t>ה</w:t>
      </w:r>
      <w:r w:rsidRPr="00A81964">
        <w:rPr>
          <w:b/>
          <w:bCs/>
          <w:rtl/>
        </w:rPr>
        <w:t>פסיכולוגי</w:t>
      </w:r>
      <w:r w:rsidRPr="00A81964">
        <w:rPr>
          <w:rtl/>
        </w:rPr>
        <w:t xml:space="preserve"> </w:t>
      </w:r>
      <w:r w:rsidRPr="00A81964">
        <w:rPr>
          <w:rFonts w:hint="cs"/>
          <w:rtl/>
        </w:rPr>
        <w:t>- קיים</w:t>
      </w:r>
      <w:r w:rsidRPr="00A81964">
        <w:rPr>
          <w:rtl/>
        </w:rPr>
        <w:t xml:space="preserve"> אפקט פסיכולוגי </w:t>
      </w:r>
      <w:r w:rsidRPr="00A81964">
        <w:rPr>
          <w:rFonts w:hint="cs"/>
          <w:rtl/>
        </w:rPr>
        <w:t xml:space="preserve">חיובי </w:t>
      </w:r>
      <w:r w:rsidRPr="00A81964">
        <w:rPr>
          <w:rtl/>
        </w:rPr>
        <w:t xml:space="preserve">במישור </w:t>
      </w:r>
      <w:r w:rsidRPr="00A81964">
        <w:rPr>
          <w:rFonts w:hint="cs"/>
          <w:rtl/>
        </w:rPr>
        <w:t xml:space="preserve">הפרטי, </w:t>
      </w:r>
      <w:r w:rsidRPr="00A81964">
        <w:rPr>
          <w:rtl/>
        </w:rPr>
        <w:t>הציבורי, המדיני והבי</w:t>
      </w:r>
      <w:r w:rsidRPr="00A81964">
        <w:rPr>
          <w:rFonts w:hint="cs"/>
          <w:rtl/>
        </w:rPr>
        <w:t>ן-</w:t>
      </w:r>
      <w:r w:rsidRPr="00A81964">
        <w:rPr>
          <w:rtl/>
        </w:rPr>
        <w:t xml:space="preserve">לאומי </w:t>
      </w:r>
      <w:r w:rsidRPr="00A81964">
        <w:rPr>
          <w:rFonts w:hint="cs"/>
          <w:rtl/>
        </w:rPr>
        <w:t>לאור הצגת יכולות</w:t>
      </w:r>
      <w:r w:rsidRPr="00A81964">
        <w:rPr>
          <w:rtl/>
        </w:rPr>
        <w:t xml:space="preserve"> </w:t>
      </w:r>
      <w:r w:rsidRPr="00A81964">
        <w:rPr>
          <w:rFonts w:hint="cs"/>
          <w:rtl/>
        </w:rPr>
        <w:t>"</w:t>
      </w:r>
      <w:r w:rsidRPr="00A81964">
        <w:rPr>
          <w:rtl/>
        </w:rPr>
        <w:t>חזרה לשגרה</w:t>
      </w:r>
      <w:r w:rsidRPr="00A81964">
        <w:rPr>
          <w:rFonts w:hint="cs"/>
          <w:rtl/>
        </w:rPr>
        <w:t>" יעילות של גופי המדינה.</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כאמור, בחוק קרן הפיצויים ובתקנות קרן הפיצויים נקבעו, בין היתר</w:t>
      </w:r>
      <w:bookmarkStart w:id="14" w:name="_Hlk196302481"/>
      <w:r w:rsidRPr="00A81964">
        <w:rPr>
          <w:rFonts w:hint="cs"/>
          <w:rtl/>
        </w:rPr>
        <w:t xml:space="preserve">, הגדרות של נזק </w:t>
      </w:r>
      <w:r>
        <w:rPr>
          <w:rFonts w:hint="cs"/>
          <w:rtl/>
        </w:rPr>
        <w:t>ישיר</w:t>
      </w:r>
      <w:r w:rsidRPr="00A81964">
        <w:rPr>
          <w:rFonts w:hint="cs"/>
          <w:rtl/>
        </w:rPr>
        <w:t xml:space="preserve"> ונזק עקיף </w:t>
      </w:r>
      <w:bookmarkEnd w:id="14"/>
      <w:r w:rsidRPr="00A81964">
        <w:rPr>
          <w:rFonts w:hint="cs"/>
          <w:rtl/>
        </w:rPr>
        <w:t xml:space="preserve">וכללים לפיהם ישולמו פיצויים בגין נזקים אלה. </w:t>
      </w:r>
      <w:bookmarkStart w:id="15" w:name="_Hlk196302545"/>
      <w:r w:rsidRPr="00A81964">
        <w:rPr>
          <w:rFonts w:hint="cs"/>
          <w:rtl/>
        </w:rPr>
        <w:t>פיצוי בעד נזק ישיר יינתן כאשר הנכס שניזוק הוא מהסוגים האלה: קרקע, קרקע חקלאית לרבות היבול שעליה, בנין, מבנה בתהליך בנייה, מטעים, מכונות, כלי רכב, ריהוט ורכוש אחר, ציוד ומלאי עסקי, רכב רשום או חייב ברישום על פי פקודת התעבורה, כלי שיט</w:t>
      </w:r>
      <w:r>
        <w:rPr>
          <w:rFonts w:hint="cs"/>
          <w:rtl/>
        </w:rPr>
        <w:t xml:space="preserve"> </w:t>
      </w:r>
      <w:r w:rsidRPr="00A81964">
        <w:rPr>
          <w:rFonts w:hint="cs"/>
          <w:rtl/>
        </w:rPr>
        <w:t xml:space="preserve">וכלי טיס. פיצוי בגין נזק ישיר לנכס ישולם בהתאם לחוק ולתקנות לפי </w:t>
      </w:r>
      <w:bookmarkEnd w:id="15"/>
      <w:r w:rsidRPr="00A81964">
        <w:rPr>
          <w:rFonts w:hint="cs"/>
          <w:rtl/>
        </w:rPr>
        <w:t>"הנזק הממשי", אשר מוגדר בתקנות כ</w:t>
      </w:r>
      <w:bookmarkStart w:id="16" w:name="_Hlk196310866"/>
      <w:r w:rsidRPr="00A81964">
        <w:rPr>
          <w:rFonts w:hint="cs"/>
          <w:rtl/>
        </w:rPr>
        <w:t>"</w:t>
      </w:r>
      <w:r w:rsidRPr="00A81964">
        <w:rPr>
          <w:rtl/>
        </w:rPr>
        <w:t>הפרש בין שווי הנכס לפני שניזוק לבין שווי הנכס מיד לאחר שניזוק</w:t>
      </w:r>
      <w:r w:rsidRPr="00A81964">
        <w:rPr>
          <w:rFonts w:hint="cs"/>
          <w:rtl/>
        </w:rPr>
        <w:t>", אך לא יותר מההוצאות שנדרשו בפועל לצורך שיקום הנכס הניזוק או הקמתו מחדש. כמו כן, אם הניזוק נשא בהוצאות נוספות במטרה להקטין את היקף הנזק הישיר ייתכן ויקבל פיצוי בגינן, בהתאם לנסיבות.</w:t>
      </w:r>
      <w:bookmarkEnd w:id="16"/>
    </w:p>
    <w:p w:rsidR="006252C4" w:rsidRDefault="006252C4" w:rsidP="006252C4">
      <w:pPr>
        <w:pStyle w:val="a8"/>
        <w:spacing w:line="269" w:lineRule="auto"/>
        <w:rPr>
          <w:rtl/>
        </w:rPr>
      </w:pPr>
    </w:p>
    <w:p w:rsidR="006252C4" w:rsidRPr="00A81964" w:rsidRDefault="006252C4" w:rsidP="006252C4">
      <w:pPr>
        <w:spacing w:line="269" w:lineRule="auto"/>
        <w:rPr>
          <w:rtl/>
        </w:rPr>
      </w:pPr>
      <w:r>
        <w:rPr>
          <w:rFonts w:hint="cs"/>
          <w:rtl/>
        </w:rPr>
        <w:t xml:space="preserve">לקרן הפיצויים מספר מוקדים המטפלים בתביעות בגין נזקים ישירים (להלן - מוקדי נזק ישיר). </w:t>
      </w:r>
      <w:r w:rsidRPr="00A81964">
        <w:rPr>
          <w:rtl/>
        </w:rPr>
        <w:t xml:space="preserve">בזמן שגרה קיימים </w:t>
      </w:r>
      <w:r w:rsidRPr="00056FBC">
        <w:rPr>
          <w:rFonts w:hint="cs"/>
          <w:rtl/>
        </w:rPr>
        <w:t xml:space="preserve">חמישה </w:t>
      </w:r>
      <w:r w:rsidRPr="00056FBC">
        <w:rPr>
          <w:rtl/>
        </w:rPr>
        <w:t>מוקדים מחוזיים</w:t>
      </w:r>
      <w:r w:rsidRPr="00A81964">
        <w:rPr>
          <w:rtl/>
        </w:rPr>
        <w:t xml:space="preserve"> </w:t>
      </w:r>
      <w:r>
        <w:rPr>
          <w:rFonts w:hint="cs"/>
          <w:rtl/>
        </w:rPr>
        <w:t>(</w:t>
      </w:r>
      <w:r w:rsidRPr="00A81964">
        <w:rPr>
          <w:rFonts w:hint="cs"/>
          <w:rtl/>
        </w:rPr>
        <w:t>להלן - מוקדים מחוזיים)</w:t>
      </w:r>
      <w:r>
        <w:rPr>
          <w:rFonts w:hint="cs"/>
          <w:rtl/>
        </w:rPr>
        <w:t xml:space="preserve"> ה</w:t>
      </w:r>
      <w:r w:rsidRPr="00A81964">
        <w:rPr>
          <w:rtl/>
        </w:rPr>
        <w:t>מחולקים</w:t>
      </w:r>
      <w:r w:rsidRPr="00A81964">
        <w:rPr>
          <w:rFonts w:hint="cs"/>
          <w:rtl/>
        </w:rPr>
        <w:t xml:space="preserve"> </w:t>
      </w:r>
      <w:r w:rsidRPr="00A81964">
        <w:rPr>
          <w:rtl/>
        </w:rPr>
        <w:t>לפי אזורים: מוקד אשקלון, מוקד תל אביב, מוקד ירושלים, מוקד חיפה ומוקד טבריה.</w:t>
      </w:r>
      <w:r w:rsidRPr="00A81964">
        <w:rPr>
          <w:rFonts w:hint="cs"/>
          <w:rtl/>
        </w:rPr>
        <w:t xml:space="preserve"> </w:t>
      </w:r>
      <w:r w:rsidRPr="00A81964">
        <w:rPr>
          <w:rtl/>
        </w:rPr>
        <w:t>נוסף</w:t>
      </w:r>
      <w:r w:rsidRPr="00A81964">
        <w:rPr>
          <w:rFonts w:hint="cs"/>
          <w:rtl/>
        </w:rPr>
        <w:t xml:space="preserve"> עליהם הוגדרו</w:t>
      </w:r>
      <w:r>
        <w:rPr>
          <w:rStyle w:val="af2"/>
          <w:rtl/>
        </w:rPr>
        <w:footnoteReference w:id="15"/>
      </w:r>
      <w:r w:rsidRPr="00A81964">
        <w:rPr>
          <w:rtl/>
        </w:rPr>
        <w:t xml:space="preserve"> </w:t>
      </w:r>
      <w:r w:rsidRPr="00056FBC">
        <w:rPr>
          <w:rtl/>
        </w:rPr>
        <w:t>1</w:t>
      </w:r>
      <w:r w:rsidRPr="00056FBC">
        <w:rPr>
          <w:rFonts w:hint="cs"/>
          <w:rtl/>
        </w:rPr>
        <w:t>3</w:t>
      </w:r>
      <w:r w:rsidRPr="00056FBC">
        <w:rPr>
          <w:rtl/>
        </w:rPr>
        <w:t xml:space="preserve"> מוקדים מקומיים</w:t>
      </w:r>
      <w:r w:rsidRPr="00A81964">
        <w:rPr>
          <w:rtl/>
        </w:rPr>
        <w:t xml:space="preserve"> בפריסה </w:t>
      </w:r>
      <w:r w:rsidRPr="00A81964">
        <w:rPr>
          <w:rtl/>
        </w:rPr>
        <w:lastRenderedPageBreak/>
        <w:t>ארצית</w:t>
      </w:r>
      <w:r w:rsidRPr="00A81964">
        <w:rPr>
          <w:rFonts w:hint="cs"/>
        </w:rPr>
        <w:t xml:space="preserve"> </w:t>
      </w:r>
      <w:r w:rsidRPr="00A81964">
        <w:rPr>
          <w:rFonts w:hint="cs"/>
          <w:rtl/>
        </w:rPr>
        <w:t>(להלן - מוקדים מקומיים)</w:t>
      </w:r>
      <w:r w:rsidRPr="00A81964">
        <w:rPr>
          <w:rtl/>
        </w:rPr>
        <w:t xml:space="preserve"> הפועלים בשעת חירום, </w:t>
      </w:r>
      <w:r w:rsidRPr="00A81964">
        <w:rPr>
          <w:rFonts w:hint="cs"/>
          <w:rtl/>
        </w:rPr>
        <w:t>באופן</w:t>
      </w:r>
      <w:r w:rsidRPr="00A81964">
        <w:rPr>
          <w:rtl/>
        </w:rPr>
        <w:t xml:space="preserve"> </w:t>
      </w:r>
      <w:r w:rsidRPr="00A81964">
        <w:rPr>
          <w:rFonts w:hint="cs"/>
          <w:rtl/>
        </w:rPr>
        <w:t>ש</w:t>
      </w:r>
      <w:r w:rsidRPr="00A81964">
        <w:rPr>
          <w:rtl/>
        </w:rPr>
        <w:t>המוקדים</w:t>
      </w:r>
      <w:r w:rsidRPr="00A81964">
        <w:rPr>
          <w:rFonts w:hint="cs"/>
          <w:rtl/>
        </w:rPr>
        <w:t xml:space="preserve"> </w:t>
      </w:r>
      <w:r w:rsidRPr="00A81964">
        <w:rPr>
          <w:rtl/>
        </w:rPr>
        <w:t xml:space="preserve">המחוזיים </w:t>
      </w:r>
      <w:r w:rsidRPr="00A81964">
        <w:rPr>
          <w:rFonts w:hint="cs"/>
          <w:rtl/>
        </w:rPr>
        <w:t>מעניקים</w:t>
      </w:r>
      <w:r w:rsidRPr="00A81964">
        <w:rPr>
          <w:rtl/>
        </w:rPr>
        <w:t xml:space="preserve"> </w:t>
      </w:r>
      <w:r w:rsidRPr="00A81964">
        <w:rPr>
          <w:rFonts w:hint="cs"/>
          <w:rtl/>
        </w:rPr>
        <w:t xml:space="preserve">להם </w:t>
      </w:r>
      <w:r w:rsidRPr="00A81964">
        <w:rPr>
          <w:rtl/>
        </w:rPr>
        <w:t>תמיכ</w:t>
      </w:r>
      <w:r w:rsidRPr="00A81964">
        <w:rPr>
          <w:rFonts w:hint="cs"/>
          <w:rtl/>
        </w:rPr>
        <w:t>ה</w:t>
      </w:r>
      <w:r w:rsidRPr="00A81964">
        <w:rPr>
          <w:rtl/>
        </w:rPr>
        <w:t xml:space="preserve"> מקצועית</w:t>
      </w:r>
      <w:r w:rsidRPr="00A81964">
        <w:rPr>
          <w:rFonts w:hint="cs"/>
          <w:rtl/>
        </w:rPr>
        <w:t>. לאחר פרוץ מלחמת חרבות ברזל הופעלו מוקדים מקומיים גם בבאר שבע ובעכו.</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סעיף 36א בחוק קובע כי הודעה על נזק תוגש למנהל בתוך שבועיים מיום קרות הנזק ותביעה לפיצויים תוגש בתוך שלושה חודשים מיום קרות הנזק.</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בעל נכס שנגרם לו נזק ישיר </w:t>
      </w:r>
      <w:r w:rsidRPr="00056FBC">
        <w:rPr>
          <w:rFonts w:hint="cs"/>
          <w:rtl/>
        </w:rPr>
        <w:t>יכול לפנות</w:t>
      </w:r>
      <w:r w:rsidRPr="00A81964">
        <w:rPr>
          <w:rFonts w:hint="cs"/>
          <w:rtl/>
        </w:rPr>
        <w:t xml:space="preserve"> לקרן הפיצויים באמצעות מוקד טלפוני ארצי (להלן - פנייה טלפונית) או באמצעות שליחת טופס מקוון באתר רשות המיסים במרשתת (להלן - פנייה מקוונת). הפניות מועברות ל"מוקדי נזק ישיר", המרכזים את הפניות ומפנים אותן לצוותים משולבים של עובדי קרן הפיצויים ושמאים ועל פי הצורך גם מהנדסים (להלן - צוות השטח), אשר מגיעים לאתר הנזק בתיאום מראש עם בעל הנכס.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לעיתים מתקבלים במוקדי הנזק הישיר דיווחים על אירועים אשר בהם נגרמו נזקים ישירים</w:t>
      </w:r>
      <w:r>
        <w:rPr>
          <w:rFonts w:hint="cs"/>
          <w:rtl/>
        </w:rPr>
        <w:t>, זאת</w:t>
      </w:r>
      <w:r w:rsidRPr="00A81964">
        <w:rPr>
          <w:rFonts w:hint="cs"/>
          <w:rtl/>
        </w:rPr>
        <w:t xml:space="preserve"> </w:t>
      </w:r>
      <w:r w:rsidRPr="00A81964">
        <w:rPr>
          <w:rtl/>
        </w:rPr>
        <w:t xml:space="preserve">עוד לפני שבעל </w:t>
      </w:r>
      <w:r w:rsidRPr="00A81964">
        <w:rPr>
          <w:rFonts w:hint="cs"/>
          <w:rtl/>
        </w:rPr>
        <w:t xml:space="preserve">הרכוש הניזוק עצמו </w:t>
      </w:r>
      <w:r w:rsidRPr="00A81964">
        <w:rPr>
          <w:rtl/>
        </w:rPr>
        <w:t xml:space="preserve">פנה לקרן הפיצויים </w:t>
      </w:r>
      <w:r w:rsidRPr="00A81964">
        <w:rPr>
          <w:rFonts w:hint="cs"/>
          <w:rtl/>
        </w:rPr>
        <w:t xml:space="preserve">(לדוגמה, באמצעות דיווח של אזרחים על פגיעת טילים או פרסום על כך בכלי התקשורת). במקרים אלה צוותי השטח מגיעים לאתרי הנזק גם אם לא התקבלו פניות מבעלי הנכסים שניזוקו.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הרכבי צוותי השטח ורשימת אתרי</w:t>
      </w:r>
      <w:r w:rsidRPr="00A81964">
        <w:rPr>
          <w:rFonts w:hint="cs"/>
          <w:rtl/>
        </w:rPr>
        <w:t xml:space="preserve"> הנזק</w:t>
      </w:r>
      <w:r w:rsidRPr="00A81964">
        <w:rPr>
          <w:rtl/>
        </w:rPr>
        <w:t xml:space="preserve"> </w:t>
      </w:r>
      <w:r w:rsidRPr="00A81964">
        <w:rPr>
          <w:rFonts w:hint="cs"/>
          <w:rtl/>
        </w:rPr>
        <w:t>ש</w:t>
      </w:r>
      <w:r w:rsidRPr="00A81964">
        <w:rPr>
          <w:rtl/>
        </w:rPr>
        <w:t xml:space="preserve">אליהם </w:t>
      </w:r>
      <w:r w:rsidRPr="00A81964">
        <w:rPr>
          <w:rFonts w:hint="cs"/>
          <w:rtl/>
        </w:rPr>
        <w:t>צריכים הצוותים להגיע</w:t>
      </w:r>
      <w:r w:rsidRPr="00A81964">
        <w:rPr>
          <w:rtl/>
        </w:rPr>
        <w:t xml:space="preserve"> נקבעים על ידי מנהל המוקד המקומי מדי יום ב"רשימות עבודה"</w:t>
      </w:r>
      <w:r w:rsidRPr="00A81964">
        <w:rPr>
          <w:rFonts w:hint="cs"/>
          <w:rtl/>
        </w:rPr>
        <w:t>. מדי יום מקבל כל צוות שטח רשימה של אתרי נזק שאליהם הוא נדרש להגיע באותו יום</w:t>
      </w:r>
      <w:r w:rsidRPr="00A81964">
        <w:rPr>
          <w:rtl/>
        </w:rPr>
        <w:t>. במהלך יום העבודה הקשר בין צוותי השטח לבין מנהל המוקד המקומי מנוהל באופן טלפוני.</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בעת הגעת צוותי השטח לאתר הנזק הם בוחנים את הנזקים הישירים שנגרמו לנכסים ומאפשרים לבעלי הנכסים הנמצאים במקום להגיש תביעה לפיצוי בגין הנזקים באמצעות </w:t>
      </w:r>
      <w:r w:rsidRPr="00CA145E">
        <w:rPr>
          <w:rFonts w:hint="cs"/>
          <w:rtl/>
        </w:rPr>
        <w:t>מילוי טופס תביעה ידני</w:t>
      </w:r>
      <w:r w:rsidRPr="00A81964">
        <w:rPr>
          <w:rFonts w:hint="cs"/>
          <w:rtl/>
        </w:rPr>
        <w:t xml:space="preserve"> (להלן - טופס תביעה ידני). טופס זה כולל בין היתר את פרטי בעל הנכס הניזוק, פרטי חשבון הבנק שלו, תיאור הנכס הניזוק והנזק שנגרם לו, נסיבות גרימת הנזק וסכום הפיצויים הנתבעים.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בעת חזרת צוותי השטח למוקד נבדקות</w:t>
      </w:r>
      <w:r w:rsidRPr="00A81964">
        <w:rPr>
          <w:rtl/>
        </w:rPr>
        <w:t xml:space="preserve"> תקינות ושלמות הנתונים בטופס התביעה הידני,</w:t>
      </w:r>
      <w:r w:rsidRPr="00A81964">
        <w:rPr>
          <w:rFonts w:hint="cs"/>
          <w:rtl/>
        </w:rPr>
        <w:t xml:space="preserve"> ולאחריה</w:t>
      </w:r>
      <w:r w:rsidRPr="00A81964">
        <w:rPr>
          <w:rtl/>
        </w:rPr>
        <w:t xml:space="preserve"> </w:t>
      </w:r>
      <w:r w:rsidRPr="00A81964">
        <w:rPr>
          <w:rFonts w:hint="eastAsia"/>
          <w:rtl/>
        </w:rPr>
        <w:t>נפתח</w:t>
      </w:r>
      <w:r w:rsidRPr="00A81964">
        <w:rPr>
          <w:rtl/>
        </w:rPr>
        <w:t xml:space="preserve"> תיק תביעה </w:t>
      </w:r>
      <w:r w:rsidRPr="00A81964">
        <w:rPr>
          <w:rFonts w:hint="eastAsia"/>
          <w:rtl/>
        </w:rPr>
        <w:t>במערכת</w:t>
      </w:r>
      <w:r w:rsidRPr="00A81964">
        <w:rPr>
          <w:rtl/>
        </w:rPr>
        <w:t xml:space="preserve"> </w:t>
      </w:r>
      <w:r w:rsidRPr="00A81964">
        <w:rPr>
          <w:rFonts w:hint="eastAsia"/>
          <w:rtl/>
        </w:rPr>
        <w:t>פיצוי</w:t>
      </w:r>
      <w:r w:rsidRPr="00A81964">
        <w:rPr>
          <w:rtl/>
        </w:rPr>
        <w:t xml:space="preserve"> </w:t>
      </w:r>
      <w:r w:rsidRPr="00A81964">
        <w:rPr>
          <w:rFonts w:hint="eastAsia"/>
          <w:rtl/>
        </w:rPr>
        <w:t>פעולות</w:t>
      </w:r>
      <w:r w:rsidRPr="00A81964">
        <w:rPr>
          <w:rtl/>
        </w:rPr>
        <w:t xml:space="preserve"> </w:t>
      </w:r>
      <w:r w:rsidRPr="00A81964">
        <w:rPr>
          <w:rFonts w:hint="eastAsia"/>
          <w:rtl/>
        </w:rPr>
        <w:t>איבה</w:t>
      </w:r>
      <w:r w:rsidRPr="00A81964">
        <w:rPr>
          <w:rFonts w:hint="cs"/>
          <w:rtl/>
        </w:rPr>
        <w:t xml:space="preserve"> </w:t>
      </w:r>
      <w:r w:rsidRPr="00A81964">
        <w:rPr>
          <w:rtl/>
        </w:rPr>
        <w:t xml:space="preserve">(להלן - מערכת </w:t>
      </w:r>
      <w:proofErr w:type="spellStart"/>
      <w:r w:rsidRPr="00A81964">
        <w:rPr>
          <w:rtl/>
        </w:rPr>
        <w:t>פפ"א</w:t>
      </w:r>
      <w:proofErr w:type="spellEnd"/>
      <w:r w:rsidRPr="00A81964">
        <w:rPr>
          <w:rtl/>
        </w:rPr>
        <w:t xml:space="preserve">), </w:t>
      </w:r>
      <w:r w:rsidRPr="00A81964">
        <w:rPr>
          <w:rFonts w:hint="eastAsia"/>
          <w:rtl/>
        </w:rPr>
        <w:t>מערכת</w:t>
      </w:r>
      <w:r w:rsidRPr="00A81964">
        <w:rPr>
          <w:rtl/>
        </w:rPr>
        <w:t xml:space="preserve"> </w:t>
      </w:r>
      <w:r w:rsidRPr="00A81964">
        <w:rPr>
          <w:rFonts w:hint="cs"/>
          <w:rtl/>
        </w:rPr>
        <w:t xml:space="preserve">מידע ממוחשבת </w:t>
      </w:r>
      <w:r w:rsidRPr="00A81964">
        <w:rPr>
          <w:rtl/>
        </w:rPr>
        <w:t>המשמשת את קרן הפיצויים לניהול הטיפול בתביעות לפיצוי</w:t>
      </w:r>
      <w:r w:rsidRPr="00A81964">
        <w:rPr>
          <w:rFonts w:hint="eastAsia"/>
          <w:rtl/>
        </w:rPr>
        <w:t>ים</w:t>
      </w:r>
      <w:r w:rsidRPr="00A81964">
        <w:rPr>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תקנה 8(ב) לתקנות קרן הפיצויים קובעת כי החלטת הקרן בנוגע לזכותו של בעל נכס לפיצוי בגין נזק ישיר תישלח אליו בתוך שישה חודשים מיום הגשת התביעה. </w:t>
      </w:r>
      <w:bookmarkStart w:id="17" w:name="_Hlk196726337"/>
      <w:r w:rsidRPr="00A81964">
        <w:rPr>
          <w:rFonts w:hint="cs"/>
          <w:rtl/>
        </w:rPr>
        <w:t>אם הגיש הניזוק תעודה מאת שר הביטחון או מי שהוא מינה לכך המעידה שנכס מסוים ניזוק נזק מלחמה, תישלח לניזוק ההודעה על החלטת המנהל בתוך 45 יום מהיו</w:t>
      </w:r>
      <w:r w:rsidRPr="00A81964">
        <w:rPr>
          <w:rFonts w:hint="eastAsia"/>
          <w:rtl/>
        </w:rPr>
        <w:t>ם</w:t>
      </w:r>
      <w:r w:rsidRPr="00A81964">
        <w:rPr>
          <w:rFonts w:hint="cs"/>
          <w:rtl/>
        </w:rPr>
        <w:t xml:space="preserve"> שבו נמסרה תעודת שר הביטחון</w:t>
      </w:r>
      <w:bookmarkEnd w:id="17"/>
      <w:r w:rsidRPr="00A81964">
        <w:rPr>
          <w:rFonts w:hint="cs"/>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להלן בלוח 1 מוצגים נתונים לגבי מספר התביעות שהוגשו בגין נזקים ישירים וסך הפיצויים ששולמו בגין נזקים אלו בסבבי לחימה בעבר.</w:t>
      </w:r>
    </w:p>
    <w:p w:rsidR="006252C4" w:rsidRPr="00A81964" w:rsidRDefault="006252C4" w:rsidP="006252C4">
      <w:pPr>
        <w:spacing w:line="269" w:lineRule="auto"/>
        <w:rPr>
          <w:rtl/>
        </w:rPr>
      </w:pPr>
    </w:p>
    <w:p w:rsidR="006252C4" w:rsidRPr="00A81964" w:rsidRDefault="006252C4" w:rsidP="00A20B3B">
      <w:pPr>
        <w:keepNext/>
        <w:keepLines/>
        <w:jc w:val="center"/>
        <w:rPr>
          <w:b/>
          <w:bCs/>
          <w:rtl/>
        </w:rPr>
      </w:pPr>
      <w:r w:rsidRPr="00A81964">
        <w:rPr>
          <w:rFonts w:hint="eastAsia"/>
          <w:rtl/>
        </w:rPr>
        <w:lastRenderedPageBreak/>
        <w:t>לוח</w:t>
      </w:r>
      <w:r w:rsidRPr="00A81964">
        <w:rPr>
          <w:rtl/>
        </w:rPr>
        <w:t xml:space="preserve"> 1:</w:t>
      </w:r>
      <w:r w:rsidRPr="00A81964">
        <w:rPr>
          <w:b/>
          <w:bCs/>
          <w:rtl/>
        </w:rPr>
        <w:t xml:space="preserve"> מספר התביעות שהוגשו בגין נזקים ישירים בסבבי לחימה בעבר וס</w:t>
      </w:r>
      <w:r w:rsidRPr="00A81964">
        <w:rPr>
          <w:rFonts w:hint="eastAsia"/>
          <w:b/>
          <w:bCs/>
          <w:rtl/>
        </w:rPr>
        <w:t>ך</w:t>
      </w:r>
      <w:r w:rsidRPr="00A81964">
        <w:rPr>
          <w:b/>
          <w:bCs/>
          <w:rtl/>
        </w:rPr>
        <w:t xml:space="preserve"> הפיצויים ששולמו </w:t>
      </w:r>
      <w:r w:rsidRPr="00A81964">
        <w:rPr>
          <w:rFonts w:hint="cs"/>
          <w:b/>
          <w:bCs/>
          <w:rtl/>
        </w:rPr>
        <w:t>בגינם</w:t>
      </w:r>
      <w:r w:rsidRPr="00A81964">
        <w:rPr>
          <w:b/>
          <w:bCs/>
          <w:rtl/>
        </w:rPr>
        <w:t xml:space="preserve"> </w:t>
      </w:r>
    </w:p>
    <w:tbl>
      <w:tblPr>
        <w:bidiVisual/>
        <w:tblW w:w="7801" w:type="dxa"/>
        <w:jc w:val="center"/>
        <w:tblLook w:val="04A0" w:firstRow="1" w:lastRow="0" w:firstColumn="1" w:lastColumn="0" w:noHBand="0" w:noVBand="1"/>
      </w:tblPr>
      <w:tblGrid>
        <w:gridCol w:w="2268"/>
        <w:gridCol w:w="987"/>
        <w:gridCol w:w="2420"/>
        <w:gridCol w:w="2126"/>
      </w:tblGrid>
      <w:tr w:rsidR="006252C4" w:rsidRPr="00A81964" w:rsidTr="00D04D4F">
        <w:trPr>
          <w:trHeight w:val="1046"/>
          <w:jc w:val="center"/>
        </w:trPr>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252C4" w:rsidRPr="00A81964" w:rsidRDefault="006252C4" w:rsidP="00D04D4F">
            <w:pPr>
              <w:spacing w:line="269" w:lineRule="auto"/>
              <w:jc w:val="center"/>
              <w:rPr>
                <w:rFonts w:ascii="David" w:eastAsia="Times New Roman" w:hAnsi="David"/>
                <w:b/>
                <w:bCs/>
                <w:color w:val="000000"/>
                <w:sz w:val="22"/>
                <w:szCs w:val="22"/>
              </w:rPr>
            </w:pPr>
            <w:r w:rsidRPr="00A81964">
              <w:rPr>
                <w:rFonts w:ascii="David" w:eastAsia="Times New Roman" w:hAnsi="David"/>
                <w:b/>
                <w:bCs/>
                <w:color w:val="000000"/>
                <w:sz w:val="22"/>
                <w:szCs w:val="22"/>
                <w:rtl/>
              </w:rPr>
              <w:t>סבב הלחימה</w:t>
            </w:r>
          </w:p>
        </w:tc>
        <w:tc>
          <w:tcPr>
            <w:tcW w:w="98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52C4" w:rsidRPr="00A81964" w:rsidRDefault="006252C4" w:rsidP="00D04D4F">
            <w:pPr>
              <w:spacing w:line="269" w:lineRule="auto"/>
              <w:jc w:val="center"/>
              <w:rPr>
                <w:rFonts w:ascii="David" w:eastAsia="Times New Roman" w:hAnsi="David"/>
                <w:b/>
                <w:bCs/>
                <w:color w:val="000000"/>
                <w:sz w:val="22"/>
                <w:szCs w:val="22"/>
                <w:rtl/>
              </w:rPr>
            </w:pPr>
            <w:r w:rsidRPr="00A81964">
              <w:rPr>
                <w:rFonts w:ascii="David" w:eastAsia="Times New Roman" w:hAnsi="David"/>
                <w:b/>
                <w:bCs/>
                <w:color w:val="000000"/>
                <w:sz w:val="22"/>
                <w:szCs w:val="22"/>
                <w:rtl/>
              </w:rPr>
              <w:t>השנה</w:t>
            </w:r>
          </w:p>
        </w:tc>
        <w:tc>
          <w:tcPr>
            <w:tcW w:w="24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252C4" w:rsidRPr="00A81964" w:rsidRDefault="006252C4" w:rsidP="00D04D4F">
            <w:pPr>
              <w:spacing w:line="269" w:lineRule="auto"/>
              <w:jc w:val="center"/>
              <w:rPr>
                <w:rFonts w:ascii="David" w:eastAsia="Times New Roman" w:hAnsi="David"/>
                <w:b/>
                <w:bCs/>
                <w:color w:val="000000"/>
                <w:sz w:val="22"/>
                <w:szCs w:val="22"/>
                <w:rtl/>
              </w:rPr>
            </w:pPr>
            <w:r w:rsidRPr="00A81964">
              <w:rPr>
                <w:rFonts w:ascii="David" w:eastAsia="Times New Roman" w:hAnsi="David"/>
                <w:b/>
                <w:bCs/>
                <w:color w:val="000000"/>
                <w:sz w:val="22"/>
                <w:szCs w:val="22"/>
                <w:rtl/>
              </w:rPr>
              <w:t>מספר התביעות שהוגשו בגין נזקים ישירים</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252C4" w:rsidRPr="00A81964" w:rsidRDefault="006252C4" w:rsidP="00D04D4F">
            <w:pPr>
              <w:spacing w:line="269" w:lineRule="auto"/>
              <w:jc w:val="center"/>
              <w:rPr>
                <w:rFonts w:ascii="David" w:eastAsia="Times New Roman" w:hAnsi="David"/>
                <w:b/>
                <w:bCs/>
                <w:color w:val="000000"/>
                <w:sz w:val="22"/>
                <w:szCs w:val="22"/>
                <w:rtl/>
              </w:rPr>
            </w:pPr>
            <w:r w:rsidRPr="00A81964">
              <w:rPr>
                <w:rFonts w:ascii="David" w:eastAsia="Times New Roman" w:hAnsi="David"/>
                <w:b/>
                <w:bCs/>
                <w:color w:val="000000"/>
                <w:sz w:val="22"/>
                <w:szCs w:val="22"/>
                <w:rtl/>
              </w:rPr>
              <w:t>סך הפיצויים ששולמו בגין נזקים ישירים</w:t>
            </w:r>
          </w:p>
        </w:tc>
      </w:tr>
      <w:tr w:rsidR="006252C4" w:rsidRPr="00A81964" w:rsidTr="00D04D4F">
        <w:trPr>
          <w:trHeight w:val="537"/>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b/>
                <w:bCs/>
                <w:color w:val="000000"/>
                <w:sz w:val="22"/>
                <w:szCs w:val="22"/>
                <w:rtl/>
              </w:rPr>
            </w:pPr>
            <w:r w:rsidRPr="00A81964">
              <w:rPr>
                <w:rFonts w:ascii="David" w:eastAsia="Times New Roman" w:hAnsi="David"/>
                <w:b/>
                <w:bCs/>
                <w:color w:val="000000"/>
                <w:sz w:val="22"/>
                <w:szCs w:val="22"/>
                <w:rtl/>
              </w:rPr>
              <w:t>מלחמת לבנון השנייה</w:t>
            </w:r>
          </w:p>
        </w:tc>
        <w:tc>
          <w:tcPr>
            <w:tcW w:w="987" w:type="dxa"/>
            <w:tcBorders>
              <w:top w:val="nil"/>
              <w:left w:val="single" w:sz="4" w:space="0" w:color="auto"/>
              <w:bottom w:val="single" w:sz="4" w:space="0" w:color="auto"/>
              <w:right w:val="single" w:sz="4" w:space="0" w:color="auto"/>
            </w:tcBorders>
            <w:vAlign w:val="center"/>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2006</w:t>
            </w:r>
          </w:p>
        </w:tc>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33,271</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כ-1 מיליארד ש"ח</w:t>
            </w:r>
          </w:p>
        </w:tc>
      </w:tr>
      <w:tr w:rsidR="006252C4" w:rsidRPr="00A81964" w:rsidTr="00D04D4F">
        <w:trPr>
          <w:trHeight w:val="537"/>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b/>
                <w:bCs/>
                <w:color w:val="000000"/>
                <w:sz w:val="22"/>
                <w:szCs w:val="22"/>
                <w:rtl/>
              </w:rPr>
            </w:pPr>
            <w:r w:rsidRPr="00A81964">
              <w:rPr>
                <w:rFonts w:ascii="David" w:eastAsia="Times New Roman" w:hAnsi="David"/>
                <w:b/>
                <w:bCs/>
                <w:color w:val="000000"/>
                <w:sz w:val="22"/>
                <w:szCs w:val="22"/>
                <w:rtl/>
              </w:rPr>
              <w:t>מבצע "עופרת יצוקה"</w:t>
            </w:r>
          </w:p>
        </w:tc>
        <w:tc>
          <w:tcPr>
            <w:tcW w:w="987" w:type="dxa"/>
            <w:tcBorders>
              <w:top w:val="nil"/>
              <w:left w:val="single" w:sz="4" w:space="0" w:color="auto"/>
              <w:bottom w:val="single" w:sz="4" w:space="0" w:color="auto"/>
              <w:right w:val="single" w:sz="4" w:space="0" w:color="auto"/>
            </w:tcBorders>
            <w:vAlign w:val="center"/>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2009</w:t>
            </w:r>
          </w:p>
        </w:tc>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2,485</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כ-33.5 מיליון ש"ח</w:t>
            </w:r>
          </w:p>
        </w:tc>
      </w:tr>
      <w:tr w:rsidR="006252C4" w:rsidRPr="00A81964" w:rsidTr="00D04D4F">
        <w:trPr>
          <w:trHeight w:val="537"/>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b/>
                <w:bCs/>
                <w:color w:val="000000"/>
                <w:sz w:val="22"/>
                <w:szCs w:val="22"/>
                <w:rtl/>
              </w:rPr>
            </w:pPr>
            <w:r w:rsidRPr="00A81964">
              <w:rPr>
                <w:rFonts w:ascii="David" w:eastAsia="Times New Roman" w:hAnsi="David"/>
                <w:b/>
                <w:bCs/>
                <w:color w:val="000000"/>
                <w:sz w:val="22"/>
                <w:szCs w:val="22"/>
                <w:rtl/>
              </w:rPr>
              <w:t>מבצע "עמוד ענן"</w:t>
            </w:r>
          </w:p>
        </w:tc>
        <w:tc>
          <w:tcPr>
            <w:tcW w:w="987" w:type="dxa"/>
            <w:tcBorders>
              <w:top w:val="nil"/>
              <w:left w:val="single" w:sz="4" w:space="0" w:color="auto"/>
              <w:bottom w:val="single" w:sz="4" w:space="0" w:color="auto"/>
              <w:right w:val="single" w:sz="4" w:space="0" w:color="auto"/>
            </w:tcBorders>
            <w:vAlign w:val="center"/>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2012</w:t>
            </w:r>
          </w:p>
        </w:tc>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4,054</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כ-65 מיליון ש"ח</w:t>
            </w:r>
          </w:p>
        </w:tc>
      </w:tr>
      <w:tr w:rsidR="006252C4" w:rsidRPr="00A81964" w:rsidTr="00D04D4F">
        <w:trPr>
          <w:trHeight w:val="537"/>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b/>
                <w:bCs/>
                <w:color w:val="000000"/>
                <w:sz w:val="22"/>
                <w:szCs w:val="22"/>
                <w:rtl/>
              </w:rPr>
            </w:pPr>
            <w:r w:rsidRPr="00A81964">
              <w:rPr>
                <w:rFonts w:ascii="David" w:eastAsia="Times New Roman" w:hAnsi="David"/>
                <w:b/>
                <w:bCs/>
                <w:color w:val="000000"/>
                <w:sz w:val="22"/>
                <w:szCs w:val="22"/>
                <w:rtl/>
              </w:rPr>
              <w:t>מבצע "צוק איתן"</w:t>
            </w:r>
          </w:p>
        </w:tc>
        <w:tc>
          <w:tcPr>
            <w:tcW w:w="987" w:type="dxa"/>
            <w:tcBorders>
              <w:top w:val="single" w:sz="4" w:space="0" w:color="auto"/>
              <w:left w:val="single" w:sz="4" w:space="0" w:color="auto"/>
              <w:bottom w:val="single" w:sz="4" w:space="0" w:color="auto"/>
              <w:right w:val="single" w:sz="4" w:space="0" w:color="auto"/>
            </w:tcBorders>
            <w:vAlign w:val="center"/>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2014</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4,595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כ-200 מיליון ש"ח</w:t>
            </w:r>
          </w:p>
        </w:tc>
      </w:tr>
      <w:tr w:rsidR="006252C4" w:rsidRPr="00A81964" w:rsidTr="00D04D4F">
        <w:trPr>
          <w:trHeight w:val="537"/>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2C4" w:rsidRPr="00A81964" w:rsidRDefault="006252C4" w:rsidP="00D04D4F">
            <w:pPr>
              <w:spacing w:line="269" w:lineRule="auto"/>
              <w:jc w:val="left"/>
              <w:rPr>
                <w:rFonts w:ascii="David" w:eastAsia="Times New Roman" w:hAnsi="David"/>
                <w:b/>
                <w:bCs/>
                <w:color w:val="000000"/>
                <w:sz w:val="22"/>
                <w:szCs w:val="22"/>
                <w:rtl/>
              </w:rPr>
            </w:pPr>
            <w:r w:rsidRPr="00A81964">
              <w:rPr>
                <w:rFonts w:ascii="David" w:eastAsia="Times New Roman" w:hAnsi="David"/>
                <w:b/>
                <w:bCs/>
                <w:color w:val="000000"/>
                <w:sz w:val="22"/>
                <w:szCs w:val="22"/>
                <w:rtl/>
              </w:rPr>
              <w:t>מבצע "חגורה שחורה"</w:t>
            </w:r>
          </w:p>
        </w:tc>
        <w:tc>
          <w:tcPr>
            <w:tcW w:w="987" w:type="dxa"/>
            <w:tcBorders>
              <w:top w:val="single" w:sz="4" w:space="0" w:color="auto"/>
              <w:left w:val="single" w:sz="4" w:space="0" w:color="auto"/>
              <w:bottom w:val="single" w:sz="4" w:space="0" w:color="auto"/>
              <w:right w:val="single" w:sz="4" w:space="0" w:color="auto"/>
            </w:tcBorders>
            <w:vAlign w:val="bottom"/>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Pr>
              <w:t>2019</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2C4" w:rsidRPr="00A81964" w:rsidRDefault="006252C4" w:rsidP="00D04D4F">
            <w:pPr>
              <w:spacing w:line="269" w:lineRule="auto"/>
              <w:jc w:val="left"/>
              <w:rPr>
                <w:rFonts w:ascii="David" w:eastAsia="Times New Roman" w:hAnsi="David"/>
                <w:color w:val="000000"/>
                <w:sz w:val="22"/>
                <w:szCs w:val="22"/>
              </w:rPr>
            </w:pPr>
            <w:r w:rsidRPr="00A81964">
              <w:rPr>
                <w:rFonts w:ascii="David" w:eastAsia="Times New Roman" w:hAnsi="David"/>
                <w:color w:val="000000"/>
                <w:sz w:val="22"/>
                <w:szCs w:val="22"/>
              </w:rPr>
              <w:t>242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2C4" w:rsidRPr="00A81964" w:rsidRDefault="006252C4" w:rsidP="00D04D4F">
            <w:pPr>
              <w:spacing w:line="269" w:lineRule="auto"/>
              <w:jc w:val="left"/>
              <w:rPr>
                <w:rFonts w:ascii="David" w:eastAsia="Times New Roman" w:hAnsi="David"/>
                <w:b/>
                <w:bCs/>
                <w:color w:val="000000"/>
                <w:sz w:val="22"/>
                <w:szCs w:val="22"/>
                <w:rtl/>
              </w:rPr>
            </w:pPr>
            <w:r w:rsidRPr="00A81964">
              <w:rPr>
                <w:rFonts w:ascii="David" w:eastAsia="Times New Roman" w:hAnsi="David"/>
                <w:color w:val="000000"/>
                <w:sz w:val="22"/>
                <w:szCs w:val="22"/>
                <w:rtl/>
              </w:rPr>
              <w:t>כ-</w:t>
            </w:r>
            <w:r w:rsidRPr="00A81964">
              <w:rPr>
                <w:rFonts w:ascii="David" w:eastAsia="Times New Roman" w:hAnsi="David"/>
                <w:color w:val="000000"/>
                <w:sz w:val="22"/>
                <w:szCs w:val="22"/>
              </w:rPr>
              <w:t>17</w:t>
            </w:r>
            <w:r w:rsidRPr="00A81964">
              <w:rPr>
                <w:rFonts w:ascii="David" w:eastAsia="Times New Roman" w:hAnsi="David"/>
                <w:color w:val="000000"/>
                <w:sz w:val="22"/>
                <w:szCs w:val="22"/>
                <w:rtl/>
              </w:rPr>
              <w:t xml:space="preserve"> מיליון ש"ח</w:t>
            </w:r>
          </w:p>
        </w:tc>
      </w:tr>
      <w:tr w:rsidR="006252C4" w:rsidRPr="00A81964" w:rsidTr="00D04D4F">
        <w:trPr>
          <w:trHeight w:val="537"/>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2C4" w:rsidRPr="00A81964" w:rsidRDefault="006252C4" w:rsidP="00D04D4F">
            <w:pPr>
              <w:spacing w:line="269" w:lineRule="auto"/>
              <w:jc w:val="left"/>
              <w:rPr>
                <w:rFonts w:ascii="David" w:eastAsia="Times New Roman" w:hAnsi="David"/>
                <w:b/>
                <w:bCs/>
                <w:color w:val="000000"/>
                <w:sz w:val="22"/>
                <w:szCs w:val="22"/>
                <w:rtl/>
              </w:rPr>
            </w:pPr>
            <w:r w:rsidRPr="00A81964">
              <w:rPr>
                <w:rFonts w:ascii="David" w:eastAsia="Times New Roman" w:hAnsi="David"/>
                <w:b/>
                <w:bCs/>
                <w:color w:val="000000"/>
                <w:sz w:val="22"/>
                <w:szCs w:val="22"/>
                <w:rtl/>
              </w:rPr>
              <w:t>מבצע "שומר החומות"</w:t>
            </w:r>
          </w:p>
        </w:tc>
        <w:tc>
          <w:tcPr>
            <w:tcW w:w="987" w:type="dxa"/>
            <w:tcBorders>
              <w:top w:val="single" w:sz="4" w:space="0" w:color="auto"/>
              <w:left w:val="single" w:sz="4" w:space="0" w:color="auto"/>
              <w:bottom w:val="single" w:sz="4" w:space="0" w:color="auto"/>
              <w:right w:val="single" w:sz="4" w:space="0" w:color="auto"/>
            </w:tcBorders>
            <w:vAlign w:val="bottom"/>
          </w:tcPr>
          <w:p w:rsidR="006252C4" w:rsidRPr="00A81964" w:rsidRDefault="006252C4" w:rsidP="00D04D4F">
            <w:pPr>
              <w:spacing w:line="269" w:lineRule="auto"/>
              <w:jc w:val="left"/>
              <w:rPr>
                <w:rFonts w:ascii="David" w:eastAsia="Times New Roman" w:hAnsi="David"/>
                <w:color w:val="000000"/>
                <w:sz w:val="22"/>
                <w:szCs w:val="22"/>
              </w:rPr>
            </w:pPr>
            <w:r w:rsidRPr="00A81964">
              <w:rPr>
                <w:rFonts w:ascii="David" w:eastAsia="Times New Roman" w:hAnsi="David"/>
                <w:color w:val="000000"/>
                <w:sz w:val="22"/>
                <w:szCs w:val="22"/>
              </w:rPr>
              <w:t>2021</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Pr>
              <w:t>10,320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2C4" w:rsidRPr="00A81964" w:rsidRDefault="006252C4" w:rsidP="00D04D4F">
            <w:pPr>
              <w:spacing w:line="269" w:lineRule="auto"/>
              <w:jc w:val="left"/>
              <w:rPr>
                <w:rFonts w:ascii="David" w:eastAsia="Times New Roman" w:hAnsi="David"/>
                <w:b/>
                <w:bCs/>
                <w:color w:val="000000"/>
                <w:sz w:val="22"/>
                <w:szCs w:val="22"/>
                <w:rtl/>
              </w:rPr>
            </w:pPr>
            <w:r w:rsidRPr="00A81964">
              <w:rPr>
                <w:rFonts w:ascii="David" w:eastAsia="Times New Roman" w:hAnsi="David"/>
                <w:color w:val="000000"/>
                <w:sz w:val="22"/>
                <w:szCs w:val="22"/>
                <w:rtl/>
              </w:rPr>
              <w:t>כ-333 מיליון ש"ח</w:t>
            </w:r>
          </w:p>
        </w:tc>
      </w:tr>
      <w:tr w:rsidR="006252C4" w:rsidRPr="00A81964" w:rsidTr="00D04D4F">
        <w:trPr>
          <w:trHeight w:val="537"/>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2C4" w:rsidRPr="00A81964" w:rsidRDefault="006252C4" w:rsidP="00D04D4F">
            <w:pPr>
              <w:spacing w:line="269" w:lineRule="auto"/>
              <w:jc w:val="left"/>
              <w:rPr>
                <w:rFonts w:ascii="David" w:eastAsia="Times New Roman" w:hAnsi="David"/>
                <w:b/>
                <w:bCs/>
                <w:color w:val="000000"/>
                <w:sz w:val="22"/>
                <w:szCs w:val="22"/>
                <w:rtl/>
              </w:rPr>
            </w:pPr>
            <w:r w:rsidRPr="00A81964">
              <w:rPr>
                <w:rFonts w:ascii="David" w:eastAsia="Times New Roman" w:hAnsi="David"/>
                <w:b/>
                <w:bCs/>
                <w:color w:val="000000"/>
                <w:sz w:val="22"/>
                <w:szCs w:val="22"/>
                <w:rtl/>
              </w:rPr>
              <w:t>מבצע "עלות השחר"</w:t>
            </w:r>
          </w:p>
        </w:tc>
        <w:tc>
          <w:tcPr>
            <w:tcW w:w="987" w:type="dxa"/>
            <w:tcBorders>
              <w:top w:val="single" w:sz="4" w:space="0" w:color="auto"/>
              <w:left w:val="single" w:sz="4" w:space="0" w:color="auto"/>
              <w:bottom w:val="single" w:sz="4" w:space="0" w:color="auto"/>
              <w:right w:val="single" w:sz="4" w:space="0" w:color="auto"/>
            </w:tcBorders>
            <w:vAlign w:val="bottom"/>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Pr>
              <w:t>2022</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Pr>
              <w:t>474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2C4" w:rsidRPr="00A81964" w:rsidRDefault="006252C4" w:rsidP="00D04D4F">
            <w:pPr>
              <w:spacing w:line="269" w:lineRule="auto"/>
              <w:jc w:val="left"/>
              <w:rPr>
                <w:rFonts w:ascii="David" w:eastAsia="Times New Roman" w:hAnsi="David"/>
                <w:b/>
                <w:bCs/>
                <w:color w:val="000000"/>
                <w:sz w:val="22"/>
                <w:szCs w:val="22"/>
                <w:rtl/>
              </w:rPr>
            </w:pPr>
            <w:r w:rsidRPr="00A81964">
              <w:rPr>
                <w:rFonts w:ascii="David" w:eastAsia="Times New Roman" w:hAnsi="David"/>
                <w:color w:val="000000"/>
                <w:sz w:val="22"/>
                <w:szCs w:val="22"/>
                <w:rtl/>
              </w:rPr>
              <w:t>כ-10 מיליון ש"ח</w:t>
            </w:r>
          </w:p>
        </w:tc>
      </w:tr>
      <w:tr w:rsidR="006252C4" w:rsidRPr="00A81964" w:rsidTr="00D04D4F">
        <w:trPr>
          <w:trHeight w:val="537"/>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2C4" w:rsidRPr="00A81964" w:rsidRDefault="006252C4" w:rsidP="00D04D4F">
            <w:pPr>
              <w:spacing w:line="269" w:lineRule="auto"/>
              <w:jc w:val="left"/>
              <w:rPr>
                <w:rFonts w:ascii="David" w:eastAsia="Times New Roman" w:hAnsi="David"/>
                <w:b/>
                <w:bCs/>
                <w:color w:val="000000"/>
                <w:sz w:val="22"/>
                <w:szCs w:val="22"/>
                <w:rtl/>
              </w:rPr>
            </w:pPr>
            <w:r w:rsidRPr="00A81964">
              <w:rPr>
                <w:rFonts w:ascii="David" w:eastAsia="Times New Roman" w:hAnsi="David"/>
                <w:b/>
                <w:bCs/>
                <w:color w:val="000000"/>
                <w:sz w:val="22"/>
                <w:szCs w:val="22"/>
                <w:rtl/>
              </w:rPr>
              <w:t>מבצע "מגן וחץ"</w:t>
            </w:r>
          </w:p>
        </w:tc>
        <w:tc>
          <w:tcPr>
            <w:tcW w:w="987" w:type="dxa"/>
            <w:tcBorders>
              <w:top w:val="single" w:sz="4" w:space="0" w:color="auto"/>
              <w:left w:val="single" w:sz="4" w:space="0" w:color="auto"/>
              <w:bottom w:val="single" w:sz="4" w:space="0" w:color="auto"/>
              <w:right w:val="single" w:sz="4" w:space="0" w:color="auto"/>
            </w:tcBorders>
            <w:vAlign w:val="bottom"/>
          </w:tcPr>
          <w:p w:rsidR="006252C4" w:rsidRPr="00A81964" w:rsidRDefault="006252C4" w:rsidP="00D04D4F">
            <w:pPr>
              <w:spacing w:line="269" w:lineRule="auto"/>
              <w:jc w:val="left"/>
              <w:rPr>
                <w:rFonts w:ascii="David" w:eastAsia="Times New Roman" w:hAnsi="David"/>
                <w:color w:val="000000"/>
                <w:sz w:val="22"/>
                <w:szCs w:val="22"/>
              </w:rPr>
            </w:pPr>
            <w:r w:rsidRPr="00A81964">
              <w:rPr>
                <w:rFonts w:ascii="David" w:eastAsia="Times New Roman" w:hAnsi="David"/>
                <w:color w:val="000000"/>
                <w:sz w:val="22"/>
                <w:szCs w:val="22"/>
              </w:rPr>
              <w:t>2023</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2C4" w:rsidRPr="00A81964" w:rsidRDefault="006252C4" w:rsidP="00D04D4F">
            <w:pPr>
              <w:spacing w:line="269" w:lineRule="auto"/>
              <w:jc w:val="left"/>
              <w:rPr>
                <w:rFonts w:ascii="David" w:eastAsia="Times New Roman" w:hAnsi="David"/>
                <w:color w:val="000000"/>
                <w:sz w:val="22"/>
                <w:szCs w:val="22"/>
              </w:rPr>
            </w:pPr>
            <w:r w:rsidRPr="00A81964">
              <w:rPr>
                <w:rFonts w:ascii="David" w:eastAsia="Times New Roman" w:hAnsi="David"/>
                <w:color w:val="000000"/>
                <w:sz w:val="22"/>
                <w:szCs w:val="22"/>
              </w:rPr>
              <w:t>555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2C4" w:rsidRPr="00A81964" w:rsidRDefault="006252C4" w:rsidP="00D04D4F">
            <w:pPr>
              <w:spacing w:line="269" w:lineRule="auto"/>
              <w:jc w:val="left"/>
              <w:rPr>
                <w:rFonts w:ascii="David" w:eastAsia="Times New Roman" w:hAnsi="David"/>
                <w:b/>
                <w:bCs/>
                <w:color w:val="000000"/>
                <w:sz w:val="22"/>
                <w:szCs w:val="22"/>
              </w:rPr>
            </w:pPr>
            <w:r w:rsidRPr="00A81964">
              <w:rPr>
                <w:rFonts w:ascii="David" w:eastAsia="Times New Roman" w:hAnsi="David"/>
                <w:color w:val="000000"/>
                <w:sz w:val="22"/>
                <w:szCs w:val="22"/>
                <w:rtl/>
              </w:rPr>
              <w:t>כ-</w:t>
            </w:r>
            <w:r w:rsidRPr="00A81964">
              <w:rPr>
                <w:rFonts w:ascii="David" w:eastAsia="Times New Roman" w:hAnsi="David"/>
                <w:color w:val="000000"/>
                <w:sz w:val="22"/>
                <w:szCs w:val="22"/>
              </w:rPr>
              <w:t>20</w:t>
            </w:r>
            <w:r w:rsidRPr="00A81964">
              <w:rPr>
                <w:rFonts w:ascii="David" w:eastAsia="Times New Roman" w:hAnsi="David"/>
                <w:color w:val="000000"/>
                <w:sz w:val="22"/>
                <w:szCs w:val="22"/>
                <w:rtl/>
              </w:rPr>
              <w:t xml:space="preserve"> מיליון ש"ח</w:t>
            </w:r>
          </w:p>
        </w:tc>
      </w:tr>
      <w:tr w:rsidR="006252C4" w:rsidRPr="00A81964" w:rsidTr="00D04D4F">
        <w:trPr>
          <w:trHeight w:val="537"/>
          <w:jc w:val="center"/>
        </w:trPr>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6252C4" w:rsidRPr="00A81964" w:rsidRDefault="006252C4" w:rsidP="00D04D4F">
            <w:pPr>
              <w:spacing w:line="269" w:lineRule="auto"/>
              <w:jc w:val="left"/>
              <w:rPr>
                <w:rFonts w:ascii="David" w:eastAsia="Times New Roman" w:hAnsi="David"/>
                <w:b/>
                <w:bCs/>
                <w:color w:val="000000"/>
                <w:sz w:val="22"/>
                <w:szCs w:val="22"/>
                <w:rtl/>
              </w:rPr>
            </w:pPr>
            <w:r w:rsidRPr="00A81964">
              <w:rPr>
                <w:rFonts w:ascii="David" w:eastAsia="Times New Roman" w:hAnsi="David"/>
                <w:b/>
                <w:bCs/>
                <w:color w:val="000000"/>
                <w:sz w:val="22"/>
                <w:szCs w:val="22"/>
                <w:rtl/>
              </w:rPr>
              <w:t>סה"כ</w:t>
            </w:r>
          </w:p>
        </w:tc>
        <w:tc>
          <w:tcPr>
            <w:tcW w:w="98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6252C4" w:rsidRPr="00A81964" w:rsidRDefault="006252C4" w:rsidP="00D04D4F">
            <w:pPr>
              <w:spacing w:line="269" w:lineRule="auto"/>
              <w:jc w:val="left"/>
              <w:rPr>
                <w:rFonts w:ascii="David" w:eastAsia="Times New Roman" w:hAnsi="David"/>
                <w:color w:val="000000"/>
                <w:sz w:val="22"/>
                <w:szCs w:val="22"/>
              </w:rPr>
            </w:pPr>
          </w:p>
        </w:tc>
        <w:tc>
          <w:tcPr>
            <w:tcW w:w="24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6252C4" w:rsidRPr="00A81964" w:rsidRDefault="006252C4" w:rsidP="00D04D4F">
            <w:pPr>
              <w:spacing w:line="269" w:lineRule="auto"/>
              <w:jc w:val="left"/>
              <w:rPr>
                <w:rFonts w:ascii="David" w:eastAsia="Times New Roman" w:hAnsi="David"/>
                <w:b/>
                <w:bCs/>
                <w:color w:val="000000"/>
                <w:sz w:val="22"/>
                <w:szCs w:val="22"/>
              </w:rPr>
            </w:pPr>
            <w:r w:rsidRPr="00A81964">
              <w:rPr>
                <w:rFonts w:ascii="David" w:eastAsia="Times New Roman" w:hAnsi="David"/>
                <w:b/>
                <w:bCs/>
                <w:color w:val="000000"/>
                <w:sz w:val="22"/>
                <w:szCs w:val="22"/>
                <w:rtl/>
              </w:rPr>
              <w:t>55,996</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6252C4" w:rsidRPr="00A81964" w:rsidRDefault="006252C4" w:rsidP="00D04D4F">
            <w:pPr>
              <w:spacing w:line="269" w:lineRule="auto"/>
              <w:jc w:val="left"/>
              <w:rPr>
                <w:rFonts w:ascii="David" w:eastAsia="Times New Roman" w:hAnsi="David"/>
                <w:b/>
                <w:bCs/>
                <w:color w:val="000000"/>
                <w:sz w:val="22"/>
                <w:szCs w:val="22"/>
                <w:rtl/>
              </w:rPr>
            </w:pPr>
            <w:r w:rsidRPr="00A81964">
              <w:rPr>
                <w:rFonts w:ascii="David" w:eastAsia="Times New Roman" w:hAnsi="David"/>
                <w:b/>
                <w:bCs/>
                <w:color w:val="000000"/>
                <w:sz w:val="22"/>
                <w:szCs w:val="22"/>
                <w:rtl/>
              </w:rPr>
              <w:t>כ-1.7 מיליארד ש"ח</w:t>
            </w:r>
          </w:p>
        </w:tc>
      </w:tr>
    </w:tbl>
    <w:p w:rsidR="006252C4" w:rsidRPr="00A81964" w:rsidRDefault="006252C4" w:rsidP="005C1E9C">
      <w:pPr>
        <w:spacing w:before="60" w:line="269" w:lineRule="auto"/>
        <w:rPr>
          <w:szCs w:val="20"/>
          <w:rtl/>
        </w:rPr>
      </w:pPr>
      <w:r w:rsidRPr="00A81964">
        <w:rPr>
          <w:rFonts w:hint="cs"/>
          <w:szCs w:val="20"/>
          <w:rtl/>
        </w:rPr>
        <w:t>ה</w:t>
      </w:r>
      <w:r w:rsidRPr="00A81964">
        <w:rPr>
          <w:rFonts w:hint="eastAsia"/>
          <w:szCs w:val="20"/>
          <w:rtl/>
        </w:rPr>
        <w:t>מקור</w:t>
      </w:r>
      <w:r w:rsidRPr="00A81964">
        <w:rPr>
          <w:szCs w:val="20"/>
          <w:rtl/>
        </w:rPr>
        <w:t xml:space="preserve">: </w:t>
      </w:r>
      <w:r w:rsidRPr="00AA0BEB">
        <w:rPr>
          <w:rFonts w:hint="cs"/>
          <w:szCs w:val="20"/>
          <w:rtl/>
        </w:rPr>
        <w:t>רשות המיסים</w:t>
      </w:r>
      <w:r w:rsidRPr="00A81964">
        <w:rPr>
          <w:rFonts w:hint="cs"/>
          <w:szCs w:val="20"/>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נוסף על פיצויים אלו, משנת 2014 ועד פרוץ מלחמת חרבות ברזל </w:t>
      </w:r>
      <w:r w:rsidRPr="00CA145E">
        <w:rPr>
          <w:rFonts w:hint="cs"/>
          <w:rtl/>
        </w:rPr>
        <w:t>שולמו פיצויים</w:t>
      </w:r>
      <w:r w:rsidRPr="00A81964">
        <w:rPr>
          <w:rFonts w:hint="cs"/>
          <w:rtl/>
        </w:rPr>
        <w:t xml:space="preserve"> בסך 264 מיליון ש"ח בגין כ-18,500 תביעות לפיצויים בגין נזקים ישירים שנגרמו </w:t>
      </w:r>
      <w:r>
        <w:rPr>
          <w:rFonts w:hint="cs"/>
          <w:rtl/>
        </w:rPr>
        <w:t xml:space="preserve">מפעולות טרור </w:t>
      </w:r>
      <w:r w:rsidRPr="00A81964">
        <w:rPr>
          <w:rFonts w:hint="cs"/>
          <w:rtl/>
        </w:rPr>
        <w:t xml:space="preserve">שלא </w:t>
      </w:r>
      <w:r>
        <w:rPr>
          <w:rFonts w:hint="cs"/>
          <w:rtl/>
        </w:rPr>
        <w:t xml:space="preserve">במהלך </w:t>
      </w:r>
      <w:r w:rsidRPr="00A81964">
        <w:rPr>
          <w:rFonts w:hint="cs"/>
          <w:rtl/>
        </w:rPr>
        <w:t>סבבי לחימה, כגון נזקים שנגרמו בשל יידו</w:t>
      </w:r>
      <w:r w:rsidRPr="00A81964">
        <w:rPr>
          <w:rFonts w:hint="eastAsia"/>
          <w:rtl/>
        </w:rPr>
        <w:t>י</w:t>
      </w:r>
      <w:r w:rsidRPr="00A81964">
        <w:rPr>
          <w:rFonts w:hint="cs"/>
          <w:rtl/>
        </w:rPr>
        <w:t xml:space="preserve"> אבנים על רכבים.</w:t>
      </w:r>
    </w:p>
    <w:p w:rsidR="006252C4" w:rsidRDefault="006252C4" w:rsidP="006252C4">
      <w:pPr>
        <w:pStyle w:val="a8"/>
        <w:spacing w:line="269" w:lineRule="auto"/>
        <w:rPr>
          <w:rtl/>
        </w:rPr>
      </w:pPr>
    </w:p>
    <w:p w:rsidR="006252C4" w:rsidRDefault="006252C4" w:rsidP="006252C4">
      <w:pPr>
        <w:bidi w:val="0"/>
        <w:spacing w:after="200" w:line="276" w:lineRule="auto"/>
      </w:pPr>
      <w:r>
        <w:rPr>
          <w:rtl/>
        </w:rPr>
        <w:br w:type="page"/>
      </w:r>
    </w:p>
    <w:p w:rsidR="006252C4" w:rsidRPr="00A81964" w:rsidRDefault="006252C4" w:rsidP="006252C4">
      <w:pPr>
        <w:spacing w:line="269" w:lineRule="auto"/>
        <w:rPr>
          <w:rtl/>
        </w:rPr>
      </w:pPr>
      <w:r w:rsidRPr="00A81964">
        <w:rPr>
          <w:rFonts w:hint="cs"/>
          <w:rtl/>
        </w:rPr>
        <w:lastRenderedPageBreak/>
        <w:t>מתחילת מלחמת חרבות ברזל ועד סוף דצמבר 2024 הוגשו כ-</w:t>
      </w:r>
      <w:r w:rsidRPr="00CA145E">
        <w:rPr>
          <w:rFonts w:hint="cs"/>
          <w:rtl/>
        </w:rPr>
        <w:t>59,000</w:t>
      </w:r>
      <w:r w:rsidRPr="00CA145E">
        <w:rPr>
          <w:rFonts w:hint="cs"/>
        </w:rPr>
        <w:t xml:space="preserve"> </w:t>
      </w:r>
      <w:r w:rsidRPr="00CA145E">
        <w:rPr>
          <w:rFonts w:hint="cs"/>
          <w:rtl/>
        </w:rPr>
        <w:t>תביעות</w:t>
      </w:r>
      <w:r w:rsidRPr="00A81964">
        <w:rPr>
          <w:rFonts w:hint="cs"/>
          <w:rtl/>
        </w:rPr>
        <w:t xml:space="preserve"> לפיצויים עבור נזקים ישירים, ובגינן שולמו פיצויים בסך של כ-1.9 מיליארד ש"ח. להלן בתרשים 1 התפלגות התביעות בגין נזקים ישירים שהוגשו במלחמת חרבות ברזל</w:t>
      </w:r>
      <w:r>
        <w:rPr>
          <w:rFonts w:hint="cs"/>
          <w:rtl/>
        </w:rPr>
        <w:t>, אוקטובר 2023</w:t>
      </w:r>
      <w:r w:rsidRPr="00A81964">
        <w:rPr>
          <w:rFonts w:hint="cs"/>
          <w:rtl/>
        </w:rPr>
        <w:t xml:space="preserve"> עד סוף דצמבר 2024, לפי סוגי הנזק.</w:t>
      </w:r>
    </w:p>
    <w:p w:rsidR="006252C4" w:rsidRDefault="006252C4" w:rsidP="006252C4">
      <w:pPr>
        <w:pStyle w:val="a8"/>
        <w:spacing w:line="269" w:lineRule="auto"/>
        <w:rPr>
          <w:rtl/>
        </w:rPr>
      </w:pPr>
    </w:p>
    <w:p w:rsidR="006252C4" w:rsidRPr="00A81964" w:rsidRDefault="006252C4" w:rsidP="006252C4">
      <w:pPr>
        <w:keepNext/>
        <w:keepLines/>
        <w:spacing w:line="269" w:lineRule="auto"/>
        <w:jc w:val="center"/>
        <w:rPr>
          <w:b/>
          <w:bCs/>
          <w:rtl/>
        </w:rPr>
      </w:pPr>
      <w:r w:rsidRPr="00A81964">
        <w:rPr>
          <w:rFonts w:hint="eastAsia"/>
          <w:rtl/>
        </w:rPr>
        <w:t>תרשים</w:t>
      </w:r>
      <w:r w:rsidRPr="00A81964">
        <w:rPr>
          <w:rtl/>
        </w:rPr>
        <w:t xml:space="preserve"> 1:</w:t>
      </w:r>
      <w:r w:rsidRPr="00A81964">
        <w:rPr>
          <w:b/>
          <w:bCs/>
          <w:rtl/>
        </w:rPr>
        <w:t xml:space="preserve"> התפלגות </w:t>
      </w:r>
      <w:r w:rsidRPr="00A81964">
        <w:rPr>
          <w:rFonts w:hint="cs"/>
          <w:b/>
          <w:bCs/>
          <w:rtl/>
        </w:rPr>
        <w:t xml:space="preserve">שיעורי </w:t>
      </w:r>
      <w:r w:rsidRPr="00A81964">
        <w:rPr>
          <w:b/>
          <w:bCs/>
          <w:rtl/>
        </w:rPr>
        <w:t xml:space="preserve">התביעות שהוגשו בגין נזקים ישירים </w:t>
      </w:r>
      <w:r w:rsidRPr="00A81964">
        <w:rPr>
          <w:rFonts w:hint="eastAsia"/>
          <w:b/>
          <w:bCs/>
          <w:rtl/>
        </w:rPr>
        <w:t>במלחמת</w:t>
      </w:r>
      <w:r w:rsidRPr="00A81964">
        <w:rPr>
          <w:b/>
          <w:bCs/>
          <w:rtl/>
        </w:rPr>
        <w:t xml:space="preserve"> </w:t>
      </w:r>
      <w:r w:rsidRPr="00A81964">
        <w:rPr>
          <w:rFonts w:hint="eastAsia"/>
          <w:b/>
          <w:bCs/>
          <w:rtl/>
        </w:rPr>
        <w:t>חרבות</w:t>
      </w:r>
      <w:r w:rsidRPr="00A81964">
        <w:rPr>
          <w:b/>
          <w:bCs/>
          <w:rtl/>
        </w:rPr>
        <w:t xml:space="preserve"> </w:t>
      </w:r>
      <w:r w:rsidRPr="00A81964">
        <w:rPr>
          <w:rFonts w:hint="eastAsia"/>
          <w:b/>
          <w:bCs/>
          <w:rtl/>
        </w:rPr>
        <w:t>ברזל</w:t>
      </w:r>
      <w:r w:rsidRPr="00A81964">
        <w:rPr>
          <w:b/>
          <w:bCs/>
          <w:rtl/>
        </w:rPr>
        <w:t xml:space="preserve">, </w:t>
      </w:r>
      <w:r w:rsidRPr="00A81964">
        <w:rPr>
          <w:rFonts w:hint="eastAsia"/>
          <w:b/>
          <w:bCs/>
          <w:rtl/>
        </w:rPr>
        <w:t>לפי</w:t>
      </w:r>
      <w:r w:rsidRPr="00A81964">
        <w:rPr>
          <w:b/>
          <w:bCs/>
          <w:rtl/>
        </w:rPr>
        <w:t xml:space="preserve"> </w:t>
      </w:r>
      <w:r w:rsidRPr="00A81964">
        <w:rPr>
          <w:rFonts w:hint="eastAsia"/>
          <w:b/>
          <w:bCs/>
          <w:rtl/>
        </w:rPr>
        <w:t>סוגי</w:t>
      </w:r>
      <w:r w:rsidRPr="00A81964">
        <w:rPr>
          <w:b/>
          <w:bCs/>
          <w:rtl/>
        </w:rPr>
        <w:t xml:space="preserve"> </w:t>
      </w:r>
      <w:r w:rsidRPr="00A81964">
        <w:rPr>
          <w:rFonts w:hint="eastAsia"/>
          <w:b/>
          <w:bCs/>
          <w:rtl/>
        </w:rPr>
        <w:t>הנזק</w:t>
      </w:r>
      <w:r w:rsidRPr="00A81964">
        <w:rPr>
          <w:rStyle w:val="af2"/>
          <w:b/>
          <w:bCs/>
          <w:rtl/>
        </w:rPr>
        <w:footnoteReference w:id="16"/>
      </w:r>
      <w:r w:rsidRPr="00A81964">
        <w:rPr>
          <w:b/>
          <w:bCs/>
          <w:rtl/>
        </w:rPr>
        <w:t xml:space="preserve">, </w:t>
      </w:r>
      <w:r w:rsidRPr="00A81964">
        <w:rPr>
          <w:rFonts w:hint="cs"/>
          <w:b/>
          <w:bCs/>
          <w:rtl/>
        </w:rPr>
        <w:t>אוקטובר 2023 -</w:t>
      </w:r>
      <w:r w:rsidRPr="00A81964">
        <w:rPr>
          <w:b/>
          <w:bCs/>
          <w:rtl/>
        </w:rPr>
        <w:t xml:space="preserve"> </w:t>
      </w:r>
      <w:r w:rsidRPr="00A81964">
        <w:rPr>
          <w:rFonts w:hint="eastAsia"/>
          <w:b/>
          <w:bCs/>
          <w:rtl/>
        </w:rPr>
        <w:t>דצמבר</w:t>
      </w:r>
      <w:r w:rsidRPr="00A81964">
        <w:rPr>
          <w:b/>
          <w:bCs/>
          <w:rtl/>
        </w:rPr>
        <w:t xml:space="preserve"> 2024</w:t>
      </w:r>
    </w:p>
    <w:p w:rsidR="006252C4" w:rsidRPr="00A81964" w:rsidRDefault="006252C4" w:rsidP="006252C4">
      <w:pPr>
        <w:spacing w:line="269" w:lineRule="auto"/>
        <w:jc w:val="center"/>
        <w:rPr>
          <w:rtl/>
        </w:rPr>
      </w:pPr>
      <w:r>
        <w:rPr>
          <w:noProof/>
        </w:rPr>
        <w:drawing>
          <wp:inline distT="0" distB="0" distL="0" distR="0" wp14:anchorId="2F582F96" wp14:editId="65265665">
            <wp:extent cx="3246120" cy="3257976"/>
            <wp:effectExtent l="0" t="0" r="0" b="0"/>
            <wp:docPr id="7" name="תמונה 7" descr="84% פרטי&#10;14% עסקי&#10;2% אח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0125" cy="3282069"/>
                    </a:xfrm>
                    <a:prstGeom prst="rect">
                      <a:avLst/>
                    </a:prstGeom>
                    <a:noFill/>
                    <a:ln>
                      <a:noFill/>
                    </a:ln>
                  </pic:spPr>
                </pic:pic>
              </a:graphicData>
            </a:graphic>
          </wp:inline>
        </w:drawing>
      </w:r>
    </w:p>
    <w:p w:rsidR="006252C4" w:rsidRPr="00A81964" w:rsidRDefault="006252C4" w:rsidP="006252C4">
      <w:pPr>
        <w:spacing w:line="269" w:lineRule="auto"/>
        <w:jc w:val="left"/>
        <w:rPr>
          <w:szCs w:val="20"/>
          <w:rtl/>
        </w:rPr>
      </w:pPr>
      <w:r w:rsidRPr="00A81964">
        <w:rPr>
          <w:rFonts w:hint="cs"/>
          <w:szCs w:val="20"/>
          <w:rtl/>
        </w:rPr>
        <w:t>על פי נתוני</w:t>
      </w:r>
      <w:r w:rsidRPr="00A81964">
        <w:rPr>
          <w:szCs w:val="20"/>
          <w:rtl/>
        </w:rPr>
        <w:t xml:space="preserve"> </w:t>
      </w:r>
      <w:r w:rsidRPr="008436F9">
        <w:rPr>
          <w:rFonts w:hint="cs"/>
          <w:szCs w:val="20"/>
          <w:rtl/>
        </w:rPr>
        <w:t>רשות המיסים, בעיבוד משרד מבקר המדינה</w:t>
      </w:r>
      <w:r w:rsidRPr="00A81964">
        <w:rPr>
          <w:rFonts w:hint="cs"/>
          <w:szCs w:val="20"/>
          <w:rtl/>
        </w:rPr>
        <w:t>.</w:t>
      </w:r>
    </w:p>
    <w:p w:rsidR="006252C4" w:rsidRDefault="006252C4" w:rsidP="006252C4">
      <w:pPr>
        <w:pStyle w:val="a8"/>
        <w:spacing w:line="269" w:lineRule="auto"/>
        <w:rPr>
          <w:rtl/>
        </w:rPr>
      </w:pPr>
    </w:p>
    <w:p w:rsidR="006252C4" w:rsidRDefault="006252C4" w:rsidP="006252C4">
      <w:pPr>
        <w:bidi w:val="0"/>
        <w:spacing w:after="200" w:line="276" w:lineRule="auto"/>
        <w:rPr>
          <w:rtl/>
        </w:rPr>
      </w:pPr>
      <w:r>
        <w:rPr>
          <w:rtl/>
        </w:rPr>
        <w:br w:type="page"/>
      </w:r>
    </w:p>
    <w:p w:rsidR="006252C4" w:rsidRDefault="006252C4" w:rsidP="006252C4">
      <w:pPr>
        <w:spacing w:line="269" w:lineRule="auto"/>
        <w:rPr>
          <w:rtl/>
        </w:rPr>
      </w:pPr>
      <w:r w:rsidRPr="00A81964">
        <w:rPr>
          <w:rFonts w:hint="cs"/>
          <w:rtl/>
        </w:rPr>
        <w:lastRenderedPageBreak/>
        <w:t>להלן בתרשים 2 התפלגות הפיצויים ששולמו בגין נזקים ישירים במלחמת חרבות ברזל</w:t>
      </w:r>
      <w:r>
        <w:rPr>
          <w:rFonts w:hint="cs"/>
          <w:rtl/>
        </w:rPr>
        <w:t>, אוקטובר 2023</w:t>
      </w:r>
      <w:r w:rsidRPr="00A81964">
        <w:rPr>
          <w:rFonts w:hint="cs"/>
          <w:rtl/>
        </w:rPr>
        <w:t xml:space="preserve"> עד סוף דצמבר 2024, לפי סוגי </w:t>
      </w:r>
      <w:r>
        <w:rPr>
          <w:rFonts w:hint="cs"/>
          <w:rtl/>
        </w:rPr>
        <w:t>הנכסים</w:t>
      </w:r>
      <w:r w:rsidRPr="00A81964">
        <w:rPr>
          <w:rFonts w:hint="cs"/>
          <w:rtl/>
        </w:rPr>
        <w:t xml:space="preserve"> </w:t>
      </w:r>
      <w:r>
        <w:rPr>
          <w:rFonts w:hint="cs"/>
          <w:rtl/>
        </w:rPr>
        <w:t>הניזוקים</w:t>
      </w:r>
      <w:r w:rsidRPr="00A81964">
        <w:rPr>
          <w:rFonts w:hint="cs"/>
          <w:rtl/>
        </w:rPr>
        <w:t>.</w:t>
      </w:r>
    </w:p>
    <w:p w:rsidR="006252C4" w:rsidRDefault="006252C4" w:rsidP="006252C4">
      <w:pPr>
        <w:spacing w:line="269" w:lineRule="auto"/>
        <w:rPr>
          <w:rtl/>
        </w:rPr>
      </w:pPr>
    </w:p>
    <w:p w:rsidR="006252C4" w:rsidRPr="00A81964" w:rsidRDefault="006252C4" w:rsidP="006252C4">
      <w:pPr>
        <w:keepNext/>
        <w:keepLines/>
        <w:spacing w:line="269" w:lineRule="auto"/>
        <w:jc w:val="center"/>
        <w:rPr>
          <w:b/>
          <w:bCs/>
          <w:rtl/>
        </w:rPr>
      </w:pPr>
      <w:r w:rsidRPr="00A81964">
        <w:rPr>
          <w:rFonts w:hint="eastAsia"/>
          <w:rtl/>
        </w:rPr>
        <w:t>תרשים</w:t>
      </w:r>
      <w:r w:rsidRPr="00A81964">
        <w:rPr>
          <w:rtl/>
        </w:rPr>
        <w:t xml:space="preserve"> 2:</w:t>
      </w:r>
      <w:r w:rsidRPr="00A81964">
        <w:rPr>
          <w:b/>
          <w:bCs/>
          <w:rtl/>
        </w:rPr>
        <w:t xml:space="preserve"> התפלגות </w:t>
      </w:r>
      <w:r w:rsidRPr="00A81964">
        <w:rPr>
          <w:rFonts w:hint="eastAsia"/>
          <w:b/>
          <w:bCs/>
          <w:rtl/>
        </w:rPr>
        <w:t>הפיצויים</w:t>
      </w:r>
      <w:r w:rsidRPr="00A81964">
        <w:rPr>
          <w:b/>
          <w:bCs/>
          <w:rtl/>
        </w:rPr>
        <w:t xml:space="preserve"> </w:t>
      </w:r>
      <w:r w:rsidRPr="00A81964">
        <w:rPr>
          <w:rFonts w:hint="eastAsia"/>
          <w:b/>
          <w:bCs/>
          <w:rtl/>
        </w:rPr>
        <w:t>ששולמו</w:t>
      </w:r>
      <w:r w:rsidRPr="00A81964">
        <w:rPr>
          <w:b/>
          <w:bCs/>
          <w:rtl/>
        </w:rPr>
        <w:t xml:space="preserve"> בגין נזקים ישירים </w:t>
      </w:r>
      <w:r w:rsidRPr="00A81964">
        <w:rPr>
          <w:rFonts w:hint="eastAsia"/>
          <w:b/>
          <w:bCs/>
          <w:rtl/>
        </w:rPr>
        <w:t>במלחמת</w:t>
      </w:r>
      <w:r w:rsidRPr="00A81964">
        <w:rPr>
          <w:b/>
          <w:bCs/>
          <w:rtl/>
        </w:rPr>
        <w:t xml:space="preserve"> </w:t>
      </w:r>
      <w:r w:rsidRPr="00A81964">
        <w:rPr>
          <w:rFonts w:hint="eastAsia"/>
          <w:b/>
          <w:bCs/>
          <w:rtl/>
        </w:rPr>
        <w:t>חרבות</w:t>
      </w:r>
      <w:r w:rsidRPr="00A81964">
        <w:rPr>
          <w:b/>
          <w:bCs/>
          <w:rtl/>
        </w:rPr>
        <w:t xml:space="preserve"> </w:t>
      </w:r>
      <w:r w:rsidRPr="00A81964">
        <w:rPr>
          <w:rFonts w:hint="eastAsia"/>
          <w:b/>
          <w:bCs/>
          <w:rtl/>
        </w:rPr>
        <w:t>ברזל</w:t>
      </w:r>
      <w:r w:rsidRPr="00A81964">
        <w:rPr>
          <w:b/>
          <w:bCs/>
          <w:rtl/>
        </w:rPr>
        <w:t xml:space="preserve">, </w:t>
      </w:r>
      <w:r w:rsidRPr="00A81964">
        <w:rPr>
          <w:rFonts w:hint="eastAsia"/>
          <w:b/>
          <w:bCs/>
          <w:rtl/>
        </w:rPr>
        <w:t>לפי</w:t>
      </w:r>
      <w:r w:rsidRPr="00A81964">
        <w:rPr>
          <w:b/>
          <w:bCs/>
          <w:rtl/>
        </w:rPr>
        <w:t xml:space="preserve"> </w:t>
      </w:r>
      <w:r w:rsidRPr="00A81964">
        <w:rPr>
          <w:rFonts w:hint="eastAsia"/>
          <w:b/>
          <w:bCs/>
          <w:rtl/>
        </w:rPr>
        <w:t>הנכס</w:t>
      </w:r>
      <w:r w:rsidRPr="00A81964">
        <w:rPr>
          <w:b/>
          <w:bCs/>
          <w:rtl/>
        </w:rPr>
        <w:t xml:space="preserve"> </w:t>
      </w:r>
      <w:r w:rsidRPr="00A81964">
        <w:rPr>
          <w:rFonts w:hint="eastAsia"/>
          <w:b/>
          <w:bCs/>
          <w:rtl/>
        </w:rPr>
        <w:t>הניזוק</w:t>
      </w:r>
      <w:r w:rsidRPr="00A81964">
        <w:rPr>
          <w:b/>
          <w:bCs/>
          <w:rtl/>
        </w:rPr>
        <w:t xml:space="preserve">, </w:t>
      </w:r>
      <w:r w:rsidRPr="00A81964">
        <w:rPr>
          <w:rFonts w:hint="cs"/>
          <w:b/>
          <w:bCs/>
          <w:rtl/>
        </w:rPr>
        <w:t xml:space="preserve">אוקטובר 2023 - </w:t>
      </w:r>
      <w:r w:rsidRPr="00A81964">
        <w:rPr>
          <w:rFonts w:hint="eastAsia"/>
          <w:b/>
          <w:bCs/>
          <w:rtl/>
        </w:rPr>
        <w:t>דצמבר</w:t>
      </w:r>
      <w:r w:rsidRPr="00A81964">
        <w:rPr>
          <w:b/>
          <w:bCs/>
          <w:rtl/>
        </w:rPr>
        <w:t xml:space="preserve"> 2024 (</w:t>
      </w:r>
      <w:r w:rsidRPr="00A81964">
        <w:rPr>
          <w:rFonts w:hint="eastAsia"/>
          <w:b/>
          <w:bCs/>
          <w:rtl/>
        </w:rPr>
        <w:t>במיליוני</w:t>
      </w:r>
      <w:r w:rsidRPr="00A81964">
        <w:rPr>
          <w:b/>
          <w:bCs/>
          <w:rtl/>
        </w:rPr>
        <w:t xml:space="preserve"> </w:t>
      </w:r>
      <w:r w:rsidRPr="00A81964">
        <w:rPr>
          <w:rFonts w:hint="eastAsia"/>
          <w:b/>
          <w:bCs/>
          <w:rtl/>
        </w:rPr>
        <w:t>ש</w:t>
      </w:r>
      <w:r w:rsidRPr="00A81964">
        <w:rPr>
          <w:b/>
          <w:bCs/>
          <w:rtl/>
        </w:rPr>
        <w:t>"ח</w:t>
      </w:r>
      <w:r w:rsidRPr="00A81964">
        <w:rPr>
          <w:rFonts w:hint="cs"/>
          <w:b/>
          <w:bCs/>
          <w:rtl/>
        </w:rPr>
        <w:t xml:space="preserve"> ובאחוזים</w:t>
      </w:r>
      <w:r w:rsidRPr="00A81964">
        <w:rPr>
          <w:b/>
          <w:bCs/>
          <w:rtl/>
        </w:rPr>
        <w:t>)</w:t>
      </w:r>
    </w:p>
    <w:p w:rsidR="006252C4" w:rsidRPr="00A81964" w:rsidRDefault="006252C4" w:rsidP="006252C4">
      <w:pPr>
        <w:spacing w:line="269" w:lineRule="auto"/>
        <w:jc w:val="center"/>
        <w:rPr>
          <w:rtl/>
        </w:rPr>
      </w:pPr>
      <w:r>
        <w:rPr>
          <w:noProof/>
        </w:rPr>
        <w:drawing>
          <wp:inline distT="0" distB="0" distL="0" distR="0" wp14:anchorId="0ACD56C8" wp14:editId="0286F454">
            <wp:extent cx="4349115" cy="2934540"/>
            <wp:effectExtent l="0" t="0" r="0" b="0"/>
            <wp:docPr id="62" name="תמונה 62" descr="מבנה 1,267 מיליון ש&quot;ח - 68%&#10;רכב 364 מיליון ש&quot;ח - 20%&#10;ציוד אישי ותכולה 118 מיליון ש&quot;ח - 6%&#10;מלאי 57 מיליון ש&quot;ח - 3%&#10;אחרים 56 מיליון ש&quot;ח -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9616" cy="2941625"/>
                    </a:xfrm>
                    <a:prstGeom prst="rect">
                      <a:avLst/>
                    </a:prstGeom>
                    <a:noFill/>
                    <a:ln>
                      <a:noFill/>
                    </a:ln>
                  </pic:spPr>
                </pic:pic>
              </a:graphicData>
            </a:graphic>
          </wp:inline>
        </w:drawing>
      </w:r>
    </w:p>
    <w:p w:rsidR="006252C4" w:rsidRPr="00A81964" w:rsidRDefault="006252C4" w:rsidP="006252C4">
      <w:pPr>
        <w:spacing w:line="269" w:lineRule="auto"/>
        <w:rPr>
          <w:szCs w:val="20"/>
          <w:rtl/>
        </w:rPr>
      </w:pPr>
      <w:r w:rsidRPr="00A81964">
        <w:rPr>
          <w:rFonts w:hint="cs"/>
          <w:szCs w:val="20"/>
          <w:rtl/>
        </w:rPr>
        <w:t>על פי נתוני</w:t>
      </w:r>
      <w:r w:rsidRPr="00A81964">
        <w:rPr>
          <w:szCs w:val="20"/>
          <w:rtl/>
        </w:rPr>
        <w:t xml:space="preserve"> </w:t>
      </w:r>
      <w:r w:rsidRPr="00AA0BEB">
        <w:rPr>
          <w:rFonts w:hint="cs"/>
          <w:szCs w:val="20"/>
          <w:rtl/>
        </w:rPr>
        <w:t>רשות המיסים, בעיבוד משרד מבקר המדינה</w:t>
      </w:r>
      <w:r w:rsidRPr="00A81964">
        <w:rPr>
          <w:rFonts w:hint="cs"/>
          <w:szCs w:val="20"/>
          <w:rtl/>
        </w:rPr>
        <w:t>.</w:t>
      </w:r>
    </w:p>
    <w:p w:rsidR="006252C4" w:rsidRDefault="006252C4" w:rsidP="006252C4">
      <w:pPr>
        <w:pStyle w:val="a8"/>
        <w:spacing w:line="269" w:lineRule="auto"/>
        <w:rPr>
          <w:rtl/>
        </w:rPr>
      </w:pPr>
    </w:p>
    <w:p w:rsidR="006252C4" w:rsidRDefault="006252C4" w:rsidP="006252C4">
      <w:pPr>
        <w:bidi w:val="0"/>
        <w:spacing w:after="200" w:line="276" w:lineRule="auto"/>
        <w:rPr>
          <w:rtl/>
        </w:rPr>
      </w:pPr>
      <w:r>
        <w:rPr>
          <w:rtl/>
        </w:rPr>
        <w:br w:type="page"/>
      </w:r>
    </w:p>
    <w:p w:rsidR="006252C4" w:rsidRPr="00A81964" w:rsidRDefault="006252C4" w:rsidP="006252C4">
      <w:pPr>
        <w:spacing w:line="269" w:lineRule="auto"/>
        <w:rPr>
          <w:rtl/>
        </w:rPr>
      </w:pPr>
      <w:r w:rsidRPr="00A81964">
        <w:rPr>
          <w:rFonts w:hint="cs"/>
          <w:rtl/>
        </w:rPr>
        <w:lastRenderedPageBreak/>
        <w:t xml:space="preserve">בתרשים 3 </w:t>
      </w:r>
      <w:r>
        <w:rPr>
          <w:rFonts w:hint="cs"/>
          <w:rtl/>
        </w:rPr>
        <w:t>ש</w:t>
      </w:r>
      <w:r w:rsidRPr="00A81964">
        <w:rPr>
          <w:rFonts w:hint="cs"/>
          <w:rtl/>
        </w:rPr>
        <w:t>להלן מוצגים סכומי הפיצויים ששולמו עבור תביעות לפיצויים בגין נזקים ישירים במלחמת חרבות ברזל</w:t>
      </w:r>
      <w:r>
        <w:rPr>
          <w:rFonts w:hint="cs"/>
          <w:rtl/>
        </w:rPr>
        <w:t>, אוקטובר 2023</w:t>
      </w:r>
      <w:r w:rsidRPr="00A81964">
        <w:rPr>
          <w:rFonts w:hint="cs"/>
          <w:rtl/>
        </w:rPr>
        <w:t xml:space="preserve"> עד סוף דצמבר 2024, לפי החודשים שבהם הוגשו התביעות.</w:t>
      </w:r>
    </w:p>
    <w:p w:rsidR="006252C4" w:rsidRPr="00A81964" w:rsidRDefault="006252C4" w:rsidP="006252C4">
      <w:pPr>
        <w:spacing w:line="269" w:lineRule="auto"/>
        <w:rPr>
          <w:rtl/>
        </w:rPr>
      </w:pPr>
    </w:p>
    <w:p w:rsidR="006252C4" w:rsidRPr="00A81964" w:rsidRDefault="006252C4" w:rsidP="006252C4">
      <w:pPr>
        <w:keepNext/>
        <w:keepLines/>
        <w:spacing w:line="269" w:lineRule="auto"/>
        <w:jc w:val="center"/>
        <w:rPr>
          <w:b/>
          <w:bCs/>
          <w:rtl/>
        </w:rPr>
      </w:pPr>
      <w:r w:rsidRPr="00A81964">
        <w:rPr>
          <w:rFonts w:hint="eastAsia"/>
          <w:rtl/>
        </w:rPr>
        <w:t>תרשים</w:t>
      </w:r>
      <w:r w:rsidRPr="00A81964">
        <w:rPr>
          <w:rtl/>
        </w:rPr>
        <w:t xml:space="preserve"> 3:</w:t>
      </w:r>
      <w:r w:rsidRPr="00A81964">
        <w:rPr>
          <w:b/>
          <w:bCs/>
          <w:rtl/>
        </w:rPr>
        <w:t xml:space="preserve"> סכומי </w:t>
      </w:r>
      <w:r w:rsidRPr="00A81964">
        <w:rPr>
          <w:rFonts w:hint="eastAsia"/>
          <w:b/>
          <w:bCs/>
          <w:rtl/>
        </w:rPr>
        <w:t>הפיצויים</w:t>
      </w:r>
      <w:r w:rsidRPr="00A81964">
        <w:rPr>
          <w:b/>
          <w:bCs/>
          <w:rtl/>
        </w:rPr>
        <w:t xml:space="preserve"> </w:t>
      </w:r>
      <w:r w:rsidRPr="00A81964">
        <w:rPr>
          <w:rFonts w:hint="eastAsia"/>
          <w:b/>
          <w:bCs/>
          <w:rtl/>
        </w:rPr>
        <w:t>ששולמו</w:t>
      </w:r>
      <w:r w:rsidRPr="00A81964">
        <w:rPr>
          <w:b/>
          <w:bCs/>
          <w:rtl/>
        </w:rPr>
        <w:t xml:space="preserve"> </w:t>
      </w:r>
      <w:r w:rsidRPr="00A81964">
        <w:rPr>
          <w:rFonts w:hint="eastAsia"/>
          <w:b/>
          <w:bCs/>
          <w:rtl/>
        </w:rPr>
        <w:t>עבור</w:t>
      </w:r>
      <w:r w:rsidRPr="00A81964">
        <w:rPr>
          <w:b/>
          <w:bCs/>
          <w:rtl/>
        </w:rPr>
        <w:t xml:space="preserve"> תביעות </w:t>
      </w:r>
      <w:r>
        <w:rPr>
          <w:rFonts w:hint="cs"/>
          <w:b/>
          <w:bCs/>
          <w:rtl/>
        </w:rPr>
        <w:t xml:space="preserve">לפיצויים </w:t>
      </w:r>
      <w:r w:rsidRPr="00A81964">
        <w:rPr>
          <w:b/>
          <w:bCs/>
          <w:rtl/>
        </w:rPr>
        <w:t xml:space="preserve">בגין נזקים ישירים </w:t>
      </w:r>
      <w:r w:rsidRPr="00A81964">
        <w:rPr>
          <w:rFonts w:hint="eastAsia"/>
          <w:b/>
          <w:bCs/>
          <w:rtl/>
        </w:rPr>
        <w:t>במלחמת</w:t>
      </w:r>
      <w:r w:rsidRPr="00A81964">
        <w:rPr>
          <w:b/>
          <w:bCs/>
          <w:rtl/>
        </w:rPr>
        <w:t xml:space="preserve"> </w:t>
      </w:r>
      <w:r w:rsidRPr="00A81964">
        <w:rPr>
          <w:rFonts w:hint="eastAsia"/>
          <w:b/>
          <w:bCs/>
          <w:rtl/>
        </w:rPr>
        <w:t>חרבות</w:t>
      </w:r>
      <w:r w:rsidRPr="00A81964">
        <w:rPr>
          <w:b/>
          <w:bCs/>
          <w:rtl/>
        </w:rPr>
        <w:t xml:space="preserve"> </w:t>
      </w:r>
      <w:r w:rsidRPr="00A81964">
        <w:rPr>
          <w:rFonts w:hint="eastAsia"/>
          <w:b/>
          <w:bCs/>
          <w:rtl/>
        </w:rPr>
        <w:t>ברזל</w:t>
      </w:r>
      <w:r w:rsidRPr="00A81964">
        <w:rPr>
          <w:b/>
          <w:bCs/>
          <w:rtl/>
        </w:rPr>
        <w:t xml:space="preserve">, </w:t>
      </w:r>
      <w:r w:rsidRPr="00A81964">
        <w:rPr>
          <w:rFonts w:hint="eastAsia"/>
          <w:b/>
          <w:bCs/>
          <w:rtl/>
        </w:rPr>
        <w:t>לפי</w:t>
      </w:r>
      <w:r w:rsidRPr="00A81964">
        <w:rPr>
          <w:b/>
          <w:bCs/>
          <w:rtl/>
        </w:rPr>
        <w:t xml:space="preserve"> </w:t>
      </w:r>
      <w:r w:rsidRPr="00A81964">
        <w:rPr>
          <w:rFonts w:hint="eastAsia"/>
          <w:b/>
          <w:bCs/>
          <w:rtl/>
        </w:rPr>
        <w:t>החודשים</w:t>
      </w:r>
      <w:r w:rsidRPr="00A81964">
        <w:rPr>
          <w:b/>
          <w:bCs/>
          <w:rtl/>
        </w:rPr>
        <w:t xml:space="preserve"> </w:t>
      </w:r>
      <w:r w:rsidRPr="00A81964">
        <w:rPr>
          <w:rFonts w:hint="cs"/>
          <w:b/>
          <w:bCs/>
          <w:rtl/>
        </w:rPr>
        <w:t>ש</w:t>
      </w:r>
      <w:r w:rsidRPr="00A81964">
        <w:rPr>
          <w:rFonts w:hint="eastAsia"/>
          <w:b/>
          <w:bCs/>
          <w:rtl/>
        </w:rPr>
        <w:t>בהם</w:t>
      </w:r>
      <w:r w:rsidRPr="00A81964">
        <w:rPr>
          <w:b/>
          <w:bCs/>
          <w:rtl/>
        </w:rPr>
        <w:t xml:space="preserve"> </w:t>
      </w:r>
      <w:r w:rsidRPr="00A81964">
        <w:rPr>
          <w:rFonts w:hint="eastAsia"/>
          <w:b/>
          <w:bCs/>
          <w:rtl/>
        </w:rPr>
        <w:t>הוגשו</w:t>
      </w:r>
      <w:r w:rsidRPr="00A81964">
        <w:rPr>
          <w:b/>
          <w:bCs/>
          <w:rtl/>
        </w:rPr>
        <w:t xml:space="preserve"> </w:t>
      </w:r>
      <w:r w:rsidRPr="00A81964">
        <w:rPr>
          <w:rFonts w:hint="eastAsia"/>
          <w:b/>
          <w:bCs/>
          <w:rtl/>
        </w:rPr>
        <w:t>התביעות</w:t>
      </w:r>
      <w:r w:rsidRPr="00A81964">
        <w:rPr>
          <w:b/>
          <w:bCs/>
          <w:rtl/>
        </w:rPr>
        <w:t xml:space="preserve">, </w:t>
      </w:r>
      <w:r w:rsidRPr="00A81964">
        <w:rPr>
          <w:rFonts w:hint="cs"/>
          <w:b/>
          <w:bCs/>
          <w:rtl/>
        </w:rPr>
        <w:t xml:space="preserve">אוקטובר 2023 - </w:t>
      </w:r>
      <w:r w:rsidRPr="00A81964">
        <w:rPr>
          <w:rFonts w:hint="eastAsia"/>
          <w:b/>
          <w:bCs/>
          <w:rtl/>
        </w:rPr>
        <w:t>דצמבר</w:t>
      </w:r>
      <w:r w:rsidRPr="00A81964">
        <w:rPr>
          <w:b/>
          <w:bCs/>
          <w:rtl/>
        </w:rPr>
        <w:t xml:space="preserve"> 2024 </w:t>
      </w:r>
      <w:r w:rsidRPr="00A81964">
        <w:rPr>
          <w:rFonts w:hint="cs"/>
          <w:b/>
          <w:bCs/>
          <w:rtl/>
        </w:rPr>
        <w:t>(</w:t>
      </w:r>
      <w:r w:rsidRPr="00A81964">
        <w:rPr>
          <w:rFonts w:hint="eastAsia"/>
          <w:b/>
          <w:bCs/>
          <w:rtl/>
        </w:rPr>
        <w:t>במיליוני</w:t>
      </w:r>
      <w:r w:rsidRPr="00A81964">
        <w:rPr>
          <w:b/>
          <w:bCs/>
          <w:rtl/>
        </w:rPr>
        <w:t xml:space="preserve"> </w:t>
      </w:r>
      <w:r w:rsidRPr="00A81964">
        <w:rPr>
          <w:rFonts w:hint="eastAsia"/>
          <w:b/>
          <w:bCs/>
          <w:rtl/>
        </w:rPr>
        <w:t>ש</w:t>
      </w:r>
      <w:r w:rsidRPr="00A81964">
        <w:rPr>
          <w:b/>
          <w:bCs/>
          <w:rtl/>
        </w:rPr>
        <w:t>"ח</w:t>
      </w:r>
      <w:r w:rsidRPr="00A81964">
        <w:rPr>
          <w:rFonts w:hint="cs"/>
          <w:b/>
          <w:bCs/>
          <w:rtl/>
        </w:rPr>
        <w:t>)</w:t>
      </w:r>
    </w:p>
    <w:p w:rsidR="006252C4" w:rsidRPr="00A81964" w:rsidRDefault="006252C4" w:rsidP="006252C4">
      <w:pPr>
        <w:spacing w:line="269" w:lineRule="auto"/>
        <w:jc w:val="center"/>
        <w:rPr>
          <w:rtl/>
        </w:rPr>
      </w:pPr>
      <w:r>
        <w:rPr>
          <w:noProof/>
        </w:rPr>
        <w:drawing>
          <wp:inline distT="0" distB="0" distL="0" distR="0" wp14:anchorId="0E57DA70" wp14:editId="5B63BCB3">
            <wp:extent cx="5213350" cy="2838450"/>
            <wp:effectExtent l="0" t="0" r="6350" b="0"/>
            <wp:docPr id="11" name="תמונה 11" descr="אוקטובר 2023  874 &#10;נובמבר 2023  274 &#10;דצמבר 2023  133 &#10;ינואר 2024  66 &#10;פברואר 2024  38 &#10;מרץ 2024  35 &#10;אפריל 2024  47 &#10;מאי 2024  58 &#10;יוני 2024  32 &#10;יולי 2024  33 &#10;אוגוסט 2024  22 &#10;ספטמבר 2024  33 &#10;אוקטובר 2024  122 &#10;נובמבר 2024  81 &#10;דצמבר 2024  1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3350" cy="2838450"/>
                    </a:xfrm>
                    <a:prstGeom prst="rect">
                      <a:avLst/>
                    </a:prstGeom>
                    <a:noFill/>
                    <a:ln>
                      <a:noFill/>
                    </a:ln>
                  </pic:spPr>
                </pic:pic>
              </a:graphicData>
            </a:graphic>
          </wp:inline>
        </w:drawing>
      </w:r>
    </w:p>
    <w:p w:rsidR="006252C4" w:rsidRPr="00FF29B6" w:rsidRDefault="006252C4" w:rsidP="006252C4">
      <w:pPr>
        <w:spacing w:line="269" w:lineRule="auto"/>
        <w:rPr>
          <w:szCs w:val="20"/>
          <w:rtl/>
        </w:rPr>
      </w:pPr>
      <w:r w:rsidRPr="00A81964">
        <w:rPr>
          <w:rFonts w:hint="cs"/>
          <w:szCs w:val="20"/>
          <w:rtl/>
        </w:rPr>
        <w:t>על פי נתוני</w:t>
      </w:r>
      <w:r w:rsidRPr="00A81964">
        <w:rPr>
          <w:szCs w:val="20"/>
          <w:rtl/>
        </w:rPr>
        <w:t xml:space="preserve"> </w:t>
      </w:r>
      <w:r w:rsidRPr="00AA0BEB">
        <w:rPr>
          <w:rFonts w:hint="cs"/>
          <w:szCs w:val="20"/>
          <w:rtl/>
        </w:rPr>
        <w:t>רשות המיסים, בעיבוד משרד מבקר המדינה</w:t>
      </w:r>
      <w:r w:rsidRPr="00FF29B6">
        <w:rPr>
          <w:rFonts w:hint="cs"/>
          <w:szCs w:val="20"/>
          <w:rtl/>
        </w:rPr>
        <w:t>.</w:t>
      </w:r>
    </w:p>
    <w:p w:rsidR="006252C4" w:rsidRDefault="006252C4" w:rsidP="006252C4">
      <w:pPr>
        <w:pStyle w:val="a8"/>
        <w:spacing w:line="269" w:lineRule="auto"/>
        <w:rPr>
          <w:rtl/>
        </w:rPr>
      </w:pPr>
    </w:p>
    <w:p w:rsidR="006252C4" w:rsidRDefault="006252C4" w:rsidP="006252C4">
      <w:pPr>
        <w:bidi w:val="0"/>
        <w:spacing w:after="200" w:line="276" w:lineRule="auto"/>
        <w:rPr>
          <w:rtl/>
        </w:rPr>
      </w:pPr>
      <w:r>
        <w:rPr>
          <w:rtl/>
        </w:rPr>
        <w:br w:type="page"/>
      </w:r>
    </w:p>
    <w:p w:rsidR="006252C4" w:rsidRPr="00A81964" w:rsidRDefault="006252C4" w:rsidP="006252C4">
      <w:pPr>
        <w:spacing w:line="269" w:lineRule="auto"/>
        <w:rPr>
          <w:rtl/>
        </w:rPr>
      </w:pPr>
      <w:r w:rsidRPr="00A81964">
        <w:rPr>
          <w:rFonts w:hint="cs"/>
          <w:rtl/>
        </w:rPr>
        <w:lastRenderedPageBreak/>
        <w:t xml:space="preserve">בתרשים 4 </w:t>
      </w:r>
      <w:r>
        <w:rPr>
          <w:rFonts w:hint="cs"/>
          <w:rtl/>
        </w:rPr>
        <w:t>ש</w:t>
      </w:r>
      <w:r w:rsidRPr="00A81964">
        <w:rPr>
          <w:rFonts w:hint="cs"/>
          <w:rtl/>
        </w:rPr>
        <w:t>להלן מוצגת התפלגות הפיצויים ששולמו עבור תביעות לפיצויים בגין נזקים ישירים במלחמת חרבות ברזל עד סוף דצמבר 2024 בין האזורים השונים בארץ.</w:t>
      </w:r>
    </w:p>
    <w:p w:rsidR="006252C4" w:rsidRPr="00A81964" w:rsidRDefault="006252C4" w:rsidP="006252C4">
      <w:pPr>
        <w:spacing w:line="269" w:lineRule="auto"/>
        <w:rPr>
          <w:rtl/>
        </w:rPr>
      </w:pPr>
    </w:p>
    <w:p w:rsidR="006252C4" w:rsidRPr="00A81964" w:rsidRDefault="006252C4" w:rsidP="006252C4">
      <w:pPr>
        <w:keepNext/>
        <w:keepLines/>
        <w:spacing w:line="269" w:lineRule="auto"/>
        <w:jc w:val="center"/>
        <w:rPr>
          <w:b/>
          <w:bCs/>
          <w:rtl/>
        </w:rPr>
      </w:pPr>
      <w:r w:rsidRPr="00A81964">
        <w:rPr>
          <w:rFonts w:hint="eastAsia"/>
          <w:rtl/>
        </w:rPr>
        <w:t>תרשים</w:t>
      </w:r>
      <w:r w:rsidRPr="00A81964">
        <w:rPr>
          <w:rFonts w:hint="cs"/>
          <w:rtl/>
        </w:rPr>
        <w:t xml:space="preserve"> 4</w:t>
      </w:r>
      <w:r w:rsidRPr="00A81964">
        <w:rPr>
          <w:rtl/>
        </w:rPr>
        <w:t>:</w:t>
      </w:r>
      <w:r w:rsidRPr="00A81964">
        <w:rPr>
          <w:b/>
          <w:bCs/>
          <w:rtl/>
        </w:rPr>
        <w:t xml:space="preserve"> התפלגות </w:t>
      </w:r>
      <w:r w:rsidRPr="00A81964">
        <w:rPr>
          <w:rFonts w:hint="eastAsia"/>
          <w:b/>
          <w:bCs/>
          <w:rtl/>
        </w:rPr>
        <w:t>הפיצויים</w:t>
      </w:r>
      <w:r w:rsidRPr="00A81964">
        <w:rPr>
          <w:b/>
          <w:bCs/>
          <w:rtl/>
        </w:rPr>
        <w:t xml:space="preserve"> </w:t>
      </w:r>
      <w:r w:rsidRPr="00A81964">
        <w:rPr>
          <w:rFonts w:hint="eastAsia"/>
          <w:b/>
          <w:bCs/>
          <w:rtl/>
        </w:rPr>
        <w:t>ששולמו</w:t>
      </w:r>
      <w:r w:rsidRPr="00A81964">
        <w:rPr>
          <w:b/>
          <w:bCs/>
          <w:rtl/>
        </w:rPr>
        <w:t xml:space="preserve"> </w:t>
      </w:r>
      <w:r w:rsidRPr="00A81964">
        <w:rPr>
          <w:rFonts w:hint="eastAsia"/>
          <w:b/>
          <w:bCs/>
          <w:rtl/>
        </w:rPr>
        <w:t>עבור</w:t>
      </w:r>
      <w:r w:rsidRPr="00A81964">
        <w:rPr>
          <w:b/>
          <w:bCs/>
          <w:rtl/>
        </w:rPr>
        <w:t xml:space="preserve"> תביעות בגין נזקים ישירים </w:t>
      </w:r>
      <w:r w:rsidRPr="00A81964">
        <w:rPr>
          <w:rFonts w:hint="eastAsia"/>
          <w:b/>
          <w:bCs/>
          <w:rtl/>
        </w:rPr>
        <w:t>במלחמת</w:t>
      </w:r>
      <w:r w:rsidRPr="00A81964">
        <w:rPr>
          <w:b/>
          <w:bCs/>
          <w:rtl/>
        </w:rPr>
        <w:t xml:space="preserve"> </w:t>
      </w:r>
      <w:r w:rsidRPr="00A81964">
        <w:rPr>
          <w:rFonts w:hint="eastAsia"/>
          <w:b/>
          <w:bCs/>
          <w:rtl/>
        </w:rPr>
        <w:t>חרבות</w:t>
      </w:r>
      <w:r w:rsidRPr="00A81964">
        <w:rPr>
          <w:b/>
          <w:bCs/>
          <w:rtl/>
        </w:rPr>
        <w:t xml:space="preserve"> </w:t>
      </w:r>
      <w:r w:rsidRPr="00A81964">
        <w:rPr>
          <w:rFonts w:hint="eastAsia"/>
          <w:b/>
          <w:bCs/>
          <w:rtl/>
        </w:rPr>
        <w:t>ברזל</w:t>
      </w:r>
      <w:r w:rsidRPr="00A81964">
        <w:rPr>
          <w:rFonts w:hint="cs"/>
          <w:b/>
          <w:bCs/>
          <w:rtl/>
        </w:rPr>
        <w:t>,</w:t>
      </w:r>
      <w:r w:rsidRPr="00A81964">
        <w:rPr>
          <w:b/>
          <w:bCs/>
          <w:rtl/>
        </w:rPr>
        <w:t xml:space="preserve"> </w:t>
      </w:r>
      <w:r w:rsidRPr="00A81964">
        <w:rPr>
          <w:rFonts w:hint="cs"/>
          <w:b/>
          <w:bCs/>
          <w:rtl/>
        </w:rPr>
        <w:t>לפי</w:t>
      </w:r>
      <w:r w:rsidRPr="00A81964">
        <w:rPr>
          <w:b/>
          <w:bCs/>
          <w:rtl/>
        </w:rPr>
        <w:t xml:space="preserve"> </w:t>
      </w:r>
      <w:r w:rsidRPr="00A81964">
        <w:rPr>
          <w:rFonts w:hint="eastAsia"/>
          <w:b/>
          <w:bCs/>
          <w:rtl/>
        </w:rPr>
        <w:t>אזורים</w:t>
      </w:r>
      <w:r w:rsidRPr="00A81964">
        <w:rPr>
          <w:b/>
          <w:bCs/>
          <w:rtl/>
        </w:rPr>
        <w:t xml:space="preserve">, </w:t>
      </w:r>
      <w:r w:rsidRPr="00A81964">
        <w:rPr>
          <w:rFonts w:hint="cs"/>
          <w:b/>
          <w:bCs/>
          <w:rtl/>
        </w:rPr>
        <w:t xml:space="preserve">אוקטובר 2023 - </w:t>
      </w:r>
      <w:r w:rsidRPr="00A81964">
        <w:rPr>
          <w:rFonts w:hint="eastAsia"/>
          <w:b/>
          <w:bCs/>
          <w:rtl/>
        </w:rPr>
        <w:t>דצמבר</w:t>
      </w:r>
      <w:r w:rsidRPr="00A81964">
        <w:rPr>
          <w:b/>
          <w:bCs/>
          <w:rtl/>
        </w:rPr>
        <w:t xml:space="preserve"> 2024</w:t>
      </w:r>
      <w:r w:rsidRPr="00A81964">
        <w:rPr>
          <w:rFonts w:hint="cs"/>
          <w:b/>
          <w:bCs/>
          <w:rtl/>
        </w:rPr>
        <w:t xml:space="preserve"> (באחוזים)</w:t>
      </w:r>
    </w:p>
    <w:p w:rsidR="006252C4" w:rsidRPr="00A81964" w:rsidRDefault="006252C4" w:rsidP="006252C4">
      <w:pPr>
        <w:spacing w:line="269" w:lineRule="auto"/>
        <w:jc w:val="center"/>
        <w:rPr>
          <w:u w:val="single"/>
          <w:rtl/>
        </w:rPr>
      </w:pPr>
      <w:r>
        <w:rPr>
          <w:noProof/>
        </w:rPr>
        <w:drawing>
          <wp:inline distT="0" distB="0" distL="0" distR="0" wp14:anchorId="1C4B10D9" wp14:editId="06D204F1">
            <wp:extent cx="5293978" cy="3152775"/>
            <wp:effectExtent l="0" t="0" r="2540" b="0"/>
            <wp:docPr id="16" name="תמונה 1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1638" cy="3163292"/>
                    </a:xfrm>
                    <a:prstGeom prst="rect">
                      <a:avLst/>
                    </a:prstGeom>
                    <a:noFill/>
                    <a:ln>
                      <a:noFill/>
                    </a:ln>
                  </pic:spPr>
                </pic:pic>
              </a:graphicData>
            </a:graphic>
          </wp:inline>
        </w:drawing>
      </w:r>
    </w:p>
    <w:p w:rsidR="006252C4" w:rsidRPr="00A81964" w:rsidRDefault="006252C4" w:rsidP="006252C4">
      <w:pPr>
        <w:spacing w:line="269" w:lineRule="auto"/>
        <w:rPr>
          <w:color w:val="0000FF" w:themeColor="hyperlink"/>
          <w:szCs w:val="20"/>
          <w:u w:val="single"/>
          <w:rtl/>
        </w:rPr>
      </w:pPr>
      <w:r w:rsidRPr="00A81964">
        <w:rPr>
          <w:rFonts w:hint="cs"/>
          <w:szCs w:val="20"/>
          <w:rtl/>
        </w:rPr>
        <w:t>על פי נתוני</w:t>
      </w:r>
      <w:r w:rsidRPr="00A81964">
        <w:rPr>
          <w:szCs w:val="20"/>
          <w:rtl/>
        </w:rPr>
        <w:t xml:space="preserve"> </w:t>
      </w:r>
      <w:r w:rsidRPr="00AA0BEB">
        <w:rPr>
          <w:rFonts w:hint="cs"/>
          <w:szCs w:val="20"/>
          <w:rtl/>
        </w:rPr>
        <w:t>רשות המיסים, בעיבוד משרד מבקר המדינה</w:t>
      </w:r>
      <w:r w:rsidRPr="0055641B">
        <w:rPr>
          <w:rFonts w:hint="cs"/>
          <w:szCs w:val="20"/>
          <w:rtl/>
        </w:rPr>
        <w:t>.</w:t>
      </w:r>
    </w:p>
    <w:p w:rsidR="006252C4" w:rsidRDefault="006252C4" w:rsidP="006252C4">
      <w:pPr>
        <w:pStyle w:val="a8"/>
        <w:spacing w:line="269" w:lineRule="auto"/>
        <w:rPr>
          <w:rtl/>
        </w:rPr>
      </w:pPr>
    </w:p>
    <w:p w:rsidR="006252C4" w:rsidRPr="00052E9F" w:rsidRDefault="006252C4" w:rsidP="006252C4">
      <w:pPr>
        <w:spacing w:line="269" w:lineRule="auto"/>
        <w:rPr>
          <w:b/>
          <w:bCs/>
          <w:rtl/>
        </w:rPr>
      </w:pPr>
      <w:r w:rsidRPr="00052E9F">
        <w:rPr>
          <w:b/>
          <w:bCs/>
          <w:rtl/>
        </w:rPr>
        <w:t>מתרשים 4 עולה כי כ-1.1 מיליארד ש"ח (60%) מהפיצויים שולמו בגין נזקים ישירים ב</w:t>
      </w:r>
      <w:r w:rsidRPr="00052E9F">
        <w:rPr>
          <w:rFonts w:hint="cs"/>
          <w:b/>
          <w:bCs/>
          <w:rtl/>
        </w:rPr>
        <w:t>אזור ה</w:t>
      </w:r>
      <w:r w:rsidRPr="00052E9F">
        <w:rPr>
          <w:b/>
          <w:bCs/>
          <w:rtl/>
        </w:rPr>
        <w:t xml:space="preserve">דרום, </w:t>
      </w:r>
      <w:r>
        <w:rPr>
          <w:b/>
          <w:bCs/>
          <w:rtl/>
        </w:rPr>
        <w:br/>
      </w:r>
      <w:r w:rsidRPr="00052E9F">
        <w:rPr>
          <w:b/>
          <w:bCs/>
          <w:rtl/>
        </w:rPr>
        <w:t>כ-416 מיליון ש"ח (22%) בגין נזקים ישירים באזור המרכז וירושלים וכ-329 מיליון ש"ח (18%) בגין נזקים ישירים באזור הצפון. יצוין כי הנתונים נכונים לדצמבר 2024 ומרבית מהתביעות בגין נזק ישיר באזור הצפון טרם הוגשו עד למועד זה.</w:t>
      </w:r>
    </w:p>
    <w:p w:rsidR="006252C4" w:rsidRDefault="006252C4" w:rsidP="006252C4">
      <w:pPr>
        <w:pStyle w:val="a8"/>
        <w:spacing w:line="269" w:lineRule="auto"/>
        <w:rPr>
          <w:rtl/>
        </w:rPr>
      </w:pPr>
    </w:p>
    <w:p w:rsidR="006252C4" w:rsidRDefault="006252C4" w:rsidP="006252C4">
      <w:pPr>
        <w:bidi w:val="0"/>
        <w:spacing w:after="200" w:line="276" w:lineRule="auto"/>
        <w:rPr>
          <w:rtl/>
        </w:rPr>
      </w:pPr>
      <w:r>
        <w:rPr>
          <w:rtl/>
        </w:rPr>
        <w:br w:type="page"/>
      </w:r>
    </w:p>
    <w:p w:rsidR="006252C4" w:rsidRDefault="006252C4" w:rsidP="006252C4">
      <w:pPr>
        <w:spacing w:line="269" w:lineRule="auto"/>
        <w:rPr>
          <w:rtl/>
        </w:rPr>
      </w:pPr>
      <w:r w:rsidRPr="00A81964">
        <w:rPr>
          <w:rFonts w:hint="cs"/>
          <w:rtl/>
        </w:rPr>
        <w:lastRenderedPageBreak/>
        <w:t xml:space="preserve">בתרשים 5 </w:t>
      </w:r>
      <w:r>
        <w:rPr>
          <w:rFonts w:hint="cs"/>
          <w:rtl/>
        </w:rPr>
        <w:t>ש</w:t>
      </w:r>
      <w:r w:rsidRPr="00A81964">
        <w:rPr>
          <w:rFonts w:hint="cs"/>
          <w:rtl/>
        </w:rPr>
        <w:t>להלן מוצגת התפלגות התביעות לפיצויים בגין נזקים ישירים במלחמת חרבות ברזל עד סוף דצמבר 2024, לפי מצב הטיפול בהן.</w:t>
      </w:r>
    </w:p>
    <w:p w:rsidR="006252C4" w:rsidRDefault="006252C4" w:rsidP="006252C4">
      <w:pPr>
        <w:spacing w:line="269" w:lineRule="auto"/>
        <w:jc w:val="center"/>
        <w:rPr>
          <w:rtl/>
        </w:rPr>
      </w:pPr>
    </w:p>
    <w:p w:rsidR="006252C4" w:rsidRPr="00A81964" w:rsidRDefault="006252C4" w:rsidP="006252C4">
      <w:pPr>
        <w:keepNext/>
        <w:keepLines/>
        <w:spacing w:line="269" w:lineRule="auto"/>
        <w:jc w:val="center"/>
        <w:rPr>
          <w:b/>
          <w:bCs/>
          <w:rtl/>
        </w:rPr>
      </w:pPr>
      <w:r w:rsidRPr="00A81964">
        <w:rPr>
          <w:rFonts w:hint="eastAsia"/>
          <w:rtl/>
        </w:rPr>
        <w:t>תרשים</w:t>
      </w:r>
      <w:r w:rsidRPr="00A81964">
        <w:rPr>
          <w:rFonts w:hint="cs"/>
          <w:rtl/>
        </w:rPr>
        <w:t xml:space="preserve"> 5</w:t>
      </w:r>
      <w:r w:rsidRPr="00A81964">
        <w:rPr>
          <w:rtl/>
        </w:rPr>
        <w:t>:</w:t>
      </w:r>
      <w:r w:rsidRPr="00A81964">
        <w:rPr>
          <w:b/>
          <w:bCs/>
          <w:rtl/>
        </w:rPr>
        <w:t xml:space="preserve"> התפלגות </w:t>
      </w:r>
      <w:r w:rsidRPr="00A81964">
        <w:rPr>
          <w:rFonts w:hint="eastAsia"/>
          <w:b/>
          <w:bCs/>
          <w:rtl/>
        </w:rPr>
        <w:t>התביעות</w:t>
      </w:r>
      <w:r w:rsidRPr="00A81964">
        <w:rPr>
          <w:b/>
          <w:bCs/>
          <w:rtl/>
        </w:rPr>
        <w:t xml:space="preserve"> לפיצויים בגין נזקים ישירים </w:t>
      </w:r>
      <w:r w:rsidRPr="00A81964">
        <w:rPr>
          <w:rFonts w:hint="eastAsia"/>
          <w:b/>
          <w:bCs/>
          <w:rtl/>
        </w:rPr>
        <w:t>במלחמת</w:t>
      </w:r>
      <w:r w:rsidRPr="00A81964">
        <w:rPr>
          <w:b/>
          <w:bCs/>
          <w:rtl/>
        </w:rPr>
        <w:t xml:space="preserve"> </w:t>
      </w:r>
      <w:r w:rsidRPr="00A81964">
        <w:rPr>
          <w:rFonts w:hint="eastAsia"/>
          <w:b/>
          <w:bCs/>
          <w:rtl/>
        </w:rPr>
        <w:t>חרבות</w:t>
      </w:r>
      <w:r w:rsidRPr="00A81964">
        <w:rPr>
          <w:b/>
          <w:bCs/>
          <w:rtl/>
        </w:rPr>
        <w:t xml:space="preserve"> </w:t>
      </w:r>
      <w:r w:rsidRPr="00A81964">
        <w:rPr>
          <w:rFonts w:hint="eastAsia"/>
          <w:b/>
          <w:bCs/>
          <w:rtl/>
        </w:rPr>
        <w:t>ברזל</w:t>
      </w:r>
      <w:r w:rsidRPr="00A81964">
        <w:rPr>
          <w:b/>
          <w:bCs/>
          <w:rtl/>
        </w:rPr>
        <w:t xml:space="preserve">, </w:t>
      </w:r>
      <w:r w:rsidRPr="00A81964">
        <w:rPr>
          <w:rFonts w:hint="eastAsia"/>
          <w:b/>
          <w:bCs/>
          <w:rtl/>
        </w:rPr>
        <w:t>לפי</w:t>
      </w:r>
      <w:r w:rsidRPr="00A81964">
        <w:rPr>
          <w:b/>
          <w:bCs/>
          <w:rtl/>
        </w:rPr>
        <w:t xml:space="preserve"> </w:t>
      </w:r>
      <w:r w:rsidRPr="00A81964">
        <w:rPr>
          <w:rFonts w:hint="eastAsia"/>
          <w:b/>
          <w:bCs/>
          <w:rtl/>
        </w:rPr>
        <w:t>מצב</w:t>
      </w:r>
      <w:r w:rsidRPr="00A81964">
        <w:rPr>
          <w:b/>
          <w:bCs/>
          <w:rtl/>
        </w:rPr>
        <w:t xml:space="preserve"> </w:t>
      </w:r>
      <w:r w:rsidRPr="00A81964">
        <w:rPr>
          <w:rFonts w:hint="eastAsia"/>
          <w:b/>
          <w:bCs/>
          <w:rtl/>
        </w:rPr>
        <w:t>הטיפול</w:t>
      </w:r>
      <w:r w:rsidRPr="00A81964">
        <w:rPr>
          <w:b/>
          <w:bCs/>
          <w:rtl/>
        </w:rPr>
        <w:t xml:space="preserve"> </w:t>
      </w:r>
      <w:r w:rsidRPr="00A81964">
        <w:rPr>
          <w:rFonts w:hint="eastAsia"/>
          <w:b/>
          <w:bCs/>
          <w:rtl/>
        </w:rPr>
        <w:t>בהן</w:t>
      </w:r>
      <w:r w:rsidRPr="00A81964">
        <w:rPr>
          <w:b/>
          <w:bCs/>
          <w:rtl/>
        </w:rPr>
        <w:t xml:space="preserve">, </w:t>
      </w:r>
      <w:r w:rsidRPr="00A81964">
        <w:rPr>
          <w:rFonts w:hint="cs"/>
          <w:b/>
          <w:bCs/>
          <w:rtl/>
        </w:rPr>
        <w:t xml:space="preserve">אוקטובר 2023 - </w:t>
      </w:r>
      <w:r w:rsidRPr="00A81964">
        <w:rPr>
          <w:rFonts w:hint="eastAsia"/>
          <w:b/>
          <w:bCs/>
          <w:rtl/>
        </w:rPr>
        <w:t>דצמבר</w:t>
      </w:r>
      <w:r w:rsidRPr="00A81964">
        <w:rPr>
          <w:b/>
          <w:bCs/>
          <w:rtl/>
        </w:rPr>
        <w:t xml:space="preserve"> 2024</w:t>
      </w:r>
      <w:r w:rsidRPr="00A81964">
        <w:rPr>
          <w:rFonts w:hint="cs"/>
          <w:b/>
          <w:bCs/>
          <w:rtl/>
        </w:rPr>
        <w:t xml:space="preserve"> (במספר תיקים ובאחוזים)</w:t>
      </w:r>
    </w:p>
    <w:p w:rsidR="006252C4" w:rsidRPr="00A81964" w:rsidRDefault="006252C4" w:rsidP="006252C4">
      <w:pPr>
        <w:spacing w:line="269" w:lineRule="auto"/>
        <w:jc w:val="center"/>
        <w:rPr>
          <w:rtl/>
        </w:rPr>
      </w:pPr>
      <w:r>
        <w:rPr>
          <w:noProof/>
        </w:rPr>
        <w:drawing>
          <wp:inline distT="0" distB="0" distL="0" distR="0" wp14:anchorId="42143631" wp14:editId="1C6FC8D3">
            <wp:extent cx="4780280" cy="2641581"/>
            <wp:effectExtent l="0" t="0" r="1270" b="6985"/>
            <wp:docPr id="22" name="תמונה 22" descr="תוכן התרשים מופיע בטקסט&#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824"/>
                    <a:stretch/>
                  </pic:blipFill>
                  <pic:spPr bwMode="auto">
                    <a:xfrm>
                      <a:off x="0" y="0"/>
                      <a:ext cx="4794847" cy="2649631"/>
                    </a:xfrm>
                    <a:prstGeom prst="rect">
                      <a:avLst/>
                    </a:prstGeom>
                    <a:noFill/>
                    <a:ln>
                      <a:noFill/>
                    </a:ln>
                    <a:extLst>
                      <a:ext uri="{53640926-AAD7-44D8-BBD7-CCE9431645EC}">
                        <a14:shadowObscured xmlns:a14="http://schemas.microsoft.com/office/drawing/2010/main"/>
                      </a:ext>
                    </a:extLst>
                  </pic:spPr>
                </pic:pic>
              </a:graphicData>
            </a:graphic>
          </wp:inline>
        </w:drawing>
      </w:r>
    </w:p>
    <w:p w:rsidR="006252C4" w:rsidRPr="009E02AD" w:rsidRDefault="006252C4" w:rsidP="006252C4">
      <w:pPr>
        <w:spacing w:line="269" w:lineRule="auto"/>
        <w:rPr>
          <w:szCs w:val="20"/>
          <w:rtl/>
        </w:rPr>
      </w:pPr>
      <w:r w:rsidRPr="00A81964">
        <w:rPr>
          <w:rFonts w:hint="cs"/>
          <w:szCs w:val="20"/>
          <w:rtl/>
        </w:rPr>
        <w:t>על פי נתוני</w:t>
      </w:r>
      <w:r w:rsidRPr="00A81964">
        <w:rPr>
          <w:szCs w:val="20"/>
          <w:rtl/>
        </w:rPr>
        <w:t xml:space="preserve"> </w:t>
      </w:r>
      <w:r w:rsidRPr="00AA0BEB">
        <w:rPr>
          <w:rFonts w:hint="cs"/>
          <w:szCs w:val="20"/>
          <w:rtl/>
        </w:rPr>
        <w:t xml:space="preserve">רשות המיסים, בעיבוד משרד מבקר </w:t>
      </w:r>
      <w:r w:rsidRPr="009E02AD">
        <w:rPr>
          <w:rFonts w:hint="cs"/>
          <w:szCs w:val="20"/>
          <w:rtl/>
        </w:rPr>
        <w:t>המדינה.</w:t>
      </w:r>
    </w:p>
    <w:p w:rsidR="006252C4" w:rsidRDefault="006252C4" w:rsidP="006252C4">
      <w:pPr>
        <w:pStyle w:val="a8"/>
        <w:spacing w:line="269" w:lineRule="auto"/>
        <w:rPr>
          <w:rtl/>
        </w:rPr>
      </w:pPr>
    </w:p>
    <w:p w:rsidR="006252C4" w:rsidRDefault="006252C4" w:rsidP="006252C4">
      <w:pPr>
        <w:spacing w:line="269" w:lineRule="auto"/>
        <w:rPr>
          <w:b/>
          <w:bCs/>
          <w:rtl/>
        </w:rPr>
      </w:pPr>
      <w:r w:rsidRPr="00A81964">
        <w:rPr>
          <w:b/>
          <w:bCs/>
          <w:rtl/>
        </w:rPr>
        <w:t>מתרשים 5 עולה כי עד סוף חודש דצמבר 2024 הסתיים הטיפול ב-</w:t>
      </w:r>
      <w:r w:rsidRPr="00A81964">
        <w:rPr>
          <w:rFonts w:hint="cs"/>
          <w:b/>
          <w:bCs/>
          <w:rtl/>
        </w:rPr>
        <w:t>52,622</w:t>
      </w:r>
      <w:r w:rsidRPr="00A81964">
        <w:rPr>
          <w:b/>
          <w:bCs/>
          <w:rtl/>
        </w:rPr>
        <w:t xml:space="preserve"> מתוך 63,063 התביעות</w:t>
      </w:r>
      <w:r w:rsidRPr="00A81964">
        <w:rPr>
          <w:rFonts w:hint="cs"/>
          <w:b/>
          <w:bCs/>
          <w:rtl/>
        </w:rPr>
        <w:t xml:space="preserve"> </w:t>
      </w:r>
      <w:r w:rsidRPr="00A81964">
        <w:rPr>
          <w:b/>
          <w:bCs/>
          <w:rtl/>
        </w:rPr>
        <w:t>שהוגשו (84%)</w:t>
      </w:r>
      <w:r w:rsidRPr="00A81964">
        <w:rPr>
          <w:rFonts w:hint="cs"/>
          <w:b/>
          <w:bCs/>
          <w:rtl/>
        </w:rPr>
        <w:t xml:space="preserve"> לפיצוי בגין נזק ישיר. </w:t>
      </w:r>
      <w:r w:rsidRPr="00A81964">
        <w:rPr>
          <w:b/>
          <w:bCs/>
          <w:rtl/>
        </w:rPr>
        <w:t>בגין תביעות אלה שולמו פיצויים בסך 1.</w:t>
      </w:r>
      <w:r w:rsidRPr="00A81964">
        <w:rPr>
          <w:rFonts w:hint="cs"/>
          <w:b/>
          <w:bCs/>
          <w:rtl/>
        </w:rPr>
        <w:t>67</w:t>
      </w:r>
      <w:r w:rsidRPr="00A81964">
        <w:rPr>
          <w:b/>
          <w:bCs/>
          <w:rtl/>
        </w:rPr>
        <w:t xml:space="preserve"> מיליארד ש"ח. 1,388 תביעות נוספות (14%) נמצאות בטיפול. </w:t>
      </w:r>
    </w:p>
    <w:p w:rsidR="006252C4" w:rsidRPr="00A81964" w:rsidRDefault="006252C4" w:rsidP="006252C4">
      <w:pPr>
        <w:spacing w:line="269" w:lineRule="auto"/>
        <w:rPr>
          <w:b/>
          <w:bCs/>
          <w:rtl/>
        </w:rPr>
      </w:pPr>
    </w:p>
    <w:p w:rsidR="006252C4" w:rsidRPr="004538DB" w:rsidRDefault="006252C4" w:rsidP="006252C4">
      <w:pPr>
        <w:pStyle w:val="31"/>
        <w:spacing w:before="0" w:line="269" w:lineRule="auto"/>
        <w:rPr>
          <w:sz w:val="28"/>
          <w:rtl/>
        </w:rPr>
      </w:pPr>
      <w:r w:rsidRPr="004538DB">
        <w:rPr>
          <w:rFonts w:hint="cs"/>
          <w:sz w:val="28"/>
          <w:rtl/>
        </w:rPr>
        <w:t>ה</w:t>
      </w:r>
      <w:r w:rsidRPr="004538DB">
        <w:rPr>
          <w:rFonts w:hint="eastAsia"/>
          <w:sz w:val="28"/>
          <w:rtl/>
        </w:rPr>
        <w:t>מבנה</w:t>
      </w:r>
      <w:r w:rsidRPr="004538DB">
        <w:rPr>
          <w:sz w:val="28"/>
          <w:rtl/>
        </w:rPr>
        <w:t xml:space="preserve"> </w:t>
      </w:r>
      <w:r w:rsidRPr="004538DB">
        <w:rPr>
          <w:rFonts w:hint="cs"/>
          <w:sz w:val="28"/>
          <w:rtl/>
        </w:rPr>
        <w:t>ה</w:t>
      </w:r>
      <w:r w:rsidRPr="004538DB">
        <w:rPr>
          <w:sz w:val="28"/>
          <w:rtl/>
        </w:rPr>
        <w:t>ארגוני של מוקדי קרן הפיצויים</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כאמור, מוקדי הנזק הישיר כוללים </w:t>
      </w:r>
      <w:r w:rsidRPr="00D52DB9">
        <w:rPr>
          <w:rFonts w:hint="cs"/>
          <w:rtl/>
        </w:rPr>
        <w:t>חמישה</w:t>
      </w:r>
      <w:r w:rsidRPr="00D52DB9">
        <w:rPr>
          <w:rtl/>
        </w:rPr>
        <w:t xml:space="preserve"> מוקדים מחוזיים</w:t>
      </w:r>
      <w:r w:rsidRPr="00A81964">
        <w:rPr>
          <w:rtl/>
        </w:rPr>
        <w:t xml:space="preserve"> </w:t>
      </w:r>
      <w:r w:rsidRPr="00A81964">
        <w:rPr>
          <w:rFonts w:hint="cs"/>
          <w:rtl/>
        </w:rPr>
        <w:t>ועוד</w:t>
      </w:r>
      <w:r w:rsidRPr="00A81964">
        <w:rPr>
          <w:rtl/>
        </w:rPr>
        <w:t xml:space="preserve"> </w:t>
      </w:r>
      <w:r w:rsidRPr="00D52DB9">
        <w:rPr>
          <w:rtl/>
        </w:rPr>
        <w:t>1</w:t>
      </w:r>
      <w:r w:rsidRPr="00D52DB9">
        <w:rPr>
          <w:rFonts w:hint="cs"/>
          <w:rtl/>
        </w:rPr>
        <w:t>3</w:t>
      </w:r>
      <w:r w:rsidRPr="00D52DB9">
        <w:rPr>
          <w:rtl/>
        </w:rPr>
        <w:t xml:space="preserve"> מוקדים מקומיים</w:t>
      </w:r>
      <w:r w:rsidRPr="00A81964">
        <w:rPr>
          <w:rtl/>
        </w:rPr>
        <w:t xml:space="preserve"> בפריסה ארצית</w:t>
      </w:r>
      <w:r w:rsidRPr="00A81964">
        <w:rPr>
          <w:rFonts w:hint="cs"/>
          <w:rtl/>
        </w:rPr>
        <w:t xml:space="preserve"> </w:t>
      </w:r>
      <w:r w:rsidRPr="00A81964">
        <w:rPr>
          <w:rtl/>
        </w:rPr>
        <w:t>הפועלים בשעת חירום</w:t>
      </w:r>
      <w:r w:rsidRPr="00A81964">
        <w:rPr>
          <w:rFonts w:hint="cs"/>
          <w:rtl/>
        </w:rPr>
        <w:t>. חלק ממוקדי הנזק הישיר פועלים ביחידות שונות של רשות המיסים ברחבי הארץ וכפופים להנהלתן (להלן - הנהלת היחידות). כך לדוגמה, מוקד אשקלון פועל ממשרדי פקיד שומה אשקלון, ומוקד טבריה פועל ממשרדי מיסוי מקרקעין טבריה.</w:t>
      </w:r>
    </w:p>
    <w:p w:rsidR="006252C4" w:rsidRDefault="006252C4" w:rsidP="006252C4">
      <w:pPr>
        <w:pStyle w:val="a8"/>
        <w:spacing w:line="269" w:lineRule="auto"/>
        <w:rPr>
          <w:rtl/>
        </w:rPr>
      </w:pPr>
    </w:p>
    <w:p w:rsidR="006252C4" w:rsidRPr="00052E9F" w:rsidRDefault="006252C4" w:rsidP="006252C4">
      <w:pPr>
        <w:spacing w:line="269" w:lineRule="auto"/>
        <w:rPr>
          <w:b/>
          <w:bCs/>
          <w:rtl/>
        </w:rPr>
      </w:pPr>
      <w:r w:rsidRPr="00052E9F">
        <w:rPr>
          <w:rFonts w:hint="eastAsia"/>
          <w:b/>
          <w:bCs/>
          <w:rtl/>
        </w:rPr>
        <w:t>בכלל</w:t>
      </w:r>
      <w:r w:rsidRPr="00052E9F">
        <w:rPr>
          <w:b/>
          <w:bCs/>
          <w:rtl/>
        </w:rPr>
        <w:t xml:space="preserve"> </w:t>
      </w:r>
      <w:r w:rsidRPr="00052E9F">
        <w:rPr>
          <w:rFonts w:hint="eastAsia"/>
          <w:b/>
          <w:bCs/>
          <w:rtl/>
        </w:rPr>
        <w:t>מוקדי</w:t>
      </w:r>
      <w:r w:rsidRPr="00052E9F">
        <w:rPr>
          <w:b/>
          <w:bCs/>
          <w:rtl/>
        </w:rPr>
        <w:t xml:space="preserve"> </w:t>
      </w:r>
      <w:r w:rsidRPr="00052E9F">
        <w:rPr>
          <w:rFonts w:hint="eastAsia"/>
          <w:b/>
          <w:bCs/>
          <w:rtl/>
        </w:rPr>
        <w:t>הנזק</w:t>
      </w:r>
      <w:r w:rsidRPr="00052E9F">
        <w:rPr>
          <w:b/>
          <w:bCs/>
          <w:rtl/>
        </w:rPr>
        <w:t xml:space="preserve"> </w:t>
      </w:r>
      <w:r w:rsidRPr="00052E9F">
        <w:rPr>
          <w:rFonts w:hint="eastAsia"/>
          <w:b/>
          <w:bCs/>
          <w:rtl/>
        </w:rPr>
        <w:t>הישיר</w:t>
      </w:r>
      <w:r w:rsidRPr="00052E9F">
        <w:rPr>
          <w:b/>
          <w:bCs/>
          <w:rtl/>
        </w:rPr>
        <w:t xml:space="preserve"> בר</w:t>
      </w:r>
      <w:r w:rsidRPr="00052E9F">
        <w:rPr>
          <w:rFonts w:hint="eastAsia"/>
          <w:b/>
          <w:bCs/>
          <w:rtl/>
        </w:rPr>
        <w:t>חבי</w:t>
      </w:r>
      <w:r w:rsidRPr="00052E9F">
        <w:rPr>
          <w:b/>
          <w:bCs/>
          <w:rtl/>
        </w:rPr>
        <w:t xml:space="preserve"> הארץ עובדים דרך קבע </w:t>
      </w:r>
      <w:r w:rsidRPr="00052E9F">
        <w:rPr>
          <w:rFonts w:hint="eastAsia"/>
          <w:b/>
          <w:bCs/>
          <w:rtl/>
        </w:rPr>
        <w:t>בסה</w:t>
      </w:r>
      <w:r w:rsidRPr="00052E9F">
        <w:rPr>
          <w:b/>
          <w:bCs/>
          <w:rtl/>
        </w:rPr>
        <w:t xml:space="preserve">"כ </w:t>
      </w:r>
      <w:r w:rsidRPr="00052E9F">
        <w:rPr>
          <w:rFonts w:hint="eastAsia"/>
          <w:b/>
          <w:bCs/>
          <w:rtl/>
        </w:rPr>
        <w:t>כ</w:t>
      </w:r>
      <w:r w:rsidRPr="00052E9F">
        <w:rPr>
          <w:b/>
          <w:bCs/>
          <w:rtl/>
        </w:rPr>
        <w:t xml:space="preserve">-10 </w:t>
      </w:r>
      <w:r w:rsidRPr="00052E9F">
        <w:rPr>
          <w:rFonts w:hint="eastAsia"/>
          <w:b/>
          <w:bCs/>
          <w:rtl/>
        </w:rPr>
        <w:t>עובדים</w:t>
      </w:r>
      <w:r w:rsidRPr="00052E9F">
        <w:rPr>
          <w:b/>
          <w:bCs/>
          <w:rtl/>
        </w:rPr>
        <w:t xml:space="preserve">, העוסקים בתביעות לפיצויים בגין נזק ישיר (להלן - </w:t>
      </w:r>
      <w:bookmarkStart w:id="18" w:name="_Hlk198041416"/>
      <w:r w:rsidRPr="00052E9F">
        <w:rPr>
          <w:rFonts w:hint="eastAsia"/>
          <w:b/>
          <w:bCs/>
          <w:rtl/>
        </w:rPr>
        <w:t>ה</w:t>
      </w:r>
      <w:r w:rsidRPr="00052E9F">
        <w:rPr>
          <w:b/>
          <w:bCs/>
          <w:rtl/>
        </w:rPr>
        <w:t>עובדי</w:t>
      </w:r>
      <w:r w:rsidRPr="00052E9F">
        <w:rPr>
          <w:rFonts w:hint="eastAsia"/>
          <w:b/>
          <w:bCs/>
          <w:rtl/>
        </w:rPr>
        <w:t>ם</w:t>
      </w:r>
      <w:r w:rsidRPr="00052E9F">
        <w:rPr>
          <w:b/>
          <w:bCs/>
          <w:rtl/>
        </w:rPr>
        <w:t xml:space="preserve"> </w:t>
      </w:r>
      <w:r w:rsidRPr="00052E9F">
        <w:rPr>
          <w:rFonts w:hint="eastAsia"/>
          <w:b/>
          <w:bCs/>
          <w:rtl/>
        </w:rPr>
        <w:t>הקבועים</w:t>
      </w:r>
      <w:r w:rsidRPr="00052E9F">
        <w:rPr>
          <w:b/>
          <w:bCs/>
          <w:rtl/>
        </w:rPr>
        <w:t xml:space="preserve"> </w:t>
      </w:r>
      <w:r w:rsidRPr="00052E9F">
        <w:rPr>
          <w:rFonts w:hint="eastAsia"/>
          <w:b/>
          <w:bCs/>
          <w:rtl/>
        </w:rPr>
        <w:t>של</w:t>
      </w:r>
      <w:r w:rsidRPr="00052E9F">
        <w:rPr>
          <w:b/>
          <w:bCs/>
          <w:rtl/>
        </w:rPr>
        <w:t xml:space="preserve"> מוקדי נזק ישיר</w:t>
      </w:r>
      <w:bookmarkEnd w:id="18"/>
      <w:r w:rsidRPr="00052E9F">
        <w:rPr>
          <w:b/>
          <w:bCs/>
          <w:rtl/>
        </w:rPr>
        <w:t>). לצורך תגבור פעילות</w:t>
      </w:r>
      <w:r w:rsidRPr="00052E9F">
        <w:rPr>
          <w:rFonts w:hint="eastAsia"/>
          <w:b/>
          <w:bCs/>
          <w:rtl/>
        </w:rPr>
        <w:t>ם</w:t>
      </w:r>
      <w:r w:rsidRPr="00052E9F">
        <w:rPr>
          <w:b/>
          <w:bCs/>
          <w:rtl/>
        </w:rPr>
        <w:t xml:space="preserve"> </w:t>
      </w:r>
      <w:r w:rsidRPr="00052E9F">
        <w:rPr>
          <w:rFonts w:hint="eastAsia"/>
          <w:b/>
          <w:bCs/>
          <w:rtl/>
        </w:rPr>
        <w:t>של</w:t>
      </w:r>
      <w:r w:rsidRPr="00052E9F">
        <w:rPr>
          <w:b/>
          <w:bCs/>
          <w:rtl/>
        </w:rPr>
        <w:t xml:space="preserve"> מוקדי הנזק הישיר במהלך מלחמת חרבות ברזל גויסו </w:t>
      </w:r>
      <w:r w:rsidRPr="00052E9F">
        <w:rPr>
          <w:rFonts w:hint="eastAsia"/>
          <w:b/>
          <w:bCs/>
          <w:rtl/>
        </w:rPr>
        <w:t>באופן</w:t>
      </w:r>
      <w:r w:rsidRPr="00052E9F">
        <w:rPr>
          <w:b/>
          <w:bCs/>
          <w:rtl/>
        </w:rPr>
        <w:t xml:space="preserve"> זמני </w:t>
      </w:r>
      <w:r w:rsidRPr="00052E9F">
        <w:rPr>
          <w:rFonts w:hint="eastAsia"/>
          <w:b/>
          <w:bCs/>
          <w:rtl/>
        </w:rPr>
        <w:t>כ</w:t>
      </w:r>
      <w:r w:rsidRPr="00052E9F">
        <w:rPr>
          <w:b/>
          <w:bCs/>
          <w:rtl/>
        </w:rPr>
        <w:t xml:space="preserve">-250 </w:t>
      </w:r>
      <w:r w:rsidRPr="00052E9F">
        <w:rPr>
          <w:rFonts w:hint="eastAsia"/>
          <w:b/>
          <w:bCs/>
          <w:rtl/>
        </w:rPr>
        <w:t>עובדים</w:t>
      </w:r>
      <w:r w:rsidRPr="00052E9F">
        <w:rPr>
          <w:b/>
          <w:bCs/>
          <w:rtl/>
        </w:rPr>
        <w:t xml:space="preserve"> </w:t>
      </w:r>
      <w:r w:rsidRPr="00052E9F">
        <w:rPr>
          <w:rFonts w:hint="eastAsia"/>
          <w:b/>
          <w:bCs/>
          <w:rtl/>
        </w:rPr>
        <w:t>מיחידות</w:t>
      </w:r>
      <w:r w:rsidRPr="00052E9F">
        <w:rPr>
          <w:b/>
          <w:bCs/>
          <w:rtl/>
        </w:rPr>
        <w:t xml:space="preserve"> </w:t>
      </w:r>
      <w:r w:rsidRPr="00052E9F">
        <w:rPr>
          <w:rFonts w:hint="eastAsia"/>
          <w:b/>
          <w:bCs/>
          <w:rtl/>
        </w:rPr>
        <w:t>שונות</w:t>
      </w:r>
      <w:r w:rsidRPr="00052E9F">
        <w:rPr>
          <w:b/>
          <w:bCs/>
          <w:rtl/>
        </w:rPr>
        <w:t xml:space="preserve"> </w:t>
      </w:r>
      <w:r w:rsidRPr="00052E9F">
        <w:rPr>
          <w:rFonts w:hint="eastAsia"/>
          <w:b/>
          <w:bCs/>
          <w:rtl/>
        </w:rPr>
        <w:t>ברשות</w:t>
      </w:r>
      <w:r w:rsidRPr="00052E9F">
        <w:rPr>
          <w:b/>
          <w:bCs/>
          <w:rtl/>
        </w:rPr>
        <w:t xml:space="preserve"> </w:t>
      </w:r>
      <w:r w:rsidRPr="00052E9F">
        <w:rPr>
          <w:rFonts w:hint="eastAsia"/>
          <w:b/>
          <w:bCs/>
          <w:rtl/>
        </w:rPr>
        <w:t>המיסים</w:t>
      </w:r>
      <w:r w:rsidRPr="00052E9F">
        <w:rPr>
          <w:b/>
          <w:bCs/>
          <w:rtl/>
        </w:rPr>
        <w:t xml:space="preserve"> </w:t>
      </w:r>
      <w:r w:rsidRPr="00052E9F">
        <w:rPr>
          <w:rFonts w:hint="eastAsia"/>
          <w:b/>
          <w:bCs/>
          <w:rtl/>
        </w:rPr>
        <w:t>וכ</w:t>
      </w:r>
      <w:r w:rsidRPr="00052E9F">
        <w:rPr>
          <w:b/>
          <w:bCs/>
          <w:rtl/>
        </w:rPr>
        <w:t xml:space="preserve">-40 </w:t>
      </w:r>
      <w:r w:rsidRPr="00052E9F">
        <w:rPr>
          <w:rFonts w:hint="eastAsia"/>
          <w:b/>
          <w:bCs/>
          <w:rtl/>
        </w:rPr>
        <w:t>עובדים</w:t>
      </w:r>
      <w:r w:rsidRPr="00052E9F">
        <w:rPr>
          <w:b/>
          <w:bCs/>
          <w:rtl/>
        </w:rPr>
        <w:t xml:space="preserve"> </w:t>
      </w:r>
      <w:r w:rsidRPr="00052E9F">
        <w:rPr>
          <w:rFonts w:hint="eastAsia"/>
          <w:b/>
          <w:bCs/>
          <w:rtl/>
        </w:rPr>
        <w:t>זמניים</w:t>
      </w:r>
      <w:r w:rsidRPr="00052E9F">
        <w:rPr>
          <w:b/>
          <w:bCs/>
          <w:rtl/>
        </w:rPr>
        <w:t xml:space="preserve"> </w:t>
      </w:r>
      <w:r w:rsidRPr="00052E9F">
        <w:rPr>
          <w:rFonts w:hint="eastAsia"/>
          <w:b/>
          <w:bCs/>
          <w:rtl/>
        </w:rPr>
        <w:t>באמצעות</w:t>
      </w:r>
      <w:r w:rsidRPr="00052E9F">
        <w:rPr>
          <w:b/>
          <w:bCs/>
          <w:rtl/>
        </w:rPr>
        <w:t xml:space="preserve"> חברות מיקור-חוץ.</w:t>
      </w:r>
    </w:p>
    <w:p w:rsidR="006252C4" w:rsidRDefault="006252C4" w:rsidP="006252C4">
      <w:pPr>
        <w:pStyle w:val="a8"/>
        <w:spacing w:line="269" w:lineRule="auto"/>
        <w:rPr>
          <w:rtl/>
        </w:rPr>
      </w:pPr>
    </w:p>
    <w:p w:rsidR="006252C4" w:rsidRPr="00052E9F" w:rsidRDefault="006252C4" w:rsidP="006252C4">
      <w:pPr>
        <w:spacing w:line="269" w:lineRule="auto"/>
        <w:rPr>
          <w:b/>
          <w:bCs/>
          <w:rtl/>
        </w:rPr>
      </w:pPr>
      <w:r w:rsidRPr="00052E9F">
        <w:rPr>
          <w:rFonts w:hint="eastAsia"/>
          <w:b/>
          <w:bCs/>
          <w:rtl/>
        </w:rPr>
        <w:lastRenderedPageBreak/>
        <w:t>הועלה</w:t>
      </w:r>
      <w:r w:rsidRPr="00052E9F">
        <w:rPr>
          <w:b/>
          <w:bCs/>
          <w:rtl/>
        </w:rPr>
        <w:t xml:space="preserve"> כי </w:t>
      </w:r>
      <w:r w:rsidRPr="00052E9F">
        <w:rPr>
          <w:rFonts w:hint="eastAsia"/>
          <w:b/>
          <w:bCs/>
          <w:rtl/>
        </w:rPr>
        <w:t>העובדים</w:t>
      </w:r>
      <w:r w:rsidRPr="00052E9F">
        <w:rPr>
          <w:b/>
          <w:bCs/>
          <w:rtl/>
        </w:rPr>
        <w:t xml:space="preserve"> </w:t>
      </w:r>
      <w:r w:rsidRPr="00052E9F">
        <w:rPr>
          <w:rFonts w:hint="eastAsia"/>
          <w:b/>
          <w:bCs/>
          <w:rtl/>
        </w:rPr>
        <w:t>הקבועים</w:t>
      </w:r>
      <w:r w:rsidRPr="00052E9F">
        <w:rPr>
          <w:b/>
          <w:bCs/>
          <w:rtl/>
        </w:rPr>
        <w:t xml:space="preserve"> </w:t>
      </w:r>
      <w:r w:rsidRPr="00052E9F">
        <w:rPr>
          <w:rFonts w:hint="eastAsia"/>
          <w:b/>
          <w:bCs/>
          <w:rtl/>
        </w:rPr>
        <w:t>של</w:t>
      </w:r>
      <w:r w:rsidRPr="00052E9F">
        <w:rPr>
          <w:b/>
          <w:bCs/>
          <w:rtl/>
        </w:rPr>
        <w:t xml:space="preserve"> מוקדי </w:t>
      </w:r>
      <w:r w:rsidRPr="00052E9F">
        <w:rPr>
          <w:rFonts w:hint="cs"/>
          <w:b/>
          <w:bCs/>
          <w:rtl/>
        </w:rPr>
        <w:t>ה</w:t>
      </w:r>
      <w:r w:rsidRPr="00052E9F">
        <w:rPr>
          <w:b/>
          <w:bCs/>
          <w:rtl/>
        </w:rPr>
        <w:t xml:space="preserve">נזק </w:t>
      </w:r>
      <w:r w:rsidRPr="00052E9F">
        <w:rPr>
          <w:rFonts w:hint="cs"/>
          <w:b/>
          <w:bCs/>
          <w:rtl/>
        </w:rPr>
        <w:t>ה</w:t>
      </w:r>
      <w:r w:rsidRPr="00052E9F">
        <w:rPr>
          <w:b/>
          <w:bCs/>
          <w:rtl/>
        </w:rPr>
        <w:t>ישיר</w:t>
      </w:r>
      <w:r w:rsidRPr="00052E9F">
        <w:rPr>
          <w:rFonts w:hint="cs"/>
          <w:b/>
          <w:bCs/>
          <w:rtl/>
        </w:rPr>
        <w:t>,</w:t>
      </w:r>
      <w:r w:rsidRPr="00052E9F">
        <w:rPr>
          <w:b/>
          <w:bCs/>
          <w:rtl/>
        </w:rPr>
        <w:t xml:space="preserve"> למעט עובד אחד, </w:t>
      </w:r>
      <w:r w:rsidRPr="00052E9F">
        <w:rPr>
          <w:rFonts w:hint="cs"/>
          <w:b/>
          <w:bCs/>
          <w:rtl/>
        </w:rPr>
        <w:t xml:space="preserve">משויכים ארגונית ליחידות אחרות ברשות המיסים, ובמהלך השנים נדרשו לבצע את משימות קרן הפיצויים נוסף על תפקידם. כך יוצא שעובדים אלה, </w:t>
      </w:r>
      <w:r w:rsidRPr="00052E9F">
        <w:rPr>
          <w:b/>
          <w:bCs/>
          <w:rtl/>
        </w:rPr>
        <w:t>האחראי</w:t>
      </w:r>
      <w:r w:rsidRPr="00052E9F">
        <w:rPr>
          <w:rFonts w:hint="cs"/>
          <w:b/>
          <w:bCs/>
          <w:rtl/>
        </w:rPr>
        <w:t>י</w:t>
      </w:r>
      <w:r w:rsidRPr="00052E9F">
        <w:rPr>
          <w:b/>
          <w:bCs/>
          <w:rtl/>
        </w:rPr>
        <w:t xml:space="preserve">ם </w:t>
      </w:r>
      <w:r w:rsidRPr="00052E9F">
        <w:rPr>
          <w:rFonts w:hint="cs"/>
          <w:b/>
          <w:bCs/>
          <w:rtl/>
        </w:rPr>
        <w:t>ל</w:t>
      </w:r>
      <w:r w:rsidRPr="00052E9F">
        <w:rPr>
          <w:b/>
          <w:bCs/>
          <w:rtl/>
        </w:rPr>
        <w:t xml:space="preserve">טיפול בתביעות לפיצויים, </w:t>
      </w:r>
      <w:r w:rsidRPr="00052E9F">
        <w:rPr>
          <w:rFonts w:hint="eastAsia"/>
          <w:b/>
          <w:bCs/>
          <w:rtl/>
        </w:rPr>
        <w:t>כפופים</w:t>
      </w:r>
      <w:r w:rsidRPr="00052E9F">
        <w:rPr>
          <w:b/>
          <w:bCs/>
          <w:rtl/>
        </w:rPr>
        <w:t xml:space="preserve"> מקצועית </w:t>
      </w:r>
      <w:r w:rsidRPr="00052E9F">
        <w:rPr>
          <w:rFonts w:hint="eastAsia"/>
          <w:b/>
          <w:bCs/>
          <w:rtl/>
        </w:rPr>
        <w:t>להנחיות</w:t>
      </w:r>
      <w:r w:rsidRPr="00052E9F">
        <w:rPr>
          <w:b/>
          <w:bCs/>
          <w:rtl/>
        </w:rPr>
        <w:t xml:space="preserve"> </w:t>
      </w:r>
      <w:r w:rsidRPr="00052E9F">
        <w:rPr>
          <w:rFonts w:hint="eastAsia"/>
          <w:b/>
          <w:bCs/>
          <w:rtl/>
        </w:rPr>
        <w:t>מטה</w:t>
      </w:r>
      <w:r w:rsidRPr="00052E9F">
        <w:rPr>
          <w:b/>
          <w:bCs/>
          <w:rtl/>
        </w:rPr>
        <w:t xml:space="preserve"> </w:t>
      </w:r>
      <w:r w:rsidRPr="00052E9F">
        <w:rPr>
          <w:rFonts w:hint="eastAsia"/>
          <w:b/>
          <w:bCs/>
          <w:rtl/>
        </w:rPr>
        <w:t>קרן</w:t>
      </w:r>
      <w:r w:rsidRPr="00052E9F">
        <w:rPr>
          <w:b/>
          <w:bCs/>
          <w:rtl/>
        </w:rPr>
        <w:t xml:space="preserve"> הפיצויים, ולגבי נושאים מ</w:t>
      </w:r>
      <w:r w:rsidRPr="00052E9F">
        <w:rPr>
          <w:rFonts w:hint="cs"/>
          <w:b/>
          <w:bCs/>
          <w:rtl/>
        </w:rPr>
        <w:t>י</w:t>
      </w:r>
      <w:r w:rsidRPr="00052E9F">
        <w:rPr>
          <w:b/>
          <w:bCs/>
          <w:rtl/>
        </w:rPr>
        <w:t xml:space="preserve">נהליים </w:t>
      </w:r>
      <w:r w:rsidRPr="00052E9F">
        <w:rPr>
          <w:rFonts w:hint="cs"/>
          <w:b/>
          <w:bCs/>
          <w:rtl/>
        </w:rPr>
        <w:t>-</w:t>
      </w:r>
      <w:r w:rsidRPr="00052E9F">
        <w:rPr>
          <w:b/>
          <w:bCs/>
          <w:rtl/>
        </w:rPr>
        <w:t xml:space="preserve"> </w:t>
      </w:r>
      <w:r w:rsidRPr="00052E9F">
        <w:rPr>
          <w:rFonts w:hint="eastAsia"/>
          <w:b/>
          <w:bCs/>
          <w:rtl/>
        </w:rPr>
        <w:t>כפופים</w:t>
      </w:r>
      <w:r w:rsidRPr="00052E9F">
        <w:rPr>
          <w:b/>
          <w:bCs/>
          <w:rtl/>
        </w:rPr>
        <w:t xml:space="preserve"> להנהלת היחידות השונות </w:t>
      </w:r>
      <w:r w:rsidRPr="00052E9F">
        <w:rPr>
          <w:rFonts w:hint="cs"/>
          <w:b/>
          <w:bCs/>
          <w:rtl/>
        </w:rPr>
        <w:t>שבמסגרתן</w:t>
      </w:r>
      <w:r w:rsidRPr="00052E9F">
        <w:rPr>
          <w:b/>
          <w:bCs/>
          <w:rtl/>
        </w:rPr>
        <w:t xml:space="preserve"> </w:t>
      </w:r>
      <w:r w:rsidRPr="00052E9F">
        <w:rPr>
          <w:rFonts w:hint="eastAsia"/>
          <w:b/>
          <w:bCs/>
          <w:rtl/>
        </w:rPr>
        <w:t>הם</w:t>
      </w:r>
      <w:r w:rsidRPr="00052E9F">
        <w:rPr>
          <w:b/>
          <w:bCs/>
          <w:rtl/>
        </w:rPr>
        <w:t xml:space="preserve"> </w:t>
      </w:r>
      <w:r w:rsidRPr="00052E9F">
        <w:rPr>
          <w:rFonts w:hint="eastAsia"/>
          <w:b/>
          <w:bCs/>
          <w:rtl/>
        </w:rPr>
        <w:t>פועלים</w:t>
      </w:r>
      <w:r w:rsidRPr="00052E9F">
        <w:rPr>
          <w:b/>
          <w:bCs/>
          <w:rtl/>
        </w:rPr>
        <w:t>.</w:t>
      </w:r>
    </w:p>
    <w:p w:rsidR="006252C4" w:rsidRDefault="006252C4" w:rsidP="006252C4">
      <w:pPr>
        <w:pStyle w:val="a8"/>
        <w:spacing w:line="269" w:lineRule="auto"/>
        <w:rPr>
          <w:rtl/>
        </w:rPr>
      </w:pPr>
    </w:p>
    <w:p w:rsidR="006252C4" w:rsidRPr="00052E9F" w:rsidRDefault="006252C4" w:rsidP="006252C4">
      <w:pPr>
        <w:spacing w:line="269" w:lineRule="auto"/>
        <w:rPr>
          <w:b/>
          <w:bCs/>
          <w:rtl/>
        </w:rPr>
      </w:pPr>
      <w:r w:rsidRPr="00052E9F">
        <w:rPr>
          <w:rFonts w:hint="eastAsia"/>
          <w:b/>
          <w:bCs/>
          <w:rtl/>
        </w:rPr>
        <w:t>כך</w:t>
      </w:r>
      <w:r w:rsidRPr="00052E9F">
        <w:rPr>
          <w:b/>
          <w:bCs/>
          <w:rtl/>
        </w:rPr>
        <w:t xml:space="preserve"> </w:t>
      </w:r>
      <w:r w:rsidRPr="00052E9F">
        <w:rPr>
          <w:rFonts w:hint="eastAsia"/>
          <w:b/>
          <w:bCs/>
          <w:rtl/>
        </w:rPr>
        <w:t>לדוגמה</w:t>
      </w:r>
      <w:r w:rsidRPr="00052E9F">
        <w:rPr>
          <w:b/>
          <w:bCs/>
          <w:rtl/>
        </w:rPr>
        <w:t xml:space="preserve">, </w:t>
      </w:r>
      <w:r w:rsidRPr="00052E9F">
        <w:rPr>
          <w:rFonts w:hint="eastAsia"/>
          <w:b/>
          <w:bCs/>
          <w:rtl/>
        </w:rPr>
        <w:t>עובד</w:t>
      </w:r>
      <w:r w:rsidRPr="00052E9F">
        <w:rPr>
          <w:b/>
          <w:bCs/>
          <w:rtl/>
        </w:rPr>
        <w:t xml:space="preserve"> </w:t>
      </w:r>
      <w:r w:rsidRPr="00052E9F">
        <w:rPr>
          <w:rFonts w:hint="eastAsia"/>
          <w:b/>
          <w:bCs/>
          <w:rtl/>
        </w:rPr>
        <w:t>קבוע</w:t>
      </w:r>
      <w:r w:rsidRPr="00052E9F">
        <w:rPr>
          <w:b/>
          <w:bCs/>
          <w:rtl/>
        </w:rPr>
        <w:t xml:space="preserve"> של </w:t>
      </w:r>
      <w:r w:rsidRPr="00052E9F">
        <w:rPr>
          <w:rFonts w:hint="eastAsia"/>
          <w:b/>
          <w:bCs/>
          <w:rtl/>
        </w:rPr>
        <w:t>מוקד</w:t>
      </w:r>
      <w:r w:rsidRPr="00052E9F">
        <w:rPr>
          <w:b/>
          <w:bCs/>
          <w:rtl/>
        </w:rPr>
        <w:t xml:space="preserve"> </w:t>
      </w:r>
      <w:r w:rsidRPr="00052E9F">
        <w:rPr>
          <w:rFonts w:hint="eastAsia"/>
          <w:b/>
          <w:bCs/>
          <w:rtl/>
        </w:rPr>
        <w:t>נזק</w:t>
      </w:r>
      <w:r w:rsidRPr="00052E9F">
        <w:rPr>
          <w:b/>
          <w:bCs/>
          <w:rtl/>
        </w:rPr>
        <w:t xml:space="preserve"> </w:t>
      </w:r>
      <w:r w:rsidRPr="00052E9F">
        <w:rPr>
          <w:rFonts w:hint="eastAsia"/>
          <w:b/>
          <w:bCs/>
          <w:rtl/>
        </w:rPr>
        <w:t>ישיר</w:t>
      </w:r>
      <w:r w:rsidRPr="00052E9F">
        <w:rPr>
          <w:b/>
          <w:bCs/>
          <w:rtl/>
        </w:rPr>
        <w:t xml:space="preserve"> </w:t>
      </w:r>
      <w:r w:rsidRPr="00052E9F">
        <w:rPr>
          <w:rFonts w:hint="eastAsia"/>
          <w:b/>
          <w:bCs/>
          <w:rtl/>
        </w:rPr>
        <w:t>שנמצא</w:t>
      </w:r>
      <w:r w:rsidRPr="00052E9F">
        <w:rPr>
          <w:b/>
          <w:bCs/>
          <w:rtl/>
        </w:rPr>
        <w:t xml:space="preserve"> </w:t>
      </w:r>
      <w:r w:rsidRPr="00052E9F">
        <w:rPr>
          <w:rFonts w:hint="eastAsia"/>
          <w:b/>
          <w:bCs/>
          <w:rtl/>
        </w:rPr>
        <w:t>במשרדי</w:t>
      </w:r>
      <w:r w:rsidRPr="00052E9F">
        <w:rPr>
          <w:b/>
          <w:bCs/>
          <w:rtl/>
        </w:rPr>
        <w:t xml:space="preserve"> </w:t>
      </w:r>
      <w:r w:rsidRPr="00052E9F">
        <w:rPr>
          <w:rFonts w:hint="eastAsia"/>
          <w:b/>
          <w:bCs/>
          <w:rtl/>
        </w:rPr>
        <w:t>יחידה</w:t>
      </w:r>
      <w:r w:rsidRPr="00052E9F">
        <w:rPr>
          <w:b/>
          <w:bCs/>
          <w:rtl/>
        </w:rPr>
        <w:t xml:space="preserve"> </w:t>
      </w:r>
      <w:r w:rsidRPr="00052E9F">
        <w:rPr>
          <w:rFonts w:hint="eastAsia"/>
          <w:b/>
          <w:bCs/>
          <w:rtl/>
        </w:rPr>
        <w:t>מסוימת</w:t>
      </w:r>
      <w:r w:rsidRPr="00052E9F">
        <w:rPr>
          <w:b/>
          <w:bCs/>
          <w:rtl/>
        </w:rPr>
        <w:t xml:space="preserve">, </w:t>
      </w:r>
      <w:r w:rsidRPr="00052E9F">
        <w:rPr>
          <w:rFonts w:hint="eastAsia"/>
          <w:b/>
          <w:bCs/>
          <w:rtl/>
        </w:rPr>
        <w:t>אך</w:t>
      </w:r>
      <w:r w:rsidRPr="00052E9F">
        <w:rPr>
          <w:b/>
          <w:bCs/>
          <w:rtl/>
        </w:rPr>
        <w:t xml:space="preserve"> </w:t>
      </w:r>
      <w:r w:rsidRPr="00052E9F">
        <w:rPr>
          <w:rFonts w:hint="eastAsia"/>
          <w:b/>
          <w:bCs/>
          <w:rtl/>
        </w:rPr>
        <w:t>משויך</w:t>
      </w:r>
      <w:r w:rsidRPr="00052E9F">
        <w:rPr>
          <w:b/>
          <w:bCs/>
          <w:rtl/>
        </w:rPr>
        <w:t xml:space="preserve"> </w:t>
      </w:r>
      <w:r w:rsidRPr="00052E9F">
        <w:rPr>
          <w:rFonts w:hint="eastAsia"/>
          <w:b/>
          <w:bCs/>
          <w:rtl/>
        </w:rPr>
        <w:t>ארגונית</w:t>
      </w:r>
      <w:r w:rsidRPr="00052E9F">
        <w:rPr>
          <w:b/>
          <w:bCs/>
          <w:rtl/>
        </w:rPr>
        <w:t xml:space="preserve"> </w:t>
      </w:r>
      <w:r w:rsidRPr="00052E9F">
        <w:rPr>
          <w:rFonts w:hint="eastAsia"/>
          <w:b/>
          <w:bCs/>
          <w:rtl/>
        </w:rPr>
        <w:t>ליחידה</w:t>
      </w:r>
      <w:r w:rsidRPr="00052E9F">
        <w:rPr>
          <w:b/>
          <w:bCs/>
          <w:rtl/>
        </w:rPr>
        <w:t xml:space="preserve"> </w:t>
      </w:r>
      <w:r w:rsidRPr="00052E9F">
        <w:rPr>
          <w:rFonts w:hint="eastAsia"/>
          <w:b/>
          <w:bCs/>
          <w:rtl/>
        </w:rPr>
        <w:t>אחרת</w:t>
      </w:r>
      <w:r w:rsidRPr="00052E9F">
        <w:rPr>
          <w:b/>
          <w:bCs/>
          <w:rtl/>
        </w:rPr>
        <w:t xml:space="preserve">, </w:t>
      </w:r>
      <w:r w:rsidRPr="00052E9F">
        <w:rPr>
          <w:rFonts w:hint="eastAsia"/>
          <w:b/>
          <w:bCs/>
          <w:rtl/>
        </w:rPr>
        <w:t>מקבל</w:t>
      </w:r>
      <w:r w:rsidRPr="00052E9F">
        <w:rPr>
          <w:b/>
          <w:bCs/>
          <w:rtl/>
        </w:rPr>
        <w:t xml:space="preserve"> </w:t>
      </w:r>
      <w:r w:rsidRPr="00052E9F">
        <w:rPr>
          <w:rFonts w:hint="eastAsia"/>
          <w:b/>
          <w:bCs/>
          <w:rtl/>
        </w:rPr>
        <w:t>ממנהל</w:t>
      </w:r>
      <w:r w:rsidRPr="00052E9F">
        <w:rPr>
          <w:b/>
          <w:bCs/>
          <w:rtl/>
        </w:rPr>
        <w:t xml:space="preserve"> </w:t>
      </w:r>
      <w:r w:rsidRPr="00052E9F">
        <w:rPr>
          <w:rFonts w:hint="eastAsia"/>
          <w:b/>
          <w:bCs/>
          <w:rtl/>
        </w:rPr>
        <w:t>קרן</w:t>
      </w:r>
      <w:r w:rsidRPr="00052E9F">
        <w:rPr>
          <w:b/>
          <w:bCs/>
          <w:rtl/>
        </w:rPr>
        <w:t xml:space="preserve"> </w:t>
      </w:r>
      <w:r w:rsidRPr="00052E9F">
        <w:rPr>
          <w:rFonts w:hint="eastAsia"/>
          <w:b/>
          <w:bCs/>
          <w:rtl/>
        </w:rPr>
        <w:t>הפיצויים</w:t>
      </w:r>
      <w:r w:rsidRPr="00052E9F">
        <w:rPr>
          <w:b/>
          <w:bCs/>
          <w:rtl/>
        </w:rPr>
        <w:t xml:space="preserve"> </w:t>
      </w:r>
      <w:r w:rsidRPr="00052E9F">
        <w:rPr>
          <w:rFonts w:hint="eastAsia"/>
          <w:b/>
          <w:bCs/>
          <w:rtl/>
        </w:rPr>
        <w:t>הנחיות</w:t>
      </w:r>
      <w:r w:rsidRPr="00052E9F">
        <w:rPr>
          <w:b/>
          <w:bCs/>
          <w:rtl/>
        </w:rPr>
        <w:t xml:space="preserve"> </w:t>
      </w:r>
      <w:r w:rsidRPr="00052E9F">
        <w:rPr>
          <w:rFonts w:hint="eastAsia"/>
          <w:b/>
          <w:bCs/>
          <w:rtl/>
        </w:rPr>
        <w:t>מקצועיות</w:t>
      </w:r>
      <w:r w:rsidRPr="00052E9F">
        <w:rPr>
          <w:b/>
          <w:bCs/>
          <w:rtl/>
        </w:rPr>
        <w:t xml:space="preserve">, </w:t>
      </w:r>
      <w:r w:rsidRPr="00052E9F">
        <w:rPr>
          <w:rFonts w:hint="eastAsia"/>
          <w:b/>
          <w:bCs/>
          <w:rtl/>
        </w:rPr>
        <w:t>לרבות</w:t>
      </w:r>
      <w:r w:rsidRPr="00052E9F">
        <w:rPr>
          <w:b/>
          <w:bCs/>
          <w:rtl/>
        </w:rPr>
        <w:t xml:space="preserve"> </w:t>
      </w:r>
      <w:r w:rsidRPr="00052E9F">
        <w:rPr>
          <w:rFonts w:hint="eastAsia"/>
          <w:b/>
          <w:bCs/>
          <w:rtl/>
        </w:rPr>
        <w:t>לגבי</w:t>
      </w:r>
      <w:r w:rsidRPr="00052E9F">
        <w:rPr>
          <w:b/>
          <w:bCs/>
          <w:rtl/>
        </w:rPr>
        <w:t xml:space="preserve"> </w:t>
      </w:r>
      <w:r w:rsidRPr="00052E9F">
        <w:rPr>
          <w:rFonts w:hint="eastAsia"/>
          <w:b/>
          <w:bCs/>
          <w:rtl/>
        </w:rPr>
        <w:t>קביעת</w:t>
      </w:r>
      <w:r w:rsidRPr="00052E9F">
        <w:rPr>
          <w:b/>
          <w:bCs/>
          <w:rtl/>
        </w:rPr>
        <w:t xml:space="preserve"> פגישות והגעה לאתרי נזק, אך נדרש </w:t>
      </w:r>
      <w:r w:rsidRPr="00052E9F">
        <w:rPr>
          <w:rFonts w:hint="eastAsia"/>
          <w:b/>
          <w:bCs/>
          <w:rtl/>
        </w:rPr>
        <w:t>ל</w:t>
      </w:r>
      <w:r w:rsidRPr="00052E9F">
        <w:rPr>
          <w:b/>
          <w:bCs/>
          <w:rtl/>
        </w:rPr>
        <w:t xml:space="preserve">דווח להנהלת היחידה על שעות עבודתו לצורך ביצוע המשימות של קרן הפיצויים ולקבל את אישורה לכך.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בחודש ינואר 2015 </w:t>
      </w:r>
      <w:r w:rsidRPr="00D52DB9">
        <w:rPr>
          <w:rFonts w:hint="cs"/>
          <w:rtl/>
        </w:rPr>
        <w:t>מינתה מנכ"לית משרד האוצר</w:t>
      </w:r>
      <w:r w:rsidRPr="00A81964">
        <w:rPr>
          <w:rFonts w:hint="cs"/>
          <w:rtl/>
        </w:rPr>
        <w:t xml:space="preserve"> דאז את מנהל רשות המיסים דאז לעמוד בראש הוועדה "</w:t>
      </w:r>
      <w:r w:rsidRPr="00A81964">
        <w:rPr>
          <w:rtl/>
        </w:rPr>
        <w:t xml:space="preserve">לבחינת משמעויות ליישום </w:t>
      </w:r>
      <w:r w:rsidRPr="00A81964">
        <w:rPr>
          <w:rFonts w:hint="cs"/>
          <w:rtl/>
        </w:rPr>
        <w:t>ה</w:t>
      </w:r>
      <w:r w:rsidRPr="00A81964">
        <w:rPr>
          <w:rtl/>
        </w:rPr>
        <w:t>חוק קרן הפיצויים</w:t>
      </w:r>
      <w:r w:rsidRPr="00A81964">
        <w:rPr>
          <w:rFonts w:hint="cs"/>
          <w:rtl/>
        </w:rPr>
        <w:t xml:space="preserve">, </w:t>
      </w:r>
      <w:r w:rsidRPr="00A81964">
        <w:rPr>
          <w:rtl/>
        </w:rPr>
        <w:t>עקב אתגרי הנשק תלול המסלול במציאות הנוכחית והעתידית</w:t>
      </w:r>
      <w:r w:rsidRPr="00A81964">
        <w:rPr>
          <w:rFonts w:hint="cs"/>
          <w:rtl/>
        </w:rPr>
        <w:t>". במסגרת ועדה זו הוקמו ועדות משנה וביניהן ועדת המשנה "תפעול נזק ישיר"</w:t>
      </w:r>
      <w:r>
        <w:rPr>
          <w:rFonts w:hint="cs"/>
          <w:rtl/>
        </w:rPr>
        <w:t xml:space="preserve"> (להלן - ועדת נזק ישיר)</w:t>
      </w:r>
      <w:r w:rsidRPr="00A81964">
        <w:rPr>
          <w:rFonts w:hint="cs"/>
          <w:rtl/>
        </w:rPr>
        <w:t>. בשנת 2017 הגישה הוועדה את "</w:t>
      </w:r>
      <w:r w:rsidRPr="00D52DB9">
        <w:rPr>
          <w:rFonts w:hint="cs"/>
          <w:rtl/>
        </w:rPr>
        <w:t>דוח הוועדה לבחינת 'תפעול נזק ישיר'"</w:t>
      </w:r>
      <w:r w:rsidRPr="00A81964">
        <w:rPr>
          <w:rFonts w:hint="cs"/>
          <w:rtl/>
        </w:rPr>
        <w:t xml:space="preserve"> למנהל הרשות דאז (להלן - דוח ועדת נזק ישיר).</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בהמשך להמלצה בדוח ועדת נזק ישיר, </w:t>
      </w:r>
      <w:r w:rsidRPr="0079434D">
        <w:rPr>
          <w:rFonts w:hint="cs"/>
          <w:rtl/>
        </w:rPr>
        <w:t>בישיבה שהתקיימה באוקטובר 2017</w:t>
      </w:r>
      <w:r w:rsidRPr="00A81964">
        <w:rPr>
          <w:rFonts w:hint="cs"/>
          <w:rtl/>
        </w:rPr>
        <w:t xml:space="preserve"> שבה והמליצה ועדת משנה זו למנהל רשות המיסים דאז להעביר את העובדים הקבועים של מוקדי הנזק הישיר ל"כפיפות מלאה" של קרן הפיצויים, אשר "תיצור גמישות ניהולית גדולה". כמו כן, מנהל קרן הפיצויים ציין בישיבה כי "המצב הנכון הינו כפיפות למטה [קרן הפיצויים]" ואמר ש"בהצתות שהיו ב... לא הצלחתי לגייס את... ופשוט הייתי צריך 'להתחנן' שהוא יגיע למספר ימים בשבוע ל...; כך לא ניתן לתפעל אירוע". באותה ישיבה אמרה המשנה למנהל רשות המיסים כי "עובדים אשר נמצאים תחת תקן של עובד פיצויים עדיף שיהיו כפופים למטה הקרן. המנהלים במשרדים לא מכירים את החוק של קרן הפיצויים".</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79434D">
        <w:rPr>
          <w:rFonts w:hint="cs"/>
          <w:rtl/>
        </w:rPr>
        <w:t>בישיבה שהתקיימה</w:t>
      </w:r>
      <w:r w:rsidRPr="00A81964">
        <w:rPr>
          <w:rFonts w:hint="cs"/>
          <w:rtl/>
        </w:rPr>
        <w:t xml:space="preserve"> בספטמבר 2022 הוצגה לפני מנהל רשות המיסים דאז "</w:t>
      </w:r>
      <w:r w:rsidRPr="00A81964">
        <w:rPr>
          <w:rtl/>
        </w:rPr>
        <w:t>המורכבות והבעייתיות במצב הקיים</w:t>
      </w:r>
      <w:r>
        <w:rPr>
          <w:rFonts w:hint="cs"/>
          <w:rtl/>
        </w:rPr>
        <w:t>"</w:t>
      </w:r>
      <w:r w:rsidRPr="00A81964">
        <w:rPr>
          <w:rtl/>
        </w:rPr>
        <w:t xml:space="preserve"> בו עובדי חוליית הפיצויים, המועסקים </w:t>
      </w:r>
      <w:r>
        <w:rPr>
          <w:rFonts w:hint="cs"/>
          <w:rtl/>
        </w:rPr>
        <w:t>במשרדי פקידי השומה ברחבי הארץ</w:t>
      </w:r>
      <w:r w:rsidRPr="00A81964">
        <w:rPr>
          <w:rFonts w:hint="cs"/>
          <w:rtl/>
        </w:rPr>
        <w:t xml:space="preserve"> </w:t>
      </w:r>
      <w:r>
        <w:rPr>
          <w:rFonts w:hint="cs"/>
          <w:rtl/>
        </w:rPr>
        <w:t>"</w:t>
      </w:r>
      <w:r w:rsidRPr="00A81964">
        <w:rPr>
          <w:rtl/>
        </w:rPr>
        <w:t>כפופים לפקידי השומה עצמם ולא למנהל קרן הפיצויים</w:t>
      </w:r>
      <w:r w:rsidRPr="00A81964">
        <w:rPr>
          <w:rFonts w:hint="cs"/>
          <w:rtl/>
        </w:rPr>
        <w:t xml:space="preserve">", והוחלט לבצע באופן מיידי </w:t>
      </w:r>
      <w:r w:rsidRPr="00A81964">
        <w:rPr>
          <w:rtl/>
        </w:rPr>
        <w:t xml:space="preserve">פיילוט </w:t>
      </w:r>
      <w:r w:rsidRPr="00A81964">
        <w:rPr>
          <w:rFonts w:hint="cs"/>
          <w:rtl/>
        </w:rPr>
        <w:t xml:space="preserve">(להלן בהקשר זה </w:t>
      </w:r>
      <w:r w:rsidRPr="00A81964">
        <w:rPr>
          <w:rtl/>
        </w:rPr>
        <w:t>-</w:t>
      </w:r>
      <w:r w:rsidRPr="00A81964">
        <w:rPr>
          <w:rFonts w:hint="cs"/>
          <w:rtl/>
        </w:rPr>
        <w:t xml:space="preserve"> בדיקה מקדימה)</w:t>
      </w:r>
      <w:r w:rsidRPr="00A81964">
        <w:rPr>
          <w:rtl/>
        </w:rPr>
        <w:t xml:space="preserve"> </w:t>
      </w:r>
      <w:r>
        <w:rPr>
          <w:rFonts w:hint="cs"/>
          <w:rtl/>
        </w:rPr>
        <w:t>בפקיד שומה</w:t>
      </w:r>
      <w:r w:rsidRPr="00A81964">
        <w:rPr>
          <w:rFonts w:hint="cs"/>
          <w:rtl/>
        </w:rPr>
        <w:t xml:space="preserve"> </w:t>
      </w:r>
      <w:r w:rsidRPr="00A81964">
        <w:rPr>
          <w:rtl/>
        </w:rPr>
        <w:t xml:space="preserve">אשקלון, אשר במסגרתו </w:t>
      </w:r>
      <w:r w:rsidRPr="00A81964">
        <w:rPr>
          <w:rFonts w:hint="cs"/>
          <w:rtl/>
        </w:rPr>
        <w:t>"</w:t>
      </w:r>
      <w:r w:rsidRPr="00A81964">
        <w:rPr>
          <w:rtl/>
        </w:rPr>
        <w:t>עובדי חוליית הפיצויים יהיו כפופים ישירות למנהל אגף בכיר פיצויים ונזקי</w:t>
      </w:r>
      <w:r w:rsidRPr="00A81964">
        <w:rPr>
          <w:rFonts w:hint="cs"/>
          <w:rtl/>
        </w:rPr>
        <w:t xml:space="preserve"> </w:t>
      </w:r>
      <w:r w:rsidRPr="00A81964">
        <w:rPr>
          <w:rtl/>
        </w:rPr>
        <w:t>איבה</w:t>
      </w:r>
      <w:r w:rsidRPr="00A81964">
        <w:rPr>
          <w:rFonts w:hint="cs"/>
          <w:rtl/>
        </w:rPr>
        <w:t xml:space="preserve">... הן </w:t>
      </w:r>
      <w:r w:rsidRPr="00A81964">
        <w:rPr>
          <w:rtl/>
        </w:rPr>
        <w:t>מבחינה מקצועית והן מבחינה מנהלתית</w:t>
      </w:r>
      <w:r w:rsidRPr="00A81964">
        <w:rPr>
          <w:rFonts w:hint="cs"/>
          <w:rtl/>
        </w:rPr>
        <w:t xml:space="preserve">", כמו כן, הוחלט כי </w:t>
      </w:r>
      <w:r w:rsidRPr="00A81964">
        <w:rPr>
          <w:rtl/>
        </w:rPr>
        <w:t xml:space="preserve">לאחר תקופה </w:t>
      </w:r>
      <w:r w:rsidRPr="00A81964">
        <w:rPr>
          <w:rFonts w:hint="cs"/>
          <w:rtl/>
        </w:rPr>
        <w:t>ייבחנו</w:t>
      </w:r>
      <w:r w:rsidRPr="00A81964">
        <w:rPr>
          <w:rtl/>
        </w:rPr>
        <w:t xml:space="preserve"> המסקנות</w:t>
      </w:r>
      <w:r w:rsidRPr="00A81964">
        <w:rPr>
          <w:rFonts w:hint="cs"/>
          <w:rtl/>
        </w:rPr>
        <w:t xml:space="preserve"> </w:t>
      </w:r>
      <w:r w:rsidRPr="00A81964">
        <w:rPr>
          <w:rtl/>
        </w:rPr>
        <w:t xml:space="preserve">מהתהליך ותישקל האפשרות </w:t>
      </w:r>
      <w:r w:rsidRPr="00A81964">
        <w:rPr>
          <w:rFonts w:hint="cs"/>
          <w:rtl/>
        </w:rPr>
        <w:t>להחיל את</w:t>
      </w:r>
      <w:r w:rsidRPr="00A81964">
        <w:rPr>
          <w:rtl/>
        </w:rPr>
        <w:t xml:space="preserve"> </w:t>
      </w:r>
      <w:r w:rsidRPr="00A81964">
        <w:rPr>
          <w:rFonts w:hint="cs"/>
          <w:rtl/>
        </w:rPr>
        <w:t>הבדיקה המקדימה</w:t>
      </w:r>
      <w:r w:rsidRPr="00A81964">
        <w:rPr>
          <w:rtl/>
        </w:rPr>
        <w:t xml:space="preserve"> על משרדים נוספים.</w:t>
      </w:r>
      <w:r w:rsidRPr="00A81964">
        <w:rPr>
          <w:rFonts w:hint="cs"/>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בנובמבר 2022, במסגרת הבדיקה המקדימה, </w:t>
      </w:r>
      <w:r w:rsidRPr="0079434D">
        <w:rPr>
          <w:rFonts w:hint="cs"/>
          <w:rtl/>
        </w:rPr>
        <w:t>הועבר מנהל תחום פיצויים</w:t>
      </w:r>
      <w:r w:rsidRPr="00A81964">
        <w:rPr>
          <w:rFonts w:hint="cs"/>
          <w:rtl/>
        </w:rPr>
        <w:t xml:space="preserve"> ונזקי איבה ב</w:t>
      </w:r>
      <w:r>
        <w:rPr>
          <w:rFonts w:hint="cs"/>
          <w:rtl/>
        </w:rPr>
        <w:t xml:space="preserve">משרד </w:t>
      </w:r>
      <w:r w:rsidRPr="00A81964">
        <w:rPr>
          <w:rFonts w:hint="cs"/>
          <w:rtl/>
        </w:rPr>
        <w:t>פקיד שומה אשקלון לעבודה במסגרת מטה קרן הפיצויים לתקופת ניסיון.</w:t>
      </w:r>
    </w:p>
    <w:p w:rsidR="006252C4" w:rsidRDefault="006252C4" w:rsidP="006252C4">
      <w:pPr>
        <w:pStyle w:val="a8"/>
        <w:spacing w:line="269" w:lineRule="auto"/>
        <w:rPr>
          <w:rtl/>
        </w:rPr>
      </w:pPr>
    </w:p>
    <w:p w:rsidR="006252C4" w:rsidRPr="00052E9F" w:rsidRDefault="006252C4" w:rsidP="006252C4">
      <w:pPr>
        <w:spacing w:line="269" w:lineRule="auto"/>
        <w:rPr>
          <w:b/>
          <w:bCs/>
          <w:rtl/>
        </w:rPr>
      </w:pPr>
      <w:r w:rsidRPr="00052E9F">
        <w:rPr>
          <w:rFonts w:hint="eastAsia"/>
          <w:b/>
          <w:bCs/>
          <w:rtl/>
        </w:rPr>
        <w:t>הביקורת</w:t>
      </w:r>
      <w:r w:rsidRPr="00052E9F">
        <w:rPr>
          <w:b/>
          <w:bCs/>
          <w:rtl/>
        </w:rPr>
        <w:t xml:space="preserve"> </w:t>
      </w:r>
      <w:r w:rsidRPr="00052E9F">
        <w:rPr>
          <w:rFonts w:hint="eastAsia"/>
          <w:b/>
          <w:bCs/>
          <w:rtl/>
        </w:rPr>
        <w:t>העלתה</w:t>
      </w:r>
      <w:r w:rsidRPr="00052E9F">
        <w:rPr>
          <w:b/>
          <w:bCs/>
          <w:rtl/>
        </w:rPr>
        <w:t xml:space="preserve"> </w:t>
      </w:r>
      <w:r w:rsidRPr="00052E9F">
        <w:rPr>
          <w:rFonts w:hint="eastAsia"/>
          <w:b/>
          <w:bCs/>
          <w:rtl/>
        </w:rPr>
        <w:t>כי</w:t>
      </w:r>
      <w:r w:rsidRPr="00052E9F">
        <w:rPr>
          <w:b/>
          <w:bCs/>
          <w:rtl/>
        </w:rPr>
        <w:t xml:space="preserve"> </w:t>
      </w:r>
      <w:r w:rsidRPr="00052E9F">
        <w:rPr>
          <w:rFonts w:hint="cs"/>
          <w:b/>
          <w:bCs/>
          <w:rtl/>
        </w:rPr>
        <w:t>נכון למועד סיום הביקורת בדצמבר 2024, למעט עובד אחד שהועבר כאמור כבר בשנת 2022 לעבודה במטה קרן הפיצויים, יתר עובדי מוקדי הנזק הישיר עדיין כפופים מבחינה מקצועית לקרן הפיצויים ומבחינה מינהלית להנהלת היחידות, וזאת אף שהומלץ בשנת 2017 להעבירם לכפיפות מלאה של קרן הפיצויים.</w:t>
      </w:r>
    </w:p>
    <w:p w:rsidR="006252C4" w:rsidRDefault="006252C4" w:rsidP="006252C4">
      <w:pPr>
        <w:pStyle w:val="a8"/>
        <w:spacing w:line="269" w:lineRule="auto"/>
        <w:rPr>
          <w:rtl/>
        </w:rPr>
      </w:pPr>
    </w:p>
    <w:p w:rsidR="006252C4" w:rsidRDefault="006252C4" w:rsidP="006252C4">
      <w:pPr>
        <w:spacing w:line="269" w:lineRule="auto"/>
        <w:rPr>
          <w:b/>
          <w:bCs/>
          <w:rtl/>
        </w:rPr>
      </w:pPr>
      <w:r w:rsidRPr="00052E9F">
        <w:rPr>
          <w:rFonts w:hint="cs"/>
          <w:b/>
          <w:bCs/>
          <w:rtl/>
        </w:rPr>
        <w:lastRenderedPageBreak/>
        <w:t xml:space="preserve">משיחות שקיימו נציגי משרד מבקר המדינה עלה כי עובדי הקרן </w:t>
      </w:r>
      <w:r w:rsidRPr="00052E9F">
        <w:rPr>
          <w:b/>
          <w:bCs/>
          <w:rtl/>
        </w:rPr>
        <w:t>נדרשים לבצע משימות במסגרת פעילות היחידה אשר לה הם כפופים</w:t>
      </w:r>
      <w:r w:rsidRPr="00052E9F">
        <w:rPr>
          <w:rFonts w:hint="cs"/>
          <w:b/>
          <w:bCs/>
          <w:rtl/>
        </w:rPr>
        <w:t xml:space="preserve"> וכי היו מקרים בהם קיבלו העובדים הוראות סותרות מקרן הפיצויים ומהמשרדים אליהם הם כפופים מינהלית, דבר שהציב אתגרים גם בעבודת קרן הפיצויים וגם בפני העובדים שעמדו בפני ההוראות הסותרות.</w:t>
      </w:r>
    </w:p>
    <w:p w:rsidR="006252C4" w:rsidRDefault="006252C4" w:rsidP="006252C4">
      <w:pPr>
        <w:pStyle w:val="a8"/>
        <w:spacing w:line="269" w:lineRule="auto"/>
        <w:rPr>
          <w:rtl/>
        </w:rPr>
      </w:pPr>
    </w:p>
    <w:p w:rsidR="006252C4" w:rsidRPr="00052E9F" w:rsidRDefault="006252C4" w:rsidP="006252C4">
      <w:pPr>
        <w:spacing w:line="269" w:lineRule="auto"/>
        <w:rPr>
          <w:b/>
          <w:bCs/>
          <w:rtl/>
        </w:rPr>
      </w:pPr>
      <w:r w:rsidRPr="00052E9F">
        <w:rPr>
          <w:rFonts w:hint="eastAsia"/>
          <w:b/>
          <w:bCs/>
          <w:rtl/>
        </w:rPr>
        <w:t>העובדה</w:t>
      </w:r>
      <w:r w:rsidRPr="00052E9F">
        <w:rPr>
          <w:b/>
          <w:bCs/>
          <w:rtl/>
        </w:rPr>
        <w:t xml:space="preserve"> ש</w:t>
      </w:r>
      <w:r w:rsidRPr="00052E9F">
        <w:rPr>
          <w:rFonts w:hint="cs"/>
          <w:b/>
          <w:bCs/>
          <w:rtl/>
        </w:rPr>
        <w:t>ה</w:t>
      </w:r>
      <w:r w:rsidRPr="00052E9F">
        <w:rPr>
          <w:b/>
          <w:bCs/>
          <w:rtl/>
        </w:rPr>
        <w:t>עובדי</w:t>
      </w:r>
      <w:r w:rsidRPr="00052E9F">
        <w:rPr>
          <w:rFonts w:hint="cs"/>
          <w:b/>
          <w:bCs/>
          <w:rtl/>
        </w:rPr>
        <w:t>ם הקבועים של</w:t>
      </w:r>
      <w:r w:rsidRPr="00052E9F">
        <w:rPr>
          <w:b/>
          <w:bCs/>
          <w:rtl/>
        </w:rPr>
        <w:t xml:space="preserve"> מוקד</w:t>
      </w:r>
      <w:r w:rsidRPr="00052E9F">
        <w:rPr>
          <w:rFonts w:hint="cs"/>
          <w:b/>
          <w:bCs/>
          <w:rtl/>
        </w:rPr>
        <w:t>י</w:t>
      </w:r>
      <w:r w:rsidRPr="00052E9F">
        <w:rPr>
          <w:b/>
          <w:bCs/>
          <w:rtl/>
        </w:rPr>
        <w:t xml:space="preserve"> </w:t>
      </w:r>
      <w:r w:rsidRPr="00052E9F">
        <w:rPr>
          <w:rFonts w:hint="cs"/>
          <w:b/>
          <w:bCs/>
          <w:rtl/>
        </w:rPr>
        <w:t>ה</w:t>
      </w:r>
      <w:r w:rsidRPr="00052E9F">
        <w:rPr>
          <w:b/>
          <w:bCs/>
          <w:rtl/>
        </w:rPr>
        <w:t xml:space="preserve">נזק </w:t>
      </w:r>
      <w:r w:rsidRPr="00052E9F">
        <w:rPr>
          <w:rFonts w:hint="cs"/>
          <w:b/>
          <w:bCs/>
          <w:rtl/>
        </w:rPr>
        <w:t>ה</w:t>
      </w:r>
      <w:r w:rsidRPr="00052E9F">
        <w:rPr>
          <w:b/>
          <w:bCs/>
          <w:rtl/>
        </w:rPr>
        <w:t>ישיר כפופים מבחינה מקצועית למנהל קרן הפיצויים ומבחינה מ</w:t>
      </w:r>
      <w:r w:rsidRPr="00052E9F">
        <w:rPr>
          <w:rFonts w:hint="cs"/>
          <w:b/>
          <w:bCs/>
          <w:rtl/>
        </w:rPr>
        <w:t>י</w:t>
      </w:r>
      <w:r w:rsidRPr="00052E9F">
        <w:rPr>
          <w:b/>
          <w:bCs/>
          <w:rtl/>
        </w:rPr>
        <w:t>נהלית להנהלת היחידות השונות עלולה ל</w:t>
      </w:r>
      <w:r w:rsidRPr="00052E9F">
        <w:rPr>
          <w:rFonts w:hint="cs"/>
          <w:b/>
          <w:bCs/>
          <w:rtl/>
        </w:rPr>
        <w:t>פגוע במתן מענה לאזרחים שרכושם נפגע במלחמה, וזאת כתוצאה מהנחיות סותרות שמקבלים העובדים מקרן הפיצויים וממנהלי היחידות</w:t>
      </w:r>
      <w:r w:rsidRPr="00052E9F">
        <w:rPr>
          <w:b/>
          <w:bCs/>
          <w:rtl/>
        </w:rPr>
        <w:t xml:space="preserve">. </w:t>
      </w:r>
    </w:p>
    <w:p w:rsidR="006252C4" w:rsidRDefault="006252C4" w:rsidP="006252C4">
      <w:pPr>
        <w:pStyle w:val="a8"/>
        <w:spacing w:line="269" w:lineRule="auto"/>
        <w:rPr>
          <w:rtl/>
        </w:rPr>
      </w:pPr>
    </w:p>
    <w:p w:rsidR="006252C4" w:rsidRPr="00052E9F" w:rsidRDefault="006252C4" w:rsidP="006252C4">
      <w:pPr>
        <w:spacing w:line="269" w:lineRule="auto"/>
        <w:rPr>
          <w:b/>
          <w:bCs/>
          <w:rtl/>
        </w:rPr>
      </w:pPr>
      <w:r w:rsidRPr="00052E9F">
        <w:rPr>
          <w:rFonts w:hint="eastAsia"/>
          <w:b/>
          <w:bCs/>
          <w:rtl/>
        </w:rPr>
        <w:t>מומלץ</w:t>
      </w:r>
      <w:r w:rsidRPr="00052E9F">
        <w:rPr>
          <w:b/>
          <w:bCs/>
          <w:rtl/>
        </w:rPr>
        <w:t xml:space="preserve"> </w:t>
      </w:r>
      <w:r w:rsidRPr="00052E9F">
        <w:rPr>
          <w:rFonts w:hint="eastAsia"/>
          <w:b/>
          <w:bCs/>
          <w:rtl/>
        </w:rPr>
        <w:t>כי</w:t>
      </w:r>
      <w:r w:rsidRPr="00052E9F">
        <w:rPr>
          <w:b/>
          <w:bCs/>
          <w:rtl/>
        </w:rPr>
        <w:t xml:space="preserve"> רשות המיסים תגבש את מסקנותיה בנוגע לבדיקה המקדימה ולהמלצת ועדת המשנה לתפעול נזק ישיר </w:t>
      </w:r>
      <w:r w:rsidRPr="00052E9F">
        <w:rPr>
          <w:rFonts w:hint="eastAsia"/>
          <w:b/>
          <w:bCs/>
          <w:rtl/>
        </w:rPr>
        <w:t>ותבחן</w:t>
      </w:r>
      <w:r w:rsidRPr="00052E9F">
        <w:rPr>
          <w:b/>
          <w:bCs/>
          <w:rtl/>
        </w:rPr>
        <w:t xml:space="preserve"> </w:t>
      </w:r>
      <w:r w:rsidRPr="00052E9F">
        <w:rPr>
          <w:rFonts w:hint="eastAsia"/>
          <w:b/>
          <w:bCs/>
          <w:rtl/>
        </w:rPr>
        <w:t>את</w:t>
      </w:r>
      <w:r w:rsidRPr="00052E9F">
        <w:rPr>
          <w:b/>
          <w:bCs/>
          <w:rtl/>
        </w:rPr>
        <w:t xml:space="preserve"> </w:t>
      </w:r>
      <w:r w:rsidRPr="00052E9F">
        <w:rPr>
          <w:rFonts w:hint="eastAsia"/>
          <w:b/>
          <w:bCs/>
          <w:rtl/>
        </w:rPr>
        <w:t>המבנה</w:t>
      </w:r>
      <w:r w:rsidRPr="00052E9F">
        <w:rPr>
          <w:b/>
          <w:bCs/>
          <w:rtl/>
        </w:rPr>
        <w:t xml:space="preserve"> </w:t>
      </w:r>
      <w:r w:rsidRPr="00052E9F">
        <w:rPr>
          <w:rFonts w:hint="eastAsia"/>
          <w:b/>
          <w:bCs/>
          <w:rtl/>
        </w:rPr>
        <w:t>הארגוני</w:t>
      </w:r>
      <w:r w:rsidRPr="00052E9F">
        <w:rPr>
          <w:b/>
          <w:bCs/>
          <w:rtl/>
        </w:rPr>
        <w:t xml:space="preserve"> </w:t>
      </w:r>
      <w:r w:rsidRPr="00052E9F">
        <w:rPr>
          <w:rFonts w:hint="eastAsia"/>
          <w:b/>
          <w:bCs/>
          <w:rtl/>
        </w:rPr>
        <w:t>של</w:t>
      </w:r>
      <w:r w:rsidRPr="00052E9F">
        <w:rPr>
          <w:b/>
          <w:bCs/>
          <w:rtl/>
        </w:rPr>
        <w:t xml:space="preserve"> </w:t>
      </w:r>
      <w:r w:rsidRPr="00052E9F">
        <w:rPr>
          <w:rFonts w:hint="eastAsia"/>
          <w:b/>
          <w:bCs/>
          <w:rtl/>
        </w:rPr>
        <w:t>קרן</w:t>
      </w:r>
      <w:r w:rsidRPr="00052E9F">
        <w:rPr>
          <w:b/>
          <w:bCs/>
          <w:rtl/>
        </w:rPr>
        <w:t xml:space="preserve"> </w:t>
      </w:r>
      <w:r w:rsidRPr="00052E9F">
        <w:rPr>
          <w:rFonts w:hint="eastAsia"/>
          <w:b/>
          <w:bCs/>
          <w:rtl/>
        </w:rPr>
        <w:t>הפיצויים</w:t>
      </w:r>
      <w:r w:rsidRPr="00052E9F">
        <w:rPr>
          <w:b/>
          <w:bCs/>
          <w:rtl/>
        </w:rPr>
        <w:t xml:space="preserve"> </w:t>
      </w:r>
      <w:r w:rsidRPr="00052E9F">
        <w:rPr>
          <w:rFonts w:hint="eastAsia"/>
          <w:b/>
          <w:bCs/>
          <w:rtl/>
        </w:rPr>
        <w:t>בראי</w:t>
      </w:r>
      <w:r w:rsidRPr="00052E9F">
        <w:rPr>
          <w:b/>
          <w:bCs/>
          <w:rtl/>
        </w:rPr>
        <w:t xml:space="preserve"> </w:t>
      </w:r>
      <w:r w:rsidRPr="00052E9F">
        <w:rPr>
          <w:rFonts w:hint="eastAsia"/>
          <w:b/>
          <w:bCs/>
          <w:rtl/>
        </w:rPr>
        <w:t>התמשכות</w:t>
      </w:r>
      <w:r w:rsidRPr="00052E9F">
        <w:rPr>
          <w:b/>
          <w:bCs/>
          <w:rtl/>
        </w:rPr>
        <w:t xml:space="preserve"> </w:t>
      </w:r>
      <w:r w:rsidRPr="00052E9F">
        <w:rPr>
          <w:rFonts w:hint="eastAsia"/>
          <w:b/>
          <w:bCs/>
          <w:rtl/>
        </w:rPr>
        <w:t>המלחמה</w:t>
      </w:r>
      <w:r w:rsidRPr="00052E9F">
        <w:rPr>
          <w:b/>
          <w:bCs/>
          <w:rtl/>
        </w:rPr>
        <w:t xml:space="preserve">, היקף פעילות הקרן, מיסוד מנגנוני בקרה והצורך להתבסס על </w:t>
      </w:r>
      <w:r w:rsidRPr="00052E9F">
        <w:rPr>
          <w:rFonts w:hint="eastAsia"/>
          <w:b/>
          <w:bCs/>
          <w:rtl/>
        </w:rPr>
        <w:t>עובדים</w:t>
      </w:r>
      <w:r w:rsidRPr="00052E9F">
        <w:rPr>
          <w:b/>
          <w:bCs/>
          <w:rtl/>
        </w:rPr>
        <w:t xml:space="preserve"> </w:t>
      </w:r>
      <w:r w:rsidRPr="00052E9F">
        <w:rPr>
          <w:rFonts w:hint="eastAsia"/>
          <w:b/>
          <w:bCs/>
          <w:rtl/>
        </w:rPr>
        <w:t>בניהולה</w:t>
      </w:r>
      <w:r w:rsidRPr="00052E9F">
        <w:rPr>
          <w:b/>
          <w:bCs/>
          <w:rtl/>
        </w:rPr>
        <w:t xml:space="preserve"> </w:t>
      </w:r>
      <w:r w:rsidRPr="00052E9F">
        <w:rPr>
          <w:rFonts w:hint="eastAsia"/>
          <w:b/>
          <w:bCs/>
          <w:rtl/>
        </w:rPr>
        <w:t>הישיר</w:t>
      </w:r>
      <w:r w:rsidRPr="00052E9F">
        <w:rPr>
          <w:b/>
          <w:bCs/>
          <w:rtl/>
        </w:rPr>
        <w:t xml:space="preserve"> </w:t>
      </w:r>
      <w:r w:rsidRPr="00052E9F">
        <w:rPr>
          <w:rFonts w:hint="eastAsia"/>
          <w:b/>
          <w:bCs/>
          <w:rtl/>
        </w:rPr>
        <w:t>של</w:t>
      </w:r>
      <w:r w:rsidRPr="00052E9F">
        <w:rPr>
          <w:b/>
          <w:bCs/>
          <w:rtl/>
        </w:rPr>
        <w:t xml:space="preserve"> קרן הפיצויים, הן מבחינה </w:t>
      </w:r>
      <w:r w:rsidRPr="00052E9F">
        <w:rPr>
          <w:rFonts w:hint="eastAsia"/>
          <w:b/>
          <w:bCs/>
          <w:rtl/>
        </w:rPr>
        <w:t>מינהלית</w:t>
      </w:r>
      <w:r w:rsidRPr="00052E9F">
        <w:rPr>
          <w:b/>
          <w:bCs/>
          <w:rtl/>
        </w:rPr>
        <w:t xml:space="preserve"> והן מבחינה </w:t>
      </w:r>
      <w:r w:rsidRPr="00052E9F">
        <w:rPr>
          <w:rFonts w:hint="eastAsia"/>
          <w:b/>
          <w:bCs/>
          <w:rtl/>
        </w:rPr>
        <w:t>מקצועית</w:t>
      </w:r>
      <w:r w:rsidRPr="00052E9F">
        <w:rPr>
          <w:b/>
          <w:bCs/>
          <w:rtl/>
        </w:rPr>
        <w:t xml:space="preserve">. </w:t>
      </w:r>
      <w:r w:rsidRPr="00052E9F">
        <w:rPr>
          <w:rFonts w:hint="cs"/>
          <w:b/>
          <w:bCs/>
          <w:rtl/>
        </w:rPr>
        <w:t xml:space="preserve">בנוסף, </w:t>
      </w:r>
      <w:r w:rsidRPr="00052E9F">
        <w:rPr>
          <w:rFonts w:hint="eastAsia"/>
          <w:b/>
          <w:bCs/>
          <w:rtl/>
        </w:rPr>
        <w:t>במסגרת</w:t>
      </w:r>
      <w:r w:rsidRPr="00052E9F">
        <w:rPr>
          <w:b/>
          <w:bCs/>
          <w:rtl/>
        </w:rPr>
        <w:t xml:space="preserve"> הבחינה יש </w:t>
      </w:r>
      <w:r w:rsidRPr="00052E9F">
        <w:rPr>
          <w:rFonts w:hint="eastAsia"/>
          <w:b/>
          <w:bCs/>
          <w:rtl/>
        </w:rPr>
        <w:t>לשקלל</w:t>
      </w:r>
      <w:r w:rsidRPr="00052E9F">
        <w:rPr>
          <w:b/>
          <w:bCs/>
          <w:rtl/>
        </w:rPr>
        <w:t xml:space="preserve"> </w:t>
      </w:r>
      <w:r w:rsidRPr="00052E9F">
        <w:rPr>
          <w:rFonts w:hint="eastAsia"/>
          <w:b/>
          <w:bCs/>
          <w:rtl/>
        </w:rPr>
        <w:t>גם</w:t>
      </w:r>
      <w:r w:rsidRPr="00052E9F">
        <w:rPr>
          <w:b/>
          <w:bCs/>
          <w:rtl/>
        </w:rPr>
        <w:t xml:space="preserve"> </w:t>
      </w:r>
      <w:r w:rsidRPr="00052E9F">
        <w:rPr>
          <w:rFonts w:hint="cs"/>
          <w:b/>
          <w:bCs/>
          <w:rtl/>
        </w:rPr>
        <w:t xml:space="preserve">את </w:t>
      </w:r>
      <w:r w:rsidRPr="00052E9F">
        <w:rPr>
          <w:rFonts w:hint="eastAsia"/>
          <w:b/>
          <w:bCs/>
          <w:rtl/>
        </w:rPr>
        <w:t>הפגיעה</w:t>
      </w:r>
      <w:r w:rsidRPr="00052E9F">
        <w:rPr>
          <w:b/>
          <w:bCs/>
          <w:rtl/>
        </w:rPr>
        <w:t xml:space="preserve"> בפעילות יחידות </w:t>
      </w:r>
      <w:r w:rsidRPr="00052E9F">
        <w:rPr>
          <w:rFonts w:hint="eastAsia"/>
          <w:b/>
          <w:bCs/>
          <w:rtl/>
        </w:rPr>
        <w:t>רשות</w:t>
      </w:r>
      <w:r w:rsidRPr="00052E9F">
        <w:rPr>
          <w:b/>
          <w:bCs/>
          <w:rtl/>
        </w:rPr>
        <w:t xml:space="preserve"> </w:t>
      </w:r>
      <w:r w:rsidRPr="00052E9F">
        <w:rPr>
          <w:rFonts w:hint="eastAsia"/>
          <w:b/>
          <w:bCs/>
          <w:rtl/>
        </w:rPr>
        <w:t>המיסים</w:t>
      </w:r>
      <w:r w:rsidRPr="00052E9F">
        <w:rPr>
          <w:b/>
          <w:bCs/>
          <w:rtl/>
        </w:rPr>
        <w:t xml:space="preserve">, </w:t>
      </w:r>
      <w:r w:rsidRPr="00052E9F">
        <w:rPr>
          <w:rFonts w:hint="eastAsia"/>
          <w:b/>
          <w:bCs/>
          <w:rtl/>
        </w:rPr>
        <w:t>בשל</w:t>
      </w:r>
      <w:r w:rsidRPr="00052E9F">
        <w:rPr>
          <w:b/>
          <w:bCs/>
          <w:rtl/>
        </w:rPr>
        <w:t xml:space="preserve"> </w:t>
      </w:r>
      <w:r w:rsidRPr="00052E9F">
        <w:rPr>
          <w:rFonts w:hint="eastAsia"/>
          <w:b/>
          <w:bCs/>
          <w:rtl/>
        </w:rPr>
        <w:t>התבססות</w:t>
      </w:r>
      <w:r w:rsidRPr="00052E9F">
        <w:rPr>
          <w:b/>
          <w:bCs/>
          <w:rtl/>
        </w:rPr>
        <w:t xml:space="preserve"> </w:t>
      </w:r>
      <w:r w:rsidRPr="00052E9F">
        <w:rPr>
          <w:rFonts w:hint="eastAsia"/>
          <w:b/>
          <w:bCs/>
          <w:rtl/>
        </w:rPr>
        <w:t>הקרן</w:t>
      </w:r>
      <w:r w:rsidRPr="00052E9F">
        <w:rPr>
          <w:b/>
          <w:bCs/>
          <w:rtl/>
        </w:rPr>
        <w:t xml:space="preserve"> </w:t>
      </w:r>
      <w:r w:rsidRPr="00052E9F">
        <w:rPr>
          <w:rFonts w:hint="eastAsia"/>
          <w:b/>
          <w:bCs/>
          <w:rtl/>
        </w:rPr>
        <w:t>על</w:t>
      </w:r>
      <w:r w:rsidRPr="00052E9F">
        <w:rPr>
          <w:b/>
          <w:bCs/>
          <w:rtl/>
        </w:rPr>
        <w:t xml:space="preserve"> </w:t>
      </w:r>
      <w:r w:rsidRPr="00052E9F">
        <w:rPr>
          <w:rFonts w:hint="eastAsia"/>
          <w:b/>
          <w:bCs/>
          <w:rtl/>
        </w:rPr>
        <w:t>עובדים</w:t>
      </w:r>
      <w:r w:rsidRPr="00052E9F">
        <w:rPr>
          <w:b/>
          <w:bCs/>
          <w:rtl/>
        </w:rPr>
        <w:t xml:space="preserve"> </w:t>
      </w:r>
      <w:r w:rsidRPr="00052E9F">
        <w:rPr>
          <w:rFonts w:hint="eastAsia"/>
          <w:b/>
          <w:bCs/>
          <w:rtl/>
        </w:rPr>
        <w:t>מיחידות</w:t>
      </w:r>
      <w:r w:rsidRPr="00052E9F">
        <w:rPr>
          <w:b/>
          <w:bCs/>
          <w:rtl/>
        </w:rPr>
        <w:t xml:space="preserve"> רשות המיסים </w:t>
      </w:r>
      <w:r w:rsidRPr="00052E9F">
        <w:rPr>
          <w:rFonts w:hint="eastAsia"/>
          <w:b/>
          <w:bCs/>
          <w:rtl/>
        </w:rPr>
        <w:t>השונות</w:t>
      </w:r>
      <w:r w:rsidRPr="00052E9F">
        <w:rPr>
          <w:rFonts w:hint="cs"/>
          <w:b/>
          <w:bCs/>
          <w:rtl/>
        </w:rPr>
        <w:t xml:space="preserve"> בתקופות חירום ארוכות. </w:t>
      </w:r>
    </w:p>
    <w:p w:rsidR="006252C4" w:rsidRDefault="006252C4" w:rsidP="006252C4">
      <w:pPr>
        <w:pStyle w:val="a8"/>
        <w:spacing w:line="269" w:lineRule="auto"/>
        <w:rPr>
          <w:rtl/>
        </w:rPr>
      </w:pPr>
    </w:p>
    <w:p w:rsidR="006252C4" w:rsidRDefault="006252C4" w:rsidP="006252C4">
      <w:pPr>
        <w:spacing w:line="269" w:lineRule="auto"/>
        <w:rPr>
          <w:rtl/>
        </w:rPr>
      </w:pPr>
      <w:r w:rsidRPr="0016480E">
        <w:rPr>
          <w:rtl/>
        </w:rPr>
        <w:t xml:space="preserve">רשות </w:t>
      </w:r>
      <w:r>
        <w:rPr>
          <w:rtl/>
        </w:rPr>
        <w:t>המיסים</w:t>
      </w:r>
      <w:r>
        <w:rPr>
          <w:rFonts w:hint="cs"/>
          <w:rtl/>
        </w:rPr>
        <w:t xml:space="preserve"> מסרה בתשובתה</w:t>
      </w:r>
      <w:r w:rsidRPr="0016480E">
        <w:rPr>
          <w:rtl/>
        </w:rPr>
        <w:t xml:space="preserve"> מתאריך 02.09.2025 (להלן - תשובת רשות </w:t>
      </w:r>
      <w:r>
        <w:rPr>
          <w:rtl/>
        </w:rPr>
        <w:t>המיסים</w:t>
      </w:r>
      <w:r w:rsidRPr="0016480E">
        <w:rPr>
          <w:rtl/>
        </w:rPr>
        <w:t>) כי</w:t>
      </w:r>
      <w:r>
        <w:rPr>
          <w:rFonts w:hint="cs"/>
          <w:rtl/>
        </w:rPr>
        <w:t xml:space="preserve"> הבדיקה המקדימה שהחלה בפקיד שומה אשקלון הורחבה החל מחודש יוני 2025 ובמועד מסירת התשובה כל העובדים הקבועים של מוקדי הנזק הישיר כפופים מקצועית ומנהלית ליחידת קרן הפיצויים. עוד מסרה הרשות כי נוכח היקף האירועים היא בוחנת שדרוג נוסף במבנה הארגוני של הקרן.</w:t>
      </w:r>
    </w:p>
    <w:p w:rsidR="006252C4" w:rsidRPr="0016480E" w:rsidRDefault="006252C4" w:rsidP="006252C4">
      <w:pPr>
        <w:spacing w:line="269" w:lineRule="auto"/>
        <w:rPr>
          <w:rtl/>
        </w:rPr>
      </w:pPr>
    </w:p>
    <w:p w:rsidR="006252C4" w:rsidRPr="00A81964" w:rsidRDefault="006252C4" w:rsidP="006252C4">
      <w:pPr>
        <w:pStyle w:val="31"/>
        <w:spacing w:before="0" w:line="269" w:lineRule="auto"/>
        <w:rPr>
          <w:rtl/>
        </w:rPr>
      </w:pPr>
      <w:bookmarkStart w:id="19" w:name="_Hlk209685442"/>
      <w:r w:rsidRPr="00A81964">
        <w:rPr>
          <w:rFonts w:hint="eastAsia"/>
          <w:rtl/>
        </w:rPr>
        <w:t>היערכות</w:t>
      </w:r>
      <w:r w:rsidRPr="00A81964">
        <w:rPr>
          <w:rtl/>
        </w:rPr>
        <w:t xml:space="preserve"> </w:t>
      </w:r>
      <w:r w:rsidRPr="00A81964">
        <w:rPr>
          <w:rFonts w:hint="eastAsia"/>
          <w:rtl/>
        </w:rPr>
        <w:t>קרן</w:t>
      </w:r>
      <w:r w:rsidRPr="00A81964">
        <w:rPr>
          <w:rtl/>
        </w:rPr>
        <w:t xml:space="preserve"> </w:t>
      </w:r>
      <w:r w:rsidRPr="00A81964">
        <w:rPr>
          <w:rFonts w:hint="eastAsia"/>
          <w:rtl/>
        </w:rPr>
        <w:t>הפיצויים</w:t>
      </w:r>
      <w:r w:rsidRPr="00A81964">
        <w:rPr>
          <w:rFonts w:hint="cs"/>
          <w:rtl/>
        </w:rPr>
        <w:t xml:space="preserve"> לשיקום נזקים כבדים למבנים ולתשתיות</w:t>
      </w:r>
    </w:p>
    <w:p w:rsidR="006252C4" w:rsidRDefault="006252C4" w:rsidP="006252C4">
      <w:pPr>
        <w:pStyle w:val="a8"/>
        <w:spacing w:line="269" w:lineRule="auto"/>
        <w:rPr>
          <w:rtl/>
        </w:rPr>
      </w:pPr>
    </w:p>
    <w:p w:rsidR="006252C4" w:rsidRPr="00A81964" w:rsidRDefault="006252C4" w:rsidP="006252C4">
      <w:pPr>
        <w:spacing w:line="269" w:lineRule="auto"/>
        <w:rPr>
          <w:rFonts w:ascii="David" w:hAnsi="David"/>
        </w:rPr>
      </w:pPr>
      <w:r w:rsidRPr="00A81964">
        <w:rPr>
          <w:rFonts w:ascii="David" w:hAnsi="David"/>
          <w:rtl/>
        </w:rPr>
        <w:t xml:space="preserve">כאשר נגרם נזק ישיר למבנה או לתשתיות </w:t>
      </w:r>
      <w:r w:rsidRPr="00A81964">
        <w:rPr>
          <w:rFonts w:ascii="David" w:hAnsi="David" w:hint="cs"/>
          <w:rtl/>
        </w:rPr>
        <w:t>עומדות לפני הניזוק שתי</w:t>
      </w:r>
      <w:r w:rsidRPr="00A81964">
        <w:rPr>
          <w:rFonts w:ascii="David" w:hAnsi="David"/>
          <w:rtl/>
        </w:rPr>
        <w:t xml:space="preserve"> </w:t>
      </w:r>
      <w:r w:rsidRPr="00A81964">
        <w:rPr>
          <w:rFonts w:ascii="David" w:hAnsi="David" w:hint="cs"/>
          <w:rtl/>
        </w:rPr>
        <w:t>דרכים</w:t>
      </w:r>
      <w:r w:rsidRPr="00A81964">
        <w:rPr>
          <w:rFonts w:ascii="David" w:hAnsi="David"/>
          <w:rtl/>
        </w:rPr>
        <w:t xml:space="preserve"> לשיקום הנזק:</w:t>
      </w:r>
      <w:r w:rsidRPr="00A81964">
        <w:rPr>
          <w:rFonts w:ascii="David" w:hAnsi="David" w:hint="cs"/>
          <w:rtl/>
        </w:rPr>
        <w:t xml:space="preserve"> </w:t>
      </w:r>
    </w:p>
    <w:p w:rsidR="006252C4" w:rsidRDefault="006252C4" w:rsidP="006252C4">
      <w:pPr>
        <w:pStyle w:val="a8"/>
        <w:spacing w:line="269" w:lineRule="auto"/>
        <w:rPr>
          <w:rtl/>
        </w:rPr>
      </w:pPr>
    </w:p>
    <w:p w:rsidR="006252C4" w:rsidRPr="00E46E7F" w:rsidRDefault="006252C4" w:rsidP="006252C4">
      <w:pPr>
        <w:pStyle w:val="af3"/>
        <w:numPr>
          <w:ilvl w:val="0"/>
          <w:numId w:val="30"/>
        </w:numPr>
        <w:spacing w:line="269" w:lineRule="auto"/>
        <w:ind w:left="312"/>
        <w:rPr>
          <w:rFonts w:ascii="David" w:hAnsi="David"/>
        </w:rPr>
      </w:pPr>
      <w:r w:rsidRPr="0016480E">
        <w:rPr>
          <w:rStyle w:val="70"/>
          <w:rFonts w:ascii="David" w:hAnsi="David"/>
          <w:rtl/>
        </w:rPr>
        <w:t>שיקום עצמי:</w:t>
      </w:r>
      <w:r w:rsidRPr="00E46E7F">
        <w:rPr>
          <w:rFonts w:ascii="David" w:hAnsi="David"/>
          <w:rtl/>
        </w:rPr>
        <w:t xml:space="preserve"> בעל הנכס מ</w:t>
      </w:r>
      <w:r w:rsidRPr="00E46E7F">
        <w:rPr>
          <w:rFonts w:ascii="David" w:hAnsi="David" w:hint="eastAsia"/>
          <w:rtl/>
        </w:rPr>
        <w:t>קבל</w:t>
      </w:r>
      <w:r w:rsidRPr="00E46E7F">
        <w:rPr>
          <w:rFonts w:ascii="David" w:hAnsi="David"/>
          <w:rtl/>
        </w:rPr>
        <w:t xml:space="preserve"> </w:t>
      </w:r>
      <w:r w:rsidRPr="00E46E7F">
        <w:rPr>
          <w:rFonts w:ascii="David" w:hAnsi="David" w:hint="eastAsia"/>
          <w:rtl/>
        </w:rPr>
        <w:t>פיצוי</w:t>
      </w:r>
      <w:r w:rsidRPr="00E46E7F">
        <w:rPr>
          <w:rFonts w:ascii="David" w:hAnsi="David"/>
          <w:rtl/>
        </w:rPr>
        <w:t xml:space="preserve"> </w:t>
      </w:r>
      <w:r w:rsidRPr="00E46E7F">
        <w:rPr>
          <w:rFonts w:ascii="David" w:hAnsi="David" w:hint="eastAsia"/>
          <w:rtl/>
        </w:rPr>
        <w:t>כספי</w:t>
      </w:r>
      <w:r w:rsidRPr="00E46E7F">
        <w:rPr>
          <w:rFonts w:ascii="David" w:hAnsi="David"/>
          <w:rtl/>
        </w:rPr>
        <w:t xml:space="preserve"> </w:t>
      </w:r>
      <w:r w:rsidRPr="00E46E7F">
        <w:rPr>
          <w:rFonts w:ascii="David" w:hAnsi="David" w:hint="eastAsia"/>
          <w:rtl/>
        </w:rPr>
        <w:t>בהתאם</w:t>
      </w:r>
      <w:r w:rsidRPr="00E46E7F">
        <w:rPr>
          <w:rFonts w:ascii="David" w:hAnsi="David"/>
          <w:rtl/>
        </w:rPr>
        <w:t xml:space="preserve"> </w:t>
      </w:r>
      <w:r w:rsidRPr="00E46E7F">
        <w:rPr>
          <w:rFonts w:ascii="David" w:hAnsi="David" w:hint="eastAsia"/>
          <w:rtl/>
        </w:rPr>
        <w:t>לחוות</w:t>
      </w:r>
      <w:r w:rsidRPr="00E46E7F">
        <w:rPr>
          <w:rFonts w:ascii="David" w:hAnsi="David"/>
          <w:rtl/>
        </w:rPr>
        <w:t xml:space="preserve"> </w:t>
      </w:r>
      <w:r w:rsidRPr="00E46E7F">
        <w:rPr>
          <w:rFonts w:ascii="David" w:hAnsi="David" w:hint="eastAsia"/>
          <w:rtl/>
        </w:rPr>
        <w:t>הדעת</w:t>
      </w:r>
      <w:r w:rsidRPr="00E46E7F">
        <w:rPr>
          <w:rStyle w:val="af2"/>
          <w:rFonts w:ascii="David" w:hAnsi="David"/>
          <w:rtl/>
        </w:rPr>
        <w:footnoteReference w:id="17"/>
      </w:r>
      <w:r w:rsidRPr="00E46E7F">
        <w:rPr>
          <w:rFonts w:ascii="David" w:hAnsi="David"/>
          <w:rtl/>
        </w:rPr>
        <w:t xml:space="preserve"> של שמאי או מהנדס מטעם קרן הפיצויים בנוגע לשווי הנזק ולאחר מכן מבצע את הליך השיקום באמצעות בעל מקצוע מטעמו.</w:t>
      </w:r>
    </w:p>
    <w:p w:rsidR="006252C4" w:rsidRDefault="006252C4" w:rsidP="006252C4">
      <w:pPr>
        <w:pStyle w:val="a8"/>
        <w:spacing w:line="269" w:lineRule="auto"/>
        <w:rPr>
          <w:rtl/>
        </w:rPr>
      </w:pPr>
    </w:p>
    <w:p w:rsidR="006252C4" w:rsidRPr="00A81964" w:rsidRDefault="006252C4" w:rsidP="006252C4">
      <w:pPr>
        <w:pStyle w:val="af3"/>
        <w:numPr>
          <w:ilvl w:val="0"/>
          <w:numId w:val="30"/>
        </w:numPr>
        <w:spacing w:line="269" w:lineRule="auto"/>
        <w:ind w:left="312"/>
        <w:rPr>
          <w:rFonts w:ascii="David" w:hAnsi="David"/>
        </w:rPr>
      </w:pPr>
      <w:r w:rsidRPr="0016480E">
        <w:rPr>
          <w:rStyle w:val="70"/>
          <w:rFonts w:ascii="David" w:hAnsi="David"/>
          <w:rtl/>
        </w:rPr>
        <w:t>שיקום בידי קרן הפיצויים באמצעות חברה משקמת:</w:t>
      </w:r>
      <w:r w:rsidRPr="00E46E7F">
        <w:rPr>
          <w:rFonts w:ascii="David" w:hAnsi="David"/>
          <w:rtl/>
        </w:rPr>
        <w:t xml:space="preserve"> חברה משקמת היא חברה שנבחרה במכרז שערכה רשות המיסים לצורך שיקום נזקים</w:t>
      </w:r>
      <w:r w:rsidRPr="00A81964">
        <w:rPr>
          <w:rFonts w:ascii="David" w:hAnsi="David" w:hint="cs"/>
          <w:rtl/>
        </w:rPr>
        <w:t xml:space="preserve"> ישירים (להלן - חברה משקמת). חברה זו אחראית לביצוע בפועל של השיקום ומקבלת את התשלום בגין עלות השיקום ישירות מקרן הפיצויים.</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בדוח ועדת נזק ישיר נכתב, בין היתר, כי "</w:t>
      </w:r>
      <w:r w:rsidRPr="00A81964">
        <w:rPr>
          <w:rtl/>
        </w:rPr>
        <w:t>מניסיון העבר ניתן לומר שהחברות המשקמות שעובדות עם קרן הפיצויים יכולות לבצע שיקום באירועים קטנים עד בינוניים</w:t>
      </w:r>
      <w:r w:rsidRPr="00A81964">
        <w:rPr>
          <w:rFonts w:hint="cs"/>
          <w:rtl/>
        </w:rPr>
        <w:t xml:space="preserve">". בהמשך הדוח צוין ש"על מנת להגדיל את 'ארגז הכלים' של קרן הפיצויים בשיקום מבנים שניזוקו, </w:t>
      </w:r>
      <w:r w:rsidRPr="00A81964">
        <w:rPr>
          <w:rtl/>
        </w:rPr>
        <w:t>במיוחד באירוע גדול, על המשרדים הממשלתיים לאחד כוחות</w:t>
      </w:r>
      <w:r w:rsidRPr="00A81964">
        <w:rPr>
          <w:rFonts w:hint="cs"/>
          <w:rtl/>
        </w:rPr>
        <w:t xml:space="preserve"> </w:t>
      </w:r>
      <w:r w:rsidRPr="00A81964">
        <w:rPr>
          <w:rtl/>
        </w:rPr>
        <w:t>ככל שניתן, כאשר המטרה היא שכל משרד יביא את היתרון היחסי שלו</w:t>
      </w:r>
      <w:r w:rsidRPr="00A81964">
        <w:rPr>
          <w:rFonts w:hint="cs"/>
          <w:rtl/>
        </w:rPr>
        <w:t xml:space="preserve"> </w:t>
      </w:r>
      <w:r w:rsidRPr="00A81964">
        <w:rPr>
          <w:rtl/>
        </w:rPr>
        <w:t>לצורך שיקום הנכסים במהירות ויעילות ככל שניתן</w:t>
      </w:r>
      <w:r w:rsidRPr="00A81964">
        <w:rPr>
          <w:rFonts w:hint="cs"/>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79434D">
        <w:rPr>
          <w:rFonts w:hint="eastAsia"/>
          <w:rtl/>
        </w:rPr>
        <w:lastRenderedPageBreak/>
        <w:t>בישיבה</w:t>
      </w:r>
      <w:r w:rsidRPr="00A81964">
        <w:rPr>
          <w:rtl/>
        </w:rPr>
        <w:t xml:space="preserve"> </w:t>
      </w:r>
      <w:r w:rsidRPr="00A81964">
        <w:rPr>
          <w:rFonts w:hint="cs"/>
          <w:rtl/>
        </w:rPr>
        <w:t>מאוקטובר</w:t>
      </w:r>
      <w:r w:rsidRPr="00A81964">
        <w:rPr>
          <w:rtl/>
        </w:rPr>
        <w:t xml:space="preserve"> 2017 אמר מנהל קרן הפיצויים כי "אירוע אשר יכלול לחימה במספר זירות ומטחי טילים במהלך כל היום על שטח מדינת ישראל מצריך שיתוף פעולה עם משרדי ממשלה אחרים שמתעסקים בחרום". מנהל רשות </w:t>
      </w:r>
      <w:r w:rsidRPr="00A81964">
        <w:rPr>
          <w:rFonts w:hint="cs"/>
          <w:rtl/>
        </w:rPr>
        <w:t xml:space="preserve">המיסים </w:t>
      </w:r>
      <w:r w:rsidRPr="00A81964">
        <w:rPr>
          <w:rtl/>
        </w:rPr>
        <w:t xml:space="preserve">דאז </w:t>
      </w:r>
      <w:r w:rsidRPr="00A81964">
        <w:rPr>
          <w:rFonts w:hint="cs"/>
          <w:rtl/>
        </w:rPr>
        <w:t xml:space="preserve">אמר בישיבה זו </w:t>
      </w:r>
      <w:r w:rsidRPr="00A81964">
        <w:rPr>
          <w:rtl/>
        </w:rPr>
        <w:t xml:space="preserve">ש"למשרד השיכון יש יכולות להקים רחובות שלמים וכן תשתיות. ייתכן מצב שבו טיל יוריד שכונה שלמה ויהיה צורך לתכנן את השכונה מחדש, במגה </w:t>
      </w:r>
      <w:proofErr w:type="spellStart"/>
      <w:r w:rsidRPr="00A81964">
        <w:rPr>
          <w:rFonts w:hint="eastAsia"/>
          <w:rtl/>
        </w:rPr>
        <w:t>ארוע</w:t>
      </w:r>
      <w:proofErr w:type="spellEnd"/>
      <w:r w:rsidRPr="00A81964">
        <w:rPr>
          <w:rtl/>
        </w:rPr>
        <w:t xml:space="preserve"> משרד השיכון חייב להיכנס לתמונה".</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eastAsia"/>
          <w:rtl/>
        </w:rPr>
        <w:t>נוכח</w:t>
      </w:r>
      <w:r w:rsidRPr="00A81964">
        <w:rPr>
          <w:rtl/>
        </w:rPr>
        <w:t xml:space="preserve"> זאת המליצה הוועדה </w:t>
      </w:r>
      <w:r w:rsidRPr="00A81964">
        <w:rPr>
          <w:rFonts w:hint="cs"/>
          <w:rtl/>
        </w:rPr>
        <w:t>לקדם</w:t>
      </w:r>
      <w:r w:rsidRPr="00A81964">
        <w:rPr>
          <w:rtl/>
        </w:rPr>
        <w:t xml:space="preserve"> נוהל עבודה שיגדיר את יחסי הגומלין ושיתוף הפעולה בין קרן הפיצויים למשרד השיכון והבינוי (להלן - משרד השיכון), תוך התייחסות לתהליכי עבודה </w:t>
      </w:r>
      <w:r w:rsidRPr="00A81964">
        <w:rPr>
          <w:rFonts w:hint="cs"/>
          <w:rtl/>
        </w:rPr>
        <w:t>ול</w:t>
      </w:r>
      <w:r w:rsidRPr="00A81964">
        <w:rPr>
          <w:rtl/>
        </w:rPr>
        <w:t xml:space="preserve">חלוקת אחריות וסמכות, וכן תוך יצירת "ארגז כלים אופרטיבי לביצוע" (להלן - נוהל משותף עם </w:t>
      </w:r>
      <w:r w:rsidRPr="00A81964">
        <w:rPr>
          <w:rFonts w:hint="eastAsia"/>
          <w:rtl/>
        </w:rPr>
        <w:t>משרד</w:t>
      </w:r>
      <w:r w:rsidRPr="00A81964">
        <w:rPr>
          <w:rtl/>
        </w:rPr>
        <w:t xml:space="preserve"> השיכון). </w:t>
      </w:r>
      <w:r w:rsidRPr="00A81964">
        <w:rPr>
          <w:rFonts w:hint="cs"/>
          <w:rtl/>
        </w:rPr>
        <w:t>בין ראשי הפרקים שייכללו בנוהל יהיו</w:t>
      </w:r>
      <w:r w:rsidRPr="00A81964">
        <w:rPr>
          <w:rtl/>
        </w:rPr>
        <w:t xml:space="preserve"> חלוקת תחומי </w:t>
      </w:r>
      <w:r w:rsidRPr="00A81964">
        <w:rPr>
          <w:rFonts w:hint="cs"/>
          <w:rtl/>
        </w:rPr>
        <w:t>ה</w:t>
      </w:r>
      <w:r w:rsidRPr="00A81964">
        <w:rPr>
          <w:rtl/>
        </w:rPr>
        <w:t>אחריות ו</w:t>
      </w:r>
      <w:r w:rsidRPr="00A81964">
        <w:rPr>
          <w:rFonts w:hint="cs"/>
          <w:rtl/>
        </w:rPr>
        <w:t>ה</w:t>
      </w:r>
      <w:r w:rsidRPr="00A81964">
        <w:rPr>
          <w:rtl/>
        </w:rPr>
        <w:t>סמכויות בין המשרדים בטיפול באירוע</w:t>
      </w:r>
      <w:r w:rsidRPr="00A81964">
        <w:rPr>
          <w:rFonts w:hint="cs"/>
          <w:rtl/>
        </w:rPr>
        <w:t xml:space="preserve">, </w:t>
      </w:r>
      <w:r w:rsidRPr="00A81964">
        <w:rPr>
          <w:rtl/>
        </w:rPr>
        <w:t xml:space="preserve">הגדרת </w:t>
      </w:r>
      <w:r w:rsidRPr="00A81964">
        <w:rPr>
          <w:rFonts w:hint="cs"/>
          <w:rtl/>
        </w:rPr>
        <w:t>ה</w:t>
      </w:r>
      <w:r w:rsidRPr="00A81964">
        <w:rPr>
          <w:rtl/>
        </w:rPr>
        <w:t xml:space="preserve">אחריות, </w:t>
      </w:r>
      <w:r w:rsidRPr="00A81964">
        <w:rPr>
          <w:rFonts w:hint="cs"/>
          <w:rtl/>
        </w:rPr>
        <w:t>ה</w:t>
      </w:r>
      <w:r w:rsidRPr="00A81964">
        <w:rPr>
          <w:rtl/>
        </w:rPr>
        <w:t xml:space="preserve">סמכויות וקשרי </w:t>
      </w:r>
      <w:r w:rsidRPr="00A81964">
        <w:rPr>
          <w:rFonts w:hint="cs"/>
          <w:rtl/>
        </w:rPr>
        <w:t>ה</w:t>
      </w:r>
      <w:r w:rsidRPr="00A81964">
        <w:rPr>
          <w:rtl/>
        </w:rPr>
        <w:t>גומלין בין המשרדים בכל הקשור לשיקום הנכסים שנפגעו בעקבות נזק</w:t>
      </w:r>
      <w:r w:rsidRPr="00A81964">
        <w:rPr>
          <w:rFonts w:hint="cs"/>
          <w:rtl/>
        </w:rPr>
        <w:t>י</w:t>
      </w:r>
      <w:r w:rsidRPr="00A81964">
        <w:rPr>
          <w:rtl/>
        </w:rPr>
        <w:t xml:space="preserve"> מלחמה</w:t>
      </w:r>
      <w:r w:rsidRPr="00A81964">
        <w:rPr>
          <w:rFonts w:hint="cs"/>
          <w:rtl/>
        </w:rPr>
        <w:t xml:space="preserve"> ו</w:t>
      </w:r>
      <w:r w:rsidRPr="00A81964">
        <w:rPr>
          <w:rtl/>
        </w:rPr>
        <w:t>דרך ההפעלה ב</w:t>
      </w:r>
      <w:r w:rsidRPr="00A81964">
        <w:rPr>
          <w:rFonts w:hint="cs"/>
          <w:rtl/>
        </w:rPr>
        <w:t xml:space="preserve">עת </w:t>
      </w:r>
      <w:r w:rsidRPr="00A81964">
        <w:rPr>
          <w:rtl/>
        </w:rPr>
        <w:t>שגרה וב</w:t>
      </w:r>
      <w:r w:rsidRPr="00A81964">
        <w:rPr>
          <w:rFonts w:hint="cs"/>
          <w:rtl/>
        </w:rPr>
        <w:t xml:space="preserve">שעת </w:t>
      </w:r>
      <w:r w:rsidRPr="00A81964">
        <w:rPr>
          <w:rtl/>
        </w:rPr>
        <w:t>ח</w:t>
      </w:r>
      <w:r w:rsidRPr="00A81964">
        <w:rPr>
          <w:rFonts w:hint="cs"/>
          <w:rtl/>
        </w:rPr>
        <w:t>י</w:t>
      </w:r>
      <w:r w:rsidRPr="00A81964">
        <w:rPr>
          <w:rtl/>
        </w:rPr>
        <w:t>רו</w:t>
      </w:r>
      <w:r w:rsidRPr="00A81964">
        <w:rPr>
          <w:rFonts w:hint="cs"/>
          <w:rtl/>
        </w:rPr>
        <w:t xml:space="preserve">ם. </w:t>
      </w:r>
    </w:p>
    <w:p w:rsidR="006252C4" w:rsidRDefault="006252C4" w:rsidP="006252C4">
      <w:pPr>
        <w:pStyle w:val="a8"/>
        <w:spacing w:line="269" w:lineRule="auto"/>
        <w:rPr>
          <w:rtl/>
        </w:rPr>
      </w:pPr>
    </w:p>
    <w:p w:rsidR="006252C4" w:rsidRDefault="006252C4" w:rsidP="006252C4">
      <w:pPr>
        <w:spacing w:line="269" w:lineRule="auto"/>
        <w:rPr>
          <w:rtl/>
        </w:rPr>
      </w:pPr>
      <w:r w:rsidRPr="00A81964">
        <w:rPr>
          <w:rFonts w:hint="eastAsia"/>
          <w:rtl/>
        </w:rPr>
        <w:t>בדו</w:t>
      </w:r>
      <w:r w:rsidRPr="00A81964">
        <w:rPr>
          <w:rtl/>
        </w:rPr>
        <w:t xml:space="preserve">ח </w:t>
      </w:r>
      <w:r w:rsidRPr="00A81964">
        <w:rPr>
          <w:rFonts w:hint="eastAsia"/>
          <w:rtl/>
        </w:rPr>
        <w:t>הוועדה</w:t>
      </w:r>
      <w:r w:rsidRPr="00A81964">
        <w:rPr>
          <w:rtl/>
        </w:rPr>
        <w:t xml:space="preserve"> </w:t>
      </w:r>
      <w:r w:rsidRPr="00A81964">
        <w:rPr>
          <w:rFonts w:hint="eastAsia"/>
          <w:rtl/>
        </w:rPr>
        <w:t>חולקו</w:t>
      </w:r>
      <w:r w:rsidRPr="00A81964">
        <w:rPr>
          <w:rtl/>
        </w:rPr>
        <w:t xml:space="preserve"> </w:t>
      </w:r>
      <w:r w:rsidRPr="00A81964">
        <w:rPr>
          <w:rFonts w:hint="eastAsia"/>
          <w:rtl/>
        </w:rPr>
        <w:t>הנזקים</w:t>
      </w:r>
      <w:r w:rsidRPr="00A81964">
        <w:rPr>
          <w:rtl/>
        </w:rPr>
        <w:t xml:space="preserve"> </w:t>
      </w:r>
      <w:r w:rsidRPr="00A81964">
        <w:rPr>
          <w:rFonts w:hint="eastAsia"/>
          <w:rtl/>
        </w:rPr>
        <w:t>הישירים</w:t>
      </w:r>
      <w:r w:rsidRPr="00A81964">
        <w:rPr>
          <w:rtl/>
        </w:rPr>
        <w:t xml:space="preserve"> </w:t>
      </w:r>
      <w:r w:rsidRPr="00A81964">
        <w:rPr>
          <w:rFonts w:hint="eastAsia"/>
          <w:rtl/>
        </w:rPr>
        <w:t>האפשריים</w:t>
      </w:r>
      <w:r w:rsidRPr="00A81964">
        <w:rPr>
          <w:rtl/>
        </w:rPr>
        <w:t xml:space="preserve"> </w:t>
      </w:r>
      <w:r w:rsidRPr="00A81964">
        <w:rPr>
          <w:rFonts w:hint="eastAsia"/>
          <w:rtl/>
        </w:rPr>
        <w:t>למבנים</w:t>
      </w:r>
      <w:r w:rsidRPr="00A81964">
        <w:rPr>
          <w:rtl/>
        </w:rPr>
        <w:t xml:space="preserve"> </w:t>
      </w:r>
      <w:r w:rsidRPr="00A81964">
        <w:rPr>
          <w:rFonts w:hint="eastAsia"/>
          <w:rtl/>
        </w:rPr>
        <w:t>לשתי</w:t>
      </w:r>
      <w:r w:rsidRPr="00A81964">
        <w:rPr>
          <w:rtl/>
        </w:rPr>
        <w:t xml:space="preserve"> </w:t>
      </w:r>
      <w:r w:rsidRPr="00A81964">
        <w:rPr>
          <w:rFonts w:hint="eastAsia"/>
          <w:rtl/>
        </w:rPr>
        <w:t>רמות</w:t>
      </w:r>
      <w:r w:rsidRPr="00A81964">
        <w:rPr>
          <w:rtl/>
        </w:rPr>
        <w:t xml:space="preserve">: "נזק </w:t>
      </w:r>
      <w:r w:rsidRPr="00A81964">
        <w:rPr>
          <w:rFonts w:hint="eastAsia"/>
          <w:rtl/>
        </w:rPr>
        <w:t>קל</w:t>
      </w:r>
      <w:r w:rsidRPr="00A81964">
        <w:rPr>
          <w:rtl/>
        </w:rPr>
        <w:t>"</w:t>
      </w:r>
      <w:r w:rsidRPr="00A81964">
        <w:rPr>
          <w:rFonts w:hint="cs"/>
          <w:rtl/>
        </w:rPr>
        <w:t>,</w:t>
      </w:r>
      <w:r w:rsidRPr="00A81964">
        <w:rPr>
          <w:rtl/>
        </w:rPr>
        <w:t xml:space="preserve"> </w:t>
      </w:r>
      <w:r w:rsidRPr="00A81964">
        <w:rPr>
          <w:rFonts w:hint="eastAsia"/>
          <w:rtl/>
        </w:rPr>
        <w:t>שמוגדר</w:t>
      </w:r>
      <w:r w:rsidRPr="00A81964">
        <w:rPr>
          <w:rtl/>
        </w:rPr>
        <w:t xml:space="preserve"> </w:t>
      </w:r>
      <w:r w:rsidRPr="00A81964">
        <w:rPr>
          <w:rFonts w:hint="eastAsia"/>
          <w:rtl/>
        </w:rPr>
        <w:t>כנזק</w:t>
      </w:r>
      <w:r w:rsidRPr="00A81964">
        <w:rPr>
          <w:rtl/>
        </w:rPr>
        <w:t xml:space="preserve"> </w:t>
      </w:r>
      <w:r w:rsidRPr="00A81964">
        <w:rPr>
          <w:rFonts w:hint="eastAsia"/>
          <w:rtl/>
        </w:rPr>
        <w:t>בהיקף</w:t>
      </w:r>
      <w:r w:rsidRPr="00A81964">
        <w:rPr>
          <w:rtl/>
        </w:rPr>
        <w:t xml:space="preserve"> </w:t>
      </w:r>
      <w:r w:rsidRPr="00A81964">
        <w:rPr>
          <w:rFonts w:hint="eastAsia"/>
          <w:rtl/>
        </w:rPr>
        <w:t>של</w:t>
      </w:r>
      <w:r w:rsidRPr="00A81964">
        <w:rPr>
          <w:rtl/>
        </w:rPr>
        <w:t xml:space="preserve"> </w:t>
      </w:r>
      <w:r w:rsidRPr="00A81964">
        <w:rPr>
          <w:rFonts w:hint="eastAsia"/>
          <w:rtl/>
        </w:rPr>
        <w:t>עד</w:t>
      </w:r>
      <w:r w:rsidRPr="00A81964">
        <w:rPr>
          <w:rtl/>
        </w:rPr>
        <w:t xml:space="preserve"> </w:t>
      </w:r>
      <w:r w:rsidRPr="00A81964">
        <w:rPr>
          <w:rFonts w:hint="eastAsia"/>
          <w:rtl/>
        </w:rPr>
        <w:t>וכולל</w:t>
      </w:r>
      <w:r w:rsidRPr="00A81964">
        <w:rPr>
          <w:rtl/>
        </w:rPr>
        <w:t xml:space="preserve"> </w:t>
      </w:r>
      <w:r w:rsidRPr="00A81964">
        <w:rPr>
          <w:rFonts w:hint="eastAsia"/>
          <w:rtl/>
        </w:rPr>
        <w:t>הרס</w:t>
      </w:r>
      <w:r w:rsidRPr="00A81964">
        <w:rPr>
          <w:rtl/>
        </w:rPr>
        <w:t xml:space="preserve"> </w:t>
      </w:r>
      <w:r w:rsidRPr="00A81964">
        <w:rPr>
          <w:rFonts w:hint="eastAsia"/>
          <w:rtl/>
        </w:rPr>
        <w:t>מוחלט</w:t>
      </w:r>
      <w:r w:rsidRPr="00A81964">
        <w:rPr>
          <w:rtl/>
        </w:rPr>
        <w:t xml:space="preserve"> </w:t>
      </w:r>
      <w:r w:rsidRPr="00A81964">
        <w:rPr>
          <w:rFonts w:hint="eastAsia"/>
          <w:rtl/>
        </w:rPr>
        <w:t>לבית</w:t>
      </w:r>
      <w:r w:rsidRPr="00A81964">
        <w:rPr>
          <w:rtl/>
        </w:rPr>
        <w:t xml:space="preserve"> </w:t>
      </w:r>
      <w:r w:rsidRPr="00A81964">
        <w:rPr>
          <w:rFonts w:hint="eastAsia"/>
          <w:rtl/>
        </w:rPr>
        <w:t>קרקע</w:t>
      </w:r>
      <w:r w:rsidRPr="00A81964">
        <w:rPr>
          <w:rFonts w:hint="cs"/>
          <w:rtl/>
        </w:rPr>
        <w:t>,</w:t>
      </w:r>
      <w:r w:rsidRPr="00A81964">
        <w:rPr>
          <w:rtl/>
        </w:rPr>
        <w:t xml:space="preserve"> </w:t>
      </w:r>
      <w:r w:rsidRPr="00A81964">
        <w:rPr>
          <w:rFonts w:hint="eastAsia"/>
          <w:rtl/>
        </w:rPr>
        <w:t>ו</w:t>
      </w:r>
      <w:r w:rsidRPr="00A81964">
        <w:rPr>
          <w:rtl/>
        </w:rPr>
        <w:t xml:space="preserve">"נזק </w:t>
      </w:r>
      <w:r w:rsidRPr="00A81964">
        <w:rPr>
          <w:rFonts w:hint="eastAsia"/>
          <w:rtl/>
        </w:rPr>
        <w:t>כבד</w:t>
      </w:r>
      <w:r w:rsidRPr="00A81964">
        <w:rPr>
          <w:rtl/>
        </w:rPr>
        <w:t>"</w:t>
      </w:r>
      <w:r w:rsidRPr="00A81964">
        <w:rPr>
          <w:rFonts w:hint="cs"/>
          <w:rtl/>
        </w:rPr>
        <w:t>,</w:t>
      </w:r>
      <w:r w:rsidRPr="00A81964">
        <w:rPr>
          <w:rtl/>
        </w:rPr>
        <w:t xml:space="preserve"> </w:t>
      </w:r>
      <w:r w:rsidRPr="00A81964">
        <w:rPr>
          <w:rFonts w:hint="eastAsia"/>
          <w:rtl/>
        </w:rPr>
        <w:t>שמוגדר</w:t>
      </w:r>
      <w:r w:rsidRPr="00A81964">
        <w:rPr>
          <w:rtl/>
        </w:rPr>
        <w:t xml:space="preserve"> </w:t>
      </w:r>
      <w:r w:rsidRPr="00A81964">
        <w:rPr>
          <w:rFonts w:hint="eastAsia"/>
          <w:rtl/>
        </w:rPr>
        <w:t>כהרס</w:t>
      </w:r>
      <w:r w:rsidRPr="00A81964">
        <w:rPr>
          <w:rtl/>
        </w:rPr>
        <w:t xml:space="preserve"> </w:t>
      </w:r>
      <w:r w:rsidRPr="00A81964">
        <w:rPr>
          <w:rFonts w:hint="eastAsia"/>
          <w:rtl/>
        </w:rPr>
        <w:t>מוחלט</w:t>
      </w:r>
      <w:r w:rsidRPr="00A81964">
        <w:rPr>
          <w:rtl/>
        </w:rPr>
        <w:t xml:space="preserve"> </w:t>
      </w:r>
      <w:r w:rsidRPr="00A81964">
        <w:rPr>
          <w:rFonts w:hint="eastAsia"/>
          <w:rtl/>
        </w:rPr>
        <w:t>לתשתיות</w:t>
      </w:r>
      <w:r w:rsidRPr="00A81964">
        <w:rPr>
          <w:rtl/>
        </w:rPr>
        <w:t xml:space="preserve">, </w:t>
      </w:r>
      <w:r w:rsidRPr="00A81964">
        <w:rPr>
          <w:rFonts w:hint="cs"/>
          <w:rtl/>
        </w:rPr>
        <w:t>ל</w:t>
      </w:r>
      <w:r w:rsidRPr="00A81964">
        <w:rPr>
          <w:rFonts w:hint="eastAsia"/>
          <w:rtl/>
        </w:rPr>
        <w:t>מבני</w:t>
      </w:r>
      <w:r w:rsidRPr="00A81964">
        <w:rPr>
          <w:rtl/>
        </w:rPr>
        <w:t xml:space="preserve"> </w:t>
      </w:r>
      <w:r w:rsidRPr="00A81964">
        <w:rPr>
          <w:rFonts w:hint="eastAsia"/>
          <w:rtl/>
        </w:rPr>
        <w:t>ציבור</w:t>
      </w:r>
      <w:r w:rsidRPr="00A81964">
        <w:rPr>
          <w:rtl/>
        </w:rPr>
        <w:t xml:space="preserve"> </w:t>
      </w:r>
      <w:r w:rsidRPr="00A81964">
        <w:rPr>
          <w:rFonts w:hint="eastAsia"/>
          <w:rtl/>
        </w:rPr>
        <w:t>ו</w:t>
      </w:r>
      <w:r w:rsidRPr="00A81964">
        <w:rPr>
          <w:rFonts w:hint="cs"/>
          <w:rtl/>
        </w:rPr>
        <w:t>ל</w:t>
      </w:r>
      <w:r w:rsidRPr="00A81964">
        <w:rPr>
          <w:rFonts w:hint="eastAsia"/>
          <w:rtl/>
        </w:rPr>
        <w:t>בנייני</w:t>
      </w:r>
      <w:r w:rsidRPr="00A81964">
        <w:rPr>
          <w:rtl/>
        </w:rPr>
        <w:t xml:space="preserve"> </w:t>
      </w:r>
      <w:r w:rsidRPr="00A81964">
        <w:rPr>
          <w:rFonts w:hint="eastAsia"/>
          <w:rtl/>
        </w:rPr>
        <w:t>מגורים</w:t>
      </w:r>
      <w:r w:rsidRPr="00A81964">
        <w:rPr>
          <w:rtl/>
        </w:rPr>
        <w:t xml:space="preserve"> </w:t>
      </w:r>
      <w:r w:rsidRPr="00A81964">
        <w:rPr>
          <w:rFonts w:hint="eastAsia"/>
          <w:rtl/>
        </w:rPr>
        <w:t>בבנייה</w:t>
      </w:r>
      <w:r w:rsidRPr="00A81964">
        <w:rPr>
          <w:rtl/>
        </w:rPr>
        <w:t xml:space="preserve"> </w:t>
      </w:r>
      <w:r w:rsidRPr="00A81964">
        <w:rPr>
          <w:rFonts w:hint="eastAsia"/>
          <w:rtl/>
        </w:rPr>
        <w:t>רוויה</w:t>
      </w:r>
      <w:r w:rsidRPr="00A81964">
        <w:rPr>
          <w:rFonts w:hint="cs"/>
          <w:rtl/>
        </w:rPr>
        <w:t>. בדוח הומלץ על עקרונות השיקום שייכללו בנוהל המשותף עם משרד השיכון, בהתאם לרמות הנזקים שנגרמו, באופן שאם נגרם נזק כבד לבנייה רוויה או לתשתיות של רשות מקומית חלשה, השיקום יתבצע על ידי משרד השיכון.</w:t>
      </w:r>
    </w:p>
    <w:p w:rsidR="006252C4" w:rsidRDefault="006252C4" w:rsidP="006252C4">
      <w:pPr>
        <w:pStyle w:val="a8"/>
        <w:spacing w:line="269" w:lineRule="auto"/>
        <w:rPr>
          <w:rtl/>
        </w:rPr>
      </w:pPr>
    </w:p>
    <w:p w:rsidR="006252C4" w:rsidRDefault="006252C4" w:rsidP="006252C4">
      <w:pPr>
        <w:bidi w:val="0"/>
        <w:spacing w:after="200" w:line="276" w:lineRule="auto"/>
        <w:rPr>
          <w:rtl/>
        </w:rPr>
      </w:pPr>
      <w:r>
        <w:rPr>
          <w:rtl/>
        </w:rPr>
        <w:br w:type="page"/>
      </w:r>
    </w:p>
    <w:p w:rsidR="006252C4" w:rsidRDefault="006252C4" w:rsidP="006252C4">
      <w:pPr>
        <w:spacing w:line="269" w:lineRule="auto"/>
        <w:rPr>
          <w:rtl/>
        </w:rPr>
      </w:pPr>
      <w:r w:rsidRPr="00A81964">
        <w:rPr>
          <w:rFonts w:hint="eastAsia"/>
          <w:rtl/>
        </w:rPr>
        <w:lastRenderedPageBreak/>
        <w:t>להלן</w:t>
      </w:r>
      <w:r w:rsidRPr="00A81964">
        <w:rPr>
          <w:rtl/>
        </w:rPr>
        <w:t xml:space="preserve"> </w:t>
      </w:r>
      <w:r w:rsidRPr="00A81964">
        <w:rPr>
          <w:rFonts w:hint="cs"/>
          <w:rtl/>
        </w:rPr>
        <w:t>מוצגים ב</w:t>
      </w:r>
      <w:r w:rsidRPr="00A81964">
        <w:rPr>
          <w:rFonts w:hint="eastAsia"/>
          <w:rtl/>
        </w:rPr>
        <w:t>תרשים</w:t>
      </w:r>
      <w:r w:rsidRPr="00A81964">
        <w:rPr>
          <w:rtl/>
        </w:rPr>
        <w:t xml:space="preserve"> </w:t>
      </w:r>
      <w:r w:rsidRPr="00A81964">
        <w:rPr>
          <w:rFonts w:hint="eastAsia"/>
          <w:rtl/>
        </w:rPr>
        <w:t>עקרונות</w:t>
      </w:r>
      <w:r w:rsidRPr="00A81964">
        <w:rPr>
          <w:rtl/>
        </w:rPr>
        <w:t xml:space="preserve"> השיקום </w:t>
      </w:r>
      <w:r w:rsidRPr="00A81964">
        <w:rPr>
          <w:rFonts w:hint="cs"/>
          <w:rtl/>
        </w:rPr>
        <w:t>שהוצגו בדוח הוועדה, ב</w:t>
      </w:r>
      <w:r w:rsidRPr="00A81964">
        <w:rPr>
          <w:rFonts w:hint="eastAsia"/>
          <w:rtl/>
        </w:rPr>
        <w:t>חלוקה</w:t>
      </w:r>
      <w:r w:rsidRPr="00A81964">
        <w:rPr>
          <w:rtl/>
        </w:rPr>
        <w:t xml:space="preserve"> </w:t>
      </w:r>
      <w:r w:rsidRPr="00A81964">
        <w:rPr>
          <w:rFonts w:hint="eastAsia"/>
          <w:rtl/>
        </w:rPr>
        <w:t>לרמות</w:t>
      </w:r>
      <w:r w:rsidRPr="00A81964">
        <w:rPr>
          <w:rtl/>
        </w:rPr>
        <w:t xml:space="preserve"> </w:t>
      </w:r>
      <w:r w:rsidRPr="00A81964">
        <w:rPr>
          <w:rFonts w:hint="eastAsia"/>
          <w:rtl/>
        </w:rPr>
        <w:t>הנזקים</w:t>
      </w:r>
      <w:r w:rsidRPr="00A81964">
        <w:rPr>
          <w:rtl/>
        </w:rPr>
        <w:t xml:space="preserve"> </w:t>
      </w:r>
      <w:r w:rsidRPr="00A81964">
        <w:rPr>
          <w:rFonts w:hint="cs"/>
          <w:rtl/>
        </w:rPr>
        <w:t>שנגרמו</w:t>
      </w:r>
      <w:r w:rsidRPr="00A81964">
        <w:rPr>
          <w:rtl/>
        </w:rPr>
        <w:t>.</w:t>
      </w:r>
    </w:p>
    <w:p w:rsidR="006252C4" w:rsidRDefault="006252C4" w:rsidP="006252C4">
      <w:pPr>
        <w:keepNext/>
        <w:keepLines/>
        <w:spacing w:line="269" w:lineRule="auto"/>
        <w:jc w:val="center"/>
        <w:rPr>
          <w:rtl/>
        </w:rPr>
      </w:pPr>
    </w:p>
    <w:p w:rsidR="006252C4" w:rsidRPr="00A81964" w:rsidRDefault="006252C4" w:rsidP="006252C4">
      <w:pPr>
        <w:keepNext/>
        <w:keepLines/>
        <w:spacing w:line="269" w:lineRule="auto"/>
        <w:jc w:val="center"/>
        <w:rPr>
          <w:b/>
          <w:bCs/>
          <w:rtl/>
        </w:rPr>
      </w:pPr>
      <w:r w:rsidRPr="00A81964">
        <w:rPr>
          <w:rFonts w:hint="eastAsia"/>
          <w:rtl/>
        </w:rPr>
        <w:t>תרשים</w:t>
      </w:r>
      <w:r w:rsidRPr="00A81964">
        <w:rPr>
          <w:rtl/>
        </w:rPr>
        <w:t xml:space="preserve"> 6:</w:t>
      </w:r>
      <w:r w:rsidRPr="00A81964">
        <w:rPr>
          <w:b/>
          <w:bCs/>
          <w:rtl/>
        </w:rPr>
        <w:t xml:space="preserve"> </w:t>
      </w:r>
      <w:r w:rsidRPr="00A81964">
        <w:rPr>
          <w:rFonts w:hint="eastAsia"/>
          <w:b/>
          <w:bCs/>
          <w:rtl/>
        </w:rPr>
        <w:t>עקרונות</w:t>
      </w:r>
      <w:r w:rsidRPr="00A81964">
        <w:rPr>
          <w:b/>
          <w:bCs/>
          <w:rtl/>
        </w:rPr>
        <w:t xml:space="preserve"> </w:t>
      </w:r>
      <w:r w:rsidRPr="00A81964">
        <w:rPr>
          <w:rFonts w:hint="eastAsia"/>
          <w:b/>
          <w:bCs/>
          <w:rtl/>
        </w:rPr>
        <w:t>השיקום</w:t>
      </w:r>
      <w:r>
        <w:rPr>
          <w:rFonts w:hint="cs"/>
          <w:b/>
          <w:bCs/>
          <w:rtl/>
        </w:rPr>
        <w:t xml:space="preserve"> לפי המלצות הוועדה</w:t>
      </w:r>
      <w:r w:rsidRPr="00A81964">
        <w:rPr>
          <w:b/>
          <w:bCs/>
          <w:rtl/>
        </w:rPr>
        <w:t xml:space="preserve">, </w:t>
      </w:r>
      <w:r w:rsidRPr="00A81964">
        <w:rPr>
          <w:rFonts w:hint="cs"/>
          <w:b/>
          <w:bCs/>
          <w:rtl/>
        </w:rPr>
        <w:t>לפי</w:t>
      </w:r>
      <w:r w:rsidRPr="00A81964">
        <w:rPr>
          <w:b/>
          <w:bCs/>
          <w:rtl/>
        </w:rPr>
        <w:t xml:space="preserve"> </w:t>
      </w:r>
      <w:r w:rsidRPr="00A81964">
        <w:rPr>
          <w:rFonts w:hint="eastAsia"/>
          <w:b/>
          <w:bCs/>
          <w:rtl/>
        </w:rPr>
        <w:t>רמות</w:t>
      </w:r>
      <w:r w:rsidRPr="00A81964">
        <w:rPr>
          <w:b/>
          <w:bCs/>
          <w:rtl/>
        </w:rPr>
        <w:t xml:space="preserve"> </w:t>
      </w:r>
      <w:r w:rsidRPr="00A81964">
        <w:rPr>
          <w:rFonts w:hint="eastAsia"/>
          <w:b/>
          <w:bCs/>
          <w:rtl/>
        </w:rPr>
        <w:t>הנזקים</w:t>
      </w:r>
    </w:p>
    <w:p w:rsidR="006252C4" w:rsidRPr="00A81964" w:rsidRDefault="006252C4" w:rsidP="006252C4">
      <w:pPr>
        <w:spacing w:line="269" w:lineRule="auto"/>
        <w:jc w:val="center"/>
        <w:rPr>
          <w:rtl/>
        </w:rPr>
      </w:pPr>
      <w:r>
        <w:rPr>
          <w:noProof/>
        </w:rPr>
        <w:drawing>
          <wp:inline distT="0" distB="0" distL="0" distR="0" wp14:anchorId="07780406" wp14:editId="223F0497">
            <wp:extent cx="4304058" cy="3265715"/>
            <wp:effectExtent l="0" t="0" r="1270" b="0"/>
            <wp:docPr id="42" name="תמונה 42" descr="בהתרחשות נזק מלחמה קל השיקום הוא על ידי קרן הפיצויים בשיקום עצמי או על ידי חברה משקמת&#10;&#10;בנזק מלחמה כבד עם פגיעה בבנייה רוויה השיקום הוא על ידי משרד השיכון&#10;&#10;בנזק מלחמה כבד עם פגיעה בתשתיות השיקום הוא על ידי הרשות המקומית ואם הרשות המקומית חלשה השיקום הוא על ידי משרד השיכון&#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547" b="10863"/>
                    <a:stretch/>
                  </pic:blipFill>
                  <pic:spPr bwMode="auto">
                    <a:xfrm>
                      <a:off x="0" y="0"/>
                      <a:ext cx="4320548" cy="3278227"/>
                    </a:xfrm>
                    <a:prstGeom prst="rect">
                      <a:avLst/>
                    </a:prstGeom>
                    <a:noFill/>
                    <a:ln>
                      <a:noFill/>
                    </a:ln>
                    <a:extLst>
                      <a:ext uri="{53640926-AAD7-44D8-BBD7-CCE9431645EC}">
                        <a14:shadowObscured xmlns:a14="http://schemas.microsoft.com/office/drawing/2010/main"/>
                      </a:ext>
                    </a:extLst>
                  </pic:spPr>
                </pic:pic>
              </a:graphicData>
            </a:graphic>
          </wp:inline>
        </w:drawing>
      </w:r>
    </w:p>
    <w:p w:rsidR="006252C4" w:rsidRPr="00A81964" w:rsidRDefault="006252C4" w:rsidP="006252C4">
      <w:pPr>
        <w:spacing w:line="269" w:lineRule="auto"/>
        <w:rPr>
          <w:sz w:val="16"/>
          <w:szCs w:val="20"/>
          <w:rtl/>
        </w:rPr>
      </w:pPr>
      <w:r>
        <w:rPr>
          <w:rFonts w:hint="cs"/>
          <w:sz w:val="16"/>
          <w:szCs w:val="20"/>
          <w:rtl/>
        </w:rPr>
        <w:t>ה</w:t>
      </w:r>
      <w:r w:rsidRPr="00A81964">
        <w:rPr>
          <w:rFonts w:hint="eastAsia"/>
          <w:sz w:val="16"/>
          <w:szCs w:val="20"/>
          <w:rtl/>
        </w:rPr>
        <w:t>מקור</w:t>
      </w:r>
      <w:r w:rsidRPr="00A81964">
        <w:rPr>
          <w:sz w:val="16"/>
          <w:szCs w:val="20"/>
          <w:rtl/>
        </w:rPr>
        <w:t xml:space="preserve">: </w:t>
      </w:r>
      <w:r w:rsidRPr="0079434D">
        <w:rPr>
          <w:rFonts w:hint="eastAsia"/>
          <w:sz w:val="16"/>
          <w:szCs w:val="20"/>
          <w:rtl/>
        </w:rPr>
        <w:t>רשות</w:t>
      </w:r>
      <w:r w:rsidRPr="0079434D">
        <w:rPr>
          <w:sz w:val="16"/>
          <w:szCs w:val="20"/>
          <w:rtl/>
        </w:rPr>
        <w:t xml:space="preserve"> </w:t>
      </w:r>
      <w:r>
        <w:rPr>
          <w:rFonts w:hint="eastAsia"/>
          <w:sz w:val="16"/>
          <w:szCs w:val="20"/>
          <w:rtl/>
        </w:rPr>
        <w:t>המיסים</w:t>
      </w:r>
      <w:r w:rsidRPr="00A81964">
        <w:rPr>
          <w:rFonts w:hint="cs"/>
          <w:sz w:val="16"/>
          <w:szCs w:val="20"/>
          <w:rtl/>
        </w:rPr>
        <w:t xml:space="preserve"> דוח הוועדה לבחינת 'תפעול נזק ישיר'</w:t>
      </w:r>
      <w:r>
        <w:rPr>
          <w:rFonts w:hint="cs"/>
          <w:sz w:val="16"/>
          <w:szCs w:val="20"/>
          <w:rtl/>
        </w:rPr>
        <w:t>.</w:t>
      </w:r>
    </w:p>
    <w:p w:rsidR="006252C4" w:rsidRDefault="006252C4" w:rsidP="006252C4">
      <w:pPr>
        <w:spacing w:line="269" w:lineRule="auto"/>
        <w:rPr>
          <w:b/>
          <w:bCs/>
          <w:rtl/>
        </w:rPr>
      </w:pPr>
    </w:p>
    <w:p w:rsidR="006252C4" w:rsidRPr="00A81964" w:rsidRDefault="006252C4" w:rsidP="006252C4">
      <w:pPr>
        <w:spacing w:line="269" w:lineRule="auto"/>
        <w:rPr>
          <w:b/>
          <w:bCs/>
          <w:rtl/>
        </w:rPr>
      </w:pPr>
      <w:r w:rsidRPr="00A81964">
        <w:rPr>
          <w:b/>
          <w:bCs/>
          <w:rtl/>
        </w:rPr>
        <w:t xml:space="preserve">עלה כי עד למועד סיום הביקורת </w:t>
      </w:r>
      <w:r w:rsidRPr="00A81964">
        <w:rPr>
          <w:rFonts w:hint="cs"/>
          <w:b/>
          <w:bCs/>
          <w:rtl/>
        </w:rPr>
        <w:t>טרם נקבע נוהל משותף עם משרד השיכון ו</w:t>
      </w:r>
      <w:r w:rsidRPr="00A81964">
        <w:rPr>
          <w:rFonts w:hint="eastAsia"/>
          <w:b/>
          <w:bCs/>
          <w:rtl/>
        </w:rPr>
        <w:t>לא</w:t>
      </w:r>
      <w:r w:rsidRPr="00A81964">
        <w:rPr>
          <w:b/>
          <w:bCs/>
          <w:rtl/>
        </w:rPr>
        <w:t xml:space="preserve"> הוסדרו </w:t>
      </w:r>
      <w:r w:rsidRPr="00A81964">
        <w:rPr>
          <w:rFonts w:hint="cs"/>
          <w:b/>
          <w:bCs/>
          <w:rtl/>
        </w:rPr>
        <w:t xml:space="preserve">עקרונות השיקום, יחסי הגומלין, </w:t>
      </w:r>
      <w:r w:rsidRPr="00A81964">
        <w:rPr>
          <w:rFonts w:hint="eastAsia"/>
          <w:b/>
          <w:bCs/>
          <w:rtl/>
        </w:rPr>
        <w:t>תהליכי</w:t>
      </w:r>
      <w:r w:rsidRPr="00A81964">
        <w:rPr>
          <w:b/>
          <w:bCs/>
          <w:rtl/>
        </w:rPr>
        <w:t xml:space="preserve"> </w:t>
      </w:r>
      <w:r w:rsidRPr="00A81964">
        <w:rPr>
          <w:rFonts w:hint="eastAsia"/>
          <w:b/>
          <w:bCs/>
          <w:rtl/>
        </w:rPr>
        <w:t>העבודה</w:t>
      </w:r>
      <w:r w:rsidRPr="00A81964">
        <w:rPr>
          <w:rFonts w:hint="cs"/>
          <w:b/>
          <w:bCs/>
          <w:rtl/>
        </w:rPr>
        <w:t xml:space="preserve">, </w:t>
      </w:r>
      <w:r w:rsidRPr="00A81964">
        <w:rPr>
          <w:rFonts w:hint="eastAsia"/>
          <w:b/>
          <w:bCs/>
          <w:rtl/>
        </w:rPr>
        <w:t>חלוקת</w:t>
      </w:r>
      <w:r w:rsidRPr="00A81964">
        <w:rPr>
          <w:b/>
          <w:bCs/>
          <w:rtl/>
        </w:rPr>
        <w:t xml:space="preserve"> האחריות</w:t>
      </w:r>
      <w:r w:rsidRPr="00A81964">
        <w:rPr>
          <w:rFonts w:hint="cs"/>
          <w:b/>
          <w:bCs/>
          <w:rtl/>
        </w:rPr>
        <w:t>, שיתופי הפעולה</w:t>
      </w:r>
      <w:r w:rsidRPr="00A81964">
        <w:rPr>
          <w:b/>
          <w:bCs/>
          <w:rtl/>
        </w:rPr>
        <w:t xml:space="preserve"> והסמכויות </w:t>
      </w:r>
      <w:r w:rsidRPr="00A81964">
        <w:rPr>
          <w:rFonts w:hint="eastAsia"/>
          <w:b/>
          <w:bCs/>
          <w:rtl/>
        </w:rPr>
        <w:t>בין</w:t>
      </w:r>
      <w:r w:rsidRPr="00A81964">
        <w:rPr>
          <w:b/>
          <w:bCs/>
          <w:rtl/>
        </w:rPr>
        <w:t xml:space="preserve"> </w:t>
      </w:r>
      <w:r w:rsidRPr="00A81964">
        <w:rPr>
          <w:rFonts w:hint="eastAsia"/>
          <w:b/>
          <w:bCs/>
          <w:rtl/>
        </w:rPr>
        <w:t>קרן</w:t>
      </w:r>
      <w:r w:rsidRPr="00A81964">
        <w:rPr>
          <w:b/>
          <w:bCs/>
          <w:rtl/>
        </w:rPr>
        <w:t xml:space="preserve"> </w:t>
      </w:r>
      <w:r w:rsidRPr="00A81964">
        <w:rPr>
          <w:rFonts w:hint="eastAsia"/>
          <w:b/>
          <w:bCs/>
          <w:rtl/>
        </w:rPr>
        <w:t>הפיצויים</w:t>
      </w:r>
      <w:r w:rsidRPr="00A81964">
        <w:rPr>
          <w:b/>
          <w:bCs/>
          <w:rtl/>
        </w:rPr>
        <w:t xml:space="preserve"> </w:t>
      </w:r>
      <w:r w:rsidRPr="00A81964">
        <w:rPr>
          <w:rFonts w:hint="eastAsia"/>
          <w:b/>
          <w:bCs/>
          <w:rtl/>
        </w:rPr>
        <w:t>למשרד</w:t>
      </w:r>
      <w:r w:rsidRPr="00A81964">
        <w:rPr>
          <w:b/>
          <w:bCs/>
          <w:rtl/>
        </w:rPr>
        <w:t xml:space="preserve"> </w:t>
      </w:r>
      <w:r w:rsidRPr="00A81964">
        <w:rPr>
          <w:rFonts w:hint="eastAsia"/>
          <w:b/>
          <w:bCs/>
          <w:rtl/>
        </w:rPr>
        <w:t>השיכון</w:t>
      </w:r>
      <w:r w:rsidRPr="00A81964">
        <w:rPr>
          <w:b/>
          <w:bCs/>
          <w:rtl/>
        </w:rPr>
        <w:t xml:space="preserve">, </w:t>
      </w:r>
      <w:r w:rsidRPr="00A81964">
        <w:rPr>
          <w:rFonts w:hint="cs"/>
          <w:b/>
          <w:bCs/>
          <w:rtl/>
        </w:rPr>
        <w:t>ו</w:t>
      </w:r>
      <w:r w:rsidRPr="00A81964">
        <w:rPr>
          <w:rFonts w:hint="eastAsia"/>
          <w:b/>
          <w:bCs/>
          <w:rtl/>
        </w:rPr>
        <w:t>זאת</w:t>
      </w:r>
      <w:r w:rsidRPr="00A81964">
        <w:rPr>
          <w:b/>
          <w:bCs/>
          <w:rtl/>
        </w:rPr>
        <w:t xml:space="preserve"> </w:t>
      </w:r>
      <w:r w:rsidRPr="00A81964">
        <w:rPr>
          <w:rFonts w:hint="eastAsia"/>
          <w:b/>
          <w:bCs/>
          <w:rtl/>
        </w:rPr>
        <w:t>על</w:t>
      </w:r>
      <w:r w:rsidRPr="00A81964">
        <w:rPr>
          <w:b/>
          <w:bCs/>
          <w:rtl/>
        </w:rPr>
        <w:t xml:space="preserve"> </w:t>
      </w:r>
      <w:r w:rsidRPr="00A81964">
        <w:rPr>
          <w:rFonts w:hint="eastAsia"/>
          <w:b/>
          <w:bCs/>
          <w:rtl/>
        </w:rPr>
        <w:t>אף</w:t>
      </w:r>
      <w:r w:rsidRPr="00A81964">
        <w:rPr>
          <w:b/>
          <w:bCs/>
          <w:rtl/>
        </w:rPr>
        <w:t xml:space="preserve"> </w:t>
      </w:r>
      <w:r w:rsidRPr="00A81964">
        <w:rPr>
          <w:rFonts w:hint="eastAsia"/>
          <w:b/>
          <w:bCs/>
          <w:rtl/>
        </w:rPr>
        <w:t>המלצת</w:t>
      </w:r>
      <w:r w:rsidRPr="00A81964">
        <w:rPr>
          <w:b/>
          <w:bCs/>
          <w:rtl/>
        </w:rPr>
        <w:t xml:space="preserve"> </w:t>
      </w:r>
      <w:r w:rsidRPr="00A81964">
        <w:rPr>
          <w:rFonts w:hint="eastAsia"/>
          <w:b/>
          <w:bCs/>
          <w:rtl/>
        </w:rPr>
        <w:t>הוועדה</w:t>
      </w:r>
      <w:r w:rsidRPr="00A81964">
        <w:rPr>
          <w:b/>
          <w:bCs/>
          <w:rtl/>
        </w:rPr>
        <w:t xml:space="preserve"> </w:t>
      </w:r>
      <w:r w:rsidRPr="00A81964">
        <w:rPr>
          <w:rFonts w:hint="cs"/>
          <w:b/>
          <w:bCs/>
          <w:rtl/>
        </w:rPr>
        <w:t>בנוגע</w:t>
      </w:r>
      <w:r w:rsidRPr="00A81964">
        <w:rPr>
          <w:b/>
          <w:bCs/>
          <w:rtl/>
        </w:rPr>
        <w:t xml:space="preserve"> </w:t>
      </w:r>
      <w:r w:rsidRPr="00A81964">
        <w:rPr>
          <w:rFonts w:hint="cs"/>
          <w:b/>
          <w:bCs/>
          <w:rtl/>
        </w:rPr>
        <w:t>לקידום</w:t>
      </w:r>
      <w:r w:rsidRPr="00A81964">
        <w:rPr>
          <w:b/>
          <w:bCs/>
          <w:rtl/>
        </w:rPr>
        <w:t xml:space="preserve"> נוהל עבודה</w:t>
      </w:r>
      <w:r w:rsidRPr="00A81964">
        <w:rPr>
          <w:rFonts w:hint="cs"/>
          <w:b/>
          <w:bCs/>
          <w:rtl/>
        </w:rPr>
        <w:t xml:space="preserve"> כזה</w:t>
      </w:r>
      <w:r w:rsidRPr="00A81964">
        <w:rPr>
          <w:b/>
          <w:bCs/>
          <w:rtl/>
        </w:rPr>
        <w:t xml:space="preserve"> תוך יצירת "ארגז כלים אופרטיבי לביצוע"</w:t>
      </w:r>
      <w:r w:rsidRPr="00A81964">
        <w:rPr>
          <w:rFonts w:hint="cs"/>
          <w:b/>
          <w:bCs/>
          <w:rtl/>
        </w:rPr>
        <w:t xml:space="preserve"> כבר בשנת 2017.</w:t>
      </w:r>
    </w:p>
    <w:p w:rsidR="006252C4" w:rsidRDefault="006252C4" w:rsidP="006252C4">
      <w:pPr>
        <w:pStyle w:val="a8"/>
        <w:spacing w:line="269" w:lineRule="auto"/>
        <w:rPr>
          <w:rtl/>
        </w:rPr>
      </w:pPr>
    </w:p>
    <w:p w:rsidR="006252C4" w:rsidRDefault="006252C4" w:rsidP="006252C4">
      <w:pPr>
        <w:spacing w:line="269" w:lineRule="auto"/>
        <w:rPr>
          <w:b/>
          <w:bCs/>
          <w:rtl/>
        </w:rPr>
      </w:pPr>
      <w:r w:rsidRPr="00A81964">
        <w:rPr>
          <w:rFonts w:hint="eastAsia"/>
          <w:b/>
          <w:bCs/>
          <w:rtl/>
        </w:rPr>
        <w:t>על</w:t>
      </w:r>
      <w:r w:rsidRPr="00A81964">
        <w:rPr>
          <w:b/>
          <w:bCs/>
          <w:rtl/>
        </w:rPr>
        <w:t xml:space="preserve"> רשות המיסים </w:t>
      </w:r>
      <w:r w:rsidRPr="00A81964">
        <w:rPr>
          <w:rFonts w:hint="eastAsia"/>
          <w:b/>
          <w:bCs/>
          <w:rtl/>
        </w:rPr>
        <w:t>ומשרד</w:t>
      </w:r>
      <w:r w:rsidRPr="00A81964">
        <w:rPr>
          <w:b/>
          <w:bCs/>
          <w:rtl/>
        </w:rPr>
        <w:t xml:space="preserve"> </w:t>
      </w:r>
      <w:r w:rsidRPr="00A81964">
        <w:rPr>
          <w:rFonts w:hint="eastAsia"/>
          <w:b/>
          <w:bCs/>
          <w:rtl/>
        </w:rPr>
        <w:t>השיכון</w:t>
      </w:r>
      <w:r w:rsidRPr="00A81964">
        <w:rPr>
          <w:b/>
          <w:bCs/>
          <w:rtl/>
        </w:rPr>
        <w:t xml:space="preserve"> </w:t>
      </w:r>
      <w:r w:rsidRPr="00A81964">
        <w:rPr>
          <w:rFonts w:hint="cs"/>
          <w:b/>
          <w:bCs/>
          <w:rtl/>
        </w:rPr>
        <w:t>לאשר</w:t>
      </w:r>
      <w:r w:rsidRPr="00A81964">
        <w:rPr>
          <w:b/>
          <w:bCs/>
          <w:rtl/>
        </w:rPr>
        <w:t xml:space="preserve"> נוהל עבודה אשר יסדיר את עקרונות השיקום, תהליכי העבודה, חלוקת האחריות והסמכויות בין קרן הפיצויים למשרד השיכון</w:t>
      </w:r>
      <w:r w:rsidRPr="00A81964">
        <w:rPr>
          <w:rFonts w:hint="cs"/>
          <w:b/>
          <w:bCs/>
          <w:rtl/>
        </w:rPr>
        <w:t>.</w:t>
      </w:r>
    </w:p>
    <w:p w:rsidR="006252C4" w:rsidRDefault="006252C4" w:rsidP="006252C4">
      <w:pPr>
        <w:pStyle w:val="a8"/>
        <w:spacing w:line="269" w:lineRule="auto"/>
        <w:rPr>
          <w:rtl/>
        </w:rPr>
      </w:pPr>
    </w:p>
    <w:p w:rsidR="006252C4" w:rsidRDefault="006252C4" w:rsidP="006252C4">
      <w:pPr>
        <w:spacing w:line="269" w:lineRule="auto"/>
        <w:rPr>
          <w:b/>
          <w:bCs/>
          <w:rtl/>
        </w:rPr>
      </w:pPr>
      <w:r w:rsidRPr="00A81964">
        <w:rPr>
          <w:rFonts w:hint="eastAsia"/>
          <w:b/>
          <w:bCs/>
          <w:rtl/>
        </w:rPr>
        <w:t>בסיורים</w:t>
      </w:r>
      <w:r w:rsidRPr="00A81964">
        <w:rPr>
          <w:b/>
          <w:bCs/>
          <w:rtl/>
        </w:rPr>
        <w:t xml:space="preserve"> </w:t>
      </w:r>
      <w:r w:rsidRPr="00A81964">
        <w:rPr>
          <w:rFonts w:hint="eastAsia"/>
          <w:b/>
          <w:bCs/>
          <w:rtl/>
        </w:rPr>
        <w:t>שערך</w:t>
      </w:r>
      <w:r w:rsidRPr="00A81964">
        <w:rPr>
          <w:b/>
          <w:bCs/>
          <w:rtl/>
        </w:rPr>
        <w:t xml:space="preserve"> </w:t>
      </w:r>
      <w:r w:rsidRPr="00A81964">
        <w:rPr>
          <w:rFonts w:hint="eastAsia"/>
          <w:b/>
          <w:bCs/>
          <w:rtl/>
        </w:rPr>
        <w:t>מבקר</w:t>
      </w:r>
      <w:r w:rsidRPr="00A81964">
        <w:rPr>
          <w:b/>
          <w:bCs/>
          <w:rtl/>
        </w:rPr>
        <w:t xml:space="preserve"> </w:t>
      </w:r>
      <w:r w:rsidRPr="00A81964">
        <w:rPr>
          <w:rFonts w:hint="eastAsia"/>
          <w:b/>
          <w:bCs/>
          <w:rtl/>
        </w:rPr>
        <w:t>המדינה</w:t>
      </w:r>
      <w:r w:rsidRPr="00A81964">
        <w:rPr>
          <w:b/>
          <w:bCs/>
          <w:rtl/>
        </w:rPr>
        <w:t xml:space="preserve"> </w:t>
      </w:r>
      <w:r w:rsidRPr="005B4781">
        <w:rPr>
          <w:b/>
          <w:bCs/>
          <w:rtl/>
        </w:rPr>
        <w:t xml:space="preserve">בחודשים מאי ודצמבר 2024 </w:t>
      </w:r>
      <w:r w:rsidRPr="0018717D">
        <w:rPr>
          <w:b/>
          <w:bCs/>
          <w:rtl/>
        </w:rPr>
        <w:t xml:space="preserve">ביישובים קריית שמונה, מטולה, מבואות חרמון ויישובים נוספים </w:t>
      </w:r>
      <w:proofErr w:type="spellStart"/>
      <w:r w:rsidRPr="0018717D">
        <w:rPr>
          <w:b/>
          <w:bCs/>
          <w:rtl/>
        </w:rPr>
        <w:t>סמוכי</w:t>
      </w:r>
      <w:proofErr w:type="spellEnd"/>
      <w:r w:rsidRPr="0018717D">
        <w:rPr>
          <w:b/>
          <w:bCs/>
          <w:rtl/>
        </w:rPr>
        <w:t xml:space="preserve"> גדר </w:t>
      </w:r>
      <w:r w:rsidRPr="00A81964">
        <w:rPr>
          <w:rFonts w:hint="eastAsia"/>
          <w:b/>
          <w:bCs/>
          <w:rtl/>
        </w:rPr>
        <w:t>עלה</w:t>
      </w:r>
      <w:r w:rsidRPr="00A81964">
        <w:rPr>
          <w:rFonts w:hint="cs"/>
          <w:b/>
          <w:bCs/>
          <w:rtl/>
        </w:rPr>
        <w:t xml:space="preserve"> כי קיימות רשויות, </w:t>
      </w:r>
      <w:r w:rsidRPr="00A81964">
        <w:rPr>
          <w:rFonts w:hint="eastAsia"/>
          <w:b/>
          <w:bCs/>
          <w:rtl/>
        </w:rPr>
        <w:t>בפרט</w:t>
      </w:r>
      <w:r w:rsidRPr="00A81964">
        <w:rPr>
          <w:b/>
          <w:bCs/>
          <w:rtl/>
        </w:rPr>
        <w:t xml:space="preserve"> </w:t>
      </w:r>
      <w:r w:rsidRPr="00A81964">
        <w:rPr>
          <w:rFonts w:hint="eastAsia"/>
          <w:b/>
          <w:bCs/>
          <w:rtl/>
        </w:rPr>
        <w:t>בצפון</w:t>
      </w:r>
      <w:r w:rsidRPr="00A81964">
        <w:rPr>
          <w:b/>
          <w:bCs/>
          <w:rtl/>
        </w:rPr>
        <w:t xml:space="preserve"> </w:t>
      </w:r>
      <w:r w:rsidRPr="00A81964">
        <w:rPr>
          <w:rFonts w:hint="eastAsia"/>
          <w:b/>
          <w:bCs/>
          <w:rtl/>
        </w:rPr>
        <w:t>ובדרום</w:t>
      </w:r>
      <w:r w:rsidRPr="00A81964">
        <w:rPr>
          <w:b/>
          <w:bCs/>
          <w:rtl/>
        </w:rPr>
        <w:t>,</w:t>
      </w:r>
      <w:r w:rsidRPr="00A81964">
        <w:rPr>
          <w:rFonts w:hint="cs"/>
          <w:b/>
          <w:bCs/>
          <w:rtl/>
        </w:rPr>
        <w:t xml:space="preserve"> שבאזוריהן נגרמו נזקים כבדים מא</w:t>
      </w:r>
      <w:r>
        <w:rPr>
          <w:rFonts w:hint="cs"/>
          <w:b/>
          <w:bCs/>
          <w:rtl/>
        </w:rPr>
        <w:t>ו</w:t>
      </w:r>
      <w:r w:rsidRPr="00A81964">
        <w:rPr>
          <w:rFonts w:hint="cs"/>
          <w:b/>
          <w:bCs/>
          <w:rtl/>
        </w:rPr>
        <w:t>ד, והוקצו לשיקומ</w:t>
      </w:r>
      <w:r>
        <w:rPr>
          <w:rFonts w:hint="cs"/>
          <w:b/>
          <w:bCs/>
          <w:rtl/>
        </w:rPr>
        <w:t>ן</w:t>
      </w:r>
      <w:r w:rsidRPr="00A81964">
        <w:rPr>
          <w:rFonts w:hint="cs"/>
          <w:b/>
          <w:bCs/>
          <w:rtl/>
        </w:rPr>
        <w:t xml:space="preserve"> תקציבים משמעותיים, לעיתים בהיקף </w:t>
      </w:r>
      <w:r w:rsidRPr="00A81964">
        <w:rPr>
          <w:rFonts w:hint="eastAsia"/>
          <w:b/>
          <w:bCs/>
          <w:rtl/>
        </w:rPr>
        <w:t>משמעותי</w:t>
      </w:r>
      <w:r w:rsidRPr="00A81964">
        <w:rPr>
          <w:b/>
          <w:bCs/>
          <w:rtl/>
        </w:rPr>
        <w:t xml:space="preserve"> מ</w:t>
      </w:r>
      <w:r w:rsidRPr="00A81964">
        <w:rPr>
          <w:rFonts w:hint="eastAsia"/>
          <w:b/>
          <w:bCs/>
          <w:rtl/>
        </w:rPr>
        <w:t>תוך</w:t>
      </w:r>
      <w:r w:rsidRPr="00A81964">
        <w:rPr>
          <w:rFonts w:hint="cs"/>
          <w:b/>
          <w:bCs/>
          <w:rtl/>
        </w:rPr>
        <w:t xml:space="preserve"> התקציב השנתי של הרשות, אך רשויות אלה מתקשות בניהול ו</w:t>
      </w:r>
      <w:r>
        <w:rPr>
          <w:rFonts w:hint="cs"/>
          <w:b/>
          <w:bCs/>
          <w:rtl/>
        </w:rPr>
        <w:t>ב</w:t>
      </w:r>
      <w:r w:rsidRPr="00A81964">
        <w:rPr>
          <w:rFonts w:hint="cs"/>
          <w:b/>
          <w:bCs/>
          <w:rtl/>
        </w:rPr>
        <w:t xml:space="preserve">יישום של תהליכי השיקום הנדרשים, הן בשל מגבלות של כמות כוח אדם ברשות והן בשל מחסור באנשי מקצוע בעלי מומחיות בניהול פרויקטים מורכבים בסדרי גודל כאלה. </w:t>
      </w:r>
      <w:r w:rsidRPr="00A81964">
        <w:rPr>
          <w:b/>
          <w:bCs/>
          <w:rtl/>
        </w:rPr>
        <w:t xml:space="preserve">עוד </w:t>
      </w:r>
      <w:r w:rsidRPr="00A81964">
        <w:rPr>
          <w:rFonts w:hint="cs"/>
          <w:b/>
          <w:bCs/>
          <w:rtl/>
        </w:rPr>
        <w:t xml:space="preserve">העלו ראשי </w:t>
      </w:r>
      <w:r w:rsidRPr="00A81964">
        <w:rPr>
          <w:b/>
          <w:bCs/>
          <w:rtl/>
        </w:rPr>
        <w:t xml:space="preserve">רשויות </w:t>
      </w:r>
      <w:r w:rsidRPr="00A81964">
        <w:rPr>
          <w:rFonts w:hint="eastAsia"/>
          <w:b/>
          <w:bCs/>
          <w:rtl/>
        </w:rPr>
        <w:t>כי</w:t>
      </w:r>
      <w:r w:rsidRPr="00A81964">
        <w:rPr>
          <w:b/>
          <w:bCs/>
          <w:rtl/>
        </w:rPr>
        <w:t xml:space="preserve"> </w:t>
      </w:r>
      <w:r w:rsidRPr="00A81964">
        <w:rPr>
          <w:rFonts w:hint="eastAsia"/>
          <w:b/>
          <w:bCs/>
          <w:rtl/>
        </w:rPr>
        <w:t>הן</w:t>
      </w:r>
      <w:r w:rsidRPr="00A81964">
        <w:rPr>
          <w:rFonts w:hint="cs"/>
          <w:b/>
          <w:bCs/>
          <w:rtl/>
        </w:rPr>
        <w:t xml:space="preserve"> </w:t>
      </w:r>
      <w:r w:rsidRPr="00A81964">
        <w:rPr>
          <w:b/>
          <w:bCs/>
          <w:rtl/>
        </w:rPr>
        <w:t>נזקקות לגייס כ</w:t>
      </w:r>
      <w:r w:rsidRPr="00A81964">
        <w:rPr>
          <w:rFonts w:hint="cs"/>
          <w:b/>
          <w:bCs/>
          <w:rtl/>
        </w:rPr>
        <w:t>וח אדם</w:t>
      </w:r>
      <w:r w:rsidRPr="00A81964">
        <w:rPr>
          <w:b/>
          <w:bCs/>
          <w:rtl/>
        </w:rPr>
        <w:t xml:space="preserve"> זמני ולמנות גורם מתכלל בכל </w:t>
      </w:r>
      <w:r w:rsidRPr="00A81964">
        <w:rPr>
          <w:b/>
          <w:bCs/>
          <w:rtl/>
        </w:rPr>
        <w:lastRenderedPageBreak/>
        <w:t>רשות שייצג את</w:t>
      </w:r>
      <w:r w:rsidRPr="00A81964">
        <w:rPr>
          <w:rFonts w:hint="cs"/>
          <w:b/>
          <w:bCs/>
          <w:rtl/>
        </w:rPr>
        <w:t xml:space="preserve"> </w:t>
      </w:r>
      <w:r w:rsidRPr="00A81964">
        <w:rPr>
          <w:b/>
          <w:bCs/>
          <w:rtl/>
        </w:rPr>
        <w:t>התושבים למול קרן הפיצויים ולמול גופי הממשלה, ברם אין לנושא זה תקצוב</w:t>
      </w:r>
      <w:r w:rsidRPr="00A81964">
        <w:rPr>
          <w:rFonts w:hint="cs"/>
          <w:b/>
          <w:bCs/>
          <w:rtl/>
        </w:rPr>
        <w:t>. מצב זה פוגע בשיקום היישובים ו</w:t>
      </w:r>
      <w:r>
        <w:rPr>
          <w:rFonts w:hint="cs"/>
          <w:b/>
          <w:bCs/>
          <w:rtl/>
        </w:rPr>
        <w:t>ב</w:t>
      </w:r>
      <w:r w:rsidRPr="00A81964">
        <w:rPr>
          <w:rFonts w:hint="cs"/>
          <w:b/>
          <w:bCs/>
          <w:rtl/>
        </w:rPr>
        <w:t xml:space="preserve">חזרתם לתפקוד מלא. </w:t>
      </w:r>
    </w:p>
    <w:p w:rsidR="006252C4" w:rsidRDefault="006252C4" w:rsidP="006252C4">
      <w:pPr>
        <w:pStyle w:val="a8"/>
        <w:spacing w:line="269" w:lineRule="auto"/>
        <w:rPr>
          <w:rtl/>
        </w:rPr>
      </w:pPr>
    </w:p>
    <w:p w:rsidR="006252C4" w:rsidRDefault="006252C4" w:rsidP="006252C4">
      <w:pPr>
        <w:spacing w:line="269" w:lineRule="auto"/>
        <w:rPr>
          <w:b/>
          <w:bCs/>
          <w:rtl/>
        </w:rPr>
      </w:pPr>
      <w:r w:rsidRPr="00A81964">
        <w:rPr>
          <w:rFonts w:hint="cs"/>
          <w:b/>
          <w:bCs/>
          <w:rtl/>
        </w:rPr>
        <w:t>עוד עלה כי לא קיים מנגנון לאיגום תקציבים המיועדים לשיקום נזקי המלחמה</w:t>
      </w:r>
      <w:r>
        <w:rPr>
          <w:rFonts w:hint="cs"/>
          <w:b/>
          <w:bCs/>
          <w:rtl/>
        </w:rPr>
        <w:t>,</w:t>
      </w:r>
      <w:r w:rsidRPr="00A81964">
        <w:rPr>
          <w:rFonts w:hint="cs"/>
          <w:b/>
          <w:bCs/>
          <w:rtl/>
        </w:rPr>
        <w:t xml:space="preserve"> והתקציבים מועברים לרשויות</w:t>
      </w:r>
      <w:r>
        <w:rPr>
          <w:rFonts w:hint="cs"/>
          <w:b/>
          <w:bCs/>
          <w:rtl/>
        </w:rPr>
        <w:t xml:space="preserve"> המקומיות</w:t>
      </w:r>
      <w:r w:rsidRPr="00A81964">
        <w:rPr>
          <w:rFonts w:hint="cs"/>
          <w:b/>
          <w:bCs/>
          <w:rtl/>
        </w:rPr>
        <w:t xml:space="preserve"> ממספר גופים מתקצבים</w:t>
      </w:r>
      <w:r>
        <w:rPr>
          <w:rFonts w:hint="cs"/>
          <w:b/>
          <w:bCs/>
          <w:rtl/>
        </w:rPr>
        <w:t>,</w:t>
      </w:r>
      <w:r w:rsidRPr="0016480E">
        <w:rPr>
          <w:b/>
          <w:bCs/>
          <w:rtl/>
        </w:rPr>
        <w:t xml:space="preserve"> </w:t>
      </w:r>
      <w:r w:rsidRPr="0016480E">
        <w:rPr>
          <w:rFonts w:hint="eastAsia"/>
          <w:b/>
          <w:bCs/>
          <w:rtl/>
        </w:rPr>
        <w:t>דוגמת</w:t>
      </w:r>
      <w:r w:rsidRPr="0016480E">
        <w:rPr>
          <w:b/>
          <w:bCs/>
          <w:rtl/>
        </w:rPr>
        <w:t xml:space="preserve"> </w:t>
      </w:r>
      <w:r w:rsidRPr="0016480E">
        <w:rPr>
          <w:rFonts w:hint="eastAsia"/>
          <w:b/>
          <w:bCs/>
          <w:rtl/>
        </w:rPr>
        <w:t>משרד</w:t>
      </w:r>
      <w:r w:rsidRPr="0016480E">
        <w:rPr>
          <w:b/>
          <w:bCs/>
          <w:rtl/>
        </w:rPr>
        <w:t xml:space="preserve"> </w:t>
      </w:r>
      <w:r w:rsidRPr="0016480E">
        <w:rPr>
          <w:rFonts w:hint="eastAsia"/>
          <w:b/>
          <w:bCs/>
          <w:rtl/>
        </w:rPr>
        <w:t>הפנים</w:t>
      </w:r>
      <w:r w:rsidRPr="0016480E">
        <w:rPr>
          <w:b/>
          <w:bCs/>
          <w:rtl/>
        </w:rPr>
        <w:t xml:space="preserve">, </w:t>
      </w:r>
      <w:r w:rsidRPr="0016480E">
        <w:rPr>
          <w:rFonts w:hint="eastAsia"/>
          <w:b/>
          <w:bCs/>
          <w:rtl/>
        </w:rPr>
        <w:t>משרד</w:t>
      </w:r>
      <w:r w:rsidRPr="0016480E">
        <w:rPr>
          <w:b/>
          <w:bCs/>
          <w:rtl/>
        </w:rPr>
        <w:t xml:space="preserve"> </w:t>
      </w:r>
      <w:r w:rsidRPr="0016480E">
        <w:rPr>
          <w:rFonts w:hint="eastAsia"/>
          <w:b/>
          <w:bCs/>
          <w:rtl/>
        </w:rPr>
        <w:t>החינוך</w:t>
      </w:r>
      <w:r w:rsidRPr="0016480E">
        <w:rPr>
          <w:b/>
          <w:bCs/>
          <w:rtl/>
        </w:rPr>
        <w:t xml:space="preserve"> </w:t>
      </w:r>
      <w:r w:rsidRPr="0016480E">
        <w:rPr>
          <w:rFonts w:hint="eastAsia"/>
          <w:b/>
          <w:bCs/>
          <w:rtl/>
        </w:rPr>
        <w:t>ורשות</w:t>
      </w:r>
      <w:r w:rsidRPr="0016480E">
        <w:rPr>
          <w:b/>
          <w:bCs/>
          <w:rtl/>
        </w:rPr>
        <w:t xml:space="preserve"> </w:t>
      </w:r>
      <w:r w:rsidRPr="0016480E">
        <w:rPr>
          <w:rFonts w:hint="eastAsia"/>
          <w:b/>
          <w:bCs/>
          <w:rtl/>
        </w:rPr>
        <w:t>המיסים</w:t>
      </w:r>
      <w:r w:rsidRPr="0016480E">
        <w:rPr>
          <w:b/>
          <w:bCs/>
          <w:rtl/>
        </w:rPr>
        <w:t>,</w:t>
      </w:r>
      <w:r>
        <w:rPr>
          <w:rFonts w:hint="cs"/>
          <w:b/>
          <w:bCs/>
          <w:rtl/>
        </w:rPr>
        <w:t xml:space="preserve"> </w:t>
      </w:r>
      <w:r w:rsidRPr="00A81964">
        <w:rPr>
          <w:rFonts w:hint="cs"/>
          <w:b/>
          <w:bCs/>
          <w:rtl/>
        </w:rPr>
        <w:t>ללא תיאום וללא רא</w:t>
      </w:r>
      <w:r>
        <w:rPr>
          <w:rFonts w:hint="cs"/>
          <w:b/>
          <w:bCs/>
          <w:rtl/>
        </w:rPr>
        <w:t>י</w:t>
      </w:r>
      <w:r w:rsidRPr="00A81964">
        <w:rPr>
          <w:rFonts w:hint="cs"/>
          <w:b/>
          <w:bCs/>
          <w:rtl/>
        </w:rPr>
        <w:t>יה כוללת.</w:t>
      </w:r>
    </w:p>
    <w:p w:rsidR="006252C4" w:rsidRDefault="006252C4" w:rsidP="006252C4">
      <w:pPr>
        <w:pStyle w:val="a8"/>
        <w:spacing w:line="269" w:lineRule="auto"/>
        <w:rPr>
          <w:rtl/>
        </w:rPr>
      </w:pPr>
    </w:p>
    <w:p w:rsidR="006252C4" w:rsidRDefault="006252C4" w:rsidP="006252C4">
      <w:pPr>
        <w:spacing w:line="269" w:lineRule="auto"/>
        <w:rPr>
          <w:b/>
          <w:bCs/>
          <w:rtl/>
        </w:rPr>
      </w:pPr>
      <w:r w:rsidRPr="00A81964">
        <w:rPr>
          <w:rFonts w:hint="cs"/>
          <w:b/>
          <w:bCs/>
          <w:rtl/>
        </w:rPr>
        <w:t>משרד מבקר המדינה ממליץ למשרד הפנים לקבוע מנגנון סיוע לרשויות מקומיות בניהול פרויקט השיקום בהתאם לקריטריונים ש</w:t>
      </w:r>
      <w:r>
        <w:rPr>
          <w:rFonts w:hint="cs"/>
          <w:b/>
          <w:bCs/>
          <w:rtl/>
        </w:rPr>
        <w:t>י</w:t>
      </w:r>
      <w:r w:rsidRPr="00A81964">
        <w:rPr>
          <w:rFonts w:hint="cs"/>
          <w:b/>
          <w:bCs/>
          <w:rtl/>
        </w:rPr>
        <w:t>יקבעו. עוד</w:t>
      </w:r>
      <w:r w:rsidRPr="00A81964">
        <w:rPr>
          <w:b/>
          <w:bCs/>
          <w:rtl/>
        </w:rPr>
        <w:t xml:space="preserve"> </w:t>
      </w:r>
      <w:r w:rsidRPr="00A81964">
        <w:rPr>
          <w:rFonts w:hint="cs"/>
          <w:b/>
          <w:bCs/>
          <w:rtl/>
        </w:rPr>
        <w:t>ממליץ</w:t>
      </w:r>
      <w:r w:rsidRPr="00A81964">
        <w:rPr>
          <w:b/>
          <w:bCs/>
          <w:rtl/>
        </w:rPr>
        <w:t xml:space="preserve"> </w:t>
      </w:r>
      <w:r w:rsidRPr="00A81964">
        <w:rPr>
          <w:rFonts w:hint="cs"/>
          <w:b/>
          <w:bCs/>
          <w:rtl/>
        </w:rPr>
        <w:t xml:space="preserve">כי </w:t>
      </w:r>
      <w:r w:rsidRPr="00A81964">
        <w:rPr>
          <w:b/>
          <w:bCs/>
          <w:rtl/>
        </w:rPr>
        <w:t xml:space="preserve">משרד האוצר </w:t>
      </w:r>
      <w:r w:rsidRPr="00A81964">
        <w:rPr>
          <w:rFonts w:hint="cs"/>
          <w:b/>
          <w:bCs/>
          <w:rtl/>
        </w:rPr>
        <w:t>יקבע</w:t>
      </w:r>
      <w:r w:rsidRPr="00A81964">
        <w:rPr>
          <w:b/>
          <w:bCs/>
          <w:rtl/>
        </w:rPr>
        <w:t xml:space="preserve"> נוהל לאיגום תקציבים </w:t>
      </w:r>
      <w:r w:rsidRPr="00A81964">
        <w:rPr>
          <w:rFonts w:hint="eastAsia"/>
          <w:b/>
          <w:bCs/>
          <w:rtl/>
        </w:rPr>
        <w:t>לרשויות</w:t>
      </w:r>
      <w:r w:rsidRPr="00A81964">
        <w:rPr>
          <w:b/>
          <w:bCs/>
          <w:rtl/>
        </w:rPr>
        <w:t xml:space="preserve"> </w:t>
      </w:r>
      <w:r w:rsidRPr="00A81964">
        <w:rPr>
          <w:rFonts w:hint="eastAsia"/>
          <w:b/>
          <w:bCs/>
          <w:rtl/>
        </w:rPr>
        <w:t>המקומיות</w:t>
      </w:r>
      <w:r w:rsidRPr="00A81964">
        <w:rPr>
          <w:rFonts w:hint="cs"/>
          <w:b/>
          <w:bCs/>
          <w:rtl/>
        </w:rPr>
        <w:t xml:space="preserve"> </w:t>
      </w:r>
      <w:r w:rsidRPr="00A81964">
        <w:rPr>
          <w:rFonts w:hint="eastAsia"/>
          <w:b/>
          <w:bCs/>
          <w:rtl/>
        </w:rPr>
        <w:t>לצורך</w:t>
      </w:r>
      <w:r w:rsidRPr="00A81964">
        <w:rPr>
          <w:b/>
          <w:bCs/>
          <w:rtl/>
        </w:rPr>
        <w:t xml:space="preserve"> </w:t>
      </w:r>
      <w:r w:rsidRPr="00A81964">
        <w:rPr>
          <w:rFonts w:hint="eastAsia"/>
          <w:b/>
          <w:bCs/>
          <w:rtl/>
        </w:rPr>
        <w:t>שיקום</w:t>
      </w:r>
      <w:r w:rsidRPr="00A81964">
        <w:rPr>
          <w:b/>
          <w:bCs/>
          <w:rtl/>
        </w:rPr>
        <w:t xml:space="preserve"> </w:t>
      </w:r>
      <w:r w:rsidRPr="00A81964">
        <w:rPr>
          <w:rFonts w:hint="eastAsia"/>
          <w:b/>
          <w:bCs/>
          <w:rtl/>
        </w:rPr>
        <w:t>נזקי</w:t>
      </w:r>
      <w:r w:rsidRPr="00A81964">
        <w:rPr>
          <w:b/>
          <w:bCs/>
          <w:rtl/>
        </w:rPr>
        <w:t xml:space="preserve"> המלחמה </w:t>
      </w:r>
      <w:r w:rsidRPr="00A81964">
        <w:rPr>
          <w:rFonts w:hint="eastAsia"/>
          <w:b/>
          <w:bCs/>
          <w:rtl/>
        </w:rPr>
        <w:t>שנוצרו</w:t>
      </w:r>
      <w:r w:rsidRPr="00A81964">
        <w:rPr>
          <w:b/>
          <w:bCs/>
          <w:rtl/>
        </w:rPr>
        <w:t xml:space="preserve"> </w:t>
      </w:r>
      <w:r w:rsidRPr="00A81964">
        <w:rPr>
          <w:rFonts w:hint="eastAsia"/>
          <w:b/>
          <w:bCs/>
          <w:rtl/>
        </w:rPr>
        <w:t>במהירות</w:t>
      </w:r>
      <w:r w:rsidRPr="00A81964">
        <w:rPr>
          <w:b/>
          <w:bCs/>
          <w:rtl/>
        </w:rPr>
        <w:t xml:space="preserve"> </w:t>
      </w:r>
      <w:r w:rsidRPr="00A81964">
        <w:rPr>
          <w:rFonts w:hint="eastAsia"/>
          <w:b/>
          <w:bCs/>
          <w:rtl/>
        </w:rPr>
        <w:t>וביעילות</w:t>
      </w:r>
      <w:r w:rsidRPr="00A81964">
        <w:rPr>
          <w:b/>
          <w:bCs/>
          <w:rtl/>
        </w:rPr>
        <w:t>.</w:t>
      </w:r>
    </w:p>
    <w:p w:rsidR="006252C4" w:rsidRDefault="006252C4" w:rsidP="006252C4">
      <w:pPr>
        <w:pStyle w:val="a8"/>
        <w:spacing w:line="269" w:lineRule="auto"/>
        <w:rPr>
          <w:rtl/>
        </w:rPr>
      </w:pPr>
    </w:p>
    <w:p w:rsidR="006252C4" w:rsidRPr="00541567" w:rsidRDefault="006252C4" w:rsidP="006252C4">
      <w:pPr>
        <w:spacing w:line="269" w:lineRule="auto"/>
        <w:rPr>
          <w:rtl/>
        </w:rPr>
      </w:pPr>
      <w:r w:rsidRPr="0016480E">
        <w:rPr>
          <w:rFonts w:hint="eastAsia"/>
          <w:rtl/>
        </w:rPr>
        <w:t>רשות</w:t>
      </w:r>
      <w:r w:rsidRPr="0016480E">
        <w:rPr>
          <w:rtl/>
        </w:rPr>
        <w:t xml:space="preserve"> המיסים מסרה בתשובתה </w:t>
      </w:r>
      <w:r w:rsidRPr="0016480E">
        <w:rPr>
          <w:rFonts w:hint="eastAsia"/>
          <w:rtl/>
        </w:rPr>
        <w:t>כי</w:t>
      </w:r>
      <w:r w:rsidRPr="0016480E">
        <w:rPr>
          <w:rtl/>
        </w:rPr>
        <w:t xml:space="preserve"> היא </w:t>
      </w:r>
      <w:r w:rsidRPr="0016480E">
        <w:rPr>
          <w:rFonts w:hint="eastAsia"/>
          <w:rtl/>
        </w:rPr>
        <w:t>ב</w:t>
      </w:r>
      <w:r w:rsidRPr="0016480E">
        <w:rPr>
          <w:rtl/>
        </w:rPr>
        <w:t>יצעה עבודת מ</w:t>
      </w:r>
      <w:r w:rsidRPr="0016480E">
        <w:rPr>
          <w:rFonts w:hint="eastAsia"/>
          <w:rtl/>
        </w:rPr>
        <w:t>טה</w:t>
      </w:r>
      <w:r w:rsidRPr="0016480E">
        <w:rPr>
          <w:rtl/>
        </w:rPr>
        <w:t xml:space="preserve"> ופרסמה מכרזים שבאמצעותם שולבו חברות </w:t>
      </w:r>
      <w:r w:rsidRPr="0016480E">
        <w:rPr>
          <w:rFonts w:hint="eastAsia"/>
          <w:rtl/>
        </w:rPr>
        <w:t>משקמות</w:t>
      </w:r>
      <w:r w:rsidRPr="0016480E">
        <w:rPr>
          <w:rtl/>
        </w:rPr>
        <w:t xml:space="preserve"> גדולות יותר וביולי 2025 פורסם נוהל "משפצים </w:t>
      </w:r>
      <w:r w:rsidRPr="0016480E">
        <w:rPr>
          <w:rFonts w:hint="eastAsia"/>
          <w:rtl/>
        </w:rPr>
        <w:t>באחדות</w:t>
      </w:r>
      <w:r w:rsidRPr="0016480E">
        <w:rPr>
          <w:rtl/>
        </w:rPr>
        <w:t>"</w:t>
      </w:r>
      <w:r>
        <w:rPr>
          <w:rFonts w:hint="cs"/>
        </w:rPr>
        <w:t xml:space="preserve"> </w:t>
      </w:r>
      <w:r w:rsidRPr="0016480E">
        <w:rPr>
          <w:rFonts w:hint="eastAsia"/>
          <w:rtl/>
        </w:rPr>
        <w:t>המשותף</w:t>
      </w:r>
      <w:r w:rsidRPr="0016480E">
        <w:rPr>
          <w:rtl/>
        </w:rPr>
        <w:t xml:space="preserve"> לה, </w:t>
      </w:r>
      <w:r w:rsidRPr="0016480E">
        <w:rPr>
          <w:rFonts w:hint="eastAsia"/>
          <w:rtl/>
        </w:rPr>
        <w:t>למשרד</w:t>
      </w:r>
      <w:r w:rsidRPr="0016480E">
        <w:rPr>
          <w:rtl/>
        </w:rPr>
        <w:t xml:space="preserve"> </w:t>
      </w:r>
      <w:r w:rsidRPr="0016480E">
        <w:rPr>
          <w:rFonts w:hint="eastAsia"/>
          <w:rtl/>
        </w:rPr>
        <w:t>השיכון</w:t>
      </w:r>
      <w:r w:rsidRPr="0016480E">
        <w:rPr>
          <w:rtl/>
        </w:rPr>
        <w:t xml:space="preserve"> ולהתאחדות הקבלנים בוני הארץ.</w:t>
      </w:r>
    </w:p>
    <w:p w:rsidR="006252C4" w:rsidRPr="00A034DE" w:rsidRDefault="006252C4" w:rsidP="006252C4">
      <w:pPr>
        <w:spacing w:line="269" w:lineRule="auto"/>
        <w:rPr>
          <w:rtl/>
        </w:rPr>
      </w:pPr>
    </w:p>
    <w:bookmarkEnd w:id="19"/>
    <w:p w:rsidR="006252C4" w:rsidRPr="00A81964" w:rsidRDefault="006252C4" w:rsidP="006252C4">
      <w:pPr>
        <w:pStyle w:val="31"/>
        <w:spacing w:before="0" w:line="269" w:lineRule="auto"/>
        <w:rPr>
          <w:rtl/>
        </w:rPr>
      </w:pPr>
      <w:r w:rsidRPr="00A81964">
        <w:rPr>
          <w:rFonts w:hint="cs"/>
          <w:rtl/>
        </w:rPr>
        <w:t>הטיפול בתביעות</w:t>
      </w:r>
      <w:r w:rsidRPr="00A81964">
        <w:rPr>
          <w:rtl/>
        </w:rPr>
        <w:t xml:space="preserve"> </w:t>
      </w:r>
      <w:r w:rsidRPr="00A81964">
        <w:rPr>
          <w:rFonts w:hint="cs"/>
          <w:rtl/>
        </w:rPr>
        <w:t>ל</w:t>
      </w:r>
      <w:r w:rsidRPr="00A81964">
        <w:rPr>
          <w:rtl/>
        </w:rPr>
        <w:t>פיצוי בגין נזק ישיר</w:t>
      </w:r>
    </w:p>
    <w:p w:rsidR="006252C4" w:rsidRDefault="006252C4" w:rsidP="006252C4">
      <w:pPr>
        <w:pStyle w:val="a8"/>
        <w:spacing w:line="269" w:lineRule="auto"/>
        <w:rPr>
          <w:rtl/>
        </w:rPr>
      </w:pPr>
    </w:p>
    <w:p w:rsidR="006252C4" w:rsidRPr="00A81964" w:rsidRDefault="006252C4" w:rsidP="006252C4">
      <w:pPr>
        <w:pStyle w:val="4"/>
        <w:spacing w:before="0" w:line="269" w:lineRule="auto"/>
        <w:rPr>
          <w:rtl/>
        </w:rPr>
      </w:pPr>
      <w:r w:rsidRPr="00A81964">
        <w:rPr>
          <w:rFonts w:hint="cs"/>
          <w:rtl/>
        </w:rPr>
        <w:t>הטיפול על ידי צוותי השטח</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כאמור, בעל נכס שנגרם לו נזק ישיר </w:t>
      </w:r>
      <w:r w:rsidRPr="0079434D">
        <w:rPr>
          <w:rFonts w:hint="cs"/>
          <w:rtl/>
        </w:rPr>
        <w:t>יכול לפנות</w:t>
      </w:r>
      <w:r w:rsidRPr="00A81964">
        <w:rPr>
          <w:rFonts w:hint="cs"/>
          <w:rtl/>
        </w:rPr>
        <w:t xml:space="preserve"> לקרן הפיצויים באמצעות פנייה טלפונית או פנייה מקוונת. כמו כן, לעיתים צוותי השטח מגיעים לאתרי הנזק גם בלי שהתקבלו פניות מבעלי נכסים שניזוקו, וזאת כאשר מתקבלים דיווחים על אירועים שבהם נגרמו נזקים ישירים.</w:t>
      </w:r>
    </w:p>
    <w:p w:rsidR="006252C4" w:rsidRDefault="006252C4" w:rsidP="006252C4">
      <w:pPr>
        <w:pStyle w:val="a8"/>
        <w:spacing w:line="269" w:lineRule="auto"/>
        <w:rPr>
          <w:rtl/>
        </w:rPr>
      </w:pPr>
    </w:p>
    <w:p w:rsidR="006252C4" w:rsidRDefault="006252C4" w:rsidP="006252C4">
      <w:pPr>
        <w:bidi w:val="0"/>
        <w:spacing w:after="200" w:line="276" w:lineRule="auto"/>
        <w:rPr>
          <w:rtl/>
        </w:rPr>
      </w:pPr>
      <w:r>
        <w:rPr>
          <w:rtl/>
        </w:rPr>
        <w:br w:type="page"/>
      </w:r>
    </w:p>
    <w:p w:rsidR="006252C4" w:rsidRDefault="006252C4" w:rsidP="006252C4">
      <w:pPr>
        <w:spacing w:line="269" w:lineRule="auto"/>
        <w:rPr>
          <w:rtl/>
        </w:rPr>
      </w:pPr>
      <w:r w:rsidRPr="00A81964">
        <w:rPr>
          <w:rFonts w:hint="eastAsia"/>
          <w:rtl/>
        </w:rPr>
        <w:lastRenderedPageBreak/>
        <w:t>להלן</w:t>
      </w:r>
      <w:r w:rsidRPr="00A81964">
        <w:rPr>
          <w:rtl/>
        </w:rPr>
        <w:t xml:space="preserve"> </w:t>
      </w:r>
      <w:r w:rsidRPr="00A81964">
        <w:rPr>
          <w:rFonts w:hint="cs"/>
          <w:rtl/>
        </w:rPr>
        <w:t>ב</w:t>
      </w:r>
      <w:r w:rsidRPr="00A81964">
        <w:rPr>
          <w:rFonts w:hint="eastAsia"/>
          <w:rtl/>
        </w:rPr>
        <w:t>תרשים</w:t>
      </w:r>
      <w:r w:rsidRPr="00A81964">
        <w:rPr>
          <w:rtl/>
        </w:rPr>
        <w:t xml:space="preserve"> </w:t>
      </w:r>
      <w:r w:rsidRPr="00A81964">
        <w:rPr>
          <w:rFonts w:hint="cs"/>
          <w:rtl/>
        </w:rPr>
        <w:t>7</w:t>
      </w:r>
      <w:r w:rsidRPr="00A81964">
        <w:rPr>
          <w:rtl/>
        </w:rPr>
        <w:t xml:space="preserve"> </w:t>
      </w:r>
      <w:r w:rsidRPr="00A81964">
        <w:rPr>
          <w:rFonts w:hint="cs"/>
          <w:rtl/>
        </w:rPr>
        <w:t>התפלגות התביעות שהוגשו</w:t>
      </w:r>
      <w:r>
        <w:rPr>
          <w:rFonts w:hint="cs"/>
          <w:rtl/>
        </w:rPr>
        <w:t xml:space="preserve"> מאוקטובר 2023</w:t>
      </w:r>
      <w:r w:rsidRPr="00A81964">
        <w:rPr>
          <w:rFonts w:hint="cs"/>
          <w:rtl/>
        </w:rPr>
        <w:t xml:space="preserve"> עד נובמבר 2024 ב</w:t>
      </w:r>
      <w:r>
        <w:rPr>
          <w:rFonts w:hint="cs"/>
          <w:rtl/>
        </w:rPr>
        <w:t>ג</w:t>
      </w:r>
      <w:r w:rsidRPr="00A81964">
        <w:rPr>
          <w:rFonts w:hint="cs"/>
          <w:rtl/>
        </w:rPr>
        <w:t>ין תביעות שהוגשו לאחר פנייה טלפונית, פנייה מקוונת, או בעקבות הגעת צוות השטח למקום הנזק ללא פנייה מצד בעל הנכס הניזוק.</w:t>
      </w:r>
    </w:p>
    <w:p w:rsidR="006252C4" w:rsidRDefault="006252C4" w:rsidP="006252C4">
      <w:pPr>
        <w:spacing w:line="269" w:lineRule="auto"/>
        <w:rPr>
          <w:rtl/>
        </w:rPr>
      </w:pPr>
    </w:p>
    <w:p w:rsidR="006252C4" w:rsidRPr="00A81964" w:rsidRDefault="006252C4" w:rsidP="006252C4">
      <w:pPr>
        <w:spacing w:line="269" w:lineRule="auto"/>
        <w:jc w:val="center"/>
        <w:rPr>
          <w:b/>
          <w:bCs/>
          <w:rtl/>
        </w:rPr>
      </w:pPr>
      <w:r w:rsidRPr="00A81964">
        <w:rPr>
          <w:rFonts w:hint="eastAsia"/>
          <w:rtl/>
        </w:rPr>
        <w:t>תרשים</w:t>
      </w:r>
      <w:r w:rsidRPr="00A81964">
        <w:rPr>
          <w:rtl/>
        </w:rPr>
        <w:t xml:space="preserve"> 7:</w:t>
      </w:r>
      <w:r w:rsidRPr="00A81964">
        <w:rPr>
          <w:b/>
          <w:bCs/>
          <w:rtl/>
        </w:rPr>
        <w:t xml:space="preserve"> </w:t>
      </w:r>
      <w:r w:rsidRPr="00A81964">
        <w:rPr>
          <w:rFonts w:hint="eastAsia"/>
          <w:b/>
          <w:bCs/>
          <w:rtl/>
        </w:rPr>
        <w:t>התפלגות</w:t>
      </w:r>
      <w:r w:rsidRPr="00A81964">
        <w:rPr>
          <w:b/>
          <w:bCs/>
          <w:rtl/>
        </w:rPr>
        <w:t xml:space="preserve"> </w:t>
      </w:r>
      <w:r w:rsidRPr="00A81964">
        <w:rPr>
          <w:rFonts w:hint="cs"/>
          <w:b/>
          <w:bCs/>
          <w:rtl/>
        </w:rPr>
        <w:t>ה</w:t>
      </w:r>
      <w:r w:rsidRPr="00A81964">
        <w:rPr>
          <w:b/>
          <w:bCs/>
          <w:rtl/>
        </w:rPr>
        <w:t xml:space="preserve">תביעות לפיצוי בגין נזק ישיר לפי אופן הגשתן, </w:t>
      </w:r>
      <w:r w:rsidRPr="00A81964">
        <w:rPr>
          <w:rFonts w:hint="cs"/>
          <w:b/>
          <w:bCs/>
          <w:rtl/>
        </w:rPr>
        <w:t>אוקטובר 2023 -</w:t>
      </w:r>
      <w:r w:rsidRPr="00A81964">
        <w:rPr>
          <w:b/>
          <w:bCs/>
          <w:rtl/>
        </w:rPr>
        <w:t xml:space="preserve"> נובמבר 2024</w:t>
      </w:r>
    </w:p>
    <w:p w:rsidR="006252C4" w:rsidRPr="00A81964" w:rsidRDefault="006252C4" w:rsidP="006252C4">
      <w:pPr>
        <w:spacing w:line="269" w:lineRule="auto"/>
        <w:jc w:val="center"/>
        <w:rPr>
          <w:sz w:val="16"/>
          <w:szCs w:val="20"/>
          <w:rtl/>
        </w:rPr>
      </w:pPr>
      <w:r>
        <w:rPr>
          <w:noProof/>
        </w:rPr>
        <w:drawing>
          <wp:inline distT="0" distB="0" distL="0" distR="0" wp14:anchorId="669FE759" wp14:editId="1F7B4103">
            <wp:extent cx="4672425" cy="2657182"/>
            <wp:effectExtent l="0" t="0" r="0" b="0"/>
            <wp:docPr id="24" name="תמונה 24" descr="מהתרשים עולה כי מעל שליש מהתביעות במלחמת חרבות ברזל הוגשו לאחר הגעת צוותי השטח לאתר הנזק, בלי שבעל הנכס פנה לקרן הפיצויים ודיווח על הנזק הישיר שנגרם לרכוש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2819" cy="2663093"/>
                    </a:xfrm>
                    <a:prstGeom prst="rect">
                      <a:avLst/>
                    </a:prstGeom>
                    <a:noFill/>
                    <a:ln>
                      <a:noFill/>
                    </a:ln>
                  </pic:spPr>
                </pic:pic>
              </a:graphicData>
            </a:graphic>
          </wp:inline>
        </w:drawing>
      </w:r>
    </w:p>
    <w:p w:rsidR="006252C4" w:rsidRDefault="006252C4" w:rsidP="006252C4">
      <w:pPr>
        <w:spacing w:line="269" w:lineRule="auto"/>
        <w:rPr>
          <w:sz w:val="16"/>
          <w:szCs w:val="20"/>
          <w:rtl/>
        </w:rPr>
      </w:pPr>
      <w:r w:rsidRPr="00A81964">
        <w:rPr>
          <w:rFonts w:hint="cs"/>
          <w:sz w:val="16"/>
          <w:szCs w:val="20"/>
          <w:rtl/>
        </w:rPr>
        <w:t>על פי נתוני</w:t>
      </w:r>
      <w:r w:rsidRPr="00A81964">
        <w:rPr>
          <w:sz w:val="16"/>
          <w:szCs w:val="20"/>
          <w:rtl/>
        </w:rPr>
        <w:t xml:space="preserve"> </w:t>
      </w:r>
      <w:r w:rsidRPr="0079434D">
        <w:rPr>
          <w:rFonts w:hint="eastAsia"/>
          <w:sz w:val="16"/>
          <w:szCs w:val="20"/>
          <w:rtl/>
        </w:rPr>
        <w:t>רשות</w:t>
      </w:r>
      <w:r w:rsidRPr="0079434D">
        <w:rPr>
          <w:sz w:val="16"/>
          <w:szCs w:val="20"/>
          <w:rtl/>
        </w:rPr>
        <w:t xml:space="preserve"> </w:t>
      </w:r>
      <w:r w:rsidRPr="0079434D">
        <w:rPr>
          <w:rFonts w:hint="eastAsia"/>
          <w:sz w:val="16"/>
          <w:szCs w:val="20"/>
          <w:rtl/>
        </w:rPr>
        <w:t>המ</w:t>
      </w:r>
      <w:r w:rsidRPr="0079434D">
        <w:rPr>
          <w:rFonts w:hint="cs"/>
          <w:sz w:val="16"/>
          <w:szCs w:val="20"/>
          <w:rtl/>
        </w:rPr>
        <w:t>י</w:t>
      </w:r>
      <w:r w:rsidRPr="0079434D">
        <w:rPr>
          <w:rFonts w:hint="eastAsia"/>
          <w:sz w:val="16"/>
          <w:szCs w:val="20"/>
          <w:rtl/>
        </w:rPr>
        <w:t>סים</w:t>
      </w:r>
      <w:r w:rsidRPr="0079434D">
        <w:rPr>
          <w:rFonts w:hint="cs"/>
          <w:sz w:val="16"/>
          <w:szCs w:val="20"/>
          <w:rtl/>
        </w:rPr>
        <w:t>, בעיבוד משרד מבקר המדינה</w:t>
      </w:r>
      <w:r w:rsidRPr="00A81964">
        <w:rPr>
          <w:rFonts w:hint="cs"/>
          <w:sz w:val="16"/>
          <w:szCs w:val="20"/>
          <w:rtl/>
        </w:rPr>
        <w:t>.</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eastAsia"/>
          <w:b/>
          <w:bCs/>
          <w:rtl/>
        </w:rPr>
        <w:t>מהתרשים</w:t>
      </w:r>
      <w:r w:rsidRPr="00A81964">
        <w:rPr>
          <w:b/>
          <w:bCs/>
          <w:rtl/>
        </w:rPr>
        <w:t xml:space="preserve"> </w:t>
      </w:r>
      <w:r w:rsidRPr="00A81964">
        <w:rPr>
          <w:rFonts w:hint="eastAsia"/>
          <w:b/>
          <w:bCs/>
          <w:rtl/>
        </w:rPr>
        <w:t>עולה</w:t>
      </w:r>
      <w:r w:rsidRPr="00A81964">
        <w:rPr>
          <w:b/>
          <w:bCs/>
          <w:rtl/>
        </w:rPr>
        <w:t xml:space="preserve"> </w:t>
      </w:r>
      <w:r w:rsidRPr="00A81964">
        <w:rPr>
          <w:rFonts w:hint="eastAsia"/>
          <w:b/>
          <w:bCs/>
          <w:rtl/>
        </w:rPr>
        <w:t>כי</w:t>
      </w:r>
      <w:r w:rsidRPr="00A81964">
        <w:rPr>
          <w:b/>
          <w:bCs/>
          <w:rtl/>
        </w:rPr>
        <w:t xml:space="preserve"> </w:t>
      </w:r>
      <w:r w:rsidRPr="00A81964">
        <w:rPr>
          <w:rFonts w:hint="eastAsia"/>
          <w:b/>
          <w:bCs/>
          <w:rtl/>
        </w:rPr>
        <w:t>מעל</w:t>
      </w:r>
      <w:r w:rsidRPr="00A81964">
        <w:rPr>
          <w:b/>
          <w:bCs/>
          <w:rtl/>
        </w:rPr>
        <w:t xml:space="preserve"> </w:t>
      </w:r>
      <w:r w:rsidRPr="00A81964">
        <w:rPr>
          <w:rFonts w:hint="eastAsia"/>
          <w:b/>
          <w:bCs/>
          <w:rtl/>
        </w:rPr>
        <w:t>שליש</w:t>
      </w:r>
      <w:r w:rsidRPr="00A81964">
        <w:rPr>
          <w:b/>
          <w:bCs/>
          <w:rtl/>
        </w:rPr>
        <w:t xml:space="preserve"> </w:t>
      </w:r>
      <w:r w:rsidRPr="00A81964">
        <w:rPr>
          <w:rFonts w:hint="eastAsia"/>
          <w:b/>
          <w:bCs/>
          <w:rtl/>
        </w:rPr>
        <w:t>מהתביעות</w:t>
      </w:r>
      <w:r w:rsidRPr="00A81964">
        <w:rPr>
          <w:b/>
          <w:bCs/>
          <w:rtl/>
        </w:rPr>
        <w:t xml:space="preserve"> </w:t>
      </w:r>
      <w:r w:rsidRPr="00A81964">
        <w:rPr>
          <w:rFonts w:hint="eastAsia"/>
          <w:b/>
          <w:bCs/>
          <w:rtl/>
        </w:rPr>
        <w:t>במלחמת</w:t>
      </w:r>
      <w:r w:rsidRPr="00A81964">
        <w:rPr>
          <w:b/>
          <w:bCs/>
          <w:rtl/>
        </w:rPr>
        <w:t xml:space="preserve"> </w:t>
      </w:r>
      <w:r w:rsidRPr="00A81964">
        <w:rPr>
          <w:rFonts w:hint="eastAsia"/>
          <w:b/>
          <w:bCs/>
          <w:rtl/>
        </w:rPr>
        <w:t>חרבות</w:t>
      </w:r>
      <w:r w:rsidRPr="00A81964">
        <w:rPr>
          <w:b/>
          <w:bCs/>
          <w:rtl/>
        </w:rPr>
        <w:t xml:space="preserve"> </w:t>
      </w:r>
      <w:r w:rsidRPr="00A81964">
        <w:rPr>
          <w:rFonts w:hint="eastAsia"/>
          <w:b/>
          <w:bCs/>
          <w:rtl/>
        </w:rPr>
        <w:t>ברזל</w:t>
      </w:r>
      <w:r w:rsidRPr="00A81964">
        <w:rPr>
          <w:b/>
          <w:bCs/>
          <w:rtl/>
        </w:rPr>
        <w:t xml:space="preserve"> הוגשו </w:t>
      </w:r>
      <w:r w:rsidRPr="00A81964">
        <w:rPr>
          <w:rFonts w:hint="eastAsia"/>
          <w:b/>
          <w:bCs/>
          <w:rtl/>
        </w:rPr>
        <w:t>לאחר</w:t>
      </w:r>
      <w:r w:rsidRPr="00A81964">
        <w:rPr>
          <w:b/>
          <w:bCs/>
          <w:rtl/>
        </w:rPr>
        <w:t xml:space="preserve"> </w:t>
      </w:r>
      <w:r w:rsidRPr="00A81964">
        <w:rPr>
          <w:rFonts w:hint="eastAsia"/>
          <w:b/>
          <w:bCs/>
          <w:rtl/>
        </w:rPr>
        <w:t>הגעת</w:t>
      </w:r>
      <w:r w:rsidRPr="00A81964">
        <w:rPr>
          <w:b/>
          <w:bCs/>
          <w:rtl/>
        </w:rPr>
        <w:t xml:space="preserve"> </w:t>
      </w:r>
      <w:r w:rsidRPr="00A81964">
        <w:rPr>
          <w:rFonts w:hint="eastAsia"/>
          <w:b/>
          <w:bCs/>
          <w:rtl/>
        </w:rPr>
        <w:t>צוותי</w:t>
      </w:r>
      <w:r w:rsidRPr="00A81964">
        <w:rPr>
          <w:b/>
          <w:bCs/>
          <w:rtl/>
        </w:rPr>
        <w:t xml:space="preserve"> </w:t>
      </w:r>
      <w:r w:rsidRPr="00A81964">
        <w:rPr>
          <w:rFonts w:hint="eastAsia"/>
          <w:b/>
          <w:bCs/>
          <w:rtl/>
        </w:rPr>
        <w:t>השטח</w:t>
      </w:r>
      <w:r w:rsidRPr="00A81964">
        <w:rPr>
          <w:b/>
          <w:bCs/>
          <w:rtl/>
        </w:rPr>
        <w:t xml:space="preserve"> </w:t>
      </w:r>
      <w:r w:rsidRPr="00A81964">
        <w:rPr>
          <w:rFonts w:hint="eastAsia"/>
          <w:b/>
          <w:bCs/>
          <w:rtl/>
        </w:rPr>
        <w:t>לאתר</w:t>
      </w:r>
      <w:r w:rsidRPr="00A81964">
        <w:rPr>
          <w:b/>
          <w:bCs/>
          <w:rtl/>
        </w:rPr>
        <w:t xml:space="preserve"> </w:t>
      </w:r>
      <w:r w:rsidRPr="00A81964">
        <w:rPr>
          <w:rFonts w:hint="eastAsia"/>
          <w:b/>
          <w:bCs/>
          <w:rtl/>
        </w:rPr>
        <w:t>הנזק</w:t>
      </w:r>
      <w:r w:rsidRPr="00A81964">
        <w:rPr>
          <w:b/>
          <w:bCs/>
          <w:rtl/>
        </w:rPr>
        <w:t xml:space="preserve">, </w:t>
      </w:r>
      <w:r w:rsidRPr="00A81964">
        <w:rPr>
          <w:rFonts w:hint="eastAsia"/>
          <w:b/>
          <w:bCs/>
          <w:rtl/>
        </w:rPr>
        <w:t>בלי</w:t>
      </w:r>
      <w:r w:rsidRPr="00A81964">
        <w:rPr>
          <w:b/>
          <w:bCs/>
          <w:rtl/>
        </w:rPr>
        <w:t xml:space="preserve"> שבעל הנכס פנה לקרן הפיצויים </w:t>
      </w:r>
      <w:r w:rsidRPr="00A81964">
        <w:rPr>
          <w:rFonts w:hint="eastAsia"/>
          <w:b/>
          <w:bCs/>
          <w:rtl/>
        </w:rPr>
        <w:t>ודיווח</w:t>
      </w:r>
      <w:r w:rsidRPr="00A81964">
        <w:rPr>
          <w:b/>
          <w:bCs/>
          <w:rtl/>
        </w:rPr>
        <w:t xml:space="preserve"> </w:t>
      </w:r>
      <w:r w:rsidRPr="00A81964">
        <w:rPr>
          <w:rFonts w:hint="eastAsia"/>
          <w:b/>
          <w:bCs/>
          <w:rtl/>
        </w:rPr>
        <w:t>על</w:t>
      </w:r>
      <w:r w:rsidRPr="00A81964">
        <w:rPr>
          <w:b/>
          <w:bCs/>
          <w:rtl/>
        </w:rPr>
        <w:t xml:space="preserve"> </w:t>
      </w:r>
      <w:r w:rsidRPr="00A81964">
        <w:rPr>
          <w:rFonts w:hint="eastAsia"/>
          <w:b/>
          <w:bCs/>
          <w:rtl/>
        </w:rPr>
        <w:t>הנזק</w:t>
      </w:r>
      <w:r w:rsidRPr="00A81964">
        <w:rPr>
          <w:b/>
          <w:bCs/>
          <w:rtl/>
        </w:rPr>
        <w:t xml:space="preserve"> </w:t>
      </w:r>
      <w:r w:rsidRPr="00A81964">
        <w:rPr>
          <w:rFonts w:hint="eastAsia"/>
          <w:b/>
          <w:bCs/>
          <w:rtl/>
        </w:rPr>
        <w:t>הישיר</w:t>
      </w:r>
      <w:r w:rsidRPr="00A81964">
        <w:rPr>
          <w:b/>
          <w:bCs/>
          <w:rtl/>
        </w:rPr>
        <w:t xml:space="preserve"> </w:t>
      </w:r>
      <w:r w:rsidRPr="00A81964">
        <w:rPr>
          <w:rFonts w:hint="eastAsia"/>
          <w:b/>
          <w:bCs/>
          <w:rtl/>
        </w:rPr>
        <w:t>שנגרם</w:t>
      </w:r>
      <w:r w:rsidRPr="00A81964">
        <w:rPr>
          <w:b/>
          <w:bCs/>
          <w:rtl/>
        </w:rPr>
        <w:t xml:space="preserve"> </w:t>
      </w:r>
      <w:r w:rsidRPr="00A81964">
        <w:rPr>
          <w:rFonts w:hint="eastAsia"/>
          <w:b/>
          <w:bCs/>
          <w:rtl/>
        </w:rPr>
        <w:t>לרכושו</w:t>
      </w:r>
      <w:r w:rsidRPr="00A81964">
        <w:rPr>
          <w:b/>
          <w:bCs/>
          <w:rtl/>
        </w:rPr>
        <w:t>.</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בסיורים שערך המבקר ביישובים שנפגעו עלה </w:t>
      </w:r>
      <w:r w:rsidRPr="00A81964">
        <w:rPr>
          <w:b/>
          <w:bCs/>
          <w:rtl/>
        </w:rPr>
        <w:t>כי הרשויות נזקקות לגייס כ</w:t>
      </w:r>
      <w:r w:rsidRPr="00A81964">
        <w:rPr>
          <w:rFonts w:hint="cs"/>
          <w:b/>
          <w:bCs/>
          <w:rtl/>
        </w:rPr>
        <w:t>וח אדם</w:t>
      </w:r>
      <w:r w:rsidRPr="00A81964">
        <w:rPr>
          <w:b/>
          <w:bCs/>
          <w:rtl/>
        </w:rPr>
        <w:t xml:space="preserve"> זמני ולמנות גורם מתכלל שייצג את</w:t>
      </w:r>
      <w:r w:rsidRPr="00A81964">
        <w:rPr>
          <w:rFonts w:hint="cs"/>
          <w:b/>
          <w:bCs/>
          <w:rtl/>
        </w:rPr>
        <w:t xml:space="preserve"> </w:t>
      </w:r>
      <w:r w:rsidRPr="00A81964">
        <w:rPr>
          <w:b/>
          <w:bCs/>
          <w:rtl/>
        </w:rPr>
        <w:t>התושבים למול קרן הפיצויים ולמול גופי הממשלה</w:t>
      </w:r>
      <w:r w:rsidRPr="00A81964">
        <w:rPr>
          <w:rFonts w:hint="cs"/>
          <w:b/>
          <w:bCs/>
          <w:rtl/>
        </w:rPr>
        <w:t xml:space="preserve">. לצד האמור, </w:t>
      </w:r>
      <w:r w:rsidRPr="00A81964">
        <w:rPr>
          <w:b/>
          <w:bCs/>
          <w:rtl/>
        </w:rPr>
        <w:t>התושבים וראשי הרשויות ציינו לשבח את המענים ואת השירות לתושבים</w:t>
      </w:r>
      <w:r w:rsidRPr="00A81964">
        <w:rPr>
          <w:rFonts w:hint="cs"/>
          <w:b/>
          <w:bCs/>
          <w:rtl/>
        </w:rPr>
        <w:t xml:space="preserve"> </w:t>
      </w:r>
      <w:r w:rsidRPr="00A81964">
        <w:rPr>
          <w:b/>
          <w:bCs/>
          <w:rtl/>
        </w:rPr>
        <w:t>שניתן על ידי נציגי קרן הפיצויים ברשות המ</w:t>
      </w:r>
      <w:r>
        <w:rPr>
          <w:rFonts w:hint="cs"/>
          <w:b/>
          <w:bCs/>
          <w:rtl/>
        </w:rPr>
        <w:t>י</w:t>
      </w:r>
      <w:r w:rsidRPr="00A81964">
        <w:rPr>
          <w:b/>
          <w:bCs/>
          <w:rtl/>
        </w:rPr>
        <w:t>סים</w:t>
      </w:r>
      <w:r w:rsidRPr="00A81964">
        <w:rPr>
          <w:rFonts w:hint="cs"/>
          <w:b/>
          <w:bCs/>
          <w:rtl/>
        </w:rPr>
        <w:t>.</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משרד מבקר המדינה מציין לחיוב את פעילות צוותי השטח, המגיעים לאתרי הנזק עוד טרם פנייתם של בעלי הנכסים שניזוקו ובכך מסייעים להגשת התביעות ולקידום הטיפול בנזקים. </w:t>
      </w:r>
      <w:r w:rsidRPr="00A81964">
        <w:rPr>
          <w:rFonts w:hint="eastAsia"/>
          <w:b/>
          <w:bCs/>
          <w:rtl/>
        </w:rPr>
        <w:t>לצד</w:t>
      </w:r>
      <w:r w:rsidRPr="00A81964">
        <w:rPr>
          <w:b/>
          <w:bCs/>
          <w:rtl/>
        </w:rPr>
        <w:t xml:space="preserve"> </w:t>
      </w:r>
      <w:r w:rsidRPr="00A81964">
        <w:rPr>
          <w:rFonts w:hint="eastAsia"/>
          <w:b/>
          <w:bCs/>
          <w:rtl/>
        </w:rPr>
        <w:t>האמור</w:t>
      </w:r>
      <w:r w:rsidRPr="00A81964">
        <w:rPr>
          <w:b/>
          <w:bCs/>
          <w:rtl/>
        </w:rPr>
        <w:t>,</w:t>
      </w:r>
      <w:r w:rsidRPr="00A81964">
        <w:rPr>
          <w:rFonts w:hint="cs"/>
          <w:b/>
          <w:bCs/>
          <w:rtl/>
        </w:rPr>
        <w:t xml:space="preserve"> מומלץ כי קרן הפיצויים תרחיב את פעילות צוותי השטח כדי לטייב את השירות לציבור.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79434D">
        <w:rPr>
          <w:rFonts w:hint="cs"/>
          <w:rtl/>
        </w:rPr>
        <w:t>בדוח ועדת נזק ישיר</w:t>
      </w:r>
      <w:r w:rsidRPr="00A81964">
        <w:rPr>
          <w:rFonts w:hint="cs"/>
          <w:rtl/>
        </w:rPr>
        <w:t xml:space="preserve"> משנת 2017 נכתב כי "</w:t>
      </w:r>
      <w:r w:rsidRPr="00A81964">
        <w:rPr>
          <w:rtl/>
        </w:rPr>
        <w:t>כיום השליטה בצוותי השטח ובאיתור הנפילות/מוקדי הנזק, נעשית בצורה ידנית (רשימות עבודה) דבר אשר מקשה על השליטה בצוותי השטח ובמידע הנדרש להנהלת הרשות אד הוק</w:t>
      </w:r>
      <w:r w:rsidRPr="00A81964">
        <w:rPr>
          <w:rFonts w:hint="cs"/>
          <w:rtl/>
        </w:rPr>
        <w:t xml:space="preserve">". בדוח הוסבר כי מערכת שליטה ובקרה (להלן - מערכת שו"ב), המושתתת על מערכת </w:t>
      </w:r>
      <w:r w:rsidRPr="00A81964">
        <w:rPr>
          <w:rFonts w:hint="cs"/>
        </w:rPr>
        <w:t>G</w:t>
      </w:r>
      <w:r w:rsidRPr="00A81964">
        <w:t>.I.S</w:t>
      </w:r>
      <w:r w:rsidRPr="00A81964">
        <w:rPr>
          <w:rFonts w:hint="cs"/>
          <w:rtl/>
        </w:rPr>
        <w:t xml:space="preserve"> (</w:t>
      </w:r>
      <w:r w:rsidRPr="00A81964">
        <w:t>Geographic Information System</w:t>
      </w:r>
      <w:r w:rsidRPr="00A81964">
        <w:rPr>
          <w:rFonts w:hint="cs"/>
          <w:rtl/>
        </w:rPr>
        <w:t xml:space="preserve">), מאפשרת ניהול, אחזור וניתוח של מידע גיאוגרפי וכן ממשקים עם </w:t>
      </w:r>
      <w:r w:rsidRPr="00A81964">
        <w:rPr>
          <w:rFonts w:hint="cs"/>
          <w:rtl/>
        </w:rPr>
        <w:lastRenderedPageBreak/>
        <w:t>מערכות אחרות. בהתאם לזאת, הומלץ על "</w:t>
      </w:r>
      <w:r w:rsidRPr="00A81964">
        <w:rPr>
          <w:rtl/>
        </w:rPr>
        <w:t xml:space="preserve">פרסום מכרז ליועץ חיצוני לאפיון מערכת שליטה ובקרה הנדרשת לרשות </w:t>
      </w:r>
      <w:r>
        <w:rPr>
          <w:rtl/>
        </w:rPr>
        <w:t>המיסים</w:t>
      </w:r>
      <w:r w:rsidRPr="00A81964">
        <w:rPr>
          <w:rtl/>
        </w:rPr>
        <w:t xml:space="preserve"> בשעת חרום ופרסום מכרז לרכישת המערכת בהתאם</w:t>
      </w:r>
      <w:r w:rsidRPr="00A81964">
        <w:rPr>
          <w:rFonts w:hint="cs"/>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79434D">
        <w:rPr>
          <w:rFonts w:hint="cs"/>
          <w:rtl/>
        </w:rPr>
        <w:t>בישיבה שהתקיימה</w:t>
      </w:r>
      <w:r w:rsidRPr="00A81964">
        <w:rPr>
          <w:rFonts w:hint="cs"/>
          <w:rtl/>
        </w:rPr>
        <w:t xml:space="preserve"> באוקטובר 2017 בנוכחות מנהל רשות המיסים דאז הסביר מנהל קרן הפיצויים כי רכישת מערכת </w:t>
      </w:r>
      <w:proofErr w:type="spellStart"/>
      <w:r w:rsidRPr="00A81964">
        <w:rPr>
          <w:rFonts w:hint="cs"/>
          <w:rtl/>
        </w:rPr>
        <w:t>השו"ב</w:t>
      </w:r>
      <w:proofErr w:type="spellEnd"/>
      <w:r w:rsidRPr="00A81964">
        <w:rPr>
          <w:rFonts w:hint="cs"/>
          <w:rtl/>
        </w:rPr>
        <w:t xml:space="preserve"> תאפשר "לשלוט בצוות השטח בצורה מיטבית, לייעל את עבודת השטח ולקבל עדכונים אונליין על מיקום נפילת טילים", וכן </w:t>
      </w:r>
      <w:proofErr w:type="spellStart"/>
      <w:r w:rsidRPr="00A81964">
        <w:rPr>
          <w:rFonts w:hint="cs"/>
          <w:rtl/>
        </w:rPr>
        <w:t>שהמסופונים</w:t>
      </w:r>
      <w:proofErr w:type="spellEnd"/>
      <w:r w:rsidRPr="00A81964">
        <w:rPr>
          <w:rFonts w:hint="cs"/>
          <w:rtl/>
        </w:rPr>
        <w:t xml:space="preserve"> שעליהם תותקן מערכת </w:t>
      </w:r>
      <w:proofErr w:type="spellStart"/>
      <w:r w:rsidRPr="00A81964">
        <w:rPr>
          <w:rFonts w:hint="cs"/>
          <w:rtl/>
        </w:rPr>
        <w:t>השו"ב</w:t>
      </w:r>
      <w:proofErr w:type="spellEnd"/>
      <w:r w:rsidRPr="00A81964">
        <w:rPr>
          <w:rFonts w:hint="cs"/>
          <w:rtl/>
        </w:rPr>
        <w:t xml:space="preserve"> (להלן - </w:t>
      </w:r>
      <w:proofErr w:type="spellStart"/>
      <w:r w:rsidRPr="00A81964">
        <w:rPr>
          <w:rFonts w:hint="cs"/>
          <w:rtl/>
        </w:rPr>
        <w:t>המסופונים</w:t>
      </w:r>
      <w:proofErr w:type="spellEnd"/>
      <w:r w:rsidRPr="00A81964">
        <w:rPr>
          <w:rFonts w:hint="cs"/>
          <w:rtl/>
        </w:rPr>
        <w:t xml:space="preserve">) יכללו גרסה ממוחשבת של טופס התביעה (להלן - טופס תביעה דיגיטלי). בישיבה זו המליץ מנהל קרן הפיצויים לרכוש כ-400 </w:t>
      </w:r>
      <w:proofErr w:type="spellStart"/>
      <w:r w:rsidRPr="00A81964">
        <w:rPr>
          <w:rFonts w:hint="cs"/>
          <w:rtl/>
        </w:rPr>
        <w:t>מסופונים</w:t>
      </w:r>
      <w:proofErr w:type="spellEnd"/>
      <w:r w:rsidRPr="00A81964">
        <w:rPr>
          <w:rFonts w:hint="cs"/>
          <w:rtl/>
        </w:rPr>
        <w:t xml:space="preserve"> לצוותי השטח.</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79434D">
        <w:rPr>
          <w:rFonts w:hint="cs"/>
          <w:rtl/>
        </w:rPr>
        <w:t>בישיבה של ועדת המכרזים</w:t>
      </w:r>
      <w:r w:rsidRPr="00A81964">
        <w:rPr>
          <w:rFonts w:hint="cs"/>
          <w:rtl/>
        </w:rPr>
        <w:t xml:space="preserve"> של רשות המיסים (להלן - ועדת המכרזים) מחודש אוקטובר 2018 הסביר מנהל קרן הפיצויים כי מערכת </w:t>
      </w:r>
      <w:proofErr w:type="spellStart"/>
      <w:r w:rsidRPr="00A81964">
        <w:rPr>
          <w:rFonts w:hint="cs"/>
          <w:rtl/>
        </w:rPr>
        <w:t>השו"ב</w:t>
      </w:r>
      <w:proofErr w:type="spellEnd"/>
      <w:r w:rsidRPr="00A81964">
        <w:rPr>
          <w:rFonts w:hint="cs"/>
          <w:rtl/>
        </w:rPr>
        <w:t xml:space="preserve"> תתבסס על מערכת של משרד הביטחון, המשמשת את פיקוד העורף ומכונה "שועל" (שליטה ובקרה בעורף הלאומי), ואשר על גביה יפותח "מודול"</w:t>
      </w:r>
      <w:r w:rsidRPr="00A81964">
        <w:rPr>
          <w:rStyle w:val="af2"/>
          <w:rtl/>
        </w:rPr>
        <w:footnoteReference w:id="18"/>
      </w:r>
      <w:r w:rsidRPr="00A81964">
        <w:rPr>
          <w:rFonts w:hint="cs"/>
          <w:rtl/>
        </w:rPr>
        <w:t xml:space="preserve"> שיותאם לצורכי קרן הפיצויים, וזאת באמצעות ספק חיצוני</w:t>
      </w:r>
      <w:r w:rsidRPr="00A81964">
        <w:rPr>
          <w:rStyle w:val="af2"/>
          <w:rtl/>
        </w:rPr>
        <w:footnoteReference w:id="19"/>
      </w:r>
      <w:r w:rsidRPr="00A81964">
        <w:rPr>
          <w:rFonts w:hint="cs"/>
          <w:rtl/>
        </w:rPr>
        <w:t xml:space="preserve"> של משרד הביטחון (להלן - הספק החיצוני). ועדת המכרזים אישרה את פיתוח מערכת </w:t>
      </w:r>
      <w:proofErr w:type="spellStart"/>
      <w:r w:rsidRPr="00A81964">
        <w:rPr>
          <w:rFonts w:hint="cs"/>
          <w:rtl/>
        </w:rPr>
        <w:t>השו"ב</w:t>
      </w:r>
      <w:proofErr w:type="spellEnd"/>
      <w:r w:rsidRPr="00A81964">
        <w:rPr>
          <w:rFonts w:hint="cs"/>
          <w:rtl/>
        </w:rPr>
        <w:t xml:space="preserve"> והנחתה את מנהל קרן הפיצויים "לפעול מול הגורמים המוסמכים </w:t>
      </w:r>
      <w:proofErr w:type="spellStart"/>
      <w:r w:rsidRPr="00A81964">
        <w:rPr>
          <w:rFonts w:hint="cs"/>
          <w:rtl/>
        </w:rPr>
        <w:t>בשע"מ</w:t>
      </w:r>
      <w:proofErr w:type="spellEnd"/>
      <w:r w:rsidRPr="00A81964">
        <w:rPr>
          <w:rFonts w:hint="cs"/>
          <w:rtl/>
        </w:rPr>
        <w:t xml:space="preserve"> לבדיקת המפרט הטכני של ההצעה וכן להכנת הסכם התקשרות מתאים לנושאי הפיתוח המופיעים במודול". כמו כן, ועדת המכרזים הבהירה כי ההתקשרות עם הספק החיצוני לצורך פיתוח מערכת </w:t>
      </w:r>
      <w:proofErr w:type="spellStart"/>
      <w:r w:rsidRPr="00A81964">
        <w:rPr>
          <w:rFonts w:hint="cs"/>
          <w:rtl/>
        </w:rPr>
        <w:t>השו"ב</w:t>
      </w:r>
      <w:proofErr w:type="spellEnd"/>
      <w:r w:rsidRPr="00A81964">
        <w:rPr>
          <w:rFonts w:hint="cs"/>
          <w:rtl/>
        </w:rPr>
        <w:t xml:space="preserve"> "תהא בכפוף לקבלת אישור לתקצוב הפעולות על חשבון קרן הפיצויים בהתאם לנוהל הקיים".</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במאי 2019 </w:t>
      </w:r>
      <w:r w:rsidRPr="00A81964">
        <w:rPr>
          <w:rFonts w:hint="eastAsia"/>
          <w:rtl/>
        </w:rPr>
        <w:t>הכינה</w:t>
      </w:r>
      <w:r w:rsidRPr="00A81964">
        <w:rPr>
          <w:rFonts w:hint="cs"/>
          <w:rtl/>
        </w:rPr>
        <w:t xml:space="preserve"> הנהלת קרן הפיצויים </w:t>
      </w:r>
      <w:r w:rsidRPr="0079434D">
        <w:rPr>
          <w:rFonts w:hint="cs"/>
          <w:rtl/>
        </w:rPr>
        <w:t>מסמך</w:t>
      </w:r>
      <w:r w:rsidRPr="00A81964">
        <w:rPr>
          <w:rStyle w:val="af2"/>
          <w:rtl/>
        </w:rPr>
        <w:footnoteReference w:id="20"/>
      </w:r>
      <w:r w:rsidRPr="00A81964">
        <w:rPr>
          <w:rFonts w:hint="cs"/>
          <w:rtl/>
        </w:rPr>
        <w:t xml:space="preserve"> שכותרתו "דרישות מבצעיות למערכת שליטה לרשות </w:t>
      </w:r>
      <w:r>
        <w:rPr>
          <w:rFonts w:hint="cs"/>
          <w:rtl/>
        </w:rPr>
        <w:t>המיסים</w:t>
      </w:r>
      <w:r w:rsidRPr="00A81964">
        <w:rPr>
          <w:rFonts w:hint="cs"/>
          <w:rtl/>
        </w:rPr>
        <w:t xml:space="preserve">" (להלן - מסמך אפיון מערכת </w:t>
      </w:r>
      <w:proofErr w:type="spellStart"/>
      <w:r w:rsidRPr="00A81964">
        <w:rPr>
          <w:rFonts w:hint="cs"/>
          <w:rtl/>
        </w:rPr>
        <w:t>השו"ב</w:t>
      </w:r>
      <w:proofErr w:type="spellEnd"/>
      <w:r w:rsidRPr="00A81964">
        <w:rPr>
          <w:rFonts w:hint="cs"/>
          <w:rtl/>
        </w:rPr>
        <w:t xml:space="preserve">), המפרט את היכולות הנדרשות ממערכת </w:t>
      </w:r>
      <w:proofErr w:type="spellStart"/>
      <w:r w:rsidRPr="00A81964">
        <w:rPr>
          <w:rFonts w:hint="cs"/>
          <w:rtl/>
        </w:rPr>
        <w:t>השו"ב</w:t>
      </w:r>
      <w:proofErr w:type="spellEnd"/>
      <w:r w:rsidRPr="00A81964">
        <w:rPr>
          <w:rFonts w:hint="cs"/>
          <w:rtl/>
        </w:rPr>
        <w:t xml:space="preserve"> (להלן - הדרישות המבצעיות) ובכללן היכולות הבאות: הצגת מיקומים ותחומי אחריות גיאוגרפיים של מוקדי הנזק הישיר, ריכוז מאגרי מידע לצורכי התקשרות עם בעלי מקצוע וגורמים רלוונטיים נוספים, העברת התרעות על נפילות טילים לצוותי השטח בהתאם לתחום אחריותם הגיאוגרפי, הצגת מקום הנפילה ומידע על האירוע ועל סטטוס הטיפול בו, ניהול סדרי המשימות של צוותי השטח ומילוי טופסי תביעה באופן דיגיטלי.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eastAsia"/>
          <w:rtl/>
        </w:rPr>
        <w:t>בנובמבר</w:t>
      </w:r>
      <w:r w:rsidRPr="00A81964">
        <w:rPr>
          <w:rtl/>
        </w:rPr>
        <w:t xml:space="preserve"> 2019 התקבלה </w:t>
      </w:r>
      <w:r w:rsidRPr="00A81964">
        <w:rPr>
          <w:rFonts w:hint="eastAsia"/>
          <w:rtl/>
        </w:rPr>
        <w:t>מהספק</w:t>
      </w:r>
      <w:r w:rsidRPr="00A81964">
        <w:rPr>
          <w:rtl/>
        </w:rPr>
        <w:t xml:space="preserve"> </w:t>
      </w:r>
      <w:r w:rsidRPr="00A81964">
        <w:rPr>
          <w:rFonts w:hint="eastAsia"/>
          <w:rtl/>
        </w:rPr>
        <w:t>החיצוני</w:t>
      </w:r>
      <w:r w:rsidRPr="00A81964">
        <w:rPr>
          <w:rtl/>
        </w:rPr>
        <w:t xml:space="preserve"> </w:t>
      </w:r>
      <w:hyperlink r:id="rId18" w:history="1">
        <w:r w:rsidRPr="00A81964">
          <w:rPr>
            <w:rFonts w:hint="eastAsia"/>
            <w:rtl/>
          </w:rPr>
          <w:t>הצעת</w:t>
        </w:r>
        <w:r w:rsidRPr="00A81964">
          <w:rPr>
            <w:rtl/>
          </w:rPr>
          <w:t xml:space="preserve"> </w:t>
        </w:r>
        <w:r w:rsidRPr="00A81964">
          <w:rPr>
            <w:rFonts w:hint="eastAsia"/>
            <w:rtl/>
          </w:rPr>
          <w:t>מחיר</w:t>
        </w:r>
      </w:hyperlink>
      <w:r w:rsidRPr="00A81964">
        <w:rPr>
          <w:rtl/>
        </w:rPr>
        <w:t xml:space="preserve"> לפיתוח המערכת בהתאם לדרישות שנכללו במסמך אפיון מערכת</w:t>
      </w:r>
      <w:r w:rsidRPr="00A81964">
        <w:rPr>
          <w:rFonts w:hint="cs"/>
          <w:rtl/>
        </w:rPr>
        <w:t xml:space="preserve"> </w:t>
      </w:r>
      <w:proofErr w:type="spellStart"/>
      <w:r w:rsidRPr="00A81964">
        <w:rPr>
          <w:rFonts w:hint="cs"/>
          <w:rtl/>
        </w:rPr>
        <w:t>השו"ב</w:t>
      </w:r>
      <w:proofErr w:type="spellEnd"/>
      <w:r w:rsidRPr="00A81964">
        <w:rPr>
          <w:rFonts w:hint="cs"/>
          <w:rtl/>
        </w:rPr>
        <w:t>,</w:t>
      </w:r>
      <w:r w:rsidRPr="00A81964">
        <w:rPr>
          <w:rtl/>
        </w:rPr>
        <w:t xml:space="preserve"> ובחודש פברואר 2020 נערך מסמך </w:t>
      </w:r>
      <w:r w:rsidRPr="00A81964">
        <w:rPr>
          <w:rFonts w:hint="eastAsia"/>
          <w:rtl/>
        </w:rPr>
        <w:t>המפרט</w:t>
      </w:r>
      <w:r w:rsidRPr="00A81964">
        <w:rPr>
          <w:rtl/>
        </w:rPr>
        <w:t xml:space="preserve"> </w:t>
      </w:r>
      <w:r w:rsidRPr="00A81964">
        <w:rPr>
          <w:rFonts w:hint="eastAsia"/>
          <w:rtl/>
        </w:rPr>
        <w:t>את</w:t>
      </w:r>
      <w:r w:rsidRPr="00A81964">
        <w:rPr>
          <w:rtl/>
        </w:rPr>
        <w:t xml:space="preserve"> </w:t>
      </w:r>
      <w:r w:rsidRPr="00A81964">
        <w:rPr>
          <w:rFonts w:hint="eastAsia"/>
          <w:rtl/>
        </w:rPr>
        <w:t>עקרונות</w:t>
      </w:r>
      <w:r w:rsidRPr="00A81964">
        <w:rPr>
          <w:rtl/>
        </w:rPr>
        <w:t xml:space="preserve"> </w:t>
      </w:r>
      <w:r w:rsidRPr="00A81964">
        <w:rPr>
          <w:rFonts w:hint="eastAsia"/>
          <w:rtl/>
        </w:rPr>
        <w:t>ההתקשרות</w:t>
      </w:r>
      <w:r w:rsidRPr="00A81964">
        <w:rPr>
          <w:rtl/>
        </w:rPr>
        <w:t xml:space="preserve"> </w:t>
      </w:r>
      <w:r w:rsidRPr="00A81964">
        <w:rPr>
          <w:rFonts w:hint="eastAsia"/>
          <w:rtl/>
        </w:rPr>
        <w:t>בין</w:t>
      </w:r>
      <w:r w:rsidRPr="00A81964">
        <w:rPr>
          <w:rtl/>
        </w:rPr>
        <w:t xml:space="preserve"> </w:t>
      </w:r>
      <w:r w:rsidRPr="00A81964">
        <w:rPr>
          <w:rFonts w:hint="eastAsia"/>
          <w:rtl/>
        </w:rPr>
        <w:t>קרן</w:t>
      </w:r>
      <w:r w:rsidRPr="00A81964">
        <w:rPr>
          <w:rtl/>
        </w:rPr>
        <w:t xml:space="preserve"> </w:t>
      </w:r>
      <w:r w:rsidRPr="00A81964">
        <w:rPr>
          <w:rFonts w:hint="eastAsia"/>
          <w:rtl/>
        </w:rPr>
        <w:t>הפיצויים</w:t>
      </w:r>
      <w:r w:rsidRPr="00A81964">
        <w:rPr>
          <w:rtl/>
        </w:rPr>
        <w:t xml:space="preserve"> </w:t>
      </w:r>
      <w:r w:rsidRPr="00A81964">
        <w:rPr>
          <w:rFonts w:hint="eastAsia"/>
          <w:rtl/>
        </w:rPr>
        <w:t>ומשרד</w:t>
      </w:r>
      <w:r w:rsidRPr="00A81964">
        <w:rPr>
          <w:rtl/>
        </w:rPr>
        <w:t xml:space="preserve"> </w:t>
      </w:r>
      <w:r w:rsidRPr="00A81964">
        <w:rPr>
          <w:rFonts w:hint="eastAsia"/>
          <w:rtl/>
        </w:rPr>
        <w:t>הביטחון</w:t>
      </w:r>
      <w:r w:rsidRPr="00A81964">
        <w:rPr>
          <w:rtl/>
        </w:rPr>
        <w:t xml:space="preserve"> </w:t>
      </w:r>
      <w:r w:rsidRPr="00A81964">
        <w:rPr>
          <w:rFonts w:hint="eastAsia"/>
          <w:rtl/>
        </w:rPr>
        <w:t>מול</w:t>
      </w:r>
      <w:r w:rsidRPr="00A81964">
        <w:rPr>
          <w:rtl/>
        </w:rPr>
        <w:t xml:space="preserve"> </w:t>
      </w:r>
      <w:r w:rsidRPr="00A81964">
        <w:rPr>
          <w:rFonts w:hint="eastAsia"/>
          <w:rtl/>
        </w:rPr>
        <w:t>הספק</w:t>
      </w:r>
      <w:r w:rsidRPr="00A81964">
        <w:rPr>
          <w:rtl/>
        </w:rPr>
        <w:t xml:space="preserve"> </w:t>
      </w:r>
      <w:r w:rsidRPr="00A81964">
        <w:rPr>
          <w:rFonts w:hint="eastAsia"/>
          <w:rtl/>
        </w:rPr>
        <w:t>החיצוני</w:t>
      </w:r>
      <w:r w:rsidRPr="00A81964">
        <w:rPr>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eastAsia"/>
          <w:rtl/>
        </w:rPr>
        <w:t>באוגוסט</w:t>
      </w:r>
      <w:r w:rsidRPr="00A81964">
        <w:rPr>
          <w:rtl/>
        </w:rPr>
        <w:t xml:space="preserve"> 2020 </w:t>
      </w:r>
      <w:r w:rsidRPr="0079434D">
        <w:rPr>
          <w:rFonts w:hint="eastAsia"/>
          <w:rtl/>
        </w:rPr>
        <w:t>פנה</w:t>
      </w:r>
      <w:r w:rsidRPr="0079434D">
        <w:rPr>
          <w:rtl/>
        </w:rPr>
        <w:t xml:space="preserve"> </w:t>
      </w:r>
      <w:r w:rsidRPr="0079434D">
        <w:rPr>
          <w:rFonts w:hint="eastAsia"/>
          <w:rtl/>
        </w:rPr>
        <w:t>מנהל</w:t>
      </w:r>
      <w:r w:rsidRPr="0079434D">
        <w:rPr>
          <w:rtl/>
        </w:rPr>
        <w:t xml:space="preserve"> </w:t>
      </w:r>
      <w:r w:rsidRPr="0079434D">
        <w:rPr>
          <w:rFonts w:hint="eastAsia"/>
          <w:rtl/>
        </w:rPr>
        <w:t>קרן</w:t>
      </w:r>
      <w:r w:rsidRPr="0079434D">
        <w:rPr>
          <w:rtl/>
        </w:rPr>
        <w:t xml:space="preserve"> </w:t>
      </w:r>
      <w:r w:rsidRPr="0079434D">
        <w:rPr>
          <w:rFonts w:hint="eastAsia"/>
          <w:rtl/>
        </w:rPr>
        <w:t>הפיצויים</w:t>
      </w:r>
      <w:r w:rsidRPr="00A81964">
        <w:rPr>
          <w:rtl/>
        </w:rPr>
        <w:t xml:space="preserve"> במכתב לוועדת המכרזים, לאחר קבלת "אישור מקדמי" ממנהל רשות </w:t>
      </w:r>
      <w:r w:rsidRPr="00A81964">
        <w:rPr>
          <w:rFonts w:hint="cs"/>
          <w:rtl/>
        </w:rPr>
        <w:t xml:space="preserve">המיסים </w:t>
      </w:r>
      <w:r w:rsidRPr="00A81964">
        <w:rPr>
          <w:rtl/>
        </w:rPr>
        <w:t xml:space="preserve">דאז, לצורך אישור התקשרות עם הספק החיצוני לפיתוח </w:t>
      </w:r>
      <w:r w:rsidRPr="00A81964">
        <w:rPr>
          <w:rFonts w:hint="cs"/>
          <w:rtl/>
        </w:rPr>
        <w:t>ולתחזוקה של</w:t>
      </w:r>
      <w:r w:rsidRPr="00A81964">
        <w:rPr>
          <w:rtl/>
        </w:rPr>
        <w:t xml:space="preserve"> </w:t>
      </w:r>
      <w:r w:rsidRPr="00A81964">
        <w:rPr>
          <w:rFonts w:hint="eastAsia"/>
          <w:rtl/>
        </w:rPr>
        <w:t>מודול</w:t>
      </w:r>
      <w:r w:rsidRPr="00A81964">
        <w:rPr>
          <w:rtl/>
        </w:rPr>
        <w:t xml:space="preserve"> קרן הפיצויים. </w:t>
      </w:r>
      <w:r w:rsidRPr="00A81964">
        <w:rPr>
          <w:rFonts w:hint="cs"/>
          <w:rtl/>
        </w:rPr>
        <w:t>ב</w:t>
      </w:r>
      <w:r w:rsidRPr="00A81964">
        <w:rPr>
          <w:rtl/>
        </w:rPr>
        <w:t xml:space="preserve">מכתב </w:t>
      </w:r>
      <w:r w:rsidRPr="00A81964">
        <w:rPr>
          <w:rFonts w:hint="eastAsia"/>
          <w:rtl/>
        </w:rPr>
        <w:t>צו</w:t>
      </w:r>
      <w:r w:rsidRPr="00A81964">
        <w:rPr>
          <w:rFonts w:hint="cs"/>
          <w:rtl/>
        </w:rPr>
        <w:t>י</w:t>
      </w:r>
      <w:r w:rsidRPr="00A81964">
        <w:rPr>
          <w:rFonts w:hint="eastAsia"/>
          <w:rtl/>
        </w:rPr>
        <w:t>ן</w:t>
      </w:r>
      <w:r w:rsidRPr="00A81964">
        <w:rPr>
          <w:rtl/>
        </w:rPr>
        <w:t xml:space="preserve"> כי עלות הפיתוח </w:t>
      </w:r>
      <w:r w:rsidRPr="00A81964">
        <w:rPr>
          <w:rFonts w:hint="cs"/>
          <w:rtl/>
        </w:rPr>
        <w:t>היא</w:t>
      </w:r>
      <w:r w:rsidRPr="00A81964">
        <w:rPr>
          <w:rtl/>
        </w:rPr>
        <w:t xml:space="preserve"> כ-8.9 מיליון ש"ח</w:t>
      </w:r>
      <w:r w:rsidRPr="00A81964">
        <w:rPr>
          <w:rFonts w:hint="cs"/>
          <w:rtl/>
        </w:rPr>
        <w:t>, ושהיא</w:t>
      </w:r>
      <w:r w:rsidRPr="00A81964">
        <w:rPr>
          <w:rtl/>
        </w:rPr>
        <w:t xml:space="preserve"> </w:t>
      </w:r>
      <w:r w:rsidRPr="00A81964">
        <w:rPr>
          <w:rFonts w:hint="eastAsia"/>
          <w:rtl/>
        </w:rPr>
        <w:t>תמומן</w:t>
      </w:r>
      <w:r w:rsidRPr="00A81964">
        <w:rPr>
          <w:rtl/>
        </w:rPr>
        <w:t xml:space="preserve"> </w:t>
      </w:r>
      <w:r w:rsidRPr="00A81964">
        <w:rPr>
          <w:rFonts w:hint="eastAsia"/>
          <w:rtl/>
        </w:rPr>
        <w:t>מתקציב</w:t>
      </w:r>
      <w:r w:rsidRPr="00A81964">
        <w:rPr>
          <w:rtl/>
        </w:rPr>
        <w:t xml:space="preserve"> </w:t>
      </w:r>
      <w:r w:rsidRPr="00A81964">
        <w:rPr>
          <w:rFonts w:hint="eastAsia"/>
          <w:rtl/>
        </w:rPr>
        <w:t>קרן</w:t>
      </w:r>
      <w:r w:rsidRPr="00A81964">
        <w:rPr>
          <w:rtl/>
        </w:rPr>
        <w:t xml:space="preserve"> </w:t>
      </w:r>
      <w:r w:rsidRPr="00A81964">
        <w:rPr>
          <w:rFonts w:hint="eastAsia"/>
          <w:rtl/>
        </w:rPr>
        <w:t>הפיצויים</w:t>
      </w:r>
      <w:r w:rsidRPr="00A81964">
        <w:rPr>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בינואר 2022 </w:t>
      </w:r>
      <w:r w:rsidRPr="0079434D">
        <w:rPr>
          <w:rFonts w:hint="cs"/>
          <w:rtl/>
        </w:rPr>
        <w:t>אישר מנהל רשות המיסים דאז</w:t>
      </w:r>
      <w:r w:rsidRPr="00A81964">
        <w:rPr>
          <w:rFonts w:hint="cs"/>
          <w:rtl/>
        </w:rPr>
        <w:t xml:space="preserve"> כי מימון הפיתוח והתחזוקה של מערכת </w:t>
      </w:r>
      <w:proofErr w:type="spellStart"/>
      <w:r w:rsidRPr="00A81964">
        <w:rPr>
          <w:rFonts w:hint="cs"/>
          <w:rtl/>
        </w:rPr>
        <w:t>השו"ב</w:t>
      </w:r>
      <w:proofErr w:type="spellEnd"/>
      <w:r w:rsidRPr="00A81964">
        <w:rPr>
          <w:rFonts w:hint="cs"/>
          <w:rtl/>
        </w:rPr>
        <w:t xml:space="preserve"> על ידי הספק החיצוני יגיע מתקציב קרן הפיצויים.</w:t>
      </w:r>
    </w:p>
    <w:p w:rsidR="006252C4" w:rsidRDefault="006252C4" w:rsidP="006252C4">
      <w:pPr>
        <w:pStyle w:val="a8"/>
        <w:spacing w:line="269" w:lineRule="auto"/>
        <w:rPr>
          <w:rtl/>
        </w:rPr>
      </w:pPr>
    </w:p>
    <w:p w:rsidR="006252C4" w:rsidRDefault="006252C4" w:rsidP="006252C4">
      <w:pPr>
        <w:spacing w:line="269" w:lineRule="auto"/>
        <w:rPr>
          <w:rtl/>
        </w:rPr>
      </w:pPr>
      <w:r w:rsidRPr="00A81964">
        <w:rPr>
          <w:rFonts w:hint="cs"/>
          <w:rtl/>
        </w:rPr>
        <w:t xml:space="preserve">במרץ 2022 </w:t>
      </w:r>
      <w:r w:rsidRPr="0079434D">
        <w:rPr>
          <w:rFonts w:hint="cs"/>
          <w:rtl/>
        </w:rPr>
        <w:t>פנה הממונה בקרן הפיצויים</w:t>
      </w:r>
      <w:r w:rsidRPr="00A81964">
        <w:rPr>
          <w:rFonts w:hint="cs"/>
          <w:rtl/>
        </w:rPr>
        <w:t xml:space="preserve"> על פיתוח מערכת </w:t>
      </w:r>
      <w:proofErr w:type="spellStart"/>
      <w:r w:rsidRPr="00A81964">
        <w:rPr>
          <w:rFonts w:hint="cs"/>
          <w:rtl/>
        </w:rPr>
        <w:t>השו"ב</w:t>
      </w:r>
      <w:proofErr w:type="spellEnd"/>
      <w:r w:rsidRPr="00A81964">
        <w:rPr>
          <w:rFonts w:hint="cs"/>
          <w:rtl/>
        </w:rPr>
        <w:t xml:space="preserve"> (להלן - מנהל הפרויקט) למנהלת תחום הרכש באגף מס הכנסה ומסמ"ק וביקש ממנה "</w:t>
      </w:r>
      <w:r w:rsidRPr="00A81964">
        <w:rPr>
          <w:rtl/>
        </w:rPr>
        <w:t xml:space="preserve">לקדם את הטיפול בעניין זה </w:t>
      </w:r>
      <w:r w:rsidRPr="00A81964">
        <w:rPr>
          <w:rFonts w:hint="cs"/>
          <w:rtl/>
        </w:rPr>
        <w:t xml:space="preserve">[אישור ההתקשרות עם משרד הביטחון והספק החיצוני] </w:t>
      </w:r>
      <w:r w:rsidRPr="00A81964">
        <w:rPr>
          <w:rtl/>
        </w:rPr>
        <w:t xml:space="preserve">מהר ככל שניתן מאחר ואנו חיים על זמן שאול ואין לדעת מתי נידרש בשנית לפעול במצב חירום כפי שאירע במאי 2021 במהלך מבצע </w:t>
      </w:r>
      <w:r w:rsidRPr="00A81964">
        <w:rPr>
          <w:rFonts w:hint="cs"/>
          <w:rtl/>
        </w:rPr>
        <w:t>'</w:t>
      </w:r>
      <w:r w:rsidRPr="00A81964">
        <w:rPr>
          <w:rtl/>
        </w:rPr>
        <w:t>שומר החומות</w:t>
      </w:r>
      <w:r w:rsidRPr="00A81964">
        <w:rPr>
          <w:rFonts w:hint="cs"/>
          <w:rtl/>
        </w:rPr>
        <w:t>'"</w:t>
      </w:r>
      <w:r w:rsidRPr="00A81964">
        <w:rPr>
          <w:rtl/>
        </w:rPr>
        <w:t>.</w:t>
      </w:r>
    </w:p>
    <w:p w:rsidR="006252C4" w:rsidRPr="00A81964" w:rsidRDefault="006252C4" w:rsidP="006252C4">
      <w:pPr>
        <w:spacing w:line="269" w:lineRule="auto"/>
        <w:rPr>
          <w:rtl/>
        </w:rPr>
      </w:pPr>
    </w:p>
    <w:p w:rsidR="006252C4" w:rsidRPr="00A81964" w:rsidRDefault="006252C4" w:rsidP="006252C4">
      <w:pPr>
        <w:spacing w:line="269" w:lineRule="auto"/>
        <w:rPr>
          <w:rtl/>
        </w:rPr>
      </w:pPr>
      <w:r w:rsidRPr="00A81964">
        <w:rPr>
          <w:rFonts w:hint="cs"/>
          <w:rtl/>
        </w:rPr>
        <w:t xml:space="preserve">בפרוטוקול מדיון בעניין "התקשרות עם משרד הביטחון </w:t>
      </w:r>
      <w:proofErr w:type="spellStart"/>
      <w:r w:rsidRPr="00A81964">
        <w:rPr>
          <w:rFonts w:hint="cs"/>
          <w:rtl/>
        </w:rPr>
        <w:t>פרוייקט</w:t>
      </w:r>
      <w:proofErr w:type="spellEnd"/>
      <w:r w:rsidRPr="00A81964">
        <w:rPr>
          <w:rFonts w:hint="cs"/>
          <w:rtl/>
        </w:rPr>
        <w:t xml:space="preserve"> </w:t>
      </w:r>
      <w:proofErr w:type="spellStart"/>
      <w:r w:rsidRPr="00A81964">
        <w:rPr>
          <w:rFonts w:hint="cs"/>
          <w:rtl/>
        </w:rPr>
        <w:t>שוע"ל</w:t>
      </w:r>
      <w:proofErr w:type="spellEnd"/>
      <w:r w:rsidRPr="00A81964">
        <w:rPr>
          <w:rFonts w:hint="cs"/>
          <w:rtl/>
        </w:rPr>
        <w:t xml:space="preserve"> - </w:t>
      </w:r>
      <w:proofErr w:type="spellStart"/>
      <w:r w:rsidRPr="00A81964">
        <w:rPr>
          <w:rFonts w:hint="cs"/>
          <w:rtl/>
        </w:rPr>
        <w:t>תוכנית</w:t>
      </w:r>
      <w:proofErr w:type="spellEnd"/>
      <w:r>
        <w:rPr>
          <w:rFonts w:hint="cs"/>
          <w:rtl/>
        </w:rPr>
        <w:t xml:space="preserve"> </w:t>
      </w:r>
      <w:r w:rsidRPr="00A81964">
        <w:rPr>
          <w:rFonts w:hint="cs"/>
          <w:rtl/>
        </w:rPr>
        <w:t>שו"ב לאומית בפיקוד העורף (במסגרת משרד הביטחון)" שהתקיים בנובמבר 2022 נכתב "חברי ה</w:t>
      </w:r>
      <w:r>
        <w:rPr>
          <w:rFonts w:hint="cs"/>
          <w:rtl/>
        </w:rPr>
        <w:t>ו</w:t>
      </w:r>
      <w:r w:rsidRPr="00A81964">
        <w:rPr>
          <w:rFonts w:hint="cs"/>
          <w:rtl/>
        </w:rPr>
        <w:t>ועדה [ועדת מכרזים] סבורים כי ההתקשרות עם משרד הביטחון לצורך רכישת אמצעים לשעת חירום הכרחית וחיונית ברמה הלאומית, אשר תסייע רבות לקרן הפיצויים, מס רכוש לתת מענה באופן מידי בשעות חירום</w:t>
      </w:r>
      <w:r w:rsidRPr="00A81964">
        <w:t>'</w:t>
      </w:r>
      <w:r w:rsidRPr="00A81964">
        <w:rPr>
          <w:rtl/>
        </w:rPr>
        <w:t>,</w:t>
      </w:r>
      <w:r w:rsidRPr="00A81964">
        <w:rPr>
          <w:rFonts w:hint="cs"/>
          <w:rtl/>
        </w:rPr>
        <w:t xml:space="preserve"> לרבות מלחמה... החתומים מטה [סמנכ"ל </w:t>
      </w:r>
      <w:r w:rsidRPr="00A81964">
        <w:rPr>
          <w:rFonts w:hint="eastAsia"/>
          <w:rtl/>
        </w:rPr>
        <w:t>ב</w:t>
      </w:r>
      <w:r w:rsidRPr="00A81964">
        <w:rPr>
          <w:rFonts w:hint="cs"/>
          <w:rtl/>
        </w:rPr>
        <w:t>כ</w:t>
      </w:r>
      <w:r w:rsidRPr="00A81964">
        <w:rPr>
          <w:rFonts w:hint="eastAsia"/>
          <w:rtl/>
        </w:rPr>
        <w:t>יר</w:t>
      </w:r>
      <w:r w:rsidRPr="00A81964">
        <w:rPr>
          <w:rFonts w:hint="cs"/>
          <w:rtl/>
        </w:rPr>
        <w:t xml:space="preserve"> לוגיסטיקה ורכש וסגן חשב בכיר ברשות המיסים] מאשרים את מתווה התקשרות עם משרד הביטחון באמצעות אגף </w:t>
      </w:r>
      <w:proofErr w:type="spellStart"/>
      <w:r w:rsidRPr="00A81964">
        <w:rPr>
          <w:rFonts w:hint="cs"/>
          <w:rtl/>
        </w:rPr>
        <w:t>מפא"ת</w:t>
      </w:r>
      <w:proofErr w:type="spellEnd"/>
      <w:r w:rsidRPr="00A81964">
        <w:rPr>
          <w:rFonts w:hint="cs"/>
          <w:rtl/>
        </w:rPr>
        <w:t xml:space="preserve"> בפטור ממכרז, לשם פיתוח מודול לקרן הפיצויים, ע"ג מערכת </w:t>
      </w:r>
      <w:proofErr w:type="spellStart"/>
      <w:r w:rsidRPr="00A81964">
        <w:rPr>
          <w:rFonts w:hint="cs"/>
          <w:rtl/>
        </w:rPr>
        <w:t>שוע"ל</w:t>
      </w:r>
      <w:proofErr w:type="spellEnd"/>
      <w:r w:rsidRPr="00A81964">
        <w:rPr>
          <w:rFonts w:hint="cs"/>
          <w:rtl/>
        </w:rPr>
        <w:t xml:space="preserve"> אזרחית, אשר מפותחת ע"י אגף </w:t>
      </w:r>
      <w:proofErr w:type="spellStart"/>
      <w:r w:rsidRPr="00A81964">
        <w:rPr>
          <w:rFonts w:hint="cs"/>
          <w:rtl/>
        </w:rPr>
        <w:t>מפא"ת</w:t>
      </w:r>
      <w:proofErr w:type="spellEnd"/>
      <w:r w:rsidRPr="00A81964">
        <w:rPr>
          <w:rFonts w:hint="cs"/>
          <w:rtl/>
        </w:rPr>
        <w:t xml:space="preserve"> </w:t>
      </w:r>
      <w:proofErr w:type="spellStart"/>
      <w:r w:rsidRPr="00A81964">
        <w:rPr>
          <w:rFonts w:hint="cs"/>
          <w:rtl/>
        </w:rPr>
        <w:t>במשהב"ט</w:t>
      </w:r>
      <w:proofErr w:type="spellEnd"/>
      <w:r w:rsidRPr="00A81964">
        <w:rPr>
          <w:rFonts w:hint="cs"/>
          <w:rtl/>
        </w:rPr>
        <w:t xml:space="preserve">", וניתנה </w:t>
      </w:r>
      <w:r w:rsidRPr="0079434D">
        <w:rPr>
          <w:rFonts w:hint="cs"/>
          <w:rtl/>
        </w:rPr>
        <w:t>התחייבות של חשב</w:t>
      </w:r>
      <w:r w:rsidRPr="00A81964">
        <w:rPr>
          <w:rFonts w:hint="cs"/>
          <w:rtl/>
        </w:rPr>
        <w:t xml:space="preserve"> רשות המיסים למשרד הביטחון לצורך כך (להלן - התחייבות החשב).</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79434D">
        <w:rPr>
          <w:rFonts w:hint="cs"/>
          <w:rtl/>
        </w:rPr>
        <w:t>בדצמבר 2022 התקיימה פגישה</w:t>
      </w:r>
      <w:r w:rsidRPr="00A81964">
        <w:rPr>
          <w:rFonts w:hint="cs"/>
          <w:rtl/>
        </w:rPr>
        <w:t xml:space="preserve"> בין הנהלת קרן הפיצויים, נציגי פיקוד העורף, נציגי משרד הביטחון ונציגי הספק החיצוני לצורך "תיאום ציפיות לקראת התנעת פרויקט מודול מס רכוש </w:t>
      </w:r>
      <w:proofErr w:type="spellStart"/>
      <w:r w:rsidRPr="00A81964">
        <w:rPr>
          <w:rFonts w:hint="cs"/>
          <w:rtl/>
        </w:rPr>
        <w:t>בשוע"ל</w:t>
      </w:r>
      <w:proofErr w:type="spellEnd"/>
      <w:r w:rsidRPr="00A81964">
        <w:rPr>
          <w:rFonts w:hint="cs"/>
          <w:rtl/>
        </w:rPr>
        <w:t>". בסיכום הפגישה הדגיש נציג משרד הביטחון</w:t>
      </w:r>
      <w:r w:rsidRPr="00A81964">
        <w:rPr>
          <w:rtl/>
        </w:rPr>
        <w:t xml:space="preserve"> </w:t>
      </w:r>
      <w:r w:rsidRPr="00A81964">
        <w:rPr>
          <w:rFonts w:hint="cs"/>
          <w:rtl/>
        </w:rPr>
        <w:t xml:space="preserve">כי התחלת פיתוח מערכת </w:t>
      </w:r>
      <w:proofErr w:type="spellStart"/>
      <w:r w:rsidRPr="00A81964">
        <w:rPr>
          <w:rFonts w:hint="cs"/>
          <w:rtl/>
        </w:rPr>
        <w:t>השו"ב</w:t>
      </w:r>
      <w:proofErr w:type="spellEnd"/>
      <w:r w:rsidRPr="00A81964">
        <w:rPr>
          <w:rFonts w:hint="cs"/>
          <w:rtl/>
        </w:rPr>
        <w:t xml:space="preserve"> תתאפשר רק לאחר שרשות המיסים תוציא הזמנת עבודה לספק החיצוני (להלן - הזמנת העבודה).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בספטמבר 2023, יותר מעשרה חודשים לאחר הדיון בעניין ההתקשרות עם משרד הביטחון,</w:t>
      </w:r>
      <w:r w:rsidRPr="0079434D">
        <w:rPr>
          <w:rFonts w:hint="cs"/>
          <w:rtl/>
        </w:rPr>
        <w:t xml:space="preserve"> פנה מנהל הפרויקט</w:t>
      </w:r>
      <w:r w:rsidRPr="00A81964">
        <w:rPr>
          <w:rFonts w:hint="cs"/>
          <w:rtl/>
        </w:rPr>
        <w:t xml:space="preserve"> לסגן חשב רשות המיסים </w:t>
      </w:r>
      <w:r w:rsidRPr="00A81964">
        <w:rPr>
          <w:rFonts w:hint="eastAsia"/>
          <w:rtl/>
        </w:rPr>
        <w:t>וכתב</w:t>
      </w:r>
      <w:r w:rsidRPr="00A81964">
        <w:rPr>
          <w:rFonts w:hint="cs"/>
          <w:rtl/>
        </w:rPr>
        <w:t xml:space="preserve"> כי פיתוח מערכת </w:t>
      </w:r>
      <w:proofErr w:type="spellStart"/>
      <w:r w:rsidRPr="00A81964">
        <w:rPr>
          <w:rFonts w:hint="cs"/>
          <w:rtl/>
        </w:rPr>
        <w:t>השו"ב</w:t>
      </w:r>
      <w:proofErr w:type="spellEnd"/>
      <w:r w:rsidRPr="00A81964">
        <w:rPr>
          <w:rFonts w:hint="cs"/>
          <w:rtl/>
        </w:rPr>
        <w:t xml:space="preserve"> טרם החל, מכיוון שהספק החיצוני טרם קיבל את הזמנת העבודה.</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עלה כי אף שוועדת נזק ישיר המליצה לפרסם</w:t>
      </w:r>
      <w:r w:rsidRPr="00A81964">
        <w:rPr>
          <w:b/>
          <w:bCs/>
          <w:rtl/>
        </w:rPr>
        <w:t xml:space="preserve"> מכרז לאפיון</w:t>
      </w:r>
      <w:r w:rsidRPr="00A81964">
        <w:rPr>
          <w:rFonts w:hint="cs"/>
          <w:b/>
          <w:bCs/>
          <w:rtl/>
        </w:rPr>
        <w:t xml:space="preserve"> ולרכיש</w:t>
      </w:r>
      <w:r>
        <w:rPr>
          <w:rFonts w:hint="cs"/>
          <w:b/>
          <w:bCs/>
          <w:rtl/>
        </w:rPr>
        <w:t>ה של</w:t>
      </w:r>
      <w:r w:rsidRPr="00A81964">
        <w:rPr>
          <w:b/>
          <w:bCs/>
          <w:rtl/>
        </w:rPr>
        <w:t xml:space="preserve"> מערכת </w:t>
      </w:r>
      <w:r w:rsidRPr="00A81964">
        <w:rPr>
          <w:rFonts w:hint="cs"/>
          <w:b/>
          <w:bCs/>
          <w:rtl/>
        </w:rPr>
        <w:t xml:space="preserve">שו"ב לניהול </w:t>
      </w:r>
      <w:r w:rsidRPr="00A81964">
        <w:rPr>
          <w:b/>
          <w:bCs/>
          <w:rtl/>
        </w:rPr>
        <w:t>מיטבי</w:t>
      </w:r>
      <w:r w:rsidRPr="00A81964">
        <w:rPr>
          <w:rFonts w:hint="cs"/>
          <w:b/>
          <w:bCs/>
          <w:rtl/>
        </w:rPr>
        <w:t xml:space="preserve"> של צוותי השטח</w:t>
      </w:r>
      <w:r w:rsidRPr="00A81964">
        <w:rPr>
          <w:b/>
          <w:bCs/>
          <w:rtl/>
        </w:rPr>
        <w:t>, לקבל</w:t>
      </w:r>
      <w:r w:rsidRPr="00A81964">
        <w:rPr>
          <w:rFonts w:hint="cs"/>
          <w:b/>
          <w:bCs/>
          <w:rtl/>
        </w:rPr>
        <w:t>ת</w:t>
      </w:r>
      <w:r w:rsidRPr="00A81964">
        <w:rPr>
          <w:b/>
          <w:bCs/>
          <w:rtl/>
        </w:rPr>
        <w:t xml:space="preserve"> עדכונים </w:t>
      </w:r>
      <w:r w:rsidRPr="00A81964">
        <w:rPr>
          <w:rFonts w:hint="cs"/>
          <w:b/>
          <w:bCs/>
          <w:rtl/>
        </w:rPr>
        <w:t>שוטפים</w:t>
      </w:r>
      <w:r w:rsidRPr="00A81964">
        <w:rPr>
          <w:b/>
          <w:bCs/>
          <w:rtl/>
        </w:rPr>
        <w:t xml:space="preserve"> על מיקום נפילת טילים</w:t>
      </w:r>
      <w:r w:rsidRPr="00A81964">
        <w:rPr>
          <w:rFonts w:hint="cs"/>
          <w:b/>
          <w:bCs/>
          <w:rtl/>
        </w:rPr>
        <w:t xml:space="preserve"> ולמתן</w:t>
      </w:r>
      <w:r w:rsidRPr="00A81964">
        <w:rPr>
          <w:b/>
          <w:bCs/>
          <w:rtl/>
        </w:rPr>
        <w:t xml:space="preserve"> מענה באופן מידי בשעות חירום</w:t>
      </w:r>
      <w:r w:rsidRPr="00A81964">
        <w:rPr>
          <w:rFonts w:hint="cs"/>
          <w:b/>
          <w:bCs/>
          <w:rtl/>
        </w:rPr>
        <w:t xml:space="preserve"> כבר בשנת 2017, </w:t>
      </w:r>
      <w:r>
        <w:rPr>
          <w:rFonts w:hint="cs"/>
          <w:b/>
          <w:bCs/>
          <w:rtl/>
        </w:rPr>
        <w:t>ו</w:t>
      </w:r>
      <w:r w:rsidRPr="00A81964">
        <w:rPr>
          <w:rFonts w:hint="cs"/>
          <w:b/>
          <w:bCs/>
          <w:rtl/>
        </w:rPr>
        <w:t>אף שוועדת המכרזים אישרה את פיתוח מערכת שו"ב ב</w:t>
      </w:r>
      <w:r>
        <w:rPr>
          <w:rFonts w:hint="cs"/>
          <w:b/>
          <w:bCs/>
          <w:rtl/>
        </w:rPr>
        <w:t xml:space="preserve">שנת </w:t>
      </w:r>
      <w:r w:rsidRPr="00A81964">
        <w:rPr>
          <w:rFonts w:hint="cs"/>
          <w:b/>
          <w:bCs/>
          <w:rtl/>
        </w:rPr>
        <w:t xml:space="preserve">2018 ושניתן אישור מקדמי ממנהל רשות המיסים לפיתוח המודול במערכת </w:t>
      </w:r>
      <w:proofErr w:type="spellStart"/>
      <w:r w:rsidRPr="00A81964">
        <w:rPr>
          <w:rFonts w:hint="cs"/>
          <w:b/>
          <w:bCs/>
          <w:rtl/>
        </w:rPr>
        <w:t>שוע"ל</w:t>
      </w:r>
      <w:proofErr w:type="spellEnd"/>
      <w:r w:rsidRPr="00A81964">
        <w:rPr>
          <w:rFonts w:hint="cs"/>
          <w:b/>
          <w:bCs/>
          <w:rtl/>
        </w:rPr>
        <w:t xml:space="preserve"> האזרחית של פיקוד העורף דאז כבר בשנת 2020</w:t>
      </w:r>
      <w:r w:rsidRPr="00A81964">
        <w:rPr>
          <w:b/>
          <w:bCs/>
          <w:rtl/>
        </w:rPr>
        <w:t>,</w:t>
      </w:r>
      <w:r w:rsidRPr="00A81964">
        <w:rPr>
          <w:rFonts w:hint="cs"/>
          <w:b/>
          <w:bCs/>
          <w:rtl/>
        </w:rPr>
        <w:t xml:space="preserve"> עד למועד סיום הביקורת</w:t>
      </w:r>
      <w:r>
        <w:rPr>
          <w:rFonts w:hint="cs"/>
          <w:b/>
          <w:bCs/>
          <w:rtl/>
        </w:rPr>
        <w:t xml:space="preserve"> בדצמבר 2024</w:t>
      </w:r>
      <w:r w:rsidRPr="00A81964">
        <w:rPr>
          <w:rFonts w:hint="cs"/>
          <w:b/>
          <w:bCs/>
          <w:rtl/>
        </w:rPr>
        <w:t xml:space="preserve"> רשות המיסים לא הוציאה הזמנת עבודה ולא נחתם הסכם התקשרות עם הספק החיצוני, וממילא לא הושלם הליך פיתוח מערכת </w:t>
      </w:r>
      <w:proofErr w:type="spellStart"/>
      <w:r w:rsidRPr="00A81964">
        <w:rPr>
          <w:rFonts w:hint="cs"/>
          <w:b/>
          <w:bCs/>
          <w:rtl/>
        </w:rPr>
        <w:t>השו"ב</w:t>
      </w:r>
      <w:proofErr w:type="spellEnd"/>
      <w:r w:rsidRPr="00A81964">
        <w:rPr>
          <w:rFonts w:hint="cs"/>
          <w:b/>
          <w:bCs/>
          <w:rtl/>
        </w:rPr>
        <w:t xml:space="preserve"> לשימוש צוותי השטח ומוקדי קרן הפיצויים.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עוד עלה כי אף שמנהל קרן הפיצויים המליץ על פיתוח האפשרות להגיש ט</w:t>
      </w:r>
      <w:r>
        <w:rPr>
          <w:rFonts w:hint="cs"/>
          <w:b/>
          <w:bCs/>
          <w:rtl/>
        </w:rPr>
        <w:t>ו</w:t>
      </w:r>
      <w:r w:rsidRPr="00A81964">
        <w:rPr>
          <w:rFonts w:hint="cs"/>
          <w:b/>
          <w:bCs/>
          <w:rtl/>
        </w:rPr>
        <w:t xml:space="preserve">פסי תביעה דיגיטליים באמצעות </w:t>
      </w:r>
      <w:proofErr w:type="spellStart"/>
      <w:r w:rsidRPr="00A81964">
        <w:rPr>
          <w:rFonts w:hint="cs"/>
          <w:b/>
          <w:bCs/>
          <w:rtl/>
        </w:rPr>
        <w:t>מסופונים</w:t>
      </w:r>
      <w:proofErr w:type="spellEnd"/>
      <w:r w:rsidRPr="00A81964">
        <w:rPr>
          <w:rFonts w:hint="cs"/>
          <w:b/>
          <w:bCs/>
          <w:rtl/>
        </w:rPr>
        <w:t>, עד מועד סיום הביקורת התביעות בגין נזקים ישירים מוגשות על ידי צוותי השטח באמצעות טופס התביעה הידני.</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משרד מבקר המדינה מעיר לרשות המיסים כי העיכוב בפיתוח מערכת </w:t>
      </w:r>
      <w:proofErr w:type="spellStart"/>
      <w:r w:rsidRPr="00A81964">
        <w:rPr>
          <w:rFonts w:hint="cs"/>
          <w:b/>
          <w:bCs/>
          <w:rtl/>
        </w:rPr>
        <w:t>השו"ב</w:t>
      </w:r>
      <w:proofErr w:type="spellEnd"/>
      <w:r w:rsidRPr="00A81964">
        <w:rPr>
          <w:rFonts w:hint="cs"/>
          <w:b/>
          <w:bCs/>
          <w:rtl/>
        </w:rPr>
        <w:t xml:space="preserve">, שהייתה אמורה להיות בשימוש כבר באוגוסט 2023, הביא לכך שמנהלי המוקדים המקומיים בקרן הפיצויים נאלצים לתכנן את סדר עבודת צוותי השטח ולתעדף את משימותיהם ברשימות ידניות המתבססות על פרסומים במדיה ודיווחים של אזרחים על פגיעת טילים וכלי טיס עוינים, ללא מערכת ייעודית לשליטה ולבקרה על פעילות </w:t>
      </w:r>
      <w:r w:rsidRPr="00A81964">
        <w:rPr>
          <w:rFonts w:hint="cs"/>
          <w:b/>
          <w:bCs/>
          <w:rtl/>
        </w:rPr>
        <w:lastRenderedPageBreak/>
        <w:t xml:space="preserve">צוותי השטח. לפיכך מתארך זמן הטיפול בפניות הניזוקים ובשיקום הנזקים שנגרמו להם, וזאת בשעתם הקשה.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eastAsia"/>
          <w:b/>
          <w:bCs/>
          <w:rtl/>
        </w:rPr>
        <w:t>לאחר</w:t>
      </w:r>
      <w:r w:rsidRPr="00A81964">
        <w:rPr>
          <w:b/>
          <w:bCs/>
          <w:rtl/>
        </w:rPr>
        <w:t xml:space="preserve"> פרוץ המלחמה, ונוכח היקף אזורי הלחימה והנזקים הישירים שנגרמו לרכוש, פנתה קרן הפיצויים לספק החיצוני לצורך פיתוח מערכת שתתבסס באופן חלקי על מערכת </w:t>
      </w:r>
      <w:proofErr w:type="spellStart"/>
      <w:r w:rsidRPr="00A81964">
        <w:rPr>
          <w:rFonts w:hint="eastAsia"/>
          <w:b/>
          <w:bCs/>
          <w:rtl/>
        </w:rPr>
        <w:t>השוע</w:t>
      </w:r>
      <w:r w:rsidRPr="00A81964">
        <w:rPr>
          <w:b/>
          <w:bCs/>
          <w:rtl/>
        </w:rPr>
        <w:t>"ל</w:t>
      </w:r>
      <w:proofErr w:type="spellEnd"/>
      <w:r w:rsidRPr="00A81964">
        <w:rPr>
          <w:b/>
          <w:bCs/>
          <w:rtl/>
        </w:rPr>
        <w:t xml:space="preserve"> (להלן - המערכת המצומצמת) </w:t>
      </w:r>
      <w:r w:rsidRPr="00972174">
        <w:rPr>
          <w:rFonts w:hint="eastAsia"/>
          <w:b/>
          <w:bCs/>
          <w:rtl/>
        </w:rPr>
        <w:t>בעלות</w:t>
      </w:r>
      <w:r w:rsidRPr="00972174">
        <w:rPr>
          <w:b/>
          <w:bCs/>
          <w:rtl/>
        </w:rPr>
        <w:t xml:space="preserve"> </w:t>
      </w:r>
      <w:r w:rsidRPr="00972174">
        <w:rPr>
          <w:rFonts w:hint="eastAsia"/>
          <w:b/>
          <w:bCs/>
          <w:rtl/>
        </w:rPr>
        <w:t>של</w:t>
      </w:r>
      <w:r w:rsidRPr="00972174">
        <w:rPr>
          <w:b/>
          <w:bCs/>
          <w:rtl/>
        </w:rPr>
        <w:t xml:space="preserve"> </w:t>
      </w:r>
      <w:r w:rsidRPr="00972174">
        <w:rPr>
          <w:rFonts w:hint="eastAsia"/>
          <w:b/>
          <w:bCs/>
          <w:rtl/>
        </w:rPr>
        <w:t>כ</w:t>
      </w:r>
      <w:r w:rsidRPr="00972174">
        <w:rPr>
          <w:b/>
          <w:bCs/>
          <w:rtl/>
        </w:rPr>
        <w:t xml:space="preserve">-1.9 </w:t>
      </w:r>
      <w:r w:rsidRPr="00972174">
        <w:rPr>
          <w:rFonts w:hint="eastAsia"/>
          <w:b/>
          <w:bCs/>
          <w:rtl/>
        </w:rPr>
        <w:t>מיליון</w:t>
      </w:r>
      <w:r w:rsidRPr="00972174">
        <w:rPr>
          <w:b/>
          <w:bCs/>
          <w:rtl/>
        </w:rPr>
        <w:t xml:space="preserve"> </w:t>
      </w:r>
      <w:r w:rsidRPr="00972174">
        <w:rPr>
          <w:rFonts w:hint="eastAsia"/>
          <w:b/>
          <w:bCs/>
          <w:rtl/>
        </w:rPr>
        <w:t>ש</w:t>
      </w:r>
      <w:r w:rsidRPr="00972174">
        <w:rPr>
          <w:b/>
          <w:bCs/>
          <w:rtl/>
        </w:rPr>
        <w:t>"ח</w:t>
      </w:r>
      <w:r w:rsidRPr="00A81964">
        <w:rPr>
          <w:b/>
          <w:bCs/>
          <w:rtl/>
        </w:rPr>
        <w:t xml:space="preserve">, </w:t>
      </w:r>
      <w:r w:rsidRPr="00A81964">
        <w:rPr>
          <w:rFonts w:hint="eastAsia"/>
          <w:b/>
          <w:bCs/>
          <w:rtl/>
        </w:rPr>
        <w:t>וזאת</w:t>
      </w:r>
      <w:r w:rsidRPr="00A81964">
        <w:rPr>
          <w:b/>
          <w:bCs/>
          <w:rtl/>
        </w:rPr>
        <w:t xml:space="preserve"> </w:t>
      </w:r>
      <w:r w:rsidRPr="00A81964">
        <w:rPr>
          <w:rFonts w:hint="eastAsia"/>
          <w:b/>
          <w:bCs/>
          <w:rtl/>
        </w:rPr>
        <w:t>לצורך</w:t>
      </w:r>
      <w:r w:rsidRPr="00A81964">
        <w:rPr>
          <w:b/>
          <w:bCs/>
          <w:rtl/>
        </w:rPr>
        <w:t xml:space="preserve"> "</w:t>
      </w:r>
      <w:r w:rsidRPr="00972174">
        <w:rPr>
          <w:rFonts w:hint="eastAsia"/>
          <w:b/>
          <w:bCs/>
          <w:rtl/>
        </w:rPr>
        <w:t>מתן</w:t>
      </w:r>
      <w:r w:rsidRPr="00972174">
        <w:rPr>
          <w:b/>
          <w:bCs/>
          <w:rtl/>
        </w:rPr>
        <w:t xml:space="preserve"> </w:t>
      </w:r>
      <w:r w:rsidRPr="00972174">
        <w:rPr>
          <w:rFonts w:hint="eastAsia"/>
          <w:b/>
          <w:bCs/>
          <w:rtl/>
        </w:rPr>
        <w:t>מענה</w:t>
      </w:r>
      <w:r w:rsidRPr="00972174">
        <w:rPr>
          <w:b/>
          <w:bCs/>
          <w:rtl/>
        </w:rPr>
        <w:t xml:space="preserve"> </w:t>
      </w:r>
      <w:r w:rsidRPr="00972174">
        <w:rPr>
          <w:rFonts w:hint="eastAsia"/>
          <w:b/>
          <w:bCs/>
          <w:rtl/>
        </w:rPr>
        <w:t>מהיר</w:t>
      </w:r>
      <w:r w:rsidRPr="00972174">
        <w:rPr>
          <w:b/>
          <w:bCs/>
          <w:rtl/>
        </w:rPr>
        <w:t xml:space="preserve"> </w:t>
      </w:r>
      <w:r w:rsidRPr="00972174">
        <w:rPr>
          <w:rFonts w:hint="eastAsia"/>
          <w:b/>
          <w:bCs/>
          <w:rtl/>
        </w:rPr>
        <w:t>למצב</w:t>
      </w:r>
      <w:r w:rsidRPr="00972174">
        <w:rPr>
          <w:b/>
          <w:bCs/>
          <w:rtl/>
        </w:rPr>
        <w:t xml:space="preserve"> </w:t>
      </w:r>
      <w:r w:rsidRPr="00972174">
        <w:rPr>
          <w:rFonts w:hint="eastAsia"/>
          <w:b/>
          <w:bCs/>
          <w:rtl/>
        </w:rPr>
        <w:t>המיוחד</w:t>
      </w:r>
      <w:r w:rsidRPr="00972174">
        <w:rPr>
          <w:b/>
          <w:bCs/>
          <w:rtl/>
        </w:rPr>
        <w:t>"</w:t>
      </w:r>
      <w:r w:rsidRPr="00A81964">
        <w:rPr>
          <w:b/>
          <w:bCs/>
          <w:rtl/>
        </w:rPr>
        <w:t xml:space="preserve">. ביולי 2024 </w:t>
      </w:r>
      <w:r w:rsidRPr="00972174">
        <w:rPr>
          <w:rFonts w:hint="eastAsia"/>
          <w:b/>
          <w:bCs/>
          <w:rtl/>
        </w:rPr>
        <w:t>החליט</w:t>
      </w:r>
      <w:r w:rsidRPr="00972174">
        <w:rPr>
          <w:b/>
          <w:bCs/>
          <w:rtl/>
        </w:rPr>
        <w:t xml:space="preserve"> </w:t>
      </w:r>
      <w:r w:rsidRPr="00972174">
        <w:rPr>
          <w:rFonts w:hint="eastAsia"/>
          <w:b/>
          <w:bCs/>
          <w:rtl/>
        </w:rPr>
        <w:t>מנהל</w:t>
      </w:r>
      <w:r w:rsidRPr="00972174">
        <w:rPr>
          <w:b/>
          <w:bCs/>
          <w:rtl/>
        </w:rPr>
        <w:t xml:space="preserve"> </w:t>
      </w:r>
      <w:r w:rsidRPr="00972174">
        <w:rPr>
          <w:rFonts w:hint="eastAsia"/>
          <w:b/>
          <w:bCs/>
          <w:rtl/>
        </w:rPr>
        <w:t>קרן</w:t>
      </w:r>
      <w:r w:rsidRPr="00972174">
        <w:rPr>
          <w:b/>
          <w:bCs/>
          <w:rtl/>
        </w:rPr>
        <w:t xml:space="preserve"> </w:t>
      </w:r>
      <w:r w:rsidRPr="00972174">
        <w:rPr>
          <w:rFonts w:hint="eastAsia"/>
          <w:b/>
          <w:bCs/>
          <w:rtl/>
        </w:rPr>
        <w:t>הפיצויים</w:t>
      </w:r>
      <w:r w:rsidRPr="00A81964">
        <w:rPr>
          <w:b/>
          <w:bCs/>
          <w:rtl/>
        </w:rPr>
        <w:t xml:space="preserve"> על ביצוע בחינה מקדימה (פיילוט), שבמהלכה תיבחן הפעלת המערכת המצומצמת במוקד המחוזי בטבריה. לצורך בחינה זו </w:t>
      </w:r>
      <w:r w:rsidRPr="00972174">
        <w:rPr>
          <w:rFonts w:hint="eastAsia"/>
          <w:b/>
          <w:bCs/>
          <w:rtl/>
        </w:rPr>
        <w:t>נרכשו</w:t>
      </w:r>
      <w:r w:rsidRPr="00972174">
        <w:rPr>
          <w:b/>
          <w:bCs/>
          <w:rtl/>
        </w:rPr>
        <w:t xml:space="preserve"> 30 </w:t>
      </w:r>
      <w:proofErr w:type="spellStart"/>
      <w:r w:rsidRPr="00972174">
        <w:rPr>
          <w:rFonts w:hint="eastAsia"/>
          <w:b/>
          <w:bCs/>
          <w:rtl/>
        </w:rPr>
        <w:t>מסופונים</w:t>
      </w:r>
      <w:proofErr w:type="spellEnd"/>
      <w:r w:rsidRPr="00A81964">
        <w:rPr>
          <w:b/>
          <w:bCs/>
          <w:rtl/>
        </w:rPr>
        <w:t xml:space="preserve">, </w:t>
      </w:r>
      <w:r w:rsidRPr="00A81964">
        <w:rPr>
          <w:rFonts w:hint="eastAsia"/>
          <w:b/>
          <w:bCs/>
          <w:rtl/>
        </w:rPr>
        <w:t>ובנובמבר</w:t>
      </w:r>
      <w:r w:rsidRPr="00A81964">
        <w:rPr>
          <w:b/>
          <w:bCs/>
          <w:rtl/>
        </w:rPr>
        <w:t xml:space="preserve"> 2024 </w:t>
      </w:r>
      <w:r w:rsidRPr="00A81964">
        <w:rPr>
          <w:rFonts w:hint="eastAsia"/>
          <w:b/>
          <w:bCs/>
          <w:rtl/>
        </w:rPr>
        <w:t>החלו</w:t>
      </w:r>
      <w:r w:rsidRPr="00A81964">
        <w:rPr>
          <w:b/>
          <w:bCs/>
          <w:rtl/>
        </w:rPr>
        <w:t xml:space="preserve"> </w:t>
      </w:r>
      <w:r w:rsidRPr="00A81964">
        <w:rPr>
          <w:rFonts w:hint="eastAsia"/>
          <w:b/>
          <w:bCs/>
          <w:rtl/>
        </w:rPr>
        <w:t>צוותי</w:t>
      </w:r>
      <w:r w:rsidRPr="00A81964">
        <w:rPr>
          <w:b/>
          <w:bCs/>
          <w:rtl/>
        </w:rPr>
        <w:t xml:space="preserve"> </w:t>
      </w:r>
      <w:r w:rsidRPr="00A81964">
        <w:rPr>
          <w:rFonts w:hint="eastAsia"/>
          <w:b/>
          <w:bCs/>
          <w:rtl/>
        </w:rPr>
        <w:t>השטח</w:t>
      </w:r>
      <w:r w:rsidRPr="00A81964">
        <w:rPr>
          <w:b/>
          <w:bCs/>
          <w:rtl/>
        </w:rPr>
        <w:t xml:space="preserve"> </w:t>
      </w:r>
      <w:r w:rsidRPr="00A81964">
        <w:rPr>
          <w:rFonts w:hint="eastAsia"/>
          <w:b/>
          <w:bCs/>
          <w:rtl/>
        </w:rPr>
        <w:t>של</w:t>
      </w:r>
      <w:r w:rsidRPr="00A81964">
        <w:rPr>
          <w:b/>
          <w:bCs/>
          <w:rtl/>
        </w:rPr>
        <w:t xml:space="preserve"> </w:t>
      </w:r>
      <w:r w:rsidRPr="00A81964">
        <w:rPr>
          <w:rFonts w:hint="eastAsia"/>
          <w:b/>
          <w:bCs/>
          <w:rtl/>
        </w:rPr>
        <w:t>מוקד</w:t>
      </w:r>
      <w:r w:rsidRPr="00A81964">
        <w:rPr>
          <w:b/>
          <w:bCs/>
          <w:rtl/>
        </w:rPr>
        <w:t xml:space="preserve"> </w:t>
      </w:r>
      <w:r w:rsidRPr="00A81964">
        <w:rPr>
          <w:rFonts w:hint="eastAsia"/>
          <w:b/>
          <w:bCs/>
          <w:rtl/>
        </w:rPr>
        <w:t>טבריה</w:t>
      </w:r>
      <w:r w:rsidRPr="00A81964">
        <w:rPr>
          <w:b/>
          <w:bCs/>
          <w:rtl/>
        </w:rPr>
        <w:t xml:space="preserve"> </w:t>
      </w:r>
      <w:r w:rsidRPr="00A81964">
        <w:rPr>
          <w:rFonts w:hint="eastAsia"/>
          <w:b/>
          <w:bCs/>
          <w:rtl/>
        </w:rPr>
        <w:t>לעשות</w:t>
      </w:r>
      <w:r w:rsidRPr="00A81964">
        <w:rPr>
          <w:b/>
          <w:bCs/>
          <w:rtl/>
        </w:rPr>
        <w:t xml:space="preserve"> </w:t>
      </w:r>
      <w:r w:rsidRPr="00A81964">
        <w:rPr>
          <w:rFonts w:hint="eastAsia"/>
          <w:b/>
          <w:bCs/>
          <w:rtl/>
        </w:rPr>
        <w:t>שימוש</w:t>
      </w:r>
      <w:r w:rsidRPr="00A81964">
        <w:rPr>
          <w:b/>
          <w:bCs/>
          <w:rtl/>
        </w:rPr>
        <w:t xml:space="preserve"> </w:t>
      </w:r>
      <w:r w:rsidRPr="00A81964">
        <w:rPr>
          <w:rFonts w:hint="eastAsia"/>
          <w:b/>
          <w:bCs/>
          <w:rtl/>
        </w:rPr>
        <w:t>במערכת</w:t>
      </w:r>
      <w:r w:rsidRPr="00A81964">
        <w:rPr>
          <w:b/>
          <w:bCs/>
          <w:rtl/>
        </w:rPr>
        <w:t xml:space="preserve"> </w:t>
      </w:r>
      <w:r w:rsidRPr="00A81964">
        <w:rPr>
          <w:rFonts w:hint="eastAsia"/>
          <w:b/>
          <w:bCs/>
          <w:rtl/>
        </w:rPr>
        <w:t>המצומצמת</w:t>
      </w:r>
      <w:r w:rsidRPr="00A81964">
        <w:rPr>
          <w:b/>
          <w:bCs/>
          <w:rtl/>
        </w:rPr>
        <w:t>.</w:t>
      </w:r>
    </w:p>
    <w:p w:rsidR="006252C4" w:rsidRDefault="006252C4" w:rsidP="006252C4">
      <w:pPr>
        <w:pStyle w:val="a8"/>
        <w:spacing w:line="269" w:lineRule="auto"/>
        <w:rPr>
          <w:rtl/>
        </w:rPr>
      </w:pPr>
    </w:p>
    <w:p w:rsidR="006252C4" w:rsidRDefault="006252C4" w:rsidP="006252C4">
      <w:pPr>
        <w:spacing w:line="269" w:lineRule="auto"/>
        <w:rPr>
          <w:b/>
          <w:bCs/>
          <w:rtl/>
        </w:rPr>
      </w:pPr>
      <w:r w:rsidRPr="00A81964">
        <w:rPr>
          <w:rFonts w:hint="eastAsia"/>
          <w:b/>
          <w:bCs/>
          <w:rtl/>
        </w:rPr>
        <w:t>עלה</w:t>
      </w:r>
      <w:r w:rsidRPr="00A81964">
        <w:rPr>
          <w:b/>
          <w:bCs/>
          <w:rtl/>
        </w:rPr>
        <w:t xml:space="preserve"> כי </w:t>
      </w:r>
      <w:r w:rsidRPr="00A81964">
        <w:rPr>
          <w:rFonts w:hint="eastAsia"/>
          <w:b/>
          <w:bCs/>
          <w:rtl/>
        </w:rPr>
        <w:t>המערכת</w:t>
      </w:r>
      <w:r w:rsidRPr="00A81964">
        <w:rPr>
          <w:b/>
          <w:bCs/>
          <w:rtl/>
        </w:rPr>
        <w:t xml:space="preserve"> </w:t>
      </w:r>
      <w:r w:rsidRPr="00A81964">
        <w:rPr>
          <w:rFonts w:hint="eastAsia"/>
          <w:b/>
          <w:bCs/>
          <w:rtl/>
        </w:rPr>
        <w:t>המצומצמת</w:t>
      </w:r>
      <w:r w:rsidRPr="00A81964">
        <w:rPr>
          <w:b/>
          <w:bCs/>
          <w:rtl/>
        </w:rPr>
        <w:t xml:space="preserve"> אינה כוללת את מלוא הדרישות המבצעיות </w:t>
      </w:r>
      <w:r w:rsidRPr="00A81964">
        <w:rPr>
          <w:rFonts w:hint="eastAsia"/>
          <w:b/>
          <w:bCs/>
          <w:rtl/>
        </w:rPr>
        <w:t>שנכללו</w:t>
      </w:r>
      <w:r w:rsidRPr="00A81964">
        <w:rPr>
          <w:b/>
          <w:bCs/>
          <w:rtl/>
        </w:rPr>
        <w:t xml:space="preserve"> במסמך </w:t>
      </w:r>
      <w:r w:rsidRPr="00A81964">
        <w:rPr>
          <w:rFonts w:hint="cs"/>
          <w:b/>
          <w:bCs/>
          <w:rtl/>
        </w:rPr>
        <w:t>האפיון</w:t>
      </w:r>
      <w:r w:rsidRPr="00A81964">
        <w:rPr>
          <w:b/>
          <w:bCs/>
          <w:rtl/>
        </w:rPr>
        <w:t xml:space="preserve"> </w:t>
      </w:r>
      <w:r w:rsidRPr="00A81964">
        <w:rPr>
          <w:rFonts w:hint="cs"/>
          <w:b/>
          <w:bCs/>
          <w:rtl/>
        </w:rPr>
        <w:t xml:space="preserve">של </w:t>
      </w:r>
      <w:r w:rsidRPr="00A81964">
        <w:rPr>
          <w:b/>
          <w:bCs/>
          <w:rtl/>
        </w:rPr>
        <w:t xml:space="preserve">מערכת </w:t>
      </w:r>
      <w:proofErr w:type="spellStart"/>
      <w:r w:rsidRPr="00A81964">
        <w:rPr>
          <w:rFonts w:hint="eastAsia"/>
          <w:b/>
          <w:bCs/>
          <w:rtl/>
        </w:rPr>
        <w:t>השו</w:t>
      </w:r>
      <w:r w:rsidRPr="00A81964">
        <w:rPr>
          <w:b/>
          <w:bCs/>
          <w:rtl/>
        </w:rPr>
        <w:t>"ב</w:t>
      </w:r>
      <w:proofErr w:type="spellEnd"/>
      <w:r w:rsidRPr="00A81964">
        <w:rPr>
          <w:b/>
          <w:bCs/>
          <w:rtl/>
        </w:rPr>
        <w:t xml:space="preserve">. </w:t>
      </w:r>
      <w:r w:rsidRPr="00A81964">
        <w:rPr>
          <w:rFonts w:hint="eastAsia"/>
          <w:b/>
          <w:bCs/>
          <w:rtl/>
        </w:rPr>
        <w:t>למשל</w:t>
      </w:r>
      <w:r w:rsidRPr="00A81964">
        <w:rPr>
          <w:rFonts w:hint="cs"/>
          <w:b/>
          <w:bCs/>
          <w:rtl/>
        </w:rPr>
        <w:t xml:space="preserve">, אף שלכל סוג נזק, לדוגמה נזק לרכב או נזק למבנה, נדרש שמאי בעל התמחות מתאימה, המערכת המצומצמת אינה מבחינה בין סוגי הנזקים ועלולה להפנות שמאי רכב לטיפול בתביעות בעניין נזקי מבנה ולהיפך. כדי לתקן זאת, נדרש מנהל המוקד לבחון את כל התביעות שנשלחו לצוות השטח הרלוונטי, לעיתים מאות תביעות, לוודא שהן אכן תואמות את ההתמחות של השמאי באותו צוות ולנתב את התביעות מחדש לצוותי שטח אחרים בהתאם לצורך. נוסף על כך, בשל תקלות תקשורת במערכת המצומצמת, צוותי השטח העושים בה שימוש ממלאים את פרטי התביעה גם </w:t>
      </w:r>
      <w:proofErr w:type="spellStart"/>
      <w:r w:rsidRPr="00A81964">
        <w:rPr>
          <w:rFonts w:hint="cs"/>
          <w:b/>
          <w:bCs/>
          <w:rtl/>
        </w:rPr>
        <w:t>במסופונים</w:t>
      </w:r>
      <w:proofErr w:type="spellEnd"/>
      <w:r w:rsidRPr="00A81964">
        <w:rPr>
          <w:rFonts w:hint="cs"/>
          <w:b/>
          <w:bCs/>
          <w:rtl/>
        </w:rPr>
        <w:t xml:space="preserve"> וגם בטופסי תביעה ידניים כבעבר.</w:t>
      </w:r>
    </w:p>
    <w:p w:rsidR="006252C4" w:rsidRDefault="006252C4" w:rsidP="006252C4">
      <w:pPr>
        <w:pStyle w:val="a8"/>
        <w:spacing w:line="269" w:lineRule="auto"/>
        <w:rPr>
          <w:rtl/>
        </w:rPr>
      </w:pPr>
    </w:p>
    <w:p w:rsidR="006252C4" w:rsidRDefault="006252C4" w:rsidP="006252C4">
      <w:pPr>
        <w:spacing w:line="269" w:lineRule="auto"/>
        <w:rPr>
          <w:b/>
          <w:bCs/>
          <w:rtl/>
        </w:rPr>
      </w:pPr>
      <w:r w:rsidRPr="00A81964">
        <w:rPr>
          <w:rFonts w:hint="cs"/>
          <w:b/>
          <w:bCs/>
          <w:rtl/>
        </w:rPr>
        <w:t xml:space="preserve">על רשות המיסים להשלים את פיתוח מערכת </w:t>
      </w:r>
      <w:proofErr w:type="spellStart"/>
      <w:r w:rsidRPr="00A81964">
        <w:rPr>
          <w:rFonts w:hint="cs"/>
          <w:b/>
          <w:bCs/>
          <w:rtl/>
        </w:rPr>
        <w:t>השו"ב</w:t>
      </w:r>
      <w:proofErr w:type="spellEnd"/>
      <w:r w:rsidRPr="00A81964">
        <w:rPr>
          <w:rFonts w:hint="cs"/>
          <w:b/>
          <w:bCs/>
          <w:rtl/>
        </w:rPr>
        <w:t xml:space="preserve"> בהתאם לצורכי קרן הפיצויים ולהטמעתה בפעילות כל המוקדים. בכך תתאפשר עבודה יעילה יותר של צוותי השטח, יקוצרו הזמנים להגעתם למקום הנזק ולהגשת התביעות באמצעותם, תשופר הבקרה על פעילותם, וישופר השירות הניתן לזכאים לקבלת פיצויים בעד נזק שנגרם לרכוש.</w:t>
      </w:r>
    </w:p>
    <w:p w:rsidR="006252C4" w:rsidRDefault="006252C4" w:rsidP="006252C4">
      <w:pPr>
        <w:pStyle w:val="a8"/>
        <w:spacing w:line="269" w:lineRule="auto"/>
        <w:rPr>
          <w:rtl/>
        </w:rPr>
      </w:pPr>
    </w:p>
    <w:p w:rsidR="006252C4" w:rsidRPr="00005F62" w:rsidRDefault="006252C4" w:rsidP="006252C4">
      <w:pPr>
        <w:spacing w:line="269" w:lineRule="auto"/>
        <w:rPr>
          <w:rtl/>
        </w:rPr>
      </w:pPr>
      <w:r w:rsidRPr="00005F62">
        <w:rPr>
          <w:rFonts w:hint="cs"/>
          <w:rtl/>
        </w:rPr>
        <w:t xml:space="preserve">רשות </w:t>
      </w:r>
      <w:r>
        <w:rPr>
          <w:rFonts w:hint="cs"/>
          <w:rtl/>
        </w:rPr>
        <w:t>המיסים</w:t>
      </w:r>
      <w:r w:rsidRPr="00005F62">
        <w:rPr>
          <w:rFonts w:hint="cs"/>
          <w:rtl/>
        </w:rPr>
        <w:t xml:space="preserve"> </w:t>
      </w:r>
      <w:r>
        <w:rPr>
          <w:rFonts w:hint="cs"/>
          <w:rtl/>
        </w:rPr>
        <w:t>מסרה בתשובתה</w:t>
      </w:r>
      <w:r w:rsidRPr="00005F62">
        <w:rPr>
          <w:rFonts w:hint="cs"/>
          <w:rtl/>
        </w:rPr>
        <w:t xml:space="preserve"> כי </w:t>
      </w:r>
      <w:r>
        <w:rPr>
          <w:rFonts w:hint="cs"/>
          <w:rtl/>
        </w:rPr>
        <w:t xml:space="preserve">פיתוח מערכת </w:t>
      </w:r>
      <w:proofErr w:type="spellStart"/>
      <w:r>
        <w:rPr>
          <w:rFonts w:hint="cs"/>
          <w:rtl/>
        </w:rPr>
        <w:t>השו"ב</w:t>
      </w:r>
      <w:proofErr w:type="spellEnd"/>
      <w:r>
        <w:rPr>
          <w:rFonts w:hint="cs"/>
          <w:rtl/>
        </w:rPr>
        <w:t xml:space="preserve"> הוא תהליך מורכב הכולל, בין היתר, פיתוח של מערכת </w:t>
      </w:r>
      <w:proofErr w:type="spellStart"/>
      <w:r>
        <w:rPr>
          <w:rFonts w:hint="cs"/>
          <w:rtl/>
        </w:rPr>
        <w:t>פפ"א</w:t>
      </w:r>
      <w:proofErr w:type="spellEnd"/>
      <w:r>
        <w:rPr>
          <w:rFonts w:hint="cs"/>
          <w:rtl/>
        </w:rPr>
        <w:t xml:space="preserve"> חדשה והתייחסות להיבטי אבטחת מידע ומכאן נוצר עיכוב בהשלמת התהליך. עוד מסרה הרשות כי "מערכת </w:t>
      </w:r>
      <w:proofErr w:type="spellStart"/>
      <w:r>
        <w:rPr>
          <w:rFonts w:hint="cs"/>
          <w:rtl/>
        </w:rPr>
        <w:t>השו"ב</w:t>
      </w:r>
      <w:proofErr w:type="spellEnd"/>
      <w:r>
        <w:rPr>
          <w:rFonts w:hint="cs"/>
          <w:rtl/>
        </w:rPr>
        <w:t xml:space="preserve"> ומערכת </w:t>
      </w:r>
      <w:proofErr w:type="spellStart"/>
      <w:r>
        <w:rPr>
          <w:rFonts w:hint="cs"/>
          <w:rtl/>
        </w:rPr>
        <w:t>הפפ"א</w:t>
      </w:r>
      <w:proofErr w:type="spellEnd"/>
      <w:r>
        <w:rPr>
          <w:rFonts w:hint="cs"/>
          <w:rtl/>
        </w:rPr>
        <w:t xml:space="preserve"> החדשה נכנסו לפיילוט במוקד טבריה שטיפל בנזקים בגליל המזרחי במהלך מלחמת חרבות ברזל. במהלך מלחמת עם כלביא, שתי המערכות עבדו יחד בכל המוקדים, אולם לא באופן מיטבי אליו אנו שואפים. בימים אלו מתקיים הליך הפקת לקחים לצורך שדרוג המערכות". </w:t>
      </w:r>
    </w:p>
    <w:p w:rsidR="006252C4" w:rsidRPr="009A5262" w:rsidRDefault="006252C4" w:rsidP="006252C4">
      <w:pPr>
        <w:spacing w:line="269" w:lineRule="auto"/>
        <w:rPr>
          <w:rtl/>
        </w:rPr>
      </w:pPr>
    </w:p>
    <w:p w:rsidR="006252C4" w:rsidRPr="00A81964" w:rsidRDefault="006252C4" w:rsidP="006252C4">
      <w:pPr>
        <w:pStyle w:val="4"/>
        <w:spacing w:before="0" w:line="269" w:lineRule="auto"/>
        <w:rPr>
          <w:rtl/>
        </w:rPr>
      </w:pPr>
      <w:r w:rsidRPr="00A81964">
        <w:rPr>
          <w:rFonts w:hint="eastAsia"/>
          <w:rtl/>
        </w:rPr>
        <w:t>דיור</w:t>
      </w:r>
      <w:r w:rsidRPr="00A81964">
        <w:rPr>
          <w:rtl/>
        </w:rPr>
        <w:t xml:space="preserve"> </w:t>
      </w:r>
      <w:r w:rsidRPr="00A81964">
        <w:rPr>
          <w:rFonts w:hint="eastAsia"/>
          <w:rtl/>
        </w:rPr>
        <w:t>חלופי</w:t>
      </w:r>
      <w:r w:rsidRPr="00A81964">
        <w:rPr>
          <w:rtl/>
        </w:rPr>
        <w:t xml:space="preserve"> </w:t>
      </w:r>
      <w:r w:rsidRPr="00A81964">
        <w:rPr>
          <w:rFonts w:hint="eastAsia"/>
          <w:rtl/>
        </w:rPr>
        <w:t>לדיירים</w:t>
      </w:r>
      <w:r w:rsidRPr="00A81964">
        <w:rPr>
          <w:rtl/>
        </w:rPr>
        <w:t xml:space="preserve"> </w:t>
      </w:r>
      <w:r w:rsidRPr="00A81964">
        <w:rPr>
          <w:rFonts w:hint="eastAsia"/>
          <w:rtl/>
        </w:rPr>
        <w:t>שפונו</w:t>
      </w:r>
      <w:r w:rsidRPr="00A81964">
        <w:rPr>
          <w:rtl/>
        </w:rPr>
        <w:t xml:space="preserve"> </w:t>
      </w:r>
      <w:r w:rsidRPr="00A81964">
        <w:rPr>
          <w:rFonts w:hint="eastAsia"/>
          <w:rtl/>
        </w:rPr>
        <w:t>מבתיהם</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eastAsia"/>
          <w:rtl/>
        </w:rPr>
        <w:t>בתקנה</w:t>
      </w:r>
      <w:r w:rsidRPr="00A81964">
        <w:rPr>
          <w:rtl/>
        </w:rPr>
        <w:t xml:space="preserve"> 2(ג) לתקנות </w:t>
      </w:r>
      <w:r w:rsidRPr="00A81964">
        <w:rPr>
          <w:rFonts w:hint="cs"/>
          <w:rtl/>
        </w:rPr>
        <w:t>קרן הפיצויים</w:t>
      </w:r>
      <w:r w:rsidRPr="00A81964">
        <w:rPr>
          <w:rtl/>
        </w:rPr>
        <w:t xml:space="preserve"> נקבע כי במקרים </w:t>
      </w:r>
      <w:r w:rsidRPr="00A81964">
        <w:rPr>
          <w:rFonts w:hint="cs"/>
          <w:rtl/>
        </w:rPr>
        <w:t>ש</w:t>
      </w:r>
      <w:r w:rsidRPr="00A81964">
        <w:rPr>
          <w:rtl/>
        </w:rPr>
        <w:t>בהם "נגרם נזק מלחמה לדירת מגורים ושוכנע המנהל כי בשל הנזק האמור לא ניתן להתגורר בה, רשאי המנהל, בהתחשב באפשרויות הדיור הקיימות לדייר שגר בדירת המגורים ביום קרות הנזק, לקבוע את זכאותו של הדייר לדיור חלופי או לתשלום למימון דיור חלופי, לתקופה שקבע המנהל"</w:t>
      </w:r>
      <w:r w:rsidRPr="00A81964">
        <w:rPr>
          <w:rFonts w:hint="cs"/>
          <w:rtl/>
        </w:rPr>
        <w:t>.</w:t>
      </w:r>
      <w:r w:rsidRPr="00A81964">
        <w:rPr>
          <w:rtl/>
        </w:rPr>
        <w:t xml:space="preserve"> </w:t>
      </w:r>
      <w:r w:rsidRPr="00A81964">
        <w:rPr>
          <w:rFonts w:hint="cs"/>
          <w:rtl/>
        </w:rPr>
        <w:t>מקרים אלו כוללים, בין היתר,</w:t>
      </w:r>
      <w:r w:rsidRPr="00A81964">
        <w:rPr>
          <w:rtl/>
        </w:rPr>
        <w:t xml:space="preserve"> </w:t>
      </w:r>
      <w:r w:rsidRPr="00A81964">
        <w:rPr>
          <w:rFonts w:hint="cs"/>
          <w:rtl/>
        </w:rPr>
        <w:t>מבנים שכתוצאה מהפגיעות אינם ראויים עוד למגורים כתוצאה מ</w:t>
      </w:r>
      <w:r w:rsidRPr="00A81964">
        <w:rPr>
          <w:rtl/>
        </w:rPr>
        <w:t xml:space="preserve">נזק הנדסי למבנה </w:t>
      </w:r>
      <w:r w:rsidRPr="00A81964">
        <w:rPr>
          <w:rFonts w:hint="cs"/>
          <w:rtl/>
        </w:rPr>
        <w:t>ש</w:t>
      </w:r>
      <w:r w:rsidRPr="00A81964">
        <w:rPr>
          <w:rtl/>
        </w:rPr>
        <w:t>יש חשש לקריס</w:t>
      </w:r>
      <w:r w:rsidRPr="00A81964">
        <w:rPr>
          <w:rFonts w:hint="cs"/>
          <w:rtl/>
        </w:rPr>
        <w:t>תו</w:t>
      </w:r>
      <w:r w:rsidRPr="00A81964">
        <w:rPr>
          <w:rtl/>
        </w:rPr>
        <w:t xml:space="preserve">, פגיעה בתשתיות החשמל והמים של </w:t>
      </w:r>
      <w:r w:rsidRPr="00A81964">
        <w:rPr>
          <w:rFonts w:hint="eastAsia"/>
          <w:rtl/>
        </w:rPr>
        <w:t>מבנה</w:t>
      </w:r>
      <w:r w:rsidRPr="00A81964">
        <w:rPr>
          <w:rtl/>
        </w:rPr>
        <w:t xml:space="preserve">, </w:t>
      </w:r>
      <w:r w:rsidRPr="00A81964">
        <w:rPr>
          <w:rFonts w:hint="eastAsia"/>
          <w:rtl/>
        </w:rPr>
        <w:t>נזקי</w:t>
      </w:r>
      <w:r w:rsidRPr="00A81964">
        <w:rPr>
          <w:rtl/>
        </w:rPr>
        <w:t xml:space="preserve"> </w:t>
      </w:r>
      <w:r w:rsidRPr="00A81964">
        <w:rPr>
          <w:rFonts w:hint="eastAsia"/>
          <w:rtl/>
        </w:rPr>
        <w:t>שריפה</w:t>
      </w:r>
      <w:r w:rsidRPr="00A81964">
        <w:rPr>
          <w:rtl/>
        </w:rPr>
        <w:t xml:space="preserve"> </w:t>
      </w:r>
      <w:r w:rsidRPr="00A81964">
        <w:rPr>
          <w:rFonts w:hint="eastAsia"/>
          <w:rtl/>
        </w:rPr>
        <w:t>קשים</w:t>
      </w:r>
      <w:r w:rsidRPr="00A81964">
        <w:rPr>
          <w:rtl/>
        </w:rPr>
        <w:t xml:space="preserve"> </w:t>
      </w:r>
      <w:r w:rsidRPr="00A81964">
        <w:rPr>
          <w:rFonts w:hint="cs"/>
          <w:rtl/>
        </w:rPr>
        <w:t>ו</w:t>
      </w:r>
      <w:r w:rsidRPr="00A81964">
        <w:rPr>
          <w:rFonts w:hint="eastAsia"/>
          <w:rtl/>
        </w:rPr>
        <w:t>חשש</w:t>
      </w:r>
      <w:r w:rsidRPr="00A81964">
        <w:rPr>
          <w:rtl/>
        </w:rPr>
        <w:t xml:space="preserve"> </w:t>
      </w:r>
      <w:r w:rsidRPr="00A81964">
        <w:rPr>
          <w:rFonts w:hint="eastAsia"/>
          <w:rtl/>
        </w:rPr>
        <w:t>לה</w:t>
      </w:r>
      <w:r w:rsidRPr="00A81964">
        <w:rPr>
          <w:rFonts w:hint="cs"/>
          <w:rtl/>
        </w:rPr>
        <w:t>י</w:t>
      </w:r>
      <w:r w:rsidRPr="00A81964">
        <w:rPr>
          <w:rFonts w:hint="eastAsia"/>
          <w:rtl/>
        </w:rPr>
        <w:t>מצאות</w:t>
      </w:r>
      <w:r w:rsidRPr="00A81964">
        <w:rPr>
          <w:rtl/>
        </w:rPr>
        <w:t xml:space="preserve"> </w:t>
      </w:r>
      <w:r w:rsidRPr="00A81964">
        <w:rPr>
          <w:rFonts w:hint="eastAsia"/>
          <w:rtl/>
        </w:rPr>
        <w:t>חומרים</w:t>
      </w:r>
      <w:r w:rsidRPr="00A81964">
        <w:rPr>
          <w:rtl/>
        </w:rPr>
        <w:t xml:space="preserve"> </w:t>
      </w:r>
      <w:r w:rsidRPr="00A81964">
        <w:rPr>
          <w:rFonts w:hint="eastAsia"/>
          <w:rtl/>
        </w:rPr>
        <w:t>מסוכנים</w:t>
      </w:r>
      <w:r w:rsidRPr="00A81964">
        <w:rPr>
          <w:rtl/>
        </w:rPr>
        <w:t xml:space="preserve"> </w:t>
      </w:r>
      <w:r w:rsidRPr="00A81964">
        <w:rPr>
          <w:rFonts w:hint="eastAsia"/>
          <w:rtl/>
        </w:rPr>
        <w:t>באתר</w:t>
      </w:r>
      <w:r w:rsidRPr="00A81964">
        <w:rPr>
          <w:rtl/>
        </w:rPr>
        <w:t xml:space="preserve"> </w:t>
      </w:r>
      <w:r w:rsidRPr="00A81964">
        <w:rPr>
          <w:rFonts w:hint="eastAsia"/>
          <w:rtl/>
        </w:rPr>
        <w:t>הנזק</w:t>
      </w:r>
      <w:r w:rsidRPr="00A81964">
        <w:rPr>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eastAsia"/>
          <w:rtl/>
        </w:rPr>
        <w:lastRenderedPageBreak/>
        <w:t>בהתאם</w:t>
      </w:r>
      <w:r w:rsidRPr="00A81964">
        <w:rPr>
          <w:rtl/>
        </w:rPr>
        <w:t xml:space="preserve"> לכך נקבע </w:t>
      </w:r>
      <w:r w:rsidRPr="00412A7D">
        <w:rPr>
          <w:rFonts w:hint="eastAsia"/>
          <w:rtl/>
        </w:rPr>
        <w:t>בנוהל</w:t>
      </w:r>
      <w:r w:rsidRPr="00A81964">
        <w:rPr>
          <w:rtl/>
        </w:rPr>
        <w:t xml:space="preserve"> </w:t>
      </w:r>
      <w:r w:rsidRPr="00A81964">
        <w:rPr>
          <w:rFonts w:hint="cs"/>
          <w:rtl/>
        </w:rPr>
        <w:t>הפעלת מוקדים שאם</w:t>
      </w:r>
      <w:r w:rsidRPr="00A81964">
        <w:rPr>
          <w:rtl/>
        </w:rPr>
        <w:t xml:space="preserve"> עקב נזק </w:t>
      </w:r>
      <w:r w:rsidRPr="00A81964">
        <w:rPr>
          <w:rFonts w:hint="eastAsia"/>
          <w:rtl/>
        </w:rPr>
        <w:t>ישיר</w:t>
      </w:r>
      <w:r w:rsidRPr="00A81964">
        <w:rPr>
          <w:rtl/>
        </w:rPr>
        <w:t xml:space="preserve"> </w:t>
      </w:r>
      <w:r w:rsidRPr="00A81964">
        <w:rPr>
          <w:rFonts w:hint="eastAsia"/>
          <w:rtl/>
        </w:rPr>
        <w:t>המבנה</w:t>
      </w:r>
      <w:r w:rsidRPr="00A81964">
        <w:rPr>
          <w:rtl/>
        </w:rPr>
        <w:t xml:space="preserve"> </w:t>
      </w:r>
      <w:r w:rsidRPr="00A81964">
        <w:rPr>
          <w:rFonts w:hint="cs"/>
          <w:rtl/>
        </w:rPr>
        <w:t>אינו</w:t>
      </w:r>
      <w:r w:rsidRPr="00A81964">
        <w:rPr>
          <w:rtl/>
        </w:rPr>
        <w:t xml:space="preserve"> </w:t>
      </w:r>
      <w:r w:rsidRPr="00A81964">
        <w:rPr>
          <w:rFonts w:hint="eastAsia"/>
          <w:rtl/>
        </w:rPr>
        <w:t>ראוי</w:t>
      </w:r>
      <w:r w:rsidRPr="00A81964">
        <w:rPr>
          <w:rtl/>
        </w:rPr>
        <w:t xml:space="preserve"> </w:t>
      </w:r>
      <w:r w:rsidRPr="00A81964">
        <w:rPr>
          <w:rFonts w:hint="eastAsia"/>
          <w:rtl/>
        </w:rPr>
        <w:t>למגורים</w:t>
      </w:r>
      <w:r w:rsidRPr="00A81964">
        <w:rPr>
          <w:rtl/>
        </w:rPr>
        <w:t xml:space="preserve">, </w:t>
      </w:r>
      <w:r w:rsidRPr="00A81964">
        <w:rPr>
          <w:rFonts w:hint="eastAsia"/>
          <w:rtl/>
        </w:rPr>
        <w:t>מנהל</w:t>
      </w:r>
      <w:r w:rsidRPr="00A81964">
        <w:rPr>
          <w:rtl/>
        </w:rPr>
        <w:t xml:space="preserve"> </w:t>
      </w:r>
      <w:r w:rsidRPr="00A81964">
        <w:rPr>
          <w:rFonts w:hint="eastAsia"/>
          <w:rtl/>
        </w:rPr>
        <w:t>המוקד</w:t>
      </w:r>
      <w:r w:rsidRPr="00A81964">
        <w:rPr>
          <w:rtl/>
        </w:rPr>
        <w:t xml:space="preserve"> </w:t>
      </w:r>
      <w:r w:rsidRPr="00A81964">
        <w:rPr>
          <w:rFonts w:hint="eastAsia"/>
          <w:rtl/>
        </w:rPr>
        <w:t>רשאי</w:t>
      </w:r>
      <w:r w:rsidRPr="00A81964">
        <w:rPr>
          <w:rtl/>
        </w:rPr>
        <w:t xml:space="preserve"> </w:t>
      </w:r>
      <w:r w:rsidRPr="00A81964">
        <w:rPr>
          <w:rFonts w:hint="eastAsia"/>
          <w:rtl/>
        </w:rPr>
        <w:t>לקבוע</w:t>
      </w:r>
      <w:r w:rsidRPr="00A81964">
        <w:rPr>
          <w:rtl/>
        </w:rPr>
        <w:t xml:space="preserve"> </w:t>
      </w:r>
      <w:r w:rsidRPr="00A81964">
        <w:rPr>
          <w:rFonts w:hint="eastAsia"/>
          <w:rtl/>
        </w:rPr>
        <w:t>כי</w:t>
      </w:r>
      <w:r w:rsidRPr="00A81964">
        <w:rPr>
          <w:rtl/>
        </w:rPr>
        <w:t xml:space="preserve"> </w:t>
      </w:r>
      <w:r w:rsidRPr="00A81964">
        <w:rPr>
          <w:rFonts w:hint="eastAsia"/>
          <w:rtl/>
        </w:rPr>
        <w:t>יש</w:t>
      </w:r>
      <w:r w:rsidRPr="00A81964">
        <w:rPr>
          <w:rtl/>
        </w:rPr>
        <w:t xml:space="preserve"> </w:t>
      </w:r>
      <w:r w:rsidRPr="00A81964">
        <w:rPr>
          <w:rFonts w:hint="eastAsia"/>
          <w:rtl/>
        </w:rPr>
        <w:t>לפנות</w:t>
      </w:r>
      <w:r w:rsidRPr="00A81964">
        <w:rPr>
          <w:rtl/>
        </w:rPr>
        <w:t xml:space="preserve"> </w:t>
      </w:r>
      <w:r w:rsidRPr="00A81964">
        <w:rPr>
          <w:rFonts w:hint="eastAsia"/>
          <w:rtl/>
        </w:rPr>
        <w:t>את</w:t>
      </w:r>
      <w:r w:rsidRPr="00A81964">
        <w:rPr>
          <w:rtl/>
        </w:rPr>
        <w:t xml:space="preserve"> </w:t>
      </w:r>
      <w:r w:rsidRPr="00A81964">
        <w:rPr>
          <w:rFonts w:hint="eastAsia"/>
          <w:rtl/>
        </w:rPr>
        <w:t>הדיירים</w:t>
      </w:r>
      <w:r w:rsidRPr="00A81964">
        <w:rPr>
          <w:rtl/>
        </w:rPr>
        <w:t xml:space="preserve"> </w:t>
      </w:r>
      <w:r w:rsidRPr="00A81964">
        <w:rPr>
          <w:rFonts w:hint="eastAsia"/>
          <w:rtl/>
        </w:rPr>
        <w:t>לדיור</w:t>
      </w:r>
      <w:r w:rsidRPr="00A81964">
        <w:rPr>
          <w:rtl/>
        </w:rPr>
        <w:t xml:space="preserve"> </w:t>
      </w:r>
      <w:r w:rsidRPr="00A81964">
        <w:rPr>
          <w:rFonts w:hint="eastAsia"/>
          <w:rtl/>
        </w:rPr>
        <w:t>חלופי</w:t>
      </w:r>
      <w:r w:rsidRPr="00A81964">
        <w:rPr>
          <w:rtl/>
        </w:rPr>
        <w:t xml:space="preserve"> </w:t>
      </w:r>
      <w:r w:rsidRPr="00A81964">
        <w:rPr>
          <w:rFonts w:hint="eastAsia"/>
          <w:rtl/>
        </w:rPr>
        <w:t>מתאים</w:t>
      </w:r>
      <w:r>
        <w:rPr>
          <w:rFonts w:hint="cs"/>
          <w:rtl/>
        </w:rPr>
        <w:t>,</w:t>
      </w:r>
      <w:r w:rsidRPr="00A81964">
        <w:rPr>
          <w:rFonts w:hint="cs"/>
          <w:rtl/>
        </w:rPr>
        <w:t xml:space="preserve"> </w:t>
      </w:r>
      <w:r>
        <w:rPr>
          <w:rFonts w:hint="cs"/>
          <w:rtl/>
        </w:rPr>
        <w:t>כגון</w:t>
      </w:r>
      <w:r w:rsidRPr="00A81964">
        <w:rPr>
          <w:rFonts w:hint="cs"/>
          <w:rtl/>
        </w:rPr>
        <w:t xml:space="preserve"> בית מלון או </w:t>
      </w:r>
      <w:r>
        <w:rPr>
          <w:rFonts w:hint="cs"/>
          <w:rtl/>
        </w:rPr>
        <w:t>לשלם</w:t>
      </w:r>
      <w:r w:rsidRPr="00A81964">
        <w:rPr>
          <w:rFonts w:hint="cs"/>
          <w:rtl/>
        </w:rPr>
        <w:t xml:space="preserve"> דמי שכירות</w:t>
      </w:r>
      <w:r>
        <w:rPr>
          <w:rFonts w:hint="cs"/>
        </w:rPr>
        <w:t xml:space="preserve"> </w:t>
      </w:r>
      <w:r w:rsidRPr="00A81964">
        <w:rPr>
          <w:rFonts w:hint="cs"/>
          <w:rtl/>
        </w:rPr>
        <w:t>לתקופה הנדרשת</w:t>
      </w:r>
      <w:r w:rsidRPr="00A81964">
        <w:rPr>
          <w:rtl/>
        </w:rPr>
        <w:t xml:space="preserve"> (להלן - </w:t>
      </w:r>
      <w:r w:rsidRPr="00A81964">
        <w:rPr>
          <w:rFonts w:hint="eastAsia"/>
          <w:rtl/>
        </w:rPr>
        <w:t>דיור</w:t>
      </w:r>
      <w:r w:rsidRPr="00A81964">
        <w:rPr>
          <w:rtl/>
        </w:rPr>
        <w:t xml:space="preserve"> </w:t>
      </w:r>
      <w:r w:rsidRPr="00A81964">
        <w:rPr>
          <w:rFonts w:hint="eastAsia"/>
          <w:rtl/>
        </w:rPr>
        <w:t>חלופי</w:t>
      </w:r>
      <w:r w:rsidRPr="00A81964">
        <w:rPr>
          <w:rtl/>
        </w:rPr>
        <w:t xml:space="preserve">), </w:t>
      </w:r>
      <w:r w:rsidRPr="00A81964">
        <w:rPr>
          <w:rFonts w:hint="cs"/>
          <w:rtl/>
        </w:rPr>
        <w:t>ו</w:t>
      </w:r>
      <w:r w:rsidRPr="00A81964">
        <w:rPr>
          <w:rFonts w:hint="eastAsia"/>
          <w:rtl/>
        </w:rPr>
        <w:t>זאת</w:t>
      </w:r>
      <w:r w:rsidRPr="00A81964">
        <w:rPr>
          <w:rtl/>
        </w:rPr>
        <w:t xml:space="preserve"> </w:t>
      </w:r>
      <w:r w:rsidRPr="00A81964">
        <w:rPr>
          <w:rFonts w:hint="eastAsia"/>
          <w:rtl/>
        </w:rPr>
        <w:t>בהמלצת</w:t>
      </w:r>
      <w:r w:rsidRPr="00A81964">
        <w:rPr>
          <w:rtl/>
        </w:rPr>
        <w:t xml:space="preserve"> </w:t>
      </w:r>
      <w:r w:rsidRPr="00A81964">
        <w:rPr>
          <w:rFonts w:hint="eastAsia"/>
          <w:rtl/>
        </w:rPr>
        <w:t>שמאי</w:t>
      </w:r>
      <w:r w:rsidRPr="00A81964">
        <w:rPr>
          <w:rtl/>
        </w:rPr>
        <w:t xml:space="preserve"> </w:t>
      </w:r>
      <w:r w:rsidRPr="00A81964">
        <w:rPr>
          <w:rFonts w:hint="eastAsia"/>
          <w:rtl/>
        </w:rPr>
        <w:t>או</w:t>
      </w:r>
      <w:r w:rsidRPr="00A81964">
        <w:rPr>
          <w:rtl/>
        </w:rPr>
        <w:t xml:space="preserve"> </w:t>
      </w:r>
      <w:r w:rsidRPr="00A81964">
        <w:rPr>
          <w:rFonts w:hint="eastAsia"/>
          <w:rtl/>
        </w:rPr>
        <w:t>מהנדס</w:t>
      </w:r>
      <w:r w:rsidRPr="00A81964">
        <w:rPr>
          <w:rtl/>
        </w:rPr>
        <w:t xml:space="preserve"> </w:t>
      </w:r>
      <w:r w:rsidRPr="00A81964">
        <w:rPr>
          <w:rFonts w:hint="eastAsia"/>
          <w:rtl/>
        </w:rPr>
        <w:t>ובתיאום</w:t>
      </w:r>
      <w:r w:rsidRPr="00A81964">
        <w:rPr>
          <w:rtl/>
        </w:rPr>
        <w:t xml:space="preserve"> </w:t>
      </w:r>
      <w:r w:rsidRPr="00A81964">
        <w:rPr>
          <w:rFonts w:hint="eastAsia"/>
          <w:rtl/>
        </w:rPr>
        <w:t>עם</w:t>
      </w:r>
      <w:r w:rsidRPr="00A81964">
        <w:rPr>
          <w:rtl/>
        </w:rPr>
        <w:t xml:space="preserve"> </w:t>
      </w:r>
      <w:r w:rsidRPr="00A81964">
        <w:rPr>
          <w:rFonts w:hint="eastAsia"/>
          <w:rtl/>
        </w:rPr>
        <w:t>מטה</w:t>
      </w:r>
      <w:r w:rsidRPr="00A81964">
        <w:rPr>
          <w:rtl/>
        </w:rPr>
        <w:t xml:space="preserve"> </w:t>
      </w:r>
      <w:r w:rsidRPr="00A81964">
        <w:rPr>
          <w:rFonts w:hint="eastAsia"/>
          <w:rtl/>
        </w:rPr>
        <w:t>קרן</w:t>
      </w:r>
      <w:r w:rsidRPr="00A81964">
        <w:rPr>
          <w:rtl/>
        </w:rPr>
        <w:t xml:space="preserve"> </w:t>
      </w:r>
      <w:r w:rsidRPr="00A81964">
        <w:rPr>
          <w:rFonts w:hint="eastAsia"/>
          <w:rtl/>
        </w:rPr>
        <w:t>הפיצויים</w:t>
      </w:r>
      <w:r w:rsidRPr="00A81964">
        <w:rPr>
          <w:rtl/>
        </w:rPr>
        <w:t>.</w:t>
      </w:r>
    </w:p>
    <w:p w:rsidR="006252C4" w:rsidRDefault="006252C4" w:rsidP="006252C4">
      <w:pPr>
        <w:pStyle w:val="a8"/>
        <w:spacing w:line="269" w:lineRule="auto"/>
        <w:rPr>
          <w:rtl/>
        </w:rPr>
      </w:pPr>
    </w:p>
    <w:p w:rsidR="006252C4" w:rsidRDefault="006252C4" w:rsidP="006252C4">
      <w:pPr>
        <w:spacing w:line="269" w:lineRule="auto"/>
        <w:rPr>
          <w:rtl/>
        </w:rPr>
      </w:pPr>
      <w:r w:rsidRPr="00A81964">
        <w:rPr>
          <w:rFonts w:hint="cs"/>
          <w:rtl/>
        </w:rPr>
        <w:t>להלן בתמונות 1 - 3 מוצגים מבנים שפונו לאחר שנקבע כי אינם ראויים למגורים בשל נזק ישיר שנגרם להם במסגרת מלחמת חרבות ברזל.</w:t>
      </w:r>
    </w:p>
    <w:p w:rsidR="006252C4" w:rsidRPr="00A81964" w:rsidRDefault="006252C4" w:rsidP="006252C4">
      <w:pPr>
        <w:spacing w:line="269" w:lineRule="auto"/>
        <w:rPr>
          <w:rtl/>
        </w:rPr>
      </w:pPr>
    </w:p>
    <w:p w:rsidR="006252C4" w:rsidRPr="0016480E" w:rsidRDefault="006252C4" w:rsidP="006252C4">
      <w:pPr>
        <w:keepNext/>
        <w:keepLines/>
        <w:spacing w:line="269" w:lineRule="auto"/>
        <w:jc w:val="center"/>
        <w:rPr>
          <w:rtl/>
        </w:rPr>
      </w:pPr>
      <w:r w:rsidRPr="00A81964">
        <w:rPr>
          <w:rFonts w:hint="eastAsia"/>
          <w:rtl/>
        </w:rPr>
        <w:t>תמונה</w:t>
      </w:r>
      <w:r w:rsidRPr="00A81964">
        <w:rPr>
          <w:rtl/>
        </w:rPr>
        <w:t xml:space="preserve"> 1: </w:t>
      </w:r>
      <w:r w:rsidRPr="00844C21">
        <w:rPr>
          <w:rFonts w:hint="eastAsia"/>
          <w:b/>
          <w:bCs/>
          <w:rtl/>
        </w:rPr>
        <w:t>בניין</w:t>
      </w:r>
      <w:r w:rsidRPr="00844C21">
        <w:rPr>
          <w:b/>
          <w:bCs/>
          <w:rtl/>
        </w:rPr>
        <w:t xml:space="preserve"> </w:t>
      </w:r>
      <w:r w:rsidRPr="00844C21">
        <w:rPr>
          <w:rFonts w:hint="eastAsia"/>
          <w:b/>
          <w:bCs/>
          <w:rtl/>
        </w:rPr>
        <w:t>מגורים</w:t>
      </w:r>
      <w:r w:rsidRPr="00844C21">
        <w:rPr>
          <w:b/>
          <w:bCs/>
          <w:rtl/>
        </w:rPr>
        <w:t xml:space="preserve"> </w:t>
      </w:r>
      <w:r w:rsidRPr="00844C21">
        <w:rPr>
          <w:rFonts w:hint="eastAsia"/>
          <w:b/>
          <w:bCs/>
          <w:rtl/>
        </w:rPr>
        <w:t>שפונה</w:t>
      </w:r>
      <w:r w:rsidRPr="00844C21">
        <w:rPr>
          <w:b/>
          <w:bCs/>
          <w:rtl/>
        </w:rPr>
        <w:t xml:space="preserve"> </w:t>
      </w:r>
      <w:r w:rsidRPr="00844C21">
        <w:rPr>
          <w:rFonts w:hint="eastAsia"/>
          <w:b/>
          <w:bCs/>
          <w:rtl/>
        </w:rPr>
        <w:t>בשל</w:t>
      </w:r>
      <w:r w:rsidRPr="00844C21">
        <w:rPr>
          <w:b/>
          <w:bCs/>
          <w:rtl/>
        </w:rPr>
        <w:t xml:space="preserve"> </w:t>
      </w:r>
      <w:r w:rsidRPr="00844C21">
        <w:rPr>
          <w:rFonts w:hint="eastAsia"/>
          <w:b/>
          <w:bCs/>
          <w:rtl/>
        </w:rPr>
        <w:t>נזק</w:t>
      </w:r>
      <w:r w:rsidRPr="00844C21">
        <w:rPr>
          <w:b/>
          <w:bCs/>
          <w:rtl/>
        </w:rPr>
        <w:t xml:space="preserve"> </w:t>
      </w:r>
      <w:r w:rsidRPr="00844C21">
        <w:rPr>
          <w:rFonts w:hint="eastAsia"/>
          <w:b/>
          <w:bCs/>
          <w:rtl/>
        </w:rPr>
        <w:t>ישיר</w:t>
      </w:r>
    </w:p>
    <w:p w:rsidR="006252C4" w:rsidRPr="00A81964" w:rsidRDefault="006252C4" w:rsidP="006252C4">
      <w:pPr>
        <w:spacing w:line="269" w:lineRule="auto"/>
        <w:jc w:val="center"/>
        <w:rPr>
          <w:rtl/>
        </w:rPr>
      </w:pPr>
      <w:r w:rsidRPr="00A81964">
        <w:rPr>
          <w:noProof/>
        </w:rPr>
        <w:drawing>
          <wp:inline distT="0" distB="0" distL="0" distR="0" wp14:anchorId="5679D758" wp14:editId="1B474135">
            <wp:extent cx="2842279" cy="2837040"/>
            <wp:effectExtent l="0" t="0" r="0" b="1905"/>
            <wp:docPr id="234" name="תמונה 234" descr="בתמונה רואים בניין מגורים שנגרם לו נזק ישי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t="8088" b="25182"/>
                    <a:stretch>
                      <a:fillRect/>
                    </a:stretch>
                  </pic:blipFill>
                  <pic:spPr bwMode="auto">
                    <a:xfrm>
                      <a:off x="0" y="0"/>
                      <a:ext cx="2842279" cy="2837040"/>
                    </a:xfrm>
                    <a:prstGeom prst="rect">
                      <a:avLst/>
                    </a:prstGeom>
                    <a:noFill/>
                    <a:ln>
                      <a:noFill/>
                    </a:ln>
                    <a:extLst>
                      <a:ext uri="{53640926-AAD7-44D8-BBD7-CCE9431645EC}">
                        <a14:shadowObscured xmlns:a14="http://schemas.microsoft.com/office/drawing/2010/main"/>
                      </a:ext>
                    </a:extLst>
                  </pic:spPr>
                </pic:pic>
              </a:graphicData>
            </a:graphic>
          </wp:inline>
        </w:drawing>
      </w:r>
    </w:p>
    <w:p w:rsidR="006252C4" w:rsidRDefault="006252C4" w:rsidP="005C1E9C">
      <w:pPr>
        <w:spacing w:before="60" w:line="269" w:lineRule="auto"/>
        <w:rPr>
          <w:rtl/>
        </w:rPr>
      </w:pPr>
      <w:r w:rsidRPr="00A81964">
        <w:rPr>
          <w:szCs w:val="20"/>
          <w:rtl/>
        </w:rPr>
        <w:tab/>
      </w:r>
      <w:r w:rsidRPr="00A81964">
        <w:rPr>
          <w:rFonts w:hint="cs"/>
          <w:szCs w:val="20"/>
          <w:rtl/>
        </w:rPr>
        <w:t>ה</w:t>
      </w:r>
      <w:r w:rsidRPr="00A81964">
        <w:rPr>
          <w:rFonts w:hint="eastAsia"/>
          <w:szCs w:val="20"/>
          <w:rtl/>
        </w:rPr>
        <w:t>מקור</w:t>
      </w:r>
      <w:r w:rsidRPr="00A81964">
        <w:rPr>
          <w:szCs w:val="20"/>
          <w:rtl/>
        </w:rPr>
        <w:t xml:space="preserve">: </w:t>
      </w:r>
      <w:r w:rsidRPr="00A81964">
        <w:rPr>
          <w:rFonts w:hint="cs"/>
          <w:szCs w:val="20"/>
          <w:rtl/>
        </w:rPr>
        <w:t>רשות המיסים.</w:t>
      </w:r>
    </w:p>
    <w:p w:rsidR="006252C4" w:rsidRPr="00A81964" w:rsidRDefault="006252C4" w:rsidP="006252C4">
      <w:pPr>
        <w:spacing w:line="269" w:lineRule="auto"/>
        <w:rPr>
          <w:rtl/>
        </w:rPr>
      </w:pPr>
    </w:p>
    <w:p w:rsidR="006252C4" w:rsidRDefault="006252C4" w:rsidP="006252C4">
      <w:pPr>
        <w:bidi w:val="0"/>
        <w:spacing w:after="200" w:line="276" w:lineRule="auto"/>
        <w:rPr>
          <w:rtl/>
        </w:rPr>
      </w:pPr>
      <w:r>
        <w:rPr>
          <w:rtl/>
        </w:rPr>
        <w:br w:type="page"/>
      </w:r>
    </w:p>
    <w:p w:rsidR="006252C4" w:rsidRPr="00A81964" w:rsidRDefault="006252C4" w:rsidP="006252C4">
      <w:pPr>
        <w:spacing w:line="269" w:lineRule="auto"/>
        <w:jc w:val="center"/>
        <w:rPr>
          <w:b/>
          <w:bCs/>
          <w:noProof/>
          <w:rtl/>
        </w:rPr>
      </w:pPr>
      <w:r w:rsidRPr="00A81964">
        <w:rPr>
          <w:rFonts w:hint="eastAsia"/>
          <w:rtl/>
        </w:rPr>
        <w:lastRenderedPageBreak/>
        <w:t>תמונה</w:t>
      </w:r>
      <w:r w:rsidRPr="00A81964">
        <w:rPr>
          <w:rtl/>
        </w:rPr>
        <w:t xml:space="preserve"> 2:</w:t>
      </w:r>
      <w:r w:rsidRPr="00A81964">
        <w:rPr>
          <w:b/>
          <w:bCs/>
          <w:rtl/>
        </w:rPr>
        <w:t xml:space="preserve"> דירת מגורים שפונתה בשל נזק ישיר</w:t>
      </w:r>
    </w:p>
    <w:p w:rsidR="006252C4" w:rsidRPr="005C1E9C" w:rsidRDefault="006252C4" w:rsidP="006252C4">
      <w:pPr>
        <w:spacing w:line="269" w:lineRule="auto"/>
        <w:jc w:val="center"/>
        <w:rPr>
          <w:rtl/>
        </w:rPr>
      </w:pPr>
      <w:r w:rsidRPr="005C1E9C">
        <w:rPr>
          <w:noProof/>
        </w:rPr>
        <w:drawing>
          <wp:inline distT="0" distB="0" distL="0" distR="0" wp14:anchorId="179D59DC" wp14:editId="0A8D0AF7">
            <wp:extent cx="2887980" cy="2768597"/>
            <wp:effectExtent l="0" t="0" r="7620" b="0"/>
            <wp:docPr id="235" name="תמונה 235" descr="בתמונה רואים בניין מגורים שנגרם לו נזק ישי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t="6098" b="39911"/>
                    <a:stretch>
                      <a:fillRect/>
                    </a:stretch>
                  </pic:blipFill>
                  <pic:spPr bwMode="auto">
                    <a:xfrm>
                      <a:off x="0" y="0"/>
                      <a:ext cx="2947607" cy="2825759"/>
                    </a:xfrm>
                    <a:prstGeom prst="rect">
                      <a:avLst/>
                    </a:prstGeom>
                    <a:noFill/>
                    <a:ln>
                      <a:noFill/>
                    </a:ln>
                    <a:extLst>
                      <a:ext uri="{53640926-AAD7-44D8-BBD7-CCE9431645EC}">
                        <a14:shadowObscured xmlns:a14="http://schemas.microsoft.com/office/drawing/2010/main"/>
                      </a:ext>
                    </a:extLst>
                  </pic:spPr>
                </pic:pic>
              </a:graphicData>
            </a:graphic>
          </wp:inline>
        </w:drawing>
      </w:r>
    </w:p>
    <w:p w:rsidR="006252C4" w:rsidRDefault="006252C4" w:rsidP="005C1E9C">
      <w:pPr>
        <w:spacing w:before="60" w:line="269" w:lineRule="auto"/>
        <w:rPr>
          <w:szCs w:val="20"/>
          <w:rtl/>
        </w:rPr>
      </w:pPr>
      <w:r w:rsidRPr="00A81964">
        <w:rPr>
          <w:szCs w:val="20"/>
          <w:rtl/>
        </w:rPr>
        <w:tab/>
      </w:r>
      <w:r w:rsidRPr="00A81964">
        <w:rPr>
          <w:rFonts w:hint="cs"/>
          <w:szCs w:val="20"/>
          <w:rtl/>
        </w:rPr>
        <w:t>ה</w:t>
      </w:r>
      <w:r w:rsidRPr="00A81964">
        <w:rPr>
          <w:rFonts w:hint="eastAsia"/>
          <w:szCs w:val="20"/>
          <w:rtl/>
        </w:rPr>
        <w:t>מקור</w:t>
      </w:r>
      <w:r w:rsidRPr="00A81964">
        <w:rPr>
          <w:szCs w:val="20"/>
          <w:rtl/>
        </w:rPr>
        <w:t xml:space="preserve">: </w:t>
      </w:r>
      <w:r w:rsidRPr="00A81964">
        <w:rPr>
          <w:rFonts w:hint="cs"/>
          <w:szCs w:val="20"/>
          <w:rtl/>
        </w:rPr>
        <w:t>רשות המיסים.</w:t>
      </w:r>
    </w:p>
    <w:p w:rsidR="00A20B3B" w:rsidRDefault="00A20B3B" w:rsidP="006252C4">
      <w:pPr>
        <w:spacing w:line="269" w:lineRule="auto"/>
        <w:rPr>
          <w:szCs w:val="20"/>
          <w:rtl/>
        </w:rPr>
      </w:pPr>
    </w:p>
    <w:p w:rsidR="006252C4" w:rsidRPr="00A81964" w:rsidRDefault="006252C4" w:rsidP="006252C4">
      <w:pPr>
        <w:keepNext/>
        <w:keepLines/>
        <w:spacing w:line="269" w:lineRule="auto"/>
        <w:jc w:val="center"/>
        <w:rPr>
          <w:b/>
          <w:bCs/>
          <w:rtl/>
        </w:rPr>
      </w:pPr>
      <w:r w:rsidRPr="00A81964">
        <w:rPr>
          <w:rFonts w:hint="eastAsia"/>
          <w:rtl/>
        </w:rPr>
        <w:t>תמונה</w:t>
      </w:r>
      <w:r w:rsidRPr="00A81964">
        <w:rPr>
          <w:rtl/>
        </w:rPr>
        <w:t xml:space="preserve"> 3:</w:t>
      </w:r>
      <w:r w:rsidRPr="00A81964">
        <w:rPr>
          <w:b/>
          <w:bCs/>
          <w:rtl/>
        </w:rPr>
        <w:t xml:space="preserve"> בית צמוד קרקע שפונה בשל נזק ישיר</w:t>
      </w:r>
    </w:p>
    <w:p w:rsidR="006252C4" w:rsidRPr="005C1E9C" w:rsidRDefault="006252C4" w:rsidP="006252C4">
      <w:pPr>
        <w:spacing w:line="269" w:lineRule="auto"/>
        <w:jc w:val="center"/>
        <w:rPr>
          <w:rtl/>
        </w:rPr>
      </w:pPr>
      <w:r w:rsidRPr="005C1E9C">
        <w:rPr>
          <w:noProof/>
        </w:rPr>
        <w:drawing>
          <wp:inline distT="0" distB="0" distL="0" distR="0" wp14:anchorId="5FEA687D" wp14:editId="3EB77D8B">
            <wp:extent cx="3794760" cy="2857668"/>
            <wp:effectExtent l="0" t="0" r="0" b="0"/>
            <wp:docPr id="236" name="תמונה 236" descr="בתמונה רואים בניין מגורים שנגרם לו נזק ישי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r="25228"/>
                    <a:stretch>
                      <a:fillRect/>
                    </a:stretch>
                  </pic:blipFill>
                  <pic:spPr bwMode="auto">
                    <a:xfrm>
                      <a:off x="0" y="0"/>
                      <a:ext cx="3795416" cy="2858162"/>
                    </a:xfrm>
                    <a:prstGeom prst="rect">
                      <a:avLst/>
                    </a:prstGeom>
                    <a:noFill/>
                    <a:ln>
                      <a:noFill/>
                    </a:ln>
                    <a:extLst>
                      <a:ext uri="{53640926-AAD7-44D8-BBD7-CCE9431645EC}">
                        <a14:shadowObscured xmlns:a14="http://schemas.microsoft.com/office/drawing/2010/main"/>
                      </a:ext>
                    </a:extLst>
                  </pic:spPr>
                </pic:pic>
              </a:graphicData>
            </a:graphic>
          </wp:inline>
        </w:drawing>
      </w:r>
    </w:p>
    <w:p w:rsidR="006252C4" w:rsidRPr="00A81964" w:rsidRDefault="006252C4" w:rsidP="005C1E9C">
      <w:pPr>
        <w:spacing w:before="60" w:line="269" w:lineRule="auto"/>
        <w:rPr>
          <w:szCs w:val="20"/>
        </w:rPr>
      </w:pPr>
      <w:r w:rsidRPr="00A81964">
        <w:rPr>
          <w:rFonts w:hint="cs"/>
          <w:szCs w:val="20"/>
          <w:rtl/>
        </w:rPr>
        <w:t>ה</w:t>
      </w:r>
      <w:r w:rsidRPr="00A81964">
        <w:rPr>
          <w:rFonts w:hint="eastAsia"/>
          <w:szCs w:val="20"/>
          <w:rtl/>
        </w:rPr>
        <w:t>מקור</w:t>
      </w:r>
      <w:r w:rsidRPr="00A81964">
        <w:rPr>
          <w:szCs w:val="20"/>
          <w:rtl/>
        </w:rPr>
        <w:t xml:space="preserve">: </w:t>
      </w:r>
      <w:r w:rsidRPr="00A81964">
        <w:rPr>
          <w:rFonts w:hint="cs"/>
          <w:szCs w:val="20"/>
          <w:rtl/>
        </w:rPr>
        <w:t>רשות המיסים.</w:t>
      </w:r>
    </w:p>
    <w:p w:rsidR="006252C4" w:rsidRDefault="006252C4" w:rsidP="006252C4">
      <w:pPr>
        <w:pStyle w:val="a8"/>
        <w:spacing w:line="269" w:lineRule="auto"/>
        <w:rPr>
          <w:rtl/>
        </w:rPr>
      </w:pPr>
    </w:p>
    <w:p w:rsidR="006252C4" w:rsidRDefault="006252C4" w:rsidP="006252C4">
      <w:pPr>
        <w:spacing w:line="269" w:lineRule="auto"/>
        <w:rPr>
          <w:rFonts w:ascii="David" w:hAnsi="David"/>
          <w:rtl/>
        </w:rPr>
      </w:pPr>
      <w:r w:rsidRPr="00844C21">
        <w:rPr>
          <w:rFonts w:ascii="David" w:hAnsi="David"/>
          <w:rtl/>
        </w:rPr>
        <w:t>קיימות שלוש אפשרויות לדיור חלופי:</w:t>
      </w:r>
    </w:p>
    <w:p w:rsidR="006252C4" w:rsidRPr="00844C21" w:rsidRDefault="006252C4" w:rsidP="006252C4">
      <w:pPr>
        <w:spacing w:line="269" w:lineRule="auto"/>
        <w:rPr>
          <w:rFonts w:ascii="David" w:hAnsi="David"/>
          <w:rtl/>
        </w:rPr>
      </w:pPr>
    </w:p>
    <w:p w:rsidR="006252C4" w:rsidRDefault="006252C4" w:rsidP="006252C4">
      <w:pPr>
        <w:pStyle w:val="af3"/>
        <w:numPr>
          <w:ilvl w:val="0"/>
          <w:numId w:val="31"/>
        </w:numPr>
        <w:spacing w:line="269" w:lineRule="auto"/>
        <w:ind w:left="312"/>
        <w:rPr>
          <w:rFonts w:ascii="David" w:hAnsi="David"/>
        </w:rPr>
      </w:pPr>
      <w:r w:rsidRPr="00844C21">
        <w:rPr>
          <w:rStyle w:val="70"/>
          <w:rFonts w:ascii="David" w:hAnsi="David"/>
          <w:rtl/>
        </w:rPr>
        <w:t>מימון שהייה בבתי מלון והארחה:</w:t>
      </w:r>
      <w:r w:rsidRPr="00844C21">
        <w:rPr>
          <w:rFonts w:ascii="David" w:hAnsi="David"/>
          <w:rtl/>
        </w:rPr>
        <w:t xml:space="preserve"> בדרך כלל זו האפשרות הנבחרת באירוע עם נזק בהיקף גדול, כשלב ראשוני עד למציאת פתרון ארוך טווח, או באירוע עם נזק קל יותר, שבו הליך השיקום הצפוי הוא ימים ספורים עד שבועות אחדים.</w:t>
      </w:r>
    </w:p>
    <w:p w:rsidR="006252C4" w:rsidRPr="009A5262" w:rsidRDefault="006252C4" w:rsidP="006252C4">
      <w:pPr>
        <w:spacing w:line="269" w:lineRule="auto"/>
      </w:pPr>
    </w:p>
    <w:p w:rsidR="006252C4" w:rsidRDefault="006252C4" w:rsidP="006252C4">
      <w:pPr>
        <w:pStyle w:val="af3"/>
        <w:numPr>
          <w:ilvl w:val="0"/>
          <w:numId w:val="31"/>
        </w:numPr>
        <w:spacing w:line="269" w:lineRule="auto"/>
        <w:ind w:left="312"/>
        <w:rPr>
          <w:rFonts w:ascii="David" w:hAnsi="David"/>
        </w:rPr>
      </w:pPr>
      <w:r w:rsidRPr="00844C21">
        <w:rPr>
          <w:rStyle w:val="70"/>
          <w:rFonts w:ascii="David" w:hAnsi="David"/>
          <w:rtl/>
        </w:rPr>
        <w:t>מימון דמי שכירות לדירה חלופית:</w:t>
      </w:r>
      <w:r w:rsidRPr="00844C21">
        <w:rPr>
          <w:rFonts w:ascii="David" w:hAnsi="David"/>
          <w:rtl/>
        </w:rPr>
        <w:t xml:space="preserve"> כאשר הדייר המפונה שוכר דירה חלופית למשך תקופת שיקום המבנה, הוא יכול לקבל פיצוי בגובה דמי השכירות בגין הדירה החלופית, באופן שמשך התקופה וסבירות גובה דמי השכירות על פי חוזה השכירות נבחנים על ידי מנהלי המוקדים. </w:t>
      </w:r>
    </w:p>
    <w:p w:rsidR="006252C4" w:rsidRPr="008F1E84" w:rsidRDefault="006252C4" w:rsidP="006252C4">
      <w:pPr>
        <w:spacing w:line="269" w:lineRule="auto"/>
        <w:rPr>
          <w:rFonts w:ascii="David" w:hAnsi="David"/>
        </w:rPr>
      </w:pPr>
    </w:p>
    <w:p w:rsidR="006252C4" w:rsidRPr="00A81964" w:rsidRDefault="006252C4" w:rsidP="006252C4">
      <w:pPr>
        <w:pStyle w:val="af3"/>
        <w:numPr>
          <w:ilvl w:val="0"/>
          <w:numId w:val="31"/>
        </w:numPr>
        <w:spacing w:line="269" w:lineRule="auto"/>
        <w:ind w:left="312"/>
        <w:rPr>
          <w:rtl/>
        </w:rPr>
      </w:pPr>
      <w:r w:rsidRPr="00844C21">
        <w:rPr>
          <w:rStyle w:val="70"/>
          <w:rFonts w:ascii="David" w:hAnsi="David"/>
          <w:rtl/>
        </w:rPr>
        <w:t>פיצוי חלף דמי שכירות:</w:t>
      </w:r>
      <w:r w:rsidRPr="00844C21">
        <w:rPr>
          <w:rFonts w:ascii="David" w:hAnsi="David"/>
          <w:rtl/>
        </w:rPr>
        <w:t xml:space="preserve"> דייר</w:t>
      </w:r>
      <w:r w:rsidRPr="00A81964">
        <w:rPr>
          <w:rFonts w:hint="cs"/>
          <w:rtl/>
        </w:rPr>
        <w:t xml:space="preserve"> מפונה המעדיף לשהות בתקופת שיקום המבנה אצל קרוביו ולא לשכור דירה חלופית, יכול לקבל פיצוי חלף דמי השכירות</w:t>
      </w:r>
      <w:r w:rsidRPr="00A81964">
        <w:rPr>
          <w:rStyle w:val="af2"/>
          <w:rtl/>
        </w:rPr>
        <w:footnoteReference w:id="21"/>
      </w:r>
      <w:r w:rsidRPr="00A81964">
        <w:rPr>
          <w:rFonts w:hint="cs"/>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412A7D">
        <w:rPr>
          <w:rFonts w:hint="eastAsia"/>
          <w:rtl/>
        </w:rPr>
        <w:t>בדוח</w:t>
      </w:r>
      <w:r w:rsidRPr="00412A7D">
        <w:rPr>
          <w:rtl/>
        </w:rPr>
        <w:t xml:space="preserve"> </w:t>
      </w:r>
      <w:r w:rsidRPr="00A81964">
        <w:rPr>
          <w:rFonts w:hint="cs"/>
          <w:rtl/>
        </w:rPr>
        <w:t xml:space="preserve">ועדת נזק ישיר </w:t>
      </w:r>
      <w:r w:rsidRPr="00A81964">
        <w:rPr>
          <w:rFonts w:hint="eastAsia"/>
          <w:rtl/>
        </w:rPr>
        <w:t>נכתב</w:t>
      </w:r>
      <w:r w:rsidRPr="00A81964">
        <w:rPr>
          <w:rtl/>
        </w:rPr>
        <w:t xml:space="preserve"> </w:t>
      </w:r>
      <w:r w:rsidRPr="00A81964">
        <w:rPr>
          <w:rFonts w:hint="eastAsia"/>
          <w:rtl/>
        </w:rPr>
        <w:t>כי</w:t>
      </w:r>
      <w:r w:rsidRPr="00A81964">
        <w:rPr>
          <w:rtl/>
        </w:rPr>
        <w:t xml:space="preserve"> </w:t>
      </w:r>
      <w:r w:rsidRPr="00A81964">
        <w:rPr>
          <w:rFonts w:hint="eastAsia"/>
          <w:rtl/>
        </w:rPr>
        <w:t>קיימות</w:t>
      </w:r>
      <w:r w:rsidRPr="00A81964">
        <w:rPr>
          <w:rtl/>
        </w:rPr>
        <w:t xml:space="preserve"> </w:t>
      </w:r>
      <w:r w:rsidRPr="00A81964">
        <w:rPr>
          <w:rFonts w:hint="eastAsia"/>
          <w:rtl/>
        </w:rPr>
        <w:t>בעיות</w:t>
      </w:r>
      <w:r w:rsidRPr="00A81964">
        <w:rPr>
          <w:rtl/>
        </w:rPr>
        <w:t xml:space="preserve"> </w:t>
      </w:r>
      <w:r w:rsidRPr="00A81964">
        <w:rPr>
          <w:rFonts w:hint="cs"/>
          <w:rtl/>
        </w:rPr>
        <w:t>אחדות בנוגע</w:t>
      </w:r>
      <w:r w:rsidRPr="00A81964">
        <w:rPr>
          <w:rtl/>
        </w:rPr>
        <w:t xml:space="preserve"> </w:t>
      </w:r>
      <w:r w:rsidRPr="00A81964">
        <w:rPr>
          <w:rFonts w:hint="eastAsia"/>
          <w:rtl/>
        </w:rPr>
        <w:t>למתן</w:t>
      </w:r>
      <w:r w:rsidRPr="00A81964">
        <w:rPr>
          <w:rtl/>
        </w:rPr>
        <w:t xml:space="preserve"> </w:t>
      </w:r>
      <w:r w:rsidRPr="00A81964">
        <w:rPr>
          <w:rFonts w:hint="eastAsia"/>
          <w:rtl/>
        </w:rPr>
        <w:t>דיור</w:t>
      </w:r>
      <w:r w:rsidRPr="00A81964">
        <w:rPr>
          <w:rtl/>
        </w:rPr>
        <w:t xml:space="preserve"> </w:t>
      </w:r>
      <w:r w:rsidRPr="00A81964">
        <w:rPr>
          <w:rFonts w:hint="eastAsia"/>
          <w:rtl/>
        </w:rPr>
        <w:t>חלופי</w:t>
      </w:r>
      <w:r w:rsidRPr="00A81964">
        <w:rPr>
          <w:rFonts w:hint="cs"/>
          <w:rtl/>
        </w:rPr>
        <w:t xml:space="preserve">: </w:t>
      </w:r>
      <w:r w:rsidRPr="00A81964">
        <w:rPr>
          <w:rFonts w:ascii="David" w:hAnsi="David" w:hint="cs"/>
          <w:rtl/>
        </w:rPr>
        <w:t xml:space="preserve">(א) </w:t>
      </w:r>
      <w:r w:rsidRPr="00A81964">
        <w:rPr>
          <w:rFonts w:ascii="David" w:hAnsi="David"/>
          <w:rtl/>
        </w:rPr>
        <w:t>אין לקרן הפיצויים מכרז עם בתי מלון או חדרי אירוח</w:t>
      </w:r>
      <w:r w:rsidRPr="00A81964">
        <w:rPr>
          <w:rFonts w:ascii="David" w:hAnsi="David" w:hint="cs"/>
          <w:rtl/>
        </w:rPr>
        <w:t xml:space="preserve">; (ב) </w:t>
      </w:r>
      <w:r w:rsidRPr="00A81964">
        <w:rPr>
          <w:rFonts w:ascii="David" w:hAnsi="David"/>
          <w:rtl/>
        </w:rPr>
        <w:t xml:space="preserve">בתקופות יולי אוגוסט התפוסה כמעט מלאה בבתי המלון או </w:t>
      </w:r>
      <w:r w:rsidRPr="00A81964">
        <w:rPr>
          <w:rFonts w:ascii="David" w:hAnsi="David" w:hint="cs"/>
          <w:rtl/>
        </w:rPr>
        <w:t>ב</w:t>
      </w:r>
      <w:r w:rsidRPr="00A81964">
        <w:rPr>
          <w:rFonts w:ascii="David" w:hAnsi="David"/>
          <w:rtl/>
        </w:rPr>
        <w:t xml:space="preserve">חדרי </w:t>
      </w:r>
      <w:r w:rsidRPr="00A81964">
        <w:rPr>
          <w:rFonts w:ascii="David" w:hAnsi="David" w:hint="cs"/>
          <w:rtl/>
        </w:rPr>
        <w:t>ה</w:t>
      </w:r>
      <w:r w:rsidRPr="00A81964">
        <w:rPr>
          <w:rFonts w:ascii="David" w:hAnsi="David"/>
          <w:rtl/>
        </w:rPr>
        <w:t>אירוח</w:t>
      </w:r>
      <w:r w:rsidRPr="00A81964">
        <w:rPr>
          <w:rFonts w:ascii="David" w:hAnsi="David" w:hint="cs"/>
          <w:rtl/>
        </w:rPr>
        <w:t xml:space="preserve">; (ג) </w:t>
      </w:r>
      <w:r w:rsidRPr="00A81964">
        <w:rPr>
          <w:rFonts w:ascii="David" w:hAnsi="David"/>
          <w:rtl/>
        </w:rPr>
        <w:t>לעיתים נדרש פינוי המוני</w:t>
      </w:r>
      <w:r w:rsidRPr="00A81964">
        <w:rPr>
          <w:rFonts w:ascii="David" w:hAnsi="David" w:hint="cs"/>
          <w:rtl/>
        </w:rPr>
        <w:t>,</w:t>
      </w:r>
      <w:r w:rsidRPr="00A81964">
        <w:rPr>
          <w:rFonts w:ascii="David" w:hAnsi="David"/>
          <w:rtl/>
        </w:rPr>
        <w:t xml:space="preserve"> כגון </w:t>
      </w:r>
      <w:r w:rsidRPr="00A81964">
        <w:rPr>
          <w:rFonts w:ascii="David" w:hAnsi="David" w:hint="cs"/>
          <w:rtl/>
        </w:rPr>
        <w:t>של י</w:t>
      </w:r>
      <w:r w:rsidRPr="00A81964">
        <w:rPr>
          <w:rFonts w:ascii="David" w:hAnsi="David"/>
          <w:rtl/>
        </w:rPr>
        <w:t xml:space="preserve">ישובים </w:t>
      </w:r>
      <w:r w:rsidRPr="00A81964">
        <w:rPr>
          <w:rFonts w:ascii="David" w:hAnsi="David" w:hint="cs"/>
          <w:rtl/>
        </w:rPr>
        <w:t>ו</w:t>
      </w:r>
      <w:r w:rsidRPr="00A81964">
        <w:rPr>
          <w:rFonts w:ascii="David" w:hAnsi="David"/>
          <w:rtl/>
        </w:rPr>
        <w:t>מועצות</w:t>
      </w:r>
      <w:r w:rsidRPr="00A81964">
        <w:rPr>
          <w:rFonts w:ascii="David" w:hAnsi="David" w:hint="cs"/>
          <w:rtl/>
        </w:rPr>
        <w:t>,</w:t>
      </w:r>
      <w:r w:rsidRPr="00A81964">
        <w:rPr>
          <w:rFonts w:ascii="David" w:hAnsi="David"/>
          <w:rtl/>
        </w:rPr>
        <w:t xml:space="preserve"> בהתאם להוראות כוחות הביטחון</w:t>
      </w:r>
      <w:r w:rsidRPr="00A81964">
        <w:rPr>
          <w:rFonts w:ascii="David" w:hAnsi="David" w:hint="cs"/>
          <w:rtl/>
        </w:rPr>
        <w:t xml:space="preserve">; </w:t>
      </w:r>
      <w:r>
        <w:rPr>
          <w:rFonts w:ascii="David" w:hAnsi="David"/>
          <w:rtl/>
        </w:rPr>
        <w:br/>
      </w:r>
      <w:r w:rsidRPr="00A81964">
        <w:rPr>
          <w:rFonts w:ascii="David" w:hAnsi="David" w:hint="cs"/>
          <w:rtl/>
        </w:rPr>
        <w:t xml:space="preserve">(ד) </w:t>
      </w:r>
      <w:r w:rsidRPr="00A81964">
        <w:rPr>
          <w:rFonts w:ascii="David" w:hAnsi="David"/>
          <w:rtl/>
        </w:rPr>
        <w:t xml:space="preserve">תושבים </w:t>
      </w:r>
      <w:r w:rsidRPr="00A81964">
        <w:rPr>
          <w:rFonts w:ascii="David" w:hAnsi="David" w:hint="cs"/>
          <w:rtl/>
        </w:rPr>
        <w:t>ש</w:t>
      </w:r>
      <w:r w:rsidRPr="00A81964">
        <w:rPr>
          <w:rFonts w:ascii="David" w:hAnsi="David"/>
          <w:rtl/>
        </w:rPr>
        <w:t>ביתם נפגע ואינו ראוי למגורים מבקשים דיור חלופי בקרבת מקום לביתם שנפגע.</w:t>
      </w:r>
      <w:r w:rsidRPr="00A81964">
        <w:rPr>
          <w:rFonts w:ascii="David" w:hAnsi="David" w:hint="cs"/>
          <w:rtl/>
        </w:rPr>
        <w:t xml:space="preserve"> נוכח הבעיות האמורות, הוו</w:t>
      </w:r>
      <w:r w:rsidRPr="00A81964">
        <w:rPr>
          <w:rFonts w:hint="eastAsia"/>
          <w:rtl/>
        </w:rPr>
        <w:t>עדה</w:t>
      </w:r>
      <w:r w:rsidRPr="00A81964">
        <w:rPr>
          <w:rtl/>
        </w:rPr>
        <w:t xml:space="preserve"> </w:t>
      </w:r>
      <w:r w:rsidRPr="00A81964">
        <w:rPr>
          <w:rFonts w:hint="cs"/>
          <w:rtl/>
        </w:rPr>
        <w:t xml:space="preserve">המליצה </w:t>
      </w:r>
      <w:r w:rsidRPr="00A81964">
        <w:rPr>
          <w:rFonts w:hint="eastAsia"/>
          <w:rtl/>
        </w:rPr>
        <w:t>על</w:t>
      </w:r>
      <w:r w:rsidRPr="00A81964">
        <w:rPr>
          <w:rtl/>
        </w:rPr>
        <w:t xml:space="preserve"> </w:t>
      </w:r>
      <w:r w:rsidRPr="00A81964">
        <w:rPr>
          <w:rFonts w:hint="eastAsia"/>
          <w:rtl/>
        </w:rPr>
        <w:t>פרסום</w:t>
      </w:r>
      <w:r w:rsidRPr="00A81964">
        <w:rPr>
          <w:rtl/>
        </w:rPr>
        <w:t xml:space="preserve"> </w:t>
      </w:r>
      <w:r w:rsidRPr="00A81964">
        <w:rPr>
          <w:rFonts w:hint="eastAsia"/>
          <w:rtl/>
        </w:rPr>
        <w:t>מכרז</w:t>
      </w:r>
      <w:r w:rsidRPr="00A81964">
        <w:rPr>
          <w:rtl/>
        </w:rPr>
        <w:t xml:space="preserve"> </w:t>
      </w:r>
      <w:r w:rsidRPr="00A81964">
        <w:rPr>
          <w:rFonts w:hint="eastAsia"/>
          <w:rtl/>
        </w:rPr>
        <w:t>ליצירת</w:t>
      </w:r>
      <w:r w:rsidRPr="00A81964">
        <w:rPr>
          <w:rtl/>
        </w:rPr>
        <w:t xml:space="preserve"> </w:t>
      </w:r>
      <w:r w:rsidRPr="00A81964">
        <w:rPr>
          <w:rFonts w:hint="eastAsia"/>
          <w:rtl/>
        </w:rPr>
        <w:t>מאגר</w:t>
      </w:r>
      <w:r w:rsidRPr="00A81964">
        <w:rPr>
          <w:rtl/>
        </w:rPr>
        <w:t xml:space="preserve"> </w:t>
      </w:r>
      <w:r w:rsidRPr="00A81964">
        <w:rPr>
          <w:rFonts w:hint="eastAsia"/>
          <w:rtl/>
        </w:rPr>
        <w:t>סוכני</w:t>
      </w:r>
      <w:r w:rsidRPr="00A81964">
        <w:rPr>
          <w:rtl/>
        </w:rPr>
        <w:t xml:space="preserve"> </w:t>
      </w:r>
      <w:r w:rsidRPr="00A81964">
        <w:rPr>
          <w:rFonts w:hint="eastAsia"/>
          <w:rtl/>
        </w:rPr>
        <w:t>נסיעות</w:t>
      </w:r>
      <w:r w:rsidRPr="00A81964">
        <w:rPr>
          <w:rtl/>
        </w:rPr>
        <w:t xml:space="preserve"> </w:t>
      </w:r>
      <w:r w:rsidRPr="00A81964">
        <w:rPr>
          <w:rFonts w:hint="eastAsia"/>
          <w:rtl/>
        </w:rPr>
        <w:t>ובתי</w:t>
      </w:r>
      <w:r w:rsidRPr="00A81964">
        <w:rPr>
          <w:rtl/>
        </w:rPr>
        <w:t xml:space="preserve"> </w:t>
      </w:r>
      <w:r w:rsidRPr="00A81964">
        <w:rPr>
          <w:rFonts w:hint="eastAsia"/>
          <w:rtl/>
        </w:rPr>
        <w:t>מלון</w:t>
      </w:r>
      <w:r w:rsidRPr="00A81964">
        <w:rPr>
          <w:rtl/>
        </w:rPr>
        <w:t xml:space="preserve"> </w:t>
      </w:r>
      <w:r w:rsidRPr="00A81964">
        <w:rPr>
          <w:rFonts w:hint="eastAsia"/>
          <w:rtl/>
        </w:rPr>
        <w:t>בפריסה</w:t>
      </w:r>
      <w:r w:rsidRPr="00A81964">
        <w:rPr>
          <w:rtl/>
        </w:rPr>
        <w:t xml:space="preserve"> </w:t>
      </w:r>
      <w:r w:rsidRPr="00A81964">
        <w:rPr>
          <w:rFonts w:hint="eastAsia"/>
          <w:rtl/>
        </w:rPr>
        <w:t>ארצית</w:t>
      </w:r>
      <w:r w:rsidRPr="00A81964">
        <w:rPr>
          <w:rtl/>
        </w:rPr>
        <w:t xml:space="preserve"> (להלן - </w:t>
      </w:r>
      <w:r w:rsidRPr="00A81964">
        <w:rPr>
          <w:rFonts w:hint="eastAsia"/>
          <w:rtl/>
        </w:rPr>
        <w:t>מכרז</w:t>
      </w:r>
      <w:r w:rsidRPr="00A81964">
        <w:rPr>
          <w:rtl/>
        </w:rPr>
        <w:t xml:space="preserve"> </w:t>
      </w:r>
      <w:r w:rsidRPr="00A81964">
        <w:rPr>
          <w:rFonts w:hint="eastAsia"/>
          <w:rtl/>
        </w:rPr>
        <w:t>לשירותי</w:t>
      </w:r>
      <w:r w:rsidRPr="00A81964">
        <w:rPr>
          <w:rtl/>
        </w:rPr>
        <w:t xml:space="preserve"> </w:t>
      </w:r>
      <w:r w:rsidRPr="00A81964">
        <w:rPr>
          <w:rFonts w:hint="eastAsia"/>
          <w:rtl/>
        </w:rPr>
        <w:t>מלונאות</w:t>
      </w:r>
      <w:r w:rsidRPr="00A81964">
        <w:rPr>
          <w:rtl/>
        </w:rPr>
        <w:t>)</w:t>
      </w:r>
      <w:r w:rsidRPr="00A81964">
        <w:rPr>
          <w:rFonts w:hint="cs"/>
          <w:rtl/>
        </w:rPr>
        <w:t>.</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עלה</w:t>
      </w:r>
      <w:r w:rsidRPr="00A81964">
        <w:rPr>
          <w:b/>
          <w:bCs/>
          <w:rtl/>
        </w:rPr>
        <w:t xml:space="preserve"> כי על אף המלצת הוועדה</w:t>
      </w:r>
      <w:r w:rsidRPr="00A81964">
        <w:rPr>
          <w:rFonts w:hint="cs"/>
          <w:b/>
          <w:bCs/>
          <w:rtl/>
        </w:rPr>
        <w:t xml:space="preserve"> לפרסום מכרז שירותי מלונאות כבר בשנת 2017</w:t>
      </w:r>
      <w:r w:rsidRPr="00A81964">
        <w:rPr>
          <w:b/>
          <w:bCs/>
          <w:rtl/>
        </w:rPr>
        <w:t xml:space="preserve">, </w:t>
      </w:r>
      <w:r w:rsidRPr="00A81964">
        <w:rPr>
          <w:rFonts w:hint="cs"/>
          <w:b/>
          <w:bCs/>
          <w:rtl/>
        </w:rPr>
        <w:t xml:space="preserve">נכון למועד סיום הביקורת, </w:t>
      </w:r>
      <w:r w:rsidRPr="00A81964">
        <w:rPr>
          <w:rFonts w:hint="eastAsia"/>
          <w:b/>
          <w:bCs/>
          <w:rtl/>
        </w:rPr>
        <w:t>קרן</w:t>
      </w:r>
      <w:r w:rsidRPr="00A81964">
        <w:rPr>
          <w:b/>
          <w:bCs/>
          <w:rtl/>
        </w:rPr>
        <w:t xml:space="preserve"> הפיצויים </w:t>
      </w:r>
      <w:r w:rsidRPr="00A81964">
        <w:rPr>
          <w:rFonts w:hint="eastAsia"/>
          <w:b/>
          <w:bCs/>
          <w:rtl/>
        </w:rPr>
        <w:t>לא</w:t>
      </w:r>
      <w:r w:rsidRPr="00A81964">
        <w:rPr>
          <w:b/>
          <w:bCs/>
          <w:rtl/>
        </w:rPr>
        <w:t xml:space="preserve"> </w:t>
      </w:r>
      <w:r w:rsidRPr="00A81964">
        <w:rPr>
          <w:rFonts w:hint="eastAsia"/>
          <w:b/>
          <w:bCs/>
          <w:rtl/>
        </w:rPr>
        <w:t>פרסמה</w:t>
      </w:r>
      <w:r w:rsidRPr="00A81964">
        <w:rPr>
          <w:b/>
          <w:bCs/>
          <w:rtl/>
        </w:rPr>
        <w:t xml:space="preserve"> </w:t>
      </w:r>
      <w:r w:rsidRPr="00A81964">
        <w:rPr>
          <w:rFonts w:hint="eastAsia"/>
          <w:b/>
          <w:bCs/>
          <w:rtl/>
        </w:rPr>
        <w:t>מכרז</w:t>
      </w:r>
      <w:r w:rsidRPr="00A81964">
        <w:rPr>
          <w:b/>
          <w:bCs/>
          <w:rtl/>
        </w:rPr>
        <w:t xml:space="preserve"> </w:t>
      </w:r>
      <w:r w:rsidRPr="00A81964">
        <w:rPr>
          <w:rFonts w:hint="cs"/>
          <w:b/>
          <w:bCs/>
          <w:rtl/>
        </w:rPr>
        <w:t xml:space="preserve">כזה. </w:t>
      </w:r>
    </w:p>
    <w:p w:rsidR="006252C4" w:rsidRDefault="006252C4" w:rsidP="006252C4">
      <w:pPr>
        <w:pStyle w:val="a8"/>
        <w:spacing w:line="269" w:lineRule="auto"/>
        <w:rPr>
          <w:rtl/>
        </w:rPr>
      </w:pPr>
    </w:p>
    <w:p w:rsidR="006252C4" w:rsidRDefault="006252C4" w:rsidP="006252C4">
      <w:pPr>
        <w:spacing w:line="269" w:lineRule="auto"/>
        <w:rPr>
          <w:rtl/>
        </w:rPr>
      </w:pPr>
      <w:r>
        <w:rPr>
          <w:rFonts w:hint="cs"/>
          <w:rtl/>
        </w:rPr>
        <w:t xml:space="preserve">הרשות מסרה בתשובתה כי בעקבות לקחי מלחמת חרבות ברזל והמסקנה כי לרשות אין דרך לנהל פינויים בהיקף נרחב, פורסם בחודש יוני 2025 </w:t>
      </w:r>
      <w:r w:rsidRPr="000D738B">
        <w:rPr>
          <w:rtl/>
        </w:rPr>
        <w:t>"נוהל בין משרדי למתן מענה ראשוני לדיור חלופי זמני לתושב שביתו ניזוק ואינו ראוי למגורים בעת מלחמה"</w:t>
      </w:r>
      <w:r>
        <w:rPr>
          <w:rFonts w:hint="cs"/>
          <w:rtl/>
        </w:rPr>
        <w:t xml:space="preserve"> (להלן - הנוהל הבין-משרדי). על פי נוהל זה בעת מלחמה, </w:t>
      </w:r>
      <w:r w:rsidRPr="000D738B">
        <w:rPr>
          <w:rtl/>
        </w:rPr>
        <w:t>הפינוי הראשוני ייעשה על ידי הרשות המקומית, בהתאם לכללים שנקבעו בנוהל, וקרן הפיצויים תשפה</w:t>
      </w:r>
      <w:r>
        <w:rPr>
          <w:rFonts w:hint="cs"/>
          <w:rtl/>
        </w:rPr>
        <w:t xml:space="preserve"> את הרשות המקומית</w:t>
      </w:r>
      <w:r w:rsidRPr="000D738B">
        <w:rPr>
          <w:rtl/>
        </w:rPr>
        <w:t xml:space="preserve">. </w:t>
      </w:r>
      <w:r>
        <w:rPr>
          <w:rFonts w:hint="cs"/>
          <w:rtl/>
        </w:rPr>
        <w:t xml:space="preserve">לדעת הרשות </w:t>
      </w:r>
      <w:r w:rsidRPr="000D738B">
        <w:rPr>
          <w:rtl/>
        </w:rPr>
        <w:t xml:space="preserve">נוהל זה עדיף על פרסום מכרז של קרן הפיצויים וניהול הפינויים על </w:t>
      </w:r>
      <w:r>
        <w:rPr>
          <w:rFonts w:hint="cs"/>
          <w:rtl/>
        </w:rPr>
        <w:t>ידה</w:t>
      </w:r>
      <w:r w:rsidRPr="000D738B">
        <w:rPr>
          <w:rtl/>
        </w:rPr>
        <w:t xml:space="preserve">, </w:t>
      </w:r>
      <w:r>
        <w:rPr>
          <w:rFonts w:hint="cs"/>
          <w:rtl/>
        </w:rPr>
        <w:t>הואיל ול</w:t>
      </w:r>
      <w:r w:rsidRPr="000D738B">
        <w:rPr>
          <w:rtl/>
        </w:rPr>
        <w:t>רשות המקומית ישנה היכרות קודמת, רציפה ומעמיקה עם המפונים</w:t>
      </w:r>
      <w:r>
        <w:rPr>
          <w:rFonts w:hint="cs"/>
          <w:rtl/>
        </w:rPr>
        <w:t xml:space="preserve"> ובדרך זו</w:t>
      </w:r>
      <w:r w:rsidRPr="000D738B">
        <w:rPr>
          <w:rtl/>
        </w:rPr>
        <w:t xml:space="preserve"> הקרן תוכל להתמקד בהערכת הנזקים והשיקום.</w:t>
      </w:r>
    </w:p>
    <w:p w:rsidR="006252C4" w:rsidRDefault="006252C4" w:rsidP="006252C4">
      <w:pPr>
        <w:pStyle w:val="a8"/>
        <w:spacing w:line="269" w:lineRule="auto"/>
        <w:rPr>
          <w:rtl/>
        </w:rPr>
      </w:pPr>
    </w:p>
    <w:p w:rsidR="006252C4" w:rsidRPr="00317272" w:rsidRDefault="006252C4" w:rsidP="006252C4">
      <w:pPr>
        <w:spacing w:line="269" w:lineRule="auto"/>
        <w:rPr>
          <w:b/>
          <w:bCs/>
          <w:rtl/>
        </w:rPr>
      </w:pPr>
      <w:r w:rsidRPr="000D738B">
        <w:rPr>
          <w:rFonts w:hint="eastAsia"/>
          <w:b/>
          <w:bCs/>
          <w:rtl/>
        </w:rPr>
        <w:t>מבקר</w:t>
      </w:r>
      <w:r w:rsidRPr="000D738B">
        <w:rPr>
          <w:b/>
          <w:bCs/>
          <w:rtl/>
        </w:rPr>
        <w:t xml:space="preserve"> </w:t>
      </w:r>
      <w:r w:rsidRPr="000D738B">
        <w:rPr>
          <w:rFonts w:hint="eastAsia"/>
          <w:b/>
          <w:bCs/>
          <w:rtl/>
        </w:rPr>
        <w:t>המדינה</w:t>
      </w:r>
      <w:r>
        <w:rPr>
          <w:rFonts w:hint="cs"/>
          <w:b/>
          <w:bCs/>
          <w:rtl/>
        </w:rPr>
        <w:t xml:space="preserve"> ממליץ לרשות המיסים </w:t>
      </w:r>
      <w:r w:rsidRPr="00EC10F9">
        <w:rPr>
          <w:b/>
          <w:bCs/>
          <w:rtl/>
        </w:rPr>
        <w:t>לפרסם מכרז ליצירת מאגר של סוכני נסיעות ובתי מלון בפריסה ארצית, אשר יספקו פתרונות דיור חלופי</w:t>
      </w:r>
      <w:r>
        <w:rPr>
          <w:rFonts w:hint="cs"/>
          <w:b/>
          <w:bCs/>
          <w:rtl/>
        </w:rPr>
        <w:t xml:space="preserve"> </w:t>
      </w:r>
      <w:r w:rsidRPr="001C1C57">
        <w:rPr>
          <w:b/>
          <w:bCs/>
          <w:rtl/>
        </w:rPr>
        <w:t>לדיירים שנקבע כי בתיהם אינם ראויים למגורים גם שלא בתקופות חירום</w:t>
      </w:r>
      <w:r>
        <w:rPr>
          <w:rFonts w:hint="cs"/>
          <w:b/>
          <w:bCs/>
          <w:rtl/>
        </w:rPr>
        <w:t xml:space="preserve">. </w:t>
      </w:r>
    </w:p>
    <w:p w:rsidR="006252C4" w:rsidRDefault="006252C4" w:rsidP="006252C4">
      <w:pPr>
        <w:spacing w:line="269" w:lineRule="auto"/>
        <w:rPr>
          <w:rtl/>
        </w:rPr>
      </w:pPr>
    </w:p>
    <w:p w:rsidR="006252C4" w:rsidRPr="00A81964" w:rsidRDefault="006252C4" w:rsidP="006252C4">
      <w:pPr>
        <w:pStyle w:val="4"/>
        <w:spacing w:before="0" w:line="269" w:lineRule="auto"/>
        <w:rPr>
          <w:rtl/>
        </w:rPr>
      </w:pPr>
      <w:r w:rsidRPr="00A81964">
        <w:rPr>
          <w:rFonts w:hint="cs"/>
          <w:rtl/>
        </w:rPr>
        <w:lastRenderedPageBreak/>
        <w:t>חוות הדעת של בעלי המקצוע</w:t>
      </w:r>
    </w:p>
    <w:p w:rsidR="006252C4" w:rsidRPr="00B713AE" w:rsidRDefault="006252C4" w:rsidP="006252C4">
      <w:pPr>
        <w:spacing w:line="269" w:lineRule="auto"/>
        <w:rPr>
          <w:rtl/>
        </w:rPr>
      </w:pPr>
    </w:p>
    <w:p w:rsidR="006252C4" w:rsidRPr="00844C21" w:rsidRDefault="006252C4" w:rsidP="006252C4">
      <w:pPr>
        <w:pStyle w:val="50"/>
        <w:spacing w:line="269" w:lineRule="auto"/>
        <w:rPr>
          <w:rFonts w:ascii="David" w:hAnsi="David"/>
          <w:rtl/>
        </w:rPr>
      </w:pPr>
      <w:r w:rsidRPr="00844C21">
        <w:rPr>
          <w:rFonts w:ascii="David" w:hAnsi="David"/>
          <w:rtl/>
        </w:rPr>
        <w:t>הבקרות על חוות דעת של בעלי המקצוע</w:t>
      </w:r>
    </w:p>
    <w:p w:rsidR="006252C4" w:rsidRDefault="006252C4" w:rsidP="006252C4">
      <w:pPr>
        <w:pStyle w:val="a8"/>
        <w:spacing w:line="269" w:lineRule="auto"/>
        <w:rPr>
          <w:rtl/>
        </w:rPr>
      </w:pPr>
    </w:p>
    <w:p w:rsidR="006252C4" w:rsidRPr="00844C21" w:rsidRDefault="006252C4" w:rsidP="006252C4">
      <w:pPr>
        <w:spacing w:line="269" w:lineRule="auto"/>
        <w:rPr>
          <w:rtl/>
        </w:rPr>
      </w:pPr>
      <w:r w:rsidRPr="00844C21">
        <w:rPr>
          <w:rtl/>
        </w:rPr>
        <w:t>כאמור, כאשר נגרם לרכוש נזק ישיר, צוותי השטח מגיעים אל אתר הנזק עם שמאים ולעיתים גם עם מהנדסים</w:t>
      </w:r>
      <w:r w:rsidRPr="00844C21">
        <w:rPr>
          <w:rStyle w:val="af2"/>
          <w:rFonts w:ascii="David" w:hAnsi="David"/>
          <w:sz w:val="22"/>
          <w:rtl/>
        </w:rPr>
        <w:footnoteReference w:id="22"/>
      </w:r>
      <w:r w:rsidRPr="00844C21">
        <w:rPr>
          <w:rtl/>
        </w:rPr>
        <w:t xml:space="preserve"> (להלן - בעלי מקצוע) מטעם הקרן. בעלי המקצוע בוחנים את הנזק הישיר ועורכים חוות דעת על "הנזק הממשי" כהגדרתו בתקנות</w:t>
      </w:r>
      <w:r w:rsidRPr="00844C21">
        <w:rPr>
          <w:rStyle w:val="af2"/>
          <w:rFonts w:ascii="David" w:hAnsi="David"/>
          <w:sz w:val="22"/>
          <w:rtl/>
        </w:rPr>
        <w:footnoteReference w:id="23"/>
      </w:r>
      <w:r w:rsidRPr="00844C21">
        <w:rPr>
          <w:rtl/>
        </w:rPr>
        <w:t>. על פי "הנזק הממשי" הם מציינים בחוות הדעת שלהם את התהליך הנדרש לשיקומו ואת סכום הפיצויים שיש לשלם לניזוק (להלן - חוות דעת).</w:t>
      </w:r>
    </w:p>
    <w:p w:rsidR="006252C4" w:rsidRDefault="006252C4" w:rsidP="006252C4">
      <w:pPr>
        <w:pStyle w:val="a8"/>
        <w:spacing w:line="269" w:lineRule="auto"/>
        <w:rPr>
          <w:rtl/>
        </w:rPr>
      </w:pPr>
    </w:p>
    <w:p w:rsidR="006252C4" w:rsidRDefault="006252C4" w:rsidP="006252C4">
      <w:pPr>
        <w:spacing w:line="269" w:lineRule="auto"/>
        <w:rPr>
          <w:rFonts w:ascii="David" w:hAnsi="David"/>
          <w:rtl/>
        </w:rPr>
      </w:pPr>
      <w:r w:rsidRPr="00844C21">
        <w:rPr>
          <w:rFonts w:ascii="David" w:hAnsi="David"/>
          <w:rtl/>
        </w:rPr>
        <w:t>חוות הדעת נשלחות על ידי בעל המקצוע לקרן הפיצויים בדואר אלקטרוני או בהזנה של בעל המקצוע במערכת שבה מתועדות הפניות בגין נזקים ישירים. לצורך אישור תשלום הפיצוי לניזוק ושכר הטרחה לבעל המקצוע מתבצעות שתי בדיקות (להלן - בדיקות לאישור תשלום פיצוי):</w:t>
      </w:r>
    </w:p>
    <w:p w:rsidR="006252C4" w:rsidRDefault="006252C4" w:rsidP="006252C4">
      <w:pPr>
        <w:pStyle w:val="a8"/>
        <w:spacing w:line="269" w:lineRule="auto"/>
        <w:rPr>
          <w:rtl/>
        </w:rPr>
      </w:pPr>
    </w:p>
    <w:p w:rsidR="006252C4" w:rsidRPr="00844C21" w:rsidRDefault="006252C4" w:rsidP="006252C4">
      <w:pPr>
        <w:pStyle w:val="af3"/>
        <w:numPr>
          <w:ilvl w:val="0"/>
          <w:numId w:val="29"/>
        </w:numPr>
        <w:spacing w:line="269" w:lineRule="auto"/>
        <w:ind w:left="312"/>
        <w:rPr>
          <w:rFonts w:ascii="David" w:hAnsi="David"/>
        </w:rPr>
      </w:pPr>
      <w:r w:rsidRPr="00844C21">
        <w:rPr>
          <w:rStyle w:val="70"/>
          <w:rFonts w:ascii="David" w:hAnsi="David"/>
          <w:rtl/>
        </w:rPr>
        <w:t>בדיקת "אישור ראשון" (להלן - אישור ראשון):</w:t>
      </w:r>
      <w:r w:rsidRPr="00844C21">
        <w:rPr>
          <w:rFonts w:ascii="David" w:hAnsi="David"/>
          <w:rtl/>
        </w:rPr>
        <w:t xml:space="preserve"> בדיקה טכנית שבמהלכה נבדקים הפרטים והנתונים שנכללו בהגשת התביעה ובחוות הדעת. אם עובד ביצע בדיקת אישור ראשון וזיהה אי-סבירות חריגה בחוות הדעת, עליו לדווח על כך לממונים עליו.</w:t>
      </w:r>
    </w:p>
    <w:p w:rsidR="006252C4" w:rsidRDefault="006252C4" w:rsidP="006252C4">
      <w:pPr>
        <w:pStyle w:val="a8"/>
        <w:spacing w:line="269" w:lineRule="auto"/>
        <w:rPr>
          <w:rtl/>
        </w:rPr>
      </w:pPr>
    </w:p>
    <w:p w:rsidR="006252C4" w:rsidRPr="000E5AF0" w:rsidRDefault="006252C4" w:rsidP="006252C4">
      <w:pPr>
        <w:pStyle w:val="af3"/>
        <w:numPr>
          <w:ilvl w:val="0"/>
          <w:numId w:val="29"/>
        </w:numPr>
        <w:spacing w:line="269" w:lineRule="auto"/>
        <w:ind w:left="312"/>
      </w:pPr>
      <w:r w:rsidRPr="00844C21">
        <w:rPr>
          <w:rStyle w:val="70"/>
          <w:rFonts w:ascii="David" w:hAnsi="David"/>
          <w:rtl/>
        </w:rPr>
        <w:t>בדיקת "אישור שני" (להלן - אישור שני):</w:t>
      </w:r>
      <w:r w:rsidRPr="00844C21">
        <w:rPr>
          <w:rFonts w:ascii="David" w:hAnsi="David"/>
          <w:rtl/>
        </w:rPr>
        <w:t xml:space="preserve"> בדיקה מהותית שבמהלכה נבחנת סבירותם של היקף הנזק ושווי הנזק כפי שנקבעו בחוות הדעת של בעל המקצוע, נתונים שעל בסיסם קבע השמאי את סכום הפיצוי שיש לשלם</w:t>
      </w:r>
      <w:r w:rsidRPr="00A81964">
        <w:rPr>
          <w:rFonts w:ascii="David" w:hAnsi="David" w:hint="cs"/>
          <w:rtl/>
        </w:rPr>
        <w:t xml:space="preserve"> לניזוק</w:t>
      </w:r>
      <w:r w:rsidRPr="00A81964">
        <w:rPr>
          <w:rFonts w:ascii="David" w:hAnsi="David"/>
          <w:rtl/>
        </w:rPr>
        <w:t>. הבדיקה מבוצעת על ידי עובדים מנוסים</w:t>
      </w:r>
      <w:r w:rsidRPr="00A81964">
        <w:rPr>
          <w:rFonts w:ascii="David" w:hAnsi="David" w:hint="cs"/>
          <w:rtl/>
        </w:rPr>
        <w:t xml:space="preserve"> יותר,</w:t>
      </w:r>
      <w:r w:rsidRPr="00A81964">
        <w:rPr>
          <w:rFonts w:ascii="David" w:hAnsi="David"/>
          <w:rtl/>
        </w:rPr>
        <w:t xml:space="preserve"> בהתאם למדרג הרשאות שהוגדר מראש.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בנוהל נכתב כי "</w:t>
      </w:r>
      <w:r w:rsidRPr="00A81964">
        <w:rPr>
          <w:rtl/>
        </w:rPr>
        <w:t>מתן כל אחד מהאישורים הנ"ל,</w:t>
      </w:r>
      <w:r w:rsidRPr="00A81964">
        <w:rPr>
          <w:rFonts w:hint="cs"/>
          <w:rtl/>
        </w:rPr>
        <w:t xml:space="preserve"> </w:t>
      </w:r>
      <w:r w:rsidRPr="00A81964">
        <w:rPr>
          <w:rtl/>
        </w:rPr>
        <w:t>מעיד כי המאשר ערך את הבדיקות הנדרשות, ושוכנע כי</w:t>
      </w:r>
      <w:r w:rsidRPr="00A81964">
        <w:rPr>
          <w:rFonts w:hint="cs"/>
          <w:rtl/>
        </w:rPr>
        <w:t xml:space="preserve"> </w:t>
      </w:r>
      <w:r w:rsidRPr="00A81964">
        <w:rPr>
          <w:rtl/>
        </w:rPr>
        <w:t>התשלום שאושר על ידו, אכן תואם את הוראות החוק והתקנות</w:t>
      </w:r>
      <w:r w:rsidRPr="00A81964">
        <w:rPr>
          <w:rFonts w:hint="cs"/>
          <w:rtl/>
        </w:rPr>
        <w:t>...</w:t>
      </w:r>
      <w:r w:rsidRPr="00A81964">
        <w:rPr>
          <w:rtl/>
        </w:rPr>
        <w:t xml:space="preserve"> גם במקרים בהם המאשר מסתמך בקביעת הפיצוי על חוות דעת מומחים ו/או</w:t>
      </w:r>
      <w:r w:rsidRPr="00A81964">
        <w:rPr>
          <w:rFonts w:hint="cs"/>
          <w:rtl/>
        </w:rPr>
        <w:t xml:space="preserve"> </w:t>
      </w:r>
      <w:r w:rsidRPr="00A81964">
        <w:rPr>
          <w:rtl/>
        </w:rPr>
        <w:t>שמאים</w:t>
      </w:r>
      <w:r w:rsidRPr="00A81964">
        <w:rPr>
          <w:rFonts w:hint="cs"/>
          <w:rtl/>
        </w:rPr>
        <w:t>".</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eastAsia"/>
          <w:b/>
          <w:bCs/>
          <w:rtl/>
        </w:rPr>
        <w:t>בשיחות</w:t>
      </w:r>
      <w:r w:rsidRPr="00A81964">
        <w:rPr>
          <w:b/>
          <w:bCs/>
          <w:rtl/>
        </w:rPr>
        <w:t xml:space="preserve"> שקיים צוות הביקורת </w:t>
      </w:r>
      <w:r w:rsidRPr="00A81964">
        <w:rPr>
          <w:rFonts w:hint="eastAsia"/>
          <w:b/>
          <w:bCs/>
          <w:rtl/>
        </w:rPr>
        <w:t>עם</w:t>
      </w:r>
      <w:r w:rsidRPr="00A81964">
        <w:rPr>
          <w:b/>
          <w:bCs/>
          <w:rtl/>
        </w:rPr>
        <w:t xml:space="preserve"> נציגי קרן הפיצויים נמסר כי </w:t>
      </w:r>
      <w:r w:rsidRPr="00412A7D">
        <w:rPr>
          <w:rFonts w:hint="eastAsia"/>
          <w:b/>
          <w:bCs/>
          <w:rtl/>
        </w:rPr>
        <w:t>רק</w:t>
      </w:r>
      <w:r w:rsidRPr="00412A7D">
        <w:rPr>
          <w:b/>
          <w:bCs/>
          <w:rtl/>
        </w:rPr>
        <w:t xml:space="preserve"> </w:t>
      </w:r>
      <w:r w:rsidRPr="00412A7D">
        <w:rPr>
          <w:rFonts w:hint="eastAsia"/>
          <w:b/>
          <w:bCs/>
          <w:rtl/>
        </w:rPr>
        <w:t>במקרים</w:t>
      </w:r>
      <w:r w:rsidRPr="00412A7D">
        <w:rPr>
          <w:b/>
          <w:bCs/>
          <w:rtl/>
        </w:rPr>
        <w:t xml:space="preserve"> </w:t>
      </w:r>
      <w:r w:rsidRPr="00412A7D">
        <w:rPr>
          <w:rFonts w:hint="eastAsia"/>
          <w:b/>
          <w:bCs/>
          <w:rtl/>
        </w:rPr>
        <w:t>בודדים</w:t>
      </w:r>
      <w:r w:rsidRPr="00A81964">
        <w:rPr>
          <w:b/>
          <w:bCs/>
          <w:rtl/>
        </w:rPr>
        <w:t xml:space="preserve"> ביקשו עובדי הקרן חוות דעת נוספת מבעל מקצוע אחר, והבקרה על תשלומי הפיצויים בגין נזקים ישירים מתבססת על </w:t>
      </w:r>
      <w:r w:rsidRPr="00412A7D">
        <w:rPr>
          <w:rFonts w:hint="eastAsia"/>
          <w:b/>
          <w:bCs/>
          <w:rtl/>
        </w:rPr>
        <w:t>בדיקות</w:t>
      </w:r>
      <w:r w:rsidRPr="00412A7D">
        <w:rPr>
          <w:b/>
          <w:bCs/>
          <w:rtl/>
        </w:rPr>
        <w:t xml:space="preserve"> </w:t>
      </w:r>
      <w:r w:rsidRPr="00412A7D">
        <w:rPr>
          <w:rFonts w:hint="eastAsia"/>
          <w:b/>
          <w:bCs/>
          <w:rtl/>
        </w:rPr>
        <w:t>שמבצעים</w:t>
      </w:r>
      <w:r w:rsidRPr="00412A7D">
        <w:rPr>
          <w:b/>
          <w:bCs/>
          <w:rtl/>
        </w:rPr>
        <w:t xml:space="preserve"> </w:t>
      </w:r>
      <w:r w:rsidRPr="00412A7D">
        <w:rPr>
          <w:rFonts w:hint="eastAsia"/>
          <w:b/>
          <w:bCs/>
          <w:rtl/>
        </w:rPr>
        <w:t>עובדי</w:t>
      </w:r>
      <w:r w:rsidRPr="00412A7D">
        <w:rPr>
          <w:b/>
          <w:bCs/>
          <w:rtl/>
        </w:rPr>
        <w:t xml:space="preserve"> </w:t>
      </w:r>
      <w:r w:rsidRPr="00412A7D">
        <w:rPr>
          <w:rFonts w:hint="eastAsia"/>
          <w:b/>
          <w:bCs/>
          <w:rtl/>
        </w:rPr>
        <w:t>הקרן</w:t>
      </w:r>
      <w:r w:rsidRPr="00A81964">
        <w:rPr>
          <w:b/>
          <w:bCs/>
          <w:rtl/>
        </w:rPr>
        <w:t xml:space="preserve">, </w:t>
      </w:r>
      <w:r w:rsidRPr="00A81964">
        <w:rPr>
          <w:rFonts w:hint="eastAsia"/>
          <w:b/>
          <w:bCs/>
          <w:rtl/>
        </w:rPr>
        <w:t>בין</w:t>
      </w:r>
      <w:r w:rsidRPr="00A81964">
        <w:rPr>
          <w:b/>
          <w:bCs/>
          <w:rtl/>
        </w:rPr>
        <w:t xml:space="preserve"> </w:t>
      </w:r>
      <w:r w:rsidRPr="00A81964">
        <w:rPr>
          <w:rFonts w:hint="eastAsia"/>
          <w:b/>
          <w:bCs/>
          <w:rtl/>
        </w:rPr>
        <w:t>היתר</w:t>
      </w:r>
      <w:r w:rsidRPr="00A81964">
        <w:rPr>
          <w:b/>
          <w:bCs/>
          <w:rtl/>
        </w:rPr>
        <w:t xml:space="preserve">, </w:t>
      </w:r>
      <w:r w:rsidRPr="00A81964">
        <w:rPr>
          <w:rFonts w:hint="eastAsia"/>
          <w:b/>
          <w:bCs/>
          <w:rtl/>
        </w:rPr>
        <w:t>באמצעות</w:t>
      </w:r>
      <w:r w:rsidRPr="00A81964">
        <w:rPr>
          <w:b/>
          <w:bCs/>
          <w:rtl/>
        </w:rPr>
        <w:t xml:space="preserve"> </w:t>
      </w:r>
      <w:r w:rsidRPr="00A81964">
        <w:rPr>
          <w:rFonts w:hint="eastAsia"/>
          <w:b/>
          <w:bCs/>
          <w:rtl/>
        </w:rPr>
        <w:t>ניסיונם</w:t>
      </w:r>
      <w:r w:rsidRPr="00A81964">
        <w:rPr>
          <w:b/>
          <w:bCs/>
          <w:rtl/>
        </w:rPr>
        <w:t xml:space="preserve"> המקצועי והכשרות שקיבלו בתחומים של שמאות מבנה, תכולה, מלאי וחקלאות (להלן - תחום שמאות הרכוש).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eastAsia"/>
          <w:b/>
          <w:bCs/>
          <w:rtl/>
        </w:rPr>
        <w:t>עוד</w:t>
      </w:r>
      <w:r w:rsidRPr="00A81964">
        <w:rPr>
          <w:b/>
          <w:bCs/>
          <w:rtl/>
        </w:rPr>
        <w:t xml:space="preserve"> </w:t>
      </w:r>
      <w:r w:rsidRPr="00A81964">
        <w:rPr>
          <w:rFonts w:hint="eastAsia"/>
          <w:b/>
          <w:bCs/>
          <w:rtl/>
        </w:rPr>
        <w:t>נמסר</w:t>
      </w:r>
      <w:r w:rsidRPr="00A81964">
        <w:rPr>
          <w:b/>
          <w:bCs/>
          <w:rtl/>
        </w:rPr>
        <w:t xml:space="preserve"> </w:t>
      </w:r>
      <w:r w:rsidRPr="00A81964">
        <w:rPr>
          <w:rFonts w:hint="eastAsia"/>
          <w:b/>
          <w:bCs/>
          <w:rtl/>
        </w:rPr>
        <w:t>כי</w:t>
      </w:r>
      <w:r w:rsidRPr="00A81964">
        <w:rPr>
          <w:b/>
          <w:bCs/>
          <w:rtl/>
        </w:rPr>
        <w:t xml:space="preserve"> </w:t>
      </w:r>
      <w:r w:rsidRPr="00A81964">
        <w:rPr>
          <w:rFonts w:hint="eastAsia"/>
          <w:b/>
          <w:bCs/>
          <w:rtl/>
        </w:rPr>
        <w:t>הערכת</w:t>
      </w:r>
      <w:r w:rsidRPr="00A81964">
        <w:rPr>
          <w:b/>
          <w:bCs/>
          <w:rtl/>
        </w:rPr>
        <w:t xml:space="preserve"> </w:t>
      </w:r>
      <w:r w:rsidRPr="00A81964">
        <w:rPr>
          <w:rFonts w:hint="eastAsia"/>
          <w:b/>
          <w:bCs/>
          <w:rtl/>
        </w:rPr>
        <w:t>הנזק</w:t>
      </w:r>
      <w:r w:rsidRPr="00A81964">
        <w:rPr>
          <w:b/>
          <w:bCs/>
          <w:rtl/>
        </w:rPr>
        <w:t xml:space="preserve"> </w:t>
      </w:r>
      <w:r w:rsidRPr="00A81964">
        <w:rPr>
          <w:rFonts w:hint="eastAsia"/>
          <w:b/>
          <w:bCs/>
          <w:rtl/>
        </w:rPr>
        <w:t>הישיר</w:t>
      </w:r>
      <w:r w:rsidRPr="00A81964">
        <w:rPr>
          <w:b/>
          <w:bCs/>
          <w:rtl/>
        </w:rPr>
        <w:t xml:space="preserve"> </w:t>
      </w:r>
      <w:r w:rsidRPr="00A81964">
        <w:rPr>
          <w:rFonts w:hint="eastAsia"/>
          <w:b/>
          <w:bCs/>
          <w:rtl/>
        </w:rPr>
        <w:t>בתחום</w:t>
      </w:r>
      <w:r w:rsidRPr="00A81964">
        <w:rPr>
          <w:b/>
          <w:bCs/>
          <w:rtl/>
        </w:rPr>
        <w:t xml:space="preserve"> </w:t>
      </w:r>
      <w:r w:rsidRPr="00A81964">
        <w:rPr>
          <w:rFonts w:hint="eastAsia"/>
          <w:b/>
          <w:bCs/>
          <w:rtl/>
        </w:rPr>
        <w:t>הרכב</w:t>
      </w:r>
      <w:r w:rsidRPr="00A81964">
        <w:rPr>
          <w:b/>
          <w:bCs/>
          <w:rtl/>
        </w:rPr>
        <w:t xml:space="preserve"> (להלן - </w:t>
      </w:r>
      <w:r w:rsidRPr="00A81964">
        <w:rPr>
          <w:rFonts w:hint="eastAsia"/>
          <w:b/>
          <w:bCs/>
          <w:rtl/>
        </w:rPr>
        <w:t>תחום</w:t>
      </w:r>
      <w:r w:rsidRPr="00A81964">
        <w:rPr>
          <w:b/>
          <w:bCs/>
          <w:rtl/>
        </w:rPr>
        <w:t xml:space="preserve"> </w:t>
      </w:r>
      <w:r w:rsidRPr="00A81964">
        <w:rPr>
          <w:rFonts w:hint="eastAsia"/>
          <w:b/>
          <w:bCs/>
          <w:rtl/>
        </w:rPr>
        <w:t>הרכב</w:t>
      </w:r>
      <w:r w:rsidRPr="00A81964">
        <w:rPr>
          <w:b/>
          <w:bCs/>
          <w:rtl/>
        </w:rPr>
        <w:t xml:space="preserve">) </w:t>
      </w:r>
      <w:r w:rsidRPr="00A81964">
        <w:rPr>
          <w:rFonts w:hint="eastAsia"/>
          <w:b/>
          <w:bCs/>
          <w:rtl/>
        </w:rPr>
        <w:t>מורכבת</w:t>
      </w:r>
      <w:r w:rsidRPr="00A81964">
        <w:rPr>
          <w:b/>
          <w:bCs/>
          <w:rtl/>
        </w:rPr>
        <w:t xml:space="preserve"> </w:t>
      </w:r>
      <w:r w:rsidRPr="00A81964">
        <w:rPr>
          <w:rFonts w:hint="eastAsia"/>
          <w:b/>
          <w:bCs/>
          <w:rtl/>
        </w:rPr>
        <w:t>יותר</w:t>
      </w:r>
      <w:r w:rsidRPr="00A81964">
        <w:rPr>
          <w:b/>
          <w:bCs/>
          <w:rtl/>
        </w:rPr>
        <w:t xml:space="preserve"> </w:t>
      </w:r>
      <w:r w:rsidRPr="00A81964">
        <w:rPr>
          <w:rFonts w:hint="eastAsia"/>
          <w:b/>
          <w:bCs/>
          <w:rtl/>
        </w:rPr>
        <w:t>מתחום</w:t>
      </w:r>
      <w:r w:rsidRPr="00A81964">
        <w:rPr>
          <w:b/>
          <w:bCs/>
          <w:rtl/>
        </w:rPr>
        <w:t xml:space="preserve"> </w:t>
      </w:r>
      <w:r w:rsidRPr="00A81964">
        <w:rPr>
          <w:rFonts w:hint="eastAsia"/>
          <w:b/>
          <w:bCs/>
          <w:rtl/>
        </w:rPr>
        <w:t>הרכוש</w:t>
      </w:r>
      <w:r w:rsidRPr="00A81964">
        <w:rPr>
          <w:b/>
          <w:bCs/>
          <w:rtl/>
        </w:rPr>
        <w:t xml:space="preserve">, </w:t>
      </w:r>
      <w:r w:rsidRPr="00A81964">
        <w:rPr>
          <w:rFonts w:hint="eastAsia"/>
          <w:b/>
          <w:bCs/>
          <w:rtl/>
        </w:rPr>
        <w:t>ולצורך</w:t>
      </w:r>
      <w:r w:rsidRPr="00A81964">
        <w:rPr>
          <w:b/>
          <w:bCs/>
          <w:rtl/>
        </w:rPr>
        <w:t xml:space="preserve"> </w:t>
      </w:r>
      <w:r w:rsidRPr="00A81964">
        <w:rPr>
          <w:rFonts w:hint="eastAsia"/>
          <w:b/>
          <w:bCs/>
          <w:rtl/>
        </w:rPr>
        <w:t>הערכת</w:t>
      </w:r>
      <w:r w:rsidRPr="00A81964">
        <w:rPr>
          <w:b/>
          <w:bCs/>
          <w:rtl/>
        </w:rPr>
        <w:t xml:space="preserve"> </w:t>
      </w:r>
      <w:r w:rsidRPr="00A81964">
        <w:rPr>
          <w:rFonts w:hint="eastAsia"/>
          <w:b/>
          <w:bCs/>
          <w:rtl/>
        </w:rPr>
        <w:t>הנזק</w:t>
      </w:r>
      <w:r w:rsidRPr="00A81964">
        <w:rPr>
          <w:b/>
          <w:bCs/>
          <w:rtl/>
        </w:rPr>
        <w:t xml:space="preserve"> </w:t>
      </w:r>
      <w:r w:rsidRPr="00A81964">
        <w:rPr>
          <w:rFonts w:hint="eastAsia"/>
          <w:b/>
          <w:bCs/>
          <w:rtl/>
        </w:rPr>
        <w:t>ושווי</w:t>
      </w:r>
      <w:r w:rsidRPr="00A81964">
        <w:rPr>
          <w:b/>
          <w:bCs/>
          <w:rtl/>
        </w:rPr>
        <w:t xml:space="preserve"> </w:t>
      </w:r>
      <w:r w:rsidRPr="00A81964">
        <w:rPr>
          <w:rFonts w:hint="eastAsia"/>
          <w:b/>
          <w:bCs/>
          <w:rtl/>
        </w:rPr>
        <w:t>הפיצוי</w:t>
      </w:r>
      <w:r w:rsidRPr="00A81964">
        <w:rPr>
          <w:b/>
          <w:bCs/>
          <w:rtl/>
        </w:rPr>
        <w:t xml:space="preserve"> </w:t>
      </w:r>
      <w:r w:rsidRPr="00A81964">
        <w:rPr>
          <w:rFonts w:hint="eastAsia"/>
          <w:b/>
          <w:bCs/>
          <w:rtl/>
        </w:rPr>
        <w:t>נדרש</w:t>
      </w:r>
      <w:r w:rsidRPr="00A81964">
        <w:rPr>
          <w:b/>
          <w:bCs/>
          <w:rtl/>
        </w:rPr>
        <w:t xml:space="preserve">, </w:t>
      </w:r>
      <w:r w:rsidRPr="00A81964">
        <w:rPr>
          <w:rFonts w:hint="eastAsia"/>
          <w:b/>
          <w:bCs/>
          <w:rtl/>
        </w:rPr>
        <w:t>בין</w:t>
      </w:r>
      <w:r w:rsidRPr="00A81964">
        <w:rPr>
          <w:b/>
          <w:bCs/>
          <w:rtl/>
        </w:rPr>
        <w:t xml:space="preserve"> </w:t>
      </w:r>
      <w:r w:rsidRPr="00A81964">
        <w:rPr>
          <w:rFonts w:hint="eastAsia"/>
          <w:b/>
          <w:bCs/>
          <w:rtl/>
        </w:rPr>
        <w:t>היתר</w:t>
      </w:r>
      <w:r w:rsidRPr="00A81964">
        <w:rPr>
          <w:b/>
          <w:bCs/>
          <w:rtl/>
        </w:rPr>
        <w:t xml:space="preserve">, </w:t>
      </w:r>
      <w:r w:rsidRPr="00A81964">
        <w:rPr>
          <w:rFonts w:hint="eastAsia"/>
          <w:b/>
          <w:bCs/>
          <w:rtl/>
        </w:rPr>
        <w:t>ידע</w:t>
      </w:r>
      <w:r w:rsidRPr="00A81964">
        <w:rPr>
          <w:b/>
          <w:bCs/>
          <w:rtl/>
        </w:rPr>
        <w:t xml:space="preserve"> </w:t>
      </w:r>
      <w:r w:rsidRPr="00A81964">
        <w:rPr>
          <w:rFonts w:hint="eastAsia"/>
          <w:b/>
          <w:bCs/>
          <w:rtl/>
        </w:rPr>
        <w:t>במכונאות</w:t>
      </w:r>
      <w:r w:rsidRPr="00A81964">
        <w:rPr>
          <w:b/>
          <w:bCs/>
          <w:rtl/>
        </w:rPr>
        <w:t>.</w:t>
      </w:r>
      <w:r w:rsidRPr="00A81964">
        <w:rPr>
          <w:rFonts w:hint="cs"/>
          <w:b/>
          <w:bCs/>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lastRenderedPageBreak/>
        <w:t>יוצא</w:t>
      </w:r>
      <w:r w:rsidRPr="00A81964">
        <w:rPr>
          <w:b/>
          <w:bCs/>
          <w:rtl/>
        </w:rPr>
        <w:t xml:space="preserve"> כי עובדי קרן הפיצויים</w:t>
      </w:r>
      <w:r w:rsidRPr="00A81964">
        <w:rPr>
          <w:rFonts w:hint="cs"/>
          <w:b/>
          <w:bCs/>
          <w:rtl/>
        </w:rPr>
        <w:t xml:space="preserve"> מאשרים את חוות הדעת של בעלי המקצוע בתחום שמאות הרכב בלי שיש להם </w:t>
      </w:r>
      <w:r w:rsidRPr="00A81964">
        <w:rPr>
          <w:b/>
          <w:bCs/>
          <w:rtl/>
        </w:rPr>
        <w:t>הכשרה מתאימה</w:t>
      </w:r>
      <w:r w:rsidRPr="00A81964">
        <w:rPr>
          <w:rFonts w:hint="cs"/>
          <w:b/>
          <w:bCs/>
          <w:rtl/>
        </w:rPr>
        <w:t xml:space="preserve"> לכך</w:t>
      </w:r>
      <w:r w:rsidRPr="00A81964">
        <w:rPr>
          <w:b/>
          <w:bCs/>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בדוח הוועדה לנזק ישיר משנת 2017 </w:t>
      </w:r>
      <w:r w:rsidRPr="00412A7D">
        <w:rPr>
          <w:rFonts w:hint="cs"/>
          <w:rtl/>
        </w:rPr>
        <w:t>הומלץ</w:t>
      </w:r>
      <w:r w:rsidRPr="00A81964">
        <w:rPr>
          <w:rFonts w:hint="cs"/>
          <w:rtl/>
        </w:rPr>
        <w:t xml:space="preserve"> על "הכשרת כ-50 עובדים בקורס שמאי רכוש וחקלאות אשר יפקחו על עבודת השמאים החיצוניים ויערכו חוות דעת בעצמם" (להלן - הכשרה בתחום שמאות רכוש).</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בשנים 2019 - 2022 עברו </w:t>
      </w:r>
      <w:r w:rsidRPr="00412A7D">
        <w:rPr>
          <w:rFonts w:hint="cs"/>
          <w:rtl/>
        </w:rPr>
        <w:t>50 מעובדי רשות המיסים</w:t>
      </w:r>
      <w:r w:rsidRPr="00A81964">
        <w:rPr>
          <w:rFonts w:hint="cs"/>
          <w:rtl/>
        </w:rPr>
        <w:t xml:space="preserve"> הכשרה בתחום שמאות הרכוש, חלקם עובדי קרן הפיצויים וחלקם עובדי יחידות אחרות ברשות המיסים, לצורך סיוע לעבודת הקרן בשעת הצורך.</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להלן בתרשים 8 מוצגת התפלגות האישורים השניים לתשלומי הפיצויים בגין נזקים ישירים (ללא נזקים לרכבים) מתוך כלל האישורים בהתאם להכשרת העובדים המאשרים בתחום שמאות הרכוש, נכון לסוף חודש יולי 2024.</w:t>
      </w:r>
    </w:p>
    <w:p w:rsidR="006252C4" w:rsidRDefault="006252C4" w:rsidP="006252C4">
      <w:pPr>
        <w:pStyle w:val="a8"/>
        <w:spacing w:line="269" w:lineRule="auto"/>
        <w:rPr>
          <w:rtl/>
        </w:rPr>
      </w:pPr>
    </w:p>
    <w:p w:rsidR="006252C4" w:rsidRPr="00A81964" w:rsidRDefault="006252C4" w:rsidP="006252C4">
      <w:pPr>
        <w:keepNext/>
        <w:keepLines/>
        <w:spacing w:line="269" w:lineRule="auto"/>
        <w:jc w:val="center"/>
        <w:rPr>
          <w:rtl/>
        </w:rPr>
      </w:pPr>
      <w:r w:rsidRPr="00A81964">
        <w:rPr>
          <w:rFonts w:hint="eastAsia"/>
          <w:rtl/>
        </w:rPr>
        <w:t>תרשים</w:t>
      </w:r>
      <w:r w:rsidRPr="00A81964">
        <w:rPr>
          <w:rtl/>
        </w:rPr>
        <w:t xml:space="preserve"> 8:</w:t>
      </w:r>
      <w:r w:rsidRPr="00A81964">
        <w:rPr>
          <w:b/>
          <w:bCs/>
          <w:rtl/>
        </w:rPr>
        <w:t xml:space="preserve"> התפלגות האישורים השניים </w:t>
      </w:r>
      <w:r w:rsidRPr="00A81964">
        <w:rPr>
          <w:rFonts w:hint="cs"/>
          <w:b/>
          <w:bCs/>
          <w:rtl/>
        </w:rPr>
        <w:t xml:space="preserve">מתוך כלל האישורים </w:t>
      </w:r>
      <w:r w:rsidRPr="00A81964">
        <w:rPr>
          <w:b/>
          <w:bCs/>
          <w:rtl/>
        </w:rPr>
        <w:t xml:space="preserve">לפי הכשרת העובדים המאשרים בתחום שמאות הרכוש, נכון </w:t>
      </w:r>
      <w:r w:rsidRPr="00981452">
        <w:rPr>
          <w:b/>
          <w:bCs/>
          <w:rtl/>
        </w:rPr>
        <w:t>לסוף חודש יולי 2024</w:t>
      </w:r>
      <w:r w:rsidRPr="00F35441">
        <w:rPr>
          <w:b/>
          <w:bCs/>
          <w:rtl/>
        </w:rPr>
        <w:t xml:space="preserve">, </w:t>
      </w:r>
      <w:r w:rsidRPr="00F35441">
        <w:rPr>
          <w:rFonts w:hint="eastAsia"/>
          <w:b/>
          <w:bCs/>
          <w:rtl/>
        </w:rPr>
        <w:t>במיליוני</w:t>
      </w:r>
      <w:r w:rsidRPr="00F35441">
        <w:rPr>
          <w:b/>
          <w:bCs/>
          <w:rtl/>
        </w:rPr>
        <w:t xml:space="preserve"> </w:t>
      </w:r>
      <w:r w:rsidRPr="00F35441">
        <w:rPr>
          <w:rFonts w:hint="eastAsia"/>
          <w:b/>
          <w:bCs/>
          <w:rtl/>
        </w:rPr>
        <w:t>ש</w:t>
      </w:r>
      <w:r w:rsidRPr="00F35441">
        <w:rPr>
          <w:b/>
          <w:bCs/>
          <w:rtl/>
        </w:rPr>
        <w:t>"ח</w:t>
      </w:r>
    </w:p>
    <w:p w:rsidR="006252C4" w:rsidRPr="00A81964" w:rsidRDefault="006252C4" w:rsidP="006252C4">
      <w:pPr>
        <w:spacing w:line="269" w:lineRule="auto"/>
        <w:jc w:val="center"/>
        <w:rPr>
          <w:rtl/>
        </w:rPr>
      </w:pPr>
      <w:bookmarkStart w:id="20" w:name="_GoBack"/>
      <w:r>
        <w:rPr>
          <w:noProof/>
        </w:rPr>
        <w:drawing>
          <wp:inline distT="0" distB="0" distL="0" distR="0" wp14:anchorId="20581A2F" wp14:editId="6EF14AFF">
            <wp:extent cx="4879340" cy="2390775"/>
            <wp:effectExtent l="0" t="0" r="0" b="9525"/>
            <wp:docPr id="29" name="תמונה 2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110" b="7890"/>
                    <a:stretch/>
                  </pic:blipFill>
                  <pic:spPr bwMode="auto">
                    <a:xfrm>
                      <a:off x="0" y="0"/>
                      <a:ext cx="4891125" cy="2396549"/>
                    </a:xfrm>
                    <a:prstGeom prst="rect">
                      <a:avLst/>
                    </a:prstGeom>
                    <a:noFill/>
                    <a:ln>
                      <a:noFill/>
                    </a:ln>
                    <a:extLst>
                      <a:ext uri="{53640926-AAD7-44D8-BBD7-CCE9431645EC}">
                        <a14:shadowObscured xmlns:a14="http://schemas.microsoft.com/office/drawing/2010/main"/>
                      </a:ext>
                    </a:extLst>
                  </pic:spPr>
                </pic:pic>
              </a:graphicData>
            </a:graphic>
          </wp:inline>
        </w:drawing>
      </w:r>
      <w:bookmarkEnd w:id="20"/>
    </w:p>
    <w:p w:rsidR="006252C4" w:rsidRPr="00A81964" w:rsidRDefault="006252C4" w:rsidP="006252C4">
      <w:pPr>
        <w:spacing w:line="269" w:lineRule="auto"/>
        <w:rPr>
          <w:sz w:val="16"/>
          <w:szCs w:val="20"/>
          <w:rtl/>
        </w:rPr>
      </w:pPr>
      <w:r w:rsidRPr="00A81964">
        <w:rPr>
          <w:rFonts w:hint="cs"/>
          <w:sz w:val="16"/>
          <w:szCs w:val="20"/>
          <w:rtl/>
        </w:rPr>
        <w:t xml:space="preserve">על פי נתוני </w:t>
      </w:r>
      <w:r w:rsidRPr="00412A7D">
        <w:rPr>
          <w:rFonts w:hint="cs"/>
          <w:sz w:val="16"/>
          <w:szCs w:val="20"/>
          <w:rtl/>
        </w:rPr>
        <w:t>רשות המיסים, בעיבוד משרד מבקר המדינה</w:t>
      </w:r>
      <w:r w:rsidRPr="00A81964">
        <w:rPr>
          <w:rFonts w:hint="cs"/>
          <w:sz w:val="16"/>
          <w:szCs w:val="20"/>
          <w:rtl/>
        </w:rPr>
        <w:t>.</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eastAsia"/>
          <w:b/>
          <w:bCs/>
          <w:rtl/>
        </w:rPr>
        <w:t>מהתרשים</w:t>
      </w:r>
      <w:r w:rsidRPr="00A81964">
        <w:rPr>
          <w:b/>
          <w:bCs/>
          <w:rtl/>
        </w:rPr>
        <w:t xml:space="preserve"> עולה כי </w:t>
      </w:r>
      <w:r w:rsidRPr="00A81964">
        <w:rPr>
          <w:rFonts w:hint="cs"/>
          <w:b/>
          <w:bCs/>
          <w:rtl/>
        </w:rPr>
        <w:t xml:space="preserve">עובדי קרן הפיצויים שלא קיבלו הכשרה בתחום שמאות הרכוש אישרו </w:t>
      </w:r>
      <w:r w:rsidRPr="00A81964">
        <w:rPr>
          <w:rFonts w:hint="eastAsia"/>
          <w:b/>
          <w:bCs/>
          <w:rtl/>
        </w:rPr>
        <w:t>כשני</w:t>
      </w:r>
      <w:r w:rsidRPr="00A81964">
        <w:rPr>
          <w:b/>
          <w:bCs/>
          <w:rtl/>
        </w:rPr>
        <w:t xml:space="preserve"> </w:t>
      </w:r>
      <w:r w:rsidRPr="00A81964">
        <w:rPr>
          <w:rFonts w:hint="eastAsia"/>
          <w:b/>
          <w:bCs/>
          <w:rtl/>
        </w:rPr>
        <w:t>שלישים</w:t>
      </w:r>
      <w:r w:rsidRPr="00A81964">
        <w:rPr>
          <w:b/>
          <w:bCs/>
          <w:rtl/>
        </w:rPr>
        <w:t xml:space="preserve"> </w:t>
      </w:r>
      <w:r w:rsidRPr="00A81964">
        <w:rPr>
          <w:rFonts w:hint="eastAsia"/>
          <w:b/>
          <w:bCs/>
          <w:rtl/>
        </w:rPr>
        <w:t>מ</w:t>
      </w:r>
      <w:r w:rsidRPr="00A81964">
        <w:rPr>
          <w:rFonts w:hint="cs"/>
          <w:b/>
          <w:bCs/>
          <w:rtl/>
        </w:rPr>
        <w:t>תוך כלל האישורים ל</w:t>
      </w:r>
      <w:r w:rsidRPr="00A81964">
        <w:rPr>
          <w:rFonts w:hint="eastAsia"/>
          <w:b/>
          <w:bCs/>
          <w:rtl/>
        </w:rPr>
        <w:t>תשלומי</w:t>
      </w:r>
      <w:r w:rsidRPr="00A81964">
        <w:rPr>
          <w:b/>
          <w:bCs/>
          <w:rtl/>
        </w:rPr>
        <w:t xml:space="preserve"> </w:t>
      </w:r>
      <w:r w:rsidRPr="00A81964">
        <w:rPr>
          <w:rFonts w:hint="eastAsia"/>
          <w:b/>
          <w:bCs/>
          <w:rtl/>
        </w:rPr>
        <w:t>הפיצויים</w:t>
      </w:r>
      <w:r w:rsidRPr="00A81964">
        <w:rPr>
          <w:b/>
          <w:bCs/>
          <w:rtl/>
        </w:rPr>
        <w:t xml:space="preserve"> </w:t>
      </w:r>
      <w:r w:rsidRPr="00A81964">
        <w:rPr>
          <w:rFonts w:hint="eastAsia"/>
          <w:b/>
          <w:bCs/>
          <w:rtl/>
        </w:rPr>
        <w:t>בגין</w:t>
      </w:r>
      <w:r w:rsidRPr="00A81964">
        <w:rPr>
          <w:b/>
          <w:bCs/>
          <w:rtl/>
        </w:rPr>
        <w:t xml:space="preserve"> </w:t>
      </w:r>
      <w:r w:rsidRPr="00A81964">
        <w:rPr>
          <w:rFonts w:hint="cs"/>
          <w:b/>
          <w:bCs/>
          <w:rtl/>
        </w:rPr>
        <w:t>נזקים ישירים ל</w:t>
      </w:r>
      <w:r w:rsidRPr="00A81964">
        <w:rPr>
          <w:rFonts w:hint="eastAsia"/>
          <w:b/>
          <w:bCs/>
          <w:rtl/>
        </w:rPr>
        <w:t>רכוש</w:t>
      </w:r>
      <w:r w:rsidRPr="00A81964">
        <w:rPr>
          <w:rFonts w:hint="cs"/>
          <w:b/>
          <w:bCs/>
          <w:rtl/>
        </w:rPr>
        <w:t xml:space="preserve"> בסך של כ-346 מיליון ש"ח.</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עלה כי קרן הפיצויים אינה מבצעת בדיקות מדגמיות של היקף הנזקים שווי הנזקים וסכום הפיצויים שנקבעו בחוות הדעת של בעלי המקצוע, לדוגמה באמצעות בדיקה שיטתית הבוחנת באופן מדגמי את סבירות חוות הדעת שהתקבלה משמאי אחד באמצעות קבלת חוות דעת נוספת משמאי אחר עבור אותו נזק. זאת, בין היתר, נוכח כך ש-63% מהאישורים השניים לפיצויים בתחום הרכוש במלחמת חרבות </w:t>
      </w:r>
      <w:r w:rsidRPr="00A81964">
        <w:rPr>
          <w:rFonts w:hint="cs"/>
          <w:b/>
          <w:bCs/>
          <w:rtl/>
        </w:rPr>
        <w:lastRenderedPageBreak/>
        <w:t>ברזל, וכל האישורים לפיצויים בתחום הרכב, ניתנו על ידי עובדים שלא עברו הכשרה נדרשת בתחום השמאות.</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היעדר בקרה מספקת על חוות דעתם של בעלי המקצוע עלולה להביא לכך שישולמו פיצויים שאינם בהלימה לנזק הממשי כהגדרתו בתקנות שעל בסיסו יש לקבוע את סכום הפיצוי שמגיע לניזוק מכוח החוק והתקנות. כך עלולה להיגרם פגיעה באוצר המדינה או לחלופין, פגיעה בניזוק בשל תשלום בחסר של כספי הפיצויים. קיום בקרה יעילה על קביעת "הנזק הממשי" ועל חישוב שוויו בכסף נדרש כדי להבטיח יישום אחיד ושוויוני של זכויות הניזוקים לפי חוק הפיצויים והתקנות.</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עוד עלה כי קרן הפיצויים שולחת לניזוקים מכתבי החלטה על סכום הפיצוי המאושר, ללא פירוט של סוגי הנזקים והפיצוי בגינם ואינה מצרפת למכתב ההחלטה את חוות הדעת של השמאי שהעריך את הנזקים. חוות הדעת נשלחות על פי דרישה של הניזוקים בלבד.</w:t>
      </w:r>
    </w:p>
    <w:p w:rsidR="006252C4" w:rsidRDefault="006252C4" w:rsidP="006252C4">
      <w:pPr>
        <w:pStyle w:val="a8"/>
        <w:spacing w:line="269" w:lineRule="auto"/>
        <w:rPr>
          <w:rtl/>
        </w:rPr>
      </w:pPr>
    </w:p>
    <w:p w:rsidR="006252C4" w:rsidRDefault="006252C4" w:rsidP="006252C4">
      <w:pPr>
        <w:spacing w:line="269" w:lineRule="auto"/>
        <w:rPr>
          <w:b/>
          <w:bCs/>
          <w:rtl/>
        </w:rPr>
      </w:pPr>
      <w:r w:rsidRPr="00A81964">
        <w:rPr>
          <w:rFonts w:hint="cs"/>
          <w:b/>
          <w:bCs/>
          <w:rtl/>
        </w:rPr>
        <w:t xml:space="preserve">מומלץ שקרן הפיצויים תבצע הכשרה בתחום שמאות הרכוש לכל העובדים המורשים לאשר באישור שני תשלומי פיצויים בגין נזק ישיר. עוד מומלץ כי קרן הפיצויים תקבע נוהל בדבר הבקרות הנדרשות על חוות הדעת של בעלי המקצוע, בין היתר על ידי קבלת חוות דעת נוספות באופן מדגמי של בעלי מקצוע בלתי תלויים, וזאת כדי להבטיח שסכומי הפיצויים שישולמו יהלמו את "הנזק הממשי" שבגינו הם משולמים. </w:t>
      </w:r>
    </w:p>
    <w:p w:rsidR="006252C4" w:rsidRDefault="006252C4" w:rsidP="006252C4">
      <w:pPr>
        <w:pStyle w:val="a8"/>
        <w:spacing w:line="269" w:lineRule="auto"/>
        <w:rPr>
          <w:rtl/>
        </w:rPr>
      </w:pPr>
    </w:p>
    <w:p w:rsidR="006252C4" w:rsidRDefault="006252C4" w:rsidP="006252C4">
      <w:pPr>
        <w:spacing w:line="269" w:lineRule="auto"/>
        <w:rPr>
          <w:b/>
          <w:bCs/>
          <w:rtl/>
        </w:rPr>
      </w:pPr>
      <w:r w:rsidRPr="00A81964">
        <w:rPr>
          <w:rFonts w:hint="cs"/>
          <w:b/>
          <w:bCs/>
          <w:rtl/>
        </w:rPr>
        <w:t xml:space="preserve">נוסף על כך, </w:t>
      </w:r>
      <w:r w:rsidRPr="00A81964">
        <w:rPr>
          <w:rFonts w:hint="eastAsia"/>
          <w:b/>
          <w:bCs/>
          <w:rtl/>
        </w:rPr>
        <w:t>מומלץ</w:t>
      </w:r>
      <w:r w:rsidRPr="00A81964">
        <w:rPr>
          <w:b/>
          <w:bCs/>
          <w:rtl/>
        </w:rPr>
        <w:t xml:space="preserve"> שקרן הפיצויים </w:t>
      </w:r>
      <w:r w:rsidRPr="00A81964">
        <w:rPr>
          <w:rFonts w:hint="cs"/>
          <w:b/>
          <w:bCs/>
          <w:rtl/>
        </w:rPr>
        <w:t>תצרף למכתב ההחלטה אותו היא שולחת</w:t>
      </w:r>
      <w:r w:rsidRPr="00A81964">
        <w:rPr>
          <w:b/>
          <w:bCs/>
          <w:rtl/>
        </w:rPr>
        <w:t xml:space="preserve"> לניזוקים את חוות הדעת בתחום שמאות הרכוש דרך קבע, כחלק מהתנהלותה השוטפת, לשם הגברת השקיפות כלפי הניזוקים וכדי לצמצם שגיאות ותקלות</w:t>
      </w:r>
      <w:r w:rsidRPr="00A81964">
        <w:rPr>
          <w:rFonts w:hint="cs"/>
          <w:b/>
          <w:bCs/>
          <w:rtl/>
        </w:rPr>
        <w:t xml:space="preserve">. </w:t>
      </w:r>
    </w:p>
    <w:p w:rsidR="006252C4" w:rsidRDefault="006252C4" w:rsidP="006252C4">
      <w:pPr>
        <w:pStyle w:val="a8"/>
        <w:spacing w:line="269" w:lineRule="auto"/>
        <w:rPr>
          <w:rtl/>
        </w:rPr>
      </w:pPr>
    </w:p>
    <w:p w:rsidR="006252C4" w:rsidRPr="0016480E" w:rsidRDefault="006252C4" w:rsidP="006252C4">
      <w:pPr>
        <w:spacing w:line="269" w:lineRule="auto"/>
        <w:rPr>
          <w:rtl/>
        </w:rPr>
      </w:pPr>
      <w:r>
        <w:rPr>
          <w:rFonts w:hint="cs"/>
          <w:rtl/>
        </w:rPr>
        <w:t>רשות המיסים מסרה בתשובתה</w:t>
      </w:r>
      <w:r w:rsidRPr="0016480E">
        <w:rPr>
          <w:rtl/>
        </w:rPr>
        <w:t xml:space="preserve"> כי</w:t>
      </w:r>
      <w:r>
        <w:rPr>
          <w:rFonts w:hint="cs"/>
          <w:rtl/>
        </w:rPr>
        <w:t xml:space="preserve"> היא מקבלת את הערת הביקורת והוסיפה כי כבר</w:t>
      </w:r>
      <w:r w:rsidRPr="00D010E9">
        <w:rPr>
          <w:rtl/>
        </w:rPr>
        <w:t xml:space="preserve"> </w:t>
      </w:r>
      <w:r w:rsidRPr="00D010E9">
        <w:rPr>
          <w:rFonts w:hint="eastAsia"/>
          <w:rtl/>
        </w:rPr>
        <w:t>החל</w:t>
      </w:r>
      <w:r w:rsidRPr="00D010E9">
        <w:rPr>
          <w:rtl/>
        </w:rPr>
        <w:t xml:space="preserve"> פיתוח מערכת </w:t>
      </w:r>
      <w:proofErr w:type="spellStart"/>
      <w:r w:rsidRPr="00D010E9">
        <w:rPr>
          <w:rtl/>
        </w:rPr>
        <w:t>פפ"א</w:t>
      </w:r>
      <w:proofErr w:type="spellEnd"/>
      <w:r w:rsidRPr="00D010E9">
        <w:rPr>
          <w:rtl/>
        </w:rPr>
        <w:t xml:space="preserve"> </w:t>
      </w:r>
      <w:r>
        <w:rPr>
          <w:rFonts w:hint="cs"/>
          <w:rtl/>
        </w:rPr>
        <w:t xml:space="preserve">[פיצוי פעולות איבה] </w:t>
      </w:r>
      <w:r w:rsidRPr="00D010E9">
        <w:rPr>
          <w:rtl/>
        </w:rPr>
        <w:t xml:space="preserve">חדשה </w:t>
      </w:r>
      <w:r>
        <w:rPr>
          <w:rFonts w:hint="cs"/>
          <w:rtl/>
        </w:rPr>
        <w:t>הכוללת "שליחה אוטומטית של חוות הדעת ביחד עם מכתב ההחלטה". עוד מסרה הרשות כי</w:t>
      </w:r>
      <w:r w:rsidRPr="0016480E">
        <w:rPr>
          <w:rtl/>
        </w:rPr>
        <w:t xml:space="preserve"> </w:t>
      </w:r>
      <w:r>
        <w:rPr>
          <w:rFonts w:hint="cs"/>
          <w:rtl/>
        </w:rPr>
        <w:t>במכרז שפורסם במהלך חודש אוגוסט 2025 "נקבע כי השמאים יידרשו להכין חוות דעת באמצעות מערכת שתעבור את אישור רשות המיסים". נוסף על כך, מסרה רשות המיסים כי היא תפעל להגדיל את כמות שמאי הרכוש שהנם עובדי הרשות.</w:t>
      </w:r>
    </w:p>
    <w:p w:rsidR="006252C4" w:rsidRPr="00A81964" w:rsidRDefault="006252C4" w:rsidP="006252C4">
      <w:pPr>
        <w:spacing w:line="269" w:lineRule="auto"/>
        <w:rPr>
          <w:rtl/>
        </w:rPr>
      </w:pPr>
    </w:p>
    <w:p w:rsidR="006252C4" w:rsidRPr="00A81964" w:rsidRDefault="006252C4" w:rsidP="006252C4">
      <w:pPr>
        <w:pStyle w:val="50"/>
        <w:spacing w:line="269" w:lineRule="auto"/>
        <w:rPr>
          <w:rtl/>
        </w:rPr>
      </w:pPr>
      <w:r w:rsidRPr="00A81964">
        <w:rPr>
          <w:rFonts w:hint="cs"/>
          <w:rtl/>
        </w:rPr>
        <w:t xml:space="preserve">שינויים בחוות הדעת של בעלי המקצוע ותיעודם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706DDB">
        <w:rPr>
          <w:rFonts w:hint="cs"/>
          <w:sz w:val="18"/>
          <w:rtl/>
        </w:rPr>
        <w:t>בשיחות שנערכו עם נציגי הקרן</w:t>
      </w:r>
      <w:r w:rsidRPr="00A81964">
        <w:rPr>
          <w:rFonts w:hint="cs"/>
          <w:rtl/>
        </w:rPr>
        <w:t xml:space="preserve"> נמסר כי לעיתים, במסגרת הבחינה לצורך האישור השני, עובדי הקרן סבורים כי היקף הנזק או סכום הפיצוי שקבע בעל המקצוע אינם בהתאם לחוק. לדוגמה, אם סכום הפיצוי לפי חוות הדעת אינו תואם את "הנזק הממשי" כהגדרתו בתקנות. במקרים אלה פונים העובדים בשיחת טלפון אל בעלי המקצוע ומבקשים מהם להכניס תיקונים בחוות דעתם בהתאם לסכומים שהם סבורים שהם הנכונים, ולעיתים נערכת פגישה עם בעל המקצוע בנושא. בהתאם לכך, בעלי המקצוע מבצעים שינויים לאור הנחיית עובדי הקרן (להלן - שינויים בחוות הדעת) ושולחים חוות דעת מתוקנות.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עלה כי לא קיים תיעוד לגבי מספר תיקי התביעות שבהם נערכו שינויים בחוות הדעת של בעלי המקצוע לבקשת עובדי הקרן, לרבות לגבי נסיבות השינויים שנערכו בחוות הדעת, מהותם ושווי הנזקים </w:t>
      </w:r>
      <w:r w:rsidRPr="00A81964">
        <w:rPr>
          <w:rFonts w:hint="cs"/>
          <w:b/>
          <w:bCs/>
          <w:rtl/>
        </w:rPr>
        <w:lastRenderedPageBreak/>
        <w:t>המקוריים שנקבעו על ידי בעלי המקצוע. כמו כן, אין תיעוד המאפשר מעקב אחרי בעלי מקצוע שקרן הפיצויים מצאה אצלם חוות דעת בלתי סבירות רבות.</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מומלץ להנהלת קרן הפיצויים לנהל מעקב ממוחשב אחר תיקי התביעה שבהם קרן הפיצויים מצאה כי חוות הדעת של בעל המקצוע אינה סבירה, לתעד את הפניות לבעלי המקצוע ואת השיחות עימם וכן לתעד את מהות והיקף השינויים שבוצעו בחוות הדעת ואת הנסיבות שהובילו לשינויים אלה. </w:t>
      </w:r>
    </w:p>
    <w:p w:rsidR="006252C4" w:rsidRDefault="006252C4" w:rsidP="006252C4">
      <w:pPr>
        <w:pStyle w:val="a8"/>
        <w:spacing w:line="269" w:lineRule="auto"/>
        <w:rPr>
          <w:rtl/>
        </w:rPr>
      </w:pPr>
    </w:p>
    <w:p w:rsidR="006252C4" w:rsidRDefault="006252C4" w:rsidP="006252C4">
      <w:pPr>
        <w:spacing w:line="269" w:lineRule="auto"/>
        <w:rPr>
          <w:b/>
          <w:bCs/>
          <w:rtl/>
        </w:rPr>
      </w:pPr>
      <w:r w:rsidRPr="00A81964">
        <w:rPr>
          <w:rFonts w:hint="cs"/>
          <w:b/>
          <w:bCs/>
          <w:rtl/>
        </w:rPr>
        <w:t xml:space="preserve">עוד מומלץ כי קרן הפיצויים תגדיר מדדים לפיהם תוערך איכות עבודתם של בעלי המקצוע, בין היתר על פי זמינותם, מהירות טיפולם בתביעות, שיעור התיקים שבהם נדרשו לבצע שינויים בחוות הדעת, מהות השינויים והיקפם. מדדים אלו ישמשו את הקרן כדי לבחון את הפעילות של כל אחד מבעלי המקצוע, לדרג את איכות עבודתו ביחס לבעלי מקצוע אחרים ולשקול את המשך ההתקשרות אתו. </w:t>
      </w:r>
    </w:p>
    <w:p w:rsidR="006252C4" w:rsidRPr="00A81964" w:rsidRDefault="006252C4" w:rsidP="006252C4">
      <w:pPr>
        <w:spacing w:line="269" w:lineRule="auto"/>
        <w:rPr>
          <w:b/>
          <w:bCs/>
          <w:rtl/>
        </w:rPr>
      </w:pPr>
    </w:p>
    <w:p w:rsidR="006252C4" w:rsidRPr="00A81964" w:rsidRDefault="006252C4" w:rsidP="006252C4">
      <w:pPr>
        <w:pStyle w:val="31"/>
        <w:spacing w:before="0" w:line="269" w:lineRule="auto"/>
        <w:rPr>
          <w:rtl/>
        </w:rPr>
      </w:pPr>
      <w:r w:rsidRPr="00A81964">
        <w:rPr>
          <w:rFonts w:hint="cs"/>
          <w:rtl/>
        </w:rPr>
        <w:t xml:space="preserve">תיקון </w:t>
      </w:r>
      <w:r w:rsidRPr="00A81964">
        <w:rPr>
          <w:rFonts w:hint="eastAsia"/>
          <w:rtl/>
        </w:rPr>
        <w:t>נזקים</w:t>
      </w:r>
      <w:r w:rsidRPr="00A81964">
        <w:rPr>
          <w:rtl/>
        </w:rPr>
        <w:t xml:space="preserve"> ישירים </w:t>
      </w:r>
      <w:r w:rsidRPr="00A81964">
        <w:rPr>
          <w:rFonts w:hint="cs"/>
          <w:rtl/>
        </w:rPr>
        <w:t xml:space="preserve">שנגרמו </w:t>
      </w:r>
      <w:r w:rsidRPr="00A81964">
        <w:rPr>
          <w:rFonts w:hint="eastAsia"/>
          <w:rtl/>
        </w:rPr>
        <w:t>לרכבים</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כשנגרם נזק ישיר לרכב ובעל הרכב מגיש תביעה לפיצוי, עליו לפנות למוסך מורשה שבו הוא מעוניין לבצע את התיקון. לאחר תיאום מול מוקד קרן הפיצויים מגיע אל המוסך צוות שטח הבוחן את הנזק, והשמאי קובע בחוות דעתו את עלות תיקון הנזק לפני ביצועו על ידי המוסך.</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לאחר תיקון הנזק בעל הרכב משלם ישירות למוסך ומגיש את הקבלות בגין התשלום למוקד קרן הפיצויים לצורך בדיקת תקינותן והתאמתן לסכום שקבע השמאי. לאחר מכן קרן הפיצויים מעבירה לבעל הרכב את סכום הפיצוי.</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36490D">
        <w:rPr>
          <w:rFonts w:hint="eastAsia"/>
          <w:rtl/>
        </w:rPr>
        <w:t>כ</w:t>
      </w:r>
      <w:r w:rsidRPr="0036490D">
        <w:rPr>
          <w:rtl/>
        </w:rPr>
        <w:t>-</w:t>
      </w:r>
      <w:r w:rsidRPr="0036490D">
        <w:rPr>
          <w:rFonts w:hint="cs"/>
          <w:rtl/>
        </w:rPr>
        <w:t>19,000</w:t>
      </w:r>
      <w:r w:rsidRPr="0036490D">
        <w:rPr>
          <w:rtl/>
        </w:rPr>
        <w:t xml:space="preserve"> </w:t>
      </w:r>
      <w:r w:rsidRPr="0036490D">
        <w:rPr>
          <w:rFonts w:hint="cs"/>
          <w:rtl/>
        </w:rPr>
        <w:t>תביעות</w:t>
      </w:r>
      <w:r w:rsidRPr="00A81964">
        <w:rPr>
          <w:rFonts w:hint="cs"/>
          <w:rtl/>
        </w:rPr>
        <w:t xml:space="preserve"> לפיצוי בגין נזקים ישירים שנגרמו לרכבים הוגשו מתחילת מלחמת חרבות ברזל, ועד סוף דצמבר 2024 סך הפיצויים ששולמו בגין תביעות אלו עמד על כ-</w:t>
      </w:r>
      <w:r w:rsidRPr="0036490D">
        <w:rPr>
          <w:rFonts w:hint="cs"/>
          <w:rtl/>
        </w:rPr>
        <w:t>364</w:t>
      </w:r>
      <w:r w:rsidRPr="00A81964">
        <w:rPr>
          <w:rFonts w:hint="cs"/>
          <w:rtl/>
        </w:rPr>
        <w:t xml:space="preserve"> מיליוני ש"ח.</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אחד מהנזקים הישירים הנפוצים הנגרמים לרכבים הוא נזק לשמשות הרכב,</w:t>
      </w:r>
      <w:r w:rsidRPr="0036490D">
        <w:rPr>
          <w:rFonts w:hint="cs"/>
          <w:rtl/>
        </w:rPr>
        <w:t xml:space="preserve"> ואף שייתכן שמדובר בנזק כספי קטן יחסית, ללא תיקונו השימוש ברכב מוגבל ואינו בטיחותי.</w:t>
      </w:r>
    </w:p>
    <w:p w:rsidR="006252C4" w:rsidRDefault="006252C4" w:rsidP="006252C4">
      <w:pPr>
        <w:pStyle w:val="a8"/>
        <w:spacing w:line="269" w:lineRule="auto"/>
        <w:rPr>
          <w:rtl/>
        </w:rPr>
      </w:pPr>
    </w:p>
    <w:p w:rsidR="006252C4" w:rsidRDefault="006252C4" w:rsidP="006252C4">
      <w:pPr>
        <w:spacing w:line="269" w:lineRule="auto"/>
        <w:rPr>
          <w:rtl/>
        </w:rPr>
      </w:pPr>
      <w:r w:rsidRPr="00A81964">
        <w:rPr>
          <w:rFonts w:hint="cs"/>
          <w:rtl/>
        </w:rPr>
        <w:t>להלן בתמונה 4 רכב שנגרם לו נזק ישיר, ובכלל זאת לשמשותיו, מפגיעה ישירה של רקטה במהלך מלחמת חרבות ברזל.</w:t>
      </w:r>
    </w:p>
    <w:p w:rsidR="006252C4" w:rsidRPr="00A81964" w:rsidRDefault="006252C4" w:rsidP="006252C4">
      <w:pPr>
        <w:spacing w:line="269" w:lineRule="auto"/>
        <w:rPr>
          <w:rtl/>
        </w:rPr>
      </w:pPr>
    </w:p>
    <w:p w:rsidR="006252C4" w:rsidRPr="00A81964" w:rsidRDefault="006252C4" w:rsidP="00A20B3B">
      <w:pPr>
        <w:keepNext/>
        <w:keepLines/>
        <w:jc w:val="center"/>
        <w:rPr>
          <w:b/>
          <w:bCs/>
          <w:noProof/>
          <w:rtl/>
        </w:rPr>
      </w:pPr>
      <w:r w:rsidRPr="00A81964">
        <w:rPr>
          <w:rFonts w:hint="eastAsia"/>
          <w:rtl/>
        </w:rPr>
        <w:lastRenderedPageBreak/>
        <w:t>תמונה</w:t>
      </w:r>
      <w:r w:rsidRPr="00A81964">
        <w:rPr>
          <w:rtl/>
        </w:rPr>
        <w:t xml:space="preserve"> 4:</w:t>
      </w:r>
      <w:r w:rsidRPr="00A81964">
        <w:rPr>
          <w:b/>
          <w:bCs/>
          <w:rtl/>
        </w:rPr>
        <w:t xml:space="preserve"> רכב שנגרם לו נזק ישיר</w:t>
      </w:r>
      <w:r w:rsidRPr="00A81964">
        <w:rPr>
          <w:b/>
          <w:bCs/>
          <w:noProof/>
          <w:rtl/>
        </w:rPr>
        <w:t xml:space="preserve"> מפגיעה </w:t>
      </w:r>
      <w:r w:rsidRPr="00A81964">
        <w:rPr>
          <w:rFonts w:hint="eastAsia"/>
          <w:b/>
          <w:bCs/>
          <w:noProof/>
          <w:rtl/>
        </w:rPr>
        <w:t>ישירה</w:t>
      </w:r>
      <w:r w:rsidRPr="00A81964">
        <w:rPr>
          <w:b/>
          <w:bCs/>
          <w:noProof/>
          <w:rtl/>
        </w:rPr>
        <w:t xml:space="preserve"> </w:t>
      </w:r>
      <w:r w:rsidRPr="00A81964">
        <w:rPr>
          <w:rFonts w:hint="eastAsia"/>
          <w:b/>
          <w:bCs/>
          <w:noProof/>
          <w:rtl/>
        </w:rPr>
        <w:t>של</w:t>
      </w:r>
      <w:r w:rsidRPr="00A81964">
        <w:rPr>
          <w:b/>
          <w:bCs/>
          <w:noProof/>
          <w:rtl/>
        </w:rPr>
        <w:t xml:space="preserve"> </w:t>
      </w:r>
      <w:r w:rsidRPr="00A81964">
        <w:rPr>
          <w:rFonts w:hint="eastAsia"/>
          <w:b/>
          <w:bCs/>
          <w:noProof/>
          <w:rtl/>
        </w:rPr>
        <w:t>רקטה</w:t>
      </w:r>
    </w:p>
    <w:p w:rsidR="006252C4" w:rsidRPr="00A81964" w:rsidRDefault="006252C4" w:rsidP="006252C4">
      <w:pPr>
        <w:spacing w:line="269" w:lineRule="auto"/>
        <w:jc w:val="center"/>
        <w:rPr>
          <w:szCs w:val="20"/>
          <w:rtl/>
        </w:rPr>
      </w:pPr>
      <w:r w:rsidRPr="00A81964">
        <w:rPr>
          <w:noProof/>
          <w:u w:val="single"/>
        </w:rPr>
        <w:drawing>
          <wp:inline distT="0" distB="0" distL="0" distR="0" wp14:anchorId="39D7153E" wp14:editId="0B56C810">
            <wp:extent cx="2178202" cy="3114675"/>
            <wp:effectExtent l="0" t="0" r="0" b="0"/>
            <wp:docPr id="238" name="תמונה 238" descr="בתמונה רואים רכב שנגרם לו נזק ישי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t="8980" b="24279"/>
                    <a:stretch>
                      <a:fillRect/>
                    </a:stretch>
                  </pic:blipFill>
                  <pic:spPr bwMode="auto">
                    <a:xfrm>
                      <a:off x="0" y="0"/>
                      <a:ext cx="2203925" cy="3151457"/>
                    </a:xfrm>
                    <a:prstGeom prst="rect">
                      <a:avLst/>
                    </a:prstGeom>
                    <a:noFill/>
                    <a:ln>
                      <a:noFill/>
                    </a:ln>
                    <a:extLst>
                      <a:ext uri="{53640926-AAD7-44D8-BBD7-CCE9431645EC}">
                        <a14:shadowObscured xmlns:a14="http://schemas.microsoft.com/office/drawing/2010/main"/>
                      </a:ext>
                    </a:extLst>
                  </pic:spPr>
                </pic:pic>
              </a:graphicData>
            </a:graphic>
          </wp:inline>
        </w:drawing>
      </w:r>
    </w:p>
    <w:p w:rsidR="006252C4" w:rsidRPr="00A81964" w:rsidRDefault="006252C4" w:rsidP="006252C4">
      <w:pPr>
        <w:spacing w:line="269" w:lineRule="auto"/>
        <w:rPr>
          <w:szCs w:val="20"/>
          <w:rtl/>
        </w:rPr>
      </w:pPr>
      <w:r w:rsidRPr="00A81964">
        <w:rPr>
          <w:rFonts w:hint="cs"/>
          <w:szCs w:val="20"/>
          <w:rtl/>
        </w:rPr>
        <w:t>ה</w:t>
      </w:r>
      <w:r w:rsidRPr="00A81964">
        <w:rPr>
          <w:rFonts w:hint="eastAsia"/>
          <w:szCs w:val="20"/>
          <w:rtl/>
        </w:rPr>
        <w:t>מקור</w:t>
      </w:r>
      <w:r w:rsidRPr="00A81964">
        <w:rPr>
          <w:szCs w:val="20"/>
          <w:rtl/>
        </w:rPr>
        <w:t xml:space="preserve">: </w:t>
      </w:r>
      <w:r w:rsidRPr="00A81964">
        <w:rPr>
          <w:rFonts w:hint="cs"/>
          <w:szCs w:val="20"/>
          <w:rtl/>
        </w:rPr>
        <w:t>רשות המיסים.</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36490D">
        <w:rPr>
          <w:rFonts w:hint="cs"/>
          <w:rtl/>
        </w:rPr>
        <w:t>בישיבה באוקטובר</w:t>
      </w:r>
      <w:r w:rsidRPr="00A81964">
        <w:rPr>
          <w:rFonts w:hint="cs"/>
          <w:rtl/>
        </w:rPr>
        <w:t xml:space="preserve"> 2017 ציין מנהל קרן הפיצויים שרוב הנזקים לרכבים נגרמים לחלונות ומשכך מכרז מרכזי למוסכים לזגגות רכב ייעל את העבודה, במיוחד באירוע גדול.</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36490D">
        <w:rPr>
          <w:rFonts w:hint="cs"/>
          <w:rtl/>
        </w:rPr>
        <w:t>בדוח הוועדה לנזק ישיר</w:t>
      </w:r>
      <w:r w:rsidRPr="00A81964">
        <w:rPr>
          <w:rFonts w:hint="cs"/>
          <w:rtl/>
        </w:rPr>
        <w:t xml:space="preserve"> משנת 2017 צוין כי מאחר ש</w:t>
      </w:r>
      <w:r w:rsidRPr="00A81964">
        <w:rPr>
          <w:rtl/>
        </w:rPr>
        <w:t>בזמן אירוע בדרך כלל ישנם הרבה נזקי זגגות רכב</w:t>
      </w:r>
      <w:r w:rsidRPr="00A81964">
        <w:rPr>
          <w:rFonts w:hint="cs"/>
          <w:rtl/>
        </w:rPr>
        <w:t xml:space="preserve">, התקשרות עם </w:t>
      </w:r>
      <w:r w:rsidRPr="00A81964">
        <w:rPr>
          <w:rtl/>
        </w:rPr>
        <w:t xml:space="preserve">מוסכי הסדר לזגגות רכב </w:t>
      </w:r>
      <w:r w:rsidRPr="00A81964">
        <w:rPr>
          <w:rFonts w:hint="cs"/>
          <w:rtl/>
        </w:rPr>
        <w:t>(</w:t>
      </w:r>
      <w:r w:rsidRPr="00A81964">
        <w:rPr>
          <w:rtl/>
        </w:rPr>
        <w:t>בדומה ל</w:t>
      </w:r>
      <w:r>
        <w:rPr>
          <w:rFonts w:hint="cs"/>
          <w:rtl/>
        </w:rPr>
        <w:t xml:space="preserve">הסדר שעושות </w:t>
      </w:r>
      <w:r w:rsidRPr="00A81964">
        <w:rPr>
          <w:rtl/>
        </w:rPr>
        <w:t>חברות הביטוח</w:t>
      </w:r>
      <w:r w:rsidRPr="00A81964">
        <w:rPr>
          <w:rFonts w:hint="cs"/>
          <w:rtl/>
        </w:rPr>
        <w:t>)</w:t>
      </w:r>
      <w:r w:rsidRPr="00A81964">
        <w:rPr>
          <w:rtl/>
        </w:rPr>
        <w:t xml:space="preserve"> </w:t>
      </w:r>
      <w:r w:rsidRPr="00A81964">
        <w:rPr>
          <w:rFonts w:hint="cs"/>
          <w:rtl/>
        </w:rPr>
        <w:t>תאפשר לחסוך בעלויות תיקון הנזקים</w:t>
      </w:r>
      <w:r w:rsidRPr="00A81964">
        <w:rPr>
          <w:rtl/>
        </w:rPr>
        <w:t xml:space="preserve"> </w:t>
      </w:r>
      <w:r w:rsidRPr="00A81964">
        <w:rPr>
          <w:rFonts w:hint="cs"/>
          <w:rtl/>
        </w:rPr>
        <w:t>ולהפחית</w:t>
      </w:r>
      <w:r w:rsidRPr="00A81964">
        <w:rPr>
          <w:rtl/>
        </w:rPr>
        <w:t xml:space="preserve"> בתשומות כ</w:t>
      </w:r>
      <w:r w:rsidRPr="00A81964">
        <w:rPr>
          <w:rFonts w:hint="cs"/>
          <w:rtl/>
        </w:rPr>
        <w:t>ו</w:t>
      </w:r>
      <w:r w:rsidRPr="00A81964">
        <w:rPr>
          <w:rtl/>
        </w:rPr>
        <w:t>ח האדם</w:t>
      </w:r>
      <w:r w:rsidRPr="00A81964">
        <w:rPr>
          <w:rFonts w:hint="cs"/>
          <w:rtl/>
        </w:rPr>
        <w:t xml:space="preserve"> הנדרש </w:t>
      </w:r>
      <w:r w:rsidRPr="00A81964">
        <w:rPr>
          <w:rtl/>
        </w:rPr>
        <w:t>לטיפול בנזקי הרכב</w:t>
      </w:r>
      <w:r w:rsidRPr="00A81964">
        <w:rPr>
          <w:rFonts w:hint="cs"/>
          <w:rtl/>
        </w:rPr>
        <w:t xml:space="preserve">. משכך, הוועדה המליצה על פרסום מכרז לזגגי רכב ועל כתיבת נוהל הפעלה לזמני שגרה ולשעת חירום.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eastAsia"/>
          <w:b/>
          <w:bCs/>
          <w:rtl/>
        </w:rPr>
        <w:t>בשנת</w:t>
      </w:r>
      <w:r w:rsidRPr="00A81964">
        <w:rPr>
          <w:b/>
          <w:bCs/>
          <w:rtl/>
        </w:rPr>
        <w:t xml:space="preserve"> 2021 </w:t>
      </w:r>
      <w:r w:rsidRPr="00A81964">
        <w:rPr>
          <w:rFonts w:hint="eastAsia"/>
          <w:b/>
          <w:bCs/>
          <w:rtl/>
        </w:rPr>
        <w:t>הוכנה</w:t>
      </w:r>
      <w:r w:rsidRPr="00A81964">
        <w:rPr>
          <w:b/>
          <w:bCs/>
          <w:rtl/>
        </w:rPr>
        <w:t xml:space="preserve"> </w:t>
      </w:r>
      <w:r w:rsidRPr="00A81964">
        <w:rPr>
          <w:rFonts w:hint="eastAsia"/>
          <w:b/>
          <w:bCs/>
          <w:rtl/>
        </w:rPr>
        <w:t>בקרן</w:t>
      </w:r>
      <w:r w:rsidRPr="00A81964">
        <w:rPr>
          <w:b/>
          <w:bCs/>
          <w:rtl/>
        </w:rPr>
        <w:t xml:space="preserve"> הפיצויים </w:t>
      </w:r>
      <w:r w:rsidRPr="004F08C8">
        <w:rPr>
          <w:rFonts w:hint="eastAsia"/>
          <w:b/>
          <w:bCs/>
          <w:rtl/>
        </w:rPr>
        <w:t>טיוטת</w:t>
      </w:r>
      <w:r w:rsidRPr="004F08C8">
        <w:rPr>
          <w:b/>
          <w:bCs/>
          <w:rtl/>
        </w:rPr>
        <w:t xml:space="preserve"> </w:t>
      </w:r>
      <w:r w:rsidRPr="004F08C8">
        <w:rPr>
          <w:rFonts w:hint="eastAsia"/>
          <w:b/>
          <w:bCs/>
          <w:rtl/>
        </w:rPr>
        <w:t>מכרז</w:t>
      </w:r>
      <w:r w:rsidRPr="00A81964">
        <w:rPr>
          <w:b/>
          <w:bCs/>
          <w:rtl/>
        </w:rPr>
        <w:t xml:space="preserve"> לצורך קבלת "הצעות למתן שירותי אספקה, התקנה ותיקון נזקי שמשות, מנגנון להרמת שמשות ושבר לזכוכית מראות צד לכלי הרכב". </w:t>
      </w:r>
      <w:r w:rsidRPr="00A81964">
        <w:rPr>
          <w:rFonts w:hint="eastAsia"/>
          <w:b/>
          <w:bCs/>
          <w:rtl/>
        </w:rPr>
        <w:t>בשיחות</w:t>
      </w:r>
      <w:r w:rsidRPr="00A81964">
        <w:rPr>
          <w:b/>
          <w:bCs/>
          <w:rtl/>
        </w:rPr>
        <w:t xml:space="preserve"> </w:t>
      </w:r>
      <w:r w:rsidRPr="00A81964">
        <w:rPr>
          <w:rFonts w:hint="eastAsia"/>
          <w:b/>
          <w:bCs/>
          <w:rtl/>
        </w:rPr>
        <w:t>עם</w:t>
      </w:r>
      <w:r w:rsidRPr="00A81964">
        <w:rPr>
          <w:b/>
          <w:bCs/>
          <w:rtl/>
        </w:rPr>
        <w:t xml:space="preserve"> </w:t>
      </w:r>
      <w:r w:rsidRPr="00A81964">
        <w:rPr>
          <w:rFonts w:hint="eastAsia"/>
          <w:b/>
          <w:bCs/>
          <w:rtl/>
        </w:rPr>
        <w:t>נציגי</w:t>
      </w:r>
      <w:r w:rsidRPr="00A81964">
        <w:rPr>
          <w:b/>
          <w:bCs/>
          <w:rtl/>
        </w:rPr>
        <w:t xml:space="preserve"> </w:t>
      </w:r>
      <w:r w:rsidRPr="00A81964">
        <w:rPr>
          <w:rFonts w:hint="eastAsia"/>
          <w:b/>
          <w:bCs/>
          <w:rtl/>
        </w:rPr>
        <w:t>הקרן</w:t>
      </w:r>
      <w:r w:rsidRPr="00A81964">
        <w:rPr>
          <w:b/>
          <w:bCs/>
          <w:rtl/>
        </w:rPr>
        <w:t xml:space="preserve"> </w:t>
      </w:r>
      <w:r w:rsidRPr="00A81964">
        <w:rPr>
          <w:rFonts w:hint="eastAsia"/>
          <w:b/>
          <w:bCs/>
          <w:rtl/>
        </w:rPr>
        <w:t>עלה</w:t>
      </w:r>
      <w:r w:rsidRPr="00A81964">
        <w:rPr>
          <w:b/>
          <w:bCs/>
          <w:rtl/>
        </w:rPr>
        <w:t xml:space="preserve"> </w:t>
      </w:r>
      <w:r w:rsidRPr="00A81964">
        <w:rPr>
          <w:rFonts w:hint="eastAsia"/>
          <w:b/>
          <w:bCs/>
          <w:rtl/>
        </w:rPr>
        <w:t>שהם</w:t>
      </w:r>
      <w:r w:rsidRPr="00A81964">
        <w:rPr>
          <w:b/>
          <w:bCs/>
          <w:rtl/>
        </w:rPr>
        <w:t xml:space="preserve"> </w:t>
      </w:r>
      <w:r w:rsidRPr="00A81964">
        <w:rPr>
          <w:rFonts w:hint="eastAsia"/>
          <w:b/>
          <w:bCs/>
          <w:rtl/>
        </w:rPr>
        <w:t>התקשו</w:t>
      </w:r>
      <w:r w:rsidRPr="00A81964">
        <w:rPr>
          <w:b/>
          <w:bCs/>
          <w:rtl/>
        </w:rPr>
        <w:t xml:space="preserve"> </w:t>
      </w:r>
      <w:r w:rsidRPr="00A81964">
        <w:rPr>
          <w:rFonts w:hint="eastAsia"/>
          <w:b/>
          <w:bCs/>
          <w:rtl/>
        </w:rPr>
        <w:t>לקבוע</w:t>
      </w:r>
      <w:r w:rsidRPr="00A81964">
        <w:rPr>
          <w:b/>
          <w:bCs/>
          <w:rtl/>
        </w:rPr>
        <w:t xml:space="preserve"> </w:t>
      </w:r>
      <w:r w:rsidRPr="00A81964">
        <w:rPr>
          <w:rFonts w:hint="eastAsia"/>
          <w:b/>
          <w:bCs/>
          <w:rtl/>
        </w:rPr>
        <w:t>את</w:t>
      </w:r>
      <w:r w:rsidRPr="00A81964">
        <w:rPr>
          <w:b/>
          <w:bCs/>
          <w:rtl/>
        </w:rPr>
        <w:t xml:space="preserve"> </w:t>
      </w:r>
      <w:r w:rsidRPr="00A81964">
        <w:rPr>
          <w:rFonts w:hint="eastAsia"/>
          <w:b/>
          <w:bCs/>
          <w:rtl/>
        </w:rPr>
        <w:t>אופן</w:t>
      </w:r>
      <w:r w:rsidRPr="00A81964">
        <w:rPr>
          <w:b/>
          <w:bCs/>
          <w:rtl/>
        </w:rPr>
        <w:t xml:space="preserve"> </w:t>
      </w:r>
      <w:r w:rsidRPr="00A81964">
        <w:rPr>
          <w:rFonts w:hint="eastAsia"/>
          <w:b/>
          <w:bCs/>
          <w:rtl/>
        </w:rPr>
        <w:t>תמחור</w:t>
      </w:r>
      <w:r w:rsidRPr="00A81964">
        <w:rPr>
          <w:b/>
          <w:bCs/>
          <w:rtl/>
        </w:rPr>
        <w:t xml:space="preserve"> </w:t>
      </w:r>
      <w:r w:rsidRPr="00A81964">
        <w:rPr>
          <w:rFonts w:hint="eastAsia"/>
          <w:b/>
          <w:bCs/>
          <w:rtl/>
        </w:rPr>
        <w:t>השירותים</w:t>
      </w:r>
      <w:r w:rsidRPr="00A81964">
        <w:rPr>
          <w:b/>
          <w:bCs/>
          <w:rtl/>
        </w:rPr>
        <w:t xml:space="preserve"> </w:t>
      </w:r>
      <w:r w:rsidRPr="00A81964">
        <w:rPr>
          <w:rFonts w:hint="eastAsia"/>
          <w:b/>
          <w:bCs/>
          <w:rtl/>
        </w:rPr>
        <w:t>שיינתנו</w:t>
      </w:r>
      <w:r w:rsidRPr="00A81964">
        <w:rPr>
          <w:b/>
          <w:bCs/>
          <w:rtl/>
        </w:rPr>
        <w:t xml:space="preserve"> </w:t>
      </w:r>
      <w:r w:rsidRPr="00A81964">
        <w:rPr>
          <w:rFonts w:hint="eastAsia"/>
          <w:b/>
          <w:bCs/>
          <w:rtl/>
        </w:rPr>
        <w:t>על</w:t>
      </w:r>
      <w:r w:rsidRPr="00A81964">
        <w:rPr>
          <w:b/>
          <w:bCs/>
          <w:rtl/>
        </w:rPr>
        <w:t xml:space="preserve"> </w:t>
      </w:r>
      <w:r w:rsidRPr="00A81964">
        <w:rPr>
          <w:rFonts w:hint="eastAsia"/>
          <w:b/>
          <w:bCs/>
          <w:rtl/>
        </w:rPr>
        <w:t>ידי</w:t>
      </w:r>
      <w:r w:rsidRPr="00A81964">
        <w:rPr>
          <w:b/>
          <w:bCs/>
          <w:rtl/>
        </w:rPr>
        <w:t xml:space="preserve"> </w:t>
      </w:r>
      <w:r w:rsidRPr="00A81964">
        <w:rPr>
          <w:rFonts w:hint="eastAsia"/>
          <w:b/>
          <w:bCs/>
          <w:rtl/>
        </w:rPr>
        <w:t>הספקים</w:t>
      </w:r>
      <w:r w:rsidRPr="00A81964">
        <w:rPr>
          <w:b/>
          <w:bCs/>
          <w:rtl/>
        </w:rPr>
        <w:t xml:space="preserve"> </w:t>
      </w:r>
      <w:r w:rsidRPr="00A81964">
        <w:rPr>
          <w:rFonts w:hint="eastAsia"/>
          <w:b/>
          <w:bCs/>
          <w:rtl/>
        </w:rPr>
        <w:t>שיזכו</w:t>
      </w:r>
      <w:r w:rsidRPr="00A81964">
        <w:rPr>
          <w:b/>
          <w:bCs/>
          <w:rtl/>
        </w:rPr>
        <w:t xml:space="preserve"> </w:t>
      </w:r>
      <w:r w:rsidRPr="00A81964">
        <w:rPr>
          <w:rFonts w:hint="eastAsia"/>
          <w:b/>
          <w:bCs/>
          <w:rtl/>
        </w:rPr>
        <w:t>במכרז</w:t>
      </w:r>
      <w:r w:rsidRPr="00A81964">
        <w:rPr>
          <w:b/>
          <w:bCs/>
          <w:rtl/>
        </w:rPr>
        <w:t xml:space="preserve">, </w:t>
      </w:r>
      <w:r w:rsidRPr="00A81964">
        <w:rPr>
          <w:rFonts w:hint="eastAsia"/>
          <w:b/>
          <w:bCs/>
          <w:rtl/>
        </w:rPr>
        <w:t>ומשכך</w:t>
      </w:r>
      <w:r w:rsidRPr="00A81964">
        <w:rPr>
          <w:b/>
          <w:bCs/>
          <w:rtl/>
        </w:rPr>
        <w:t xml:space="preserve"> </w:t>
      </w:r>
      <w:r w:rsidRPr="00A81964">
        <w:rPr>
          <w:rFonts w:hint="eastAsia"/>
          <w:b/>
          <w:bCs/>
          <w:rtl/>
        </w:rPr>
        <w:t>לא</w:t>
      </w:r>
      <w:r w:rsidRPr="00A81964">
        <w:rPr>
          <w:b/>
          <w:bCs/>
          <w:rtl/>
        </w:rPr>
        <w:t xml:space="preserve"> </w:t>
      </w:r>
      <w:r w:rsidRPr="00A81964">
        <w:rPr>
          <w:rFonts w:hint="eastAsia"/>
          <w:b/>
          <w:bCs/>
          <w:rtl/>
        </w:rPr>
        <w:t>קודמה</w:t>
      </w:r>
      <w:r w:rsidRPr="00A81964">
        <w:rPr>
          <w:b/>
          <w:bCs/>
          <w:rtl/>
        </w:rPr>
        <w:t xml:space="preserve"> </w:t>
      </w:r>
      <w:r w:rsidRPr="00A81964">
        <w:rPr>
          <w:rFonts w:hint="eastAsia"/>
          <w:b/>
          <w:bCs/>
          <w:rtl/>
        </w:rPr>
        <w:t>טיוטת</w:t>
      </w:r>
      <w:r w:rsidRPr="00A81964">
        <w:rPr>
          <w:b/>
          <w:bCs/>
          <w:rtl/>
        </w:rPr>
        <w:t xml:space="preserve"> </w:t>
      </w:r>
      <w:r w:rsidRPr="00A81964">
        <w:rPr>
          <w:rFonts w:hint="eastAsia"/>
          <w:b/>
          <w:bCs/>
          <w:rtl/>
        </w:rPr>
        <w:t>המכרז</w:t>
      </w:r>
      <w:r w:rsidRPr="00A81964">
        <w:rPr>
          <w:b/>
          <w:bCs/>
          <w:rtl/>
        </w:rPr>
        <w:t>.</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981452">
        <w:rPr>
          <w:rFonts w:hint="cs"/>
          <w:b/>
          <w:bCs/>
          <w:rtl/>
        </w:rPr>
        <w:t>משרד</w:t>
      </w:r>
      <w:r>
        <w:rPr>
          <w:rFonts w:hint="cs"/>
          <w:b/>
          <w:bCs/>
          <w:rtl/>
        </w:rPr>
        <w:t xml:space="preserve"> </w:t>
      </w:r>
      <w:r w:rsidRPr="00A81964">
        <w:rPr>
          <w:rFonts w:hint="eastAsia"/>
          <w:b/>
          <w:bCs/>
          <w:rtl/>
        </w:rPr>
        <w:t>מבקר</w:t>
      </w:r>
      <w:r w:rsidRPr="00A81964">
        <w:rPr>
          <w:b/>
          <w:bCs/>
          <w:rtl/>
        </w:rPr>
        <w:t xml:space="preserve"> המדינה </w:t>
      </w:r>
      <w:r w:rsidRPr="00A81964">
        <w:rPr>
          <w:rFonts w:hint="eastAsia"/>
          <w:b/>
          <w:bCs/>
          <w:rtl/>
        </w:rPr>
        <w:t>מעיר</w:t>
      </w:r>
      <w:r w:rsidRPr="00A81964">
        <w:rPr>
          <w:b/>
          <w:bCs/>
          <w:rtl/>
        </w:rPr>
        <w:t xml:space="preserve"> </w:t>
      </w:r>
      <w:r w:rsidRPr="00A81964">
        <w:rPr>
          <w:rFonts w:hint="eastAsia"/>
          <w:b/>
          <w:bCs/>
          <w:rtl/>
        </w:rPr>
        <w:t>כי</w:t>
      </w:r>
      <w:r w:rsidRPr="00A81964">
        <w:rPr>
          <w:b/>
          <w:bCs/>
          <w:rtl/>
        </w:rPr>
        <w:t xml:space="preserve"> הטיפול בתביעות בגין נזקי רכבים באמצעות מוסכי הסדר יקטין את שעות </w:t>
      </w:r>
      <w:r w:rsidRPr="00A81964">
        <w:rPr>
          <w:rFonts w:hint="eastAsia"/>
          <w:b/>
          <w:bCs/>
          <w:rtl/>
        </w:rPr>
        <w:t>ה</w:t>
      </w:r>
      <w:r w:rsidRPr="00A81964">
        <w:rPr>
          <w:b/>
          <w:bCs/>
          <w:rtl/>
        </w:rPr>
        <w:t xml:space="preserve">עבודה </w:t>
      </w:r>
      <w:r w:rsidRPr="00A81964">
        <w:rPr>
          <w:rFonts w:hint="eastAsia"/>
          <w:b/>
          <w:bCs/>
          <w:rtl/>
        </w:rPr>
        <w:t>הנדרשות</w:t>
      </w:r>
      <w:r w:rsidRPr="00A81964">
        <w:rPr>
          <w:b/>
          <w:bCs/>
          <w:rtl/>
        </w:rPr>
        <w:t xml:space="preserve"> של עובדי הקרן ו</w:t>
      </w:r>
      <w:r w:rsidRPr="00A81964">
        <w:rPr>
          <w:rFonts w:hint="eastAsia"/>
          <w:b/>
          <w:bCs/>
          <w:rtl/>
        </w:rPr>
        <w:t>ה</w:t>
      </w:r>
      <w:r w:rsidRPr="00A81964">
        <w:rPr>
          <w:b/>
          <w:bCs/>
          <w:rtl/>
        </w:rPr>
        <w:t>שמאים לצורך טיפול בתביעות אלה ועשוי להקטין את העלויות בגינן.</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lastRenderedPageBreak/>
        <w:t>עלה כי אף שוועדת נזק ישיר המליצה</w:t>
      </w:r>
      <w:r w:rsidRPr="00A81964">
        <w:rPr>
          <w:rtl/>
        </w:rPr>
        <w:t xml:space="preserve"> </w:t>
      </w:r>
      <w:r w:rsidRPr="00A81964">
        <w:rPr>
          <w:rFonts w:hint="cs"/>
          <w:b/>
          <w:bCs/>
          <w:rtl/>
        </w:rPr>
        <w:t xml:space="preserve">על </w:t>
      </w:r>
      <w:r w:rsidRPr="00A81964">
        <w:rPr>
          <w:b/>
          <w:bCs/>
          <w:rtl/>
        </w:rPr>
        <w:t>פרסום מכרז לזגגי רכב ועל כתיבת נוהל הפעלה לזמני שגרה ולשעת חירום</w:t>
      </w:r>
      <w:r w:rsidRPr="00A81964">
        <w:rPr>
          <w:rFonts w:hint="cs"/>
          <w:b/>
          <w:bCs/>
          <w:rtl/>
        </w:rPr>
        <w:t xml:space="preserve"> כבר בשנת 2017 והוכנה לכך טיוטת מכרז בשנת 2021 ועל אף החשיבות של החיסכון הכספי בתשומות כוח האדם ובכספי ציבור שצפוי לנבוע מכך, נכון למועד סיום הביקורת, לרשות המיסים אין נתונים בדבר היקף נזקי שמשות שנוצרו מאז שנת 2017 והיא טרם פרסמה מכרז למתן שירותים בתחום זגגות הרכב.</w:t>
      </w:r>
    </w:p>
    <w:p w:rsidR="006252C4" w:rsidRDefault="006252C4" w:rsidP="006252C4">
      <w:pPr>
        <w:pStyle w:val="a8"/>
        <w:spacing w:line="269" w:lineRule="auto"/>
        <w:rPr>
          <w:rtl/>
        </w:rPr>
      </w:pPr>
    </w:p>
    <w:p w:rsidR="006252C4" w:rsidRDefault="006252C4" w:rsidP="006252C4">
      <w:pPr>
        <w:spacing w:line="269" w:lineRule="auto"/>
        <w:rPr>
          <w:b/>
          <w:bCs/>
          <w:rtl/>
        </w:rPr>
      </w:pPr>
      <w:r w:rsidRPr="00A81964">
        <w:rPr>
          <w:rFonts w:hint="cs"/>
          <w:b/>
          <w:bCs/>
          <w:rtl/>
        </w:rPr>
        <w:t xml:space="preserve">על קרן הפיצויים להשלים את ההליך </w:t>
      </w:r>
      <w:r w:rsidRPr="0016480E">
        <w:rPr>
          <w:rFonts w:hint="cs"/>
          <w:b/>
          <w:bCs/>
          <w:rtl/>
        </w:rPr>
        <w:t>המכרזי</w:t>
      </w:r>
      <w:r w:rsidRPr="0016480E">
        <w:rPr>
          <w:b/>
          <w:bCs/>
          <w:rtl/>
        </w:rPr>
        <w:t xml:space="preserve">, </w:t>
      </w:r>
      <w:r w:rsidRPr="0016480E">
        <w:rPr>
          <w:rFonts w:hint="cs"/>
          <w:b/>
          <w:bCs/>
          <w:rtl/>
        </w:rPr>
        <w:t>ולהסדיר</w:t>
      </w:r>
      <w:r w:rsidRPr="00A81964">
        <w:rPr>
          <w:rFonts w:hint="cs"/>
          <w:b/>
          <w:bCs/>
          <w:rtl/>
        </w:rPr>
        <w:t xml:space="preserve"> את ההתקשרות עם ספקי שירותים בתחום זגגות הרכב לצורך תיקון נזקים שנגרמו בתחום זגגות רכב. הליך זה עשוי לתרום לייעול הטיפול בנזקי רכבים, לחיסכון בתשומות כוח האדם, לחיסכון בעלויות ולשיפור השירות.</w:t>
      </w:r>
    </w:p>
    <w:p w:rsidR="006252C4" w:rsidRDefault="006252C4" w:rsidP="006252C4">
      <w:pPr>
        <w:pStyle w:val="a8"/>
        <w:spacing w:line="269" w:lineRule="auto"/>
        <w:rPr>
          <w:rtl/>
        </w:rPr>
      </w:pPr>
    </w:p>
    <w:p w:rsidR="006252C4" w:rsidRDefault="006252C4" w:rsidP="006252C4">
      <w:pPr>
        <w:spacing w:line="269" w:lineRule="auto"/>
        <w:rPr>
          <w:rtl/>
        </w:rPr>
      </w:pPr>
      <w:r w:rsidRPr="008F1531">
        <w:rPr>
          <w:rFonts w:hint="eastAsia"/>
          <w:rtl/>
        </w:rPr>
        <w:t>רשות</w:t>
      </w:r>
      <w:r w:rsidRPr="008F1531">
        <w:rPr>
          <w:rtl/>
        </w:rPr>
        <w:t xml:space="preserve"> </w:t>
      </w:r>
      <w:r>
        <w:rPr>
          <w:rFonts w:hint="eastAsia"/>
          <w:rtl/>
        </w:rPr>
        <w:t>המיסים</w:t>
      </w:r>
      <w:r w:rsidRPr="008F1531">
        <w:rPr>
          <w:rtl/>
        </w:rPr>
        <w:t xml:space="preserve"> </w:t>
      </w:r>
      <w:r w:rsidRPr="006C451A">
        <w:rPr>
          <w:rFonts w:hint="eastAsia"/>
          <w:rtl/>
        </w:rPr>
        <w:t>מסרה</w:t>
      </w:r>
      <w:r w:rsidRPr="006C451A">
        <w:rPr>
          <w:rtl/>
        </w:rPr>
        <w:t xml:space="preserve"> </w:t>
      </w:r>
      <w:r w:rsidRPr="006C451A">
        <w:rPr>
          <w:rFonts w:hint="eastAsia"/>
          <w:rtl/>
        </w:rPr>
        <w:t>בת</w:t>
      </w:r>
      <w:r>
        <w:rPr>
          <w:rFonts w:hint="cs"/>
          <w:rtl/>
        </w:rPr>
        <w:t>ש</w:t>
      </w:r>
      <w:r w:rsidRPr="006C451A">
        <w:rPr>
          <w:rFonts w:hint="eastAsia"/>
          <w:rtl/>
        </w:rPr>
        <w:t>ובתה</w:t>
      </w:r>
      <w:r w:rsidRPr="008F1531">
        <w:rPr>
          <w:rtl/>
        </w:rPr>
        <w:t xml:space="preserve"> </w:t>
      </w:r>
      <w:r w:rsidRPr="008F1531">
        <w:rPr>
          <w:rFonts w:hint="eastAsia"/>
          <w:rtl/>
        </w:rPr>
        <w:t>כי</w:t>
      </w:r>
      <w:r w:rsidRPr="008F1531">
        <w:rPr>
          <w:rtl/>
        </w:rPr>
        <w:t xml:space="preserve"> </w:t>
      </w:r>
      <w:r w:rsidRPr="008F1531">
        <w:rPr>
          <w:rFonts w:hint="eastAsia"/>
          <w:rtl/>
        </w:rPr>
        <w:t>במהלך</w:t>
      </w:r>
      <w:r w:rsidRPr="008F1531">
        <w:rPr>
          <w:rtl/>
        </w:rPr>
        <w:t xml:space="preserve"> </w:t>
      </w:r>
      <w:r w:rsidRPr="008F1531">
        <w:rPr>
          <w:rFonts w:hint="eastAsia"/>
          <w:rtl/>
        </w:rPr>
        <w:t>שנת</w:t>
      </w:r>
      <w:r w:rsidRPr="008F1531">
        <w:rPr>
          <w:rtl/>
        </w:rPr>
        <w:t xml:space="preserve"> 2026 </w:t>
      </w:r>
      <w:r w:rsidRPr="008F1531">
        <w:rPr>
          <w:rFonts w:hint="eastAsia"/>
          <w:rtl/>
        </w:rPr>
        <w:t>תסיים</w:t>
      </w:r>
      <w:r w:rsidRPr="008F1531">
        <w:rPr>
          <w:rtl/>
        </w:rPr>
        <w:t xml:space="preserve"> </w:t>
      </w:r>
      <w:r w:rsidRPr="008F1531">
        <w:rPr>
          <w:rFonts w:hint="eastAsia"/>
          <w:rtl/>
        </w:rPr>
        <w:t>הקרן</w:t>
      </w:r>
      <w:r w:rsidRPr="008F1531">
        <w:rPr>
          <w:rtl/>
        </w:rPr>
        <w:t xml:space="preserve"> </w:t>
      </w:r>
      <w:r w:rsidRPr="008F1531">
        <w:rPr>
          <w:rFonts w:hint="eastAsia"/>
          <w:rtl/>
        </w:rPr>
        <w:t>את</w:t>
      </w:r>
      <w:r w:rsidRPr="008F1531">
        <w:rPr>
          <w:rtl/>
        </w:rPr>
        <w:t xml:space="preserve"> </w:t>
      </w:r>
      <w:r w:rsidRPr="008F1531">
        <w:rPr>
          <w:rFonts w:hint="eastAsia"/>
          <w:rtl/>
        </w:rPr>
        <w:t>ניסוח</w:t>
      </w:r>
      <w:r w:rsidRPr="008F1531">
        <w:rPr>
          <w:rtl/>
        </w:rPr>
        <w:t xml:space="preserve"> </w:t>
      </w:r>
      <w:r w:rsidRPr="008F1531">
        <w:rPr>
          <w:rFonts w:hint="eastAsia"/>
          <w:rtl/>
        </w:rPr>
        <w:t>המכרז</w:t>
      </w:r>
      <w:r w:rsidRPr="008F1531">
        <w:rPr>
          <w:rtl/>
        </w:rPr>
        <w:t xml:space="preserve"> </w:t>
      </w:r>
      <w:r w:rsidRPr="008F1531">
        <w:rPr>
          <w:rFonts w:hint="eastAsia"/>
          <w:rtl/>
        </w:rPr>
        <w:t>ותפעל</w:t>
      </w:r>
      <w:r w:rsidRPr="008F1531">
        <w:rPr>
          <w:rtl/>
        </w:rPr>
        <w:t xml:space="preserve"> </w:t>
      </w:r>
      <w:r w:rsidRPr="008F1531">
        <w:rPr>
          <w:rFonts w:hint="eastAsia"/>
          <w:rtl/>
        </w:rPr>
        <w:t>לפרסמו</w:t>
      </w:r>
      <w:r w:rsidRPr="008F1531">
        <w:rPr>
          <w:rtl/>
        </w:rPr>
        <w:t xml:space="preserve">. </w:t>
      </w:r>
    </w:p>
    <w:p w:rsidR="006252C4" w:rsidRPr="006A7D9F" w:rsidRDefault="006252C4" w:rsidP="006252C4">
      <w:pPr>
        <w:spacing w:line="269" w:lineRule="auto"/>
        <w:rPr>
          <w:rtl/>
        </w:rPr>
      </w:pPr>
    </w:p>
    <w:p w:rsidR="006252C4" w:rsidRPr="00A81964" w:rsidRDefault="006252C4" w:rsidP="006252C4">
      <w:pPr>
        <w:pStyle w:val="31"/>
        <w:spacing w:before="0" w:line="269" w:lineRule="auto"/>
        <w:rPr>
          <w:rtl/>
        </w:rPr>
      </w:pPr>
      <w:r w:rsidRPr="00A81964">
        <w:rPr>
          <w:rtl/>
        </w:rPr>
        <w:t>ביטוח לחפצים ביתיים</w:t>
      </w:r>
    </w:p>
    <w:p w:rsidR="006252C4" w:rsidRPr="00392075" w:rsidRDefault="006252C4" w:rsidP="006252C4">
      <w:pPr>
        <w:spacing w:line="269" w:lineRule="auto"/>
        <w:rPr>
          <w:rtl/>
        </w:rPr>
      </w:pPr>
    </w:p>
    <w:p w:rsidR="006252C4" w:rsidRPr="00A81964" w:rsidRDefault="006252C4" w:rsidP="006252C4">
      <w:pPr>
        <w:pStyle w:val="4"/>
        <w:spacing w:before="0" w:line="269" w:lineRule="auto"/>
        <w:rPr>
          <w:rtl/>
        </w:rPr>
      </w:pPr>
      <w:r w:rsidRPr="00A81964">
        <w:rPr>
          <w:rFonts w:hint="cs"/>
          <w:rtl/>
        </w:rPr>
        <w:t>מודעות הציבור לביטוח חפצים ביתיים</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בתקנות</w:t>
      </w:r>
      <w:r w:rsidRPr="00A81964">
        <w:rPr>
          <w:rtl/>
        </w:rPr>
        <w:t xml:space="preserve"> מס רכוש וקרן פיצויים (תשלום פיצויים) (חפצים ביתיים), </w:t>
      </w:r>
      <w:r w:rsidRPr="00A81964">
        <w:rPr>
          <w:rFonts w:hint="cs"/>
          <w:rtl/>
        </w:rPr>
        <w:t>ה</w:t>
      </w:r>
      <w:r w:rsidRPr="00A81964">
        <w:rPr>
          <w:rtl/>
        </w:rPr>
        <w:t>תשל"ג-1973</w:t>
      </w:r>
      <w:r w:rsidRPr="00A81964">
        <w:rPr>
          <w:rFonts w:hint="cs"/>
          <w:rtl/>
        </w:rPr>
        <w:t xml:space="preserve"> (להלן - תקנות חפצים ביתיים), מוסדר הפיצוי בגין נזקים ישירים שנגרמו לחפצים ביתיים. </w:t>
      </w:r>
    </w:p>
    <w:p w:rsidR="006252C4" w:rsidRDefault="006252C4" w:rsidP="006252C4">
      <w:pPr>
        <w:pStyle w:val="a8"/>
        <w:spacing w:line="269" w:lineRule="auto"/>
        <w:rPr>
          <w:rtl/>
        </w:rPr>
      </w:pPr>
    </w:p>
    <w:p w:rsidR="006252C4" w:rsidRDefault="006252C4" w:rsidP="006252C4">
      <w:pPr>
        <w:spacing w:line="269" w:lineRule="auto"/>
        <w:rPr>
          <w:sz w:val="24"/>
          <w:rtl/>
        </w:rPr>
      </w:pPr>
      <w:r w:rsidRPr="00A81964">
        <w:rPr>
          <w:sz w:val="24"/>
          <w:rtl/>
        </w:rPr>
        <w:t>חפצים ביתיים כוללים</w:t>
      </w:r>
      <w:r w:rsidRPr="00A81964">
        <w:rPr>
          <w:rStyle w:val="af2"/>
          <w:sz w:val="24"/>
          <w:rtl/>
        </w:rPr>
        <w:footnoteReference w:id="24"/>
      </w:r>
      <w:r w:rsidRPr="00A81964">
        <w:rPr>
          <w:sz w:val="24"/>
          <w:rtl/>
        </w:rPr>
        <w:t xml:space="preserve"> בין היתר רהיטים, ביגוד, כלים, </w:t>
      </w:r>
      <w:r w:rsidRPr="00A81964">
        <w:rPr>
          <w:rFonts w:hint="cs"/>
          <w:sz w:val="24"/>
          <w:rtl/>
        </w:rPr>
        <w:t xml:space="preserve">מכשירים לשימוש ביתי כגון </w:t>
      </w:r>
      <w:r w:rsidRPr="00A81964">
        <w:rPr>
          <w:sz w:val="24"/>
          <w:rtl/>
        </w:rPr>
        <w:t>מוצרי חשמל ואלקטרוניקה וחפצים ביתיים נוספים</w:t>
      </w:r>
      <w:r w:rsidRPr="00A81964">
        <w:rPr>
          <w:rFonts w:hint="cs"/>
          <w:sz w:val="24"/>
          <w:rtl/>
        </w:rPr>
        <w:t xml:space="preserve"> הנמצאים בבית מגוריו של אדם</w:t>
      </w:r>
      <w:r w:rsidRPr="00A81964">
        <w:rPr>
          <w:sz w:val="24"/>
          <w:rtl/>
        </w:rPr>
        <w:t xml:space="preserve"> (להלן - חפצים ביתיים)</w:t>
      </w:r>
      <w:r w:rsidRPr="00A81964">
        <w:rPr>
          <w:rFonts w:hint="cs"/>
          <w:sz w:val="24"/>
          <w:rtl/>
        </w:rPr>
        <w:t>,</w:t>
      </w:r>
      <w:r w:rsidRPr="00A81964">
        <w:rPr>
          <w:sz w:val="24"/>
          <w:rtl/>
        </w:rPr>
        <w:t xml:space="preserve"> למעט תכשיטים, חפצי א</w:t>
      </w:r>
      <w:r w:rsidRPr="00A81964">
        <w:rPr>
          <w:rFonts w:hint="cs"/>
          <w:sz w:val="24"/>
          <w:rtl/>
        </w:rPr>
        <w:t>ו</w:t>
      </w:r>
      <w:r w:rsidRPr="00A81964">
        <w:rPr>
          <w:sz w:val="24"/>
          <w:rtl/>
        </w:rPr>
        <w:t>מנות ועתיקות.</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בהתאם לתקנות חפצים ביתיים</w:t>
      </w:r>
      <w:r w:rsidRPr="00A81964">
        <w:rPr>
          <w:rStyle w:val="af2"/>
          <w:rtl/>
        </w:rPr>
        <w:footnoteReference w:id="25"/>
      </w:r>
      <w:r w:rsidRPr="00A81964">
        <w:rPr>
          <w:rFonts w:hint="cs"/>
          <w:rtl/>
        </w:rPr>
        <w:t>, כאשר נגרם נזק ישיר לחפצים ביתיים, בעליהם יהיה זכאי</w:t>
      </w:r>
      <w:r>
        <w:rPr>
          <w:rFonts w:hint="cs"/>
          <w:rtl/>
        </w:rPr>
        <w:t xml:space="preserve"> </w:t>
      </w:r>
      <w:r w:rsidRPr="00A81964">
        <w:rPr>
          <w:rFonts w:hint="cs"/>
          <w:rtl/>
        </w:rPr>
        <w:t>לפיצויים בעד הנזק שאירע לחפצים אלו בגובה הוצאות שיקום הנזק ובלבד שהפיצויים בשל כל החפצים הביתיים מאותו סוג שניזוקו לא יעלה על סכום הפיצוי שנקבע לאותו סוג בתוספת הראשונה לתקנות (להלן - התוספת הראשונה)</w:t>
      </w:r>
      <w:r w:rsidRPr="00A81964">
        <w:rPr>
          <w:rtl/>
        </w:rPr>
        <w:t xml:space="preserve"> </w:t>
      </w:r>
      <w:r w:rsidRPr="00A81964">
        <w:rPr>
          <w:rFonts w:hint="cs"/>
          <w:rtl/>
        </w:rPr>
        <w:t>(להלן - התקרה לפיצוי). בתקנות נקבעו כמה דרגות לתקרת הפיצוי לפי הרכב התא המשפחתי של בעל הנכס שניזוק.</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בשנים 2020-2019 בחנה רשות המיסים בשיתוף הלשכה המרכזית לסטטיסטיקה את גובה התקרות לפיצוי. תוצאות הבדיקה העלו כי לאור ירידות המחירים, בעיקר של מוצרי החשמל וביגוד, סכומי התקרות שנקבעו בתוספת הראשונה מטיבות עם האזרחים.</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אדם שיש בבעלותו או בהחזקתו חפצים ביתיים שברצונו לבטח בערך גבוה מהתקרה לפיצוי שנקבע לאותו סוג חפצים, רשאי</w:t>
      </w:r>
      <w:r w:rsidRPr="00A81964">
        <w:rPr>
          <w:rStyle w:val="af2"/>
          <w:rtl/>
        </w:rPr>
        <w:footnoteReference w:id="26"/>
      </w:r>
      <w:r w:rsidRPr="00A81964">
        <w:rPr>
          <w:rFonts w:hint="cs"/>
          <w:rtl/>
        </w:rPr>
        <w:t xml:space="preserve"> לרכוש עבורם ביטוח, כך שיוכל לתבוע פיצוי בגין נזקים שנגרמו להם בסכומים העולים על תקרת הפיצוי (להלן - ביטוח חפצים ביתיים או הביטוח).</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להלן</w:t>
      </w:r>
      <w:r>
        <w:rPr>
          <w:rFonts w:hint="cs"/>
        </w:rPr>
        <w:t xml:space="preserve"> </w:t>
      </w:r>
      <w:r>
        <w:rPr>
          <w:rFonts w:hint="cs"/>
          <w:rtl/>
        </w:rPr>
        <w:t xml:space="preserve">בלוח 2 </w:t>
      </w:r>
      <w:r w:rsidRPr="00A81964">
        <w:rPr>
          <w:rFonts w:hint="cs"/>
          <w:rtl/>
        </w:rPr>
        <w:t xml:space="preserve">מוצגות </w:t>
      </w:r>
      <w:r w:rsidRPr="00A81964">
        <w:rPr>
          <w:rtl/>
        </w:rPr>
        <w:t xml:space="preserve">תקרות </w:t>
      </w:r>
      <w:r w:rsidRPr="00A81964">
        <w:rPr>
          <w:rFonts w:hint="cs"/>
          <w:rtl/>
        </w:rPr>
        <w:t>ה</w:t>
      </w:r>
      <w:r w:rsidRPr="00A81964">
        <w:rPr>
          <w:rtl/>
        </w:rPr>
        <w:t xml:space="preserve">פיצוי בהתאם </w:t>
      </w:r>
      <w:r w:rsidRPr="00A81964">
        <w:rPr>
          <w:rFonts w:hint="cs"/>
          <w:rtl/>
        </w:rPr>
        <w:t>לסוגי החפצים שניזוקו ולהרכב התא המשפחתי הניזוק כפי שמופיעות באתר רשות המיסים.</w:t>
      </w:r>
    </w:p>
    <w:p w:rsidR="006252C4" w:rsidRPr="00A81964" w:rsidRDefault="006252C4" w:rsidP="006252C4">
      <w:pPr>
        <w:spacing w:line="269" w:lineRule="auto"/>
        <w:rPr>
          <w:rtl/>
        </w:rPr>
      </w:pPr>
    </w:p>
    <w:p w:rsidR="006252C4" w:rsidRPr="006173B7" w:rsidRDefault="006252C4" w:rsidP="00A20B3B">
      <w:pPr>
        <w:keepNext/>
        <w:keepLines/>
        <w:jc w:val="center"/>
        <w:rPr>
          <w:b/>
          <w:bCs/>
          <w:u w:val="single"/>
          <w:rtl/>
        </w:rPr>
      </w:pPr>
      <w:r w:rsidRPr="00392075">
        <w:rPr>
          <w:rFonts w:hint="eastAsia"/>
          <w:rtl/>
        </w:rPr>
        <w:t>לוח</w:t>
      </w:r>
      <w:r w:rsidRPr="00392075">
        <w:rPr>
          <w:rtl/>
        </w:rPr>
        <w:t xml:space="preserve"> 2:</w:t>
      </w:r>
      <w:r w:rsidRPr="00392075">
        <w:rPr>
          <w:b/>
          <w:bCs/>
          <w:rtl/>
        </w:rPr>
        <w:t xml:space="preserve"> תקרות הפיצויים בגין חפצים ביתיים בהתאם לסוגי החפצים ולהרכב התא המשפחתי הניזוק</w:t>
      </w:r>
    </w:p>
    <w:p w:rsidR="006252C4" w:rsidRPr="00A81964" w:rsidRDefault="006252C4" w:rsidP="006252C4">
      <w:pPr>
        <w:spacing w:line="269" w:lineRule="auto"/>
        <w:jc w:val="center"/>
        <w:rPr>
          <w:rtl/>
        </w:rPr>
      </w:pPr>
      <w:r w:rsidRPr="00A81964">
        <w:rPr>
          <w:noProof/>
        </w:rPr>
        <w:drawing>
          <wp:inline distT="0" distB="0" distL="0" distR="0" wp14:anchorId="1B45CDCE" wp14:editId="5FF50FF5">
            <wp:extent cx="5009772" cy="2052416"/>
            <wp:effectExtent l="0" t="0" r="635" b="5080"/>
            <wp:docPr id="239" name="תמונה 239" descr="בלוח מופיעים תקרות שונות בהתאם לסוגי חפצים ביתיים, כגון: ביגוד והנעלה, רהיטים, מכשירי חשמל ואלקטרוניק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
                    <pic:cNvPicPr/>
                  </pic:nvPicPr>
                  <pic:blipFill>
                    <a:blip r:embed="rId24"/>
                    <a:stretch>
                      <a:fillRect/>
                    </a:stretch>
                  </pic:blipFill>
                  <pic:spPr>
                    <a:xfrm>
                      <a:off x="0" y="0"/>
                      <a:ext cx="5014890" cy="2054513"/>
                    </a:xfrm>
                    <a:prstGeom prst="rect">
                      <a:avLst/>
                    </a:prstGeom>
                  </pic:spPr>
                </pic:pic>
              </a:graphicData>
            </a:graphic>
          </wp:inline>
        </w:drawing>
      </w:r>
    </w:p>
    <w:p w:rsidR="006252C4" w:rsidRPr="00754F29" w:rsidRDefault="006252C4" w:rsidP="005C1E9C">
      <w:pPr>
        <w:spacing w:before="60" w:line="269" w:lineRule="auto"/>
        <w:rPr>
          <w:sz w:val="16"/>
          <w:szCs w:val="20"/>
          <w:rtl/>
        </w:rPr>
      </w:pPr>
      <w:r w:rsidRPr="00754F29">
        <w:rPr>
          <w:rFonts w:hint="cs"/>
          <w:sz w:val="16"/>
          <w:szCs w:val="20"/>
          <w:rtl/>
        </w:rPr>
        <w:t>המקור: אתר רשות המיסים.</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הו</w:t>
      </w:r>
      <w:r w:rsidRPr="00A81964">
        <w:rPr>
          <w:rFonts w:hint="eastAsia"/>
          <w:b/>
          <w:bCs/>
          <w:rtl/>
        </w:rPr>
        <w:t>עלה</w:t>
      </w:r>
      <w:r w:rsidRPr="00A81964">
        <w:rPr>
          <w:b/>
          <w:bCs/>
          <w:rtl/>
        </w:rPr>
        <w:t xml:space="preserve"> כי אף </w:t>
      </w:r>
      <w:r w:rsidRPr="00A81964">
        <w:rPr>
          <w:rFonts w:hint="cs"/>
          <w:b/>
          <w:bCs/>
          <w:rtl/>
        </w:rPr>
        <w:t>ש</w:t>
      </w:r>
      <w:r w:rsidRPr="00A81964">
        <w:rPr>
          <w:rFonts w:hint="eastAsia"/>
          <w:b/>
          <w:bCs/>
          <w:rtl/>
        </w:rPr>
        <w:t>מיליוני</w:t>
      </w:r>
      <w:r w:rsidRPr="00A81964">
        <w:rPr>
          <w:b/>
          <w:bCs/>
          <w:rtl/>
        </w:rPr>
        <w:t xml:space="preserve"> </w:t>
      </w:r>
      <w:r w:rsidRPr="00A81964">
        <w:rPr>
          <w:rFonts w:hint="cs"/>
          <w:b/>
          <w:bCs/>
          <w:rtl/>
        </w:rPr>
        <w:t>בתי אב</w:t>
      </w:r>
      <w:r w:rsidRPr="00A81964">
        <w:rPr>
          <w:b/>
          <w:bCs/>
          <w:rtl/>
        </w:rPr>
        <w:t xml:space="preserve"> </w:t>
      </w:r>
      <w:r w:rsidRPr="00A81964">
        <w:rPr>
          <w:rFonts w:hint="cs"/>
          <w:b/>
          <w:bCs/>
          <w:rtl/>
        </w:rPr>
        <w:t xml:space="preserve">בישראל </w:t>
      </w:r>
      <w:r w:rsidRPr="00A81964">
        <w:rPr>
          <w:rFonts w:hint="eastAsia"/>
          <w:b/>
          <w:bCs/>
          <w:rtl/>
        </w:rPr>
        <w:t>נתונים</w:t>
      </w:r>
      <w:r w:rsidRPr="00A81964">
        <w:rPr>
          <w:b/>
          <w:bCs/>
          <w:rtl/>
        </w:rPr>
        <w:t xml:space="preserve"> </w:t>
      </w:r>
      <w:r w:rsidRPr="00A81964">
        <w:rPr>
          <w:rFonts w:hint="cs"/>
          <w:b/>
          <w:bCs/>
          <w:rtl/>
        </w:rPr>
        <w:t>ל</w:t>
      </w:r>
      <w:r w:rsidRPr="00A81964">
        <w:rPr>
          <w:b/>
          <w:bCs/>
          <w:rtl/>
        </w:rPr>
        <w:t xml:space="preserve">איום של רקטות, טילים </w:t>
      </w:r>
      <w:r w:rsidRPr="00A81964">
        <w:rPr>
          <w:rFonts w:hint="eastAsia"/>
          <w:b/>
          <w:bCs/>
          <w:rtl/>
        </w:rPr>
        <w:t>ו</w:t>
      </w:r>
      <w:r w:rsidRPr="00A81964">
        <w:rPr>
          <w:rFonts w:hint="cs"/>
          <w:b/>
          <w:bCs/>
          <w:rtl/>
        </w:rPr>
        <w:t>כטב"מים,</w:t>
      </w:r>
      <w:r w:rsidRPr="00A81964">
        <w:rPr>
          <w:b/>
          <w:bCs/>
          <w:rtl/>
        </w:rPr>
        <w:t xml:space="preserve"> </w:t>
      </w:r>
      <w:r w:rsidRPr="00A81964">
        <w:rPr>
          <w:rFonts w:hint="eastAsia"/>
          <w:b/>
          <w:bCs/>
          <w:rtl/>
        </w:rPr>
        <w:t>העלולים</w:t>
      </w:r>
      <w:r w:rsidRPr="00A81964">
        <w:rPr>
          <w:b/>
          <w:bCs/>
          <w:rtl/>
        </w:rPr>
        <w:t xml:space="preserve"> להסב לרכושם נזקים ישירים</w:t>
      </w:r>
      <w:r w:rsidRPr="00A81964">
        <w:rPr>
          <w:rFonts w:hint="cs"/>
          <w:b/>
          <w:bCs/>
          <w:rtl/>
        </w:rPr>
        <w:t xml:space="preserve"> הגבוהים מתקרת הפיצוי שבחוק</w:t>
      </w:r>
      <w:r w:rsidRPr="00A81964">
        <w:rPr>
          <w:b/>
          <w:bCs/>
          <w:rtl/>
        </w:rPr>
        <w:t>, בשנים 2019</w:t>
      </w:r>
      <w:r w:rsidRPr="00A81964">
        <w:rPr>
          <w:rFonts w:hint="cs"/>
          <w:b/>
          <w:bCs/>
          <w:rtl/>
        </w:rPr>
        <w:t xml:space="preserve"> </w:t>
      </w:r>
      <w:r w:rsidRPr="00A81964">
        <w:rPr>
          <w:b/>
          <w:bCs/>
          <w:rtl/>
        </w:rPr>
        <w:t>-</w:t>
      </w:r>
      <w:r w:rsidRPr="00A81964">
        <w:rPr>
          <w:rFonts w:hint="cs"/>
          <w:b/>
          <w:bCs/>
          <w:rtl/>
        </w:rPr>
        <w:t xml:space="preserve"> </w:t>
      </w:r>
      <w:r w:rsidRPr="00A81964">
        <w:rPr>
          <w:b/>
          <w:bCs/>
          <w:rtl/>
        </w:rPr>
        <w:t xml:space="preserve">2023 </w:t>
      </w:r>
      <w:r w:rsidRPr="00A81964">
        <w:rPr>
          <w:rFonts w:hint="cs"/>
          <w:b/>
          <w:bCs/>
          <w:rtl/>
        </w:rPr>
        <w:t>רק</w:t>
      </w:r>
      <w:r>
        <w:rPr>
          <w:rFonts w:hint="cs"/>
          <w:b/>
          <w:bCs/>
          <w:rtl/>
        </w:rPr>
        <w:t xml:space="preserve"> כמה</w:t>
      </w:r>
      <w:r w:rsidRPr="00A81964">
        <w:rPr>
          <w:rFonts w:hint="cs"/>
          <w:b/>
          <w:bCs/>
          <w:rtl/>
        </w:rPr>
        <w:t xml:space="preserve"> </w:t>
      </w:r>
      <w:r w:rsidRPr="00407570">
        <w:rPr>
          <w:rFonts w:hint="cs"/>
          <w:b/>
          <w:bCs/>
          <w:rtl/>
        </w:rPr>
        <w:t>עשרות של בתי</w:t>
      </w:r>
      <w:r w:rsidRPr="00392075">
        <w:rPr>
          <w:rFonts w:hint="cs"/>
          <w:rtl/>
        </w:rPr>
        <w:t xml:space="preserve"> </w:t>
      </w:r>
      <w:r w:rsidRPr="00392075">
        <w:rPr>
          <w:rFonts w:hint="cs"/>
          <w:b/>
          <w:bCs/>
          <w:rtl/>
        </w:rPr>
        <w:t>אב</w:t>
      </w:r>
      <w:r w:rsidRPr="00A81964">
        <w:rPr>
          <w:rFonts w:hint="cs"/>
          <w:b/>
          <w:bCs/>
          <w:rtl/>
        </w:rPr>
        <w:t xml:space="preserve"> (בין 22 ל-73 בשנה) רכשו ביטוח חפצים ביתיים המאפשר להם לקבל פיצוי נרחב יותר על נזקים שנגרמו לחפצים הביתיים שברשותם.</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עוד עלה כי על אף הכמות הזניחה של בעלי חפצים ביתיים שרכשו את הביטוח, הפעולות שבהן נקטה רשות המיסים משנת 2019 ועד אוקטובר 2023 לפרסום ולהגברת המודעות בציבור בנוגע לזכות לרכוש ביטוח חפצים ביתיים הסתכמו</w:t>
      </w:r>
      <w:r w:rsidRPr="00A81964">
        <w:rPr>
          <w:rtl/>
        </w:rPr>
        <w:t xml:space="preserve"> </w:t>
      </w:r>
      <w:r w:rsidRPr="00A81964">
        <w:rPr>
          <w:rFonts w:hint="cs"/>
          <w:b/>
          <w:bCs/>
          <w:rtl/>
        </w:rPr>
        <w:t>ב</w:t>
      </w:r>
      <w:r w:rsidRPr="00407570">
        <w:rPr>
          <w:rFonts w:hint="cs"/>
          <w:b/>
          <w:bCs/>
          <w:rtl/>
        </w:rPr>
        <w:t>שני פרסומים</w:t>
      </w:r>
      <w:r w:rsidRPr="00A81964">
        <w:rPr>
          <w:rFonts w:hint="cs"/>
          <w:b/>
          <w:bCs/>
          <w:rtl/>
        </w:rPr>
        <w:t xml:space="preserve"> בלבד, אחד ב-2019 ואחד ב-2021. כמו כן, פרסומים אלו היו בעמודי הרשות ברשתות החברתיות, שאליהם חלק ניכר מהציבור אינו נחשף.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eastAsia"/>
          <w:b/>
          <w:bCs/>
          <w:rtl/>
        </w:rPr>
        <w:t>כמו</w:t>
      </w:r>
      <w:r w:rsidRPr="00A81964">
        <w:rPr>
          <w:b/>
          <w:bCs/>
          <w:rtl/>
        </w:rPr>
        <w:t xml:space="preserve"> כן, </w:t>
      </w:r>
      <w:r w:rsidRPr="00A81964">
        <w:rPr>
          <w:rFonts w:hint="eastAsia"/>
          <w:b/>
          <w:bCs/>
          <w:rtl/>
        </w:rPr>
        <w:t>עלה</w:t>
      </w:r>
      <w:r w:rsidRPr="00A81964">
        <w:rPr>
          <w:b/>
          <w:bCs/>
          <w:rtl/>
        </w:rPr>
        <w:t xml:space="preserve"> כי </w:t>
      </w:r>
      <w:r w:rsidRPr="00A81964">
        <w:rPr>
          <w:rFonts w:hint="eastAsia"/>
          <w:b/>
          <w:bCs/>
          <w:rtl/>
        </w:rPr>
        <w:t>במהלך</w:t>
      </w:r>
      <w:r w:rsidRPr="00A81964">
        <w:rPr>
          <w:b/>
          <w:bCs/>
          <w:rtl/>
        </w:rPr>
        <w:t xml:space="preserve"> אוקטובר 2023 פרסמה רשות המ</w:t>
      </w:r>
      <w:r w:rsidRPr="00A81964">
        <w:rPr>
          <w:rFonts w:hint="eastAsia"/>
          <w:b/>
          <w:bCs/>
          <w:rtl/>
        </w:rPr>
        <w:t>י</w:t>
      </w:r>
      <w:r w:rsidRPr="00A81964">
        <w:rPr>
          <w:b/>
          <w:bCs/>
          <w:rtl/>
        </w:rPr>
        <w:t xml:space="preserve">סים סרטון הסברה בנושא ביטוח חפצים ביתיים בעמודיה </w:t>
      </w:r>
      <w:r w:rsidRPr="00A81964">
        <w:rPr>
          <w:rFonts w:hint="eastAsia"/>
          <w:b/>
          <w:bCs/>
          <w:rtl/>
        </w:rPr>
        <w:t>ש</w:t>
      </w:r>
      <w:r w:rsidRPr="00A81964">
        <w:rPr>
          <w:b/>
          <w:bCs/>
          <w:rtl/>
        </w:rPr>
        <w:t xml:space="preserve">ברשתות החברתיות, אך רק כחמישה חודשים </w:t>
      </w:r>
      <w:r w:rsidRPr="00A81964">
        <w:rPr>
          <w:rFonts w:hint="eastAsia"/>
          <w:b/>
          <w:bCs/>
          <w:rtl/>
        </w:rPr>
        <w:t>לאחר</w:t>
      </w:r>
      <w:r w:rsidRPr="00A81964">
        <w:rPr>
          <w:b/>
          <w:bCs/>
          <w:rtl/>
        </w:rPr>
        <w:t xml:space="preserve"> </w:t>
      </w:r>
      <w:r w:rsidRPr="00A81964">
        <w:rPr>
          <w:rFonts w:hint="eastAsia"/>
          <w:b/>
          <w:bCs/>
          <w:rtl/>
        </w:rPr>
        <w:t>פרוץ</w:t>
      </w:r>
      <w:r w:rsidRPr="00A81964">
        <w:rPr>
          <w:b/>
          <w:bCs/>
          <w:rtl/>
        </w:rPr>
        <w:t xml:space="preserve"> </w:t>
      </w:r>
      <w:r w:rsidRPr="00A81964">
        <w:rPr>
          <w:rFonts w:hint="eastAsia"/>
          <w:b/>
          <w:bCs/>
          <w:rtl/>
        </w:rPr>
        <w:t>מלחמת</w:t>
      </w:r>
      <w:r w:rsidRPr="00A81964">
        <w:rPr>
          <w:b/>
          <w:bCs/>
          <w:rtl/>
        </w:rPr>
        <w:t xml:space="preserve"> </w:t>
      </w:r>
      <w:r w:rsidRPr="00A81964">
        <w:rPr>
          <w:rFonts w:hint="eastAsia"/>
          <w:b/>
          <w:bCs/>
          <w:rtl/>
        </w:rPr>
        <w:t>חרבות</w:t>
      </w:r>
      <w:r w:rsidRPr="00A81964">
        <w:rPr>
          <w:b/>
          <w:bCs/>
          <w:rtl/>
        </w:rPr>
        <w:t xml:space="preserve"> </w:t>
      </w:r>
      <w:r w:rsidRPr="00A81964">
        <w:rPr>
          <w:rFonts w:hint="eastAsia"/>
          <w:b/>
          <w:bCs/>
          <w:rtl/>
        </w:rPr>
        <w:t>ברזל</w:t>
      </w:r>
      <w:r w:rsidRPr="00A81964">
        <w:rPr>
          <w:b/>
          <w:bCs/>
          <w:rtl/>
        </w:rPr>
        <w:t xml:space="preserve">, </w:t>
      </w:r>
      <w:r w:rsidRPr="00407570">
        <w:rPr>
          <w:rFonts w:hint="eastAsia"/>
          <w:b/>
          <w:bCs/>
          <w:rtl/>
        </w:rPr>
        <w:t>במרץ</w:t>
      </w:r>
      <w:r w:rsidRPr="00407570">
        <w:rPr>
          <w:b/>
          <w:bCs/>
          <w:rtl/>
        </w:rPr>
        <w:t xml:space="preserve"> 2024</w:t>
      </w:r>
      <w:r w:rsidRPr="00A81964">
        <w:rPr>
          <w:b/>
          <w:bCs/>
          <w:rtl/>
        </w:rPr>
        <w:t xml:space="preserve">, פרסמה </w:t>
      </w:r>
      <w:r w:rsidRPr="00407570">
        <w:rPr>
          <w:rFonts w:hint="eastAsia"/>
          <w:b/>
          <w:bCs/>
          <w:rtl/>
        </w:rPr>
        <w:t>סרטוני</w:t>
      </w:r>
      <w:r w:rsidRPr="00407570">
        <w:rPr>
          <w:b/>
          <w:bCs/>
          <w:rtl/>
        </w:rPr>
        <w:t xml:space="preserve"> </w:t>
      </w:r>
      <w:r w:rsidRPr="00407570">
        <w:rPr>
          <w:rFonts w:hint="eastAsia"/>
          <w:b/>
          <w:bCs/>
          <w:rtl/>
        </w:rPr>
        <w:t>הסברה</w:t>
      </w:r>
      <w:r w:rsidRPr="00A81964">
        <w:rPr>
          <w:b/>
          <w:bCs/>
          <w:rtl/>
        </w:rPr>
        <w:t xml:space="preserve"> ומודעות לגבי ביטוח חפצים ביתיים בערוצי התקשורת השונים (להלן - </w:t>
      </w:r>
      <w:r w:rsidRPr="00A81964">
        <w:rPr>
          <w:rFonts w:hint="eastAsia"/>
          <w:b/>
          <w:bCs/>
          <w:rtl/>
        </w:rPr>
        <w:t>מסע</w:t>
      </w:r>
      <w:r w:rsidRPr="00A81964">
        <w:rPr>
          <w:b/>
          <w:bCs/>
          <w:rtl/>
        </w:rPr>
        <w:t xml:space="preserve"> הפרסום), לרבות ב</w:t>
      </w:r>
      <w:r>
        <w:rPr>
          <w:rFonts w:hint="cs"/>
          <w:b/>
          <w:bCs/>
          <w:rtl/>
        </w:rPr>
        <w:t>אתר רשות המיסים, ב</w:t>
      </w:r>
      <w:r w:rsidRPr="00A81964">
        <w:rPr>
          <w:b/>
          <w:bCs/>
          <w:rtl/>
        </w:rPr>
        <w:t xml:space="preserve">עיתונים ובערוצי </w:t>
      </w:r>
      <w:r>
        <w:rPr>
          <w:rFonts w:hint="cs"/>
          <w:b/>
          <w:bCs/>
          <w:rtl/>
        </w:rPr>
        <w:t>ה</w:t>
      </w:r>
      <w:r w:rsidRPr="00A81964">
        <w:rPr>
          <w:b/>
          <w:bCs/>
          <w:rtl/>
        </w:rPr>
        <w:t>טלוויזיה ה</w:t>
      </w:r>
      <w:r>
        <w:rPr>
          <w:rFonts w:hint="cs"/>
          <w:b/>
          <w:bCs/>
          <w:rtl/>
        </w:rPr>
        <w:t>מסחריים</w:t>
      </w:r>
      <w:r w:rsidRPr="00A81964">
        <w:rPr>
          <w:b/>
          <w:bCs/>
          <w:rtl/>
        </w:rPr>
        <w:t>. פרסומים אלו הופיעו במשך כשבועיים</w:t>
      </w:r>
      <w:r w:rsidRPr="00A81964">
        <w:rPr>
          <w:rFonts w:hint="cs"/>
          <w:rtl/>
        </w:rPr>
        <w:t>.</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מבדיקת משרד מבקר המדינה עולה כי בעקבות מסע הפרסום ו</w:t>
      </w:r>
      <w:r w:rsidRPr="00A81964">
        <w:rPr>
          <w:rFonts w:hint="eastAsia"/>
          <w:b/>
          <w:bCs/>
          <w:rtl/>
        </w:rPr>
        <w:t>עד</w:t>
      </w:r>
      <w:r w:rsidRPr="00A81964">
        <w:rPr>
          <w:b/>
          <w:bCs/>
          <w:rtl/>
        </w:rPr>
        <w:t xml:space="preserve"> מועד סיום הביקורת עלה מספר המבוטחים בביטוח חפצים ביתיים</w:t>
      </w:r>
      <w:r w:rsidRPr="00A81964">
        <w:rPr>
          <w:rFonts w:hint="cs"/>
          <w:b/>
          <w:bCs/>
          <w:rtl/>
        </w:rPr>
        <w:t xml:space="preserve"> מ-31 מבוטחים</w:t>
      </w:r>
      <w:r w:rsidRPr="00A81964">
        <w:rPr>
          <w:b/>
          <w:bCs/>
          <w:rtl/>
        </w:rPr>
        <w:t xml:space="preserve"> </w:t>
      </w:r>
      <w:r w:rsidRPr="00A81964">
        <w:rPr>
          <w:rFonts w:hint="eastAsia"/>
          <w:b/>
          <w:bCs/>
          <w:rtl/>
        </w:rPr>
        <w:t>ערב</w:t>
      </w:r>
      <w:r w:rsidRPr="00A81964">
        <w:rPr>
          <w:b/>
          <w:bCs/>
          <w:rtl/>
        </w:rPr>
        <w:t xml:space="preserve"> המלחמה </w:t>
      </w:r>
      <w:r w:rsidRPr="00A81964">
        <w:rPr>
          <w:rFonts w:hint="eastAsia"/>
          <w:b/>
          <w:bCs/>
          <w:rtl/>
        </w:rPr>
        <w:t>ל</w:t>
      </w:r>
      <w:r w:rsidRPr="00A81964">
        <w:rPr>
          <w:b/>
          <w:bCs/>
          <w:rtl/>
        </w:rPr>
        <w:t xml:space="preserve">-3,090 </w:t>
      </w:r>
      <w:r w:rsidRPr="00A81964">
        <w:rPr>
          <w:rFonts w:hint="eastAsia"/>
          <w:b/>
          <w:bCs/>
          <w:rtl/>
        </w:rPr>
        <w:t>מבוטחים</w:t>
      </w:r>
      <w:r w:rsidRPr="00A81964">
        <w:rPr>
          <w:rFonts w:hint="cs"/>
          <w:b/>
          <w:bCs/>
          <w:rtl/>
        </w:rPr>
        <w:t>.</w:t>
      </w:r>
      <w:r w:rsidRPr="00A81964">
        <w:rPr>
          <w:b/>
          <w:bCs/>
          <w:rtl/>
        </w:rPr>
        <w:t xml:space="preserve"> </w:t>
      </w:r>
      <w:r w:rsidRPr="00407570">
        <w:rPr>
          <w:rFonts w:hint="cs"/>
          <w:b/>
          <w:bCs/>
          <w:rtl/>
        </w:rPr>
        <w:t>48% מהמבוטחים</w:t>
      </w:r>
      <w:r w:rsidRPr="00A81964">
        <w:rPr>
          <w:rFonts w:hint="cs"/>
          <w:b/>
          <w:bCs/>
          <w:rtl/>
        </w:rPr>
        <w:t xml:space="preserve"> רכשו את הביטוח בחודש אפריל 2024, מי</w:t>
      </w:r>
      <w:r>
        <w:rPr>
          <w:rFonts w:hint="cs"/>
          <w:b/>
          <w:bCs/>
          <w:rtl/>
        </w:rPr>
        <w:t>י</w:t>
      </w:r>
      <w:r w:rsidRPr="00A81964">
        <w:rPr>
          <w:rFonts w:hint="cs"/>
          <w:b/>
          <w:bCs/>
          <w:rtl/>
        </w:rPr>
        <w:t>ד אחרי מסע הפרסום</w:t>
      </w:r>
      <w:r>
        <w:rPr>
          <w:rFonts w:hint="cs"/>
          <w:b/>
          <w:bCs/>
          <w:rtl/>
        </w:rPr>
        <w:t>,</w:t>
      </w:r>
      <w:r w:rsidRPr="00A81964">
        <w:rPr>
          <w:rFonts w:hint="cs"/>
          <w:b/>
          <w:bCs/>
          <w:rtl/>
        </w:rPr>
        <w:t xml:space="preserve"> </w:t>
      </w:r>
      <w:r w:rsidRPr="00A81964">
        <w:rPr>
          <w:rFonts w:hint="eastAsia"/>
          <w:b/>
          <w:bCs/>
          <w:rtl/>
        </w:rPr>
        <w:t>ועם</w:t>
      </w:r>
      <w:r w:rsidRPr="00A81964">
        <w:rPr>
          <w:b/>
          <w:bCs/>
          <w:rtl/>
        </w:rPr>
        <w:t xml:space="preserve"> </w:t>
      </w:r>
      <w:r w:rsidRPr="00A81964">
        <w:rPr>
          <w:rFonts w:hint="eastAsia"/>
          <w:b/>
          <w:bCs/>
          <w:rtl/>
        </w:rPr>
        <w:t>זאת</w:t>
      </w:r>
      <w:r w:rsidRPr="00A81964">
        <w:rPr>
          <w:b/>
          <w:bCs/>
          <w:rtl/>
        </w:rPr>
        <w:t xml:space="preserve">, מדובר במספר זניח של </w:t>
      </w:r>
      <w:r w:rsidRPr="00A81964">
        <w:rPr>
          <w:b/>
          <w:bCs/>
          <w:rtl/>
        </w:rPr>
        <w:lastRenderedPageBreak/>
        <w:t>מבוטחים מתוך כלל תושבי ישראל</w:t>
      </w:r>
      <w:r>
        <w:rPr>
          <w:rFonts w:hint="cs"/>
          <w:b/>
          <w:bCs/>
          <w:rtl/>
        </w:rPr>
        <w:t>,</w:t>
      </w:r>
      <w:r w:rsidRPr="00A81964">
        <w:rPr>
          <w:b/>
          <w:bCs/>
          <w:rtl/>
        </w:rPr>
        <w:t xml:space="preserve"> דבר המעמיד בספק את </w:t>
      </w:r>
      <w:r w:rsidRPr="00A81964">
        <w:rPr>
          <w:rFonts w:hint="cs"/>
          <w:b/>
          <w:bCs/>
          <w:rtl/>
        </w:rPr>
        <w:t>הלימת</w:t>
      </w:r>
      <w:r w:rsidRPr="00A81964">
        <w:rPr>
          <w:b/>
          <w:bCs/>
          <w:rtl/>
        </w:rPr>
        <w:t xml:space="preserve"> </w:t>
      </w:r>
      <w:r w:rsidRPr="00A81964">
        <w:rPr>
          <w:rFonts w:hint="eastAsia"/>
          <w:b/>
          <w:bCs/>
          <w:rtl/>
        </w:rPr>
        <w:t>המנגנון</w:t>
      </w:r>
      <w:r w:rsidRPr="00A81964">
        <w:rPr>
          <w:b/>
          <w:bCs/>
          <w:rtl/>
        </w:rPr>
        <w:t xml:space="preserve"> </w:t>
      </w:r>
      <w:r w:rsidRPr="00A81964">
        <w:rPr>
          <w:rFonts w:hint="eastAsia"/>
          <w:b/>
          <w:bCs/>
          <w:rtl/>
        </w:rPr>
        <w:t>הביטו</w:t>
      </w:r>
      <w:r w:rsidRPr="00A81964">
        <w:rPr>
          <w:rFonts w:hint="cs"/>
          <w:b/>
          <w:bCs/>
          <w:rtl/>
        </w:rPr>
        <w:t>ח</w:t>
      </w:r>
      <w:r w:rsidRPr="00A81964">
        <w:rPr>
          <w:rFonts w:hint="eastAsia"/>
          <w:b/>
          <w:bCs/>
          <w:rtl/>
        </w:rPr>
        <w:t>י</w:t>
      </w:r>
      <w:r w:rsidRPr="00A81964">
        <w:rPr>
          <w:b/>
          <w:bCs/>
          <w:rtl/>
        </w:rPr>
        <w:t xml:space="preserve"> המוצע</w:t>
      </w:r>
      <w:r w:rsidRPr="00A81964">
        <w:rPr>
          <w:rFonts w:hint="cs"/>
          <w:b/>
          <w:bCs/>
          <w:rtl/>
        </w:rPr>
        <w:t xml:space="preserve"> לצ</w:t>
      </w:r>
      <w:r>
        <w:rPr>
          <w:rFonts w:hint="cs"/>
          <w:b/>
          <w:bCs/>
          <w:rtl/>
        </w:rPr>
        <w:t>ו</w:t>
      </w:r>
      <w:r w:rsidRPr="00A81964">
        <w:rPr>
          <w:rFonts w:hint="cs"/>
          <w:b/>
          <w:bCs/>
          <w:rtl/>
        </w:rPr>
        <w:t>רכי האזרחים</w:t>
      </w:r>
      <w:r w:rsidRPr="00A81964">
        <w:rPr>
          <w:b/>
          <w:bCs/>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כבר </w:t>
      </w:r>
      <w:r w:rsidRPr="00A81964">
        <w:rPr>
          <w:rFonts w:hint="eastAsia"/>
          <w:rtl/>
        </w:rPr>
        <w:t>בשנת</w:t>
      </w:r>
      <w:r w:rsidRPr="00A81964">
        <w:rPr>
          <w:rtl/>
        </w:rPr>
        <w:t xml:space="preserve"> 1997 </w:t>
      </w:r>
      <w:r w:rsidRPr="00A81964">
        <w:rPr>
          <w:rFonts w:hint="eastAsia"/>
          <w:rtl/>
        </w:rPr>
        <w:t>העיר</w:t>
      </w:r>
      <w:r w:rsidRPr="00A81964">
        <w:rPr>
          <w:rtl/>
        </w:rPr>
        <w:t xml:space="preserve"> </w:t>
      </w:r>
      <w:r w:rsidRPr="00A81964">
        <w:rPr>
          <w:rFonts w:hint="eastAsia"/>
          <w:rtl/>
        </w:rPr>
        <w:t>משרד</w:t>
      </w:r>
      <w:r w:rsidRPr="00A81964">
        <w:rPr>
          <w:rtl/>
        </w:rPr>
        <w:t xml:space="preserve"> </w:t>
      </w:r>
      <w:r w:rsidRPr="00A81964">
        <w:rPr>
          <w:rFonts w:hint="eastAsia"/>
          <w:rtl/>
        </w:rPr>
        <w:t>מבקר</w:t>
      </w:r>
      <w:r w:rsidRPr="00A81964">
        <w:rPr>
          <w:rtl/>
        </w:rPr>
        <w:t xml:space="preserve"> </w:t>
      </w:r>
      <w:r w:rsidRPr="00A81964">
        <w:rPr>
          <w:rFonts w:hint="eastAsia"/>
          <w:rtl/>
        </w:rPr>
        <w:t>המדינה</w:t>
      </w:r>
      <w:r w:rsidRPr="00A81964">
        <w:rPr>
          <w:rStyle w:val="af2"/>
          <w:rtl/>
        </w:rPr>
        <w:footnoteReference w:id="27"/>
      </w:r>
      <w:r w:rsidRPr="00A81964">
        <w:rPr>
          <w:rtl/>
        </w:rPr>
        <w:t xml:space="preserve"> על </w:t>
      </w:r>
      <w:r w:rsidRPr="00A81964">
        <w:rPr>
          <w:rFonts w:hint="eastAsia"/>
          <w:rtl/>
        </w:rPr>
        <w:t>כך</w:t>
      </w:r>
      <w:r w:rsidRPr="00A81964">
        <w:rPr>
          <w:rtl/>
        </w:rPr>
        <w:t xml:space="preserve"> </w:t>
      </w:r>
      <w:r w:rsidRPr="00A81964">
        <w:rPr>
          <w:rFonts w:hint="eastAsia"/>
          <w:rtl/>
        </w:rPr>
        <w:t>ש</w:t>
      </w:r>
      <w:r w:rsidRPr="00A81964">
        <w:rPr>
          <w:rtl/>
        </w:rPr>
        <w:t>"הנציבות [</w:t>
      </w:r>
      <w:r w:rsidRPr="00A81964">
        <w:rPr>
          <w:rFonts w:hint="cs"/>
          <w:rtl/>
        </w:rPr>
        <w:t>כיום</w:t>
      </w:r>
      <w:r w:rsidRPr="00A81964">
        <w:rPr>
          <w:rtl/>
        </w:rPr>
        <w:t xml:space="preserve"> רשות המ</w:t>
      </w:r>
      <w:r w:rsidRPr="00A81964">
        <w:rPr>
          <w:rFonts w:hint="cs"/>
          <w:rtl/>
        </w:rPr>
        <w:t>י</w:t>
      </w:r>
      <w:r w:rsidRPr="00A81964">
        <w:rPr>
          <w:rtl/>
        </w:rPr>
        <w:t>סים] לא עשתה די כדי להביא לידיעת הציבור הרחב את האפשרות לבטח חפצים</w:t>
      </w:r>
      <w:r w:rsidRPr="00A81964">
        <w:rPr>
          <w:rFonts w:hint="cs"/>
          <w:rtl/>
        </w:rPr>
        <w:t xml:space="preserve"> </w:t>
      </w:r>
      <w:r w:rsidRPr="00A81964">
        <w:rPr>
          <w:rtl/>
        </w:rPr>
        <w:t xml:space="preserve">ביתיים במסגרת ביטוח רשות". משלא עשתה זאת עד שנת 2012, </w:t>
      </w:r>
      <w:r w:rsidRPr="00A81964">
        <w:rPr>
          <w:rFonts w:hint="eastAsia"/>
          <w:rtl/>
        </w:rPr>
        <w:t>משרד</w:t>
      </w:r>
      <w:r w:rsidRPr="00A81964">
        <w:rPr>
          <w:rtl/>
        </w:rPr>
        <w:t xml:space="preserve"> </w:t>
      </w:r>
      <w:r w:rsidRPr="00A81964">
        <w:rPr>
          <w:rFonts w:hint="eastAsia"/>
          <w:rtl/>
        </w:rPr>
        <w:t>מבקר</w:t>
      </w:r>
      <w:r w:rsidRPr="00A81964">
        <w:rPr>
          <w:rtl/>
        </w:rPr>
        <w:t xml:space="preserve"> </w:t>
      </w:r>
      <w:r w:rsidRPr="00A81964">
        <w:rPr>
          <w:rFonts w:hint="eastAsia"/>
          <w:rtl/>
        </w:rPr>
        <w:t>המדינה</w:t>
      </w:r>
      <w:r w:rsidRPr="00A81964">
        <w:rPr>
          <w:rStyle w:val="af2"/>
          <w:rtl/>
        </w:rPr>
        <w:footnoteReference w:id="28"/>
      </w:r>
      <w:r w:rsidRPr="00A81964">
        <w:rPr>
          <w:rtl/>
        </w:rPr>
        <w:t xml:space="preserve"> שב והעיר </w:t>
      </w:r>
      <w:r w:rsidRPr="00A81964">
        <w:rPr>
          <w:rFonts w:hint="cs"/>
          <w:rtl/>
        </w:rPr>
        <w:t xml:space="preserve">לרשות המיסים </w:t>
      </w:r>
      <w:r w:rsidRPr="00A81964">
        <w:rPr>
          <w:rFonts w:hint="eastAsia"/>
          <w:rtl/>
        </w:rPr>
        <w:t>על</w:t>
      </w:r>
      <w:r w:rsidRPr="00A81964">
        <w:rPr>
          <w:rtl/>
        </w:rPr>
        <w:t xml:space="preserve"> </w:t>
      </w:r>
      <w:r w:rsidRPr="00A81964">
        <w:rPr>
          <w:rFonts w:hint="eastAsia"/>
          <w:rtl/>
        </w:rPr>
        <w:t>כך</w:t>
      </w:r>
      <w:r w:rsidRPr="00A81964">
        <w:rPr>
          <w:rtl/>
        </w:rPr>
        <w:t>.</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בשל תקרות הפיצוי בגין נזקים ישירים שנגרמו לחפצים ביתיים, ייתכן כי בעל חפצים ביתיים שניזוקו לא יקבלו פיצוי על מלוא שווי הנזק ובכך תיפגע יכולתם לשקם את הנזק ולהחזיר את המצב לקדמותו. משכך, קיימת חשיבות רבה ביידוע הציבור על זכותו לרכוש ביטוח חפצים ביתיים, אשר יאפשר לו לקבל פיצוי גם בגין נזקים ישירים שנגרמו לחפציו בסכומים העולים על תקרת הפיצוי.</w:t>
      </w:r>
    </w:p>
    <w:p w:rsidR="006252C4" w:rsidRDefault="006252C4" w:rsidP="006252C4">
      <w:pPr>
        <w:pStyle w:val="a8"/>
        <w:spacing w:line="269" w:lineRule="auto"/>
        <w:rPr>
          <w:rtl/>
        </w:rPr>
      </w:pPr>
    </w:p>
    <w:p w:rsidR="006252C4" w:rsidRDefault="006252C4" w:rsidP="006252C4">
      <w:pPr>
        <w:spacing w:line="269" w:lineRule="auto"/>
        <w:rPr>
          <w:b/>
          <w:bCs/>
          <w:rtl/>
        </w:rPr>
      </w:pPr>
      <w:r w:rsidRPr="00A81964">
        <w:rPr>
          <w:rFonts w:hint="eastAsia"/>
          <w:b/>
          <w:bCs/>
          <w:rtl/>
        </w:rPr>
        <w:t>מומלץ</w:t>
      </w:r>
      <w:r w:rsidRPr="00A81964">
        <w:rPr>
          <w:b/>
          <w:bCs/>
          <w:rtl/>
        </w:rPr>
        <w:t xml:space="preserve"> </w:t>
      </w:r>
      <w:r w:rsidRPr="00A81964">
        <w:rPr>
          <w:rFonts w:hint="eastAsia"/>
          <w:b/>
          <w:bCs/>
          <w:rtl/>
        </w:rPr>
        <w:t>כי</w:t>
      </w:r>
      <w:r w:rsidRPr="00A81964">
        <w:rPr>
          <w:b/>
          <w:bCs/>
          <w:rtl/>
        </w:rPr>
        <w:t xml:space="preserve"> </w:t>
      </w:r>
      <w:r w:rsidRPr="00A81964">
        <w:rPr>
          <w:rFonts w:hint="eastAsia"/>
          <w:b/>
          <w:bCs/>
          <w:rtl/>
        </w:rPr>
        <w:t>רשות</w:t>
      </w:r>
      <w:r w:rsidRPr="00A81964">
        <w:rPr>
          <w:b/>
          <w:bCs/>
          <w:rtl/>
        </w:rPr>
        <w:t xml:space="preserve"> </w:t>
      </w:r>
      <w:r w:rsidRPr="00A81964">
        <w:rPr>
          <w:rFonts w:hint="eastAsia"/>
          <w:b/>
          <w:bCs/>
          <w:rtl/>
        </w:rPr>
        <w:t>המיסים</w:t>
      </w:r>
      <w:r w:rsidRPr="00A81964">
        <w:rPr>
          <w:b/>
          <w:bCs/>
          <w:rtl/>
        </w:rPr>
        <w:t xml:space="preserve"> </w:t>
      </w:r>
      <w:r w:rsidRPr="00A81964">
        <w:rPr>
          <w:rFonts w:hint="eastAsia"/>
          <w:b/>
          <w:bCs/>
          <w:rtl/>
        </w:rPr>
        <w:t>תערוך</w:t>
      </w:r>
      <w:r w:rsidRPr="00A81964">
        <w:rPr>
          <w:b/>
          <w:bCs/>
          <w:rtl/>
        </w:rPr>
        <w:t xml:space="preserve"> </w:t>
      </w:r>
      <w:r w:rsidRPr="00A81964">
        <w:rPr>
          <w:rFonts w:hint="eastAsia"/>
          <w:b/>
          <w:bCs/>
          <w:rtl/>
        </w:rPr>
        <w:t>בחינה</w:t>
      </w:r>
      <w:r w:rsidRPr="00A81964">
        <w:rPr>
          <w:b/>
          <w:bCs/>
          <w:rtl/>
        </w:rPr>
        <w:t xml:space="preserve"> </w:t>
      </w:r>
      <w:r w:rsidRPr="00A81964">
        <w:rPr>
          <w:rFonts w:hint="eastAsia"/>
          <w:b/>
          <w:bCs/>
          <w:rtl/>
        </w:rPr>
        <w:t>מחודשת</w:t>
      </w:r>
      <w:r w:rsidRPr="00A81964">
        <w:rPr>
          <w:b/>
          <w:bCs/>
          <w:rtl/>
        </w:rPr>
        <w:t xml:space="preserve"> </w:t>
      </w:r>
      <w:r w:rsidRPr="00A81964">
        <w:rPr>
          <w:rFonts w:hint="eastAsia"/>
          <w:b/>
          <w:bCs/>
          <w:rtl/>
        </w:rPr>
        <w:t>של</w:t>
      </w:r>
      <w:r w:rsidRPr="00A81964">
        <w:rPr>
          <w:rtl/>
        </w:rPr>
        <w:t xml:space="preserve"> </w:t>
      </w:r>
      <w:r w:rsidRPr="00A81964">
        <w:rPr>
          <w:rFonts w:hint="eastAsia"/>
          <w:b/>
          <w:bCs/>
          <w:rtl/>
        </w:rPr>
        <w:t>כלל</w:t>
      </w:r>
      <w:r w:rsidRPr="00A81964">
        <w:rPr>
          <w:b/>
          <w:bCs/>
          <w:rtl/>
        </w:rPr>
        <w:t xml:space="preserve"> המנגנון </w:t>
      </w:r>
      <w:r w:rsidRPr="00A81964">
        <w:rPr>
          <w:rFonts w:hint="eastAsia"/>
          <w:b/>
          <w:bCs/>
          <w:rtl/>
        </w:rPr>
        <w:t>הביטוחי</w:t>
      </w:r>
      <w:r w:rsidRPr="00A81964">
        <w:rPr>
          <w:b/>
          <w:bCs/>
          <w:rtl/>
        </w:rPr>
        <w:t xml:space="preserve"> המוצע כיום ואת החסמים למימושו. במסגרת זו מומלץ לבחון גם את </w:t>
      </w:r>
      <w:r w:rsidRPr="00A81964">
        <w:rPr>
          <w:rFonts w:hint="eastAsia"/>
          <w:b/>
          <w:bCs/>
          <w:rtl/>
        </w:rPr>
        <w:t>תקרות</w:t>
      </w:r>
      <w:r w:rsidRPr="00A81964">
        <w:rPr>
          <w:b/>
          <w:bCs/>
          <w:rtl/>
        </w:rPr>
        <w:t xml:space="preserve"> הפיצוי שנקבע </w:t>
      </w:r>
      <w:r w:rsidRPr="00A81964">
        <w:rPr>
          <w:rFonts w:hint="eastAsia"/>
          <w:b/>
          <w:bCs/>
          <w:rtl/>
        </w:rPr>
        <w:t>לחפצים</w:t>
      </w:r>
      <w:r w:rsidRPr="00A81964">
        <w:rPr>
          <w:b/>
          <w:bCs/>
          <w:rtl/>
        </w:rPr>
        <w:t xml:space="preserve"> </w:t>
      </w:r>
      <w:r w:rsidRPr="00A81964">
        <w:rPr>
          <w:rFonts w:hint="eastAsia"/>
          <w:b/>
          <w:bCs/>
          <w:rtl/>
        </w:rPr>
        <w:t>ביתיים</w:t>
      </w:r>
      <w:r w:rsidRPr="00A81964">
        <w:rPr>
          <w:b/>
          <w:bCs/>
          <w:rtl/>
        </w:rPr>
        <w:t xml:space="preserve"> בתוספת הראשונה לתקנות </w:t>
      </w:r>
      <w:r w:rsidRPr="00A81964">
        <w:rPr>
          <w:rFonts w:hint="eastAsia"/>
          <w:b/>
          <w:bCs/>
          <w:rtl/>
        </w:rPr>
        <w:t>כאמור</w:t>
      </w:r>
      <w:r w:rsidRPr="00A81964">
        <w:rPr>
          <w:b/>
          <w:bCs/>
          <w:rtl/>
        </w:rPr>
        <w:t>.</w:t>
      </w:r>
      <w:r w:rsidRPr="00A81964">
        <w:rPr>
          <w:rFonts w:hint="cs"/>
          <w:b/>
          <w:bCs/>
          <w:rtl/>
        </w:rPr>
        <w:t xml:space="preserve"> </w:t>
      </w:r>
      <w:r w:rsidRPr="00A81964">
        <w:rPr>
          <w:rFonts w:hint="eastAsia"/>
          <w:b/>
          <w:bCs/>
          <w:rtl/>
        </w:rPr>
        <w:t>במקביל</w:t>
      </w:r>
      <w:r w:rsidRPr="00A81964">
        <w:rPr>
          <w:b/>
          <w:bCs/>
          <w:rtl/>
        </w:rPr>
        <w:t>,</w:t>
      </w:r>
      <w:r w:rsidRPr="00A81964">
        <w:rPr>
          <w:rFonts w:hint="cs"/>
          <w:b/>
          <w:bCs/>
          <w:rtl/>
        </w:rPr>
        <w:t xml:space="preserve"> מומלץ כי רשות המיסים תתכנן ותיישם תוכנית להגברת מודעות הציבור לזכותו לרכוש ביטוח חפצים ביתיים גם בעיתות שגרה וגם בשעת חירום, וזאת בין היתר באמצעות פרסום במגוון ערוצי תקשורת הנגישים לקהל הרחב ולמגזרים השונים. </w:t>
      </w:r>
    </w:p>
    <w:p w:rsidR="006252C4" w:rsidRDefault="006252C4" w:rsidP="006252C4">
      <w:pPr>
        <w:pStyle w:val="a8"/>
        <w:spacing w:line="269" w:lineRule="auto"/>
        <w:rPr>
          <w:rtl/>
        </w:rPr>
      </w:pPr>
    </w:p>
    <w:p w:rsidR="006252C4" w:rsidRDefault="006252C4" w:rsidP="006252C4">
      <w:pPr>
        <w:spacing w:line="269" w:lineRule="auto"/>
        <w:rPr>
          <w:rtl/>
        </w:rPr>
      </w:pPr>
      <w:r>
        <w:rPr>
          <w:rFonts w:hint="cs"/>
          <w:rtl/>
        </w:rPr>
        <w:t>הרשות מסרה בתשובתה</w:t>
      </w:r>
      <w:r w:rsidRPr="0016480E">
        <w:rPr>
          <w:rtl/>
        </w:rPr>
        <w:t xml:space="preserve"> </w:t>
      </w:r>
      <w:r>
        <w:rPr>
          <w:rFonts w:hint="cs"/>
          <w:rtl/>
        </w:rPr>
        <w:t>כי גובה תקרות הפיצוי ייבחן כחלק מהליך הפקת הלקחים שיתקיים.</w:t>
      </w:r>
    </w:p>
    <w:p w:rsidR="006252C4" w:rsidRPr="0016480E" w:rsidRDefault="006252C4" w:rsidP="006252C4">
      <w:pPr>
        <w:spacing w:line="269" w:lineRule="auto"/>
        <w:rPr>
          <w:rtl/>
        </w:rPr>
      </w:pPr>
    </w:p>
    <w:p w:rsidR="006252C4" w:rsidRPr="00A81964" w:rsidRDefault="006252C4" w:rsidP="006252C4">
      <w:pPr>
        <w:pStyle w:val="4"/>
        <w:spacing w:before="0" w:line="269" w:lineRule="auto"/>
        <w:rPr>
          <w:rtl/>
        </w:rPr>
      </w:pPr>
      <w:r w:rsidRPr="00A81964">
        <w:rPr>
          <w:rFonts w:hint="cs"/>
          <w:rtl/>
        </w:rPr>
        <w:t>תנאי רכישת ביטוח חפצים ביתיים</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כאמור, אדם רשאי</w:t>
      </w:r>
      <w:r w:rsidRPr="00A81964">
        <w:rPr>
          <w:rStyle w:val="af2"/>
          <w:rtl/>
        </w:rPr>
        <w:footnoteReference w:id="29"/>
      </w:r>
      <w:r w:rsidRPr="00A81964">
        <w:rPr>
          <w:rFonts w:hint="cs"/>
          <w:rtl/>
        </w:rPr>
        <w:t xml:space="preserve"> לרכוש ביטוח בגין חפציו הביתיים, זאת על מנת שיוכל לתבוע פיצוי בגין נזקים שנגרמו להם בסכומים העולים על תקרות הפיצוי.</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כדי לרכוש את הביטוח, בעל החפצים נדרש למלא טופס הצהרה עם פרטיו האישיים, פרטי התא המשפחתי וכן פירוט החפצים הביתיים ש</w:t>
      </w:r>
      <w:r>
        <w:rPr>
          <w:rFonts w:hint="cs"/>
          <w:rtl/>
        </w:rPr>
        <w:t>אותם הוא רוצה לבטח</w:t>
      </w:r>
      <w:r w:rsidRPr="00A81964">
        <w:rPr>
          <w:rFonts w:hint="cs"/>
          <w:rtl/>
        </w:rPr>
        <w:t xml:space="preserve"> ושוויים באותו יום. כמו כן, הוא נדרש</w:t>
      </w:r>
      <w:r w:rsidRPr="00A81964">
        <w:rPr>
          <w:rStyle w:val="af2"/>
          <w:rtl/>
        </w:rPr>
        <w:footnoteReference w:id="30"/>
      </w:r>
      <w:r w:rsidRPr="00A81964">
        <w:rPr>
          <w:rFonts w:hint="cs"/>
          <w:rtl/>
        </w:rPr>
        <w:t xml:space="preserve"> לשלם פרמיה שנתית, המחושבת לפי 0.3% משווי החפצים הביתיים</w:t>
      </w:r>
      <w:r w:rsidRPr="00A81964">
        <w:rPr>
          <w:rStyle w:val="af2"/>
          <w:rtl/>
        </w:rPr>
        <w:footnoteReference w:id="31"/>
      </w:r>
      <w:r w:rsidRPr="00A81964">
        <w:rPr>
          <w:rFonts w:hint="cs"/>
          <w:rtl/>
        </w:rPr>
        <w:t xml:space="preserve"> העולה על תקרת הפיצוי (להלן - פרמיית ביטוח)</w:t>
      </w:r>
      <w:r w:rsidRPr="00A81964">
        <w:rPr>
          <w:rStyle w:val="af2"/>
          <w:rtl/>
        </w:rPr>
        <w:t xml:space="preserve"> </w:t>
      </w:r>
      <w:r w:rsidRPr="00A81964">
        <w:rPr>
          <w:rStyle w:val="af2"/>
          <w:rtl/>
        </w:rPr>
        <w:footnoteReference w:id="32"/>
      </w:r>
      <w:r w:rsidRPr="00A81964">
        <w:rPr>
          <w:rFonts w:hint="cs"/>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את הטופס ניתן למלא באתר רשות המיסים ולשלם את פרמיית הביטוח באופן מקוון (להלן - הגשה מקוונת) או למלא אותו ידנית ולהגישו לאחד ממשרדי רשות המיסים שהוגדרו לכך, בצירוף אישור על תשלום פרמיית הביטוח בבנק הדואר (להלן - הגשה ידנית).</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lastRenderedPageBreak/>
        <w:t>להלן ב</w:t>
      </w:r>
      <w:r>
        <w:rPr>
          <w:rFonts w:hint="cs"/>
          <w:rtl/>
        </w:rPr>
        <w:t>לוח</w:t>
      </w:r>
      <w:r w:rsidRPr="00A81964">
        <w:rPr>
          <w:rFonts w:hint="cs"/>
          <w:rtl/>
        </w:rPr>
        <w:t xml:space="preserve"> </w:t>
      </w:r>
      <w:r>
        <w:rPr>
          <w:rFonts w:hint="cs"/>
          <w:rtl/>
        </w:rPr>
        <w:t>3</w:t>
      </w:r>
      <w:r w:rsidRPr="00A81964">
        <w:rPr>
          <w:rFonts w:hint="cs"/>
          <w:rtl/>
        </w:rPr>
        <w:t xml:space="preserve"> חלק מטופס הצהרה מקוון על שווי חפצים ביתיים.</w:t>
      </w:r>
    </w:p>
    <w:p w:rsidR="006252C4" w:rsidRPr="00A81964" w:rsidRDefault="006252C4" w:rsidP="006252C4">
      <w:pPr>
        <w:spacing w:line="269" w:lineRule="auto"/>
        <w:rPr>
          <w:rtl/>
        </w:rPr>
      </w:pPr>
    </w:p>
    <w:p w:rsidR="006252C4" w:rsidRPr="00A81964" w:rsidRDefault="006252C4" w:rsidP="00A20B3B">
      <w:pPr>
        <w:keepNext/>
        <w:keepLines/>
        <w:jc w:val="center"/>
        <w:rPr>
          <w:b/>
          <w:bCs/>
          <w:rtl/>
        </w:rPr>
      </w:pPr>
      <w:r>
        <w:rPr>
          <w:rFonts w:hint="cs"/>
          <w:rtl/>
        </w:rPr>
        <w:t>לוח</w:t>
      </w:r>
      <w:r w:rsidRPr="00A81964">
        <w:rPr>
          <w:rtl/>
        </w:rPr>
        <w:t xml:space="preserve"> </w:t>
      </w:r>
      <w:r>
        <w:rPr>
          <w:rFonts w:hint="cs"/>
          <w:rtl/>
        </w:rPr>
        <w:t>3</w:t>
      </w:r>
      <w:r w:rsidRPr="00A81964">
        <w:rPr>
          <w:rtl/>
        </w:rPr>
        <w:t>:</w:t>
      </w:r>
      <w:r w:rsidRPr="00A81964">
        <w:rPr>
          <w:b/>
          <w:bCs/>
          <w:rtl/>
        </w:rPr>
        <w:t xml:space="preserve"> טופס הצהרה מקוון על שווי חפצים ביתיים </w:t>
      </w:r>
    </w:p>
    <w:p w:rsidR="006252C4" w:rsidRPr="00A81964" w:rsidRDefault="006252C4" w:rsidP="006252C4">
      <w:pPr>
        <w:spacing w:line="269" w:lineRule="auto"/>
        <w:jc w:val="center"/>
        <w:rPr>
          <w:rtl/>
        </w:rPr>
      </w:pPr>
      <w:r w:rsidRPr="00A81964">
        <w:rPr>
          <w:noProof/>
        </w:rPr>
        <w:drawing>
          <wp:inline distT="0" distB="0" distL="0" distR="0" wp14:anchorId="577205B7" wp14:editId="4C5223E8">
            <wp:extent cx="4957623" cy="4457700"/>
            <wp:effectExtent l="0" t="0" r="0" b="5080"/>
            <wp:docPr id="240" name="תמונה 240" descr="בלוח מוצג אופן חישוב פרמיית הביטוח בהתאם לחפצים המבוטח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
                    <pic:cNvPicPr/>
                  </pic:nvPicPr>
                  <pic:blipFill>
                    <a:blip r:embed="rId25"/>
                    <a:stretch>
                      <a:fillRect/>
                    </a:stretch>
                  </pic:blipFill>
                  <pic:spPr>
                    <a:xfrm>
                      <a:off x="0" y="0"/>
                      <a:ext cx="4957623" cy="4457700"/>
                    </a:xfrm>
                    <a:prstGeom prst="rect">
                      <a:avLst/>
                    </a:prstGeom>
                  </pic:spPr>
                </pic:pic>
              </a:graphicData>
            </a:graphic>
          </wp:inline>
        </w:drawing>
      </w:r>
    </w:p>
    <w:p w:rsidR="006252C4" w:rsidRPr="00A81964" w:rsidRDefault="006252C4" w:rsidP="005C1E9C">
      <w:pPr>
        <w:spacing w:before="60" w:line="269" w:lineRule="auto"/>
        <w:rPr>
          <w:sz w:val="16"/>
          <w:szCs w:val="20"/>
        </w:rPr>
      </w:pPr>
      <w:r w:rsidRPr="00A81964">
        <w:rPr>
          <w:rFonts w:hint="cs"/>
          <w:sz w:val="16"/>
          <w:szCs w:val="20"/>
          <w:rtl/>
        </w:rPr>
        <w:t>המקור: אתר רשות המיסים.</w:t>
      </w:r>
    </w:p>
    <w:p w:rsidR="006252C4" w:rsidRDefault="006252C4" w:rsidP="006252C4">
      <w:pPr>
        <w:pStyle w:val="a8"/>
        <w:spacing w:line="269" w:lineRule="auto"/>
        <w:rPr>
          <w:rtl/>
        </w:rPr>
      </w:pPr>
    </w:p>
    <w:p w:rsidR="006252C4" w:rsidRDefault="006252C4" w:rsidP="006252C4">
      <w:pPr>
        <w:spacing w:line="269" w:lineRule="auto"/>
        <w:rPr>
          <w:b/>
          <w:bCs/>
          <w:rtl/>
        </w:rPr>
      </w:pPr>
      <w:r w:rsidRPr="00A81964">
        <w:rPr>
          <w:rFonts w:hint="cs"/>
          <w:b/>
          <w:bCs/>
          <w:rtl/>
        </w:rPr>
        <w:t>עלה כי בהתאם לתקנות</w:t>
      </w:r>
      <w:r w:rsidRPr="00A81964">
        <w:rPr>
          <w:rStyle w:val="af2"/>
          <w:b/>
          <w:bCs/>
          <w:rtl/>
        </w:rPr>
        <w:footnoteReference w:id="33"/>
      </w:r>
      <w:r w:rsidRPr="00A81964">
        <w:rPr>
          <w:rFonts w:hint="cs"/>
          <w:b/>
          <w:bCs/>
          <w:rtl/>
        </w:rPr>
        <w:t>, פרמיית הביטוח משולמת בגין השנה כולה גם כאשר הביטוח נרכש במהלכה ולא בתחילתה. זאת אף שהמבוטח זכאי לפיצוי רק בגין נזקים שנגרמו לחפציו לאחר שרכש את הביטוח. כך למשל, אדם שרכש ביטוח בתחילת חודש נובמבר 2023 נדרש לשלם פרמיית ביטוח בגין כל שנת 2023 אף על פי שקיבל כיסוי ביטוחי עבור חודשיים בלבד.</w:t>
      </w:r>
    </w:p>
    <w:p w:rsidR="006252C4" w:rsidRDefault="006252C4" w:rsidP="006252C4">
      <w:pPr>
        <w:pStyle w:val="a8"/>
        <w:spacing w:line="269" w:lineRule="auto"/>
        <w:rPr>
          <w:rtl/>
        </w:rPr>
      </w:pPr>
    </w:p>
    <w:p w:rsidR="006252C4" w:rsidRPr="0016480E" w:rsidRDefault="006252C4" w:rsidP="006252C4">
      <w:pPr>
        <w:spacing w:line="269" w:lineRule="auto"/>
        <w:rPr>
          <w:rtl/>
        </w:rPr>
      </w:pPr>
      <w:r w:rsidRPr="0016480E">
        <w:rPr>
          <w:rFonts w:hint="eastAsia"/>
          <w:rtl/>
        </w:rPr>
        <w:lastRenderedPageBreak/>
        <w:t>רשות</w:t>
      </w:r>
      <w:r w:rsidRPr="0016480E">
        <w:rPr>
          <w:rtl/>
        </w:rPr>
        <w:t xml:space="preserve"> </w:t>
      </w:r>
      <w:r>
        <w:rPr>
          <w:rFonts w:hint="eastAsia"/>
          <w:rtl/>
        </w:rPr>
        <w:t>המיסים</w:t>
      </w:r>
      <w:r w:rsidRPr="0016480E">
        <w:rPr>
          <w:rtl/>
        </w:rPr>
        <w:t xml:space="preserve"> </w:t>
      </w:r>
      <w:r w:rsidRPr="0016480E">
        <w:rPr>
          <w:rFonts w:hint="eastAsia"/>
          <w:rtl/>
        </w:rPr>
        <w:t>מסרה</w:t>
      </w:r>
      <w:r>
        <w:rPr>
          <w:rFonts w:hint="cs"/>
          <w:rtl/>
        </w:rPr>
        <w:t xml:space="preserve"> בתשובתה</w:t>
      </w:r>
      <w:r w:rsidRPr="0016480E">
        <w:rPr>
          <w:rtl/>
        </w:rPr>
        <w:t xml:space="preserve"> כי</w:t>
      </w:r>
      <w:r>
        <w:rPr>
          <w:rFonts w:hint="cs"/>
          <w:rtl/>
        </w:rPr>
        <w:t xml:space="preserve"> מנגנון זה "משקף הסדר הלוקח בחשבון את העובדה כי לאזרח ניתנת האפשרות לבצע ביטוח גם כאשר הסיכון כבר מתממש ובמהלך המלחמה ממש, ומכאן היעדר האפשרות לתשלום פרמיה יחסית".</w:t>
      </w:r>
    </w:p>
    <w:p w:rsidR="006252C4" w:rsidRPr="00A81964" w:rsidRDefault="006252C4" w:rsidP="006252C4">
      <w:pPr>
        <w:spacing w:line="269" w:lineRule="auto"/>
        <w:rPr>
          <w:b/>
          <w:bCs/>
          <w:rtl/>
        </w:rPr>
      </w:pPr>
      <w:r w:rsidRPr="00A81964">
        <w:rPr>
          <w:rFonts w:hint="cs"/>
          <w:b/>
          <w:bCs/>
          <w:rtl/>
        </w:rPr>
        <w:t>עוד עלה כי בהתאם לתקנות, רכישת הביטוח מתאפשרת רק לאחר שהחלה השנה שלגביה הוא נרכש, ולא ניתן לרכוש ביטוח מראש בגין השנה הבאה.</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בהיעדר אפשרות לרכוש ביטוח בגין השנה הבאה, בעלי חפצים ביתיים המעוניינים לרכוש ביטוח נאלצים להמתין לשם כך לתחילת השנה, ובפרק הזמן שמתחילת השנה ועד סיום תהליך רכישת הביטוח הם חשופים לסיכון שייגרם נזק לחפצי</w:t>
      </w:r>
      <w:r>
        <w:rPr>
          <w:rFonts w:hint="cs"/>
          <w:b/>
          <w:bCs/>
          <w:rtl/>
        </w:rPr>
        <w:t>ה</w:t>
      </w:r>
      <w:r w:rsidRPr="00A81964">
        <w:rPr>
          <w:rFonts w:hint="cs"/>
          <w:b/>
          <w:bCs/>
          <w:rtl/>
        </w:rPr>
        <w:t xml:space="preserve">ם שאינם מבוטחים.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eastAsia"/>
          <w:b/>
          <w:bCs/>
          <w:rtl/>
        </w:rPr>
        <w:t>כך</w:t>
      </w:r>
      <w:r w:rsidRPr="00A81964">
        <w:rPr>
          <w:b/>
          <w:bCs/>
          <w:rtl/>
        </w:rPr>
        <w:t xml:space="preserve"> </w:t>
      </w:r>
      <w:r w:rsidRPr="00A81964">
        <w:rPr>
          <w:rFonts w:hint="eastAsia"/>
          <w:b/>
          <w:bCs/>
          <w:rtl/>
        </w:rPr>
        <w:t>לדוגמה</w:t>
      </w:r>
      <w:r w:rsidRPr="00A81964">
        <w:rPr>
          <w:b/>
          <w:bCs/>
          <w:rtl/>
        </w:rPr>
        <w:t xml:space="preserve">, </w:t>
      </w:r>
      <w:r w:rsidRPr="00A81964">
        <w:rPr>
          <w:rFonts w:hint="eastAsia"/>
          <w:b/>
          <w:bCs/>
          <w:rtl/>
        </w:rPr>
        <w:t>בתאריך</w:t>
      </w:r>
      <w:r w:rsidRPr="00A81964">
        <w:rPr>
          <w:b/>
          <w:bCs/>
          <w:rtl/>
        </w:rPr>
        <w:t xml:space="preserve"> 1.1.24 </w:t>
      </w:r>
      <w:r w:rsidRPr="00A81964">
        <w:rPr>
          <w:rFonts w:hint="eastAsia"/>
          <w:b/>
          <w:bCs/>
          <w:rtl/>
        </w:rPr>
        <w:t>בשעה</w:t>
      </w:r>
      <w:r w:rsidRPr="00A81964">
        <w:rPr>
          <w:b/>
          <w:bCs/>
          <w:rtl/>
        </w:rPr>
        <w:t xml:space="preserve"> 00:01 </w:t>
      </w:r>
      <w:r w:rsidRPr="00A81964">
        <w:rPr>
          <w:rFonts w:hint="eastAsia"/>
          <w:b/>
          <w:bCs/>
          <w:rtl/>
        </w:rPr>
        <w:t>שוגרו</w:t>
      </w:r>
      <w:r w:rsidRPr="00A81964">
        <w:rPr>
          <w:b/>
          <w:bCs/>
          <w:rtl/>
        </w:rPr>
        <w:t xml:space="preserve"> </w:t>
      </w:r>
      <w:r w:rsidRPr="00A81964">
        <w:rPr>
          <w:rFonts w:hint="eastAsia"/>
          <w:b/>
          <w:bCs/>
          <w:rtl/>
        </w:rPr>
        <w:t>רקטות</w:t>
      </w:r>
      <w:r w:rsidRPr="00A81964">
        <w:rPr>
          <w:b/>
          <w:bCs/>
          <w:rtl/>
        </w:rPr>
        <w:t xml:space="preserve"> </w:t>
      </w:r>
      <w:r w:rsidRPr="00A81964">
        <w:rPr>
          <w:rFonts w:hint="eastAsia"/>
          <w:b/>
          <w:bCs/>
          <w:rtl/>
        </w:rPr>
        <w:t>וטילים</w:t>
      </w:r>
      <w:r w:rsidRPr="00A81964">
        <w:rPr>
          <w:b/>
          <w:bCs/>
          <w:rtl/>
        </w:rPr>
        <w:t xml:space="preserve"> </w:t>
      </w:r>
      <w:r w:rsidRPr="00A81964">
        <w:rPr>
          <w:rFonts w:hint="eastAsia"/>
          <w:b/>
          <w:bCs/>
          <w:rtl/>
        </w:rPr>
        <w:t>לעשרות</w:t>
      </w:r>
      <w:r w:rsidRPr="00A81964">
        <w:rPr>
          <w:b/>
          <w:bCs/>
          <w:rtl/>
        </w:rPr>
        <w:t xml:space="preserve"> </w:t>
      </w:r>
      <w:r w:rsidRPr="00A81964">
        <w:rPr>
          <w:rFonts w:hint="eastAsia"/>
          <w:b/>
          <w:bCs/>
          <w:rtl/>
        </w:rPr>
        <w:t>יישובים</w:t>
      </w:r>
      <w:r w:rsidRPr="00A81964">
        <w:rPr>
          <w:b/>
          <w:bCs/>
          <w:rtl/>
        </w:rPr>
        <w:t xml:space="preserve"> </w:t>
      </w:r>
      <w:r w:rsidRPr="00A81964">
        <w:rPr>
          <w:rFonts w:hint="eastAsia"/>
          <w:b/>
          <w:bCs/>
          <w:rtl/>
        </w:rPr>
        <w:t>ברחבי</w:t>
      </w:r>
      <w:r w:rsidRPr="00A81964">
        <w:rPr>
          <w:b/>
          <w:bCs/>
          <w:rtl/>
        </w:rPr>
        <w:t xml:space="preserve"> </w:t>
      </w:r>
      <w:r w:rsidRPr="00A81964">
        <w:rPr>
          <w:rFonts w:hint="eastAsia"/>
          <w:b/>
          <w:bCs/>
          <w:rtl/>
        </w:rPr>
        <w:t>ישראל</w:t>
      </w:r>
      <w:r w:rsidRPr="00A81964">
        <w:rPr>
          <w:rStyle w:val="af2"/>
          <w:b/>
          <w:bCs/>
          <w:rtl/>
        </w:rPr>
        <w:footnoteReference w:id="34"/>
      </w:r>
      <w:r w:rsidRPr="00A81964">
        <w:rPr>
          <w:b/>
          <w:bCs/>
          <w:rtl/>
        </w:rPr>
        <w:t xml:space="preserve">. באותה עת לתושבים </w:t>
      </w:r>
      <w:r w:rsidRPr="00A81964">
        <w:rPr>
          <w:rFonts w:hint="eastAsia"/>
          <w:b/>
          <w:bCs/>
          <w:rtl/>
        </w:rPr>
        <w:t>שב</w:t>
      </w:r>
      <w:r w:rsidRPr="00A81964">
        <w:rPr>
          <w:b/>
          <w:bCs/>
          <w:rtl/>
        </w:rPr>
        <w:t xml:space="preserve">אותם </w:t>
      </w:r>
      <w:r w:rsidRPr="00A81964">
        <w:rPr>
          <w:rFonts w:hint="eastAsia"/>
          <w:b/>
          <w:bCs/>
          <w:rtl/>
        </w:rPr>
        <w:t>י</w:t>
      </w:r>
      <w:r w:rsidRPr="00A81964">
        <w:rPr>
          <w:b/>
          <w:bCs/>
          <w:rtl/>
        </w:rPr>
        <w:t xml:space="preserve">ישובים לא הייתה כל אפשרות לרכוש ביטוח לחפציהם הביתיים בגין שנת 2024, ומשכך, לו נגרמו נזקים לחפציהם הביתיים, הם לא היו זכאים לתבוע פיצויים בסכומים העולים על תקרות הפיצוי.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מומלץ כי רשות המיסים</w:t>
      </w:r>
      <w:r w:rsidRPr="00A81964">
        <w:rPr>
          <w:rtl/>
        </w:rPr>
        <w:t xml:space="preserve"> </w:t>
      </w:r>
      <w:r w:rsidRPr="00A81964">
        <w:rPr>
          <w:rFonts w:hint="cs"/>
          <w:b/>
          <w:bCs/>
          <w:rtl/>
        </w:rPr>
        <w:t>תשנה את תקנות חפצים ביתיים באופן שיחיל</w:t>
      </w:r>
      <w:r w:rsidRPr="00A81964">
        <w:rPr>
          <w:b/>
          <w:bCs/>
          <w:rtl/>
        </w:rPr>
        <w:t xml:space="preserve"> מנגנון </w:t>
      </w:r>
      <w:r w:rsidRPr="00A81964">
        <w:rPr>
          <w:rFonts w:hint="cs"/>
          <w:b/>
          <w:bCs/>
          <w:rtl/>
        </w:rPr>
        <w:t>המקובל</w:t>
      </w:r>
      <w:r w:rsidRPr="00A81964">
        <w:rPr>
          <w:b/>
          <w:bCs/>
          <w:rtl/>
        </w:rPr>
        <w:t xml:space="preserve"> </w:t>
      </w:r>
      <w:r w:rsidRPr="00A81964">
        <w:rPr>
          <w:rFonts w:hint="cs"/>
          <w:b/>
          <w:bCs/>
          <w:rtl/>
        </w:rPr>
        <w:t>בביטוחי רכוש,</w:t>
      </w:r>
      <w:r w:rsidRPr="00A81964">
        <w:rPr>
          <w:b/>
          <w:bCs/>
          <w:rtl/>
        </w:rPr>
        <w:t xml:space="preserve"> </w:t>
      </w:r>
      <w:r w:rsidRPr="00A81964">
        <w:rPr>
          <w:rFonts w:hint="eastAsia"/>
          <w:b/>
          <w:bCs/>
          <w:rtl/>
        </w:rPr>
        <w:t>כך</w:t>
      </w:r>
      <w:r w:rsidRPr="00A81964">
        <w:rPr>
          <w:b/>
          <w:bCs/>
          <w:rtl/>
        </w:rPr>
        <w:t xml:space="preserve"> </w:t>
      </w:r>
      <w:r w:rsidRPr="00A81964">
        <w:rPr>
          <w:rFonts w:hint="eastAsia"/>
          <w:b/>
          <w:bCs/>
          <w:rtl/>
        </w:rPr>
        <w:t>שיהיה</w:t>
      </w:r>
      <w:r w:rsidRPr="00A81964">
        <w:rPr>
          <w:b/>
          <w:bCs/>
          <w:rtl/>
        </w:rPr>
        <w:t xml:space="preserve"> </w:t>
      </w:r>
      <w:bookmarkStart w:id="21" w:name="_Hlk199411694"/>
      <w:r w:rsidRPr="00A81964">
        <w:rPr>
          <w:rFonts w:hint="eastAsia"/>
          <w:b/>
          <w:bCs/>
          <w:rtl/>
        </w:rPr>
        <w:t>ניתן</w:t>
      </w:r>
      <w:r w:rsidRPr="00A81964">
        <w:rPr>
          <w:b/>
          <w:bCs/>
          <w:rtl/>
        </w:rPr>
        <w:t xml:space="preserve"> </w:t>
      </w:r>
      <w:r w:rsidRPr="00A81964">
        <w:rPr>
          <w:rFonts w:hint="eastAsia"/>
          <w:b/>
          <w:bCs/>
          <w:rtl/>
        </w:rPr>
        <w:t>לרכוש</w:t>
      </w:r>
      <w:r w:rsidRPr="00A81964">
        <w:rPr>
          <w:b/>
          <w:bCs/>
          <w:rtl/>
        </w:rPr>
        <w:t xml:space="preserve"> </w:t>
      </w:r>
      <w:r w:rsidRPr="00A81964">
        <w:rPr>
          <w:rFonts w:hint="eastAsia"/>
          <w:b/>
          <w:bCs/>
          <w:rtl/>
        </w:rPr>
        <w:t>את</w:t>
      </w:r>
      <w:r w:rsidRPr="00A81964">
        <w:rPr>
          <w:b/>
          <w:bCs/>
          <w:rtl/>
        </w:rPr>
        <w:t xml:space="preserve"> </w:t>
      </w:r>
      <w:r w:rsidRPr="00A81964">
        <w:rPr>
          <w:rFonts w:hint="eastAsia"/>
          <w:b/>
          <w:bCs/>
          <w:rtl/>
        </w:rPr>
        <w:t>הביטוח</w:t>
      </w:r>
      <w:r w:rsidRPr="00A81964">
        <w:rPr>
          <w:b/>
          <w:bCs/>
          <w:rtl/>
        </w:rPr>
        <w:t xml:space="preserve"> </w:t>
      </w:r>
      <w:r w:rsidRPr="00A81964">
        <w:rPr>
          <w:rFonts w:hint="eastAsia"/>
          <w:b/>
          <w:bCs/>
          <w:rtl/>
        </w:rPr>
        <w:t>לפני</w:t>
      </w:r>
      <w:r w:rsidRPr="00A81964">
        <w:rPr>
          <w:b/>
          <w:bCs/>
          <w:rtl/>
        </w:rPr>
        <w:t xml:space="preserve"> </w:t>
      </w:r>
      <w:r w:rsidRPr="00A81964">
        <w:rPr>
          <w:rFonts w:hint="eastAsia"/>
          <w:b/>
          <w:bCs/>
          <w:rtl/>
        </w:rPr>
        <w:t>תחילת</w:t>
      </w:r>
      <w:r w:rsidRPr="00A81964">
        <w:rPr>
          <w:b/>
          <w:bCs/>
          <w:rtl/>
        </w:rPr>
        <w:t xml:space="preserve"> </w:t>
      </w:r>
      <w:r w:rsidRPr="00A81964">
        <w:rPr>
          <w:rFonts w:hint="eastAsia"/>
          <w:b/>
          <w:bCs/>
          <w:rtl/>
        </w:rPr>
        <w:t>השנה</w:t>
      </w:r>
      <w:bookmarkEnd w:id="21"/>
      <w:r w:rsidRPr="00A81964">
        <w:rPr>
          <w:b/>
          <w:bCs/>
          <w:rtl/>
        </w:rPr>
        <w:t>,</w:t>
      </w:r>
      <w:r w:rsidRPr="00A81964">
        <w:rPr>
          <w:rFonts w:hint="cs"/>
          <w:b/>
          <w:bCs/>
          <w:rtl/>
        </w:rPr>
        <w:t xml:space="preserve"> שיהיה </w:t>
      </w:r>
      <w:r w:rsidRPr="00A81964">
        <w:rPr>
          <w:b/>
          <w:bCs/>
          <w:rtl/>
        </w:rPr>
        <w:t xml:space="preserve">תקף </w:t>
      </w:r>
      <w:r w:rsidRPr="00A81964">
        <w:rPr>
          <w:rFonts w:hint="cs"/>
          <w:b/>
          <w:bCs/>
          <w:rtl/>
        </w:rPr>
        <w:t xml:space="preserve">לשנה </w:t>
      </w:r>
      <w:r w:rsidRPr="00A81964">
        <w:rPr>
          <w:b/>
          <w:bCs/>
          <w:rtl/>
        </w:rPr>
        <w:t xml:space="preserve">מיום רכישתו </w:t>
      </w:r>
      <w:r w:rsidRPr="00A81964">
        <w:rPr>
          <w:rFonts w:hint="cs"/>
          <w:b/>
          <w:bCs/>
          <w:rtl/>
        </w:rPr>
        <w:t>וכי אם הביטוח נרכש עבור חלק מהשנה, פרמיית הביטוח תשולם באופן יחסי בהתאם. נוסף</w:t>
      </w:r>
      <w:r>
        <w:rPr>
          <w:rFonts w:hint="cs"/>
          <w:b/>
          <w:bCs/>
          <w:rtl/>
        </w:rPr>
        <w:t xml:space="preserve"> על כך</w:t>
      </w:r>
      <w:r w:rsidRPr="00A81964">
        <w:rPr>
          <w:rFonts w:hint="cs"/>
          <w:b/>
          <w:bCs/>
          <w:rtl/>
        </w:rPr>
        <w:t xml:space="preserve">, </w:t>
      </w:r>
      <w:r w:rsidRPr="00A81964">
        <w:rPr>
          <w:rFonts w:hint="eastAsia"/>
          <w:b/>
          <w:bCs/>
          <w:rtl/>
        </w:rPr>
        <w:t>מומלץ</w:t>
      </w:r>
      <w:r w:rsidRPr="00A81964">
        <w:rPr>
          <w:b/>
          <w:bCs/>
          <w:rtl/>
        </w:rPr>
        <w:t xml:space="preserve"> </w:t>
      </w:r>
      <w:r w:rsidRPr="00A81964">
        <w:rPr>
          <w:rFonts w:hint="eastAsia"/>
          <w:b/>
          <w:bCs/>
          <w:rtl/>
        </w:rPr>
        <w:t>למסד</w:t>
      </w:r>
      <w:r w:rsidRPr="00A81964">
        <w:rPr>
          <w:b/>
          <w:bCs/>
          <w:rtl/>
        </w:rPr>
        <w:t xml:space="preserve"> מתן התרעה מראש למבוטח לפני תום התקופה המבוטחת</w:t>
      </w:r>
      <w:r w:rsidRPr="00A81964">
        <w:rPr>
          <w:rFonts w:hint="cs"/>
          <w:b/>
          <w:bCs/>
          <w:rtl/>
        </w:rPr>
        <w:t>, כמקובל בביטוחי רכוש</w:t>
      </w:r>
      <w:r w:rsidRPr="00A81964">
        <w:rPr>
          <w:b/>
          <w:bCs/>
          <w:rtl/>
        </w:rPr>
        <w:t>.</w:t>
      </w:r>
    </w:p>
    <w:p w:rsidR="006252C4" w:rsidRDefault="006252C4" w:rsidP="006252C4">
      <w:pPr>
        <w:pStyle w:val="a8"/>
        <w:spacing w:line="269" w:lineRule="auto"/>
        <w:rPr>
          <w:rtl/>
        </w:rPr>
      </w:pPr>
    </w:p>
    <w:p w:rsidR="006252C4" w:rsidRPr="0016480E" w:rsidRDefault="006252C4" w:rsidP="006252C4">
      <w:pPr>
        <w:spacing w:line="269" w:lineRule="auto"/>
        <w:rPr>
          <w:rtl/>
        </w:rPr>
      </w:pPr>
      <w:r w:rsidRPr="0016480E">
        <w:rPr>
          <w:rFonts w:hint="eastAsia"/>
          <w:rtl/>
        </w:rPr>
        <w:t>בתשובת</w:t>
      </w:r>
      <w:r w:rsidRPr="0016480E">
        <w:rPr>
          <w:rtl/>
        </w:rPr>
        <w:t xml:space="preserve"> </w:t>
      </w:r>
      <w:r w:rsidRPr="0016480E">
        <w:rPr>
          <w:rFonts w:hint="eastAsia"/>
          <w:rtl/>
        </w:rPr>
        <w:t>הרשות</w:t>
      </w:r>
      <w:r w:rsidRPr="0016480E">
        <w:rPr>
          <w:rtl/>
        </w:rPr>
        <w:t xml:space="preserve"> </w:t>
      </w:r>
      <w:r w:rsidRPr="0016480E">
        <w:rPr>
          <w:rFonts w:hint="eastAsia"/>
          <w:rtl/>
        </w:rPr>
        <w:t>נמסר</w:t>
      </w:r>
      <w:r w:rsidRPr="0016480E">
        <w:rPr>
          <w:rtl/>
        </w:rPr>
        <w:t xml:space="preserve"> </w:t>
      </w:r>
      <w:r w:rsidRPr="0016480E">
        <w:rPr>
          <w:rFonts w:hint="eastAsia"/>
          <w:rtl/>
        </w:rPr>
        <w:t>כי</w:t>
      </w:r>
      <w:r w:rsidRPr="0016480E">
        <w:rPr>
          <w:rtl/>
        </w:rPr>
        <w:t xml:space="preserve"> </w:t>
      </w:r>
      <w:r w:rsidRPr="0016480E">
        <w:rPr>
          <w:rFonts w:hint="eastAsia"/>
          <w:rtl/>
        </w:rPr>
        <w:t>יתקיים</w:t>
      </w:r>
      <w:r w:rsidRPr="0016480E">
        <w:rPr>
          <w:rtl/>
        </w:rPr>
        <w:t xml:space="preserve"> </w:t>
      </w:r>
      <w:r w:rsidRPr="0016480E">
        <w:rPr>
          <w:rFonts w:hint="eastAsia"/>
          <w:rtl/>
        </w:rPr>
        <w:t>הליך</w:t>
      </w:r>
      <w:r w:rsidRPr="0016480E">
        <w:rPr>
          <w:rtl/>
        </w:rPr>
        <w:t xml:space="preserve"> </w:t>
      </w:r>
      <w:r w:rsidRPr="0016480E">
        <w:rPr>
          <w:rFonts w:hint="eastAsia"/>
          <w:rtl/>
        </w:rPr>
        <w:t>הפקת</w:t>
      </w:r>
      <w:r w:rsidRPr="0016480E">
        <w:rPr>
          <w:rtl/>
        </w:rPr>
        <w:t xml:space="preserve"> </w:t>
      </w:r>
      <w:r w:rsidRPr="0016480E">
        <w:rPr>
          <w:rFonts w:hint="eastAsia"/>
          <w:rtl/>
        </w:rPr>
        <w:t>לקחים</w:t>
      </w:r>
      <w:r w:rsidRPr="0016480E">
        <w:rPr>
          <w:rtl/>
        </w:rPr>
        <w:t xml:space="preserve"> </w:t>
      </w:r>
      <w:r w:rsidRPr="0016480E">
        <w:rPr>
          <w:rFonts w:hint="eastAsia"/>
          <w:rtl/>
        </w:rPr>
        <w:t>בתחום</w:t>
      </w:r>
      <w:r w:rsidRPr="0016480E">
        <w:rPr>
          <w:rtl/>
        </w:rPr>
        <w:t xml:space="preserve"> </w:t>
      </w:r>
      <w:r w:rsidRPr="0016480E">
        <w:rPr>
          <w:rFonts w:hint="eastAsia"/>
          <w:rtl/>
        </w:rPr>
        <w:t>זה</w:t>
      </w:r>
      <w:r>
        <w:rPr>
          <w:rFonts w:hint="cs"/>
          <w:rtl/>
        </w:rPr>
        <w:t>, ובין היתר תבחן את גובה תקרות הפיצוי</w:t>
      </w:r>
      <w:r w:rsidRPr="0016480E">
        <w:rPr>
          <w:rtl/>
        </w:rPr>
        <w:t>.</w:t>
      </w:r>
    </w:p>
    <w:p w:rsidR="006252C4" w:rsidRDefault="006252C4" w:rsidP="006252C4">
      <w:pPr>
        <w:spacing w:line="269" w:lineRule="auto"/>
        <w:rPr>
          <w:rtl/>
        </w:rPr>
      </w:pPr>
    </w:p>
    <w:p w:rsidR="006252C4" w:rsidRPr="00A81964" w:rsidRDefault="006252C4" w:rsidP="006252C4">
      <w:pPr>
        <w:pStyle w:val="31"/>
        <w:spacing w:before="0" w:line="269" w:lineRule="auto"/>
        <w:rPr>
          <w:rtl/>
        </w:rPr>
      </w:pPr>
      <w:r w:rsidRPr="00A81964">
        <w:rPr>
          <w:rFonts w:hint="eastAsia"/>
          <w:rtl/>
        </w:rPr>
        <w:t>מענק</w:t>
      </w:r>
      <w:r w:rsidRPr="00A81964">
        <w:rPr>
          <w:rtl/>
        </w:rPr>
        <w:t xml:space="preserve"> </w:t>
      </w:r>
      <w:r w:rsidRPr="00A81964">
        <w:rPr>
          <w:rFonts w:hint="eastAsia"/>
          <w:rtl/>
        </w:rPr>
        <w:t>התארגנות</w:t>
      </w:r>
      <w:r w:rsidRPr="00A81964">
        <w:rPr>
          <w:rtl/>
        </w:rPr>
        <w:t xml:space="preserve"> </w:t>
      </w:r>
      <w:r w:rsidRPr="00A81964">
        <w:rPr>
          <w:rFonts w:hint="eastAsia"/>
          <w:rtl/>
        </w:rPr>
        <w:t>עבור</w:t>
      </w:r>
      <w:r w:rsidRPr="00A81964">
        <w:rPr>
          <w:rtl/>
        </w:rPr>
        <w:t xml:space="preserve"> </w:t>
      </w:r>
      <w:r w:rsidRPr="00A81964">
        <w:rPr>
          <w:rFonts w:hint="eastAsia"/>
          <w:rtl/>
        </w:rPr>
        <w:t>נזקי</w:t>
      </w:r>
      <w:r w:rsidRPr="00A81964">
        <w:rPr>
          <w:rtl/>
        </w:rPr>
        <w:t xml:space="preserve"> </w:t>
      </w:r>
      <w:r w:rsidRPr="00A81964">
        <w:rPr>
          <w:rFonts w:hint="eastAsia"/>
          <w:rtl/>
        </w:rPr>
        <w:t>רכוש</w:t>
      </w:r>
      <w:r w:rsidRPr="00A81964">
        <w:rPr>
          <w:rFonts w:hint="cs"/>
          <w:rtl/>
        </w:rPr>
        <w:t xml:space="preserve"> </w:t>
      </w:r>
      <w:r w:rsidRPr="00A81964">
        <w:rPr>
          <w:rtl/>
        </w:rPr>
        <w:t xml:space="preserve">(מענק </w:t>
      </w:r>
      <w:r w:rsidRPr="00A81964">
        <w:rPr>
          <w:rFonts w:hint="eastAsia"/>
          <w:rtl/>
        </w:rPr>
        <w:t>עזובה</w:t>
      </w:r>
      <w:r w:rsidRPr="00A81964">
        <w:rPr>
          <w:rtl/>
        </w:rPr>
        <w:t>)</w:t>
      </w:r>
      <w:r w:rsidRPr="00A81964">
        <w:rPr>
          <w:rFonts w:hint="cs"/>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בסיור שערך משרד מבקר המדינה ביום 8.12.24 ביישובי הצפון אשר תושביהם פונו עלה כי </w:t>
      </w:r>
      <w:r w:rsidRPr="00A81964">
        <w:rPr>
          <w:rtl/>
        </w:rPr>
        <w:t>אין מענה ממשלתי לשיפוי בגין</w:t>
      </w:r>
      <w:r w:rsidRPr="00A81964">
        <w:rPr>
          <w:rFonts w:hint="cs"/>
          <w:rtl/>
        </w:rPr>
        <w:t xml:space="preserve"> </w:t>
      </w:r>
      <w:r w:rsidRPr="00A81964">
        <w:rPr>
          <w:rtl/>
        </w:rPr>
        <w:t>נזקים שנגרמו כתוצאה מכך שבמשך יותר משנה לא התגוררו בבתים כמו נזקי ביוב</w:t>
      </w:r>
      <w:r w:rsidRPr="00A81964">
        <w:rPr>
          <w:rFonts w:hint="cs"/>
          <w:rtl/>
        </w:rPr>
        <w:t xml:space="preserve"> </w:t>
      </w:r>
      <w:r w:rsidRPr="00A81964">
        <w:rPr>
          <w:rtl/>
        </w:rPr>
        <w:t>וחולדות, הצפות ועוד</w:t>
      </w:r>
      <w:r w:rsidRPr="00A81964">
        <w:rPr>
          <w:rFonts w:hint="cs"/>
          <w:rtl/>
        </w:rPr>
        <w:t xml:space="preserve"> (להלן </w:t>
      </w:r>
      <w:r>
        <w:rPr>
          <w:rFonts w:hint="cs"/>
          <w:rtl/>
        </w:rPr>
        <w:t>-</w:t>
      </w:r>
      <w:r w:rsidRPr="00A81964">
        <w:rPr>
          <w:rFonts w:hint="cs"/>
          <w:rtl/>
        </w:rPr>
        <w:t xml:space="preserve"> נזקי עזובה). נזקים דומים קרו גם ב</w:t>
      </w:r>
      <w:r w:rsidRPr="00A81964">
        <w:rPr>
          <w:rtl/>
        </w:rPr>
        <w:t>בתים שבנייתם לא הושלמה</w:t>
      </w:r>
      <w:r w:rsidRPr="00A81964">
        <w:rPr>
          <w:rFonts w:hint="cs"/>
          <w:rtl/>
        </w:rPr>
        <w:t xml:space="preserve"> ו</w:t>
      </w:r>
      <w:r w:rsidRPr="00A81964">
        <w:rPr>
          <w:rtl/>
        </w:rPr>
        <w:t>נותרו במשך חודשים רבים עזובים</w:t>
      </w:r>
      <w:r w:rsidRPr="00A81964">
        <w:rPr>
          <w:rFonts w:hint="cs"/>
          <w:rtl/>
        </w:rPr>
        <w:t xml:space="preserve">. נזקים אלו לא נכללים </w:t>
      </w:r>
      <w:r>
        <w:rPr>
          <w:rFonts w:hint="cs"/>
          <w:rtl/>
        </w:rPr>
        <w:t xml:space="preserve">בהגדרת </w:t>
      </w:r>
      <w:r w:rsidRPr="00A81964">
        <w:rPr>
          <w:rFonts w:hint="cs"/>
          <w:rtl/>
        </w:rPr>
        <w:t xml:space="preserve">"נזק מלחמה" בחוק מס רכוש ולכן בעלי הבתים לא רשאים לפיצוי </w:t>
      </w:r>
      <w:r>
        <w:rPr>
          <w:rFonts w:hint="cs"/>
          <w:rtl/>
        </w:rPr>
        <w:t>מ</w:t>
      </w:r>
      <w:r w:rsidRPr="00A81964">
        <w:rPr>
          <w:rFonts w:hint="cs"/>
          <w:rtl/>
        </w:rPr>
        <w:t>תו</w:t>
      </w:r>
      <w:r>
        <w:rPr>
          <w:rFonts w:hint="cs"/>
          <w:rtl/>
        </w:rPr>
        <w:t>ק</w:t>
      </w:r>
      <w:r w:rsidRPr="00A81964">
        <w:rPr>
          <w:rFonts w:hint="cs"/>
          <w:rtl/>
        </w:rPr>
        <w:t>ף החוק.</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ביום 10.12.24 שלח מבקר המדינה מכתב לשר האוצר לשר במשרד האוצר ולשר הפנים ובו </w:t>
      </w:r>
      <w:r w:rsidRPr="00A81964">
        <w:rPr>
          <w:rtl/>
        </w:rPr>
        <w:t xml:space="preserve">פירוט הפערים והצרכים המידיים שהועלו מהסיור ומהפגישות </w:t>
      </w:r>
      <w:r w:rsidRPr="00A81964">
        <w:rPr>
          <w:rFonts w:hint="cs"/>
          <w:rtl/>
        </w:rPr>
        <w:t>שהתקיימו</w:t>
      </w:r>
      <w:r w:rsidRPr="00A81964">
        <w:rPr>
          <w:rtl/>
        </w:rPr>
        <w:t xml:space="preserve"> הנוגעים לשיקום</w:t>
      </w:r>
      <w:r w:rsidRPr="00A81964">
        <w:rPr>
          <w:rFonts w:hint="cs"/>
          <w:rtl/>
        </w:rPr>
        <w:t xml:space="preserve"> </w:t>
      </w:r>
      <w:r w:rsidRPr="00A81964">
        <w:rPr>
          <w:rtl/>
        </w:rPr>
        <w:t xml:space="preserve">היישובים </w:t>
      </w:r>
      <w:proofErr w:type="spellStart"/>
      <w:r w:rsidRPr="00A81964">
        <w:rPr>
          <w:rtl/>
        </w:rPr>
        <w:t>סמוכי</w:t>
      </w:r>
      <w:proofErr w:type="spellEnd"/>
      <w:r w:rsidRPr="00A81964">
        <w:rPr>
          <w:rtl/>
        </w:rPr>
        <w:t xml:space="preserve"> הגדר בצפון בעקבות מלחמת "חרבות ברזל"</w:t>
      </w:r>
      <w:r w:rsidRPr="00A81964">
        <w:rPr>
          <w:rFonts w:hint="cs"/>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ב</w:t>
      </w:r>
      <w:r w:rsidRPr="00A81964">
        <w:rPr>
          <w:rFonts w:hint="cs"/>
          <w:rtl/>
        </w:rPr>
        <w:t>-</w:t>
      </w:r>
      <w:r w:rsidRPr="00A81964">
        <w:rPr>
          <w:rtl/>
        </w:rPr>
        <w:t>12.1.25 פורסמה החלטת ממשלה 2677 בנושא "הארכת סיוע המדינה לתושבי הצפון</w:t>
      </w:r>
      <w:r>
        <w:rPr>
          <w:rFonts w:hint="cs"/>
          <w:rtl/>
        </w:rPr>
        <w:t xml:space="preserve"> </w:t>
      </w:r>
      <w:r w:rsidRPr="00A81964">
        <w:rPr>
          <w:rtl/>
        </w:rPr>
        <w:t>והדרום באזורים המפונים ומתן סיוע לטובת חזרתם הביתה"</w:t>
      </w:r>
      <w:r w:rsidRPr="00A81964">
        <w:rPr>
          <w:rFonts w:hint="cs"/>
          <w:rtl/>
        </w:rPr>
        <w:t xml:space="preserve">. החלטה זו </w:t>
      </w:r>
      <w:r w:rsidRPr="00A81964">
        <w:rPr>
          <w:rtl/>
        </w:rPr>
        <w:t xml:space="preserve">מתייחסת לשני </w:t>
      </w:r>
      <w:r>
        <w:rPr>
          <w:rFonts w:hint="cs"/>
          <w:rtl/>
        </w:rPr>
        <w:t xml:space="preserve">סוגי מענקים: </w:t>
      </w:r>
      <w:r w:rsidRPr="00A81964">
        <w:rPr>
          <w:rFonts w:hint="cs"/>
          <w:rtl/>
        </w:rPr>
        <w:t>למענק חד</w:t>
      </w:r>
      <w:r>
        <w:rPr>
          <w:rFonts w:hint="cs"/>
          <w:rtl/>
        </w:rPr>
        <w:t>-</w:t>
      </w:r>
      <w:r w:rsidRPr="00A81964">
        <w:rPr>
          <w:rFonts w:hint="cs"/>
          <w:rtl/>
        </w:rPr>
        <w:t xml:space="preserve">פעמי (מענק חזרה) ולמענק התארגנות בשל </w:t>
      </w:r>
      <w:r w:rsidRPr="00A81964">
        <w:rPr>
          <w:rtl/>
        </w:rPr>
        <w:t xml:space="preserve">השהות הממושכת מחוץ לבית </w:t>
      </w:r>
      <w:r w:rsidRPr="00A81964">
        <w:rPr>
          <w:rFonts w:hint="cs"/>
          <w:rtl/>
        </w:rPr>
        <w:t>(</w:t>
      </w:r>
      <w:r w:rsidRPr="00A81964">
        <w:rPr>
          <w:rtl/>
        </w:rPr>
        <w:t>מענק</w:t>
      </w:r>
      <w:r w:rsidRPr="00A81964">
        <w:rPr>
          <w:rFonts w:hint="cs"/>
          <w:rtl/>
        </w:rPr>
        <w:t>י</w:t>
      </w:r>
      <w:r w:rsidRPr="00A81964">
        <w:rPr>
          <w:rtl/>
        </w:rPr>
        <w:t xml:space="preserve"> עזובה</w:t>
      </w:r>
      <w:r w:rsidRPr="00A81964">
        <w:rPr>
          <w:rFonts w:hint="cs"/>
          <w:rtl/>
        </w:rPr>
        <w:t xml:space="preserve">). בהחלטה נקבע כי </w:t>
      </w:r>
      <w:r w:rsidRPr="00A81964">
        <w:rPr>
          <w:rtl/>
        </w:rPr>
        <w:t xml:space="preserve">שני המענקים </w:t>
      </w:r>
      <w:r w:rsidRPr="00A81964">
        <w:rPr>
          <w:rFonts w:hint="cs"/>
          <w:rtl/>
        </w:rPr>
        <w:t>ישולמו</w:t>
      </w:r>
      <w:r w:rsidRPr="00A81964">
        <w:rPr>
          <w:rtl/>
        </w:rPr>
        <w:t xml:space="preserve"> על ידי המוסד לביטוח לאומי</w:t>
      </w:r>
      <w:r w:rsidRPr="00A81964">
        <w:rPr>
          <w:rFonts w:hint="cs"/>
          <w:rtl/>
        </w:rPr>
        <w:t>. ניזוק אשר ויתר על מענק העזובה מ</w:t>
      </w:r>
      <w:r>
        <w:rPr>
          <w:rFonts w:hint="cs"/>
          <w:rtl/>
        </w:rPr>
        <w:t>המוסד ל</w:t>
      </w:r>
      <w:r w:rsidRPr="00A81964">
        <w:rPr>
          <w:rFonts w:hint="cs"/>
          <w:rtl/>
        </w:rPr>
        <w:t xml:space="preserve">ביטוח לאומי </w:t>
      </w:r>
      <w:r w:rsidRPr="00A81964">
        <w:rPr>
          <w:rFonts w:hint="cs"/>
          <w:rtl/>
        </w:rPr>
        <w:lastRenderedPageBreak/>
        <w:t>רשאי בהתאם ל</w:t>
      </w:r>
      <w:r w:rsidRPr="00A81964">
        <w:rPr>
          <w:rtl/>
        </w:rPr>
        <w:t xml:space="preserve">סעיף 9 להחלטת הממשלה, </w:t>
      </w:r>
      <w:r w:rsidRPr="00A81964">
        <w:rPr>
          <w:rFonts w:hint="cs"/>
          <w:rtl/>
        </w:rPr>
        <w:t>להגיש לרשות המיסים תביעה ל</w:t>
      </w:r>
      <w:r w:rsidRPr="00A81964">
        <w:rPr>
          <w:rtl/>
        </w:rPr>
        <w:t>מענק</w:t>
      </w:r>
      <w:r w:rsidRPr="00A81964">
        <w:rPr>
          <w:rFonts w:hint="cs"/>
          <w:rtl/>
        </w:rPr>
        <w:t xml:space="preserve"> עזובה</w:t>
      </w:r>
      <w:r w:rsidRPr="00A81964">
        <w:rPr>
          <w:rtl/>
        </w:rPr>
        <w:t xml:space="preserve"> המבוסס </w:t>
      </w:r>
      <w:r>
        <w:rPr>
          <w:rFonts w:hint="cs"/>
          <w:rtl/>
        </w:rPr>
        <w:t xml:space="preserve">על </w:t>
      </w:r>
      <w:r w:rsidRPr="00A81964">
        <w:rPr>
          <w:rtl/>
        </w:rPr>
        <w:t>שומה בגין נזק</w:t>
      </w:r>
      <w:r w:rsidRPr="00A81964">
        <w:rPr>
          <w:rFonts w:hint="cs"/>
          <w:rtl/>
        </w:rPr>
        <w:t xml:space="preserve"> </w:t>
      </w:r>
      <w:r w:rsidRPr="00A81964">
        <w:rPr>
          <w:rtl/>
        </w:rPr>
        <w:t>שנגרם בעקבות השהות הממושכת מחוץ לבית בגין חפצים ביתיים כהגדרתם בחוק מס רכוש והתקנות</w:t>
      </w:r>
      <w:r w:rsidRPr="00A81964">
        <w:rPr>
          <w:rFonts w:hint="cs"/>
          <w:rtl/>
        </w:rPr>
        <w:t xml:space="preserve"> </w:t>
      </w:r>
      <w:r w:rsidRPr="00A81964">
        <w:rPr>
          <w:rtl/>
        </w:rPr>
        <w:t>שהותקנו מכוחו</w:t>
      </w:r>
      <w:r w:rsidRPr="00A81964">
        <w:rPr>
          <w:rFonts w:hint="cs"/>
          <w:rtl/>
        </w:rPr>
        <w:t>.</w:t>
      </w:r>
      <w:r w:rsidRPr="00A81964">
        <w:rPr>
          <w:rtl/>
        </w:rPr>
        <w:t xml:space="preserve"> האפשרות להגשת תביעה </w:t>
      </w:r>
      <w:r w:rsidRPr="00A81964">
        <w:rPr>
          <w:rFonts w:hint="cs"/>
          <w:rtl/>
        </w:rPr>
        <w:t>לרשות המיסים</w:t>
      </w:r>
      <w:r w:rsidRPr="00A81964">
        <w:rPr>
          <w:rtl/>
        </w:rPr>
        <w:t xml:space="preserve"> תהיה החל </w:t>
      </w:r>
      <w:r>
        <w:rPr>
          <w:rFonts w:hint="cs"/>
          <w:rtl/>
        </w:rPr>
        <w:t>ב</w:t>
      </w:r>
      <w:r w:rsidRPr="00A81964">
        <w:rPr>
          <w:rtl/>
        </w:rPr>
        <w:t>יום</w:t>
      </w:r>
      <w:r>
        <w:rPr>
          <w:rFonts w:hint="cs"/>
          <w:rtl/>
        </w:rPr>
        <w:t xml:space="preserve"> 1.2.25</w:t>
      </w:r>
      <w:r w:rsidRPr="00A81964">
        <w:rPr>
          <w:rtl/>
        </w:rPr>
        <w:t xml:space="preserve"> ועד ליום</w:t>
      </w:r>
      <w:r>
        <w:rPr>
          <w:rFonts w:hint="cs"/>
          <w:rtl/>
        </w:rPr>
        <w:t xml:space="preserve"> 31.3.25</w:t>
      </w:r>
      <w:r w:rsidRPr="00A81964">
        <w:rPr>
          <w:rtl/>
        </w:rPr>
        <w:t>, אולם מנהל רשות המיסים יהיה מוסמך להאריך את מועד הגשת התביעה, ככל שימצא כי יש בכך צורך.</w:t>
      </w:r>
    </w:p>
    <w:p w:rsidR="006252C4" w:rsidRDefault="006252C4" w:rsidP="006252C4">
      <w:pPr>
        <w:pStyle w:val="a8"/>
        <w:spacing w:line="269" w:lineRule="auto"/>
        <w:rPr>
          <w:rtl/>
        </w:rPr>
      </w:pPr>
    </w:p>
    <w:p w:rsidR="006252C4" w:rsidRDefault="006252C4" w:rsidP="006252C4">
      <w:pPr>
        <w:spacing w:line="269" w:lineRule="auto"/>
        <w:rPr>
          <w:b/>
          <w:bCs/>
          <w:rtl/>
        </w:rPr>
      </w:pPr>
      <w:r w:rsidRPr="00A81964">
        <w:rPr>
          <w:rFonts w:hint="eastAsia"/>
          <w:b/>
          <w:bCs/>
          <w:rtl/>
        </w:rPr>
        <w:t>ב</w:t>
      </w:r>
      <w:r w:rsidRPr="00A81964">
        <w:rPr>
          <w:b/>
          <w:bCs/>
          <w:rtl/>
        </w:rPr>
        <w:t>-2.3.25 פרסמה רשות המיסים נוהל טיפול בנזקי עזובה מכ</w:t>
      </w:r>
      <w:r>
        <w:rPr>
          <w:rFonts w:hint="cs"/>
          <w:b/>
          <w:bCs/>
          <w:rtl/>
        </w:rPr>
        <w:t>ו</w:t>
      </w:r>
      <w:r w:rsidRPr="00A81964">
        <w:rPr>
          <w:b/>
          <w:bCs/>
          <w:rtl/>
        </w:rPr>
        <w:t xml:space="preserve">ח החלטת ממשלה 2677 </w:t>
      </w:r>
      <w:r w:rsidRPr="00A81964">
        <w:rPr>
          <w:rFonts w:hint="eastAsia"/>
          <w:b/>
          <w:bCs/>
          <w:rtl/>
        </w:rPr>
        <w:t>באתר</w:t>
      </w:r>
      <w:r w:rsidRPr="00A81964">
        <w:rPr>
          <w:b/>
          <w:bCs/>
          <w:rtl/>
        </w:rPr>
        <w:t xml:space="preserve"> הרשות. עד למועד סיום הביקורת הוגשו לרשות המיסים </w:t>
      </w:r>
      <w:r w:rsidRPr="00A81964">
        <w:rPr>
          <w:rFonts w:hint="eastAsia"/>
          <w:b/>
          <w:bCs/>
          <w:rtl/>
        </w:rPr>
        <w:t>רק</w:t>
      </w:r>
      <w:r w:rsidRPr="00A81964">
        <w:rPr>
          <w:b/>
          <w:bCs/>
          <w:rtl/>
        </w:rPr>
        <w:t xml:space="preserve"> 10 תביעות למענק עזובה, 7 מתוכם נמשכו על </w:t>
      </w:r>
      <w:r w:rsidRPr="00A81964">
        <w:rPr>
          <w:rFonts w:hint="eastAsia"/>
          <w:b/>
          <w:bCs/>
          <w:rtl/>
        </w:rPr>
        <w:t>ידי</w:t>
      </w:r>
      <w:r w:rsidRPr="00A81964">
        <w:rPr>
          <w:b/>
          <w:bCs/>
          <w:rtl/>
        </w:rPr>
        <w:t xml:space="preserve"> </w:t>
      </w:r>
      <w:r w:rsidRPr="00A81964">
        <w:rPr>
          <w:rFonts w:hint="eastAsia"/>
          <w:b/>
          <w:bCs/>
          <w:rtl/>
        </w:rPr>
        <w:t>המבקשים</w:t>
      </w:r>
      <w:r w:rsidRPr="00A81964">
        <w:rPr>
          <w:b/>
          <w:bCs/>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eastAsia"/>
          <w:b/>
          <w:bCs/>
          <w:rtl/>
        </w:rPr>
        <w:t>המימוש</w:t>
      </w:r>
      <w:r w:rsidRPr="00A81964">
        <w:rPr>
          <w:b/>
          <w:bCs/>
          <w:rtl/>
        </w:rPr>
        <w:t xml:space="preserve"> </w:t>
      </w:r>
      <w:r w:rsidRPr="00A81964">
        <w:rPr>
          <w:rFonts w:hint="eastAsia"/>
          <w:b/>
          <w:bCs/>
          <w:rtl/>
        </w:rPr>
        <w:t>הנמוך</w:t>
      </w:r>
      <w:r w:rsidRPr="00A81964">
        <w:rPr>
          <w:b/>
          <w:bCs/>
          <w:rtl/>
        </w:rPr>
        <w:t xml:space="preserve"> </w:t>
      </w:r>
      <w:r w:rsidRPr="00A81964">
        <w:rPr>
          <w:rFonts w:hint="eastAsia"/>
          <w:b/>
          <w:bCs/>
          <w:rtl/>
        </w:rPr>
        <w:t>מעלה</w:t>
      </w:r>
      <w:r w:rsidRPr="00A81964">
        <w:rPr>
          <w:b/>
          <w:bCs/>
          <w:rtl/>
        </w:rPr>
        <w:t xml:space="preserve"> </w:t>
      </w:r>
      <w:r w:rsidRPr="00A81964">
        <w:rPr>
          <w:rFonts w:hint="eastAsia"/>
          <w:b/>
          <w:bCs/>
          <w:rtl/>
        </w:rPr>
        <w:t>תהיה</w:t>
      </w:r>
      <w:r w:rsidRPr="00A81964">
        <w:rPr>
          <w:b/>
          <w:bCs/>
          <w:rtl/>
        </w:rPr>
        <w:t xml:space="preserve"> </w:t>
      </w:r>
      <w:r w:rsidRPr="00A81964">
        <w:rPr>
          <w:rFonts w:hint="eastAsia"/>
          <w:b/>
          <w:bCs/>
          <w:rtl/>
        </w:rPr>
        <w:t>לגבי</w:t>
      </w:r>
      <w:r w:rsidRPr="00A81964">
        <w:rPr>
          <w:b/>
          <w:bCs/>
          <w:rtl/>
        </w:rPr>
        <w:t xml:space="preserve"> אפקטיביות המתווה שנקבע לצורכי הניזוקים למענק התארגנות עבור נזקי רכוש באמצעות רשות </w:t>
      </w:r>
      <w:r>
        <w:rPr>
          <w:b/>
          <w:bCs/>
          <w:rtl/>
        </w:rPr>
        <w:t>המיסים</w:t>
      </w:r>
      <w:r w:rsidRPr="00A81964">
        <w:rPr>
          <w:b/>
          <w:bCs/>
          <w:rtl/>
        </w:rPr>
        <w:t>.</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16480E">
        <w:rPr>
          <w:rFonts w:hint="eastAsia"/>
          <w:b/>
          <w:bCs/>
          <w:rtl/>
        </w:rPr>
        <w:t>נמצא</w:t>
      </w:r>
      <w:r w:rsidRPr="0016480E">
        <w:rPr>
          <w:b/>
          <w:bCs/>
          <w:rtl/>
        </w:rPr>
        <w:t xml:space="preserve"> כי</w:t>
      </w:r>
      <w:r w:rsidRPr="00A81964">
        <w:rPr>
          <w:rFonts w:hint="cs"/>
          <w:b/>
          <w:bCs/>
          <w:rtl/>
        </w:rPr>
        <w:t xml:space="preserve"> רק בינואר 2025, לאחר כשנה וארבעה חודשים מתחילת הלחימה ופינוי התושבים, נקבעה החלטת ממשלה למתן מענקים בגין נזקי עזובה</w:t>
      </w:r>
      <w:r w:rsidRPr="00A81964">
        <w:rPr>
          <w:b/>
          <w:bCs/>
          <w:rtl/>
        </w:rPr>
        <w:t>,</w:t>
      </w:r>
      <w:r w:rsidRPr="00A81964">
        <w:rPr>
          <w:rFonts w:hint="cs"/>
          <w:b/>
          <w:bCs/>
          <w:rtl/>
        </w:rPr>
        <w:t xml:space="preserve"> לרבות </w:t>
      </w:r>
      <w:r w:rsidRPr="00A81964">
        <w:rPr>
          <w:b/>
          <w:bCs/>
          <w:rtl/>
        </w:rPr>
        <w:t>מכשירים חשמליים</w:t>
      </w:r>
      <w:r w:rsidRPr="00A81964">
        <w:rPr>
          <w:rFonts w:hint="cs"/>
          <w:b/>
          <w:bCs/>
          <w:rtl/>
        </w:rPr>
        <w:t xml:space="preserve"> שהתקלקלו</w:t>
      </w:r>
      <w:r w:rsidRPr="00A81964">
        <w:rPr>
          <w:b/>
          <w:bCs/>
          <w:rtl/>
        </w:rPr>
        <w:t>, עובש</w:t>
      </w:r>
      <w:r w:rsidRPr="00A81964">
        <w:rPr>
          <w:rFonts w:hint="cs"/>
          <w:b/>
          <w:bCs/>
          <w:rtl/>
        </w:rPr>
        <w:t xml:space="preserve"> ו</w:t>
      </w:r>
      <w:r w:rsidRPr="00A81964">
        <w:rPr>
          <w:b/>
          <w:bCs/>
          <w:rtl/>
        </w:rPr>
        <w:t xml:space="preserve">נזקים למערכות </w:t>
      </w:r>
      <w:r>
        <w:rPr>
          <w:rFonts w:hint="cs"/>
          <w:b/>
          <w:bCs/>
          <w:rtl/>
        </w:rPr>
        <w:t xml:space="preserve">התשתית </w:t>
      </w:r>
      <w:r w:rsidRPr="00A81964">
        <w:rPr>
          <w:b/>
          <w:bCs/>
          <w:rtl/>
        </w:rPr>
        <w:t>שנגרמו עקב שהות ממושכת מחוץ לבית.</w:t>
      </w:r>
      <w:r w:rsidRPr="00A81964">
        <w:rPr>
          <w:rFonts w:hint="cs"/>
          <w:b/>
          <w:bCs/>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eastAsia"/>
          <w:b/>
          <w:bCs/>
          <w:rtl/>
        </w:rPr>
        <w:t>עוד</w:t>
      </w:r>
      <w:r w:rsidRPr="00A81964">
        <w:rPr>
          <w:b/>
          <w:bCs/>
          <w:rtl/>
        </w:rPr>
        <w:t xml:space="preserve"> </w:t>
      </w:r>
      <w:r w:rsidRPr="0016480E">
        <w:rPr>
          <w:rFonts w:hint="eastAsia"/>
          <w:b/>
          <w:bCs/>
          <w:rtl/>
        </w:rPr>
        <w:t>נמצא</w:t>
      </w:r>
      <w:r w:rsidRPr="0016480E">
        <w:rPr>
          <w:b/>
          <w:bCs/>
          <w:rtl/>
        </w:rPr>
        <w:t xml:space="preserve"> כי על</w:t>
      </w:r>
      <w:r w:rsidRPr="0016480E">
        <w:rPr>
          <w:rFonts w:hint="cs"/>
          <w:b/>
          <w:bCs/>
          <w:rtl/>
        </w:rPr>
        <w:t xml:space="preserve"> אף</w:t>
      </w:r>
      <w:r w:rsidRPr="00A81964">
        <w:rPr>
          <w:rFonts w:hint="cs"/>
          <w:b/>
          <w:bCs/>
          <w:rtl/>
        </w:rPr>
        <w:t xml:space="preserve"> שהאפשרות להגיש תביעה למענק עזובה נקבעה לתקופה</w:t>
      </w:r>
      <w:r w:rsidRPr="00A81964">
        <w:rPr>
          <w:rtl/>
        </w:rPr>
        <w:t xml:space="preserve"> </w:t>
      </w:r>
      <w:r w:rsidRPr="00A81964">
        <w:rPr>
          <w:rFonts w:hint="cs"/>
          <w:b/>
          <w:bCs/>
          <w:rtl/>
        </w:rPr>
        <w:t>1.2.25</w:t>
      </w:r>
      <w:r>
        <w:rPr>
          <w:rFonts w:hint="cs"/>
          <w:b/>
          <w:bCs/>
          <w:rtl/>
        </w:rPr>
        <w:t xml:space="preserve"> </w:t>
      </w:r>
      <w:r w:rsidRPr="00A81964">
        <w:rPr>
          <w:rFonts w:hint="cs"/>
          <w:b/>
          <w:bCs/>
          <w:rtl/>
        </w:rPr>
        <w:t>-</w:t>
      </w:r>
      <w:r>
        <w:rPr>
          <w:rFonts w:hint="cs"/>
          <w:b/>
          <w:bCs/>
          <w:rtl/>
        </w:rPr>
        <w:t xml:space="preserve"> </w:t>
      </w:r>
      <w:r w:rsidRPr="00A81964">
        <w:rPr>
          <w:rFonts w:hint="cs"/>
          <w:b/>
          <w:bCs/>
          <w:rtl/>
        </w:rPr>
        <w:t>31.3.25, רשות המיסים פרסמה באתר הרשות את הנוהל בנושא רק ב</w:t>
      </w:r>
      <w:r>
        <w:rPr>
          <w:rFonts w:hint="cs"/>
          <w:b/>
          <w:bCs/>
          <w:rtl/>
        </w:rPr>
        <w:t>-2.3.25.</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eastAsia"/>
          <w:b/>
          <w:bCs/>
          <w:rtl/>
        </w:rPr>
        <w:t>התקופה</w:t>
      </w:r>
      <w:r w:rsidRPr="00A81964">
        <w:rPr>
          <w:b/>
          <w:bCs/>
          <w:rtl/>
        </w:rPr>
        <w:t xml:space="preserve"> </w:t>
      </w:r>
      <w:r w:rsidRPr="00A81964">
        <w:rPr>
          <w:rFonts w:hint="eastAsia"/>
          <w:b/>
          <w:bCs/>
          <w:rtl/>
        </w:rPr>
        <w:t>הארוכה</w:t>
      </w:r>
      <w:r w:rsidRPr="00A81964">
        <w:rPr>
          <w:b/>
          <w:bCs/>
          <w:rtl/>
        </w:rPr>
        <w:t xml:space="preserve"> </w:t>
      </w:r>
      <w:r w:rsidRPr="00A81964">
        <w:rPr>
          <w:rFonts w:hint="eastAsia"/>
          <w:b/>
          <w:bCs/>
          <w:rtl/>
        </w:rPr>
        <w:t>שחלפה</w:t>
      </w:r>
      <w:r w:rsidRPr="00A81964">
        <w:rPr>
          <w:b/>
          <w:bCs/>
          <w:rtl/>
        </w:rPr>
        <w:t xml:space="preserve"> </w:t>
      </w:r>
      <w:r w:rsidRPr="00A81964">
        <w:rPr>
          <w:rFonts w:hint="eastAsia"/>
          <w:b/>
          <w:bCs/>
          <w:rtl/>
        </w:rPr>
        <w:t>עד</w:t>
      </w:r>
      <w:r w:rsidRPr="00A81964">
        <w:rPr>
          <w:b/>
          <w:bCs/>
          <w:rtl/>
        </w:rPr>
        <w:t xml:space="preserve"> </w:t>
      </w:r>
      <w:r w:rsidRPr="00A81964">
        <w:rPr>
          <w:rFonts w:hint="eastAsia"/>
          <w:b/>
          <w:bCs/>
          <w:rtl/>
        </w:rPr>
        <w:t>לפרסום</w:t>
      </w:r>
      <w:r w:rsidRPr="00A81964">
        <w:rPr>
          <w:b/>
          <w:bCs/>
          <w:rtl/>
        </w:rPr>
        <w:t xml:space="preserve"> </w:t>
      </w:r>
      <w:r w:rsidRPr="00A81964">
        <w:rPr>
          <w:rFonts w:hint="eastAsia"/>
          <w:b/>
          <w:bCs/>
          <w:rtl/>
        </w:rPr>
        <w:t>החלטת</w:t>
      </w:r>
      <w:r w:rsidRPr="00A81964">
        <w:rPr>
          <w:b/>
          <w:bCs/>
          <w:rtl/>
        </w:rPr>
        <w:t xml:space="preserve"> </w:t>
      </w:r>
      <w:r w:rsidRPr="00A81964">
        <w:rPr>
          <w:rFonts w:hint="eastAsia"/>
          <w:b/>
          <w:bCs/>
          <w:rtl/>
        </w:rPr>
        <w:t>הממשלה</w:t>
      </w:r>
      <w:r w:rsidRPr="00A81964">
        <w:rPr>
          <w:b/>
          <w:bCs/>
          <w:rtl/>
        </w:rPr>
        <w:t xml:space="preserve"> </w:t>
      </w:r>
      <w:r w:rsidRPr="00A81964">
        <w:rPr>
          <w:rFonts w:hint="eastAsia"/>
          <w:b/>
          <w:bCs/>
          <w:rtl/>
        </w:rPr>
        <w:t>למתן</w:t>
      </w:r>
      <w:r w:rsidRPr="00A81964">
        <w:rPr>
          <w:b/>
          <w:bCs/>
          <w:rtl/>
        </w:rPr>
        <w:t xml:space="preserve"> מענק</w:t>
      </w:r>
      <w:r w:rsidRPr="00A81964">
        <w:rPr>
          <w:rFonts w:hint="eastAsia"/>
          <w:b/>
          <w:bCs/>
          <w:rtl/>
        </w:rPr>
        <w:t>י</w:t>
      </w:r>
      <w:r w:rsidRPr="00A81964">
        <w:rPr>
          <w:b/>
          <w:bCs/>
          <w:rtl/>
        </w:rPr>
        <w:t xml:space="preserve"> עזובה </w:t>
      </w:r>
      <w:r w:rsidRPr="00A81964">
        <w:rPr>
          <w:rFonts w:hint="eastAsia"/>
          <w:b/>
          <w:bCs/>
          <w:rtl/>
        </w:rPr>
        <w:t>יצרה</w:t>
      </w:r>
      <w:r w:rsidRPr="00A81964">
        <w:rPr>
          <w:b/>
          <w:bCs/>
          <w:rtl/>
        </w:rPr>
        <w:t xml:space="preserve"> תחושת חוסר וודאות </w:t>
      </w:r>
      <w:r w:rsidRPr="00A81964">
        <w:rPr>
          <w:rFonts w:hint="eastAsia"/>
          <w:b/>
          <w:bCs/>
          <w:rtl/>
        </w:rPr>
        <w:t>לתושבים</w:t>
      </w:r>
      <w:r w:rsidRPr="00A81964">
        <w:rPr>
          <w:b/>
          <w:bCs/>
          <w:rtl/>
        </w:rPr>
        <w:t xml:space="preserve"> </w:t>
      </w:r>
      <w:r w:rsidRPr="00A81964">
        <w:rPr>
          <w:rFonts w:hint="eastAsia"/>
          <w:b/>
          <w:bCs/>
          <w:rtl/>
        </w:rPr>
        <w:t>שנעקרו</w:t>
      </w:r>
      <w:r w:rsidRPr="00A81964">
        <w:rPr>
          <w:b/>
          <w:bCs/>
          <w:rtl/>
        </w:rPr>
        <w:t xml:space="preserve"> </w:t>
      </w:r>
      <w:r w:rsidRPr="00A81964">
        <w:rPr>
          <w:rFonts w:hint="eastAsia"/>
          <w:b/>
          <w:bCs/>
          <w:rtl/>
        </w:rPr>
        <w:t>מבתיהם</w:t>
      </w:r>
      <w:r w:rsidRPr="00A81964">
        <w:rPr>
          <w:b/>
          <w:bCs/>
          <w:rtl/>
        </w:rPr>
        <w:t xml:space="preserve"> בשל המצב הביטחוני </w:t>
      </w:r>
      <w:r w:rsidRPr="00A81964">
        <w:rPr>
          <w:rFonts w:hint="eastAsia"/>
          <w:b/>
          <w:bCs/>
          <w:rtl/>
        </w:rPr>
        <w:t>ו</w:t>
      </w:r>
      <w:r w:rsidRPr="00A81964">
        <w:rPr>
          <w:b/>
          <w:bCs/>
          <w:rtl/>
        </w:rPr>
        <w:t xml:space="preserve">דאגה רבה לעתידם הכלכלי והאישי.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מומלץ כי משרד האוצר ורשות המיסים </w:t>
      </w:r>
      <w:r w:rsidRPr="00A81964">
        <w:rPr>
          <w:rFonts w:hint="eastAsia"/>
          <w:b/>
          <w:bCs/>
          <w:rtl/>
        </w:rPr>
        <w:t>יבצעו</w:t>
      </w:r>
      <w:r w:rsidRPr="00A81964">
        <w:rPr>
          <w:b/>
          <w:bCs/>
          <w:rtl/>
        </w:rPr>
        <w:t xml:space="preserve"> </w:t>
      </w:r>
      <w:r w:rsidRPr="00A81964">
        <w:rPr>
          <w:rFonts w:hint="eastAsia"/>
          <w:b/>
          <w:bCs/>
          <w:rtl/>
        </w:rPr>
        <w:t>הליך</w:t>
      </w:r>
      <w:r w:rsidRPr="00A81964">
        <w:rPr>
          <w:b/>
          <w:bCs/>
          <w:rtl/>
        </w:rPr>
        <w:t xml:space="preserve"> </w:t>
      </w:r>
      <w:r w:rsidRPr="00A81964">
        <w:rPr>
          <w:rFonts w:hint="eastAsia"/>
          <w:b/>
          <w:bCs/>
          <w:rtl/>
        </w:rPr>
        <w:t>הפקת</w:t>
      </w:r>
      <w:r w:rsidRPr="00A81964">
        <w:rPr>
          <w:b/>
          <w:bCs/>
          <w:rtl/>
        </w:rPr>
        <w:t xml:space="preserve"> </w:t>
      </w:r>
      <w:r w:rsidRPr="00A81964">
        <w:rPr>
          <w:rFonts w:hint="eastAsia"/>
          <w:b/>
          <w:bCs/>
          <w:rtl/>
        </w:rPr>
        <w:t>לקחים</w:t>
      </w:r>
      <w:r w:rsidRPr="00A81964">
        <w:rPr>
          <w:b/>
          <w:bCs/>
          <w:rtl/>
        </w:rPr>
        <w:t xml:space="preserve"> </w:t>
      </w:r>
      <w:r w:rsidRPr="00A81964">
        <w:rPr>
          <w:rFonts w:hint="eastAsia"/>
          <w:b/>
          <w:bCs/>
          <w:rtl/>
        </w:rPr>
        <w:t>ו</w:t>
      </w:r>
      <w:r w:rsidRPr="00A81964">
        <w:rPr>
          <w:rFonts w:hint="cs"/>
          <w:b/>
          <w:bCs/>
          <w:rtl/>
        </w:rPr>
        <w:t xml:space="preserve">בהתאם לצורך </w:t>
      </w:r>
      <w:r w:rsidRPr="00A81964">
        <w:rPr>
          <w:rFonts w:hint="eastAsia"/>
          <w:b/>
          <w:bCs/>
          <w:rtl/>
        </w:rPr>
        <w:t>י</w:t>
      </w:r>
      <w:r w:rsidRPr="00A81964">
        <w:rPr>
          <w:rFonts w:hint="cs"/>
          <w:b/>
          <w:bCs/>
          <w:rtl/>
        </w:rPr>
        <w:t>מסדו</w:t>
      </w:r>
      <w:r w:rsidRPr="00A81964">
        <w:rPr>
          <w:b/>
          <w:bCs/>
          <w:rtl/>
        </w:rPr>
        <w:t xml:space="preserve"> </w:t>
      </w:r>
      <w:r>
        <w:rPr>
          <w:rFonts w:hint="cs"/>
          <w:b/>
          <w:bCs/>
          <w:rtl/>
        </w:rPr>
        <w:t>ה</w:t>
      </w:r>
      <w:r w:rsidRPr="00A81964">
        <w:rPr>
          <w:b/>
          <w:bCs/>
          <w:rtl/>
        </w:rPr>
        <w:t>סדרה</w:t>
      </w:r>
      <w:r w:rsidRPr="00A81964">
        <w:rPr>
          <w:rFonts w:hint="cs"/>
          <w:b/>
          <w:bCs/>
          <w:rtl/>
        </w:rPr>
        <w:t xml:space="preserve"> קבועה של </w:t>
      </w:r>
      <w:r w:rsidRPr="00A81964">
        <w:rPr>
          <w:rFonts w:hint="eastAsia"/>
          <w:b/>
          <w:bCs/>
          <w:rtl/>
        </w:rPr>
        <w:t>מנגנון</w:t>
      </w:r>
      <w:r w:rsidRPr="00A81964">
        <w:rPr>
          <w:b/>
          <w:bCs/>
          <w:rtl/>
        </w:rPr>
        <w:t xml:space="preserve"> </w:t>
      </w:r>
      <w:r w:rsidRPr="00A81964">
        <w:rPr>
          <w:rFonts w:hint="eastAsia"/>
          <w:b/>
          <w:bCs/>
          <w:rtl/>
        </w:rPr>
        <w:t>יעיל</w:t>
      </w:r>
      <w:r w:rsidRPr="00A81964">
        <w:rPr>
          <w:b/>
          <w:bCs/>
          <w:rtl/>
        </w:rPr>
        <w:t xml:space="preserve"> </w:t>
      </w:r>
      <w:r w:rsidRPr="00A81964">
        <w:rPr>
          <w:rFonts w:hint="eastAsia"/>
          <w:b/>
          <w:bCs/>
          <w:rtl/>
        </w:rPr>
        <w:t>למענקי</w:t>
      </w:r>
      <w:r w:rsidRPr="00A81964">
        <w:rPr>
          <w:rFonts w:hint="cs"/>
          <w:b/>
          <w:bCs/>
          <w:rtl/>
        </w:rPr>
        <w:t xml:space="preserve"> עזובה למקרי חרום בעת פינוי נרחב של אוכלוסייה, במסגרת קרן </w:t>
      </w:r>
      <w:r w:rsidRPr="00A81964">
        <w:rPr>
          <w:rFonts w:hint="eastAsia"/>
          <w:b/>
          <w:bCs/>
          <w:rtl/>
        </w:rPr>
        <w:t>הפיצויים</w:t>
      </w:r>
      <w:r w:rsidRPr="00A81964">
        <w:rPr>
          <w:b/>
          <w:bCs/>
          <w:rtl/>
        </w:rPr>
        <w:t xml:space="preserve"> או במסגרת ח</w:t>
      </w:r>
      <w:r w:rsidRPr="00A81964">
        <w:rPr>
          <w:rFonts w:hint="cs"/>
          <w:b/>
          <w:bCs/>
          <w:rtl/>
        </w:rPr>
        <w:t>ו</w:t>
      </w:r>
      <w:r w:rsidRPr="00A81964">
        <w:rPr>
          <w:rFonts w:hint="eastAsia"/>
          <w:b/>
          <w:bCs/>
          <w:rtl/>
        </w:rPr>
        <w:t>קית</w:t>
      </w:r>
      <w:r w:rsidRPr="00A81964">
        <w:rPr>
          <w:b/>
          <w:bCs/>
          <w:rtl/>
        </w:rPr>
        <w:t xml:space="preserve"> </w:t>
      </w:r>
      <w:r w:rsidRPr="00A81964">
        <w:rPr>
          <w:rFonts w:hint="eastAsia"/>
          <w:b/>
          <w:bCs/>
          <w:rtl/>
        </w:rPr>
        <w:t>אחרת</w:t>
      </w:r>
      <w:r w:rsidRPr="00A81964">
        <w:rPr>
          <w:rFonts w:hint="cs"/>
          <w:b/>
          <w:bCs/>
          <w:rtl/>
        </w:rPr>
        <w:t xml:space="preserve"> ויפרסמו זאת לציבור באופן שוטף. </w:t>
      </w:r>
    </w:p>
    <w:p w:rsidR="006252C4" w:rsidRPr="00A81964" w:rsidRDefault="006252C4" w:rsidP="006252C4">
      <w:pPr>
        <w:spacing w:line="269" w:lineRule="auto"/>
        <w:rPr>
          <w:rtl/>
        </w:rPr>
      </w:pPr>
    </w:p>
    <w:p w:rsidR="006252C4" w:rsidRPr="00A81964" w:rsidRDefault="006252C4" w:rsidP="006252C4">
      <w:pPr>
        <w:pStyle w:val="31"/>
        <w:spacing w:before="0" w:line="269" w:lineRule="auto"/>
        <w:rPr>
          <w:rtl/>
        </w:rPr>
      </w:pPr>
      <w:r w:rsidRPr="00A81964">
        <w:rPr>
          <w:rFonts w:hint="cs"/>
          <w:rtl/>
        </w:rPr>
        <w:t xml:space="preserve">ניתוח נתונים והצגתם במערכת </w:t>
      </w:r>
      <w:proofErr w:type="spellStart"/>
      <w:r w:rsidRPr="00A81964">
        <w:rPr>
          <w:rFonts w:hint="cs"/>
          <w:rtl/>
        </w:rPr>
        <w:t>פפ"א</w:t>
      </w:r>
      <w:proofErr w:type="spellEnd"/>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כדי להעניק שירות יעיל ומקצועי, גוף ציבורי המשרת ציבור רחב נדרש, בין היתר, להסתמך על מערכות מידע אשר יאפשרו לו להזין את המידע מהמקורות הרלוונטיים, לאחסן אותו במאגר נתונים ולאפשר גישה מיטבית אליו לצורך מעקב אחריו ועדכון שלו עם התקדמות תהליך מתן השירות (להלן - המערכת או מערכת המידע).</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יכולת</w:t>
      </w:r>
      <w:r w:rsidRPr="00A81964">
        <w:rPr>
          <w:rFonts w:hint="cs"/>
          <w:rtl/>
        </w:rPr>
        <w:t>ה</w:t>
      </w:r>
      <w:r w:rsidRPr="00A81964">
        <w:rPr>
          <w:rtl/>
        </w:rPr>
        <w:t xml:space="preserve"> </w:t>
      </w:r>
      <w:r w:rsidRPr="00A81964">
        <w:rPr>
          <w:rFonts w:hint="cs"/>
          <w:rtl/>
        </w:rPr>
        <w:t>של ה</w:t>
      </w:r>
      <w:r w:rsidRPr="00A81964">
        <w:rPr>
          <w:rtl/>
        </w:rPr>
        <w:t xml:space="preserve">מערכת להציג מידע מרוכז ודוחות מותאמים לפי בקשה היא </w:t>
      </w:r>
      <w:r w:rsidRPr="00A81964">
        <w:rPr>
          <w:rFonts w:hint="cs"/>
          <w:rtl/>
        </w:rPr>
        <w:t>הכרחית</w:t>
      </w:r>
      <w:r w:rsidRPr="00A81964">
        <w:rPr>
          <w:rtl/>
        </w:rPr>
        <w:t xml:space="preserve"> למנהלי</w:t>
      </w:r>
      <w:r w:rsidRPr="00A81964">
        <w:rPr>
          <w:rFonts w:hint="cs"/>
          <w:rtl/>
        </w:rPr>
        <w:t xml:space="preserve"> הגוף הציבורי</w:t>
      </w:r>
      <w:r w:rsidRPr="00A81964">
        <w:rPr>
          <w:rtl/>
        </w:rPr>
        <w:t xml:space="preserve">, כיוון שהיא מאפשרת להם לקבל תמונה כוללת וברורה של פעילות </w:t>
      </w:r>
      <w:r w:rsidRPr="00A81964">
        <w:rPr>
          <w:rFonts w:hint="cs"/>
          <w:rtl/>
        </w:rPr>
        <w:t>הגוף. הדבר נדרש ביתר שאת כשמדובר בגוף המעניק שירות לציבור רחב, פעילות הכרוכה בניהול מידע בהיקפים גדולים, ובפרט בעיתות חירום</w:t>
      </w:r>
      <w:r w:rsidRPr="00A81964">
        <w:rPr>
          <w:rtl/>
        </w:rPr>
        <w:t>. כאשר המידע מוצג בצורה מסודרת, המנהלים יכולים לזהות דפוסים, מגמות ו</w:t>
      </w:r>
      <w:r w:rsidRPr="00A81964">
        <w:rPr>
          <w:rFonts w:hint="cs"/>
          <w:rtl/>
        </w:rPr>
        <w:t>ליקויים</w:t>
      </w:r>
      <w:r w:rsidRPr="00A81964">
        <w:rPr>
          <w:rtl/>
        </w:rPr>
        <w:t xml:space="preserve"> פוטנציאלי</w:t>
      </w:r>
      <w:r w:rsidRPr="00A81964">
        <w:rPr>
          <w:rFonts w:hint="cs"/>
          <w:rtl/>
        </w:rPr>
        <w:t>ים</w:t>
      </w:r>
      <w:r w:rsidRPr="00A81964">
        <w:rPr>
          <w:rtl/>
        </w:rPr>
        <w:t xml:space="preserve"> </w:t>
      </w:r>
      <w:r w:rsidRPr="00A81964">
        <w:rPr>
          <w:rFonts w:hint="cs"/>
          <w:rtl/>
        </w:rPr>
        <w:t>בשלב מוקדם יותר. כמו כן, יכולת זו עשויה להביא</w:t>
      </w:r>
      <w:r w:rsidRPr="00A81964">
        <w:rPr>
          <w:rtl/>
        </w:rPr>
        <w:t xml:space="preserve"> </w:t>
      </w:r>
      <w:r w:rsidRPr="00A81964">
        <w:rPr>
          <w:rFonts w:hint="cs"/>
          <w:rtl/>
        </w:rPr>
        <w:t>ל</w:t>
      </w:r>
      <w:r w:rsidRPr="00A81964">
        <w:rPr>
          <w:rtl/>
        </w:rPr>
        <w:t>שיפור בתהליך קבלת ההחלטות</w:t>
      </w:r>
      <w:r w:rsidRPr="00A81964">
        <w:rPr>
          <w:rFonts w:hint="cs"/>
          <w:rtl/>
        </w:rPr>
        <w:t xml:space="preserve"> של הגוף</w:t>
      </w:r>
      <w:r w:rsidRPr="00A81964">
        <w:rPr>
          <w:rtl/>
        </w:rPr>
        <w:t xml:space="preserve"> </w:t>
      </w:r>
      <w:r w:rsidRPr="00A81964">
        <w:rPr>
          <w:rFonts w:hint="cs"/>
          <w:rtl/>
        </w:rPr>
        <w:t>ו</w:t>
      </w:r>
      <w:r w:rsidRPr="00A81964">
        <w:rPr>
          <w:rtl/>
        </w:rPr>
        <w:t>ביעילות</w:t>
      </w:r>
      <w:r w:rsidRPr="00A81964">
        <w:rPr>
          <w:rFonts w:hint="cs"/>
          <w:rtl/>
        </w:rPr>
        <w:t xml:space="preserve"> השירות הניתן לציבור</w:t>
      </w:r>
      <w:r w:rsidRPr="00A81964">
        <w:rPr>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קרן הפיצויים, כגוף האחראי על הטיפול בתביעות לפיצויים בשל נזקים ישירים, עשויה להידרש לטפל במקביל בעשרות אלפי תביעות בתקופה של מספר חודשים. כך, מתחילת מלחמת חרבות ברזל ועד סוף שנת 2023 הוגשו </w:t>
      </w:r>
      <w:hyperlink r:id="rId26" w:history="1">
        <w:r w:rsidRPr="007A3011">
          <w:rPr>
            <w:rFonts w:hint="cs"/>
            <w:rtl/>
          </w:rPr>
          <w:t xml:space="preserve">31,000 </w:t>
        </w:r>
      </w:hyperlink>
      <w:r w:rsidRPr="00A81964">
        <w:rPr>
          <w:rFonts w:hint="cs"/>
          <w:rtl/>
        </w:rPr>
        <w:t>תביעות לפיצוי על נזק ישיר בסך מאות מיליוני ש"ח.</w:t>
      </w:r>
    </w:p>
    <w:p w:rsidR="006252C4" w:rsidRDefault="006252C4" w:rsidP="006252C4">
      <w:pPr>
        <w:pStyle w:val="a8"/>
        <w:spacing w:line="269" w:lineRule="auto"/>
        <w:rPr>
          <w:rtl/>
        </w:rPr>
      </w:pPr>
    </w:p>
    <w:p w:rsidR="006252C4" w:rsidRPr="0016480E" w:rsidRDefault="006252C4" w:rsidP="006252C4">
      <w:pPr>
        <w:spacing w:line="269" w:lineRule="auto"/>
        <w:rPr>
          <w:rtl/>
        </w:rPr>
      </w:pPr>
      <w:r w:rsidRPr="0016480E">
        <w:rPr>
          <w:rFonts w:hint="eastAsia"/>
          <w:rtl/>
        </w:rPr>
        <w:t>מערכת</w:t>
      </w:r>
      <w:r w:rsidRPr="0016480E">
        <w:rPr>
          <w:rtl/>
        </w:rPr>
        <w:t xml:space="preserve"> </w:t>
      </w:r>
      <w:proofErr w:type="spellStart"/>
      <w:r w:rsidRPr="0016480E">
        <w:rPr>
          <w:rFonts w:hint="eastAsia"/>
          <w:rtl/>
        </w:rPr>
        <w:t>פפ</w:t>
      </w:r>
      <w:r w:rsidRPr="0016480E">
        <w:rPr>
          <w:rtl/>
        </w:rPr>
        <w:t>"א</w:t>
      </w:r>
      <w:proofErr w:type="spellEnd"/>
      <w:r w:rsidRPr="0016480E">
        <w:rPr>
          <w:rtl/>
        </w:rPr>
        <w:t xml:space="preserve"> (פיצוי פעולות איבה) היא מערכת המידע שבה עושה שימוש קרן הפיצויים לצורך ניהול הטיפול בתביעות לפיצוי בגין נזקים ישירים. בעת הגשת תביעה נפתח תיק תביעה שבו מוזנים פרטי התביעה, פרטים אישיים של בעל הנכס הניזוק ומידע רלוונטי נוסף. כמו כן, במהלך הטיפול בתביעה מעודכן תיק התביעה ומצורפים אליו מסמכים ופרטי מידע נוספים.</w:t>
      </w:r>
    </w:p>
    <w:p w:rsidR="006252C4" w:rsidRDefault="006252C4" w:rsidP="006252C4">
      <w:pPr>
        <w:pStyle w:val="a8"/>
        <w:spacing w:line="269" w:lineRule="auto"/>
        <w:rPr>
          <w:rtl/>
        </w:rPr>
      </w:pPr>
    </w:p>
    <w:p w:rsidR="006252C4" w:rsidRPr="0016480E" w:rsidRDefault="006252C4" w:rsidP="006252C4">
      <w:pPr>
        <w:spacing w:line="269" w:lineRule="auto"/>
        <w:rPr>
          <w:rtl/>
        </w:rPr>
      </w:pPr>
      <w:r w:rsidRPr="0016480E">
        <w:rPr>
          <w:rFonts w:hint="eastAsia"/>
          <w:rtl/>
        </w:rPr>
        <w:t>נוסף</w:t>
      </w:r>
      <w:r w:rsidRPr="0016480E">
        <w:rPr>
          <w:rtl/>
        </w:rPr>
        <w:t xml:space="preserve"> על מערכת </w:t>
      </w:r>
      <w:proofErr w:type="spellStart"/>
      <w:r w:rsidRPr="0016480E">
        <w:rPr>
          <w:rFonts w:hint="eastAsia"/>
          <w:rtl/>
        </w:rPr>
        <w:t>פפ</w:t>
      </w:r>
      <w:r w:rsidRPr="0016480E">
        <w:rPr>
          <w:rtl/>
        </w:rPr>
        <w:t>"א</w:t>
      </w:r>
      <w:proofErr w:type="spellEnd"/>
      <w:r w:rsidRPr="0016480E">
        <w:rPr>
          <w:rtl/>
        </w:rPr>
        <w:t xml:space="preserve">, קרן הפיצויים עושה שימוש במערכת בינה עסקית (להלן - מערכת </w:t>
      </w:r>
      <w:r w:rsidRPr="0016480E">
        <w:t>BI</w:t>
      </w:r>
      <w:r w:rsidRPr="0016480E">
        <w:rPr>
          <w:rtl/>
        </w:rPr>
        <w:t xml:space="preserve">), </w:t>
      </w:r>
      <w:r w:rsidRPr="0016480E">
        <w:rPr>
          <w:rFonts w:hint="eastAsia"/>
          <w:rtl/>
        </w:rPr>
        <w:t>המאפשרת</w:t>
      </w:r>
      <w:r w:rsidRPr="0016480E">
        <w:rPr>
          <w:rtl/>
        </w:rPr>
        <w:t xml:space="preserve"> </w:t>
      </w:r>
      <w:r w:rsidRPr="0016480E">
        <w:rPr>
          <w:rFonts w:hint="eastAsia"/>
          <w:rtl/>
        </w:rPr>
        <w:t>לרכז</w:t>
      </w:r>
      <w:r w:rsidRPr="0016480E">
        <w:rPr>
          <w:rtl/>
        </w:rPr>
        <w:t xml:space="preserve"> </w:t>
      </w:r>
      <w:r w:rsidRPr="0016480E">
        <w:rPr>
          <w:rFonts w:hint="eastAsia"/>
          <w:rtl/>
        </w:rPr>
        <w:t>מידע</w:t>
      </w:r>
      <w:r w:rsidRPr="0016480E">
        <w:rPr>
          <w:rtl/>
        </w:rPr>
        <w:t xml:space="preserve"> </w:t>
      </w:r>
      <w:r w:rsidRPr="0016480E">
        <w:rPr>
          <w:rFonts w:hint="eastAsia"/>
          <w:rtl/>
        </w:rPr>
        <w:t>ולהציג</w:t>
      </w:r>
      <w:r w:rsidRPr="0016480E">
        <w:rPr>
          <w:rtl/>
        </w:rPr>
        <w:t xml:space="preserve"> </w:t>
      </w:r>
      <w:r w:rsidRPr="0016480E">
        <w:rPr>
          <w:rFonts w:hint="eastAsia"/>
          <w:rtl/>
        </w:rPr>
        <w:t>דוחות</w:t>
      </w:r>
      <w:r w:rsidRPr="0016480E">
        <w:rPr>
          <w:rtl/>
        </w:rPr>
        <w:t xml:space="preserve"> </w:t>
      </w:r>
      <w:r w:rsidRPr="0016480E">
        <w:rPr>
          <w:rFonts w:hint="eastAsia"/>
          <w:rtl/>
        </w:rPr>
        <w:t>בנוגע</w:t>
      </w:r>
      <w:r w:rsidRPr="0016480E">
        <w:rPr>
          <w:rtl/>
        </w:rPr>
        <w:t xml:space="preserve"> </w:t>
      </w:r>
      <w:r w:rsidRPr="0016480E">
        <w:rPr>
          <w:rFonts w:hint="eastAsia"/>
          <w:rtl/>
        </w:rPr>
        <w:t>לתביעות</w:t>
      </w:r>
      <w:r w:rsidRPr="0016480E">
        <w:rPr>
          <w:rtl/>
        </w:rPr>
        <w:t xml:space="preserve"> </w:t>
      </w:r>
      <w:r w:rsidRPr="0016480E">
        <w:rPr>
          <w:rFonts w:hint="eastAsia"/>
          <w:rtl/>
        </w:rPr>
        <w:t>שהוגשו</w:t>
      </w:r>
      <w:r w:rsidRPr="0016480E">
        <w:rPr>
          <w:rtl/>
        </w:rPr>
        <w:t xml:space="preserve">, </w:t>
      </w:r>
      <w:r w:rsidRPr="0016480E">
        <w:rPr>
          <w:rFonts w:hint="eastAsia"/>
          <w:rtl/>
        </w:rPr>
        <w:t>כגון</w:t>
      </w:r>
      <w:r w:rsidRPr="0016480E">
        <w:rPr>
          <w:rtl/>
        </w:rPr>
        <w:t xml:space="preserve"> </w:t>
      </w:r>
      <w:r w:rsidRPr="0016480E">
        <w:rPr>
          <w:rFonts w:hint="eastAsia"/>
          <w:rtl/>
        </w:rPr>
        <w:t>דוחות</w:t>
      </w:r>
      <w:r w:rsidRPr="0016480E">
        <w:rPr>
          <w:rtl/>
        </w:rPr>
        <w:t xml:space="preserve"> </w:t>
      </w:r>
      <w:r w:rsidRPr="0016480E">
        <w:rPr>
          <w:rFonts w:hint="eastAsia"/>
          <w:rtl/>
        </w:rPr>
        <w:t>המציגים</w:t>
      </w:r>
      <w:r w:rsidRPr="0016480E">
        <w:rPr>
          <w:rtl/>
        </w:rPr>
        <w:t xml:space="preserve"> </w:t>
      </w:r>
      <w:r w:rsidRPr="0016480E">
        <w:rPr>
          <w:rFonts w:hint="eastAsia"/>
          <w:rtl/>
        </w:rPr>
        <w:t>את</w:t>
      </w:r>
      <w:r w:rsidRPr="0016480E">
        <w:rPr>
          <w:rtl/>
        </w:rPr>
        <w:t xml:space="preserve"> </w:t>
      </w:r>
      <w:r w:rsidRPr="0016480E">
        <w:rPr>
          <w:rFonts w:hint="eastAsia"/>
          <w:rtl/>
        </w:rPr>
        <w:t>התפלגות</w:t>
      </w:r>
      <w:r w:rsidRPr="0016480E">
        <w:rPr>
          <w:rtl/>
        </w:rPr>
        <w:t xml:space="preserve"> </w:t>
      </w:r>
      <w:r w:rsidRPr="0016480E">
        <w:rPr>
          <w:rFonts w:hint="eastAsia"/>
          <w:rtl/>
        </w:rPr>
        <w:t>התביעות</w:t>
      </w:r>
      <w:r w:rsidRPr="0016480E">
        <w:rPr>
          <w:rtl/>
        </w:rPr>
        <w:t xml:space="preserve"> </w:t>
      </w:r>
      <w:r w:rsidRPr="0016480E">
        <w:rPr>
          <w:rFonts w:hint="eastAsia"/>
          <w:rtl/>
        </w:rPr>
        <w:t>שהוגשו</w:t>
      </w:r>
      <w:r w:rsidRPr="0016480E">
        <w:rPr>
          <w:rtl/>
        </w:rPr>
        <w:t xml:space="preserve"> </w:t>
      </w:r>
      <w:r w:rsidRPr="0016480E">
        <w:rPr>
          <w:rFonts w:hint="eastAsia"/>
          <w:rtl/>
        </w:rPr>
        <w:t>בין</w:t>
      </w:r>
      <w:r w:rsidRPr="0016480E">
        <w:rPr>
          <w:rtl/>
        </w:rPr>
        <w:t xml:space="preserve"> </w:t>
      </w:r>
      <w:r w:rsidRPr="0016480E">
        <w:rPr>
          <w:rFonts w:hint="eastAsia"/>
          <w:rtl/>
        </w:rPr>
        <w:t>יישובים</w:t>
      </w:r>
      <w:r w:rsidRPr="0016480E">
        <w:rPr>
          <w:rtl/>
        </w:rPr>
        <w:t xml:space="preserve"> </w:t>
      </w:r>
      <w:r w:rsidRPr="0016480E">
        <w:rPr>
          <w:rFonts w:hint="eastAsia"/>
          <w:rtl/>
        </w:rPr>
        <w:t>שונים</w:t>
      </w:r>
      <w:r w:rsidRPr="0016480E">
        <w:rPr>
          <w:rtl/>
        </w:rPr>
        <w:t xml:space="preserve"> </w:t>
      </w:r>
      <w:r w:rsidRPr="0016480E">
        <w:rPr>
          <w:rFonts w:hint="eastAsia"/>
          <w:rtl/>
        </w:rPr>
        <w:t>בארץ</w:t>
      </w:r>
      <w:r w:rsidRPr="0016480E">
        <w:rPr>
          <w:rtl/>
        </w:rPr>
        <w:t xml:space="preserve"> </w:t>
      </w:r>
      <w:r w:rsidRPr="0016480E">
        <w:rPr>
          <w:rFonts w:hint="eastAsia"/>
          <w:rtl/>
        </w:rPr>
        <w:t>או</w:t>
      </w:r>
      <w:r w:rsidRPr="0016480E">
        <w:rPr>
          <w:rtl/>
        </w:rPr>
        <w:t xml:space="preserve"> </w:t>
      </w:r>
      <w:r w:rsidRPr="0016480E">
        <w:rPr>
          <w:rFonts w:hint="eastAsia"/>
          <w:rtl/>
        </w:rPr>
        <w:t>את</w:t>
      </w:r>
      <w:r w:rsidRPr="0016480E">
        <w:rPr>
          <w:rtl/>
        </w:rPr>
        <w:t xml:space="preserve"> </w:t>
      </w:r>
      <w:r w:rsidRPr="0016480E">
        <w:rPr>
          <w:rFonts w:hint="eastAsia"/>
          <w:rtl/>
        </w:rPr>
        <w:t>סך</w:t>
      </w:r>
      <w:r w:rsidRPr="0016480E">
        <w:rPr>
          <w:rtl/>
        </w:rPr>
        <w:t xml:space="preserve"> </w:t>
      </w:r>
      <w:r w:rsidRPr="0016480E">
        <w:rPr>
          <w:rFonts w:hint="eastAsia"/>
          <w:rtl/>
        </w:rPr>
        <w:t>הפיצויים</w:t>
      </w:r>
      <w:r w:rsidRPr="0016480E">
        <w:rPr>
          <w:rtl/>
        </w:rPr>
        <w:t xml:space="preserve"> </w:t>
      </w:r>
      <w:r w:rsidRPr="0016480E">
        <w:rPr>
          <w:rFonts w:hint="eastAsia"/>
          <w:rtl/>
        </w:rPr>
        <w:t>ששולמו</w:t>
      </w:r>
      <w:r w:rsidRPr="0016480E">
        <w:rPr>
          <w:rtl/>
        </w:rPr>
        <w:t xml:space="preserve"> </w:t>
      </w:r>
      <w:r w:rsidRPr="0016480E">
        <w:rPr>
          <w:rFonts w:hint="eastAsia"/>
          <w:rtl/>
        </w:rPr>
        <w:t>בתקופה</w:t>
      </w:r>
      <w:r w:rsidRPr="0016480E">
        <w:rPr>
          <w:rtl/>
        </w:rPr>
        <w:t xml:space="preserve"> </w:t>
      </w:r>
      <w:r w:rsidRPr="0016480E">
        <w:rPr>
          <w:rFonts w:hint="eastAsia"/>
          <w:rtl/>
        </w:rPr>
        <w:t>מסוימת</w:t>
      </w:r>
      <w:r w:rsidRPr="0016480E">
        <w:rPr>
          <w:rtl/>
        </w:rPr>
        <w:t xml:space="preserve">, </w:t>
      </w:r>
      <w:r w:rsidRPr="0016480E">
        <w:rPr>
          <w:rFonts w:hint="eastAsia"/>
          <w:rtl/>
        </w:rPr>
        <w:t>תוך</w:t>
      </w:r>
      <w:r w:rsidRPr="0016480E">
        <w:rPr>
          <w:rtl/>
        </w:rPr>
        <w:t xml:space="preserve"> </w:t>
      </w:r>
      <w:r w:rsidRPr="0016480E">
        <w:rPr>
          <w:rFonts w:hint="eastAsia"/>
          <w:rtl/>
        </w:rPr>
        <w:t>חלוקה</w:t>
      </w:r>
      <w:r w:rsidRPr="0016480E">
        <w:rPr>
          <w:rtl/>
        </w:rPr>
        <w:t xml:space="preserve"> </w:t>
      </w:r>
      <w:r w:rsidRPr="0016480E">
        <w:rPr>
          <w:rFonts w:hint="eastAsia"/>
          <w:rtl/>
        </w:rPr>
        <w:t>בין</w:t>
      </w:r>
      <w:r w:rsidRPr="0016480E">
        <w:rPr>
          <w:rtl/>
        </w:rPr>
        <w:t xml:space="preserve"> </w:t>
      </w:r>
      <w:r w:rsidRPr="0016480E">
        <w:rPr>
          <w:rFonts w:hint="eastAsia"/>
          <w:rtl/>
        </w:rPr>
        <w:t>סוגי</w:t>
      </w:r>
      <w:r w:rsidRPr="0016480E">
        <w:rPr>
          <w:rtl/>
        </w:rPr>
        <w:t xml:space="preserve"> </w:t>
      </w:r>
      <w:r w:rsidRPr="0016480E">
        <w:rPr>
          <w:rFonts w:hint="eastAsia"/>
          <w:rtl/>
        </w:rPr>
        <w:t>הנזקים</w:t>
      </w:r>
      <w:r w:rsidRPr="0016480E">
        <w:rPr>
          <w:rtl/>
        </w:rPr>
        <w:t xml:space="preserve"> </w:t>
      </w:r>
      <w:r w:rsidRPr="0016480E">
        <w:rPr>
          <w:rFonts w:hint="eastAsia"/>
          <w:rtl/>
        </w:rPr>
        <w:t>השונים</w:t>
      </w:r>
      <w:r w:rsidRPr="0016480E">
        <w:rPr>
          <w:rtl/>
        </w:rPr>
        <w:t>.</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eastAsia"/>
          <w:b/>
          <w:bCs/>
          <w:rtl/>
        </w:rPr>
        <w:t>עלה</w:t>
      </w:r>
      <w:r w:rsidRPr="00A81964">
        <w:rPr>
          <w:b/>
          <w:bCs/>
          <w:rtl/>
        </w:rPr>
        <w:t xml:space="preserve"> כי </w:t>
      </w:r>
      <w:r w:rsidRPr="00A81964">
        <w:rPr>
          <w:rFonts w:hint="cs"/>
          <w:b/>
          <w:bCs/>
          <w:rtl/>
        </w:rPr>
        <w:t xml:space="preserve">קיימים נתונים מהותיים שמערכת </w:t>
      </w:r>
      <w:proofErr w:type="spellStart"/>
      <w:r w:rsidRPr="00A81964">
        <w:rPr>
          <w:rFonts w:hint="cs"/>
          <w:b/>
          <w:bCs/>
          <w:rtl/>
        </w:rPr>
        <w:t>פפ"א</w:t>
      </w:r>
      <w:proofErr w:type="spellEnd"/>
      <w:r w:rsidRPr="00A81964">
        <w:rPr>
          <w:rFonts w:hint="cs"/>
          <w:b/>
          <w:bCs/>
          <w:rtl/>
        </w:rPr>
        <w:t xml:space="preserve"> ומערכת </w:t>
      </w:r>
      <w:r w:rsidRPr="00A81964">
        <w:rPr>
          <w:rFonts w:hint="cs"/>
          <w:b/>
          <w:bCs/>
        </w:rPr>
        <w:t>BI</w:t>
      </w:r>
      <w:r w:rsidRPr="00A81964">
        <w:rPr>
          <w:rFonts w:hint="cs"/>
          <w:b/>
          <w:bCs/>
          <w:rtl/>
        </w:rPr>
        <w:t xml:space="preserve"> אינן מאפשרות את הצגתם באופן מרוכז, ובכך מוגבלת יכולתם של מנהלי קרן הפיצויים לבחון נתונים אלו ולהסיק מסקנות בנוגע אליהם. כך לדוגמה, המערכות אינן מאפשרות לקבל דוח מרוכז הכולל נתונים לגבי בעלי מקצוע שטרם המציאו את חוות דעתם אף שחלף זמן רב מאז שהופנו אליהם הבקשות לחוות דעת. כמו כן, המערכות אינן מאפשרות להציג דוחות מרוכזים לגבי הסדרי דיור חלופי שניתן לדיירים שביתם אינו ראוי למגורים בתקופה מסוימת ולגבי הסדרי השמירה</w:t>
      </w:r>
      <w:r w:rsidRPr="00A81964">
        <w:rPr>
          <w:rStyle w:val="af2"/>
          <w:b/>
          <w:bCs/>
          <w:rtl/>
        </w:rPr>
        <w:footnoteReference w:id="35"/>
      </w:r>
      <w:r w:rsidRPr="00A81964">
        <w:rPr>
          <w:rFonts w:hint="cs"/>
          <w:b/>
          <w:bCs/>
          <w:rtl/>
        </w:rPr>
        <w:t xml:space="preserve"> על נכסים שניזוקו, וזאת אף שמדובר בעלויות של עשרות מיליוני שקלים.</w:t>
      </w:r>
    </w:p>
    <w:p w:rsidR="006252C4" w:rsidRDefault="006252C4" w:rsidP="006252C4">
      <w:pPr>
        <w:pStyle w:val="a8"/>
        <w:spacing w:line="269" w:lineRule="auto"/>
        <w:rPr>
          <w:rtl/>
        </w:rPr>
      </w:pPr>
    </w:p>
    <w:p w:rsidR="006252C4" w:rsidRDefault="006252C4" w:rsidP="006252C4">
      <w:pPr>
        <w:spacing w:line="269" w:lineRule="auto"/>
        <w:rPr>
          <w:b/>
          <w:bCs/>
          <w:rtl/>
        </w:rPr>
      </w:pPr>
      <w:r w:rsidRPr="00A81964">
        <w:rPr>
          <w:rFonts w:hint="eastAsia"/>
          <w:b/>
          <w:bCs/>
          <w:rtl/>
        </w:rPr>
        <w:t>מומלץ</w:t>
      </w:r>
      <w:r w:rsidRPr="00A81964">
        <w:rPr>
          <w:b/>
          <w:bCs/>
          <w:rtl/>
        </w:rPr>
        <w:t xml:space="preserve"> כי קרן הפיצויים תבצע עבודת מטה </w:t>
      </w:r>
      <w:r w:rsidRPr="00A81964">
        <w:rPr>
          <w:rFonts w:hint="cs"/>
          <w:b/>
          <w:bCs/>
          <w:rtl/>
        </w:rPr>
        <w:t>ו</w:t>
      </w:r>
      <w:r w:rsidRPr="00A81964">
        <w:rPr>
          <w:rFonts w:hint="eastAsia"/>
          <w:b/>
          <w:bCs/>
          <w:rtl/>
        </w:rPr>
        <w:t>תגדיר</w:t>
      </w:r>
      <w:r w:rsidRPr="00A81964">
        <w:rPr>
          <w:b/>
          <w:bCs/>
          <w:rtl/>
        </w:rPr>
        <w:t xml:space="preserve"> </w:t>
      </w:r>
      <w:r w:rsidRPr="00A81964">
        <w:rPr>
          <w:rFonts w:hint="eastAsia"/>
          <w:b/>
          <w:bCs/>
          <w:rtl/>
        </w:rPr>
        <w:t>מהם</w:t>
      </w:r>
      <w:r w:rsidRPr="00A81964">
        <w:rPr>
          <w:b/>
          <w:bCs/>
          <w:rtl/>
        </w:rPr>
        <w:t xml:space="preserve"> הנת</w:t>
      </w:r>
      <w:r w:rsidRPr="00A81964">
        <w:rPr>
          <w:rFonts w:hint="eastAsia"/>
          <w:b/>
          <w:bCs/>
          <w:rtl/>
        </w:rPr>
        <w:t>ונים</w:t>
      </w:r>
      <w:r w:rsidRPr="00A81964">
        <w:rPr>
          <w:b/>
          <w:bCs/>
          <w:rtl/>
        </w:rPr>
        <w:t xml:space="preserve"> והניתוחים </w:t>
      </w:r>
      <w:r w:rsidRPr="00A81964">
        <w:rPr>
          <w:rFonts w:hint="eastAsia"/>
          <w:b/>
          <w:bCs/>
          <w:rtl/>
        </w:rPr>
        <w:t>ההכרחיים</w:t>
      </w:r>
      <w:r w:rsidRPr="00A81964">
        <w:rPr>
          <w:b/>
          <w:bCs/>
          <w:rtl/>
        </w:rPr>
        <w:t xml:space="preserve"> </w:t>
      </w:r>
      <w:r w:rsidRPr="00A81964">
        <w:rPr>
          <w:rFonts w:hint="eastAsia"/>
          <w:b/>
          <w:bCs/>
          <w:rtl/>
        </w:rPr>
        <w:t>לתהליכי</w:t>
      </w:r>
      <w:r w:rsidRPr="00A81964">
        <w:rPr>
          <w:b/>
          <w:bCs/>
          <w:rtl/>
        </w:rPr>
        <w:t xml:space="preserve"> </w:t>
      </w:r>
      <w:r w:rsidRPr="00A81964">
        <w:rPr>
          <w:rFonts w:hint="eastAsia"/>
          <w:b/>
          <w:bCs/>
          <w:rtl/>
        </w:rPr>
        <w:t>קבלת</w:t>
      </w:r>
      <w:r w:rsidRPr="00A81964">
        <w:rPr>
          <w:b/>
          <w:bCs/>
          <w:rtl/>
        </w:rPr>
        <w:t xml:space="preserve"> </w:t>
      </w:r>
      <w:r w:rsidRPr="00A81964">
        <w:rPr>
          <w:rFonts w:hint="eastAsia"/>
          <w:b/>
          <w:bCs/>
          <w:rtl/>
        </w:rPr>
        <w:t>ההחלטות</w:t>
      </w:r>
      <w:r w:rsidRPr="00A81964">
        <w:rPr>
          <w:b/>
          <w:bCs/>
          <w:rtl/>
        </w:rPr>
        <w:t xml:space="preserve"> </w:t>
      </w:r>
      <w:r w:rsidRPr="00A81964">
        <w:rPr>
          <w:rFonts w:hint="eastAsia"/>
          <w:b/>
          <w:bCs/>
          <w:rtl/>
        </w:rPr>
        <w:t>ו</w:t>
      </w:r>
      <w:r w:rsidRPr="00A81964">
        <w:rPr>
          <w:rFonts w:hint="cs"/>
          <w:b/>
          <w:bCs/>
          <w:rtl/>
        </w:rPr>
        <w:t>ל</w:t>
      </w:r>
      <w:r w:rsidRPr="00A81964">
        <w:rPr>
          <w:rFonts w:hint="eastAsia"/>
          <w:b/>
          <w:bCs/>
          <w:rtl/>
        </w:rPr>
        <w:t>קביעת</w:t>
      </w:r>
      <w:r w:rsidRPr="00A81964">
        <w:rPr>
          <w:b/>
          <w:bCs/>
          <w:rtl/>
        </w:rPr>
        <w:t xml:space="preserve"> </w:t>
      </w:r>
      <w:r w:rsidRPr="00A81964">
        <w:rPr>
          <w:rFonts w:hint="eastAsia"/>
          <w:b/>
          <w:bCs/>
          <w:rtl/>
        </w:rPr>
        <w:t>מדיניות</w:t>
      </w:r>
      <w:r w:rsidRPr="00A81964">
        <w:rPr>
          <w:b/>
          <w:bCs/>
          <w:rtl/>
        </w:rPr>
        <w:t xml:space="preserve"> </w:t>
      </w:r>
      <w:r w:rsidRPr="00A81964">
        <w:rPr>
          <w:rFonts w:hint="eastAsia"/>
          <w:b/>
          <w:bCs/>
          <w:rtl/>
        </w:rPr>
        <w:t>הקרן</w:t>
      </w:r>
      <w:r w:rsidRPr="00A81964">
        <w:rPr>
          <w:b/>
          <w:bCs/>
          <w:rtl/>
        </w:rPr>
        <w:t xml:space="preserve"> ו</w:t>
      </w:r>
      <w:r w:rsidRPr="00A81964">
        <w:rPr>
          <w:rFonts w:hint="cs"/>
          <w:b/>
          <w:bCs/>
          <w:rtl/>
        </w:rPr>
        <w:t>תפעל לפיתוח ולהטמעה של יכולות אלו במערכות המידע שבהן היא עושה שימוש.</w:t>
      </w:r>
      <w:r w:rsidRPr="00A81964">
        <w:rPr>
          <w:b/>
          <w:bCs/>
          <w:rtl/>
        </w:rPr>
        <w:t xml:space="preserve"> </w:t>
      </w:r>
    </w:p>
    <w:p w:rsidR="006252C4" w:rsidRDefault="006252C4" w:rsidP="006252C4">
      <w:pPr>
        <w:pStyle w:val="a8"/>
        <w:spacing w:line="269" w:lineRule="auto"/>
        <w:rPr>
          <w:rtl/>
        </w:rPr>
      </w:pPr>
    </w:p>
    <w:p w:rsidR="006252C4" w:rsidRDefault="006252C4" w:rsidP="006252C4">
      <w:pPr>
        <w:spacing w:line="269" w:lineRule="auto"/>
        <w:rPr>
          <w:rtl/>
        </w:rPr>
      </w:pPr>
      <w:r w:rsidRPr="0016480E">
        <w:rPr>
          <w:rFonts w:hint="eastAsia"/>
          <w:rtl/>
        </w:rPr>
        <w:t>הרשות</w:t>
      </w:r>
      <w:r w:rsidRPr="0016480E">
        <w:rPr>
          <w:rtl/>
        </w:rPr>
        <w:t xml:space="preserve"> </w:t>
      </w:r>
      <w:r w:rsidRPr="0016480E">
        <w:rPr>
          <w:rFonts w:hint="eastAsia"/>
          <w:rtl/>
        </w:rPr>
        <w:t>מסרה</w:t>
      </w:r>
      <w:r w:rsidRPr="0016480E">
        <w:rPr>
          <w:rtl/>
        </w:rPr>
        <w:t xml:space="preserve"> </w:t>
      </w:r>
      <w:r w:rsidRPr="0016480E">
        <w:rPr>
          <w:rFonts w:hint="eastAsia"/>
          <w:rtl/>
        </w:rPr>
        <w:t>בתשובתה</w:t>
      </w:r>
      <w:r w:rsidRPr="0016480E">
        <w:rPr>
          <w:rtl/>
        </w:rPr>
        <w:t xml:space="preserve"> </w:t>
      </w:r>
      <w:r w:rsidRPr="0016480E">
        <w:rPr>
          <w:rFonts w:hint="eastAsia"/>
          <w:rtl/>
        </w:rPr>
        <w:t>כי</w:t>
      </w:r>
      <w:r w:rsidRPr="0016480E">
        <w:rPr>
          <w:rtl/>
        </w:rPr>
        <w:t xml:space="preserve"> "במהלך שנת 2024 קרן הפיצויים עלתה עם מערכת </w:t>
      </w:r>
      <w:proofErr w:type="spellStart"/>
      <w:r w:rsidRPr="0016480E">
        <w:rPr>
          <w:rtl/>
        </w:rPr>
        <w:t>פפ"א</w:t>
      </w:r>
      <w:proofErr w:type="spellEnd"/>
      <w:r w:rsidRPr="0016480E">
        <w:rPr>
          <w:rtl/>
        </w:rPr>
        <w:t xml:space="preserve"> חדשה, וכן עלתה מערכת </w:t>
      </w:r>
      <w:r w:rsidRPr="0016480E">
        <w:t>BI</w:t>
      </w:r>
      <w:r w:rsidRPr="0016480E">
        <w:rPr>
          <w:rtl/>
        </w:rPr>
        <w:t xml:space="preserve"> חלקית. אכן לא כל הנתונים מוצגים, ולאחר סיום פיתוח המערכת נפעל לשדרוג מערכת ה-</w:t>
      </w:r>
      <w:r w:rsidRPr="0016480E">
        <w:t>BI</w:t>
      </w:r>
      <w:r w:rsidRPr="0016480E">
        <w:rPr>
          <w:rtl/>
        </w:rPr>
        <w:t>".</w:t>
      </w:r>
    </w:p>
    <w:p w:rsidR="006252C4" w:rsidRPr="0016480E" w:rsidRDefault="006252C4" w:rsidP="006252C4">
      <w:pPr>
        <w:spacing w:line="269" w:lineRule="auto"/>
      </w:pPr>
    </w:p>
    <w:p w:rsidR="006252C4" w:rsidRDefault="006252C4" w:rsidP="006252C4">
      <w:pPr>
        <w:bidi w:val="0"/>
        <w:spacing w:after="200" w:line="276" w:lineRule="auto"/>
        <w:rPr>
          <w:rFonts w:eastAsiaTheme="majorEastAsia"/>
          <w:bCs/>
          <w:szCs w:val="32"/>
          <w:rtl/>
        </w:rPr>
      </w:pPr>
      <w:bookmarkStart w:id="22" w:name="_Hlk188367746"/>
      <w:bookmarkStart w:id="23" w:name="_Hlk191277813"/>
      <w:bookmarkEnd w:id="1"/>
      <w:bookmarkEnd w:id="2"/>
      <w:r>
        <w:rPr>
          <w:rtl/>
        </w:rPr>
        <w:br w:type="page"/>
      </w:r>
    </w:p>
    <w:p w:rsidR="006252C4" w:rsidRPr="00A81964" w:rsidRDefault="006252C4" w:rsidP="006252C4">
      <w:pPr>
        <w:pStyle w:val="20"/>
        <w:spacing w:before="0" w:line="269" w:lineRule="auto"/>
        <w:rPr>
          <w:rtl/>
        </w:rPr>
      </w:pPr>
      <w:r w:rsidRPr="00A81964">
        <w:rPr>
          <w:rtl/>
        </w:rPr>
        <w:lastRenderedPageBreak/>
        <w:t xml:space="preserve">פיצוי </w:t>
      </w:r>
      <w:r w:rsidRPr="00A81964">
        <w:rPr>
          <w:rFonts w:hint="cs"/>
          <w:rtl/>
        </w:rPr>
        <w:t xml:space="preserve">בגין נזק </w:t>
      </w:r>
      <w:r w:rsidRPr="00A81964">
        <w:rPr>
          <w:rFonts w:hint="eastAsia"/>
          <w:rtl/>
        </w:rPr>
        <w:t>עקיף</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חוק קרן הפיצויים ותקנות קרן הפיצויים קובעים, בין היתר, את תנאי הזכאות לפיצויים בגין נזקים עקיפים שנוצרו לעסקים כתוצאה מנזק מלחמה.</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כאמור, נזק מלחמה מוגדר כ</w:t>
      </w:r>
      <w:r w:rsidRPr="00A81964">
        <w:rPr>
          <w:rtl/>
        </w:rPr>
        <w:t>נזק שנגרם לגופו של נכס עקב פעולות מלחמה על-ידי הצבאות הסדירים של האויב או עקב פעולות איבה אחרות נגד ישראל או עקב פעולות מלחמה על-ידי צבא הגנה לישראל</w:t>
      </w:r>
      <w:r w:rsidRPr="00A81964">
        <w:rPr>
          <w:rFonts w:hint="cs"/>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 xml:space="preserve">בסעיף 35 </w:t>
      </w:r>
      <w:r w:rsidRPr="00A81964">
        <w:rPr>
          <w:rFonts w:hint="cs"/>
          <w:rtl/>
        </w:rPr>
        <w:t>ל</w:t>
      </w:r>
      <w:r w:rsidRPr="00A81964">
        <w:rPr>
          <w:rtl/>
        </w:rPr>
        <w:t>חוק הוגדר נזק עקיף כ"הפסד או מניעת ריווח כתוצאה מנזק מלחמה בתחום ישוב ספר, או מחמת אי אפשרות לנצל נכסים המצויים בתחום ישוב ספר, עקב פעולות מלחמה על-ידי הצבאות הסדירים של האויב או עקב פעולות איבה אחרות נגד ישראל, או עקב פעולות מלחמה על-ידי צבא הגנה לישראל".</w:t>
      </w:r>
      <w:r w:rsidRPr="00A81964">
        <w:rPr>
          <w:rFonts w:hint="cs"/>
          <w:rtl/>
        </w:rPr>
        <w:t xml:space="preserve"> בתקנות קרן הפיצויים נקבעו הוראות באשר לזכאותו של עסק הנמצא ב</w:t>
      </w:r>
      <w:r>
        <w:rPr>
          <w:rFonts w:hint="cs"/>
          <w:rtl/>
        </w:rPr>
        <w:t>י</w:t>
      </w:r>
      <w:r w:rsidRPr="00A81964">
        <w:rPr>
          <w:rFonts w:hint="cs"/>
          <w:rtl/>
        </w:rPr>
        <w:t xml:space="preserve">ישוב ספר לפיצוי בגין נזק עקיף שנגרם לו (להלן - </w:t>
      </w:r>
      <w:r w:rsidRPr="00A81964">
        <w:rPr>
          <w:rFonts w:hint="eastAsia"/>
          <w:rtl/>
        </w:rPr>
        <w:t>המסלול</w:t>
      </w:r>
      <w:r w:rsidRPr="00A81964">
        <w:rPr>
          <w:rtl/>
        </w:rPr>
        <w:t xml:space="preserve"> </w:t>
      </w:r>
      <w:r w:rsidRPr="00A81964">
        <w:rPr>
          <w:rFonts w:hint="eastAsia"/>
          <w:rtl/>
        </w:rPr>
        <w:t>האדום</w:t>
      </w:r>
      <w:r w:rsidRPr="00A81964">
        <w:rPr>
          <w:rFonts w:hint="cs"/>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בנובמבר 2023 בוצע תיקון בחוק קרן הפיצויים וכן הותקנו תקנות חדשות מכוחו </w:t>
      </w:r>
      <w:r>
        <w:rPr>
          <w:rFonts w:hint="cs"/>
          <w:rtl/>
        </w:rPr>
        <w:t xml:space="preserve">אשר </w:t>
      </w:r>
      <w:r w:rsidRPr="001133BB">
        <w:rPr>
          <w:rtl/>
        </w:rPr>
        <w:t>בהן הורחבה ההגדרה של נזק עקיף באופן שהיא כוללת גם נזק עקיף שנגרם לעסקים ביישובים שאינם יישובי ספר</w:t>
      </w:r>
      <w:r>
        <w:rPr>
          <w:rFonts w:hint="cs"/>
          <w:rtl/>
        </w:rPr>
        <w:t xml:space="preserve">. כך </w:t>
      </w:r>
      <w:r w:rsidRPr="00A81964">
        <w:rPr>
          <w:rFonts w:hint="cs"/>
          <w:rtl/>
        </w:rPr>
        <w:t xml:space="preserve">נקבעו מסלולי פיצוי </w:t>
      </w:r>
      <w:r w:rsidRPr="00A81964">
        <w:rPr>
          <w:rtl/>
        </w:rPr>
        <w:t>בגין נזקים עקיפים שנגרמו גם לעסקים ב</w:t>
      </w:r>
      <w:r w:rsidRPr="00A81964">
        <w:rPr>
          <w:rFonts w:hint="cs"/>
          <w:rtl/>
        </w:rPr>
        <w:t>י</w:t>
      </w:r>
      <w:r w:rsidRPr="00A81964">
        <w:rPr>
          <w:rtl/>
        </w:rPr>
        <w:t>ישובים הנמצאים במרחק של עד 40 ק"מ מגבול רצועת עזה</w:t>
      </w:r>
      <w:r>
        <w:rPr>
          <w:rFonts w:hint="cs"/>
          <w:rtl/>
        </w:rPr>
        <w:t xml:space="preserve"> וביישובי קו העימות בצפון</w:t>
      </w:r>
      <w:r w:rsidRPr="00A81964">
        <w:rPr>
          <w:rFonts w:hint="cs"/>
          <w:rtl/>
        </w:rPr>
        <w:t xml:space="preserve"> </w:t>
      </w:r>
      <w:r w:rsidRPr="00A81964">
        <w:rPr>
          <w:rtl/>
        </w:rPr>
        <w:t xml:space="preserve">וכן מסלולי פיצוי נוספים לעסקים בכל רחבי הארץ, </w:t>
      </w:r>
      <w:r w:rsidRPr="00A81964">
        <w:rPr>
          <w:rFonts w:hint="cs"/>
          <w:rtl/>
        </w:rPr>
        <w:t>ו</w:t>
      </w:r>
      <w:r w:rsidRPr="00A81964">
        <w:rPr>
          <w:rtl/>
        </w:rPr>
        <w:t>זאת לתקופות מסוימות</w:t>
      </w:r>
      <w:r w:rsidRPr="00A81964">
        <w:rPr>
          <w:rFonts w:hint="cs"/>
          <w:rtl/>
        </w:rPr>
        <w:t>,</w:t>
      </w:r>
      <w:r w:rsidRPr="00A81964">
        <w:rPr>
          <w:rtl/>
        </w:rPr>
        <w:t xml:space="preserve"> כפי שנקבע בחוק ובתקנות</w:t>
      </w:r>
      <w:r w:rsidRPr="00A81964">
        <w:rPr>
          <w:rFonts w:hint="cs"/>
          <w:rtl/>
        </w:rPr>
        <w:t xml:space="preserve"> (להלן - מסלולי הפיצויים)</w:t>
      </w:r>
      <w:r w:rsidRPr="00A81964">
        <w:rPr>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עוסק שהגיש תביעה לפיצוי בגין נזק עקיף לפי אחד ממסלולי הפיצויים בחוק ובתקנות אינו יכול להגיש תביעה נוספת במקביל במסלולי פיצוי אחרים.</w:t>
      </w:r>
    </w:p>
    <w:p w:rsidR="006252C4" w:rsidRPr="00A81964" w:rsidRDefault="006252C4" w:rsidP="006252C4">
      <w:pPr>
        <w:spacing w:line="269" w:lineRule="auto"/>
        <w:rPr>
          <w:rtl/>
        </w:rPr>
      </w:pPr>
    </w:p>
    <w:p w:rsidR="006252C4" w:rsidRPr="00A81964" w:rsidRDefault="006252C4" w:rsidP="006252C4">
      <w:pPr>
        <w:pStyle w:val="50"/>
        <w:spacing w:line="269" w:lineRule="auto"/>
        <w:rPr>
          <w:rtl/>
        </w:rPr>
      </w:pPr>
      <w:r w:rsidRPr="00A81964">
        <w:rPr>
          <w:rFonts w:hint="cs"/>
          <w:rtl/>
        </w:rPr>
        <w:t xml:space="preserve">המסלול האדום - פיצוי בגין נזק עקיף ביישובי ספר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בהתאם לחוק ולתקנות קרן הפיצויים, פיצויים בגין נזק עקיף לפי המסלול האדום יינתנו לעסקים הרשומים ביישובי ספר</w:t>
      </w:r>
      <w:r w:rsidRPr="00A81964">
        <w:rPr>
          <w:rStyle w:val="af2"/>
          <w:rtl/>
        </w:rPr>
        <w:footnoteReference w:id="36"/>
      </w:r>
      <w:r w:rsidRPr="00A81964">
        <w:rPr>
          <w:rFonts w:hint="cs"/>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על מגיש תביעה במסלול האדום להוכיח</w:t>
      </w:r>
      <w:r w:rsidRPr="00A81964">
        <w:rPr>
          <w:rStyle w:val="af2"/>
          <w:rtl/>
        </w:rPr>
        <w:footnoteReference w:id="37"/>
      </w:r>
      <w:r w:rsidRPr="00A81964">
        <w:rPr>
          <w:rFonts w:hint="cs"/>
          <w:rtl/>
        </w:rPr>
        <w:t xml:space="preserve"> </w:t>
      </w:r>
      <w:r w:rsidRPr="00A81964">
        <w:rPr>
          <w:rFonts w:ascii="David" w:hAnsi="David"/>
          <w:rtl/>
        </w:rPr>
        <w:t xml:space="preserve">קשר סיבתי בין הנזק העקיף </w:t>
      </w:r>
      <w:r w:rsidRPr="00A81964">
        <w:rPr>
          <w:rFonts w:ascii="David" w:hAnsi="David" w:hint="cs"/>
          <w:rtl/>
        </w:rPr>
        <w:t xml:space="preserve">שנגרם לעסקו </w:t>
      </w:r>
      <w:r w:rsidRPr="00A81964">
        <w:rPr>
          <w:rFonts w:ascii="David" w:hAnsi="David"/>
          <w:rtl/>
        </w:rPr>
        <w:t>לבין פעולות המלחמה.</w:t>
      </w:r>
      <w:r w:rsidRPr="00A81964">
        <w:rPr>
          <w:rFonts w:ascii="David" w:hAnsi="David" w:hint="cs"/>
          <w:rtl/>
        </w:rPr>
        <w:t xml:space="preserve"> </w:t>
      </w:r>
      <w:r w:rsidRPr="00A81964">
        <w:rPr>
          <w:rFonts w:ascii="David" w:hAnsi="David"/>
          <w:rtl/>
        </w:rPr>
        <w:t xml:space="preserve">עסק </w:t>
      </w:r>
      <w:r w:rsidRPr="00A81964">
        <w:rPr>
          <w:rFonts w:ascii="David" w:hAnsi="David" w:hint="cs"/>
          <w:rtl/>
        </w:rPr>
        <w:t>שאינו</w:t>
      </w:r>
      <w:r w:rsidRPr="00A81964">
        <w:rPr>
          <w:rFonts w:ascii="David" w:hAnsi="David"/>
          <w:rtl/>
        </w:rPr>
        <w:t xml:space="preserve"> מענפי החקלאות והתיירות נדרש להוכיח שהייתה הפסקת פעילות מלאה שנגרמה עקב הגבלה של פיקוד העורף לפרק זמן מסוים</w:t>
      </w:r>
      <w:r w:rsidRPr="00A81964">
        <w:rPr>
          <w:rFonts w:ascii="David" w:hAnsi="David" w:hint="cs"/>
          <w:rtl/>
        </w:rPr>
        <w:t>,</w:t>
      </w:r>
      <w:r w:rsidRPr="00A81964">
        <w:rPr>
          <w:rFonts w:ascii="David" w:hAnsi="David"/>
          <w:rtl/>
        </w:rPr>
        <w:t xml:space="preserve"> </w:t>
      </w:r>
      <w:r w:rsidRPr="00A81964">
        <w:rPr>
          <w:rFonts w:ascii="David" w:hAnsi="David" w:hint="cs"/>
          <w:rtl/>
        </w:rPr>
        <w:t>ה</w:t>
      </w:r>
      <w:r w:rsidRPr="00A81964">
        <w:rPr>
          <w:rFonts w:ascii="David" w:hAnsi="David"/>
          <w:rtl/>
        </w:rPr>
        <w:t>משתנה בין סוגי הענפים השונים.</w:t>
      </w:r>
    </w:p>
    <w:p w:rsidR="006252C4" w:rsidRDefault="006252C4" w:rsidP="006252C4">
      <w:pPr>
        <w:pStyle w:val="a8"/>
        <w:spacing w:line="269" w:lineRule="auto"/>
        <w:rPr>
          <w:rtl/>
        </w:rPr>
      </w:pPr>
    </w:p>
    <w:p w:rsidR="006252C4" w:rsidRPr="00A81964" w:rsidRDefault="006252C4" w:rsidP="006252C4">
      <w:pPr>
        <w:spacing w:line="269" w:lineRule="auto"/>
        <w:rPr>
          <w:rFonts w:ascii="David" w:hAnsi="David"/>
          <w:rtl/>
        </w:rPr>
      </w:pPr>
      <w:r w:rsidRPr="00A81964">
        <w:rPr>
          <w:rFonts w:hint="cs"/>
          <w:rtl/>
        </w:rPr>
        <w:lastRenderedPageBreak/>
        <w:t xml:space="preserve">ניזוק שעמד בתנאים המפורטים יכול היה להגיש תביעה לפיצוי בהתאם לשווי הנזק העקיף, </w:t>
      </w:r>
      <w:r>
        <w:rPr>
          <w:rFonts w:hint="cs"/>
          <w:rtl/>
        </w:rPr>
        <w:t>ואפשר שיבוא ידי ביטוי ברכיבים אלה או חלקם</w:t>
      </w:r>
      <w:r w:rsidRPr="00A81964">
        <w:rPr>
          <w:rFonts w:hint="cs"/>
          <w:rtl/>
        </w:rPr>
        <w:t>:</w:t>
      </w:r>
      <w:r w:rsidRPr="00A81964">
        <w:rPr>
          <w:rFonts w:ascii="David" w:hAnsi="David" w:hint="cs"/>
          <w:rtl/>
        </w:rPr>
        <w:t xml:space="preserve"> (א) </w:t>
      </w:r>
      <w:r w:rsidRPr="00A81964">
        <w:rPr>
          <w:rFonts w:ascii="David" w:hAnsi="David"/>
          <w:rtl/>
        </w:rPr>
        <w:t xml:space="preserve">אובדן הכנסות </w:t>
      </w:r>
      <w:r w:rsidRPr="00A81964">
        <w:rPr>
          <w:rFonts w:ascii="David" w:hAnsi="David" w:hint="cs"/>
          <w:rtl/>
        </w:rPr>
        <w:t xml:space="preserve">של העסק, ובכללן </w:t>
      </w:r>
      <w:r w:rsidRPr="00A81964">
        <w:rPr>
          <w:rFonts w:ascii="David" w:hAnsi="David"/>
          <w:rtl/>
        </w:rPr>
        <w:t>מניעת רווח בעתיד</w:t>
      </w:r>
      <w:r w:rsidRPr="00A81964">
        <w:rPr>
          <w:rFonts w:ascii="David" w:hAnsi="David" w:hint="cs"/>
          <w:rtl/>
        </w:rPr>
        <w:t xml:space="preserve">; (ב) </w:t>
      </w:r>
      <w:r w:rsidRPr="00A81964">
        <w:rPr>
          <w:rFonts w:ascii="David" w:hAnsi="David"/>
          <w:rtl/>
        </w:rPr>
        <w:t xml:space="preserve">הוצאות שכר </w:t>
      </w:r>
      <w:r w:rsidRPr="00A81964">
        <w:rPr>
          <w:rFonts w:ascii="David" w:hAnsi="David" w:hint="cs"/>
          <w:rtl/>
        </w:rPr>
        <w:t>עובדים</w:t>
      </w:r>
      <w:r w:rsidRPr="00A81964">
        <w:rPr>
          <w:rFonts w:ascii="David" w:hAnsi="David"/>
          <w:rtl/>
        </w:rPr>
        <w:t xml:space="preserve"> בגין </w:t>
      </w:r>
      <w:r w:rsidRPr="00A81964">
        <w:rPr>
          <w:rFonts w:ascii="David" w:hAnsi="David" w:hint="cs"/>
          <w:rtl/>
        </w:rPr>
        <w:t>ה</w:t>
      </w:r>
      <w:r w:rsidRPr="00A81964">
        <w:rPr>
          <w:rFonts w:ascii="David" w:hAnsi="David"/>
          <w:rtl/>
        </w:rPr>
        <w:t xml:space="preserve">ימים </w:t>
      </w:r>
      <w:r w:rsidRPr="00A81964">
        <w:rPr>
          <w:rFonts w:ascii="David" w:hAnsi="David" w:hint="cs"/>
          <w:rtl/>
        </w:rPr>
        <w:t>ש</w:t>
      </w:r>
      <w:r w:rsidRPr="00A81964">
        <w:rPr>
          <w:rFonts w:ascii="David" w:hAnsi="David"/>
          <w:rtl/>
        </w:rPr>
        <w:t xml:space="preserve">בהם הם </w:t>
      </w:r>
      <w:r w:rsidRPr="00A81964">
        <w:rPr>
          <w:rFonts w:ascii="David" w:hAnsi="David" w:hint="cs"/>
          <w:rtl/>
        </w:rPr>
        <w:t>נעדרו מהעבודה</w:t>
      </w:r>
      <w:r w:rsidRPr="00A81964">
        <w:rPr>
          <w:rFonts w:ascii="David" w:hAnsi="David"/>
          <w:rtl/>
        </w:rPr>
        <w:t xml:space="preserve"> </w:t>
      </w:r>
      <w:r w:rsidRPr="00A81964">
        <w:rPr>
          <w:rFonts w:ascii="David" w:hAnsi="David" w:hint="cs"/>
          <w:rtl/>
        </w:rPr>
        <w:t>על פי</w:t>
      </w:r>
      <w:r w:rsidRPr="00A81964">
        <w:rPr>
          <w:rFonts w:ascii="David" w:hAnsi="David"/>
          <w:rtl/>
        </w:rPr>
        <w:t xml:space="preserve"> הוראות כוחות הביטחון</w:t>
      </w:r>
      <w:r w:rsidRPr="00A81964">
        <w:rPr>
          <w:rFonts w:ascii="David" w:hAnsi="David" w:hint="cs"/>
          <w:rtl/>
        </w:rPr>
        <w:t xml:space="preserve">; (ג) </w:t>
      </w:r>
      <w:r w:rsidRPr="00A81964">
        <w:rPr>
          <w:rFonts w:ascii="David" w:hAnsi="David"/>
          <w:rtl/>
        </w:rPr>
        <w:t>הוצאות להקטנת הנזק העקיף</w:t>
      </w:r>
      <w:r w:rsidRPr="00A81964">
        <w:rPr>
          <w:rFonts w:ascii="David" w:hAnsi="David" w:hint="cs"/>
          <w:rtl/>
        </w:rPr>
        <w:t>,</w:t>
      </w:r>
      <w:r w:rsidRPr="00A81964">
        <w:rPr>
          <w:rFonts w:ascii="David" w:hAnsi="David"/>
          <w:rtl/>
        </w:rPr>
        <w:t xml:space="preserve"> כגון הסעות לעובדים ששהו עם משפחתם מחוץ לאזור העסק, העברת קו ייצור אל מחוץ לאזור העסק, שימוש בקבלני משנה לצורך מילוי התחייבויות, הובלה אווירית </w:t>
      </w:r>
      <w:r w:rsidRPr="00A81964">
        <w:rPr>
          <w:rFonts w:ascii="David" w:hAnsi="David" w:hint="cs"/>
          <w:rtl/>
        </w:rPr>
        <w:t xml:space="preserve">וכדומה; (ד) </w:t>
      </w:r>
      <w:r w:rsidRPr="00A81964">
        <w:rPr>
          <w:rFonts w:ascii="David" w:hAnsi="David"/>
          <w:rtl/>
        </w:rPr>
        <w:t>נזקים אחרים שנגרמו</w:t>
      </w:r>
      <w:r w:rsidRPr="00A81964">
        <w:rPr>
          <w:rFonts w:ascii="David" w:hAnsi="David" w:hint="cs"/>
          <w:rtl/>
        </w:rPr>
        <w:t>,</w:t>
      </w:r>
      <w:r w:rsidRPr="00A81964">
        <w:rPr>
          <w:rFonts w:ascii="David" w:hAnsi="David" w:hint="cs"/>
        </w:rPr>
        <w:t xml:space="preserve"> </w:t>
      </w:r>
      <w:r w:rsidRPr="00A81964">
        <w:rPr>
          <w:rFonts w:ascii="David" w:hAnsi="David"/>
          <w:rtl/>
        </w:rPr>
        <w:t>כגון מלאי חומרי גלם שהתקלקל</w:t>
      </w:r>
      <w:r w:rsidRPr="00A81964">
        <w:rPr>
          <w:rFonts w:ascii="David" w:hAnsi="David" w:hint="cs"/>
          <w:rtl/>
        </w:rPr>
        <w:t>ו</w:t>
      </w:r>
      <w:r w:rsidRPr="00A81964">
        <w:rPr>
          <w:rFonts w:ascii="David" w:hAnsi="David"/>
          <w:rtl/>
        </w:rPr>
        <w:t xml:space="preserve"> וקנסות על איחורים בביצוע העבודה.</w:t>
      </w:r>
    </w:p>
    <w:p w:rsidR="006252C4" w:rsidRDefault="006252C4" w:rsidP="006252C4">
      <w:pPr>
        <w:pStyle w:val="a8"/>
        <w:spacing w:line="269" w:lineRule="auto"/>
        <w:rPr>
          <w:rtl/>
        </w:rPr>
      </w:pPr>
    </w:p>
    <w:p w:rsidR="006252C4" w:rsidRPr="00A81964" w:rsidRDefault="006252C4" w:rsidP="006252C4">
      <w:pPr>
        <w:spacing w:line="269" w:lineRule="auto"/>
        <w:rPr>
          <w:rFonts w:ascii="David" w:hAnsi="David"/>
          <w:rtl/>
        </w:rPr>
      </w:pPr>
      <w:r w:rsidRPr="00A81964">
        <w:rPr>
          <w:rFonts w:ascii="David" w:hAnsi="David"/>
          <w:rtl/>
        </w:rPr>
        <w:t xml:space="preserve">אובדן ההכנסות של עסק ושווי הנזק העקיף שנגרם לו </w:t>
      </w:r>
      <w:r w:rsidRPr="00A81964">
        <w:rPr>
          <w:rFonts w:ascii="David" w:hAnsi="David" w:hint="cs"/>
          <w:rtl/>
        </w:rPr>
        <w:t>מחושבים</w:t>
      </w:r>
      <w:r w:rsidRPr="00A81964">
        <w:rPr>
          <w:rFonts w:ascii="David" w:hAnsi="David"/>
          <w:rtl/>
        </w:rPr>
        <w:t xml:space="preserve"> בהתאם לאופי פעילות</w:t>
      </w:r>
      <w:r w:rsidRPr="00A81964">
        <w:rPr>
          <w:rFonts w:ascii="David" w:hAnsi="David" w:hint="cs"/>
          <w:rtl/>
        </w:rPr>
        <w:t xml:space="preserve"> העסק וכוללים כאמור </w:t>
      </w:r>
      <w:r w:rsidRPr="00A81964">
        <w:rPr>
          <w:rFonts w:ascii="David" w:hAnsi="David" w:hint="eastAsia"/>
          <w:rtl/>
        </w:rPr>
        <w:t>אובדן</w:t>
      </w:r>
      <w:r w:rsidRPr="00A81964">
        <w:rPr>
          <w:rFonts w:ascii="David" w:hAnsi="David"/>
          <w:rtl/>
        </w:rPr>
        <w:t xml:space="preserve"> </w:t>
      </w:r>
      <w:r w:rsidRPr="00A81964">
        <w:rPr>
          <w:rFonts w:ascii="David" w:hAnsi="David" w:hint="eastAsia"/>
          <w:rtl/>
        </w:rPr>
        <w:t>הכנסות</w:t>
      </w:r>
      <w:r w:rsidRPr="00A81964">
        <w:rPr>
          <w:rFonts w:ascii="David" w:hAnsi="David"/>
          <w:rtl/>
        </w:rPr>
        <w:t xml:space="preserve"> </w:t>
      </w:r>
      <w:r w:rsidRPr="00A81964">
        <w:rPr>
          <w:rFonts w:ascii="David" w:hAnsi="David" w:hint="eastAsia"/>
          <w:rtl/>
        </w:rPr>
        <w:t>עתידיות</w:t>
      </w:r>
      <w:r w:rsidRPr="00A81964">
        <w:rPr>
          <w:rFonts w:ascii="David" w:hAnsi="David"/>
          <w:rtl/>
        </w:rPr>
        <w:t xml:space="preserve">. בחישוב אובדן ההכנסות על </w:t>
      </w:r>
      <w:r w:rsidRPr="00A81964">
        <w:rPr>
          <w:rFonts w:ascii="David" w:hAnsi="David" w:hint="cs"/>
          <w:rtl/>
        </w:rPr>
        <w:t>מגיש התביעה</w:t>
      </w:r>
      <w:r w:rsidRPr="00A81964">
        <w:rPr>
          <w:rFonts w:ascii="David" w:hAnsi="David"/>
          <w:rtl/>
        </w:rPr>
        <w:t xml:space="preserve"> להביא לידי ביטוי את ההוצאות שנחסכו ממנו בזמן שחלו מגבלות על פעילות העסק, כגון </w:t>
      </w:r>
      <w:r w:rsidRPr="00A81964">
        <w:rPr>
          <w:rFonts w:ascii="David" w:hAnsi="David" w:hint="cs"/>
          <w:rtl/>
        </w:rPr>
        <w:t>רכישת</w:t>
      </w:r>
      <w:r w:rsidRPr="00A81964">
        <w:rPr>
          <w:rFonts w:ascii="David" w:hAnsi="David"/>
          <w:rtl/>
        </w:rPr>
        <w:t xml:space="preserve"> מלאי</w:t>
      </w:r>
      <w:r w:rsidRPr="00A81964">
        <w:rPr>
          <w:rFonts w:ascii="David" w:hAnsi="David" w:hint="cs"/>
          <w:rtl/>
        </w:rPr>
        <w:t xml:space="preserve"> ותשלומים על</w:t>
      </w:r>
      <w:r w:rsidRPr="00A81964">
        <w:rPr>
          <w:rFonts w:ascii="David" w:hAnsi="David"/>
          <w:rtl/>
        </w:rPr>
        <w:t xml:space="preserve"> חשמל, מים </w:t>
      </w:r>
      <w:r w:rsidRPr="00A81964">
        <w:rPr>
          <w:rFonts w:ascii="David" w:hAnsi="David" w:hint="cs"/>
          <w:rtl/>
        </w:rPr>
        <w:t>ו</w:t>
      </w:r>
      <w:r w:rsidRPr="00A81964">
        <w:rPr>
          <w:rFonts w:ascii="David" w:hAnsi="David"/>
          <w:rtl/>
        </w:rPr>
        <w:t>הובלות.</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בהתייחס לתביעה בגין נזק עקיף במסלול האדום קבע ביהמ"ש העליון</w:t>
      </w:r>
      <w:r w:rsidRPr="00A81964">
        <w:rPr>
          <w:rStyle w:val="af2"/>
          <w:rtl/>
        </w:rPr>
        <w:footnoteReference w:id="38"/>
      </w:r>
      <w:r w:rsidRPr="00A81964">
        <w:rPr>
          <w:rFonts w:hint="cs"/>
          <w:rtl/>
        </w:rPr>
        <w:t xml:space="preserve"> כי</w:t>
      </w:r>
      <w:r w:rsidRPr="00A81964">
        <w:rPr>
          <w:rtl/>
        </w:rPr>
        <w:t xml:space="preserve"> "נטל השכנוע בתביעה לפי חוק הפיצויים מוטל על התובע, אשר עליו</w:t>
      </w:r>
      <w:r w:rsidRPr="00A81964">
        <w:rPr>
          <w:rFonts w:hint="cs"/>
          <w:rtl/>
        </w:rPr>
        <w:t xml:space="preserve"> </w:t>
      </w:r>
      <w:r w:rsidRPr="00A81964">
        <w:rPr>
          <w:rtl/>
        </w:rPr>
        <w:t xml:space="preserve">להוכיח את תביעתו כמקובל בהליכים אזרחיים במאזן </w:t>
      </w:r>
      <w:r w:rsidRPr="00A81964">
        <w:rPr>
          <w:rFonts w:hint="cs"/>
          <w:rtl/>
        </w:rPr>
        <w:t>הסתברויות". כן בית המשפט המחוזי בחיפה עמד על כך</w:t>
      </w:r>
      <w:r w:rsidRPr="00A81964">
        <w:rPr>
          <w:rStyle w:val="af2"/>
          <w:rtl/>
        </w:rPr>
        <w:footnoteReference w:id="39"/>
      </w:r>
      <w:r w:rsidRPr="00A81964">
        <w:rPr>
          <w:rFonts w:hint="cs"/>
          <w:rtl/>
        </w:rPr>
        <w:t xml:space="preserve"> ש</w:t>
      </w:r>
      <w:r w:rsidRPr="00A81964">
        <w:rPr>
          <w:rtl/>
        </w:rPr>
        <w:t>"חוק מס רכוש לא בא לפצות על כל נזק כלכלי הנובע מניהול עסק באזור</w:t>
      </w:r>
      <w:r w:rsidRPr="00A81964">
        <w:rPr>
          <w:rFonts w:hint="cs"/>
          <w:rtl/>
        </w:rPr>
        <w:t xml:space="preserve"> </w:t>
      </w:r>
      <w:r w:rsidRPr="00A81964">
        <w:rPr>
          <w:rtl/>
        </w:rPr>
        <w:t>ספר, אלא רק על אותם סוגי נזקים שבהם ניתן להצביע ללא קושי על נזק</w:t>
      </w:r>
      <w:r w:rsidRPr="00A81964">
        <w:rPr>
          <w:rFonts w:hint="cs"/>
          <w:rtl/>
        </w:rPr>
        <w:t xml:space="preserve"> </w:t>
      </w:r>
      <w:r w:rsidRPr="00A81964">
        <w:rPr>
          <w:rtl/>
        </w:rPr>
        <w:t>ברור, גורף וחד משמעי...</w:t>
      </w:r>
      <w:r w:rsidRPr="00A81964">
        <w:rPr>
          <w:rFonts w:hint="cs"/>
          <w:rtl/>
        </w:rPr>
        <w:t xml:space="preserve"> </w:t>
      </w:r>
      <w:r w:rsidRPr="00A81964">
        <w:rPr>
          <w:rtl/>
        </w:rPr>
        <w:t>מס רכוש נועד להוות מכשיר לפיצוי יעיל ומהיר של</w:t>
      </w:r>
      <w:r w:rsidRPr="00A81964">
        <w:rPr>
          <w:rFonts w:hint="cs"/>
          <w:rtl/>
        </w:rPr>
        <w:t xml:space="preserve"> </w:t>
      </w:r>
      <w:r w:rsidRPr="00A81964">
        <w:rPr>
          <w:rtl/>
        </w:rPr>
        <w:t xml:space="preserve">נזקי מלחמה </w:t>
      </w:r>
      <w:r w:rsidRPr="00A81964">
        <w:rPr>
          <w:rFonts w:hint="cs"/>
          <w:rtl/>
        </w:rPr>
        <w:t>(</w:t>
      </w:r>
      <w:r w:rsidRPr="00A81964">
        <w:rPr>
          <w:rtl/>
        </w:rPr>
        <w:t>לרבות פעולות איבה</w:t>
      </w:r>
      <w:r w:rsidRPr="00A81964">
        <w:rPr>
          <w:rFonts w:hint="cs"/>
          <w:rtl/>
        </w:rPr>
        <w:t>)</w:t>
      </w:r>
      <w:r w:rsidRPr="00A81964">
        <w:rPr>
          <w:rtl/>
        </w:rPr>
        <w:t xml:space="preserve"> ולכן הוא מתייחס רק לנזקים כאלה</w:t>
      </w:r>
      <w:r w:rsidRPr="00A81964">
        <w:rPr>
          <w:rFonts w:hint="cs"/>
          <w:rtl/>
        </w:rPr>
        <w:t xml:space="preserve"> </w:t>
      </w:r>
      <w:r w:rsidRPr="00A81964">
        <w:rPr>
          <w:rtl/>
        </w:rPr>
        <w:t>הניתנים להוכחה קלה ופשוטה</w:t>
      </w:r>
      <w:r w:rsidRPr="00A81964">
        <w:rPr>
          <w:rFonts w:hint="cs"/>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נוסף על האמור לעיל, קרן הפיצויים גיבשה יחד עם ארגונים מקצועיים מתחום החקלאות במסגרת המסלול האדום מסלולים ייעודיים שכונו "מסלולים ורודים". הפיצויים במסלולים אלו שולמו לחלק מהעסקים</w:t>
      </w:r>
      <w:r w:rsidRPr="00A81964">
        <w:rPr>
          <w:rStyle w:val="af2"/>
          <w:rtl/>
        </w:rPr>
        <w:footnoteReference w:id="40"/>
      </w:r>
      <w:r w:rsidRPr="00A81964">
        <w:rPr>
          <w:rFonts w:hint="cs"/>
          <w:rtl/>
        </w:rPr>
        <w:t xml:space="preserve"> בענף החקלאות ביישובי ספר באופן המשתנה בין סוגי הגידולים השונים</w:t>
      </w:r>
      <w:r w:rsidRPr="00A81964">
        <w:rPr>
          <w:rStyle w:val="af2"/>
          <w:rtl/>
        </w:rPr>
        <w:footnoteReference w:id="41"/>
      </w:r>
      <w:r w:rsidRPr="00A81964">
        <w:rPr>
          <w:rFonts w:hint="cs"/>
          <w:rtl/>
        </w:rPr>
        <w:t xml:space="preserve"> ובהתאם לתחשיבים שסוכמו. </w:t>
      </w:r>
    </w:p>
    <w:p w:rsidR="006252C4" w:rsidRPr="00A81964" w:rsidRDefault="006252C4" w:rsidP="006252C4">
      <w:pPr>
        <w:spacing w:line="269" w:lineRule="auto"/>
        <w:rPr>
          <w:rtl/>
        </w:rPr>
      </w:pPr>
    </w:p>
    <w:p w:rsidR="006252C4" w:rsidRPr="00A81964" w:rsidRDefault="006252C4" w:rsidP="006252C4">
      <w:pPr>
        <w:pStyle w:val="50"/>
        <w:spacing w:line="269" w:lineRule="auto"/>
        <w:rPr>
          <w:rtl/>
        </w:rPr>
      </w:pPr>
      <w:r w:rsidRPr="00A81964">
        <w:rPr>
          <w:rFonts w:hint="eastAsia"/>
          <w:rtl/>
        </w:rPr>
        <w:t>מסלולי</w:t>
      </w:r>
      <w:r w:rsidRPr="00A81964">
        <w:rPr>
          <w:rFonts w:hint="cs"/>
          <w:rtl/>
        </w:rPr>
        <w:t xml:space="preserve"> </w:t>
      </w:r>
      <w:r w:rsidRPr="00A81964">
        <w:rPr>
          <w:rFonts w:hint="eastAsia"/>
          <w:rtl/>
        </w:rPr>
        <w:t>האזור</w:t>
      </w:r>
      <w:r w:rsidRPr="00A81964">
        <w:rPr>
          <w:rtl/>
        </w:rPr>
        <w:t xml:space="preserve"> </w:t>
      </w:r>
      <w:r w:rsidRPr="00A81964">
        <w:rPr>
          <w:rFonts w:hint="eastAsia"/>
          <w:rtl/>
        </w:rPr>
        <w:t>המיוחד</w:t>
      </w:r>
    </w:p>
    <w:p w:rsidR="006252C4" w:rsidRDefault="006252C4" w:rsidP="006252C4">
      <w:pPr>
        <w:pStyle w:val="a8"/>
        <w:spacing w:line="269" w:lineRule="auto"/>
        <w:rPr>
          <w:rtl/>
        </w:rPr>
      </w:pPr>
    </w:p>
    <w:p w:rsidR="006252C4" w:rsidRDefault="006252C4" w:rsidP="006252C4">
      <w:pPr>
        <w:spacing w:line="269" w:lineRule="auto"/>
        <w:rPr>
          <w:rtl/>
        </w:rPr>
      </w:pPr>
      <w:r w:rsidRPr="00A81964">
        <w:rPr>
          <w:rFonts w:hint="cs"/>
          <w:rtl/>
        </w:rPr>
        <w:t xml:space="preserve">ביום </w:t>
      </w:r>
      <w:r>
        <w:rPr>
          <w:rFonts w:hint="cs"/>
          <w:rtl/>
        </w:rPr>
        <w:t>20</w:t>
      </w:r>
      <w:r w:rsidRPr="00A81964">
        <w:rPr>
          <w:rFonts w:hint="cs"/>
          <w:rtl/>
        </w:rPr>
        <w:t>.11.23</w:t>
      </w:r>
      <w:r>
        <w:rPr>
          <w:rFonts w:hint="cs"/>
          <w:rtl/>
        </w:rPr>
        <w:t xml:space="preserve"> פורסמו</w:t>
      </w:r>
      <w:r w:rsidRPr="00A81964">
        <w:rPr>
          <w:rFonts w:hint="cs"/>
          <w:rtl/>
        </w:rPr>
        <w:t xml:space="preserve"> תקנות מס רכוש וקרן הפיצויים (תשלום פיצויים) (נזק מלחמה ונזק עקיף) (חרבות ברזל) (הוראת שעה), התשפ"ד-2023 (להלן - תקנות האזור המיוחד), בהן נקבעו התנאים לקבלת פיצוי בגין נזק עקיף שנגרם לעסקים ביישובים המצויים ב"אזור המיוחד" כהגדרתו בתקנות (להלן - האזור המיוחד)</w:t>
      </w:r>
      <w:r w:rsidRPr="00A81964">
        <w:rPr>
          <w:rStyle w:val="af2"/>
          <w:rtl/>
        </w:rPr>
        <w:footnoteReference w:id="42"/>
      </w:r>
      <w:r w:rsidRPr="00A81964">
        <w:rPr>
          <w:rFonts w:hint="cs"/>
          <w:rtl/>
        </w:rPr>
        <w:t>. זאת בהתאם לשלושה מסלולים (להלן - מסלולי האזור המיוחד): מסלול שכר, מסלול מחזורים ומסלול חקלאות. ניתן להגיש תביעה בגין אותה תקופה רק באחד מן המסלולים, לפי בחירת הניזוק.</w:t>
      </w:r>
    </w:p>
    <w:p w:rsidR="006252C4" w:rsidRPr="00A81964" w:rsidRDefault="006252C4" w:rsidP="006252C4">
      <w:pPr>
        <w:spacing w:line="269" w:lineRule="auto"/>
        <w:rPr>
          <w:rtl/>
        </w:rPr>
      </w:pPr>
    </w:p>
    <w:p w:rsidR="006252C4" w:rsidRPr="00A81964" w:rsidRDefault="006252C4" w:rsidP="006252C4">
      <w:pPr>
        <w:pStyle w:val="6"/>
        <w:spacing w:line="269" w:lineRule="auto"/>
        <w:rPr>
          <w:rtl/>
        </w:rPr>
      </w:pPr>
      <w:r w:rsidRPr="00A81964">
        <w:rPr>
          <w:rFonts w:hint="cs"/>
          <w:rtl/>
        </w:rPr>
        <w:lastRenderedPageBreak/>
        <w:t>מסלול שכר</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מסלול שכר מיועד למעסיקים</w:t>
      </w:r>
      <w:r w:rsidRPr="00A81964">
        <w:rPr>
          <w:rStyle w:val="af2"/>
          <w:rtl/>
        </w:rPr>
        <w:footnoteReference w:id="43"/>
      </w:r>
      <w:r w:rsidRPr="00A81964">
        <w:rPr>
          <w:rtl/>
        </w:rPr>
        <w:t xml:space="preserve"> </w:t>
      </w:r>
      <w:r w:rsidRPr="00A81964">
        <w:rPr>
          <w:rFonts w:hint="cs"/>
          <w:rtl/>
        </w:rPr>
        <w:t>שהמשיכו</w:t>
      </w:r>
      <w:r w:rsidRPr="00A81964">
        <w:rPr>
          <w:rtl/>
        </w:rPr>
        <w:t xml:space="preserve"> לשלם שכר לעובדיהם</w:t>
      </w:r>
      <w:r w:rsidRPr="00A81964">
        <w:rPr>
          <w:rFonts w:hint="cs"/>
          <w:rtl/>
        </w:rPr>
        <w:t xml:space="preserve"> המתגוררים באזור מיוחד</w:t>
      </w:r>
      <w:r w:rsidRPr="00A81964">
        <w:rPr>
          <w:rStyle w:val="af2"/>
          <w:rtl/>
        </w:rPr>
        <w:footnoteReference w:id="44"/>
      </w:r>
      <w:r w:rsidRPr="00A81964">
        <w:rPr>
          <w:rtl/>
        </w:rPr>
        <w:t xml:space="preserve"> </w:t>
      </w:r>
      <w:r w:rsidRPr="00A81964">
        <w:rPr>
          <w:rFonts w:hint="cs"/>
          <w:rtl/>
        </w:rPr>
        <w:t>ו</w:t>
      </w:r>
      <w:r w:rsidRPr="00A81964">
        <w:rPr>
          <w:rtl/>
        </w:rPr>
        <w:t>נעדרו בשל המלחמה</w:t>
      </w:r>
      <w:r w:rsidRPr="00A81964">
        <w:rPr>
          <w:rStyle w:val="af2"/>
          <w:rtl/>
        </w:rPr>
        <w:footnoteReference w:id="45"/>
      </w:r>
      <w:r w:rsidRPr="00A81964">
        <w:rPr>
          <w:rtl/>
        </w:rPr>
        <w:t>,</w:t>
      </w:r>
      <w:r w:rsidRPr="00A81964">
        <w:rPr>
          <w:rFonts w:hint="cs"/>
          <w:rtl/>
        </w:rPr>
        <w:t xml:space="preserve"> לעובדים</w:t>
      </w:r>
      <w:r w:rsidRPr="00A81964">
        <w:rPr>
          <w:rtl/>
        </w:rPr>
        <w:t xml:space="preserve"> </w:t>
      </w:r>
      <w:r w:rsidRPr="00A81964">
        <w:rPr>
          <w:rFonts w:hint="cs"/>
          <w:rtl/>
        </w:rPr>
        <w:t>ש</w:t>
      </w:r>
      <w:r w:rsidRPr="00A81964">
        <w:rPr>
          <w:rtl/>
        </w:rPr>
        <w:t>נעדר</w:t>
      </w:r>
      <w:r w:rsidRPr="00A81964">
        <w:rPr>
          <w:rFonts w:hint="cs"/>
          <w:rtl/>
        </w:rPr>
        <w:t>ו</w:t>
      </w:r>
      <w:r w:rsidRPr="00A81964">
        <w:rPr>
          <w:rtl/>
        </w:rPr>
        <w:t xml:space="preserve"> מעבודת</w:t>
      </w:r>
      <w:r w:rsidRPr="00A81964">
        <w:rPr>
          <w:rFonts w:hint="cs"/>
          <w:rtl/>
        </w:rPr>
        <w:t>ם</w:t>
      </w:r>
      <w:r w:rsidRPr="00A81964">
        <w:rPr>
          <w:rtl/>
        </w:rPr>
        <w:t xml:space="preserve"> עקב הוראה על סגירת מוסד החינוך שבו </w:t>
      </w:r>
      <w:r w:rsidRPr="00A81964">
        <w:rPr>
          <w:rFonts w:hint="cs"/>
          <w:rtl/>
        </w:rPr>
        <w:t>הם מועסקים</w:t>
      </w:r>
      <w:r w:rsidRPr="00A81964">
        <w:rPr>
          <w:rtl/>
        </w:rPr>
        <w:t xml:space="preserve"> או בשל איסור על התקהלות</w:t>
      </w:r>
      <w:r w:rsidRPr="00A81964">
        <w:rPr>
          <w:rFonts w:hint="cs"/>
          <w:rtl/>
        </w:rPr>
        <w:t>, לעובדים עם מוגבלות</w:t>
      </w:r>
      <w:r>
        <w:rPr>
          <w:rFonts w:hint="cs"/>
          <w:rtl/>
        </w:rPr>
        <w:t xml:space="preserve"> שמתגוררים באזור המיוחד</w:t>
      </w:r>
      <w:r w:rsidRPr="00A81964">
        <w:rPr>
          <w:rFonts w:hint="cs"/>
          <w:rtl/>
        </w:rPr>
        <w:t xml:space="preserve"> או שהם קרובים של אדם עם מוגבלות המתגורר באזור המיוחד ונעדרו מעבודתם לצורך השגחה או טיפול בו ול</w:t>
      </w:r>
      <w:r w:rsidRPr="00A81964">
        <w:rPr>
          <w:rtl/>
        </w:rPr>
        <w:t>הורים</w:t>
      </w:r>
      <w:r w:rsidRPr="00A81964">
        <w:rPr>
          <w:rFonts w:hint="cs"/>
          <w:rtl/>
        </w:rPr>
        <w:t xml:space="preserve"> </w:t>
      </w:r>
      <w:r w:rsidRPr="00A81964">
        <w:rPr>
          <w:rtl/>
        </w:rPr>
        <w:t>שנעדרו</w:t>
      </w:r>
      <w:r w:rsidRPr="00A81964">
        <w:rPr>
          <w:rFonts w:hint="cs"/>
          <w:rtl/>
        </w:rPr>
        <w:t xml:space="preserve"> מעבודתם לצורך השגחה על ילדיהם שמתחת לגיל 14</w:t>
      </w:r>
      <w:r w:rsidRPr="00A81964">
        <w:rPr>
          <w:rtl/>
        </w:rPr>
        <w:t xml:space="preserve"> בשל סגירת מוסדות </w:t>
      </w:r>
      <w:r w:rsidRPr="00A81964">
        <w:rPr>
          <w:rFonts w:hint="cs"/>
          <w:rtl/>
        </w:rPr>
        <w:t>ה</w:t>
      </w:r>
      <w:r w:rsidRPr="00A81964">
        <w:rPr>
          <w:rtl/>
        </w:rPr>
        <w:t>חינוך</w:t>
      </w:r>
      <w:r w:rsidRPr="00A81964">
        <w:rPr>
          <w:rFonts w:hint="cs"/>
          <w:rtl/>
        </w:rPr>
        <w:t xml:space="preserve"> </w:t>
      </w:r>
      <w:r>
        <w:rPr>
          <w:rFonts w:hint="cs"/>
          <w:rtl/>
        </w:rPr>
        <w:t>במקום מגוריהם המצוי באזור המיוחד.</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 xml:space="preserve">הפיצוי מחושב לפי </w:t>
      </w:r>
      <w:r w:rsidRPr="00A81964">
        <w:rPr>
          <w:rFonts w:hint="cs"/>
          <w:rtl/>
        </w:rPr>
        <w:t>כפל</w:t>
      </w:r>
      <w:r w:rsidRPr="00A81964">
        <w:rPr>
          <w:rtl/>
        </w:rPr>
        <w:t xml:space="preserve"> ימי ההיעדרות של העובד בסכום של 520 ש"ח ליום עבודה מלא</w:t>
      </w:r>
      <w:r w:rsidRPr="00A81964">
        <w:rPr>
          <w:rStyle w:val="af2"/>
          <w:rtl/>
        </w:rPr>
        <w:footnoteReference w:id="46"/>
      </w:r>
      <w:r w:rsidRPr="00A81964">
        <w:rPr>
          <w:rtl/>
        </w:rPr>
        <w:t xml:space="preserve">. </w:t>
      </w:r>
      <w:r w:rsidRPr="00A81964">
        <w:rPr>
          <w:rFonts w:hint="cs"/>
          <w:rtl/>
        </w:rPr>
        <w:t xml:space="preserve">התקנות מחריגות היעדרות בגין מחלה, תאונה, חופשה שנתית, מילואים או בשבת </w:t>
      </w:r>
      <w:r w:rsidRPr="007C6AB2">
        <w:rPr>
          <w:rFonts w:hint="eastAsia"/>
          <w:rtl/>
        </w:rPr>
        <w:t>ו</w:t>
      </w:r>
      <w:r w:rsidRPr="00A81964">
        <w:rPr>
          <w:rFonts w:hint="cs"/>
          <w:rtl/>
        </w:rPr>
        <w:t>בחג ובשישי - למעט מי שעובד באופן רגיל בימים אלה.</w:t>
      </w:r>
    </w:p>
    <w:p w:rsidR="006252C4" w:rsidRPr="00A81964" w:rsidRDefault="006252C4" w:rsidP="006252C4">
      <w:pPr>
        <w:spacing w:line="269" w:lineRule="auto"/>
        <w:rPr>
          <w:rtl/>
        </w:rPr>
      </w:pPr>
    </w:p>
    <w:p w:rsidR="006252C4" w:rsidRPr="00A81964" w:rsidRDefault="006252C4" w:rsidP="006252C4">
      <w:pPr>
        <w:pStyle w:val="6"/>
        <w:spacing w:line="269" w:lineRule="auto"/>
        <w:rPr>
          <w:rtl/>
        </w:rPr>
      </w:pPr>
      <w:r w:rsidRPr="00A81964">
        <w:rPr>
          <w:rFonts w:hint="cs"/>
          <w:rtl/>
        </w:rPr>
        <w:t>מסלול מחזורים</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מסלול מחזורים מיועד ל</w:t>
      </w:r>
      <w:r>
        <w:rPr>
          <w:rFonts w:hint="cs"/>
          <w:rtl/>
        </w:rPr>
        <w:t xml:space="preserve">ניזוקים </w:t>
      </w:r>
      <w:r w:rsidRPr="00A81964">
        <w:rPr>
          <w:rFonts w:hint="cs"/>
          <w:rtl/>
        </w:rPr>
        <w:t>מהאזור המיוחד</w:t>
      </w:r>
      <w:r w:rsidRPr="00A81964">
        <w:rPr>
          <w:rStyle w:val="af2"/>
          <w:rtl/>
        </w:rPr>
        <w:footnoteReference w:id="47"/>
      </w:r>
      <w:r w:rsidRPr="00A81964">
        <w:rPr>
          <w:rtl/>
        </w:rPr>
        <w:t xml:space="preserve"> </w:t>
      </w:r>
      <w:r w:rsidRPr="00A81964">
        <w:rPr>
          <w:rFonts w:hint="cs"/>
          <w:rtl/>
        </w:rPr>
        <w:t>שחלה</w:t>
      </w:r>
      <w:r w:rsidRPr="00A81964">
        <w:rPr>
          <w:rtl/>
        </w:rPr>
        <w:t xml:space="preserve"> ירידה במחזור העסקאות</w:t>
      </w:r>
      <w:r w:rsidRPr="00A81964">
        <w:rPr>
          <w:rStyle w:val="af2"/>
          <w:rtl/>
        </w:rPr>
        <w:footnoteReference w:id="48"/>
      </w:r>
      <w:r>
        <w:rPr>
          <w:rFonts w:hint="cs"/>
          <w:rtl/>
        </w:rPr>
        <w:t xml:space="preserve"> </w:t>
      </w:r>
      <w:r w:rsidRPr="00A81964">
        <w:rPr>
          <w:rtl/>
        </w:rPr>
        <w:t>שלהם</w:t>
      </w:r>
      <w:r w:rsidRPr="00A81964">
        <w:rPr>
          <w:rFonts w:hint="cs"/>
          <w:rtl/>
        </w:rPr>
        <w:t xml:space="preserve"> </w:t>
      </w:r>
      <w:r w:rsidRPr="00A81964">
        <w:rPr>
          <w:rtl/>
        </w:rPr>
        <w:t>עקב המלחמה</w:t>
      </w:r>
      <w:r w:rsidRPr="00A81964">
        <w:rPr>
          <w:rFonts w:hint="cs"/>
          <w:rtl/>
        </w:rPr>
        <w:t>. מסלול זה מאפשר הגשת תביעה לפיצוי בגין נזק עקיף עד לסכום של 2.5 מיליון ש"ח.</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 xml:space="preserve">חישוב </w:t>
      </w:r>
      <w:r w:rsidRPr="00A81964">
        <w:rPr>
          <w:rFonts w:hint="cs"/>
          <w:rtl/>
        </w:rPr>
        <w:t xml:space="preserve">שווי </w:t>
      </w:r>
      <w:r w:rsidRPr="00A81964">
        <w:rPr>
          <w:rtl/>
        </w:rPr>
        <w:t>הנזק</w:t>
      </w:r>
      <w:r w:rsidRPr="00A81964">
        <w:rPr>
          <w:rFonts w:hint="cs"/>
          <w:rtl/>
        </w:rPr>
        <w:t xml:space="preserve"> העקיף</w:t>
      </w:r>
      <w:r w:rsidRPr="00A81964">
        <w:rPr>
          <w:rtl/>
        </w:rPr>
        <w:t xml:space="preserve"> לפי מסלול זה מבוסס על השוואת מחזורי העסקאות בין שתי תקופות מקבילות</w:t>
      </w:r>
      <w:r w:rsidRPr="00A81964">
        <w:rPr>
          <w:rStyle w:val="af2"/>
          <w:rtl/>
        </w:rPr>
        <w:footnoteReference w:id="49"/>
      </w:r>
      <w:r w:rsidRPr="00A81964">
        <w:rPr>
          <w:rFonts w:hint="cs"/>
          <w:rtl/>
        </w:rPr>
        <w:t xml:space="preserve">: (א) </w:t>
      </w:r>
      <w:r w:rsidRPr="00A81964">
        <w:rPr>
          <w:rtl/>
        </w:rPr>
        <w:t xml:space="preserve">"תקופת הזכאות לפיצוי" </w:t>
      </w:r>
      <w:r w:rsidRPr="00A81964">
        <w:rPr>
          <w:rFonts w:hint="cs"/>
          <w:rtl/>
        </w:rPr>
        <w:t xml:space="preserve">(להלן - תקופת הזכאות) </w:t>
      </w:r>
      <w:r w:rsidRPr="00A81964">
        <w:rPr>
          <w:rtl/>
        </w:rPr>
        <w:t>-</w:t>
      </w:r>
      <w:r w:rsidRPr="00A81964">
        <w:rPr>
          <w:rFonts w:hint="cs"/>
          <w:rtl/>
        </w:rPr>
        <w:t xml:space="preserve"> </w:t>
      </w:r>
      <w:r w:rsidRPr="00A81964">
        <w:rPr>
          <w:rtl/>
        </w:rPr>
        <w:t>תקנות האזור המיוחד מגדירות מספר תקופות שנחשבות ל"תקופות זכאות" שניתן להגיש לגביהן תביעה במסלול מחזורים לפיצוי בגין נזק עקיף שנגרם ל</w:t>
      </w:r>
      <w:r>
        <w:rPr>
          <w:rFonts w:hint="cs"/>
          <w:rtl/>
        </w:rPr>
        <w:t>ניזוק</w:t>
      </w:r>
      <w:r w:rsidRPr="00A81964">
        <w:rPr>
          <w:rtl/>
        </w:rPr>
        <w:t xml:space="preserve"> במהלכן</w:t>
      </w:r>
      <w:r w:rsidRPr="00A81964">
        <w:rPr>
          <w:rFonts w:hint="cs"/>
          <w:rtl/>
        </w:rPr>
        <w:t xml:space="preserve">. </w:t>
      </w:r>
      <w:r w:rsidRPr="00A81964">
        <w:rPr>
          <w:rtl/>
        </w:rPr>
        <w:t>לדוג</w:t>
      </w:r>
      <w:r w:rsidRPr="00A81964">
        <w:rPr>
          <w:rFonts w:hint="cs"/>
          <w:rtl/>
        </w:rPr>
        <w:t>מה</w:t>
      </w:r>
      <w:r w:rsidRPr="00A81964">
        <w:rPr>
          <w:rtl/>
        </w:rPr>
        <w:t>: אוקטובר 2023, נובמבר-דצמבר 2023 וינואר-פברואר 2024</w:t>
      </w:r>
      <w:r w:rsidRPr="00A81964">
        <w:rPr>
          <w:rFonts w:hint="cs"/>
          <w:rtl/>
        </w:rPr>
        <w:t xml:space="preserve">; (ב) </w:t>
      </w:r>
      <w:r w:rsidRPr="00A81964">
        <w:rPr>
          <w:rtl/>
        </w:rPr>
        <w:t>"תקופת הבסיס" - התקופה המקבילה בשנת המס הקודמת לתקופת הזכאות הנבחנת</w:t>
      </w:r>
      <w:r>
        <w:rPr>
          <w:rFonts w:hint="cs"/>
          <w:rtl/>
        </w:rPr>
        <w:t xml:space="preserve"> </w:t>
      </w:r>
      <w:r w:rsidRPr="00A81964">
        <w:rPr>
          <w:rFonts w:hint="cs"/>
          <w:rtl/>
        </w:rPr>
        <w:t>(להלן - תקופת הבסיס).</w:t>
      </w:r>
    </w:p>
    <w:p w:rsidR="006252C4" w:rsidRDefault="006252C4" w:rsidP="006252C4">
      <w:pPr>
        <w:pStyle w:val="a8"/>
        <w:spacing w:line="269" w:lineRule="auto"/>
        <w:rPr>
          <w:rtl/>
        </w:rPr>
      </w:pPr>
    </w:p>
    <w:p w:rsidR="006252C4" w:rsidRDefault="006252C4" w:rsidP="006252C4">
      <w:pPr>
        <w:spacing w:line="269" w:lineRule="auto"/>
        <w:rPr>
          <w:rtl/>
        </w:rPr>
      </w:pPr>
      <w:r w:rsidRPr="00A81964">
        <w:rPr>
          <w:rFonts w:hint="cs"/>
          <w:rtl/>
        </w:rPr>
        <w:lastRenderedPageBreak/>
        <w:t>הפער שבין תקופת הזכאות לתקופת הבסיס מוכפל ב"משלים ההוצאה הנחסכת", ה</w:t>
      </w:r>
      <w:r w:rsidRPr="00A81964">
        <w:rPr>
          <w:rtl/>
        </w:rPr>
        <w:t>מבטא את שיעור הירידה בהוצאות השוטפות בעת ירידת הפעילות העסקית ומביא לידי ביטוי הוצאות</w:t>
      </w:r>
      <w:r w:rsidRPr="00A81964">
        <w:rPr>
          <w:rFonts w:hint="cs"/>
          <w:rtl/>
        </w:rPr>
        <w:t xml:space="preserve"> </w:t>
      </w:r>
      <w:r w:rsidRPr="00A81964">
        <w:rPr>
          <w:rtl/>
        </w:rPr>
        <w:t>שלא נחסכו למרות הירידה בפעילות העסקית.</w:t>
      </w:r>
    </w:p>
    <w:p w:rsidR="006252C4" w:rsidRPr="00A81964" w:rsidRDefault="006252C4" w:rsidP="006252C4">
      <w:pPr>
        <w:spacing w:line="269" w:lineRule="auto"/>
        <w:rPr>
          <w:rtl/>
        </w:rPr>
      </w:pPr>
    </w:p>
    <w:p w:rsidR="006252C4" w:rsidRPr="00A81964" w:rsidRDefault="006252C4" w:rsidP="006252C4">
      <w:pPr>
        <w:pStyle w:val="6"/>
        <w:spacing w:line="269" w:lineRule="auto"/>
        <w:rPr>
          <w:rtl/>
        </w:rPr>
      </w:pPr>
      <w:r w:rsidRPr="00A81964">
        <w:rPr>
          <w:rFonts w:hint="cs"/>
          <w:rtl/>
        </w:rPr>
        <w:t>מסלול חקלאות</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מסלול זה נועד</w:t>
      </w:r>
      <w:r w:rsidRPr="00A81964">
        <w:rPr>
          <w:rtl/>
        </w:rPr>
        <w:t xml:space="preserve"> לתת מענה ל</w:t>
      </w:r>
      <w:r>
        <w:rPr>
          <w:rFonts w:hint="cs"/>
          <w:rtl/>
        </w:rPr>
        <w:t>ניזוקים</w:t>
      </w:r>
      <w:r w:rsidRPr="00A81964">
        <w:rPr>
          <w:rtl/>
        </w:rPr>
        <w:t xml:space="preserve"> </w:t>
      </w:r>
      <w:r>
        <w:rPr>
          <w:rFonts w:hint="cs"/>
          <w:rtl/>
        </w:rPr>
        <w:t>חקלאיים</w:t>
      </w:r>
      <w:r w:rsidRPr="00A81964">
        <w:rPr>
          <w:rStyle w:val="af2"/>
          <w:rtl/>
        </w:rPr>
        <w:footnoteReference w:id="50"/>
      </w:r>
      <w:r w:rsidRPr="00A81964">
        <w:rPr>
          <w:rFonts w:hint="cs"/>
          <w:rtl/>
        </w:rPr>
        <w:t xml:space="preserve"> בחלק מיישובי האזור המיוחד</w:t>
      </w:r>
      <w:r w:rsidRPr="00A81964">
        <w:rPr>
          <w:rStyle w:val="af2"/>
          <w:rtl/>
        </w:rPr>
        <w:footnoteReference w:id="51"/>
      </w:r>
      <w:r w:rsidRPr="00A81964">
        <w:rPr>
          <w:rtl/>
        </w:rPr>
        <w:t xml:space="preserve"> בדרך של </w:t>
      </w:r>
      <w:r w:rsidRPr="00A81964">
        <w:rPr>
          <w:rFonts w:hint="cs"/>
          <w:rtl/>
        </w:rPr>
        <w:t xml:space="preserve">פיצוי על </w:t>
      </w:r>
      <w:r w:rsidRPr="00A81964">
        <w:rPr>
          <w:rtl/>
        </w:rPr>
        <w:t>אובדן תפוקת העובדים שהיו</w:t>
      </w:r>
      <w:r w:rsidRPr="00A81964">
        <w:rPr>
          <w:rFonts w:hint="cs"/>
          <w:rtl/>
        </w:rPr>
        <w:t xml:space="preserve"> </w:t>
      </w:r>
      <w:r w:rsidRPr="00A81964">
        <w:rPr>
          <w:rtl/>
        </w:rPr>
        <w:t>אמורים לעבוד בשטחים החקלאיים</w:t>
      </w:r>
      <w:r w:rsidRPr="00A81964">
        <w:rPr>
          <w:rFonts w:hint="cs"/>
          <w:rtl/>
        </w:rPr>
        <w:t xml:space="preserve"> </w:t>
      </w:r>
      <w:r w:rsidRPr="00A81964">
        <w:rPr>
          <w:rtl/>
        </w:rPr>
        <w:t xml:space="preserve">ועבודתם נמנעה או הופרעה עקב </w:t>
      </w:r>
      <w:r w:rsidRPr="00A81964">
        <w:rPr>
          <w:rFonts w:hint="cs"/>
          <w:rtl/>
        </w:rPr>
        <w:t>המלחמה, וזאת בתנאי שהמשיכו לשלם להם שכר.</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סכום הפיצוי </w:t>
      </w:r>
      <w:r>
        <w:rPr>
          <w:rFonts w:ascii="David" w:hAnsi="David" w:hint="cs"/>
          <w:rtl/>
        </w:rPr>
        <w:t>לניזוק חקלאי שעומד</w:t>
      </w:r>
      <w:r w:rsidRPr="00A81964">
        <w:rPr>
          <w:rFonts w:ascii="David" w:hAnsi="David" w:hint="cs"/>
          <w:rtl/>
        </w:rPr>
        <w:t xml:space="preserve"> בתנאי הזכאות</w:t>
      </w:r>
      <w:r w:rsidRPr="00A81964">
        <w:rPr>
          <w:rStyle w:val="af2"/>
          <w:rFonts w:ascii="David" w:hAnsi="David"/>
          <w:rtl/>
        </w:rPr>
        <w:footnoteReference w:id="52"/>
      </w:r>
      <w:r w:rsidRPr="00A81964">
        <w:rPr>
          <w:rFonts w:hint="cs"/>
          <w:rtl/>
        </w:rPr>
        <w:t xml:space="preserve"> מחושב לפי מספר העובדים</w:t>
      </w:r>
      <w:r>
        <w:rPr>
          <w:rFonts w:hint="cs"/>
          <w:rtl/>
        </w:rPr>
        <w:t xml:space="preserve"> של הניזוק</w:t>
      </w:r>
      <w:r w:rsidRPr="00A81964">
        <w:rPr>
          <w:rFonts w:hint="cs"/>
          <w:rtl/>
        </w:rPr>
        <w:t xml:space="preserve"> המועסקים בשטחים חקלאיים באזור המיוחד </w:t>
      </w:r>
      <w:r>
        <w:rPr>
          <w:rFonts w:hint="cs"/>
          <w:rtl/>
        </w:rPr>
        <w:t>שנעדרו מעבודתם בשל המצב הביטחוני</w:t>
      </w:r>
      <w:r w:rsidRPr="00A81964">
        <w:rPr>
          <w:rFonts w:hint="cs"/>
          <w:rtl/>
        </w:rPr>
        <w:t xml:space="preserve">, כפול 12,844 ש"ח, עד לסכום פיצוי של 3 מיליון ש"ח לחודש. </w:t>
      </w:r>
    </w:p>
    <w:p w:rsidR="006252C4" w:rsidRDefault="006252C4" w:rsidP="006252C4">
      <w:pPr>
        <w:spacing w:line="269" w:lineRule="auto"/>
        <w:rPr>
          <w:rtl/>
        </w:rPr>
      </w:pPr>
    </w:p>
    <w:p w:rsidR="006252C4" w:rsidRPr="00A81964" w:rsidRDefault="006252C4" w:rsidP="006252C4">
      <w:pPr>
        <w:pStyle w:val="50"/>
        <w:spacing w:line="269" w:lineRule="auto"/>
        <w:rPr>
          <w:rtl/>
        </w:rPr>
      </w:pPr>
      <w:r w:rsidRPr="00A81964">
        <w:rPr>
          <w:rFonts w:hint="cs"/>
          <w:rtl/>
        </w:rPr>
        <w:t>המסלול הכלל-ארצי</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ב-</w:t>
      </w:r>
      <w:r>
        <w:rPr>
          <w:rFonts w:hint="cs"/>
          <w:rtl/>
        </w:rPr>
        <w:t>9.11.23</w:t>
      </w:r>
      <w:r w:rsidRPr="00A81964">
        <w:rPr>
          <w:rFonts w:hint="cs"/>
          <w:rtl/>
        </w:rPr>
        <w:t xml:space="preserve"> פורסם </w:t>
      </w:r>
      <w:r w:rsidRPr="00A81964">
        <w:rPr>
          <w:rtl/>
        </w:rPr>
        <w:t>חוק הת</w:t>
      </w:r>
      <w:r w:rsidRPr="00A81964">
        <w:rPr>
          <w:rFonts w:hint="cs"/>
          <w:rtl/>
        </w:rPr>
        <w:t>ו</w:t>
      </w:r>
      <w:r w:rsidRPr="00A81964">
        <w:rPr>
          <w:rtl/>
        </w:rPr>
        <w:t xml:space="preserve">כנית לסיוע כלכלי </w:t>
      </w:r>
      <w:r w:rsidRPr="00A81964">
        <w:rPr>
          <w:rFonts w:hint="cs"/>
          <w:rtl/>
        </w:rPr>
        <w:t>(</w:t>
      </w:r>
      <w:r w:rsidRPr="00A81964">
        <w:rPr>
          <w:rtl/>
        </w:rPr>
        <w:t>הוראת שעה</w:t>
      </w:r>
      <w:r w:rsidRPr="00A81964">
        <w:rPr>
          <w:rFonts w:hint="cs"/>
          <w:rtl/>
        </w:rPr>
        <w:t>-</w:t>
      </w:r>
      <w:r w:rsidRPr="00A81964">
        <w:rPr>
          <w:rtl/>
        </w:rPr>
        <w:t>חרבות ברזל</w:t>
      </w:r>
      <w:r w:rsidRPr="00A81964">
        <w:rPr>
          <w:rFonts w:hint="cs"/>
          <w:rtl/>
        </w:rPr>
        <w:t>)</w:t>
      </w:r>
      <w:r w:rsidRPr="00A81964">
        <w:rPr>
          <w:rtl/>
        </w:rPr>
        <w:t>, התשפ"ד-2023</w:t>
      </w:r>
      <w:r w:rsidRPr="00A81964">
        <w:rPr>
          <w:rFonts w:hint="cs"/>
          <w:rtl/>
        </w:rPr>
        <w:t xml:space="preserve"> (להלן - הוראת השעה למסלול הכלל ארצי). בחוק זה </w:t>
      </w:r>
      <w:r w:rsidRPr="00A81964">
        <w:rPr>
          <w:rtl/>
        </w:rPr>
        <w:t xml:space="preserve">נקבע מתווה סיוע לעסקים קטנים ובינוניים </w:t>
      </w:r>
      <w:r w:rsidRPr="00A81964">
        <w:rPr>
          <w:rFonts w:hint="cs"/>
          <w:rtl/>
        </w:rPr>
        <w:t>שכלל פיצוי בעד</w:t>
      </w:r>
      <w:r w:rsidRPr="00A81964">
        <w:rPr>
          <w:rtl/>
        </w:rPr>
        <w:t xml:space="preserve"> הוצאות קבועות </w:t>
      </w:r>
      <w:r w:rsidRPr="00A81964">
        <w:rPr>
          <w:rFonts w:hint="cs"/>
          <w:rtl/>
        </w:rPr>
        <w:t>ו</w:t>
      </w:r>
      <w:r w:rsidRPr="00A81964">
        <w:rPr>
          <w:rtl/>
        </w:rPr>
        <w:t>הוצאות שכר</w:t>
      </w:r>
      <w:r w:rsidRPr="00A81964">
        <w:rPr>
          <w:rFonts w:hint="cs"/>
          <w:rtl/>
        </w:rPr>
        <w:t xml:space="preserve"> (להלן - המסלול הכלל ארצי)</w:t>
      </w:r>
      <w:r w:rsidRPr="00A81964">
        <w:rPr>
          <w:rtl/>
        </w:rPr>
        <w:t>.</w:t>
      </w:r>
      <w:r w:rsidRPr="00A81964">
        <w:rPr>
          <w:rFonts w:hint="cs"/>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המסלול הכלל ארצי </w:t>
      </w:r>
      <w:r w:rsidRPr="00A81964">
        <w:rPr>
          <w:rtl/>
        </w:rPr>
        <w:t>מבוסס על מודל הפיצויים שניתנו בעבר</w:t>
      </w:r>
      <w:r w:rsidRPr="00A81964">
        <w:rPr>
          <w:rFonts w:hint="cs"/>
          <w:rtl/>
        </w:rPr>
        <w:t xml:space="preserve"> </w:t>
      </w:r>
      <w:r w:rsidRPr="00A81964">
        <w:rPr>
          <w:rtl/>
        </w:rPr>
        <w:t>באירועי לח</w:t>
      </w:r>
      <w:r w:rsidRPr="00A81964">
        <w:rPr>
          <w:rFonts w:hint="cs"/>
          <w:rtl/>
        </w:rPr>
        <w:t>י</w:t>
      </w:r>
      <w:r w:rsidRPr="00A81964">
        <w:rPr>
          <w:rtl/>
        </w:rPr>
        <w:t xml:space="preserve">מה לפי חוק </w:t>
      </w:r>
      <w:r w:rsidRPr="00A81964">
        <w:rPr>
          <w:rFonts w:hint="cs"/>
          <w:rtl/>
        </w:rPr>
        <w:t>קרן הפיצויים</w:t>
      </w:r>
      <w:r w:rsidRPr="00A81964">
        <w:rPr>
          <w:rtl/>
        </w:rPr>
        <w:t xml:space="preserve"> ועל המענקים </w:t>
      </w:r>
      <w:r w:rsidRPr="00A81964">
        <w:rPr>
          <w:rFonts w:hint="cs"/>
          <w:rtl/>
        </w:rPr>
        <w:t>ש</w:t>
      </w:r>
      <w:r w:rsidRPr="00A81964">
        <w:rPr>
          <w:rtl/>
        </w:rPr>
        <w:t xml:space="preserve">ניתנו </w:t>
      </w:r>
      <w:r w:rsidRPr="00A81964">
        <w:rPr>
          <w:rFonts w:hint="cs"/>
          <w:rtl/>
        </w:rPr>
        <w:t>בתקופת מגפת הקורונה</w:t>
      </w:r>
      <w:r w:rsidRPr="00A81964">
        <w:rPr>
          <w:rtl/>
        </w:rPr>
        <w:t xml:space="preserve">, לצד התאמות </w:t>
      </w:r>
      <w:r>
        <w:rPr>
          <w:rFonts w:hint="cs"/>
          <w:rtl/>
        </w:rPr>
        <w:t>למצב במלחמת חרבות ברזל</w:t>
      </w:r>
      <w:r w:rsidRPr="00A81964">
        <w:rPr>
          <w:rFonts w:hint="cs"/>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Pr>
          <w:rFonts w:hint="cs"/>
          <w:rtl/>
        </w:rPr>
        <w:t>ניזוקים בכל רחבי המדינה</w:t>
      </w:r>
      <w:r w:rsidRPr="00A81964">
        <w:rPr>
          <w:rtl/>
        </w:rPr>
        <w:t xml:space="preserve"> שמחזור עסקאותי</w:t>
      </w:r>
      <w:r w:rsidRPr="00A81964">
        <w:rPr>
          <w:rFonts w:hint="cs"/>
          <w:rtl/>
        </w:rPr>
        <w:t>הם</w:t>
      </w:r>
      <w:r w:rsidRPr="00A81964">
        <w:rPr>
          <w:rtl/>
        </w:rPr>
        <w:t xml:space="preserve"> </w:t>
      </w:r>
      <w:r w:rsidRPr="00A81964">
        <w:rPr>
          <w:rFonts w:hint="cs"/>
          <w:rtl/>
        </w:rPr>
        <w:t>בשנת 2022 עלה על 12,000 ש"ח ולא עלה על</w:t>
      </w:r>
      <w:r w:rsidRPr="00A81964">
        <w:rPr>
          <w:rtl/>
        </w:rPr>
        <w:t xml:space="preserve"> 300,000 ש"ח</w:t>
      </w:r>
      <w:r w:rsidRPr="00A81964">
        <w:rPr>
          <w:rFonts w:hint="cs"/>
          <w:rtl/>
        </w:rPr>
        <w:t xml:space="preserve"> וששיעור הירידה </w:t>
      </w:r>
      <w:r w:rsidRPr="00313FF3">
        <w:rPr>
          <w:rtl/>
        </w:rPr>
        <w:t>במחזור העסקאות שלהם כתוצאה מנזק עקיף עלה על</w:t>
      </w:r>
      <w:r w:rsidRPr="00313FF3" w:rsidDel="00313FF3">
        <w:rPr>
          <w:rFonts w:hint="cs"/>
          <w:rtl/>
        </w:rPr>
        <w:t xml:space="preserve"> </w:t>
      </w:r>
      <w:r w:rsidRPr="00A81964">
        <w:rPr>
          <w:rtl/>
        </w:rPr>
        <w:t>25% או יותר</w:t>
      </w:r>
      <w:r w:rsidRPr="00A81964">
        <w:rPr>
          <w:rFonts w:hint="cs"/>
          <w:rtl/>
        </w:rPr>
        <w:t xml:space="preserve"> (</w:t>
      </w:r>
      <w:r w:rsidRPr="00A81964">
        <w:rPr>
          <w:rtl/>
        </w:rPr>
        <w:t>או מעל 12.5% למדווח</w:t>
      </w:r>
      <w:r w:rsidRPr="00A81964">
        <w:rPr>
          <w:rFonts w:hint="cs"/>
          <w:rtl/>
        </w:rPr>
        <w:t>ים למע"ם בשיטת</w:t>
      </w:r>
      <w:r w:rsidRPr="00A81964">
        <w:rPr>
          <w:rtl/>
        </w:rPr>
        <w:t xml:space="preserve"> דו</w:t>
      </w:r>
      <w:r w:rsidRPr="00A81964">
        <w:rPr>
          <w:rFonts w:hint="cs"/>
          <w:rtl/>
        </w:rPr>
        <w:t>-</w:t>
      </w:r>
      <w:r w:rsidRPr="00A81964">
        <w:rPr>
          <w:rtl/>
        </w:rPr>
        <w:t>חודשי</w:t>
      </w:r>
      <w:r w:rsidRPr="00A81964">
        <w:rPr>
          <w:rFonts w:hint="cs"/>
          <w:rtl/>
        </w:rPr>
        <w:t>ת), יכולים היו להגיש תביעה</w:t>
      </w:r>
      <w:r w:rsidRPr="00A81964">
        <w:rPr>
          <w:rtl/>
        </w:rPr>
        <w:t xml:space="preserve"> לפיצויים</w:t>
      </w:r>
      <w:r w:rsidRPr="00A81964">
        <w:rPr>
          <w:rFonts w:hint="cs"/>
          <w:rtl/>
        </w:rPr>
        <w:t xml:space="preserve"> בסכומים קבועים הנעים בין 1,750 ש"ח לבין 14,025 ש"ח לכל חודש,</w:t>
      </w:r>
      <w:r w:rsidRPr="00313FF3">
        <w:rPr>
          <w:rtl/>
        </w:rPr>
        <w:t xml:space="preserve"> בעבור התקופה שהוגדרה "כתקופה הקובעת"</w:t>
      </w:r>
      <w:r>
        <w:rPr>
          <w:rFonts w:hint="cs"/>
          <w:rtl/>
        </w:rPr>
        <w:t>.</w:t>
      </w:r>
      <w:r w:rsidRPr="00A81964">
        <w:rPr>
          <w:rFonts w:hint="cs"/>
          <w:rtl/>
        </w:rPr>
        <w:t xml:space="preserve"> בהתאם למחזור עסקאותיהם ולשיעור הירידה בו.</w:t>
      </w:r>
    </w:p>
    <w:p w:rsidR="006252C4" w:rsidRDefault="006252C4" w:rsidP="006252C4">
      <w:pPr>
        <w:pStyle w:val="a8"/>
        <w:spacing w:line="269" w:lineRule="auto"/>
        <w:rPr>
          <w:rStyle w:val="af8"/>
          <w:rtl/>
        </w:rPr>
      </w:pPr>
    </w:p>
    <w:p w:rsidR="006252C4" w:rsidRPr="00A81964" w:rsidRDefault="006252C4" w:rsidP="006252C4">
      <w:pPr>
        <w:spacing w:line="269" w:lineRule="auto"/>
        <w:rPr>
          <w:rtl/>
        </w:rPr>
      </w:pPr>
      <w:r w:rsidRPr="00A81964">
        <w:rPr>
          <w:rFonts w:hint="cs"/>
          <w:rtl/>
        </w:rPr>
        <w:t>עסקים</w:t>
      </w:r>
      <w:r w:rsidRPr="00A81964">
        <w:rPr>
          <w:rtl/>
        </w:rPr>
        <w:t xml:space="preserve"> שמחזור עסקאותי</w:t>
      </w:r>
      <w:r w:rsidRPr="00A81964">
        <w:rPr>
          <w:rFonts w:hint="cs"/>
          <w:rtl/>
        </w:rPr>
        <w:t>הם</w:t>
      </w:r>
      <w:r w:rsidRPr="00A81964">
        <w:rPr>
          <w:rtl/>
        </w:rPr>
        <w:t xml:space="preserve"> </w:t>
      </w:r>
      <w:r w:rsidRPr="00A81964">
        <w:rPr>
          <w:rFonts w:hint="cs"/>
          <w:rtl/>
        </w:rPr>
        <w:t>בשנת 2022 עלה על 300,000 ש"ח ולא עלה על</w:t>
      </w:r>
      <w:r w:rsidRPr="00A81964">
        <w:rPr>
          <w:rtl/>
        </w:rPr>
        <w:t xml:space="preserve"> </w:t>
      </w:r>
      <w:r w:rsidRPr="00A81964">
        <w:rPr>
          <w:rFonts w:hint="cs"/>
          <w:rtl/>
        </w:rPr>
        <w:t>400 מיליון</w:t>
      </w:r>
      <w:r w:rsidRPr="00A81964">
        <w:rPr>
          <w:rtl/>
        </w:rPr>
        <w:t xml:space="preserve"> ש"ח</w:t>
      </w:r>
      <w:r w:rsidRPr="00A81964">
        <w:rPr>
          <w:rFonts w:hint="cs"/>
          <w:rtl/>
        </w:rPr>
        <w:t xml:space="preserve"> וששיעור הירידה </w:t>
      </w:r>
      <w:r w:rsidRPr="00313FF3">
        <w:rPr>
          <w:rtl/>
        </w:rPr>
        <w:t>במחזור העסקאות שלהם כתוצאה מנזק עקיף עלה על</w:t>
      </w:r>
      <w:r w:rsidRPr="00313FF3" w:rsidDel="00313FF3">
        <w:rPr>
          <w:rFonts w:hint="cs"/>
          <w:rtl/>
        </w:rPr>
        <w:t xml:space="preserve"> </w:t>
      </w:r>
      <w:r w:rsidRPr="00A81964">
        <w:rPr>
          <w:rtl/>
        </w:rPr>
        <w:t>25% או יותר</w:t>
      </w:r>
      <w:r w:rsidRPr="00A81964">
        <w:rPr>
          <w:rFonts w:hint="cs"/>
          <w:rtl/>
        </w:rPr>
        <w:t xml:space="preserve"> (</w:t>
      </w:r>
      <w:r w:rsidRPr="00A81964">
        <w:rPr>
          <w:rtl/>
        </w:rPr>
        <w:t>או מעל 12.5% למדווח</w:t>
      </w:r>
      <w:r w:rsidRPr="00A81964">
        <w:rPr>
          <w:rFonts w:hint="cs"/>
          <w:rtl/>
        </w:rPr>
        <w:t>ים למע"ם בשיטה</w:t>
      </w:r>
      <w:r w:rsidRPr="00A81964">
        <w:rPr>
          <w:rtl/>
        </w:rPr>
        <w:t xml:space="preserve"> דו</w:t>
      </w:r>
      <w:r w:rsidRPr="00A81964">
        <w:rPr>
          <w:rFonts w:hint="cs"/>
          <w:rtl/>
        </w:rPr>
        <w:t>-</w:t>
      </w:r>
      <w:r w:rsidRPr="00A81964">
        <w:rPr>
          <w:rtl/>
        </w:rPr>
        <w:t>חודשי</w:t>
      </w:r>
      <w:r w:rsidRPr="00A81964">
        <w:rPr>
          <w:rFonts w:hint="cs"/>
          <w:rtl/>
        </w:rPr>
        <w:t xml:space="preserve">ת), יכולים היו להגיש תביעה </w:t>
      </w:r>
      <w:r w:rsidRPr="00A81964">
        <w:rPr>
          <w:rtl/>
        </w:rPr>
        <w:t>לפיצויים</w:t>
      </w:r>
      <w:r w:rsidRPr="00A81964">
        <w:rPr>
          <w:rFonts w:hint="cs"/>
          <w:rtl/>
        </w:rPr>
        <w:t xml:space="preserve"> בגין חלק מההוצאות הקבועות</w:t>
      </w:r>
      <w:r w:rsidRPr="00A81964">
        <w:rPr>
          <w:rStyle w:val="af2"/>
          <w:rtl/>
        </w:rPr>
        <w:footnoteReference w:id="53"/>
      </w:r>
      <w:r w:rsidRPr="00A81964">
        <w:rPr>
          <w:rFonts w:hint="cs"/>
          <w:rtl/>
        </w:rPr>
        <w:t xml:space="preserve"> וחלק מהוצאות השכר שהוציאו בתקופה שלגביה התביעה מוגשת. זאת בהתאם למדרג של "הוצאות מזכות" בזיקה לשיעור הירידה במחזור העסקאות, עד לסכום פיצוי של 1.2 מיליון ש"ח לחודש</w:t>
      </w:r>
      <w:r>
        <w:rPr>
          <w:rStyle w:val="af2"/>
          <w:rtl/>
        </w:rPr>
        <w:footnoteReference w:id="54"/>
      </w:r>
      <w:r w:rsidRPr="00A81964">
        <w:rPr>
          <w:rFonts w:hint="cs"/>
          <w:rtl/>
        </w:rPr>
        <w:t>.</w:t>
      </w:r>
    </w:p>
    <w:p w:rsidR="006252C4" w:rsidRPr="00A81964" w:rsidRDefault="006252C4" w:rsidP="006252C4">
      <w:pPr>
        <w:pStyle w:val="50"/>
        <w:spacing w:line="269" w:lineRule="auto"/>
      </w:pPr>
      <w:r w:rsidRPr="00A81964">
        <w:rPr>
          <w:rFonts w:hint="cs"/>
          <w:rtl/>
        </w:rPr>
        <w:lastRenderedPageBreak/>
        <w:t xml:space="preserve">סיכום מסלולי פיצוי בגין נזק עקיף לפי </w:t>
      </w:r>
      <w:r>
        <w:rPr>
          <w:rFonts w:hint="cs"/>
          <w:rtl/>
        </w:rPr>
        <w:t>האזור הגיאוגרפי שבו מצוי עסקו של הניזוק</w:t>
      </w:r>
    </w:p>
    <w:p w:rsidR="006252C4" w:rsidRDefault="006252C4" w:rsidP="006252C4">
      <w:pPr>
        <w:pStyle w:val="a8"/>
        <w:spacing w:line="269" w:lineRule="auto"/>
        <w:rPr>
          <w:rtl/>
        </w:rPr>
      </w:pPr>
    </w:p>
    <w:p w:rsidR="006252C4" w:rsidRDefault="006252C4" w:rsidP="006252C4">
      <w:pPr>
        <w:spacing w:line="269" w:lineRule="auto"/>
        <w:rPr>
          <w:rtl/>
        </w:rPr>
      </w:pPr>
      <w:r w:rsidRPr="00A81964">
        <w:rPr>
          <w:rFonts w:hint="cs"/>
          <w:rtl/>
        </w:rPr>
        <w:t xml:space="preserve">להלן בלוח </w:t>
      </w:r>
      <w:r>
        <w:rPr>
          <w:rFonts w:hint="cs"/>
          <w:rtl/>
        </w:rPr>
        <w:t>4</w:t>
      </w:r>
      <w:r w:rsidRPr="00A81964">
        <w:rPr>
          <w:rFonts w:hint="cs"/>
          <w:rtl/>
        </w:rPr>
        <w:t xml:space="preserve"> מוצג פירוט </w:t>
      </w:r>
      <w:r w:rsidRPr="00A81964">
        <w:rPr>
          <w:rtl/>
        </w:rPr>
        <w:t xml:space="preserve">לפי </w:t>
      </w:r>
      <w:r w:rsidRPr="00A81964">
        <w:rPr>
          <w:rFonts w:hint="cs"/>
          <w:rtl/>
        </w:rPr>
        <w:t>ה</w:t>
      </w:r>
      <w:r w:rsidRPr="00A81964">
        <w:rPr>
          <w:rtl/>
        </w:rPr>
        <w:t xml:space="preserve">אזורים </w:t>
      </w:r>
      <w:r w:rsidRPr="00A81964">
        <w:rPr>
          <w:rFonts w:hint="cs"/>
          <w:rtl/>
        </w:rPr>
        <w:t>ה</w:t>
      </w:r>
      <w:r w:rsidRPr="00A81964">
        <w:rPr>
          <w:rtl/>
        </w:rPr>
        <w:t>גיאוגרפיים</w:t>
      </w:r>
      <w:r w:rsidRPr="00A81964">
        <w:rPr>
          <w:rFonts w:hint="cs"/>
          <w:rtl/>
        </w:rPr>
        <w:t xml:space="preserve"> שעסקים הרשומים בהם יכולים היו להגיש תביעות בגין נזקים עקיפים בכל אחד ממסלולי הפיצויים בכל אחת מתקופות הזכאות</w:t>
      </w:r>
      <w:r>
        <w:rPr>
          <w:rFonts w:hint="cs"/>
          <w:rtl/>
        </w:rPr>
        <w:t>.</w:t>
      </w:r>
    </w:p>
    <w:p w:rsidR="006252C4" w:rsidRDefault="006252C4" w:rsidP="006252C4">
      <w:pPr>
        <w:spacing w:line="269" w:lineRule="auto"/>
        <w:rPr>
          <w:rtl/>
        </w:rPr>
      </w:pPr>
    </w:p>
    <w:p w:rsidR="006252C4" w:rsidRPr="00A81964" w:rsidRDefault="006252C4" w:rsidP="005C1E9C">
      <w:pPr>
        <w:keepNext/>
        <w:keepLines/>
        <w:spacing w:after="60" w:line="269" w:lineRule="auto"/>
        <w:jc w:val="center"/>
        <w:rPr>
          <w:b/>
          <w:bCs/>
          <w:rtl/>
        </w:rPr>
      </w:pPr>
      <w:r w:rsidRPr="00A81964">
        <w:rPr>
          <w:rFonts w:hint="eastAsia"/>
          <w:rtl/>
        </w:rPr>
        <w:t>לוח</w:t>
      </w:r>
      <w:r w:rsidRPr="00A81964">
        <w:rPr>
          <w:rtl/>
        </w:rPr>
        <w:t xml:space="preserve"> </w:t>
      </w:r>
      <w:r>
        <w:rPr>
          <w:rFonts w:hint="cs"/>
          <w:rtl/>
        </w:rPr>
        <w:t>4</w:t>
      </w:r>
      <w:r w:rsidRPr="00A81964">
        <w:rPr>
          <w:rtl/>
        </w:rPr>
        <w:t>:</w:t>
      </w:r>
      <w:r w:rsidRPr="00A81964">
        <w:rPr>
          <w:b/>
          <w:bCs/>
          <w:rtl/>
        </w:rPr>
        <w:t xml:space="preserve"> פירוט לגבי האזורים הגיאוגרפיים שעסקים הרשומים בהם </w:t>
      </w:r>
      <w:r w:rsidRPr="00A81964">
        <w:rPr>
          <w:rFonts w:hint="eastAsia"/>
          <w:b/>
          <w:bCs/>
          <w:rtl/>
        </w:rPr>
        <w:t>יכולים</w:t>
      </w:r>
      <w:r w:rsidRPr="00A81964">
        <w:rPr>
          <w:b/>
          <w:bCs/>
          <w:rtl/>
        </w:rPr>
        <w:t xml:space="preserve"> </w:t>
      </w:r>
      <w:r w:rsidRPr="00A81964">
        <w:rPr>
          <w:rFonts w:hint="eastAsia"/>
          <w:b/>
          <w:bCs/>
          <w:rtl/>
        </w:rPr>
        <w:t>היו</w:t>
      </w:r>
      <w:r w:rsidRPr="00A81964">
        <w:rPr>
          <w:b/>
          <w:bCs/>
          <w:rtl/>
        </w:rPr>
        <w:t xml:space="preserve"> להגיש תביעות בגין נזקים עקיפים בכל אחד </w:t>
      </w:r>
      <w:r w:rsidRPr="00A81964">
        <w:rPr>
          <w:rFonts w:hint="eastAsia"/>
          <w:b/>
          <w:bCs/>
          <w:rtl/>
        </w:rPr>
        <w:t>מ</w:t>
      </w:r>
      <w:r w:rsidRPr="00A81964">
        <w:rPr>
          <w:b/>
          <w:bCs/>
          <w:rtl/>
        </w:rPr>
        <w:t xml:space="preserve">מסלולי הפיצויים בכל אחת מתקופות הזכאות </w:t>
      </w:r>
    </w:p>
    <w:tbl>
      <w:tblPr>
        <w:bidiVisual/>
        <w:tblW w:w="8362" w:type="dxa"/>
        <w:jc w:val="center"/>
        <w:tblLook w:val="04A0" w:firstRow="1" w:lastRow="0" w:firstColumn="1" w:lastColumn="0" w:noHBand="0" w:noVBand="1"/>
      </w:tblPr>
      <w:tblGrid>
        <w:gridCol w:w="1130"/>
        <w:gridCol w:w="1276"/>
        <w:gridCol w:w="1878"/>
        <w:gridCol w:w="1254"/>
        <w:gridCol w:w="1363"/>
        <w:gridCol w:w="1461"/>
      </w:tblGrid>
      <w:tr w:rsidR="006252C4" w:rsidRPr="00A81964" w:rsidTr="00D04D4F">
        <w:trPr>
          <w:trHeight w:val="480"/>
          <w:jc w:val="center"/>
        </w:trPr>
        <w:tc>
          <w:tcPr>
            <w:tcW w:w="1130" w:type="dxa"/>
            <w:shd w:val="clear" w:color="auto" w:fill="365F91" w:themeFill="accent1" w:themeFillShade="BF"/>
            <w:vAlign w:val="center"/>
            <w:hideMark/>
          </w:tcPr>
          <w:p w:rsidR="006252C4" w:rsidRPr="00A81964" w:rsidRDefault="006252C4" w:rsidP="00D04D4F">
            <w:pPr>
              <w:spacing w:line="269" w:lineRule="auto"/>
              <w:jc w:val="center"/>
              <w:rPr>
                <w:rFonts w:ascii="Calibri" w:eastAsia="Times New Roman" w:hAnsi="Calibri" w:cs="Calibri"/>
                <w:b/>
                <w:bCs/>
                <w:color w:val="FFFFFF"/>
                <w:sz w:val="18"/>
                <w:szCs w:val="18"/>
              </w:rPr>
            </w:pPr>
          </w:p>
        </w:tc>
        <w:tc>
          <w:tcPr>
            <w:tcW w:w="1276" w:type="dxa"/>
            <w:shd w:val="clear" w:color="5B9BD5" w:fill="5B9BD5"/>
            <w:vAlign w:val="center"/>
            <w:hideMark/>
          </w:tcPr>
          <w:p w:rsidR="006252C4" w:rsidRPr="00A81964" w:rsidRDefault="006252C4" w:rsidP="00D04D4F">
            <w:pPr>
              <w:spacing w:line="269" w:lineRule="auto"/>
              <w:jc w:val="center"/>
              <w:rPr>
                <w:rFonts w:ascii="David" w:eastAsia="Times New Roman" w:hAnsi="David"/>
                <w:b/>
                <w:bCs/>
                <w:color w:val="FFFFFF"/>
                <w:sz w:val="22"/>
                <w:szCs w:val="22"/>
                <w:rtl/>
              </w:rPr>
            </w:pPr>
            <w:r w:rsidRPr="00A81964">
              <w:rPr>
                <w:rFonts w:ascii="David" w:eastAsia="Times New Roman" w:hAnsi="David"/>
                <w:b/>
                <w:bCs/>
                <w:color w:val="FFFFFF"/>
                <w:sz w:val="22"/>
                <w:szCs w:val="22"/>
                <w:rtl/>
              </w:rPr>
              <w:t>אוקטובר-דצמבר 2023</w:t>
            </w:r>
          </w:p>
        </w:tc>
        <w:tc>
          <w:tcPr>
            <w:tcW w:w="1878" w:type="dxa"/>
            <w:shd w:val="clear" w:color="5B9BD5" w:fill="5B9BD5"/>
            <w:vAlign w:val="center"/>
            <w:hideMark/>
          </w:tcPr>
          <w:p w:rsidR="006252C4" w:rsidRPr="00A81964" w:rsidRDefault="006252C4" w:rsidP="00D04D4F">
            <w:pPr>
              <w:spacing w:line="269" w:lineRule="auto"/>
              <w:jc w:val="center"/>
              <w:rPr>
                <w:rFonts w:ascii="David" w:eastAsia="Times New Roman" w:hAnsi="David"/>
                <w:b/>
                <w:bCs/>
                <w:color w:val="FFFFFF"/>
                <w:sz w:val="22"/>
                <w:szCs w:val="22"/>
                <w:rtl/>
              </w:rPr>
            </w:pPr>
            <w:r w:rsidRPr="00A81964">
              <w:rPr>
                <w:rFonts w:ascii="David" w:eastAsia="Times New Roman" w:hAnsi="David"/>
                <w:b/>
                <w:bCs/>
                <w:color w:val="FFFFFF"/>
                <w:sz w:val="22"/>
                <w:szCs w:val="22"/>
                <w:rtl/>
              </w:rPr>
              <w:t>ינואר-</w:t>
            </w:r>
            <w:r>
              <w:rPr>
                <w:rFonts w:ascii="David" w:eastAsia="Times New Roman" w:hAnsi="David"/>
                <w:b/>
                <w:bCs/>
                <w:color w:val="FFFFFF"/>
                <w:sz w:val="22"/>
                <w:szCs w:val="22"/>
                <w:rtl/>
              </w:rPr>
              <w:br/>
            </w:r>
            <w:r w:rsidRPr="00A81964">
              <w:rPr>
                <w:rFonts w:ascii="David" w:eastAsia="Times New Roman" w:hAnsi="David"/>
                <w:b/>
                <w:bCs/>
                <w:color w:val="FFFFFF"/>
                <w:sz w:val="22"/>
                <w:szCs w:val="22"/>
                <w:rtl/>
              </w:rPr>
              <w:t>פברואר 2024</w:t>
            </w:r>
          </w:p>
        </w:tc>
        <w:tc>
          <w:tcPr>
            <w:tcW w:w="1254" w:type="dxa"/>
            <w:shd w:val="clear" w:color="5B9BD5" w:fill="5B9BD5"/>
            <w:vAlign w:val="center"/>
            <w:hideMark/>
          </w:tcPr>
          <w:p w:rsidR="006252C4" w:rsidRPr="00A81964" w:rsidRDefault="006252C4" w:rsidP="00D04D4F">
            <w:pPr>
              <w:spacing w:line="269" w:lineRule="auto"/>
              <w:jc w:val="center"/>
              <w:rPr>
                <w:rFonts w:ascii="David" w:eastAsia="Times New Roman" w:hAnsi="David"/>
                <w:b/>
                <w:bCs/>
                <w:color w:val="FFFFFF"/>
                <w:sz w:val="22"/>
                <w:szCs w:val="22"/>
                <w:rtl/>
              </w:rPr>
            </w:pPr>
            <w:r w:rsidRPr="00A81964">
              <w:rPr>
                <w:rFonts w:ascii="David" w:eastAsia="Times New Roman" w:hAnsi="David"/>
                <w:b/>
                <w:bCs/>
                <w:color w:val="FFFFFF"/>
                <w:sz w:val="22"/>
                <w:szCs w:val="22"/>
                <w:rtl/>
              </w:rPr>
              <w:t>מרץ-</w:t>
            </w:r>
            <w:r>
              <w:rPr>
                <w:rFonts w:ascii="David" w:eastAsia="Times New Roman" w:hAnsi="David"/>
                <w:b/>
                <w:bCs/>
                <w:color w:val="FFFFFF"/>
                <w:sz w:val="22"/>
                <w:szCs w:val="22"/>
                <w:rtl/>
              </w:rPr>
              <w:br/>
            </w:r>
            <w:r w:rsidRPr="00A81964">
              <w:rPr>
                <w:rFonts w:ascii="David" w:eastAsia="Times New Roman" w:hAnsi="David"/>
                <w:b/>
                <w:bCs/>
                <w:color w:val="FFFFFF"/>
                <w:sz w:val="22"/>
                <w:szCs w:val="22"/>
                <w:rtl/>
              </w:rPr>
              <w:t>אפריל 2024</w:t>
            </w:r>
          </w:p>
        </w:tc>
        <w:tc>
          <w:tcPr>
            <w:tcW w:w="1363" w:type="dxa"/>
            <w:shd w:val="clear" w:color="5B9BD5" w:fill="5B9BD5"/>
            <w:vAlign w:val="center"/>
            <w:hideMark/>
          </w:tcPr>
          <w:p w:rsidR="006252C4" w:rsidRPr="00A81964" w:rsidRDefault="006252C4" w:rsidP="00D04D4F">
            <w:pPr>
              <w:spacing w:line="269" w:lineRule="auto"/>
              <w:jc w:val="center"/>
              <w:rPr>
                <w:rFonts w:ascii="David" w:eastAsia="Times New Roman" w:hAnsi="David"/>
                <w:b/>
                <w:bCs/>
                <w:color w:val="FFFFFF"/>
                <w:sz w:val="22"/>
                <w:szCs w:val="22"/>
                <w:rtl/>
              </w:rPr>
            </w:pPr>
            <w:r w:rsidRPr="00A81964">
              <w:rPr>
                <w:rFonts w:ascii="David" w:eastAsia="Times New Roman" w:hAnsi="David"/>
                <w:b/>
                <w:bCs/>
                <w:color w:val="FFFFFF"/>
                <w:sz w:val="22"/>
                <w:szCs w:val="22"/>
                <w:rtl/>
              </w:rPr>
              <w:t>מאי-</w:t>
            </w:r>
            <w:r>
              <w:rPr>
                <w:rFonts w:ascii="David" w:eastAsia="Times New Roman" w:hAnsi="David"/>
                <w:b/>
                <w:bCs/>
                <w:color w:val="FFFFFF"/>
                <w:sz w:val="22"/>
                <w:szCs w:val="22"/>
                <w:rtl/>
              </w:rPr>
              <w:br/>
            </w:r>
            <w:r w:rsidRPr="00A81964">
              <w:rPr>
                <w:rFonts w:ascii="David" w:eastAsia="Times New Roman" w:hAnsi="David" w:hint="eastAsia"/>
                <w:b/>
                <w:bCs/>
                <w:color w:val="FFFFFF"/>
                <w:sz w:val="22"/>
                <w:szCs w:val="22"/>
                <w:rtl/>
              </w:rPr>
              <w:t>אוגוסט</w:t>
            </w:r>
            <w:r w:rsidRPr="00A81964">
              <w:rPr>
                <w:rFonts w:ascii="David" w:eastAsia="Times New Roman" w:hAnsi="David"/>
                <w:b/>
                <w:bCs/>
                <w:color w:val="FFFFFF"/>
                <w:sz w:val="22"/>
                <w:szCs w:val="22"/>
                <w:rtl/>
              </w:rPr>
              <w:t xml:space="preserve"> 2024</w:t>
            </w:r>
          </w:p>
        </w:tc>
        <w:tc>
          <w:tcPr>
            <w:tcW w:w="1461" w:type="dxa"/>
            <w:shd w:val="clear" w:color="5B9BD5" w:fill="5B9BD5"/>
            <w:vAlign w:val="center"/>
          </w:tcPr>
          <w:p w:rsidR="006252C4" w:rsidRPr="00A81964" w:rsidRDefault="006252C4" w:rsidP="00D04D4F">
            <w:pPr>
              <w:spacing w:line="269" w:lineRule="auto"/>
              <w:jc w:val="center"/>
              <w:rPr>
                <w:rFonts w:ascii="David" w:eastAsia="Times New Roman" w:hAnsi="David"/>
                <w:b/>
                <w:bCs/>
                <w:color w:val="FFFFFF"/>
                <w:sz w:val="22"/>
                <w:szCs w:val="22"/>
                <w:rtl/>
              </w:rPr>
            </w:pPr>
            <w:r w:rsidRPr="00A81964">
              <w:rPr>
                <w:rFonts w:ascii="David" w:eastAsia="Times New Roman" w:hAnsi="David" w:hint="eastAsia"/>
                <w:b/>
                <w:bCs/>
                <w:color w:val="FFFFFF"/>
                <w:sz w:val="22"/>
                <w:szCs w:val="22"/>
                <w:rtl/>
              </w:rPr>
              <w:t>ספטמבר</w:t>
            </w:r>
            <w:r w:rsidRPr="00A81964">
              <w:rPr>
                <w:rFonts w:ascii="David" w:eastAsia="Times New Roman" w:hAnsi="David"/>
                <w:b/>
                <w:bCs/>
                <w:color w:val="FFFFFF"/>
                <w:sz w:val="22"/>
                <w:szCs w:val="22"/>
                <w:rtl/>
              </w:rPr>
              <w:t>-אוקטובר 2024</w:t>
            </w:r>
          </w:p>
        </w:tc>
      </w:tr>
      <w:tr w:rsidR="006252C4" w:rsidRPr="00A81964" w:rsidTr="00D04D4F">
        <w:trPr>
          <w:trHeight w:val="417"/>
          <w:jc w:val="center"/>
        </w:trPr>
        <w:tc>
          <w:tcPr>
            <w:tcW w:w="1130" w:type="dxa"/>
            <w:shd w:val="clear" w:color="auto" w:fill="365F91" w:themeFill="accent1" w:themeFillShade="BF"/>
            <w:vAlign w:val="center"/>
            <w:hideMark/>
          </w:tcPr>
          <w:p w:rsidR="006252C4" w:rsidRPr="00A81964" w:rsidRDefault="006252C4" w:rsidP="00D04D4F">
            <w:pPr>
              <w:spacing w:line="269" w:lineRule="auto"/>
              <w:jc w:val="center"/>
              <w:rPr>
                <w:rFonts w:ascii="David" w:eastAsia="Times New Roman" w:hAnsi="David"/>
                <w:b/>
                <w:bCs/>
                <w:color w:val="FFFFFF"/>
                <w:sz w:val="22"/>
                <w:szCs w:val="22"/>
                <w:rtl/>
              </w:rPr>
            </w:pPr>
            <w:r w:rsidRPr="00A81964">
              <w:rPr>
                <w:rFonts w:ascii="David" w:eastAsia="Times New Roman" w:hAnsi="David" w:hint="eastAsia"/>
                <w:b/>
                <w:bCs/>
                <w:color w:val="FFFFFF"/>
                <w:sz w:val="22"/>
                <w:szCs w:val="22"/>
                <w:rtl/>
              </w:rPr>
              <w:t>ה</w:t>
            </w:r>
            <w:r w:rsidRPr="00A81964">
              <w:rPr>
                <w:rFonts w:ascii="David" w:eastAsia="Times New Roman" w:hAnsi="David"/>
                <w:b/>
                <w:bCs/>
                <w:color w:val="FFFFFF"/>
                <w:sz w:val="22"/>
                <w:szCs w:val="22"/>
                <w:rtl/>
              </w:rPr>
              <w:t xml:space="preserve">מסלול </w:t>
            </w:r>
            <w:r w:rsidRPr="00A81964">
              <w:rPr>
                <w:rFonts w:ascii="David" w:eastAsia="Times New Roman" w:hAnsi="David" w:hint="eastAsia"/>
                <w:b/>
                <w:bCs/>
                <w:color w:val="FFFFFF"/>
                <w:sz w:val="22"/>
                <w:szCs w:val="22"/>
                <w:rtl/>
              </w:rPr>
              <w:t>ה</w:t>
            </w:r>
            <w:r w:rsidRPr="00A81964">
              <w:rPr>
                <w:rFonts w:ascii="David" w:eastAsia="Times New Roman" w:hAnsi="David"/>
                <w:b/>
                <w:bCs/>
                <w:color w:val="FFFFFF"/>
                <w:sz w:val="22"/>
                <w:szCs w:val="22"/>
                <w:rtl/>
              </w:rPr>
              <w:t>אדום</w:t>
            </w:r>
          </w:p>
        </w:tc>
        <w:tc>
          <w:tcPr>
            <w:tcW w:w="1276" w:type="dxa"/>
            <w:shd w:val="clear" w:color="DDEBF7" w:fill="DDEBF7"/>
            <w:vAlign w:val="center"/>
            <w:hideMark/>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יישובי ספר</w:t>
            </w:r>
          </w:p>
        </w:tc>
        <w:tc>
          <w:tcPr>
            <w:tcW w:w="1878" w:type="dxa"/>
            <w:shd w:val="clear" w:color="DDEBF7" w:fill="DDEBF7"/>
            <w:vAlign w:val="center"/>
            <w:hideMark/>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יישובי ספר</w:t>
            </w:r>
          </w:p>
        </w:tc>
        <w:tc>
          <w:tcPr>
            <w:tcW w:w="1254" w:type="dxa"/>
            <w:shd w:val="clear" w:color="DDEBF7" w:fill="DDEBF7"/>
            <w:vAlign w:val="center"/>
            <w:hideMark/>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יישובי ספר</w:t>
            </w:r>
          </w:p>
        </w:tc>
        <w:tc>
          <w:tcPr>
            <w:tcW w:w="1363" w:type="dxa"/>
            <w:shd w:val="clear" w:color="DDEBF7" w:fill="DDEBF7"/>
            <w:vAlign w:val="center"/>
            <w:hideMark/>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יישובי ספר</w:t>
            </w:r>
          </w:p>
        </w:tc>
        <w:tc>
          <w:tcPr>
            <w:tcW w:w="1461" w:type="dxa"/>
            <w:shd w:val="clear" w:color="DDEBF7" w:fill="DDEBF7"/>
            <w:vAlign w:val="center"/>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יישובי ספר</w:t>
            </w:r>
          </w:p>
        </w:tc>
      </w:tr>
      <w:tr w:rsidR="006252C4" w:rsidRPr="00A81964" w:rsidTr="00D04D4F">
        <w:trPr>
          <w:trHeight w:val="276"/>
          <w:jc w:val="center"/>
        </w:trPr>
        <w:tc>
          <w:tcPr>
            <w:tcW w:w="1130" w:type="dxa"/>
            <w:shd w:val="clear" w:color="auto" w:fill="365F91" w:themeFill="accent1" w:themeFillShade="BF"/>
            <w:vAlign w:val="center"/>
            <w:hideMark/>
          </w:tcPr>
          <w:p w:rsidR="006252C4" w:rsidRPr="00A81964" w:rsidRDefault="006252C4" w:rsidP="00D04D4F">
            <w:pPr>
              <w:spacing w:line="269" w:lineRule="auto"/>
              <w:jc w:val="center"/>
              <w:rPr>
                <w:rFonts w:ascii="David" w:eastAsia="Times New Roman" w:hAnsi="David"/>
                <w:b/>
                <w:bCs/>
                <w:color w:val="FFFFFF"/>
                <w:sz w:val="22"/>
                <w:szCs w:val="22"/>
                <w:rtl/>
              </w:rPr>
            </w:pPr>
            <w:r w:rsidRPr="00A81964">
              <w:rPr>
                <w:rFonts w:ascii="David" w:eastAsia="Times New Roman" w:hAnsi="David" w:hint="eastAsia"/>
                <w:b/>
                <w:bCs/>
                <w:color w:val="FFFFFF"/>
                <w:sz w:val="22"/>
                <w:szCs w:val="22"/>
                <w:rtl/>
              </w:rPr>
              <w:t>ה</w:t>
            </w:r>
            <w:r w:rsidRPr="00A81964">
              <w:rPr>
                <w:rFonts w:ascii="David" w:eastAsia="Times New Roman" w:hAnsi="David"/>
                <w:b/>
                <w:bCs/>
                <w:color w:val="FFFFFF"/>
                <w:sz w:val="22"/>
                <w:szCs w:val="22"/>
                <w:rtl/>
              </w:rPr>
              <w:t xml:space="preserve">מסלול </w:t>
            </w:r>
            <w:r w:rsidRPr="00A81964">
              <w:rPr>
                <w:rFonts w:ascii="David" w:eastAsia="Times New Roman" w:hAnsi="David" w:hint="eastAsia"/>
                <w:b/>
                <w:bCs/>
                <w:color w:val="FFFFFF"/>
                <w:sz w:val="22"/>
                <w:szCs w:val="22"/>
                <w:rtl/>
              </w:rPr>
              <w:t>ה</w:t>
            </w:r>
            <w:r w:rsidRPr="00A81964">
              <w:rPr>
                <w:rFonts w:ascii="David" w:eastAsia="Times New Roman" w:hAnsi="David"/>
                <w:b/>
                <w:bCs/>
                <w:color w:val="FFFFFF"/>
                <w:sz w:val="22"/>
                <w:szCs w:val="22"/>
                <w:rtl/>
              </w:rPr>
              <w:t>אדום - מקדמה</w:t>
            </w:r>
            <w:r w:rsidRPr="00A81964">
              <w:rPr>
                <w:rStyle w:val="af2"/>
                <w:rFonts w:ascii="David" w:eastAsia="Times New Roman" w:hAnsi="David"/>
                <w:b/>
                <w:bCs/>
                <w:color w:val="FFFFFF"/>
                <w:sz w:val="22"/>
                <w:szCs w:val="22"/>
                <w:rtl/>
              </w:rPr>
              <w:footnoteReference w:id="55"/>
            </w:r>
          </w:p>
        </w:tc>
        <w:tc>
          <w:tcPr>
            <w:tcW w:w="1276" w:type="dxa"/>
            <w:shd w:val="clear" w:color="auto" w:fill="auto"/>
            <w:vAlign w:val="center"/>
            <w:hideMark/>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יישובי ספר</w:t>
            </w:r>
          </w:p>
        </w:tc>
        <w:tc>
          <w:tcPr>
            <w:tcW w:w="1878" w:type="dxa"/>
            <w:shd w:val="clear" w:color="auto" w:fill="auto"/>
            <w:vAlign w:val="center"/>
            <w:hideMark/>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חלק מיישובי הספר (לפי רשימה)</w:t>
            </w:r>
          </w:p>
        </w:tc>
        <w:tc>
          <w:tcPr>
            <w:tcW w:w="1254" w:type="dxa"/>
            <w:shd w:val="clear" w:color="auto" w:fill="auto"/>
            <w:vAlign w:val="center"/>
            <w:hideMark/>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חלק מיישובי הספר (לפי רשימה)</w:t>
            </w:r>
          </w:p>
        </w:tc>
        <w:tc>
          <w:tcPr>
            <w:tcW w:w="1363" w:type="dxa"/>
            <w:shd w:val="clear" w:color="auto" w:fill="auto"/>
            <w:vAlign w:val="center"/>
            <w:hideMark/>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חלק מיישובי הספר (לפי רשימה)</w:t>
            </w:r>
          </w:p>
        </w:tc>
        <w:tc>
          <w:tcPr>
            <w:tcW w:w="1461" w:type="dxa"/>
            <w:shd w:val="clear" w:color="auto" w:fill="auto"/>
            <w:vAlign w:val="center"/>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חלק מיישובי הספר (לפי רשימה)</w:t>
            </w:r>
          </w:p>
        </w:tc>
      </w:tr>
      <w:tr w:rsidR="006252C4" w:rsidRPr="00A81964" w:rsidTr="00D04D4F">
        <w:trPr>
          <w:trHeight w:val="464"/>
          <w:jc w:val="center"/>
        </w:trPr>
        <w:tc>
          <w:tcPr>
            <w:tcW w:w="1130" w:type="dxa"/>
            <w:shd w:val="clear" w:color="auto" w:fill="365F91" w:themeFill="accent1" w:themeFillShade="BF"/>
            <w:vAlign w:val="center"/>
            <w:hideMark/>
          </w:tcPr>
          <w:p w:rsidR="006252C4" w:rsidRPr="00A81964" w:rsidRDefault="006252C4" w:rsidP="00D04D4F">
            <w:pPr>
              <w:spacing w:line="269" w:lineRule="auto"/>
              <w:jc w:val="center"/>
              <w:rPr>
                <w:rFonts w:ascii="David" w:eastAsia="Times New Roman" w:hAnsi="David"/>
                <w:b/>
                <w:bCs/>
                <w:color w:val="FFFFFF"/>
                <w:sz w:val="22"/>
                <w:szCs w:val="22"/>
                <w:rtl/>
              </w:rPr>
            </w:pPr>
            <w:r w:rsidRPr="00A81964">
              <w:rPr>
                <w:rFonts w:ascii="David" w:eastAsia="Times New Roman" w:hAnsi="David" w:hint="eastAsia"/>
                <w:b/>
                <w:bCs/>
                <w:color w:val="FFFFFF"/>
                <w:sz w:val="22"/>
                <w:szCs w:val="22"/>
                <w:rtl/>
              </w:rPr>
              <w:t>ה</w:t>
            </w:r>
            <w:r w:rsidRPr="00A81964">
              <w:rPr>
                <w:rFonts w:ascii="David" w:eastAsia="Times New Roman" w:hAnsi="David"/>
                <w:b/>
                <w:bCs/>
                <w:color w:val="FFFFFF"/>
                <w:sz w:val="22"/>
                <w:szCs w:val="22"/>
                <w:rtl/>
              </w:rPr>
              <w:t xml:space="preserve">מסלול </w:t>
            </w:r>
            <w:r w:rsidRPr="00A81964">
              <w:rPr>
                <w:rFonts w:ascii="David" w:eastAsia="Times New Roman" w:hAnsi="David" w:hint="eastAsia"/>
                <w:b/>
                <w:bCs/>
                <w:color w:val="FFFFFF"/>
                <w:sz w:val="22"/>
                <w:szCs w:val="22"/>
                <w:rtl/>
              </w:rPr>
              <w:t>הכלל</w:t>
            </w:r>
            <w:r>
              <w:rPr>
                <w:rFonts w:ascii="David" w:eastAsia="Times New Roman" w:hAnsi="David" w:hint="cs"/>
                <w:b/>
                <w:bCs/>
                <w:color w:val="FFFFFF"/>
                <w:sz w:val="22"/>
                <w:szCs w:val="22"/>
                <w:rtl/>
              </w:rPr>
              <w:t>-</w:t>
            </w:r>
            <w:r w:rsidRPr="00A81964">
              <w:rPr>
                <w:rFonts w:ascii="David" w:eastAsia="Times New Roman" w:hAnsi="David" w:hint="eastAsia"/>
                <w:b/>
                <w:bCs/>
                <w:color w:val="FFFFFF"/>
                <w:sz w:val="22"/>
                <w:szCs w:val="22"/>
                <w:rtl/>
              </w:rPr>
              <w:t>ארצי</w:t>
            </w:r>
          </w:p>
        </w:tc>
        <w:tc>
          <w:tcPr>
            <w:tcW w:w="1276" w:type="dxa"/>
            <w:shd w:val="clear" w:color="DDEBF7" w:fill="DDEBF7"/>
            <w:vAlign w:val="center"/>
            <w:hideMark/>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כל הארץ</w:t>
            </w:r>
          </w:p>
        </w:tc>
        <w:tc>
          <w:tcPr>
            <w:tcW w:w="1878" w:type="dxa"/>
            <w:shd w:val="clear" w:color="DDEBF7" w:fill="DDEBF7"/>
            <w:vAlign w:val="center"/>
            <w:hideMark/>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רשימת יישובים מאזורי הגולן, הגליל, קו העימות, עוטף עזה, לכיש, הנגב והערבה (בחלק מהי</w:t>
            </w:r>
            <w:r w:rsidRPr="00794DF5">
              <w:rPr>
                <w:rFonts w:ascii="David" w:eastAsia="Times New Roman" w:hAnsi="David" w:hint="eastAsia"/>
                <w:color w:val="000000"/>
                <w:sz w:val="21"/>
                <w:szCs w:val="21"/>
                <w:rtl/>
              </w:rPr>
              <w:t>י</w:t>
            </w:r>
            <w:r w:rsidRPr="00794DF5">
              <w:rPr>
                <w:rFonts w:ascii="David" w:eastAsia="Times New Roman" w:hAnsi="David"/>
                <w:color w:val="000000"/>
                <w:sz w:val="21"/>
                <w:szCs w:val="21"/>
                <w:rtl/>
              </w:rPr>
              <w:t>שובים - רלוונטי רק לעסקים מתחום התיירות)</w:t>
            </w:r>
          </w:p>
        </w:tc>
        <w:tc>
          <w:tcPr>
            <w:tcW w:w="1254" w:type="dxa"/>
            <w:shd w:val="clear" w:color="DDEBF7" w:fill="DDEBF7"/>
            <w:vAlign w:val="center"/>
            <w:hideMark/>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רשימת יישובים בגליל העליון (רק לעסקים מתחום התיירות)</w:t>
            </w:r>
          </w:p>
        </w:tc>
        <w:tc>
          <w:tcPr>
            <w:tcW w:w="1363" w:type="dxa"/>
            <w:shd w:val="clear" w:color="DDEBF7" w:fill="DDEBF7"/>
            <w:vAlign w:val="center"/>
            <w:hideMark/>
          </w:tcPr>
          <w:p w:rsidR="006252C4" w:rsidRPr="00794DF5" w:rsidRDefault="006252C4" w:rsidP="00D04D4F">
            <w:pPr>
              <w:spacing w:line="269" w:lineRule="auto"/>
              <w:jc w:val="center"/>
              <w:rPr>
                <w:rFonts w:ascii="David" w:eastAsia="Times New Roman" w:hAnsi="David"/>
                <w:b/>
                <w:bCs/>
                <w:color w:val="000000"/>
                <w:sz w:val="21"/>
                <w:szCs w:val="21"/>
                <w:rtl/>
              </w:rPr>
            </w:pPr>
            <w:r w:rsidRPr="00794DF5">
              <w:rPr>
                <w:rFonts w:ascii="David" w:eastAsia="Times New Roman" w:hAnsi="David"/>
                <w:b/>
                <w:bCs/>
                <w:color w:val="000000"/>
                <w:sz w:val="21"/>
                <w:szCs w:val="21"/>
                <w:rtl/>
              </w:rPr>
              <w:t>-</w:t>
            </w:r>
          </w:p>
          <w:p w:rsidR="006252C4" w:rsidRPr="00794DF5" w:rsidRDefault="006252C4" w:rsidP="00D04D4F">
            <w:pPr>
              <w:spacing w:line="269" w:lineRule="auto"/>
              <w:jc w:val="left"/>
              <w:rPr>
                <w:rFonts w:ascii="David" w:eastAsia="Times New Roman" w:hAnsi="David"/>
                <w:sz w:val="21"/>
                <w:szCs w:val="21"/>
                <w:rtl/>
              </w:rPr>
            </w:pPr>
          </w:p>
          <w:p w:rsidR="006252C4" w:rsidRPr="00794DF5" w:rsidRDefault="006252C4" w:rsidP="00D04D4F">
            <w:pPr>
              <w:spacing w:line="269" w:lineRule="auto"/>
              <w:jc w:val="left"/>
              <w:rPr>
                <w:rFonts w:ascii="David" w:eastAsia="Times New Roman" w:hAnsi="David"/>
                <w:sz w:val="21"/>
                <w:szCs w:val="21"/>
                <w:rtl/>
              </w:rPr>
            </w:pPr>
          </w:p>
        </w:tc>
        <w:tc>
          <w:tcPr>
            <w:tcW w:w="1461" w:type="dxa"/>
            <w:shd w:val="clear" w:color="DDEBF7" w:fill="DDEBF7"/>
            <w:vAlign w:val="center"/>
          </w:tcPr>
          <w:p w:rsidR="006252C4" w:rsidRPr="00794DF5" w:rsidRDefault="006252C4" w:rsidP="00D04D4F">
            <w:pPr>
              <w:spacing w:line="269" w:lineRule="auto"/>
              <w:jc w:val="left"/>
              <w:rPr>
                <w:rFonts w:ascii="David" w:eastAsia="Times New Roman" w:hAnsi="David"/>
                <w:b/>
                <w:bCs/>
                <w:color w:val="000000"/>
                <w:sz w:val="21"/>
                <w:szCs w:val="21"/>
                <w:rtl/>
              </w:rPr>
            </w:pPr>
            <w:r w:rsidRPr="00794DF5">
              <w:rPr>
                <w:rFonts w:ascii="David" w:eastAsia="Times New Roman" w:hAnsi="David"/>
                <w:color w:val="000000"/>
                <w:sz w:val="21"/>
                <w:szCs w:val="21"/>
                <w:rtl/>
              </w:rPr>
              <w:t>רשימת יישובים מאזורי הגולן, הגליל, קו העימות והכרמל (</w:t>
            </w:r>
            <w:r w:rsidRPr="00794DF5">
              <w:rPr>
                <w:rFonts w:ascii="David" w:eastAsia="Times New Roman" w:hAnsi="David" w:hint="eastAsia"/>
                <w:color w:val="000000"/>
                <w:sz w:val="21"/>
                <w:szCs w:val="21"/>
                <w:rtl/>
              </w:rPr>
              <w:t>ובהם</w:t>
            </w:r>
            <w:r w:rsidRPr="00794DF5">
              <w:rPr>
                <w:rFonts w:ascii="David" w:eastAsia="Times New Roman" w:hAnsi="David"/>
                <w:color w:val="000000"/>
                <w:sz w:val="21"/>
                <w:szCs w:val="21"/>
                <w:rtl/>
              </w:rPr>
              <w:t xml:space="preserve"> חיפה)</w:t>
            </w:r>
          </w:p>
        </w:tc>
      </w:tr>
      <w:tr w:rsidR="006252C4" w:rsidRPr="00A81964" w:rsidTr="00D04D4F">
        <w:trPr>
          <w:trHeight w:val="202"/>
          <w:jc w:val="center"/>
        </w:trPr>
        <w:tc>
          <w:tcPr>
            <w:tcW w:w="1130" w:type="dxa"/>
            <w:shd w:val="clear" w:color="auto" w:fill="365F91" w:themeFill="accent1" w:themeFillShade="BF"/>
            <w:vAlign w:val="center"/>
            <w:hideMark/>
          </w:tcPr>
          <w:p w:rsidR="006252C4" w:rsidRPr="00A81964" w:rsidRDefault="006252C4" w:rsidP="00D04D4F">
            <w:pPr>
              <w:spacing w:line="269" w:lineRule="auto"/>
              <w:jc w:val="center"/>
              <w:rPr>
                <w:rFonts w:ascii="David" w:eastAsia="Times New Roman" w:hAnsi="David"/>
                <w:b/>
                <w:bCs/>
                <w:color w:val="FFFFFF"/>
                <w:sz w:val="22"/>
                <w:szCs w:val="22"/>
                <w:rtl/>
              </w:rPr>
            </w:pPr>
            <w:r w:rsidRPr="00A81964">
              <w:rPr>
                <w:rFonts w:ascii="David" w:eastAsia="Times New Roman" w:hAnsi="David"/>
                <w:b/>
                <w:bCs/>
                <w:color w:val="FFFFFF"/>
                <w:sz w:val="22"/>
                <w:szCs w:val="22"/>
                <w:rtl/>
              </w:rPr>
              <w:t>מסלול מחזורים</w:t>
            </w:r>
          </w:p>
        </w:tc>
        <w:tc>
          <w:tcPr>
            <w:tcW w:w="1276" w:type="dxa"/>
            <w:shd w:val="clear" w:color="auto" w:fill="auto"/>
            <w:vAlign w:val="center"/>
            <w:hideMark/>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י</w:t>
            </w:r>
            <w:r w:rsidRPr="00794DF5">
              <w:rPr>
                <w:rFonts w:ascii="David" w:eastAsia="Times New Roman" w:hAnsi="David" w:hint="eastAsia"/>
                <w:color w:val="000000"/>
                <w:sz w:val="21"/>
                <w:szCs w:val="21"/>
                <w:rtl/>
              </w:rPr>
              <w:t>י</w:t>
            </w:r>
            <w:r w:rsidRPr="00794DF5">
              <w:rPr>
                <w:rFonts w:ascii="David" w:eastAsia="Times New Roman" w:hAnsi="David"/>
                <w:color w:val="000000"/>
                <w:sz w:val="21"/>
                <w:szCs w:val="21"/>
                <w:rtl/>
              </w:rPr>
              <w:t>שובים באזור המיוחד</w:t>
            </w:r>
          </w:p>
        </w:tc>
        <w:tc>
          <w:tcPr>
            <w:tcW w:w="1878" w:type="dxa"/>
            <w:shd w:val="clear" w:color="auto" w:fill="auto"/>
            <w:vAlign w:val="center"/>
            <w:hideMark/>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רשימת יישובים מאזורי הגולן, הגליל, קו העימות ועוטף עזה</w:t>
            </w:r>
          </w:p>
        </w:tc>
        <w:tc>
          <w:tcPr>
            <w:tcW w:w="1254" w:type="dxa"/>
            <w:shd w:val="clear" w:color="auto" w:fill="auto"/>
            <w:vAlign w:val="center"/>
            <w:hideMark/>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רשימת יישובים מאזורי הגולן, הגליל, קו העימות ועוטף עזה</w:t>
            </w:r>
          </w:p>
        </w:tc>
        <w:tc>
          <w:tcPr>
            <w:tcW w:w="1363" w:type="dxa"/>
            <w:shd w:val="clear" w:color="auto" w:fill="auto"/>
            <w:vAlign w:val="center"/>
            <w:hideMark/>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רשימת יישובים מאזורי הגולן, הגליל, קו העימות ועוטף עזה</w:t>
            </w:r>
          </w:p>
        </w:tc>
        <w:tc>
          <w:tcPr>
            <w:tcW w:w="1461" w:type="dxa"/>
            <w:shd w:val="clear" w:color="auto" w:fill="auto"/>
            <w:vAlign w:val="center"/>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 xml:space="preserve">רשימת יישובים מאזורי הגולן, הגליל, קו העימות, </w:t>
            </w:r>
            <w:r w:rsidRPr="00794DF5">
              <w:rPr>
                <w:rFonts w:ascii="David" w:eastAsia="Times New Roman" w:hAnsi="David" w:hint="eastAsia"/>
                <w:color w:val="000000"/>
                <w:sz w:val="21"/>
                <w:szCs w:val="21"/>
                <w:rtl/>
              </w:rPr>
              <w:t>אזור</w:t>
            </w:r>
            <w:r w:rsidRPr="00794DF5">
              <w:rPr>
                <w:rFonts w:ascii="David" w:eastAsia="Times New Roman" w:hAnsi="David"/>
                <w:color w:val="000000"/>
                <w:sz w:val="21"/>
                <w:szCs w:val="21"/>
                <w:rtl/>
              </w:rPr>
              <w:t xml:space="preserve"> </w:t>
            </w:r>
            <w:r w:rsidRPr="00794DF5">
              <w:rPr>
                <w:rFonts w:ascii="David" w:eastAsia="Times New Roman" w:hAnsi="David" w:hint="eastAsia"/>
                <w:color w:val="000000"/>
                <w:sz w:val="21"/>
                <w:szCs w:val="21"/>
                <w:rtl/>
              </w:rPr>
              <w:t>הקריות</w:t>
            </w:r>
            <w:r w:rsidRPr="00794DF5">
              <w:rPr>
                <w:rFonts w:ascii="David" w:eastAsia="Times New Roman" w:hAnsi="David"/>
                <w:color w:val="000000"/>
                <w:sz w:val="21"/>
                <w:szCs w:val="21"/>
                <w:rtl/>
              </w:rPr>
              <w:t xml:space="preserve"> </w:t>
            </w:r>
            <w:r w:rsidRPr="00794DF5">
              <w:rPr>
                <w:rFonts w:ascii="David" w:eastAsia="Times New Roman" w:hAnsi="David" w:hint="eastAsia"/>
                <w:color w:val="000000"/>
                <w:sz w:val="21"/>
                <w:szCs w:val="21"/>
                <w:rtl/>
              </w:rPr>
              <w:t>ו</w:t>
            </w:r>
            <w:r w:rsidRPr="00794DF5">
              <w:rPr>
                <w:rFonts w:ascii="David" w:eastAsia="Times New Roman" w:hAnsi="David"/>
                <w:color w:val="000000"/>
                <w:sz w:val="21"/>
                <w:szCs w:val="21"/>
                <w:rtl/>
              </w:rPr>
              <w:t xml:space="preserve">עוטף עזה </w:t>
            </w:r>
          </w:p>
        </w:tc>
      </w:tr>
      <w:tr w:rsidR="006252C4" w:rsidRPr="00A81964" w:rsidTr="00D04D4F">
        <w:trPr>
          <w:trHeight w:val="151"/>
          <w:jc w:val="center"/>
        </w:trPr>
        <w:tc>
          <w:tcPr>
            <w:tcW w:w="1130" w:type="dxa"/>
            <w:shd w:val="clear" w:color="auto" w:fill="365F91" w:themeFill="accent1" w:themeFillShade="BF"/>
            <w:vAlign w:val="center"/>
            <w:hideMark/>
          </w:tcPr>
          <w:p w:rsidR="006252C4" w:rsidRPr="00A81964" w:rsidRDefault="006252C4" w:rsidP="00D04D4F">
            <w:pPr>
              <w:spacing w:line="269" w:lineRule="auto"/>
              <w:jc w:val="center"/>
              <w:rPr>
                <w:rFonts w:ascii="David" w:eastAsia="Times New Roman" w:hAnsi="David"/>
                <w:b/>
                <w:bCs/>
                <w:color w:val="FFFFFF"/>
                <w:sz w:val="22"/>
                <w:szCs w:val="22"/>
                <w:rtl/>
              </w:rPr>
            </w:pPr>
            <w:r w:rsidRPr="00A81964">
              <w:rPr>
                <w:rFonts w:ascii="David" w:eastAsia="Times New Roman" w:hAnsi="David"/>
                <w:b/>
                <w:bCs/>
                <w:color w:val="FFFFFF"/>
                <w:sz w:val="22"/>
                <w:szCs w:val="22"/>
                <w:rtl/>
              </w:rPr>
              <w:t>מסלול שכר</w:t>
            </w:r>
          </w:p>
        </w:tc>
        <w:tc>
          <w:tcPr>
            <w:tcW w:w="1276" w:type="dxa"/>
            <w:shd w:val="clear" w:color="DDEBF7" w:fill="DDEBF7"/>
            <w:vAlign w:val="center"/>
            <w:hideMark/>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י</w:t>
            </w:r>
            <w:r w:rsidRPr="00794DF5">
              <w:rPr>
                <w:rFonts w:ascii="David" w:eastAsia="Times New Roman" w:hAnsi="David" w:hint="eastAsia"/>
                <w:color w:val="000000"/>
                <w:sz w:val="21"/>
                <w:szCs w:val="21"/>
                <w:rtl/>
              </w:rPr>
              <w:t>י</w:t>
            </w:r>
            <w:r w:rsidRPr="00794DF5">
              <w:rPr>
                <w:rFonts w:ascii="David" w:eastAsia="Times New Roman" w:hAnsi="David"/>
                <w:color w:val="000000"/>
                <w:sz w:val="21"/>
                <w:szCs w:val="21"/>
                <w:rtl/>
              </w:rPr>
              <w:t>שובים באזור המיוחד</w:t>
            </w:r>
          </w:p>
        </w:tc>
        <w:tc>
          <w:tcPr>
            <w:tcW w:w="1878" w:type="dxa"/>
            <w:shd w:val="clear" w:color="DDEBF7" w:fill="DDEBF7"/>
            <w:vAlign w:val="center"/>
            <w:hideMark/>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רשימת יישובים מאזורי הגולן, הגליל, קו העימות ועוטף עזה</w:t>
            </w:r>
          </w:p>
        </w:tc>
        <w:tc>
          <w:tcPr>
            <w:tcW w:w="1254" w:type="dxa"/>
            <w:shd w:val="clear" w:color="DDEBF7" w:fill="DDEBF7"/>
            <w:vAlign w:val="center"/>
            <w:hideMark/>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רשימת יישובים מאזורי הגולן, הגליל, קו העימות ועוטף עזה</w:t>
            </w:r>
          </w:p>
        </w:tc>
        <w:tc>
          <w:tcPr>
            <w:tcW w:w="1363" w:type="dxa"/>
            <w:shd w:val="clear" w:color="DDEBF7" w:fill="DDEBF7"/>
            <w:vAlign w:val="center"/>
            <w:hideMark/>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רשימת יישובים מאזורי הגולן, הגליל, קו העימות ועוטף עזה</w:t>
            </w:r>
          </w:p>
        </w:tc>
        <w:tc>
          <w:tcPr>
            <w:tcW w:w="1461" w:type="dxa"/>
            <w:shd w:val="clear" w:color="auto" w:fill="DBE5F1" w:themeFill="accent1" w:themeFillTint="33"/>
            <w:vAlign w:val="center"/>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 xml:space="preserve">רשימת יישובים מאזורי הגולן, הגליל, קו העימות, </w:t>
            </w:r>
            <w:r w:rsidRPr="00794DF5">
              <w:rPr>
                <w:rFonts w:ascii="David" w:eastAsia="Times New Roman" w:hAnsi="David" w:hint="eastAsia"/>
                <w:color w:val="000000"/>
                <w:sz w:val="21"/>
                <w:szCs w:val="21"/>
                <w:rtl/>
              </w:rPr>
              <w:t>אזור</w:t>
            </w:r>
            <w:r w:rsidRPr="00794DF5">
              <w:rPr>
                <w:rFonts w:ascii="David" w:eastAsia="Times New Roman" w:hAnsi="David"/>
                <w:color w:val="000000"/>
                <w:sz w:val="21"/>
                <w:szCs w:val="21"/>
                <w:rtl/>
              </w:rPr>
              <w:t xml:space="preserve"> </w:t>
            </w:r>
            <w:r w:rsidRPr="00794DF5">
              <w:rPr>
                <w:rFonts w:ascii="David" w:eastAsia="Times New Roman" w:hAnsi="David" w:hint="eastAsia"/>
                <w:color w:val="000000"/>
                <w:sz w:val="21"/>
                <w:szCs w:val="21"/>
                <w:rtl/>
              </w:rPr>
              <w:t>הקריות</w:t>
            </w:r>
            <w:r w:rsidRPr="00794DF5">
              <w:rPr>
                <w:rFonts w:ascii="David" w:eastAsia="Times New Roman" w:hAnsi="David"/>
                <w:color w:val="000000"/>
                <w:sz w:val="21"/>
                <w:szCs w:val="21"/>
                <w:rtl/>
              </w:rPr>
              <w:t xml:space="preserve"> </w:t>
            </w:r>
            <w:r w:rsidRPr="00794DF5">
              <w:rPr>
                <w:rFonts w:ascii="David" w:eastAsia="Times New Roman" w:hAnsi="David" w:hint="eastAsia"/>
                <w:color w:val="000000"/>
                <w:sz w:val="21"/>
                <w:szCs w:val="21"/>
                <w:rtl/>
              </w:rPr>
              <w:t>ו</w:t>
            </w:r>
            <w:r w:rsidRPr="00794DF5">
              <w:rPr>
                <w:rFonts w:ascii="David" w:eastAsia="Times New Roman" w:hAnsi="David"/>
                <w:color w:val="000000"/>
                <w:sz w:val="21"/>
                <w:szCs w:val="21"/>
                <w:rtl/>
              </w:rPr>
              <w:t>עוטף עזה</w:t>
            </w:r>
          </w:p>
        </w:tc>
      </w:tr>
      <w:tr w:rsidR="006252C4" w:rsidRPr="00A81964" w:rsidTr="00D04D4F">
        <w:trPr>
          <w:trHeight w:val="202"/>
          <w:jc w:val="center"/>
        </w:trPr>
        <w:tc>
          <w:tcPr>
            <w:tcW w:w="1130" w:type="dxa"/>
            <w:shd w:val="clear" w:color="auto" w:fill="365F91" w:themeFill="accent1" w:themeFillShade="BF"/>
            <w:vAlign w:val="center"/>
            <w:hideMark/>
          </w:tcPr>
          <w:p w:rsidR="006252C4" w:rsidRPr="00A81964" w:rsidRDefault="006252C4" w:rsidP="00D04D4F">
            <w:pPr>
              <w:spacing w:line="269" w:lineRule="auto"/>
              <w:jc w:val="center"/>
              <w:rPr>
                <w:rFonts w:ascii="David" w:eastAsia="Times New Roman" w:hAnsi="David"/>
                <w:b/>
                <w:bCs/>
                <w:color w:val="FFFFFF"/>
                <w:sz w:val="22"/>
                <w:szCs w:val="22"/>
                <w:rtl/>
              </w:rPr>
            </w:pPr>
            <w:r w:rsidRPr="00A81964">
              <w:rPr>
                <w:rFonts w:ascii="David" w:eastAsia="Times New Roman" w:hAnsi="David"/>
                <w:b/>
                <w:bCs/>
                <w:color w:val="FFFFFF"/>
                <w:sz w:val="22"/>
                <w:szCs w:val="22"/>
                <w:rtl/>
              </w:rPr>
              <w:t>מסלול חקלאות</w:t>
            </w:r>
          </w:p>
        </w:tc>
        <w:tc>
          <w:tcPr>
            <w:tcW w:w="1276" w:type="dxa"/>
            <w:shd w:val="clear" w:color="auto" w:fill="auto"/>
            <w:vAlign w:val="center"/>
            <w:hideMark/>
          </w:tcPr>
          <w:p w:rsidR="006252C4" w:rsidRPr="00794DF5" w:rsidRDefault="006252C4" w:rsidP="00D04D4F">
            <w:pPr>
              <w:spacing w:line="269" w:lineRule="auto"/>
              <w:jc w:val="left"/>
              <w:rPr>
                <w:rFonts w:ascii="David" w:eastAsia="Times New Roman" w:hAnsi="David"/>
                <w:color w:val="000000"/>
                <w:sz w:val="21"/>
                <w:szCs w:val="21"/>
                <w:rtl/>
              </w:rPr>
            </w:pPr>
            <w:r w:rsidRPr="00794DF5">
              <w:rPr>
                <w:rFonts w:ascii="David" w:eastAsia="Times New Roman" w:hAnsi="David"/>
                <w:color w:val="000000"/>
                <w:sz w:val="21"/>
                <w:szCs w:val="21"/>
                <w:rtl/>
              </w:rPr>
              <w:t>י</w:t>
            </w:r>
            <w:r w:rsidRPr="00794DF5">
              <w:rPr>
                <w:rFonts w:ascii="David" w:eastAsia="Times New Roman" w:hAnsi="David" w:hint="eastAsia"/>
                <w:color w:val="000000"/>
                <w:sz w:val="21"/>
                <w:szCs w:val="21"/>
                <w:rtl/>
              </w:rPr>
              <w:t>י</w:t>
            </w:r>
            <w:r w:rsidRPr="00794DF5">
              <w:rPr>
                <w:rFonts w:ascii="David" w:eastAsia="Times New Roman" w:hAnsi="David"/>
                <w:color w:val="000000"/>
                <w:sz w:val="21"/>
                <w:szCs w:val="21"/>
                <w:rtl/>
              </w:rPr>
              <w:t>שובים באזור המיוחד</w:t>
            </w:r>
          </w:p>
        </w:tc>
        <w:tc>
          <w:tcPr>
            <w:tcW w:w="1878" w:type="dxa"/>
            <w:shd w:val="clear" w:color="auto" w:fill="auto"/>
            <w:vAlign w:val="center"/>
            <w:hideMark/>
          </w:tcPr>
          <w:p w:rsidR="006252C4" w:rsidRPr="00794DF5" w:rsidRDefault="006252C4" w:rsidP="00D04D4F">
            <w:pPr>
              <w:spacing w:line="269" w:lineRule="auto"/>
              <w:jc w:val="center"/>
              <w:rPr>
                <w:rFonts w:ascii="David" w:eastAsia="Times New Roman" w:hAnsi="David"/>
                <w:b/>
                <w:bCs/>
                <w:color w:val="000000"/>
                <w:sz w:val="21"/>
                <w:szCs w:val="21"/>
                <w:rtl/>
              </w:rPr>
            </w:pPr>
            <w:r w:rsidRPr="00794DF5">
              <w:rPr>
                <w:rFonts w:ascii="David" w:eastAsia="Times New Roman" w:hAnsi="David"/>
                <w:b/>
                <w:bCs/>
                <w:color w:val="000000"/>
                <w:sz w:val="21"/>
                <w:szCs w:val="21"/>
                <w:rtl/>
              </w:rPr>
              <w:t>-</w:t>
            </w:r>
          </w:p>
        </w:tc>
        <w:tc>
          <w:tcPr>
            <w:tcW w:w="1254" w:type="dxa"/>
            <w:shd w:val="clear" w:color="auto" w:fill="auto"/>
            <w:vAlign w:val="center"/>
            <w:hideMark/>
          </w:tcPr>
          <w:p w:rsidR="006252C4" w:rsidRPr="00794DF5" w:rsidRDefault="006252C4" w:rsidP="00D04D4F">
            <w:pPr>
              <w:spacing w:line="269" w:lineRule="auto"/>
              <w:jc w:val="center"/>
              <w:rPr>
                <w:rFonts w:ascii="David" w:eastAsia="Times New Roman" w:hAnsi="David"/>
                <w:b/>
                <w:bCs/>
                <w:color w:val="000000"/>
                <w:sz w:val="21"/>
                <w:szCs w:val="21"/>
                <w:rtl/>
              </w:rPr>
            </w:pPr>
            <w:r w:rsidRPr="00794DF5">
              <w:rPr>
                <w:rFonts w:ascii="David" w:eastAsia="Times New Roman" w:hAnsi="David"/>
                <w:b/>
                <w:bCs/>
                <w:color w:val="000000"/>
                <w:sz w:val="21"/>
                <w:szCs w:val="21"/>
                <w:rtl/>
              </w:rPr>
              <w:t>-</w:t>
            </w:r>
          </w:p>
        </w:tc>
        <w:tc>
          <w:tcPr>
            <w:tcW w:w="1363" w:type="dxa"/>
            <w:shd w:val="clear" w:color="auto" w:fill="auto"/>
            <w:vAlign w:val="center"/>
            <w:hideMark/>
          </w:tcPr>
          <w:p w:rsidR="006252C4" w:rsidRPr="00794DF5" w:rsidRDefault="006252C4" w:rsidP="00D04D4F">
            <w:pPr>
              <w:spacing w:line="269" w:lineRule="auto"/>
              <w:jc w:val="center"/>
              <w:rPr>
                <w:rFonts w:ascii="David" w:eastAsia="Times New Roman" w:hAnsi="David"/>
                <w:b/>
                <w:bCs/>
                <w:color w:val="000000"/>
                <w:sz w:val="21"/>
                <w:szCs w:val="21"/>
                <w:rtl/>
              </w:rPr>
            </w:pPr>
            <w:r w:rsidRPr="00794DF5">
              <w:rPr>
                <w:rFonts w:ascii="David" w:eastAsia="Times New Roman" w:hAnsi="David"/>
                <w:b/>
                <w:bCs/>
                <w:color w:val="000000"/>
                <w:sz w:val="21"/>
                <w:szCs w:val="21"/>
                <w:rtl/>
              </w:rPr>
              <w:t>-</w:t>
            </w:r>
          </w:p>
        </w:tc>
        <w:tc>
          <w:tcPr>
            <w:tcW w:w="1461" w:type="dxa"/>
            <w:vAlign w:val="center"/>
          </w:tcPr>
          <w:p w:rsidR="006252C4" w:rsidRPr="00794DF5" w:rsidRDefault="006252C4" w:rsidP="00D04D4F">
            <w:pPr>
              <w:spacing w:line="269" w:lineRule="auto"/>
              <w:jc w:val="center"/>
              <w:rPr>
                <w:rFonts w:ascii="David" w:eastAsia="Times New Roman" w:hAnsi="David"/>
                <w:b/>
                <w:bCs/>
                <w:color w:val="000000"/>
                <w:sz w:val="21"/>
                <w:szCs w:val="21"/>
                <w:rtl/>
              </w:rPr>
            </w:pPr>
            <w:r w:rsidRPr="00794DF5">
              <w:rPr>
                <w:rFonts w:ascii="David" w:eastAsia="Times New Roman" w:hAnsi="David"/>
                <w:b/>
                <w:bCs/>
                <w:color w:val="000000"/>
                <w:sz w:val="21"/>
                <w:szCs w:val="21"/>
                <w:rtl/>
              </w:rPr>
              <w:t>-</w:t>
            </w:r>
          </w:p>
        </w:tc>
      </w:tr>
    </w:tbl>
    <w:p w:rsidR="006252C4" w:rsidRPr="00A81964" w:rsidRDefault="006252C4" w:rsidP="006252C4">
      <w:pPr>
        <w:spacing w:line="269" w:lineRule="auto"/>
        <w:rPr>
          <w:b/>
          <w:bCs/>
          <w:rtl/>
        </w:rPr>
      </w:pPr>
      <w:r w:rsidRPr="00A81964">
        <w:rPr>
          <w:rFonts w:hint="eastAsia"/>
          <w:b/>
          <w:bCs/>
          <w:rtl/>
        </w:rPr>
        <w:t>מאז</w:t>
      </w:r>
      <w:r w:rsidRPr="00A81964">
        <w:rPr>
          <w:b/>
          <w:bCs/>
          <w:rtl/>
        </w:rPr>
        <w:t xml:space="preserve"> </w:t>
      </w:r>
      <w:r w:rsidRPr="00A81964">
        <w:rPr>
          <w:rFonts w:hint="eastAsia"/>
          <w:b/>
          <w:bCs/>
          <w:rtl/>
        </w:rPr>
        <w:t>תחילת</w:t>
      </w:r>
      <w:r w:rsidRPr="00A81964">
        <w:rPr>
          <w:b/>
          <w:bCs/>
          <w:rtl/>
        </w:rPr>
        <w:t xml:space="preserve"> </w:t>
      </w:r>
      <w:r w:rsidRPr="00A81964">
        <w:rPr>
          <w:rFonts w:hint="eastAsia"/>
          <w:b/>
          <w:bCs/>
          <w:rtl/>
        </w:rPr>
        <w:t>מלחמת</w:t>
      </w:r>
      <w:r w:rsidRPr="00A81964">
        <w:rPr>
          <w:b/>
          <w:bCs/>
          <w:rtl/>
        </w:rPr>
        <w:t xml:space="preserve"> </w:t>
      </w:r>
      <w:r w:rsidRPr="00A81964">
        <w:rPr>
          <w:rFonts w:hint="eastAsia"/>
          <w:b/>
          <w:bCs/>
          <w:rtl/>
        </w:rPr>
        <w:t>חרבות</w:t>
      </w:r>
      <w:r w:rsidRPr="00A81964">
        <w:rPr>
          <w:b/>
          <w:bCs/>
          <w:rtl/>
        </w:rPr>
        <w:t xml:space="preserve"> </w:t>
      </w:r>
      <w:r w:rsidRPr="00A81964">
        <w:rPr>
          <w:rFonts w:hint="eastAsia"/>
          <w:b/>
          <w:bCs/>
          <w:rtl/>
        </w:rPr>
        <w:t>ברזל</w:t>
      </w:r>
      <w:r w:rsidRPr="00A81964">
        <w:rPr>
          <w:b/>
          <w:bCs/>
          <w:rtl/>
        </w:rPr>
        <w:t xml:space="preserve"> </w:t>
      </w:r>
      <w:r w:rsidRPr="00A81964">
        <w:rPr>
          <w:rFonts w:hint="eastAsia"/>
          <w:b/>
          <w:bCs/>
          <w:rtl/>
        </w:rPr>
        <w:t>ועד</w:t>
      </w:r>
      <w:r w:rsidRPr="00A81964">
        <w:rPr>
          <w:b/>
          <w:bCs/>
          <w:rtl/>
        </w:rPr>
        <w:t xml:space="preserve"> </w:t>
      </w:r>
      <w:r w:rsidRPr="00A81964">
        <w:rPr>
          <w:rFonts w:hint="eastAsia"/>
          <w:b/>
          <w:bCs/>
          <w:rtl/>
        </w:rPr>
        <w:t>סוף</w:t>
      </w:r>
      <w:r w:rsidRPr="00A81964">
        <w:rPr>
          <w:b/>
          <w:bCs/>
          <w:rtl/>
        </w:rPr>
        <w:t xml:space="preserve"> </w:t>
      </w:r>
      <w:r w:rsidRPr="00A81964">
        <w:rPr>
          <w:rFonts w:hint="eastAsia"/>
          <w:b/>
          <w:bCs/>
          <w:rtl/>
        </w:rPr>
        <w:t>חודש</w:t>
      </w:r>
      <w:r w:rsidRPr="00A81964">
        <w:rPr>
          <w:b/>
          <w:bCs/>
          <w:rtl/>
        </w:rPr>
        <w:t xml:space="preserve"> </w:t>
      </w:r>
      <w:r w:rsidRPr="00A81964">
        <w:rPr>
          <w:rFonts w:hint="eastAsia"/>
          <w:b/>
          <w:bCs/>
          <w:rtl/>
        </w:rPr>
        <w:t>אוקטובר</w:t>
      </w:r>
      <w:r w:rsidRPr="00A81964">
        <w:rPr>
          <w:b/>
          <w:bCs/>
          <w:rtl/>
        </w:rPr>
        <w:t xml:space="preserve"> 2024 </w:t>
      </w:r>
      <w:r w:rsidRPr="00A81964">
        <w:rPr>
          <w:rFonts w:hint="eastAsia"/>
          <w:b/>
          <w:bCs/>
          <w:rtl/>
        </w:rPr>
        <w:t>הוגשו</w:t>
      </w:r>
      <w:r w:rsidRPr="00A81964">
        <w:rPr>
          <w:b/>
          <w:bCs/>
          <w:rtl/>
        </w:rPr>
        <w:t xml:space="preserve"> </w:t>
      </w:r>
      <w:r w:rsidRPr="00A81964">
        <w:rPr>
          <w:rFonts w:hint="eastAsia"/>
          <w:b/>
          <w:bCs/>
          <w:rtl/>
        </w:rPr>
        <w:t>כ</w:t>
      </w:r>
      <w:r w:rsidRPr="00A81964">
        <w:rPr>
          <w:b/>
          <w:bCs/>
          <w:rtl/>
        </w:rPr>
        <w:t>-</w:t>
      </w:r>
      <w:r w:rsidRPr="00AA1661">
        <w:rPr>
          <w:b/>
          <w:bCs/>
          <w:rtl/>
        </w:rPr>
        <w:t xml:space="preserve">525,000 </w:t>
      </w:r>
      <w:r w:rsidRPr="00AA1661">
        <w:rPr>
          <w:rFonts w:hint="eastAsia"/>
          <w:b/>
          <w:bCs/>
          <w:rtl/>
        </w:rPr>
        <w:t>תביעות</w:t>
      </w:r>
      <w:r w:rsidRPr="00A81964">
        <w:rPr>
          <w:rStyle w:val="af2"/>
          <w:b/>
          <w:bCs/>
          <w:rtl/>
        </w:rPr>
        <w:footnoteReference w:id="56"/>
      </w:r>
      <w:r w:rsidRPr="00A81964">
        <w:rPr>
          <w:b/>
          <w:bCs/>
          <w:rtl/>
        </w:rPr>
        <w:t xml:space="preserve"> לפיצויים בגין נזקים עקיפים ושולמו פיצויים בסך של כ-</w:t>
      </w:r>
      <w:r w:rsidRPr="00AA1661">
        <w:rPr>
          <w:b/>
          <w:bCs/>
          <w:rtl/>
        </w:rPr>
        <w:t xml:space="preserve">15.1 </w:t>
      </w:r>
      <w:r w:rsidRPr="00AA1661">
        <w:rPr>
          <w:rFonts w:hint="eastAsia"/>
          <w:b/>
          <w:bCs/>
          <w:rtl/>
        </w:rPr>
        <w:t>מיליארד</w:t>
      </w:r>
      <w:r w:rsidRPr="00AA1661">
        <w:rPr>
          <w:b/>
          <w:bCs/>
          <w:rtl/>
        </w:rPr>
        <w:t xml:space="preserve"> </w:t>
      </w:r>
      <w:r w:rsidRPr="00AA1661">
        <w:rPr>
          <w:rFonts w:hint="eastAsia"/>
          <w:b/>
          <w:bCs/>
          <w:rtl/>
        </w:rPr>
        <w:t>ש</w:t>
      </w:r>
      <w:r w:rsidRPr="00AA1661">
        <w:rPr>
          <w:b/>
          <w:bCs/>
          <w:rtl/>
        </w:rPr>
        <w:t>"ח</w:t>
      </w:r>
      <w:r w:rsidRPr="00A81964">
        <w:rPr>
          <w:b/>
          <w:bCs/>
          <w:rtl/>
        </w:rPr>
        <w:t>.</w:t>
      </w:r>
    </w:p>
    <w:p w:rsidR="006252C4" w:rsidRDefault="006252C4" w:rsidP="006252C4">
      <w:pPr>
        <w:pStyle w:val="a8"/>
        <w:spacing w:line="269" w:lineRule="auto"/>
        <w:rPr>
          <w:rtl/>
        </w:rPr>
      </w:pPr>
    </w:p>
    <w:p w:rsidR="006252C4" w:rsidRDefault="006252C4" w:rsidP="006252C4">
      <w:pPr>
        <w:spacing w:line="269" w:lineRule="auto"/>
        <w:rPr>
          <w:rtl/>
        </w:rPr>
      </w:pPr>
      <w:r w:rsidRPr="00A81964">
        <w:rPr>
          <w:rFonts w:hint="cs"/>
          <w:rtl/>
        </w:rPr>
        <w:t>להלן בתרשים 9 מוצגת התפלגות הפיצויים ששולמו בפועל בגין נזק עקיף במלחמת חרבות ברזל עד סוף חודש אוקטובר 2024, לפי מסלולי הפיצויים השונים.</w:t>
      </w:r>
    </w:p>
    <w:p w:rsidR="006252C4" w:rsidRDefault="006252C4" w:rsidP="006252C4">
      <w:pPr>
        <w:spacing w:line="269" w:lineRule="auto"/>
        <w:jc w:val="center"/>
        <w:rPr>
          <w:rtl/>
        </w:rPr>
      </w:pPr>
    </w:p>
    <w:p w:rsidR="006252C4" w:rsidRPr="00A81964" w:rsidRDefault="006252C4" w:rsidP="006252C4">
      <w:pPr>
        <w:spacing w:line="269" w:lineRule="auto"/>
        <w:jc w:val="center"/>
        <w:rPr>
          <w:b/>
          <w:bCs/>
          <w:rtl/>
        </w:rPr>
      </w:pPr>
      <w:r w:rsidRPr="00A81964">
        <w:rPr>
          <w:rFonts w:hint="eastAsia"/>
          <w:rtl/>
        </w:rPr>
        <w:t>תרשים</w:t>
      </w:r>
      <w:r w:rsidRPr="00A81964">
        <w:rPr>
          <w:rtl/>
        </w:rPr>
        <w:t xml:space="preserve"> 9:</w:t>
      </w:r>
      <w:r w:rsidRPr="00A81964">
        <w:rPr>
          <w:b/>
          <w:bCs/>
          <w:rtl/>
        </w:rPr>
        <w:t xml:space="preserve"> התפלגות </w:t>
      </w:r>
      <w:r w:rsidRPr="00A81964">
        <w:rPr>
          <w:rFonts w:hint="eastAsia"/>
          <w:b/>
          <w:bCs/>
          <w:rtl/>
        </w:rPr>
        <w:t>הפיצויים</w:t>
      </w:r>
      <w:r w:rsidRPr="00A81964">
        <w:rPr>
          <w:b/>
          <w:bCs/>
          <w:rtl/>
        </w:rPr>
        <w:t xml:space="preserve"> </w:t>
      </w:r>
      <w:r w:rsidRPr="00A81964">
        <w:rPr>
          <w:rFonts w:hint="eastAsia"/>
          <w:b/>
          <w:bCs/>
          <w:rtl/>
        </w:rPr>
        <w:t>ששולמו</w:t>
      </w:r>
      <w:r w:rsidRPr="00A81964">
        <w:rPr>
          <w:rFonts w:hint="cs"/>
          <w:b/>
          <w:bCs/>
          <w:rtl/>
        </w:rPr>
        <w:t xml:space="preserve"> בפועל</w:t>
      </w:r>
      <w:r w:rsidRPr="00A81964">
        <w:rPr>
          <w:b/>
          <w:bCs/>
          <w:rtl/>
        </w:rPr>
        <w:t xml:space="preserve"> בגין נזק</w:t>
      </w:r>
      <w:r w:rsidRPr="00A81964">
        <w:rPr>
          <w:rFonts w:hint="cs"/>
          <w:b/>
          <w:bCs/>
          <w:rtl/>
        </w:rPr>
        <w:t xml:space="preserve"> עקיף </w:t>
      </w:r>
      <w:r w:rsidRPr="00A81964">
        <w:rPr>
          <w:rFonts w:hint="eastAsia"/>
          <w:b/>
          <w:bCs/>
          <w:rtl/>
        </w:rPr>
        <w:t>במלחמת</w:t>
      </w:r>
      <w:r w:rsidRPr="00A81964">
        <w:rPr>
          <w:b/>
          <w:bCs/>
          <w:rtl/>
        </w:rPr>
        <w:t xml:space="preserve"> </w:t>
      </w:r>
      <w:r w:rsidRPr="00A81964">
        <w:rPr>
          <w:rFonts w:hint="eastAsia"/>
          <w:b/>
          <w:bCs/>
          <w:rtl/>
        </w:rPr>
        <w:t>חרבות</w:t>
      </w:r>
      <w:r w:rsidRPr="00A81964">
        <w:rPr>
          <w:b/>
          <w:bCs/>
          <w:rtl/>
        </w:rPr>
        <w:t xml:space="preserve"> </w:t>
      </w:r>
      <w:r w:rsidRPr="00A81964">
        <w:rPr>
          <w:rFonts w:hint="eastAsia"/>
          <w:b/>
          <w:bCs/>
          <w:rtl/>
        </w:rPr>
        <w:t>ברזל</w:t>
      </w:r>
      <w:r w:rsidRPr="00A81964">
        <w:rPr>
          <w:b/>
          <w:bCs/>
          <w:rtl/>
        </w:rPr>
        <w:t xml:space="preserve">, </w:t>
      </w:r>
      <w:r w:rsidRPr="00A81964">
        <w:rPr>
          <w:rFonts w:hint="eastAsia"/>
          <w:b/>
          <w:bCs/>
          <w:rtl/>
        </w:rPr>
        <w:t>לפי</w:t>
      </w:r>
      <w:r w:rsidRPr="00A81964">
        <w:rPr>
          <w:b/>
          <w:bCs/>
          <w:rtl/>
        </w:rPr>
        <w:t xml:space="preserve"> </w:t>
      </w:r>
      <w:r w:rsidRPr="00A81964">
        <w:rPr>
          <w:rFonts w:hint="eastAsia"/>
          <w:b/>
          <w:bCs/>
          <w:rtl/>
        </w:rPr>
        <w:t>מסלולי</w:t>
      </w:r>
      <w:r w:rsidRPr="00A81964">
        <w:rPr>
          <w:b/>
          <w:bCs/>
          <w:rtl/>
        </w:rPr>
        <w:t xml:space="preserve"> </w:t>
      </w:r>
      <w:r w:rsidRPr="00A81964">
        <w:rPr>
          <w:rFonts w:hint="eastAsia"/>
          <w:b/>
          <w:bCs/>
          <w:rtl/>
        </w:rPr>
        <w:t>הפיצוי</w:t>
      </w:r>
      <w:r w:rsidRPr="00A81964">
        <w:rPr>
          <w:b/>
          <w:bCs/>
          <w:rtl/>
        </w:rPr>
        <w:t xml:space="preserve"> </w:t>
      </w:r>
      <w:r w:rsidRPr="00A81964">
        <w:rPr>
          <w:rFonts w:hint="eastAsia"/>
          <w:b/>
          <w:bCs/>
          <w:rtl/>
        </w:rPr>
        <w:t>השונים</w:t>
      </w:r>
      <w:r w:rsidRPr="00A81964">
        <w:rPr>
          <w:b/>
          <w:bCs/>
          <w:rtl/>
        </w:rPr>
        <w:t xml:space="preserve">, </w:t>
      </w:r>
      <w:r w:rsidRPr="00A81964">
        <w:rPr>
          <w:rFonts w:hint="eastAsia"/>
          <w:b/>
          <w:bCs/>
          <w:rtl/>
        </w:rPr>
        <w:t>עד</w:t>
      </w:r>
      <w:r w:rsidRPr="00A81964">
        <w:rPr>
          <w:b/>
          <w:bCs/>
          <w:rtl/>
        </w:rPr>
        <w:t xml:space="preserve"> </w:t>
      </w:r>
      <w:r w:rsidRPr="00A81964">
        <w:rPr>
          <w:rFonts w:hint="eastAsia"/>
          <w:b/>
          <w:bCs/>
          <w:rtl/>
        </w:rPr>
        <w:t>סוף</w:t>
      </w:r>
      <w:r w:rsidRPr="00A81964">
        <w:rPr>
          <w:b/>
          <w:bCs/>
          <w:rtl/>
        </w:rPr>
        <w:t xml:space="preserve"> </w:t>
      </w:r>
      <w:r w:rsidRPr="00A81964">
        <w:rPr>
          <w:rFonts w:hint="eastAsia"/>
          <w:b/>
          <w:bCs/>
          <w:rtl/>
        </w:rPr>
        <w:t>חודש</w:t>
      </w:r>
      <w:r w:rsidRPr="00A81964">
        <w:rPr>
          <w:b/>
          <w:bCs/>
          <w:rtl/>
        </w:rPr>
        <w:t xml:space="preserve"> </w:t>
      </w:r>
      <w:r w:rsidRPr="00A81964">
        <w:rPr>
          <w:rFonts w:hint="eastAsia"/>
          <w:b/>
          <w:bCs/>
          <w:rtl/>
        </w:rPr>
        <w:t>אוקטובר</w:t>
      </w:r>
      <w:r w:rsidRPr="00A81964">
        <w:rPr>
          <w:b/>
          <w:bCs/>
          <w:rtl/>
        </w:rPr>
        <w:t xml:space="preserve"> 2024</w:t>
      </w:r>
    </w:p>
    <w:p w:rsidR="006252C4" w:rsidRPr="00A81964" w:rsidRDefault="006252C4" w:rsidP="006252C4">
      <w:pPr>
        <w:spacing w:line="269" w:lineRule="auto"/>
        <w:jc w:val="center"/>
      </w:pPr>
      <w:r w:rsidRPr="00A81964">
        <w:rPr>
          <w:noProof/>
        </w:rPr>
        <w:t xml:space="preserve"> </w:t>
      </w:r>
      <w:r>
        <w:rPr>
          <w:noProof/>
        </w:rPr>
        <w:drawing>
          <wp:inline distT="0" distB="0" distL="0" distR="0" wp14:anchorId="063860BD" wp14:editId="3BE3E3E3">
            <wp:extent cx="4455169" cy="2612572"/>
            <wp:effectExtent l="0" t="0" r="2540" b="0"/>
            <wp:docPr id="30" name="תמונה 30" descr="מסלול כלל ארצי 62%&#10;מסלול אדום 20%&#10;מסלול מחזורים 17%&#10;מסלול שכר וחקלאות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750"/>
                    <a:stretch/>
                  </pic:blipFill>
                  <pic:spPr bwMode="auto">
                    <a:xfrm>
                      <a:off x="0" y="0"/>
                      <a:ext cx="4485104" cy="2630126"/>
                    </a:xfrm>
                    <a:prstGeom prst="rect">
                      <a:avLst/>
                    </a:prstGeom>
                    <a:noFill/>
                    <a:ln>
                      <a:noFill/>
                    </a:ln>
                    <a:extLst>
                      <a:ext uri="{53640926-AAD7-44D8-BBD7-CCE9431645EC}">
                        <a14:shadowObscured xmlns:a14="http://schemas.microsoft.com/office/drawing/2010/main"/>
                      </a:ext>
                    </a:extLst>
                  </pic:spPr>
                </pic:pic>
              </a:graphicData>
            </a:graphic>
          </wp:inline>
        </w:drawing>
      </w:r>
    </w:p>
    <w:p w:rsidR="006252C4" w:rsidRPr="00A81964" w:rsidRDefault="006252C4" w:rsidP="006252C4">
      <w:pPr>
        <w:spacing w:line="269" w:lineRule="auto"/>
        <w:jc w:val="left"/>
        <w:rPr>
          <w:szCs w:val="20"/>
          <w:rtl/>
        </w:rPr>
      </w:pPr>
      <w:r w:rsidRPr="00A81964">
        <w:rPr>
          <w:rFonts w:hint="cs"/>
          <w:szCs w:val="20"/>
          <w:rtl/>
        </w:rPr>
        <w:t>על פי נתוני</w:t>
      </w:r>
      <w:r w:rsidRPr="00A81964">
        <w:rPr>
          <w:szCs w:val="20"/>
          <w:rtl/>
        </w:rPr>
        <w:t xml:space="preserve"> </w:t>
      </w:r>
      <w:r w:rsidRPr="00AA1661">
        <w:rPr>
          <w:rFonts w:hint="cs"/>
          <w:szCs w:val="20"/>
          <w:rtl/>
        </w:rPr>
        <w:t>רשות המיסים, בעיבוד משרד מבקר המדינה</w:t>
      </w:r>
      <w:r w:rsidRPr="009B57F0">
        <w:rPr>
          <w:rFonts w:hint="cs"/>
          <w:rtl/>
        </w:rPr>
        <w:t>.</w:t>
      </w:r>
    </w:p>
    <w:p w:rsidR="006252C4" w:rsidRDefault="006252C4" w:rsidP="006252C4">
      <w:pPr>
        <w:pStyle w:val="a8"/>
        <w:spacing w:line="269" w:lineRule="auto"/>
        <w:rPr>
          <w:rtl/>
        </w:rPr>
      </w:pPr>
    </w:p>
    <w:p w:rsidR="00794DF5" w:rsidRDefault="00794DF5">
      <w:pPr>
        <w:bidi w:val="0"/>
        <w:spacing w:after="200" w:line="276" w:lineRule="auto"/>
        <w:rPr>
          <w:rtl/>
        </w:rPr>
      </w:pPr>
      <w:r>
        <w:rPr>
          <w:rtl/>
        </w:rPr>
        <w:br w:type="page"/>
      </w:r>
    </w:p>
    <w:p w:rsidR="006252C4" w:rsidRPr="00A81964" w:rsidRDefault="006252C4" w:rsidP="006252C4">
      <w:pPr>
        <w:spacing w:line="269" w:lineRule="auto"/>
        <w:rPr>
          <w:rtl/>
        </w:rPr>
      </w:pPr>
      <w:r w:rsidRPr="00A81964">
        <w:rPr>
          <w:rFonts w:hint="cs"/>
          <w:rtl/>
        </w:rPr>
        <w:lastRenderedPageBreak/>
        <w:t>להלן בתרשים 10 מוצגים סכומי הפיצויים ששולמו בגין נזקים עקיפים במלחמת חרבות ברזל לפי מסלולי הפיצויים השונים.</w:t>
      </w:r>
    </w:p>
    <w:p w:rsidR="006252C4" w:rsidRPr="00A81964" w:rsidRDefault="006252C4" w:rsidP="006252C4">
      <w:pPr>
        <w:spacing w:line="269" w:lineRule="auto"/>
        <w:rPr>
          <w:rtl/>
        </w:rPr>
      </w:pPr>
    </w:p>
    <w:p w:rsidR="006252C4" w:rsidRPr="00A81964" w:rsidRDefault="006252C4" w:rsidP="006252C4">
      <w:pPr>
        <w:keepNext/>
        <w:keepLines/>
        <w:spacing w:line="269" w:lineRule="auto"/>
        <w:jc w:val="center"/>
        <w:rPr>
          <w:b/>
          <w:bCs/>
          <w:rtl/>
        </w:rPr>
      </w:pPr>
      <w:r w:rsidRPr="00A81964">
        <w:rPr>
          <w:rFonts w:hint="eastAsia"/>
          <w:rtl/>
        </w:rPr>
        <w:t>תרשים</w:t>
      </w:r>
      <w:r w:rsidRPr="00A81964">
        <w:rPr>
          <w:rtl/>
        </w:rPr>
        <w:t xml:space="preserve"> 10:</w:t>
      </w:r>
      <w:r w:rsidRPr="00A81964">
        <w:rPr>
          <w:b/>
          <w:bCs/>
          <w:rtl/>
        </w:rPr>
        <w:t xml:space="preserve"> סכומי </w:t>
      </w:r>
      <w:r w:rsidRPr="00A81964">
        <w:rPr>
          <w:rFonts w:hint="eastAsia"/>
          <w:b/>
          <w:bCs/>
          <w:rtl/>
        </w:rPr>
        <w:t>הפיצויים</w:t>
      </w:r>
      <w:r w:rsidRPr="00A81964">
        <w:rPr>
          <w:b/>
          <w:bCs/>
          <w:rtl/>
        </w:rPr>
        <w:t xml:space="preserve"> </w:t>
      </w:r>
      <w:r w:rsidRPr="00A81964">
        <w:rPr>
          <w:rFonts w:hint="eastAsia"/>
          <w:b/>
          <w:bCs/>
          <w:rtl/>
        </w:rPr>
        <w:t>ששולמו</w:t>
      </w:r>
      <w:r w:rsidRPr="00A81964">
        <w:rPr>
          <w:b/>
          <w:bCs/>
          <w:rtl/>
        </w:rPr>
        <w:t xml:space="preserve"> בגין נזקים </w:t>
      </w:r>
      <w:r w:rsidRPr="00A81964">
        <w:rPr>
          <w:rFonts w:hint="eastAsia"/>
          <w:b/>
          <w:bCs/>
          <w:rtl/>
        </w:rPr>
        <w:t>עקיפים</w:t>
      </w:r>
      <w:r w:rsidRPr="00A81964">
        <w:rPr>
          <w:b/>
          <w:bCs/>
          <w:rtl/>
        </w:rPr>
        <w:t xml:space="preserve"> </w:t>
      </w:r>
      <w:r w:rsidRPr="00A81964">
        <w:rPr>
          <w:rFonts w:hint="eastAsia"/>
          <w:b/>
          <w:bCs/>
          <w:rtl/>
        </w:rPr>
        <w:t>במלחמת</w:t>
      </w:r>
      <w:r w:rsidRPr="00A81964">
        <w:rPr>
          <w:b/>
          <w:bCs/>
          <w:rtl/>
        </w:rPr>
        <w:t xml:space="preserve"> </w:t>
      </w:r>
      <w:r w:rsidRPr="00A81964">
        <w:rPr>
          <w:rFonts w:hint="eastAsia"/>
          <w:b/>
          <w:bCs/>
          <w:rtl/>
        </w:rPr>
        <w:t>חרבות</w:t>
      </w:r>
      <w:r w:rsidRPr="00A81964">
        <w:rPr>
          <w:b/>
          <w:bCs/>
          <w:rtl/>
        </w:rPr>
        <w:t xml:space="preserve"> </w:t>
      </w:r>
      <w:r w:rsidRPr="00A81964">
        <w:rPr>
          <w:rFonts w:hint="eastAsia"/>
          <w:b/>
          <w:bCs/>
          <w:rtl/>
        </w:rPr>
        <w:t>ברזל</w:t>
      </w:r>
      <w:r w:rsidRPr="00A81964">
        <w:rPr>
          <w:b/>
          <w:bCs/>
          <w:rtl/>
        </w:rPr>
        <w:t xml:space="preserve">, </w:t>
      </w:r>
      <w:r w:rsidRPr="00A81964">
        <w:rPr>
          <w:rFonts w:hint="eastAsia"/>
          <w:b/>
          <w:bCs/>
          <w:rtl/>
        </w:rPr>
        <w:t>לפי</w:t>
      </w:r>
      <w:r w:rsidRPr="00A81964">
        <w:rPr>
          <w:b/>
          <w:bCs/>
          <w:rtl/>
        </w:rPr>
        <w:t xml:space="preserve"> </w:t>
      </w:r>
      <w:r w:rsidRPr="00A81964">
        <w:rPr>
          <w:rFonts w:hint="eastAsia"/>
          <w:b/>
          <w:bCs/>
          <w:rtl/>
        </w:rPr>
        <w:t>מסלולי</w:t>
      </w:r>
      <w:r w:rsidRPr="00A81964">
        <w:rPr>
          <w:b/>
          <w:bCs/>
          <w:rtl/>
        </w:rPr>
        <w:t xml:space="preserve"> </w:t>
      </w:r>
      <w:r w:rsidRPr="00A81964">
        <w:rPr>
          <w:rFonts w:hint="eastAsia"/>
          <w:b/>
          <w:bCs/>
          <w:rtl/>
        </w:rPr>
        <w:t>הפיצויים</w:t>
      </w:r>
      <w:r w:rsidRPr="00A81964">
        <w:rPr>
          <w:b/>
          <w:bCs/>
          <w:rtl/>
        </w:rPr>
        <w:t xml:space="preserve"> </w:t>
      </w:r>
      <w:r w:rsidRPr="00A81964">
        <w:rPr>
          <w:rFonts w:hint="eastAsia"/>
          <w:b/>
          <w:bCs/>
          <w:rtl/>
        </w:rPr>
        <w:t>השונים</w:t>
      </w:r>
      <w:r w:rsidRPr="00A81964">
        <w:rPr>
          <w:b/>
          <w:bCs/>
          <w:rtl/>
        </w:rPr>
        <w:t xml:space="preserve">, </w:t>
      </w:r>
      <w:r w:rsidRPr="00A81964">
        <w:rPr>
          <w:rFonts w:hint="eastAsia"/>
          <w:b/>
          <w:bCs/>
          <w:rtl/>
        </w:rPr>
        <w:t>עד</w:t>
      </w:r>
      <w:r w:rsidRPr="00A81964">
        <w:rPr>
          <w:b/>
          <w:bCs/>
          <w:rtl/>
        </w:rPr>
        <w:t xml:space="preserve"> </w:t>
      </w:r>
      <w:r w:rsidRPr="00A81964">
        <w:rPr>
          <w:rFonts w:hint="eastAsia"/>
          <w:b/>
          <w:bCs/>
          <w:rtl/>
        </w:rPr>
        <w:t>סוף</w:t>
      </w:r>
      <w:r w:rsidRPr="00A81964">
        <w:rPr>
          <w:b/>
          <w:bCs/>
          <w:rtl/>
        </w:rPr>
        <w:t xml:space="preserve"> </w:t>
      </w:r>
      <w:r w:rsidRPr="00A81964">
        <w:rPr>
          <w:rFonts w:hint="eastAsia"/>
          <w:b/>
          <w:bCs/>
          <w:rtl/>
        </w:rPr>
        <w:t>חודש</w:t>
      </w:r>
      <w:r w:rsidRPr="00A81964">
        <w:rPr>
          <w:b/>
          <w:bCs/>
          <w:rtl/>
        </w:rPr>
        <w:t xml:space="preserve"> </w:t>
      </w:r>
      <w:r w:rsidRPr="00A81964">
        <w:rPr>
          <w:rFonts w:hint="eastAsia"/>
          <w:b/>
          <w:bCs/>
          <w:rtl/>
        </w:rPr>
        <w:t>אוקטובר</w:t>
      </w:r>
      <w:r w:rsidRPr="00A81964">
        <w:rPr>
          <w:b/>
          <w:bCs/>
          <w:rtl/>
        </w:rPr>
        <w:t xml:space="preserve"> 2024 </w:t>
      </w:r>
      <w:r w:rsidRPr="00A81964">
        <w:rPr>
          <w:rFonts w:hint="cs"/>
          <w:b/>
          <w:bCs/>
          <w:rtl/>
        </w:rPr>
        <w:t>(</w:t>
      </w:r>
      <w:r w:rsidRPr="00A81964">
        <w:rPr>
          <w:rFonts w:hint="eastAsia"/>
          <w:b/>
          <w:bCs/>
          <w:rtl/>
        </w:rPr>
        <w:t>במיליוני</w:t>
      </w:r>
      <w:r w:rsidRPr="00A81964">
        <w:rPr>
          <w:b/>
          <w:bCs/>
          <w:rtl/>
        </w:rPr>
        <w:t xml:space="preserve"> </w:t>
      </w:r>
      <w:r w:rsidRPr="00A81964">
        <w:rPr>
          <w:rFonts w:hint="eastAsia"/>
          <w:b/>
          <w:bCs/>
          <w:rtl/>
        </w:rPr>
        <w:t>ש</w:t>
      </w:r>
      <w:r w:rsidRPr="00A81964">
        <w:rPr>
          <w:b/>
          <w:bCs/>
          <w:rtl/>
        </w:rPr>
        <w:t>"ח</w:t>
      </w:r>
      <w:r w:rsidRPr="00A81964">
        <w:rPr>
          <w:rFonts w:hint="cs"/>
          <w:b/>
          <w:bCs/>
          <w:rtl/>
        </w:rPr>
        <w:t>)</w:t>
      </w:r>
    </w:p>
    <w:p w:rsidR="006252C4" w:rsidRPr="00A81964" w:rsidRDefault="006252C4" w:rsidP="006252C4">
      <w:pPr>
        <w:spacing w:line="269" w:lineRule="auto"/>
        <w:jc w:val="center"/>
        <w:rPr>
          <w:rtl/>
        </w:rPr>
      </w:pPr>
      <w:r>
        <w:rPr>
          <w:rFonts w:ascii="Almoni ML v5 AAA" w:hAnsi="Almoni ML v5 AAA" w:cs="Almoni ML v5 AAA"/>
          <w:noProof/>
        </w:rPr>
        <w:drawing>
          <wp:inline distT="0" distB="0" distL="0" distR="0" wp14:anchorId="30AA6245" wp14:editId="1388ACA3">
            <wp:extent cx="5440320" cy="2956956"/>
            <wp:effectExtent l="0" t="0" r="8255" b="0"/>
            <wp:docPr id="31" name="תמונה 31" descr="המסלול הכלל ארצי 9,423 מיליון ש&quot;ח&#10;המסלול האדום 2,939 מיליון ש&quot;ח&#10;מסלול מחזורים 2,569 מיליון ש&quot;ח&#10;מסלול שכר וחקלאות 181 מי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64834" cy="2970280"/>
                    </a:xfrm>
                    <a:prstGeom prst="rect">
                      <a:avLst/>
                    </a:prstGeom>
                    <a:noFill/>
                    <a:ln>
                      <a:noFill/>
                    </a:ln>
                  </pic:spPr>
                </pic:pic>
              </a:graphicData>
            </a:graphic>
          </wp:inline>
        </w:drawing>
      </w:r>
    </w:p>
    <w:p w:rsidR="006252C4" w:rsidRPr="0067585F" w:rsidRDefault="006252C4" w:rsidP="006252C4">
      <w:pPr>
        <w:spacing w:line="269" w:lineRule="auto"/>
        <w:jc w:val="left"/>
        <w:rPr>
          <w:szCs w:val="20"/>
          <w:rtl/>
        </w:rPr>
      </w:pPr>
      <w:r w:rsidRPr="0067585F">
        <w:rPr>
          <w:rFonts w:hint="cs"/>
          <w:szCs w:val="20"/>
          <w:rtl/>
        </w:rPr>
        <w:t>על פי נתוני</w:t>
      </w:r>
      <w:r w:rsidRPr="0067585F">
        <w:rPr>
          <w:szCs w:val="20"/>
          <w:rtl/>
        </w:rPr>
        <w:t xml:space="preserve"> </w:t>
      </w:r>
      <w:r w:rsidRPr="0067585F">
        <w:rPr>
          <w:rFonts w:hint="cs"/>
          <w:szCs w:val="20"/>
          <w:rtl/>
        </w:rPr>
        <w:t>רשות המיסים, בעיבוד משרד מבקר המדינה.</w:t>
      </w:r>
    </w:p>
    <w:p w:rsidR="006252C4" w:rsidRDefault="006252C4" w:rsidP="006252C4">
      <w:pPr>
        <w:pStyle w:val="a8"/>
        <w:spacing w:line="269" w:lineRule="auto"/>
        <w:rPr>
          <w:rtl/>
        </w:rPr>
      </w:pPr>
    </w:p>
    <w:p w:rsidR="00794DF5" w:rsidRDefault="00794DF5">
      <w:pPr>
        <w:bidi w:val="0"/>
        <w:spacing w:after="200" w:line="276" w:lineRule="auto"/>
        <w:rPr>
          <w:rtl/>
        </w:rPr>
      </w:pPr>
      <w:r>
        <w:rPr>
          <w:rtl/>
        </w:rPr>
        <w:br w:type="page"/>
      </w:r>
    </w:p>
    <w:p w:rsidR="006252C4" w:rsidRPr="00A81964" w:rsidRDefault="006252C4" w:rsidP="006252C4">
      <w:pPr>
        <w:spacing w:line="269" w:lineRule="auto"/>
        <w:rPr>
          <w:rtl/>
        </w:rPr>
      </w:pPr>
      <w:r w:rsidRPr="00A81964">
        <w:rPr>
          <w:rFonts w:hint="cs"/>
          <w:rtl/>
        </w:rPr>
        <w:lastRenderedPageBreak/>
        <w:t xml:space="preserve">להלן בתרשים 11 מוצגים סכומי הפיצויים ששולמו בגין נזקים עקיפים במלחמת חרבות ברזל לפי </w:t>
      </w:r>
      <w:r w:rsidRPr="00A81964">
        <w:rPr>
          <w:rtl/>
        </w:rPr>
        <w:t xml:space="preserve">התקופות </w:t>
      </w:r>
      <w:r w:rsidRPr="00A81964">
        <w:rPr>
          <w:rFonts w:hint="cs"/>
          <w:rtl/>
        </w:rPr>
        <w:t>ש</w:t>
      </w:r>
      <w:r w:rsidRPr="00A81964">
        <w:rPr>
          <w:rtl/>
        </w:rPr>
        <w:t>בהן נגרמו הנזקים העקיפים</w:t>
      </w:r>
      <w:r w:rsidRPr="00A81964">
        <w:rPr>
          <w:rFonts w:hint="cs"/>
          <w:rtl/>
        </w:rPr>
        <w:t>.</w:t>
      </w:r>
    </w:p>
    <w:p w:rsidR="006252C4" w:rsidRPr="00A81964" w:rsidRDefault="006252C4" w:rsidP="006252C4">
      <w:pPr>
        <w:spacing w:line="269" w:lineRule="auto"/>
        <w:rPr>
          <w:rtl/>
        </w:rPr>
      </w:pPr>
    </w:p>
    <w:p w:rsidR="006252C4" w:rsidRPr="00A81964" w:rsidRDefault="006252C4" w:rsidP="006252C4">
      <w:pPr>
        <w:keepNext/>
        <w:keepLines/>
        <w:spacing w:line="269" w:lineRule="auto"/>
        <w:jc w:val="center"/>
        <w:rPr>
          <w:b/>
          <w:bCs/>
          <w:rtl/>
        </w:rPr>
      </w:pPr>
      <w:r w:rsidRPr="00A81964">
        <w:rPr>
          <w:rFonts w:hint="eastAsia"/>
          <w:rtl/>
        </w:rPr>
        <w:t>תרשים</w:t>
      </w:r>
      <w:r w:rsidRPr="00A81964">
        <w:rPr>
          <w:rtl/>
        </w:rPr>
        <w:t xml:space="preserve"> 11:</w:t>
      </w:r>
      <w:r w:rsidRPr="00A81964">
        <w:rPr>
          <w:b/>
          <w:bCs/>
          <w:rtl/>
        </w:rPr>
        <w:t xml:space="preserve"> סכומי </w:t>
      </w:r>
      <w:r w:rsidRPr="00A81964">
        <w:rPr>
          <w:rFonts w:hint="eastAsia"/>
          <w:b/>
          <w:bCs/>
          <w:rtl/>
        </w:rPr>
        <w:t>הפיצויים</w:t>
      </w:r>
      <w:r w:rsidRPr="00A81964">
        <w:rPr>
          <w:b/>
          <w:bCs/>
          <w:rtl/>
        </w:rPr>
        <w:t xml:space="preserve"> </w:t>
      </w:r>
      <w:r w:rsidRPr="00A81964">
        <w:rPr>
          <w:rFonts w:hint="eastAsia"/>
          <w:b/>
          <w:bCs/>
          <w:rtl/>
        </w:rPr>
        <w:t>ששולמו</w:t>
      </w:r>
      <w:r w:rsidRPr="00A81964">
        <w:rPr>
          <w:b/>
          <w:bCs/>
          <w:rtl/>
        </w:rPr>
        <w:t xml:space="preserve"> בגין נזקים </w:t>
      </w:r>
      <w:r w:rsidRPr="00A81964">
        <w:rPr>
          <w:rFonts w:hint="eastAsia"/>
          <w:b/>
          <w:bCs/>
          <w:rtl/>
        </w:rPr>
        <w:t>עקיפים</w:t>
      </w:r>
      <w:r w:rsidRPr="00A81964">
        <w:rPr>
          <w:b/>
          <w:bCs/>
          <w:rtl/>
        </w:rPr>
        <w:t xml:space="preserve"> </w:t>
      </w:r>
      <w:r w:rsidRPr="00A81964">
        <w:rPr>
          <w:rFonts w:hint="eastAsia"/>
          <w:b/>
          <w:bCs/>
          <w:rtl/>
        </w:rPr>
        <w:t>במלחמת</w:t>
      </w:r>
      <w:r w:rsidRPr="00A81964">
        <w:rPr>
          <w:b/>
          <w:bCs/>
          <w:rtl/>
        </w:rPr>
        <w:t xml:space="preserve"> חרבות ברזל, </w:t>
      </w:r>
      <w:r w:rsidRPr="00A81964">
        <w:rPr>
          <w:rFonts w:hint="eastAsia"/>
          <w:b/>
          <w:bCs/>
          <w:rtl/>
        </w:rPr>
        <w:t>ללא</w:t>
      </w:r>
      <w:r w:rsidRPr="00A81964">
        <w:rPr>
          <w:b/>
          <w:bCs/>
          <w:rtl/>
        </w:rPr>
        <w:t xml:space="preserve"> </w:t>
      </w:r>
      <w:r w:rsidRPr="00A81964">
        <w:rPr>
          <w:rFonts w:hint="eastAsia"/>
          <w:b/>
          <w:bCs/>
          <w:rtl/>
        </w:rPr>
        <w:t>המסלול</w:t>
      </w:r>
      <w:r w:rsidRPr="00A81964">
        <w:rPr>
          <w:b/>
          <w:bCs/>
          <w:rtl/>
        </w:rPr>
        <w:t xml:space="preserve"> </w:t>
      </w:r>
      <w:r w:rsidRPr="00A81964">
        <w:rPr>
          <w:rFonts w:hint="eastAsia"/>
          <w:b/>
          <w:bCs/>
          <w:rtl/>
        </w:rPr>
        <w:t>האדום</w:t>
      </w:r>
      <w:r w:rsidRPr="00A81964">
        <w:rPr>
          <w:rStyle w:val="af2"/>
          <w:b/>
          <w:bCs/>
          <w:rtl/>
        </w:rPr>
        <w:footnoteReference w:id="57"/>
      </w:r>
      <w:r w:rsidRPr="00A81964">
        <w:rPr>
          <w:b/>
          <w:bCs/>
          <w:rtl/>
        </w:rPr>
        <w:t xml:space="preserve">, </w:t>
      </w:r>
      <w:r w:rsidRPr="00A81964">
        <w:rPr>
          <w:rFonts w:hint="eastAsia"/>
          <w:b/>
          <w:bCs/>
          <w:rtl/>
        </w:rPr>
        <w:t>לפי</w:t>
      </w:r>
      <w:r w:rsidRPr="00A81964">
        <w:rPr>
          <w:b/>
          <w:bCs/>
          <w:rtl/>
        </w:rPr>
        <w:t xml:space="preserve"> </w:t>
      </w:r>
      <w:r w:rsidRPr="00A81964">
        <w:rPr>
          <w:rFonts w:hint="eastAsia"/>
          <w:b/>
          <w:bCs/>
          <w:rtl/>
        </w:rPr>
        <w:t>התקופות</w:t>
      </w:r>
      <w:r w:rsidRPr="00A81964">
        <w:rPr>
          <w:b/>
          <w:bCs/>
          <w:rtl/>
        </w:rPr>
        <w:t xml:space="preserve"> </w:t>
      </w:r>
      <w:r w:rsidRPr="00A81964">
        <w:rPr>
          <w:rFonts w:hint="eastAsia"/>
          <w:b/>
          <w:bCs/>
          <w:rtl/>
        </w:rPr>
        <w:t>בהן</w:t>
      </w:r>
      <w:r w:rsidRPr="00A81964">
        <w:rPr>
          <w:b/>
          <w:bCs/>
          <w:rtl/>
        </w:rPr>
        <w:t xml:space="preserve"> </w:t>
      </w:r>
      <w:r w:rsidRPr="00A81964">
        <w:rPr>
          <w:rFonts w:hint="eastAsia"/>
          <w:b/>
          <w:bCs/>
          <w:rtl/>
        </w:rPr>
        <w:t>נגרמו</w:t>
      </w:r>
      <w:r w:rsidRPr="00A81964">
        <w:rPr>
          <w:b/>
          <w:bCs/>
          <w:rtl/>
        </w:rPr>
        <w:t xml:space="preserve"> </w:t>
      </w:r>
      <w:r w:rsidRPr="00A81964">
        <w:rPr>
          <w:rFonts w:hint="eastAsia"/>
          <w:b/>
          <w:bCs/>
          <w:rtl/>
        </w:rPr>
        <w:t>הנזקים</w:t>
      </w:r>
      <w:r w:rsidRPr="00A81964">
        <w:rPr>
          <w:b/>
          <w:bCs/>
          <w:rtl/>
        </w:rPr>
        <w:t xml:space="preserve"> </w:t>
      </w:r>
      <w:r w:rsidRPr="00A81964">
        <w:rPr>
          <w:rFonts w:hint="eastAsia"/>
          <w:b/>
          <w:bCs/>
          <w:rtl/>
        </w:rPr>
        <w:t>העקיפים</w:t>
      </w:r>
      <w:r w:rsidRPr="00A81964">
        <w:rPr>
          <w:b/>
          <w:bCs/>
          <w:rtl/>
        </w:rPr>
        <w:t xml:space="preserve">, </w:t>
      </w:r>
      <w:r w:rsidRPr="00A81964">
        <w:rPr>
          <w:rFonts w:hint="eastAsia"/>
          <w:b/>
          <w:bCs/>
          <w:rtl/>
        </w:rPr>
        <w:t>עד</w:t>
      </w:r>
      <w:r w:rsidRPr="00A81964">
        <w:rPr>
          <w:b/>
          <w:bCs/>
          <w:rtl/>
        </w:rPr>
        <w:t xml:space="preserve"> </w:t>
      </w:r>
      <w:r w:rsidRPr="00A81964">
        <w:rPr>
          <w:rFonts w:hint="eastAsia"/>
          <w:b/>
          <w:bCs/>
          <w:rtl/>
        </w:rPr>
        <w:t>סוף</w:t>
      </w:r>
      <w:r w:rsidRPr="00A81964">
        <w:rPr>
          <w:b/>
          <w:bCs/>
          <w:rtl/>
        </w:rPr>
        <w:t xml:space="preserve"> </w:t>
      </w:r>
      <w:r w:rsidRPr="00A81964">
        <w:rPr>
          <w:rFonts w:hint="eastAsia"/>
          <w:b/>
          <w:bCs/>
          <w:rtl/>
        </w:rPr>
        <w:t>חודש</w:t>
      </w:r>
      <w:r w:rsidRPr="00A81964">
        <w:rPr>
          <w:b/>
          <w:bCs/>
          <w:rtl/>
        </w:rPr>
        <w:t xml:space="preserve"> </w:t>
      </w:r>
      <w:r w:rsidRPr="00A81964">
        <w:rPr>
          <w:rFonts w:hint="eastAsia"/>
          <w:b/>
          <w:bCs/>
          <w:rtl/>
        </w:rPr>
        <w:t>אוקטובר</w:t>
      </w:r>
      <w:r w:rsidRPr="00A81964">
        <w:rPr>
          <w:b/>
          <w:bCs/>
          <w:rtl/>
        </w:rPr>
        <w:t xml:space="preserve"> 2024 </w:t>
      </w:r>
      <w:r w:rsidRPr="00A81964">
        <w:rPr>
          <w:rFonts w:hint="cs"/>
          <w:b/>
          <w:bCs/>
          <w:rtl/>
        </w:rPr>
        <w:t>(</w:t>
      </w:r>
      <w:r w:rsidRPr="00A81964">
        <w:rPr>
          <w:rFonts w:hint="eastAsia"/>
          <w:b/>
          <w:bCs/>
          <w:rtl/>
        </w:rPr>
        <w:t>במיליוני</w:t>
      </w:r>
      <w:r w:rsidRPr="00A81964">
        <w:rPr>
          <w:b/>
          <w:bCs/>
          <w:rtl/>
        </w:rPr>
        <w:t xml:space="preserve"> </w:t>
      </w:r>
      <w:r w:rsidRPr="00A81964">
        <w:rPr>
          <w:rFonts w:hint="eastAsia"/>
          <w:b/>
          <w:bCs/>
          <w:rtl/>
        </w:rPr>
        <w:t>ש</w:t>
      </w:r>
      <w:r w:rsidRPr="00A81964">
        <w:rPr>
          <w:b/>
          <w:bCs/>
          <w:rtl/>
        </w:rPr>
        <w:t>"ח</w:t>
      </w:r>
      <w:r w:rsidRPr="00A81964">
        <w:rPr>
          <w:rFonts w:hint="cs"/>
          <w:b/>
          <w:bCs/>
          <w:rtl/>
        </w:rPr>
        <w:t>)</w:t>
      </w:r>
    </w:p>
    <w:p w:rsidR="006252C4" w:rsidRPr="00A81964" w:rsidRDefault="006252C4" w:rsidP="006252C4">
      <w:pPr>
        <w:spacing w:line="269" w:lineRule="auto"/>
        <w:jc w:val="center"/>
        <w:rPr>
          <w:szCs w:val="20"/>
          <w:rtl/>
        </w:rPr>
      </w:pPr>
      <w:r>
        <w:rPr>
          <w:noProof/>
        </w:rPr>
        <w:drawing>
          <wp:inline distT="0" distB="0" distL="0" distR="0" wp14:anchorId="7D53AC33" wp14:editId="0E020935">
            <wp:extent cx="4972145" cy="3360717"/>
            <wp:effectExtent l="0" t="0" r="0" b="0"/>
            <wp:docPr id="32" name="תמונה 32" descr=" אוקטובר 2023 5,199&#10; נובמבר-דצמבר 2023 6,030&#10;ינואר-פברואר 2024 221&#10; מרץ-אפריל 2024 120&#10; מאי-יוני 2024 289&#10; יולי-אוגוסט 2024 307&#10;ספטמבר-אוקטובר 2024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91677" cy="3373919"/>
                    </a:xfrm>
                    <a:prstGeom prst="rect">
                      <a:avLst/>
                    </a:prstGeom>
                    <a:noFill/>
                    <a:ln>
                      <a:noFill/>
                    </a:ln>
                  </pic:spPr>
                </pic:pic>
              </a:graphicData>
            </a:graphic>
          </wp:inline>
        </w:drawing>
      </w:r>
    </w:p>
    <w:p w:rsidR="006252C4" w:rsidRPr="00A81964" w:rsidRDefault="006252C4" w:rsidP="006252C4">
      <w:pPr>
        <w:spacing w:line="269" w:lineRule="auto"/>
        <w:jc w:val="left"/>
        <w:rPr>
          <w:szCs w:val="20"/>
          <w:rtl/>
        </w:rPr>
      </w:pPr>
      <w:r w:rsidRPr="00A81964">
        <w:rPr>
          <w:rFonts w:hint="cs"/>
          <w:szCs w:val="20"/>
          <w:rtl/>
        </w:rPr>
        <w:t>על פי נתוני</w:t>
      </w:r>
      <w:r w:rsidRPr="00A81964">
        <w:rPr>
          <w:szCs w:val="20"/>
          <w:rtl/>
        </w:rPr>
        <w:t xml:space="preserve"> </w:t>
      </w:r>
      <w:r w:rsidRPr="00AA1661">
        <w:rPr>
          <w:szCs w:val="20"/>
          <w:rtl/>
        </w:rPr>
        <w:t>רשות המ</w:t>
      </w:r>
      <w:r w:rsidRPr="00AA1661">
        <w:rPr>
          <w:rFonts w:hint="cs"/>
          <w:szCs w:val="20"/>
          <w:rtl/>
        </w:rPr>
        <w:t>י</w:t>
      </w:r>
      <w:r w:rsidRPr="00AA1661">
        <w:rPr>
          <w:szCs w:val="20"/>
          <w:rtl/>
        </w:rPr>
        <w:t>סים,</w:t>
      </w:r>
      <w:r w:rsidRPr="00AA1661">
        <w:rPr>
          <w:rFonts w:hint="cs"/>
          <w:szCs w:val="20"/>
          <w:rtl/>
        </w:rPr>
        <w:t xml:space="preserve"> בעיבוד משרד מבקר המדינה</w:t>
      </w:r>
      <w:r w:rsidRPr="00A81964">
        <w:rPr>
          <w:rFonts w:hint="cs"/>
          <w:szCs w:val="20"/>
          <w:rtl/>
        </w:rPr>
        <w:t>.</w:t>
      </w:r>
    </w:p>
    <w:p w:rsidR="006252C4" w:rsidRPr="00A81964" w:rsidRDefault="006252C4" w:rsidP="006252C4">
      <w:pPr>
        <w:spacing w:line="269" w:lineRule="auto"/>
        <w:rPr>
          <w:rtl/>
        </w:rPr>
      </w:pPr>
    </w:p>
    <w:p w:rsidR="006252C4" w:rsidRPr="00A81964" w:rsidRDefault="006252C4" w:rsidP="006252C4">
      <w:pPr>
        <w:pStyle w:val="31"/>
        <w:spacing w:before="0" w:line="269" w:lineRule="auto"/>
        <w:rPr>
          <w:rtl/>
        </w:rPr>
      </w:pPr>
      <w:r w:rsidRPr="00A81964">
        <w:rPr>
          <w:rFonts w:hint="cs"/>
          <w:rtl/>
        </w:rPr>
        <w:t>היערכות רשות המיסים למתן פיצויים בגין נזק עקיף</w:t>
      </w:r>
    </w:p>
    <w:p w:rsidR="006252C4" w:rsidRDefault="006252C4" w:rsidP="006252C4">
      <w:pPr>
        <w:pStyle w:val="a8"/>
        <w:spacing w:line="269" w:lineRule="auto"/>
        <w:rPr>
          <w:rtl/>
        </w:rPr>
      </w:pPr>
    </w:p>
    <w:p w:rsidR="006252C4" w:rsidRDefault="006252C4" w:rsidP="006252C4">
      <w:pPr>
        <w:spacing w:line="269" w:lineRule="auto"/>
        <w:rPr>
          <w:rFonts w:eastAsiaTheme="majorEastAsia"/>
          <w:bCs/>
          <w:szCs w:val="26"/>
          <w:rtl/>
        </w:rPr>
      </w:pPr>
      <w:r w:rsidRPr="00A81964">
        <w:rPr>
          <w:rFonts w:hint="cs"/>
          <w:rtl/>
        </w:rPr>
        <w:t xml:space="preserve">ב-20 השנים האחרונות </w:t>
      </w:r>
      <w:r>
        <w:rPr>
          <w:rFonts w:hint="cs"/>
          <w:rtl/>
        </w:rPr>
        <w:t xml:space="preserve">התמודדה מדינת ישראל </w:t>
      </w:r>
      <w:r w:rsidRPr="00A81964">
        <w:rPr>
          <w:rFonts w:hint="cs"/>
          <w:rtl/>
        </w:rPr>
        <w:t>עם מלחמ</w:t>
      </w:r>
      <w:r>
        <w:rPr>
          <w:rFonts w:hint="cs"/>
          <w:rtl/>
        </w:rPr>
        <w:t>ות</w:t>
      </w:r>
      <w:r w:rsidRPr="00A81964">
        <w:rPr>
          <w:rFonts w:hint="cs"/>
          <w:rtl/>
        </w:rPr>
        <w:t xml:space="preserve"> ועם מבצעים צבאיים (להלן - סבבי לחימה), אשר כל אחד מהם התנהל במשך תקופה הנעה בין ימים אחדים לבין מספר שבועות,</w:t>
      </w:r>
      <w:r>
        <w:rPr>
          <w:rFonts w:hint="cs"/>
        </w:rPr>
        <w:t xml:space="preserve"> </w:t>
      </w:r>
      <w:r>
        <w:rPr>
          <w:rFonts w:hint="cs"/>
          <w:rtl/>
        </w:rPr>
        <w:t xml:space="preserve">ובמהלכם </w:t>
      </w:r>
      <w:r w:rsidRPr="00A81964">
        <w:rPr>
          <w:rFonts w:hint="cs"/>
          <w:rtl/>
        </w:rPr>
        <w:t>הוטלו על האוכלוסייה והמשק הישראליים מגבלות שונות</w:t>
      </w:r>
      <w:r>
        <w:rPr>
          <w:rFonts w:hint="cs"/>
          <w:rtl/>
        </w:rPr>
        <w:t>,</w:t>
      </w:r>
      <w:r w:rsidRPr="00A81964">
        <w:rPr>
          <w:rFonts w:hint="cs"/>
          <w:rtl/>
        </w:rPr>
        <w:t xml:space="preserve"> ונגרמו נזקים ישירים לרכוש ונזקים עקיפים לעסקים. </w:t>
      </w:r>
    </w:p>
    <w:p w:rsidR="006252C4" w:rsidRDefault="006252C4" w:rsidP="006252C4">
      <w:pPr>
        <w:spacing w:line="269" w:lineRule="auto"/>
        <w:rPr>
          <w:rFonts w:eastAsiaTheme="majorEastAsia"/>
          <w:bCs/>
          <w:szCs w:val="26"/>
          <w:rtl/>
        </w:rPr>
      </w:pPr>
    </w:p>
    <w:p w:rsidR="00794DF5" w:rsidRDefault="00794DF5">
      <w:pPr>
        <w:bidi w:val="0"/>
        <w:spacing w:after="200" w:line="276" w:lineRule="auto"/>
        <w:rPr>
          <w:rFonts w:eastAsiaTheme="majorEastAsia"/>
          <w:bCs/>
          <w:szCs w:val="26"/>
          <w:rtl/>
        </w:rPr>
      </w:pPr>
      <w:r>
        <w:rPr>
          <w:rtl/>
        </w:rPr>
        <w:br w:type="page"/>
      </w:r>
    </w:p>
    <w:p w:rsidR="006252C4" w:rsidRDefault="006252C4" w:rsidP="006252C4">
      <w:pPr>
        <w:pStyle w:val="4"/>
        <w:spacing w:before="0" w:line="269" w:lineRule="auto"/>
        <w:rPr>
          <w:rtl/>
        </w:rPr>
      </w:pPr>
      <w:r w:rsidRPr="00A81964">
        <w:rPr>
          <w:rFonts w:hint="cs"/>
          <w:rtl/>
        </w:rPr>
        <w:lastRenderedPageBreak/>
        <w:t>סבבי לחימה שקדמו למלחמת חרבות ברזל</w:t>
      </w:r>
    </w:p>
    <w:p w:rsidR="006252C4" w:rsidRDefault="006252C4" w:rsidP="006252C4">
      <w:pPr>
        <w:pStyle w:val="a8"/>
        <w:spacing w:line="269" w:lineRule="auto"/>
        <w:rPr>
          <w:rtl/>
        </w:rPr>
      </w:pPr>
    </w:p>
    <w:p w:rsidR="006252C4" w:rsidRDefault="006252C4" w:rsidP="006252C4">
      <w:pPr>
        <w:spacing w:line="269" w:lineRule="auto"/>
        <w:rPr>
          <w:rtl/>
        </w:rPr>
      </w:pPr>
      <w:r w:rsidRPr="00A81964">
        <w:rPr>
          <w:rFonts w:hint="cs"/>
          <w:rtl/>
        </w:rPr>
        <w:t xml:space="preserve">להלן בלוח </w:t>
      </w:r>
      <w:r>
        <w:rPr>
          <w:rFonts w:hint="cs"/>
          <w:rtl/>
        </w:rPr>
        <w:t>5</w:t>
      </w:r>
      <w:r w:rsidRPr="00A81964">
        <w:rPr>
          <w:rFonts w:hint="cs"/>
          <w:rtl/>
        </w:rPr>
        <w:t xml:space="preserve"> מוצגים פרטים לגבי סבבי הלחימה המרכזיים ב-20 השנים האחרונות:</w:t>
      </w:r>
    </w:p>
    <w:p w:rsidR="006252C4" w:rsidRPr="00A81964" w:rsidRDefault="006252C4" w:rsidP="006252C4">
      <w:pPr>
        <w:spacing w:line="269" w:lineRule="auto"/>
        <w:rPr>
          <w:rtl/>
        </w:rPr>
      </w:pPr>
    </w:p>
    <w:p w:rsidR="006252C4" w:rsidRPr="00A81964" w:rsidRDefault="006252C4" w:rsidP="00794DF5">
      <w:pPr>
        <w:keepNext/>
        <w:keepLines/>
        <w:jc w:val="center"/>
        <w:rPr>
          <w:b/>
          <w:bCs/>
          <w:rtl/>
        </w:rPr>
      </w:pPr>
      <w:r w:rsidRPr="00A81964">
        <w:rPr>
          <w:rFonts w:hint="eastAsia"/>
          <w:rtl/>
        </w:rPr>
        <w:t>לוח</w:t>
      </w:r>
      <w:r w:rsidRPr="00A81964">
        <w:rPr>
          <w:rtl/>
        </w:rPr>
        <w:t xml:space="preserve"> </w:t>
      </w:r>
      <w:r>
        <w:rPr>
          <w:rFonts w:hint="cs"/>
          <w:rtl/>
        </w:rPr>
        <w:t>5</w:t>
      </w:r>
      <w:r w:rsidRPr="00A81964">
        <w:rPr>
          <w:rtl/>
        </w:rPr>
        <w:t>:</w:t>
      </w:r>
      <w:r w:rsidRPr="00A81964">
        <w:rPr>
          <w:b/>
          <w:bCs/>
          <w:rtl/>
        </w:rPr>
        <w:t xml:space="preserve"> פרטי סבבי לחימה מרכזיים ב-20 השנים האחרונות</w:t>
      </w:r>
    </w:p>
    <w:tbl>
      <w:tblPr>
        <w:bidiVisual/>
        <w:tblW w:w="6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995"/>
        <w:gridCol w:w="2262"/>
      </w:tblGrid>
      <w:tr w:rsidR="006252C4" w:rsidRPr="00A81964" w:rsidTr="00D04D4F">
        <w:trPr>
          <w:trHeight w:val="290"/>
          <w:jc w:val="center"/>
        </w:trPr>
        <w:tc>
          <w:tcPr>
            <w:tcW w:w="2264" w:type="dxa"/>
            <w:shd w:val="clear" w:color="auto" w:fill="DBE5F1" w:themeFill="accent1" w:themeFillTint="33"/>
            <w:noWrap/>
            <w:vAlign w:val="center"/>
            <w:hideMark/>
          </w:tcPr>
          <w:p w:rsidR="006252C4" w:rsidRPr="00A81964" w:rsidRDefault="006252C4" w:rsidP="00D04D4F">
            <w:pPr>
              <w:spacing w:line="269" w:lineRule="auto"/>
              <w:jc w:val="center"/>
              <w:rPr>
                <w:rFonts w:ascii="David" w:eastAsia="Times New Roman" w:hAnsi="David"/>
                <w:b/>
                <w:bCs/>
                <w:color w:val="000000"/>
                <w:sz w:val="22"/>
                <w:szCs w:val="22"/>
              </w:rPr>
            </w:pPr>
            <w:r w:rsidRPr="00A81964">
              <w:rPr>
                <w:rFonts w:ascii="David" w:eastAsia="Times New Roman" w:hAnsi="David" w:hint="eastAsia"/>
                <w:b/>
                <w:bCs/>
                <w:color w:val="000000"/>
                <w:sz w:val="22"/>
                <w:szCs w:val="22"/>
                <w:rtl/>
              </w:rPr>
              <w:t>סבב</w:t>
            </w:r>
            <w:r w:rsidRPr="00A81964">
              <w:rPr>
                <w:rFonts w:ascii="David" w:eastAsia="Times New Roman" w:hAnsi="David"/>
                <w:b/>
                <w:bCs/>
                <w:color w:val="000000"/>
                <w:sz w:val="22"/>
                <w:szCs w:val="22"/>
                <w:rtl/>
              </w:rPr>
              <w:t xml:space="preserve"> </w:t>
            </w:r>
            <w:r w:rsidRPr="00A81964">
              <w:rPr>
                <w:rFonts w:ascii="David" w:eastAsia="Times New Roman" w:hAnsi="David" w:hint="eastAsia"/>
                <w:b/>
                <w:bCs/>
                <w:color w:val="000000"/>
                <w:sz w:val="22"/>
                <w:szCs w:val="22"/>
                <w:rtl/>
              </w:rPr>
              <w:t>הלחימה</w:t>
            </w:r>
          </w:p>
        </w:tc>
        <w:tc>
          <w:tcPr>
            <w:tcW w:w="1995" w:type="dxa"/>
            <w:shd w:val="clear" w:color="auto" w:fill="DBE5F1" w:themeFill="accent1" w:themeFillTint="33"/>
            <w:noWrap/>
            <w:vAlign w:val="center"/>
            <w:hideMark/>
          </w:tcPr>
          <w:p w:rsidR="006252C4" w:rsidRPr="00A81964" w:rsidRDefault="006252C4" w:rsidP="00D04D4F">
            <w:pPr>
              <w:spacing w:line="269" w:lineRule="auto"/>
              <w:jc w:val="center"/>
              <w:rPr>
                <w:rFonts w:ascii="David" w:eastAsia="Times New Roman" w:hAnsi="David"/>
                <w:b/>
                <w:bCs/>
                <w:color w:val="000000"/>
                <w:sz w:val="22"/>
                <w:szCs w:val="22"/>
                <w:rtl/>
              </w:rPr>
            </w:pPr>
            <w:r w:rsidRPr="00A81964">
              <w:rPr>
                <w:rFonts w:ascii="David" w:eastAsia="Times New Roman" w:hAnsi="David" w:hint="eastAsia"/>
                <w:b/>
                <w:bCs/>
                <w:color w:val="000000"/>
                <w:sz w:val="22"/>
                <w:szCs w:val="22"/>
                <w:rtl/>
              </w:rPr>
              <w:t>השנה</w:t>
            </w:r>
          </w:p>
        </w:tc>
        <w:tc>
          <w:tcPr>
            <w:tcW w:w="2262" w:type="dxa"/>
            <w:shd w:val="clear" w:color="auto" w:fill="DBE5F1" w:themeFill="accent1" w:themeFillTint="33"/>
            <w:noWrap/>
            <w:vAlign w:val="center"/>
            <w:hideMark/>
          </w:tcPr>
          <w:p w:rsidR="006252C4" w:rsidRPr="00A81964" w:rsidRDefault="006252C4" w:rsidP="00D04D4F">
            <w:pPr>
              <w:spacing w:line="269" w:lineRule="auto"/>
              <w:jc w:val="center"/>
              <w:rPr>
                <w:rFonts w:ascii="David" w:eastAsia="Times New Roman" w:hAnsi="David"/>
                <w:b/>
                <w:bCs/>
                <w:color w:val="000000"/>
                <w:sz w:val="22"/>
                <w:szCs w:val="22"/>
                <w:rtl/>
              </w:rPr>
            </w:pPr>
            <w:r w:rsidRPr="00A81964">
              <w:rPr>
                <w:rFonts w:ascii="David" w:eastAsia="Times New Roman" w:hAnsi="David"/>
                <w:b/>
                <w:bCs/>
                <w:color w:val="000000"/>
                <w:sz w:val="22"/>
                <w:szCs w:val="22"/>
                <w:rtl/>
              </w:rPr>
              <w:t xml:space="preserve">מספר הימים </w:t>
            </w:r>
            <w:r w:rsidRPr="00A81964">
              <w:rPr>
                <w:rFonts w:ascii="David" w:eastAsia="Times New Roman" w:hAnsi="David" w:hint="eastAsia"/>
                <w:b/>
                <w:bCs/>
                <w:color w:val="000000"/>
                <w:sz w:val="22"/>
                <w:szCs w:val="22"/>
                <w:rtl/>
              </w:rPr>
              <w:t>ש</w:t>
            </w:r>
            <w:r w:rsidRPr="00A81964">
              <w:rPr>
                <w:rFonts w:ascii="David" w:eastAsia="Times New Roman" w:hAnsi="David"/>
                <w:b/>
                <w:bCs/>
                <w:color w:val="000000"/>
                <w:sz w:val="22"/>
                <w:szCs w:val="22"/>
                <w:rtl/>
              </w:rPr>
              <w:t>בהם התנהל סבב הלחימה</w:t>
            </w:r>
          </w:p>
        </w:tc>
      </w:tr>
      <w:tr w:rsidR="006252C4" w:rsidRPr="00A81964" w:rsidTr="00D04D4F">
        <w:trPr>
          <w:trHeight w:val="290"/>
          <w:jc w:val="center"/>
        </w:trPr>
        <w:tc>
          <w:tcPr>
            <w:tcW w:w="2264" w:type="dxa"/>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מלחמת לבנון השנייה</w:t>
            </w:r>
          </w:p>
        </w:tc>
        <w:tc>
          <w:tcPr>
            <w:tcW w:w="1995" w:type="dxa"/>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2006</w:t>
            </w:r>
          </w:p>
        </w:tc>
        <w:tc>
          <w:tcPr>
            <w:tcW w:w="2262" w:type="dxa"/>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34 ימים</w:t>
            </w:r>
          </w:p>
        </w:tc>
      </w:tr>
      <w:tr w:rsidR="006252C4" w:rsidRPr="00A81964" w:rsidTr="00D04D4F">
        <w:trPr>
          <w:trHeight w:val="290"/>
          <w:jc w:val="center"/>
        </w:trPr>
        <w:tc>
          <w:tcPr>
            <w:tcW w:w="2264" w:type="dxa"/>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מבצע "עופרת יצוקה"</w:t>
            </w:r>
          </w:p>
        </w:tc>
        <w:tc>
          <w:tcPr>
            <w:tcW w:w="1995" w:type="dxa"/>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2009</w:t>
            </w:r>
          </w:p>
        </w:tc>
        <w:tc>
          <w:tcPr>
            <w:tcW w:w="2262" w:type="dxa"/>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23 ימים</w:t>
            </w:r>
          </w:p>
        </w:tc>
      </w:tr>
      <w:tr w:rsidR="006252C4" w:rsidRPr="00A81964" w:rsidTr="00D04D4F">
        <w:trPr>
          <w:trHeight w:val="290"/>
          <w:jc w:val="center"/>
        </w:trPr>
        <w:tc>
          <w:tcPr>
            <w:tcW w:w="2264" w:type="dxa"/>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מבצע "עמוד ענן"</w:t>
            </w:r>
          </w:p>
        </w:tc>
        <w:tc>
          <w:tcPr>
            <w:tcW w:w="1995" w:type="dxa"/>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2012</w:t>
            </w:r>
          </w:p>
        </w:tc>
        <w:tc>
          <w:tcPr>
            <w:tcW w:w="2262" w:type="dxa"/>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8 ימים</w:t>
            </w:r>
          </w:p>
        </w:tc>
      </w:tr>
      <w:tr w:rsidR="006252C4" w:rsidRPr="00A81964" w:rsidTr="00D04D4F">
        <w:trPr>
          <w:trHeight w:val="290"/>
          <w:jc w:val="center"/>
        </w:trPr>
        <w:tc>
          <w:tcPr>
            <w:tcW w:w="2264" w:type="dxa"/>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מבצע "צוק איתן"</w:t>
            </w:r>
          </w:p>
        </w:tc>
        <w:tc>
          <w:tcPr>
            <w:tcW w:w="1995" w:type="dxa"/>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2014</w:t>
            </w:r>
          </w:p>
        </w:tc>
        <w:tc>
          <w:tcPr>
            <w:tcW w:w="2262" w:type="dxa"/>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50 ימים</w:t>
            </w:r>
          </w:p>
        </w:tc>
      </w:tr>
      <w:tr w:rsidR="006252C4" w:rsidRPr="00A81964" w:rsidTr="00D04D4F">
        <w:trPr>
          <w:trHeight w:val="290"/>
          <w:jc w:val="center"/>
        </w:trPr>
        <w:tc>
          <w:tcPr>
            <w:tcW w:w="2264" w:type="dxa"/>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מבצע "שומר החומות"</w:t>
            </w:r>
          </w:p>
        </w:tc>
        <w:tc>
          <w:tcPr>
            <w:tcW w:w="1995" w:type="dxa"/>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2021</w:t>
            </w:r>
          </w:p>
        </w:tc>
        <w:tc>
          <w:tcPr>
            <w:tcW w:w="2262" w:type="dxa"/>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 xml:space="preserve">12 </w:t>
            </w:r>
            <w:r w:rsidRPr="00A81964">
              <w:rPr>
                <w:rFonts w:ascii="David" w:eastAsia="Times New Roman" w:hAnsi="David" w:hint="eastAsia"/>
                <w:color w:val="000000"/>
                <w:sz w:val="22"/>
                <w:szCs w:val="22"/>
                <w:rtl/>
              </w:rPr>
              <w:t>ימים</w:t>
            </w:r>
          </w:p>
        </w:tc>
      </w:tr>
      <w:tr w:rsidR="006252C4" w:rsidRPr="00A81964" w:rsidTr="00D04D4F">
        <w:trPr>
          <w:trHeight w:val="290"/>
          <w:jc w:val="center"/>
        </w:trPr>
        <w:tc>
          <w:tcPr>
            <w:tcW w:w="2264" w:type="dxa"/>
            <w:shd w:val="clear" w:color="auto" w:fill="auto"/>
            <w:noWrap/>
            <w:vAlign w:val="center"/>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מבצע "</w:t>
            </w:r>
            <w:r w:rsidRPr="00A81964">
              <w:rPr>
                <w:rFonts w:ascii="David" w:eastAsia="Times New Roman" w:hAnsi="David" w:hint="eastAsia"/>
                <w:color w:val="000000"/>
                <w:sz w:val="22"/>
                <w:szCs w:val="22"/>
                <w:rtl/>
              </w:rPr>
              <w:t>עלות</w:t>
            </w:r>
            <w:r w:rsidRPr="00A81964">
              <w:rPr>
                <w:rFonts w:ascii="David" w:eastAsia="Times New Roman" w:hAnsi="David"/>
                <w:color w:val="000000"/>
                <w:sz w:val="22"/>
                <w:szCs w:val="22"/>
                <w:rtl/>
              </w:rPr>
              <w:t xml:space="preserve"> </w:t>
            </w:r>
            <w:r w:rsidRPr="00A81964">
              <w:rPr>
                <w:rFonts w:ascii="David" w:eastAsia="Times New Roman" w:hAnsi="David" w:hint="eastAsia"/>
                <w:color w:val="000000"/>
                <w:sz w:val="22"/>
                <w:szCs w:val="22"/>
                <w:rtl/>
              </w:rPr>
              <w:t>השחר</w:t>
            </w:r>
            <w:r w:rsidRPr="00A81964">
              <w:rPr>
                <w:rFonts w:ascii="David" w:eastAsia="Times New Roman" w:hAnsi="David"/>
                <w:color w:val="000000"/>
                <w:sz w:val="22"/>
                <w:szCs w:val="22"/>
                <w:rtl/>
              </w:rPr>
              <w:t>"</w:t>
            </w:r>
          </w:p>
        </w:tc>
        <w:tc>
          <w:tcPr>
            <w:tcW w:w="1995" w:type="dxa"/>
            <w:shd w:val="clear" w:color="auto" w:fill="auto"/>
            <w:noWrap/>
            <w:vAlign w:val="center"/>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2022</w:t>
            </w:r>
          </w:p>
        </w:tc>
        <w:tc>
          <w:tcPr>
            <w:tcW w:w="2262" w:type="dxa"/>
            <w:shd w:val="clear" w:color="auto" w:fill="auto"/>
            <w:noWrap/>
            <w:vAlign w:val="center"/>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 xml:space="preserve">3 </w:t>
            </w:r>
            <w:r w:rsidRPr="00A81964">
              <w:rPr>
                <w:rFonts w:ascii="David" w:eastAsia="Times New Roman" w:hAnsi="David" w:hint="eastAsia"/>
                <w:color w:val="000000"/>
                <w:sz w:val="22"/>
                <w:szCs w:val="22"/>
                <w:rtl/>
              </w:rPr>
              <w:t>ימים</w:t>
            </w:r>
          </w:p>
        </w:tc>
      </w:tr>
      <w:tr w:rsidR="006252C4" w:rsidRPr="00A81964" w:rsidTr="00D04D4F">
        <w:trPr>
          <w:trHeight w:val="290"/>
          <w:jc w:val="center"/>
        </w:trPr>
        <w:tc>
          <w:tcPr>
            <w:tcW w:w="2264" w:type="dxa"/>
            <w:shd w:val="clear" w:color="auto" w:fill="auto"/>
            <w:noWrap/>
            <w:vAlign w:val="center"/>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מבצע</w:t>
            </w:r>
            <w:r w:rsidRPr="00A81964">
              <w:rPr>
                <w:rFonts w:ascii="David" w:eastAsia="Times New Roman" w:hAnsi="David"/>
                <w:color w:val="000000"/>
                <w:sz w:val="22"/>
                <w:szCs w:val="22"/>
                <w:rtl/>
              </w:rPr>
              <w:t xml:space="preserve"> "מגן </w:t>
            </w:r>
            <w:r w:rsidRPr="00A81964">
              <w:rPr>
                <w:rFonts w:ascii="David" w:eastAsia="Times New Roman" w:hAnsi="David" w:hint="eastAsia"/>
                <w:color w:val="000000"/>
                <w:sz w:val="22"/>
                <w:szCs w:val="22"/>
                <w:rtl/>
              </w:rPr>
              <w:t>וחץ</w:t>
            </w:r>
            <w:r w:rsidRPr="00A81964">
              <w:rPr>
                <w:rFonts w:ascii="David" w:eastAsia="Times New Roman" w:hAnsi="David"/>
                <w:color w:val="000000"/>
                <w:sz w:val="22"/>
                <w:szCs w:val="22"/>
                <w:rtl/>
              </w:rPr>
              <w:t>"</w:t>
            </w:r>
          </w:p>
        </w:tc>
        <w:tc>
          <w:tcPr>
            <w:tcW w:w="1995" w:type="dxa"/>
            <w:shd w:val="clear" w:color="auto" w:fill="auto"/>
            <w:noWrap/>
            <w:vAlign w:val="center"/>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2023</w:t>
            </w:r>
          </w:p>
        </w:tc>
        <w:tc>
          <w:tcPr>
            <w:tcW w:w="2262" w:type="dxa"/>
            <w:shd w:val="clear" w:color="auto" w:fill="auto"/>
            <w:noWrap/>
            <w:vAlign w:val="center"/>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 xml:space="preserve">5 </w:t>
            </w:r>
            <w:r w:rsidRPr="00A81964">
              <w:rPr>
                <w:rFonts w:ascii="David" w:eastAsia="Times New Roman" w:hAnsi="David" w:hint="eastAsia"/>
                <w:color w:val="000000"/>
                <w:sz w:val="22"/>
                <w:szCs w:val="22"/>
                <w:rtl/>
              </w:rPr>
              <w:t>ימים</w:t>
            </w:r>
          </w:p>
        </w:tc>
      </w:tr>
    </w:tbl>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בהתאם לחוק קרן הפיצויים ולתקנות</w:t>
      </w:r>
      <w:r>
        <w:rPr>
          <w:rFonts w:hint="cs"/>
          <w:rtl/>
        </w:rPr>
        <w:t xml:space="preserve"> שהותקנו מכוחו</w:t>
      </w:r>
      <w:r w:rsidRPr="00A81964">
        <w:rPr>
          <w:rFonts w:hint="cs"/>
          <w:rtl/>
        </w:rPr>
        <w:t xml:space="preserve">, </w:t>
      </w:r>
      <w:r>
        <w:rPr>
          <w:rFonts w:hint="cs"/>
          <w:rtl/>
        </w:rPr>
        <w:t xml:space="preserve">ניתן לתבוע </w:t>
      </w:r>
      <w:r w:rsidRPr="00A81964">
        <w:rPr>
          <w:rFonts w:hint="cs"/>
          <w:rtl/>
        </w:rPr>
        <w:t xml:space="preserve">פיצוי בגין </w:t>
      </w:r>
      <w:r w:rsidRPr="00A81964">
        <w:rPr>
          <w:rtl/>
        </w:rPr>
        <w:t>הפסד או מניעת ריווח כתוצאה מנזק מלחמה בתחום י</w:t>
      </w:r>
      <w:r>
        <w:rPr>
          <w:rFonts w:hint="cs"/>
          <w:rtl/>
        </w:rPr>
        <w:t>י</w:t>
      </w:r>
      <w:r w:rsidRPr="00A81964">
        <w:rPr>
          <w:rtl/>
        </w:rPr>
        <w:t>שוב ספר, או מחמת אי</w:t>
      </w:r>
      <w:r>
        <w:rPr>
          <w:rFonts w:hint="cs"/>
          <w:rtl/>
        </w:rPr>
        <w:t>-</w:t>
      </w:r>
      <w:r w:rsidRPr="00A81964">
        <w:rPr>
          <w:rtl/>
        </w:rPr>
        <w:t>אפשרות לנצל נכסים המצויים בתחום י</w:t>
      </w:r>
      <w:r>
        <w:rPr>
          <w:rFonts w:hint="cs"/>
          <w:rtl/>
        </w:rPr>
        <w:t>י</w:t>
      </w:r>
      <w:r w:rsidRPr="00A81964">
        <w:rPr>
          <w:rtl/>
        </w:rPr>
        <w:t>שוב ספר</w:t>
      </w:r>
      <w:r w:rsidRPr="00A81964">
        <w:rPr>
          <w:rStyle w:val="af2"/>
          <w:rtl/>
        </w:rPr>
        <w:footnoteReference w:id="58"/>
      </w:r>
      <w:r w:rsidRPr="00A81964">
        <w:rPr>
          <w:rFonts w:hint="cs"/>
          <w:rtl/>
        </w:rPr>
        <w:t xml:space="preserve">. </w:t>
      </w:r>
      <w:r w:rsidRPr="00A81964">
        <w:rPr>
          <w:rtl/>
        </w:rPr>
        <w:t xml:space="preserve">בעקבות מלחמת לבנון השנייה והתרחבות האזורים שנפגעו </w:t>
      </w:r>
      <w:r w:rsidRPr="00A81964">
        <w:rPr>
          <w:rFonts w:hint="cs"/>
          <w:rtl/>
        </w:rPr>
        <w:t>בסבבי הלחימה שנערכו לאחר מכן</w:t>
      </w:r>
      <w:r w:rsidRPr="00A81964">
        <w:rPr>
          <w:rtl/>
        </w:rPr>
        <w:t xml:space="preserve">, </w:t>
      </w:r>
      <w:r w:rsidRPr="00A81964">
        <w:rPr>
          <w:rFonts w:hint="cs"/>
          <w:rtl/>
        </w:rPr>
        <w:t>בשנים 2006 - 2021 הותקנו תקנות כ</w:t>
      </w:r>
      <w:r w:rsidRPr="00A81964">
        <w:rPr>
          <w:rtl/>
        </w:rPr>
        <w:t xml:space="preserve">הוראות שעה </w:t>
      </w:r>
      <w:r w:rsidRPr="00A81964">
        <w:rPr>
          <w:rFonts w:hint="cs"/>
          <w:rtl/>
        </w:rPr>
        <w:t>(להלן - הוראות שעה לסבבי הלחימה)</w:t>
      </w:r>
      <w:r w:rsidRPr="00A81964">
        <w:rPr>
          <w:rStyle w:val="af2"/>
          <w:rtl/>
        </w:rPr>
        <w:footnoteReference w:id="59"/>
      </w:r>
      <w:r w:rsidRPr="00A81964">
        <w:rPr>
          <w:rFonts w:hint="cs"/>
          <w:rtl/>
        </w:rPr>
        <w:t xml:space="preserve"> אשר במסגרתן </w:t>
      </w:r>
      <w:r w:rsidRPr="00A81964">
        <w:rPr>
          <w:rtl/>
        </w:rPr>
        <w:t>נוספו</w:t>
      </w:r>
      <w:r w:rsidRPr="00A81964">
        <w:rPr>
          <w:rFonts w:hint="cs"/>
          <w:rtl/>
        </w:rPr>
        <w:t>,</w:t>
      </w:r>
      <w:r w:rsidRPr="00A81964">
        <w:rPr>
          <w:rtl/>
        </w:rPr>
        <w:t xml:space="preserve"> לפרקי זמן קצובים</w:t>
      </w:r>
      <w:r w:rsidRPr="00A81964">
        <w:rPr>
          <w:rFonts w:hint="cs"/>
          <w:rtl/>
        </w:rPr>
        <w:t>,</w:t>
      </w:r>
      <w:r w:rsidRPr="00A81964">
        <w:rPr>
          <w:rtl/>
        </w:rPr>
        <w:t xml:space="preserve"> יישובי</w:t>
      </w:r>
      <w:r w:rsidRPr="00A81964">
        <w:rPr>
          <w:rFonts w:hint="cs"/>
          <w:rtl/>
        </w:rPr>
        <w:t>ם שעסקים הרשומים בהם זכאים להגיש תביעות בגין נזקים עקיפים שנגרמו להם בעקבות הלחימה, ונקבעו מסלולים לפיצויים אלה.</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כך למשל, במהלך מלחמת לבנון השנייה הותקנו תקנות</w:t>
      </w:r>
      <w:r w:rsidRPr="00A81964">
        <w:rPr>
          <w:rStyle w:val="af2"/>
          <w:rtl/>
        </w:rPr>
        <w:footnoteReference w:id="60"/>
      </w:r>
      <w:r w:rsidRPr="00A81964">
        <w:rPr>
          <w:rFonts w:hint="cs"/>
          <w:rtl/>
        </w:rPr>
        <w:t xml:space="preserve"> שאפשרו, בין היתר, לעסקים מיישובים מסוימים בצפון הארץ</w:t>
      </w:r>
      <w:r w:rsidRPr="00A81964">
        <w:rPr>
          <w:rStyle w:val="af2"/>
          <w:rtl/>
        </w:rPr>
        <w:footnoteReference w:id="61"/>
      </w:r>
      <w:r w:rsidRPr="00A81964">
        <w:rPr>
          <w:rFonts w:hint="cs"/>
          <w:rtl/>
        </w:rPr>
        <w:t xml:space="preserve"> להגיש תביעות בגין נזקים עקיפים שנגרמו להם במהלך המלחמה לפי מסלול המפצה על ירידה במחזורי העסקאות ומסלול המפצה על תשלום הוצאות שכר. כל זאת בכפוף לעמידה בתנאי הזכאות ולהגדרות שנקבעו באותן תקנות.</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כמו כן, בתקנות שאושרו במהלך או לאחר סיום המבצעים "עופרת יצוקה"</w:t>
      </w:r>
      <w:r w:rsidRPr="00A81964">
        <w:rPr>
          <w:rStyle w:val="af2"/>
          <w:rtl/>
        </w:rPr>
        <w:footnoteReference w:id="62"/>
      </w:r>
      <w:r w:rsidRPr="00A81964">
        <w:rPr>
          <w:rFonts w:hint="cs"/>
          <w:rtl/>
        </w:rPr>
        <w:t>, "עמוד ענן"</w:t>
      </w:r>
      <w:r w:rsidRPr="00A81964">
        <w:rPr>
          <w:rStyle w:val="af2"/>
          <w:rtl/>
        </w:rPr>
        <w:footnoteReference w:id="63"/>
      </w:r>
      <w:r w:rsidRPr="00A81964">
        <w:rPr>
          <w:rFonts w:hint="cs"/>
          <w:rtl/>
        </w:rPr>
        <w:t xml:space="preserve"> ו"צוק איתן"</w:t>
      </w:r>
      <w:r w:rsidRPr="00A81964">
        <w:rPr>
          <w:rStyle w:val="af2"/>
          <w:rtl/>
        </w:rPr>
        <w:footnoteReference w:id="64"/>
      </w:r>
      <w:r w:rsidRPr="00A81964">
        <w:rPr>
          <w:rFonts w:hint="cs"/>
          <w:rtl/>
        </w:rPr>
        <w:t>, עסקים מיישובים מסוימים</w:t>
      </w:r>
      <w:r w:rsidRPr="00A81964">
        <w:rPr>
          <w:rStyle w:val="af2"/>
          <w:rtl/>
        </w:rPr>
        <w:footnoteReference w:id="65"/>
      </w:r>
      <w:r w:rsidRPr="00A81964">
        <w:rPr>
          <w:rFonts w:hint="cs"/>
          <w:rtl/>
        </w:rPr>
        <w:t xml:space="preserve">, הנמצאים בטווח של עד 40 ק"מ מגבול רצועת עזה, יכולים היו, בין היתר, להגיש תביעה בגין נזק עקיף לפי מסלול המפצה על ירידה במחזורי העסקאות, מסלול המפצה על תשלום </w:t>
      </w:r>
      <w:r w:rsidRPr="00A81964">
        <w:rPr>
          <w:rFonts w:hint="cs"/>
          <w:rtl/>
        </w:rPr>
        <w:lastRenderedPageBreak/>
        <w:t xml:space="preserve">הוצאות שכר, מסלול המפצה על הוצאות מסוימות ששולמו וכן מסלול ייעודי לענף החקלאות. כל זאת בכפוף לעמידה בתנאי הזכאות ולהגדרות שנקבעו באותן תקנות. </w:t>
      </w:r>
    </w:p>
    <w:p w:rsidR="006252C4" w:rsidRDefault="006252C4" w:rsidP="006252C4">
      <w:pPr>
        <w:pStyle w:val="a8"/>
        <w:spacing w:line="269" w:lineRule="auto"/>
        <w:rPr>
          <w:rtl/>
        </w:rPr>
      </w:pPr>
    </w:p>
    <w:p w:rsidR="006252C4" w:rsidRDefault="006252C4" w:rsidP="006252C4">
      <w:pPr>
        <w:spacing w:line="269" w:lineRule="auto"/>
        <w:rPr>
          <w:rtl/>
        </w:rPr>
      </w:pPr>
      <w:r w:rsidRPr="00A81964">
        <w:rPr>
          <w:rFonts w:hint="cs"/>
          <w:rtl/>
        </w:rPr>
        <w:t xml:space="preserve">להלן בלוח </w:t>
      </w:r>
      <w:r>
        <w:rPr>
          <w:rFonts w:hint="cs"/>
          <w:rtl/>
        </w:rPr>
        <w:t>6</w:t>
      </w:r>
      <w:r w:rsidRPr="00A81964">
        <w:rPr>
          <w:rFonts w:hint="cs"/>
          <w:rtl/>
        </w:rPr>
        <w:t xml:space="preserve"> </w:t>
      </w:r>
      <w:r w:rsidRPr="00AA1661">
        <w:rPr>
          <w:rFonts w:hint="cs"/>
          <w:rtl/>
        </w:rPr>
        <w:t>נתונים</w:t>
      </w:r>
      <w:r w:rsidRPr="00A81964">
        <w:rPr>
          <w:rFonts w:hint="cs"/>
          <w:rtl/>
        </w:rPr>
        <w:t xml:space="preserve"> לגבי תביעות שהגישו </w:t>
      </w:r>
      <w:r>
        <w:rPr>
          <w:rFonts w:hint="cs"/>
          <w:rtl/>
        </w:rPr>
        <w:t>ניזוקים</w:t>
      </w:r>
      <w:r w:rsidRPr="00A81964">
        <w:rPr>
          <w:rFonts w:hint="cs"/>
          <w:rtl/>
        </w:rPr>
        <w:t xml:space="preserve"> בגין נזקים עקיפים שנגרמו להם בסבבי לחימה מרכזיים</w:t>
      </w:r>
      <w:r>
        <w:rPr>
          <w:rFonts w:hint="cs"/>
          <w:rtl/>
        </w:rPr>
        <w:t>, לפני מלחמת חרבות ברזל</w:t>
      </w:r>
      <w:r w:rsidRPr="00A81964">
        <w:rPr>
          <w:rFonts w:hint="cs"/>
          <w:rtl/>
        </w:rPr>
        <w:t>.</w:t>
      </w:r>
    </w:p>
    <w:p w:rsidR="006252C4" w:rsidRDefault="006252C4" w:rsidP="006252C4">
      <w:pPr>
        <w:spacing w:line="269" w:lineRule="auto"/>
        <w:jc w:val="center"/>
        <w:rPr>
          <w:rtl/>
        </w:rPr>
      </w:pPr>
    </w:p>
    <w:p w:rsidR="006252C4" w:rsidRPr="00A81964" w:rsidRDefault="006252C4" w:rsidP="00794DF5">
      <w:pPr>
        <w:keepNext/>
        <w:keepLines/>
        <w:jc w:val="center"/>
        <w:rPr>
          <w:b/>
          <w:bCs/>
          <w:rtl/>
        </w:rPr>
      </w:pPr>
      <w:r w:rsidRPr="00A81964">
        <w:rPr>
          <w:rFonts w:hint="eastAsia"/>
          <w:rtl/>
        </w:rPr>
        <w:t>לוח</w:t>
      </w:r>
      <w:r w:rsidRPr="00A81964">
        <w:rPr>
          <w:rtl/>
        </w:rPr>
        <w:t xml:space="preserve"> </w:t>
      </w:r>
      <w:r>
        <w:rPr>
          <w:rFonts w:hint="cs"/>
          <w:rtl/>
        </w:rPr>
        <w:t>6</w:t>
      </w:r>
      <w:r w:rsidRPr="00A81964">
        <w:rPr>
          <w:rtl/>
        </w:rPr>
        <w:t>:</w:t>
      </w:r>
      <w:r w:rsidRPr="00A81964">
        <w:rPr>
          <w:b/>
          <w:bCs/>
          <w:rtl/>
        </w:rPr>
        <w:t xml:space="preserve"> נתוני תביעות ופיצויים בגין נזק עקיף בסבבי לחימה מרכזיים</w:t>
      </w:r>
    </w:p>
    <w:tbl>
      <w:tblPr>
        <w:bidiVisual/>
        <w:tblW w:w="6814" w:type="dxa"/>
        <w:jc w:val="center"/>
        <w:tblLook w:val="04A0" w:firstRow="1" w:lastRow="0" w:firstColumn="1" w:lastColumn="0" w:noHBand="0" w:noVBand="1"/>
      </w:tblPr>
      <w:tblGrid>
        <w:gridCol w:w="2268"/>
        <w:gridCol w:w="2420"/>
        <w:gridCol w:w="2126"/>
      </w:tblGrid>
      <w:tr w:rsidR="006252C4" w:rsidRPr="00A81964" w:rsidTr="00D04D4F">
        <w:trPr>
          <w:trHeight w:val="885"/>
          <w:jc w:val="center"/>
        </w:trPr>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252C4" w:rsidRPr="00A81964" w:rsidRDefault="006252C4" w:rsidP="00D04D4F">
            <w:pPr>
              <w:spacing w:line="269" w:lineRule="auto"/>
              <w:jc w:val="center"/>
              <w:rPr>
                <w:rFonts w:ascii="David" w:eastAsia="Times New Roman" w:hAnsi="David"/>
                <w:b/>
                <w:bCs/>
                <w:color w:val="000000"/>
                <w:sz w:val="22"/>
                <w:szCs w:val="22"/>
              </w:rPr>
            </w:pPr>
            <w:r w:rsidRPr="00A81964">
              <w:rPr>
                <w:rFonts w:ascii="David" w:eastAsia="Times New Roman" w:hAnsi="David" w:hint="cs"/>
                <w:b/>
                <w:bCs/>
                <w:color w:val="000000"/>
                <w:sz w:val="22"/>
                <w:szCs w:val="22"/>
                <w:rtl/>
              </w:rPr>
              <w:t>שם סבב הלחימה</w:t>
            </w:r>
          </w:p>
        </w:tc>
        <w:tc>
          <w:tcPr>
            <w:tcW w:w="24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252C4" w:rsidRPr="00A81964" w:rsidRDefault="006252C4" w:rsidP="00D04D4F">
            <w:pPr>
              <w:spacing w:line="269" w:lineRule="auto"/>
              <w:jc w:val="center"/>
              <w:rPr>
                <w:rFonts w:ascii="David" w:eastAsia="Times New Roman" w:hAnsi="David"/>
                <w:b/>
                <w:bCs/>
                <w:color w:val="000000"/>
                <w:sz w:val="22"/>
                <w:szCs w:val="22"/>
                <w:rtl/>
              </w:rPr>
            </w:pPr>
            <w:r w:rsidRPr="00A81964">
              <w:rPr>
                <w:rFonts w:ascii="David" w:eastAsia="Times New Roman" w:hAnsi="David" w:hint="cs"/>
                <w:b/>
                <w:bCs/>
                <w:color w:val="000000"/>
                <w:sz w:val="22"/>
                <w:szCs w:val="22"/>
                <w:rtl/>
              </w:rPr>
              <w:t>מספר</w:t>
            </w:r>
            <w:r w:rsidRPr="00A81964">
              <w:rPr>
                <w:rFonts w:ascii="David" w:eastAsia="Times New Roman" w:hAnsi="David"/>
                <w:b/>
                <w:bCs/>
                <w:color w:val="000000"/>
                <w:sz w:val="22"/>
                <w:szCs w:val="22"/>
                <w:rtl/>
              </w:rPr>
              <w:t xml:space="preserve"> התביעות שהוגשו בגין נזקים עקיפים</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252C4" w:rsidRPr="00A81964" w:rsidRDefault="006252C4" w:rsidP="00D04D4F">
            <w:pPr>
              <w:spacing w:line="269" w:lineRule="auto"/>
              <w:jc w:val="center"/>
              <w:rPr>
                <w:rFonts w:ascii="David" w:eastAsia="Times New Roman" w:hAnsi="David"/>
                <w:b/>
                <w:bCs/>
                <w:color w:val="000000"/>
                <w:sz w:val="22"/>
                <w:szCs w:val="22"/>
                <w:rtl/>
              </w:rPr>
            </w:pPr>
            <w:r w:rsidRPr="00A81964">
              <w:rPr>
                <w:rFonts w:ascii="David" w:eastAsia="Times New Roman" w:hAnsi="David"/>
                <w:b/>
                <w:bCs/>
                <w:color w:val="000000"/>
                <w:sz w:val="22"/>
                <w:szCs w:val="22"/>
                <w:rtl/>
              </w:rPr>
              <w:t>סך הפיצויים ששולמו בגין נזקים עקיפים</w:t>
            </w:r>
          </w:p>
        </w:tc>
      </w:tr>
      <w:tr w:rsidR="006252C4" w:rsidRPr="00A81964" w:rsidTr="00D04D4F">
        <w:trPr>
          <w:trHeight w:val="415"/>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מלחמת לבנון השנייה</w:t>
            </w:r>
          </w:p>
        </w:tc>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130,166</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 xml:space="preserve">כ-2.1 מיליארד </w:t>
            </w:r>
            <w:r w:rsidRPr="00A81964">
              <w:rPr>
                <w:rFonts w:ascii="David" w:eastAsia="Times New Roman" w:hAnsi="David" w:hint="cs"/>
                <w:color w:val="000000"/>
                <w:sz w:val="22"/>
                <w:szCs w:val="22"/>
                <w:rtl/>
              </w:rPr>
              <w:t>ש"ח</w:t>
            </w:r>
            <w:r w:rsidRPr="00A81964">
              <w:rPr>
                <w:rFonts w:ascii="David" w:eastAsia="Times New Roman" w:hAnsi="David"/>
                <w:color w:val="000000"/>
                <w:sz w:val="22"/>
                <w:szCs w:val="22"/>
                <w:rtl/>
              </w:rPr>
              <w:t xml:space="preserve"> </w:t>
            </w:r>
          </w:p>
        </w:tc>
      </w:tr>
      <w:tr w:rsidR="006252C4" w:rsidRPr="00A81964" w:rsidTr="00D04D4F">
        <w:trPr>
          <w:trHeight w:val="537"/>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מבצע "עופרת יצוקה"</w:t>
            </w:r>
          </w:p>
        </w:tc>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11,994</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 xml:space="preserve">כ-382 מיליון </w:t>
            </w:r>
            <w:r w:rsidRPr="00A81964">
              <w:rPr>
                <w:rFonts w:ascii="David" w:eastAsia="Times New Roman" w:hAnsi="David" w:hint="cs"/>
                <w:color w:val="000000"/>
                <w:sz w:val="22"/>
                <w:szCs w:val="22"/>
                <w:rtl/>
              </w:rPr>
              <w:t>ש"ח</w:t>
            </w:r>
            <w:r w:rsidRPr="00A81964">
              <w:rPr>
                <w:rFonts w:ascii="David" w:eastAsia="Times New Roman" w:hAnsi="David"/>
                <w:color w:val="000000"/>
                <w:sz w:val="22"/>
                <w:szCs w:val="22"/>
                <w:rtl/>
              </w:rPr>
              <w:t xml:space="preserve"> </w:t>
            </w:r>
          </w:p>
        </w:tc>
      </w:tr>
      <w:tr w:rsidR="006252C4" w:rsidRPr="00A81964" w:rsidTr="00D04D4F">
        <w:trPr>
          <w:trHeight w:val="537"/>
          <w:jc w:val="center"/>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מבצע "עמוד ענן"</w:t>
            </w:r>
          </w:p>
        </w:tc>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14,621</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 xml:space="preserve">כ-347 מיליון </w:t>
            </w:r>
            <w:r w:rsidRPr="00A81964">
              <w:rPr>
                <w:rFonts w:ascii="David" w:eastAsia="Times New Roman" w:hAnsi="David" w:hint="cs"/>
                <w:color w:val="000000"/>
                <w:sz w:val="22"/>
                <w:szCs w:val="22"/>
                <w:rtl/>
              </w:rPr>
              <w:t>ש"ח</w:t>
            </w:r>
            <w:r w:rsidRPr="00A81964">
              <w:rPr>
                <w:rFonts w:ascii="David" w:eastAsia="Times New Roman" w:hAnsi="David"/>
                <w:color w:val="000000"/>
                <w:sz w:val="22"/>
                <w:szCs w:val="22"/>
                <w:rtl/>
              </w:rPr>
              <w:t xml:space="preserve"> </w:t>
            </w:r>
          </w:p>
        </w:tc>
      </w:tr>
      <w:tr w:rsidR="006252C4" w:rsidRPr="00A81964" w:rsidTr="00D04D4F">
        <w:trPr>
          <w:trHeight w:val="537"/>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מבצע "צוק איתן"</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25,959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 xml:space="preserve">כ-1.6 מיליארד </w:t>
            </w:r>
            <w:r w:rsidRPr="00A81964">
              <w:rPr>
                <w:rFonts w:ascii="David" w:eastAsia="Times New Roman" w:hAnsi="David" w:hint="cs"/>
                <w:color w:val="000000"/>
                <w:sz w:val="22"/>
                <w:szCs w:val="22"/>
                <w:rtl/>
              </w:rPr>
              <w:t>ש"ח</w:t>
            </w:r>
          </w:p>
        </w:tc>
      </w:tr>
      <w:tr w:rsidR="006252C4" w:rsidRPr="00A81964" w:rsidTr="00D04D4F">
        <w:trPr>
          <w:trHeight w:val="537"/>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52C4" w:rsidRPr="00A81964" w:rsidRDefault="006252C4" w:rsidP="00D04D4F">
            <w:pPr>
              <w:spacing w:line="269" w:lineRule="auto"/>
              <w:jc w:val="left"/>
              <w:rPr>
                <w:rFonts w:ascii="David" w:eastAsia="Times New Roman" w:hAnsi="David"/>
                <w:color w:val="000000"/>
                <w:sz w:val="18"/>
                <w:szCs w:val="22"/>
                <w:rtl/>
              </w:rPr>
            </w:pPr>
            <w:r w:rsidRPr="00A81964">
              <w:rPr>
                <w:rFonts w:ascii="David" w:hAnsi="David"/>
                <w:color w:val="000000"/>
                <w:sz w:val="18"/>
                <w:szCs w:val="22"/>
                <w:rtl/>
              </w:rPr>
              <w:t>מבצע "שומר החומות"</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7,143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כ</w:t>
            </w:r>
            <w:r w:rsidRPr="00A81964">
              <w:rPr>
                <w:rFonts w:ascii="David" w:eastAsia="Times New Roman" w:hAnsi="David"/>
                <w:color w:val="000000"/>
                <w:sz w:val="22"/>
                <w:szCs w:val="22"/>
                <w:rtl/>
              </w:rPr>
              <w:t xml:space="preserve">-239 </w:t>
            </w:r>
            <w:r w:rsidRPr="00A81964">
              <w:rPr>
                <w:rFonts w:ascii="David" w:eastAsia="Times New Roman" w:hAnsi="David" w:hint="eastAsia"/>
                <w:color w:val="000000"/>
                <w:sz w:val="22"/>
                <w:szCs w:val="22"/>
                <w:rtl/>
              </w:rPr>
              <w:t>מיליון</w:t>
            </w:r>
            <w:r w:rsidRPr="00A81964">
              <w:rPr>
                <w:rFonts w:ascii="David" w:eastAsia="Times New Roman" w:hAnsi="David"/>
                <w:color w:val="000000"/>
                <w:sz w:val="22"/>
                <w:szCs w:val="22"/>
                <w:rtl/>
              </w:rPr>
              <w:t xml:space="preserve"> </w:t>
            </w:r>
            <w:r w:rsidRPr="00A81964">
              <w:rPr>
                <w:rFonts w:ascii="David" w:eastAsia="Times New Roman" w:hAnsi="David" w:hint="eastAsia"/>
                <w:color w:val="000000"/>
                <w:sz w:val="22"/>
                <w:szCs w:val="22"/>
                <w:rtl/>
              </w:rPr>
              <w:t>ש</w:t>
            </w:r>
            <w:r w:rsidRPr="00A81964">
              <w:rPr>
                <w:rFonts w:ascii="David" w:eastAsia="Times New Roman" w:hAnsi="David"/>
                <w:color w:val="000000"/>
                <w:sz w:val="22"/>
                <w:szCs w:val="22"/>
                <w:rtl/>
              </w:rPr>
              <w:t>"ח</w:t>
            </w:r>
          </w:p>
        </w:tc>
      </w:tr>
      <w:tr w:rsidR="006252C4" w:rsidRPr="00A81964" w:rsidTr="00D04D4F">
        <w:trPr>
          <w:trHeight w:val="537"/>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52C4" w:rsidRPr="00A81964" w:rsidRDefault="006252C4" w:rsidP="00D04D4F">
            <w:pPr>
              <w:spacing w:line="269" w:lineRule="auto"/>
              <w:jc w:val="left"/>
              <w:rPr>
                <w:rFonts w:ascii="David" w:eastAsia="Times New Roman" w:hAnsi="David"/>
                <w:color w:val="000000"/>
                <w:sz w:val="18"/>
                <w:szCs w:val="22"/>
                <w:rtl/>
              </w:rPr>
            </w:pPr>
            <w:r w:rsidRPr="00A81964">
              <w:rPr>
                <w:rFonts w:ascii="David" w:hAnsi="David"/>
                <w:color w:val="000000"/>
                <w:sz w:val="18"/>
                <w:szCs w:val="22"/>
                <w:rtl/>
              </w:rPr>
              <w:t>מבצע "עלות השחר"</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1,129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כ</w:t>
            </w:r>
            <w:r w:rsidRPr="00A81964">
              <w:rPr>
                <w:rFonts w:ascii="David" w:eastAsia="Times New Roman" w:hAnsi="David"/>
                <w:color w:val="000000"/>
                <w:sz w:val="22"/>
                <w:szCs w:val="22"/>
                <w:rtl/>
              </w:rPr>
              <w:t xml:space="preserve">-15 </w:t>
            </w:r>
            <w:r w:rsidRPr="00A81964">
              <w:rPr>
                <w:rFonts w:ascii="David" w:eastAsia="Times New Roman" w:hAnsi="David" w:hint="eastAsia"/>
                <w:color w:val="000000"/>
                <w:sz w:val="22"/>
                <w:szCs w:val="22"/>
                <w:rtl/>
              </w:rPr>
              <w:t>מיליון</w:t>
            </w:r>
            <w:r w:rsidRPr="00A81964">
              <w:rPr>
                <w:rFonts w:ascii="David" w:eastAsia="Times New Roman" w:hAnsi="David"/>
                <w:color w:val="000000"/>
                <w:sz w:val="22"/>
                <w:szCs w:val="22"/>
                <w:rtl/>
              </w:rPr>
              <w:t xml:space="preserve"> </w:t>
            </w:r>
            <w:r w:rsidRPr="00A81964">
              <w:rPr>
                <w:rFonts w:ascii="David" w:eastAsia="Times New Roman" w:hAnsi="David" w:hint="eastAsia"/>
                <w:color w:val="000000"/>
                <w:sz w:val="22"/>
                <w:szCs w:val="22"/>
                <w:rtl/>
              </w:rPr>
              <w:t>ש</w:t>
            </w:r>
            <w:r w:rsidRPr="00A81964">
              <w:rPr>
                <w:rFonts w:ascii="David" w:eastAsia="Times New Roman" w:hAnsi="David"/>
                <w:color w:val="000000"/>
                <w:sz w:val="22"/>
                <w:szCs w:val="22"/>
                <w:rtl/>
              </w:rPr>
              <w:t>"ח</w:t>
            </w:r>
          </w:p>
        </w:tc>
      </w:tr>
      <w:tr w:rsidR="006252C4" w:rsidRPr="00A81964" w:rsidTr="00D04D4F">
        <w:trPr>
          <w:trHeight w:val="537"/>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52C4" w:rsidRPr="00A81964" w:rsidRDefault="006252C4" w:rsidP="00D04D4F">
            <w:pPr>
              <w:spacing w:line="269" w:lineRule="auto"/>
              <w:jc w:val="left"/>
              <w:rPr>
                <w:rFonts w:ascii="David" w:eastAsia="Times New Roman" w:hAnsi="David"/>
                <w:color w:val="000000"/>
                <w:sz w:val="18"/>
                <w:szCs w:val="22"/>
                <w:rtl/>
              </w:rPr>
            </w:pPr>
            <w:r w:rsidRPr="00A81964">
              <w:rPr>
                <w:rFonts w:ascii="David" w:hAnsi="David"/>
                <w:color w:val="000000"/>
                <w:sz w:val="18"/>
                <w:szCs w:val="22"/>
                <w:rtl/>
              </w:rPr>
              <w:t>מבצע "מגן וחץ"</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color w:val="000000"/>
                <w:sz w:val="22"/>
                <w:szCs w:val="22"/>
                <w:rtl/>
              </w:rPr>
              <w:t>5,960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כ</w:t>
            </w:r>
            <w:r w:rsidRPr="00A81964">
              <w:rPr>
                <w:rFonts w:ascii="David" w:eastAsia="Times New Roman" w:hAnsi="David"/>
                <w:color w:val="000000"/>
                <w:sz w:val="22"/>
                <w:szCs w:val="22"/>
                <w:rtl/>
              </w:rPr>
              <w:t xml:space="preserve">-87 </w:t>
            </w:r>
            <w:r w:rsidRPr="00A81964">
              <w:rPr>
                <w:rFonts w:ascii="David" w:eastAsia="Times New Roman" w:hAnsi="David" w:hint="eastAsia"/>
                <w:color w:val="000000"/>
                <w:sz w:val="22"/>
                <w:szCs w:val="22"/>
                <w:rtl/>
              </w:rPr>
              <w:t>מיליון</w:t>
            </w:r>
            <w:r w:rsidRPr="00A81964">
              <w:rPr>
                <w:rFonts w:ascii="David" w:eastAsia="Times New Roman" w:hAnsi="David"/>
                <w:color w:val="000000"/>
                <w:sz w:val="22"/>
                <w:szCs w:val="22"/>
                <w:rtl/>
              </w:rPr>
              <w:t xml:space="preserve"> </w:t>
            </w:r>
            <w:r w:rsidRPr="00A81964">
              <w:rPr>
                <w:rFonts w:ascii="David" w:eastAsia="Times New Roman" w:hAnsi="David" w:hint="eastAsia"/>
                <w:color w:val="000000"/>
                <w:sz w:val="22"/>
                <w:szCs w:val="22"/>
                <w:rtl/>
              </w:rPr>
              <w:t>ש</w:t>
            </w:r>
            <w:r w:rsidRPr="00A81964">
              <w:rPr>
                <w:rFonts w:ascii="David" w:eastAsia="Times New Roman" w:hAnsi="David"/>
                <w:color w:val="000000"/>
                <w:sz w:val="22"/>
                <w:szCs w:val="22"/>
                <w:rtl/>
              </w:rPr>
              <w:t>"ח</w:t>
            </w:r>
          </w:p>
        </w:tc>
      </w:tr>
      <w:tr w:rsidR="006252C4" w:rsidRPr="00A81964" w:rsidTr="00D04D4F">
        <w:trPr>
          <w:trHeight w:val="537"/>
          <w:jc w:val="center"/>
        </w:trPr>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252C4" w:rsidRPr="0016480E" w:rsidRDefault="006252C4" w:rsidP="00D04D4F">
            <w:pPr>
              <w:spacing w:line="269" w:lineRule="auto"/>
              <w:jc w:val="left"/>
              <w:rPr>
                <w:rFonts w:ascii="David" w:hAnsi="David"/>
                <w:b/>
                <w:bCs/>
                <w:color w:val="000000"/>
                <w:sz w:val="18"/>
                <w:szCs w:val="22"/>
                <w:rtl/>
              </w:rPr>
            </w:pPr>
            <w:r w:rsidRPr="0016480E">
              <w:rPr>
                <w:rFonts w:ascii="David" w:hAnsi="David" w:hint="cs"/>
                <w:b/>
                <w:bCs/>
                <w:color w:val="000000"/>
                <w:sz w:val="18"/>
                <w:szCs w:val="22"/>
                <w:rtl/>
              </w:rPr>
              <w:t>סה"כ</w:t>
            </w:r>
          </w:p>
        </w:tc>
        <w:tc>
          <w:tcPr>
            <w:tcW w:w="24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252C4" w:rsidRPr="0016480E" w:rsidRDefault="006252C4" w:rsidP="00D04D4F">
            <w:pPr>
              <w:spacing w:line="269" w:lineRule="auto"/>
              <w:jc w:val="left"/>
              <w:rPr>
                <w:rFonts w:ascii="David" w:eastAsia="Times New Roman" w:hAnsi="David"/>
                <w:b/>
                <w:bCs/>
                <w:color w:val="000000"/>
                <w:sz w:val="22"/>
                <w:szCs w:val="22"/>
                <w:rtl/>
              </w:rPr>
            </w:pPr>
            <w:r w:rsidRPr="0016480E">
              <w:rPr>
                <w:rFonts w:ascii="David" w:eastAsia="Times New Roman" w:hAnsi="David" w:hint="cs"/>
                <w:b/>
                <w:bCs/>
                <w:color w:val="000000"/>
                <w:sz w:val="22"/>
                <w:szCs w:val="22"/>
                <w:rtl/>
              </w:rPr>
              <w:t>196,972</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252C4" w:rsidRPr="0016480E" w:rsidRDefault="006252C4" w:rsidP="00D04D4F">
            <w:pPr>
              <w:spacing w:line="269" w:lineRule="auto"/>
              <w:jc w:val="left"/>
              <w:rPr>
                <w:rFonts w:ascii="David" w:eastAsia="Times New Roman" w:hAnsi="David"/>
                <w:b/>
                <w:bCs/>
                <w:color w:val="000000"/>
                <w:sz w:val="22"/>
                <w:szCs w:val="22"/>
                <w:rtl/>
              </w:rPr>
            </w:pPr>
            <w:r w:rsidRPr="0016480E">
              <w:rPr>
                <w:rFonts w:ascii="David" w:eastAsia="Times New Roman" w:hAnsi="David" w:hint="cs"/>
                <w:b/>
                <w:bCs/>
                <w:color w:val="000000"/>
                <w:sz w:val="22"/>
                <w:szCs w:val="22"/>
                <w:rtl/>
              </w:rPr>
              <w:t>כ-4.8 מיליארד ש"ח</w:t>
            </w:r>
          </w:p>
        </w:tc>
      </w:tr>
    </w:tbl>
    <w:p w:rsidR="006252C4" w:rsidRPr="00A81964" w:rsidRDefault="006252C4" w:rsidP="00794DF5">
      <w:pPr>
        <w:spacing w:before="60" w:line="269" w:lineRule="auto"/>
        <w:rPr>
          <w:sz w:val="16"/>
          <w:szCs w:val="20"/>
          <w:rtl/>
        </w:rPr>
      </w:pPr>
      <w:r w:rsidRPr="00A81964">
        <w:rPr>
          <w:rFonts w:hint="cs"/>
          <w:sz w:val="16"/>
          <w:szCs w:val="20"/>
          <w:rtl/>
        </w:rPr>
        <w:t xml:space="preserve">המקור: </w:t>
      </w:r>
      <w:r w:rsidRPr="00AA1661">
        <w:rPr>
          <w:rFonts w:hint="cs"/>
          <w:sz w:val="16"/>
          <w:szCs w:val="20"/>
          <w:rtl/>
        </w:rPr>
        <w:t>רשות המיסים</w:t>
      </w:r>
      <w:r w:rsidRPr="00A81964">
        <w:rPr>
          <w:rFonts w:hint="cs"/>
          <w:sz w:val="16"/>
          <w:szCs w:val="20"/>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כאמור, בשנת 2015 </w:t>
      </w:r>
      <w:r w:rsidRPr="00AA1661">
        <w:rPr>
          <w:rFonts w:hint="cs"/>
          <w:rtl/>
        </w:rPr>
        <w:t>מינתה מנכ"לית משרד האוצר</w:t>
      </w:r>
      <w:r w:rsidRPr="00A81964">
        <w:rPr>
          <w:rFonts w:hint="cs"/>
          <w:rtl/>
        </w:rPr>
        <w:t xml:space="preserve"> דאז את מנהל רשות המיסים דאז לעמוד בראש ועדה</w:t>
      </w:r>
      <w:r w:rsidRPr="00A81964">
        <w:rPr>
          <w:rtl/>
        </w:rPr>
        <w:t xml:space="preserve"> לבחינת משמעויות ליישום חוק מס רכוש וקרן הפיצויים, </w:t>
      </w:r>
      <w:r>
        <w:rPr>
          <w:rFonts w:hint="cs"/>
          <w:rtl/>
        </w:rPr>
        <w:t>ה</w:t>
      </w:r>
      <w:r w:rsidRPr="00A81964">
        <w:rPr>
          <w:rtl/>
        </w:rPr>
        <w:t>תשכ"א-1961</w:t>
      </w:r>
      <w:r>
        <w:rPr>
          <w:rFonts w:hint="cs"/>
          <w:rtl/>
        </w:rPr>
        <w:t>,</w:t>
      </w:r>
      <w:r w:rsidRPr="00A81964">
        <w:rPr>
          <w:rtl/>
        </w:rPr>
        <w:t xml:space="preserve"> עקב אתגרי הנשק תלול המסלול </w:t>
      </w:r>
      <w:r>
        <w:rPr>
          <w:rFonts w:hint="cs"/>
          <w:rtl/>
        </w:rPr>
        <w:t>באותה עת ובצפייה לעתיד (להלן - ועדת משרד האוצר)</w:t>
      </w:r>
      <w:r w:rsidRPr="00A81964">
        <w:rPr>
          <w:rFonts w:hint="cs"/>
          <w:rtl/>
        </w:rPr>
        <w:t xml:space="preserve">. לצורך מילוי תפקידי הוועדה מינה מנהל הרשות דאז </w:t>
      </w:r>
      <w:r w:rsidRPr="00AA1661">
        <w:rPr>
          <w:rFonts w:hint="cs"/>
          <w:rtl/>
        </w:rPr>
        <w:t>ארבע ועדות משנה</w:t>
      </w:r>
      <w:r w:rsidRPr="00392075">
        <w:rPr>
          <w:rStyle w:val="af2"/>
        </w:rPr>
        <w:footnoteReference w:id="66"/>
      </w:r>
      <w:r w:rsidRPr="00392075">
        <w:rPr>
          <w:rFonts w:hint="cs"/>
          <w:rtl/>
        </w:rPr>
        <w:t xml:space="preserve"> </w:t>
      </w:r>
      <w:r w:rsidRPr="00A81964">
        <w:rPr>
          <w:rFonts w:hint="cs"/>
          <w:rtl/>
        </w:rPr>
        <w:t xml:space="preserve">וביניהן ועדת משנה "תפעול נזק עקיף" (להלן - הוועדה או ועדת נזק עקיף).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בשנת 2017 הגישה</w:t>
      </w:r>
      <w:r>
        <w:rPr>
          <w:rFonts w:hint="cs"/>
          <w:rtl/>
        </w:rPr>
        <w:t xml:space="preserve">, </w:t>
      </w:r>
      <w:r w:rsidRPr="00A81964">
        <w:rPr>
          <w:rFonts w:hint="cs"/>
          <w:rtl/>
        </w:rPr>
        <w:t xml:space="preserve">ועדת נזק עקיף למנהל רשות המיסים דאז </w:t>
      </w:r>
      <w:r w:rsidRPr="00AA1661">
        <w:rPr>
          <w:rFonts w:hint="cs"/>
          <w:rtl/>
        </w:rPr>
        <w:t>דוח עם המלצותיה</w:t>
      </w:r>
      <w:r>
        <w:rPr>
          <w:rFonts w:hint="cs"/>
          <w:rtl/>
        </w:rPr>
        <w:t xml:space="preserve">, </w:t>
      </w:r>
      <w:r w:rsidRPr="00A81964">
        <w:rPr>
          <w:rFonts w:hint="cs"/>
          <w:rtl/>
        </w:rPr>
        <w:t>שבו נדונו, בין היתר, מסלולי הפיצוי בעד נזק עקיף הקיימים ונבחנה האפשרות ליצור מסלולי פיצוי נוספים.</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lastRenderedPageBreak/>
        <w:t xml:space="preserve"> בדוח צוין כי "</w:t>
      </w:r>
      <w:r w:rsidRPr="00A81964">
        <w:rPr>
          <w:rtl/>
        </w:rPr>
        <w:t xml:space="preserve">לאחר מבצע </w:t>
      </w:r>
      <w:r w:rsidRPr="00A81964">
        <w:rPr>
          <w:rFonts w:hint="cs"/>
          <w:rtl/>
        </w:rPr>
        <w:t>'</w:t>
      </w:r>
      <w:r w:rsidRPr="00A81964">
        <w:rPr>
          <w:rtl/>
        </w:rPr>
        <w:t>עופרת יצוקה</w:t>
      </w:r>
      <w:r w:rsidRPr="00A81964">
        <w:rPr>
          <w:rFonts w:hint="cs"/>
          <w:rtl/>
        </w:rPr>
        <w:t>'</w:t>
      </w:r>
      <w:r w:rsidRPr="00A81964">
        <w:rPr>
          <w:rtl/>
        </w:rPr>
        <w:t xml:space="preserve"> ובמסגרת הפקת הלקחים ממסלולי הפיצוי שיושמו לאחר </w:t>
      </w:r>
      <w:r w:rsidRPr="00A81964">
        <w:rPr>
          <w:rFonts w:hint="cs"/>
          <w:rtl/>
        </w:rPr>
        <w:t>'</w:t>
      </w:r>
      <w:r w:rsidRPr="00A81964">
        <w:rPr>
          <w:rtl/>
        </w:rPr>
        <w:t>מלחמת לבנון השנייה</w:t>
      </w:r>
      <w:r w:rsidRPr="00A81964">
        <w:rPr>
          <w:rFonts w:hint="cs"/>
          <w:rtl/>
        </w:rPr>
        <w:t>'</w:t>
      </w:r>
      <w:r w:rsidRPr="00A81964">
        <w:rPr>
          <w:rtl/>
        </w:rPr>
        <w:t xml:space="preserve">, נקבעו מסלולים משופרים שנתנו מענה לרוב הבעיות שהתעוררו לאחר </w:t>
      </w:r>
      <w:r w:rsidRPr="00A81964">
        <w:rPr>
          <w:rFonts w:hint="cs"/>
          <w:rtl/>
        </w:rPr>
        <w:t>'</w:t>
      </w:r>
      <w:r w:rsidRPr="00A81964">
        <w:rPr>
          <w:rtl/>
        </w:rPr>
        <w:t>מלחמת לבנון השנייה</w:t>
      </w:r>
      <w:r w:rsidRPr="00A81964">
        <w:rPr>
          <w:rFonts w:hint="cs"/>
          <w:rtl/>
        </w:rPr>
        <w:t>'</w:t>
      </w:r>
      <w:r w:rsidRPr="00A81964">
        <w:rPr>
          <w:rtl/>
        </w:rPr>
        <w:t>.</w:t>
      </w:r>
      <w:r w:rsidRPr="00A81964">
        <w:rPr>
          <w:rFonts w:hint="cs"/>
          <w:rtl/>
        </w:rPr>
        <w:t xml:space="preserve"> </w:t>
      </w:r>
      <w:r w:rsidRPr="00A81964">
        <w:rPr>
          <w:rtl/>
        </w:rPr>
        <w:t xml:space="preserve">מסלולים אלו שופרו אף יותר לאחר מבצע </w:t>
      </w:r>
      <w:r w:rsidRPr="00A81964">
        <w:rPr>
          <w:rFonts w:hint="cs"/>
          <w:rtl/>
        </w:rPr>
        <w:t>'</w:t>
      </w:r>
      <w:r w:rsidRPr="00A81964">
        <w:rPr>
          <w:rtl/>
        </w:rPr>
        <w:t>עמוד ענן</w:t>
      </w:r>
      <w:r w:rsidRPr="00A81964">
        <w:rPr>
          <w:rFonts w:hint="cs"/>
          <w:rtl/>
        </w:rPr>
        <w:t>'</w:t>
      </w:r>
      <w:r w:rsidRPr="00A81964">
        <w:rPr>
          <w:rtl/>
        </w:rPr>
        <w:t xml:space="preserve"> ומבצע "צוק איתן</w:t>
      </w:r>
      <w:r w:rsidRPr="00A81964">
        <w:rPr>
          <w:rFonts w:hint="cs"/>
          <w:rtl/>
        </w:rPr>
        <w:t>'"</w:t>
      </w:r>
      <w:r w:rsidRPr="00A81964">
        <w:rPr>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נושא נוסף שאותו בחנה ועדת נזק עקיף היה ה</w:t>
      </w:r>
      <w:r w:rsidRPr="00A81964">
        <w:rPr>
          <w:rtl/>
        </w:rPr>
        <w:t xml:space="preserve">עלות </w:t>
      </w:r>
      <w:r w:rsidRPr="00A81964">
        <w:rPr>
          <w:rFonts w:hint="cs"/>
          <w:rtl/>
        </w:rPr>
        <w:t>ה</w:t>
      </w:r>
      <w:r w:rsidRPr="00A81964">
        <w:rPr>
          <w:rtl/>
        </w:rPr>
        <w:t>כלכלית של הנזק העקיף על פי שלושת תרחישי הייחוס</w:t>
      </w:r>
      <w:r w:rsidRPr="00A81964">
        <w:rPr>
          <w:rFonts w:hint="cs"/>
          <w:rtl/>
        </w:rPr>
        <w:t>, וזאת בהתאם לשלושה תרחישי ייחוס לסבבי לחימה שהוצגו לפניה (להלן - תרחישי הייחוס)</w:t>
      </w:r>
      <w:r w:rsidRPr="00A81964">
        <w:rPr>
          <w:rStyle w:val="af2"/>
          <w:rtl/>
        </w:rPr>
        <w:footnoteReference w:id="67"/>
      </w:r>
      <w:r w:rsidRPr="00A81964">
        <w:rPr>
          <w:rFonts w:hint="cs"/>
          <w:rtl/>
        </w:rPr>
        <w:t xml:space="preserve">: </w:t>
      </w:r>
    </w:p>
    <w:p w:rsidR="006252C4" w:rsidRDefault="006252C4" w:rsidP="006252C4">
      <w:pPr>
        <w:pStyle w:val="a8"/>
        <w:spacing w:line="269" w:lineRule="auto"/>
        <w:rPr>
          <w:rtl/>
        </w:rPr>
      </w:pPr>
    </w:p>
    <w:p w:rsidR="006252C4" w:rsidRDefault="006252C4" w:rsidP="006252C4">
      <w:pPr>
        <w:pStyle w:val="af3"/>
        <w:numPr>
          <w:ilvl w:val="0"/>
          <w:numId w:val="32"/>
        </w:numPr>
        <w:spacing w:line="269" w:lineRule="auto"/>
        <w:ind w:left="312"/>
      </w:pPr>
      <w:r w:rsidRPr="00392075">
        <w:rPr>
          <w:rStyle w:val="70"/>
          <w:rFonts w:ascii="David" w:hAnsi="David"/>
          <w:rtl/>
        </w:rPr>
        <w:t>תרחיש קל:</w:t>
      </w:r>
      <w:r w:rsidRPr="00A81964">
        <w:rPr>
          <w:rFonts w:hint="cs"/>
          <w:rtl/>
        </w:rPr>
        <w:t xml:space="preserve"> </w:t>
      </w:r>
      <w:r w:rsidRPr="00A81964">
        <w:rPr>
          <w:rtl/>
        </w:rPr>
        <w:t>לחימה בזירה אחת</w:t>
      </w:r>
      <w:r w:rsidRPr="00A81964">
        <w:rPr>
          <w:rFonts w:hint="cs"/>
          <w:rtl/>
        </w:rPr>
        <w:t>,</w:t>
      </w:r>
      <w:r w:rsidRPr="00A81964">
        <w:rPr>
          <w:rtl/>
        </w:rPr>
        <w:t xml:space="preserve"> כשטווח הטילים והנזקים</w:t>
      </w:r>
      <w:r w:rsidRPr="00A81964">
        <w:rPr>
          <w:rFonts w:hint="cs"/>
          <w:rtl/>
        </w:rPr>
        <w:t xml:space="preserve"> </w:t>
      </w:r>
      <w:r w:rsidRPr="00A81964">
        <w:rPr>
          <w:rtl/>
        </w:rPr>
        <w:t>דומה למבצעים</w:t>
      </w:r>
      <w:r w:rsidRPr="00A81964">
        <w:rPr>
          <w:rFonts w:hint="cs"/>
        </w:rPr>
        <w:t xml:space="preserve"> </w:t>
      </w:r>
      <w:r w:rsidRPr="00A81964">
        <w:rPr>
          <w:rFonts w:hint="cs"/>
          <w:rtl/>
        </w:rPr>
        <w:t xml:space="preserve">שהתנהלו ברצועת </w:t>
      </w:r>
      <w:r w:rsidRPr="00A81964">
        <w:rPr>
          <w:rtl/>
        </w:rPr>
        <w:t>עזה</w:t>
      </w:r>
      <w:r w:rsidRPr="00A81964">
        <w:rPr>
          <w:rFonts w:hint="cs"/>
          <w:rtl/>
        </w:rPr>
        <w:t>,</w:t>
      </w:r>
      <w:r w:rsidRPr="00A81964">
        <w:rPr>
          <w:rtl/>
        </w:rPr>
        <w:t xml:space="preserve"> </w:t>
      </w:r>
      <w:r w:rsidRPr="00A81964">
        <w:rPr>
          <w:rFonts w:hint="cs"/>
          <w:rtl/>
        </w:rPr>
        <w:t xml:space="preserve">כגון </w:t>
      </w:r>
      <w:r w:rsidRPr="00A81964">
        <w:rPr>
          <w:rtl/>
        </w:rPr>
        <w:t>"צוק איתן", "עמוד ענן"</w:t>
      </w:r>
      <w:r w:rsidRPr="00A81964">
        <w:rPr>
          <w:rFonts w:hint="cs"/>
          <w:rtl/>
        </w:rPr>
        <w:t xml:space="preserve"> ו</w:t>
      </w:r>
      <w:r w:rsidRPr="00A81964">
        <w:rPr>
          <w:rtl/>
        </w:rPr>
        <w:t>"עופרת יצוקה". תרחיש</w:t>
      </w:r>
      <w:r w:rsidRPr="00A81964">
        <w:rPr>
          <w:rFonts w:hint="cs"/>
          <w:rtl/>
        </w:rPr>
        <w:t xml:space="preserve"> זה</w:t>
      </w:r>
      <w:r w:rsidRPr="00A81964">
        <w:rPr>
          <w:rtl/>
        </w:rPr>
        <w:t xml:space="preserve"> יכול להיות </w:t>
      </w:r>
      <w:r w:rsidRPr="00A81964">
        <w:rPr>
          <w:rFonts w:hint="cs"/>
          <w:rtl/>
        </w:rPr>
        <w:t>בצפון הארץ</w:t>
      </w:r>
      <w:r w:rsidRPr="00A81964">
        <w:rPr>
          <w:rtl/>
        </w:rPr>
        <w:t xml:space="preserve"> או </w:t>
      </w:r>
      <w:r w:rsidRPr="00A81964">
        <w:rPr>
          <w:rFonts w:hint="cs"/>
          <w:rtl/>
        </w:rPr>
        <w:t>ב</w:t>
      </w:r>
      <w:r w:rsidRPr="00A81964">
        <w:rPr>
          <w:rtl/>
        </w:rPr>
        <w:t>דרומ</w:t>
      </w:r>
      <w:r w:rsidRPr="00A81964">
        <w:rPr>
          <w:rFonts w:hint="cs"/>
          <w:rtl/>
        </w:rPr>
        <w:t>ה.</w:t>
      </w:r>
    </w:p>
    <w:p w:rsidR="006252C4" w:rsidRPr="00310B63" w:rsidRDefault="006252C4" w:rsidP="006252C4">
      <w:pPr>
        <w:spacing w:line="269" w:lineRule="auto"/>
        <w:rPr>
          <w:sz w:val="16"/>
          <w:szCs w:val="20"/>
          <w:rtl/>
        </w:rPr>
      </w:pPr>
    </w:p>
    <w:p w:rsidR="006252C4" w:rsidRDefault="006252C4" w:rsidP="006252C4">
      <w:pPr>
        <w:pStyle w:val="af3"/>
        <w:numPr>
          <w:ilvl w:val="0"/>
          <w:numId w:val="32"/>
        </w:numPr>
        <w:spacing w:line="269" w:lineRule="auto"/>
        <w:ind w:left="312"/>
      </w:pPr>
      <w:r w:rsidRPr="00392075">
        <w:rPr>
          <w:rStyle w:val="70"/>
          <w:rFonts w:ascii="David" w:hAnsi="David" w:hint="cs"/>
          <w:rtl/>
        </w:rPr>
        <w:t>תרחיש</w:t>
      </w:r>
      <w:r w:rsidRPr="00392075">
        <w:rPr>
          <w:rStyle w:val="70"/>
          <w:rFonts w:ascii="David" w:hAnsi="David"/>
          <w:rtl/>
        </w:rPr>
        <w:t xml:space="preserve"> בינוני</w:t>
      </w:r>
      <w:r>
        <w:rPr>
          <w:rStyle w:val="70"/>
          <w:rFonts w:ascii="David" w:hAnsi="David" w:hint="cs"/>
          <w:rtl/>
        </w:rPr>
        <w:t>:</w:t>
      </w:r>
      <w:r w:rsidRPr="00A81964">
        <w:rPr>
          <w:rtl/>
        </w:rPr>
        <w:t xml:space="preserve"> לחימה במספר זירות תוך </w:t>
      </w:r>
      <w:r w:rsidRPr="00A81964">
        <w:rPr>
          <w:rFonts w:hint="cs"/>
          <w:rtl/>
        </w:rPr>
        <w:t>"נ</w:t>
      </w:r>
      <w:r w:rsidRPr="00A81964">
        <w:rPr>
          <w:rtl/>
        </w:rPr>
        <w:t>פילות טילים באזורים נרחבים בארץ וזליגה לאזור גוש דן</w:t>
      </w:r>
      <w:r w:rsidRPr="00A81964">
        <w:rPr>
          <w:rFonts w:hint="cs"/>
          <w:rtl/>
        </w:rPr>
        <w:t>"</w:t>
      </w:r>
      <w:r w:rsidRPr="00A81964">
        <w:rPr>
          <w:rtl/>
        </w:rPr>
        <w:t>.</w:t>
      </w:r>
    </w:p>
    <w:p w:rsidR="006252C4" w:rsidRPr="00310B63" w:rsidRDefault="006252C4" w:rsidP="006252C4">
      <w:pPr>
        <w:spacing w:line="269" w:lineRule="auto"/>
        <w:rPr>
          <w:sz w:val="16"/>
          <w:szCs w:val="20"/>
          <w:rtl/>
        </w:rPr>
      </w:pPr>
    </w:p>
    <w:p w:rsidR="006252C4" w:rsidRPr="00A81964" w:rsidRDefault="006252C4" w:rsidP="006252C4">
      <w:pPr>
        <w:pStyle w:val="af3"/>
        <w:numPr>
          <w:ilvl w:val="0"/>
          <w:numId w:val="32"/>
        </w:numPr>
        <w:spacing w:line="269" w:lineRule="auto"/>
        <w:ind w:left="312"/>
      </w:pPr>
      <w:r w:rsidRPr="00534FA9">
        <w:rPr>
          <w:rStyle w:val="70"/>
          <w:rFonts w:ascii="David" w:hAnsi="David"/>
          <w:b/>
          <w:rtl/>
        </w:rPr>
        <w:t>תרחיש כבד</w:t>
      </w:r>
      <w:r w:rsidRPr="00534FA9">
        <w:rPr>
          <w:rFonts w:hint="cs"/>
          <w:b/>
          <w:bCs/>
          <w:rtl/>
        </w:rPr>
        <w:t>:</w:t>
      </w:r>
      <w:r w:rsidRPr="00A81964">
        <w:rPr>
          <w:rtl/>
        </w:rPr>
        <w:t xml:space="preserve"> לחימה כוללת</w:t>
      </w:r>
      <w:r w:rsidRPr="00A81964">
        <w:rPr>
          <w:rFonts w:hint="cs"/>
          <w:rtl/>
        </w:rPr>
        <w:t>, שבה טווח הטילים הוא כל שטח המדינה והנזקים מתפרסים בארץ כולה</w:t>
      </w:r>
      <w:r w:rsidRPr="00A81964">
        <w:rPr>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במסגרת הדוח הוצגו אומדנים להיקף הפיצויים בגין נזק עקיף בהתאם לתרחישי הייחוס (להלן - אומדני היקף הנזקים העקיפים), וזאת תוך חלוקה בין לחימה בצפון הארץ ללחימה בדרום הארץ והתבססות על הנחות שונות. בלוחות </w:t>
      </w:r>
      <w:r>
        <w:rPr>
          <w:rFonts w:hint="cs"/>
          <w:rtl/>
        </w:rPr>
        <w:t>7</w:t>
      </w:r>
      <w:r w:rsidRPr="00A81964">
        <w:rPr>
          <w:rFonts w:hint="cs"/>
          <w:rtl/>
        </w:rPr>
        <w:t xml:space="preserve"> ו-</w:t>
      </w:r>
      <w:r>
        <w:rPr>
          <w:rFonts w:hint="cs"/>
          <w:rtl/>
        </w:rPr>
        <w:t>8</w:t>
      </w:r>
      <w:r w:rsidRPr="00A81964">
        <w:rPr>
          <w:rFonts w:hint="cs"/>
          <w:rtl/>
        </w:rPr>
        <w:t xml:space="preserve"> להלן מוצגים אומדני היקף הנזקים העקיפים בעת לחימה באזורי הצפון והדרום.</w:t>
      </w:r>
    </w:p>
    <w:p w:rsidR="006252C4" w:rsidRPr="00A81964" w:rsidRDefault="006252C4" w:rsidP="006252C4">
      <w:pPr>
        <w:spacing w:line="269" w:lineRule="auto"/>
        <w:rPr>
          <w:rtl/>
        </w:rPr>
      </w:pPr>
    </w:p>
    <w:p w:rsidR="006252C4" w:rsidRPr="00A81964" w:rsidRDefault="006252C4" w:rsidP="006252C4">
      <w:pPr>
        <w:spacing w:line="269" w:lineRule="auto"/>
        <w:jc w:val="center"/>
        <w:rPr>
          <w:b/>
          <w:bCs/>
          <w:rtl/>
        </w:rPr>
      </w:pPr>
      <w:r w:rsidRPr="00A81964">
        <w:rPr>
          <w:rFonts w:hint="eastAsia"/>
          <w:rtl/>
        </w:rPr>
        <w:t>לוח</w:t>
      </w:r>
      <w:r w:rsidRPr="00A81964">
        <w:rPr>
          <w:rtl/>
        </w:rPr>
        <w:t xml:space="preserve"> </w:t>
      </w:r>
      <w:r>
        <w:rPr>
          <w:rFonts w:hint="cs"/>
          <w:rtl/>
        </w:rPr>
        <w:t>7</w:t>
      </w:r>
      <w:r w:rsidRPr="00A81964">
        <w:rPr>
          <w:rtl/>
        </w:rPr>
        <w:t>:</w:t>
      </w:r>
      <w:r w:rsidRPr="00A81964">
        <w:rPr>
          <w:b/>
          <w:bCs/>
          <w:rtl/>
        </w:rPr>
        <w:t xml:space="preserve"> </w:t>
      </w:r>
      <w:r w:rsidRPr="00A81964">
        <w:rPr>
          <w:rFonts w:hint="eastAsia"/>
          <w:b/>
          <w:bCs/>
          <w:rtl/>
        </w:rPr>
        <w:t>אומדני</w:t>
      </w:r>
      <w:r w:rsidRPr="00A81964">
        <w:rPr>
          <w:b/>
          <w:bCs/>
          <w:rtl/>
        </w:rPr>
        <w:t xml:space="preserve"> </w:t>
      </w:r>
      <w:r w:rsidRPr="00A81964">
        <w:rPr>
          <w:rFonts w:hint="eastAsia"/>
          <w:b/>
          <w:bCs/>
          <w:rtl/>
        </w:rPr>
        <w:t>היקף</w:t>
      </w:r>
      <w:r w:rsidRPr="00A81964">
        <w:rPr>
          <w:b/>
          <w:bCs/>
          <w:rtl/>
        </w:rPr>
        <w:t xml:space="preserve"> </w:t>
      </w:r>
      <w:r w:rsidRPr="00A81964">
        <w:rPr>
          <w:rFonts w:hint="eastAsia"/>
          <w:b/>
          <w:bCs/>
          <w:rtl/>
        </w:rPr>
        <w:t>הפיצויים</w:t>
      </w:r>
      <w:r w:rsidRPr="00A81964">
        <w:rPr>
          <w:b/>
          <w:bCs/>
          <w:rtl/>
        </w:rPr>
        <w:t xml:space="preserve"> </w:t>
      </w:r>
      <w:r w:rsidRPr="00A81964">
        <w:rPr>
          <w:rFonts w:hint="eastAsia"/>
          <w:b/>
          <w:bCs/>
          <w:rtl/>
        </w:rPr>
        <w:t>בגין</w:t>
      </w:r>
      <w:r w:rsidRPr="00A81964">
        <w:rPr>
          <w:b/>
          <w:bCs/>
          <w:rtl/>
        </w:rPr>
        <w:t xml:space="preserve"> </w:t>
      </w:r>
      <w:r w:rsidRPr="00A81964">
        <w:rPr>
          <w:rFonts w:hint="eastAsia"/>
          <w:b/>
          <w:bCs/>
          <w:rtl/>
        </w:rPr>
        <w:t>נזקים</w:t>
      </w:r>
      <w:r w:rsidRPr="00A81964">
        <w:rPr>
          <w:b/>
          <w:bCs/>
          <w:rtl/>
        </w:rPr>
        <w:t xml:space="preserve"> </w:t>
      </w:r>
      <w:r w:rsidRPr="00A81964">
        <w:rPr>
          <w:rFonts w:hint="eastAsia"/>
          <w:b/>
          <w:bCs/>
          <w:rtl/>
        </w:rPr>
        <w:t>עקיפים</w:t>
      </w:r>
      <w:r w:rsidRPr="00A81964">
        <w:rPr>
          <w:b/>
          <w:bCs/>
          <w:rtl/>
        </w:rPr>
        <w:t xml:space="preserve"> </w:t>
      </w:r>
      <w:r w:rsidRPr="00A81964">
        <w:rPr>
          <w:rFonts w:hint="eastAsia"/>
          <w:b/>
          <w:bCs/>
          <w:rtl/>
        </w:rPr>
        <w:t>בעת</w:t>
      </w:r>
      <w:r w:rsidRPr="00A81964">
        <w:rPr>
          <w:b/>
          <w:bCs/>
          <w:rtl/>
        </w:rPr>
        <w:t xml:space="preserve"> </w:t>
      </w:r>
      <w:r w:rsidRPr="00A81964">
        <w:rPr>
          <w:rFonts w:hint="eastAsia"/>
          <w:b/>
          <w:bCs/>
          <w:rtl/>
        </w:rPr>
        <w:t>לחימה</w:t>
      </w:r>
      <w:r w:rsidRPr="00A81964">
        <w:rPr>
          <w:b/>
          <w:bCs/>
          <w:rtl/>
        </w:rPr>
        <w:t xml:space="preserve"> </w:t>
      </w:r>
      <w:r w:rsidRPr="00A81964">
        <w:rPr>
          <w:rFonts w:hint="eastAsia"/>
          <w:b/>
          <w:bCs/>
          <w:rtl/>
        </w:rPr>
        <w:t>באזור</w:t>
      </w:r>
      <w:r w:rsidRPr="00A81964">
        <w:rPr>
          <w:b/>
          <w:bCs/>
          <w:rtl/>
        </w:rPr>
        <w:t xml:space="preserve"> </w:t>
      </w:r>
      <w:r w:rsidRPr="00A81964">
        <w:rPr>
          <w:rFonts w:hint="eastAsia"/>
          <w:b/>
          <w:bCs/>
          <w:rtl/>
        </w:rPr>
        <w:t>הצפון</w:t>
      </w:r>
      <w:r w:rsidRPr="00A81964">
        <w:rPr>
          <w:b/>
          <w:bCs/>
          <w:rtl/>
        </w:rPr>
        <w:t xml:space="preserve">, </w:t>
      </w:r>
      <w:r w:rsidRPr="00A81964">
        <w:rPr>
          <w:rFonts w:hint="eastAsia"/>
          <w:b/>
          <w:bCs/>
          <w:rtl/>
        </w:rPr>
        <w:t>כפי</w:t>
      </w:r>
      <w:r w:rsidRPr="00A81964">
        <w:rPr>
          <w:b/>
          <w:bCs/>
          <w:rtl/>
        </w:rPr>
        <w:t xml:space="preserve"> </w:t>
      </w:r>
      <w:r w:rsidRPr="00A81964">
        <w:rPr>
          <w:rFonts w:hint="eastAsia"/>
          <w:b/>
          <w:bCs/>
          <w:rtl/>
        </w:rPr>
        <w:t>שהוצגו</w:t>
      </w:r>
      <w:r w:rsidRPr="00A81964">
        <w:rPr>
          <w:b/>
          <w:bCs/>
          <w:rtl/>
        </w:rPr>
        <w:t xml:space="preserve"> </w:t>
      </w:r>
      <w:r w:rsidRPr="00A81964">
        <w:rPr>
          <w:rFonts w:hint="eastAsia"/>
          <w:b/>
          <w:bCs/>
          <w:rtl/>
        </w:rPr>
        <w:t>בדוח</w:t>
      </w:r>
      <w:r w:rsidRPr="00A81964">
        <w:rPr>
          <w:b/>
          <w:bCs/>
          <w:rtl/>
        </w:rPr>
        <w:t xml:space="preserve"> </w:t>
      </w:r>
      <w:r w:rsidRPr="00A81964">
        <w:rPr>
          <w:rFonts w:hint="eastAsia"/>
          <w:b/>
          <w:bCs/>
          <w:rtl/>
        </w:rPr>
        <w:t>ועדת</w:t>
      </w:r>
      <w:r w:rsidRPr="00A81964">
        <w:rPr>
          <w:b/>
          <w:bCs/>
          <w:rtl/>
        </w:rPr>
        <w:t xml:space="preserve"> </w:t>
      </w:r>
      <w:r w:rsidRPr="00A81964">
        <w:rPr>
          <w:rFonts w:hint="eastAsia"/>
          <w:b/>
          <w:bCs/>
          <w:rtl/>
        </w:rPr>
        <w:t>נזק</w:t>
      </w:r>
      <w:r w:rsidRPr="00A81964">
        <w:rPr>
          <w:b/>
          <w:bCs/>
          <w:rtl/>
        </w:rPr>
        <w:t xml:space="preserve"> </w:t>
      </w:r>
      <w:r w:rsidRPr="00A81964">
        <w:rPr>
          <w:rFonts w:hint="eastAsia"/>
          <w:b/>
          <w:bCs/>
          <w:rtl/>
        </w:rPr>
        <w:t>עקיף</w:t>
      </w:r>
    </w:p>
    <w:tbl>
      <w:tblPr>
        <w:bidiVisual/>
        <w:tblW w:w="7936" w:type="dxa"/>
        <w:jc w:val="center"/>
        <w:tblLook w:val="04A0" w:firstRow="1" w:lastRow="0" w:firstColumn="1" w:lastColumn="0" w:noHBand="0" w:noVBand="1"/>
      </w:tblPr>
      <w:tblGrid>
        <w:gridCol w:w="1282"/>
        <w:gridCol w:w="2108"/>
        <w:gridCol w:w="2420"/>
        <w:gridCol w:w="2126"/>
      </w:tblGrid>
      <w:tr w:rsidR="006252C4" w:rsidRPr="00A81964" w:rsidTr="00D04D4F">
        <w:trPr>
          <w:trHeight w:val="342"/>
          <w:jc w:val="center"/>
        </w:trPr>
        <w:tc>
          <w:tcPr>
            <w:tcW w:w="128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252C4" w:rsidRPr="00A81964" w:rsidRDefault="006252C4" w:rsidP="00D04D4F">
            <w:pPr>
              <w:spacing w:line="269" w:lineRule="auto"/>
              <w:jc w:val="center"/>
              <w:rPr>
                <w:rFonts w:ascii="David" w:eastAsia="Times New Roman" w:hAnsi="David"/>
                <w:b/>
                <w:bCs/>
                <w:color w:val="000000"/>
                <w:sz w:val="22"/>
                <w:szCs w:val="22"/>
              </w:rPr>
            </w:pPr>
            <w:r w:rsidRPr="00A81964">
              <w:rPr>
                <w:rFonts w:ascii="David" w:eastAsia="Times New Roman" w:hAnsi="David" w:hint="eastAsia"/>
                <w:b/>
                <w:bCs/>
                <w:color w:val="000000"/>
                <w:sz w:val="22"/>
                <w:szCs w:val="22"/>
                <w:rtl/>
              </w:rPr>
              <w:t>רדיוס</w:t>
            </w:r>
          </w:p>
        </w:tc>
        <w:tc>
          <w:tcPr>
            <w:tcW w:w="210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52C4" w:rsidRPr="00A81964" w:rsidRDefault="006252C4" w:rsidP="00D04D4F">
            <w:pPr>
              <w:spacing w:line="269" w:lineRule="auto"/>
              <w:jc w:val="center"/>
              <w:rPr>
                <w:rFonts w:ascii="David" w:eastAsia="Times New Roman" w:hAnsi="David"/>
                <w:b/>
                <w:bCs/>
                <w:color w:val="000000"/>
                <w:sz w:val="22"/>
                <w:szCs w:val="22"/>
                <w:rtl/>
              </w:rPr>
            </w:pPr>
            <w:r w:rsidRPr="00A81964">
              <w:rPr>
                <w:rFonts w:ascii="David" w:eastAsia="Times New Roman" w:hAnsi="David" w:hint="eastAsia"/>
                <w:b/>
                <w:bCs/>
                <w:color w:val="000000"/>
                <w:sz w:val="22"/>
                <w:szCs w:val="22"/>
                <w:rtl/>
              </w:rPr>
              <w:t>מספר</w:t>
            </w:r>
            <w:r w:rsidRPr="00A81964">
              <w:rPr>
                <w:rFonts w:ascii="David" w:eastAsia="Times New Roman" w:hAnsi="David"/>
                <w:b/>
                <w:bCs/>
                <w:color w:val="000000"/>
                <w:sz w:val="22"/>
                <w:szCs w:val="22"/>
                <w:rtl/>
              </w:rPr>
              <w:t xml:space="preserve"> </w:t>
            </w:r>
            <w:r w:rsidRPr="00A81964">
              <w:rPr>
                <w:rFonts w:ascii="David" w:eastAsia="Times New Roman" w:hAnsi="David" w:hint="eastAsia"/>
                <w:b/>
                <w:bCs/>
                <w:color w:val="000000"/>
                <w:sz w:val="22"/>
                <w:szCs w:val="22"/>
                <w:rtl/>
              </w:rPr>
              <w:t>העוסקים</w:t>
            </w:r>
            <w:r w:rsidRPr="00A81964">
              <w:rPr>
                <w:rFonts w:ascii="David" w:eastAsia="Times New Roman" w:hAnsi="David"/>
                <w:b/>
                <w:bCs/>
                <w:color w:val="000000"/>
                <w:sz w:val="22"/>
                <w:szCs w:val="22"/>
                <w:rtl/>
              </w:rPr>
              <w:t xml:space="preserve"> </w:t>
            </w:r>
            <w:r w:rsidRPr="00A81964">
              <w:rPr>
                <w:rFonts w:ascii="David" w:eastAsia="Times New Roman" w:hAnsi="David" w:hint="eastAsia"/>
                <w:b/>
                <w:bCs/>
                <w:color w:val="000000"/>
                <w:sz w:val="22"/>
                <w:szCs w:val="22"/>
                <w:rtl/>
              </w:rPr>
              <w:t>ברדיוס</w:t>
            </w:r>
          </w:p>
        </w:tc>
        <w:tc>
          <w:tcPr>
            <w:tcW w:w="24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252C4" w:rsidRPr="00A81964" w:rsidRDefault="006252C4" w:rsidP="00D04D4F">
            <w:pPr>
              <w:spacing w:line="269" w:lineRule="auto"/>
              <w:jc w:val="center"/>
              <w:rPr>
                <w:rFonts w:ascii="David" w:eastAsia="Times New Roman" w:hAnsi="David"/>
                <w:b/>
                <w:bCs/>
                <w:color w:val="000000"/>
                <w:sz w:val="22"/>
                <w:szCs w:val="22"/>
                <w:rtl/>
              </w:rPr>
            </w:pPr>
            <w:r w:rsidRPr="00A81964">
              <w:rPr>
                <w:rFonts w:ascii="David" w:eastAsia="Times New Roman" w:hAnsi="David" w:hint="eastAsia"/>
                <w:b/>
                <w:bCs/>
                <w:color w:val="000000"/>
                <w:sz w:val="22"/>
                <w:szCs w:val="22"/>
                <w:rtl/>
              </w:rPr>
              <w:t>תרחיש</w:t>
            </w:r>
            <w:r w:rsidRPr="00A81964">
              <w:rPr>
                <w:rFonts w:ascii="David" w:eastAsia="Times New Roman" w:hAnsi="David"/>
                <w:b/>
                <w:bCs/>
                <w:color w:val="000000"/>
                <w:sz w:val="22"/>
                <w:szCs w:val="22"/>
                <w:rtl/>
              </w:rPr>
              <w:t xml:space="preserve"> </w:t>
            </w:r>
            <w:r w:rsidRPr="00A81964">
              <w:rPr>
                <w:rFonts w:ascii="David" w:eastAsia="Times New Roman" w:hAnsi="David" w:hint="eastAsia"/>
                <w:b/>
                <w:bCs/>
                <w:color w:val="000000"/>
                <w:sz w:val="22"/>
                <w:szCs w:val="22"/>
                <w:rtl/>
              </w:rPr>
              <w:t>קל</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252C4" w:rsidRPr="00A81964" w:rsidRDefault="006252C4" w:rsidP="00D04D4F">
            <w:pPr>
              <w:spacing w:line="269" w:lineRule="auto"/>
              <w:jc w:val="center"/>
              <w:rPr>
                <w:rFonts w:ascii="David" w:eastAsia="Times New Roman" w:hAnsi="David"/>
                <w:b/>
                <w:bCs/>
                <w:color w:val="000000"/>
                <w:sz w:val="22"/>
                <w:szCs w:val="22"/>
                <w:rtl/>
              </w:rPr>
            </w:pPr>
            <w:r w:rsidRPr="00A81964">
              <w:rPr>
                <w:rFonts w:ascii="David" w:eastAsia="Times New Roman" w:hAnsi="David" w:hint="eastAsia"/>
                <w:b/>
                <w:bCs/>
                <w:color w:val="000000"/>
                <w:sz w:val="22"/>
                <w:szCs w:val="22"/>
                <w:rtl/>
              </w:rPr>
              <w:t>תרחיש</w:t>
            </w:r>
            <w:r w:rsidRPr="00A81964">
              <w:rPr>
                <w:rFonts w:ascii="David" w:eastAsia="Times New Roman" w:hAnsi="David"/>
                <w:b/>
                <w:bCs/>
                <w:color w:val="000000"/>
                <w:sz w:val="22"/>
                <w:szCs w:val="22"/>
                <w:rtl/>
              </w:rPr>
              <w:t xml:space="preserve"> </w:t>
            </w:r>
            <w:r w:rsidRPr="00A81964">
              <w:rPr>
                <w:rFonts w:ascii="David" w:eastAsia="Times New Roman" w:hAnsi="David" w:hint="eastAsia"/>
                <w:b/>
                <w:bCs/>
                <w:color w:val="000000"/>
                <w:sz w:val="22"/>
                <w:szCs w:val="22"/>
                <w:rtl/>
              </w:rPr>
              <w:t>כבד</w:t>
            </w:r>
          </w:p>
        </w:tc>
      </w:tr>
      <w:tr w:rsidR="006252C4" w:rsidRPr="00A81964" w:rsidTr="00D04D4F">
        <w:trPr>
          <w:trHeight w:val="375"/>
          <w:jc w:val="center"/>
        </w:trPr>
        <w:tc>
          <w:tcPr>
            <w:tcW w:w="1282"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עד</w:t>
            </w:r>
            <w:r w:rsidRPr="00A81964">
              <w:rPr>
                <w:rFonts w:ascii="David" w:eastAsia="Times New Roman" w:hAnsi="David"/>
                <w:color w:val="000000"/>
                <w:sz w:val="22"/>
                <w:szCs w:val="22"/>
                <w:rtl/>
              </w:rPr>
              <w:t xml:space="preserve"> 40 </w:t>
            </w:r>
            <w:r w:rsidRPr="00A81964">
              <w:rPr>
                <w:rFonts w:ascii="David" w:eastAsia="Times New Roman" w:hAnsi="David" w:hint="eastAsia"/>
                <w:color w:val="000000"/>
                <w:sz w:val="22"/>
                <w:szCs w:val="22"/>
                <w:rtl/>
              </w:rPr>
              <w:t>ק</w:t>
            </w:r>
            <w:r w:rsidRPr="00A81964">
              <w:rPr>
                <w:rFonts w:ascii="David" w:eastAsia="Times New Roman" w:hAnsi="David"/>
                <w:color w:val="000000"/>
                <w:sz w:val="22"/>
                <w:szCs w:val="22"/>
                <w:rtl/>
              </w:rPr>
              <w:t>"מ</w:t>
            </w:r>
          </w:p>
        </w:tc>
        <w:tc>
          <w:tcPr>
            <w:tcW w:w="2108" w:type="dxa"/>
            <w:tcBorders>
              <w:top w:val="nil"/>
              <w:left w:val="single" w:sz="4" w:space="0" w:color="auto"/>
              <w:bottom w:val="single" w:sz="4" w:space="0" w:color="auto"/>
              <w:right w:val="single" w:sz="4" w:space="0" w:color="auto"/>
            </w:tcBorders>
            <w:vAlign w:val="center"/>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כ</w:t>
            </w:r>
            <w:r w:rsidRPr="00A81964">
              <w:rPr>
                <w:rFonts w:ascii="David" w:eastAsia="Times New Roman" w:hAnsi="David"/>
                <w:color w:val="000000"/>
                <w:sz w:val="22"/>
                <w:szCs w:val="22"/>
                <w:rtl/>
              </w:rPr>
              <w:t>-91,000</w:t>
            </w:r>
          </w:p>
        </w:tc>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כ</w:t>
            </w:r>
            <w:r w:rsidRPr="00A81964">
              <w:rPr>
                <w:rFonts w:ascii="David" w:eastAsia="Times New Roman" w:hAnsi="David"/>
                <w:color w:val="000000"/>
                <w:sz w:val="22"/>
                <w:szCs w:val="22"/>
                <w:rtl/>
              </w:rPr>
              <w:t xml:space="preserve">-2.1 </w:t>
            </w:r>
            <w:r w:rsidRPr="00A81964">
              <w:rPr>
                <w:rFonts w:ascii="David" w:eastAsia="Times New Roman" w:hAnsi="David" w:hint="eastAsia"/>
                <w:color w:val="000000"/>
                <w:sz w:val="22"/>
                <w:szCs w:val="22"/>
                <w:rtl/>
              </w:rPr>
              <w:t>מיליארד</w:t>
            </w:r>
            <w:r w:rsidRPr="00A81964">
              <w:rPr>
                <w:rFonts w:ascii="David" w:eastAsia="Times New Roman" w:hAnsi="David"/>
                <w:color w:val="000000"/>
                <w:sz w:val="22"/>
                <w:szCs w:val="22"/>
                <w:rtl/>
              </w:rPr>
              <w:t xml:space="preserve"> </w:t>
            </w:r>
            <w:r w:rsidRPr="00A81964">
              <w:rPr>
                <w:rFonts w:ascii="David" w:eastAsia="Times New Roman" w:hAnsi="David" w:hint="eastAsia"/>
                <w:color w:val="000000"/>
                <w:sz w:val="22"/>
                <w:szCs w:val="22"/>
                <w:rtl/>
              </w:rPr>
              <w:t>ש</w:t>
            </w:r>
            <w:r w:rsidRPr="00A81964">
              <w:rPr>
                <w:rFonts w:ascii="David" w:eastAsia="Times New Roman" w:hAnsi="David"/>
                <w:color w:val="000000"/>
                <w:sz w:val="22"/>
                <w:szCs w:val="22"/>
                <w:rtl/>
              </w:rPr>
              <w:t>"ח</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כ</w:t>
            </w:r>
            <w:r w:rsidRPr="00A81964">
              <w:rPr>
                <w:rFonts w:ascii="David" w:eastAsia="Times New Roman" w:hAnsi="David"/>
                <w:color w:val="000000"/>
                <w:sz w:val="22"/>
                <w:szCs w:val="22"/>
                <w:rtl/>
              </w:rPr>
              <w:t xml:space="preserve">-10.6 מיליארד </w:t>
            </w:r>
            <w:r w:rsidRPr="00A81964">
              <w:rPr>
                <w:rFonts w:ascii="David" w:eastAsia="Times New Roman" w:hAnsi="David" w:hint="eastAsia"/>
                <w:color w:val="000000"/>
                <w:sz w:val="22"/>
                <w:szCs w:val="22"/>
                <w:rtl/>
              </w:rPr>
              <w:t>ש</w:t>
            </w:r>
            <w:r w:rsidRPr="00A81964">
              <w:rPr>
                <w:rFonts w:ascii="David" w:eastAsia="Times New Roman" w:hAnsi="David"/>
                <w:color w:val="000000"/>
                <w:sz w:val="22"/>
                <w:szCs w:val="22"/>
                <w:rtl/>
              </w:rPr>
              <w:t xml:space="preserve">"ח </w:t>
            </w:r>
          </w:p>
        </w:tc>
      </w:tr>
      <w:tr w:rsidR="006252C4" w:rsidRPr="00A81964" w:rsidTr="00D04D4F">
        <w:trPr>
          <w:trHeight w:val="423"/>
          <w:jc w:val="center"/>
        </w:trPr>
        <w:tc>
          <w:tcPr>
            <w:tcW w:w="1282"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עד</w:t>
            </w:r>
            <w:r w:rsidRPr="00A81964">
              <w:rPr>
                <w:rFonts w:ascii="David" w:eastAsia="Times New Roman" w:hAnsi="David"/>
                <w:color w:val="000000"/>
                <w:sz w:val="22"/>
                <w:szCs w:val="22"/>
                <w:rtl/>
              </w:rPr>
              <w:t xml:space="preserve"> 60 </w:t>
            </w:r>
            <w:r w:rsidRPr="00A81964">
              <w:rPr>
                <w:rFonts w:ascii="David" w:eastAsia="Times New Roman" w:hAnsi="David" w:hint="eastAsia"/>
                <w:color w:val="000000"/>
                <w:sz w:val="22"/>
                <w:szCs w:val="22"/>
                <w:rtl/>
              </w:rPr>
              <w:t>ק</w:t>
            </w:r>
            <w:r w:rsidRPr="00A81964">
              <w:rPr>
                <w:rFonts w:ascii="David" w:eastAsia="Times New Roman" w:hAnsi="David"/>
                <w:color w:val="000000"/>
                <w:sz w:val="22"/>
                <w:szCs w:val="22"/>
                <w:rtl/>
              </w:rPr>
              <w:t>"מ</w:t>
            </w:r>
          </w:p>
        </w:tc>
        <w:tc>
          <w:tcPr>
            <w:tcW w:w="2108" w:type="dxa"/>
            <w:tcBorders>
              <w:top w:val="nil"/>
              <w:left w:val="single" w:sz="4" w:space="0" w:color="auto"/>
              <w:bottom w:val="single" w:sz="4" w:space="0" w:color="auto"/>
              <w:right w:val="single" w:sz="4" w:space="0" w:color="auto"/>
            </w:tcBorders>
            <w:vAlign w:val="center"/>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כ</w:t>
            </w:r>
            <w:r w:rsidRPr="00A81964">
              <w:rPr>
                <w:rFonts w:ascii="David" w:eastAsia="Times New Roman" w:hAnsi="David"/>
                <w:color w:val="000000"/>
                <w:sz w:val="22"/>
                <w:szCs w:val="22"/>
                <w:rtl/>
              </w:rPr>
              <w:t xml:space="preserve">-118,000 </w:t>
            </w:r>
          </w:p>
        </w:tc>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כ</w:t>
            </w:r>
            <w:r w:rsidRPr="00A81964">
              <w:rPr>
                <w:rFonts w:ascii="David" w:eastAsia="Times New Roman" w:hAnsi="David"/>
                <w:color w:val="000000"/>
                <w:sz w:val="22"/>
                <w:szCs w:val="22"/>
                <w:rtl/>
              </w:rPr>
              <w:t xml:space="preserve">-2.8 </w:t>
            </w:r>
            <w:r w:rsidRPr="00A81964">
              <w:rPr>
                <w:rFonts w:ascii="David" w:eastAsia="Times New Roman" w:hAnsi="David" w:hint="eastAsia"/>
                <w:color w:val="000000"/>
                <w:sz w:val="22"/>
                <w:szCs w:val="22"/>
                <w:rtl/>
              </w:rPr>
              <w:t>מיליארד</w:t>
            </w:r>
            <w:r w:rsidRPr="00A81964">
              <w:rPr>
                <w:rFonts w:ascii="David" w:eastAsia="Times New Roman" w:hAnsi="David"/>
                <w:color w:val="000000"/>
                <w:sz w:val="22"/>
                <w:szCs w:val="22"/>
                <w:rtl/>
              </w:rPr>
              <w:t xml:space="preserve"> </w:t>
            </w:r>
            <w:r w:rsidRPr="00A81964">
              <w:rPr>
                <w:rFonts w:ascii="David" w:eastAsia="Times New Roman" w:hAnsi="David" w:hint="eastAsia"/>
                <w:color w:val="000000"/>
                <w:sz w:val="22"/>
                <w:szCs w:val="22"/>
                <w:rtl/>
              </w:rPr>
              <w:t>ש</w:t>
            </w:r>
            <w:r w:rsidRPr="00A81964">
              <w:rPr>
                <w:rFonts w:ascii="David" w:eastAsia="Times New Roman" w:hAnsi="David"/>
                <w:color w:val="000000"/>
                <w:sz w:val="22"/>
                <w:szCs w:val="22"/>
                <w:rtl/>
              </w:rPr>
              <w:t>"ח</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כ</w:t>
            </w:r>
            <w:r w:rsidRPr="00A81964">
              <w:rPr>
                <w:rFonts w:ascii="David" w:eastAsia="Times New Roman" w:hAnsi="David"/>
                <w:color w:val="000000"/>
                <w:sz w:val="22"/>
                <w:szCs w:val="22"/>
                <w:rtl/>
              </w:rPr>
              <w:t xml:space="preserve">-13.9 מיליארד </w:t>
            </w:r>
            <w:r w:rsidRPr="00A81964">
              <w:rPr>
                <w:rFonts w:ascii="David" w:eastAsia="Times New Roman" w:hAnsi="David" w:hint="eastAsia"/>
                <w:color w:val="000000"/>
                <w:sz w:val="22"/>
                <w:szCs w:val="22"/>
                <w:rtl/>
              </w:rPr>
              <w:t>ש</w:t>
            </w:r>
            <w:r w:rsidRPr="00A81964">
              <w:rPr>
                <w:rFonts w:ascii="David" w:eastAsia="Times New Roman" w:hAnsi="David"/>
                <w:color w:val="000000"/>
                <w:sz w:val="22"/>
                <w:szCs w:val="22"/>
                <w:rtl/>
              </w:rPr>
              <w:t xml:space="preserve">"ח </w:t>
            </w:r>
          </w:p>
        </w:tc>
      </w:tr>
      <w:tr w:rsidR="006252C4" w:rsidRPr="00A81964" w:rsidTr="00D04D4F">
        <w:trPr>
          <w:trHeight w:val="415"/>
          <w:jc w:val="center"/>
        </w:trPr>
        <w:tc>
          <w:tcPr>
            <w:tcW w:w="1282"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עד</w:t>
            </w:r>
            <w:r w:rsidRPr="00A81964">
              <w:rPr>
                <w:rFonts w:ascii="David" w:eastAsia="Times New Roman" w:hAnsi="David"/>
                <w:color w:val="000000"/>
                <w:sz w:val="22"/>
                <w:szCs w:val="22"/>
                <w:rtl/>
              </w:rPr>
              <w:t xml:space="preserve"> 80 </w:t>
            </w:r>
            <w:r w:rsidRPr="00A81964">
              <w:rPr>
                <w:rFonts w:ascii="David" w:eastAsia="Times New Roman" w:hAnsi="David" w:hint="eastAsia"/>
                <w:color w:val="000000"/>
                <w:sz w:val="22"/>
                <w:szCs w:val="22"/>
                <w:rtl/>
              </w:rPr>
              <w:t>ק</w:t>
            </w:r>
            <w:r w:rsidRPr="00A81964">
              <w:rPr>
                <w:rFonts w:ascii="David" w:eastAsia="Times New Roman" w:hAnsi="David"/>
                <w:color w:val="000000"/>
                <w:sz w:val="22"/>
                <w:szCs w:val="22"/>
                <w:rtl/>
              </w:rPr>
              <w:t>"מ</w:t>
            </w:r>
          </w:p>
        </w:tc>
        <w:tc>
          <w:tcPr>
            <w:tcW w:w="2108" w:type="dxa"/>
            <w:tcBorders>
              <w:top w:val="nil"/>
              <w:left w:val="single" w:sz="4" w:space="0" w:color="auto"/>
              <w:bottom w:val="single" w:sz="4" w:space="0" w:color="auto"/>
              <w:right w:val="single" w:sz="4" w:space="0" w:color="auto"/>
            </w:tcBorders>
            <w:vAlign w:val="center"/>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כ</w:t>
            </w:r>
            <w:r w:rsidRPr="00A81964">
              <w:rPr>
                <w:rFonts w:ascii="David" w:eastAsia="Times New Roman" w:hAnsi="David"/>
                <w:color w:val="000000"/>
                <w:sz w:val="22"/>
                <w:szCs w:val="22"/>
                <w:rtl/>
              </w:rPr>
              <w:t xml:space="preserve">-142,000 </w:t>
            </w:r>
          </w:p>
        </w:tc>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כ</w:t>
            </w:r>
            <w:r w:rsidRPr="00A81964">
              <w:rPr>
                <w:rFonts w:ascii="David" w:eastAsia="Times New Roman" w:hAnsi="David"/>
                <w:color w:val="000000"/>
                <w:sz w:val="22"/>
                <w:szCs w:val="22"/>
                <w:rtl/>
              </w:rPr>
              <w:t xml:space="preserve">-3.3 </w:t>
            </w:r>
            <w:r w:rsidRPr="00A81964">
              <w:rPr>
                <w:rFonts w:ascii="David" w:eastAsia="Times New Roman" w:hAnsi="David" w:hint="eastAsia"/>
                <w:color w:val="000000"/>
                <w:sz w:val="22"/>
                <w:szCs w:val="22"/>
                <w:rtl/>
              </w:rPr>
              <w:t>מיליארד</w:t>
            </w:r>
            <w:r w:rsidRPr="00A81964">
              <w:rPr>
                <w:rFonts w:ascii="David" w:eastAsia="Times New Roman" w:hAnsi="David"/>
                <w:color w:val="000000"/>
                <w:sz w:val="22"/>
                <w:szCs w:val="22"/>
                <w:rtl/>
              </w:rPr>
              <w:t xml:space="preserve"> </w:t>
            </w:r>
            <w:r w:rsidRPr="00A81964">
              <w:rPr>
                <w:rFonts w:ascii="David" w:eastAsia="Times New Roman" w:hAnsi="David" w:hint="eastAsia"/>
                <w:color w:val="000000"/>
                <w:sz w:val="22"/>
                <w:szCs w:val="22"/>
                <w:rtl/>
              </w:rPr>
              <w:t>ש</w:t>
            </w:r>
            <w:r w:rsidRPr="00A81964">
              <w:rPr>
                <w:rFonts w:ascii="David" w:eastAsia="Times New Roman" w:hAnsi="David"/>
                <w:color w:val="000000"/>
                <w:sz w:val="22"/>
                <w:szCs w:val="22"/>
                <w:rtl/>
              </w:rPr>
              <w:t>"ח</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כ</w:t>
            </w:r>
            <w:r w:rsidRPr="00A81964">
              <w:rPr>
                <w:rFonts w:ascii="David" w:eastAsia="Times New Roman" w:hAnsi="David"/>
                <w:color w:val="000000"/>
                <w:sz w:val="22"/>
                <w:szCs w:val="22"/>
                <w:rtl/>
              </w:rPr>
              <w:t xml:space="preserve">-16.6 מיליארד </w:t>
            </w:r>
            <w:r w:rsidRPr="00A81964">
              <w:rPr>
                <w:rFonts w:ascii="David" w:eastAsia="Times New Roman" w:hAnsi="David" w:hint="eastAsia"/>
                <w:color w:val="000000"/>
                <w:sz w:val="22"/>
                <w:szCs w:val="22"/>
                <w:rtl/>
              </w:rPr>
              <w:t>ש</w:t>
            </w:r>
            <w:r w:rsidRPr="00A81964">
              <w:rPr>
                <w:rFonts w:ascii="David" w:eastAsia="Times New Roman" w:hAnsi="David"/>
                <w:color w:val="000000"/>
                <w:sz w:val="22"/>
                <w:szCs w:val="22"/>
                <w:rtl/>
              </w:rPr>
              <w:t xml:space="preserve">"ח </w:t>
            </w:r>
          </w:p>
        </w:tc>
      </w:tr>
    </w:tbl>
    <w:p w:rsidR="006252C4" w:rsidRPr="00A81964" w:rsidRDefault="006252C4" w:rsidP="00794DF5">
      <w:pPr>
        <w:spacing w:before="60" w:line="269" w:lineRule="auto"/>
        <w:rPr>
          <w:sz w:val="16"/>
          <w:szCs w:val="20"/>
          <w:rtl/>
        </w:rPr>
      </w:pPr>
      <w:r w:rsidRPr="00A81964">
        <w:rPr>
          <w:rFonts w:hint="cs"/>
          <w:sz w:val="16"/>
          <w:szCs w:val="20"/>
          <w:rtl/>
        </w:rPr>
        <w:t xml:space="preserve">המקור: </w:t>
      </w:r>
      <w:r w:rsidRPr="00145F84">
        <w:rPr>
          <w:rFonts w:hint="cs"/>
          <w:sz w:val="16"/>
          <w:szCs w:val="20"/>
          <w:rtl/>
        </w:rPr>
        <w:t>רשות המיסים</w:t>
      </w:r>
      <w:r w:rsidRPr="00A81964">
        <w:rPr>
          <w:rFonts w:hint="cs"/>
          <w:sz w:val="16"/>
          <w:szCs w:val="20"/>
          <w:rtl/>
        </w:rPr>
        <w:t>.</w:t>
      </w:r>
    </w:p>
    <w:p w:rsidR="00794DF5" w:rsidRDefault="00794DF5">
      <w:pPr>
        <w:bidi w:val="0"/>
        <w:spacing w:after="200" w:line="276" w:lineRule="auto"/>
        <w:rPr>
          <w:rtl/>
        </w:rPr>
      </w:pPr>
      <w:r>
        <w:rPr>
          <w:rtl/>
        </w:rPr>
        <w:br w:type="page"/>
      </w:r>
    </w:p>
    <w:p w:rsidR="006252C4" w:rsidRPr="00A81964" w:rsidRDefault="006252C4" w:rsidP="006252C4">
      <w:pPr>
        <w:spacing w:line="269" w:lineRule="auto"/>
        <w:rPr>
          <w:rtl/>
        </w:rPr>
      </w:pPr>
    </w:p>
    <w:p w:rsidR="006252C4" w:rsidRPr="00A81964" w:rsidRDefault="006252C4" w:rsidP="006252C4">
      <w:pPr>
        <w:spacing w:line="269" w:lineRule="auto"/>
        <w:jc w:val="center"/>
        <w:rPr>
          <w:b/>
          <w:bCs/>
          <w:rtl/>
        </w:rPr>
      </w:pPr>
      <w:r w:rsidRPr="00A81964">
        <w:rPr>
          <w:rFonts w:hint="eastAsia"/>
          <w:rtl/>
        </w:rPr>
        <w:t>לוח</w:t>
      </w:r>
      <w:r w:rsidRPr="00A81964">
        <w:rPr>
          <w:rtl/>
        </w:rPr>
        <w:t xml:space="preserve"> </w:t>
      </w:r>
      <w:r>
        <w:rPr>
          <w:rFonts w:hint="cs"/>
          <w:rtl/>
        </w:rPr>
        <w:t>8</w:t>
      </w:r>
      <w:r w:rsidRPr="00A81964">
        <w:rPr>
          <w:rtl/>
        </w:rPr>
        <w:t>:</w:t>
      </w:r>
      <w:r w:rsidRPr="00A81964">
        <w:rPr>
          <w:b/>
          <w:bCs/>
          <w:rtl/>
        </w:rPr>
        <w:t xml:space="preserve"> </w:t>
      </w:r>
      <w:r w:rsidRPr="00A81964">
        <w:rPr>
          <w:rFonts w:hint="eastAsia"/>
          <w:b/>
          <w:bCs/>
          <w:rtl/>
        </w:rPr>
        <w:t>אומדני</w:t>
      </w:r>
      <w:r w:rsidRPr="00A81964">
        <w:rPr>
          <w:b/>
          <w:bCs/>
          <w:rtl/>
        </w:rPr>
        <w:t xml:space="preserve"> </w:t>
      </w:r>
      <w:r w:rsidRPr="00A81964">
        <w:rPr>
          <w:rFonts w:hint="eastAsia"/>
          <w:b/>
          <w:bCs/>
          <w:rtl/>
        </w:rPr>
        <w:t>היקף</w:t>
      </w:r>
      <w:r w:rsidRPr="00A81964">
        <w:rPr>
          <w:b/>
          <w:bCs/>
          <w:rtl/>
        </w:rPr>
        <w:t xml:space="preserve"> </w:t>
      </w:r>
      <w:r w:rsidRPr="00A81964">
        <w:rPr>
          <w:rFonts w:hint="eastAsia"/>
          <w:b/>
          <w:bCs/>
          <w:rtl/>
        </w:rPr>
        <w:t>הפיצויים</w:t>
      </w:r>
      <w:r w:rsidRPr="00A81964">
        <w:rPr>
          <w:b/>
          <w:bCs/>
          <w:rtl/>
        </w:rPr>
        <w:t xml:space="preserve"> </w:t>
      </w:r>
      <w:r w:rsidRPr="00A81964">
        <w:rPr>
          <w:rFonts w:hint="eastAsia"/>
          <w:b/>
          <w:bCs/>
          <w:rtl/>
        </w:rPr>
        <w:t>בגין</w:t>
      </w:r>
      <w:r w:rsidRPr="00A81964">
        <w:rPr>
          <w:b/>
          <w:bCs/>
          <w:rtl/>
        </w:rPr>
        <w:t xml:space="preserve"> </w:t>
      </w:r>
      <w:r w:rsidRPr="00A81964">
        <w:rPr>
          <w:rFonts w:hint="eastAsia"/>
          <w:b/>
          <w:bCs/>
          <w:rtl/>
        </w:rPr>
        <w:t>נזקים</w:t>
      </w:r>
      <w:r w:rsidRPr="00A81964">
        <w:rPr>
          <w:b/>
          <w:bCs/>
          <w:rtl/>
        </w:rPr>
        <w:t xml:space="preserve"> </w:t>
      </w:r>
      <w:r w:rsidRPr="00A81964">
        <w:rPr>
          <w:rFonts w:hint="eastAsia"/>
          <w:b/>
          <w:bCs/>
          <w:rtl/>
        </w:rPr>
        <w:t>עקיפים</w:t>
      </w:r>
      <w:r w:rsidRPr="00A81964">
        <w:rPr>
          <w:b/>
          <w:bCs/>
          <w:rtl/>
        </w:rPr>
        <w:t xml:space="preserve"> </w:t>
      </w:r>
      <w:r w:rsidRPr="00A81964">
        <w:rPr>
          <w:rFonts w:hint="eastAsia"/>
          <w:b/>
          <w:bCs/>
          <w:rtl/>
        </w:rPr>
        <w:t>בעת</w:t>
      </w:r>
      <w:r w:rsidRPr="00A81964">
        <w:rPr>
          <w:b/>
          <w:bCs/>
          <w:rtl/>
        </w:rPr>
        <w:t xml:space="preserve"> </w:t>
      </w:r>
      <w:r w:rsidRPr="00A81964">
        <w:rPr>
          <w:rFonts w:hint="eastAsia"/>
          <w:b/>
          <w:bCs/>
          <w:rtl/>
        </w:rPr>
        <w:t>לחימה</w:t>
      </w:r>
      <w:r w:rsidRPr="00A81964">
        <w:rPr>
          <w:b/>
          <w:bCs/>
          <w:rtl/>
        </w:rPr>
        <w:t xml:space="preserve"> </w:t>
      </w:r>
      <w:r w:rsidRPr="00A81964">
        <w:rPr>
          <w:rFonts w:hint="eastAsia"/>
          <w:b/>
          <w:bCs/>
          <w:rtl/>
        </w:rPr>
        <w:t>באזור</w:t>
      </w:r>
      <w:r w:rsidRPr="00A81964">
        <w:rPr>
          <w:b/>
          <w:bCs/>
          <w:rtl/>
        </w:rPr>
        <w:t xml:space="preserve"> </w:t>
      </w:r>
      <w:r w:rsidRPr="00A81964">
        <w:rPr>
          <w:rFonts w:hint="eastAsia"/>
          <w:b/>
          <w:bCs/>
          <w:rtl/>
        </w:rPr>
        <w:t>הדרום</w:t>
      </w:r>
      <w:r w:rsidRPr="00A81964">
        <w:rPr>
          <w:b/>
          <w:bCs/>
          <w:rtl/>
        </w:rPr>
        <w:t xml:space="preserve">, </w:t>
      </w:r>
      <w:r w:rsidRPr="00A81964">
        <w:rPr>
          <w:rFonts w:hint="eastAsia"/>
          <w:b/>
          <w:bCs/>
          <w:rtl/>
        </w:rPr>
        <w:t>כפי</w:t>
      </w:r>
      <w:r w:rsidRPr="00A81964">
        <w:rPr>
          <w:b/>
          <w:bCs/>
          <w:rtl/>
        </w:rPr>
        <w:t xml:space="preserve"> </w:t>
      </w:r>
      <w:r w:rsidRPr="00A81964">
        <w:rPr>
          <w:rFonts w:hint="eastAsia"/>
          <w:b/>
          <w:bCs/>
          <w:rtl/>
        </w:rPr>
        <w:t>שהוצגו</w:t>
      </w:r>
      <w:r w:rsidRPr="00A81964">
        <w:rPr>
          <w:b/>
          <w:bCs/>
          <w:rtl/>
        </w:rPr>
        <w:t xml:space="preserve"> </w:t>
      </w:r>
      <w:r w:rsidRPr="00A81964">
        <w:rPr>
          <w:rFonts w:hint="eastAsia"/>
          <w:b/>
          <w:bCs/>
          <w:rtl/>
        </w:rPr>
        <w:t>בדוח</w:t>
      </w:r>
      <w:r w:rsidRPr="00A81964">
        <w:rPr>
          <w:b/>
          <w:bCs/>
          <w:rtl/>
        </w:rPr>
        <w:t xml:space="preserve"> </w:t>
      </w:r>
      <w:r w:rsidRPr="00A81964">
        <w:rPr>
          <w:rFonts w:hint="eastAsia"/>
          <w:b/>
          <w:bCs/>
          <w:rtl/>
        </w:rPr>
        <w:t>ועדת</w:t>
      </w:r>
      <w:r w:rsidRPr="00A81964">
        <w:rPr>
          <w:b/>
          <w:bCs/>
          <w:rtl/>
        </w:rPr>
        <w:t xml:space="preserve"> </w:t>
      </w:r>
      <w:r w:rsidRPr="00A81964">
        <w:rPr>
          <w:rFonts w:hint="eastAsia"/>
          <w:b/>
          <w:bCs/>
          <w:rtl/>
        </w:rPr>
        <w:t>נזק</w:t>
      </w:r>
      <w:r w:rsidRPr="00A81964">
        <w:rPr>
          <w:b/>
          <w:bCs/>
          <w:rtl/>
        </w:rPr>
        <w:t xml:space="preserve"> </w:t>
      </w:r>
      <w:r w:rsidRPr="00A81964">
        <w:rPr>
          <w:rFonts w:hint="eastAsia"/>
          <w:b/>
          <w:bCs/>
          <w:rtl/>
        </w:rPr>
        <w:t>עקיף</w:t>
      </w:r>
    </w:p>
    <w:tbl>
      <w:tblPr>
        <w:bidiVisual/>
        <w:tblW w:w="8211" w:type="dxa"/>
        <w:jc w:val="center"/>
        <w:tblLook w:val="04A0" w:firstRow="1" w:lastRow="0" w:firstColumn="1" w:lastColumn="0" w:noHBand="0" w:noVBand="1"/>
      </w:tblPr>
      <w:tblGrid>
        <w:gridCol w:w="1549"/>
        <w:gridCol w:w="2116"/>
        <w:gridCol w:w="2420"/>
        <w:gridCol w:w="2126"/>
      </w:tblGrid>
      <w:tr w:rsidR="006252C4" w:rsidRPr="00A81964" w:rsidTr="00D04D4F">
        <w:trPr>
          <w:trHeight w:val="339"/>
          <w:jc w:val="center"/>
        </w:trPr>
        <w:tc>
          <w:tcPr>
            <w:tcW w:w="15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252C4" w:rsidRPr="00A81964" w:rsidRDefault="006252C4" w:rsidP="00D04D4F">
            <w:pPr>
              <w:spacing w:line="269" w:lineRule="auto"/>
              <w:jc w:val="center"/>
              <w:rPr>
                <w:rFonts w:ascii="David" w:eastAsia="Times New Roman" w:hAnsi="David"/>
                <w:b/>
                <w:bCs/>
                <w:color w:val="000000"/>
                <w:sz w:val="22"/>
                <w:szCs w:val="22"/>
              </w:rPr>
            </w:pPr>
            <w:r w:rsidRPr="00A81964">
              <w:rPr>
                <w:rFonts w:ascii="David" w:eastAsia="Times New Roman" w:hAnsi="David" w:hint="eastAsia"/>
                <w:b/>
                <w:bCs/>
                <w:color w:val="000000"/>
                <w:sz w:val="22"/>
                <w:szCs w:val="22"/>
                <w:rtl/>
              </w:rPr>
              <w:t>רדיוס</w:t>
            </w:r>
          </w:p>
        </w:tc>
        <w:tc>
          <w:tcPr>
            <w:tcW w:w="21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52C4" w:rsidRPr="00A81964" w:rsidRDefault="006252C4" w:rsidP="00D04D4F">
            <w:pPr>
              <w:spacing w:line="269" w:lineRule="auto"/>
              <w:jc w:val="center"/>
              <w:rPr>
                <w:rFonts w:ascii="David" w:eastAsia="Times New Roman" w:hAnsi="David"/>
                <w:b/>
                <w:bCs/>
                <w:color w:val="000000"/>
                <w:sz w:val="22"/>
                <w:szCs w:val="22"/>
                <w:rtl/>
              </w:rPr>
            </w:pPr>
            <w:r w:rsidRPr="00A81964">
              <w:rPr>
                <w:rFonts w:ascii="David" w:eastAsia="Times New Roman" w:hAnsi="David" w:hint="eastAsia"/>
                <w:b/>
                <w:bCs/>
                <w:color w:val="000000"/>
                <w:sz w:val="22"/>
                <w:szCs w:val="22"/>
                <w:rtl/>
              </w:rPr>
              <w:t>מספר</w:t>
            </w:r>
            <w:r w:rsidRPr="00A81964">
              <w:rPr>
                <w:rFonts w:ascii="David" w:eastAsia="Times New Roman" w:hAnsi="David"/>
                <w:b/>
                <w:bCs/>
                <w:color w:val="000000"/>
                <w:sz w:val="22"/>
                <w:szCs w:val="22"/>
                <w:rtl/>
              </w:rPr>
              <w:t xml:space="preserve"> </w:t>
            </w:r>
            <w:r w:rsidRPr="00A81964">
              <w:rPr>
                <w:rFonts w:ascii="David" w:eastAsia="Times New Roman" w:hAnsi="David" w:hint="eastAsia"/>
                <w:b/>
                <w:bCs/>
                <w:color w:val="000000"/>
                <w:sz w:val="22"/>
                <w:szCs w:val="22"/>
                <w:rtl/>
              </w:rPr>
              <w:t>העוסקים</w:t>
            </w:r>
            <w:r w:rsidRPr="00A81964">
              <w:rPr>
                <w:rFonts w:ascii="David" w:eastAsia="Times New Roman" w:hAnsi="David"/>
                <w:b/>
                <w:bCs/>
                <w:color w:val="000000"/>
                <w:sz w:val="22"/>
                <w:szCs w:val="22"/>
                <w:rtl/>
              </w:rPr>
              <w:t xml:space="preserve"> </w:t>
            </w:r>
            <w:r w:rsidRPr="00A81964">
              <w:rPr>
                <w:rFonts w:ascii="David" w:eastAsia="Times New Roman" w:hAnsi="David" w:hint="eastAsia"/>
                <w:b/>
                <w:bCs/>
                <w:color w:val="000000"/>
                <w:sz w:val="22"/>
                <w:szCs w:val="22"/>
                <w:rtl/>
              </w:rPr>
              <w:t>ברדיוס</w:t>
            </w:r>
          </w:p>
        </w:tc>
        <w:tc>
          <w:tcPr>
            <w:tcW w:w="24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252C4" w:rsidRPr="00A81964" w:rsidRDefault="006252C4" w:rsidP="00D04D4F">
            <w:pPr>
              <w:spacing w:line="269" w:lineRule="auto"/>
              <w:jc w:val="center"/>
              <w:rPr>
                <w:rFonts w:ascii="David" w:eastAsia="Times New Roman" w:hAnsi="David"/>
                <w:b/>
                <w:bCs/>
                <w:color w:val="000000"/>
                <w:sz w:val="22"/>
                <w:szCs w:val="22"/>
                <w:rtl/>
              </w:rPr>
            </w:pPr>
            <w:r w:rsidRPr="00A81964">
              <w:rPr>
                <w:rFonts w:ascii="David" w:eastAsia="Times New Roman" w:hAnsi="David" w:hint="eastAsia"/>
                <w:b/>
                <w:bCs/>
                <w:color w:val="000000"/>
                <w:sz w:val="22"/>
                <w:szCs w:val="22"/>
                <w:rtl/>
              </w:rPr>
              <w:t>תרחיש</w:t>
            </w:r>
            <w:r w:rsidRPr="00A81964">
              <w:rPr>
                <w:rFonts w:ascii="David" w:eastAsia="Times New Roman" w:hAnsi="David"/>
                <w:b/>
                <w:bCs/>
                <w:color w:val="000000"/>
                <w:sz w:val="22"/>
                <w:szCs w:val="22"/>
                <w:rtl/>
              </w:rPr>
              <w:t xml:space="preserve"> </w:t>
            </w:r>
            <w:r w:rsidRPr="00A81964">
              <w:rPr>
                <w:rFonts w:ascii="David" w:eastAsia="Times New Roman" w:hAnsi="David" w:hint="eastAsia"/>
                <w:b/>
                <w:bCs/>
                <w:color w:val="000000"/>
                <w:sz w:val="22"/>
                <w:szCs w:val="22"/>
                <w:rtl/>
              </w:rPr>
              <w:t>קל</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252C4" w:rsidRPr="00A81964" w:rsidRDefault="006252C4" w:rsidP="00D04D4F">
            <w:pPr>
              <w:spacing w:line="269" w:lineRule="auto"/>
              <w:jc w:val="center"/>
              <w:rPr>
                <w:rFonts w:ascii="David" w:eastAsia="Times New Roman" w:hAnsi="David"/>
                <w:b/>
                <w:bCs/>
                <w:color w:val="000000"/>
                <w:sz w:val="22"/>
                <w:szCs w:val="22"/>
                <w:rtl/>
              </w:rPr>
            </w:pPr>
            <w:r w:rsidRPr="00A81964">
              <w:rPr>
                <w:rFonts w:ascii="David" w:eastAsia="Times New Roman" w:hAnsi="David" w:hint="eastAsia"/>
                <w:b/>
                <w:bCs/>
                <w:color w:val="000000"/>
                <w:sz w:val="22"/>
                <w:szCs w:val="22"/>
                <w:rtl/>
              </w:rPr>
              <w:t>תרחיש</w:t>
            </w:r>
            <w:r w:rsidRPr="00A81964">
              <w:rPr>
                <w:rFonts w:ascii="David" w:eastAsia="Times New Roman" w:hAnsi="David"/>
                <w:b/>
                <w:bCs/>
                <w:color w:val="000000"/>
                <w:sz w:val="22"/>
                <w:szCs w:val="22"/>
                <w:rtl/>
              </w:rPr>
              <w:t xml:space="preserve"> </w:t>
            </w:r>
            <w:r w:rsidRPr="00A81964">
              <w:rPr>
                <w:rFonts w:ascii="David" w:eastAsia="Times New Roman" w:hAnsi="David" w:hint="eastAsia"/>
                <w:b/>
                <w:bCs/>
                <w:color w:val="000000"/>
                <w:sz w:val="22"/>
                <w:szCs w:val="22"/>
                <w:rtl/>
              </w:rPr>
              <w:t>כבד</w:t>
            </w:r>
          </w:p>
        </w:tc>
      </w:tr>
      <w:tr w:rsidR="006252C4" w:rsidRPr="00A81964" w:rsidTr="00D04D4F">
        <w:trPr>
          <w:trHeight w:val="443"/>
          <w:jc w:val="center"/>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עד</w:t>
            </w:r>
            <w:r w:rsidRPr="00A81964">
              <w:rPr>
                <w:rFonts w:ascii="David" w:eastAsia="Times New Roman" w:hAnsi="David"/>
                <w:color w:val="000000"/>
                <w:sz w:val="22"/>
                <w:szCs w:val="22"/>
                <w:rtl/>
              </w:rPr>
              <w:t xml:space="preserve"> 40 </w:t>
            </w:r>
            <w:r w:rsidRPr="00A81964">
              <w:rPr>
                <w:rFonts w:ascii="David" w:eastAsia="Times New Roman" w:hAnsi="David" w:hint="eastAsia"/>
                <w:color w:val="000000"/>
                <w:sz w:val="22"/>
                <w:szCs w:val="22"/>
                <w:rtl/>
              </w:rPr>
              <w:t>ק</w:t>
            </w:r>
            <w:r w:rsidRPr="00A81964">
              <w:rPr>
                <w:rFonts w:ascii="David" w:eastAsia="Times New Roman" w:hAnsi="David"/>
                <w:color w:val="000000"/>
                <w:sz w:val="22"/>
                <w:szCs w:val="22"/>
                <w:rtl/>
              </w:rPr>
              <w:t>"מ</w:t>
            </w:r>
          </w:p>
        </w:tc>
        <w:tc>
          <w:tcPr>
            <w:tcW w:w="2116" w:type="dxa"/>
            <w:tcBorders>
              <w:top w:val="nil"/>
              <w:left w:val="single" w:sz="4" w:space="0" w:color="auto"/>
              <w:bottom w:val="single" w:sz="4" w:space="0" w:color="auto"/>
              <w:right w:val="single" w:sz="4" w:space="0" w:color="auto"/>
            </w:tcBorders>
            <w:vAlign w:val="center"/>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כ</w:t>
            </w:r>
            <w:r w:rsidRPr="00A81964">
              <w:rPr>
                <w:rFonts w:ascii="David" w:eastAsia="Times New Roman" w:hAnsi="David"/>
                <w:color w:val="000000"/>
                <w:sz w:val="22"/>
                <w:szCs w:val="22"/>
                <w:rtl/>
              </w:rPr>
              <w:t>-55,000</w:t>
            </w:r>
          </w:p>
        </w:tc>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כ</w:t>
            </w:r>
            <w:r w:rsidRPr="00A81964">
              <w:rPr>
                <w:rFonts w:ascii="David" w:eastAsia="Times New Roman" w:hAnsi="David"/>
                <w:color w:val="000000"/>
                <w:sz w:val="22"/>
                <w:szCs w:val="22"/>
                <w:rtl/>
              </w:rPr>
              <w:t xml:space="preserve">-1.5 </w:t>
            </w:r>
            <w:r w:rsidRPr="00A81964">
              <w:rPr>
                <w:rFonts w:ascii="David" w:eastAsia="Times New Roman" w:hAnsi="David" w:hint="eastAsia"/>
                <w:color w:val="000000"/>
                <w:sz w:val="22"/>
                <w:szCs w:val="22"/>
                <w:rtl/>
              </w:rPr>
              <w:t>מיליארד</w:t>
            </w:r>
            <w:r w:rsidRPr="00A81964">
              <w:rPr>
                <w:rFonts w:ascii="David" w:eastAsia="Times New Roman" w:hAnsi="David"/>
                <w:color w:val="000000"/>
                <w:sz w:val="22"/>
                <w:szCs w:val="22"/>
                <w:rtl/>
              </w:rPr>
              <w:t xml:space="preserve"> </w:t>
            </w:r>
            <w:r w:rsidRPr="00A81964">
              <w:rPr>
                <w:rFonts w:ascii="David" w:eastAsia="Times New Roman" w:hAnsi="David" w:hint="eastAsia"/>
                <w:color w:val="000000"/>
                <w:sz w:val="22"/>
                <w:szCs w:val="22"/>
                <w:rtl/>
              </w:rPr>
              <w:t>ש</w:t>
            </w:r>
            <w:r w:rsidRPr="00A81964">
              <w:rPr>
                <w:rFonts w:ascii="David" w:eastAsia="Times New Roman" w:hAnsi="David"/>
                <w:color w:val="000000"/>
                <w:sz w:val="22"/>
                <w:szCs w:val="22"/>
                <w:rtl/>
              </w:rPr>
              <w:t>"ח</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כ</w:t>
            </w:r>
            <w:r w:rsidRPr="00A81964">
              <w:rPr>
                <w:rFonts w:ascii="David" w:eastAsia="Times New Roman" w:hAnsi="David"/>
                <w:color w:val="000000"/>
                <w:sz w:val="22"/>
                <w:szCs w:val="22"/>
                <w:rtl/>
              </w:rPr>
              <w:t xml:space="preserve">-7.5 מיליארד </w:t>
            </w:r>
            <w:r w:rsidRPr="00A81964">
              <w:rPr>
                <w:rFonts w:ascii="David" w:eastAsia="Times New Roman" w:hAnsi="David" w:hint="eastAsia"/>
                <w:color w:val="000000"/>
                <w:sz w:val="22"/>
                <w:szCs w:val="22"/>
                <w:rtl/>
              </w:rPr>
              <w:t>ש</w:t>
            </w:r>
            <w:r w:rsidRPr="00A81964">
              <w:rPr>
                <w:rFonts w:ascii="David" w:eastAsia="Times New Roman" w:hAnsi="David"/>
                <w:color w:val="000000"/>
                <w:sz w:val="22"/>
                <w:szCs w:val="22"/>
                <w:rtl/>
              </w:rPr>
              <w:t xml:space="preserve">"ח </w:t>
            </w:r>
          </w:p>
        </w:tc>
      </w:tr>
      <w:tr w:rsidR="006252C4" w:rsidRPr="00A81964" w:rsidTr="00D04D4F">
        <w:trPr>
          <w:trHeight w:val="422"/>
          <w:jc w:val="center"/>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עד</w:t>
            </w:r>
            <w:r w:rsidRPr="00A81964">
              <w:rPr>
                <w:rFonts w:ascii="David" w:eastAsia="Times New Roman" w:hAnsi="David"/>
                <w:color w:val="000000"/>
                <w:sz w:val="22"/>
                <w:szCs w:val="22"/>
                <w:rtl/>
              </w:rPr>
              <w:t xml:space="preserve"> 60 </w:t>
            </w:r>
            <w:r w:rsidRPr="00A81964">
              <w:rPr>
                <w:rFonts w:ascii="David" w:eastAsia="Times New Roman" w:hAnsi="David" w:hint="eastAsia"/>
                <w:color w:val="000000"/>
                <w:sz w:val="22"/>
                <w:szCs w:val="22"/>
                <w:rtl/>
              </w:rPr>
              <w:t>ק</w:t>
            </w:r>
            <w:r w:rsidRPr="00A81964">
              <w:rPr>
                <w:rFonts w:ascii="David" w:eastAsia="Times New Roman" w:hAnsi="David"/>
                <w:color w:val="000000"/>
                <w:sz w:val="22"/>
                <w:szCs w:val="22"/>
                <w:rtl/>
              </w:rPr>
              <w:t>"מ</w:t>
            </w:r>
          </w:p>
        </w:tc>
        <w:tc>
          <w:tcPr>
            <w:tcW w:w="2116" w:type="dxa"/>
            <w:tcBorders>
              <w:top w:val="nil"/>
              <w:left w:val="single" w:sz="4" w:space="0" w:color="auto"/>
              <w:bottom w:val="single" w:sz="4" w:space="0" w:color="auto"/>
              <w:right w:val="single" w:sz="4" w:space="0" w:color="auto"/>
            </w:tcBorders>
            <w:vAlign w:val="center"/>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כ</w:t>
            </w:r>
            <w:r w:rsidRPr="00A81964">
              <w:rPr>
                <w:rFonts w:ascii="David" w:eastAsia="Times New Roman" w:hAnsi="David"/>
                <w:color w:val="000000"/>
                <w:sz w:val="22"/>
                <w:szCs w:val="22"/>
                <w:rtl/>
              </w:rPr>
              <w:t xml:space="preserve">-221,000 </w:t>
            </w:r>
          </w:p>
        </w:tc>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כ</w:t>
            </w:r>
            <w:r w:rsidRPr="00A81964">
              <w:rPr>
                <w:rFonts w:ascii="David" w:eastAsia="Times New Roman" w:hAnsi="David"/>
                <w:color w:val="000000"/>
                <w:sz w:val="22"/>
                <w:szCs w:val="22"/>
                <w:rtl/>
              </w:rPr>
              <w:t xml:space="preserve">-6.4 </w:t>
            </w:r>
            <w:r w:rsidRPr="00A81964">
              <w:rPr>
                <w:rFonts w:ascii="David" w:eastAsia="Times New Roman" w:hAnsi="David" w:hint="eastAsia"/>
                <w:color w:val="000000"/>
                <w:sz w:val="22"/>
                <w:szCs w:val="22"/>
                <w:rtl/>
              </w:rPr>
              <w:t>מיליארד</w:t>
            </w:r>
            <w:r w:rsidRPr="00A81964">
              <w:rPr>
                <w:rFonts w:ascii="David" w:eastAsia="Times New Roman" w:hAnsi="David"/>
                <w:color w:val="000000"/>
                <w:sz w:val="22"/>
                <w:szCs w:val="22"/>
                <w:rtl/>
              </w:rPr>
              <w:t xml:space="preserve"> </w:t>
            </w:r>
            <w:r w:rsidRPr="00A81964">
              <w:rPr>
                <w:rFonts w:ascii="David" w:eastAsia="Times New Roman" w:hAnsi="David" w:hint="eastAsia"/>
                <w:color w:val="000000"/>
                <w:sz w:val="22"/>
                <w:szCs w:val="22"/>
                <w:rtl/>
              </w:rPr>
              <w:t>ש</w:t>
            </w:r>
            <w:r w:rsidRPr="00A81964">
              <w:rPr>
                <w:rFonts w:ascii="David" w:eastAsia="Times New Roman" w:hAnsi="David"/>
                <w:color w:val="000000"/>
                <w:sz w:val="22"/>
                <w:szCs w:val="22"/>
                <w:rtl/>
              </w:rPr>
              <w:t>"ח</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כ</w:t>
            </w:r>
            <w:r w:rsidRPr="00A81964">
              <w:rPr>
                <w:rFonts w:ascii="David" w:eastAsia="Times New Roman" w:hAnsi="David"/>
                <w:color w:val="000000"/>
                <w:sz w:val="22"/>
                <w:szCs w:val="22"/>
                <w:rtl/>
              </w:rPr>
              <w:t xml:space="preserve">-31.8 מיליארד </w:t>
            </w:r>
            <w:r w:rsidRPr="00A81964">
              <w:rPr>
                <w:rFonts w:ascii="David" w:eastAsia="Times New Roman" w:hAnsi="David" w:hint="eastAsia"/>
                <w:color w:val="000000"/>
                <w:sz w:val="22"/>
                <w:szCs w:val="22"/>
                <w:rtl/>
              </w:rPr>
              <w:t>ש</w:t>
            </w:r>
            <w:r w:rsidRPr="00A81964">
              <w:rPr>
                <w:rFonts w:ascii="David" w:eastAsia="Times New Roman" w:hAnsi="David"/>
                <w:color w:val="000000"/>
                <w:sz w:val="22"/>
                <w:szCs w:val="22"/>
                <w:rtl/>
              </w:rPr>
              <w:t xml:space="preserve">"ח </w:t>
            </w:r>
          </w:p>
        </w:tc>
      </w:tr>
      <w:tr w:rsidR="006252C4" w:rsidRPr="00A81964" w:rsidTr="00D04D4F">
        <w:trPr>
          <w:trHeight w:val="414"/>
          <w:jc w:val="center"/>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עד</w:t>
            </w:r>
            <w:r w:rsidRPr="00A81964">
              <w:rPr>
                <w:rFonts w:ascii="David" w:eastAsia="Times New Roman" w:hAnsi="David"/>
                <w:color w:val="000000"/>
                <w:sz w:val="22"/>
                <w:szCs w:val="22"/>
                <w:rtl/>
              </w:rPr>
              <w:t xml:space="preserve"> 80 </w:t>
            </w:r>
            <w:r w:rsidRPr="00A81964">
              <w:rPr>
                <w:rFonts w:ascii="David" w:eastAsia="Times New Roman" w:hAnsi="David" w:hint="eastAsia"/>
                <w:color w:val="000000"/>
                <w:sz w:val="22"/>
                <w:szCs w:val="22"/>
                <w:rtl/>
              </w:rPr>
              <w:t>ק</w:t>
            </w:r>
            <w:r w:rsidRPr="00A81964">
              <w:rPr>
                <w:rFonts w:ascii="David" w:eastAsia="Times New Roman" w:hAnsi="David"/>
                <w:color w:val="000000"/>
                <w:sz w:val="22"/>
                <w:szCs w:val="22"/>
                <w:rtl/>
              </w:rPr>
              <w:t>"מ</w:t>
            </w:r>
          </w:p>
        </w:tc>
        <w:tc>
          <w:tcPr>
            <w:tcW w:w="2116" w:type="dxa"/>
            <w:tcBorders>
              <w:top w:val="nil"/>
              <w:left w:val="single" w:sz="4" w:space="0" w:color="auto"/>
              <w:bottom w:val="single" w:sz="4" w:space="0" w:color="auto"/>
              <w:right w:val="single" w:sz="4" w:space="0" w:color="auto"/>
            </w:tcBorders>
            <w:vAlign w:val="center"/>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כ</w:t>
            </w:r>
            <w:r w:rsidRPr="00A81964">
              <w:rPr>
                <w:rFonts w:ascii="David" w:eastAsia="Times New Roman" w:hAnsi="David"/>
                <w:color w:val="000000"/>
                <w:sz w:val="22"/>
                <w:szCs w:val="22"/>
                <w:rtl/>
              </w:rPr>
              <w:t xml:space="preserve">-370,000 </w:t>
            </w:r>
          </w:p>
        </w:tc>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כ</w:t>
            </w:r>
            <w:r w:rsidRPr="00A81964">
              <w:rPr>
                <w:rFonts w:ascii="David" w:eastAsia="Times New Roman" w:hAnsi="David"/>
                <w:color w:val="000000"/>
                <w:sz w:val="22"/>
                <w:szCs w:val="22"/>
                <w:rtl/>
              </w:rPr>
              <w:t xml:space="preserve">-11.2 </w:t>
            </w:r>
            <w:r w:rsidRPr="00A81964">
              <w:rPr>
                <w:rFonts w:ascii="David" w:eastAsia="Times New Roman" w:hAnsi="David" w:hint="eastAsia"/>
                <w:color w:val="000000"/>
                <w:sz w:val="22"/>
                <w:szCs w:val="22"/>
                <w:rtl/>
              </w:rPr>
              <w:t>מיליארד</w:t>
            </w:r>
            <w:r w:rsidRPr="00A81964">
              <w:rPr>
                <w:rFonts w:ascii="David" w:eastAsia="Times New Roman" w:hAnsi="David"/>
                <w:color w:val="000000"/>
                <w:sz w:val="22"/>
                <w:szCs w:val="22"/>
                <w:rtl/>
              </w:rPr>
              <w:t xml:space="preserve"> </w:t>
            </w:r>
            <w:r w:rsidRPr="00A81964">
              <w:rPr>
                <w:rFonts w:ascii="David" w:eastAsia="Times New Roman" w:hAnsi="David" w:hint="eastAsia"/>
                <w:color w:val="000000"/>
                <w:sz w:val="22"/>
                <w:szCs w:val="22"/>
                <w:rtl/>
              </w:rPr>
              <w:t>ש</w:t>
            </w:r>
            <w:r w:rsidRPr="00A81964">
              <w:rPr>
                <w:rFonts w:ascii="David" w:eastAsia="Times New Roman" w:hAnsi="David"/>
                <w:color w:val="000000"/>
                <w:sz w:val="22"/>
                <w:szCs w:val="22"/>
                <w:rtl/>
              </w:rPr>
              <w:t>"ח</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6252C4" w:rsidRPr="00A81964" w:rsidRDefault="006252C4" w:rsidP="00D04D4F">
            <w:pPr>
              <w:spacing w:line="269" w:lineRule="auto"/>
              <w:jc w:val="left"/>
              <w:rPr>
                <w:rFonts w:ascii="David" w:eastAsia="Times New Roman" w:hAnsi="David"/>
                <w:color w:val="000000"/>
                <w:sz w:val="22"/>
                <w:szCs w:val="22"/>
                <w:rtl/>
              </w:rPr>
            </w:pPr>
            <w:r w:rsidRPr="00A81964">
              <w:rPr>
                <w:rFonts w:ascii="David" w:eastAsia="Times New Roman" w:hAnsi="David" w:hint="eastAsia"/>
                <w:color w:val="000000"/>
                <w:sz w:val="22"/>
                <w:szCs w:val="22"/>
                <w:rtl/>
              </w:rPr>
              <w:t>כ</w:t>
            </w:r>
            <w:r w:rsidRPr="00A81964">
              <w:rPr>
                <w:rFonts w:ascii="David" w:eastAsia="Times New Roman" w:hAnsi="David"/>
                <w:color w:val="000000"/>
                <w:sz w:val="22"/>
                <w:szCs w:val="22"/>
                <w:rtl/>
              </w:rPr>
              <w:t xml:space="preserve">-56 מיליארד </w:t>
            </w:r>
            <w:r w:rsidRPr="00A81964">
              <w:rPr>
                <w:rFonts w:ascii="David" w:eastAsia="Times New Roman" w:hAnsi="David" w:hint="eastAsia"/>
                <w:color w:val="000000"/>
                <w:sz w:val="22"/>
                <w:szCs w:val="22"/>
                <w:rtl/>
              </w:rPr>
              <w:t>ש</w:t>
            </w:r>
            <w:r w:rsidRPr="00A81964">
              <w:rPr>
                <w:rFonts w:ascii="David" w:eastAsia="Times New Roman" w:hAnsi="David"/>
                <w:color w:val="000000"/>
                <w:sz w:val="22"/>
                <w:szCs w:val="22"/>
                <w:rtl/>
              </w:rPr>
              <w:t xml:space="preserve">"ח </w:t>
            </w:r>
          </w:p>
        </w:tc>
      </w:tr>
    </w:tbl>
    <w:p w:rsidR="006252C4" w:rsidRPr="00A81964" w:rsidRDefault="006252C4" w:rsidP="00794DF5">
      <w:pPr>
        <w:spacing w:before="60" w:line="269" w:lineRule="auto"/>
        <w:rPr>
          <w:sz w:val="16"/>
          <w:szCs w:val="20"/>
          <w:rtl/>
        </w:rPr>
      </w:pPr>
      <w:r w:rsidRPr="00A81964">
        <w:rPr>
          <w:rFonts w:hint="cs"/>
          <w:sz w:val="16"/>
          <w:szCs w:val="20"/>
          <w:rtl/>
        </w:rPr>
        <w:t xml:space="preserve">המקור: </w:t>
      </w:r>
      <w:r w:rsidRPr="00145F84">
        <w:rPr>
          <w:rFonts w:hint="cs"/>
          <w:sz w:val="16"/>
          <w:szCs w:val="20"/>
          <w:rtl/>
        </w:rPr>
        <w:t>רשות המיסים</w:t>
      </w:r>
      <w:r w:rsidRPr="00A81964">
        <w:rPr>
          <w:rFonts w:hint="cs"/>
          <w:sz w:val="16"/>
          <w:szCs w:val="20"/>
          <w:rtl/>
        </w:rPr>
        <w:t>.</w:t>
      </w:r>
    </w:p>
    <w:p w:rsidR="00794DF5" w:rsidRDefault="00794DF5" w:rsidP="006252C4">
      <w:pPr>
        <w:spacing w:line="269" w:lineRule="auto"/>
        <w:rPr>
          <w:b/>
          <w:bCs/>
          <w:rtl/>
        </w:rPr>
      </w:pPr>
    </w:p>
    <w:p w:rsidR="006252C4" w:rsidRPr="00A81964" w:rsidRDefault="006252C4" w:rsidP="006252C4">
      <w:pPr>
        <w:spacing w:line="269" w:lineRule="auto"/>
        <w:rPr>
          <w:b/>
          <w:bCs/>
          <w:rtl/>
        </w:rPr>
      </w:pPr>
      <w:r w:rsidRPr="00A81964">
        <w:rPr>
          <w:rFonts w:hint="eastAsia"/>
          <w:b/>
          <w:bCs/>
          <w:rtl/>
        </w:rPr>
        <w:t>מהנתונים</w:t>
      </w:r>
      <w:r w:rsidRPr="00A81964">
        <w:rPr>
          <w:b/>
          <w:bCs/>
          <w:rtl/>
        </w:rPr>
        <w:t xml:space="preserve"> בלוחות </w:t>
      </w:r>
      <w:r>
        <w:rPr>
          <w:rFonts w:hint="cs"/>
          <w:b/>
          <w:bCs/>
          <w:rtl/>
        </w:rPr>
        <w:t>7</w:t>
      </w:r>
      <w:r w:rsidRPr="00A81964">
        <w:rPr>
          <w:rFonts w:hint="cs"/>
          <w:b/>
          <w:bCs/>
          <w:rtl/>
        </w:rPr>
        <w:t xml:space="preserve"> ו-</w:t>
      </w:r>
      <w:r>
        <w:rPr>
          <w:rFonts w:hint="cs"/>
          <w:b/>
          <w:bCs/>
          <w:rtl/>
        </w:rPr>
        <w:t>8</w:t>
      </w:r>
      <w:r w:rsidRPr="00A81964">
        <w:rPr>
          <w:b/>
          <w:bCs/>
          <w:rtl/>
        </w:rPr>
        <w:t xml:space="preserve"> עולה כי </w:t>
      </w:r>
      <w:r w:rsidRPr="00A81964">
        <w:rPr>
          <w:rFonts w:hint="cs"/>
          <w:b/>
          <w:bCs/>
          <w:rtl/>
        </w:rPr>
        <w:t xml:space="preserve">בשנת 2017 </w:t>
      </w:r>
      <w:r w:rsidRPr="00A81964">
        <w:rPr>
          <w:rFonts w:hint="eastAsia"/>
          <w:b/>
          <w:bCs/>
          <w:rtl/>
        </w:rPr>
        <w:t>ועדת</w:t>
      </w:r>
      <w:r w:rsidRPr="00A81964">
        <w:rPr>
          <w:b/>
          <w:bCs/>
          <w:rtl/>
        </w:rPr>
        <w:t xml:space="preserve"> </w:t>
      </w:r>
      <w:r w:rsidRPr="00A81964">
        <w:rPr>
          <w:rFonts w:hint="eastAsia"/>
          <w:b/>
          <w:bCs/>
          <w:rtl/>
        </w:rPr>
        <w:t>נזק</w:t>
      </w:r>
      <w:r w:rsidRPr="00A81964">
        <w:rPr>
          <w:b/>
          <w:bCs/>
          <w:rtl/>
        </w:rPr>
        <w:t xml:space="preserve"> </w:t>
      </w:r>
      <w:r w:rsidRPr="00A81964">
        <w:rPr>
          <w:rFonts w:hint="eastAsia"/>
          <w:b/>
          <w:bCs/>
          <w:rtl/>
        </w:rPr>
        <w:t>עקיף</w:t>
      </w:r>
      <w:r w:rsidRPr="00A81964">
        <w:rPr>
          <w:b/>
          <w:bCs/>
          <w:rtl/>
        </w:rPr>
        <w:t xml:space="preserve"> </w:t>
      </w:r>
      <w:r w:rsidRPr="00A81964">
        <w:rPr>
          <w:rFonts w:hint="eastAsia"/>
          <w:b/>
          <w:bCs/>
          <w:rtl/>
        </w:rPr>
        <w:t>העריכה</w:t>
      </w:r>
      <w:r w:rsidRPr="00A81964">
        <w:rPr>
          <w:b/>
          <w:bCs/>
          <w:rtl/>
        </w:rPr>
        <w:t xml:space="preserve"> </w:t>
      </w:r>
      <w:r w:rsidRPr="00A81964">
        <w:rPr>
          <w:rFonts w:hint="cs"/>
          <w:b/>
          <w:bCs/>
          <w:rtl/>
        </w:rPr>
        <w:t xml:space="preserve">כי </w:t>
      </w:r>
      <w:r w:rsidRPr="00A81964">
        <w:rPr>
          <w:b/>
          <w:bCs/>
          <w:rtl/>
        </w:rPr>
        <w:t xml:space="preserve">בעת לחימה כוללת בדרום ובצפון עלול היקף הנזקים העקיפים להגיע לסך של </w:t>
      </w:r>
      <w:r w:rsidRPr="00A81964">
        <w:rPr>
          <w:rFonts w:hint="cs"/>
          <w:b/>
          <w:bCs/>
          <w:rtl/>
        </w:rPr>
        <w:t>יותר</w:t>
      </w:r>
      <w:r w:rsidRPr="00A81964">
        <w:rPr>
          <w:b/>
          <w:bCs/>
          <w:rtl/>
        </w:rPr>
        <w:t xml:space="preserve"> מ-70 מיליארד </w:t>
      </w:r>
      <w:r w:rsidRPr="00A81964">
        <w:rPr>
          <w:rFonts w:hint="cs"/>
          <w:b/>
          <w:bCs/>
          <w:rtl/>
        </w:rPr>
        <w:t>ש"ח</w:t>
      </w:r>
      <w:r w:rsidRPr="00A81964">
        <w:rPr>
          <w:b/>
          <w:bCs/>
          <w:rtl/>
        </w:rPr>
        <w:t xml:space="preserve"> בגין תביעות של </w:t>
      </w:r>
      <w:r w:rsidRPr="00A81964">
        <w:rPr>
          <w:rFonts w:hint="cs"/>
          <w:b/>
          <w:bCs/>
          <w:rtl/>
        </w:rPr>
        <w:t>יותר</w:t>
      </w:r>
      <w:r w:rsidRPr="00A81964">
        <w:rPr>
          <w:b/>
          <w:bCs/>
          <w:rtl/>
        </w:rPr>
        <w:t xml:space="preserve"> מחצי מיליון </w:t>
      </w:r>
      <w:r>
        <w:rPr>
          <w:rFonts w:hint="cs"/>
          <w:b/>
          <w:bCs/>
          <w:rtl/>
        </w:rPr>
        <w:t>ניזוקים</w:t>
      </w:r>
      <w:r w:rsidRPr="00A81964">
        <w:rPr>
          <w:b/>
          <w:bCs/>
          <w:rtl/>
        </w:rPr>
        <w:t>.</w:t>
      </w:r>
    </w:p>
    <w:p w:rsidR="006252C4" w:rsidRPr="007D0113" w:rsidRDefault="006252C4" w:rsidP="006252C4">
      <w:pPr>
        <w:spacing w:line="269" w:lineRule="auto"/>
        <w:rPr>
          <w:rtl/>
        </w:rPr>
      </w:pPr>
    </w:p>
    <w:p w:rsidR="006252C4" w:rsidRPr="00A81964" w:rsidRDefault="006252C4" w:rsidP="006252C4">
      <w:pPr>
        <w:pStyle w:val="4"/>
        <w:spacing w:before="0" w:line="269" w:lineRule="auto"/>
        <w:rPr>
          <w:rtl/>
        </w:rPr>
      </w:pPr>
      <w:r w:rsidRPr="00A81964">
        <w:rPr>
          <w:rFonts w:hint="cs"/>
          <w:rtl/>
        </w:rPr>
        <w:t>מלחמת חרבות ברזל</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eastAsia"/>
          <w:rtl/>
        </w:rPr>
        <w:t>בשל</w:t>
      </w:r>
      <w:r w:rsidRPr="00A81964">
        <w:rPr>
          <w:rtl/>
        </w:rPr>
        <w:t xml:space="preserve"> מגבלות </w:t>
      </w:r>
      <w:r w:rsidRPr="00A81964">
        <w:rPr>
          <w:rFonts w:hint="cs"/>
          <w:rtl/>
        </w:rPr>
        <w:t>שהוטלו על פי הנחיות</w:t>
      </w:r>
      <w:r w:rsidRPr="00A81964">
        <w:rPr>
          <w:rtl/>
        </w:rPr>
        <w:t xml:space="preserve"> פיקוד העורף, </w:t>
      </w:r>
      <w:r w:rsidRPr="00A81964">
        <w:rPr>
          <w:rFonts w:hint="cs"/>
          <w:rtl/>
        </w:rPr>
        <w:t xml:space="preserve">בשל </w:t>
      </w:r>
      <w:r w:rsidRPr="00A81964">
        <w:rPr>
          <w:rtl/>
        </w:rPr>
        <w:t xml:space="preserve">גיוס </w:t>
      </w:r>
      <w:r w:rsidRPr="00A81964">
        <w:rPr>
          <w:rFonts w:hint="eastAsia"/>
          <w:rtl/>
        </w:rPr>
        <w:t>מערך</w:t>
      </w:r>
      <w:r w:rsidRPr="00A81964">
        <w:rPr>
          <w:rtl/>
        </w:rPr>
        <w:t xml:space="preserve"> </w:t>
      </w:r>
      <w:r w:rsidRPr="00A81964">
        <w:rPr>
          <w:rFonts w:hint="eastAsia"/>
          <w:rtl/>
        </w:rPr>
        <w:t>המילואים</w:t>
      </w:r>
      <w:r w:rsidRPr="00A81964">
        <w:rPr>
          <w:rtl/>
        </w:rPr>
        <w:t xml:space="preserve"> </w:t>
      </w:r>
      <w:r w:rsidRPr="00A81964">
        <w:rPr>
          <w:rFonts w:hint="eastAsia"/>
          <w:rtl/>
        </w:rPr>
        <w:t>ופינוי</w:t>
      </w:r>
      <w:r w:rsidRPr="00A81964">
        <w:rPr>
          <w:rtl/>
        </w:rPr>
        <w:t xml:space="preserve"> </w:t>
      </w:r>
      <w:r w:rsidRPr="00A81964">
        <w:rPr>
          <w:rFonts w:hint="eastAsia"/>
          <w:rtl/>
        </w:rPr>
        <w:t>עשרות</w:t>
      </w:r>
      <w:r w:rsidRPr="00A81964">
        <w:rPr>
          <w:rtl/>
        </w:rPr>
        <w:t xml:space="preserve"> </w:t>
      </w:r>
      <w:r w:rsidRPr="00A81964">
        <w:rPr>
          <w:rFonts w:hint="eastAsia"/>
          <w:rtl/>
        </w:rPr>
        <w:t>י</w:t>
      </w:r>
      <w:r w:rsidRPr="00A81964">
        <w:rPr>
          <w:rFonts w:hint="cs"/>
          <w:rtl/>
        </w:rPr>
        <w:t>י</w:t>
      </w:r>
      <w:r w:rsidRPr="00A81964">
        <w:rPr>
          <w:rFonts w:hint="eastAsia"/>
          <w:rtl/>
        </w:rPr>
        <w:t>שובים</w:t>
      </w:r>
      <w:r w:rsidRPr="00A81964">
        <w:rPr>
          <w:rFonts w:hint="cs"/>
          <w:rtl/>
        </w:rPr>
        <w:t xml:space="preserve"> במהלך מלחמת חרבות ברזל,</w:t>
      </w:r>
      <w:r w:rsidRPr="00A81964">
        <w:rPr>
          <w:rtl/>
        </w:rPr>
        <w:t xml:space="preserve"> נפגעה למשך תקופה ממושכת הפעילות הכלכלית הסדירה של עסקים בכל חלקי הארץ.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פגיעה זו באה לידי ביטוי בין היתר בנתוני התוצר הלאומי הגולמי</w:t>
      </w:r>
      <w:r w:rsidRPr="00A81964">
        <w:rPr>
          <w:rStyle w:val="af2"/>
          <w:rtl/>
        </w:rPr>
        <w:footnoteReference w:id="68"/>
      </w:r>
      <w:r w:rsidRPr="00A81964">
        <w:rPr>
          <w:rFonts w:hint="cs"/>
          <w:rtl/>
        </w:rPr>
        <w:t xml:space="preserve"> (להלן - התמ"ג) לשנת 2023, שירד מפרוץ המלחמה</w:t>
      </w:r>
      <w:r w:rsidRPr="00A81964">
        <w:rPr>
          <w:rStyle w:val="af2"/>
          <w:rtl/>
        </w:rPr>
        <w:footnoteReference w:id="69"/>
      </w:r>
      <w:r w:rsidRPr="00A81964">
        <w:rPr>
          <w:rFonts w:hint="cs"/>
          <w:rtl/>
        </w:rPr>
        <w:t xml:space="preserve"> ועד תום שנת 2023 בשיעור של 5.6%. התוצר העסקי</w:t>
      </w:r>
      <w:r w:rsidRPr="00A81964">
        <w:rPr>
          <w:rStyle w:val="af2"/>
          <w:rtl/>
        </w:rPr>
        <w:footnoteReference w:id="70"/>
      </w:r>
      <w:r w:rsidRPr="00A81964">
        <w:rPr>
          <w:rFonts w:hint="cs"/>
          <w:rtl/>
        </w:rPr>
        <w:t xml:space="preserve"> ירד באותה תקופה בשיעור של </w:t>
      </w:r>
      <w:r w:rsidRPr="00634227">
        <w:rPr>
          <w:rFonts w:hint="cs"/>
          <w:rtl/>
        </w:rPr>
        <w:t>9.8%.</w:t>
      </w:r>
      <w:r w:rsidRPr="00634227">
        <w:rPr>
          <w:rStyle w:val="af2"/>
          <w:rtl/>
        </w:rPr>
        <w:footnoteReference w:id="71"/>
      </w:r>
      <w:r w:rsidRPr="00A81964">
        <w:rPr>
          <w:rFonts w:hint="cs"/>
          <w:rtl/>
        </w:rPr>
        <w:t xml:space="preserve"> כמו כן, אומדני הלשכה המרכזית לסטטיסטיקה</w:t>
      </w:r>
      <w:r w:rsidRPr="00A81964">
        <w:rPr>
          <w:rStyle w:val="af2"/>
          <w:rtl/>
        </w:rPr>
        <w:footnoteReference w:id="72"/>
      </w:r>
      <w:r w:rsidRPr="00A81964">
        <w:rPr>
          <w:rFonts w:hint="cs"/>
          <w:rtl/>
        </w:rPr>
        <w:t xml:space="preserve"> מלמדים כי חלה ירידה בתמ"ג גם בחודשים ינואר עד אוקטובר 2024 בהשוואה לתקופה המקבילה אשתקד.</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lastRenderedPageBreak/>
        <w:t>עוד ניתן ללמוד על השפעת המלחמה על הפעילות הכלכלית במשק הישראלי באמצעות נתוני השימוש בכרטיסי אשראי</w:t>
      </w:r>
      <w:r w:rsidRPr="00A81964">
        <w:rPr>
          <w:rStyle w:val="af2"/>
          <w:rtl/>
        </w:rPr>
        <w:footnoteReference w:id="73"/>
      </w:r>
      <w:r w:rsidRPr="00A81964">
        <w:rPr>
          <w:rFonts w:hint="cs"/>
          <w:rtl/>
        </w:rPr>
        <w:t xml:space="preserve">. להלן בתרשים 12 מוצג השינוי בהיקפי העסקאות בכרטיסי אשראי בחמשת השבועות הראשונים שלאחר פרוץ המלחמה ביחס לרמתם החזויה </w:t>
      </w:r>
      <w:r w:rsidRPr="00CE286C">
        <w:rPr>
          <w:rtl/>
        </w:rPr>
        <w:t xml:space="preserve">בכלל ענפי המשק </w:t>
      </w:r>
      <w:r>
        <w:rPr>
          <w:rFonts w:hint="cs"/>
          <w:rtl/>
        </w:rPr>
        <w:t>ובענפים נבחרים</w:t>
      </w:r>
      <w:r>
        <w:rPr>
          <w:rStyle w:val="af2"/>
          <w:rtl/>
        </w:rPr>
        <w:footnoteReference w:id="74"/>
      </w:r>
      <w:r w:rsidRPr="00A81964">
        <w:rPr>
          <w:rFonts w:hint="cs"/>
          <w:rtl/>
        </w:rPr>
        <w:t>.</w:t>
      </w:r>
    </w:p>
    <w:p w:rsidR="006252C4" w:rsidRDefault="006252C4" w:rsidP="006252C4">
      <w:pPr>
        <w:spacing w:line="269" w:lineRule="auto"/>
        <w:rPr>
          <w:rtl/>
        </w:rPr>
      </w:pPr>
    </w:p>
    <w:p w:rsidR="006252C4" w:rsidRPr="00A81964" w:rsidRDefault="006252C4" w:rsidP="006252C4">
      <w:pPr>
        <w:keepNext/>
        <w:keepLines/>
        <w:spacing w:line="269" w:lineRule="auto"/>
        <w:jc w:val="center"/>
        <w:rPr>
          <w:b/>
          <w:bCs/>
          <w:rtl/>
        </w:rPr>
      </w:pPr>
      <w:r w:rsidRPr="00A81964">
        <w:rPr>
          <w:rFonts w:hint="eastAsia"/>
          <w:rtl/>
        </w:rPr>
        <w:t>תרשים</w:t>
      </w:r>
      <w:r w:rsidRPr="00A81964">
        <w:rPr>
          <w:rtl/>
        </w:rPr>
        <w:t xml:space="preserve"> 12:</w:t>
      </w:r>
      <w:r w:rsidRPr="00A81964">
        <w:rPr>
          <w:b/>
          <w:bCs/>
          <w:rtl/>
        </w:rPr>
        <w:t xml:space="preserve"> </w:t>
      </w:r>
      <w:r w:rsidRPr="00A81964">
        <w:rPr>
          <w:rFonts w:hint="eastAsia"/>
          <w:b/>
          <w:bCs/>
          <w:rtl/>
        </w:rPr>
        <w:t>השינוי</w:t>
      </w:r>
      <w:r w:rsidRPr="00A81964">
        <w:rPr>
          <w:b/>
          <w:bCs/>
          <w:rtl/>
        </w:rPr>
        <w:t xml:space="preserve"> </w:t>
      </w:r>
      <w:r w:rsidRPr="00A81964">
        <w:rPr>
          <w:rFonts w:hint="eastAsia"/>
          <w:b/>
          <w:bCs/>
          <w:rtl/>
        </w:rPr>
        <w:t>בהיקפי</w:t>
      </w:r>
      <w:r w:rsidRPr="00A81964">
        <w:rPr>
          <w:b/>
          <w:bCs/>
          <w:rtl/>
        </w:rPr>
        <w:t xml:space="preserve"> ה</w:t>
      </w:r>
      <w:r>
        <w:rPr>
          <w:rFonts w:hint="cs"/>
          <w:b/>
          <w:bCs/>
          <w:rtl/>
        </w:rPr>
        <w:t>עסקאות</w:t>
      </w:r>
      <w:r w:rsidRPr="00A81964">
        <w:rPr>
          <w:b/>
          <w:bCs/>
          <w:rtl/>
        </w:rPr>
        <w:t xml:space="preserve"> בכרטיסי אשראי בחמשת השבועות הראשונים של</w:t>
      </w:r>
      <w:r>
        <w:rPr>
          <w:rFonts w:hint="cs"/>
          <w:b/>
          <w:bCs/>
          <w:rtl/>
        </w:rPr>
        <w:t>אחר פרוץ</w:t>
      </w:r>
      <w:r w:rsidRPr="00A81964">
        <w:rPr>
          <w:b/>
          <w:bCs/>
          <w:rtl/>
        </w:rPr>
        <w:t xml:space="preserve"> מלחמת חרבות ברזל</w:t>
      </w:r>
      <w:r w:rsidRPr="00A81964">
        <w:rPr>
          <w:rtl/>
        </w:rPr>
        <w:t xml:space="preserve"> </w:t>
      </w:r>
      <w:r w:rsidRPr="00A81964">
        <w:rPr>
          <w:rFonts w:hint="eastAsia"/>
          <w:b/>
          <w:bCs/>
          <w:rtl/>
        </w:rPr>
        <w:t>ביחס</w:t>
      </w:r>
      <w:r w:rsidRPr="00A81964">
        <w:rPr>
          <w:b/>
          <w:bCs/>
          <w:rtl/>
        </w:rPr>
        <w:t xml:space="preserve"> </w:t>
      </w:r>
      <w:r w:rsidRPr="00A81964">
        <w:rPr>
          <w:rFonts w:hint="eastAsia"/>
          <w:b/>
          <w:bCs/>
          <w:rtl/>
        </w:rPr>
        <w:t>לרמתם</w:t>
      </w:r>
      <w:r w:rsidRPr="00A81964">
        <w:rPr>
          <w:b/>
          <w:bCs/>
          <w:rtl/>
        </w:rPr>
        <w:t xml:space="preserve"> </w:t>
      </w:r>
      <w:r w:rsidRPr="00A81964">
        <w:rPr>
          <w:rFonts w:hint="eastAsia"/>
          <w:b/>
          <w:bCs/>
          <w:rtl/>
        </w:rPr>
        <w:t>החזויה</w:t>
      </w:r>
      <w:r w:rsidRPr="00A81964">
        <w:rPr>
          <w:b/>
          <w:bCs/>
          <w:rtl/>
        </w:rPr>
        <w:t xml:space="preserve">, </w:t>
      </w:r>
      <w:r w:rsidRPr="00A81964">
        <w:rPr>
          <w:rFonts w:hint="eastAsia"/>
          <w:b/>
          <w:bCs/>
          <w:rtl/>
        </w:rPr>
        <w:t>ב</w:t>
      </w:r>
      <w:r>
        <w:rPr>
          <w:rFonts w:hint="cs"/>
          <w:b/>
          <w:bCs/>
          <w:rtl/>
        </w:rPr>
        <w:t>כלל ענפי המשק ובענפים נבחרים</w:t>
      </w:r>
    </w:p>
    <w:p w:rsidR="006252C4" w:rsidRPr="00585A82" w:rsidRDefault="006252C4" w:rsidP="006252C4">
      <w:pPr>
        <w:spacing w:line="269" w:lineRule="auto"/>
        <w:rPr>
          <w:rtl/>
        </w:rPr>
      </w:pPr>
      <w:r>
        <w:rPr>
          <w:rFonts w:hint="cs"/>
          <w:noProof/>
        </w:rPr>
        <w:drawing>
          <wp:inline distT="0" distB="0" distL="0" distR="0" wp14:anchorId="7F27E049" wp14:editId="37D44CE7">
            <wp:extent cx="5219700" cy="1952625"/>
            <wp:effectExtent l="0" t="0" r="0" b="9525"/>
            <wp:docPr id="43" name="תמונה 43" descr="תוכן התרשים מופיע בטקסט&#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980" b="7347"/>
                    <a:stretch/>
                  </pic:blipFill>
                  <pic:spPr bwMode="auto">
                    <a:xfrm>
                      <a:off x="0" y="0"/>
                      <a:ext cx="5219700" cy="1952625"/>
                    </a:xfrm>
                    <a:prstGeom prst="rect">
                      <a:avLst/>
                    </a:prstGeom>
                    <a:noFill/>
                    <a:ln>
                      <a:noFill/>
                    </a:ln>
                    <a:extLst>
                      <a:ext uri="{53640926-AAD7-44D8-BBD7-CCE9431645EC}">
                        <a14:shadowObscured xmlns:a14="http://schemas.microsoft.com/office/drawing/2010/main"/>
                      </a:ext>
                    </a:extLst>
                  </pic:spPr>
                </pic:pic>
              </a:graphicData>
            </a:graphic>
          </wp:inline>
        </w:drawing>
      </w:r>
      <w:r>
        <w:rPr>
          <w:szCs w:val="20"/>
          <w:rtl/>
        </w:rPr>
        <w:br/>
      </w:r>
      <w:r>
        <w:rPr>
          <w:rFonts w:hint="cs"/>
          <w:szCs w:val="20"/>
          <w:rtl/>
        </w:rPr>
        <w:t xml:space="preserve">על פי </w:t>
      </w:r>
      <w:r w:rsidRPr="00BD3854">
        <w:rPr>
          <w:rFonts w:hint="cs"/>
          <w:szCs w:val="20"/>
          <w:rtl/>
        </w:rPr>
        <w:t>נתוני</w:t>
      </w:r>
      <w:r w:rsidRPr="00BD3854">
        <w:rPr>
          <w:szCs w:val="20"/>
          <w:rtl/>
        </w:rPr>
        <w:t xml:space="preserve"> </w:t>
      </w:r>
      <w:r w:rsidRPr="00BD3854">
        <w:rPr>
          <w:rFonts w:hint="eastAsia"/>
          <w:szCs w:val="20"/>
          <w:rtl/>
        </w:rPr>
        <w:t>בנק</w:t>
      </w:r>
      <w:r w:rsidRPr="00BD3854">
        <w:rPr>
          <w:szCs w:val="20"/>
          <w:rtl/>
        </w:rPr>
        <w:t xml:space="preserve"> </w:t>
      </w:r>
      <w:r w:rsidRPr="00BD3854">
        <w:rPr>
          <w:rFonts w:hint="eastAsia"/>
          <w:szCs w:val="20"/>
          <w:rtl/>
        </w:rPr>
        <w:t>ישראל</w:t>
      </w:r>
      <w:r w:rsidRPr="00BD3854">
        <w:rPr>
          <w:rFonts w:hint="cs"/>
          <w:szCs w:val="20"/>
          <w:rtl/>
        </w:rPr>
        <w:t>, בעיבוד משרד מבקר המדינה.</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eastAsia"/>
          <w:b/>
          <w:bCs/>
          <w:rtl/>
        </w:rPr>
        <w:t>מתרשים</w:t>
      </w:r>
      <w:r w:rsidRPr="00A81964">
        <w:rPr>
          <w:b/>
          <w:bCs/>
          <w:rtl/>
        </w:rPr>
        <w:t xml:space="preserve"> 12 </w:t>
      </w:r>
      <w:r w:rsidRPr="00A81964">
        <w:rPr>
          <w:rFonts w:hint="eastAsia"/>
          <w:b/>
          <w:bCs/>
          <w:rtl/>
        </w:rPr>
        <w:t>עולה</w:t>
      </w:r>
      <w:r w:rsidRPr="00A81964">
        <w:rPr>
          <w:b/>
          <w:bCs/>
          <w:rtl/>
        </w:rPr>
        <w:t xml:space="preserve"> </w:t>
      </w:r>
      <w:r w:rsidRPr="00A81964">
        <w:rPr>
          <w:rFonts w:hint="eastAsia"/>
          <w:b/>
          <w:bCs/>
          <w:rtl/>
        </w:rPr>
        <w:t>כי</w:t>
      </w:r>
      <w:r w:rsidRPr="00A81964">
        <w:rPr>
          <w:b/>
          <w:bCs/>
          <w:rtl/>
        </w:rPr>
        <w:t xml:space="preserve"> </w:t>
      </w:r>
      <w:r w:rsidRPr="00A81964">
        <w:rPr>
          <w:rFonts w:hint="eastAsia"/>
          <w:b/>
          <w:bCs/>
          <w:rtl/>
        </w:rPr>
        <w:t>בחודשים</w:t>
      </w:r>
      <w:r w:rsidRPr="00A81964">
        <w:rPr>
          <w:b/>
          <w:bCs/>
          <w:rtl/>
        </w:rPr>
        <w:t xml:space="preserve"> </w:t>
      </w:r>
      <w:r w:rsidRPr="00A81964">
        <w:rPr>
          <w:rFonts w:hint="eastAsia"/>
          <w:b/>
          <w:bCs/>
          <w:rtl/>
        </w:rPr>
        <w:t>אוקטובר</w:t>
      </w:r>
      <w:r w:rsidRPr="00A81964">
        <w:rPr>
          <w:b/>
          <w:bCs/>
          <w:rtl/>
        </w:rPr>
        <w:t xml:space="preserve">-נובמבר 2023 </w:t>
      </w:r>
      <w:r w:rsidRPr="00A81964">
        <w:rPr>
          <w:rFonts w:hint="eastAsia"/>
          <w:b/>
          <w:bCs/>
          <w:rtl/>
        </w:rPr>
        <w:t>הכנסות</w:t>
      </w:r>
      <w:r w:rsidRPr="00A81964">
        <w:rPr>
          <w:b/>
          <w:bCs/>
          <w:rtl/>
        </w:rPr>
        <w:t xml:space="preserve"> </w:t>
      </w:r>
      <w:r w:rsidRPr="00A81964">
        <w:rPr>
          <w:rFonts w:hint="eastAsia"/>
          <w:b/>
          <w:bCs/>
          <w:rtl/>
        </w:rPr>
        <w:t>העסקים</w:t>
      </w:r>
      <w:r w:rsidRPr="00A81964">
        <w:rPr>
          <w:b/>
          <w:bCs/>
          <w:rtl/>
        </w:rPr>
        <w:t xml:space="preserve"> </w:t>
      </w:r>
      <w:r w:rsidRPr="00A81964">
        <w:rPr>
          <w:rFonts w:hint="eastAsia"/>
          <w:b/>
          <w:bCs/>
          <w:rtl/>
        </w:rPr>
        <w:t>בכלל</w:t>
      </w:r>
      <w:r w:rsidRPr="00A81964">
        <w:rPr>
          <w:b/>
          <w:bCs/>
          <w:rtl/>
        </w:rPr>
        <w:t xml:space="preserve"> </w:t>
      </w:r>
      <w:r w:rsidRPr="00A81964">
        <w:rPr>
          <w:rFonts w:hint="eastAsia"/>
          <w:b/>
          <w:bCs/>
          <w:rtl/>
        </w:rPr>
        <w:t>ענפי</w:t>
      </w:r>
      <w:r w:rsidRPr="00A81964">
        <w:rPr>
          <w:b/>
          <w:bCs/>
          <w:rtl/>
        </w:rPr>
        <w:t xml:space="preserve"> </w:t>
      </w:r>
      <w:r w:rsidRPr="00A81964">
        <w:rPr>
          <w:rFonts w:hint="eastAsia"/>
          <w:b/>
          <w:bCs/>
          <w:rtl/>
        </w:rPr>
        <w:t>המשק</w:t>
      </w:r>
      <w:r w:rsidRPr="00A81964">
        <w:rPr>
          <w:b/>
          <w:bCs/>
          <w:rtl/>
        </w:rPr>
        <w:t xml:space="preserve"> </w:t>
      </w:r>
      <w:r w:rsidRPr="00A81964">
        <w:rPr>
          <w:rFonts w:hint="eastAsia"/>
          <w:b/>
          <w:bCs/>
          <w:rtl/>
        </w:rPr>
        <w:t>פחתו</w:t>
      </w:r>
      <w:r w:rsidRPr="00A81964">
        <w:rPr>
          <w:b/>
          <w:bCs/>
          <w:rtl/>
        </w:rPr>
        <w:t xml:space="preserve"> </w:t>
      </w:r>
      <w:r w:rsidRPr="00A81964">
        <w:rPr>
          <w:rFonts w:hint="eastAsia"/>
          <w:b/>
          <w:bCs/>
          <w:rtl/>
        </w:rPr>
        <w:t>בכ</w:t>
      </w:r>
      <w:r w:rsidRPr="00A81964">
        <w:rPr>
          <w:b/>
          <w:bCs/>
          <w:rtl/>
        </w:rPr>
        <w:t xml:space="preserve">-9%, </w:t>
      </w:r>
      <w:r w:rsidRPr="00A81964">
        <w:rPr>
          <w:rFonts w:hint="eastAsia"/>
          <w:b/>
          <w:bCs/>
          <w:rtl/>
        </w:rPr>
        <w:t>ובענפים</w:t>
      </w:r>
      <w:r w:rsidRPr="00A81964">
        <w:rPr>
          <w:b/>
          <w:bCs/>
          <w:rtl/>
        </w:rPr>
        <w:t xml:space="preserve"> </w:t>
      </w:r>
      <w:r w:rsidRPr="00A81964">
        <w:rPr>
          <w:rFonts w:hint="eastAsia"/>
          <w:b/>
          <w:bCs/>
          <w:rtl/>
        </w:rPr>
        <w:t>מסוימים</w:t>
      </w:r>
      <w:r w:rsidRPr="00A81964">
        <w:rPr>
          <w:b/>
          <w:bCs/>
          <w:rtl/>
        </w:rPr>
        <w:t xml:space="preserve"> </w:t>
      </w:r>
      <w:r w:rsidRPr="00A81964">
        <w:rPr>
          <w:rFonts w:hint="eastAsia"/>
          <w:b/>
          <w:bCs/>
          <w:rtl/>
        </w:rPr>
        <w:t>חלה</w:t>
      </w:r>
      <w:r w:rsidRPr="00A81964">
        <w:rPr>
          <w:b/>
          <w:bCs/>
          <w:rtl/>
        </w:rPr>
        <w:t xml:space="preserve"> </w:t>
      </w:r>
      <w:r w:rsidRPr="00A81964">
        <w:rPr>
          <w:rFonts w:hint="eastAsia"/>
          <w:b/>
          <w:bCs/>
          <w:rtl/>
        </w:rPr>
        <w:t>ירידה</w:t>
      </w:r>
      <w:r w:rsidRPr="00A81964">
        <w:rPr>
          <w:b/>
          <w:bCs/>
          <w:rtl/>
        </w:rPr>
        <w:t xml:space="preserve"> </w:t>
      </w:r>
      <w:r w:rsidRPr="00A81964">
        <w:rPr>
          <w:rFonts w:hint="eastAsia"/>
          <w:b/>
          <w:bCs/>
          <w:rtl/>
        </w:rPr>
        <w:t>של</w:t>
      </w:r>
      <w:r w:rsidRPr="00A81964">
        <w:rPr>
          <w:b/>
          <w:bCs/>
          <w:rtl/>
        </w:rPr>
        <w:t xml:space="preserve"> </w:t>
      </w:r>
      <w:r w:rsidRPr="00A81964">
        <w:rPr>
          <w:rFonts w:hint="eastAsia"/>
          <w:b/>
          <w:bCs/>
          <w:rtl/>
        </w:rPr>
        <w:t>עד</w:t>
      </w:r>
      <w:r w:rsidRPr="00A81964">
        <w:rPr>
          <w:b/>
          <w:bCs/>
          <w:rtl/>
        </w:rPr>
        <w:t xml:space="preserve"> 60% </w:t>
      </w:r>
      <w:r w:rsidRPr="00A81964">
        <w:rPr>
          <w:rFonts w:hint="eastAsia"/>
          <w:b/>
          <w:bCs/>
          <w:rtl/>
        </w:rPr>
        <w:t>בהכנסות</w:t>
      </w:r>
      <w:r w:rsidRPr="00A81964">
        <w:rPr>
          <w:rFonts w:hint="cs"/>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כמו כן, השוואה בין נתוני ההכנסות של</w:t>
      </w:r>
      <w:r w:rsidRPr="00A81964">
        <w:t xml:space="preserve"> </w:t>
      </w:r>
      <w:r w:rsidRPr="00A81964">
        <w:rPr>
          <w:rFonts w:hint="cs"/>
          <w:rtl/>
        </w:rPr>
        <w:t>העסקים לאחר פרוץ המלחמה לבין התקופה שקדמה לה, תוך הבחנה בין סוגי היישובים - יישובים מפונים בדרום, יישובים מפונים בצפון ויתר היישובים בארץ - יכולה ללמד על השוני בהיקף הפגיעה בפעילות העסקית בכל אחד מהם.</w:t>
      </w:r>
    </w:p>
    <w:p w:rsidR="006252C4" w:rsidRPr="00A81964" w:rsidRDefault="006252C4" w:rsidP="006252C4">
      <w:pPr>
        <w:spacing w:line="269" w:lineRule="auto"/>
        <w:rPr>
          <w:rtl/>
        </w:rPr>
      </w:pPr>
    </w:p>
    <w:p w:rsidR="006252C4" w:rsidRPr="00A81964" w:rsidRDefault="006252C4" w:rsidP="006252C4">
      <w:pPr>
        <w:keepNext/>
        <w:keepLines/>
        <w:spacing w:line="269" w:lineRule="auto"/>
        <w:jc w:val="center"/>
        <w:rPr>
          <w:rtl/>
        </w:rPr>
      </w:pPr>
      <w:r w:rsidRPr="00A81964">
        <w:rPr>
          <w:rFonts w:hint="eastAsia"/>
          <w:rtl/>
        </w:rPr>
        <w:lastRenderedPageBreak/>
        <w:t>תרשים</w:t>
      </w:r>
      <w:r w:rsidRPr="00A81964">
        <w:rPr>
          <w:rtl/>
        </w:rPr>
        <w:t xml:space="preserve"> 13: </w:t>
      </w:r>
      <w:r w:rsidRPr="00A81964">
        <w:rPr>
          <w:rFonts w:hint="eastAsia"/>
          <w:b/>
          <w:bCs/>
          <w:rtl/>
        </w:rPr>
        <w:t>השינוי</w:t>
      </w:r>
      <w:r w:rsidRPr="00A81964">
        <w:rPr>
          <w:b/>
          <w:bCs/>
          <w:rtl/>
        </w:rPr>
        <w:t xml:space="preserve"> </w:t>
      </w:r>
      <w:r w:rsidRPr="00A81964">
        <w:rPr>
          <w:rFonts w:hint="eastAsia"/>
          <w:b/>
          <w:bCs/>
          <w:rtl/>
        </w:rPr>
        <w:t>בהכנסות</w:t>
      </w:r>
      <w:r w:rsidRPr="00A81964">
        <w:rPr>
          <w:b/>
          <w:bCs/>
          <w:rtl/>
        </w:rPr>
        <w:t xml:space="preserve"> </w:t>
      </w:r>
      <w:r w:rsidRPr="00A81964">
        <w:rPr>
          <w:rFonts w:hint="eastAsia"/>
          <w:b/>
          <w:bCs/>
          <w:rtl/>
        </w:rPr>
        <w:t>העסקים</w:t>
      </w:r>
      <w:r w:rsidRPr="00A81964">
        <w:rPr>
          <w:b/>
          <w:bCs/>
          <w:rtl/>
        </w:rPr>
        <w:t xml:space="preserve"> </w:t>
      </w:r>
      <w:r w:rsidRPr="00A81964">
        <w:rPr>
          <w:rFonts w:hint="eastAsia"/>
          <w:b/>
          <w:bCs/>
          <w:rtl/>
        </w:rPr>
        <w:t>ביחס</w:t>
      </w:r>
      <w:r w:rsidRPr="00A81964">
        <w:rPr>
          <w:b/>
          <w:bCs/>
          <w:rtl/>
        </w:rPr>
        <w:t xml:space="preserve"> </w:t>
      </w:r>
      <w:r w:rsidRPr="00A81964">
        <w:rPr>
          <w:rFonts w:hint="eastAsia"/>
          <w:b/>
          <w:bCs/>
          <w:rtl/>
        </w:rPr>
        <w:t>לתקופה</w:t>
      </w:r>
      <w:r w:rsidRPr="00A81964">
        <w:rPr>
          <w:b/>
          <w:bCs/>
          <w:rtl/>
        </w:rPr>
        <w:t xml:space="preserve"> </w:t>
      </w:r>
      <w:r w:rsidRPr="00A81964">
        <w:rPr>
          <w:rFonts w:hint="eastAsia"/>
          <w:b/>
          <w:bCs/>
          <w:rtl/>
        </w:rPr>
        <w:t>שקדמה</w:t>
      </w:r>
      <w:r w:rsidRPr="00A81964">
        <w:rPr>
          <w:b/>
          <w:bCs/>
          <w:rtl/>
        </w:rPr>
        <w:t xml:space="preserve"> </w:t>
      </w:r>
      <w:r w:rsidRPr="00A81964">
        <w:rPr>
          <w:rFonts w:hint="eastAsia"/>
          <w:b/>
          <w:bCs/>
          <w:rtl/>
        </w:rPr>
        <w:t>למלחמה</w:t>
      </w:r>
    </w:p>
    <w:p w:rsidR="006252C4" w:rsidRPr="00A81964" w:rsidRDefault="006252C4" w:rsidP="006252C4">
      <w:pPr>
        <w:spacing w:line="269" w:lineRule="auto"/>
        <w:jc w:val="center"/>
        <w:rPr>
          <w:rtl/>
        </w:rPr>
      </w:pPr>
      <w:r w:rsidRPr="00A81964">
        <w:rPr>
          <w:noProof/>
        </w:rPr>
        <w:drawing>
          <wp:inline distT="0" distB="0" distL="0" distR="0" wp14:anchorId="66970179" wp14:editId="4A206AB4">
            <wp:extent cx="5705475" cy="2390775"/>
            <wp:effectExtent l="0" t="0" r="9525" b="9525"/>
            <wp:docPr id="214" name="תמונה 21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
                    <pic:cNvPicPr/>
                  </pic:nvPicPr>
                  <pic:blipFill>
                    <a:blip r:embed="rId31"/>
                    <a:stretch>
                      <a:fillRect/>
                    </a:stretch>
                  </pic:blipFill>
                  <pic:spPr>
                    <a:xfrm>
                      <a:off x="0" y="0"/>
                      <a:ext cx="5725999" cy="2399375"/>
                    </a:xfrm>
                    <a:prstGeom prst="rect">
                      <a:avLst/>
                    </a:prstGeom>
                  </pic:spPr>
                </pic:pic>
              </a:graphicData>
            </a:graphic>
          </wp:inline>
        </w:drawing>
      </w:r>
    </w:p>
    <w:p w:rsidR="006252C4" w:rsidRPr="00A81964" w:rsidRDefault="006252C4" w:rsidP="006252C4">
      <w:pPr>
        <w:spacing w:line="269" w:lineRule="auto"/>
        <w:rPr>
          <w:sz w:val="16"/>
          <w:szCs w:val="20"/>
          <w:rtl/>
        </w:rPr>
      </w:pPr>
      <w:r w:rsidRPr="00A81964">
        <w:rPr>
          <w:rFonts w:hint="cs"/>
          <w:sz w:val="16"/>
          <w:szCs w:val="20"/>
          <w:rtl/>
        </w:rPr>
        <w:t>ה</w:t>
      </w:r>
      <w:r w:rsidRPr="00A81964">
        <w:rPr>
          <w:rFonts w:hint="eastAsia"/>
          <w:sz w:val="16"/>
          <w:szCs w:val="20"/>
          <w:rtl/>
        </w:rPr>
        <w:t>מקור</w:t>
      </w:r>
      <w:r w:rsidRPr="00A81964">
        <w:rPr>
          <w:sz w:val="16"/>
          <w:szCs w:val="20"/>
          <w:rtl/>
        </w:rPr>
        <w:t xml:space="preserve">: </w:t>
      </w:r>
      <w:r w:rsidRPr="00145F84">
        <w:rPr>
          <w:rFonts w:hint="cs"/>
          <w:sz w:val="16"/>
          <w:szCs w:val="20"/>
          <w:rtl/>
        </w:rPr>
        <w:t>משרד הכלכלה</w:t>
      </w:r>
      <w:r w:rsidRPr="00310B63">
        <w:rPr>
          <w:rFonts w:hint="cs"/>
          <w:szCs w:val="20"/>
          <w:rtl/>
        </w:rPr>
        <w:t>.</w:t>
      </w:r>
    </w:p>
    <w:p w:rsidR="00794DF5" w:rsidRDefault="00794DF5" w:rsidP="006252C4">
      <w:pPr>
        <w:spacing w:line="269" w:lineRule="auto"/>
        <w:rPr>
          <w:b/>
          <w:bCs/>
          <w:rtl/>
        </w:rPr>
      </w:pPr>
    </w:p>
    <w:p w:rsidR="006252C4" w:rsidRPr="00C25C51" w:rsidRDefault="006252C4" w:rsidP="006252C4">
      <w:pPr>
        <w:spacing w:line="269" w:lineRule="auto"/>
        <w:rPr>
          <w:b/>
          <w:bCs/>
          <w:rtl/>
        </w:rPr>
      </w:pPr>
      <w:r w:rsidRPr="00C25C51">
        <w:rPr>
          <w:rFonts w:hint="eastAsia"/>
          <w:b/>
          <w:bCs/>
          <w:rtl/>
        </w:rPr>
        <w:t>מתרשים</w:t>
      </w:r>
      <w:r w:rsidRPr="00C25C51">
        <w:rPr>
          <w:b/>
          <w:bCs/>
          <w:rtl/>
        </w:rPr>
        <w:t xml:space="preserve"> 13 עולה כי ההכנסות של עסקים ביישובים מפונים בדרום הארץ פחתו בחודשים אוקטובר-דצמבר 2023 בשיעורים שונים, עד כ-40%, וחזרו לרמתן ערב המלחמה רק בחודש פברואר 2024. ההכנסות של עסקים ביישובים מפונים בצפון הארץ פחתו בחודשים אוקטובר-נובמבר 2023 בשיעורים שונים, עד כ-25%. </w:t>
      </w:r>
      <w:r w:rsidRPr="00C25C51">
        <w:rPr>
          <w:rFonts w:hint="eastAsia"/>
          <w:b/>
          <w:bCs/>
          <w:rtl/>
        </w:rPr>
        <w:t>נכון</w:t>
      </w:r>
      <w:r w:rsidRPr="00C25C51">
        <w:rPr>
          <w:b/>
          <w:bCs/>
          <w:rtl/>
        </w:rPr>
        <w:t xml:space="preserve"> </w:t>
      </w:r>
      <w:r w:rsidRPr="00C25C51">
        <w:rPr>
          <w:rFonts w:hint="eastAsia"/>
          <w:b/>
          <w:bCs/>
          <w:rtl/>
        </w:rPr>
        <w:t>למרץ</w:t>
      </w:r>
      <w:r w:rsidRPr="00C25C51">
        <w:rPr>
          <w:b/>
          <w:bCs/>
          <w:rtl/>
        </w:rPr>
        <w:t xml:space="preserve"> 2024, </w:t>
      </w:r>
      <w:r w:rsidRPr="00C25C51">
        <w:rPr>
          <w:rFonts w:hint="eastAsia"/>
          <w:b/>
          <w:bCs/>
          <w:rtl/>
        </w:rPr>
        <w:t>הכנסות</w:t>
      </w:r>
      <w:r w:rsidRPr="00C25C51">
        <w:rPr>
          <w:b/>
          <w:bCs/>
          <w:rtl/>
        </w:rPr>
        <w:t xml:space="preserve"> </w:t>
      </w:r>
      <w:r w:rsidRPr="00C25C51">
        <w:rPr>
          <w:rFonts w:hint="eastAsia"/>
          <w:b/>
          <w:bCs/>
          <w:rtl/>
        </w:rPr>
        <w:t>יישובי</w:t>
      </w:r>
      <w:r w:rsidRPr="00C25C51">
        <w:rPr>
          <w:b/>
          <w:bCs/>
          <w:rtl/>
        </w:rPr>
        <w:t xml:space="preserve"> </w:t>
      </w:r>
      <w:r w:rsidRPr="00C25C51">
        <w:rPr>
          <w:rFonts w:hint="eastAsia"/>
          <w:b/>
          <w:bCs/>
          <w:rtl/>
        </w:rPr>
        <w:t>הצפון</w:t>
      </w:r>
      <w:r w:rsidRPr="00C25C51">
        <w:rPr>
          <w:b/>
          <w:bCs/>
          <w:rtl/>
        </w:rPr>
        <w:t xml:space="preserve"> </w:t>
      </w:r>
      <w:r w:rsidRPr="00C25C51">
        <w:rPr>
          <w:rFonts w:hint="eastAsia"/>
          <w:b/>
          <w:bCs/>
          <w:rtl/>
        </w:rPr>
        <w:t>טרם</w:t>
      </w:r>
      <w:r w:rsidRPr="00C25C51">
        <w:rPr>
          <w:b/>
          <w:bCs/>
          <w:rtl/>
        </w:rPr>
        <w:t xml:space="preserve"> </w:t>
      </w:r>
      <w:r w:rsidRPr="00C25C51">
        <w:rPr>
          <w:rFonts w:hint="eastAsia"/>
          <w:b/>
          <w:bCs/>
          <w:rtl/>
        </w:rPr>
        <w:t>חזרו</w:t>
      </w:r>
      <w:r w:rsidRPr="00C25C51">
        <w:rPr>
          <w:b/>
          <w:bCs/>
          <w:rtl/>
        </w:rPr>
        <w:t xml:space="preserve"> </w:t>
      </w:r>
      <w:r w:rsidRPr="00C25C51">
        <w:rPr>
          <w:rFonts w:hint="eastAsia"/>
          <w:b/>
          <w:bCs/>
          <w:rtl/>
        </w:rPr>
        <w:t>לרמתן</w:t>
      </w:r>
      <w:r w:rsidRPr="00C25C51">
        <w:rPr>
          <w:b/>
          <w:bCs/>
          <w:rtl/>
        </w:rPr>
        <w:t xml:space="preserve"> </w:t>
      </w:r>
      <w:r w:rsidRPr="00C25C51">
        <w:rPr>
          <w:rFonts w:hint="eastAsia"/>
          <w:b/>
          <w:bCs/>
          <w:rtl/>
        </w:rPr>
        <w:t>ערב</w:t>
      </w:r>
      <w:r w:rsidRPr="00C25C51">
        <w:rPr>
          <w:b/>
          <w:bCs/>
          <w:rtl/>
        </w:rPr>
        <w:t xml:space="preserve"> </w:t>
      </w:r>
      <w:r w:rsidRPr="00C25C51">
        <w:rPr>
          <w:rFonts w:hint="eastAsia"/>
          <w:b/>
          <w:bCs/>
          <w:rtl/>
        </w:rPr>
        <w:t>המלחמה</w:t>
      </w:r>
      <w:r w:rsidRPr="00C25C51">
        <w:rPr>
          <w:b/>
          <w:bCs/>
          <w:rtl/>
        </w:rPr>
        <w:t xml:space="preserve">, </w:t>
      </w:r>
      <w:r w:rsidRPr="00C25C51">
        <w:rPr>
          <w:rFonts w:hint="eastAsia"/>
          <w:b/>
          <w:bCs/>
          <w:rtl/>
        </w:rPr>
        <w:t>והפער</w:t>
      </w:r>
      <w:r w:rsidRPr="00C25C51">
        <w:rPr>
          <w:b/>
          <w:bCs/>
          <w:rtl/>
        </w:rPr>
        <w:t xml:space="preserve"> </w:t>
      </w:r>
      <w:r w:rsidRPr="00C25C51">
        <w:rPr>
          <w:rFonts w:hint="eastAsia"/>
          <w:b/>
          <w:bCs/>
          <w:rtl/>
        </w:rPr>
        <w:t>עומד</w:t>
      </w:r>
      <w:r w:rsidRPr="00C25C51">
        <w:rPr>
          <w:b/>
          <w:bCs/>
          <w:rtl/>
        </w:rPr>
        <w:t xml:space="preserve"> </w:t>
      </w:r>
      <w:r w:rsidRPr="00C25C51">
        <w:rPr>
          <w:rFonts w:hint="eastAsia"/>
          <w:b/>
          <w:bCs/>
          <w:rtl/>
        </w:rPr>
        <w:t>על</w:t>
      </w:r>
      <w:r w:rsidRPr="00C25C51">
        <w:rPr>
          <w:b/>
          <w:bCs/>
          <w:rtl/>
        </w:rPr>
        <w:t xml:space="preserve"> </w:t>
      </w:r>
      <w:r w:rsidRPr="00C25C51">
        <w:rPr>
          <w:rFonts w:hint="eastAsia"/>
          <w:b/>
          <w:bCs/>
          <w:rtl/>
        </w:rPr>
        <w:t>כ</w:t>
      </w:r>
      <w:r w:rsidRPr="00C25C51">
        <w:rPr>
          <w:b/>
          <w:bCs/>
          <w:rtl/>
        </w:rPr>
        <w:t xml:space="preserve">-20% </w:t>
      </w:r>
      <w:r w:rsidRPr="00C25C51">
        <w:rPr>
          <w:rFonts w:hint="eastAsia"/>
          <w:b/>
          <w:bCs/>
          <w:rtl/>
        </w:rPr>
        <w:t>ביחס</w:t>
      </w:r>
      <w:r w:rsidRPr="00C25C51">
        <w:rPr>
          <w:b/>
          <w:bCs/>
          <w:rtl/>
        </w:rPr>
        <w:t xml:space="preserve"> </w:t>
      </w:r>
      <w:r w:rsidRPr="00C25C51">
        <w:rPr>
          <w:rFonts w:hint="eastAsia"/>
          <w:b/>
          <w:bCs/>
          <w:rtl/>
        </w:rPr>
        <w:t>לתקופה</w:t>
      </w:r>
      <w:r w:rsidRPr="00C25C51">
        <w:rPr>
          <w:b/>
          <w:bCs/>
          <w:rtl/>
        </w:rPr>
        <w:t xml:space="preserve"> </w:t>
      </w:r>
      <w:r w:rsidRPr="00C25C51">
        <w:rPr>
          <w:rFonts w:hint="eastAsia"/>
          <w:b/>
          <w:bCs/>
          <w:rtl/>
        </w:rPr>
        <w:t>שקדמה</w:t>
      </w:r>
      <w:r w:rsidRPr="00C25C51">
        <w:rPr>
          <w:b/>
          <w:bCs/>
          <w:rtl/>
        </w:rPr>
        <w:t xml:space="preserve"> </w:t>
      </w:r>
      <w:r w:rsidRPr="00C25C51">
        <w:rPr>
          <w:rFonts w:hint="eastAsia"/>
          <w:b/>
          <w:bCs/>
          <w:rtl/>
        </w:rPr>
        <w:t>למלחמה</w:t>
      </w:r>
      <w:r w:rsidRPr="00C25C51">
        <w:rPr>
          <w:b/>
          <w:bCs/>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כאמור, לאחר פרוץ מלחמת חרבות ברזל נקבעו בחוק ובתקנות מכוחו</w:t>
      </w:r>
      <w:r w:rsidRPr="00A81964">
        <w:rPr>
          <w:rStyle w:val="af2"/>
          <w:rtl/>
        </w:rPr>
        <w:footnoteReference w:id="75"/>
      </w:r>
      <w:r w:rsidRPr="00A81964">
        <w:rPr>
          <w:rFonts w:hint="cs"/>
          <w:rtl/>
        </w:rPr>
        <w:t xml:space="preserve"> הוראות באשר לזכאות לפיצויים שמגדירות את התקופות בגינן ניתן לדרוש פיצוי ומסלולים שונים לתשלום פיצוי בעד נזק עקיף. נכון למועד סיום הביקורת, התקופות בגינן ניתן היה להגיש תביעות לפיצויים בשל נזקים עקיפים שנגרמו במלחמת חרבות ברזל היו אוקטובר 2023, נובמבר-דצמבר 2023, ינואר-פברואר 2024, מרץ-אפריל 2024,מאי-יוני 2024</w:t>
      </w:r>
      <w:r w:rsidRPr="00A81964">
        <w:rPr>
          <w:rtl/>
        </w:rPr>
        <w:t xml:space="preserve">, </w:t>
      </w:r>
      <w:r w:rsidRPr="00A81964">
        <w:rPr>
          <w:rFonts w:hint="eastAsia"/>
          <w:rtl/>
        </w:rPr>
        <w:t>יולי</w:t>
      </w:r>
      <w:r w:rsidRPr="00A81964">
        <w:rPr>
          <w:rtl/>
        </w:rPr>
        <w:t xml:space="preserve">-אוגוסט 2024 </w:t>
      </w:r>
      <w:r w:rsidRPr="00A81964">
        <w:rPr>
          <w:rFonts w:hint="eastAsia"/>
          <w:rtl/>
        </w:rPr>
        <w:t>וספ</w:t>
      </w:r>
      <w:r w:rsidRPr="00A81964">
        <w:rPr>
          <w:rFonts w:hint="cs"/>
          <w:rtl/>
        </w:rPr>
        <w:t>ט</w:t>
      </w:r>
      <w:r w:rsidRPr="00A81964">
        <w:rPr>
          <w:rFonts w:hint="eastAsia"/>
          <w:rtl/>
        </w:rPr>
        <w:t>מבר</w:t>
      </w:r>
      <w:r w:rsidRPr="00A81964">
        <w:rPr>
          <w:rtl/>
        </w:rPr>
        <w:t>-אוקטובר 2024</w:t>
      </w:r>
      <w:r w:rsidRPr="00A81964">
        <w:rPr>
          <w:rFonts w:hint="cs"/>
          <w:rtl/>
        </w:rPr>
        <w:t>.</w:t>
      </w:r>
      <w:r w:rsidRPr="00A81964">
        <w:rPr>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לצורך אישור כל אחד ממסלולי הפיצוי בגין נזקים עקיפים, רשות </w:t>
      </w:r>
      <w:r>
        <w:rPr>
          <w:rFonts w:hint="cs"/>
          <w:rtl/>
        </w:rPr>
        <w:t>המיסים</w:t>
      </w:r>
      <w:r w:rsidRPr="00A81964">
        <w:rPr>
          <w:rFonts w:hint="cs"/>
          <w:rtl/>
        </w:rPr>
        <w:t xml:space="preserve"> ומשרד האוצר ערכו עבודת מטה שכללה דיונים עם גורמים רלוונטיים במשרדי הממשלה ובהתאחדויות של ענפי העסקים השונים. ההסדרים שגובשו נכללו בהצעות לתיקוני חקיקה ראשית וחקיקת משנה. </w:t>
      </w:r>
      <w:r w:rsidRPr="00A81964">
        <w:rPr>
          <w:rtl/>
        </w:rPr>
        <w:t>רק לאחר שנשלמו הליכי החקיקה</w:t>
      </w:r>
      <w:r w:rsidRPr="00A81964">
        <w:rPr>
          <w:rFonts w:hint="cs"/>
          <w:rtl/>
        </w:rPr>
        <w:t xml:space="preserve"> (להלן - כניסת הוראות החוק לתוקפן),</w:t>
      </w:r>
      <w:r w:rsidRPr="00A81964">
        <w:rPr>
          <w:rtl/>
        </w:rPr>
        <w:t xml:space="preserve"> ניתן היה ליישם את מסלולי הפיצוי בעד נזק עקיף שנגרם לניזוקים במלחמת חרבות ברזל.</w:t>
      </w:r>
    </w:p>
    <w:p w:rsidR="006252C4" w:rsidRDefault="006252C4" w:rsidP="006252C4">
      <w:pPr>
        <w:pStyle w:val="a8"/>
        <w:spacing w:line="269" w:lineRule="auto"/>
        <w:rPr>
          <w:rtl/>
        </w:rPr>
      </w:pPr>
    </w:p>
    <w:p w:rsidR="006252C4" w:rsidRDefault="006252C4" w:rsidP="006252C4">
      <w:pPr>
        <w:spacing w:line="269" w:lineRule="auto"/>
        <w:rPr>
          <w:rtl/>
        </w:rPr>
      </w:pPr>
      <w:r w:rsidRPr="00A81964">
        <w:rPr>
          <w:rFonts w:hint="cs"/>
          <w:rtl/>
        </w:rPr>
        <w:lastRenderedPageBreak/>
        <w:t xml:space="preserve">הגשת תביעות לפיצויים בגין נזקים עקיפים וניהול הטיפול בהן נעשים במערכת ייעודית שפיתחה רשות המיסים (להלן - מערכת התביעות) לאחר שנכנסו הוראות החוק לתוקפן ועם השלמת ההתאמות במערכת בהתאם לנוסחאות ולקריטריונים לפיצוי שנקבעו.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להלן בלוח </w:t>
      </w:r>
      <w:r>
        <w:rPr>
          <w:rFonts w:hint="cs"/>
          <w:rtl/>
        </w:rPr>
        <w:t>9</w:t>
      </w:r>
      <w:r w:rsidRPr="00A81964">
        <w:rPr>
          <w:rFonts w:hint="cs"/>
          <w:rtl/>
        </w:rPr>
        <w:t xml:space="preserve"> מוצגים מועדי כניסת הוראות החוק לתוקפן בהקשר של מלחמת חרבות ברזל לגבי כל אחד ממסלולי הפיצויים בגין נזקים עקיפים בכל אחת מהתקופות</w:t>
      </w:r>
      <w:r w:rsidRPr="00A81964">
        <w:rPr>
          <w:rFonts w:hint="cs"/>
        </w:rPr>
        <w:t xml:space="preserve"> </w:t>
      </w:r>
      <w:r w:rsidRPr="00A81964">
        <w:rPr>
          <w:rFonts w:hint="cs"/>
          <w:rtl/>
        </w:rPr>
        <w:t xml:space="preserve">ומספר הימים שחלפו מהמועד שבו נגרם הנזק העקיף ועד למועד כניסת הוראות החוק לתוקפן.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לצורך ניתוח הנתונים בדוח זה, חושב המועד שבו נגרם הנזק העקיף (להלן - מועד הנזק העקיף)</w:t>
      </w:r>
      <w:r w:rsidRPr="00A81964">
        <w:rPr>
          <w:rtl/>
        </w:rPr>
        <w:t xml:space="preserve"> </w:t>
      </w:r>
      <w:r w:rsidRPr="00A81964">
        <w:rPr>
          <w:rFonts w:hint="cs"/>
          <w:rtl/>
        </w:rPr>
        <w:t>כ</w:t>
      </w:r>
      <w:r w:rsidRPr="00A81964">
        <w:rPr>
          <w:rtl/>
        </w:rPr>
        <w:t>אמצע התקופה</w:t>
      </w:r>
      <w:r w:rsidRPr="00A81964">
        <w:rPr>
          <w:rFonts w:hint="cs"/>
          <w:rtl/>
        </w:rPr>
        <w:t xml:space="preserve"> שבגינה ניתן להגיש תביעה לפיצוי</w:t>
      </w:r>
      <w:r w:rsidRPr="00A81964">
        <w:rPr>
          <w:rStyle w:val="af2"/>
          <w:rtl/>
        </w:rPr>
        <w:footnoteReference w:id="76"/>
      </w:r>
      <w:r w:rsidRPr="00A81964">
        <w:rPr>
          <w:rFonts w:hint="cs"/>
          <w:rtl/>
        </w:rPr>
        <w:t>,</w:t>
      </w:r>
      <w:r w:rsidRPr="00A81964">
        <w:rPr>
          <w:rtl/>
        </w:rPr>
        <w:t xml:space="preserve"> מתוך הנחה שהנזק שנגרם לעסקים נפרס באופן שווה על פני התקופה.</w:t>
      </w:r>
    </w:p>
    <w:p w:rsidR="006252C4" w:rsidRPr="00A81964" w:rsidRDefault="006252C4" w:rsidP="006252C4">
      <w:pPr>
        <w:spacing w:line="269" w:lineRule="auto"/>
        <w:rPr>
          <w:rtl/>
        </w:rPr>
      </w:pPr>
    </w:p>
    <w:p w:rsidR="006252C4" w:rsidRDefault="006252C4" w:rsidP="006252C4">
      <w:pPr>
        <w:bidi w:val="0"/>
        <w:spacing w:after="200" w:line="276" w:lineRule="auto"/>
        <w:rPr>
          <w:rtl/>
        </w:rPr>
      </w:pPr>
      <w:r>
        <w:rPr>
          <w:rtl/>
        </w:rPr>
        <w:br w:type="page"/>
      </w:r>
    </w:p>
    <w:p w:rsidR="006252C4" w:rsidRPr="00A81964" w:rsidRDefault="006252C4" w:rsidP="00794DF5">
      <w:pPr>
        <w:keepNext/>
        <w:keepLines/>
        <w:jc w:val="center"/>
        <w:rPr>
          <w:b/>
          <w:bCs/>
          <w:rtl/>
        </w:rPr>
      </w:pPr>
      <w:r w:rsidRPr="00A81964">
        <w:rPr>
          <w:rFonts w:hint="eastAsia"/>
          <w:rtl/>
        </w:rPr>
        <w:lastRenderedPageBreak/>
        <w:t>לוח</w:t>
      </w:r>
      <w:r w:rsidRPr="00A81964">
        <w:rPr>
          <w:rtl/>
        </w:rPr>
        <w:t xml:space="preserve"> </w:t>
      </w:r>
      <w:r>
        <w:rPr>
          <w:rFonts w:hint="cs"/>
          <w:rtl/>
        </w:rPr>
        <w:t>9</w:t>
      </w:r>
      <w:r w:rsidRPr="00A81964">
        <w:rPr>
          <w:rtl/>
        </w:rPr>
        <w:t>:</w:t>
      </w:r>
      <w:r w:rsidRPr="00A81964">
        <w:rPr>
          <w:b/>
          <w:bCs/>
          <w:rtl/>
        </w:rPr>
        <w:t xml:space="preserve"> </w:t>
      </w:r>
      <w:r w:rsidRPr="00A81964">
        <w:rPr>
          <w:rFonts w:hint="eastAsia"/>
          <w:b/>
          <w:bCs/>
          <w:rtl/>
        </w:rPr>
        <w:t>מועדי</w:t>
      </w:r>
      <w:r w:rsidRPr="00A81964">
        <w:rPr>
          <w:b/>
          <w:bCs/>
          <w:rtl/>
        </w:rPr>
        <w:t xml:space="preserve"> </w:t>
      </w:r>
      <w:r w:rsidRPr="00A81964">
        <w:rPr>
          <w:rFonts w:hint="eastAsia"/>
          <w:b/>
          <w:bCs/>
          <w:rtl/>
        </w:rPr>
        <w:t>כניסת</w:t>
      </w:r>
      <w:r w:rsidRPr="00A81964">
        <w:rPr>
          <w:b/>
          <w:bCs/>
          <w:rtl/>
        </w:rPr>
        <w:t xml:space="preserve"> </w:t>
      </w:r>
      <w:r w:rsidRPr="00A81964">
        <w:rPr>
          <w:rFonts w:hint="eastAsia"/>
          <w:b/>
          <w:bCs/>
          <w:rtl/>
        </w:rPr>
        <w:t>הוראות</w:t>
      </w:r>
      <w:r w:rsidRPr="00A81964">
        <w:rPr>
          <w:b/>
          <w:bCs/>
          <w:rtl/>
        </w:rPr>
        <w:t xml:space="preserve"> </w:t>
      </w:r>
      <w:r w:rsidRPr="00A81964">
        <w:rPr>
          <w:rFonts w:hint="eastAsia"/>
          <w:b/>
          <w:bCs/>
          <w:rtl/>
        </w:rPr>
        <w:t>החוק</w:t>
      </w:r>
      <w:r w:rsidRPr="00A81964">
        <w:rPr>
          <w:b/>
          <w:bCs/>
          <w:rtl/>
        </w:rPr>
        <w:t xml:space="preserve"> </w:t>
      </w:r>
      <w:r w:rsidRPr="00A81964">
        <w:rPr>
          <w:rFonts w:hint="eastAsia"/>
          <w:b/>
          <w:bCs/>
          <w:rtl/>
        </w:rPr>
        <w:t>לתוקפן</w:t>
      </w:r>
      <w:r w:rsidRPr="00A81964">
        <w:rPr>
          <w:b/>
          <w:bCs/>
        </w:rPr>
        <w:t xml:space="preserve"> </w:t>
      </w:r>
      <w:r w:rsidRPr="00A81964">
        <w:rPr>
          <w:rFonts w:hint="eastAsia"/>
          <w:b/>
          <w:bCs/>
          <w:rtl/>
        </w:rPr>
        <w:t>ומספר</w:t>
      </w:r>
      <w:r w:rsidRPr="00A81964">
        <w:rPr>
          <w:b/>
          <w:bCs/>
          <w:rtl/>
        </w:rPr>
        <w:t xml:space="preserve"> </w:t>
      </w:r>
      <w:r w:rsidRPr="00A81964">
        <w:rPr>
          <w:rFonts w:hint="cs"/>
          <w:b/>
          <w:bCs/>
          <w:rtl/>
        </w:rPr>
        <w:t>ה</w:t>
      </w:r>
      <w:r w:rsidRPr="00A81964">
        <w:rPr>
          <w:rFonts w:hint="eastAsia"/>
          <w:b/>
          <w:bCs/>
          <w:rtl/>
        </w:rPr>
        <w:t>ימים</w:t>
      </w:r>
      <w:r w:rsidRPr="00A81964">
        <w:rPr>
          <w:b/>
          <w:bCs/>
          <w:rtl/>
        </w:rPr>
        <w:t xml:space="preserve"> </w:t>
      </w:r>
      <w:r>
        <w:rPr>
          <w:rFonts w:hint="cs"/>
          <w:b/>
          <w:bCs/>
          <w:rtl/>
        </w:rPr>
        <w:t>שחלפו ממועד הנזק העקיף</w:t>
      </w:r>
      <w:r w:rsidRPr="00A81964">
        <w:rPr>
          <w:b/>
          <w:bCs/>
          <w:rtl/>
        </w:rPr>
        <w:t xml:space="preserve"> </w:t>
      </w:r>
      <w:r w:rsidRPr="00A81964">
        <w:rPr>
          <w:rFonts w:hint="eastAsia"/>
          <w:b/>
          <w:bCs/>
          <w:rtl/>
        </w:rPr>
        <w:t>עד</w:t>
      </w:r>
      <w:r w:rsidRPr="00A81964">
        <w:rPr>
          <w:b/>
          <w:bCs/>
          <w:rtl/>
        </w:rPr>
        <w:t xml:space="preserve"> </w:t>
      </w:r>
      <w:r w:rsidRPr="00A81964">
        <w:rPr>
          <w:rFonts w:hint="eastAsia"/>
          <w:b/>
          <w:bCs/>
          <w:rtl/>
        </w:rPr>
        <w:t>לאותם</w:t>
      </w:r>
      <w:r w:rsidRPr="00A81964">
        <w:rPr>
          <w:b/>
          <w:bCs/>
          <w:rtl/>
        </w:rPr>
        <w:t xml:space="preserve"> </w:t>
      </w:r>
      <w:r w:rsidRPr="00A81964">
        <w:rPr>
          <w:rFonts w:hint="eastAsia"/>
          <w:b/>
          <w:bCs/>
          <w:rtl/>
        </w:rPr>
        <w:t>מועדים</w:t>
      </w:r>
      <w:r w:rsidRPr="00A81964">
        <w:rPr>
          <w:b/>
          <w:bCs/>
          <w:rtl/>
        </w:rPr>
        <w:t xml:space="preserve">, </w:t>
      </w:r>
      <w:r w:rsidRPr="00A81964">
        <w:rPr>
          <w:rFonts w:hint="eastAsia"/>
          <w:b/>
          <w:bCs/>
          <w:rtl/>
        </w:rPr>
        <w:t>לפי</w:t>
      </w:r>
      <w:r w:rsidRPr="00A81964">
        <w:rPr>
          <w:b/>
          <w:bCs/>
          <w:rtl/>
        </w:rPr>
        <w:t xml:space="preserve"> תקופת הנזק </w:t>
      </w:r>
      <w:r w:rsidRPr="00A81964">
        <w:rPr>
          <w:rFonts w:hint="cs"/>
          <w:b/>
          <w:bCs/>
          <w:rtl/>
        </w:rPr>
        <w:t>ומסלול התביעה</w:t>
      </w:r>
      <w:r w:rsidRPr="00A81964">
        <w:rPr>
          <w:b/>
          <w:bCs/>
          <w:rtl/>
        </w:rPr>
        <w:t xml:space="preserve"> </w:t>
      </w:r>
    </w:p>
    <w:tbl>
      <w:tblPr>
        <w:bidiVisual/>
        <w:tblW w:w="7199" w:type="dxa"/>
        <w:jc w:val="center"/>
        <w:tblLook w:val="04A0" w:firstRow="1" w:lastRow="0" w:firstColumn="1" w:lastColumn="0" w:noHBand="0" w:noVBand="1"/>
      </w:tblPr>
      <w:tblGrid>
        <w:gridCol w:w="1480"/>
        <w:gridCol w:w="2602"/>
        <w:gridCol w:w="1310"/>
        <w:gridCol w:w="1807"/>
      </w:tblGrid>
      <w:tr w:rsidR="006252C4" w:rsidRPr="00A81964" w:rsidTr="00D04D4F">
        <w:trPr>
          <w:trHeight w:val="915"/>
          <w:jc w:val="center"/>
        </w:trPr>
        <w:tc>
          <w:tcPr>
            <w:tcW w:w="1480" w:type="dxa"/>
            <w:tcBorders>
              <w:top w:val="single" w:sz="8" w:space="0" w:color="auto"/>
              <w:left w:val="single" w:sz="8" w:space="0" w:color="auto"/>
              <w:bottom w:val="single" w:sz="8" w:space="0" w:color="auto"/>
              <w:right w:val="single" w:sz="4" w:space="0" w:color="auto"/>
            </w:tcBorders>
            <w:shd w:val="clear" w:color="000000" w:fill="D9E1F2"/>
            <w:vAlign w:val="center"/>
            <w:hideMark/>
          </w:tcPr>
          <w:p w:rsidR="006252C4" w:rsidRPr="00585A82" w:rsidRDefault="006252C4" w:rsidP="00D04D4F">
            <w:pPr>
              <w:spacing w:line="269" w:lineRule="auto"/>
              <w:jc w:val="center"/>
              <w:rPr>
                <w:rFonts w:ascii="David" w:eastAsia="Times New Roman" w:hAnsi="David"/>
                <w:b/>
                <w:bCs/>
                <w:color w:val="000000"/>
                <w:sz w:val="22"/>
                <w:szCs w:val="22"/>
              </w:rPr>
            </w:pPr>
            <w:r w:rsidRPr="00585A82">
              <w:rPr>
                <w:rFonts w:ascii="David" w:eastAsia="Times New Roman" w:hAnsi="David" w:hint="eastAsia"/>
                <w:b/>
                <w:bCs/>
                <w:color w:val="000000"/>
                <w:sz w:val="22"/>
                <w:szCs w:val="22"/>
                <w:rtl/>
              </w:rPr>
              <w:t>ה</w:t>
            </w:r>
            <w:r w:rsidRPr="00585A82">
              <w:rPr>
                <w:rFonts w:ascii="David" w:eastAsia="Times New Roman" w:hAnsi="David"/>
                <w:b/>
                <w:bCs/>
                <w:color w:val="000000"/>
                <w:sz w:val="22"/>
                <w:szCs w:val="22"/>
                <w:rtl/>
              </w:rPr>
              <w:t>מסלול</w:t>
            </w:r>
          </w:p>
        </w:tc>
        <w:tc>
          <w:tcPr>
            <w:tcW w:w="2602" w:type="dxa"/>
            <w:tcBorders>
              <w:top w:val="single" w:sz="8" w:space="0" w:color="auto"/>
              <w:left w:val="single" w:sz="8" w:space="0" w:color="auto"/>
              <w:bottom w:val="single" w:sz="8" w:space="0" w:color="auto"/>
              <w:right w:val="single" w:sz="8" w:space="0" w:color="auto"/>
            </w:tcBorders>
            <w:shd w:val="clear" w:color="000000" w:fill="D9E1F2"/>
            <w:vAlign w:val="center"/>
            <w:hideMark/>
          </w:tcPr>
          <w:p w:rsidR="006252C4" w:rsidRPr="00585A82" w:rsidRDefault="006252C4" w:rsidP="00D04D4F">
            <w:pPr>
              <w:spacing w:line="269" w:lineRule="auto"/>
              <w:jc w:val="center"/>
              <w:rPr>
                <w:rFonts w:ascii="David" w:eastAsia="Times New Roman" w:hAnsi="David"/>
                <w:b/>
                <w:bCs/>
                <w:color w:val="000000"/>
                <w:sz w:val="22"/>
                <w:szCs w:val="22"/>
                <w:rtl/>
              </w:rPr>
            </w:pPr>
            <w:r w:rsidRPr="00585A82">
              <w:rPr>
                <w:rFonts w:ascii="David" w:eastAsia="Times New Roman" w:hAnsi="David"/>
                <w:b/>
                <w:bCs/>
                <w:color w:val="000000"/>
                <w:sz w:val="22"/>
                <w:szCs w:val="22"/>
                <w:rtl/>
              </w:rPr>
              <w:t xml:space="preserve">התקופה </w:t>
            </w:r>
            <w:r w:rsidRPr="00585A82">
              <w:rPr>
                <w:rFonts w:ascii="David" w:eastAsia="Times New Roman" w:hAnsi="David" w:hint="eastAsia"/>
                <w:b/>
                <w:bCs/>
                <w:color w:val="000000"/>
                <w:sz w:val="22"/>
                <w:szCs w:val="22"/>
                <w:rtl/>
              </w:rPr>
              <w:t>ש</w:t>
            </w:r>
            <w:r w:rsidRPr="00585A82">
              <w:rPr>
                <w:rFonts w:ascii="David" w:eastAsia="Times New Roman" w:hAnsi="David"/>
                <w:b/>
                <w:bCs/>
                <w:color w:val="000000"/>
                <w:sz w:val="22"/>
                <w:szCs w:val="22"/>
                <w:rtl/>
              </w:rPr>
              <w:t>בה נגרם הנזק העקיף</w:t>
            </w:r>
          </w:p>
        </w:tc>
        <w:tc>
          <w:tcPr>
            <w:tcW w:w="1310" w:type="dxa"/>
            <w:tcBorders>
              <w:top w:val="single" w:sz="8" w:space="0" w:color="auto"/>
              <w:left w:val="single" w:sz="4" w:space="0" w:color="auto"/>
              <w:bottom w:val="nil"/>
              <w:right w:val="single" w:sz="4" w:space="0" w:color="auto"/>
            </w:tcBorders>
            <w:shd w:val="clear" w:color="000000" w:fill="D9E1F2"/>
            <w:vAlign w:val="center"/>
            <w:hideMark/>
          </w:tcPr>
          <w:p w:rsidR="006252C4" w:rsidRPr="00585A82" w:rsidRDefault="006252C4" w:rsidP="00D04D4F">
            <w:pPr>
              <w:spacing w:line="269" w:lineRule="auto"/>
              <w:jc w:val="center"/>
              <w:rPr>
                <w:rFonts w:ascii="David" w:eastAsia="Times New Roman" w:hAnsi="David"/>
                <w:b/>
                <w:bCs/>
                <w:color w:val="000000"/>
                <w:sz w:val="22"/>
                <w:szCs w:val="22"/>
                <w:rtl/>
              </w:rPr>
            </w:pPr>
            <w:r w:rsidRPr="00585A82">
              <w:rPr>
                <w:rFonts w:ascii="David" w:eastAsia="Times New Roman" w:hAnsi="David"/>
                <w:b/>
                <w:bCs/>
                <w:color w:val="000000"/>
                <w:sz w:val="22"/>
                <w:szCs w:val="22"/>
                <w:rtl/>
              </w:rPr>
              <w:t xml:space="preserve">מועד </w:t>
            </w:r>
            <w:r w:rsidRPr="00585A82">
              <w:rPr>
                <w:rFonts w:ascii="David" w:eastAsia="Times New Roman" w:hAnsi="David" w:hint="eastAsia"/>
                <w:b/>
                <w:bCs/>
                <w:color w:val="000000"/>
                <w:sz w:val="22"/>
                <w:szCs w:val="22"/>
                <w:rtl/>
              </w:rPr>
              <w:t>כניסת</w:t>
            </w:r>
            <w:r w:rsidRPr="00585A82">
              <w:rPr>
                <w:rFonts w:ascii="David" w:eastAsia="Times New Roman" w:hAnsi="David"/>
                <w:b/>
                <w:bCs/>
                <w:color w:val="000000"/>
                <w:sz w:val="22"/>
                <w:szCs w:val="22"/>
                <w:rtl/>
              </w:rPr>
              <w:t xml:space="preserve"> </w:t>
            </w:r>
            <w:r w:rsidRPr="00585A82">
              <w:rPr>
                <w:rFonts w:ascii="David" w:eastAsia="Times New Roman" w:hAnsi="David" w:hint="eastAsia"/>
                <w:b/>
                <w:bCs/>
                <w:color w:val="000000"/>
                <w:sz w:val="22"/>
                <w:szCs w:val="22"/>
                <w:rtl/>
              </w:rPr>
              <w:t>הוראות</w:t>
            </w:r>
            <w:r w:rsidRPr="00585A82">
              <w:rPr>
                <w:rFonts w:ascii="David" w:eastAsia="Times New Roman" w:hAnsi="David"/>
                <w:b/>
                <w:bCs/>
                <w:color w:val="000000"/>
                <w:sz w:val="22"/>
                <w:szCs w:val="22"/>
                <w:rtl/>
              </w:rPr>
              <w:t xml:space="preserve"> </w:t>
            </w:r>
            <w:r w:rsidRPr="00585A82">
              <w:rPr>
                <w:rFonts w:ascii="David" w:eastAsia="Times New Roman" w:hAnsi="David" w:hint="eastAsia"/>
                <w:b/>
                <w:bCs/>
                <w:color w:val="000000"/>
                <w:sz w:val="22"/>
                <w:szCs w:val="22"/>
                <w:rtl/>
              </w:rPr>
              <w:t>החוק</w:t>
            </w:r>
            <w:r w:rsidRPr="00585A82">
              <w:rPr>
                <w:rFonts w:ascii="David" w:eastAsia="Times New Roman" w:hAnsi="David"/>
                <w:b/>
                <w:bCs/>
                <w:color w:val="000000"/>
                <w:sz w:val="22"/>
                <w:szCs w:val="22"/>
                <w:rtl/>
              </w:rPr>
              <w:t xml:space="preserve"> </w:t>
            </w:r>
            <w:r w:rsidRPr="00585A82">
              <w:rPr>
                <w:rFonts w:ascii="David" w:eastAsia="Times New Roman" w:hAnsi="David" w:hint="eastAsia"/>
                <w:b/>
                <w:bCs/>
                <w:color w:val="000000"/>
                <w:sz w:val="22"/>
                <w:szCs w:val="22"/>
                <w:rtl/>
              </w:rPr>
              <w:t>לתוקפן</w:t>
            </w:r>
          </w:p>
        </w:tc>
        <w:tc>
          <w:tcPr>
            <w:tcW w:w="1807" w:type="dxa"/>
            <w:tcBorders>
              <w:top w:val="single" w:sz="8" w:space="0" w:color="auto"/>
              <w:left w:val="single" w:sz="4" w:space="0" w:color="auto"/>
              <w:bottom w:val="nil"/>
              <w:right w:val="single" w:sz="8" w:space="0" w:color="auto"/>
            </w:tcBorders>
            <w:shd w:val="clear" w:color="000000" w:fill="D9E1F2"/>
            <w:vAlign w:val="center"/>
            <w:hideMark/>
          </w:tcPr>
          <w:p w:rsidR="006252C4" w:rsidRPr="00585A82" w:rsidRDefault="006252C4" w:rsidP="00D04D4F">
            <w:pPr>
              <w:spacing w:line="269" w:lineRule="auto"/>
              <w:jc w:val="center"/>
              <w:rPr>
                <w:rFonts w:ascii="David" w:eastAsia="Times New Roman" w:hAnsi="David"/>
                <w:b/>
                <w:bCs/>
                <w:color w:val="000000"/>
                <w:sz w:val="22"/>
                <w:szCs w:val="22"/>
                <w:rtl/>
              </w:rPr>
            </w:pPr>
            <w:r w:rsidRPr="00585A82">
              <w:rPr>
                <w:rFonts w:ascii="David" w:eastAsia="Times New Roman" w:hAnsi="David"/>
                <w:b/>
                <w:bCs/>
                <w:color w:val="000000"/>
                <w:sz w:val="22"/>
                <w:szCs w:val="22"/>
                <w:rtl/>
              </w:rPr>
              <w:t xml:space="preserve">מספר הימים </w:t>
            </w:r>
            <w:r w:rsidRPr="00585A82">
              <w:rPr>
                <w:rFonts w:ascii="David" w:eastAsia="Times New Roman" w:hAnsi="David" w:hint="cs"/>
                <w:b/>
                <w:bCs/>
                <w:color w:val="000000"/>
                <w:sz w:val="22"/>
                <w:szCs w:val="22"/>
                <w:rtl/>
              </w:rPr>
              <w:t xml:space="preserve">שחלפו </w:t>
            </w:r>
            <w:r w:rsidRPr="00585A82">
              <w:rPr>
                <w:rFonts w:ascii="David" w:eastAsia="Times New Roman" w:hAnsi="David" w:hint="eastAsia"/>
                <w:b/>
                <w:bCs/>
                <w:color w:val="000000"/>
                <w:sz w:val="22"/>
                <w:szCs w:val="22"/>
                <w:rtl/>
              </w:rPr>
              <w:t>ממועד</w:t>
            </w:r>
            <w:r w:rsidRPr="00585A82">
              <w:rPr>
                <w:rFonts w:ascii="David" w:eastAsia="Times New Roman" w:hAnsi="David"/>
                <w:b/>
                <w:bCs/>
                <w:color w:val="000000"/>
                <w:sz w:val="22"/>
                <w:szCs w:val="22"/>
                <w:rtl/>
              </w:rPr>
              <w:t xml:space="preserve"> </w:t>
            </w:r>
            <w:r w:rsidRPr="00585A82">
              <w:rPr>
                <w:rFonts w:ascii="David" w:eastAsia="Times New Roman" w:hAnsi="David" w:hint="eastAsia"/>
                <w:b/>
                <w:bCs/>
                <w:color w:val="000000"/>
                <w:sz w:val="22"/>
                <w:szCs w:val="22"/>
                <w:rtl/>
              </w:rPr>
              <w:t>הנזק</w:t>
            </w:r>
            <w:r w:rsidRPr="00585A82">
              <w:rPr>
                <w:rFonts w:ascii="David" w:eastAsia="Times New Roman" w:hAnsi="David"/>
                <w:b/>
                <w:bCs/>
                <w:color w:val="000000"/>
                <w:sz w:val="22"/>
                <w:szCs w:val="22"/>
                <w:rtl/>
              </w:rPr>
              <w:t xml:space="preserve"> עד </w:t>
            </w:r>
            <w:r w:rsidRPr="00585A82">
              <w:rPr>
                <w:rFonts w:ascii="David" w:eastAsia="Times New Roman" w:hAnsi="David" w:hint="eastAsia"/>
                <w:b/>
                <w:bCs/>
                <w:color w:val="000000"/>
                <w:sz w:val="22"/>
                <w:szCs w:val="22"/>
                <w:rtl/>
              </w:rPr>
              <w:t>כניסת</w:t>
            </w:r>
            <w:r w:rsidRPr="00585A82">
              <w:rPr>
                <w:rFonts w:ascii="David" w:eastAsia="Times New Roman" w:hAnsi="David"/>
                <w:b/>
                <w:bCs/>
                <w:color w:val="000000"/>
                <w:sz w:val="22"/>
                <w:szCs w:val="22"/>
                <w:rtl/>
              </w:rPr>
              <w:t xml:space="preserve"> </w:t>
            </w:r>
            <w:r w:rsidRPr="00585A82">
              <w:rPr>
                <w:rFonts w:ascii="David" w:eastAsia="Times New Roman" w:hAnsi="David" w:hint="eastAsia"/>
                <w:b/>
                <w:bCs/>
                <w:color w:val="000000"/>
                <w:sz w:val="22"/>
                <w:szCs w:val="22"/>
                <w:rtl/>
              </w:rPr>
              <w:t>הוראות</w:t>
            </w:r>
            <w:r w:rsidRPr="00585A82">
              <w:rPr>
                <w:rFonts w:ascii="David" w:eastAsia="Times New Roman" w:hAnsi="David"/>
                <w:b/>
                <w:bCs/>
                <w:color w:val="000000"/>
                <w:sz w:val="22"/>
                <w:szCs w:val="22"/>
                <w:rtl/>
              </w:rPr>
              <w:t xml:space="preserve"> </w:t>
            </w:r>
            <w:r w:rsidRPr="00585A82">
              <w:rPr>
                <w:rFonts w:ascii="David" w:eastAsia="Times New Roman" w:hAnsi="David" w:hint="eastAsia"/>
                <w:b/>
                <w:bCs/>
                <w:color w:val="000000"/>
                <w:sz w:val="22"/>
                <w:szCs w:val="22"/>
                <w:rtl/>
              </w:rPr>
              <w:t>החוק</w:t>
            </w:r>
            <w:r w:rsidRPr="00585A82">
              <w:rPr>
                <w:rFonts w:ascii="David" w:eastAsia="Times New Roman" w:hAnsi="David"/>
                <w:b/>
                <w:bCs/>
                <w:color w:val="000000"/>
                <w:sz w:val="22"/>
                <w:szCs w:val="22"/>
                <w:rtl/>
              </w:rPr>
              <w:t xml:space="preserve"> </w:t>
            </w:r>
            <w:r w:rsidRPr="00585A82">
              <w:rPr>
                <w:rFonts w:ascii="David" w:eastAsia="Times New Roman" w:hAnsi="David" w:hint="eastAsia"/>
                <w:b/>
                <w:bCs/>
                <w:color w:val="000000"/>
                <w:sz w:val="22"/>
                <w:szCs w:val="22"/>
                <w:rtl/>
              </w:rPr>
              <w:t>לתוקפן</w:t>
            </w:r>
          </w:p>
        </w:tc>
      </w:tr>
      <w:tr w:rsidR="006252C4" w:rsidRPr="00A81964" w:rsidTr="00D04D4F">
        <w:trPr>
          <w:trHeight w:val="300"/>
          <w:jc w:val="center"/>
        </w:trPr>
        <w:tc>
          <w:tcPr>
            <w:tcW w:w="1480" w:type="dxa"/>
            <w:vMerge w:val="restart"/>
            <w:tcBorders>
              <w:top w:val="nil"/>
              <w:left w:val="single" w:sz="8" w:space="0" w:color="auto"/>
              <w:bottom w:val="single" w:sz="8" w:space="0" w:color="000000"/>
              <w:right w:val="single" w:sz="8" w:space="0" w:color="auto"/>
            </w:tcBorders>
            <w:shd w:val="clear" w:color="000000" w:fill="305496"/>
            <w:vAlign w:val="center"/>
            <w:hideMark/>
          </w:tcPr>
          <w:p w:rsidR="006252C4" w:rsidRPr="00585A82" w:rsidRDefault="006252C4" w:rsidP="00D04D4F">
            <w:pPr>
              <w:spacing w:line="269" w:lineRule="auto"/>
              <w:jc w:val="center"/>
              <w:rPr>
                <w:rFonts w:ascii="David" w:eastAsia="Times New Roman" w:hAnsi="David"/>
                <w:b/>
                <w:bCs/>
                <w:color w:val="FFFFFF"/>
                <w:sz w:val="22"/>
                <w:szCs w:val="22"/>
                <w:rtl/>
              </w:rPr>
            </w:pPr>
            <w:r w:rsidRPr="00585A82">
              <w:rPr>
                <w:rFonts w:ascii="David" w:eastAsia="Times New Roman" w:hAnsi="David" w:hint="eastAsia"/>
                <w:b/>
                <w:bCs/>
                <w:color w:val="FFFFFF"/>
                <w:sz w:val="22"/>
                <w:szCs w:val="22"/>
                <w:rtl/>
              </w:rPr>
              <w:t>המסלול</w:t>
            </w:r>
            <w:r w:rsidRPr="00585A82">
              <w:rPr>
                <w:rFonts w:ascii="David" w:eastAsia="Times New Roman" w:hAnsi="David"/>
                <w:b/>
                <w:bCs/>
                <w:color w:val="FFFFFF"/>
                <w:sz w:val="22"/>
                <w:szCs w:val="22"/>
                <w:rtl/>
              </w:rPr>
              <w:t xml:space="preserve"> </w:t>
            </w:r>
            <w:r w:rsidRPr="00585A82">
              <w:rPr>
                <w:rFonts w:ascii="David" w:eastAsia="Times New Roman" w:hAnsi="David" w:hint="eastAsia"/>
                <w:b/>
                <w:bCs/>
                <w:color w:val="FFFFFF"/>
                <w:sz w:val="22"/>
                <w:szCs w:val="22"/>
                <w:rtl/>
              </w:rPr>
              <w:t>הכלל</w:t>
            </w:r>
            <w:r w:rsidRPr="00585A82">
              <w:rPr>
                <w:rFonts w:ascii="David" w:eastAsia="Times New Roman" w:hAnsi="David"/>
                <w:b/>
                <w:bCs/>
                <w:color w:val="FFFFFF"/>
                <w:sz w:val="22"/>
                <w:szCs w:val="22"/>
                <w:rtl/>
              </w:rPr>
              <w:t xml:space="preserve"> </w:t>
            </w:r>
            <w:r w:rsidRPr="00585A82">
              <w:rPr>
                <w:rFonts w:ascii="David" w:eastAsia="Times New Roman" w:hAnsi="David" w:hint="eastAsia"/>
                <w:b/>
                <w:bCs/>
                <w:color w:val="FFFFFF"/>
                <w:sz w:val="22"/>
                <w:szCs w:val="22"/>
                <w:rtl/>
              </w:rPr>
              <w:t>ארצי</w:t>
            </w:r>
          </w:p>
        </w:tc>
        <w:tc>
          <w:tcPr>
            <w:tcW w:w="2602" w:type="dxa"/>
            <w:tcBorders>
              <w:top w:val="nil"/>
              <w:left w:val="nil"/>
              <w:bottom w:val="single" w:sz="4" w:space="0" w:color="auto"/>
              <w:right w:val="nil"/>
            </w:tcBorders>
            <w:shd w:val="clear" w:color="000000" w:fill="B4C6E7"/>
            <w:noWrap/>
            <w:vAlign w:val="bottom"/>
            <w:hideMark/>
          </w:tcPr>
          <w:p w:rsidR="006252C4" w:rsidRPr="00585A82" w:rsidRDefault="006252C4" w:rsidP="00D04D4F">
            <w:pPr>
              <w:spacing w:line="269" w:lineRule="auto"/>
              <w:jc w:val="left"/>
              <w:rPr>
                <w:rFonts w:ascii="David" w:eastAsia="Times New Roman" w:hAnsi="David"/>
                <w:b/>
                <w:bCs/>
                <w:color w:val="000000"/>
                <w:sz w:val="22"/>
                <w:szCs w:val="22"/>
                <w:rtl/>
              </w:rPr>
            </w:pPr>
            <w:r w:rsidRPr="00585A82">
              <w:rPr>
                <w:rFonts w:ascii="David" w:eastAsia="Times New Roman" w:hAnsi="David"/>
                <w:b/>
                <w:bCs/>
                <w:color w:val="000000"/>
                <w:sz w:val="22"/>
                <w:szCs w:val="22"/>
                <w:rtl/>
              </w:rPr>
              <w:t>אוקטובר 2023</w:t>
            </w:r>
          </w:p>
        </w:tc>
        <w:tc>
          <w:tcPr>
            <w:tcW w:w="1310" w:type="dxa"/>
            <w:tcBorders>
              <w:top w:val="single" w:sz="8" w:space="0" w:color="auto"/>
              <w:left w:val="single" w:sz="8" w:space="0" w:color="auto"/>
              <w:bottom w:val="single" w:sz="4" w:space="0" w:color="auto"/>
              <w:right w:val="single" w:sz="4"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tl/>
              </w:rPr>
            </w:pPr>
            <w:r w:rsidRPr="00585A82">
              <w:rPr>
                <w:rFonts w:ascii="David" w:eastAsia="Times New Roman" w:hAnsi="David"/>
                <w:color w:val="000000"/>
                <w:sz w:val="22"/>
                <w:szCs w:val="22"/>
              </w:rPr>
              <w:t>9.11.23</w:t>
            </w:r>
          </w:p>
        </w:tc>
        <w:tc>
          <w:tcPr>
            <w:tcW w:w="1807" w:type="dxa"/>
            <w:tcBorders>
              <w:top w:val="single" w:sz="8" w:space="0" w:color="auto"/>
              <w:left w:val="single" w:sz="4" w:space="0" w:color="auto"/>
              <w:bottom w:val="single" w:sz="4" w:space="0" w:color="auto"/>
              <w:right w:val="single" w:sz="8"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21</w:t>
            </w:r>
          </w:p>
        </w:tc>
      </w:tr>
      <w:tr w:rsidR="006252C4" w:rsidRPr="00A81964" w:rsidTr="00D04D4F">
        <w:trPr>
          <w:trHeight w:val="300"/>
          <w:jc w:val="center"/>
        </w:trPr>
        <w:tc>
          <w:tcPr>
            <w:tcW w:w="1480" w:type="dxa"/>
            <w:vMerge/>
            <w:tcBorders>
              <w:top w:val="nil"/>
              <w:left w:val="single" w:sz="8" w:space="0" w:color="auto"/>
              <w:bottom w:val="single" w:sz="8" w:space="0" w:color="000000"/>
              <w:right w:val="single" w:sz="8" w:space="0" w:color="auto"/>
            </w:tcBorders>
            <w:vAlign w:val="center"/>
            <w:hideMark/>
          </w:tcPr>
          <w:p w:rsidR="006252C4" w:rsidRPr="00585A82" w:rsidRDefault="006252C4" w:rsidP="00D04D4F">
            <w:pPr>
              <w:spacing w:line="269" w:lineRule="auto"/>
              <w:jc w:val="left"/>
              <w:rPr>
                <w:rFonts w:ascii="David" w:eastAsia="Times New Roman" w:hAnsi="David"/>
                <w:b/>
                <w:bCs/>
                <w:color w:val="FFFFFF"/>
                <w:sz w:val="22"/>
                <w:szCs w:val="22"/>
              </w:rPr>
            </w:pPr>
          </w:p>
        </w:tc>
        <w:tc>
          <w:tcPr>
            <w:tcW w:w="2602" w:type="dxa"/>
            <w:tcBorders>
              <w:top w:val="nil"/>
              <w:left w:val="nil"/>
              <w:bottom w:val="single" w:sz="4" w:space="0" w:color="auto"/>
              <w:right w:val="nil"/>
            </w:tcBorders>
            <w:shd w:val="clear" w:color="000000" w:fill="B4C6E7"/>
            <w:noWrap/>
            <w:vAlign w:val="bottom"/>
            <w:hideMark/>
          </w:tcPr>
          <w:p w:rsidR="006252C4" w:rsidRPr="00585A82" w:rsidRDefault="006252C4" w:rsidP="00D04D4F">
            <w:pPr>
              <w:spacing w:line="269" w:lineRule="auto"/>
              <w:jc w:val="left"/>
              <w:rPr>
                <w:rFonts w:ascii="David" w:eastAsia="Times New Roman" w:hAnsi="David"/>
                <w:b/>
                <w:bCs/>
                <w:color w:val="000000"/>
                <w:sz w:val="22"/>
                <w:szCs w:val="22"/>
              </w:rPr>
            </w:pPr>
            <w:r w:rsidRPr="00585A82">
              <w:rPr>
                <w:rFonts w:ascii="David" w:eastAsia="Times New Roman" w:hAnsi="David"/>
                <w:b/>
                <w:bCs/>
                <w:color w:val="000000"/>
                <w:sz w:val="22"/>
                <w:szCs w:val="22"/>
                <w:rtl/>
              </w:rPr>
              <w:t>נובמבר-דצמבר 2023</w:t>
            </w:r>
          </w:p>
        </w:tc>
        <w:tc>
          <w:tcPr>
            <w:tcW w:w="1310" w:type="dxa"/>
            <w:tcBorders>
              <w:top w:val="nil"/>
              <w:left w:val="single" w:sz="8" w:space="0" w:color="auto"/>
              <w:bottom w:val="single" w:sz="4" w:space="0" w:color="auto"/>
              <w:right w:val="single" w:sz="4"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tl/>
              </w:rPr>
            </w:pPr>
            <w:r w:rsidRPr="00585A82">
              <w:rPr>
                <w:rFonts w:ascii="David" w:eastAsia="Times New Roman" w:hAnsi="David"/>
                <w:color w:val="000000"/>
                <w:sz w:val="22"/>
                <w:szCs w:val="22"/>
              </w:rPr>
              <w:t>15.1.24</w:t>
            </w:r>
          </w:p>
        </w:tc>
        <w:tc>
          <w:tcPr>
            <w:tcW w:w="1807" w:type="dxa"/>
            <w:tcBorders>
              <w:top w:val="nil"/>
              <w:left w:val="single" w:sz="4" w:space="0" w:color="auto"/>
              <w:bottom w:val="single" w:sz="4" w:space="0" w:color="auto"/>
              <w:right w:val="single" w:sz="8"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61</w:t>
            </w:r>
          </w:p>
        </w:tc>
      </w:tr>
      <w:tr w:rsidR="006252C4" w:rsidRPr="00A81964" w:rsidTr="00D04D4F">
        <w:trPr>
          <w:trHeight w:val="300"/>
          <w:jc w:val="center"/>
        </w:trPr>
        <w:tc>
          <w:tcPr>
            <w:tcW w:w="1480" w:type="dxa"/>
            <w:vMerge/>
            <w:tcBorders>
              <w:top w:val="nil"/>
              <w:left w:val="single" w:sz="8" w:space="0" w:color="auto"/>
              <w:bottom w:val="single" w:sz="8" w:space="0" w:color="000000"/>
              <w:right w:val="single" w:sz="8" w:space="0" w:color="auto"/>
            </w:tcBorders>
            <w:vAlign w:val="center"/>
            <w:hideMark/>
          </w:tcPr>
          <w:p w:rsidR="006252C4" w:rsidRPr="00585A82" w:rsidRDefault="006252C4" w:rsidP="00D04D4F">
            <w:pPr>
              <w:spacing w:line="269" w:lineRule="auto"/>
              <w:jc w:val="left"/>
              <w:rPr>
                <w:rFonts w:ascii="David" w:eastAsia="Times New Roman" w:hAnsi="David"/>
                <w:b/>
                <w:bCs/>
                <w:color w:val="FFFFFF"/>
                <w:sz w:val="22"/>
                <w:szCs w:val="22"/>
              </w:rPr>
            </w:pPr>
          </w:p>
        </w:tc>
        <w:tc>
          <w:tcPr>
            <w:tcW w:w="2602" w:type="dxa"/>
            <w:tcBorders>
              <w:top w:val="nil"/>
              <w:left w:val="nil"/>
              <w:bottom w:val="single" w:sz="4" w:space="0" w:color="auto"/>
              <w:right w:val="nil"/>
            </w:tcBorders>
            <w:shd w:val="clear" w:color="000000" w:fill="B4C6E7"/>
            <w:noWrap/>
            <w:vAlign w:val="bottom"/>
            <w:hideMark/>
          </w:tcPr>
          <w:p w:rsidR="006252C4" w:rsidRPr="00585A82" w:rsidRDefault="006252C4" w:rsidP="00D04D4F">
            <w:pPr>
              <w:spacing w:line="269" w:lineRule="auto"/>
              <w:jc w:val="left"/>
              <w:rPr>
                <w:rFonts w:ascii="David" w:eastAsia="Times New Roman" w:hAnsi="David"/>
                <w:b/>
                <w:bCs/>
                <w:color w:val="000000"/>
                <w:sz w:val="22"/>
                <w:szCs w:val="22"/>
              </w:rPr>
            </w:pPr>
            <w:r w:rsidRPr="00585A82">
              <w:rPr>
                <w:rFonts w:ascii="David" w:eastAsia="Times New Roman" w:hAnsi="David"/>
                <w:b/>
                <w:bCs/>
                <w:color w:val="000000"/>
                <w:sz w:val="22"/>
                <w:szCs w:val="22"/>
                <w:rtl/>
              </w:rPr>
              <w:t>ינואר-פברואר 2024</w:t>
            </w:r>
          </w:p>
        </w:tc>
        <w:tc>
          <w:tcPr>
            <w:tcW w:w="1310" w:type="dxa"/>
            <w:tcBorders>
              <w:top w:val="nil"/>
              <w:left w:val="single" w:sz="8" w:space="0" w:color="auto"/>
              <w:bottom w:val="single" w:sz="4" w:space="0" w:color="auto"/>
              <w:right w:val="single" w:sz="4"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tl/>
              </w:rPr>
            </w:pPr>
            <w:r w:rsidRPr="00585A82">
              <w:rPr>
                <w:rFonts w:ascii="David" w:eastAsia="Times New Roman" w:hAnsi="David"/>
                <w:color w:val="000000"/>
                <w:sz w:val="22"/>
                <w:szCs w:val="22"/>
              </w:rPr>
              <w:t>31.3.24</w:t>
            </w:r>
          </w:p>
        </w:tc>
        <w:tc>
          <w:tcPr>
            <w:tcW w:w="1807" w:type="dxa"/>
            <w:tcBorders>
              <w:top w:val="nil"/>
              <w:left w:val="single" w:sz="4" w:space="0" w:color="auto"/>
              <w:bottom w:val="single" w:sz="4" w:space="0" w:color="auto"/>
              <w:right w:val="single" w:sz="8"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61</w:t>
            </w:r>
          </w:p>
        </w:tc>
      </w:tr>
      <w:tr w:rsidR="006252C4" w:rsidRPr="00A81964" w:rsidTr="00D04D4F">
        <w:trPr>
          <w:trHeight w:val="315"/>
          <w:jc w:val="center"/>
        </w:trPr>
        <w:tc>
          <w:tcPr>
            <w:tcW w:w="1480" w:type="dxa"/>
            <w:vMerge/>
            <w:tcBorders>
              <w:top w:val="nil"/>
              <w:left w:val="single" w:sz="8" w:space="0" w:color="auto"/>
              <w:bottom w:val="single" w:sz="8" w:space="0" w:color="000000"/>
              <w:right w:val="single" w:sz="8" w:space="0" w:color="auto"/>
            </w:tcBorders>
            <w:vAlign w:val="center"/>
            <w:hideMark/>
          </w:tcPr>
          <w:p w:rsidR="006252C4" w:rsidRPr="00585A82" w:rsidRDefault="006252C4" w:rsidP="00D04D4F">
            <w:pPr>
              <w:spacing w:line="269" w:lineRule="auto"/>
              <w:jc w:val="left"/>
              <w:rPr>
                <w:rFonts w:ascii="David" w:eastAsia="Times New Roman" w:hAnsi="David"/>
                <w:b/>
                <w:bCs/>
                <w:color w:val="FFFFFF"/>
                <w:sz w:val="22"/>
                <w:szCs w:val="22"/>
              </w:rPr>
            </w:pPr>
          </w:p>
        </w:tc>
        <w:tc>
          <w:tcPr>
            <w:tcW w:w="2602" w:type="dxa"/>
            <w:tcBorders>
              <w:top w:val="nil"/>
              <w:left w:val="nil"/>
              <w:bottom w:val="nil"/>
              <w:right w:val="nil"/>
            </w:tcBorders>
            <w:shd w:val="clear" w:color="000000" w:fill="B4C6E7"/>
            <w:noWrap/>
            <w:vAlign w:val="bottom"/>
            <w:hideMark/>
          </w:tcPr>
          <w:p w:rsidR="006252C4" w:rsidRPr="00585A82" w:rsidRDefault="006252C4" w:rsidP="00D04D4F">
            <w:pPr>
              <w:spacing w:line="269" w:lineRule="auto"/>
              <w:jc w:val="left"/>
              <w:rPr>
                <w:rFonts w:ascii="David" w:eastAsia="Times New Roman" w:hAnsi="David"/>
                <w:b/>
                <w:bCs/>
                <w:color w:val="000000"/>
                <w:sz w:val="22"/>
                <w:szCs w:val="22"/>
              </w:rPr>
            </w:pPr>
            <w:r w:rsidRPr="00585A82">
              <w:rPr>
                <w:rFonts w:ascii="David" w:eastAsia="Times New Roman" w:hAnsi="David"/>
                <w:b/>
                <w:bCs/>
                <w:color w:val="000000"/>
                <w:sz w:val="22"/>
                <w:szCs w:val="22"/>
                <w:rtl/>
              </w:rPr>
              <w:t>מרץ-אפריל 2024</w:t>
            </w:r>
          </w:p>
        </w:tc>
        <w:tc>
          <w:tcPr>
            <w:tcW w:w="1310" w:type="dxa"/>
            <w:tcBorders>
              <w:top w:val="nil"/>
              <w:left w:val="single" w:sz="8" w:space="0" w:color="auto"/>
              <w:bottom w:val="single" w:sz="4" w:space="0" w:color="auto"/>
              <w:right w:val="single" w:sz="4"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tl/>
              </w:rPr>
            </w:pPr>
            <w:r w:rsidRPr="00585A82">
              <w:rPr>
                <w:rFonts w:ascii="David" w:eastAsia="Times New Roman" w:hAnsi="David"/>
                <w:color w:val="000000"/>
                <w:sz w:val="22"/>
                <w:szCs w:val="22"/>
              </w:rPr>
              <w:t>5.6.24</w:t>
            </w:r>
          </w:p>
        </w:tc>
        <w:tc>
          <w:tcPr>
            <w:tcW w:w="1807" w:type="dxa"/>
            <w:tcBorders>
              <w:top w:val="nil"/>
              <w:left w:val="single" w:sz="4" w:space="0" w:color="auto"/>
              <w:bottom w:val="single" w:sz="4" w:space="0" w:color="auto"/>
              <w:right w:val="single" w:sz="8"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66</w:t>
            </w:r>
          </w:p>
        </w:tc>
      </w:tr>
      <w:tr w:rsidR="006252C4" w:rsidRPr="00A81964" w:rsidTr="00D04D4F">
        <w:trPr>
          <w:trHeight w:val="300"/>
          <w:jc w:val="center"/>
        </w:trPr>
        <w:tc>
          <w:tcPr>
            <w:tcW w:w="1480" w:type="dxa"/>
            <w:vMerge w:val="restart"/>
            <w:tcBorders>
              <w:top w:val="nil"/>
              <w:left w:val="single" w:sz="8" w:space="0" w:color="auto"/>
              <w:bottom w:val="single" w:sz="8" w:space="0" w:color="000000"/>
              <w:right w:val="nil"/>
            </w:tcBorders>
            <w:shd w:val="clear" w:color="000000" w:fill="305496"/>
            <w:vAlign w:val="center"/>
            <w:hideMark/>
          </w:tcPr>
          <w:p w:rsidR="006252C4" w:rsidRPr="00585A82" w:rsidRDefault="006252C4" w:rsidP="00D04D4F">
            <w:pPr>
              <w:spacing w:line="269" w:lineRule="auto"/>
              <w:jc w:val="center"/>
              <w:rPr>
                <w:rFonts w:ascii="David" w:eastAsia="Times New Roman" w:hAnsi="David"/>
                <w:b/>
                <w:bCs/>
                <w:color w:val="FFFFFF"/>
                <w:sz w:val="22"/>
                <w:szCs w:val="22"/>
              </w:rPr>
            </w:pPr>
            <w:r w:rsidRPr="00585A82">
              <w:rPr>
                <w:rFonts w:ascii="David" w:eastAsia="Times New Roman" w:hAnsi="David"/>
                <w:b/>
                <w:bCs/>
                <w:color w:val="FFFFFF"/>
                <w:sz w:val="22"/>
                <w:szCs w:val="22"/>
                <w:rtl/>
              </w:rPr>
              <w:t>מסלול מחזורים</w:t>
            </w:r>
          </w:p>
        </w:tc>
        <w:tc>
          <w:tcPr>
            <w:tcW w:w="2602" w:type="dxa"/>
            <w:tcBorders>
              <w:top w:val="single" w:sz="8" w:space="0" w:color="auto"/>
              <w:left w:val="single" w:sz="8" w:space="0" w:color="auto"/>
              <w:bottom w:val="single" w:sz="4" w:space="0" w:color="auto"/>
              <w:right w:val="nil"/>
            </w:tcBorders>
            <w:shd w:val="clear" w:color="000000" w:fill="B4C6E7"/>
            <w:vAlign w:val="bottom"/>
            <w:hideMark/>
          </w:tcPr>
          <w:p w:rsidR="006252C4" w:rsidRPr="00585A82" w:rsidRDefault="006252C4" w:rsidP="00D04D4F">
            <w:pPr>
              <w:spacing w:line="269" w:lineRule="auto"/>
              <w:jc w:val="left"/>
              <w:rPr>
                <w:rFonts w:ascii="David" w:eastAsia="Times New Roman" w:hAnsi="David"/>
                <w:b/>
                <w:bCs/>
                <w:color w:val="000000"/>
                <w:sz w:val="22"/>
                <w:szCs w:val="22"/>
                <w:rtl/>
              </w:rPr>
            </w:pPr>
            <w:r w:rsidRPr="00585A82">
              <w:rPr>
                <w:rFonts w:ascii="David" w:eastAsia="Times New Roman" w:hAnsi="David"/>
                <w:b/>
                <w:bCs/>
                <w:color w:val="000000"/>
                <w:sz w:val="22"/>
                <w:szCs w:val="22"/>
                <w:rtl/>
              </w:rPr>
              <w:t>אוקטובר 2023</w:t>
            </w:r>
          </w:p>
        </w:tc>
        <w:tc>
          <w:tcPr>
            <w:tcW w:w="1310" w:type="dxa"/>
            <w:tcBorders>
              <w:top w:val="nil"/>
              <w:left w:val="single" w:sz="8" w:space="0" w:color="auto"/>
              <w:bottom w:val="single" w:sz="4" w:space="0" w:color="auto"/>
              <w:right w:val="single" w:sz="4"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tl/>
              </w:rPr>
            </w:pPr>
            <w:r w:rsidRPr="00585A82">
              <w:rPr>
                <w:rFonts w:ascii="David" w:eastAsia="Times New Roman" w:hAnsi="David"/>
                <w:color w:val="000000"/>
                <w:sz w:val="22"/>
                <w:szCs w:val="22"/>
              </w:rPr>
              <w:t>20.11.23</w:t>
            </w:r>
          </w:p>
        </w:tc>
        <w:tc>
          <w:tcPr>
            <w:tcW w:w="1807" w:type="dxa"/>
            <w:tcBorders>
              <w:top w:val="nil"/>
              <w:left w:val="single" w:sz="4" w:space="0" w:color="auto"/>
              <w:bottom w:val="single" w:sz="4" w:space="0" w:color="auto"/>
              <w:right w:val="single" w:sz="8"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32</w:t>
            </w:r>
          </w:p>
        </w:tc>
      </w:tr>
      <w:tr w:rsidR="006252C4" w:rsidRPr="00A81964" w:rsidTr="00D04D4F">
        <w:trPr>
          <w:trHeight w:val="300"/>
          <w:jc w:val="center"/>
        </w:trPr>
        <w:tc>
          <w:tcPr>
            <w:tcW w:w="1480" w:type="dxa"/>
            <w:vMerge/>
            <w:tcBorders>
              <w:top w:val="nil"/>
              <w:left w:val="single" w:sz="8" w:space="0" w:color="auto"/>
              <w:bottom w:val="single" w:sz="8" w:space="0" w:color="000000"/>
              <w:right w:val="nil"/>
            </w:tcBorders>
            <w:vAlign w:val="center"/>
            <w:hideMark/>
          </w:tcPr>
          <w:p w:rsidR="006252C4" w:rsidRPr="00585A82" w:rsidRDefault="006252C4" w:rsidP="00D04D4F">
            <w:pPr>
              <w:spacing w:line="269" w:lineRule="auto"/>
              <w:jc w:val="left"/>
              <w:rPr>
                <w:rFonts w:ascii="David" w:eastAsia="Times New Roman" w:hAnsi="David"/>
                <w:b/>
                <w:bCs/>
                <w:color w:val="FFFFFF"/>
                <w:sz w:val="22"/>
                <w:szCs w:val="22"/>
              </w:rPr>
            </w:pPr>
          </w:p>
        </w:tc>
        <w:tc>
          <w:tcPr>
            <w:tcW w:w="2602" w:type="dxa"/>
            <w:tcBorders>
              <w:top w:val="nil"/>
              <w:left w:val="single" w:sz="8" w:space="0" w:color="auto"/>
              <w:bottom w:val="single" w:sz="4" w:space="0" w:color="auto"/>
              <w:right w:val="nil"/>
            </w:tcBorders>
            <w:shd w:val="clear" w:color="000000" w:fill="B4C6E7"/>
            <w:vAlign w:val="bottom"/>
            <w:hideMark/>
          </w:tcPr>
          <w:p w:rsidR="006252C4" w:rsidRPr="00585A82" w:rsidRDefault="006252C4" w:rsidP="00D04D4F">
            <w:pPr>
              <w:spacing w:line="269" w:lineRule="auto"/>
              <w:jc w:val="left"/>
              <w:rPr>
                <w:rFonts w:ascii="David" w:eastAsia="Times New Roman" w:hAnsi="David"/>
                <w:b/>
                <w:bCs/>
                <w:color w:val="000000"/>
                <w:sz w:val="22"/>
                <w:szCs w:val="22"/>
              </w:rPr>
            </w:pPr>
            <w:r w:rsidRPr="00585A82">
              <w:rPr>
                <w:rFonts w:ascii="David" w:eastAsia="Times New Roman" w:hAnsi="David"/>
                <w:b/>
                <w:bCs/>
                <w:color w:val="000000"/>
                <w:sz w:val="22"/>
                <w:szCs w:val="22"/>
                <w:rtl/>
              </w:rPr>
              <w:t>נובמבר-דצמבר 2023</w:t>
            </w:r>
          </w:p>
        </w:tc>
        <w:tc>
          <w:tcPr>
            <w:tcW w:w="1310" w:type="dxa"/>
            <w:tcBorders>
              <w:top w:val="nil"/>
              <w:left w:val="single" w:sz="8" w:space="0" w:color="auto"/>
              <w:bottom w:val="single" w:sz="4" w:space="0" w:color="auto"/>
              <w:right w:val="single" w:sz="4"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tl/>
              </w:rPr>
            </w:pPr>
            <w:r w:rsidRPr="00585A82">
              <w:rPr>
                <w:rFonts w:ascii="David" w:eastAsia="Times New Roman" w:hAnsi="David"/>
                <w:color w:val="000000"/>
                <w:sz w:val="22"/>
                <w:szCs w:val="22"/>
              </w:rPr>
              <w:t>28.1.24</w:t>
            </w:r>
          </w:p>
        </w:tc>
        <w:tc>
          <w:tcPr>
            <w:tcW w:w="1807" w:type="dxa"/>
            <w:tcBorders>
              <w:top w:val="nil"/>
              <w:left w:val="single" w:sz="4" w:space="0" w:color="auto"/>
              <w:bottom w:val="single" w:sz="4" w:space="0" w:color="auto"/>
              <w:right w:val="single" w:sz="8"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74</w:t>
            </w:r>
          </w:p>
        </w:tc>
      </w:tr>
      <w:tr w:rsidR="006252C4" w:rsidRPr="00A81964" w:rsidTr="00D04D4F">
        <w:trPr>
          <w:trHeight w:val="300"/>
          <w:jc w:val="center"/>
        </w:trPr>
        <w:tc>
          <w:tcPr>
            <w:tcW w:w="1480" w:type="dxa"/>
            <w:vMerge/>
            <w:tcBorders>
              <w:top w:val="nil"/>
              <w:left w:val="single" w:sz="8" w:space="0" w:color="auto"/>
              <w:bottom w:val="single" w:sz="8" w:space="0" w:color="000000"/>
              <w:right w:val="nil"/>
            </w:tcBorders>
            <w:vAlign w:val="center"/>
            <w:hideMark/>
          </w:tcPr>
          <w:p w:rsidR="006252C4" w:rsidRPr="00585A82" w:rsidRDefault="006252C4" w:rsidP="00D04D4F">
            <w:pPr>
              <w:spacing w:line="269" w:lineRule="auto"/>
              <w:jc w:val="left"/>
              <w:rPr>
                <w:rFonts w:ascii="David" w:eastAsia="Times New Roman" w:hAnsi="David"/>
                <w:b/>
                <w:bCs/>
                <w:color w:val="FFFFFF"/>
                <w:sz w:val="22"/>
                <w:szCs w:val="22"/>
              </w:rPr>
            </w:pPr>
          </w:p>
        </w:tc>
        <w:tc>
          <w:tcPr>
            <w:tcW w:w="2602" w:type="dxa"/>
            <w:tcBorders>
              <w:top w:val="nil"/>
              <w:left w:val="single" w:sz="8" w:space="0" w:color="auto"/>
              <w:bottom w:val="single" w:sz="4" w:space="0" w:color="auto"/>
              <w:right w:val="nil"/>
            </w:tcBorders>
            <w:shd w:val="clear" w:color="000000" w:fill="B4C6E7"/>
            <w:vAlign w:val="bottom"/>
            <w:hideMark/>
          </w:tcPr>
          <w:p w:rsidR="006252C4" w:rsidRPr="00585A82" w:rsidRDefault="006252C4" w:rsidP="00D04D4F">
            <w:pPr>
              <w:spacing w:line="269" w:lineRule="auto"/>
              <w:jc w:val="left"/>
              <w:rPr>
                <w:rFonts w:ascii="David" w:eastAsia="Times New Roman" w:hAnsi="David"/>
                <w:b/>
                <w:bCs/>
                <w:color w:val="000000"/>
                <w:sz w:val="22"/>
                <w:szCs w:val="22"/>
              </w:rPr>
            </w:pPr>
            <w:r w:rsidRPr="00585A82">
              <w:rPr>
                <w:rFonts w:ascii="David" w:eastAsia="Times New Roman" w:hAnsi="David"/>
                <w:b/>
                <w:bCs/>
                <w:color w:val="000000"/>
                <w:sz w:val="22"/>
                <w:szCs w:val="22"/>
                <w:rtl/>
              </w:rPr>
              <w:t>ינואר-פברואר 2024</w:t>
            </w:r>
          </w:p>
        </w:tc>
        <w:tc>
          <w:tcPr>
            <w:tcW w:w="1310" w:type="dxa"/>
            <w:tcBorders>
              <w:top w:val="nil"/>
              <w:left w:val="single" w:sz="8" w:space="0" w:color="auto"/>
              <w:bottom w:val="single" w:sz="4" w:space="0" w:color="auto"/>
              <w:right w:val="single" w:sz="4"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tl/>
              </w:rPr>
            </w:pPr>
            <w:r w:rsidRPr="00585A82">
              <w:rPr>
                <w:rFonts w:ascii="David" w:eastAsia="Times New Roman" w:hAnsi="David"/>
                <w:color w:val="000000"/>
                <w:sz w:val="22"/>
                <w:szCs w:val="22"/>
              </w:rPr>
              <w:t>9.4.24</w:t>
            </w:r>
          </w:p>
        </w:tc>
        <w:tc>
          <w:tcPr>
            <w:tcW w:w="1807" w:type="dxa"/>
            <w:tcBorders>
              <w:top w:val="nil"/>
              <w:left w:val="single" w:sz="4" w:space="0" w:color="auto"/>
              <w:bottom w:val="single" w:sz="4" w:space="0" w:color="auto"/>
              <w:right w:val="single" w:sz="8"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70</w:t>
            </w:r>
          </w:p>
        </w:tc>
      </w:tr>
      <w:tr w:rsidR="006252C4" w:rsidRPr="00A81964" w:rsidTr="00D04D4F">
        <w:trPr>
          <w:trHeight w:val="300"/>
          <w:jc w:val="center"/>
        </w:trPr>
        <w:tc>
          <w:tcPr>
            <w:tcW w:w="1480" w:type="dxa"/>
            <w:vMerge/>
            <w:tcBorders>
              <w:top w:val="nil"/>
              <w:left w:val="single" w:sz="8" w:space="0" w:color="auto"/>
              <w:bottom w:val="single" w:sz="8" w:space="0" w:color="000000"/>
              <w:right w:val="nil"/>
            </w:tcBorders>
            <w:vAlign w:val="center"/>
            <w:hideMark/>
          </w:tcPr>
          <w:p w:rsidR="006252C4" w:rsidRPr="00585A82" w:rsidRDefault="006252C4" w:rsidP="00D04D4F">
            <w:pPr>
              <w:spacing w:line="269" w:lineRule="auto"/>
              <w:jc w:val="left"/>
              <w:rPr>
                <w:rFonts w:ascii="David" w:eastAsia="Times New Roman" w:hAnsi="David"/>
                <w:b/>
                <w:bCs/>
                <w:color w:val="FFFFFF"/>
                <w:sz w:val="22"/>
                <w:szCs w:val="22"/>
              </w:rPr>
            </w:pPr>
          </w:p>
        </w:tc>
        <w:tc>
          <w:tcPr>
            <w:tcW w:w="2602" w:type="dxa"/>
            <w:tcBorders>
              <w:top w:val="nil"/>
              <w:left w:val="single" w:sz="8" w:space="0" w:color="auto"/>
              <w:bottom w:val="single" w:sz="4" w:space="0" w:color="auto"/>
              <w:right w:val="nil"/>
            </w:tcBorders>
            <w:shd w:val="clear" w:color="000000" w:fill="B4C6E7"/>
            <w:vAlign w:val="bottom"/>
            <w:hideMark/>
          </w:tcPr>
          <w:p w:rsidR="006252C4" w:rsidRPr="00585A82" w:rsidRDefault="006252C4" w:rsidP="00D04D4F">
            <w:pPr>
              <w:spacing w:line="269" w:lineRule="auto"/>
              <w:jc w:val="left"/>
              <w:rPr>
                <w:rFonts w:ascii="David" w:eastAsia="Times New Roman" w:hAnsi="David"/>
                <w:b/>
                <w:bCs/>
                <w:color w:val="000000"/>
                <w:sz w:val="22"/>
                <w:szCs w:val="22"/>
              </w:rPr>
            </w:pPr>
            <w:r w:rsidRPr="00585A82">
              <w:rPr>
                <w:rFonts w:ascii="David" w:eastAsia="Times New Roman" w:hAnsi="David"/>
                <w:b/>
                <w:bCs/>
                <w:color w:val="000000"/>
                <w:sz w:val="22"/>
                <w:szCs w:val="22"/>
                <w:rtl/>
              </w:rPr>
              <w:t>מרץ-אפריל 2024</w:t>
            </w:r>
          </w:p>
        </w:tc>
        <w:tc>
          <w:tcPr>
            <w:tcW w:w="1310" w:type="dxa"/>
            <w:tcBorders>
              <w:top w:val="nil"/>
              <w:left w:val="single" w:sz="8" w:space="0" w:color="auto"/>
              <w:bottom w:val="single" w:sz="4" w:space="0" w:color="auto"/>
              <w:right w:val="single" w:sz="4"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tl/>
              </w:rPr>
            </w:pPr>
            <w:r w:rsidRPr="00585A82">
              <w:rPr>
                <w:rFonts w:ascii="David" w:eastAsia="Times New Roman" w:hAnsi="David"/>
                <w:color w:val="000000"/>
                <w:sz w:val="22"/>
                <w:szCs w:val="22"/>
              </w:rPr>
              <w:t>1.7.24</w:t>
            </w:r>
          </w:p>
        </w:tc>
        <w:tc>
          <w:tcPr>
            <w:tcW w:w="1807" w:type="dxa"/>
            <w:tcBorders>
              <w:top w:val="nil"/>
              <w:left w:val="single" w:sz="4" w:space="0" w:color="auto"/>
              <w:bottom w:val="single" w:sz="4" w:space="0" w:color="auto"/>
              <w:right w:val="single" w:sz="8"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92</w:t>
            </w:r>
          </w:p>
        </w:tc>
      </w:tr>
      <w:tr w:rsidR="006252C4" w:rsidRPr="00A81964" w:rsidTr="00D04D4F">
        <w:trPr>
          <w:trHeight w:val="300"/>
          <w:jc w:val="center"/>
        </w:trPr>
        <w:tc>
          <w:tcPr>
            <w:tcW w:w="1480" w:type="dxa"/>
            <w:vMerge/>
            <w:tcBorders>
              <w:top w:val="nil"/>
              <w:left w:val="single" w:sz="8" w:space="0" w:color="auto"/>
              <w:bottom w:val="single" w:sz="8" w:space="0" w:color="000000"/>
              <w:right w:val="nil"/>
            </w:tcBorders>
            <w:vAlign w:val="center"/>
            <w:hideMark/>
          </w:tcPr>
          <w:p w:rsidR="006252C4" w:rsidRPr="00585A82" w:rsidRDefault="006252C4" w:rsidP="00D04D4F">
            <w:pPr>
              <w:spacing w:line="269" w:lineRule="auto"/>
              <w:jc w:val="left"/>
              <w:rPr>
                <w:rFonts w:ascii="David" w:eastAsia="Times New Roman" w:hAnsi="David"/>
                <w:b/>
                <w:bCs/>
                <w:color w:val="FFFFFF"/>
                <w:sz w:val="22"/>
                <w:szCs w:val="22"/>
              </w:rPr>
            </w:pPr>
          </w:p>
        </w:tc>
        <w:tc>
          <w:tcPr>
            <w:tcW w:w="2602" w:type="dxa"/>
            <w:tcBorders>
              <w:top w:val="nil"/>
              <w:left w:val="single" w:sz="8" w:space="0" w:color="auto"/>
              <w:bottom w:val="single" w:sz="4" w:space="0" w:color="auto"/>
              <w:right w:val="nil"/>
            </w:tcBorders>
            <w:shd w:val="clear" w:color="000000" w:fill="B4C6E7"/>
            <w:vAlign w:val="bottom"/>
            <w:hideMark/>
          </w:tcPr>
          <w:p w:rsidR="006252C4" w:rsidRPr="00585A82" w:rsidRDefault="006252C4" w:rsidP="00D04D4F">
            <w:pPr>
              <w:spacing w:line="269" w:lineRule="auto"/>
              <w:jc w:val="left"/>
              <w:rPr>
                <w:rFonts w:ascii="David" w:eastAsia="Times New Roman" w:hAnsi="David"/>
                <w:b/>
                <w:bCs/>
                <w:color w:val="000000"/>
                <w:sz w:val="22"/>
                <w:szCs w:val="22"/>
              </w:rPr>
            </w:pPr>
            <w:r w:rsidRPr="00585A82">
              <w:rPr>
                <w:rFonts w:ascii="David" w:eastAsia="Times New Roman" w:hAnsi="David"/>
                <w:b/>
                <w:bCs/>
                <w:color w:val="000000"/>
                <w:sz w:val="22"/>
                <w:szCs w:val="22"/>
                <w:rtl/>
              </w:rPr>
              <w:t>מאי-יוני 2024</w:t>
            </w:r>
          </w:p>
        </w:tc>
        <w:tc>
          <w:tcPr>
            <w:tcW w:w="1310" w:type="dxa"/>
            <w:tcBorders>
              <w:top w:val="nil"/>
              <w:left w:val="single" w:sz="8" w:space="0" w:color="auto"/>
              <w:bottom w:val="single" w:sz="4" w:space="0" w:color="auto"/>
              <w:right w:val="single" w:sz="4"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tl/>
              </w:rPr>
            </w:pPr>
            <w:r w:rsidRPr="00585A82">
              <w:rPr>
                <w:rFonts w:ascii="David" w:eastAsia="Times New Roman" w:hAnsi="David"/>
                <w:color w:val="000000"/>
                <w:sz w:val="22"/>
                <w:szCs w:val="22"/>
              </w:rPr>
              <w:t>1.7.24</w:t>
            </w:r>
          </w:p>
        </w:tc>
        <w:tc>
          <w:tcPr>
            <w:tcW w:w="1807" w:type="dxa"/>
            <w:tcBorders>
              <w:top w:val="nil"/>
              <w:left w:val="single" w:sz="4" w:space="0" w:color="auto"/>
              <w:bottom w:val="single" w:sz="4" w:space="0" w:color="auto"/>
              <w:right w:val="single" w:sz="8"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31</w:t>
            </w:r>
          </w:p>
        </w:tc>
      </w:tr>
      <w:tr w:rsidR="006252C4" w:rsidRPr="00A81964" w:rsidTr="00D04D4F">
        <w:trPr>
          <w:trHeight w:val="300"/>
          <w:jc w:val="center"/>
        </w:trPr>
        <w:tc>
          <w:tcPr>
            <w:tcW w:w="1480" w:type="dxa"/>
            <w:vMerge/>
            <w:tcBorders>
              <w:top w:val="nil"/>
              <w:left w:val="single" w:sz="8" w:space="0" w:color="auto"/>
              <w:bottom w:val="single" w:sz="8" w:space="0" w:color="000000"/>
              <w:right w:val="nil"/>
            </w:tcBorders>
            <w:vAlign w:val="center"/>
            <w:hideMark/>
          </w:tcPr>
          <w:p w:rsidR="006252C4" w:rsidRPr="00585A82" w:rsidRDefault="006252C4" w:rsidP="00D04D4F">
            <w:pPr>
              <w:spacing w:line="269" w:lineRule="auto"/>
              <w:jc w:val="left"/>
              <w:rPr>
                <w:rFonts w:ascii="David" w:eastAsia="Times New Roman" w:hAnsi="David"/>
                <w:b/>
                <w:bCs/>
                <w:color w:val="FFFFFF"/>
                <w:sz w:val="22"/>
                <w:szCs w:val="22"/>
              </w:rPr>
            </w:pPr>
          </w:p>
        </w:tc>
        <w:tc>
          <w:tcPr>
            <w:tcW w:w="2602" w:type="dxa"/>
            <w:tcBorders>
              <w:top w:val="nil"/>
              <w:left w:val="single" w:sz="8" w:space="0" w:color="auto"/>
              <w:bottom w:val="single" w:sz="4" w:space="0" w:color="auto"/>
              <w:right w:val="nil"/>
            </w:tcBorders>
            <w:shd w:val="clear" w:color="000000" w:fill="B4C6E7"/>
            <w:vAlign w:val="bottom"/>
            <w:hideMark/>
          </w:tcPr>
          <w:p w:rsidR="006252C4" w:rsidRPr="00585A82" w:rsidRDefault="006252C4" w:rsidP="00D04D4F">
            <w:pPr>
              <w:spacing w:line="269" w:lineRule="auto"/>
              <w:jc w:val="left"/>
              <w:rPr>
                <w:rFonts w:ascii="David" w:eastAsia="Times New Roman" w:hAnsi="David"/>
                <w:b/>
                <w:bCs/>
                <w:color w:val="000000"/>
                <w:sz w:val="22"/>
                <w:szCs w:val="22"/>
              </w:rPr>
            </w:pPr>
            <w:r w:rsidRPr="00585A82">
              <w:rPr>
                <w:rFonts w:ascii="David" w:eastAsia="Times New Roman" w:hAnsi="David"/>
                <w:b/>
                <w:bCs/>
                <w:color w:val="000000"/>
                <w:sz w:val="22"/>
                <w:szCs w:val="22"/>
                <w:rtl/>
              </w:rPr>
              <w:t>מאי-יוני 2024 - ענף התיירות</w:t>
            </w:r>
          </w:p>
        </w:tc>
        <w:tc>
          <w:tcPr>
            <w:tcW w:w="1310" w:type="dxa"/>
            <w:tcBorders>
              <w:top w:val="nil"/>
              <w:left w:val="single" w:sz="8" w:space="0" w:color="auto"/>
              <w:bottom w:val="single" w:sz="4" w:space="0" w:color="auto"/>
              <w:right w:val="single" w:sz="4"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tl/>
              </w:rPr>
            </w:pPr>
            <w:r w:rsidRPr="00585A82">
              <w:rPr>
                <w:rFonts w:ascii="David" w:eastAsia="Times New Roman" w:hAnsi="David"/>
                <w:color w:val="000000"/>
                <w:sz w:val="22"/>
                <w:szCs w:val="22"/>
              </w:rPr>
              <w:t>18.8.24</w:t>
            </w:r>
          </w:p>
        </w:tc>
        <w:tc>
          <w:tcPr>
            <w:tcW w:w="1807" w:type="dxa"/>
            <w:tcBorders>
              <w:top w:val="nil"/>
              <w:left w:val="single" w:sz="4" w:space="0" w:color="auto"/>
              <w:bottom w:val="single" w:sz="4" w:space="0" w:color="auto"/>
              <w:right w:val="single" w:sz="8"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79</w:t>
            </w:r>
          </w:p>
        </w:tc>
      </w:tr>
      <w:tr w:rsidR="006252C4" w:rsidRPr="00A81964" w:rsidTr="00D04D4F">
        <w:trPr>
          <w:trHeight w:val="300"/>
          <w:jc w:val="center"/>
        </w:trPr>
        <w:tc>
          <w:tcPr>
            <w:tcW w:w="1480" w:type="dxa"/>
            <w:vMerge/>
            <w:tcBorders>
              <w:top w:val="nil"/>
              <w:left w:val="single" w:sz="8" w:space="0" w:color="auto"/>
              <w:bottom w:val="single" w:sz="8" w:space="0" w:color="000000"/>
              <w:right w:val="nil"/>
            </w:tcBorders>
            <w:vAlign w:val="center"/>
            <w:hideMark/>
          </w:tcPr>
          <w:p w:rsidR="006252C4" w:rsidRPr="00585A82" w:rsidRDefault="006252C4" w:rsidP="00D04D4F">
            <w:pPr>
              <w:spacing w:line="269" w:lineRule="auto"/>
              <w:jc w:val="left"/>
              <w:rPr>
                <w:rFonts w:ascii="David" w:eastAsia="Times New Roman" w:hAnsi="David"/>
                <w:b/>
                <w:bCs/>
                <w:color w:val="FFFFFF"/>
                <w:sz w:val="22"/>
                <w:szCs w:val="22"/>
              </w:rPr>
            </w:pPr>
          </w:p>
        </w:tc>
        <w:tc>
          <w:tcPr>
            <w:tcW w:w="2602" w:type="dxa"/>
            <w:tcBorders>
              <w:top w:val="nil"/>
              <w:left w:val="single" w:sz="8" w:space="0" w:color="auto"/>
              <w:bottom w:val="single" w:sz="4" w:space="0" w:color="auto"/>
              <w:right w:val="nil"/>
            </w:tcBorders>
            <w:shd w:val="clear" w:color="000000" w:fill="B4C6E7"/>
            <w:vAlign w:val="bottom"/>
            <w:hideMark/>
          </w:tcPr>
          <w:p w:rsidR="006252C4" w:rsidRPr="00585A82" w:rsidRDefault="006252C4" w:rsidP="00D04D4F">
            <w:pPr>
              <w:spacing w:line="269" w:lineRule="auto"/>
              <w:jc w:val="left"/>
              <w:rPr>
                <w:rFonts w:ascii="David" w:eastAsia="Times New Roman" w:hAnsi="David"/>
                <w:b/>
                <w:bCs/>
                <w:color w:val="000000"/>
                <w:sz w:val="22"/>
                <w:szCs w:val="22"/>
              </w:rPr>
            </w:pPr>
            <w:r w:rsidRPr="00585A82">
              <w:rPr>
                <w:rFonts w:ascii="David" w:eastAsia="Times New Roman" w:hAnsi="David"/>
                <w:b/>
                <w:bCs/>
                <w:color w:val="000000"/>
                <w:sz w:val="22"/>
                <w:szCs w:val="22"/>
                <w:rtl/>
              </w:rPr>
              <w:t>יולי-אוגוסט 2024</w:t>
            </w:r>
          </w:p>
        </w:tc>
        <w:tc>
          <w:tcPr>
            <w:tcW w:w="1310" w:type="dxa"/>
            <w:tcBorders>
              <w:top w:val="nil"/>
              <w:left w:val="single" w:sz="8" w:space="0" w:color="auto"/>
              <w:bottom w:val="single" w:sz="4" w:space="0" w:color="auto"/>
              <w:right w:val="single" w:sz="4"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tl/>
              </w:rPr>
            </w:pPr>
            <w:r w:rsidRPr="00585A82">
              <w:rPr>
                <w:rFonts w:ascii="David" w:eastAsia="Times New Roman" w:hAnsi="David"/>
                <w:color w:val="000000"/>
                <w:sz w:val="22"/>
                <w:szCs w:val="22"/>
              </w:rPr>
              <w:t>18.8.24</w:t>
            </w:r>
          </w:p>
        </w:tc>
        <w:tc>
          <w:tcPr>
            <w:tcW w:w="1807" w:type="dxa"/>
            <w:tcBorders>
              <w:top w:val="nil"/>
              <w:left w:val="single" w:sz="4" w:space="0" w:color="auto"/>
              <w:bottom w:val="single" w:sz="4" w:space="0" w:color="auto"/>
              <w:right w:val="single" w:sz="8"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18</w:t>
            </w:r>
          </w:p>
        </w:tc>
      </w:tr>
      <w:tr w:rsidR="006252C4" w:rsidRPr="00A81964" w:rsidTr="00D04D4F">
        <w:trPr>
          <w:trHeight w:val="279"/>
          <w:jc w:val="center"/>
        </w:trPr>
        <w:tc>
          <w:tcPr>
            <w:tcW w:w="1480" w:type="dxa"/>
            <w:vMerge/>
            <w:tcBorders>
              <w:top w:val="nil"/>
              <w:left w:val="single" w:sz="8" w:space="0" w:color="auto"/>
              <w:bottom w:val="single" w:sz="8" w:space="0" w:color="000000"/>
              <w:right w:val="nil"/>
            </w:tcBorders>
            <w:vAlign w:val="center"/>
            <w:hideMark/>
          </w:tcPr>
          <w:p w:rsidR="006252C4" w:rsidRPr="00585A82" w:rsidRDefault="006252C4" w:rsidP="00D04D4F">
            <w:pPr>
              <w:spacing w:line="269" w:lineRule="auto"/>
              <w:jc w:val="left"/>
              <w:rPr>
                <w:rFonts w:ascii="David" w:eastAsia="Times New Roman" w:hAnsi="David"/>
                <w:b/>
                <w:bCs/>
                <w:color w:val="FFFFFF"/>
                <w:sz w:val="22"/>
                <w:szCs w:val="22"/>
              </w:rPr>
            </w:pPr>
          </w:p>
        </w:tc>
        <w:tc>
          <w:tcPr>
            <w:tcW w:w="2602" w:type="dxa"/>
            <w:tcBorders>
              <w:top w:val="nil"/>
              <w:left w:val="single" w:sz="8" w:space="0" w:color="auto"/>
              <w:bottom w:val="single" w:sz="8" w:space="0" w:color="auto"/>
              <w:right w:val="nil"/>
            </w:tcBorders>
            <w:shd w:val="clear" w:color="000000" w:fill="B4C6E7"/>
            <w:vAlign w:val="bottom"/>
            <w:hideMark/>
          </w:tcPr>
          <w:p w:rsidR="006252C4" w:rsidRPr="00585A82" w:rsidRDefault="006252C4" w:rsidP="00D04D4F">
            <w:pPr>
              <w:spacing w:line="269" w:lineRule="auto"/>
              <w:jc w:val="left"/>
              <w:rPr>
                <w:rFonts w:ascii="David" w:eastAsia="Times New Roman" w:hAnsi="David"/>
                <w:b/>
                <w:bCs/>
                <w:color w:val="000000"/>
                <w:sz w:val="22"/>
                <w:szCs w:val="22"/>
                <w:rtl/>
              </w:rPr>
            </w:pPr>
            <w:r w:rsidRPr="00585A82">
              <w:rPr>
                <w:rFonts w:ascii="David" w:eastAsia="Times New Roman" w:hAnsi="David"/>
                <w:b/>
                <w:bCs/>
                <w:color w:val="000000"/>
                <w:sz w:val="22"/>
                <w:szCs w:val="22"/>
                <w:rtl/>
              </w:rPr>
              <w:t>ספטמבר-אוקטובר 2024</w:t>
            </w:r>
          </w:p>
        </w:tc>
        <w:tc>
          <w:tcPr>
            <w:tcW w:w="1310" w:type="dxa"/>
            <w:tcBorders>
              <w:top w:val="nil"/>
              <w:left w:val="single" w:sz="8" w:space="0" w:color="auto"/>
              <w:bottom w:val="single" w:sz="4" w:space="0" w:color="auto"/>
              <w:right w:val="single" w:sz="4" w:space="0" w:color="auto"/>
            </w:tcBorders>
            <w:shd w:val="clear" w:color="auto" w:fill="auto"/>
            <w:vAlign w:val="bottom"/>
            <w:hideMark/>
          </w:tcPr>
          <w:p w:rsidR="006252C4" w:rsidRPr="00585A82" w:rsidRDefault="006252C4" w:rsidP="00D04D4F">
            <w:pPr>
              <w:spacing w:line="269" w:lineRule="auto"/>
              <w:jc w:val="left"/>
              <w:rPr>
                <w:rFonts w:ascii="David" w:eastAsia="Times New Roman" w:hAnsi="David"/>
                <w:color w:val="000000"/>
                <w:sz w:val="22"/>
                <w:szCs w:val="22"/>
                <w:rtl/>
              </w:rPr>
            </w:pPr>
            <w:r w:rsidRPr="00585A82">
              <w:rPr>
                <w:rFonts w:ascii="David" w:eastAsia="Times New Roman" w:hAnsi="David"/>
                <w:color w:val="000000"/>
                <w:sz w:val="22"/>
                <w:szCs w:val="22"/>
              </w:rPr>
              <w:t>9.12.24</w:t>
            </w:r>
          </w:p>
        </w:tc>
        <w:tc>
          <w:tcPr>
            <w:tcW w:w="1807" w:type="dxa"/>
            <w:tcBorders>
              <w:top w:val="nil"/>
              <w:left w:val="single" w:sz="4" w:space="0" w:color="auto"/>
              <w:bottom w:val="single" w:sz="4" w:space="0" w:color="auto"/>
              <w:right w:val="single" w:sz="8" w:space="0" w:color="auto"/>
            </w:tcBorders>
            <w:shd w:val="clear" w:color="auto" w:fill="auto"/>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70</w:t>
            </w:r>
          </w:p>
        </w:tc>
      </w:tr>
      <w:tr w:rsidR="006252C4" w:rsidRPr="00A81964" w:rsidTr="00D04D4F">
        <w:trPr>
          <w:trHeight w:val="300"/>
          <w:jc w:val="center"/>
        </w:trPr>
        <w:tc>
          <w:tcPr>
            <w:tcW w:w="1480" w:type="dxa"/>
            <w:vMerge w:val="restart"/>
            <w:tcBorders>
              <w:top w:val="nil"/>
              <w:left w:val="single" w:sz="8" w:space="0" w:color="auto"/>
              <w:bottom w:val="single" w:sz="8" w:space="0" w:color="000000"/>
              <w:right w:val="single" w:sz="8" w:space="0" w:color="auto"/>
            </w:tcBorders>
            <w:shd w:val="clear" w:color="000000" w:fill="305496"/>
            <w:vAlign w:val="center"/>
            <w:hideMark/>
          </w:tcPr>
          <w:p w:rsidR="006252C4" w:rsidRPr="00585A82" w:rsidRDefault="006252C4" w:rsidP="00D04D4F">
            <w:pPr>
              <w:spacing w:line="269" w:lineRule="auto"/>
              <w:jc w:val="center"/>
              <w:rPr>
                <w:rFonts w:ascii="David" w:eastAsia="Times New Roman" w:hAnsi="David"/>
                <w:b/>
                <w:bCs/>
                <w:color w:val="FFFFFF"/>
                <w:sz w:val="22"/>
                <w:szCs w:val="22"/>
              </w:rPr>
            </w:pPr>
            <w:r w:rsidRPr="00585A82">
              <w:rPr>
                <w:rFonts w:ascii="David" w:eastAsia="Times New Roman" w:hAnsi="David"/>
                <w:b/>
                <w:bCs/>
                <w:color w:val="FFFFFF"/>
                <w:sz w:val="22"/>
                <w:szCs w:val="22"/>
                <w:rtl/>
              </w:rPr>
              <w:t>מסלול שכר</w:t>
            </w:r>
          </w:p>
        </w:tc>
        <w:tc>
          <w:tcPr>
            <w:tcW w:w="2602" w:type="dxa"/>
            <w:tcBorders>
              <w:top w:val="nil"/>
              <w:left w:val="nil"/>
              <w:bottom w:val="single" w:sz="4" w:space="0" w:color="auto"/>
              <w:right w:val="nil"/>
            </w:tcBorders>
            <w:shd w:val="clear" w:color="000000" w:fill="B4C6E7"/>
            <w:vAlign w:val="bottom"/>
            <w:hideMark/>
          </w:tcPr>
          <w:p w:rsidR="006252C4" w:rsidRPr="00585A82" w:rsidRDefault="006252C4" w:rsidP="00D04D4F">
            <w:pPr>
              <w:spacing w:line="269" w:lineRule="auto"/>
              <w:jc w:val="left"/>
              <w:rPr>
                <w:rFonts w:ascii="David" w:eastAsia="Times New Roman" w:hAnsi="David"/>
                <w:b/>
                <w:bCs/>
                <w:color w:val="000000"/>
                <w:sz w:val="22"/>
                <w:szCs w:val="22"/>
                <w:rtl/>
              </w:rPr>
            </w:pPr>
            <w:r w:rsidRPr="00585A82">
              <w:rPr>
                <w:rFonts w:ascii="David" w:eastAsia="Times New Roman" w:hAnsi="David"/>
                <w:b/>
                <w:bCs/>
                <w:color w:val="000000"/>
                <w:sz w:val="22"/>
                <w:szCs w:val="22"/>
                <w:rtl/>
              </w:rPr>
              <w:t>אוקטובר 2023</w:t>
            </w:r>
          </w:p>
        </w:tc>
        <w:tc>
          <w:tcPr>
            <w:tcW w:w="1310" w:type="dxa"/>
            <w:tcBorders>
              <w:top w:val="nil"/>
              <w:left w:val="single" w:sz="8" w:space="0" w:color="auto"/>
              <w:bottom w:val="single" w:sz="4" w:space="0" w:color="auto"/>
              <w:right w:val="single" w:sz="4" w:space="0" w:color="auto"/>
            </w:tcBorders>
            <w:shd w:val="clear" w:color="auto" w:fill="auto"/>
            <w:vAlign w:val="bottom"/>
            <w:hideMark/>
          </w:tcPr>
          <w:p w:rsidR="006252C4" w:rsidRPr="00585A82" w:rsidRDefault="006252C4" w:rsidP="00D04D4F">
            <w:pPr>
              <w:spacing w:line="269" w:lineRule="auto"/>
              <w:jc w:val="left"/>
              <w:rPr>
                <w:rFonts w:ascii="David" w:eastAsia="Times New Roman" w:hAnsi="David"/>
                <w:color w:val="000000"/>
                <w:sz w:val="22"/>
                <w:szCs w:val="22"/>
                <w:rtl/>
              </w:rPr>
            </w:pPr>
            <w:r w:rsidRPr="00585A82">
              <w:rPr>
                <w:rFonts w:ascii="David" w:eastAsia="Times New Roman" w:hAnsi="David"/>
                <w:color w:val="000000"/>
                <w:sz w:val="22"/>
                <w:szCs w:val="22"/>
              </w:rPr>
              <w:t>20.11.23</w:t>
            </w:r>
          </w:p>
        </w:tc>
        <w:tc>
          <w:tcPr>
            <w:tcW w:w="1807" w:type="dxa"/>
            <w:tcBorders>
              <w:top w:val="nil"/>
              <w:left w:val="single" w:sz="4" w:space="0" w:color="auto"/>
              <w:bottom w:val="single" w:sz="4" w:space="0" w:color="auto"/>
              <w:right w:val="single" w:sz="8" w:space="0" w:color="auto"/>
            </w:tcBorders>
            <w:shd w:val="clear" w:color="auto" w:fill="auto"/>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32</w:t>
            </w:r>
          </w:p>
        </w:tc>
      </w:tr>
      <w:tr w:rsidR="006252C4" w:rsidRPr="00A81964" w:rsidTr="00D04D4F">
        <w:trPr>
          <w:trHeight w:val="300"/>
          <w:jc w:val="center"/>
        </w:trPr>
        <w:tc>
          <w:tcPr>
            <w:tcW w:w="1480" w:type="dxa"/>
            <w:vMerge/>
            <w:tcBorders>
              <w:top w:val="nil"/>
              <w:left w:val="single" w:sz="8" w:space="0" w:color="auto"/>
              <w:bottom w:val="single" w:sz="8" w:space="0" w:color="000000"/>
              <w:right w:val="single" w:sz="8" w:space="0" w:color="auto"/>
            </w:tcBorders>
            <w:vAlign w:val="center"/>
            <w:hideMark/>
          </w:tcPr>
          <w:p w:rsidR="006252C4" w:rsidRPr="00585A82" w:rsidRDefault="006252C4" w:rsidP="00D04D4F">
            <w:pPr>
              <w:spacing w:line="269" w:lineRule="auto"/>
              <w:jc w:val="left"/>
              <w:rPr>
                <w:rFonts w:ascii="David" w:eastAsia="Times New Roman" w:hAnsi="David"/>
                <w:b/>
                <w:bCs/>
                <w:color w:val="FFFFFF"/>
                <w:sz w:val="22"/>
                <w:szCs w:val="22"/>
              </w:rPr>
            </w:pPr>
          </w:p>
        </w:tc>
        <w:tc>
          <w:tcPr>
            <w:tcW w:w="2602" w:type="dxa"/>
            <w:tcBorders>
              <w:top w:val="nil"/>
              <w:left w:val="nil"/>
              <w:bottom w:val="single" w:sz="4" w:space="0" w:color="auto"/>
              <w:right w:val="nil"/>
            </w:tcBorders>
            <w:shd w:val="clear" w:color="000000" w:fill="B4C6E7"/>
            <w:vAlign w:val="bottom"/>
            <w:hideMark/>
          </w:tcPr>
          <w:p w:rsidR="006252C4" w:rsidRPr="00585A82" w:rsidRDefault="006252C4" w:rsidP="00D04D4F">
            <w:pPr>
              <w:spacing w:line="269" w:lineRule="auto"/>
              <w:jc w:val="left"/>
              <w:rPr>
                <w:rFonts w:ascii="David" w:eastAsia="Times New Roman" w:hAnsi="David"/>
                <w:b/>
                <w:bCs/>
                <w:color w:val="000000"/>
                <w:sz w:val="22"/>
                <w:szCs w:val="22"/>
              </w:rPr>
            </w:pPr>
            <w:r w:rsidRPr="00585A82">
              <w:rPr>
                <w:rFonts w:ascii="David" w:eastAsia="Times New Roman" w:hAnsi="David"/>
                <w:b/>
                <w:bCs/>
                <w:color w:val="000000"/>
                <w:sz w:val="22"/>
                <w:szCs w:val="22"/>
                <w:rtl/>
              </w:rPr>
              <w:t>נובמבר-דצמבר 2023</w:t>
            </w:r>
          </w:p>
        </w:tc>
        <w:tc>
          <w:tcPr>
            <w:tcW w:w="1310" w:type="dxa"/>
            <w:tcBorders>
              <w:top w:val="nil"/>
              <w:left w:val="single" w:sz="8" w:space="0" w:color="auto"/>
              <w:bottom w:val="single" w:sz="4" w:space="0" w:color="auto"/>
              <w:right w:val="single" w:sz="4" w:space="0" w:color="auto"/>
            </w:tcBorders>
            <w:shd w:val="clear" w:color="auto" w:fill="auto"/>
            <w:vAlign w:val="bottom"/>
            <w:hideMark/>
          </w:tcPr>
          <w:p w:rsidR="006252C4" w:rsidRPr="00585A82" w:rsidRDefault="006252C4" w:rsidP="00D04D4F">
            <w:pPr>
              <w:spacing w:line="269" w:lineRule="auto"/>
              <w:jc w:val="left"/>
              <w:rPr>
                <w:rFonts w:ascii="David" w:eastAsia="Times New Roman" w:hAnsi="David"/>
                <w:color w:val="000000"/>
                <w:sz w:val="22"/>
                <w:szCs w:val="22"/>
                <w:rtl/>
              </w:rPr>
            </w:pPr>
            <w:r w:rsidRPr="00585A82">
              <w:rPr>
                <w:rFonts w:ascii="David" w:eastAsia="Times New Roman" w:hAnsi="David"/>
                <w:color w:val="000000"/>
                <w:sz w:val="22"/>
                <w:szCs w:val="22"/>
              </w:rPr>
              <w:t>28.1.24</w:t>
            </w:r>
          </w:p>
        </w:tc>
        <w:tc>
          <w:tcPr>
            <w:tcW w:w="1807" w:type="dxa"/>
            <w:tcBorders>
              <w:top w:val="nil"/>
              <w:left w:val="single" w:sz="4" w:space="0" w:color="auto"/>
              <w:bottom w:val="single" w:sz="4" w:space="0" w:color="auto"/>
              <w:right w:val="single" w:sz="8" w:space="0" w:color="auto"/>
            </w:tcBorders>
            <w:shd w:val="clear" w:color="auto" w:fill="auto"/>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74</w:t>
            </w:r>
          </w:p>
        </w:tc>
      </w:tr>
      <w:tr w:rsidR="006252C4" w:rsidRPr="00A81964" w:rsidTr="00D04D4F">
        <w:trPr>
          <w:trHeight w:val="300"/>
          <w:jc w:val="center"/>
        </w:trPr>
        <w:tc>
          <w:tcPr>
            <w:tcW w:w="1480" w:type="dxa"/>
            <w:vMerge/>
            <w:tcBorders>
              <w:top w:val="nil"/>
              <w:left w:val="single" w:sz="8" w:space="0" w:color="auto"/>
              <w:bottom w:val="single" w:sz="8" w:space="0" w:color="000000"/>
              <w:right w:val="single" w:sz="8" w:space="0" w:color="auto"/>
            </w:tcBorders>
            <w:vAlign w:val="center"/>
            <w:hideMark/>
          </w:tcPr>
          <w:p w:rsidR="006252C4" w:rsidRPr="00585A82" w:rsidRDefault="006252C4" w:rsidP="00D04D4F">
            <w:pPr>
              <w:spacing w:line="269" w:lineRule="auto"/>
              <w:jc w:val="left"/>
              <w:rPr>
                <w:rFonts w:ascii="David" w:eastAsia="Times New Roman" w:hAnsi="David"/>
                <w:b/>
                <w:bCs/>
                <w:color w:val="FFFFFF"/>
                <w:sz w:val="22"/>
                <w:szCs w:val="22"/>
              </w:rPr>
            </w:pPr>
          </w:p>
        </w:tc>
        <w:tc>
          <w:tcPr>
            <w:tcW w:w="2602" w:type="dxa"/>
            <w:tcBorders>
              <w:top w:val="nil"/>
              <w:left w:val="nil"/>
              <w:bottom w:val="single" w:sz="4" w:space="0" w:color="auto"/>
              <w:right w:val="nil"/>
            </w:tcBorders>
            <w:shd w:val="clear" w:color="000000" w:fill="B4C6E7"/>
            <w:vAlign w:val="bottom"/>
            <w:hideMark/>
          </w:tcPr>
          <w:p w:rsidR="006252C4" w:rsidRPr="00585A82" w:rsidRDefault="006252C4" w:rsidP="00D04D4F">
            <w:pPr>
              <w:spacing w:line="269" w:lineRule="auto"/>
              <w:jc w:val="left"/>
              <w:rPr>
                <w:rFonts w:ascii="David" w:eastAsia="Times New Roman" w:hAnsi="David"/>
                <w:b/>
                <w:bCs/>
                <w:color w:val="000000"/>
                <w:sz w:val="22"/>
                <w:szCs w:val="22"/>
              </w:rPr>
            </w:pPr>
            <w:r w:rsidRPr="00585A82">
              <w:rPr>
                <w:rFonts w:ascii="David" w:eastAsia="Times New Roman" w:hAnsi="David"/>
                <w:b/>
                <w:bCs/>
                <w:color w:val="000000"/>
                <w:sz w:val="22"/>
                <w:szCs w:val="22"/>
                <w:rtl/>
              </w:rPr>
              <w:t>ינואר-פברואר 2024</w:t>
            </w:r>
          </w:p>
        </w:tc>
        <w:tc>
          <w:tcPr>
            <w:tcW w:w="1310" w:type="dxa"/>
            <w:tcBorders>
              <w:top w:val="nil"/>
              <w:left w:val="single" w:sz="8" w:space="0" w:color="auto"/>
              <w:bottom w:val="single" w:sz="4" w:space="0" w:color="auto"/>
              <w:right w:val="single" w:sz="4" w:space="0" w:color="auto"/>
            </w:tcBorders>
            <w:shd w:val="clear" w:color="auto" w:fill="auto"/>
            <w:vAlign w:val="bottom"/>
            <w:hideMark/>
          </w:tcPr>
          <w:p w:rsidR="006252C4" w:rsidRPr="00585A82" w:rsidRDefault="006252C4" w:rsidP="00D04D4F">
            <w:pPr>
              <w:spacing w:line="269" w:lineRule="auto"/>
              <w:jc w:val="left"/>
              <w:rPr>
                <w:rFonts w:ascii="David" w:eastAsia="Times New Roman" w:hAnsi="David"/>
                <w:color w:val="000000"/>
                <w:sz w:val="22"/>
                <w:szCs w:val="22"/>
                <w:rtl/>
              </w:rPr>
            </w:pPr>
            <w:r w:rsidRPr="00585A82">
              <w:rPr>
                <w:rFonts w:ascii="David" w:eastAsia="Times New Roman" w:hAnsi="David"/>
                <w:color w:val="000000"/>
                <w:sz w:val="22"/>
                <w:szCs w:val="22"/>
              </w:rPr>
              <w:t>9.4.24</w:t>
            </w:r>
          </w:p>
        </w:tc>
        <w:tc>
          <w:tcPr>
            <w:tcW w:w="1807" w:type="dxa"/>
            <w:tcBorders>
              <w:top w:val="nil"/>
              <w:left w:val="single" w:sz="4" w:space="0" w:color="auto"/>
              <w:bottom w:val="single" w:sz="4" w:space="0" w:color="auto"/>
              <w:right w:val="single" w:sz="8" w:space="0" w:color="auto"/>
            </w:tcBorders>
            <w:shd w:val="clear" w:color="auto" w:fill="auto"/>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70</w:t>
            </w:r>
          </w:p>
        </w:tc>
      </w:tr>
      <w:tr w:rsidR="006252C4" w:rsidRPr="00A81964" w:rsidTr="00D04D4F">
        <w:trPr>
          <w:trHeight w:val="300"/>
          <w:jc w:val="center"/>
        </w:trPr>
        <w:tc>
          <w:tcPr>
            <w:tcW w:w="1480" w:type="dxa"/>
            <w:vMerge/>
            <w:tcBorders>
              <w:top w:val="nil"/>
              <w:left w:val="single" w:sz="8" w:space="0" w:color="auto"/>
              <w:bottom w:val="single" w:sz="8" w:space="0" w:color="000000"/>
              <w:right w:val="single" w:sz="8" w:space="0" w:color="auto"/>
            </w:tcBorders>
            <w:vAlign w:val="center"/>
            <w:hideMark/>
          </w:tcPr>
          <w:p w:rsidR="006252C4" w:rsidRPr="00585A82" w:rsidRDefault="006252C4" w:rsidP="00D04D4F">
            <w:pPr>
              <w:spacing w:line="269" w:lineRule="auto"/>
              <w:jc w:val="left"/>
              <w:rPr>
                <w:rFonts w:ascii="David" w:eastAsia="Times New Roman" w:hAnsi="David"/>
                <w:b/>
                <w:bCs/>
                <w:color w:val="FFFFFF"/>
                <w:sz w:val="22"/>
                <w:szCs w:val="22"/>
              </w:rPr>
            </w:pPr>
          </w:p>
        </w:tc>
        <w:tc>
          <w:tcPr>
            <w:tcW w:w="2602" w:type="dxa"/>
            <w:tcBorders>
              <w:top w:val="nil"/>
              <w:left w:val="nil"/>
              <w:bottom w:val="single" w:sz="4" w:space="0" w:color="auto"/>
              <w:right w:val="nil"/>
            </w:tcBorders>
            <w:shd w:val="clear" w:color="000000" w:fill="B4C6E7"/>
            <w:vAlign w:val="bottom"/>
            <w:hideMark/>
          </w:tcPr>
          <w:p w:rsidR="006252C4" w:rsidRPr="00585A82" w:rsidRDefault="006252C4" w:rsidP="00D04D4F">
            <w:pPr>
              <w:spacing w:line="269" w:lineRule="auto"/>
              <w:jc w:val="left"/>
              <w:rPr>
                <w:rFonts w:ascii="David" w:eastAsia="Times New Roman" w:hAnsi="David"/>
                <w:b/>
                <w:bCs/>
                <w:color w:val="000000"/>
                <w:sz w:val="22"/>
                <w:szCs w:val="22"/>
              </w:rPr>
            </w:pPr>
            <w:r w:rsidRPr="00585A82">
              <w:rPr>
                <w:rFonts w:ascii="David" w:eastAsia="Times New Roman" w:hAnsi="David"/>
                <w:b/>
                <w:bCs/>
                <w:color w:val="000000"/>
                <w:sz w:val="22"/>
                <w:szCs w:val="22"/>
                <w:rtl/>
              </w:rPr>
              <w:t>מרץ-אפריל 2024</w:t>
            </w:r>
          </w:p>
        </w:tc>
        <w:tc>
          <w:tcPr>
            <w:tcW w:w="1310" w:type="dxa"/>
            <w:tcBorders>
              <w:top w:val="nil"/>
              <w:left w:val="single" w:sz="8" w:space="0" w:color="auto"/>
              <w:bottom w:val="single" w:sz="4" w:space="0" w:color="auto"/>
              <w:right w:val="single" w:sz="4" w:space="0" w:color="auto"/>
            </w:tcBorders>
            <w:shd w:val="clear" w:color="auto" w:fill="auto"/>
            <w:vAlign w:val="bottom"/>
            <w:hideMark/>
          </w:tcPr>
          <w:p w:rsidR="006252C4" w:rsidRPr="00585A82" w:rsidRDefault="006252C4" w:rsidP="00D04D4F">
            <w:pPr>
              <w:spacing w:line="269" w:lineRule="auto"/>
              <w:jc w:val="left"/>
              <w:rPr>
                <w:rFonts w:ascii="David" w:eastAsia="Times New Roman" w:hAnsi="David"/>
                <w:color w:val="000000"/>
                <w:sz w:val="22"/>
                <w:szCs w:val="22"/>
                <w:rtl/>
              </w:rPr>
            </w:pPr>
            <w:r w:rsidRPr="00585A82">
              <w:rPr>
                <w:rFonts w:ascii="David" w:eastAsia="Times New Roman" w:hAnsi="David"/>
                <w:color w:val="000000"/>
                <w:sz w:val="22"/>
                <w:szCs w:val="22"/>
              </w:rPr>
              <w:t>1.7.24</w:t>
            </w:r>
          </w:p>
        </w:tc>
        <w:tc>
          <w:tcPr>
            <w:tcW w:w="1807" w:type="dxa"/>
            <w:tcBorders>
              <w:top w:val="nil"/>
              <w:left w:val="single" w:sz="4" w:space="0" w:color="auto"/>
              <w:bottom w:val="single" w:sz="4" w:space="0" w:color="auto"/>
              <w:right w:val="single" w:sz="8" w:space="0" w:color="auto"/>
            </w:tcBorders>
            <w:shd w:val="clear" w:color="auto" w:fill="auto"/>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92</w:t>
            </w:r>
          </w:p>
        </w:tc>
      </w:tr>
      <w:tr w:rsidR="006252C4" w:rsidRPr="00A81964" w:rsidTr="00D04D4F">
        <w:trPr>
          <w:trHeight w:val="300"/>
          <w:jc w:val="center"/>
        </w:trPr>
        <w:tc>
          <w:tcPr>
            <w:tcW w:w="1480" w:type="dxa"/>
            <w:vMerge/>
            <w:tcBorders>
              <w:top w:val="nil"/>
              <w:left w:val="single" w:sz="8" w:space="0" w:color="auto"/>
              <w:bottom w:val="single" w:sz="8" w:space="0" w:color="000000"/>
              <w:right w:val="single" w:sz="8" w:space="0" w:color="auto"/>
            </w:tcBorders>
            <w:vAlign w:val="center"/>
            <w:hideMark/>
          </w:tcPr>
          <w:p w:rsidR="006252C4" w:rsidRPr="00585A82" w:rsidRDefault="006252C4" w:rsidP="00D04D4F">
            <w:pPr>
              <w:spacing w:line="269" w:lineRule="auto"/>
              <w:jc w:val="left"/>
              <w:rPr>
                <w:rFonts w:ascii="David" w:eastAsia="Times New Roman" w:hAnsi="David"/>
                <w:b/>
                <w:bCs/>
                <w:color w:val="FFFFFF"/>
                <w:sz w:val="22"/>
                <w:szCs w:val="22"/>
              </w:rPr>
            </w:pPr>
          </w:p>
        </w:tc>
        <w:tc>
          <w:tcPr>
            <w:tcW w:w="2602" w:type="dxa"/>
            <w:tcBorders>
              <w:top w:val="nil"/>
              <w:left w:val="single" w:sz="8" w:space="0" w:color="auto"/>
              <w:bottom w:val="single" w:sz="4" w:space="0" w:color="auto"/>
              <w:right w:val="nil"/>
            </w:tcBorders>
            <w:shd w:val="clear" w:color="000000" w:fill="B4C6E7"/>
            <w:vAlign w:val="bottom"/>
            <w:hideMark/>
          </w:tcPr>
          <w:p w:rsidR="006252C4" w:rsidRPr="00585A82" w:rsidRDefault="006252C4" w:rsidP="00D04D4F">
            <w:pPr>
              <w:spacing w:line="269" w:lineRule="auto"/>
              <w:jc w:val="left"/>
              <w:rPr>
                <w:rFonts w:ascii="David" w:eastAsia="Times New Roman" w:hAnsi="David"/>
                <w:b/>
                <w:bCs/>
                <w:color w:val="000000"/>
                <w:sz w:val="22"/>
                <w:szCs w:val="22"/>
              </w:rPr>
            </w:pPr>
            <w:r w:rsidRPr="00585A82">
              <w:rPr>
                <w:rFonts w:ascii="David" w:eastAsia="Times New Roman" w:hAnsi="David"/>
                <w:b/>
                <w:bCs/>
                <w:color w:val="000000"/>
                <w:sz w:val="22"/>
                <w:szCs w:val="22"/>
                <w:rtl/>
              </w:rPr>
              <w:t>מאי-יוני 2024</w:t>
            </w:r>
          </w:p>
        </w:tc>
        <w:tc>
          <w:tcPr>
            <w:tcW w:w="1310" w:type="dxa"/>
            <w:tcBorders>
              <w:top w:val="nil"/>
              <w:left w:val="single" w:sz="8" w:space="0" w:color="auto"/>
              <w:bottom w:val="single" w:sz="4" w:space="0" w:color="auto"/>
              <w:right w:val="single" w:sz="4" w:space="0" w:color="auto"/>
            </w:tcBorders>
            <w:shd w:val="clear" w:color="auto" w:fill="auto"/>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1.7.24</w:t>
            </w:r>
          </w:p>
        </w:tc>
        <w:tc>
          <w:tcPr>
            <w:tcW w:w="1807" w:type="dxa"/>
            <w:tcBorders>
              <w:top w:val="nil"/>
              <w:left w:val="single" w:sz="4" w:space="0" w:color="auto"/>
              <w:bottom w:val="single" w:sz="4" w:space="0" w:color="auto"/>
              <w:right w:val="single" w:sz="8" w:space="0" w:color="auto"/>
            </w:tcBorders>
            <w:shd w:val="clear" w:color="auto" w:fill="auto"/>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31</w:t>
            </w:r>
          </w:p>
        </w:tc>
      </w:tr>
      <w:tr w:rsidR="006252C4" w:rsidRPr="00A81964" w:rsidTr="00D04D4F">
        <w:trPr>
          <w:trHeight w:val="300"/>
          <w:jc w:val="center"/>
        </w:trPr>
        <w:tc>
          <w:tcPr>
            <w:tcW w:w="1480" w:type="dxa"/>
            <w:vMerge/>
            <w:tcBorders>
              <w:top w:val="nil"/>
              <w:left w:val="single" w:sz="8" w:space="0" w:color="auto"/>
              <w:bottom w:val="single" w:sz="8" w:space="0" w:color="000000"/>
              <w:right w:val="single" w:sz="8" w:space="0" w:color="auto"/>
            </w:tcBorders>
            <w:vAlign w:val="center"/>
            <w:hideMark/>
          </w:tcPr>
          <w:p w:rsidR="006252C4" w:rsidRPr="00585A82" w:rsidRDefault="006252C4" w:rsidP="00D04D4F">
            <w:pPr>
              <w:spacing w:line="269" w:lineRule="auto"/>
              <w:jc w:val="left"/>
              <w:rPr>
                <w:rFonts w:ascii="David" w:eastAsia="Times New Roman" w:hAnsi="David"/>
                <w:b/>
                <w:bCs/>
                <w:color w:val="FFFFFF"/>
                <w:sz w:val="22"/>
                <w:szCs w:val="22"/>
              </w:rPr>
            </w:pPr>
          </w:p>
        </w:tc>
        <w:tc>
          <w:tcPr>
            <w:tcW w:w="2602" w:type="dxa"/>
            <w:tcBorders>
              <w:top w:val="nil"/>
              <w:left w:val="single" w:sz="8" w:space="0" w:color="auto"/>
              <w:bottom w:val="single" w:sz="4" w:space="0" w:color="auto"/>
              <w:right w:val="nil"/>
            </w:tcBorders>
            <w:shd w:val="clear" w:color="000000" w:fill="B4C6E7"/>
            <w:vAlign w:val="bottom"/>
            <w:hideMark/>
          </w:tcPr>
          <w:p w:rsidR="006252C4" w:rsidRPr="00585A82" w:rsidRDefault="006252C4" w:rsidP="00D04D4F">
            <w:pPr>
              <w:spacing w:line="269" w:lineRule="auto"/>
              <w:jc w:val="left"/>
              <w:rPr>
                <w:rFonts w:ascii="David" w:eastAsia="Times New Roman" w:hAnsi="David"/>
                <w:b/>
                <w:bCs/>
                <w:color w:val="000000"/>
                <w:sz w:val="22"/>
                <w:szCs w:val="22"/>
              </w:rPr>
            </w:pPr>
            <w:r w:rsidRPr="00585A82">
              <w:rPr>
                <w:rFonts w:ascii="David" w:eastAsia="Times New Roman" w:hAnsi="David"/>
                <w:b/>
                <w:bCs/>
                <w:color w:val="000000"/>
                <w:sz w:val="22"/>
                <w:szCs w:val="22"/>
                <w:rtl/>
              </w:rPr>
              <w:t>מאי-יוני 2024 - ענף התיירות</w:t>
            </w:r>
          </w:p>
        </w:tc>
        <w:tc>
          <w:tcPr>
            <w:tcW w:w="1310" w:type="dxa"/>
            <w:tcBorders>
              <w:top w:val="nil"/>
              <w:left w:val="single" w:sz="8" w:space="0" w:color="auto"/>
              <w:bottom w:val="single" w:sz="4" w:space="0" w:color="auto"/>
              <w:right w:val="single" w:sz="4" w:space="0" w:color="auto"/>
            </w:tcBorders>
            <w:shd w:val="clear" w:color="auto" w:fill="auto"/>
            <w:vAlign w:val="bottom"/>
            <w:hideMark/>
          </w:tcPr>
          <w:p w:rsidR="006252C4" w:rsidRPr="00585A82" w:rsidRDefault="006252C4" w:rsidP="00D04D4F">
            <w:pPr>
              <w:spacing w:line="269" w:lineRule="auto"/>
              <w:jc w:val="left"/>
              <w:rPr>
                <w:rFonts w:ascii="David" w:eastAsia="Times New Roman" w:hAnsi="David"/>
                <w:color w:val="000000"/>
                <w:sz w:val="22"/>
                <w:szCs w:val="22"/>
                <w:rtl/>
              </w:rPr>
            </w:pPr>
            <w:r w:rsidRPr="00585A82">
              <w:rPr>
                <w:rFonts w:ascii="David" w:eastAsia="Times New Roman" w:hAnsi="David"/>
                <w:color w:val="000000"/>
                <w:sz w:val="22"/>
                <w:szCs w:val="22"/>
              </w:rPr>
              <w:t>18.8.24</w:t>
            </w:r>
          </w:p>
        </w:tc>
        <w:tc>
          <w:tcPr>
            <w:tcW w:w="1807" w:type="dxa"/>
            <w:tcBorders>
              <w:top w:val="nil"/>
              <w:left w:val="single" w:sz="4" w:space="0" w:color="auto"/>
              <w:bottom w:val="single" w:sz="4" w:space="0" w:color="auto"/>
              <w:right w:val="single" w:sz="8" w:space="0" w:color="auto"/>
            </w:tcBorders>
            <w:shd w:val="clear" w:color="auto" w:fill="auto"/>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79</w:t>
            </w:r>
          </w:p>
        </w:tc>
      </w:tr>
      <w:tr w:rsidR="006252C4" w:rsidRPr="00A81964" w:rsidTr="00D04D4F">
        <w:trPr>
          <w:trHeight w:val="300"/>
          <w:jc w:val="center"/>
        </w:trPr>
        <w:tc>
          <w:tcPr>
            <w:tcW w:w="1480" w:type="dxa"/>
            <w:vMerge/>
            <w:tcBorders>
              <w:top w:val="nil"/>
              <w:left w:val="single" w:sz="8" w:space="0" w:color="auto"/>
              <w:bottom w:val="single" w:sz="8" w:space="0" w:color="000000"/>
              <w:right w:val="single" w:sz="8" w:space="0" w:color="auto"/>
            </w:tcBorders>
            <w:vAlign w:val="center"/>
            <w:hideMark/>
          </w:tcPr>
          <w:p w:rsidR="006252C4" w:rsidRPr="00585A82" w:rsidRDefault="006252C4" w:rsidP="00D04D4F">
            <w:pPr>
              <w:spacing w:line="269" w:lineRule="auto"/>
              <w:jc w:val="left"/>
              <w:rPr>
                <w:rFonts w:ascii="David" w:eastAsia="Times New Roman" w:hAnsi="David"/>
                <w:b/>
                <w:bCs/>
                <w:color w:val="FFFFFF"/>
                <w:sz w:val="22"/>
                <w:szCs w:val="22"/>
              </w:rPr>
            </w:pPr>
          </w:p>
        </w:tc>
        <w:tc>
          <w:tcPr>
            <w:tcW w:w="2602" w:type="dxa"/>
            <w:tcBorders>
              <w:top w:val="nil"/>
              <w:left w:val="single" w:sz="8" w:space="0" w:color="auto"/>
              <w:bottom w:val="single" w:sz="4" w:space="0" w:color="auto"/>
              <w:right w:val="nil"/>
            </w:tcBorders>
            <w:shd w:val="clear" w:color="000000" w:fill="B4C6E7"/>
            <w:vAlign w:val="bottom"/>
            <w:hideMark/>
          </w:tcPr>
          <w:p w:rsidR="006252C4" w:rsidRPr="00585A82" w:rsidRDefault="006252C4" w:rsidP="00D04D4F">
            <w:pPr>
              <w:spacing w:line="269" w:lineRule="auto"/>
              <w:jc w:val="left"/>
              <w:rPr>
                <w:rFonts w:ascii="David" w:eastAsia="Times New Roman" w:hAnsi="David"/>
                <w:b/>
                <w:bCs/>
                <w:color w:val="000000"/>
                <w:sz w:val="22"/>
                <w:szCs w:val="22"/>
              </w:rPr>
            </w:pPr>
            <w:r w:rsidRPr="00585A82">
              <w:rPr>
                <w:rFonts w:ascii="David" w:eastAsia="Times New Roman" w:hAnsi="David"/>
                <w:b/>
                <w:bCs/>
                <w:color w:val="000000"/>
                <w:sz w:val="22"/>
                <w:szCs w:val="22"/>
                <w:rtl/>
              </w:rPr>
              <w:t>יולי-אוגוסט 2024</w:t>
            </w:r>
          </w:p>
        </w:tc>
        <w:tc>
          <w:tcPr>
            <w:tcW w:w="1310" w:type="dxa"/>
            <w:tcBorders>
              <w:top w:val="nil"/>
              <w:left w:val="single" w:sz="8" w:space="0" w:color="auto"/>
              <w:bottom w:val="single" w:sz="4" w:space="0" w:color="auto"/>
              <w:right w:val="single" w:sz="4" w:space="0" w:color="auto"/>
            </w:tcBorders>
            <w:shd w:val="clear" w:color="auto" w:fill="auto"/>
            <w:vAlign w:val="bottom"/>
            <w:hideMark/>
          </w:tcPr>
          <w:p w:rsidR="006252C4" w:rsidRPr="00585A82" w:rsidRDefault="006252C4" w:rsidP="00D04D4F">
            <w:pPr>
              <w:spacing w:line="269" w:lineRule="auto"/>
              <w:jc w:val="left"/>
              <w:rPr>
                <w:rFonts w:ascii="David" w:eastAsia="Times New Roman" w:hAnsi="David"/>
                <w:color w:val="000000"/>
                <w:sz w:val="22"/>
                <w:szCs w:val="22"/>
                <w:rtl/>
              </w:rPr>
            </w:pPr>
            <w:r w:rsidRPr="00585A82">
              <w:rPr>
                <w:rFonts w:ascii="David" w:eastAsia="Times New Roman" w:hAnsi="David"/>
                <w:color w:val="000000"/>
                <w:sz w:val="22"/>
                <w:szCs w:val="22"/>
              </w:rPr>
              <w:t>18.8.24</w:t>
            </w:r>
          </w:p>
        </w:tc>
        <w:tc>
          <w:tcPr>
            <w:tcW w:w="1807" w:type="dxa"/>
            <w:tcBorders>
              <w:top w:val="nil"/>
              <w:left w:val="single" w:sz="4" w:space="0" w:color="auto"/>
              <w:bottom w:val="single" w:sz="4" w:space="0" w:color="auto"/>
              <w:right w:val="single" w:sz="8" w:space="0" w:color="auto"/>
            </w:tcBorders>
            <w:shd w:val="clear" w:color="auto" w:fill="auto"/>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18</w:t>
            </w:r>
          </w:p>
        </w:tc>
      </w:tr>
      <w:tr w:rsidR="006252C4" w:rsidRPr="00A81964" w:rsidTr="00D04D4F">
        <w:trPr>
          <w:trHeight w:val="301"/>
          <w:jc w:val="center"/>
        </w:trPr>
        <w:tc>
          <w:tcPr>
            <w:tcW w:w="1480" w:type="dxa"/>
            <w:vMerge/>
            <w:tcBorders>
              <w:top w:val="nil"/>
              <w:left w:val="single" w:sz="8" w:space="0" w:color="auto"/>
              <w:bottom w:val="single" w:sz="8" w:space="0" w:color="000000"/>
              <w:right w:val="single" w:sz="8" w:space="0" w:color="auto"/>
            </w:tcBorders>
            <w:vAlign w:val="center"/>
            <w:hideMark/>
          </w:tcPr>
          <w:p w:rsidR="006252C4" w:rsidRPr="00585A82" w:rsidRDefault="006252C4" w:rsidP="00D04D4F">
            <w:pPr>
              <w:spacing w:line="269" w:lineRule="auto"/>
              <w:jc w:val="left"/>
              <w:rPr>
                <w:rFonts w:ascii="David" w:eastAsia="Times New Roman" w:hAnsi="David"/>
                <w:b/>
                <w:bCs/>
                <w:color w:val="FFFFFF"/>
                <w:sz w:val="22"/>
                <w:szCs w:val="22"/>
              </w:rPr>
            </w:pPr>
          </w:p>
        </w:tc>
        <w:tc>
          <w:tcPr>
            <w:tcW w:w="2602" w:type="dxa"/>
            <w:tcBorders>
              <w:top w:val="nil"/>
              <w:left w:val="single" w:sz="8" w:space="0" w:color="auto"/>
              <w:bottom w:val="single" w:sz="8" w:space="0" w:color="auto"/>
              <w:right w:val="nil"/>
            </w:tcBorders>
            <w:shd w:val="clear" w:color="000000" w:fill="B4C6E7"/>
            <w:vAlign w:val="bottom"/>
            <w:hideMark/>
          </w:tcPr>
          <w:p w:rsidR="006252C4" w:rsidRPr="00585A82" w:rsidRDefault="006252C4" w:rsidP="00D04D4F">
            <w:pPr>
              <w:spacing w:line="269" w:lineRule="auto"/>
              <w:jc w:val="left"/>
              <w:rPr>
                <w:rFonts w:ascii="David" w:eastAsia="Times New Roman" w:hAnsi="David"/>
                <w:b/>
                <w:bCs/>
                <w:color w:val="000000"/>
                <w:sz w:val="22"/>
                <w:szCs w:val="22"/>
              </w:rPr>
            </w:pPr>
            <w:r w:rsidRPr="00585A82">
              <w:rPr>
                <w:rFonts w:ascii="David" w:eastAsia="Times New Roman" w:hAnsi="David"/>
                <w:b/>
                <w:bCs/>
                <w:color w:val="000000"/>
                <w:sz w:val="22"/>
                <w:szCs w:val="22"/>
                <w:rtl/>
              </w:rPr>
              <w:t>ספטמבר-אוקטובר 2024</w:t>
            </w:r>
          </w:p>
        </w:tc>
        <w:tc>
          <w:tcPr>
            <w:tcW w:w="1310" w:type="dxa"/>
            <w:tcBorders>
              <w:top w:val="nil"/>
              <w:left w:val="single" w:sz="8" w:space="0" w:color="auto"/>
              <w:bottom w:val="single" w:sz="4" w:space="0" w:color="auto"/>
              <w:right w:val="single" w:sz="4" w:space="0" w:color="auto"/>
            </w:tcBorders>
            <w:shd w:val="clear" w:color="auto" w:fill="auto"/>
            <w:vAlign w:val="bottom"/>
            <w:hideMark/>
          </w:tcPr>
          <w:p w:rsidR="006252C4" w:rsidRPr="00585A82" w:rsidRDefault="006252C4" w:rsidP="00D04D4F">
            <w:pPr>
              <w:spacing w:line="269" w:lineRule="auto"/>
              <w:jc w:val="left"/>
              <w:rPr>
                <w:rFonts w:ascii="David" w:eastAsia="Times New Roman" w:hAnsi="David"/>
                <w:color w:val="000000"/>
                <w:sz w:val="22"/>
                <w:szCs w:val="22"/>
                <w:rtl/>
              </w:rPr>
            </w:pPr>
            <w:r w:rsidRPr="00585A82">
              <w:rPr>
                <w:rFonts w:ascii="David" w:eastAsia="Times New Roman" w:hAnsi="David"/>
                <w:color w:val="000000"/>
                <w:sz w:val="22"/>
                <w:szCs w:val="22"/>
              </w:rPr>
              <w:t>9.12.24</w:t>
            </w:r>
          </w:p>
        </w:tc>
        <w:tc>
          <w:tcPr>
            <w:tcW w:w="1807" w:type="dxa"/>
            <w:tcBorders>
              <w:top w:val="nil"/>
              <w:left w:val="single" w:sz="4" w:space="0" w:color="auto"/>
              <w:bottom w:val="single" w:sz="4" w:space="0" w:color="auto"/>
              <w:right w:val="single" w:sz="8" w:space="0" w:color="auto"/>
            </w:tcBorders>
            <w:shd w:val="clear" w:color="auto" w:fill="auto"/>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70</w:t>
            </w:r>
          </w:p>
        </w:tc>
      </w:tr>
      <w:tr w:rsidR="006252C4" w:rsidRPr="00A81964" w:rsidTr="00D04D4F">
        <w:trPr>
          <w:trHeight w:val="300"/>
          <w:jc w:val="center"/>
        </w:trPr>
        <w:tc>
          <w:tcPr>
            <w:tcW w:w="1480" w:type="dxa"/>
            <w:vMerge w:val="restart"/>
            <w:tcBorders>
              <w:top w:val="nil"/>
              <w:left w:val="single" w:sz="8" w:space="0" w:color="auto"/>
              <w:bottom w:val="single" w:sz="8" w:space="0" w:color="000000"/>
              <w:right w:val="single" w:sz="8" w:space="0" w:color="auto"/>
            </w:tcBorders>
            <w:shd w:val="clear" w:color="000000" w:fill="305496"/>
            <w:vAlign w:val="center"/>
            <w:hideMark/>
          </w:tcPr>
          <w:p w:rsidR="006252C4" w:rsidRPr="00585A82" w:rsidRDefault="006252C4" w:rsidP="00D04D4F">
            <w:pPr>
              <w:spacing w:line="269" w:lineRule="auto"/>
              <w:jc w:val="center"/>
              <w:rPr>
                <w:rFonts w:ascii="David" w:eastAsia="Times New Roman" w:hAnsi="David"/>
                <w:b/>
                <w:bCs/>
                <w:color w:val="FFFFFF"/>
                <w:sz w:val="22"/>
                <w:szCs w:val="22"/>
              </w:rPr>
            </w:pPr>
            <w:r w:rsidRPr="00585A82">
              <w:rPr>
                <w:rFonts w:ascii="David" w:eastAsia="Times New Roman" w:hAnsi="David"/>
                <w:b/>
                <w:bCs/>
                <w:color w:val="FFFFFF"/>
                <w:sz w:val="22"/>
                <w:szCs w:val="22"/>
                <w:rtl/>
              </w:rPr>
              <w:t>מסלול חקלאות</w:t>
            </w:r>
          </w:p>
        </w:tc>
        <w:tc>
          <w:tcPr>
            <w:tcW w:w="2602" w:type="dxa"/>
            <w:tcBorders>
              <w:top w:val="nil"/>
              <w:left w:val="nil"/>
              <w:bottom w:val="single" w:sz="4" w:space="0" w:color="auto"/>
              <w:right w:val="nil"/>
            </w:tcBorders>
            <w:shd w:val="clear" w:color="000000" w:fill="B4C6E7"/>
            <w:vAlign w:val="bottom"/>
            <w:hideMark/>
          </w:tcPr>
          <w:p w:rsidR="006252C4" w:rsidRPr="00585A82" w:rsidRDefault="006252C4" w:rsidP="00D04D4F">
            <w:pPr>
              <w:spacing w:line="269" w:lineRule="auto"/>
              <w:jc w:val="left"/>
              <w:rPr>
                <w:rFonts w:ascii="David" w:eastAsia="Times New Roman" w:hAnsi="David"/>
                <w:b/>
                <w:bCs/>
                <w:color w:val="000000"/>
                <w:sz w:val="22"/>
                <w:szCs w:val="22"/>
                <w:rtl/>
              </w:rPr>
            </w:pPr>
            <w:r w:rsidRPr="00585A82">
              <w:rPr>
                <w:rFonts w:ascii="David" w:eastAsia="Times New Roman" w:hAnsi="David"/>
                <w:b/>
                <w:bCs/>
                <w:color w:val="000000"/>
                <w:sz w:val="22"/>
                <w:szCs w:val="22"/>
                <w:rtl/>
              </w:rPr>
              <w:t>אוקטובר 2023</w:t>
            </w:r>
          </w:p>
        </w:tc>
        <w:tc>
          <w:tcPr>
            <w:tcW w:w="1310" w:type="dxa"/>
            <w:tcBorders>
              <w:top w:val="nil"/>
              <w:left w:val="single" w:sz="8" w:space="0" w:color="auto"/>
              <w:bottom w:val="single" w:sz="4" w:space="0" w:color="auto"/>
              <w:right w:val="single" w:sz="4"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tl/>
              </w:rPr>
            </w:pPr>
            <w:r w:rsidRPr="00585A82">
              <w:rPr>
                <w:rFonts w:ascii="David" w:eastAsia="Times New Roman" w:hAnsi="David"/>
                <w:color w:val="000000"/>
                <w:sz w:val="22"/>
                <w:szCs w:val="22"/>
              </w:rPr>
              <w:t>20.11.23</w:t>
            </w:r>
          </w:p>
        </w:tc>
        <w:tc>
          <w:tcPr>
            <w:tcW w:w="1807" w:type="dxa"/>
            <w:tcBorders>
              <w:top w:val="nil"/>
              <w:left w:val="single" w:sz="4" w:space="0" w:color="auto"/>
              <w:bottom w:val="single" w:sz="4" w:space="0" w:color="auto"/>
              <w:right w:val="single" w:sz="8"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32</w:t>
            </w:r>
          </w:p>
        </w:tc>
      </w:tr>
      <w:tr w:rsidR="006252C4" w:rsidRPr="00A81964" w:rsidTr="00D04D4F">
        <w:trPr>
          <w:trHeight w:val="315"/>
          <w:jc w:val="center"/>
        </w:trPr>
        <w:tc>
          <w:tcPr>
            <w:tcW w:w="1480" w:type="dxa"/>
            <w:vMerge/>
            <w:tcBorders>
              <w:top w:val="nil"/>
              <w:left w:val="single" w:sz="8" w:space="0" w:color="auto"/>
              <w:bottom w:val="single" w:sz="8" w:space="0" w:color="000000"/>
              <w:right w:val="single" w:sz="8" w:space="0" w:color="auto"/>
            </w:tcBorders>
            <w:vAlign w:val="center"/>
            <w:hideMark/>
          </w:tcPr>
          <w:p w:rsidR="006252C4" w:rsidRPr="00585A82" w:rsidRDefault="006252C4" w:rsidP="00D04D4F">
            <w:pPr>
              <w:spacing w:line="269" w:lineRule="auto"/>
              <w:jc w:val="left"/>
              <w:rPr>
                <w:rFonts w:ascii="David" w:eastAsia="Times New Roman" w:hAnsi="David"/>
                <w:b/>
                <w:bCs/>
                <w:color w:val="FFFFFF"/>
                <w:sz w:val="22"/>
                <w:szCs w:val="22"/>
              </w:rPr>
            </w:pPr>
          </w:p>
        </w:tc>
        <w:tc>
          <w:tcPr>
            <w:tcW w:w="2602" w:type="dxa"/>
            <w:tcBorders>
              <w:top w:val="nil"/>
              <w:left w:val="nil"/>
              <w:bottom w:val="single" w:sz="8" w:space="0" w:color="auto"/>
              <w:right w:val="nil"/>
            </w:tcBorders>
            <w:shd w:val="clear" w:color="000000" w:fill="B4C6E7"/>
            <w:vAlign w:val="bottom"/>
            <w:hideMark/>
          </w:tcPr>
          <w:p w:rsidR="006252C4" w:rsidRPr="00585A82" w:rsidRDefault="006252C4" w:rsidP="00D04D4F">
            <w:pPr>
              <w:spacing w:line="269" w:lineRule="auto"/>
              <w:jc w:val="left"/>
              <w:rPr>
                <w:rFonts w:ascii="David" w:eastAsia="Times New Roman" w:hAnsi="David"/>
                <w:b/>
                <w:bCs/>
                <w:color w:val="000000"/>
                <w:sz w:val="22"/>
                <w:szCs w:val="22"/>
              </w:rPr>
            </w:pPr>
            <w:r w:rsidRPr="00585A82">
              <w:rPr>
                <w:rFonts w:ascii="David" w:eastAsia="Times New Roman" w:hAnsi="David"/>
                <w:b/>
                <w:bCs/>
                <w:color w:val="000000"/>
                <w:sz w:val="22"/>
                <w:szCs w:val="22"/>
                <w:rtl/>
              </w:rPr>
              <w:t>נובמבר-דצמבר 2023</w:t>
            </w:r>
          </w:p>
        </w:tc>
        <w:tc>
          <w:tcPr>
            <w:tcW w:w="1310" w:type="dxa"/>
            <w:tcBorders>
              <w:top w:val="nil"/>
              <w:left w:val="single" w:sz="8" w:space="0" w:color="auto"/>
              <w:bottom w:val="single" w:sz="8" w:space="0" w:color="auto"/>
              <w:right w:val="single" w:sz="4"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tl/>
              </w:rPr>
            </w:pPr>
            <w:r w:rsidRPr="00585A82">
              <w:rPr>
                <w:rFonts w:ascii="David" w:eastAsia="Times New Roman" w:hAnsi="David"/>
                <w:color w:val="000000"/>
                <w:sz w:val="22"/>
                <w:szCs w:val="22"/>
              </w:rPr>
              <w:t>28.1.24</w:t>
            </w:r>
          </w:p>
        </w:tc>
        <w:tc>
          <w:tcPr>
            <w:tcW w:w="1807" w:type="dxa"/>
            <w:tcBorders>
              <w:top w:val="nil"/>
              <w:left w:val="single" w:sz="4" w:space="0" w:color="auto"/>
              <w:bottom w:val="single" w:sz="8" w:space="0" w:color="auto"/>
              <w:right w:val="single" w:sz="8" w:space="0" w:color="auto"/>
            </w:tcBorders>
            <w:shd w:val="clear" w:color="auto" w:fill="FFFFFF" w:themeFill="background1"/>
            <w:vAlign w:val="bottom"/>
            <w:hideMark/>
          </w:tcPr>
          <w:p w:rsidR="006252C4" w:rsidRPr="00585A82" w:rsidRDefault="006252C4" w:rsidP="00D04D4F">
            <w:pPr>
              <w:spacing w:line="269" w:lineRule="auto"/>
              <w:jc w:val="left"/>
              <w:rPr>
                <w:rFonts w:ascii="David" w:eastAsia="Times New Roman" w:hAnsi="David"/>
                <w:color w:val="000000"/>
                <w:sz w:val="22"/>
                <w:szCs w:val="22"/>
              </w:rPr>
            </w:pPr>
            <w:r w:rsidRPr="00585A82">
              <w:rPr>
                <w:rFonts w:ascii="David" w:eastAsia="Times New Roman" w:hAnsi="David"/>
                <w:color w:val="000000"/>
                <w:sz w:val="22"/>
                <w:szCs w:val="22"/>
              </w:rPr>
              <w:t>74</w:t>
            </w:r>
          </w:p>
        </w:tc>
      </w:tr>
    </w:tbl>
    <w:p w:rsidR="006252C4" w:rsidRPr="00A81964" w:rsidRDefault="006252C4" w:rsidP="00794DF5">
      <w:pPr>
        <w:spacing w:before="60" w:line="269" w:lineRule="auto"/>
        <w:rPr>
          <w:sz w:val="16"/>
          <w:szCs w:val="20"/>
          <w:rtl/>
        </w:rPr>
      </w:pPr>
      <w:r w:rsidRPr="00A81964">
        <w:rPr>
          <w:rFonts w:hint="cs"/>
          <w:sz w:val="16"/>
          <w:szCs w:val="20"/>
          <w:rtl/>
        </w:rPr>
        <w:t xml:space="preserve">על פי נתוני </w:t>
      </w:r>
      <w:r w:rsidRPr="00145F84">
        <w:rPr>
          <w:rFonts w:hint="cs"/>
          <w:sz w:val="16"/>
          <w:szCs w:val="20"/>
          <w:rtl/>
        </w:rPr>
        <w:t>רשות המיסים, בעיבוד משרד מבקר המדינה</w:t>
      </w:r>
      <w:r w:rsidRPr="007D0113">
        <w:rPr>
          <w:rFonts w:hint="cs"/>
          <w:szCs w:val="20"/>
          <w:rtl/>
        </w:rPr>
        <w:t>.</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eastAsia"/>
          <w:b/>
          <w:bCs/>
          <w:rtl/>
        </w:rPr>
        <w:t>מהלוח</w:t>
      </w:r>
      <w:r w:rsidRPr="00A81964">
        <w:rPr>
          <w:b/>
          <w:bCs/>
          <w:rtl/>
        </w:rPr>
        <w:t xml:space="preserve"> עולה כי </w:t>
      </w:r>
      <w:r w:rsidRPr="00A81964">
        <w:rPr>
          <w:rFonts w:hint="cs"/>
          <w:b/>
          <w:bCs/>
          <w:rtl/>
        </w:rPr>
        <w:t xml:space="preserve">עברו בממוצע כ-57 ימים </w:t>
      </w:r>
      <w:r w:rsidRPr="00A81964">
        <w:rPr>
          <w:rFonts w:hint="eastAsia"/>
          <w:b/>
          <w:bCs/>
          <w:rtl/>
        </w:rPr>
        <w:t>בין</w:t>
      </w:r>
      <w:r w:rsidRPr="00A81964">
        <w:rPr>
          <w:b/>
          <w:bCs/>
          <w:rtl/>
        </w:rPr>
        <w:t xml:space="preserve"> </w:t>
      </w:r>
      <w:r w:rsidRPr="00A81964">
        <w:rPr>
          <w:rFonts w:hint="cs"/>
          <w:b/>
          <w:bCs/>
          <w:rtl/>
        </w:rPr>
        <w:t>מועד הנזק</w:t>
      </w:r>
      <w:r w:rsidRPr="00A81964">
        <w:rPr>
          <w:b/>
          <w:bCs/>
          <w:rtl/>
        </w:rPr>
        <w:t xml:space="preserve"> </w:t>
      </w:r>
      <w:r w:rsidRPr="00A81964">
        <w:rPr>
          <w:rFonts w:hint="cs"/>
          <w:b/>
          <w:bCs/>
          <w:rtl/>
        </w:rPr>
        <w:t>ה</w:t>
      </w:r>
      <w:r w:rsidRPr="00A81964">
        <w:rPr>
          <w:rFonts w:hint="eastAsia"/>
          <w:b/>
          <w:bCs/>
          <w:rtl/>
        </w:rPr>
        <w:t>עקיף</w:t>
      </w:r>
      <w:r w:rsidRPr="00A81964">
        <w:rPr>
          <w:b/>
          <w:bCs/>
          <w:rtl/>
        </w:rPr>
        <w:t xml:space="preserve"> </w:t>
      </w:r>
      <w:r w:rsidRPr="00A81964">
        <w:rPr>
          <w:rFonts w:hint="eastAsia"/>
          <w:b/>
          <w:bCs/>
          <w:rtl/>
        </w:rPr>
        <w:t>למועד</w:t>
      </w:r>
      <w:r w:rsidRPr="00A81964">
        <w:rPr>
          <w:b/>
          <w:bCs/>
          <w:rtl/>
        </w:rPr>
        <w:t xml:space="preserve"> </w:t>
      </w:r>
      <w:r w:rsidRPr="00A81964">
        <w:rPr>
          <w:rFonts w:hint="eastAsia"/>
          <w:b/>
          <w:bCs/>
          <w:rtl/>
        </w:rPr>
        <w:t>כניסת</w:t>
      </w:r>
      <w:r w:rsidRPr="00A81964">
        <w:rPr>
          <w:b/>
          <w:bCs/>
          <w:rtl/>
        </w:rPr>
        <w:t xml:space="preserve"> </w:t>
      </w:r>
      <w:r w:rsidRPr="00A81964">
        <w:rPr>
          <w:rFonts w:hint="eastAsia"/>
          <w:b/>
          <w:bCs/>
          <w:rtl/>
        </w:rPr>
        <w:t>הוראות</w:t>
      </w:r>
      <w:r w:rsidRPr="00A81964">
        <w:rPr>
          <w:b/>
          <w:bCs/>
          <w:rtl/>
        </w:rPr>
        <w:t xml:space="preserve"> </w:t>
      </w:r>
      <w:r w:rsidRPr="00A81964">
        <w:rPr>
          <w:rFonts w:hint="eastAsia"/>
          <w:b/>
          <w:bCs/>
          <w:rtl/>
        </w:rPr>
        <w:t>החוק</w:t>
      </w:r>
      <w:r w:rsidRPr="00A81964">
        <w:rPr>
          <w:rFonts w:hint="cs"/>
          <w:b/>
          <w:bCs/>
          <w:rtl/>
        </w:rPr>
        <w:t xml:space="preserve"> לתוקפן, ובמרבית התקופות אף יותר מכך. כך לדוגמה, במסלול מחזורים לתקופת מרץ - אפריל 2024 חלפו</w:t>
      </w:r>
      <w:r w:rsidRPr="00A81964">
        <w:rPr>
          <w:b/>
          <w:bCs/>
          <w:rtl/>
        </w:rPr>
        <w:t xml:space="preserve"> 92 </w:t>
      </w:r>
      <w:r w:rsidRPr="00A81964">
        <w:rPr>
          <w:rFonts w:hint="eastAsia"/>
          <w:b/>
          <w:bCs/>
          <w:rtl/>
        </w:rPr>
        <w:t>ימים</w:t>
      </w:r>
      <w:r w:rsidRPr="00A81964">
        <w:rPr>
          <w:rFonts w:hint="cs"/>
          <w:b/>
          <w:bCs/>
          <w:rtl/>
        </w:rPr>
        <w:t xml:space="preserve"> מהמועד בו נגרם הנזק העקיף לבין כניסת הוראות החוק לתוקפן, משכך עסקים שנגרמו להם נזקים </w:t>
      </w:r>
      <w:r w:rsidRPr="00A81964">
        <w:rPr>
          <w:rFonts w:hint="cs"/>
          <w:b/>
          <w:bCs/>
          <w:rtl/>
        </w:rPr>
        <w:lastRenderedPageBreak/>
        <w:t xml:space="preserve">בתקופה זו נאלצו להמתין למעלה משלושה חודשים </w:t>
      </w:r>
      <w:r w:rsidRPr="00A81964">
        <w:rPr>
          <w:rFonts w:hint="eastAsia"/>
          <w:b/>
          <w:bCs/>
          <w:rtl/>
        </w:rPr>
        <w:t>מהפגיעה</w:t>
      </w:r>
      <w:r w:rsidRPr="00A81964">
        <w:rPr>
          <w:b/>
          <w:bCs/>
          <w:rtl/>
        </w:rPr>
        <w:t xml:space="preserve"> </w:t>
      </w:r>
      <w:r w:rsidRPr="00A81964">
        <w:rPr>
          <w:rFonts w:hint="eastAsia"/>
          <w:b/>
          <w:bCs/>
          <w:rtl/>
        </w:rPr>
        <w:t>בפעילות</w:t>
      </w:r>
      <w:r w:rsidRPr="00A81964">
        <w:rPr>
          <w:b/>
          <w:bCs/>
          <w:rtl/>
        </w:rPr>
        <w:t xml:space="preserve"> </w:t>
      </w:r>
      <w:r w:rsidRPr="00A81964">
        <w:rPr>
          <w:rFonts w:hint="eastAsia"/>
          <w:b/>
          <w:bCs/>
          <w:rtl/>
        </w:rPr>
        <w:t>העסקית</w:t>
      </w:r>
      <w:r w:rsidRPr="00A81964">
        <w:rPr>
          <w:b/>
          <w:bCs/>
          <w:rtl/>
        </w:rPr>
        <w:t xml:space="preserve"> </w:t>
      </w:r>
      <w:r w:rsidRPr="00A81964">
        <w:rPr>
          <w:rFonts w:hint="cs"/>
          <w:b/>
          <w:bCs/>
          <w:rtl/>
        </w:rPr>
        <w:t>שלהם</w:t>
      </w:r>
      <w:r w:rsidRPr="00A81964">
        <w:rPr>
          <w:b/>
          <w:bCs/>
          <w:rtl/>
        </w:rPr>
        <w:t xml:space="preserve"> </w:t>
      </w:r>
      <w:r w:rsidRPr="00A81964">
        <w:rPr>
          <w:rFonts w:hint="eastAsia"/>
          <w:b/>
          <w:bCs/>
          <w:rtl/>
        </w:rPr>
        <w:t>ועד</w:t>
      </w:r>
      <w:r w:rsidRPr="00A81964">
        <w:rPr>
          <w:b/>
          <w:bCs/>
          <w:rtl/>
        </w:rPr>
        <w:t xml:space="preserve"> </w:t>
      </w:r>
      <w:r w:rsidRPr="00A81964">
        <w:rPr>
          <w:rFonts w:hint="eastAsia"/>
          <w:b/>
          <w:bCs/>
          <w:rtl/>
        </w:rPr>
        <w:t>למועד</w:t>
      </w:r>
      <w:r w:rsidRPr="00A81964">
        <w:rPr>
          <w:b/>
          <w:bCs/>
          <w:rtl/>
        </w:rPr>
        <w:t xml:space="preserve"> בו </w:t>
      </w:r>
      <w:r w:rsidRPr="00A81964">
        <w:rPr>
          <w:rFonts w:hint="cs"/>
          <w:b/>
          <w:bCs/>
          <w:rtl/>
        </w:rPr>
        <w:t xml:space="preserve">הייתה להם ודאות לגבי הפיצוי שהם זכאים לתבוע וניתנה להם האפשרות להגיש תביעה לפיצוי.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התארכות ההליכים לגיבוש הסדרי הפיצוי נבעה, בין היתר, מהצורך לקיים דיונים </w:t>
      </w:r>
      <w:r w:rsidRPr="00A81964">
        <w:rPr>
          <w:b/>
          <w:bCs/>
          <w:rtl/>
        </w:rPr>
        <w:t>רבים</w:t>
      </w:r>
      <w:r w:rsidRPr="00A81964">
        <w:rPr>
          <w:rFonts w:hint="cs"/>
          <w:b/>
          <w:bCs/>
          <w:rtl/>
        </w:rPr>
        <w:t xml:space="preserve"> על מנת להגיע להסכמות </w:t>
      </w:r>
      <w:r w:rsidRPr="00A81964">
        <w:rPr>
          <w:b/>
          <w:bCs/>
          <w:rtl/>
        </w:rPr>
        <w:t xml:space="preserve">עם גורמים רלוונטיים במשרדי הממשלה, </w:t>
      </w:r>
      <w:r w:rsidRPr="00A81964">
        <w:rPr>
          <w:rFonts w:hint="cs"/>
          <w:b/>
          <w:bCs/>
          <w:rtl/>
        </w:rPr>
        <w:t>ב</w:t>
      </w:r>
      <w:r w:rsidRPr="00A81964">
        <w:rPr>
          <w:b/>
          <w:bCs/>
          <w:rtl/>
        </w:rPr>
        <w:t>לשכות מקצועיות</w:t>
      </w:r>
      <w:r w:rsidRPr="00A81964">
        <w:rPr>
          <w:rFonts w:hint="cs"/>
          <w:b/>
          <w:bCs/>
          <w:rtl/>
        </w:rPr>
        <w:t xml:space="preserve"> וב</w:t>
      </w:r>
      <w:r w:rsidRPr="00A81964">
        <w:rPr>
          <w:b/>
          <w:bCs/>
          <w:rtl/>
        </w:rPr>
        <w:t>התאחדויות של ענפי העסקים השונים</w:t>
      </w:r>
      <w:r w:rsidRPr="00A81964">
        <w:rPr>
          <w:rFonts w:hint="cs"/>
          <w:b/>
          <w:bCs/>
          <w:rtl/>
        </w:rPr>
        <w:t>, בעלי סדרי עדיפויות שונים, אשר לא תמיד עלו בקנה אחד עם המלצותיה המקצועיות של רשות המיסים.</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הסדרת מסלולי פיצוי </w:t>
      </w:r>
      <w:r>
        <w:rPr>
          <w:rFonts w:hint="cs"/>
          <w:b/>
          <w:bCs/>
          <w:rtl/>
        </w:rPr>
        <w:t xml:space="preserve">בגין נזק </w:t>
      </w:r>
      <w:r w:rsidRPr="00A81964">
        <w:rPr>
          <w:rFonts w:hint="cs"/>
          <w:b/>
          <w:bCs/>
          <w:rtl/>
        </w:rPr>
        <w:t>עקיף רק לאחר תחילת סבב הלחימה, כאמור, מחייבת את קרן הפיצויים להקצות משאבים לצורך גיבוש ההסדרים וייזום הליכי חקיקה שנדרשים כדי ליישמם ולאחר מכן לצורך פיתוח והתאמת מערכת התביעות בשיתוף עם יחידת שירות עיבודים ממוכנים (להלן - שע"ם) ברשות המיסים. עם זאת, במהלך מצב חירום משאבים אלו נדרשים לצורך בחינת התביעות שהוגשו ולאישור הפיצויים בגין נזקים עקיפים, כך שהקצאת המשאבים לצורך גיבוש ההסדרים ועיגונם בחקיקה ופיתוח המערכת פוגעת ביעילות הטיפול בתביעות ועלולה לעכב את תשלומם לעסקים שכאמור הכנסותיהם פחתו בחודשים אוקטובר עד דצמבר 2023 בשיעורים שונים, עד כ-40%.</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5E5304">
        <w:rPr>
          <w:rFonts w:hint="cs"/>
          <w:b/>
          <w:bCs/>
          <w:rtl/>
        </w:rPr>
        <w:t>רק לאחר פרק הזמן שחלף עד לכניסת הוראות החוק לתוקפן, רשות המיסים הייתה יכולה לאפיין</w:t>
      </w:r>
      <w:r w:rsidRPr="00A81964">
        <w:rPr>
          <w:rFonts w:hint="cs"/>
          <w:b/>
          <w:bCs/>
          <w:rtl/>
        </w:rPr>
        <w:t xml:space="preserve"> ולבצע את ההתאמות הנדרשות במערכת התביעות, ורק לאחר ביצוע התאמות אלה ניתנה לעסקים שניזוקו האפשרות להגיש את התביעה לפיצוי</w:t>
      </w:r>
      <w:r>
        <w:rPr>
          <w:rFonts w:hint="cs"/>
          <w:b/>
          <w:bCs/>
          <w:rtl/>
        </w:rPr>
        <w:t>, כך שבפועל לא ניתן היה להגיש תביעות גם לאחר כניסת הוראות החוק לתוקפן, אלא עד לסיום האפיון וההתאמות הנדרשות במערכת התביעות</w:t>
      </w:r>
      <w:r w:rsidRPr="00A81964">
        <w:rPr>
          <w:rFonts w:hint="cs"/>
          <w:b/>
          <w:bCs/>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רשות </w:t>
      </w:r>
      <w:r>
        <w:rPr>
          <w:rFonts w:hint="cs"/>
          <w:b/>
          <w:bCs/>
          <w:rtl/>
        </w:rPr>
        <w:t>המיסים</w:t>
      </w:r>
      <w:r w:rsidRPr="00A81964">
        <w:rPr>
          <w:rFonts w:hint="cs"/>
          <w:b/>
          <w:bCs/>
          <w:rtl/>
        </w:rPr>
        <w:t xml:space="preserve"> נדרשת להתמודד עם כמות גדולה של תביעות לפיצוי בגין נזק עקיף שנגרם במלחמת חרבות ברזל. מתחילת מלחמת חרבות ברזל ועד סוף אוקטובר 2024 הוגשו כאמור למעלה מ-525</w:t>
      </w:r>
      <w:r w:rsidRPr="00A81964">
        <w:rPr>
          <w:b/>
          <w:bCs/>
          <w:rtl/>
        </w:rPr>
        <w:t xml:space="preserve"> </w:t>
      </w:r>
      <w:r w:rsidRPr="00A81964">
        <w:rPr>
          <w:rFonts w:hint="eastAsia"/>
          <w:b/>
          <w:bCs/>
          <w:rtl/>
        </w:rPr>
        <w:t>אלף</w:t>
      </w:r>
      <w:r w:rsidRPr="00A81964">
        <w:rPr>
          <w:b/>
          <w:bCs/>
          <w:rtl/>
        </w:rPr>
        <w:t xml:space="preserve"> </w:t>
      </w:r>
      <w:r w:rsidRPr="00A81964">
        <w:rPr>
          <w:rFonts w:hint="eastAsia"/>
          <w:b/>
          <w:bCs/>
          <w:rtl/>
        </w:rPr>
        <w:t>תביעות</w:t>
      </w:r>
      <w:r w:rsidRPr="00A81964">
        <w:rPr>
          <w:rFonts w:hint="cs"/>
          <w:b/>
          <w:bCs/>
          <w:rtl/>
        </w:rPr>
        <w:t xml:space="preserve"> בהיקף כספי בסך 23 מיליארד ש"ח, </w:t>
      </w:r>
      <w:r w:rsidRPr="00A81964">
        <w:rPr>
          <w:rFonts w:hint="eastAsia"/>
          <w:b/>
          <w:bCs/>
          <w:rtl/>
        </w:rPr>
        <w:t>אשר</w:t>
      </w:r>
      <w:r w:rsidRPr="00A81964">
        <w:rPr>
          <w:b/>
          <w:bCs/>
          <w:rtl/>
        </w:rPr>
        <w:t xml:space="preserve"> </w:t>
      </w:r>
      <w:r w:rsidRPr="00A81964">
        <w:rPr>
          <w:rFonts w:hint="eastAsia"/>
          <w:b/>
          <w:bCs/>
          <w:rtl/>
        </w:rPr>
        <w:t>בגינן</w:t>
      </w:r>
      <w:r w:rsidRPr="00A81964">
        <w:rPr>
          <w:b/>
          <w:bCs/>
          <w:rtl/>
        </w:rPr>
        <w:t xml:space="preserve"> </w:t>
      </w:r>
      <w:r w:rsidRPr="00A81964">
        <w:rPr>
          <w:rFonts w:hint="eastAsia"/>
          <w:b/>
          <w:bCs/>
          <w:rtl/>
        </w:rPr>
        <w:t>שולם</w:t>
      </w:r>
      <w:r w:rsidRPr="00A81964">
        <w:rPr>
          <w:b/>
          <w:bCs/>
          <w:rtl/>
        </w:rPr>
        <w:t xml:space="preserve"> </w:t>
      </w:r>
      <w:r w:rsidRPr="00A81964">
        <w:rPr>
          <w:rFonts w:hint="eastAsia"/>
          <w:b/>
          <w:bCs/>
          <w:rtl/>
        </w:rPr>
        <w:t>בפועל</w:t>
      </w:r>
      <w:r w:rsidRPr="00A81964">
        <w:rPr>
          <w:b/>
          <w:bCs/>
          <w:rtl/>
        </w:rPr>
        <w:t xml:space="preserve"> 16.9 </w:t>
      </w:r>
      <w:r w:rsidRPr="00A81964">
        <w:rPr>
          <w:rFonts w:hint="eastAsia"/>
          <w:b/>
          <w:bCs/>
          <w:rtl/>
        </w:rPr>
        <w:t>מיליארד</w:t>
      </w:r>
      <w:r w:rsidRPr="00A81964">
        <w:rPr>
          <w:b/>
          <w:bCs/>
          <w:rtl/>
        </w:rPr>
        <w:t xml:space="preserve"> </w:t>
      </w:r>
      <w:r w:rsidRPr="00A81964">
        <w:rPr>
          <w:rFonts w:hint="eastAsia"/>
          <w:b/>
          <w:bCs/>
          <w:rtl/>
        </w:rPr>
        <w:t>ש</w:t>
      </w:r>
      <w:r w:rsidRPr="00A81964">
        <w:rPr>
          <w:b/>
          <w:bCs/>
          <w:rtl/>
        </w:rPr>
        <w:t xml:space="preserve">"ח </w:t>
      </w:r>
      <w:r w:rsidRPr="00A81964">
        <w:rPr>
          <w:rFonts w:hint="eastAsia"/>
          <w:b/>
          <w:bCs/>
          <w:rtl/>
        </w:rPr>
        <w:t>נכון</w:t>
      </w:r>
      <w:r w:rsidRPr="00A81964">
        <w:rPr>
          <w:b/>
          <w:bCs/>
          <w:rtl/>
        </w:rPr>
        <w:t xml:space="preserve"> </w:t>
      </w:r>
      <w:r w:rsidRPr="00A81964">
        <w:rPr>
          <w:rFonts w:hint="eastAsia"/>
          <w:b/>
          <w:bCs/>
          <w:rtl/>
        </w:rPr>
        <w:t>ל</w:t>
      </w:r>
      <w:r w:rsidRPr="00A81964">
        <w:rPr>
          <w:b/>
          <w:bCs/>
          <w:rtl/>
        </w:rPr>
        <w:t>-</w:t>
      </w:r>
      <w:r w:rsidRPr="00A81964">
        <w:rPr>
          <w:rFonts w:hint="cs"/>
          <w:b/>
          <w:bCs/>
          <w:rtl/>
        </w:rPr>
        <w:t>20.5.25. ניתוב התיקים הדורשים ביקורת בקרן הפיצויים מבוסס על בקרות ממוחשבות</w:t>
      </w:r>
      <w:r w:rsidRPr="00A81964">
        <w:rPr>
          <w:rStyle w:val="af2"/>
          <w:b/>
          <w:bCs/>
          <w:rtl/>
        </w:rPr>
        <w:footnoteReference w:id="77"/>
      </w:r>
      <w:r w:rsidRPr="00A81964">
        <w:rPr>
          <w:rFonts w:hint="cs"/>
          <w:b/>
          <w:bCs/>
          <w:rtl/>
        </w:rPr>
        <w:t xml:space="preserve">, שאותן היא יכולה להגדיר במערכת התביעות רק לאחר שהוראות החוק והנוסחאות לחישוב הפיצויים נקבעו. תהליך הטמעת הבקרות הממוחשבות והטיוב שלהן דורש מקרן הפיצויים להשקיע בו משאבים רבים ועד להשלמתו עלולים להיות משולמים פיצויים </w:t>
      </w:r>
      <w:r w:rsidRPr="004677DE">
        <w:rPr>
          <w:b/>
          <w:bCs/>
          <w:rtl/>
        </w:rPr>
        <w:t xml:space="preserve">בסכומים שחורגים מהזכאות לפיצוי </w:t>
      </w:r>
      <w:r w:rsidRPr="00A81964">
        <w:rPr>
          <w:rFonts w:hint="cs"/>
          <w:b/>
          <w:bCs/>
          <w:rtl/>
        </w:rPr>
        <w:t>על פי דין.</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eastAsia"/>
          <w:rtl/>
        </w:rPr>
        <w:t>בדו</w:t>
      </w:r>
      <w:r w:rsidRPr="00A81964">
        <w:rPr>
          <w:rtl/>
        </w:rPr>
        <w:t xml:space="preserve">ח </w:t>
      </w:r>
      <w:r w:rsidRPr="00A81964">
        <w:rPr>
          <w:rFonts w:hint="eastAsia"/>
          <w:rtl/>
        </w:rPr>
        <w:t>ועדת</w:t>
      </w:r>
      <w:r w:rsidRPr="00A81964">
        <w:rPr>
          <w:rtl/>
        </w:rPr>
        <w:t xml:space="preserve"> </w:t>
      </w:r>
      <w:r w:rsidRPr="00A81964">
        <w:rPr>
          <w:rFonts w:hint="eastAsia"/>
          <w:rtl/>
        </w:rPr>
        <w:t>נזק</w:t>
      </w:r>
      <w:r w:rsidRPr="00A81964">
        <w:rPr>
          <w:rtl/>
        </w:rPr>
        <w:t xml:space="preserve"> </w:t>
      </w:r>
      <w:r w:rsidRPr="00A81964">
        <w:rPr>
          <w:rFonts w:hint="eastAsia"/>
          <w:rtl/>
        </w:rPr>
        <w:t>עקיף</w:t>
      </w:r>
      <w:r w:rsidRPr="00A81964">
        <w:rPr>
          <w:rtl/>
        </w:rPr>
        <w:t xml:space="preserve"> </w:t>
      </w:r>
      <w:r w:rsidRPr="00A81964">
        <w:rPr>
          <w:rFonts w:hint="eastAsia"/>
          <w:rtl/>
        </w:rPr>
        <w:t>צוין</w:t>
      </w:r>
      <w:r w:rsidRPr="00A81964">
        <w:rPr>
          <w:rFonts w:hint="cs"/>
          <w:rtl/>
        </w:rPr>
        <w:t>, כאמור,</w:t>
      </w:r>
      <w:r w:rsidRPr="00A81964">
        <w:rPr>
          <w:rtl/>
        </w:rPr>
        <w:t xml:space="preserve"> </w:t>
      </w:r>
      <w:r w:rsidRPr="00A81964">
        <w:rPr>
          <w:rFonts w:hint="eastAsia"/>
          <w:rtl/>
        </w:rPr>
        <w:t>כי</w:t>
      </w:r>
      <w:r w:rsidRPr="00A81964">
        <w:rPr>
          <w:rtl/>
        </w:rPr>
        <w:t xml:space="preserve"> </w:t>
      </w:r>
      <w:r w:rsidRPr="00A81964">
        <w:rPr>
          <w:rFonts w:hint="eastAsia"/>
          <w:rtl/>
        </w:rPr>
        <w:t>לאחר</w:t>
      </w:r>
      <w:r w:rsidRPr="00A81964">
        <w:rPr>
          <w:rtl/>
        </w:rPr>
        <w:t xml:space="preserve"> מלחמת לבנון השנייה נקבעו מסלולי פיצוי משופרים</w:t>
      </w:r>
      <w:r w:rsidRPr="00A81964">
        <w:rPr>
          <w:rFonts w:hint="cs"/>
          <w:rtl/>
        </w:rPr>
        <w:t>,</w:t>
      </w:r>
      <w:r w:rsidRPr="00A81964">
        <w:rPr>
          <w:rtl/>
        </w:rPr>
        <w:t xml:space="preserve"> שנתנו מענה לרוב הבעיות שהתעוררו</w:t>
      </w:r>
      <w:r w:rsidRPr="00A81964">
        <w:rPr>
          <w:rFonts w:hint="cs"/>
          <w:rtl/>
        </w:rPr>
        <w:t>,</w:t>
      </w:r>
      <w:r w:rsidRPr="00A81964">
        <w:rPr>
          <w:rtl/>
        </w:rPr>
        <w:t xml:space="preserve"> </w:t>
      </w:r>
      <w:r w:rsidRPr="00A81964">
        <w:rPr>
          <w:rFonts w:hint="eastAsia"/>
          <w:rtl/>
        </w:rPr>
        <w:t>ומסלולים</w:t>
      </w:r>
      <w:r w:rsidRPr="00A81964">
        <w:rPr>
          <w:rtl/>
        </w:rPr>
        <w:t xml:space="preserve"> </w:t>
      </w:r>
      <w:r w:rsidRPr="00A81964">
        <w:rPr>
          <w:rFonts w:hint="eastAsia"/>
          <w:rtl/>
        </w:rPr>
        <w:t>אלו</w:t>
      </w:r>
      <w:r w:rsidRPr="00A81964">
        <w:rPr>
          <w:rtl/>
        </w:rPr>
        <w:t xml:space="preserve"> </w:t>
      </w:r>
      <w:r w:rsidRPr="00A81964">
        <w:rPr>
          <w:rFonts w:hint="eastAsia"/>
          <w:rtl/>
        </w:rPr>
        <w:t>שופרו</w:t>
      </w:r>
      <w:r w:rsidRPr="00A81964">
        <w:rPr>
          <w:rtl/>
        </w:rPr>
        <w:t xml:space="preserve"> </w:t>
      </w:r>
      <w:r w:rsidRPr="00A81964">
        <w:rPr>
          <w:rFonts w:hint="eastAsia"/>
          <w:rtl/>
        </w:rPr>
        <w:t>אף</w:t>
      </w:r>
      <w:r w:rsidRPr="00A81964">
        <w:rPr>
          <w:rtl/>
        </w:rPr>
        <w:t xml:space="preserve"> </w:t>
      </w:r>
      <w:r w:rsidRPr="00A81964">
        <w:rPr>
          <w:rFonts w:hint="eastAsia"/>
          <w:rtl/>
        </w:rPr>
        <w:t>יותר</w:t>
      </w:r>
      <w:r w:rsidRPr="00A81964">
        <w:rPr>
          <w:rtl/>
        </w:rPr>
        <w:t xml:space="preserve"> לאחר מבצע "עמוד ענן" ומבצע "צוק איתן".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tl/>
        </w:rPr>
        <w:t xml:space="preserve">קרן הפיצויים מסרה לצוות הביקורת כי </w:t>
      </w:r>
      <w:r w:rsidRPr="00A81964">
        <w:rPr>
          <w:rFonts w:hint="eastAsia"/>
          <w:rtl/>
        </w:rPr>
        <w:t>חסרות</w:t>
      </w:r>
      <w:r w:rsidRPr="00A81964">
        <w:rPr>
          <w:rtl/>
        </w:rPr>
        <w:t xml:space="preserve"> הוראות חוק </w:t>
      </w:r>
      <w:r w:rsidRPr="00A81964">
        <w:rPr>
          <w:rFonts w:hint="cs"/>
          <w:rtl/>
        </w:rPr>
        <w:t xml:space="preserve">בעלות תוקף </w:t>
      </w:r>
      <w:r w:rsidRPr="00A81964">
        <w:rPr>
          <w:rtl/>
        </w:rPr>
        <w:t>קבוע</w:t>
      </w:r>
      <w:r w:rsidRPr="00A81964">
        <w:rPr>
          <w:rFonts w:hint="cs"/>
          <w:rtl/>
        </w:rPr>
        <w:t xml:space="preserve"> </w:t>
      </w:r>
      <w:r w:rsidRPr="00A81964">
        <w:rPr>
          <w:rtl/>
        </w:rPr>
        <w:t>ל</w:t>
      </w:r>
      <w:r w:rsidRPr="00A81964">
        <w:rPr>
          <w:rFonts w:hint="cs"/>
          <w:rtl/>
        </w:rPr>
        <w:t xml:space="preserve">הסדרת </w:t>
      </w:r>
      <w:r w:rsidRPr="00A81964">
        <w:rPr>
          <w:rtl/>
        </w:rPr>
        <w:t>מסלולי פיצוי בגין נזק עקי</w:t>
      </w:r>
      <w:r w:rsidRPr="00A81964">
        <w:rPr>
          <w:rFonts w:hint="cs"/>
          <w:rtl/>
        </w:rPr>
        <w:t>ף</w:t>
      </w:r>
      <w:r w:rsidRPr="00A81964">
        <w:rPr>
          <w:rtl/>
        </w:rPr>
        <w:t xml:space="preserve"> וכי מרבית הזמן שחולף </w:t>
      </w:r>
      <w:r w:rsidRPr="00A81964">
        <w:rPr>
          <w:rFonts w:hint="cs"/>
          <w:rtl/>
        </w:rPr>
        <w:t>מאירוע הנזק</w:t>
      </w:r>
      <w:r w:rsidRPr="00A81964">
        <w:rPr>
          <w:rtl/>
        </w:rPr>
        <w:t xml:space="preserve"> ועד למועד </w:t>
      </w:r>
      <w:r w:rsidRPr="00A81964">
        <w:rPr>
          <w:rFonts w:hint="cs"/>
          <w:rtl/>
        </w:rPr>
        <w:t>ש</w:t>
      </w:r>
      <w:r w:rsidRPr="00A81964">
        <w:rPr>
          <w:rtl/>
        </w:rPr>
        <w:t xml:space="preserve">בו בעל העסק שניזוק מקבל את הפיצויים, נובע מהצורך להסדיר תוך כדי מצב </w:t>
      </w:r>
      <w:r w:rsidRPr="00A81964">
        <w:rPr>
          <w:rFonts w:hint="cs"/>
          <w:rtl/>
        </w:rPr>
        <w:t>ה</w:t>
      </w:r>
      <w:r w:rsidRPr="00A81964">
        <w:rPr>
          <w:rtl/>
        </w:rPr>
        <w:t xml:space="preserve">חירום במשק את הליכי החקיקה המתייחסים למסלולים ולתקופות </w:t>
      </w:r>
      <w:r w:rsidRPr="00A81964">
        <w:rPr>
          <w:rFonts w:hint="cs"/>
          <w:rtl/>
        </w:rPr>
        <w:t>ש</w:t>
      </w:r>
      <w:r w:rsidRPr="00A81964">
        <w:rPr>
          <w:rtl/>
        </w:rPr>
        <w:t>לגביהם ישולמו הפיצויים</w:t>
      </w:r>
      <w:r w:rsidRPr="00A81964">
        <w:rPr>
          <w:rFonts w:hint="cs"/>
          <w:rtl/>
        </w:rPr>
        <w:t xml:space="preserve">. </w:t>
      </w:r>
      <w:r w:rsidRPr="00A81964">
        <w:rPr>
          <w:rtl/>
        </w:rPr>
        <w:t xml:space="preserve">עוד מסרה כי בהיעדר ודאות לגבי מסלולי הפיצויים ועד לסיום הליכי החקיקה, רשות </w:t>
      </w:r>
      <w:r w:rsidRPr="00A81964">
        <w:rPr>
          <w:rFonts w:hint="cs"/>
          <w:rtl/>
        </w:rPr>
        <w:t>המיסים אינה</w:t>
      </w:r>
      <w:r w:rsidRPr="00A81964">
        <w:rPr>
          <w:rtl/>
        </w:rPr>
        <w:t xml:space="preserve"> יכולה לבצע את ההתאמות הנדרשות במערכותיה</w:t>
      </w:r>
      <w:r w:rsidRPr="00A81964">
        <w:rPr>
          <w:rFonts w:hint="cs"/>
          <w:rtl/>
        </w:rPr>
        <w:t>, ו</w:t>
      </w:r>
      <w:r w:rsidRPr="00A81964">
        <w:rPr>
          <w:rtl/>
        </w:rPr>
        <w:t>קיים פרק זמן נוסף מאז סיום הליכי החקיקה ועד לפתיחת המערכת להגשת תביעות אשר מעכב את תשלומי הפיצויים.</w:t>
      </w:r>
    </w:p>
    <w:p w:rsidR="006252C4" w:rsidRPr="00A81964" w:rsidRDefault="006252C4" w:rsidP="006252C4">
      <w:pPr>
        <w:spacing w:line="269" w:lineRule="auto"/>
        <w:rPr>
          <w:b/>
          <w:bCs/>
          <w:rtl/>
        </w:rPr>
      </w:pPr>
      <w:r w:rsidRPr="00A81964">
        <w:rPr>
          <w:rFonts w:hint="cs"/>
          <w:b/>
          <w:bCs/>
          <w:rtl/>
        </w:rPr>
        <w:lastRenderedPageBreak/>
        <w:t xml:space="preserve">משרד האוצר ורשות המיסים לא </w:t>
      </w:r>
      <w:r>
        <w:rPr>
          <w:rFonts w:hint="cs"/>
          <w:b/>
          <w:bCs/>
          <w:rtl/>
        </w:rPr>
        <w:t xml:space="preserve">יזמו הסדרה של </w:t>
      </w:r>
      <w:r w:rsidRPr="00A81964">
        <w:rPr>
          <w:rFonts w:hint="cs"/>
          <w:b/>
          <w:bCs/>
          <w:rtl/>
        </w:rPr>
        <w:t>תנאי הזכאות לפיצויים בגין נזקים עקיפים ו</w:t>
      </w:r>
      <w:r>
        <w:rPr>
          <w:rFonts w:hint="cs"/>
          <w:b/>
          <w:bCs/>
          <w:rtl/>
        </w:rPr>
        <w:t>של</w:t>
      </w:r>
      <w:r w:rsidRPr="00A81964">
        <w:rPr>
          <w:rFonts w:hint="cs"/>
          <w:b/>
          <w:bCs/>
          <w:rtl/>
        </w:rPr>
        <w:t xml:space="preserve"> אופן חישובם </w:t>
      </w:r>
      <w:r>
        <w:rPr>
          <w:rFonts w:hint="cs"/>
          <w:b/>
          <w:bCs/>
          <w:rtl/>
        </w:rPr>
        <w:t xml:space="preserve">בחקיקה בעל תוקף </w:t>
      </w:r>
      <w:r w:rsidRPr="0016480E">
        <w:rPr>
          <w:rFonts w:hint="cs"/>
          <w:b/>
          <w:bCs/>
          <w:rtl/>
        </w:rPr>
        <w:t>קבוע</w:t>
      </w:r>
      <w:r w:rsidRPr="0016480E">
        <w:rPr>
          <w:b/>
          <w:bCs/>
          <w:rtl/>
        </w:rPr>
        <w:t xml:space="preserve">, </w:t>
      </w:r>
      <w:r w:rsidRPr="0016480E">
        <w:rPr>
          <w:rFonts w:hint="eastAsia"/>
          <w:b/>
          <w:bCs/>
          <w:rtl/>
        </w:rPr>
        <w:t>חלף</w:t>
      </w:r>
      <w:r w:rsidRPr="0016480E">
        <w:rPr>
          <w:rFonts w:hint="cs"/>
          <w:b/>
          <w:bCs/>
          <w:rtl/>
        </w:rPr>
        <w:t xml:space="preserve"> הסדרה</w:t>
      </w:r>
      <w:r>
        <w:rPr>
          <w:rFonts w:hint="cs"/>
          <w:b/>
          <w:bCs/>
          <w:rtl/>
        </w:rPr>
        <w:t xml:space="preserve"> </w:t>
      </w:r>
      <w:r w:rsidRPr="00A81964">
        <w:rPr>
          <w:rFonts w:hint="cs"/>
          <w:b/>
          <w:bCs/>
          <w:rtl/>
        </w:rPr>
        <w:t>במסגרת הוראת שעה</w:t>
      </w:r>
      <w:r w:rsidRPr="00E01D35">
        <w:rPr>
          <w:rtl/>
        </w:rPr>
        <w:t xml:space="preserve"> </w:t>
      </w:r>
      <w:r w:rsidRPr="00E01D35">
        <w:rPr>
          <w:b/>
          <w:bCs/>
          <w:rtl/>
        </w:rPr>
        <w:t>שתוקפה מוגבל לאירוע מסוים</w:t>
      </w:r>
      <w:r w:rsidRPr="00A81964">
        <w:rPr>
          <w:rFonts w:hint="cs"/>
          <w:b/>
          <w:bCs/>
          <w:rtl/>
        </w:rPr>
        <w:t>. כך משנת 2006 ועד פרוץ מלחמת חרבות ברזל</w:t>
      </w:r>
      <w:r>
        <w:rPr>
          <w:rFonts w:hint="cs"/>
          <w:b/>
          <w:bCs/>
          <w:rtl/>
        </w:rPr>
        <w:t xml:space="preserve"> באוקטובר 2023</w:t>
      </w:r>
      <w:r w:rsidRPr="00A81964">
        <w:rPr>
          <w:rFonts w:hint="cs"/>
          <w:b/>
          <w:bCs/>
          <w:rtl/>
        </w:rPr>
        <w:t xml:space="preserve"> נקבעו 12 הוראות שעה לסבבי לחימה, ובמהלך מלחמת חרבות ברזל נקבעו 22 הוראות שעה </w:t>
      </w:r>
      <w:r>
        <w:rPr>
          <w:rFonts w:hint="cs"/>
          <w:b/>
          <w:bCs/>
          <w:rtl/>
        </w:rPr>
        <w:t>בעניין מסלולי פיצוי שונים לסוגי ניזוקים, בעבור סוגי נזקים שאירעו בתקופות נקובות - הכול כמוגדר בכל הוראת שעה. הסדרת הפיצויים בדרך זו</w:t>
      </w:r>
      <w:r w:rsidRPr="00A81964">
        <w:rPr>
          <w:rFonts w:hint="cs"/>
          <w:b/>
          <w:bCs/>
          <w:rtl/>
        </w:rPr>
        <w:t xml:space="preserve"> </w:t>
      </w:r>
      <w:r>
        <w:rPr>
          <w:rFonts w:hint="cs"/>
          <w:b/>
          <w:bCs/>
          <w:rtl/>
        </w:rPr>
        <w:t>הייתה כרוכה</w:t>
      </w:r>
      <w:r w:rsidRPr="00A81964">
        <w:rPr>
          <w:rFonts w:hint="cs"/>
          <w:b/>
          <w:bCs/>
          <w:rtl/>
        </w:rPr>
        <w:t xml:space="preserve"> </w:t>
      </w:r>
      <w:r>
        <w:rPr>
          <w:rFonts w:hint="cs"/>
          <w:b/>
          <w:bCs/>
          <w:rtl/>
        </w:rPr>
        <w:t>ב</w:t>
      </w:r>
      <w:r w:rsidRPr="00A81964">
        <w:rPr>
          <w:rFonts w:hint="cs"/>
          <w:b/>
          <w:bCs/>
          <w:rtl/>
        </w:rPr>
        <w:t>ייזום הליכי חקיקה חוזרים ונשנים במהלך מצבי חירום, דבר המעיד על צורך</w:t>
      </w:r>
      <w:r w:rsidRPr="009E5863">
        <w:rPr>
          <w:rFonts w:hint="cs"/>
          <w:b/>
          <w:bCs/>
          <w:rtl/>
        </w:rPr>
        <w:t xml:space="preserve"> </w:t>
      </w:r>
      <w:r>
        <w:rPr>
          <w:rFonts w:hint="cs"/>
          <w:b/>
          <w:bCs/>
          <w:rtl/>
        </w:rPr>
        <w:t>בקיומו של הסדר בעל תוקף</w:t>
      </w:r>
      <w:r w:rsidRPr="00A81964">
        <w:rPr>
          <w:rFonts w:hint="cs"/>
          <w:b/>
          <w:bCs/>
          <w:rtl/>
        </w:rPr>
        <w:t xml:space="preserve"> קבוע ולא רק "לשעה". </w:t>
      </w:r>
    </w:p>
    <w:p w:rsidR="006252C4" w:rsidRDefault="006252C4" w:rsidP="006252C4">
      <w:pPr>
        <w:pStyle w:val="a8"/>
        <w:spacing w:line="269" w:lineRule="auto"/>
        <w:rPr>
          <w:rtl/>
        </w:rPr>
      </w:pPr>
    </w:p>
    <w:p w:rsidR="006252C4" w:rsidRDefault="006252C4" w:rsidP="006252C4">
      <w:pPr>
        <w:spacing w:line="269" w:lineRule="auto"/>
        <w:rPr>
          <w:b/>
          <w:bCs/>
          <w:rtl/>
        </w:rPr>
      </w:pPr>
      <w:r w:rsidRPr="00CA241E">
        <w:rPr>
          <w:b/>
          <w:bCs/>
          <w:rtl/>
        </w:rPr>
        <w:t xml:space="preserve">בהעדר </w:t>
      </w:r>
      <w:r w:rsidRPr="005E5304">
        <w:rPr>
          <w:b/>
          <w:bCs/>
          <w:rtl/>
        </w:rPr>
        <w:t xml:space="preserve">הוראות חוק שמעמידות מענה קבוע </w:t>
      </w:r>
      <w:r w:rsidRPr="00CA241E">
        <w:rPr>
          <w:b/>
          <w:bCs/>
          <w:rtl/>
        </w:rPr>
        <w:t>בנוגע לזכאות לפיצוי בעד נזק עקיף ממצבי לחימה</w:t>
      </w:r>
      <w:r w:rsidRPr="00A81964">
        <w:rPr>
          <w:rFonts w:hint="cs"/>
          <w:b/>
          <w:bCs/>
          <w:rtl/>
        </w:rPr>
        <w:t xml:space="preserve">, רשות המיסים, משרד האוצר וגורמים רלוונטיים נוספים </w:t>
      </w:r>
      <w:r>
        <w:rPr>
          <w:rFonts w:hint="cs"/>
          <w:b/>
          <w:bCs/>
          <w:rtl/>
        </w:rPr>
        <w:t>יזמו</w:t>
      </w:r>
      <w:r w:rsidRPr="00A81964">
        <w:rPr>
          <w:rFonts w:hint="cs"/>
          <w:b/>
          <w:bCs/>
          <w:rtl/>
        </w:rPr>
        <w:t xml:space="preserve"> במהלך סבב לחימה, לאחר תחילתו ולגביו בלבד הליכי חקיקה. </w:t>
      </w:r>
      <w:r>
        <w:rPr>
          <w:rFonts w:hint="cs"/>
          <w:b/>
          <w:bCs/>
          <w:rtl/>
        </w:rPr>
        <w:t>הליכים</w:t>
      </w:r>
      <w:r w:rsidRPr="00A81964">
        <w:rPr>
          <w:rFonts w:hint="cs"/>
          <w:b/>
          <w:bCs/>
          <w:rtl/>
        </w:rPr>
        <w:t xml:space="preserve"> אלו מאריכים את פרק הזמן </w:t>
      </w:r>
      <w:r>
        <w:rPr>
          <w:rFonts w:hint="cs"/>
          <w:b/>
          <w:bCs/>
          <w:rtl/>
        </w:rPr>
        <w:t xml:space="preserve">שחולף </w:t>
      </w:r>
      <w:r w:rsidRPr="00A81964">
        <w:rPr>
          <w:rFonts w:hint="cs"/>
          <w:b/>
          <w:bCs/>
          <w:rtl/>
        </w:rPr>
        <w:t>בין המועד שבו נגר</w:t>
      </w:r>
      <w:r>
        <w:rPr>
          <w:rFonts w:hint="cs"/>
          <w:b/>
          <w:bCs/>
          <w:rtl/>
        </w:rPr>
        <w:t>ם</w:t>
      </w:r>
      <w:r w:rsidRPr="00A81964">
        <w:rPr>
          <w:rFonts w:hint="cs"/>
          <w:b/>
          <w:bCs/>
          <w:rtl/>
        </w:rPr>
        <w:t xml:space="preserve"> ל</w:t>
      </w:r>
      <w:r>
        <w:rPr>
          <w:rFonts w:hint="cs"/>
          <w:b/>
          <w:bCs/>
          <w:rtl/>
        </w:rPr>
        <w:t>ניזוקים</w:t>
      </w:r>
      <w:r w:rsidRPr="00A81964">
        <w:rPr>
          <w:rFonts w:hint="cs"/>
          <w:b/>
          <w:bCs/>
          <w:rtl/>
        </w:rPr>
        <w:t xml:space="preserve"> נזק עקי</w:t>
      </w:r>
      <w:r>
        <w:rPr>
          <w:rFonts w:hint="cs"/>
          <w:b/>
          <w:bCs/>
          <w:rtl/>
        </w:rPr>
        <w:t>ף</w:t>
      </w:r>
      <w:r w:rsidRPr="00A81964">
        <w:rPr>
          <w:rFonts w:hint="cs"/>
          <w:b/>
          <w:bCs/>
          <w:rtl/>
        </w:rPr>
        <w:t xml:space="preserve"> לבין המועדים המוקדמים ביותר שבהם יוכלו לקבל פיצויים בגינם. באופן זה גוברת אי-הוודאות במשק, ועסקים שנפגעו נדרשים למצוא מקורות למימון פעילותם עד קבלת הפיצויים. מצב זה מקשה על יכולתם של העסקים להתאושש מהנזקים שנגרמו להם ועלול לסכן את המשך פעילותם, לרבות המשך העסקת עובדיהם. </w:t>
      </w:r>
    </w:p>
    <w:p w:rsidR="006252C4" w:rsidRDefault="006252C4" w:rsidP="006252C4">
      <w:pPr>
        <w:pStyle w:val="a8"/>
        <w:spacing w:line="269" w:lineRule="auto"/>
        <w:rPr>
          <w:rtl/>
        </w:rPr>
      </w:pPr>
    </w:p>
    <w:p w:rsidR="006252C4" w:rsidRPr="0061458A" w:rsidRDefault="006252C4" w:rsidP="006252C4">
      <w:pPr>
        <w:spacing w:line="269" w:lineRule="auto"/>
        <w:rPr>
          <w:rtl/>
        </w:rPr>
      </w:pPr>
      <w:r w:rsidRPr="0061458A">
        <w:rPr>
          <w:rFonts w:hint="eastAsia"/>
          <w:rtl/>
        </w:rPr>
        <w:t>רשות</w:t>
      </w:r>
      <w:r w:rsidRPr="0061458A">
        <w:rPr>
          <w:rtl/>
        </w:rPr>
        <w:t xml:space="preserve"> המיסים מסרה בתשובתה כי </w:t>
      </w:r>
      <w:r w:rsidRPr="0061458A">
        <w:rPr>
          <w:rFonts w:hint="eastAsia"/>
          <w:rtl/>
        </w:rPr>
        <w:t>היא</w:t>
      </w:r>
      <w:r w:rsidRPr="0061458A">
        <w:rPr>
          <w:rtl/>
        </w:rPr>
        <w:t xml:space="preserve"> </w:t>
      </w:r>
      <w:r w:rsidRPr="0061458A">
        <w:rPr>
          <w:rFonts w:hint="eastAsia"/>
          <w:rtl/>
        </w:rPr>
        <w:t>מסכימה</w:t>
      </w:r>
      <w:r w:rsidRPr="0061458A">
        <w:rPr>
          <w:rtl/>
        </w:rPr>
        <w:t xml:space="preserve"> "שיש לבחון ולהכין ארגז כלים לכל תרחיש, אולם חקיקה קבועה אינה בהכרח המתווה המתאים, ויש לבחון הכנת ארגז כלים שעולה מידית לכנסת בזמן מלחמה, ובחינת העניין בכפוף למצב הכלכלי במדינה".</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eastAsia"/>
          <w:b/>
          <w:bCs/>
          <w:rtl/>
        </w:rPr>
        <w:t>משרד</w:t>
      </w:r>
      <w:r w:rsidRPr="00A81964">
        <w:rPr>
          <w:b/>
          <w:bCs/>
          <w:rtl/>
        </w:rPr>
        <w:t xml:space="preserve"> מבקר המדינה </w:t>
      </w:r>
      <w:r>
        <w:rPr>
          <w:rFonts w:hint="cs"/>
          <w:b/>
          <w:bCs/>
          <w:rtl/>
        </w:rPr>
        <w:t xml:space="preserve">מציין כי "ארגז כלים" כאמור יהווה רק בסיס לדיונים בכנסת, ויחייב קיום </w:t>
      </w:r>
      <w:r w:rsidRPr="001E35D8">
        <w:rPr>
          <w:b/>
          <w:bCs/>
          <w:rtl/>
        </w:rPr>
        <w:t xml:space="preserve">דיונים </w:t>
      </w:r>
      <w:r>
        <w:rPr>
          <w:rFonts w:hint="cs"/>
          <w:b/>
          <w:bCs/>
          <w:rtl/>
        </w:rPr>
        <w:t xml:space="preserve">בכל סבב לחימה עתידי, וזאת </w:t>
      </w:r>
      <w:r w:rsidRPr="001E35D8">
        <w:rPr>
          <w:b/>
          <w:bCs/>
          <w:rtl/>
        </w:rPr>
        <w:t>לצורך הגעה להסכמות עם גורמים רלוונטיים בעלי סדרי עדיפויות שונים</w:t>
      </w:r>
      <w:r>
        <w:rPr>
          <w:rFonts w:hint="cs"/>
          <w:b/>
          <w:bCs/>
          <w:rtl/>
        </w:rPr>
        <w:t xml:space="preserve"> כאמור. מצב זה מותיר את המשק באי</w:t>
      </w:r>
      <w:r w:rsidRPr="00974531">
        <w:rPr>
          <w:b/>
          <w:bCs/>
          <w:rtl/>
        </w:rPr>
        <w:t xml:space="preserve"> וודאות </w:t>
      </w:r>
      <w:r>
        <w:rPr>
          <w:rFonts w:hint="cs"/>
          <w:b/>
          <w:bCs/>
          <w:rtl/>
        </w:rPr>
        <w:t>ומגביל את יכולתם</w:t>
      </w:r>
      <w:r w:rsidRPr="00974531">
        <w:rPr>
          <w:b/>
          <w:bCs/>
          <w:rtl/>
        </w:rPr>
        <w:t xml:space="preserve"> של העסקים להתאושש מנזקים עקיפים שנגרמו להם</w:t>
      </w:r>
      <w:r>
        <w:rPr>
          <w:rFonts w:hint="cs"/>
          <w:b/>
          <w:bCs/>
          <w:rtl/>
        </w:rPr>
        <w:t xml:space="preserve">. משכך מומלץ </w:t>
      </w:r>
      <w:r w:rsidRPr="00A81964">
        <w:rPr>
          <w:rFonts w:hint="eastAsia"/>
          <w:b/>
          <w:bCs/>
          <w:rtl/>
        </w:rPr>
        <w:t>כי</w:t>
      </w:r>
      <w:r w:rsidRPr="00A81964">
        <w:rPr>
          <w:b/>
          <w:bCs/>
          <w:rtl/>
        </w:rPr>
        <w:t xml:space="preserve"> רשות</w:t>
      </w:r>
      <w:r w:rsidRPr="00A81964">
        <w:rPr>
          <w:rFonts w:hint="cs"/>
          <w:b/>
          <w:bCs/>
          <w:rtl/>
        </w:rPr>
        <w:t xml:space="preserve"> המיסים, בשיתוף משרד האוצר, </w:t>
      </w:r>
      <w:r>
        <w:rPr>
          <w:rFonts w:hint="cs"/>
          <w:b/>
          <w:bCs/>
          <w:rtl/>
        </w:rPr>
        <w:t>ייזמו הצעת חקיקה בעלת תוקף קבוע שתסדיר מסלולי</w:t>
      </w:r>
      <w:r w:rsidRPr="00A81964">
        <w:rPr>
          <w:rFonts w:hint="cs"/>
          <w:b/>
          <w:bCs/>
          <w:rtl/>
        </w:rPr>
        <w:t xml:space="preserve"> פיצויים בגין נזק עקי</w:t>
      </w:r>
      <w:r>
        <w:rPr>
          <w:rFonts w:hint="cs"/>
          <w:b/>
          <w:bCs/>
          <w:rtl/>
        </w:rPr>
        <w:t>ף</w:t>
      </w:r>
      <w:r w:rsidRPr="00A81964">
        <w:rPr>
          <w:rFonts w:hint="cs"/>
          <w:b/>
          <w:bCs/>
          <w:rtl/>
        </w:rPr>
        <w:t xml:space="preserve">. </w:t>
      </w:r>
      <w:r>
        <w:rPr>
          <w:rFonts w:hint="cs"/>
          <w:b/>
          <w:bCs/>
          <w:rtl/>
        </w:rPr>
        <w:t>הסדרה של זכאות לפיצויים בדרך זו תקצר</w:t>
      </w:r>
      <w:r w:rsidRPr="00A81964">
        <w:rPr>
          <w:rFonts w:hint="cs"/>
          <w:b/>
          <w:bCs/>
          <w:rtl/>
        </w:rPr>
        <w:t xml:space="preserve"> את </w:t>
      </w:r>
      <w:r w:rsidRPr="00A81964">
        <w:rPr>
          <w:b/>
          <w:bCs/>
          <w:rtl/>
        </w:rPr>
        <w:t>פרק הזמן שח</w:t>
      </w:r>
      <w:r w:rsidRPr="00A81964">
        <w:rPr>
          <w:rFonts w:hint="cs"/>
          <w:b/>
          <w:bCs/>
          <w:rtl/>
        </w:rPr>
        <w:t>ו</w:t>
      </w:r>
      <w:r w:rsidRPr="00A81964">
        <w:rPr>
          <w:b/>
          <w:bCs/>
          <w:rtl/>
        </w:rPr>
        <w:t xml:space="preserve">לף </w:t>
      </w:r>
      <w:r w:rsidRPr="00A81964">
        <w:rPr>
          <w:rFonts w:hint="cs"/>
          <w:b/>
          <w:bCs/>
          <w:rtl/>
        </w:rPr>
        <w:t xml:space="preserve">מהמועד אשר בו נגרם הנזק ועד המועד שבו מתאפשרת הגשת תביעה ומתקבלים הפיצויים בגינה </w:t>
      </w:r>
      <w:r>
        <w:rPr>
          <w:rFonts w:hint="cs"/>
          <w:b/>
          <w:bCs/>
          <w:rtl/>
        </w:rPr>
        <w:t>ותעניק</w:t>
      </w:r>
      <w:r w:rsidRPr="00A81964">
        <w:rPr>
          <w:rFonts w:hint="cs"/>
          <w:b/>
          <w:bCs/>
          <w:rtl/>
        </w:rPr>
        <w:t xml:space="preserve"> לעסקים ודאות בשעת חירום. נוסף על כך, בהתאם למסלולי הפיצויים שייקבעו בהוראות אלה, על רשות המיסים כבר בזמן שגרה לטייב את</w:t>
      </w:r>
      <w:r w:rsidRPr="00A81964">
        <w:rPr>
          <w:b/>
          <w:bCs/>
          <w:rtl/>
        </w:rPr>
        <w:t xml:space="preserve"> הבקרות הממוחשבות </w:t>
      </w:r>
      <w:r w:rsidRPr="00A81964">
        <w:rPr>
          <w:rFonts w:hint="cs"/>
          <w:b/>
          <w:bCs/>
          <w:rtl/>
        </w:rPr>
        <w:t xml:space="preserve">הנדרשות, כדי שלא ישולמו פיצויים ביתר. </w:t>
      </w:r>
    </w:p>
    <w:p w:rsidR="006252C4" w:rsidRDefault="006252C4" w:rsidP="006252C4">
      <w:pPr>
        <w:pStyle w:val="a8"/>
        <w:spacing w:line="269" w:lineRule="auto"/>
        <w:rPr>
          <w:rtl/>
        </w:rPr>
      </w:pPr>
    </w:p>
    <w:p w:rsidR="006252C4" w:rsidRDefault="006252C4" w:rsidP="006252C4">
      <w:pPr>
        <w:spacing w:line="269" w:lineRule="auto"/>
        <w:rPr>
          <w:rFonts w:eastAsiaTheme="majorEastAsia"/>
          <w:bCs/>
          <w:szCs w:val="28"/>
          <w:u w:val="single"/>
          <w:rtl/>
        </w:rPr>
      </w:pPr>
      <w:r w:rsidRPr="00A81964">
        <w:rPr>
          <w:rFonts w:hint="cs"/>
          <w:b/>
          <w:bCs/>
          <w:rtl/>
        </w:rPr>
        <w:t>עם זאת, כדי שיהיה ניתן להתאים את היקף הפיצויים לאילוצים התקציביים של הממשלה באותה עת ולהתאימם לאזורים שבהם מתרחשת הלחימה, מומלץ כי תינתן לגורם הרלוונטי</w:t>
      </w:r>
      <w:r w:rsidRPr="00A81964">
        <w:rPr>
          <w:b/>
          <w:bCs/>
          <w:rtl/>
        </w:rPr>
        <w:t xml:space="preserve"> </w:t>
      </w:r>
      <w:r w:rsidRPr="00A81964">
        <w:rPr>
          <w:rFonts w:hint="cs"/>
          <w:b/>
          <w:bCs/>
          <w:rtl/>
        </w:rPr>
        <w:t>ה</w:t>
      </w:r>
      <w:r w:rsidRPr="00A81964">
        <w:rPr>
          <w:b/>
          <w:bCs/>
          <w:rtl/>
        </w:rPr>
        <w:t>סמכות לקבוע בחקיק</w:t>
      </w:r>
      <w:r>
        <w:rPr>
          <w:rFonts w:hint="cs"/>
          <w:b/>
          <w:bCs/>
          <w:rtl/>
        </w:rPr>
        <w:t>ת</w:t>
      </w:r>
      <w:r w:rsidRPr="00A81964">
        <w:rPr>
          <w:b/>
          <w:bCs/>
          <w:rtl/>
        </w:rPr>
        <w:t xml:space="preserve"> משנ</w:t>
      </w:r>
      <w:r w:rsidRPr="00A81964">
        <w:rPr>
          <w:rFonts w:hint="cs"/>
          <w:b/>
          <w:bCs/>
          <w:rtl/>
        </w:rPr>
        <w:t>ה</w:t>
      </w:r>
      <w:r w:rsidRPr="00A81964">
        <w:rPr>
          <w:b/>
          <w:bCs/>
          <w:rtl/>
        </w:rPr>
        <w:t xml:space="preserve"> לגבי כל מסלול פיצוי</w:t>
      </w:r>
      <w:r>
        <w:rPr>
          <w:rFonts w:hint="cs"/>
          <w:b/>
          <w:bCs/>
          <w:rtl/>
        </w:rPr>
        <w:t xml:space="preserve"> ולגבי כל אירוע שיזכה בפיצוי</w:t>
      </w:r>
      <w:r w:rsidRPr="00A81964">
        <w:rPr>
          <w:b/>
          <w:bCs/>
          <w:rtl/>
        </w:rPr>
        <w:t xml:space="preserve"> </w:t>
      </w:r>
      <w:r w:rsidRPr="00A81964">
        <w:rPr>
          <w:rFonts w:hint="eastAsia"/>
          <w:b/>
          <w:bCs/>
          <w:rtl/>
        </w:rPr>
        <w:t>את</w:t>
      </w:r>
      <w:r w:rsidRPr="00A81964">
        <w:rPr>
          <w:b/>
          <w:bCs/>
          <w:rtl/>
        </w:rPr>
        <w:t xml:space="preserve"> </w:t>
      </w:r>
      <w:r w:rsidRPr="00A81964">
        <w:rPr>
          <w:rFonts w:hint="cs"/>
          <w:b/>
          <w:bCs/>
          <w:rtl/>
        </w:rPr>
        <w:t>שיעור הפיצוי שיינתן ו</w:t>
      </w:r>
      <w:r w:rsidRPr="00A81964">
        <w:rPr>
          <w:rFonts w:hint="eastAsia"/>
          <w:b/>
          <w:bCs/>
          <w:rtl/>
        </w:rPr>
        <w:t>את</w:t>
      </w:r>
      <w:r w:rsidRPr="00A81964">
        <w:rPr>
          <w:b/>
          <w:bCs/>
          <w:rtl/>
        </w:rPr>
        <w:t xml:space="preserve"> </w:t>
      </w:r>
      <w:r w:rsidRPr="00A81964">
        <w:rPr>
          <w:rFonts w:hint="eastAsia"/>
          <w:b/>
          <w:bCs/>
          <w:rtl/>
        </w:rPr>
        <w:t>רשימת</w:t>
      </w:r>
      <w:r w:rsidRPr="00A81964">
        <w:rPr>
          <w:b/>
          <w:bCs/>
          <w:rtl/>
        </w:rPr>
        <w:t xml:space="preserve"> </w:t>
      </w:r>
      <w:r w:rsidRPr="00A81964">
        <w:rPr>
          <w:rFonts w:hint="eastAsia"/>
          <w:b/>
          <w:bCs/>
          <w:rtl/>
        </w:rPr>
        <w:t>היישובים</w:t>
      </w:r>
      <w:r w:rsidRPr="00A81964">
        <w:rPr>
          <w:b/>
          <w:bCs/>
          <w:rtl/>
        </w:rPr>
        <w:t xml:space="preserve"> </w:t>
      </w:r>
      <w:r>
        <w:rPr>
          <w:rFonts w:hint="cs"/>
          <w:b/>
          <w:bCs/>
          <w:rtl/>
        </w:rPr>
        <w:t>ש</w:t>
      </w:r>
      <w:r w:rsidRPr="00A81964">
        <w:rPr>
          <w:rFonts w:hint="eastAsia"/>
          <w:b/>
          <w:bCs/>
          <w:rtl/>
        </w:rPr>
        <w:t>בהם</w:t>
      </w:r>
      <w:r w:rsidRPr="00A81964">
        <w:rPr>
          <w:b/>
          <w:bCs/>
          <w:rtl/>
        </w:rPr>
        <w:t xml:space="preserve"> </w:t>
      </w:r>
      <w:r>
        <w:rPr>
          <w:rFonts w:hint="cs"/>
          <w:b/>
          <w:bCs/>
          <w:rtl/>
        </w:rPr>
        <w:t>ניזוקים</w:t>
      </w:r>
      <w:r w:rsidRPr="00A81964">
        <w:rPr>
          <w:b/>
          <w:bCs/>
          <w:rtl/>
        </w:rPr>
        <w:t xml:space="preserve"> </w:t>
      </w:r>
      <w:r w:rsidRPr="00A81964">
        <w:rPr>
          <w:rFonts w:hint="eastAsia"/>
          <w:b/>
          <w:bCs/>
          <w:rtl/>
        </w:rPr>
        <w:t>יהיו</w:t>
      </w:r>
      <w:r w:rsidRPr="00A81964">
        <w:rPr>
          <w:b/>
          <w:bCs/>
          <w:rtl/>
        </w:rPr>
        <w:t xml:space="preserve"> </w:t>
      </w:r>
      <w:r w:rsidRPr="00A81964">
        <w:rPr>
          <w:rFonts w:hint="eastAsia"/>
          <w:b/>
          <w:bCs/>
          <w:rtl/>
        </w:rPr>
        <w:t>זכאים</w:t>
      </w:r>
      <w:r w:rsidRPr="00A81964">
        <w:rPr>
          <w:b/>
          <w:bCs/>
          <w:rtl/>
        </w:rPr>
        <w:t xml:space="preserve"> </w:t>
      </w:r>
      <w:r w:rsidRPr="00A81964">
        <w:rPr>
          <w:rFonts w:hint="eastAsia"/>
          <w:b/>
          <w:bCs/>
          <w:rtl/>
        </w:rPr>
        <w:t>לפיצוי</w:t>
      </w:r>
      <w:r w:rsidRPr="00A81964">
        <w:rPr>
          <w:b/>
          <w:bCs/>
          <w:rtl/>
        </w:rPr>
        <w:t xml:space="preserve"> </w:t>
      </w:r>
      <w:r w:rsidRPr="00A81964">
        <w:rPr>
          <w:rFonts w:hint="eastAsia"/>
          <w:b/>
          <w:bCs/>
          <w:rtl/>
        </w:rPr>
        <w:t>לפי</w:t>
      </w:r>
      <w:r w:rsidRPr="00A81964">
        <w:rPr>
          <w:b/>
          <w:bCs/>
          <w:rtl/>
        </w:rPr>
        <w:t xml:space="preserve"> </w:t>
      </w:r>
      <w:r w:rsidRPr="00A81964">
        <w:rPr>
          <w:rFonts w:hint="eastAsia"/>
          <w:b/>
          <w:bCs/>
          <w:rtl/>
        </w:rPr>
        <w:t>אותו</w:t>
      </w:r>
      <w:r w:rsidRPr="00A81964">
        <w:rPr>
          <w:b/>
          <w:bCs/>
          <w:rtl/>
        </w:rPr>
        <w:t xml:space="preserve"> </w:t>
      </w:r>
      <w:r w:rsidRPr="00A81964">
        <w:rPr>
          <w:rFonts w:hint="eastAsia"/>
          <w:b/>
          <w:bCs/>
          <w:rtl/>
        </w:rPr>
        <w:t>מסלול</w:t>
      </w:r>
      <w:r w:rsidRPr="00A81964">
        <w:rPr>
          <w:b/>
          <w:bCs/>
          <w:rtl/>
        </w:rPr>
        <w:t xml:space="preserve">, </w:t>
      </w:r>
      <w:r w:rsidRPr="00A81964">
        <w:rPr>
          <w:rFonts w:hint="eastAsia"/>
          <w:b/>
          <w:bCs/>
          <w:rtl/>
        </w:rPr>
        <w:t>זאת</w:t>
      </w:r>
      <w:r w:rsidRPr="00A81964">
        <w:rPr>
          <w:b/>
          <w:bCs/>
          <w:rtl/>
        </w:rPr>
        <w:t xml:space="preserve"> </w:t>
      </w:r>
      <w:r w:rsidRPr="00A81964">
        <w:rPr>
          <w:rFonts w:hint="eastAsia"/>
          <w:b/>
          <w:bCs/>
          <w:rtl/>
        </w:rPr>
        <w:t>בהתאם</w:t>
      </w:r>
      <w:r w:rsidRPr="00A81964">
        <w:rPr>
          <w:rFonts w:hint="cs"/>
          <w:b/>
          <w:bCs/>
          <w:rtl/>
        </w:rPr>
        <w:t xml:space="preserve"> לנסיבות של כל סבב לחימה. כן מומלץ כי רשות המיסים תכין תוכנית מגירה, בה ייקבעו תרחישים אפשריים לסבבי לחימה ומנגנון פיצוי שמותאם לתרחישים אלו. עוד מומלץ כי מסלולי הפיצויים שי</w:t>
      </w:r>
      <w:r>
        <w:rPr>
          <w:rFonts w:hint="cs"/>
          <w:b/>
          <w:bCs/>
          <w:rtl/>
        </w:rPr>
        <w:t>י</w:t>
      </w:r>
      <w:r w:rsidRPr="00A81964">
        <w:rPr>
          <w:rFonts w:hint="cs"/>
          <w:b/>
          <w:bCs/>
          <w:rtl/>
        </w:rPr>
        <w:t xml:space="preserve">קבעו </w:t>
      </w:r>
      <w:r>
        <w:rPr>
          <w:rFonts w:hint="cs"/>
          <w:b/>
          <w:bCs/>
          <w:rtl/>
        </w:rPr>
        <w:t>בחקיקה בעלת תוקף קבוע</w:t>
      </w:r>
      <w:r w:rsidRPr="00A81964">
        <w:rPr>
          <w:rFonts w:hint="cs"/>
          <w:b/>
          <w:bCs/>
          <w:rtl/>
        </w:rPr>
        <w:t xml:space="preserve"> יפורסמו בשגרה לציבור וזאת לצורך הגברת הוודאות בתקופות חירום. </w:t>
      </w:r>
    </w:p>
    <w:p w:rsidR="006252C4" w:rsidRDefault="006252C4" w:rsidP="006252C4">
      <w:pPr>
        <w:spacing w:line="269" w:lineRule="auto"/>
        <w:rPr>
          <w:rFonts w:eastAsiaTheme="majorEastAsia"/>
          <w:bCs/>
          <w:szCs w:val="28"/>
          <w:u w:val="single"/>
          <w:rtl/>
        </w:rPr>
      </w:pPr>
    </w:p>
    <w:p w:rsidR="006252C4" w:rsidRPr="00A81964" w:rsidRDefault="006252C4" w:rsidP="006252C4">
      <w:pPr>
        <w:pStyle w:val="31"/>
        <w:spacing w:before="0" w:line="269" w:lineRule="auto"/>
        <w:rPr>
          <w:rtl/>
        </w:rPr>
      </w:pPr>
      <w:r w:rsidRPr="00A81964">
        <w:rPr>
          <w:rFonts w:hint="cs"/>
          <w:rtl/>
        </w:rPr>
        <w:lastRenderedPageBreak/>
        <w:t>הבקרות על תשלומי פיצויים בגין נזקים עקיפים</w:t>
      </w:r>
    </w:p>
    <w:p w:rsidR="006252C4" w:rsidRPr="007D0113" w:rsidRDefault="006252C4" w:rsidP="006252C4">
      <w:pPr>
        <w:spacing w:line="269" w:lineRule="auto"/>
        <w:rPr>
          <w:rtl/>
        </w:rPr>
      </w:pPr>
    </w:p>
    <w:p w:rsidR="006252C4" w:rsidRPr="00A81964" w:rsidRDefault="006252C4" w:rsidP="006252C4">
      <w:pPr>
        <w:pStyle w:val="4"/>
        <w:spacing w:before="0" w:line="269" w:lineRule="auto"/>
        <w:rPr>
          <w:rtl/>
        </w:rPr>
      </w:pPr>
      <w:r w:rsidRPr="00A81964">
        <w:rPr>
          <w:rFonts w:hint="cs"/>
          <w:rtl/>
        </w:rPr>
        <w:t>המועדים לטיפול בתביעה בגין נזק עקיף</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חוק קרן הפיצויים והתקנות מכוחו הגדירו, בין היתר, מועדים שבמסגרתם נדרשת קרן הפיצויים לקבל החלטה לגבי תביעה לפיצוי בגין נזק עקיף וכן מועדים לתשלום הפיצוי.</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בהתאם לתקנות האזור המיוחד ולהוראת שעה המסלול הכלל ארצי</w:t>
      </w:r>
      <w:r>
        <w:rPr>
          <w:rStyle w:val="af2"/>
          <w:rtl/>
        </w:rPr>
        <w:footnoteReference w:id="78"/>
      </w:r>
      <w:r w:rsidRPr="00A81964">
        <w:rPr>
          <w:rFonts w:hint="cs"/>
          <w:rtl/>
        </w:rPr>
        <w:t xml:space="preserve">, מנהל קרן הפיצויים יקבע בהחלטה מנומקת את זכאותו של העוסק לפיצויים באשר לתביעתו לפיצוי בגין נזק עקיף ואת סכום הפיצויים בתוך 8 חודשים ממועד הגשת התביעה, ואם לא נתן החלטה בתקופה האמורה יראו את התביעה כאילו התקבלה. אם ביקש המנהל מהעוסק להשלים מידע ומסמכים, רשאי המנהל להאריך את התקופה האמורה בתקופות נוספות שלא יעלו יחד על </w:t>
      </w:r>
      <w:r w:rsidRPr="00C41EC1">
        <w:rPr>
          <w:rFonts w:hint="cs"/>
          <w:rtl/>
        </w:rPr>
        <w:t>30</w:t>
      </w:r>
      <w:r w:rsidRPr="00A81964">
        <w:rPr>
          <w:rFonts w:hint="cs"/>
          <w:rtl/>
        </w:rPr>
        <w:t xml:space="preserve"> ימים ולא יובא במניין הימים למתן החלטה פרק הזמן שבו העוסק טרם השלים את המצאת המסמכים והמידע המבוקשים</w:t>
      </w:r>
      <w:r w:rsidRPr="00A81964">
        <w:rPr>
          <w:rStyle w:val="af2"/>
          <w:rtl/>
        </w:rPr>
        <w:footnoteReference w:id="79"/>
      </w:r>
      <w:r w:rsidRPr="00A81964">
        <w:rPr>
          <w:rFonts w:hint="cs"/>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כש</w:t>
      </w:r>
      <w:r w:rsidRPr="00A81964">
        <w:rPr>
          <w:rtl/>
        </w:rPr>
        <w:t>נקבע</w:t>
      </w:r>
      <w:r w:rsidRPr="00A81964">
        <w:rPr>
          <w:rFonts w:hint="cs"/>
          <w:rtl/>
        </w:rPr>
        <w:t>ת</w:t>
      </w:r>
      <w:r w:rsidRPr="00A81964">
        <w:rPr>
          <w:rtl/>
        </w:rPr>
        <w:t xml:space="preserve"> זכאותו </w:t>
      </w:r>
      <w:r w:rsidRPr="00A81964">
        <w:rPr>
          <w:rFonts w:hint="cs"/>
          <w:rtl/>
        </w:rPr>
        <w:t>של עוסק</w:t>
      </w:r>
      <w:r w:rsidRPr="00A81964">
        <w:rPr>
          <w:rtl/>
        </w:rPr>
        <w:t xml:space="preserve"> לפיצויים</w:t>
      </w:r>
      <w:r w:rsidRPr="00A81964">
        <w:rPr>
          <w:rFonts w:hint="cs"/>
          <w:rtl/>
        </w:rPr>
        <w:t xml:space="preserve"> באחד ממסלולי האזור המיוחד או במסלול הכלל ארצי</w:t>
      </w:r>
      <w:r w:rsidRPr="00A81964">
        <w:rPr>
          <w:rtl/>
        </w:rPr>
        <w:t xml:space="preserve">, </w:t>
      </w:r>
      <w:r w:rsidRPr="00A81964">
        <w:rPr>
          <w:rFonts w:hint="cs"/>
          <w:rtl/>
        </w:rPr>
        <w:t>יש לשלם לו</w:t>
      </w:r>
      <w:r w:rsidRPr="00A81964">
        <w:rPr>
          <w:rtl/>
        </w:rPr>
        <w:t xml:space="preserve"> </w:t>
      </w:r>
      <w:r w:rsidRPr="00A81964">
        <w:rPr>
          <w:rFonts w:hint="cs"/>
          <w:rtl/>
        </w:rPr>
        <w:t xml:space="preserve">את </w:t>
      </w:r>
      <w:r w:rsidRPr="00A81964">
        <w:rPr>
          <w:rtl/>
        </w:rPr>
        <w:t>הפיצויים</w:t>
      </w:r>
      <w:r w:rsidRPr="00A81964">
        <w:rPr>
          <w:rFonts w:hint="cs"/>
          <w:rtl/>
        </w:rPr>
        <w:t xml:space="preserve"> בתוך</w:t>
      </w:r>
      <w:r w:rsidRPr="00A81964">
        <w:rPr>
          <w:rtl/>
        </w:rPr>
        <w:t xml:space="preserve"> 14 ימים ממועד </w:t>
      </w:r>
      <w:r w:rsidRPr="00A81964">
        <w:rPr>
          <w:rFonts w:hint="cs"/>
          <w:rtl/>
        </w:rPr>
        <w:t xml:space="preserve">קביעת </w:t>
      </w:r>
      <w:r w:rsidRPr="00A81964">
        <w:rPr>
          <w:rtl/>
        </w:rPr>
        <w:t>זכאות</w:t>
      </w:r>
      <w:r w:rsidRPr="00A81964">
        <w:rPr>
          <w:rFonts w:hint="cs"/>
          <w:rtl/>
        </w:rPr>
        <w:t>ו</w:t>
      </w:r>
      <w:r w:rsidRPr="00A81964">
        <w:rPr>
          <w:rtl/>
        </w:rPr>
        <w:t xml:space="preserve"> </w:t>
      </w:r>
      <w:r w:rsidRPr="00A81964">
        <w:rPr>
          <w:rFonts w:hint="cs"/>
          <w:rtl/>
        </w:rPr>
        <w:t>ל</w:t>
      </w:r>
      <w:r w:rsidRPr="00A81964">
        <w:rPr>
          <w:rtl/>
        </w:rPr>
        <w:t>פיצוי</w:t>
      </w:r>
      <w:r w:rsidRPr="00A81964">
        <w:rPr>
          <w:rFonts w:hint="cs"/>
          <w:rtl/>
        </w:rPr>
        <w:t>ים</w:t>
      </w:r>
      <w:r w:rsidRPr="00A81964">
        <w:rPr>
          <w:rStyle w:val="af2"/>
          <w:rtl/>
        </w:rPr>
        <w:t xml:space="preserve"> </w:t>
      </w:r>
      <w:r w:rsidRPr="00A81964">
        <w:rPr>
          <w:rStyle w:val="af2"/>
          <w:rtl/>
        </w:rPr>
        <w:footnoteReference w:id="80"/>
      </w:r>
      <w:r w:rsidRPr="00A81964">
        <w:rPr>
          <w:rtl/>
        </w:rPr>
        <w:t>.</w:t>
      </w:r>
      <w:r w:rsidRPr="00A81964">
        <w:rPr>
          <w:rStyle w:val="af2"/>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על פי תקנות קרן הפיצויים במסלול האדום, </w:t>
      </w:r>
      <w:r w:rsidRPr="00A81964">
        <w:rPr>
          <w:rtl/>
        </w:rPr>
        <w:t xml:space="preserve">מנהל קרן הפיצויים </w:t>
      </w:r>
      <w:r w:rsidRPr="00A81964">
        <w:rPr>
          <w:rFonts w:hint="cs"/>
          <w:rtl/>
        </w:rPr>
        <w:t>יחליט</w:t>
      </w:r>
      <w:r w:rsidRPr="00A81964">
        <w:rPr>
          <w:rtl/>
        </w:rPr>
        <w:t xml:space="preserve"> </w:t>
      </w:r>
      <w:r w:rsidRPr="00A81964">
        <w:rPr>
          <w:rFonts w:hint="cs"/>
          <w:rtl/>
        </w:rPr>
        <w:t>בנוגע</w:t>
      </w:r>
      <w:r w:rsidRPr="00A81964">
        <w:rPr>
          <w:rtl/>
        </w:rPr>
        <w:t xml:space="preserve"> לתביעה לפיצוי בגין נזק עקיף</w:t>
      </w:r>
      <w:r w:rsidRPr="00A81964">
        <w:rPr>
          <w:rFonts w:hint="cs"/>
          <w:rtl/>
        </w:rPr>
        <w:t xml:space="preserve"> בתוך שישה חודשים מיום הגשת התביעה, ואם נקבע שהוא זכאי לפיצוי בגין הנזק העקיף שנגרם לו, על קרן הפיצויים לשלמו בתוך 30 ימים </w:t>
      </w:r>
      <w:r w:rsidRPr="00A81964">
        <w:rPr>
          <w:rtl/>
        </w:rPr>
        <w:t xml:space="preserve">ממועד החלטתה </w:t>
      </w:r>
      <w:r w:rsidRPr="00A81964">
        <w:rPr>
          <w:rFonts w:hint="cs"/>
          <w:rtl/>
        </w:rPr>
        <w:t>בנוגע</w:t>
      </w:r>
      <w:r w:rsidRPr="00A81964">
        <w:rPr>
          <w:rtl/>
        </w:rPr>
        <w:t xml:space="preserve"> לזכאות</w:t>
      </w:r>
      <w:r w:rsidRPr="00A81964">
        <w:rPr>
          <w:rFonts w:hint="cs"/>
          <w:rtl/>
        </w:rPr>
        <w:t>ו</w:t>
      </w:r>
      <w:r w:rsidRPr="00A81964">
        <w:rPr>
          <w:rtl/>
        </w:rPr>
        <w:t xml:space="preserve"> ולסכום הפיצוי</w:t>
      </w:r>
      <w:r w:rsidRPr="00A81964">
        <w:rPr>
          <w:rStyle w:val="af2"/>
          <w:rtl/>
        </w:rPr>
        <w:footnoteReference w:id="81"/>
      </w:r>
      <w:r w:rsidRPr="00A81964">
        <w:rPr>
          <w:rFonts w:hint="cs"/>
          <w:rtl/>
        </w:rPr>
        <w:t>.</w:t>
      </w:r>
      <w:r w:rsidRPr="00A81964">
        <w:rPr>
          <w:rStyle w:val="af2"/>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בסיום הטיפול בתביעה, סכום הפיצויים הסופי בגין נזק עקיף באחד ממסלולי הפיצויים ששולם בהתאם להחלטת קרן הפיצויים מסווג במערכת התביעות כתשלום סופי (להלן - תשלום סופי).</w:t>
      </w:r>
    </w:p>
    <w:p w:rsidR="006252C4" w:rsidRPr="00A81964" w:rsidRDefault="006252C4" w:rsidP="006252C4">
      <w:pPr>
        <w:spacing w:line="269" w:lineRule="auto"/>
        <w:rPr>
          <w:rtl/>
        </w:rPr>
      </w:pPr>
    </w:p>
    <w:p w:rsidR="006252C4" w:rsidRPr="00A81964" w:rsidRDefault="006252C4" w:rsidP="006252C4">
      <w:pPr>
        <w:pStyle w:val="4"/>
        <w:spacing w:before="0" w:line="269" w:lineRule="auto"/>
        <w:rPr>
          <w:rtl/>
        </w:rPr>
      </w:pPr>
      <w:r w:rsidRPr="00A81964">
        <w:rPr>
          <w:rFonts w:hint="cs"/>
          <w:rtl/>
        </w:rPr>
        <w:t>תשלום מקדמות</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אם </w:t>
      </w:r>
      <w:r w:rsidRPr="00A81964">
        <w:rPr>
          <w:rtl/>
        </w:rPr>
        <w:t>מנהל</w:t>
      </w:r>
      <w:r w:rsidRPr="00A81964">
        <w:rPr>
          <w:rFonts w:hint="cs"/>
          <w:rtl/>
        </w:rPr>
        <w:t xml:space="preserve"> קרן הפיצויים</w:t>
      </w:r>
      <w:r w:rsidRPr="00A81964">
        <w:rPr>
          <w:rtl/>
        </w:rPr>
        <w:t xml:space="preserve"> לא הודיע </w:t>
      </w:r>
      <w:r w:rsidRPr="00A81964">
        <w:rPr>
          <w:rFonts w:hint="cs"/>
          <w:rtl/>
        </w:rPr>
        <w:t xml:space="preserve">לעוסק </w:t>
      </w:r>
      <w:r w:rsidRPr="00A81964">
        <w:rPr>
          <w:rtl/>
        </w:rPr>
        <w:t>על החלטתו</w:t>
      </w:r>
      <w:r w:rsidRPr="00A81964">
        <w:rPr>
          <w:rFonts w:hint="cs"/>
          <w:rtl/>
        </w:rPr>
        <w:t xml:space="preserve"> </w:t>
      </w:r>
      <w:r w:rsidRPr="00A81964">
        <w:rPr>
          <w:rtl/>
        </w:rPr>
        <w:t>בתוך 21 ימים מיום הגשת תביע</w:t>
      </w:r>
      <w:r w:rsidRPr="00A81964">
        <w:rPr>
          <w:rFonts w:hint="cs"/>
          <w:rtl/>
        </w:rPr>
        <w:t>ה במסלול הכלל ארצי או באחד ממסלולי האזור המיוחד</w:t>
      </w:r>
      <w:r w:rsidRPr="00A81964">
        <w:rPr>
          <w:rtl/>
        </w:rPr>
        <w:t xml:space="preserve">, </w:t>
      </w:r>
      <w:r w:rsidRPr="00A81964">
        <w:rPr>
          <w:rFonts w:hint="cs"/>
          <w:rtl/>
        </w:rPr>
        <w:t>תשולם</w:t>
      </w:r>
      <w:r w:rsidRPr="00A81964">
        <w:rPr>
          <w:rtl/>
        </w:rPr>
        <w:t xml:space="preserve"> ל</w:t>
      </w:r>
      <w:r w:rsidRPr="00A81964">
        <w:rPr>
          <w:rFonts w:hint="cs"/>
          <w:rtl/>
        </w:rPr>
        <w:t>ו</w:t>
      </w:r>
      <w:r w:rsidRPr="00A81964">
        <w:rPr>
          <w:rtl/>
        </w:rPr>
        <w:t xml:space="preserve"> מקדמה בשיעור של 60% מסכום </w:t>
      </w:r>
      <w:r w:rsidRPr="00A81964">
        <w:rPr>
          <w:rFonts w:hint="eastAsia"/>
          <w:rtl/>
        </w:rPr>
        <w:t>הפיצוי</w:t>
      </w:r>
      <w:r w:rsidRPr="00A81964">
        <w:rPr>
          <w:rtl/>
        </w:rPr>
        <w:t xml:space="preserve"> </w:t>
      </w:r>
      <w:r w:rsidRPr="00A81964">
        <w:rPr>
          <w:rFonts w:hint="cs"/>
          <w:rtl/>
        </w:rPr>
        <w:t>המגיע לעוסק</w:t>
      </w:r>
      <w:r w:rsidRPr="00A81964">
        <w:rPr>
          <w:rtl/>
        </w:rPr>
        <w:t xml:space="preserve"> </w:t>
      </w:r>
      <w:r w:rsidRPr="00A81964">
        <w:rPr>
          <w:rFonts w:hint="eastAsia"/>
          <w:rtl/>
        </w:rPr>
        <w:t>על</w:t>
      </w:r>
      <w:r w:rsidRPr="00A81964">
        <w:rPr>
          <w:rtl/>
        </w:rPr>
        <w:t xml:space="preserve"> </w:t>
      </w:r>
      <w:r w:rsidRPr="00A81964">
        <w:rPr>
          <w:rFonts w:hint="eastAsia"/>
          <w:rtl/>
        </w:rPr>
        <w:t>פי</w:t>
      </w:r>
      <w:r w:rsidRPr="00A81964">
        <w:rPr>
          <w:rtl/>
        </w:rPr>
        <w:t xml:space="preserve"> </w:t>
      </w:r>
      <w:r w:rsidRPr="00A81964">
        <w:rPr>
          <w:rFonts w:hint="eastAsia"/>
          <w:rtl/>
        </w:rPr>
        <w:t>הצהרת</w:t>
      </w:r>
      <w:r w:rsidRPr="00A81964">
        <w:rPr>
          <w:rFonts w:hint="cs"/>
          <w:rtl/>
        </w:rPr>
        <w:t>ו</w:t>
      </w:r>
      <w:r w:rsidRPr="00A81964">
        <w:rPr>
          <w:rtl/>
        </w:rPr>
        <w:t xml:space="preserve"> </w:t>
      </w:r>
      <w:r w:rsidRPr="00A81964">
        <w:rPr>
          <w:rFonts w:hint="cs"/>
          <w:rtl/>
        </w:rPr>
        <w:t>במסגרת התביעה</w:t>
      </w:r>
      <w:r w:rsidRPr="00A81964">
        <w:rPr>
          <w:rStyle w:val="af2"/>
          <w:rtl/>
        </w:rPr>
        <w:footnoteReference w:id="82"/>
      </w:r>
      <w:r w:rsidRPr="00A81964">
        <w:rPr>
          <w:rFonts w:hint="cs"/>
          <w:rtl/>
        </w:rPr>
        <w:t xml:space="preserve"> (להלן - הפיצוי הנדרש)</w:t>
      </w:r>
      <w:r w:rsidRPr="00A81964">
        <w:rPr>
          <w:rtl/>
        </w:rPr>
        <w:t>.</w:t>
      </w:r>
      <w:r w:rsidRPr="00A81964">
        <w:rPr>
          <w:rFonts w:hint="cs"/>
          <w:rtl/>
        </w:rPr>
        <w:t xml:space="preserve"> כמו כן, אם </w:t>
      </w:r>
      <w:r w:rsidRPr="00A81964">
        <w:rPr>
          <w:rtl/>
        </w:rPr>
        <w:t xml:space="preserve">לא הודיע מנהל </w:t>
      </w:r>
      <w:r w:rsidRPr="00A81964">
        <w:rPr>
          <w:rFonts w:hint="cs"/>
          <w:rtl/>
        </w:rPr>
        <w:t xml:space="preserve">קרן הפיצויים </w:t>
      </w:r>
      <w:r w:rsidRPr="00A81964">
        <w:rPr>
          <w:rtl/>
        </w:rPr>
        <w:t>ל</w:t>
      </w:r>
      <w:r w:rsidRPr="00A81964">
        <w:rPr>
          <w:rFonts w:hint="cs"/>
          <w:rtl/>
        </w:rPr>
        <w:t xml:space="preserve">מגיש התביעה </w:t>
      </w:r>
      <w:r w:rsidRPr="00A81964">
        <w:rPr>
          <w:rtl/>
        </w:rPr>
        <w:t>על החלטתו בתוך 150 ימים מיום הגשת</w:t>
      </w:r>
      <w:r w:rsidRPr="00A81964">
        <w:rPr>
          <w:rFonts w:hint="cs"/>
          <w:rtl/>
        </w:rPr>
        <w:t>ה</w:t>
      </w:r>
      <w:r w:rsidRPr="00A81964">
        <w:rPr>
          <w:rtl/>
        </w:rPr>
        <w:t xml:space="preserve">, </w:t>
      </w:r>
      <w:r w:rsidRPr="00A81964">
        <w:rPr>
          <w:rFonts w:hint="cs"/>
          <w:rtl/>
        </w:rPr>
        <w:t>תשולם</w:t>
      </w:r>
      <w:r w:rsidRPr="00A81964">
        <w:rPr>
          <w:rtl/>
        </w:rPr>
        <w:t xml:space="preserve"> ל</w:t>
      </w:r>
      <w:r w:rsidRPr="00A81964">
        <w:rPr>
          <w:rFonts w:hint="cs"/>
          <w:rtl/>
        </w:rPr>
        <w:t>ו</w:t>
      </w:r>
      <w:r w:rsidRPr="00A81964">
        <w:rPr>
          <w:rtl/>
        </w:rPr>
        <w:t xml:space="preserve"> מקדמה</w:t>
      </w:r>
      <w:r w:rsidRPr="00A81964">
        <w:rPr>
          <w:rFonts w:hint="cs"/>
          <w:rtl/>
        </w:rPr>
        <w:t xml:space="preserve"> </w:t>
      </w:r>
      <w:r w:rsidRPr="00A81964">
        <w:rPr>
          <w:rtl/>
        </w:rPr>
        <w:t xml:space="preserve">נוספת בשיעור של 10% מסכום </w:t>
      </w:r>
      <w:r w:rsidRPr="00A81964">
        <w:rPr>
          <w:rFonts w:hint="eastAsia"/>
          <w:rtl/>
        </w:rPr>
        <w:t>הפיצוי</w:t>
      </w:r>
      <w:r w:rsidRPr="00A81964">
        <w:rPr>
          <w:rtl/>
        </w:rPr>
        <w:t xml:space="preserve"> </w:t>
      </w:r>
      <w:r w:rsidRPr="00A81964">
        <w:rPr>
          <w:rFonts w:hint="eastAsia"/>
          <w:rtl/>
        </w:rPr>
        <w:t>הנדרש</w:t>
      </w:r>
      <w:r w:rsidRPr="00A81964">
        <w:rPr>
          <w:rFonts w:hint="cs"/>
          <w:rtl/>
        </w:rPr>
        <w:t>, כאשר למנהל קרן הפיצויים הסמכות לקבוע שלא ישולמו מקדמות במקרים מסוימים בהתאם להנחת דעתו</w:t>
      </w:r>
      <w:r w:rsidRPr="00A81964">
        <w:rPr>
          <w:rStyle w:val="af2"/>
          <w:rtl/>
        </w:rPr>
        <w:footnoteReference w:id="83"/>
      </w:r>
      <w:r w:rsidRPr="00A81964">
        <w:rPr>
          <w:rFonts w:hint="cs"/>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lastRenderedPageBreak/>
        <w:t>בתביעה לפיצוי לפי המסלול האדום שטרם התקבלה בה החלטה סופית, מנהל קרן הפיצויים רשאי לשלם מקדמה של עד 50% מהסכום שלדעתו יהיה זכאי לו מגיש התביעה</w:t>
      </w:r>
      <w:r w:rsidRPr="00A81964">
        <w:rPr>
          <w:rStyle w:val="af2"/>
          <w:rtl/>
        </w:rPr>
        <w:footnoteReference w:id="84"/>
      </w:r>
      <w:r w:rsidRPr="00A81964">
        <w:rPr>
          <w:rFonts w:hint="cs"/>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תשלומי המקדמות ששולמו, כמפורט לעיל, לפני ההחלטה על זכאותם הסופית של מגישי התביעה לפיצויים, מסווגים במערכת התביעות כתשלומי מקדמה.</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עסקים ב</w:t>
      </w:r>
      <w:r w:rsidRPr="00A81964">
        <w:rPr>
          <w:rtl/>
        </w:rPr>
        <w:t>י</w:t>
      </w:r>
      <w:r w:rsidRPr="00A81964">
        <w:rPr>
          <w:rFonts w:hint="cs"/>
          <w:rtl/>
        </w:rPr>
        <w:t>י</w:t>
      </w:r>
      <w:r w:rsidRPr="00A81964">
        <w:rPr>
          <w:rtl/>
        </w:rPr>
        <w:t xml:space="preserve">שובי ספר </w:t>
      </w:r>
      <w:r w:rsidRPr="00A81964">
        <w:rPr>
          <w:rFonts w:hint="cs"/>
          <w:rtl/>
        </w:rPr>
        <w:t>ש</w:t>
      </w:r>
      <w:r w:rsidRPr="00A81964">
        <w:rPr>
          <w:rtl/>
        </w:rPr>
        <w:t xml:space="preserve">פונו </w:t>
      </w:r>
      <w:r w:rsidRPr="00A81964">
        <w:rPr>
          <w:rFonts w:hint="cs"/>
          <w:rtl/>
        </w:rPr>
        <w:t xml:space="preserve">במהלך המלחמה </w:t>
      </w:r>
      <w:r w:rsidRPr="00A81964">
        <w:rPr>
          <w:rtl/>
        </w:rPr>
        <w:t xml:space="preserve">לפי החלטות הממשלה </w:t>
      </w:r>
      <w:r w:rsidRPr="00A81964">
        <w:rPr>
          <w:rFonts w:hint="cs"/>
          <w:rtl/>
        </w:rPr>
        <w:t>או</w:t>
      </w:r>
      <w:r w:rsidRPr="00A81964">
        <w:rPr>
          <w:rtl/>
        </w:rPr>
        <w:t xml:space="preserve"> </w:t>
      </w:r>
      <w:r w:rsidRPr="00A81964">
        <w:rPr>
          <w:rFonts w:hint="cs"/>
          <w:rtl/>
        </w:rPr>
        <w:t>ש</w:t>
      </w:r>
      <w:r w:rsidRPr="00A81964">
        <w:rPr>
          <w:rtl/>
        </w:rPr>
        <w:t>הוטלו עליהם מגבלות מחמירות של פיקוד העורף ופיקוד צפון</w:t>
      </w:r>
      <w:r w:rsidRPr="00A81964">
        <w:rPr>
          <w:rFonts w:hint="cs"/>
          <w:rtl/>
        </w:rPr>
        <w:t>,</w:t>
      </w:r>
      <w:r w:rsidRPr="00A81964">
        <w:rPr>
          <w:rtl/>
        </w:rPr>
        <w:t xml:space="preserve"> </w:t>
      </w:r>
      <w:r w:rsidRPr="00A81964">
        <w:rPr>
          <w:rFonts w:hint="cs"/>
          <w:rtl/>
        </w:rPr>
        <w:t>כך</w:t>
      </w:r>
      <w:r w:rsidRPr="00A81964">
        <w:rPr>
          <w:rtl/>
        </w:rPr>
        <w:t xml:space="preserve"> </w:t>
      </w:r>
      <w:r w:rsidRPr="00A81964">
        <w:rPr>
          <w:rFonts w:hint="cs"/>
          <w:rtl/>
        </w:rPr>
        <w:t>שהופסקה</w:t>
      </w:r>
      <w:r w:rsidRPr="00A81964">
        <w:rPr>
          <w:rtl/>
        </w:rPr>
        <w:t xml:space="preserve"> </w:t>
      </w:r>
      <w:r w:rsidRPr="00A81964">
        <w:rPr>
          <w:rFonts w:hint="cs"/>
          <w:rtl/>
        </w:rPr>
        <w:t>בהם ה</w:t>
      </w:r>
      <w:r w:rsidRPr="00A81964">
        <w:rPr>
          <w:rtl/>
        </w:rPr>
        <w:t>פעילות</w:t>
      </w:r>
      <w:r w:rsidRPr="00A81964">
        <w:rPr>
          <w:rFonts w:hint="cs"/>
          <w:rtl/>
        </w:rPr>
        <w:t xml:space="preserve"> העסקית</w:t>
      </w:r>
      <w:r w:rsidRPr="00A81964">
        <w:rPr>
          <w:rtl/>
        </w:rPr>
        <w:t>,</w:t>
      </w:r>
      <w:r w:rsidRPr="00A81964">
        <w:rPr>
          <w:rFonts w:hint="cs"/>
          <w:rtl/>
        </w:rPr>
        <w:t xml:space="preserve"> היו </w:t>
      </w:r>
      <w:r w:rsidRPr="00A81964">
        <w:rPr>
          <w:rtl/>
        </w:rPr>
        <w:t>זכאים</w:t>
      </w:r>
      <w:r w:rsidRPr="00A81964">
        <w:rPr>
          <w:rFonts w:hint="cs"/>
          <w:rtl/>
        </w:rPr>
        <w:t xml:space="preserve"> להגיש</w:t>
      </w:r>
      <w:r w:rsidRPr="00A81964">
        <w:rPr>
          <w:rtl/>
        </w:rPr>
        <w:t xml:space="preserve"> הודעה</w:t>
      </w:r>
      <w:r w:rsidRPr="00A81964">
        <w:rPr>
          <w:rFonts w:hint="cs"/>
          <w:rtl/>
        </w:rPr>
        <w:t xml:space="preserve"> </w:t>
      </w:r>
      <w:r w:rsidRPr="00A81964">
        <w:rPr>
          <w:rtl/>
        </w:rPr>
        <w:t>על נזק</w:t>
      </w:r>
      <w:r w:rsidRPr="00A81964">
        <w:rPr>
          <w:rFonts w:hint="cs"/>
          <w:rtl/>
        </w:rPr>
        <w:t xml:space="preserve"> עקיף</w:t>
      </w:r>
      <w:r w:rsidRPr="00A81964">
        <w:rPr>
          <w:rtl/>
        </w:rPr>
        <w:t xml:space="preserve"> ובקשה לקבלת מקדמה</w:t>
      </w:r>
      <w:r w:rsidRPr="00A81964">
        <w:rPr>
          <w:rStyle w:val="af2"/>
          <w:rtl/>
        </w:rPr>
        <w:footnoteReference w:id="85"/>
      </w:r>
      <w:r w:rsidRPr="00A81964">
        <w:rPr>
          <w:rFonts w:hint="cs"/>
          <w:rtl/>
        </w:rPr>
        <w:t xml:space="preserve"> בגינו </w:t>
      </w:r>
      <w:r w:rsidRPr="00A81964">
        <w:rPr>
          <w:rtl/>
        </w:rPr>
        <w:t>עוד טרם הגשת התביעה</w:t>
      </w:r>
      <w:r w:rsidRPr="00A81964">
        <w:rPr>
          <w:rFonts w:hint="cs"/>
          <w:rtl/>
        </w:rPr>
        <w:t xml:space="preserve"> לפיצוי במסלול האדום</w:t>
      </w:r>
      <w:r w:rsidRPr="00A81964">
        <w:rPr>
          <w:rStyle w:val="af2"/>
          <w:rtl/>
        </w:rPr>
        <w:footnoteReference w:id="86"/>
      </w:r>
      <w:r w:rsidRPr="00A81964">
        <w:rPr>
          <w:rFonts w:hint="cs"/>
          <w:rtl/>
        </w:rPr>
        <w:t>. תשלום כאמור מסווג במערכת התביעות כתשלום מקדמה מיוחדת (להלן - מקדמה מיוחדת).</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כאמור, מפרוץ מלחמת חרבות ברזל ועד אוקטובר 2024 שולמו פיצויים בגין נזקים עקיפים, בכל המסלולים, </w:t>
      </w:r>
      <w:r w:rsidRPr="00EF478A">
        <w:rPr>
          <w:rFonts w:hint="cs"/>
          <w:rtl/>
        </w:rPr>
        <w:t>בהיקף של כ-15.1 מיליארד ש"ח</w:t>
      </w:r>
      <w:r w:rsidRPr="00A81964">
        <w:rPr>
          <w:rFonts w:hint="cs"/>
          <w:rtl/>
        </w:rPr>
        <w:t>. להלן בתרשים 14 מוצגת התפלגות סך תשלומי הפיצויים ששולמו מאז פרוץ מלחמת חרבות ברזל ועד אוקטובר 2024 לפי סוגי התשלומים השונים (מקדמה, מקדמה מיוחדת ותשלום סופ</w:t>
      </w:r>
      <w:r w:rsidRPr="00F35441">
        <w:rPr>
          <w:rFonts w:hint="cs"/>
          <w:rtl/>
        </w:rPr>
        <w:t>י).</w:t>
      </w:r>
    </w:p>
    <w:p w:rsidR="006252C4" w:rsidRPr="00A81964" w:rsidRDefault="006252C4" w:rsidP="006252C4">
      <w:pPr>
        <w:spacing w:line="269" w:lineRule="auto"/>
      </w:pPr>
    </w:p>
    <w:p w:rsidR="006252C4" w:rsidRPr="00A81964" w:rsidRDefault="006252C4" w:rsidP="006252C4">
      <w:pPr>
        <w:keepNext/>
        <w:keepLines/>
        <w:spacing w:line="269" w:lineRule="auto"/>
        <w:jc w:val="center"/>
        <w:rPr>
          <w:rtl/>
        </w:rPr>
      </w:pPr>
      <w:r w:rsidRPr="00A81964">
        <w:rPr>
          <w:rFonts w:hint="cs"/>
          <w:rtl/>
        </w:rPr>
        <w:lastRenderedPageBreak/>
        <w:t xml:space="preserve">תרשים 14: </w:t>
      </w:r>
      <w:r w:rsidRPr="00A81964">
        <w:rPr>
          <w:rFonts w:hint="eastAsia"/>
          <w:b/>
          <w:bCs/>
          <w:rtl/>
        </w:rPr>
        <w:t>התפלגות</w:t>
      </w:r>
      <w:r>
        <w:rPr>
          <w:rFonts w:hint="cs"/>
          <w:b/>
          <w:bCs/>
          <w:rtl/>
        </w:rPr>
        <w:t xml:space="preserve"> סך</w:t>
      </w:r>
      <w:r w:rsidRPr="00A81964">
        <w:rPr>
          <w:b/>
          <w:bCs/>
          <w:rtl/>
        </w:rPr>
        <w:t xml:space="preserve"> </w:t>
      </w:r>
      <w:r w:rsidRPr="00A81964">
        <w:rPr>
          <w:rFonts w:hint="eastAsia"/>
          <w:b/>
          <w:bCs/>
          <w:rtl/>
        </w:rPr>
        <w:t>תשלומי</w:t>
      </w:r>
      <w:r w:rsidRPr="00A81964">
        <w:rPr>
          <w:b/>
          <w:bCs/>
          <w:rtl/>
        </w:rPr>
        <w:t xml:space="preserve"> </w:t>
      </w:r>
      <w:r w:rsidRPr="00A81964">
        <w:rPr>
          <w:rFonts w:hint="eastAsia"/>
          <w:b/>
          <w:bCs/>
          <w:rtl/>
        </w:rPr>
        <w:t>הפיצויים</w:t>
      </w:r>
      <w:r w:rsidRPr="00A81964">
        <w:rPr>
          <w:b/>
          <w:bCs/>
          <w:rtl/>
        </w:rPr>
        <w:t xml:space="preserve"> </w:t>
      </w:r>
      <w:r w:rsidRPr="00A81964">
        <w:rPr>
          <w:rFonts w:hint="eastAsia"/>
          <w:b/>
          <w:bCs/>
          <w:rtl/>
        </w:rPr>
        <w:t>ששולמו</w:t>
      </w:r>
      <w:r w:rsidRPr="00A81964">
        <w:rPr>
          <w:b/>
          <w:bCs/>
          <w:rtl/>
        </w:rPr>
        <w:t xml:space="preserve"> </w:t>
      </w:r>
      <w:r w:rsidRPr="00A81964">
        <w:rPr>
          <w:rFonts w:hint="eastAsia"/>
          <w:b/>
          <w:bCs/>
          <w:rtl/>
        </w:rPr>
        <w:t>בגין</w:t>
      </w:r>
      <w:r w:rsidRPr="00A81964">
        <w:rPr>
          <w:b/>
          <w:bCs/>
          <w:rtl/>
        </w:rPr>
        <w:t xml:space="preserve"> </w:t>
      </w:r>
      <w:r w:rsidRPr="00A81964">
        <w:rPr>
          <w:rFonts w:hint="eastAsia"/>
          <w:b/>
          <w:bCs/>
          <w:rtl/>
        </w:rPr>
        <w:t>נזקים</w:t>
      </w:r>
      <w:r w:rsidRPr="00A81964">
        <w:rPr>
          <w:b/>
          <w:bCs/>
          <w:rtl/>
        </w:rPr>
        <w:t xml:space="preserve"> </w:t>
      </w:r>
      <w:r w:rsidRPr="00A81964">
        <w:rPr>
          <w:rFonts w:hint="eastAsia"/>
          <w:b/>
          <w:bCs/>
          <w:rtl/>
        </w:rPr>
        <w:t>עקיפים</w:t>
      </w:r>
      <w:r w:rsidRPr="00A81964">
        <w:rPr>
          <w:b/>
          <w:bCs/>
          <w:rtl/>
        </w:rPr>
        <w:t xml:space="preserve"> </w:t>
      </w:r>
      <w:r w:rsidRPr="00A81964">
        <w:rPr>
          <w:rFonts w:hint="eastAsia"/>
          <w:b/>
          <w:bCs/>
          <w:rtl/>
        </w:rPr>
        <w:t>במלחמת</w:t>
      </w:r>
      <w:r w:rsidRPr="00A81964">
        <w:rPr>
          <w:b/>
          <w:bCs/>
          <w:rtl/>
        </w:rPr>
        <w:t xml:space="preserve"> </w:t>
      </w:r>
      <w:r w:rsidRPr="00A81964">
        <w:rPr>
          <w:rFonts w:hint="eastAsia"/>
          <w:b/>
          <w:bCs/>
          <w:rtl/>
        </w:rPr>
        <w:t>חרבות</w:t>
      </w:r>
      <w:r w:rsidRPr="00A81964">
        <w:rPr>
          <w:b/>
          <w:bCs/>
          <w:rtl/>
        </w:rPr>
        <w:t xml:space="preserve"> </w:t>
      </w:r>
      <w:r w:rsidRPr="00A81964">
        <w:rPr>
          <w:rFonts w:hint="eastAsia"/>
          <w:b/>
          <w:bCs/>
          <w:rtl/>
        </w:rPr>
        <w:t>ברזל</w:t>
      </w:r>
      <w:r w:rsidRPr="00A81964">
        <w:rPr>
          <w:b/>
          <w:bCs/>
          <w:rtl/>
        </w:rPr>
        <w:t xml:space="preserve"> </w:t>
      </w:r>
      <w:r w:rsidRPr="00A81964">
        <w:rPr>
          <w:rFonts w:hint="eastAsia"/>
          <w:b/>
          <w:bCs/>
          <w:rtl/>
        </w:rPr>
        <w:t>ושיעורם</w:t>
      </w:r>
      <w:r w:rsidRPr="00A81964">
        <w:rPr>
          <w:b/>
          <w:bCs/>
          <w:rtl/>
        </w:rPr>
        <w:t xml:space="preserve">, </w:t>
      </w:r>
      <w:r w:rsidRPr="00A81964">
        <w:rPr>
          <w:rFonts w:hint="eastAsia"/>
          <w:b/>
          <w:bCs/>
          <w:rtl/>
        </w:rPr>
        <w:t>לפי</w:t>
      </w:r>
      <w:r w:rsidRPr="00A81964">
        <w:rPr>
          <w:b/>
          <w:bCs/>
          <w:rtl/>
        </w:rPr>
        <w:t xml:space="preserve"> </w:t>
      </w:r>
      <w:r w:rsidRPr="00A81964">
        <w:rPr>
          <w:rFonts w:hint="eastAsia"/>
          <w:b/>
          <w:bCs/>
          <w:rtl/>
        </w:rPr>
        <w:t>סוג</w:t>
      </w:r>
      <w:r w:rsidRPr="00A81964">
        <w:rPr>
          <w:b/>
          <w:bCs/>
          <w:rtl/>
        </w:rPr>
        <w:t xml:space="preserve"> </w:t>
      </w:r>
      <w:r w:rsidRPr="00A81964">
        <w:rPr>
          <w:rFonts w:hint="eastAsia"/>
          <w:b/>
          <w:bCs/>
          <w:rtl/>
        </w:rPr>
        <w:t>התשלום</w:t>
      </w:r>
      <w:r w:rsidRPr="00A81964">
        <w:rPr>
          <w:b/>
          <w:bCs/>
          <w:rtl/>
        </w:rPr>
        <w:t xml:space="preserve">, </w:t>
      </w:r>
      <w:r w:rsidRPr="00A81964">
        <w:rPr>
          <w:rFonts w:hint="eastAsia"/>
          <w:b/>
          <w:bCs/>
          <w:rtl/>
        </w:rPr>
        <w:t>מתחילת</w:t>
      </w:r>
      <w:r w:rsidRPr="00A81964">
        <w:rPr>
          <w:b/>
          <w:bCs/>
          <w:rtl/>
        </w:rPr>
        <w:t xml:space="preserve"> </w:t>
      </w:r>
      <w:r w:rsidRPr="00A81964">
        <w:rPr>
          <w:rFonts w:hint="eastAsia"/>
          <w:b/>
          <w:bCs/>
          <w:rtl/>
        </w:rPr>
        <w:t>המלחמה</w:t>
      </w:r>
      <w:r w:rsidRPr="00A81964">
        <w:rPr>
          <w:b/>
          <w:bCs/>
          <w:rtl/>
        </w:rPr>
        <w:t xml:space="preserve"> </w:t>
      </w:r>
      <w:r w:rsidRPr="00A81964">
        <w:rPr>
          <w:rFonts w:hint="eastAsia"/>
          <w:b/>
          <w:bCs/>
          <w:rtl/>
        </w:rPr>
        <w:t>עד</w:t>
      </w:r>
      <w:r w:rsidRPr="00A81964">
        <w:rPr>
          <w:b/>
          <w:bCs/>
          <w:rtl/>
        </w:rPr>
        <w:t xml:space="preserve"> </w:t>
      </w:r>
      <w:r w:rsidRPr="00A81964">
        <w:rPr>
          <w:rFonts w:hint="eastAsia"/>
          <w:b/>
          <w:bCs/>
          <w:rtl/>
        </w:rPr>
        <w:t>אוקטובר</w:t>
      </w:r>
      <w:r w:rsidRPr="00A81964">
        <w:rPr>
          <w:b/>
          <w:bCs/>
          <w:rtl/>
        </w:rPr>
        <w:t xml:space="preserve"> 2024 </w:t>
      </w:r>
      <w:r w:rsidRPr="00A81964">
        <w:rPr>
          <w:rFonts w:hint="cs"/>
          <w:b/>
          <w:bCs/>
          <w:rtl/>
        </w:rPr>
        <w:t>(</w:t>
      </w:r>
      <w:r w:rsidRPr="00A81964">
        <w:rPr>
          <w:rFonts w:hint="eastAsia"/>
          <w:b/>
          <w:bCs/>
          <w:rtl/>
        </w:rPr>
        <w:t>במיליוני</w:t>
      </w:r>
      <w:r w:rsidRPr="00A81964">
        <w:rPr>
          <w:b/>
          <w:bCs/>
          <w:rtl/>
        </w:rPr>
        <w:t xml:space="preserve"> </w:t>
      </w:r>
      <w:r w:rsidRPr="00A81964">
        <w:rPr>
          <w:rFonts w:hint="eastAsia"/>
          <w:b/>
          <w:bCs/>
          <w:rtl/>
        </w:rPr>
        <w:t>ש</w:t>
      </w:r>
      <w:r w:rsidRPr="00A81964">
        <w:rPr>
          <w:b/>
          <w:bCs/>
          <w:rtl/>
        </w:rPr>
        <w:t>"ח</w:t>
      </w:r>
      <w:r w:rsidRPr="00A81964">
        <w:rPr>
          <w:rFonts w:hint="cs"/>
          <w:b/>
          <w:bCs/>
          <w:rtl/>
        </w:rPr>
        <w:t xml:space="preserve"> ובאחוזים</w:t>
      </w:r>
      <w:r w:rsidRPr="00A81964">
        <w:rPr>
          <w:rtl/>
        </w:rPr>
        <w:t>)</w:t>
      </w:r>
      <w:r w:rsidRPr="00A81964">
        <w:rPr>
          <w:rFonts w:hint="cs"/>
          <w:u w:val="single"/>
          <w:rtl/>
        </w:rPr>
        <w:t xml:space="preserve"> </w:t>
      </w:r>
    </w:p>
    <w:p w:rsidR="006252C4" w:rsidRDefault="006252C4" w:rsidP="006252C4">
      <w:pPr>
        <w:spacing w:line="269" w:lineRule="auto"/>
        <w:jc w:val="center"/>
        <w:rPr>
          <w:sz w:val="16"/>
          <w:szCs w:val="20"/>
          <w:rtl/>
        </w:rPr>
      </w:pPr>
      <w:r>
        <w:rPr>
          <w:noProof/>
        </w:rPr>
        <w:drawing>
          <wp:inline distT="0" distB="0" distL="0" distR="0" wp14:anchorId="58AA5CDF" wp14:editId="1AB9BCEB">
            <wp:extent cx="4912360" cy="2728427"/>
            <wp:effectExtent l="0" t="0" r="2540" b="0"/>
            <wp:docPr id="33" name="תמונה 3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932"/>
                    <a:stretch/>
                  </pic:blipFill>
                  <pic:spPr bwMode="auto">
                    <a:xfrm>
                      <a:off x="0" y="0"/>
                      <a:ext cx="4920038" cy="2732692"/>
                    </a:xfrm>
                    <a:prstGeom prst="rect">
                      <a:avLst/>
                    </a:prstGeom>
                    <a:noFill/>
                    <a:ln>
                      <a:noFill/>
                    </a:ln>
                    <a:extLst>
                      <a:ext uri="{53640926-AAD7-44D8-BBD7-CCE9431645EC}">
                        <a14:shadowObscured xmlns:a14="http://schemas.microsoft.com/office/drawing/2010/main"/>
                      </a:ext>
                    </a:extLst>
                  </pic:spPr>
                </pic:pic>
              </a:graphicData>
            </a:graphic>
          </wp:inline>
        </w:drawing>
      </w:r>
    </w:p>
    <w:p w:rsidR="006252C4" w:rsidRPr="0037150A" w:rsidRDefault="006252C4" w:rsidP="00F316D6">
      <w:pPr>
        <w:spacing w:before="60" w:line="269" w:lineRule="auto"/>
        <w:rPr>
          <w:sz w:val="16"/>
          <w:szCs w:val="20"/>
          <w:rtl/>
        </w:rPr>
      </w:pPr>
      <w:r w:rsidRPr="00A81964">
        <w:rPr>
          <w:rFonts w:hint="cs"/>
          <w:sz w:val="16"/>
          <w:szCs w:val="20"/>
          <w:rtl/>
        </w:rPr>
        <w:t xml:space="preserve">על פי נתוני </w:t>
      </w:r>
      <w:r w:rsidRPr="0037150A">
        <w:rPr>
          <w:rFonts w:hint="cs"/>
          <w:sz w:val="16"/>
          <w:szCs w:val="20"/>
          <w:rtl/>
        </w:rPr>
        <w:t>רשות המיסים, בעיבוד משרד מבקר המדינה.</w:t>
      </w:r>
    </w:p>
    <w:p w:rsidR="006252C4" w:rsidRDefault="006252C4" w:rsidP="006252C4">
      <w:pPr>
        <w:pStyle w:val="a8"/>
        <w:spacing w:line="269" w:lineRule="auto"/>
        <w:rPr>
          <w:rtl/>
        </w:rPr>
      </w:pPr>
    </w:p>
    <w:p w:rsidR="006252C4" w:rsidRDefault="006252C4" w:rsidP="006252C4">
      <w:pPr>
        <w:spacing w:line="269" w:lineRule="auto"/>
        <w:rPr>
          <w:b/>
          <w:bCs/>
          <w:rtl/>
        </w:rPr>
      </w:pPr>
      <w:r w:rsidRPr="00A81964">
        <w:rPr>
          <w:rFonts w:hint="cs"/>
          <w:b/>
          <w:bCs/>
          <w:rtl/>
        </w:rPr>
        <w:t>מתרשים 14 עולה כי 48% מסך הפיצויים בגין נזקים עקיפים, כ-7.2 מיליארד ש"ח, שולמו כמקדמות ומקדמות מיוחדות, לפני החלטת מנהל קרן הפיצויים באשר לזכאותם של מגישי התביעות ולסכום הפיצוי.</w:t>
      </w:r>
    </w:p>
    <w:p w:rsidR="006252C4" w:rsidRPr="00A81964" w:rsidRDefault="006252C4" w:rsidP="006252C4">
      <w:pPr>
        <w:spacing w:line="269" w:lineRule="auto"/>
        <w:rPr>
          <w:b/>
          <w:bCs/>
          <w:rtl/>
        </w:rPr>
      </w:pPr>
    </w:p>
    <w:p w:rsidR="006252C4" w:rsidRPr="00A81964" w:rsidRDefault="006252C4" w:rsidP="006252C4">
      <w:pPr>
        <w:pStyle w:val="50"/>
        <w:spacing w:line="269" w:lineRule="auto"/>
        <w:rPr>
          <w:rtl/>
        </w:rPr>
      </w:pPr>
      <w:r w:rsidRPr="00A81964">
        <w:rPr>
          <w:rFonts w:hint="cs"/>
          <w:rtl/>
        </w:rPr>
        <w:t>תשלומים עודפים</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טיפול מהיר ויעיל בתביעות לפיצויים בגין נזקים עקיפים, נדרש על מנת לאפשר לעוסקים הזכאים לכך לקבל פיצויים בתוך פרק זמן קצר ככל האפשר ממועד הפגיעה בפעילותם העסקית, וזאת כדי שיוכלו לעמוד בהתחייבויותיהם לספקים ולעובדים ולשמר את המנגנון העסקי הקיים.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עם זאת, תשלומי מקדמות המחושבות במערכת התביעות, בין היתר, על בסיס הצהרות ודיווחים של מגישי התביעות, בלי שגורם אנושי יערוך בחינה מהותית של הזכאות למקדמות</w:t>
      </w:r>
      <w:r w:rsidRPr="00D70C36">
        <w:rPr>
          <w:rStyle w:val="af2"/>
          <w:rtl/>
        </w:rPr>
        <w:footnoteReference w:id="87"/>
      </w:r>
      <w:r w:rsidRPr="00D70C36">
        <w:rPr>
          <w:rFonts w:hint="cs"/>
          <w:rtl/>
        </w:rPr>
        <w:t>,</w:t>
      </w:r>
      <w:r w:rsidRPr="00A81964">
        <w:rPr>
          <w:rFonts w:hint="cs"/>
          <w:rtl/>
        </w:rPr>
        <w:t xml:space="preserve"> או תשלומים סופיים המשולמים בגין תביעות שלא נערכה לגביהן ביקורת, עלולים להוביל לתשלומים למגישי תביעה שאינם זכאים או לתשלומים העולים על סכום הפיצוי שלו זכאי מגיש התביעה על פי החוק והתקנות (להלן - תשלומים עודפים)</w:t>
      </w:r>
      <w:r w:rsidRPr="00257691">
        <w:rPr>
          <w:rStyle w:val="af2"/>
          <w:rtl/>
        </w:rPr>
        <w:t xml:space="preserve"> </w:t>
      </w:r>
      <w:r w:rsidRPr="00A81964">
        <w:rPr>
          <w:rStyle w:val="af2"/>
          <w:rtl/>
        </w:rPr>
        <w:footnoteReference w:id="88"/>
      </w:r>
      <w:r w:rsidRPr="00A81964">
        <w:rPr>
          <w:rFonts w:hint="cs"/>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lastRenderedPageBreak/>
        <w:t xml:space="preserve">תשלומים עודפים יכולים להיווצר, בין היתר, כאשר מגיש התביעה מדווח על נתונים שגויים או מטעים או מתבסס על הנחות וחישובים שאינם על פי הדין. כך למשל, </w:t>
      </w:r>
      <w:r w:rsidRPr="0037150A">
        <w:rPr>
          <w:rFonts w:hint="cs"/>
          <w:rtl/>
        </w:rPr>
        <w:t>בבדיקה</w:t>
      </w:r>
      <w:r w:rsidRPr="009A79BA">
        <w:rPr>
          <w:rFonts w:hint="cs"/>
          <w:rtl/>
        </w:rPr>
        <w:t xml:space="preserve"> שערכה רשות המיסים</w:t>
      </w:r>
      <w:r w:rsidRPr="00A81964">
        <w:rPr>
          <w:rFonts w:hint="cs"/>
          <w:rtl/>
        </w:rPr>
        <w:t xml:space="preserve"> בתביעות לפיצויים בגין נזקים שנגרמו בתקופת מבצע "צוק איתן", עלה כי </w:t>
      </w:r>
      <w:r w:rsidRPr="00A81964">
        <w:rPr>
          <w:rtl/>
        </w:rPr>
        <w:t xml:space="preserve">תביעות במסלול </w:t>
      </w:r>
      <w:r w:rsidRPr="00A81964">
        <w:rPr>
          <w:rFonts w:hint="cs"/>
          <w:rtl/>
        </w:rPr>
        <w:t>ה</w:t>
      </w:r>
      <w:r w:rsidRPr="00A81964">
        <w:rPr>
          <w:rtl/>
        </w:rPr>
        <w:t>אדום התאפיינו ב</w:t>
      </w:r>
      <w:r w:rsidRPr="00A81964">
        <w:rPr>
          <w:rFonts w:hint="cs"/>
          <w:rtl/>
        </w:rPr>
        <w:t>"</w:t>
      </w:r>
      <w:r w:rsidRPr="00A81964">
        <w:rPr>
          <w:rtl/>
        </w:rPr>
        <w:t>הצגה מופרזת של נזקים</w:t>
      </w:r>
      <w:r w:rsidRPr="00A81964">
        <w:rPr>
          <w:rFonts w:hint="cs"/>
          <w:rtl/>
        </w:rPr>
        <w:t>",</w:t>
      </w:r>
      <w:r w:rsidRPr="00A81964">
        <w:rPr>
          <w:rtl/>
        </w:rPr>
        <w:t xml:space="preserve"> באופן בלתי מבוסס</w:t>
      </w:r>
      <w:r w:rsidRPr="00A81964">
        <w:rPr>
          <w:rFonts w:hint="cs"/>
          <w:rtl/>
        </w:rPr>
        <w:t>,</w:t>
      </w:r>
      <w:r w:rsidRPr="00A81964">
        <w:rPr>
          <w:rtl/>
        </w:rPr>
        <w:t xml:space="preserve"> כמו גם </w:t>
      </w:r>
      <w:r w:rsidRPr="00A81964">
        <w:rPr>
          <w:rFonts w:hint="cs"/>
          <w:rtl/>
        </w:rPr>
        <w:t>ב</w:t>
      </w:r>
      <w:r w:rsidRPr="00A81964">
        <w:rPr>
          <w:rtl/>
        </w:rPr>
        <w:t>דרישה</w:t>
      </w:r>
      <w:r w:rsidRPr="00A81964">
        <w:rPr>
          <w:rFonts w:hint="cs"/>
          <w:rtl/>
        </w:rPr>
        <w:t xml:space="preserve"> לפיצוי בגין נזקים</w:t>
      </w:r>
      <w:r w:rsidRPr="00A81964">
        <w:rPr>
          <w:rtl/>
        </w:rPr>
        <w:t xml:space="preserve"> שאינ</w:t>
      </w:r>
      <w:r w:rsidRPr="00A81964">
        <w:rPr>
          <w:rFonts w:hint="cs"/>
          <w:rtl/>
        </w:rPr>
        <w:t>ם</w:t>
      </w:r>
      <w:r w:rsidRPr="00A81964">
        <w:rPr>
          <w:rtl/>
        </w:rPr>
        <w:t xml:space="preserve"> מכוס</w:t>
      </w:r>
      <w:r w:rsidRPr="00A81964">
        <w:rPr>
          <w:rFonts w:hint="cs"/>
          <w:rtl/>
        </w:rPr>
        <w:t>ים</w:t>
      </w:r>
      <w:r w:rsidRPr="00A81964">
        <w:rPr>
          <w:rtl/>
        </w:rPr>
        <w:t xml:space="preserve"> </w:t>
      </w:r>
      <w:r w:rsidRPr="00A81964">
        <w:rPr>
          <w:rFonts w:hint="cs"/>
          <w:rtl/>
        </w:rPr>
        <w:t xml:space="preserve">בחוק. נוסף על כך, בתביעות שהוגשו ביתר המסלולים </w:t>
      </w:r>
      <w:r w:rsidRPr="00A81964">
        <w:rPr>
          <w:rtl/>
        </w:rPr>
        <w:t>היו מקרים שהתאפיינו</w:t>
      </w:r>
      <w:r w:rsidRPr="00A81964">
        <w:rPr>
          <w:rFonts w:hint="cs"/>
          <w:rtl/>
        </w:rPr>
        <w:t>, בין היתר,</w:t>
      </w:r>
      <w:r w:rsidRPr="00A81964">
        <w:rPr>
          <w:rtl/>
        </w:rPr>
        <w:t xml:space="preserve"> ב</w:t>
      </w:r>
      <w:r w:rsidRPr="00A81964">
        <w:rPr>
          <w:rFonts w:hint="cs"/>
          <w:rtl/>
        </w:rPr>
        <w:t>"</w:t>
      </w:r>
      <w:r w:rsidRPr="00A81964">
        <w:rPr>
          <w:rtl/>
        </w:rPr>
        <w:t>הסטת מחזורים</w:t>
      </w:r>
      <w:r w:rsidRPr="00A81964">
        <w:rPr>
          <w:rFonts w:hint="cs"/>
          <w:rtl/>
        </w:rPr>
        <w:t>"</w:t>
      </w:r>
      <w:r w:rsidRPr="00A81964">
        <w:rPr>
          <w:rtl/>
        </w:rPr>
        <w:t xml:space="preserve"> (</w:t>
      </w:r>
      <w:r w:rsidRPr="00A81964">
        <w:rPr>
          <w:rFonts w:hint="cs"/>
          <w:rtl/>
        </w:rPr>
        <w:t>"</w:t>
      </w:r>
      <w:proofErr w:type="spellStart"/>
      <w:r w:rsidRPr="00A81964">
        <w:rPr>
          <w:rtl/>
        </w:rPr>
        <w:t>שיפטינג</w:t>
      </w:r>
      <w:proofErr w:type="spellEnd"/>
      <w:r w:rsidRPr="00A81964">
        <w:rPr>
          <w:rFonts w:hint="cs"/>
          <w:rtl/>
        </w:rPr>
        <w:t>"</w:t>
      </w:r>
      <w:r w:rsidRPr="00A81964">
        <w:rPr>
          <w:rtl/>
        </w:rPr>
        <w:t>)</w:t>
      </w:r>
      <w:r w:rsidRPr="00A81964">
        <w:rPr>
          <w:rStyle w:val="af2"/>
          <w:rtl/>
        </w:rPr>
        <w:footnoteReference w:id="89"/>
      </w:r>
      <w:r w:rsidRPr="00A81964">
        <w:rPr>
          <w:rtl/>
        </w:rPr>
        <w:t xml:space="preserve">, חישוב פיצוי שלא לפי הדין הקיים, דיווחים שאינם תואמים את </w:t>
      </w:r>
      <w:r w:rsidRPr="00A81964">
        <w:rPr>
          <w:rFonts w:hint="cs"/>
          <w:rtl/>
        </w:rPr>
        <w:t>ה</w:t>
      </w:r>
      <w:r w:rsidRPr="00A81964">
        <w:rPr>
          <w:rtl/>
        </w:rPr>
        <w:t xml:space="preserve">דיווח </w:t>
      </w:r>
      <w:r w:rsidRPr="00A81964">
        <w:rPr>
          <w:rFonts w:hint="cs"/>
          <w:rtl/>
        </w:rPr>
        <w:t>ל</w:t>
      </w:r>
      <w:r w:rsidRPr="00A81964">
        <w:rPr>
          <w:rtl/>
        </w:rPr>
        <w:t>מע"</w:t>
      </w:r>
      <w:r w:rsidRPr="00A81964">
        <w:rPr>
          <w:rFonts w:hint="cs"/>
          <w:rtl/>
        </w:rPr>
        <w:t>ם ו</w:t>
      </w:r>
      <w:r w:rsidRPr="00A81964">
        <w:rPr>
          <w:rtl/>
        </w:rPr>
        <w:t xml:space="preserve">הגשת תביעה שלא לפי </w:t>
      </w:r>
      <w:r w:rsidRPr="00A81964">
        <w:rPr>
          <w:rFonts w:hint="cs"/>
          <w:rtl/>
        </w:rPr>
        <w:t>הכללים שפרסמה רשות המיסים.</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בתרשים 15 שלהלן מוצגים הסכומים אותם דרשו מגישי התביעות כפיצויים בגין נזקים עקיפים תוך הבחנה בין סכומי הפיצויים שקרן הפיצויים אישרה לשלמם לבין סכומי תביעות שלא אושרו לתשלום, בסבבי לחימה מרכזיים בעבר.</w:t>
      </w:r>
    </w:p>
    <w:p w:rsidR="006252C4" w:rsidRPr="00A81964" w:rsidRDefault="006252C4" w:rsidP="006252C4">
      <w:pPr>
        <w:spacing w:line="269" w:lineRule="auto"/>
        <w:rPr>
          <w:rtl/>
        </w:rPr>
      </w:pPr>
    </w:p>
    <w:p w:rsidR="006252C4" w:rsidRPr="00A81964" w:rsidRDefault="006252C4" w:rsidP="006252C4">
      <w:pPr>
        <w:spacing w:line="269" w:lineRule="auto"/>
        <w:jc w:val="center"/>
        <w:rPr>
          <w:rtl/>
        </w:rPr>
      </w:pPr>
      <w:r w:rsidRPr="00A81964">
        <w:rPr>
          <w:rFonts w:hint="cs"/>
          <w:rtl/>
        </w:rPr>
        <w:t xml:space="preserve">תרשים 15: </w:t>
      </w:r>
      <w:r w:rsidRPr="00A81964">
        <w:rPr>
          <w:rFonts w:hint="eastAsia"/>
          <w:b/>
          <w:bCs/>
          <w:rtl/>
        </w:rPr>
        <w:t>נתוני</w:t>
      </w:r>
      <w:r w:rsidRPr="00A81964">
        <w:rPr>
          <w:b/>
          <w:bCs/>
          <w:rtl/>
        </w:rPr>
        <w:t xml:space="preserve"> </w:t>
      </w:r>
      <w:r w:rsidRPr="00A81964">
        <w:rPr>
          <w:rFonts w:hint="eastAsia"/>
          <w:b/>
          <w:bCs/>
          <w:rtl/>
        </w:rPr>
        <w:t>תביעות</w:t>
      </w:r>
      <w:r w:rsidRPr="00A81964">
        <w:rPr>
          <w:b/>
          <w:bCs/>
          <w:rtl/>
        </w:rPr>
        <w:t xml:space="preserve"> </w:t>
      </w:r>
      <w:r w:rsidRPr="00A81964">
        <w:rPr>
          <w:rFonts w:hint="eastAsia"/>
          <w:b/>
          <w:bCs/>
          <w:rtl/>
        </w:rPr>
        <w:t>הפיצויים</w:t>
      </w:r>
      <w:r w:rsidRPr="00A81964">
        <w:rPr>
          <w:b/>
          <w:bCs/>
          <w:rtl/>
        </w:rPr>
        <w:t xml:space="preserve"> </w:t>
      </w:r>
      <w:r w:rsidRPr="00A81964">
        <w:rPr>
          <w:rFonts w:hint="eastAsia"/>
          <w:b/>
          <w:bCs/>
          <w:rtl/>
        </w:rPr>
        <w:t>בגין</w:t>
      </w:r>
      <w:r w:rsidRPr="00A81964">
        <w:rPr>
          <w:b/>
          <w:bCs/>
          <w:rtl/>
        </w:rPr>
        <w:t xml:space="preserve"> </w:t>
      </w:r>
      <w:r w:rsidRPr="00A81964">
        <w:rPr>
          <w:rFonts w:hint="eastAsia"/>
          <w:b/>
          <w:bCs/>
          <w:rtl/>
        </w:rPr>
        <w:t>נזקים</w:t>
      </w:r>
      <w:r w:rsidRPr="00A81964">
        <w:rPr>
          <w:b/>
          <w:bCs/>
          <w:rtl/>
        </w:rPr>
        <w:t xml:space="preserve"> </w:t>
      </w:r>
      <w:r w:rsidRPr="00A81964">
        <w:rPr>
          <w:rFonts w:hint="eastAsia"/>
          <w:b/>
          <w:bCs/>
          <w:rtl/>
        </w:rPr>
        <w:t>עקיפים</w:t>
      </w:r>
      <w:r w:rsidRPr="00A81964">
        <w:rPr>
          <w:b/>
          <w:bCs/>
          <w:rtl/>
        </w:rPr>
        <w:t xml:space="preserve"> </w:t>
      </w:r>
      <w:r w:rsidRPr="00A81964">
        <w:rPr>
          <w:rFonts w:hint="eastAsia"/>
          <w:b/>
          <w:bCs/>
          <w:rtl/>
        </w:rPr>
        <w:t>שהוגשו</w:t>
      </w:r>
      <w:r w:rsidRPr="00A81964">
        <w:rPr>
          <w:b/>
          <w:bCs/>
          <w:rtl/>
        </w:rPr>
        <w:t xml:space="preserve"> </w:t>
      </w:r>
      <w:r w:rsidRPr="00A81964">
        <w:rPr>
          <w:rFonts w:hint="eastAsia"/>
          <w:b/>
          <w:bCs/>
          <w:rtl/>
        </w:rPr>
        <w:t>בסבבי</w:t>
      </w:r>
      <w:r w:rsidRPr="00A81964">
        <w:rPr>
          <w:b/>
          <w:bCs/>
          <w:rtl/>
        </w:rPr>
        <w:t xml:space="preserve"> </w:t>
      </w:r>
      <w:r w:rsidRPr="00A81964">
        <w:rPr>
          <w:rFonts w:hint="eastAsia"/>
          <w:b/>
          <w:bCs/>
          <w:rtl/>
        </w:rPr>
        <w:t>לחימה</w:t>
      </w:r>
      <w:r w:rsidRPr="00A81964">
        <w:rPr>
          <w:b/>
          <w:bCs/>
          <w:rtl/>
        </w:rPr>
        <w:t xml:space="preserve"> </w:t>
      </w:r>
      <w:r w:rsidRPr="00A81964">
        <w:rPr>
          <w:rFonts w:hint="eastAsia"/>
          <w:b/>
          <w:bCs/>
          <w:rtl/>
        </w:rPr>
        <w:t>מרכזיים</w:t>
      </w:r>
      <w:r w:rsidRPr="00A81964">
        <w:rPr>
          <w:b/>
          <w:bCs/>
          <w:rtl/>
        </w:rPr>
        <w:t xml:space="preserve"> </w:t>
      </w:r>
      <w:r w:rsidRPr="00A81964">
        <w:rPr>
          <w:rFonts w:hint="eastAsia"/>
          <w:b/>
          <w:bCs/>
          <w:rtl/>
        </w:rPr>
        <w:t>בעבר</w:t>
      </w:r>
      <w:r w:rsidRPr="00A81964">
        <w:rPr>
          <w:b/>
          <w:bCs/>
          <w:rtl/>
        </w:rPr>
        <w:t xml:space="preserve">, </w:t>
      </w:r>
      <w:r w:rsidRPr="00A81964">
        <w:rPr>
          <w:rFonts w:hint="eastAsia"/>
          <w:b/>
          <w:bCs/>
          <w:rtl/>
        </w:rPr>
        <w:t>תוך</w:t>
      </w:r>
      <w:r w:rsidRPr="00A81964">
        <w:rPr>
          <w:b/>
          <w:bCs/>
          <w:rtl/>
        </w:rPr>
        <w:t xml:space="preserve"> </w:t>
      </w:r>
      <w:r w:rsidRPr="00A81964">
        <w:rPr>
          <w:rFonts w:hint="eastAsia"/>
          <w:b/>
          <w:bCs/>
          <w:rtl/>
        </w:rPr>
        <w:t>הבחנה</w:t>
      </w:r>
      <w:r w:rsidRPr="00A81964">
        <w:rPr>
          <w:b/>
          <w:bCs/>
          <w:rtl/>
        </w:rPr>
        <w:t xml:space="preserve"> </w:t>
      </w:r>
      <w:r w:rsidRPr="00A81964">
        <w:rPr>
          <w:rFonts w:hint="eastAsia"/>
          <w:b/>
          <w:bCs/>
          <w:rtl/>
        </w:rPr>
        <w:t>בין</w:t>
      </w:r>
      <w:r w:rsidRPr="00A81964">
        <w:rPr>
          <w:b/>
          <w:bCs/>
          <w:rtl/>
        </w:rPr>
        <w:t xml:space="preserve"> </w:t>
      </w:r>
      <w:r w:rsidRPr="00A81964">
        <w:rPr>
          <w:rFonts w:hint="eastAsia"/>
          <w:b/>
          <w:bCs/>
          <w:rtl/>
        </w:rPr>
        <w:t>הסכומים</w:t>
      </w:r>
      <w:r w:rsidRPr="00A81964">
        <w:rPr>
          <w:b/>
          <w:bCs/>
          <w:rtl/>
        </w:rPr>
        <w:t xml:space="preserve"> </w:t>
      </w:r>
      <w:r w:rsidRPr="00A81964">
        <w:rPr>
          <w:rFonts w:hint="eastAsia"/>
          <w:b/>
          <w:bCs/>
          <w:rtl/>
        </w:rPr>
        <w:t>שאושרו</w:t>
      </w:r>
      <w:r w:rsidRPr="00A81964">
        <w:rPr>
          <w:b/>
          <w:bCs/>
          <w:rtl/>
        </w:rPr>
        <w:t xml:space="preserve"> </w:t>
      </w:r>
      <w:r w:rsidRPr="00A81964">
        <w:rPr>
          <w:rFonts w:hint="eastAsia"/>
          <w:b/>
          <w:bCs/>
          <w:rtl/>
        </w:rPr>
        <w:t>לבין</w:t>
      </w:r>
      <w:r w:rsidRPr="00A81964">
        <w:rPr>
          <w:b/>
          <w:bCs/>
          <w:rtl/>
        </w:rPr>
        <w:t xml:space="preserve"> </w:t>
      </w:r>
      <w:r w:rsidRPr="00A81964">
        <w:rPr>
          <w:rFonts w:hint="eastAsia"/>
          <w:b/>
          <w:bCs/>
          <w:rtl/>
        </w:rPr>
        <w:t>סכומי</w:t>
      </w:r>
      <w:r w:rsidRPr="00A81964">
        <w:rPr>
          <w:b/>
          <w:bCs/>
          <w:rtl/>
        </w:rPr>
        <w:t xml:space="preserve"> </w:t>
      </w:r>
      <w:r w:rsidRPr="00A81964">
        <w:rPr>
          <w:rFonts w:hint="eastAsia"/>
          <w:b/>
          <w:bCs/>
          <w:rtl/>
        </w:rPr>
        <w:t>התביעות</w:t>
      </w:r>
      <w:r w:rsidRPr="00A81964">
        <w:rPr>
          <w:b/>
          <w:bCs/>
          <w:rtl/>
        </w:rPr>
        <w:t xml:space="preserve"> </w:t>
      </w:r>
      <w:r w:rsidRPr="00A81964">
        <w:rPr>
          <w:rFonts w:hint="eastAsia"/>
          <w:b/>
          <w:bCs/>
          <w:rtl/>
        </w:rPr>
        <w:t>שלא</w:t>
      </w:r>
      <w:r w:rsidRPr="00A81964">
        <w:rPr>
          <w:b/>
          <w:bCs/>
          <w:rtl/>
        </w:rPr>
        <w:t xml:space="preserve"> </w:t>
      </w:r>
      <w:r w:rsidRPr="00A81964">
        <w:rPr>
          <w:rFonts w:hint="eastAsia"/>
          <w:b/>
          <w:bCs/>
          <w:rtl/>
        </w:rPr>
        <w:t>אושרו</w:t>
      </w:r>
      <w:r w:rsidRPr="00A81964">
        <w:rPr>
          <w:b/>
          <w:bCs/>
          <w:rtl/>
        </w:rPr>
        <w:t xml:space="preserve"> </w:t>
      </w:r>
      <w:r w:rsidRPr="00A81964">
        <w:rPr>
          <w:rFonts w:hint="cs"/>
          <w:b/>
          <w:bCs/>
          <w:rtl/>
        </w:rPr>
        <w:t>(</w:t>
      </w:r>
      <w:r w:rsidRPr="00A81964">
        <w:rPr>
          <w:rFonts w:hint="eastAsia"/>
          <w:b/>
          <w:bCs/>
          <w:rtl/>
        </w:rPr>
        <w:t>במיליוני</w:t>
      </w:r>
      <w:r w:rsidRPr="00A81964">
        <w:rPr>
          <w:b/>
          <w:bCs/>
          <w:rtl/>
        </w:rPr>
        <w:t xml:space="preserve"> </w:t>
      </w:r>
      <w:r w:rsidRPr="00A81964">
        <w:rPr>
          <w:rFonts w:hint="eastAsia"/>
          <w:b/>
          <w:bCs/>
          <w:rtl/>
        </w:rPr>
        <w:t>ש</w:t>
      </w:r>
      <w:r w:rsidRPr="00A81964">
        <w:rPr>
          <w:b/>
          <w:bCs/>
          <w:rtl/>
        </w:rPr>
        <w:t>"ח</w:t>
      </w:r>
      <w:r w:rsidRPr="00A81964">
        <w:rPr>
          <w:rFonts w:hint="cs"/>
          <w:b/>
          <w:bCs/>
          <w:rtl/>
        </w:rPr>
        <w:t>)</w:t>
      </w:r>
      <w:r w:rsidRPr="00A81964">
        <w:rPr>
          <w:b/>
          <w:bCs/>
          <w:rtl/>
        </w:rPr>
        <w:t xml:space="preserve"> </w:t>
      </w:r>
    </w:p>
    <w:p w:rsidR="006252C4" w:rsidRPr="00A81964" w:rsidRDefault="006252C4" w:rsidP="006252C4">
      <w:pPr>
        <w:spacing w:line="269" w:lineRule="auto"/>
        <w:jc w:val="center"/>
        <w:rPr>
          <w:sz w:val="16"/>
          <w:szCs w:val="20"/>
          <w:rtl/>
        </w:rPr>
      </w:pPr>
      <w:r>
        <w:rPr>
          <w:rFonts w:ascii="Almoni ML v5 AAA" w:hAnsi="Almoni ML v5 AAA" w:cs="Almoni ML v5 AAA"/>
          <w:noProof/>
        </w:rPr>
        <w:drawing>
          <wp:inline distT="0" distB="0" distL="0" distR="0" wp14:anchorId="6291380B" wp14:editId="781FF26E">
            <wp:extent cx="4450754" cy="2600696"/>
            <wp:effectExtent l="0" t="0" r="6985" b="9525"/>
            <wp:docPr id="34" name="תמונה 34" descr="מהנתונים בתרשים 15 עולה כי בשלושת סבבי הלחימה שנבחנו (צוק איתן, עמוד ענן ועופרת יצוקה) הוגשו תביעות בגין נזקים עקיפים בסכום של כ-4 מיליארד ש&quot;ח, אך כ-1.9 מיליארד ש&quot;ח מתוכם לא אושרו על ידי קרן הפיצויים. כלומר, בדיקת קרן הפיצויים העלתה כי כ-48% מהסכומים שדרשו מגישי התביעות אינם על פי הדין, ומשכך לא אושרו על ידי הקר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72473" cy="2613387"/>
                    </a:xfrm>
                    <a:prstGeom prst="rect">
                      <a:avLst/>
                    </a:prstGeom>
                    <a:noFill/>
                    <a:ln>
                      <a:noFill/>
                    </a:ln>
                  </pic:spPr>
                </pic:pic>
              </a:graphicData>
            </a:graphic>
          </wp:inline>
        </w:drawing>
      </w:r>
    </w:p>
    <w:p w:rsidR="006252C4" w:rsidRPr="00A81964" w:rsidRDefault="006252C4" w:rsidP="006252C4">
      <w:pPr>
        <w:spacing w:line="269" w:lineRule="auto"/>
        <w:rPr>
          <w:sz w:val="16"/>
          <w:szCs w:val="20"/>
          <w:rtl/>
        </w:rPr>
      </w:pPr>
      <w:r w:rsidRPr="00A81964">
        <w:rPr>
          <w:rFonts w:hint="cs"/>
          <w:sz w:val="16"/>
          <w:szCs w:val="20"/>
          <w:rtl/>
        </w:rPr>
        <w:t xml:space="preserve">על פי נתוני </w:t>
      </w:r>
      <w:r w:rsidRPr="0037150A">
        <w:rPr>
          <w:rFonts w:hint="cs"/>
          <w:sz w:val="16"/>
          <w:szCs w:val="20"/>
          <w:rtl/>
        </w:rPr>
        <w:t>רשות המיסים</w:t>
      </w:r>
      <w:r w:rsidRPr="00A81964">
        <w:rPr>
          <w:rFonts w:hint="cs"/>
          <w:sz w:val="16"/>
          <w:szCs w:val="20"/>
          <w:rtl/>
        </w:rPr>
        <w:t>, בעיבוד משרד מבקר המדינה.</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מהנתונים בתרשים 15 עולה כי בשלושת סבבי הלחימה שנבחנו (צוק איתן, עמוד ענן ועופרת יצוקה) הוגשו תביעות בגין נזקים עקיפים בסכום של כ-4 מיליארד ש"ח, אך כ-1.9 מיליארד ש"ח מתוכם לא אושרו על ידי קרן הפיצויים. כלומר, בדיקת קרן הפיצויים העלתה כי כ-48% מהסכומים שדרשו מגישי התביעות אינם על פי הדין, ומשכך לא אושרו על ידי הקרן.</w:t>
      </w:r>
    </w:p>
    <w:p w:rsidR="006252C4" w:rsidRPr="00A81964" w:rsidRDefault="006252C4" w:rsidP="006252C4">
      <w:pPr>
        <w:spacing w:line="269" w:lineRule="auto"/>
        <w:rPr>
          <w:rtl/>
        </w:rPr>
      </w:pPr>
      <w:r w:rsidRPr="00A81964">
        <w:rPr>
          <w:rFonts w:hint="cs"/>
          <w:rtl/>
        </w:rPr>
        <w:lastRenderedPageBreak/>
        <w:t xml:space="preserve">לצורך החזרת </w:t>
      </w:r>
      <w:r w:rsidRPr="00A81964">
        <w:rPr>
          <w:rFonts w:hint="eastAsia"/>
          <w:rtl/>
        </w:rPr>
        <w:t>תשלומי</w:t>
      </w:r>
      <w:r w:rsidRPr="00A81964">
        <w:rPr>
          <w:rFonts w:hint="cs"/>
          <w:rtl/>
        </w:rPr>
        <w:t>ם עודפים</w:t>
      </w:r>
      <w:r w:rsidRPr="00A81964">
        <w:rPr>
          <w:rtl/>
        </w:rPr>
        <w:t xml:space="preserve"> </w:t>
      </w:r>
      <w:r w:rsidRPr="00A81964">
        <w:rPr>
          <w:rFonts w:hint="cs"/>
          <w:rtl/>
        </w:rPr>
        <w:t xml:space="preserve">קרן הפיצויים </w:t>
      </w:r>
      <w:r w:rsidRPr="0037150A">
        <w:rPr>
          <w:rFonts w:hint="cs"/>
          <w:rtl/>
        </w:rPr>
        <w:t>נדרשת</w:t>
      </w:r>
      <w:r w:rsidRPr="00A81964">
        <w:rPr>
          <w:rFonts w:hint="cs"/>
          <w:rtl/>
        </w:rPr>
        <w:t xml:space="preserve"> להקצות משאבים לניהול הליכי גבייה, ולעיתים גם הליכי משא ומתן, מול מגישי תביעות. הנהלת קרן הפיצויים מסרה כי במקרים רבים היא </w:t>
      </w:r>
      <w:r w:rsidRPr="0037150A">
        <w:rPr>
          <w:rFonts w:hint="cs"/>
          <w:rtl/>
        </w:rPr>
        <w:t>נאלצת</w:t>
      </w:r>
      <w:r w:rsidRPr="00A81964">
        <w:rPr>
          <w:rFonts w:hint="cs"/>
          <w:rtl/>
        </w:rPr>
        <w:t xml:space="preserve"> להגיע להסכמות ולפיהן יוחזרו רק חלק מהתשלומים העודפים, וזאת בין היתר כדי להימנע מעלויות נוספות שיידרשו לצורך ניהול הליכי גבייה או לצורך ניהול הליכי ערעור בוועדת ערר</w:t>
      </w:r>
      <w:r w:rsidRPr="00A81964">
        <w:rPr>
          <w:rStyle w:val="af2"/>
          <w:rtl/>
        </w:rPr>
        <w:footnoteReference w:id="90"/>
      </w:r>
      <w:r w:rsidRPr="00A81964">
        <w:rPr>
          <w:rFonts w:hint="cs"/>
          <w:rtl/>
        </w:rPr>
        <w:t>, כך שבפועל נגרם נזק לקופת המדינה בגין תשלומים עודפים אלו.</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נוסף על כך, עלול לחלוף זמן רב מהמועד שבו מגישי התביעות מקבלים את המקדמות ועד ליצירת החובות בגין התשלומים העודפים, ובמהלכו מגישי התביעה עשו שימוש בכספים שקיבלו והם מתקשים להחזירם. עיכוב בתשלומי חובות אלו, הנושאים ריבית והפרשי הצמדה, יכול להוביל לנקיטת הליכי הוצאה לפועל נגד מגיש התביעה. </w:t>
      </w:r>
    </w:p>
    <w:p w:rsidR="006252C4" w:rsidRPr="00A81964" w:rsidRDefault="006252C4" w:rsidP="006252C4">
      <w:pPr>
        <w:spacing w:line="269" w:lineRule="auto"/>
        <w:rPr>
          <w:rtl/>
        </w:rPr>
      </w:pPr>
    </w:p>
    <w:p w:rsidR="006252C4" w:rsidRPr="00A81964" w:rsidRDefault="006252C4" w:rsidP="006252C4">
      <w:pPr>
        <w:pStyle w:val="6"/>
        <w:spacing w:line="269" w:lineRule="auto"/>
        <w:rPr>
          <w:rtl/>
        </w:rPr>
      </w:pPr>
      <w:r w:rsidRPr="00A81964">
        <w:rPr>
          <w:rFonts w:hint="cs"/>
          <w:rtl/>
        </w:rPr>
        <w:t>תשלומים עודפים במבצע "צוק איתן"</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תשלומי מקדמות, כאמור, החלו בשנת 2014 במבצע "צוק איתן". בהוראות השעה של סבבי הלחימה</w:t>
      </w:r>
      <w:r w:rsidRPr="00A81964">
        <w:rPr>
          <w:rStyle w:val="af2"/>
          <w:rtl/>
        </w:rPr>
        <w:footnoteReference w:id="91"/>
      </w:r>
      <w:r w:rsidRPr="00A81964">
        <w:rPr>
          <w:rFonts w:hint="cs"/>
          <w:rtl/>
        </w:rPr>
        <w:t xml:space="preserve"> נקבע שבמקרים מסוימים, ולאחר חלוף פרק זמן מסוים ממועד הגשת התביעות לפיצויים בגין נזקים עקיפים, ישולמו מקדמות עוד לפני החלטת קרן הפיצויים בנוגע לסכום הפיצוי.</w:t>
      </w:r>
    </w:p>
    <w:p w:rsidR="006252C4" w:rsidRDefault="006252C4" w:rsidP="006252C4">
      <w:pPr>
        <w:pStyle w:val="a8"/>
        <w:spacing w:line="269" w:lineRule="auto"/>
        <w:rPr>
          <w:rtl/>
        </w:rPr>
      </w:pPr>
    </w:p>
    <w:p w:rsidR="006252C4" w:rsidRDefault="006252C4" w:rsidP="006252C4">
      <w:pPr>
        <w:spacing w:line="269" w:lineRule="auto"/>
        <w:rPr>
          <w:rtl/>
        </w:rPr>
      </w:pPr>
      <w:r w:rsidRPr="00A81964">
        <w:rPr>
          <w:rFonts w:hint="cs"/>
          <w:rtl/>
        </w:rPr>
        <w:t>ב-2,100 תביעות לפיצוי בגין נזק עקיף שהוגשו ב</w:t>
      </w:r>
      <w:r w:rsidRPr="00A81964">
        <w:rPr>
          <w:rtl/>
        </w:rPr>
        <w:t xml:space="preserve">מבצע "צוק איתן" שולמו מקדמות בסך של כ-398 מיליון </w:t>
      </w:r>
      <w:r w:rsidRPr="00A81964">
        <w:rPr>
          <w:rFonts w:hint="cs"/>
          <w:rtl/>
        </w:rPr>
        <w:t>ש"ח. קרן הפיצויים בחנה את תשלומי המקדמות לאחר סיום בדיקת תיקי התביעות. להלן בתרשים 16 מוצגים סך תשלומי המקדמות ששולמו בגין התביעות ושיעורם, תוך הבחנה בין סכומי מקדמות שנמצאו תקינים לבין תשלומי המקדמות שנמצא כי שולמו בעודף.</w:t>
      </w:r>
    </w:p>
    <w:p w:rsidR="006252C4" w:rsidRDefault="006252C4" w:rsidP="006252C4">
      <w:pPr>
        <w:spacing w:line="269" w:lineRule="auto"/>
        <w:jc w:val="center"/>
        <w:rPr>
          <w:rtl/>
        </w:rPr>
      </w:pPr>
    </w:p>
    <w:p w:rsidR="006252C4" w:rsidRPr="00A81964" w:rsidRDefault="006252C4" w:rsidP="006252C4">
      <w:pPr>
        <w:keepNext/>
        <w:keepLines/>
        <w:spacing w:line="269" w:lineRule="auto"/>
        <w:jc w:val="center"/>
        <w:rPr>
          <w:rtl/>
        </w:rPr>
      </w:pPr>
      <w:r w:rsidRPr="00A81964">
        <w:rPr>
          <w:rFonts w:hint="cs"/>
          <w:rtl/>
        </w:rPr>
        <w:lastRenderedPageBreak/>
        <w:t xml:space="preserve">תרשים 16: </w:t>
      </w:r>
      <w:r w:rsidRPr="00A81964">
        <w:rPr>
          <w:rFonts w:hint="eastAsia"/>
          <w:b/>
          <w:bCs/>
          <w:rtl/>
        </w:rPr>
        <w:t>סך</w:t>
      </w:r>
      <w:r w:rsidRPr="00A81964">
        <w:rPr>
          <w:b/>
          <w:bCs/>
          <w:rtl/>
        </w:rPr>
        <w:t xml:space="preserve"> </w:t>
      </w:r>
      <w:r w:rsidRPr="00A81964">
        <w:rPr>
          <w:rFonts w:hint="eastAsia"/>
          <w:b/>
          <w:bCs/>
          <w:rtl/>
        </w:rPr>
        <w:t>תשלומי</w:t>
      </w:r>
      <w:r w:rsidRPr="00A81964">
        <w:rPr>
          <w:b/>
          <w:bCs/>
          <w:rtl/>
        </w:rPr>
        <w:t xml:space="preserve"> </w:t>
      </w:r>
      <w:r w:rsidRPr="00A81964">
        <w:rPr>
          <w:rFonts w:hint="eastAsia"/>
          <w:b/>
          <w:bCs/>
          <w:rtl/>
        </w:rPr>
        <w:t>המקדמות</w:t>
      </w:r>
      <w:r w:rsidRPr="00A81964">
        <w:rPr>
          <w:b/>
          <w:bCs/>
          <w:rtl/>
        </w:rPr>
        <w:t xml:space="preserve"> </w:t>
      </w:r>
      <w:r w:rsidRPr="00A81964">
        <w:rPr>
          <w:rFonts w:hint="eastAsia"/>
          <w:b/>
          <w:bCs/>
          <w:rtl/>
        </w:rPr>
        <w:t>ששולמו</w:t>
      </w:r>
      <w:r w:rsidRPr="00A81964">
        <w:rPr>
          <w:b/>
          <w:bCs/>
          <w:rtl/>
        </w:rPr>
        <w:t xml:space="preserve"> </w:t>
      </w:r>
      <w:r w:rsidRPr="00A81964">
        <w:rPr>
          <w:rFonts w:hint="eastAsia"/>
          <w:b/>
          <w:bCs/>
          <w:rtl/>
        </w:rPr>
        <w:t>בגין</w:t>
      </w:r>
      <w:r w:rsidRPr="00A81964">
        <w:rPr>
          <w:b/>
          <w:bCs/>
          <w:rtl/>
        </w:rPr>
        <w:t xml:space="preserve"> </w:t>
      </w:r>
      <w:r w:rsidRPr="00A81964">
        <w:rPr>
          <w:rFonts w:hint="eastAsia"/>
          <w:b/>
          <w:bCs/>
          <w:rtl/>
        </w:rPr>
        <w:t>תביעות</w:t>
      </w:r>
      <w:r w:rsidRPr="00A81964">
        <w:rPr>
          <w:b/>
          <w:bCs/>
          <w:rtl/>
        </w:rPr>
        <w:t xml:space="preserve"> </w:t>
      </w:r>
      <w:r w:rsidRPr="00A81964">
        <w:rPr>
          <w:rFonts w:hint="eastAsia"/>
          <w:b/>
          <w:bCs/>
          <w:rtl/>
        </w:rPr>
        <w:t>ושיעורם</w:t>
      </w:r>
      <w:r w:rsidRPr="00A81964">
        <w:rPr>
          <w:b/>
          <w:bCs/>
          <w:rtl/>
        </w:rPr>
        <w:t xml:space="preserve"> </w:t>
      </w:r>
      <w:r w:rsidRPr="00A81964">
        <w:rPr>
          <w:rFonts w:hint="eastAsia"/>
          <w:b/>
          <w:bCs/>
          <w:rtl/>
        </w:rPr>
        <w:t>במבצע</w:t>
      </w:r>
      <w:r w:rsidRPr="00A81964">
        <w:rPr>
          <w:b/>
          <w:bCs/>
          <w:rtl/>
        </w:rPr>
        <w:t xml:space="preserve"> "צוק </w:t>
      </w:r>
      <w:r w:rsidRPr="00A81964">
        <w:rPr>
          <w:rFonts w:hint="eastAsia"/>
          <w:b/>
          <w:bCs/>
          <w:rtl/>
        </w:rPr>
        <w:t>איתן</w:t>
      </w:r>
      <w:r w:rsidRPr="00A81964">
        <w:rPr>
          <w:b/>
          <w:bCs/>
          <w:rtl/>
        </w:rPr>
        <w:t xml:space="preserve">", </w:t>
      </w:r>
      <w:r w:rsidRPr="00A81964">
        <w:rPr>
          <w:rFonts w:hint="eastAsia"/>
          <w:b/>
          <w:bCs/>
          <w:rtl/>
        </w:rPr>
        <w:t>תוך</w:t>
      </w:r>
      <w:r w:rsidRPr="00A81964">
        <w:rPr>
          <w:b/>
          <w:bCs/>
          <w:rtl/>
        </w:rPr>
        <w:t xml:space="preserve"> </w:t>
      </w:r>
      <w:r w:rsidRPr="00A81964">
        <w:rPr>
          <w:rFonts w:hint="eastAsia"/>
          <w:b/>
          <w:bCs/>
          <w:rtl/>
        </w:rPr>
        <w:t>הבחנה</w:t>
      </w:r>
      <w:r w:rsidRPr="00A81964">
        <w:rPr>
          <w:b/>
          <w:bCs/>
          <w:rtl/>
        </w:rPr>
        <w:t xml:space="preserve"> </w:t>
      </w:r>
      <w:r w:rsidRPr="00A81964">
        <w:rPr>
          <w:rFonts w:hint="eastAsia"/>
          <w:b/>
          <w:bCs/>
          <w:rtl/>
        </w:rPr>
        <w:t>בין</w:t>
      </w:r>
      <w:r w:rsidRPr="00A81964">
        <w:rPr>
          <w:b/>
          <w:bCs/>
          <w:rtl/>
        </w:rPr>
        <w:t xml:space="preserve"> </w:t>
      </w:r>
      <w:r w:rsidRPr="00A81964">
        <w:rPr>
          <w:rFonts w:hint="eastAsia"/>
          <w:b/>
          <w:bCs/>
          <w:rtl/>
        </w:rPr>
        <w:t>סכומי</w:t>
      </w:r>
      <w:r w:rsidRPr="00A81964">
        <w:rPr>
          <w:b/>
          <w:bCs/>
          <w:rtl/>
        </w:rPr>
        <w:t xml:space="preserve"> </w:t>
      </w:r>
      <w:r w:rsidRPr="00A81964">
        <w:rPr>
          <w:rFonts w:hint="eastAsia"/>
          <w:b/>
          <w:bCs/>
          <w:rtl/>
        </w:rPr>
        <w:t>מקדמות</w:t>
      </w:r>
      <w:r w:rsidRPr="00A81964">
        <w:rPr>
          <w:b/>
          <w:bCs/>
          <w:rtl/>
        </w:rPr>
        <w:t xml:space="preserve"> </w:t>
      </w:r>
      <w:r w:rsidRPr="00A81964">
        <w:rPr>
          <w:rFonts w:hint="eastAsia"/>
          <w:b/>
          <w:bCs/>
          <w:rtl/>
        </w:rPr>
        <w:t>שנמצאו</w:t>
      </w:r>
      <w:r w:rsidRPr="00A81964">
        <w:rPr>
          <w:b/>
          <w:bCs/>
          <w:rtl/>
        </w:rPr>
        <w:t xml:space="preserve"> </w:t>
      </w:r>
      <w:r w:rsidRPr="00A81964">
        <w:rPr>
          <w:rFonts w:hint="eastAsia"/>
          <w:b/>
          <w:bCs/>
          <w:rtl/>
        </w:rPr>
        <w:t>תקינים</w:t>
      </w:r>
      <w:r w:rsidRPr="00A81964">
        <w:rPr>
          <w:b/>
          <w:bCs/>
          <w:rtl/>
        </w:rPr>
        <w:t xml:space="preserve"> </w:t>
      </w:r>
      <w:r w:rsidRPr="00A81964">
        <w:rPr>
          <w:rFonts w:hint="eastAsia"/>
          <w:b/>
          <w:bCs/>
          <w:rtl/>
        </w:rPr>
        <w:t>לבין</w:t>
      </w:r>
      <w:r w:rsidRPr="00A81964">
        <w:rPr>
          <w:b/>
          <w:bCs/>
          <w:rtl/>
        </w:rPr>
        <w:t xml:space="preserve"> </w:t>
      </w:r>
      <w:r w:rsidRPr="00A81964">
        <w:rPr>
          <w:rFonts w:hint="eastAsia"/>
          <w:b/>
          <w:bCs/>
          <w:rtl/>
        </w:rPr>
        <w:t>תשלומי</w:t>
      </w:r>
      <w:r w:rsidRPr="00A81964">
        <w:rPr>
          <w:b/>
          <w:bCs/>
          <w:rtl/>
        </w:rPr>
        <w:t xml:space="preserve"> </w:t>
      </w:r>
      <w:r w:rsidRPr="00A81964">
        <w:rPr>
          <w:rFonts w:hint="eastAsia"/>
          <w:b/>
          <w:bCs/>
          <w:rtl/>
        </w:rPr>
        <w:t>מקדמות</w:t>
      </w:r>
      <w:r w:rsidRPr="00A81964">
        <w:rPr>
          <w:b/>
          <w:bCs/>
          <w:rtl/>
        </w:rPr>
        <w:t xml:space="preserve"> </w:t>
      </w:r>
      <w:r w:rsidRPr="00A81964">
        <w:rPr>
          <w:rFonts w:hint="eastAsia"/>
          <w:b/>
          <w:bCs/>
          <w:rtl/>
        </w:rPr>
        <w:t>שנמצא</w:t>
      </w:r>
      <w:r w:rsidRPr="00A81964">
        <w:rPr>
          <w:b/>
          <w:bCs/>
          <w:rtl/>
        </w:rPr>
        <w:t xml:space="preserve"> </w:t>
      </w:r>
      <w:r w:rsidRPr="00A81964">
        <w:rPr>
          <w:rFonts w:hint="eastAsia"/>
          <w:b/>
          <w:bCs/>
          <w:rtl/>
        </w:rPr>
        <w:t>כי</w:t>
      </w:r>
      <w:r w:rsidRPr="00A81964">
        <w:rPr>
          <w:b/>
          <w:bCs/>
          <w:rtl/>
        </w:rPr>
        <w:t xml:space="preserve"> </w:t>
      </w:r>
      <w:r w:rsidRPr="00A81964">
        <w:rPr>
          <w:rFonts w:hint="eastAsia"/>
          <w:b/>
          <w:bCs/>
          <w:rtl/>
        </w:rPr>
        <w:t>שולמו</w:t>
      </w:r>
      <w:r w:rsidRPr="00A81964">
        <w:rPr>
          <w:b/>
          <w:bCs/>
          <w:rtl/>
        </w:rPr>
        <w:t xml:space="preserve"> </w:t>
      </w:r>
      <w:r w:rsidRPr="00A81964">
        <w:rPr>
          <w:rFonts w:hint="eastAsia"/>
          <w:b/>
          <w:bCs/>
          <w:rtl/>
        </w:rPr>
        <w:t>ב</w:t>
      </w:r>
      <w:r>
        <w:rPr>
          <w:rFonts w:hint="cs"/>
          <w:b/>
          <w:bCs/>
          <w:rtl/>
        </w:rPr>
        <w:t>עודף</w:t>
      </w:r>
      <w:r w:rsidRPr="00A81964">
        <w:rPr>
          <w:b/>
          <w:bCs/>
          <w:u w:val="single"/>
          <w:rtl/>
        </w:rPr>
        <w:t xml:space="preserve"> </w:t>
      </w:r>
      <w:r w:rsidRPr="00A81964">
        <w:rPr>
          <w:b/>
          <w:bCs/>
          <w:rtl/>
        </w:rPr>
        <w:t>(</w:t>
      </w:r>
      <w:r w:rsidRPr="00A81964">
        <w:rPr>
          <w:rFonts w:hint="eastAsia"/>
          <w:b/>
          <w:bCs/>
          <w:rtl/>
        </w:rPr>
        <w:t>במיליוני</w:t>
      </w:r>
      <w:r w:rsidRPr="00A81964">
        <w:rPr>
          <w:b/>
          <w:bCs/>
          <w:rtl/>
        </w:rPr>
        <w:t xml:space="preserve"> </w:t>
      </w:r>
      <w:r w:rsidRPr="00A81964">
        <w:rPr>
          <w:rFonts w:hint="eastAsia"/>
          <w:b/>
          <w:bCs/>
          <w:rtl/>
        </w:rPr>
        <w:t>ש</w:t>
      </w:r>
      <w:r w:rsidRPr="00A81964">
        <w:rPr>
          <w:b/>
          <w:bCs/>
          <w:rtl/>
        </w:rPr>
        <w:t>"ח)</w:t>
      </w:r>
    </w:p>
    <w:p w:rsidR="006252C4" w:rsidRPr="00A81964" w:rsidRDefault="006252C4" w:rsidP="006252C4">
      <w:pPr>
        <w:spacing w:line="269" w:lineRule="auto"/>
        <w:ind w:left="312"/>
        <w:jc w:val="center"/>
        <w:rPr>
          <w:rtl/>
        </w:rPr>
      </w:pPr>
      <w:r>
        <w:rPr>
          <w:noProof/>
        </w:rPr>
        <w:drawing>
          <wp:inline distT="0" distB="0" distL="0" distR="0" wp14:anchorId="7CA47080" wp14:editId="4B7CD928">
            <wp:extent cx="5030602" cy="2386940"/>
            <wp:effectExtent l="0" t="0" r="0" b="0"/>
            <wp:docPr id="35" name="תמונה 3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436" b="7684"/>
                    <a:stretch/>
                  </pic:blipFill>
                  <pic:spPr bwMode="auto">
                    <a:xfrm>
                      <a:off x="0" y="0"/>
                      <a:ext cx="5059099" cy="2400461"/>
                    </a:xfrm>
                    <a:prstGeom prst="rect">
                      <a:avLst/>
                    </a:prstGeom>
                    <a:noFill/>
                    <a:ln>
                      <a:noFill/>
                    </a:ln>
                    <a:extLst>
                      <a:ext uri="{53640926-AAD7-44D8-BBD7-CCE9431645EC}">
                        <a14:shadowObscured xmlns:a14="http://schemas.microsoft.com/office/drawing/2010/main"/>
                      </a:ext>
                    </a:extLst>
                  </pic:spPr>
                </pic:pic>
              </a:graphicData>
            </a:graphic>
          </wp:inline>
        </w:drawing>
      </w:r>
    </w:p>
    <w:p w:rsidR="006252C4" w:rsidRPr="00A81964" w:rsidRDefault="006252C4" w:rsidP="006252C4">
      <w:pPr>
        <w:spacing w:line="269" w:lineRule="auto"/>
        <w:rPr>
          <w:sz w:val="16"/>
          <w:szCs w:val="20"/>
          <w:rtl/>
        </w:rPr>
      </w:pPr>
      <w:r>
        <w:rPr>
          <w:rFonts w:hint="cs"/>
          <w:sz w:val="16"/>
          <w:szCs w:val="20"/>
          <w:rtl/>
        </w:rPr>
        <w:t>על פי נתוני</w:t>
      </w:r>
      <w:r w:rsidRPr="00A81964">
        <w:rPr>
          <w:rFonts w:hint="cs"/>
          <w:sz w:val="16"/>
          <w:szCs w:val="20"/>
          <w:rtl/>
        </w:rPr>
        <w:t xml:space="preserve"> </w:t>
      </w:r>
      <w:r w:rsidRPr="00354B50">
        <w:rPr>
          <w:rFonts w:hint="cs"/>
          <w:sz w:val="16"/>
          <w:szCs w:val="20"/>
          <w:rtl/>
        </w:rPr>
        <w:t>רשות המיסים</w:t>
      </w:r>
      <w:r w:rsidRPr="00A81964">
        <w:rPr>
          <w:rFonts w:hint="cs"/>
          <w:sz w:val="16"/>
          <w:szCs w:val="20"/>
          <w:rtl/>
        </w:rPr>
        <w:t>, בעיבוד משרד מבקר המדינה.</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מתרשים 16 עולה כי כ-220 מיליון ש"ח, ששיעורם 55% מסך המקדמות ששולמו במבצע "צוק איתן", שולמו בעודף, וקרן הפיצויים נדרשה לפעול כדי להחזירם.</w:t>
      </w:r>
    </w:p>
    <w:p w:rsidR="006252C4" w:rsidRPr="00A81964" w:rsidRDefault="006252C4" w:rsidP="006252C4">
      <w:pPr>
        <w:spacing w:line="269" w:lineRule="auto"/>
        <w:rPr>
          <w:rtl/>
        </w:rPr>
      </w:pPr>
    </w:p>
    <w:p w:rsidR="006252C4" w:rsidRPr="00A81964" w:rsidRDefault="006252C4" w:rsidP="006252C4">
      <w:pPr>
        <w:pStyle w:val="6"/>
        <w:keepNext w:val="0"/>
        <w:keepLines w:val="0"/>
        <w:spacing w:line="269" w:lineRule="auto"/>
        <w:rPr>
          <w:rtl/>
        </w:rPr>
      </w:pPr>
      <w:r w:rsidRPr="00A81964">
        <w:rPr>
          <w:rFonts w:hint="cs"/>
          <w:rtl/>
        </w:rPr>
        <w:t>תשלומים עודפים במגפת הקורונה</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בשנים 2020 עד 2021, במהלך מגפת הקורונה (להלן - בתקופת המגפה), החליטה הממשלה על תשלום מענקים לעסקים שפעילותם נפגעה כתוצאה מהמגבלות שהוטלו על הציבור בתקופת המגפה (להלן - מענקי הקורונה). הוראות בנוגע לאופן תשלום מענקי הקורונה הוסדרו בהחלטות ממשלה</w:t>
      </w:r>
      <w:r w:rsidRPr="00A81964">
        <w:rPr>
          <w:rStyle w:val="af2"/>
          <w:rtl/>
        </w:rPr>
        <w:footnoteReference w:id="92"/>
      </w:r>
      <w:r w:rsidRPr="00A81964">
        <w:rPr>
          <w:rFonts w:hint="cs"/>
          <w:rtl/>
        </w:rPr>
        <w:t xml:space="preserve"> ובחוקים ותקנות שנחקקו לצורך כך</w:t>
      </w:r>
      <w:r w:rsidRPr="00A81964">
        <w:rPr>
          <w:rStyle w:val="af2"/>
          <w:rtl/>
        </w:rPr>
        <w:footnoteReference w:id="93"/>
      </w:r>
      <w:r w:rsidRPr="00A81964">
        <w:rPr>
          <w:rFonts w:hint="cs"/>
          <w:rtl/>
        </w:rPr>
        <w:t xml:space="preserve">. </w:t>
      </w:r>
      <w:r w:rsidRPr="00A81964">
        <w:rPr>
          <w:rtl/>
        </w:rPr>
        <w:t>קרן הפיצויים הופקדה על קליטת התביעות למענק סיוע, ועל בחינת הזכאות וקביעת סכום המענק לפי התקנות.</w:t>
      </w:r>
      <w:r w:rsidRPr="00A81964" w:rsidDel="00E57878">
        <w:rPr>
          <w:rFonts w:hint="cs"/>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eastAsia"/>
          <w:rtl/>
        </w:rPr>
        <w:t>בדו</w:t>
      </w:r>
      <w:r w:rsidRPr="00A81964">
        <w:rPr>
          <w:rtl/>
        </w:rPr>
        <w:t>ח</w:t>
      </w:r>
      <w:r w:rsidRPr="00A81964">
        <w:rPr>
          <w:rFonts w:hint="cs"/>
          <w:rtl/>
        </w:rPr>
        <w:t xml:space="preserve"> מבקר המדינה ל</w:t>
      </w:r>
      <w:r w:rsidRPr="00A81964">
        <w:rPr>
          <w:rtl/>
        </w:rPr>
        <w:t>שנת 2020</w:t>
      </w:r>
      <w:r w:rsidRPr="00A81964">
        <w:rPr>
          <w:rFonts w:hint="cs"/>
          <w:rtl/>
        </w:rPr>
        <w:t xml:space="preserve"> בנושא </w:t>
      </w:r>
      <w:r w:rsidRPr="00A81964">
        <w:rPr>
          <w:rtl/>
        </w:rPr>
        <w:t xml:space="preserve">"היבטים בפעילות רשות </w:t>
      </w:r>
      <w:r>
        <w:rPr>
          <w:rtl/>
        </w:rPr>
        <w:t>המיסים</w:t>
      </w:r>
      <w:r w:rsidRPr="00A81964">
        <w:rPr>
          <w:rtl/>
        </w:rPr>
        <w:t xml:space="preserve"> בתקופת משבר הקורונה</w:t>
      </w:r>
      <w:r w:rsidRPr="00A81964">
        <w:rPr>
          <w:rFonts w:hint="cs"/>
          <w:rtl/>
        </w:rPr>
        <w:t>"</w:t>
      </w:r>
      <w:r w:rsidRPr="00A81964">
        <w:rPr>
          <w:rStyle w:val="af2"/>
          <w:rtl/>
        </w:rPr>
        <w:footnoteReference w:id="94"/>
      </w:r>
      <w:r w:rsidRPr="00A81964">
        <w:rPr>
          <w:rFonts w:hint="cs"/>
          <w:rtl/>
        </w:rPr>
        <w:t xml:space="preserve">, אשר בחן בין היתר את טיפול קרן הפיצויים בתשלומי מענקי הקורונה </w:t>
      </w:r>
      <w:r w:rsidRPr="00A81964">
        <w:rPr>
          <w:rtl/>
        </w:rPr>
        <w:t>לעסקים</w:t>
      </w:r>
      <w:r w:rsidRPr="00A81964">
        <w:rPr>
          <w:rFonts w:hint="cs"/>
          <w:rtl/>
        </w:rPr>
        <w:t>,</w:t>
      </w:r>
      <w:r w:rsidRPr="00A81964">
        <w:rPr>
          <w:rtl/>
        </w:rPr>
        <w:t xml:space="preserve"> </w:t>
      </w:r>
      <w:r w:rsidRPr="00A81964">
        <w:rPr>
          <w:rFonts w:hint="cs"/>
          <w:rtl/>
        </w:rPr>
        <w:t>הועלה כי תשלום המענקים על ידי הקרן, בלי שבדקה את הצהרות העוסקים בנוגע להיקף הפגיעה בפעילות עסקיהם, עלולה להביא לתשלום מענקי קורונה למי שלא היה זכאי לכך על פי הדין.</w:t>
      </w:r>
    </w:p>
    <w:p w:rsidR="006252C4" w:rsidRDefault="006252C4" w:rsidP="006252C4">
      <w:pPr>
        <w:pStyle w:val="a8"/>
        <w:spacing w:line="269" w:lineRule="auto"/>
        <w:rPr>
          <w:rtl/>
        </w:rPr>
      </w:pPr>
    </w:p>
    <w:p w:rsidR="006252C4" w:rsidRDefault="006252C4" w:rsidP="006252C4">
      <w:pPr>
        <w:spacing w:line="269" w:lineRule="auto"/>
        <w:rPr>
          <w:b/>
          <w:bCs/>
          <w:rtl/>
        </w:rPr>
      </w:pPr>
      <w:r w:rsidRPr="00A81964">
        <w:rPr>
          <w:rFonts w:hint="eastAsia"/>
          <w:b/>
          <w:bCs/>
          <w:rtl/>
        </w:rPr>
        <w:lastRenderedPageBreak/>
        <w:t>על</w:t>
      </w:r>
      <w:r w:rsidRPr="00A81964">
        <w:rPr>
          <w:b/>
          <w:bCs/>
          <w:rtl/>
        </w:rPr>
        <w:t xml:space="preserve"> פי נתוני רשות המיסים, </w:t>
      </w:r>
      <w:r w:rsidRPr="00A81964">
        <w:rPr>
          <w:rFonts w:hint="eastAsia"/>
          <w:b/>
          <w:bCs/>
          <w:rtl/>
        </w:rPr>
        <w:t>בתקופת</w:t>
      </w:r>
      <w:r w:rsidRPr="00A81964">
        <w:rPr>
          <w:b/>
          <w:bCs/>
          <w:rtl/>
        </w:rPr>
        <w:t xml:space="preserve"> </w:t>
      </w:r>
      <w:r w:rsidRPr="00A81964">
        <w:rPr>
          <w:rFonts w:hint="eastAsia"/>
          <w:b/>
          <w:bCs/>
          <w:rtl/>
        </w:rPr>
        <w:t>מגפת</w:t>
      </w:r>
      <w:r w:rsidRPr="00A81964">
        <w:rPr>
          <w:b/>
          <w:bCs/>
          <w:rtl/>
        </w:rPr>
        <w:t xml:space="preserve"> </w:t>
      </w:r>
      <w:r w:rsidRPr="00A81964">
        <w:rPr>
          <w:rFonts w:hint="eastAsia"/>
          <w:b/>
          <w:bCs/>
          <w:rtl/>
        </w:rPr>
        <w:t>הקורונה</w:t>
      </w:r>
      <w:r w:rsidRPr="00A81964">
        <w:rPr>
          <w:b/>
          <w:bCs/>
          <w:rtl/>
        </w:rPr>
        <w:t xml:space="preserve"> </w:t>
      </w:r>
      <w:r w:rsidRPr="00354B50">
        <w:rPr>
          <w:rFonts w:hint="eastAsia"/>
          <w:b/>
          <w:bCs/>
          <w:rtl/>
        </w:rPr>
        <w:t>שולמו</w:t>
      </w:r>
      <w:r w:rsidRPr="00354B50">
        <w:rPr>
          <w:b/>
          <w:bCs/>
          <w:rtl/>
        </w:rPr>
        <w:t xml:space="preserve"> </w:t>
      </w:r>
      <w:r w:rsidRPr="00354B50">
        <w:rPr>
          <w:rFonts w:hint="eastAsia"/>
          <w:b/>
          <w:bCs/>
          <w:rtl/>
        </w:rPr>
        <w:t>באמצעות</w:t>
      </w:r>
      <w:r w:rsidRPr="00354B50">
        <w:rPr>
          <w:b/>
          <w:bCs/>
          <w:rtl/>
        </w:rPr>
        <w:t xml:space="preserve"> </w:t>
      </w:r>
      <w:r w:rsidRPr="00354B50">
        <w:rPr>
          <w:rFonts w:hint="eastAsia"/>
          <w:b/>
          <w:bCs/>
          <w:rtl/>
        </w:rPr>
        <w:t>רשות</w:t>
      </w:r>
      <w:r w:rsidRPr="00354B50">
        <w:rPr>
          <w:b/>
          <w:bCs/>
          <w:rtl/>
        </w:rPr>
        <w:t xml:space="preserve"> </w:t>
      </w:r>
      <w:r w:rsidRPr="00354B50">
        <w:rPr>
          <w:rFonts w:hint="eastAsia"/>
          <w:b/>
          <w:bCs/>
          <w:rtl/>
        </w:rPr>
        <w:t>המיסים</w:t>
      </w:r>
      <w:r w:rsidRPr="00354B50">
        <w:rPr>
          <w:b/>
          <w:bCs/>
          <w:rtl/>
        </w:rPr>
        <w:t xml:space="preserve"> </w:t>
      </w:r>
      <w:r w:rsidRPr="00354B50">
        <w:rPr>
          <w:rFonts w:hint="eastAsia"/>
          <w:b/>
          <w:bCs/>
          <w:rtl/>
        </w:rPr>
        <w:t>מענקי</w:t>
      </w:r>
      <w:r w:rsidRPr="00354B50">
        <w:rPr>
          <w:b/>
          <w:bCs/>
          <w:rtl/>
        </w:rPr>
        <w:t xml:space="preserve"> </w:t>
      </w:r>
      <w:r w:rsidRPr="00354B50">
        <w:rPr>
          <w:rFonts w:hint="eastAsia"/>
          <w:b/>
          <w:bCs/>
          <w:rtl/>
        </w:rPr>
        <w:t>קורונה</w:t>
      </w:r>
      <w:r w:rsidRPr="00A81964">
        <w:rPr>
          <w:b/>
          <w:bCs/>
          <w:rtl/>
        </w:rPr>
        <w:t xml:space="preserve"> בסך של </w:t>
      </w:r>
      <w:r w:rsidRPr="00A81964">
        <w:rPr>
          <w:rFonts w:hint="eastAsia"/>
          <w:b/>
          <w:bCs/>
          <w:rtl/>
        </w:rPr>
        <w:t>כ</w:t>
      </w:r>
      <w:r w:rsidRPr="00A81964">
        <w:rPr>
          <w:b/>
          <w:bCs/>
          <w:rtl/>
        </w:rPr>
        <w:t xml:space="preserve">-15.2 מיליארד </w:t>
      </w:r>
      <w:r w:rsidRPr="00A81964">
        <w:rPr>
          <w:rFonts w:hint="eastAsia"/>
          <w:b/>
          <w:bCs/>
          <w:rtl/>
        </w:rPr>
        <w:t>ש</w:t>
      </w:r>
      <w:r w:rsidRPr="00A81964">
        <w:rPr>
          <w:b/>
          <w:bCs/>
          <w:rtl/>
        </w:rPr>
        <w:t xml:space="preserve">"ח, </w:t>
      </w:r>
      <w:r w:rsidRPr="00A81964">
        <w:rPr>
          <w:rFonts w:hint="eastAsia"/>
          <w:b/>
          <w:bCs/>
          <w:rtl/>
        </w:rPr>
        <w:t>ומתוכם</w:t>
      </w:r>
      <w:r w:rsidRPr="00A81964">
        <w:rPr>
          <w:b/>
          <w:bCs/>
          <w:rtl/>
        </w:rPr>
        <w:t xml:space="preserve"> </w:t>
      </w:r>
      <w:r w:rsidRPr="00A81964">
        <w:rPr>
          <w:rFonts w:hint="eastAsia"/>
          <w:b/>
          <w:bCs/>
          <w:rtl/>
        </w:rPr>
        <w:t>נוצרו</w:t>
      </w:r>
      <w:r w:rsidRPr="00A81964">
        <w:rPr>
          <w:b/>
          <w:bCs/>
          <w:rtl/>
        </w:rPr>
        <w:t xml:space="preserve"> </w:t>
      </w:r>
      <w:r w:rsidRPr="00A81964">
        <w:rPr>
          <w:rFonts w:hint="eastAsia"/>
          <w:b/>
          <w:bCs/>
          <w:rtl/>
        </w:rPr>
        <w:t>תשלומים</w:t>
      </w:r>
      <w:r w:rsidRPr="00A81964">
        <w:rPr>
          <w:b/>
          <w:bCs/>
          <w:rtl/>
        </w:rPr>
        <w:t xml:space="preserve"> </w:t>
      </w:r>
      <w:r w:rsidRPr="00A81964">
        <w:rPr>
          <w:rFonts w:hint="eastAsia"/>
          <w:b/>
          <w:bCs/>
          <w:rtl/>
        </w:rPr>
        <w:t>עודפים</w:t>
      </w:r>
      <w:r w:rsidRPr="00A81964">
        <w:rPr>
          <w:b/>
          <w:bCs/>
          <w:rtl/>
        </w:rPr>
        <w:t xml:space="preserve"> </w:t>
      </w:r>
      <w:r w:rsidRPr="00A81964">
        <w:rPr>
          <w:rFonts w:hint="eastAsia"/>
          <w:b/>
          <w:bCs/>
          <w:rtl/>
        </w:rPr>
        <w:t>בסך</w:t>
      </w:r>
      <w:r w:rsidRPr="00A81964">
        <w:rPr>
          <w:b/>
          <w:bCs/>
          <w:rtl/>
        </w:rPr>
        <w:t xml:space="preserve"> </w:t>
      </w:r>
      <w:r w:rsidRPr="00A81964">
        <w:rPr>
          <w:rFonts w:hint="eastAsia"/>
          <w:b/>
          <w:bCs/>
          <w:rtl/>
        </w:rPr>
        <w:t>של</w:t>
      </w:r>
      <w:r w:rsidRPr="00A81964">
        <w:rPr>
          <w:b/>
          <w:bCs/>
          <w:rtl/>
        </w:rPr>
        <w:t xml:space="preserve"> 1.38 </w:t>
      </w:r>
      <w:r w:rsidRPr="00A81964">
        <w:rPr>
          <w:rFonts w:hint="eastAsia"/>
          <w:b/>
          <w:bCs/>
          <w:rtl/>
        </w:rPr>
        <w:t>מיליארד</w:t>
      </w:r>
      <w:r w:rsidRPr="00A81964">
        <w:rPr>
          <w:b/>
          <w:bCs/>
          <w:rtl/>
        </w:rPr>
        <w:t xml:space="preserve"> </w:t>
      </w:r>
      <w:r w:rsidRPr="00A81964">
        <w:rPr>
          <w:rFonts w:hint="eastAsia"/>
          <w:b/>
          <w:bCs/>
          <w:rtl/>
        </w:rPr>
        <w:t>ש</w:t>
      </w:r>
      <w:r w:rsidRPr="00A81964">
        <w:rPr>
          <w:b/>
          <w:bCs/>
          <w:rtl/>
        </w:rPr>
        <w:t>"ח.</w:t>
      </w:r>
    </w:p>
    <w:p w:rsidR="006252C4" w:rsidRPr="00A81964" w:rsidRDefault="006252C4" w:rsidP="006252C4">
      <w:pPr>
        <w:spacing w:line="269" w:lineRule="auto"/>
      </w:pPr>
      <w:r w:rsidRPr="00A81964">
        <w:rPr>
          <w:rFonts w:hint="cs"/>
          <w:rtl/>
        </w:rPr>
        <w:t xml:space="preserve">להלן בתרשים 17 </w:t>
      </w:r>
      <w:r>
        <w:rPr>
          <w:rFonts w:hint="cs"/>
          <w:rtl/>
        </w:rPr>
        <w:t>התפלגות</w:t>
      </w:r>
      <w:r w:rsidRPr="00A81964">
        <w:rPr>
          <w:rFonts w:hint="cs"/>
          <w:rtl/>
        </w:rPr>
        <w:t xml:space="preserve"> </w:t>
      </w:r>
      <w:r>
        <w:rPr>
          <w:rFonts w:hint="cs"/>
          <w:rtl/>
        </w:rPr>
        <w:t>ה</w:t>
      </w:r>
      <w:r w:rsidRPr="00A81964">
        <w:rPr>
          <w:rFonts w:hint="cs"/>
          <w:rtl/>
        </w:rPr>
        <w:t xml:space="preserve">תשלומים </w:t>
      </w:r>
      <w:r>
        <w:rPr>
          <w:rFonts w:hint="cs"/>
          <w:rtl/>
        </w:rPr>
        <w:t>ה</w:t>
      </w:r>
      <w:r w:rsidRPr="00A81964">
        <w:rPr>
          <w:rFonts w:hint="cs"/>
          <w:rtl/>
        </w:rPr>
        <w:t>עודפים בתקופת מגפת הקורונה בין תשלומים עודפים שהוחזרו לקרן הפיצויים לבין תשלומים עודפים שטרם הוחזרו, עד אוקטובר 2024.</w:t>
      </w:r>
    </w:p>
    <w:p w:rsidR="006252C4" w:rsidRPr="00A81964" w:rsidRDefault="006252C4" w:rsidP="006252C4">
      <w:pPr>
        <w:spacing w:line="269" w:lineRule="auto"/>
        <w:rPr>
          <w:rtl/>
        </w:rPr>
      </w:pPr>
    </w:p>
    <w:p w:rsidR="006252C4" w:rsidRPr="00A81964" w:rsidRDefault="006252C4" w:rsidP="006252C4">
      <w:pPr>
        <w:keepNext/>
        <w:keepLines/>
        <w:spacing w:line="269" w:lineRule="auto"/>
        <w:jc w:val="center"/>
        <w:rPr>
          <w:rtl/>
        </w:rPr>
      </w:pPr>
      <w:r w:rsidRPr="00A81964">
        <w:rPr>
          <w:rFonts w:hint="cs"/>
          <w:rtl/>
        </w:rPr>
        <w:t xml:space="preserve">תרשים 17: </w:t>
      </w:r>
      <w:r>
        <w:rPr>
          <w:rFonts w:hint="cs"/>
          <w:b/>
          <w:bCs/>
          <w:rtl/>
        </w:rPr>
        <w:t>התפלגות ה</w:t>
      </w:r>
      <w:r w:rsidRPr="00A81964">
        <w:rPr>
          <w:b/>
          <w:bCs/>
          <w:rtl/>
        </w:rPr>
        <w:t xml:space="preserve">תשלומים </w:t>
      </w:r>
      <w:r>
        <w:rPr>
          <w:rFonts w:hint="cs"/>
          <w:b/>
          <w:bCs/>
          <w:rtl/>
        </w:rPr>
        <w:t>ה</w:t>
      </w:r>
      <w:r w:rsidRPr="00A81964">
        <w:rPr>
          <w:b/>
          <w:bCs/>
          <w:rtl/>
        </w:rPr>
        <w:t xml:space="preserve">עודפים בתקופת </w:t>
      </w:r>
      <w:r w:rsidRPr="00A81964">
        <w:rPr>
          <w:rFonts w:hint="eastAsia"/>
          <w:b/>
          <w:bCs/>
          <w:rtl/>
        </w:rPr>
        <w:t>מגפת</w:t>
      </w:r>
      <w:r w:rsidRPr="00A81964">
        <w:rPr>
          <w:b/>
          <w:bCs/>
          <w:rtl/>
        </w:rPr>
        <w:t xml:space="preserve"> הקורונה, בין תשלומים עודפים שהוחזרו לקרן הפיצויים לבין תשלומים עודפים שטרם הוחזרו, </w:t>
      </w:r>
      <w:r w:rsidRPr="00A81964">
        <w:rPr>
          <w:rFonts w:hint="eastAsia"/>
          <w:b/>
          <w:bCs/>
          <w:rtl/>
        </w:rPr>
        <w:t>עד</w:t>
      </w:r>
      <w:r w:rsidRPr="00A81964">
        <w:rPr>
          <w:b/>
          <w:bCs/>
          <w:rtl/>
        </w:rPr>
        <w:t xml:space="preserve"> </w:t>
      </w:r>
      <w:r w:rsidRPr="00A81964">
        <w:rPr>
          <w:rFonts w:hint="eastAsia"/>
          <w:b/>
          <w:bCs/>
          <w:rtl/>
        </w:rPr>
        <w:t>אוקטובר</w:t>
      </w:r>
      <w:r w:rsidRPr="00A81964">
        <w:rPr>
          <w:b/>
          <w:bCs/>
          <w:rtl/>
        </w:rPr>
        <w:t xml:space="preserve"> 2024</w:t>
      </w:r>
      <w:r w:rsidRPr="00A81964">
        <w:rPr>
          <w:rFonts w:hint="cs"/>
          <w:rtl/>
        </w:rPr>
        <w:t xml:space="preserve"> </w:t>
      </w:r>
      <w:r w:rsidRPr="00A81964">
        <w:rPr>
          <w:b/>
          <w:bCs/>
          <w:rtl/>
        </w:rPr>
        <w:t>(במיליוני ש"ח)</w:t>
      </w:r>
    </w:p>
    <w:p w:rsidR="006252C4" w:rsidRPr="00A81964" w:rsidRDefault="006252C4" w:rsidP="006252C4">
      <w:pPr>
        <w:spacing w:line="269" w:lineRule="auto"/>
        <w:ind w:left="312"/>
        <w:jc w:val="center"/>
        <w:rPr>
          <w:rtl/>
        </w:rPr>
      </w:pPr>
      <w:r>
        <w:rPr>
          <w:noProof/>
        </w:rPr>
        <w:drawing>
          <wp:inline distT="0" distB="0" distL="0" distR="0" wp14:anchorId="0FA3BAB6" wp14:editId="173E902B">
            <wp:extent cx="5067103" cy="2731325"/>
            <wp:effectExtent l="0" t="0" r="635" b="0"/>
            <wp:docPr id="36" name="תמונה 36" descr="תוכן התרשים מופיע בטקסט&#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7008" b="2821"/>
                    <a:stretch/>
                  </pic:blipFill>
                  <pic:spPr bwMode="auto">
                    <a:xfrm>
                      <a:off x="0" y="0"/>
                      <a:ext cx="5091148" cy="2744286"/>
                    </a:xfrm>
                    <a:prstGeom prst="rect">
                      <a:avLst/>
                    </a:prstGeom>
                    <a:noFill/>
                    <a:ln>
                      <a:noFill/>
                    </a:ln>
                    <a:extLst>
                      <a:ext uri="{53640926-AAD7-44D8-BBD7-CCE9431645EC}">
                        <a14:shadowObscured xmlns:a14="http://schemas.microsoft.com/office/drawing/2010/main"/>
                      </a:ext>
                    </a:extLst>
                  </pic:spPr>
                </pic:pic>
              </a:graphicData>
            </a:graphic>
          </wp:inline>
        </w:drawing>
      </w:r>
    </w:p>
    <w:p w:rsidR="006252C4" w:rsidRPr="00A81964" w:rsidRDefault="006252C4" w:rsidP="006252C4">
      <w:pPr>
        <w:spacing w:line="269" w:lineRule="auto"/>
        <w:rPr>
          <w:sz w:val="16"/>
          <w:szCs w:val="20"/>
          <w:rtl/>
        </w:rPr>
      </w:pPr>
      <w:r w:rsidRPr="00A81964">
        <w:rPr>
          <w:rFonts w:hint="cs"/>
          <w:sz w:val="16"/>
          <w:szCs w:val="20"/>
          <w:rtl/>
        </w:rPr>
        <w:t xml:space="preserve">על פי נתוני </w:t>
      </w:r>
      <w:r w:rsidRPr="00354B50">
        <w:rPr>
          <w:rFonts w:hint="cs"/>
          <w:sz w:val="16"/>
          <w:szCs w:val="20"/>
          <w:rtl/>
        </w:rPr>
        <w:t>רשות המיסים</w:t>
      </w:r>
      <w:r w:rsidRPr="00A81964">
        <w:rPr>
          <w:rFonts w:hint="cs"/>
          <w:sz w:val="16"/>
          <w:szCs w:val="20"/>
          <w:rtl/>
        </w:rPr>
        <w:t>, בעיבוד משרד מבקר המדינה.</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eastAsia"/>
          <w:b/>
          <w:bCs/>
          <w:rtl/>
        </w:rPr>
        <w:t>מתרשים</w:t>
      </w:r>
      <w:r w:rsidRPr="00A81964">
        <w:rPr>
          <w:b/>
          <w:bCs/>
          <w:rtl/>
        </w:rPr>
        <w:t xml:space="preserve"> </w:t>
      </w:r>
      <w:r w:rsidRPr="00A81964">
        <w:rPr>
          <w:rFonts w:hint="cs"/>
          <w:b/>
          <w:bCs/>
          <w:rtl/>
        </w:rPr>
        <w:t>17</w:t>
      </w:r>
      <w:r w:rsidRPr="00A81964">
        <w:rPr>
          <w:b/>
          <w:bCs/>
          <w:rtl/>
        </w:rPr>
        <w:t xml:space="preserve"> עולה כי </w:t>
      </w:r>
      <w:r w:rsidRPr="00A81964">
        <w:rPr>
          <w:rFonts w:hint="cs"/>
          <w:b/>
          <w:bCs/>
          <w:rtl/>
        </w:rPr>
        <w:t>46% מהתשלומים העודפים ששולמו בתקופת מגפת הקורונה, בסך של כ-634 מיליון ש"ח, טרם הוחזרו לקרן הפיצויים, נכון לאוקטובר 2024.</w:t>
      </w:r>
    </w:p>
    <w:p w:rsidR="006252C4" w:rsidRPr="00A81964" w:rsidRDefault="006252C4" w:rsidP="006252C4">
      <w:pPr>
        <w:spacing w:line="269" w:lineRule="auto"/>
        <w:rPr>
          <w:rtl/>
        </w:rPr>
      </w:pPr>
    </w:p>
    <w:p w:rsidR="006252C4" w:rsidRPr="00A81964" w:rsidRDefault="006252C4" w:rsidP="006252C4">
      <w:pPr>
        <w:pStyle w:val="6"/>
        <w:keepNext w:val="0"/>
        <w:keepLines w:val="0"/>
        <w:spacing w:line="269" w:lineRule="auto"/>
        <w:rPr>
          <w:rtl/>
        </w:rPr>
      </w:pPr>
      <w:r w:rsidRPr="00A81964">
        <w:rPr>
          <w:rFonts w:hint="cs"/>
          <w:rtl/>
        </w:rPr>
        <w:t>תשלומים עודפים במבצע "שומר החומות"</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eastAsia"/>
          <w:b/>
          <w:bCs/>
          <w:rtl/>
        </w:rPr>
        <w:t>על</w:t>
      </w:r>
      <w:r w:rsidRPr="00A81964">
        <w:rPr>
          <w:b/>
          <w:bCs/>
          <w:rtl/>
        </w:rPr>
        <w:t xml:space="preserve"> פי נתוני רשות המיסים, במבצע "שומר החומות" </w:t>
      </w:r>
      <w:r w:rsidRPr="00354B50">
        <w:rPr>
          <w:rFonts w:hint="eastAsia"/>
          <w:b/>
          <w:bCs/>
          <w:rtl/>
        </w:rPr>
        <w:t>שילמה</w:t>
      </w:r>
      <w:r w:rsidRPr="00354B50">
        <w:rPr>
          <w:b/>
          <w:bCs/>
          <w:rtl/>
        </w:rPr>
        <w:t xml:space="preserve"> </w:t>
      </w:r>
      <w:r w:rsidRPr="00354B50">
        <w:rPr>
          <w:rFonts w:hint="eastAsia"/>
          <w:b/>
          <w:bCs/>
          <w:rtl/>
        </w:rPr>
        <w:t>הקרן</w:t>
      </w:r>
      <w:r w:rsidRPr="00354B50">
        <w:rPr>
          <w:b/>
          <w:bCs/>
          <w:rtl/>
        </w:rPr>
        <w:t xml:space="preserve"> </w:t>
      </w:r>
      <w:r w:rsidRPr="00354B50">
        <w:rPr>
          <w:rFonts w:hint="eastAsia"/>
          <w:b/>
          <w:bCs/>
          <w:rtl/>
        </w:rPr>
        <w:t>פיצויים</w:t>
      </w:r>
      <w:r w:rsidRPr="00A81964">
        <w:rPr>
          <w:b/>
          <w:bCs/>
          <w:rtl/>
        </w:rPr>
        <w:t xml:space="preserve">, </w:t>
      </w:r>
      <w:r w:rsidRPr="00A81964">
        <w:rPr>
          <w:rFonts w:hint="eastAsia"/>
          <w:b/>
          <w:bCs/>
          <w:rtl/>
        </w:rPr>
        <w:t>כאמור</w:t>
      </w:r>
      <w:r w:rsidRPr="00A81964">
        <w:rPr>
          <w:b/>
          <w:bCs/>
          <w:rtl/>
        </w:rPr>
        <w:t xml:space="preserve">, </w:t>
      </w:r>
      <w:r w:rsidRPr="00A81964">
        <w:rPr>
          <w:rFonts w:hint="eastAsia"/>
          <w:b/>
          <w:bCs/>
          <w:rtl/>
        </w:rPr>
        <w:t>בגין</w:t>
      </w:r>
      <w:r w:rsidRPr="00A81964">
        <w:rPr>
          <w:b/>
          <w:bCs/>
          <w:rtl/>
        </w:rPr>
        <w:t xml:space="preserve"> </w:t>
      </w:r>
      <w:r w:rsidRPr="00A81964">
        <w:rPr>
          <w:rFonts w:hint="eastAsia"/>
          <w:b/>
          <w:bCs/>
          <w:rtl/>
        </w:rPr>
        <w:t>נזקים</w:t>
      </w:r>
      <w:r w:rsidRPr="00A81964">
        <w:rPr>
          <w:b/>
          <w:bCs/>
          <w:rtl/>
        </w:rPr>
        <w:t xml:space="preserve"> </w:t>
      </w:r>
      <w:r w:rsidRPr="00A81964">
        <w:rPr>
          <w:rFonts w:hint="eastAsia"/>
          <w:b/>
          <w:bCs/>
          <w:rtl/>
        </w:rPr>
        <w:t>עקיפים</w:t>
      </w:r>
      <w:r w:rsidRPr="00A81964">
        <w:rPr>
          <w:b/>
          <w:bCs/>
          <w:rtl/>
        </w:rPr>
        <w:t xml:space="preserve"> </w:t>
      </w:r>
      <w:r w:rsidRPr="00A81964">
        <w:rPr>
          <w:rFonts w:hint="eastAsia"/>
          <w:b/>
          <w:bCs/>
          <w:rtl/>
        </w:rPr>
        <w:t>שנגרמו</w:t>
      </w:r>
      <w:r w:rsidRPr="00A81964">
        <w:rPr>
          <w:b/>
          <w:bCs/>
          <w:rtl/>
        </w:rPr>
        <w:t xml:space="preserve"> </w:t>
      </w:r>
      <w:r w:rsidRPr="00A81964">
        <w:rPr>
          <w:rFonts w:hint="eastAsia"/>
          <w:b/>
          <w:bCs/>
          <w:rtl/>
        </w:rPr>
        <w:t>במהלך</w:t>
      </w:r>
      <w:r w:rsidRPr="00A81964">
        <w:rPr>
          <w:b/>
          <w:bCs/>
          <w:rtl/>
        </w:rPr>
        <w:t xml:space="preserve"> </w:t>
      </w:r>
      <w:r w:rsidRPr="00A81964">
        <w:rPr>
          <w:rFonts w:hint="eastAsia"/>
          <w:b/>
          <w:bCs/>
          <w:rtl/>
        </w:rPr>
        <w:t>מאי</w:t>
      </w:r>
      <w:r w:rsidRPr="00A81964">
        <w:rPr>
          <w:b/>
          <w:bCs/>
          <w:rtl/>
        </w:rPr>
        <w:t xml:space="preserve"> 2021 </w:t>
      </w:r>
      <w:r w:rsidRPr="00A81964">
        <w:rPr>
          <w:rFonts w:hint="eastAsia"/>
          <w:b/>
          <w:bCs/>
          <w:rtl/>
        </w:rPr>
        <w:t>סך</w:t>
      </w:r>
      <w:r w:rsidRPr="00A81964">
        <w:rPr>
          <w:b/>
          <w:bCs/>
          <w:rtl/>
        </w:rPr>
        <w:t xml:space="preserve"> </w:t>
      </w:r>
      <w:r w:rsidRPr="00A81964">
        <w:rPr>
          <w:rFonts w:hint="eastAsia"/>
          <w:b/>
          <w:bCs/>
          <w:rtl/>
        </w:rPr>
        <w:t>של</w:t>
      </w:r>
      <w:r w:rsidRPr="00A81964">
        <w:rPr>
          <w:b/>
          <w:bCs/>
          <w:rtl/>
        </w:rPr>
        <w:t xml:space="preserve"> </w:t>
      </w:r>
      <w:r w:rsidRPr="00A81964">
        <w:rPr>
          <w:rFonts w:hint="eastAsia"/>
          <w:b/>
          <w:bCs/>
          <w:rtl/>
        </w:rPr>
        <w:t>כ</w:t>
      </w:r>
      <w:r w:rsidRPr="00A81964">
        <w:rPr>
          <w:b/>
          <w:bCs/>
          <w:rtl/>
        </w:rPr>
        <w:t xml:space="preserve">-268 </w:t>
      </w:r>
      <w:r w:rsidRPr="00A81964">
        <w:rPr>
          <w:rFonts w:hint="eastAsia"/>
          <w:b/>
          <w:bCs/>
          <w:rtl/>
        </w:rPr>
        <w:t>מיליון</w:t>
      </w:r>
      <w:r w:rsidRPr="00A81964">
        <w:rPr>
          <w:b/>
          <w:bCs/>
          <w:rtl/>
        </w:rPr>
        <w:t xml:space="preserve"> </w:t>
      </w:r>
      <w:r w:rsidRPr="00A81964">
        <w:rPr>
          <w:rFonts w:hint="eastAsia"/>
          <w:b/>
          <w:bCs/>
          <w:rtl/>
        </w:rPr>
        <w:t>ש</w:t>
      </w:r>
      <w:r w:rsidRPr="00A81964">
        <w:rPr>
          <w:b/>
          <w:bCs/>
          <w:rtl/>
        </w:rPr>
        <w:t xml:space="preserve">"ח. </w:t>
      </w:r>
      <w:r w:rsidRPr="00A81964">
        <w:rPr>
          <w:rFonts w:hint="eastAsia"/>
          <w:b/>
          <w:bCs/>
          <w:rtl/>
        </w:rPr>
        <w:t>מתוכם</w:t>
      </w:r>
      <w:r w:rsidRPr="00A81964">
        <w:rPr>
          <w:b/>
          <w:bCs/>
          <w:rtl/>
        </w:rPr>
        <w:t xml:space="preserve"> </w:t>
      </w:r>
      <w:r w:rsidRPr="00A81964">
        <w:rPr>
          <w:rFonts w:hint="eastAsia"/>
          <w:b/>
          <w:bCs/>
          <w:rtl/>
        </w:rPr>
        <w:t>נוצרו</w:t>
      </w:r>
      <w:r w:rsidRPr="00A81964">
        <w:rPr>
          <w:b/>
          <w:bCs/>
          <w:rtl/>
        </w:rPr>
        <w:t xml:space="preserve"> </w:t>
      </w:r>
      <w:r w:rsidRPr="00A81964">
        <w:rPr>
          <w:rFonts w:hint="eastAsia"/>
          <w:b/>
          <w:bCs/>
          <w:rtl/>
        </w:rPr>
        <w:t>תשלומים</w:t>
      </w:r>
      <w:r w:rsidRPr="00A81964">
        <w:rPr>
          <w:b/>
          <w:bCs/>
          <w:rtl/>
        </w:rPr>
        <w:t xml:space="preserve"> </w:t>
      </w:r>
      <w:r w:rsidRPr="00A81964">
        <w:rPr>
          <w:rFonts w:hint="eastAsia"/>
          <w:b/>
          <w:bCs/>
          <w:rtl/>
        </w:rPr>
        <w:t>עודפים</w:t>
      </w:r>
      <w:r w:rsidRPr="00A81964">
        <w:rPr>
          <w:b/>
          <w:bCs/>
          <w:rtl/>
        </w:rPr>
        <w:t xml:space="preserve"> </w:t>
      </w:r>
      <w:r w:rsidRPr="00A81964">
        <w:rPr>
          <w:rFonts w:hint="eastAsia"/>
          <w:b/>
          <w:bCs/>
          <w:rtl/>
        </w:rPr>
        <w:t>בסך</w:t>
      </w:r>
      <w:r w:rsidRPr="00A81964">
        <w:rPr>
          <w:b/>
          <w:bCs/>
          <w:rtl/>
        </w:rPr>
        <w:t xml:space="preserve"> </w:t>
      </w:r>
      <w:r w:rsidRPr="00A81964">
        <w:rPr>
          <w:rFonts w:hint="eastAsia"/>
          <w:b/>
          <w:bCs/>
          <w:rtl/>
        </w:rPr>
        <w:t>של</w:t>
      </w:r>
      <w:r w:rsidRPr="00A81964">
        <w:rPr>
          <w:b/>
          <w:bCs/>
          <w:rtl/>
        </w:rPr>
        <w:t xml:space="preserve"> </w:t>
      </w:r>
      <w:r w:rsidRPr="00A81964">
        <w:rPr>
          <w:rFonts w:hint="eastAsia"/>
          <w:b/>
          <w:bCs/>
          <w:rtl/>
        </w:rPr>
        <w:t>כ</w:t>
      </w:r>
      <w:r w:rsidRPr="00A81964">
        <w:rPr>
          <w:b/>
          <w:bCs/>
          <w:rtl/>
        </w:rPr>
        <w:t xml:space="preserve">-29.5 </w:t>
      </w:r>
      <w:r w:rsidRPr="00A81964">
        <w:rPr>
          <w:rFonts w:hint="eastAsia"/>
          <w:b/>
          <w:bCs/>
          <w:rtl/>
        </w:rPr>
        <w:t>מיליון</w:t>
      </w:r>
      <w:r w:rsidRPr="00A81964">
        <w:rPr>
          <w:b/>
          <w:bCs/>
          <w:rtl/>
        </w:rPr>
        <w:t xml:space="preserve"> </w:t>
      </w:r>
      <w:r w:rsidRPr="00A81964">
        <w:rPr>
          <w:rFonts w:hint="eastAsia"/>
          <w:b/>
          <w:bCs/>
          <w:rtl/>
        </w:rPr>
        <w:t>ש</w:t>
      </w:r>
      <w:r w:rsidRPr="00A81964">
        <w:rPr>
          <w:b/>
          <w:bCs/>
          <w:rtl/>
        </w:rPr>
        <w:t>"ח.</w:t>
      </w:r>
    </w:p>
    <w:p w:rsidR="006252C4" w:rsidRDefault="006252C4" w:rsidP="006252C4">
      <w:pPr>
        <w:pStyle w:val="a8"/>
        <w:spacing w:line="269" w:lineRule="auto"/>
        <w:rPr>
          <w:rtl/>
        </w:rPr>
      </w:pPr>
    </w:p>
    <w:p w:rsidR="006252C4" w:rsidRDefault="006252C4" w:rsidP="006252C4">
      <w:pPr>
        <w:spacing w:line="269" w:lineRule="auto"/>
        <w:rPr>
          <w:rtl/>
        </w:rPr>
      </w:pPr>
      <w:r w:rsidRPr="00A81964">
        <w:rPr>
          <w:rFonts w:hint="cs"/>
          <w:rtl/>
        </w:rPr>
        <w:t xml:space="preserve">להלן בתרשים 18 </w:t>
      </w:r>
      <w:r>
        <w:rPr>
          <w:rFonts w:hint="cs"/>
          <w:rtl/>
        </w:rPr>
        <w:t>התפלגות ה</w:t>
      </w:r>
      <w:r w:rsidRPr="00A81964">
        <w:rPr>
          <w:rFonts w:hint="cs"/>
          <w:rtl/>
        </w:rPr>
        <w:t xml:space="preserve">תשלומים </w:t>
      </w:r>
      <w:r>
        <w:rPr>
          <w:rFonts w:hint="cs"/>
          <w:rtl/>
        </w:rPr>
        <w:t>ה</w:t>
      </w:r>
      <w:r w:rsidRPr="00A81964">
        <w:rPr>
          <w:rFonts w:hint="cs"/>
          <w:rtl/>
        </w:rPr>
        <w:t>עודפים במבצע "שומר החומות", תוך הבחנה בין תשלומים עודפים שהוחזרו לקרן הפיצויים לבין תשלומים עודפים שטרם הוחזרו, עד אוקטובר 2024.</w:t>
      </w:r>
    </w:p>
    <w:p w:rsidR="006252C4" w:rsidRPr="00A81964" w:rsidRDefault="006252C4" w:rsidP="006252C4">
      <w:pPr>
        <w:spacing w:line="269" w:lineRule="auto"/>
        <w:rPr>
          <w:rtl/>
        </w:rPr>
      </w:pPr>
    </w:p>
    <w:p w:rsidR="006252C4" w:rsidRPr="00A81964" w:rsidRDefault="006252C4" w:rsidP="006252C4">
      <w:pPr>
        <w:keepNext/>
        <w:keepLines/>
        <w:spacing w:line="269" w:lineRule="auto"/>
        <w:jc w:val="center"/>
        <w:rPr>
          <w:u w:val="single"/>
          <w:rtl/>
        </w:rPr>
      </w:pPr>
      <w:r w:rsidRPr="00A81964">
        <w:rPr>
          <w:rFonts w:hint="cs"/>
          <w:rtl/>
        </w:rPr>
        <w:lastRenderedPageBreak/>
        <w:t xml:space="preserve">תרשים 18: </w:t>
      </w:r>
      <w:r>
        <w:rPr>
          <w:rFonts w:hint="cs"/>
          <w:b/>
          <w:bCs/>
          <w:rtl/>
        </w:rPr>
        <w:t>התפלגות ה</w:t>
      </w:r>
      <w:r w:rsidRPr="00A81964">
        <w:rPr>
          <w:b/>
          <w:bCs/>
          <w:rtl/>
        </w:rPr>
        <w:t xml:space="preserve">תשלומים </w:t>
      </w:r>
      <w:r>
        <w:rPr>
          <w:rFonts w:hint="cs"/>
          <w:b/>
          <w:bCs/>
          <w:rtl/>
        </w:rPr>
        <w:t>ה</w:t>
      </w:r>
      <w:r w:rsidRPr="00A81964">
        <w:rPr>
          <w:b/>
          <w:bCs/>
          <w:rtl/>
        </w:rPr>
        <w:t>עודפים במבצע "שומר החומות"</w:t>
      </w:r>
      <w:r w:rsidRPr="00A81964">
        <w:rPr>
          <w:rFonts w:hint="cs"/>
          <w:b/>
          <w:bCs/>
          <w:rtl/>
        </w:rPr>
        <w:t>,</w:t>
      </w:r>
      <w:r w:rsidRPr="00A81964">
        <w:rPr>
          <w:b/>
          <w:bCs/>
          <w:rtl/>
        </w:rPr>
        <w:t xml:space="preserve"> בין תשלומים עודפים שהוחזרו לקרן הפיצויים לבין תשלומים עודפים שטרם הוחזרו (במיליוני ש"ח)</w:t>
      </w:r>
    </w:p>
    <w:p w:rsidR="006252C4" w:rsidRPr="00A81964" w:rsidRDefault="006252C4" w:rsidP="006252C4">
      <w:pPr>
        <w:spacing w:line="269" w:lineRule="auto"/>
        <w:ind w:left="312"/>
        <w:jc w:val="center"/>
      </w:pPr>
      <w:r>
        <w:rPr>
          <w:noProof/>
        </w:rPr>
        <w:drawing>
          <wp:inline distT="0" distB="0" distL="0" distR="0" wp14:anchorId="562D7000" wp14:editId="282E9A8D">
            <wp:extent cx="4740380" cy="2541319"/>
            <wp:effectExtent l="0" t="0" r="3175" b="0"/>
            <wp:docPr id="2" name="תמונה 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929" b="2682"/>
                    <a:stretch/>
                  </pic:blipFill>
                  <pic:spPr bwMode="auto">
                    <a:xfrm>
                      <a:off x="0" y="0"/>
                      <a:ext cx="4750287" cy="2546630"/>
                    </a:xfrm>
                    <a:prstGeom prst="rect">
                      <a:avLst/>
                    </a:prstGeom>
                    <a:noFill/>
                    <a:ln>
                      <a:noFill/>
                    </a:ln>
                    <a:extLst>
                      <a:ext uri="{53640926-AAD7-44D8-BBD7-CCE9431645EC}">
                        <a14:shadowObscured xmlns:a14="http://schemas.microsoft.com/office/drawing/2010/main"/>
                      </a:ext>
                    </a:extLst>
                  </pic:spPr>
                </pic:pic>
              </a:graphicData>
            </a:graphic>
          </wp:inline>
        </w:drawing>
      </w:r>
    </w:p>
    <w:p w:rsidR="006252C4" w:rsidRPr="00A81964" w:rsidRDefault="006252C4" w:rsidP="00F316D6">
      <w:pPr>
        <w:spacing w:before="60" w:line="269" w:lineRule="auto"/>
        <w:rPr>
          <w:sz w:val="16"/>
          <w:szCs w:val="20"/>
          <w:rtl/>
        </w:rPr>
      </w:pPr>
      <w:r w:rsidRPr="00A81964">
        <w:rPr>
          <w:rFonts w:hint="cs"/>
          <w:sz w:val="16"/>
          <w:szCs w:val="20"/>
          <w:rtl/>
        </w:rPr>
        <w:t xml:space="preserve">על פי נתוני </w:t>
      </w:r>
      <w:r w:rsidRPr="00354B50">
        <w:rPr>
          <w:rFonts w:hint="cs"/>
          <w:sz w:val="16"/>
          <w:szCs w:val="20"/>
          <w:rtl/>
        </w:rPr>
        <w:t>רשות המיסים</w:t>
      </w:r>
      <w:r w:rsidRPr="00A81964">
        <w:rPr>
          <w:rFonts w:hint="cs"/>
          <w:sz w:val="16"/>
          <w:szCs w:val="20"/>
          <w:rtl/>
        </w:rPr>
        <w:t>, בעיבוד משרד מבקר המדינה.</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eastAsia"/>
          <w:b/>
          <w:bCs/>
          <w:rtl/>
        </w:rPr>
        <w:t>מתרשים</w:t>
      </w:r>
      <w:r w:rsidRPr="00A81964">
        <w:rPr>
          <w:b/>
          <w:bCs/>
          <w:rtl/>
        </w:rPr>
        <w:t xml:space="preserve"> </w:t>
      </w:r>
      <w:r w:rsidRPr="00A81964">
        <w:rPr>
          <w:rFonts w:hint="cs"/>
          <w:b/>
          <w:bCs/>
          <w:rtl/>
        </w:rPr>
        <w:t>18</w:t>
      </w:r>
      <w:r w:rsidRPr="00A81964">
        <w:rPr>
          <w:b/>
          <w:bCs/>
          <w:rtl/>
        </w:rPr>
        <w:t xml:space="preserve"> עולה כי </w:t>
      </w:r>
      <w:r w:rsidRPr="00A81964">
        <w:rPr>
          <w:rFonts w:hint="cs"/>
          <w:b/>
          <w:bCs/>
          <w:rtl/>
        </w:rPr>
        <w:t>71% מהתשלומים העודפים ששולמו במבצע "שומר החומות", בסך של כ-21 מיליון ש"ח, טרם הוחזרו לקרן הפיצויים, נכון לאוקטובר 2024.</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הביקורת העלתה כי רשות המיסים טרם גבתה כ-47% מהתשלומים העודפים ששולמו בתקופת מגפת הקורונה ובמבצע "שומר החומות" בסך מצטבר של כ-655 מיליון ש"ח, וזאת אף שלגבי חלק מהם חלפו ארבע שנים מהמועד בו שולמו.</w:t>
      </w:r>
    </w:p>
    <w:p w:rsidR="006252C4" w:rsidRDefault="006252C4" w:rsidP="006252C4">
      <w:pPr>
        <w:pStyle w:val="a8"/>
        <w:spacing w:line="269" w:lineRule="auto"/>
        <w:rPr>
          <w:rtl/>
        </w:rPr>
      </w:pPr>
    </w:p>
    <w:p w:rsidR="006252C4" w:rsidRPr="00A81964" w:rsidRDefault="006252C4" w:rsidP="006252C4">
      <w:pPr>
        <w:spacing w:line="269" w:lineRule="auto"/>
        <w:rPr>
          <w:b/>
          <w:bCs/>
          <w:rtl/>
        </w:rPr>
      </w:pPr>
      <w:bookmarkStart w:id="25" w:name="_Hlk201242472"/>
      <w:r w:rsidRPr="00A81964">
        <w:rPr>
          <w:rFonts w:hint="cs"/>
          <w:b/>
          <w:bCs/>
          <w:rtl/>
        </w:rPr>
        <w:t>משרד מבקר המדינה מעיר כי היעדר גבייה של חובות ע</w:t>
      </w:r>
      <w:r>
        <w:rPr>
          <w:rFonts w:hint="cs"/>
          <w:b/>
          <w:bCs/>
          <w:rtl/>
        </w:rPr>
        <w:t>ל ידי</w:t>
      </w:r>
      <w:r w:rsidRPr="00A81964">
        <w:rPr>
          <w:rFonts w:hint="cs"/>
          <w:b/>
          <w:bCs/>
          <w:rtl/>
        </w:rPr>
        <w:t xml:space="preserve"> רשות המיסים בהיקף של מאות מיליוני ש"ח, אף שחלפו שנים </w:t>
      </w:r>
      <w:r>
        <w:rPr>
          <w:rFonts w:hint="cs"/>
          <w:b/>
          <w:bCs/>
          <w:rtl/>
        </w:rPr>
        <w:t xml:space="preserve">מספר </w:t>
      </w:r>
      <w:r w:rsidRPr="00A81964">
        <w:rPr>
          <w:rFonts w:hint="cs"/>
          <w:b/>
          <w:bCs/>
          <w:rtl/>
        </w:rPr>
        <w:t>ממועד היווצרותם, מביא לפגיעה בקופת המדינה ובעקרון השוויון ומחדד את הצורך בפיתוח מנגנונים למניעת תשלומים עודפים מבעוד מועד. נוסף על כך, ככל שחולף הזמן ממועד היווצרות החוב ועד לנקיטת הפעולות לגבייתו, פוחתים הסיכויים שרשות המיסים תוכל לגבותו</w:t>
      </w:r>
      <w:bookmarkEnd w:id="25"/>
      <w:r w:rsidRPr="00A81964">
        <w:rPr>
          <w:rStyle w:val="af2"/>
          <w:b/>
          <w:bCs/>
          <w:rtl/>
        </w:rPr>
        <w:footnoteReference w:id="95"/>
      </w:r>
      <w:r w:rsidRPr="00A81964">
        <w:rPr>
          <w:rFonts w:hint="cs"/>
          <w:b/>
          <w:bCs/>
          <w:rtl/>
        </w:rPr>
        <w:t>.</w:t>
      </w:r>
    </w:p>
    <w:p w:rsidR="006252C4" w:rsidRDefault="006252C4" w:rsidP="006252C4">
      <w:pPr>
        <w:pStyle w:val="a8"/>
        <w:spacing w:line="269" w:lineRule="auto"/>
        <w:rPr>
          <w:rtl/>
        </w:rPr>
      </w:pPr>
    </w:p>
    <w:p w:rsidR="006252C4" w:rsidRDefault="006252C4" w:rsidP="006252C4">
      <w:pPr>
        <w:spacing w:line="269" w:lineRule="auto"/>
        <w:rPr>
          <w:b/>
          <w:bCs/>
          <w:rtl/>
        </w:rPr>
      </w:pPr>
      <w:r w:rsidRPr="00A81964">
        <w:rPr>
          <w:rFonts w:hint="cs"/>
          <w:b/>
          <w:bCs/>
          <w:rtl/>
        </w:rPr>
        <w:t xml:space="preserve">על רשות המיסים </w:t>
      </w:r>
      <w:r>
        <w:rPr>
          <w:rFonts w:hint="cs"/>
          <w:b/>
          <w:bCs/>
          <w:rtl/>
        </w:rPr>
        <w:t>לנקוט</w:t>
      </w:r>
      <w:r w:rsidRPr="00A81964">
        <w:rPr>
          <w:rFonts w:hint="cs"/>
          <w:b/>
          <w:bCs/>
          <w:rtl/>
        </w:rPr>
        <w:t xml:space="preserve"> </w:t>
      </w:r>
      <w:r>
        <w:rPr>
          <w:rFonts w:hint="cs"/>
          <w:b/>
          <w:bCs/>
          <w:rtl/>
        </w:rPr>
        <w:t>ב</w:t>
      </w:r>
      <w:r w:rsidRPr="00A81964">
        <w:rPr>
          <w:rFonts w:hint="cs"/>
          <w:b/>
          <w:bCs/>
          <w:rtl/>
        </w:rPr>
        <w:t xml:space="preserve">הליכי גבייה </w:t>
      </w:r>
      <w:r>
        <w:rPr>
          <w:rFonts w:hint="cs"/>
          <w:b/>
          <w:bCs/>
          <w:rtl/>
        </w:rPr>
        <w:t>כלפי</w:t>
      </w:r>
      <w:r w:rsidRPr="00A81964">
        <w:rPr>
          <w:rFonts w:hint="cs"/>
          <w:b/>
          <w:bCs/>
          <w:rtl/>
        </w:rPr>
        <w:t xml:space="preserve"> כלל התשלומים העודפים שנוצרו בגין תשלומי קרן הפיצויים</w:t>
      </w:r>
      <w:r w:rsidRPr="00A81964">
        <w:rPr>
          <w:rtl/>
        </w:rPr>
        <w:t xml:space="preserve"> </w:t>
      </w:r>
      <w:r w:rsidRPr="00A81964">
        <w:rPr>
          <w:rFonts w:hint="cs"/>
          <w:b/>
          <w:bCs/>
          <w:rtl/>
        </w:rPr>
        <w:t>ב</w:t>
      </w:r>
      <w:r w:rsidRPr="00A81964">
        <w:rPr>
          <w:b/>
          <w:bCs/>
          <w:rtl/>
        </w:rPr>
        <w:t>מגפת הקורונה ובמבצע "שומר החומות" בסך מצטבר של כ-655 מיליון ש"ח</w:t>
      </w:r>
      <w:r w:rsidRPr="00A81964">
        <w:rPr>
          <w:rFonts w:hint="cs"/>
          <w:b/>
          <w:bCs/>
          <w:rtl/>
        </w:rPr>
        <w:t>, ולעשות שימוש מיטבי בכוח האדם ובכלים הטכנולוגיים שברשותה לצורך כך.</w:t>
      </w:r>
    </w:p>
    <w:p w:rsidR="006252C4" w:rsidRDefault="006252C4" w:rsidP="006252C4">
      <w:pPr>
        <w:pStyle w:val="a8"/>
        <w:spacing w:line="269" w:lineRule="auto"/>
        <w:rPr>
          <w:rtl/>
        </w:rPr>
      </w:pPr>
    </w:p>
    <w:p w:rsidR="006252C4" w:rsidRPr="0008579E" w:rsidRDefault="006252C4" w:rsidP="006252C4">
      <w:pPr>
        <w:spacing w:line="269" w:lineRule="auto"/>
        <w:rPr>
          <w:rtl/>
        </w:rPr>
      </w:pPr>
      <w:r w:rsidRPr="0008579E">
        <w:rPr>
          <w:rFonts w:hint="eastAsia"/>
          <w:rtl/>
        </w:rPr>
        <w:t>הרשות</w:t>
      </w:r>
      <w:r w:rsidRPr="0008579E">
        <w:rPr>
          <w:rtl/>
        </w:rPr>
        <w:t xml:space="preserve"> </w:t>
      </w:r>
      <w:r w:rsidRPr="0008579E">
        <w:rPr>
          <w:rFonts w:hint="eastAsia"/>
          <w:rtl/>
        </w:rPr>
        <w:t>מסרה</w:t>
      </w:r>
      <w:r w:rsidRPr="0008579E">
        <w:rPr>
          <w:rtl/>
        </w:rPr>
        <w:t xml:space="preserve"> </w:t>
      </w:r>
      <w:r w:rsidRPr="0008579E">
        <w:rPr>
          <w:rFonts w:hint="eastAsia"/>
          <w:rtl/>
        </w:rPr>
        <w:t>בתשובתה</w:t>
      </w:r>
      <w:r w:rsidRPr="0008579E">
        <w:rPr>
          <w:rtl/>
        </w:rPr>
        <w:t xml:space="preserve"> </w:t>
      </w:r>
      <w:r w:rsidRPr="0008579E">
        <w:rPr>
          <w:rFonts w:hint="eastAsia"/>
          <w:rtl/>
        </w:rPr>
        <w:t>כי</w:t>
      </w:r>
      <w:r w:rsidRPr="0008579E">
        <w:rPr>
          <w:rtl/>
        </w:rPr>
        <w:t xml:space="preserve"> </w:t>
      </w:r>
      <w:r>
        <w:rPr>
          <w:rFonts w:hint="cs"/>
          <w:rtl/>
        </w:rPr>
        <w:t xml:space="preserve">היא מקבלת את </w:t>
      </w:r>
      <w:r w:rsidRPr="0008579E">
        <w:rPr>
          <w:rFonts w:hint="eastAsia"/>
          <w:rtl/>
        </w:rPr>
        <w:t>הערת</w:t>
      </w:r>
      <w:r w:rsidRPr="0008579E">
        <w:rPr>
          <w:rtl/>
        </w:rPr>
        <w:t xml:space="preserve"> </w:t>
      </w:r>
      <w:r w:rsidRPr="0008579E">
        <w:rPr>
          <w:rFonts w:hint="eastAsia"/>
          <w:rtl/>
        </w:rPr>
        <w:t>הביקורת</w:t>
      </w:r>
      <w:r w:rsidRPr="0008579E">
        <w:rPr>
          <w:rtl/>
        </w:rPr>
        <w:t xml:space="preserve"> </w:t>
      </w:r>
      <w:r>
        <w:rPr>
          <w:rFonts w:hint="cs"/>
          <w:rtl/>
        </w:rPr>
        <w:t xml:space="preserve">וציינה כי בחמש השנים האחרונות, בהן התרחשה מגפת הקורונה והתנהלו מספר סבבי לחימה וכן מלחמת חרבות ברזל ומבצע עם כלביא, רוב </w:t>
      </w:r>
      <w:r>
        <w:rPr>
          <w:rFonts w:hint="cs"/>
          <w:rtl/>
        </w:rPr>
        <w:lastRenderedPageBreak/>
        <w:t>משאבי קרן הפיצויים הוקצו לטובת הטיפול במעל למיליון תביעות לפיצוי בגין נזק עקיף ועוד כ-150,000 תביעות לפיצוי בגין נזק ישיר.</w:t>
      </w:r>
    </w:p>
    <w:p w:rsidR="006252C4" w:rsidRPr="00A81964" w:rsidRDefault="006252C4" w:rsidP="006252C4">
      <w:pPr>
        <w:spacing w:line="269" w:lineRule="auto"/>
        <w:rPr>
          <w:rtl/>
        </w:rPr>
      </w:pPr>
    </w:p>
    <w:p w:rsidR="006252C4" w:rsidRPr="00A81964" w:rsidRDefault="006252C4" w:rsidP="006252C4">
      <w:pPr>
        <w:pStyle w:val="6"/>
        <w:spacing w:line="269" w:lineRule="auto"/>
        <w:rPr>
          <w:rtl/>
        </w:rPr>
      </w:pPr>
      <w:r w:rsidRPr="00A81964">
        <w:rPr>
          <w:rFonts w:hint="cs"/>
          <w:rtl/>
        </w:rPr>
        <w:t>סימנים מחשידים ("סמ"חים")</w:t>
      </w:r>
    </w:p>
    <w:p w:rsidR="006252C4" w:rsidRDefault="006252C4" w:rsidP="006252C4">
      <w:pPr>
        <w:pStyle w:val="a8"/>
        <w:spacing w:line="269" w:lineRule="auto"/>
        <w:rPr>
          <w:rtl/>
        </w:rPr>
      </w:pPr>
    </w:p>
    <w:p w:rsidR="006252C4" w:rsidRPr="008C4BB4" w:rsidRDefault="006252C4" w:rsidP="006252C4">
      <w:pPr>
        <w:spacing w:line="269" w:lineRule="auto"/>
        <w:rPr>
          <w:rtl/>
        </w:rPr>
      </w:pPr>
      <w:r w:rsidRPr="00A81964">
        <w:rPr>
          <w:rFonts w:hint="eastAsia"/>
          <w:rtl/>
        </w:rPr>
        <w:t>תשלום</w:t>
      </w:r>
      <w:r w:rsidRPr="00A81964">
        <w:rPr>
          <w:rtl/>
        </w:rPr>
        <w:t xml:space="preserve"> </w:t>
      </w:r>
      <w:r w:rsidRPr="00A81964">
        <w:rPr>
          <w:rFonts w:hint="eastAsia"/>
          <w:rtl/>
        </w:rPr>
        <w:t>פיצויים</w:t>
      </w:r>
      <w:r w:rsidRPr="00A81964">
        <w:rPr>
          <w:rtl/>
        </w:rPr>
        <w:t xml:space="preserve"> </w:t>
      </w:r>
      <w:r w:rsidRPr="00A81964">
        <w:rPr>
          <w:rFonts w:hint="eastAsia"/>
          <w:rtl/>
        </w:rPr>
        <w:t>בגין</w:t>
      </w:r>
      <w:r w:rsidRPr="00A81964">
        <w:rPr>
          <w:rtl/>
        </w:rPr>
        <w:t xml:space="preserve"> </w:t>
      </w:r>
      <w:r w:rsidRPr="00A81964">
        <w:rPr>
          <w:rFonts w:hint="eastAsia"/>
          <w:rtl/>
        </w:rPr>
        <w:t>נזקים</w:t>
      </w:r>
      <w:r w:rsidRPr="00A81964">
        <w:rPr>
          <w:rtl/>
        </w:rPr>
        <w:t xml:space="preserve"> </w:t>
      </w:r>
      <w:r w:rsidRPr="00A81964">
        <w:rPr>
          <w:rFonts w:hint="eastAsia"/>
          <w:rtl/>
        </w:rPr>
        <w:t>עקיפים</w:t>
      </w:r>
      <w:r w:rsidRPr="00A81964">
        <w:rPr>
          <w:rtl/>
        </w:rPr>
        <w:t xml:space="preserve"> </w:t>
      </w:r>
      <w:r w:rsidRPr="00A81964">
        <w:rPr>
          <w:rFonts w:hint="eastAsia"/>
          <w:rtl/>
        </w:rPr>
        <w:t>בהתאם</w:t>
      </w:r>
      <w:r w:rsidRPr="00A81964">
        <w:rPr>
          <w:rtl/>
        </w:rPr>
        <w:t xml:space="preserve"> </w:t>
      </w:r>
      <w:r w:rsidRPr="00A81964">
        <w:rPr>
          <w:rFonts w:hint="eastAsia"/>
          <w:rtl/>
        </w:rPr>
        <w:t>לחוק</w:t>
      </w:r>
      <w:r w:rsidRPr="00A81964">
        <w:rPr>
          <w:rtl/>
        </w:rPr>
        <w:t xml:space="preserve"> </w:t>
      </w:r>
      <w:r w:rsidRPr="00A81964">
        <w:rPr>
          <w:rFonts w:hint="eastAsia"/>
          <w:rtl/>
        </w:rPr>
        <w:t>ו</w:t>
      </w:r>
      <w:r w:rsidRPr="00A81964">
        <w:rPr>
          <w:rFonts w:hint="cs"/>
          <w:rtl/>
        </w:rPr>
        <w:t>ל</w:t>
      </w:r>
      <w:r w:rsidRPr="00A81964">
        <w:rPr>
          <w:rFonts w:hint="eastAsia"/>
          <w:rtl/>
        </w:rPr>
        <w:t>תקנות</w:t>
      </w:r>
      <w:r>
        <w:rPr>
          <w:rFonts w:hint="cs"/>
          <w:rtl/>
        </w:rPr>
        <w:t xml:space="preserve"> שהותקנו</w:t>
      </w:r>
      <w:r w:rsidRPr="00A81964">
        <w:rPr>
          <w:rFonts w:hint="cs"/>
          <w:rtl/>
        </w:rPr>
        <w:t xml:space="preserve"> מכוחו</w:t>
      </w:r>
      <w:r w:rsidRPr="00A81964">
        <w:rPr>
          <w:rtl/>
        </w:rPr>
        <w:t xml:space="preserve"> בסמוך ככל האפשר למועד קרות הנזק </w:t>
      </w:r>
      <w:r w:rsidRPr="00A81964">
        <w:rPr>
          <w:rFonts w:hint="cs"/>
          <w:rtl/>
        </w:rPr>
        <w:t>הוא</w:t>
      </w:r>
      <w:r w:rsidRPr="00A81964">
        <w:rPr>
          <w:rtl/>
        </w:rPr>
        <w:t xml:space="preserve"> </w:t>
      </w:r>
      <w:r w:rsidRPr="00A81964">
        <w:rPr>
          <w:rFonts w:hint="eastAsia"/>
          <w:rtl/>
        </w:rPr>
        <w:t>כלי</w:t>
      </w:r>
      <w:r w:rsidRPr="00A81964">
        <w:rPr>
          <w:rtl/>
        </w:rPr>
        <w:t xml:space="preserve"> </w:t>
      </w:r>
      <w:r w:rsidRPr="00A81964">
        <w:rPr>
          <w:rFonts w:hint="eastAsia"/>
          <w:rtl/>
        </w:rPr>
        <w:t>משמעותי</w:t>
      </w:r>
      <w:r w:rsidRPr="00A81964">
        <w:rPr>
          <w:rFonts w:hint="cs"/>
          <w:rtl/>
        </w:rPr>
        <w:t>,</w:t>
      </w:r>
      <w:r w:rsidRPr="00A81964">
        <w:rPr>
          <w:rtl/>
        </w:rPr>
        <w:t xml:space="preserve"> </w:t>
      </w:r>
      <w:r w:rsidRPr="00A81964">
        <w:rPr>
          <w:rFonts w:hint="cs"/>
          <w:rtl/>
        </w:rPr>
        <w:t>ש</w:t>
      </w:r>
      <w:r w:rsidRPr="00A81964">
        <w:rPr>
          <w:rFonts w:hint="eastAsia"/>
          <w:rtl/>
        </w:rPr>
        <w:t>בו</w:t>
      </w:r>
      <w:r w:rsidRPr="00A81964">
        <w:rPr>
          <w:rtl/>
        </w:rPr>
        <w:t xml:space="preserve"> </w:t>
      </w:r>
      <w:r w:rsidRPr="00A81964">
        <w:rPr>
          <w:rFonts w:hint="eastAsia"/>
          <w:rtl/>
        </w:rPr>
        <w:t>עושה</w:t>
      </w:r>
      <w:r w:rsidRPr="00A81964">
        <w:rPr>
          <w:rtl/>
        </w:rPr>
        <w:t xml:space="preserve"> </w:t>
      </w:r>
      <w:r w:rsidRPr="00A81964">
        <w:rPr>
          <w:rFonts w:hint="eastAsia"/>
          <w:rtl/>
        </w:rPr>
        <w:t>המדינה</w:t>
      </w:r>
      <w:r w:rsidRPr="00A81964">
        <w:rPr>
          <w:rtl/>
        </w:rPr>
        <w:t xml:space="preserve"> </w:t>
      </w:r>
      <w:r w:rsidRPr="00A81964">
        <w:rPr>
          <w:rFonts w:hint="eastAsia"/>
          <w:rtl/>
        </w:rPr>
        <w:t>שימוש</w:t>
      </w:r>
      <w:r w:rsidRPr="00A81964">
        <w:rPr>
          <w:rtl/>
        </w:rPr>
        <w:t xml:space="preserve"> </w:t>
      </w:r>
      <w:r w:rsidRPr="00A81964">
        <w:rPr>
          <w:rFonts w:hint="eastAsia"/>
          <w:rtl/>
        </w:rPr>
        <w:t>כדי</w:t>
      </w:r>
      <w:r w:rsidRPr="00A81964">
        <w:rPr>
          <w:rtl/>
        </w:rPr>
        <w:t xml:space="preserve"> לצמצם את הפגיעה בפעילותם של עסקים שניזוקו</w:t>
      </w:r>
      <w:r w:rsidRPr="00A81964">
        <w:rPr>
          <w:rFonts w:hint="cs"/>
          <w:rtl/>
        </w:rPr>
        <w:t>,</w:t>
      </w:r>
      <w:r w:rsidRPr="00A81964">
        <w:rPr>
          <w:rtl/>
        </w:rPr>
        <w:t xml:space="preserve"> להגביר את יכולתם לשמר את המנגנון העסקי שלהם </w:t>
      </w:r>
      <w:r w:rsidRPr="00A81964">
        <w:rPr>
          <w:rFonts w:hint="cs"/>
          <w:rtl/>
        </w:rPr>
        <w:t>ו</w:t>
      </w:r>
      <w:r w:rsidRPr="00A81964">
        <w:rPr>
          <w:rtl/>
        </w:rPr>
        <w:t xml:space="preserve">לאפשר </w:t>
      </w:r>
      <w:r w:rsidRPr="001807E0">
        <w:rPr>
          <w:rtl/>
        </w:rPr>
        <w:t xml:space="preserve">המשכיות בפעילות המשק הישראלי. </w:t>
      </w:r>
    </w:p>
    <w:p w:rsidR="006252C4" w:rsidRDefault="006252C4" w:rsidP="006252C4">
      <w:pPr>
        <w:pStyle w:val="a8"/>
        <w:spacing w:line="269" w:lineRule="auto"/>
        <w:rPr>
          <w:rtl/>
        </w:rPr>
      </w:pPr>
    </w:p>
    <w:p w:rsidR="006252C4" w:rsidRPr="001807E0" w:rsidRDefault="006252C4" w:rsidP="006252C4">
      <w:pPr>
        <w:spacing w:line="269" w:lineRule="auto"/>
        <w:rPr>
          <w:rtl/>
        </w:rPr>
      </w:pPr>
      <w:r w:rsidRPr="008C4BB4">
        <w:rPr>
          <w:rFonts w:hint="eastAsia"/>
          <w:rtl/>
        </w:rPr>
        <w:t>עם</w:t>
      </w:r>
      <w:r w:rsidRPr="00581551">
        <w:rPr>
          <w:rtl/>
        </w:rPr>
        <w:t xml:space="preserve"> </w:t>
      </w:r>
      <w:r w:rsidRPr="00581551">
        <w:rPr>
          <w:rFonts w:hint="eastAsia"/>
          <w:rtl/>
        </w:rPr>
        <w:t>זאת</w:t>
      </w:r>
      <w:r w:rsidRPr="00581551">
        <w:rPr>
          <w:rtl/>
        </w:rPr>
        <w:t xml:space="preserve">, </w:t>
      </w:r>
      <w:r w:rsidRPr="00581551">
        <w:rPr>
          <w:rFonts w:hint="eastAsia"/>
          <w:rtl/>
        </w:rPr>
        <w:t>תשלומי</w:t>
      </w:r>
      <w:r w:rsidRPr="00581551">
        <w:rPr>
          <w:rtl/>
        </w:rPr>
        <w:t xml:space="preserve"> יתר למגישי תביעות שאינם זכאים לכך על פי הדין, פוגעים </w:t>
      </w:r>
      <w:r w:rsidRPr="00581551">
        <w:rPr>
          <w:rFonts w:hint="eastAsia"/>
          <w:rtl/>
        </w:rPr>
        <w:t>כאמור</w:t>
      </w:r>
      <w:r w:rsidRPr="00D77DE0">
        <w:rPr>
          <w:rFonts w:hint="cs"/>
          <w:rtl/>
        </w:rPr>
        <w:t xml:space="preserve"> </w:t>
      </w:r>
      <w:r w:rsidRPr="00D77DE0">
        <w:rPr>
          <w:rtl/>
        </w:rPr>
        <w:t>באוצר המדינה</w:t>
      </w:r>
      <w:r w:rsidRPr="005A4243">
        <w:rPr>
          <w:rFonts w:hint="cs"/>
          <w:b/>
          <w:bCs/>
          <w:rtl/>
        </w:rPr>
        <w:t xml:space="preserve"> </w:t>
      </w:r>
      <w:r w:rsidRPr="00F35441">
        <w:rPr>
          <w:rFonts w:hint="eastAsia"/>
          <w:rtl/>
        </w:rPr>
        <w:t>ובעקרון</w:t>
      </w:r>
      <w:r w:rsidRPr="00F35441">
        <w:rPr>
          <w:rtl/>
        </w:rPr>
        <w:t xml:space="preserve"> </w:t>
      </w:r>
      <w:r w:rsidRPr="00F35441">
        <w:rPr>
          <w:rFonts w:hint="eastAsia"/>
          <w:rtl/>
        </w:rPr>
        <w:t>השוויון</w:t>
      </w:r>
      <w:r w:rsidRPr="0003194D">
        <w:rPr>
          <w:rtl/>
        </w:rPr>
        <w:t xml:space="preserve"> ומביאים לבזבוז משאביה של קרן הפיצויים לצורך ניהול הליכי גבייה והתדיינות בוועדות ערר</w:t>
      </w:r>
      <w:r w:rsidRPr="001807E0">
        <w:rPr>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8C4BB4">
        <w:rPr>
          <w:rFonts w:hint="cs"/>
          <w:rtl/>
        </w:rPr>
        <w:t>במוקדי קרן הפיצויים</w:t>
      </w:r>
      <w:r w:rsidRPr="001807E0">
        <w:rPr>
          <w:rStyle w:val="af2"/>
          <w:rtl/>
        </w:rPr>
        <w:footnoteReference w:id="96"/>
      </w:r>
      <w:r w:rsidRPr="001807E0">
        <w:rPr>
          <w:rFonts w:hint="cs"/>
          <w:rtl/>
        </w:rPr>
        <w:t xml:space="preserve"> פועלות</w:t>
      </w:r>
      <w:r w:rsidRPr="00A81964">
        <w:rPr>
          <w:rFonts w:hint="cs"/>
          <w:rtl/>
        </w:rPr>
        <w:t xml:space="preserve"> חוליות המבצעות ביקורת על תביעות לפיצויים בגין נזקי מלחמה עקיפים ומקבלות החלטות בנוגע לסכומי הפיצויים שישולמו בהתאם לחוק ולתקנות מכוחו (להלן - חוליות הביקורת).</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נוכח הכמות הגדולה של התביעות המוגשות לפיצוי בגין נזק עקיף</w:t>
      </w:r>
      <w:r w:rsidRPr="00A81964">
        <w:rPr>
          <w:rStyle w:val="af2"/>
          <w:rtl/>
        </w:rPr>
        <w:footnoteReference w:id="97"/>
      </w:r>
      <w:r w:rsidRPr="00A81964">
        <w:rPr>
          <w:rFonts w:hint="cs"/>
          <w:rtl/>
        </w:rPr>
        <w:t xml:space="preserve"> בעת סבב לחימה או במצב חירום אחר</w:t>
      </w:r>
      <w:r w:rsidRPr="00A81964">
        <w:rPr>
          <w:rStyle w:val="af2"/>
          <w:rtl/>
        </w:rPr>
        <w:footnoteReference w:id="98"/>
      </w:r>
      <w:r w:rsidRPr="00A81964">
        <w:rPr>
          <w:rFonts w:hint="cs"/>
          <w:rtl/>
        </w:rPr>
        <w:t>, ונוכח העובדה כי חוליות הביקורת בקרן הפיצויים מוגבלות ביכולתן לבדוק את כל התביעות המוגשות, נערכת בחינה אוטומטית ממוחשבת במערכת התביעות של כל התביעות שהוגשו לצורך איתור סימנים מחשידים</w:t>
      </w:r>
      <w:r w:rsidRPr="00A81964">
        <w:rPr>
          <w:rStyle w:val="af2"/>
          <w:rtl/>
        </w:rPr>
        <w:footnoteReference w:id="99"/>
      </w:r>
      <w:r w:rsidRPr="00A81964">
        <w:rPr>
          <w:rFonts w:hint="cs"/>
          <w:rtl/>
        </w:rPr>
        <w:t xml:space="preserve"> (להלן - סמ"חים). תביעות שאותרו לגביהן סמ"חים עוברות לבדיקת חוליות הביקורת.</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חוליות הביקורת בוחנות, בין היתר, את הצהרות מגיש התביעה, משוות אותן עם הנתונים הקיימים במערכות רשות המיסים</w:t>
      </w:r>
      <w:r w:rsidRPr="00A81964">
        <w:rPr>
          <w:rStyle w:val="af2"/>
          <w:rtl/>
        </w:rPr>
        <w:footnoteReference w:id="100"/>
      </w:r>
      <w:r w:rsidRPr="00A81964">
        <w:rPr>
          <w:rFonts w:hint="cs"/>
          <w:rtl/>
        </w:rPr>
        <w:t xml:space="preserve"> ומקבלות החלטה בנוגע לעצם הזכאות ולסכום הפיצוי. עד לקבלת ההחלטה והעברת התשלום הסופי בהתאם לכך, משולמת למגיש התביעה מקדמה</w:t>
      </w:r>
      <w:r w:rsidRPr="00A81964">
        <w:rPr>
          <w:rStyle w:val="af2"/>
          <w:rtl/>
        </w:rPr>
        <w:footnoteReference w:id="101"/>
      </w:r>
      <w:r w:rsidRPr="00A81964">
        <w:rPr>
          <w:rFonts w:hint="cs"/>
          <w:rtl/>
        </w:rPr>
        <w:t>.</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eastAsia"/>
          <w:b/>
          <w:bCs/>
          <w:rtl/>
        </w:rPr>
        <w:t>עלה</w:t>
      </w:r>
      <w:r w:rsidRPr="00A81964">
        <w:rPr>
          <w:b/>
          <w:bCs/>
          <w:rtl/>
        </w:rPr>
        <w:t xml:space="preserve"> כי בשל </w:t>
      </w:r>
      <w:r w:rsidRPr="00A81964">
        <w:rPr>
          <w:rFonts w:hint="eastAsia"/>
          <w:b/>
          <w:bCs/>
          <w:rtl/>
        </w:rPr>
        <w:t>ריבוי</w:t>
      </w:r>
      <w:r w:rsidRPr="00A81964">
        <w:rPr>
          <w:b/>
          <w:bCs/>
          <w:rtl/>
        </w:rPr>
        <w:t xml:space="preserve"> </w:t>
      </w:r>
      <w:r w:rsidRPr="00A81964">
        <w:rPr>
          <w:rFonts w:hint="eastAsia"/>
          <w:b/>
          <w:bCs/>
          <w:rtl/>
        </w:rPr>
        <w:t>התביעות</w:t>
      </w:r>
      <w:r w:rsidRPr="00A81964">
        <w:rPr>
          <w:b/>
          <w:bCs/>
          <w:rtl/>
        </w:rPr>
        <w:t xml:space="preserve"> </w:t>
      </w:r>
      <w:r w:rsidRPr="00A81964">
        <w:rPr>
          <w:rFonts w:hint="eastAsia"/>
          <w:b/>
          <w:bCs/>
          <w:rtl/>
        </w:rPr>
        <w:t>שהוגשו</w:t>
      </w:r>
      <w:r w:rsidRPr="00A81964">
        <w:rPr>
          <w:b/>
          <w:bCs/>
          <w:rtl/>
        </w:rPr>
        <w:t xml:space="preserve"> </w:t>
      </w:r>
      <w:r w:rsidRPr="00A81964">
        <w:rPr>
          <w:rFonts w:hint="eastAsia"/>
          <w:b/>
          <w:bCs/>
          <w:rtl/>
        </w:rPr>
        <w:t>בתחילת</w:t>
      </w:r>
      <w:r w:rsidRPr="00A81964">
        <w:rPr>
          <w:b/>
          <w:bCs/>
          <w:rtl/>
        </w:rPr>
        <w:t xml:space="preserve"> </w:t>
      </w:r>
      <w:r w:rsidRPr="00A81964">
        <w:rPr>
          <w:rFonts w:hint="eastAsia"/>
          <w:b/>
          <w:bCs/>
          <w:rtl/>
        </w:rPr>
        <w:t>מלחמ</w:t>
      </w:r>
      <w:r w:rsidRPr="00A81964">
        <w:rPr>
          <w:rFonts w:hint="cs"/>
          <w:b/>
          <w:bCs/>
          <w:rtl/>
        </w:rPr>
        <w:t>ת חרבות ברזל</w:t>
      </w:r>
      <w:r w:rsidRPr="00A81964">
        <w:rPr>
          <w:b/>
          <w:bCs/>
          <w:rtl/>
        </w:rPr>
        <w:t xml:space="preserve"> </w:t>
      </w:r>
      <w:r w:rsidRPr="00A81964">
        <w:rPr>
          <w:rFonts w:hint="eastAsia"/>
          <w:b/>
          <w:bCs/>
          <w:rtl/>
        </w:rPr>
        <w:t>ובשל</w:t>
      </w:r>
      <w:r w:rsidRPr="00A81964">
        <w:rPr>
          <w:b/>
          <w:bCs/>
          <w:rtl/>
        </w:rPr>
        <w:t xml:space="preserve"> </w:t>
      </w:r>
      <w:r w:rsidRPr="00A81964">
        <w:rPr>
          <w:rFonts w:hint="eastAsia"/>
          <w:b/>
          <w:bCs/>
          <w:rtl/>
        </w:rPr>
        <w:t>המחסור</w:t>
      </w:r>
      <w:r w:rsidRPr="00A81964">
        <w:rPr>
          <w:b/>
          <w:bCs/>
          <w:rtl/>
        </w:rPr>
        <w:t xml:space="preserve"> </w:t>
      </w:r>
      <w:r w:rsidRPr="00A81964">
        <w:rPr>
          <w:rFonts w:hint="eastAsia"/>
          <w:b/>
          <w:bCs/>
          <w:rtl/>
        </w:rPr>
        <w:t>בכוח</w:t>
      </w:r>
      <w:r w:rsidRPr="00A81964">
        <w:rPr>
          <w:b/>
          <w:bCs/>
          <w:rtl/>
        </w:rPr>
        <w:t xml:space="preserve"> </w:t>
      </w:r>
      <w:r w:rsidRPr="00A81964">
        <w:rPr>
          <w:rFonts w:hint="eastAsia"/>
          <w:b/>
          <w:bCs/>
          <w:rtl/>
        </w:rPr>
        <w:t>אדם</w:t>
      </w:r>
      <w:r w:rsidRPr="00A81964">
        <w:rPr>
          <w:b/>
          <w:bCs/>
          <w:rtl/>
        </w:rPr>
        <w:t xml:space="preserve">, החליטה קרן הפיצויים </w:t>
      </w:r>
      <w:r w:rsidRPr="00925417">
        <w:rPr>
          <w:rFonts w:hint="eastAsia"/>
          <w:b/>
          <w:bCs/>
          <w:rtl/>
        </w:rPr>
        <w:t>לשלם</w:t>
      </w:r>
      <w:r w:rsidRPr="00925417">
        <w:rPr>
          <w:b/>
          <w:bCs/>
          <w:rtl/>
        </w:rPr>
        <w:t xml:space="preserve"> </w:t>
      </w:r>
      <w:r w:rsidRPr="00925417">
        <w:rPr>
          <w:rFonts w:hint="eastAsia"/>
          <w:b/>
          <w:bCs/>
          <w:rtl/>
        </w:rPr>
        <w:t>תשלומים</w:t>
      </w:r>
      <w:r w:rsidRPr="00925417">
        <w:rPr>
          <w:b/>
          <w:bCs/>
          <w:rtl/>
        </w:rPr>
        <w:t xml:space="preserve"> </w:t>
      </w:r>
      <w:r w:rsidRPr="00925417">
        <w:rPr>
          <w:rFonts w:hint="eastAsia"/>
          <w:b/>
          <w:bCs/>
          <w:rtl/>
        </w:rPr>
        <w:t>סופיים</w:t>
      </w:r>
      <w:r w:rsidRPr="00A81964">
        <w:rPr>
          <w:b/>
          <w:bCs/>
          <w:rtl/>
        </w:rPr>
        <w:t xml:space="preserve"> ב</w:t>
      </w:r>
      <w:r w:rsidRPr="00A81964">
        <w:rPr>
          <w:rFonts w:hint="eastAsia"/>
          <w:b/>
          <w:bCs/>
          <w:rtl/>
        </w:rPr>
        <w:t>כ</w:t>
      </w:r>
      <w:r w:rsidRPr="00A81964">
        <w:rPr>
          <w:b/>
          <w:bCs/>
          <w:rtl/>
        </w:rPr>
        <w:t>-53</w:t>
      </w:r>
      <w:r w:rsidRPr="00A81964">
        <w:rPr>
          <w:rFonts w:hint="cs"/>
          <w:b/>
          <w:bCs/>
          <w:rtl/>
        </w:rPr>
        <w:t>,000</w:t>
      </w:r>
      <w:r w:rsidRPr="00A81964">
        <w:rPr>
          <w:b/>
          <w:bCs/>
          <w:rtl/>
        </w:rPr>
        <w:t xml:space="preserve"> תביעות </w:t>
      </w:r>
      <w:r w:rsidRPr="00A81964">
        <w:rPr>
          <w:rFonts w:hint="cs"/>
          <w:b/>
          <w:bCs/>
          <w:rtl/>
        </w:rPr>
        <w:t xml:space="preserve">בהיקף כספי של כ-861 מיליון ש"ח </w:t>
      </w:r>
      <w:r w:rsidRPr="00A81964">
        <w:rPr>
          <w:b/>
          <w:bCs/>
          <w:rtl/>
        </w:rPr>
        <w:t xml:space="preserve">בלי שבוצעה בהן ביקורת, </w:t>
      </w:r>
      <w:r w:rsidRPr="00A81964">
        <w:rPr>
          <w:rFonts w:hint="cs"/>
          <w:b/>
          <w:bCs/>
          <w:rtl/>
        </w:rPr>
        <w:t>ו</w:t>
      </w:r>
      <w:r w:rsidRPr="00A81964">
        <w:rPr>
          <w:b/>
          <w:bCs/>
          <w:rtl/>
        </w:rPr>
        <w:t xml:space="preserve">זאת אף שנמצאו בהן </w:t>
      </w:r>
      <w:r w:rsidRPr="00A81964">
        <w:rPr>
          <w:rFonts w:hint="cs"/>
          <w:b/>
          <w:bCs/>
          <w:rtl/>
        </w:rPr>
        <w:t>סימנים מחשידים. עם זאת, יצוין כי מרבית הסכומים ששוחררו היו בתביעות לסכומי פיצוי נמוכים</w:t>
      </w:r>
      <w:r w:rsidRPr="00A81964">
        <w:rPr>
          <w:b/>
          <w:bCs/>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lastRenderedPageBreak/>
        <w:t>בתביעות</w:t>
      </w:r>
      <w:r w:rsidRPr="00A81964">
        <w:rPr>
          <w:rStyle w:val="af2"/>
          <w:rtl/>
        </w:rPr>
        <w:footnoteReference w:id="102"/>
      </w:r>
      <w:r w:rsidRPr="00A81964">
        <w:rPr>
          <w:rFonts w:hint="cs"/>
          <w:rtl/>
        </w:rPr>
        <w:t xml:space="preserve"> שבהן לא אותרו סמ"חים מבוצע תשלום סופי אוטומטי למגיש התביעה, </w:t>
      </w:r>
      <w:r w:rsidRPr="00925417">
        <w:rPr>
          <w:rFonts w:hint="cs"/>
          <w:rtl/>
        </w:rPr>
        <w:t>בהתאם לנתונים שדווחו על ידו</w:t>
      </w:r>
      <w:r w:rsidRPr="00A81964">
        <w:rPr>
          <w:rFonts w:hint="cs"/>
          <w:rtl/>
        </w:rPr>
        <w:t xml:space="preserve"> ובהתאם להצהרותיו</w:t>
      </w:r>
      <w:r w:rsidRPr="00A81964">
        <w:rPr>
          <w:rStyle w:val="af2"/>
          <w:rtl/>
        </w:rPr>
        <w:footnoteReference w:id="103"/>
      </w:r>
      <w:r w:rsidRPr="00A81964">
        <w:rPr>
          <w:rFonts w:hint="cs"/>
          <w:rtl/>
        </w:rPr>
        <w:t xml:space="preserve">, בלי שהתביעה נבדקת על ידי חוליות הביקורת. </w:t>
      </w:r>
    </w:p>
    <w:p w:rsidR="006252C4" w:rsidRDefault="006252C4" w:rsidP="006252C4">
      <w:pPr>
        <w:pStyle w:val="a8"/>
        <w:spacing w:line="269" w:lineRule="auto"/>
        <w:rPr>
          <w:rtl/>
        </w:rPr>
      </w:pPr>
    </w:p>
    <w:p w:rsidR="006252C4" w:rsidRPr="00A81964" w:rsidRDefault="006252C4" w:rsidP="006252C4">
      <w:pPr>
        <w:spacing w:line="269" w:lineRule="auto"/>
        <w:rPr>
          <w:rtl/>
        </w:rPr>
      </w:pPr>
      <w:proofErr w:type="spellStart"/>
      <w:r w:rsidRPr="00A81964">
        <w:rPr>
          <w:rFonts w:hint="cs"/>
          <w:rtl/>
        </w:rPr>
        <w:t>הסמ"חים</w:t>
      </w:r>
      <w:proofErr w:type="spellEnd"/>
      <w:r w:rsidRPr="00A81964">
        <w:rPr>
          <w:rFonts w:hint="cs"/>
          <w:rtl/>
        </w:rPr>
        <w:t xml:space="preserve"> </w:t>
      </w:r>
      <w:r w:rsidRPr="00925417">
        <w:rPr>
          <w:rFonts w:hint="cs"/>
          <w:rtl/>
        </w:rPr>
        <w:t>נקבעים על ידי קרן הפיצויים</w:t>
      </w:r>
      <w:r w:rsidRPr="00A81964">
        <w:rPr>
          <w:rFonts w:hint="cs"/>
          <w:rtl/>
        </w:rPr>
        <w:t xml:space="preserve"> בהתבסס על ניסיונה ועל איתור ואפיון הסימנים העלולים להעיד שמגיש התביעה אינו זכאי לפיצוי או שסכום הפיצוי הנדרש בתביעה הוא שלא על פי הדין. פיתוחם והטמעתם של </w:t>
      </w:r>
      <w:proofErr w:type="spellStart"/>
      <w:r w:rsidRPr="00A81964">
        <w:rPr>
          <w:rFonts w:hint="cs"/>
          <w:rtl/>
        </w:rPr>
        <w:t>הסמ"חים</w:t>
      </w:r>
      <w:proofErr w:type="spellEnd"/>
      <w:r w:rsidRPr="00A81964">
        <w:rPr>
          <w:rFonts w:hint="cs"/>
          <w:rtl/>
        </w:rPr>
        <w:t xml:space="preserve"> במערכת התביעות מבוצעים על ידי שע"ם, ובהתאם לבקשת קרן הפיצויים משנה </w:t>
      </w:r>
      <w:proofErr w:type="spellStart"/>
      <w:r w:rsidRPr="00A81964">
        <w:rPr>
          <w:rFonts w:hint="cs"/>
          <w:rtl/>
        </w:rPr>
        <w:t>שע"ם</w:t>
      </w:r>
      <w:proofErr w:type="spellEnd"/>
      <w:r w:rsidRPr="00A81964">
        <w:rPr>
          <w:rFonts w:hint="cs"/>
          <w:rtl/>
        </w:rPr>
        <w:t xml:space="preserve"> </w:t>
      </w:r>
      <w:proofErr w:type="spellStart"/>
      <w:r w:rsidRPr="00A81964">
        <w:rPr>
          <w:rFonts w:hint="cs"/>
          <w:rtl/>
        </w:rPr>
        <w:t>סמ"חים</w:t>
      </w:r>
      <w:proofErr w:type="spellEnd"/>
      <w:r w:rsidRPr="00A81964">
        <w:rPr>
          <w:rFonts w:hint="cs"/>
          <w:rtl/>
        </w:rPr>
        <w:t xml:space="preserve"> קיימים, מוסיפה חדשים או מסירה סמ"חים שאינם רלוונטיים.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טרם מלחמת חרבות ברזל </w:t>
      </w:r>
      <w:r w:rsidRPr="00925417">
        <w:rPr>
          <w:rFonts w:hint="cs"/>
          <w:rtl/>
        </w:rPr>
        <w:t>כללה הרשימה 42 סמ"חים</w:t>
      </w:r>
      <w:r w:rsidRPr="00A81964">
        <w:rPr>
          <w:rFonts w:hint="cs"/>
          <w:rtl/>
        </w:rPr>
        <w:t xml:space="preserve"> שהוטמעו במערכת התביעות. לאחר פרוץ המלחמה הוטמעו 43 סמ"חים נוספים, בהתאם למסלולי הפיצוי בגין נזקים עקיפים.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להלן בתרשים 19 מוצגים נתונים לגבי מספר התביעות שהוגשו בגין נזק עקיף וסך התשלומים ששולמו בגינן (מקדמות, מקדמות מיוחדות ותשלומים סופיים) במלחמת חרבות ברזל, תוך הבחנה בין תביעות שבהן נמצאו סמ"חים לתביעות שבהן לא נמצאו סמ"חים, נכון לאוקטובר 2024.</w:t>
      </w:r>
    </w:p>
    <w:p w:rsidR="006252C4" w:rsidRPr="00A81964" w:rsidRDefault="006252C4" w:rsidP="006252C4">
      <w:pPr>
        <w:spacing w:line="269" w:lineRule="auto"/>
        <w:rPr>
          <w:rtl/>
        </w:rPr>
      </w:pPr>
    </w:p>
    <w:p w:rsidR="006252C4" w:rsidRPr="00A81964" w:rsidRDefault="006252C4" w:rsidP="006252C4">
      <w:pPr>
        <w:keepNext/>
        <w:keepLines/>
        <w:spacing w:line="269" w:lineRule="auto"/>
        <w:jc w:val="center"/>
        <w:rPr>
          <w:rtl/>
        </w:rPr>
      </w:pPr>
      <w:r w:rsidRPr="00A81964">
        <w:rPr>
          <w:rFonts w:hint="cs"/>
          <w:rtl/>
        </w:rPr>
        <w:lastRenderedPageBreak/>
        <w:t xml:space="preserve">תרשים 19: </w:t>
      </w:r>
      <w:r w:rsidRPr="00A81964">
        <w:rPr>
          <w:rFonts w:hint="cs"/>
          <w:b/>
          <w:bCs/>
          <w:rtl/>
        </w:rPr>
        <w:t>סמ"חים</w:t>
      </w:r>
      <w:r w:rsidRPr="00A81964">
        <w:rPr>
          <w:b/>
          <w:bCs/>
          <w:rtl/>
        </w:rPr>
        <w:t xml:space="preserve"> </w:t>
      </w:r>
      <w:r w:rsidRPr="00A81964">
        <w:rPr>
          <w:rFonts w:hint="cs"/>
          <w:b/>
          <w:bCs/>
          <w:rtl/>
        </w:rPr>
        <w:t>ב</w:t>
      </w:r>
      <w:r w:rsidRPr="00A81964">
        <w:rPr>
          <w:rFonts w:hint="eastAsia"/>
          <w:b/>
          <w:bCs/>
          <w:rtl/>
        </w:rPr>
        <w:t>תביעות</w:t>
      </w:r>
      <w:r w:rsidRPr="00A81964">
        <w:rPr>
          <w:b/>
          <w:bCs/>
          <w:rtl/>
        </w:rPr>
        <w:t xml:space="preserve"> </w:t>
      </w:r>
      <w:r w:rsidRPr="00A81964">
        <w:rPr>
          <w:rFonts w:hint="eastAsia"/>
          <w:b/>
          <w:bCs/>
          <w:rtl/>
        </w:rPr>
        <w:t>שהוגשו</w:t>
      </w:r>
      <w:r w:rsidRPr="00A81964">
        <w:rPr>
          <w:b/>
          <w:bCs/>
          <w:rtl/>
        </w:rPr>
        <w:t xml:space="preserve"> </w:t>
      </w:r>
      <w:r w:rsidRPr="00A81964">
        <w:rPr>
          <w:rFonts w:hint="eastAsia"/>
          <w:b/>
          <w:bCs/>
          <w:rtl/>
        </w:rPr>
        <w:t>בגין</w:t>
      </w:r>
      <w:r w:rsidRPr="00A81964">
        <w:rPr>
          <w:b/>
          <w:bCs/>
          <w:rtl/>
        </w:rPr>
        <w:t xml:space="preserve"> </w:t>
      </w:r>
      <w:r w:rsidRPr="00A81964">
        <w:rPr>
          <w:rFonts w:hint="eastAsia"/>
          <w:b/>
          <w:bCs/>
          <w:rtl/>
        </w:rPr>
        <w:t>נזק</w:t>
      </w:r>
      <w:r w:rsidRPr="00A81964">
        <w:rPr>
          <w:b/>
          <w:bCs/>
          <w:rtl/>
        </w:rPr>
        <w:t xml:space="preserve"> </w:t>
      </w:r>
      <w:r w:rsidRPr="00A81964">
        <w:rPr>
          <w:rFonts w:hint="eastAsia"/>
          <w:b/>
          <w:bCs/>
          <w:rtl/>
        </w:rPr>
        <w:t>עקיף</w:t>
      </w:r>
      <w:r w:rsidRPr="00A81964">
        <w:rPr>
          <w:b/>
          <w:bCs/>
          <w:rtl/>
        </w:rPr>
        <w:t xml:space="preserve"> </w:t>
      </w:r>
      <w:r w:rsidRPr="00A81964">
        <w:rPr>
          <w:rFonts w:hint="eastAsia"/>
          <w:b/>
          <w:bCs/>
          <w:rtl/>
        </w:rPr>
        <w:t>וסך</w:t>
      </w:r>
      <w:r w:rsidRPr="00A81964">
        <w:rPr>
          <w:b/>
          <w:bCs/>
          <w:rtl/>
        </w:rPr>
        <w:t xml:space="preserve"> </w:t>
      </w:r>
      <w:r w:rsidRPr="00A81964">
        <w:rPr>
          <w:rFonts w:hint="eastAsia"/>
          <w:b/>
          <w:bCs/>
          <w:rtl/>
        </w:rPr>
        <w:t>התשלומים</w:t>
      </w:r>
      <w:r w:rsidRPr="00A81964">
        <w:rPr>
          <w:b/>
          <w:bCs/>
          <w:rtl/>
        </w:rPr>
        <w:t xml:space="preserve"> </w:t>
      </w:r>
      <w:r w:rsidRPr="00A81964">
        <w:rPr>
          <w:rFonts w:hint="eastAsia"/>
          <w:b/>
          <w:bCs/>
          <w:rtl/>
        </w:rPr>
        <w:t>ששולמו</w:t>
      </w:r>
      <w:r w:rsidRPr="00A81964">
        <w:rPr>
          <w:b/>
          <w:bCs/>
          <w:rtl/>
        </w:rPr>
        <w:t xml:space="preserve"> </w:t>
      </w:r>
      <w:r w:rsidRPr="00A81964">
        <w:rPr>
          <w:rFonts w:hint="eastAsia"/>
          <w:b/>
          <w:bCs/>
          <w:rtl/>
        </w:rPr>
        <w:t>בגינן</w:t>
      </w:r>
      <w:r w:rsidRPr="00A81964">
        <w:rPr>
          <w:b/>
          <w:bCs/>
          <w:rtl/>
        </w:rPr>
        <w:t xml:space="preserve"> (במיליוני </w:t>
      </w:r>
      <w:r w:rsidRPr="00A81964">
        <w:rPr>
          <w:rFonts w:hint="eastAsia"/>
          <w:b/>
          <w:bCs/>
          <w:rtl/>
        </w:rPr>
        <w:t>ש</w:t>
      </w:r>
      <w:r w:rsidRPr="00A81964">
        <w:rPr>
          <w:b/>
          <w:bCs/>
          <w:rtl/>
        </w:rPr>
        <w:t xml:space="preserve">"ח), </w:t>
      </w:r>
      <w:r w:rsidRPr="00A81964">
        <w:rPr>
          <w:rFonts w:hint="eastAsia"/>
          <w:b/>
          <w:bCs/>
          <w:rtl/>
        </w:rPr>
        <w:t>עד</w:t>
      </w:r>
      <w:r w:rsidRPr="00A81964">
        <w:rPr>
          <w:b/>
          <w:bCs/>
          <w:rtl/>
        </w:rPr>
        <w:t xml:space="preserve"> </w:t>
      </w:r>
      <w:r w:rsidRPr="00A81964">
        <w:rPr>
          <w:rFonts w:hint="eastAsia"/>
          <w:b/>
          <w:bCs/>
          <w:rtl/>
        </w:rPr>
        <w:t>אוקטובר</w:t>
      </w:r>
      <w:r w:rsidRPr="00A81964">
        <w:rPr>
          <w:b/>
          <w:bCs/>
          <w:rtl/>
        </w:rPr>
        <w:t xml:space="preserve"> 2024</w:t>
      </w:r>
    </w:p>
    <w:p w:rsidR="006252C4" w:rsidRPr="00A81964" w:rsidRDefault="006252C4" w:rsidP="006252C4">
      <w:pPr>
        <w:spacing w:line="269" w:lineRule="auto"/>
        <w:jc w:val="center"/>
        <w:rPr>
          <w:rtl/>
        </w:rPr>
      </w:pPr>
      <w:r>
        <w:rPr>
          <w:noProof/>
        </w:rPr>
        <w:drawing>
          <wp:inline distT="0" distB="0" distL="0" distR="0" wp14:anchorId="1EEBD1F1" wp14:editId="57E1BF4D">
            <wp:extent cx="5217795" cy="3261995"/>
            <wp:effectExtent l="0" t="0" r="1905" b="0"/>
            <wp:docPr id="38" name="תמונה 3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17795" cy="3261995"/>
                    </a:xfrm>
                    <a:prstGeom prst="rect">
                      <a:avLst/>
                    </a:prstGeom>
                    <a:noFill/>
                    <a:ln>
                      <a:noFill/>
                    </a:ln>
                  </pic:spPr>
                </pic:pic>
              </a:graphicData>
            </a:graphic>
          </wp:inline>
        </w:drawing>
      </w:r>
    </w:p>
    <w:p w:rsidR="006252C4" w:rsidRPr="00A81964" w:rsidRDefault="006252C4" w:rsidP="006252C4">
      <w:pPr>
        <w:spacing w:line="269" w:lineRule="auto"/>
        <w:rPr>
          <w:sz w:val="16"/>
          <w:szCs w:val="20"/>
          <w:rtl/>
        </w:rPr>
      </w:pPr>
      <w:r w:rsidRPr="00A81964">
        <w:rPr>
          <w:rFonts w:hint="cs"/>
          <w:sz w:val="16"/>
          <w:szCs w:val="20"/>
          <w:rtl/>
        </w:rPr>
        <w:t xml:space="preserve">על פי נתוני </w:t>
      </w:r>
      <w:r w:rsidRPr="00925417">
        <w:rPr>
          <w:rFonts w:hint="cs"/>
          <w:sz w:val="16"/>
          <w:szCs w:val="20"/>
          <w:rtl/>
        </w:rPr>
        <w:t>רשות המיסים, בעיבוד משרד מבקר המדינה</w:t>
      </w:r>
      <w:r w:rsidRPr="00A81964">
        <w:rPr>
          <w:rFonts w:hint="cs"/>
          <w:sz w:val="16"/>
          <w:szCs w:val="20"/>
          <w:rtl/>
        </w:rPr>
        <w:t>.</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מהתרשים עולה כי ב-17% מהתביעות נמצאו סמ"חים וב-83% מהתביעות לא נמצאו סמ"חים. עוד נמצא כי תשלומי הפיצויים ששולמו בגין תביעות שבהן נמצאו סמ"חים, בסך כולל של 8.2 מיליארד ש"ח ובסכום ממוצע של 90,000 ש"ח לתביעה, היו בשיעור של 55% מסך תשלומי הפיצויים בתביעות בגין נזקים עקיפים שהוגשו במלחמת חרבות ברזל עד חודש אוקטובר 2024. כלומר, מרבית תשלומי הפיצויים בגין נזקים עקיפים במלחמת חרבות ברזל שולמו בגין תביעות שבהן נמצאו סמ"חים.</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להלן בתרשים 20 מוצגת התפלגות שיעורי התשלומים בגין תביעות שבהן נמצאו סמ"חים ונכנסו לתוכנית עבודה בחוליות הביקורת, תוך הבחנה בין תשלומי מקדמות לתשלומים סופיים.</w:t>
      </w:r>
    </w:p>
    <w:p w:rsidR="006252C4" w:rsidRDefault="006252C4" w:rsidP="006252C4">
      <w:pPr>
        <w:spacing w:line="269" w:lineRule="auto"/>
        <w:jc w:val="center"/>
        <w:rPr>
          <w:rtl/>
        </w:rPr>
      </w:pPr>
    </w:p>
    <w:p w:rsidR="006252C4" w:rsidRPr="00A81964" w:rsidRDefault="006252C4" w:rsidP="00F316D6">
      <w:pPr>
        <w:keepNext/>
        <w:keepLines/>
        <w:spacing w:after="60" w:line="269" w:lineRule="auto"/>
        <w:jc w:val="center"/>
        <w:rPr>
          <w:rtl/>
        </w:rPr>
      </w:pPr>
      <w:r w:rsidRPr="00A81964">
        <w:rPr>
          <w:rFonts w:hint="cs"/>
          <w:rtl/>
        </w:rPr>
        <w:lastRenderedPageBreak/>
        <w:t xml:space="preserve">תרשים 20: </w:t>
      </w:r>
      <w:r w:rsidRPr="00A81964">
        <w:rPr>
          <w:rFonts w:hint="eastAsia"/>
          <w:b/>
          <w:bCs/>
          <w:rtl/>
        </w:rPr>
        <w:t>התפלגות</w:t>
      </w:r>
      <w:r w:rsidRPr="00A81964">
        <w:rPr>
          <w:b/>
          <w:bCs/>
          <w:rtl/>
        </w:rPr>
        <w:t xml:space="preserve"> </w:t>
      </w:r>
      <w:r w:rsidRPr="00A81964">
        <w:rPr>
          <w:rFonts w:hint="eastAsia"/>
          <w:b/>
          <w:bCs/>
          <w:rtl/>
        </w:rPr>
        <w:t>שיעורי</w:t>
      </w:r>
      <w:r w:rsidRPr="00A81964">
        <w:rPr>
          <w:b/>
          <w:bCs/>
          <w:rtl/>
        </w:rPr>
        <w:t xml:space="preserve"> </w:t>
      </w:r>
      <w:r w:rsidRPr="00A81964">
        <w:rPr>
          <w:rFonts w:hint="eastAsia"/>
          <w:b/>
          <w:bCs/>
          <w:rtl/>
        </w:rPr>
        <w:t>התשלומים</w:t>
      </w:r>
      <w:r w:rsidRPr="00A81964">
        <w:rPr>
          <w:b/>
          <w:bCs/>
          <w:rtl/>
        </w:rPr>
        <w:t xml:space="preserve"> </w:t>
      </w:r>
      <w:r w:rsidRPr="00A81964">
        <w:rPr>
          <w:rFonts w:hint="eastAsia"/>
          <w:b/>
          <w:bCs/>
          <w:rtl/>
        </w:rPr>
        <w:t>ששולמו</w:t>
      </w:r>
      <w:r w:rsidRPr="00A81964">
        <w:rPr>
          <w:b/>
          <w:bCs/>
          <w:rtl/>
        </w:rPr>
        <w:t xml:space="preserve"> </w:t>
      </w:r>
      <w:r w:rsidRPr="00A81964">
        <w:rPr>
          <w:rFonts w:hint="eastAsia"/>
          <w:b/>
          <w:bCs/>
          <w:rtl/>
        </w:rPr>
        <w:t>בגין</w:t>
      </w:r>
      <w:r w:rsidRPr="00A81964">
        <w:rPr>
          <w:b/>
          <w:bCs/>
          <w:rtl/>
        </w:rPr>
        <w:t xml:space="preserve"> </w:t>
      </w:r>
      <w:r w:rsidRPr="00A81964">
        <w:rPr>
          <w:rFonts w:hint="eastAsia"/>
          <w:b/>
          <w:bCs/>
          <w:rtl/>
        </w:rPr>
        <w:t>תביעות</w:t>
      </w:r>
      <w:r w:rsidRPr="00A81964">
        <w:rPr>
          <w:b/>
          <w:bCs/>
          <w:rtl/>
        </w:rPr>
        <w:t xml:space="preserve"> </w:t>
      </w:r>
      <w:r w:rsidRPr="00A81964">
        <w:rPr>
          <w:rFonts w:hint="cs"/>
          <w:b/>
          <w:bCs/>
          <w:rtl/>
        </w:rPr>
        <w:t>ש</w:t>
      </w:r>
      <w:r w:rsidRPr="00A81964">
        <w:rPr>
          <w:rFonts w:hint="eastAsia"/>
          <w:b/>
          <w:bCs/>
          <w:rtl/>
        </w:rPr>
        <w:t>בהן</w:t>
      </w:r>
      <w:r w:rsidRPr="00A81964">
        <w:rPr>
          <w:b/>
          <w:bCs/>
          <w:rtl/>
        </w:rPr>
        <w:t xml:space="preserve"> </w:t>
      </w:r>
      <w:r w:rsidRPr="00A81964">
        <w:rPr>
          <w:rFonts w:hint="eastAsia"/>
          <w:b/>
          <w:bCs/>
          <w:rtl/>
        </w:rPr>
        <w:t>נמצאו</w:t>
      </w:r>
      <w:r w:rsidRPr="00A81964">
        <w:rPr>
          <w:b/>
          <w:bCs/>
          <w:rtl/>
        </w:rPr>
        <w:t xml:space="preserve"> </w:t>
      </w:r>
      <w:r w:rsidRPr="00A81964">
        <w:rPr>
          <w:rFonts w:hint="eastAsia"/>
          <w:b/>
          <w:bCs/>
          <w:rtl/>
        </w:rPr>
        <w:t>סמ</w:t>
      </w:r>
      <w:r w:rsidRPr="00A81964">
        <w:rPr>
          <w:b/>
          <w:bCs/>
          <w:rtl/>
        </w:rPr>
        <w:t>"חים</w:t>
      </w:r>
      <w:r w:rsidRPr="00A81964">
        <w:rPr>
          <w:rFonts w:hint="cs"/>
          <w:b/>
          <w:bCs/>
          <w:rtl/>
        </w:rPr>
        <w:t>,</w:t>
      </w:r>
      <w:r w:rsidRPr="00A81964">
        <w:rPr>
          <w:b/>
          <w:bCs/>
          <w:rtl/>
        </w:rPr>
        <w:t xml:space="preserve"> תוך הבחנה בין תשלומי מקדמות לתשלומים סופיים, </w:t>
      </w:r>
      <w:r w:rsidRPr="00A81964">
        <w:rPr>
          <w:rFonts w:hint="eastAsia"/>
          <w:b/>
          <w:bCs/>
          <w:rtl/>
        </w:rPr>
        <w:t>עד</w:t>
      </w:r>
      <w:r w:rsidRPr="00A81964">
        <w:rPr>
          <w:b/>
          <w:bCs/>
          <w:rtl/>
        </w:rPr>
        <w:t xml:space="preserve"> </w:t>
      </w:r>
      <w:r w:rsidRPr="00A81964">
        <w:rPr>
          <w:rFonts w:hint="eastAsia"/>
          <w:b/>
          <w:bCs/>
          <w:rtl/>
        </w:rPr>
        <w:t>אוקטובר</w:t>
      </w:r>
      <w:r w:rsidRPr="00A81964">
        <w:rPr>
          <w:b/>
          <w:bCs/>
          <w:rtl/>
        </w:rPr>
        <w:t xml:space="preserve"> 2024 </w:t>
      </w:r>
      <w:r w:rsidRPr="00A81964">
        <w:rPr>
          <w:rFonts w:hint="cs"/>
          <w:b/>
          <w:bCs/>
          <w:rtl/>
        </w:rPr>
        <w:t>(</w:t>
      </w:r>
      <w:r w:rsidRPr="00A81964">
        <w:rPr>
          <w:rFonts w:hint="eastAsia"/>
          <w:b/>
          <w:bCs/>
          <w:rtl/>
        </w:rPr>
        <w:t>במיליוני</w:t>
      </w:r>
      <w:r w:rsidRPr="00A81964">
        <w:rPr>
          <w:b/>
          <w:bCs/>
          <w:rtl/>
        </w:rPr>
        <w:t xml:space="preserve"> </w:t>
      </w:r>
      <w:r w:rsidRPr="00A81964">
        <w:rPr>
          <w:rFonts w:hint="eastAsia"/>
          <w:b/>
          <w:bCs/>
          <w:rtl/>
        </w:rPr>
        <w:t>ש</w:t>
      </w:r>
      <w:r w:rsidRPr="00A81964">
        <w:rPr>
          <w:b/>
          <w:bCs/>
          <w:rtl/>
        </w:rPr>
        <w:t>"ח</w:t>
      </w:r>
      <w:r w:rsidRPr="00A81964">
        <w:rPr>
          <w:rFonts w:hint="cs"/>
          <w:b/>
          <w:bCs/>
          <w:rtl/>
        </w:rPr>
        <w:t>)</w:t>
      </w:r>
    </w:p>
    <w:p w:rsidR="006252C4" w:rsidRPr="00A81964" w:rsidRDefault="006252C4" w:rsidP="006252C4">
      <w:pPr>
        <w:spacing w:line="269" w:lineRule="auto"/>
        <w:jc w:val="center"/>
        <w:rPr>
          <w:rtl/>
        </w:rPr>
      </w:pPr>
      <w:r>
        <w:rPr>
          <w:noProof/>
        </w:rPr>
        <w:drawing>
          <wp:inline distT="0" distB="0" distL="0" distR="0" wp14:anchorId="0A74C205" wp14:editId="3C43F383">
            <wp:extent cx="4912393" cy="2719449"/>
            <wp:effectExtent l="0" t="0" r="2540" b="5080"/>
            <wp:docPr id="39" name="תמונה 3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7558"/>
                    <a:stretch/>
                  </pic:blipFill>
                  <pic:spPr bwMode="auto">
                    <a:xfrm>
                      <a:off x="0" y="0"/>
                      <a:ext cx="5005894" cy="2771210"/>
                    </a:xfrm>
                    <a:prstGeom prst="rect">
                      <a:avLst/>
                    </a:prstGeom>
                    <a:noFill/>
                    <a:ln>
                      <a:noFill/>
                    </a:ln>
                    <a:extLst>
                      <a:ext uri="{53640926-AAD7-44D8-BBD7-CCE9431645EC}">
                        <a14:shadowObscured xmlns:a14="http://schemas.microsoft.com/office/drawing/2010/main"/>
                      </a:ext>
                    </a:extLst>
                  </pic:spPr>
                </pic:pic>
              </a:graphicData>
            </a:graphic>
          </wp:inline>
        </w:drawing>
      </w:r>
    </w:p>
    <w:p w:rsidR="006252C4" w:rsidRPr="00A81964" w:rsidRDefault="006252C4" w:rsidP="006252C4">
      <w:pPr>
        <w:spacing w:line="269" w:lineRule="auto"/>
        <w:rPr>
          <w:sz w:val="16"/>
          <w:szCs w:val="20"/>
          <w:rtl/>
        </w:rPr>
      </w:pPr>
      <w:r w:rsidRPr="00A81964">
        <w:rPr>
          <w:rFonts w:hint="cs"/>
          <w:sz w:val="16"/>
          <w:szCs w:val="20"/>
          <w:rtl/>
        </w:rPr>
        <w:t xml:space="preserve">על פי נתוני </w:t>
      </w:r>
      <w:r w:rsidRPr="00925417">
        <w:rPr>
          <w:rFonts w:hint="cs"/>
          <w:sz w:val="16"/>
          <w:szCs w:val="20"/>
          <w:rtl/>
        </w:rPr>
        <w:t>רשות המיסים, בעיבוד משרד מבקר המדינה</w:t>
      </w:r>
      <w:r w:rsidRPr="00A81964">
        <w:rPr>
          <w:rFonts w:hint="cs"/>
          <w:sz w:val="16"/>
          <w:szCs w:val="20"/>
          <w:rtl/>
        </w:rPr>
        <w:t>.</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מהתרשים עולה כי שולמו מקדמות בסך של כ-7.2 מיליארד ש"ח בתביעות שבהן נמצאו סמ"חים ולפני שחוליות הביקורת בדקו את התביעה. על אף קיומם של סמ"חים, המעידים לכאורה </w:t>
      </w:r>
      <w:r w:rsidRPr="00A81964">
        <w:rPr>
          <w:b/>
          <w:bCs/>
          <w:rtl/>
        </w:rPr>
        <w:t xml:space="preserve">שמגיש התביעה </w:t>
      </w:r>
      <w:r w:rsidRPr="00A81964">
        <w:rPr>
          <w:rFonts w:hint="cs"/>
          <w:b/>
          <w:bCs/>
          <w:rtl/>
        </w:rPr>
        <w:t>אינו</w:t>
      </w:r>
      <w:r w:rsidRPr="00A81964">
        <w:rPr>
          <w:b/>
          <w:bCs/>
          <w:rtl/>
        </w:rPr>
        <w:t xml:space="preserve"> זכאי לפיצוי או שסכום הפיצוי הנדרש בתביעה </w:t>
      </w:r>
      <w:r w:rsidRPr="00A81964">
        <w:rPr>
          <w:rFonts w:hint="cs"/>
          <w:b/>
          <w:bCs/>
          <w:rtl/>
        </w:rPr>
        <w:t>הוא</w:t>
      </w:r>
      <w:r w:rsidRPr="00A81964">
        <w:rPr>
          <w:b/>
          <w:bCs/>
          <w:rtl/>
        </w:rPr>
        <w:t xml:space="preserve"> שלא על פי הדין</w:t>
      </w:r>
      <w:r w:rsidRPr="00A81964">
        <w:rPr>
          <w:rFonts w:hint="cs"/>
          <w:b/>
          <w:bCs/>
          <w:rtl/>
        </w:rPr>
        <w:t xml:space="preserve">, מקדמות אלו שולמו כאמור, בלי שנבחנו על ידי גורם אנושי.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כאמור, תביעה שנמצאו בה סמ"חים נכנסת לתוכנית העבודה של חוליית ביקורת, ולאחר בדיקתה מתקבלת החלטה בנוגע לזכאות מגיש התביעה לפיצוי בגין נזק עקיף. אם סכום הפיצוי שקבעה חוליית הביקורת נמוך מסכום המקדמה ששילמה מערכת התביעות, נוצר תשלום עודף.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כדי להשיב תשלומים עודפים, קרן הפיצויים יוצרת במערכותיה חוב למגיש התביעה בגין תשלום ביתר </w:t>
      </w:r>
      <w:r w:rsidRPr="00925417">
        <w:rPr>
          <w:rFonts w:hint="cs"/>
          <w:rtl/>
        </w:rPr>
        <w:t>בדרכים</w:t>
      </w:r>
      <w:r w:rsidRPr="00A31655">
        <w:rPr>
          <w:rtl/>
        </w:rPr>
        <w:t xml:space="preserve"> אחדות</w:t>
      </w:r>
      <w:r w:rsidRPr="00A81964">
        <w:t>:</w:t>
      </w:r>
      <w:r w:rsidRPr="00A81964">
        <w:rPr>
          <w:rFonts w:hint="cs"/>
          <w:rtl/>
        </w:rPr>
        <w:t xml:space="preserve"> (א) קיזוז של החוב מסכום הפיצוי שנקבע בתביעה אחרת של אותו מגיש תביעה; (ב) יצירת חוב במערכת התביעות; (ג) העברת החוב לטיפול מחלקת הגבייה של משרד השומה שבו מטופל מגיש התביעה.</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בביקורת </w:t>
      </w:r>
      <w:r w:rsidRPr="00925417">
        <w:rPr>
          <w:rFonts w:hint="cs"/>
          <w:b/>
          <w:bCs/>
          <w:rtl/>
        </w:rPr>
        <w:t>עלה</w:t>
      </w:r>
      <w:r w:rsidRPr="00A81964">
        <w:rPr>
          <w:rFonts w:hint="cs"/>
          <w:b/>
          <w:bCs/>
          <w:rtl/>
        </w:rPr>
        <w:t xml:space="preserve"> כי עד אוקטובר 2024 נוצרו חובות בגין תשלומים עודפים ב-33% מהתביעות שהועברו לבדיקת חוליות הביקורת לאחר שנמצאו בהן סמ"חים.</w:t>
      </w:r>
    </w:p>
    <w:p w:rsidR="006252C4" w:rsidRDefault="006252C4" w:rsidP="006252C4">
      <w:pPr>
        <w:pStyle w:val="a8"/>
        <w:spacing w:line="269" w:lineRule="auto"/>
        <w:rPr>
          <w:rtl/>
        </w:rPr>
      </w:pPr>
    </w:p>
    <w:p w:rsidR="006252C4" w:rsidRDefault="006252C4" w:rsidP="006252C4">
      <w:pPr>
        <w:spacing w:line="269" w:lineRule="auto"/>
        <w:rPr>
          <w:b/>
          <w:bCs/>
          <w:sz w:val="24"/>
          <w:rtl/>
        </w:rPr>
      </w:pPr>
      <w:r w:rsidRPr="00A81964">
        <w:rPr>
          <w:rFonts w:hint="cs"/>
          <w:b/>
          <w:bCs/>
          <w:rtl/>
        </w:rPr>
        <w:t xml:space="preserve">עוד </w:t>
      </w:r>
      <w:r w:rsidRPr="00925417">
        <w:rPr>
          <w:rFonts w:hint="cs"/>
          <w:b/>
          <w:bCs/>
          <w:rtl/>
        </w:rPr>
        <w:t>עלה</w:t>
      </w:r>
      <w:r w:rsidRPr="00A81964">
        <w:rPr>
          <w:rFonts w:hint="cs"/>
          <w:b/>
          <w:bCs/>
          <w:rtl/>
        </w:rPr>
        <w:t xml:space="preserve"> כי לפחות 1</w:t>
      </w:r>
      <w:r w:rsidRPr="00A81964">
        <w:rPr>
          <w:rFonts w:hint="cs"/>
          <w:b/>
          <w:bCs/>
          <w:sz w:val="24"/>
          <w:rtl/>
        </w:rPr>
        <w:t>.5 מיליארד ש</w:t>
      </w:r>
      <w:r w:rsidRPr="00A81964">
        <w:rPr>
          <w:rFonts w:ascii="David" w:hAnsi="David"/>
          <w:b/>
          <w:bCs/>
          <w:sz w:val="24"/>
          <w:rtl/>
        </w:rPr>
        <w:t>"ח</w:t>
      </w:r>
      <w:r w:rsidRPr="00A81964">
        <w:rPr>
          <w:rFonts w:ascii="David" w:hAnsi="David" w:hint="cs"/>
          <w:b/>
          <w:bCs/>
          <w:sz w:val="24"/>
          <w:rtl/>
        </w:rPr>
        <w:t xml:space="preserve"> </w:t>
      </w:r>
      <w:r w:rsidRPr="00A81964">
        <w:rPr>
          <w:rFonts w:ascii="David" w:hAnsi="David"/>
          <w:b/>
          <w:bCs/>
          <w:sz w:val="24"/>
          <w:rtl/>
        </w:rPr>
        <w:t xml:space="preserve">מהמקדמות ששולמו במלחמת חרבות ברזל </w:t>
      </w:r>
      <w:r w:rsidRPr="00A81964">
        <w:rPr>
          <w:rFonts w:ascii="David" w:hAnsi="David" w:hint="cs"/>
          <w:b/>
          <w:bCs/>
          <w:sz w:val="24"/>
          <w:rtl/>
        </w:rPr>
        <w:t>(</w:t>
      </w:r>
      <w:r w:rsidRPr="00A81964">
        <w:rPr>
          <w:rFonts w:ascii="David" w:hAnsi="David"/>
          <w:b/>
          <w:bCs/>
          <w:sz w:val="24"/>
          <w:rtl/>
        </w:rPr>
        <w:t>כ-</w:t>
      </w:r>
      <w:r w:rsidRPr="00A81964">
        <w:rPr>
          <w:rFonts w:ascii="David" w:hAnsi="David"/>
          <w:b/>
          <w:bCs/>
          <w:sz w:val="24"/>
        </w:rPr>
        <w:t>21%</w:t>
      </w:r>
      <w:r w:rsidRPr="00A81964">
        <w:rPr>
          <w:rFonts w:ascii="David" w:hAnsi="David" w:hint="cs"/>
          <w:b/>
          <w:bCs/>
          <w:sz w:val="24"/>
          <w:rtl/>
        </w:rPr>
        <w:t xml:space="preserve"> מסך תשלומי המקדמות)</w:t>
      </w:r>
      <w:r w:rsidRPr="00A81964">
        <w:rPr>
          <w:rFonts w:ascii="David" w:hAnsi="David"/>
          <w:b/>
          <w:bCs/>
          <w:sz w:val="24"/>
          <w:rtl/>
        </w:rPr>
        <w:t xml:space="preserve"> התבררו כתשלומי </w:t>
      </w:r>
      <w:r w:rsidRPr="00A81964">
        <w:rPr>
          <w:rFonts w:ascii="David" w:hAnsi="David" w:hint="cs"/>
          <w:b/>
          <w:bCs/>
          <w:sz w:val="24"/>
          <w:rtl/>
        </w:rPr>
        <w:t>יתר</w:t>
      </w:r>
      <w:r w:rsidRPr="00A81964">
        <w:rPr>
          <w:rFonts w:ascii="David" w:hAnsi="David"/>
          <w:b/>
          <w:bCs/>
          <w:sz w:val="24"/>
          <w:rtl/>
        </w:rPr>
        <w:t>, שמגישי התביעות אינם זכאים להם על</w:t>
      </w:r>
      <w:r w:rsidRPr="00A81964">
        <w:rPr>
          <w:rFonts w:hint="cs"/>
          <w:b/>
          <w:bCs/>
          <w:sz w:val="24"/>
          <w:rtl/>
        </w:rPr>
        <w:t xml:space="preserve"> פי דין, ומשכך נדרשו להשיבם </w:t>
      </w:r>
      <w:r w:rsidRPr="00A81964">
        <w:rPr>
          <w:rFonts w:hint="cs"/>
          <w:b/>
          <w:bCs/>
          <w:sz w:val="24"/>
          <w:rtl/>
        </w:rPr>
        <w:lastRenderedPageBreak/>
        <w:t>לקרן הפיצויים.</w:t>
      </w:r>
      <w:r w:rsidRPr="00A81964">
        <w:rPr>
          <w:b/>
          <w:bCs/>
          <w:rtl/>
        </w:rPr>
        <w:t xml:space="preserve"> עד </w:t>
      </w:r>
      <w:r w:rsidRPr="00A81964">
        <w:rPr>
          <w:rFonts w:hint="cs"/>
          <w:b/>
          <w:bCs/>
          <w:rtl/>
        </w:rPr>
        <w:t>אוקטובר</w:t>
      </w:r>
      <w:r w:rsidRPr="00A81964">
        <w:rPr>
          <w:b/>
          <w:bCs/>
          <w:rtl/>
        </w:rPr>
        <w:t xml:space="preserve"> 2024 רק כ-250 מיליון ש"ח </w:t>
      </w:r>
      <w:r w:rsidRPr="00A81964">
        <w:rPr>
          <w:rFonts w:hint="cs"/>
          <w:b/>
          <w:bCs/>
          <w:rtl/>
        </w:rPr>
        <w:t>מתשלומי היתר (17%) הושבו לקופת המדינה באמצעות החזרתם לקרן הפיצויים, קיזוז מיתרות זכות של העוסקים בקרן הפיצויים או גביית החובות במשרדי השומה</w:t>
      </w:r>
      <w:r w:rsidRPr="00A81964">
        <w:rPr>
          <w:b/>
          <w:bCs/>
          <w:rtl/>
        </w:rPr>
        <w:t>.</w:t>
      </w:r>
    </w:p>
    <w:p w:rsidR="006252C4" w:rsidRDefault="006252C4" w:rsidP="006252C4">
      <w:pPr>
        <w:spacing w:line="269" w:lineRule="auto"/>
        <w:rPr>
          <w:b/>
          <w:bCs/>
          <w:sz w:val="24"/>
          <w:rtl/>
        </w:rPr>
      </w:pPr>
      <w:r>
        <w:rPr>
          <w:rFonts w:hint="cs"/>
          <w:b/>
          <w:bCs/>
          <w:sz w:val="24"/>
          <w:rtl/>
        </w:rPr>
        <w:t>יוצא כי במלחמת חרבות ברזל, בתקופת מגפת הקורונה ובסבבי לחימה בשנים הקודמות שילמה</w:t>
      </w:r>
      <w:r>
        <w:rPr>
          <w:rFonts w:hint="cs"/>
          <w:b/>
          <w:bCs/>
          <w:sz w:val="24"/>
        </w:rPr>
        <w:t xml:space="preserve"> </w:t>
      </w:r>
      <w:r>
        <w:rPr>
          <w:rFonts w:hint="cs"/>
          <w:b/>
          <w:bCs/>
          <w:sz w:val="24"/>
          <w:rtl/>
        </w:rPr>
        <w:t>קרן הפיצויים תשלומים עודפים בסך של כ-3.1 מיליארד ש"ח.</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כמו כן, </w:t>
      </w:r>
      <w:r w:rsidRPr="002F06CD">
        <w:rPr>
          <w:rFonts w:hint="cs"/>
          <w:b/>
          <w:bCs/>
          <w:rtl/>
        </w:rPr>
        <w:t>עלה</w:t>
      </w:r>
      <w:r w:rsidRPr="00A81964">
        <w:rPr>
          <w:rFonts w:hint="cs"/>
          <w:b/>
          <w:bCs/>
          <w:rtl/>
        </w:rPr>
        <w:t xml:space="preserve"> כי בתביעות שפורטו לעיל שבהן שולמו סכומי היתר, מגישי התביעות דרשו מלכתחילה פיצויים בסך של כ-2.2 מיליארד ש"ח. כלומר, קרן הפיצויים החליטה, לאחר בדיקות של חוליות הביקורת, כי</w:t>
      </w:r>
      <w:r>
        <w:rPr>
          <w:rFonts w:hint="cs"/>
          <w:b/>
          <w:bCs/>
          <w:rtl/>
        </w:rPr>
        <w:t xml:space="preserve"> כ-</w:t>
      </w:r>
      <w:r w:rsidRPr="00A81964">
        <w:rPr>
          <w:rFonts w:hint="cs"/>
          <w:b/>
          <w:bCs/>
          <w:rtl/>
        </w:rPr>
        <w:t xml:space="preserve">68% מהסכומים שנכללו בתביעות נדרשו שלא על פי הדין.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כאמור לעיל, הוראות החוק והתקנות מכוחו מקנות למנהל קרן הפיצויים את הסמכות לקבוע אם יש לשלם מקדמות בגין תביעה שהוגשה, וזאת בהתאם להנחת דעתו</w:t>
      </w:r>
      <w:r w:rsidRPr="00A81964">
        <w:rPr>
          <w:rStyle w:val="af2"/>
          <w:rtl/>
        </w:rPr>
        <w:footnoteReference w:id="104"/>
      </w:r>
      <w:r w:rsidRPr="00A81964">
        <w:rPr>
          <w:rFonts w:hint="cs"/>
          <w:rtl/>
        </w:rPr>
        <w:t xml:space="preserve">. </w:t>
      </w:r>
      <w:r w:rsidRPr="002F06CD">
        <w:rPr>
          <w:rFonts w:hint="cs"/>
          <w:rtl/>
        </w:rPr>
        <w:t>משיחות עם הנהלת הקרן</w:t>
      </w:r>
      <w:r w:rsidRPr="00A81964">
        <w:rPr>
          <w:rFonts w:hint="cs"/>
          <w:rtl/>
        </w:rPr>
        <w:t xml:space="preserve"> עלה כי ניתן להגדיר במערכת התביעות שבזיהוי </w:t>
      </w:r>
      <w:proofErr w:type="spellStart"/>
      <w:r w:rsidRPr="00A81964">
        <w:rPr>
          <w:rFonts w:hint="cs"/>
          <w:rtl/>
        </w:rPr>
        <w:t>סמ"ח</w:t>
      </w:r>
      <w:proofErr w:type="spellEnd"/>
      <w:r w:rsidRPr="00A81964">
        <w:rPr>
          <w:rFonts w:hint="cs"/>
          <w:rtl/>
        </w:rPr>
        <w:t xml:space="preserve"> מסוים בתביעה שהוגשה תיחסם האפשרות לתשלומי מקדמות בגין אותה תביעה עד לסיום בדיקתה על ידי חוליית הביקורת (להלן - חסימה אוטומטית של תשלומי מקדמות).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בביקורת עלה כי אף שבכ-33% מהתביעות שנמצאו בה</w:t>
      </w:r>
      <w:r>
        <w:rPr>
          <w:rFonts w:hint="cs"/>
          <w:b/>
          <w:bCs/>
          <w:rtl/>
        </w:rPr>
        <w:t>ן</w:t>
      </w:r>
      <w:r w:rsidRPr="00A81964">
        <w:rPr>
          <w:rFonts w:hint="cs"/>
          <w:b/>
          <w:bCs/>
          <w:rtl/>
        </w:rPr>
        <w:t xml:space="preserve"> סמ"חים שולמו כאמור תשלומי יתר, ואף שניתן להגדיר במערכת התביעות חסימה אוטומטית של תשלום מקדמה בתביעה שבה נמצאים סמ"חים מסוימים שהוגדרו לכך, הקרן לא בחנה את היישום של אפשרות זו, וממילא אף </w:t>
      </w:r>
      <w:proofErr w:type="spellStart"/>
      <w:r w:rsidRPr="00A81964">
        <w:rPr>
          <w:rFonts w:hint="cs"/>
          <w:b/>
          <w:bCs/>
          <w:rtl/>
        </w:rPr>
        <w:t>סמ"ח</w:t>
      </w:r>
      <w:proofErr w:type="spellEnd"/>
      <w:r w:rsidRPr="00A81964">
        <w:rPr>
          <w:rFonts w:hint="cs"/>
          <w:b/>
          <w:bCs/>
          <w:rtl/>
        </w:rPr>
        <w:t xml:space="preserve"> לא הוגדר ככזה.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עוד עלה כי 1.25 מיליארד ש"ח מתוך 1.5 מיליארד ש"ח (83%) המקדמות ששולמו ביתר במלחמת חרבות ברזל טרם נגבו עד מועד סיום הביקורת.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eastAsia"/>
          <w:b/>
          <w:bCs/>
          <w:rtl/>
        </w:rPr>
        <w:t>חוליית</w:t>
      </w:r>
      <w:r w:rsidRPr="00A81964">
        <w:rPr>
          <w:b/>
          <w:bCs/>
          <w:rtl/>
        </w:rPr>
        <w:t xml:space="preserve"> </w:t>
      </w:r>
      <w:r w:rsidRPr="00A81964">
        <w:rPr>
          <w:rFonts w:hint="eastAsia"/>
          <w:b/>
          <w:bCs/>
          <w:rtl/>
        </w:rPr>
        <w:t>הביקורת</w:t>
      </w:r>
      <w:r w:rsidRPr="00A81964">
        <w:rPr>
          <w:b/>
          <w:bCs/>
          <w:rtl/>
        </w:rPr>
        <w:t xml:space="preserve"> </w:t>
      </w:r>
      <w:r w:rsidRPr="00A81964">
        <w:rPr>
          <w:rFonts w:hint="eastAsia"/>
          <w:b/>
          <w:bCs/>
          <w:rtl/>
        </w:rPr>
        <w:t>יכולה</w:t>
      </w:r>
      <w:r w:rsidRPr="00A81964">
        <w:rPr>
          <w:b/>
          <w:bCs/>
          <w:rtl/>
        </w:rPr>
        <w:t xml:space="preserve"> </w:t>
      </w:r>
      <w:r w:rsidRPr="00A81964">
        <w:rPr>
          <w:rFonts w:hint="eastAsia"/>
          <w:b/>
          <w:bCs/>
          <w:rtl/>
        </w:rPr>
        <w:t>בפרק</w:t>
      </w:r>
      <w:r w:rsidRPr="00A81964">
        <w:rPr>
          <w:b/>
          <w:bCs/>
          <w:rtl/>
        </w:rPr>
        <w:t xml:space="preserve"> </w:t>
      </w:r>
      <w:r w:rsidRPr="00A81964">
        <w:rPr>
          <w:rFonts w:hint="eastAsia"/>
          <w:b/>
          <w:bCs/>
          <w:rtl/>
        </w:rPr>
        <w:t>זמן</w:t>
      </w:r>
      <w:r w:rsidRPr="00A81964">
        <w:rPr>
          <w:b/>
          <w:bCs/>
          <w:rtl/>
        </w:rPr>
        <w:t xml:space="preserve"> </w:t>
      </w:r>
      <w:r w:rsidRPr="00A81964">
        <w:rPr>
          <w:rFonts w:hint="eastAsia"/>
          <w:b/>
          <w:bCs/>
          <w:rtl/>
        </w:rPr>
        <w:t>קצר</w:t>
      </w:r>
      <w:r w:rsidRPr="00A81964">
        <w:rPr>
          <w:b/>
          <w:bCs/>
          <w:rtl/>
        </w:rPr>
        <w:t xml:space="preserve">, </w:t>
      </w:r>
      <w:r w:rsidRPr="00A81964">
        <w:rPr>
          <w:rFonts w:hint="eastAsia"/>
          <w:b/>
          <w:bCs/>
          <w:rtl/>
        </w:rPr>
        <w:t>עד</w:t>
      </w:r>
      <w:r w:rsidRPr="00A81964">
        <w:rPr>
          <w:b/>
          <w:bCs/>
          <w:rtl/>
        </w:rPr>
        <w:t xml:space="preserve"> </w:t>
      </w:r>
      <w:r w:rsidRPr="00A81964">
        <w:rPr>
          <w:rFonts w:hint="eastAsia"/>
          <w:b/>
          <w:bCs/>
          <w:rtl/>
        </w:rPr>
        <w:t>לתשלום</w:t>
      </w:r>
      <w:r w:rsidRPr="00A81964">
        <w:rPr>
          <w:b/>
          <w:bCs/>
          <w:rtl/>
        </w:rPr>
        <w:t xml:space="preserve"> </w:t>
      </w:r>
      <w:r w:rsidRPr="00A81964">
        <w:rPr>
          <w:rFonts w:hint="eastAsia"/>
          <w:b/>
          <w:bCs/>
          <w:rtl/>
        </w:rPr>
        <w:t>האוטומטי</w:t>
      </w:r>
      <w:r w:rsidRPr="00A81964">
        <w:rPr>
          <w:b/>
          <w:bCs/>
          <w:rtl/>
        </w:rPr>
        <w:t xml:space="preserve"> </w:t>
      </w:r>
      <w:r w:rsidRPr="00A81964">
        <w:rPr>
          <w:rFonts w:hint="eastAsia"/>
          <w:b/>
          <w:bCs/>
          <w:rtl/>
        </w:rPr>
        <w:t>של</w:t>
      </w:r>
      <w:r w:rsidRPr="00A81964">
        <w:rPr>
          <w:b/>
          <w:bCs/>
          <w:rtl/>
        </w:rPr>
        <w:t xml:space="preserve"> </w:t>
      </w:r>
      <w:r w:rsidRPr="00A81964">
        <w:rPr>
          <w:rFonts w:hint="eastAsia"/>
          <w:b/>
          <w:bCs/>
          <w:rtl/>
        </w:rPr>
        <w:t>מקדמות</w:t>
      </w:r>
      <w:r w:rsidRPr="00A81964">
        <w:rPr>
          <w:b/>
          <w:bCs/>
          <w:rtl/>
        </w:rPr>
        <w:t xml:space="preserve">, </w:t>
      </w:r>
      <w:r w:rsidRPr="00A81964">
        <w:rPr>
          <w:rFonts w:hint="eastAsia"/>
          <w:b/>
          <w:bCs/>
          <w:rtl/>
        </w:rPr>
        <w:t>לבצע</w:t>
      </w:r>
      <w:r w:rsidRPr="00A81964">
        <w:rPr>
          <w:b/>
          <w:bCs/>
          <w:rtl/>
        </w:rPr>
        <w:t xml:space="preserve"> </w:t>
      </w:r>
      <w:r w:rsidRPr="00A81964">
        <w:rPr>
          <w:rFonts w:hint="eastAsia"/>
          <w:b/>
          <w:bCs/>
          <w:rtl/>
        </w:rPr>
        <w:t>חסימה</w:t>
      </w:r>
      <w:r w:rsidRPr="00A81964">
        <w:rPr>
          <w:b/>
          <w:bCs/>
          <w:rtl/>
        </w:rPr>
        <w:t xml:space="preserve"> </w:t>
      </w:r>
      <w:r w:rsidRPr="00A81964">
        <w:rPr>
          <w:rFonts w:hint="eastAsia"/>
          <w:b/>
          <w:bCs/>
          <w:rtl/>
        </w:rPr>
        <w:t>ידנית</w:t>
      </w:r>
      <w:r w:rsidRPr="00A81964">
        <w:rPr>
          <w:b/>
          <w:bCs/>
          <w:rtl/>
        </w:rPr>
        <w:t xml:space="preserve"> </w:t>
      </w:r>
      <w:r w:rsidRPr="00A81964">
        <w:rPr>
          <w:rFonts w:hint="eastAsia"/>
          <w:b/>
          <w:bCs/>
          <w:rtl/>
        </w:rPr>
        <w:t>של</w:t>
      </w:r>
      <w:r w:rsidRPr="00A81964">
        <w:rPr>
          <w:b/>
          <w:bCs/>
          <w:rtl/>
        </w:rPr>
        <w:t xml:space="preserve"> </w:t>
      </w:r>
      <w:r w:rsidRPr="00A81964">
        <w:rPr>
          <w:rFonts w:hint="eastAsia"/>
          <w:b/>
          <w:bCs/>
          <w:rtl/>
        </w:rPr>
        <w:t>תשלומן</w:t>
      </w:r>
      <w:r w:rsidRPr="00A81964">
        <w:rPr>
          <w:b/>
          <w:bCs/>
          <w:rtl/>
        </w:rPr>
        <w:t xml:space="preserve"> </w:t>
      </w:r>
      <w:r w:rsidRPr="00A81964">
        <w:rPr>
          <w:rFonts w:hint="eastAsia"/>
          <w:b/>
          <w:bCs/>
          <w:rtl/>
        </w:rPr>
        <w:t>בגין</w:t>
      </w:r>
      <w:r w:rsidRPr="00A81964">
        <w:rPr>
          <w:b/>
          <w:bCs/>
          <w:rtl/>
        </w:rPr>
        <w:t xml:space="preserve"> </w:t>
      </w:r>
      <w:r w:rsidRPr="00A81964">
        <w:rPr>
          <w:rFonts w:hint="eastAsia"/>
          <w:b/>
          <w:bCs/>
          <w:rtl/>
        </w:rPr>
        <w:t>תביעה</w:t>
      </w:r>
      <w:r w:rsidRPr="00A81964">
        <w:rPr>
          <w:b/>
          <w:bCs/>
          <w:rtl/>
        </w:rPr>
        <w:t xml:space="preserve"> </w:t>
      </w:r>
      <w:r w:rsidRPr="00A81964">
        <w:rPr>
          <w:rFonts w:hint="eastAsia"/>
          <w:b/>
          <w:bCs/>
          <w:rtl/>
        </w:rPr>
        <w:t>מסוימת</w:t>
      </w:r>
      <w:r w:rsidRPr="00A81964">
        <w:rPr>
          <w:b/>
          <w:bCs/>
          <w:rtl/>
        </w:rPr>
        <w:t xml:space="preserve"> (להלן - </w:t>
      </w:r>
      <w:r w:rsidRPr="00A81964">
        <w:rPr>
          <w:rFonts w:hint="eastAsia"/>
          <w:b/>
          <w:bCs/>
          <w:rtl/>
        </w:rPr>
        <w:t>חסימה</w:t>
      </w:r>
      <w:r w:rsidRPr="00A81964">
        <w:rPr>
          <w:b/>
          <w:bCs/>
          <w:rtl/>
        </w:rPr>
        <w:t xml:space="preserve"> </w:t>
      </w:r>
      <w:r w:rsidRPr="00A81964">
        <w:rPr>
          <w:rFonts w:hint="eastAsia"/>
          <w:b/>
          <w:bCs/>
          <w:rtl/>
        </w:rPr>
        <w:t>ידנית</w:t>
      </w:r>
      <w:r w:rsidRPr="00A81964">
        <w:rPr>
          <w:b/>
          <w:bCs/>
          <w:rtl/>
        </w:rPr>
        <w:t xml:space="preserve"> </w:t>
      </w:r>
      <w:r w:rsidRPr="00A81964">
        <w:rPr>
          <w:rFonts w:hint="eastAsia"/>
          <w:b/>
          <w:bCs/>
          <w:rtl/>
        </w:rPr>
        <w:t>של</w:t>
      </w:r>
      <w:r w:rsidRPr="00A81964">
        <w:rPr>
          <w:b/>
          <w:bCs/>
          <w:rtl/>
        </w:rPr>
        <w:t xml:space="preserve"> </w:t>
      </w:r>
      <w:r w:rsidRPr="00A81964">
        <w:rPr>
          <w:rFonts w:hint="eastAsia"/>
          <w:b/>
          <w:bCs/>
          <w:rtl/>
        </w:rPr>
        <w:t>תשלומי</w:t>
      </w:r>
      <w:r w:rsidRPr="00A81964">
        <w:rPr>
          <w:b/>
          <w:bCs/>
          <w:rtl/>
        </w:rPr>
        <w:t xml:space="preserve"> </w:t>
      </w:r>
      <w:r w:rsidRPr="00A81964">
        <w:rPr>
          <w:rFonts w:hint="eastAsia"/>
          <w:b/>
          <w:bCs/>
          <w:rtl/>
        </w:rPr>
        <w:t>מקדמה</w:t>
      </w:r>
      <w:r w:rsidRPr="00A81964">
        <w:rPr>
          <w:b/>
          <w:bCs/>
          <w:rtl/>
        </w:rPr>
        <w:t xml:space="preserve">), </w:t>
      </w:r>
      <w:r w:rsidRPr="00A81964">
        <w:rPr>
          <w:rFonts w:hint="eastAsia"/>
          <w:b/>
          <w:bCs/>
          <w:rtl/>
        </w:rPr>
        <w:t>כאשר</w:t>
      </w:r>
      <w:r w:rsidRPr="00A81964">
        <w:rPr>
          <w:b/>
          <w:bCs/>
          <w:rtl/>
        </w:rPr>
        <w:t xml:space="preserve"> </w:t>
      </w:r>
      <w:r w:rsidRPr="00A81964">
        <w:rPr>
          <w:rFonts w:hint="eastAsia"/>
          <w:b/>
          <w:bCs/>
          <w:rtl/>
        </w:rPr>
        <w:t>היא</w:t>
      </w:r>
      <w:r w:rsidRPr="00A81964">
        <w:rPr>
          <w:b/>
          <w:bCs/>
          <w:rtl/>
        </w:rPr>
        <w:t xml:space="preserve"> </w:t>
      </w:r>
      <w:r w:rsidRPr="00A81964">
        <w:rPr>
          <w:rFonts w:hint="eastAsia"/>
          <w:b/>
          <w:bCs/>
          <w:rtl/>
        </w:rPr>
        <w:t>סבורה</w:t>
      </w:r>
      <w:r w:rsidRPr="00A81964">
        <w:rPr>
          <w:b/>
          <w:bCs/>
          <w:rtl/>
        </w:rPr>
        <w:t xml:space="preserve"> </w:t>
      </w:r>
      <w:r w:rsidRPr="00A81964">
        <w:rPr>
          <w:rFonts w:hint="eastAsia"/>
          <w:b/>
          <w:bCs/>
          <w:rtl/>
        </w:rPr>
        <w:t>כי</w:t>
      </w:r>
      <w:r w:rsidRPr="00A81964">
        <w:rPr>
          <w:b/>
          <w:bCs/>
          <w:rtl/>
        </w:rPr>
        <w:t xml:space="preserve"> </w:t>
      </w:r>
      <w:r w:rsidRPr="00A81964">
        <w:rPr>
          <w:rFonts w:hint="eastAsia"/>
          <w:b/>
          <w:bCs/>
          <w:rtl/>
        </w:rPr>
        <w:t>בתביעה</w:t>
      </w:r>
      <w:r w:rsidRPr="00A81964">
        <w:rPr>
          <w:b/>
          <w:bCs/>
          <w:rtl/>
        </w:rPr>
        <w:t xml:space="preserve"> </w:t>
      </w:r>
      <w:r w:rsidRPr="00A81964">
        <w:rPr>
          <w:rFonts w:hint="eastAsia"/>
          <w:b/>
          <w:bCs/>
          <w:rtl/>
        </w:rPr>
        <w:t>זו</w:t>
      </w:r>
      <w:r w:rsidRPr="00A81964">
        <w:rPr>
          <w:b/>
          <w:bCs/>
          <w:rtl/>
        </w:rPr>
        <w:t xml:space="preserve"> </w:t>
      </w:r>
      <w:r w:rsidRPr="00A81964">
        <w:rPr>
          <w:rFonts w:hint="eastAsia"/>
          <w:b/>
          <w:bCs/>
          <w:rtl/>
        </w:rPr>
        <w:t>יש</w:t>
      </w:r>
      <w:r w:rsidRPr="00A81964">
        <w:rPr>
          <w:b/>
          <w:bCs/>
          <w:rtl/>
        </w:rPr>
        <w:t xml:space="preserve"> </w:t>
      </w:r>
      <w:r w:rsidRPr="00A81964">
        <w:rPr>
          <w:rFonts w:hint="eastAsia"/>
          <w:b/>
          <w:bCs/>
          <w:rtl/>
        </w:rPr>
        <w:t>לחסום</w:t>
      </w:r>
      <w:r w:rsidRPr="00A81964">
        <w:rPr>
          <w:b/>
          <w:bCs/>
          <w:rtl/>
        </w:rPr>
        <w:t xml:space="preserve"> </w:t>
      </w:r>
      <w:r w:rsidRPr="00A81964">
        <w:rPr>
          <w:rFonts w:hint="eastAsia"/>
          <w:b/>
          <w:bCs/>
          <w:rtl/>
        </w:rPr>
        <w:t>תשלום</w:t>
      </w:r>
      <w:r w:rsidRPr="00A81964">
        <w:rPr>
          <w:b/>
          <w:bCs/>
          <w:rtl/>
        </w:rPr>
        <w:t xml:space="preserve"> </w:t>
      </w:r>
      <w:r w:rsidRPr="00A81964">
        <w:rPr>
          <w:rFonts w:hint="eastAsia"/>
          <w:b/>
          <w:bCs/>
          <w:rtl/>
        </w:rPr>
        <w:t>מקדמות</w:t>
      </w:r>
      <w:r w:rsidRPr="00A81964">
        <w:rPr>
          <w:b/>
          <w:bCs/>
          <w:rtl/>
        </w:rPr>
        <w:t xml:space="preserve"> </w:t>
      </w:r>
      <w:r w:rsidRPr="00A81964">
        <w:rPr>
          <w:rFonts w:hint="eastAsia"/>
          <w:b/>
          <w:bCs/>
          <w:rtl/>
        </w:rPr>
        <w:t>עד</w:t>
      </w:r>
      <w:r w:rsidRPr="00A81964">
        <w:rPr>
          <w:b/>
          <w:bCs/>
          <w:rtl/>
        </w:rPr>
        <w:t xml:space="preserve"> </w:t>
      </w:r>
      <w:r w:rsidRPr="00A81964">
        <w:rPr>
          <w:rFonts w:hint="eastAsia"/>
          <w:b/>
          <w:bCs/>
          <w:rtl/>
        </w:rPr>
        <w:t>לסיום</w:t>
      </w:r>
      <w:r w:rsidRPr="00A81964">
        <w:rPr>
          <w:b/>
          <w:bCs/>
          <w:rtl/>
        </w:rPr>
        <w:t xml:space="preserve"> </w:t>
      </w:r>
      <w:r w:rsidRPr="00A81964">
        <w:rPr>
          <w:rFonts w:hint="eastAsia"/>
          <w:b/>
          <w:bCs/>
          <w:rtl/>
        </w:rPr>
        <w:t>בדיקתה</w:t>
      </w:r>
      <w:r w:rsidRPr="00A81964">
        <w:rPr>
          <w:b/>
          <w:bCs/>
          <w:rtl/>
        </w:rPr>
        <w:t>.</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עלה כי אף שניתן לבצע במערכת התביעות חסימה ידנית של תשלומי מקדמות, רק בכ-</w:t>
      </w:r>
      <w:r w:rsidRPr="00A81964">
        <w:rPr>
          <w:b/>
          <w:bCs/>
          <w:rtl/>
        </w:rPr>
        <w:t xml:space="preserve">8,000 מתוך 92,000 </w:t>
      </w:r>
      <w:r w:rsidRPr="00A81964">
        <w:rPr>
          <w:rFonts w:hint="cs"/>
          <w:b/>
          <w:bCs/>
          <w:rtl/>
        </w:rPr>
        <w:t xml:space="preserve">תביעות שנמצאו בהן סמ"חים, בוצעה חסימה ידנית של תשלומי מקדמות על ידי חוליות הביקורת.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בהיעדר בקרות ממוחשבות המבצעות חסימת תשלומי מקדמות בתביעות שזוהו בהן סימנים מחשידים מסוימים, גובר הסיכוי שישולמו סכומי יתר, אשר פוגעים בקופת המדינה ודורשים מקרן הפיצויים להקצות משאבים רבים לצורך ניהול הליכי גבייה והליכי משא ומתן לצורך השבתם, לעיתים ללא הצלחה. כך, </w:t>
      </w:r>
      <w:r>
        <w:rPr>
          <w:rFonts w:hint="cs"/>
          <w:b/>
          <w:bCs/>
          <w:rtl/>
        </w:rPr>
        <w:t xml:space="preserve">כאמור נכון למועד סיום הביקורת </w:t>
      </w:r>
      <w:r w:rsidRPr="00A81964">
        <w:rPr>
          <w:rFonts w:hint="cs"/>
          <w:b/>
          <w:bCs/>
          <w:rtl/>
        </w:rPr>
        <w:t xml:space="preserve">טרם הושבו לקופת המדינה </w:t>
      </w:r>
      <w:r w:rsidRPr="002F06CD">
        <w:rPr>
          <w:rFonts w:hint="cs"/>
          <w:b/>
          <w:bCs/>
          <w:rtl/>
        </w:rPr>
        <w:t>כ-1.25 מיליארד ש"ח</w:t>
      </w:r>
      <w:r w:rsidRPr="00A81964">
        <w:rPr>
          <w:rFonts w:hint="cs"/>
          <w:b/>
          <w:bCs/>
          <w:rtl/>
        </w:rPr>
        <w:t xml:space="preserve"> בגין תשלומי היתר ששולמו במלחמת חרבות ברזל.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מומלץ כי קרן הפיצויים תבצע עבודת מטה לאפיון הנסיבות שבהן משולמים תשלומי יתר ותגבש רשימה ומדרג של סמ"חים המעידים כי לגבי תביעה מסוימת עלולות להתקיים נסיבות אלו. לאחר גיבוש הרשימה יוטמעו סמ"חים אלו במערכת התביעות, ויוגדר כי בתביעות שבהן יימצאו </w:t>
      </w:r>
      <w:r>
        <w:rPr>
          <w:rFonts w:hint="cs"/>
          <w:b/>
          <w:bCs/>
          <w:rtl/>
        </w:rPr>
        <w:t xml:space="preserve">סמ"חים </w:t>
      </w:r>
      <w:r w:rsidRPr="00A81964">
        <w:rPr>
          <w:rFonts w:hint="cs"/>
          <w:b/>
          <w:bCs/>
          <w:rtl/>
        </w:rPr>
        <w:t xml:space="preserve">ובהתאם </w:t>
      </w:r>
      <w:r w:rsidRPr="00A81964">
        <w:rPr>
          <w:rFonts w:hint="cs"/>
          <w:b/>
          <w:bCs/>
          <w:rtl/>
        </w:rPr>
        <w:lastRenderedPageBreak/>
        <w:t xml:space="preserve">למדרג </w:t>
      </w:r>
      <w:r>
        <w:rPr>
          <w:rFonts w:hint="cs"/>
          <w:b/>
          <w:bCs/>
          <w:rtl/>
        </w:rPr>
        <w:t>שלהם</w:t>
      </w:r>
      <w:r w:rsidRPr="00A81964">
        <w:rPr>
          <w:rFonts w:hint="cs"/>
          <w:b/>
          <w:bCs/>
          <w:rtl/>
        </w:rPr>
        <w:t xml:space="preserve"> תבוצע הגבלה של שיעור המקדמות או חסימה אוטומטית של תשלומי מקדמות או חלקן. בדרך זו תצומצם הפגיעה בקופת המדינה בשל תשלומי יתר</w:t>
      </w:r>
      <w:r>
        <w:rPr>
          <w:rFonts w:hint="cs"/>
          <w:b/>
          <w:bCs/>
          <w:rtl/>
        </w:rPr>
        <w:t xml:space="preserve"> למגישי תביעות אשר אינם זכאים להם</w:t>
      </w:r>
      <w:r w:rsidRPr="00A81964">
        <w:rPr>
          <w:rFonts w:hint="cs"/>
          <w:b/>
          <w:bCs/>
          <w:rtl/>
        </w:rPr>
        <w:t>, והקרן תוכל להפנות משאבים רבים יותר לטיפול מהיר ויעיל יותר בתביעות לפיצויים בגין נזקים עקיפים</w:t>
      </w:r>
      <w:r>
        <w:rPr>
          <w:rFonts w:hint="cs"/>
          <w:b/>
          <w:bCs/>
          <w:rtl/>
        </w:rPr>
        <w:t xml:space="preserve"> ליתר מגישי התביעות המתמודדים עם אתגרים משמעותיים מבחינה עסקית וכלכלית בזמן מלחמה</w:t>
      </w:r>
      <w:r w:rsidRPr="00A81964">
        <w:rPr>
          <w:rFonts w:hint="cs"/>
          <w:b/>
          <w:bCs/>
          <w:rtl/>
        </w:rPr>
        <w:t>.</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נוסף על כך, נוכח העובדה שב-83% מהתביעות לא נמצאו סמ"חים, ומשכך לא מבוצעת לגביהן ביקורת כאמור, </w:t>
      </w:r>
      <w:r w:rsidRPr="00A81964">
        <w:rPr>
          <w:b/>
          <w:bCs/>
          <w:rtl/>
        </w:rPr>
        <w:t xml:space="preserve">מומלץ כי קרן הפיצויים תקבע בקרות מדגמיות של חוליות הביקורת </w:t>
      </w:r>
      <w:r w:rsidRPr="00A81964">
        <w:rPr>
          <w:rFonts w:hint="cs"/>
          <w:b/>
          <w:bCs/>
          <w:rtl/>
        </w:rPr>
        <w:t>בתביעות</w:t>
      </w:r>
      <w:r w:rsidRPr="00A81964">
        <w:rPr>
          <w:b/>
          <w:bCs/>
          <w:rtl/>
        </w:rPr>
        <w:t xml:space="preserve"> </w:t>
      </w:r>
      <w:r w:rsidRPr="00A81964">
        <w:rPr>
          <w:rFonts w:hint="cs"/>
          <w:b/>
          <w:bCs/>
          <w:rtl/>
        </w:rPr>
        <w:t>בהן</w:t>
      </w:r>
      <w:r w:rsidRPr="00A81964">
        <w:rPr>
          <w:b/>
          <w:bCs/>
          <w:rtl/>
        </w:rPr>
        <w:t xml:space="preserve"> לא נמצאו סמ"חים</w:t>
      </w:r>
      <w:r w:rsidRPr="00A81964">
        <w:rPr>
          <w:rFonts w:hint="cs"/>
          <w:b/>
          <w:bCs/>
          <w:rtl/>
        </w:rPr>
        <w:t xml:space="preserve"> ואשר הפיצויים בגינן משולמים, כאמור, אוטומטית בהתאם להצהרות מגישי התביעות ללא בחינה של גורם אנושי,</w:t>
      </w:r>
      <w:r w:rsidRPr="00A81964">
        <w:rPr>
          <w:b/>
          <w:bCs/>
          <w:rtl/>
        </w:rPr>
        <w:t xml:space="preserve"> על מנת לבחון שאכן שולמו בהם פיצויים כדין.</w:t>
      </w:r>
      <w:r w:rsidRPr="00A81964">
        <w:rPr>
          <w:rFonts w:hint="cs"/>
          <w:b/>
          <w:bCs/>
          <w:rtl/>
        </w:rPr>
        <w:t xml:space="preserve"> עוד מומלץ כי קרן הפיצויים תקבע בקרות מדגמיות ב-</w:t>
      </w:r>
      <w:r w:rsidRPr="00A81964">
        <w:rPr>
          <w:b/>
          <w:bCs/>
          <w:rtl/>
        </w:rPr>
        <w:t>53</w:t>
      </w:r>
      <w:r w:rsidRPr="00A81964">
        <w:rPr>
          <w:rFonts w:hint="cs"/>
          <w:b/>
          <w:bCs/>
          <w:rtl/>
        </w:rPr>
        <w:t>,000</w:t>
      </w:r>
      <w:r w:rsidRPr="00A81964">
        <w:rPr>
          <w:b/>
          <w:bCs/>
          <w:rtl/>
        </w:rPr>
        <w:t xml:space="preserve"> </w:t>
      </w:r>
      <w:r w:rsidRPr="00A81964">
        <w:rPr>
          <w:rFonts w:hint="cs"/>
          <w:b/>
          <w:bCs/>
          <w:rtl/>
        </w:rPr>
        <w:t>ה</w:t>
      </w:r>
      <w:r w:rsidRPr="00A81964">
        <w:rPr>
          <w:b/>
          <w:bCs/>
          <w:rtl/>
        </w:rPr>
        <w:t>תביעות</w:t>
      </w:r>
      <w:r w:rsidRPr="00A81964">
        <w:rPr>
          <w:rFonts w:hint="cs"/>
          <w:b/>
          <w:bCs/>
          <w:rtl/>
        </w:rPr>
        <w:t xml:space="preserve"> שבהן שולמו תשלומים סופיים</w:t>
      </w:r>
      <w:r w:rsidRPr="00A81964">
        <w:rPr>
          <w:b/>
          <w:bCs/>
          <w:rtl/>
        </w:rPr>
        <w:t xml:space="preserve"> </w:t>
      </w:r>
      <w:r w:rsidRPr="00A81964">
        <w:rPr>
          <w:rFonts w:hint="cs"/>
          <w:b/>
          <w:bCs/>
          <w:rtl/>
        </w:rPr>
        <w:t>ושלא</w:t>
      </w:r>
      <w:r w:rsidRPr="00A81964">
        <w:rPr>
          <w:b/>
          <w:bCs/>
          <w:rtl/>
        </w:rPr>
        <w:t xml:space="preserve"> בוצעה בהן ביקורת</w:t>
      </w:r>
      <w:r w:rsidRPr="00A81964">
        <w:rPr>
          <w:rFonts w:hint="cs"/>
          <w:b/>
          <w:bCs/>
          <w:rtl/>
        </w:rPr>
        <w:t xml:space="preserve"> אף שנמצאו בהן סמ"חים.</w:t>
      </w:r>
    </w:p>
    <w:p w:rsidR="006252C4" w:rsidRDefault="006252C4" w:rsidP="006252C4">
      <w:pPr>
        <w:pStyle w:val="a8"/>
        <w:spacing w:line="269" w:lineRule="auto"/>
        <w:rPr>
          <w:rtl/>
        </w:rPr>
      </w:pPr>
    </w:p>
    <w:p w:rsidR="006252C4" w:rsidRDefault="006252C4" w:rsidP="006252C4">
      <w:pPr>
        <w:spacing w:line="269" w:lineRule="auto"/>
        <w:rPr>
          <w:b/>
          <w:bCs/>
          <w:rtl/>
        </w:rPr>
      </w:pPr>
      <w:r w:rsidRPr="00A81964">
        <w:rPr>
          <w:rFonts w:hint="eastAsia"/>
          <w:b/>
          <w:bCs/>
          <w:rtl/>
        </w:rPr>
        <w:t>כמו</w:t>
      </w:r>
      <w:r w:rsidRPr="00A81964">
        <w:rPr>
          <w:b/>
          <w:bCs/>
          <w:rtl/>
        </w:rPr>
        <w:t xml:space="preserve"> </w:t>
      </w:r>
      <w:r w:rsidRPr="00A81964">
        <w:rPr>
          <w:rFonts w:hint="eastAsia"/>
          <w:b/>
          <w:bCs/>
          <w:rtl/>
        </w:rPr>
        <w:t>כן</w:t>
      </w:r>
      <w:r w:rsidRPr="00A81964">
        <w:rPr>
          <w:b/>
          <w:bCs/>
          <w:rtl/>
        </w:rPr>
        <w:t>,</w:t>
      </w:r>
      <w:r w:rsidRPr="00A81964">
        <w:rPr>
          <w:rFonts w:hint="cs"/>
          <w:b/>
          <w:bCs/>
          <w:rtl/>
        </w:rPr>
        <w:t xml:space="preserve"> על רשות המיסים לפעול לנקיטת הליכי גבייה של כלל התשלומים העודפים שנוצרו בגין תשלומי קרן הפיצויים</w:t>
      </w:r>
      <w:r w:rsidRPr="00A81964">
        <w:rPr>
          <w:rtl/>
        </w:rPr>
        <w:t xml:space="preserve"> </w:t>
      </w:r>
      <w:r w:rsidRPr="00A81964">
        <w:rPr>
          <w:rFonts w:hint="cs"/>
          <w:b/>
          <w:bCs/>
          <w:rtl/>
        </w:rPr>
        <w:t>במלחמת חרבות ברזל</w:t>
      </w:r>
      <w:r w:rsidRPr="00A81964">
        <w:rPr>
          <w:b/>
          <w:bCs/>
          <w:rtl/>
        </w:rPr>
        <w:t xml:space="preserve"> בסך </w:t>
      </w:r>
      <w:r w:rsidRPr="00A81964">
        <w:rPr>
          <w:rFonts w:hint="cs"/>
          <w:b/>
          <w:bCs/>
          <w:rtl/>
        </w:rPr>
        <w:t>1.25 מיליארד</w:t>
      </w:r>
      <w:r w:rsidRPr="00A81964">
        <w:rPr>
          <w:b/>
          <w:bCs/>
          <w:rtl/>
        </w:rPr>
        <w:t xml:space="preserve"> ש"ח.</w:t>
      </w:r>
    </w:p>
    <w:p w:rsidR="006252C4" w:rsidRPr="00A81964" w:rsidRDefault="006252C4" w:rsidP="006252C4">
      <w:pPr>
        <w:spacing w:line="269" w:lineRule="auto"/>
        <w:rPr>
          <w:rtl/>
        </w:rPr>
      </w:pPr>
    </w:p>
    <w:p w:rsidR="006252C4" w:rsidRPr="00A81964" w:rsidRDefault="006252C4" w:rsidP="006252C4">
      <w:pPr>
        <w:pStyle w:val="6"/>
        <w:spacing w:line="269" w:lineRule="auto"/>
        <w:rPr>
          <w:rtl/>
        </w:rPr>
      </w:pPr>
      <w:r w:rsidRPr="00A81964">
        <w:rPr>
          <w:rFonts w:hint="cs"/>
          <w:rtl/>
        </w:rPr>
        <w:t>מערכת מקוונת לגביית תשלומים עודפים</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כאמור, במלחמת חרבות ברזל נוצרו תשלומי</w:t>
      </w:r>
      <w:r w:rsidRPr="00A81964">
        <w:rPr>
          <w:rFonts w:hint="cs"/>
          <w:rtl/>
        </w:rPr>
        <w:t xml:space="preserve">ם עודפים </w:t>
      </w:r>
      <w:r w:rsidRPr="00A81964">
        <w:rPr>
          <w:rtl/>
        </w:rPr>
        <w:t xml:space="preserve">בסך של 1.5 מיליארד </w:t>
      </w:r>
      <w:r w:rsidRPr="00A81964">
        <w:rPr>
          <w:rFonts w:hint="cs"/>
          <w:rtl/>
        </w:rPr>
        <w:t>ש"ח עד אוקטובר 2024. הודעות החוב נשלחות למגישי התביעות שבהן שולם תשלום עודף</w:t>
      </w:r>
      <w:r w:rsidRPr="00A81964">
        <w:rPr>
          <w:rtl/>
        </w:rPr>
        <w:t xml:space="preserve"> </w:t>
      </w:r>
      <w:r w:rsidRPr="00A81964">
        <w:rPr>
          <w:rFonts w:hint="cs"/>
          <w:rtl/>
        </w:rPr>
        <w:t>ש</w:t>
      </w:r>
      <w:r w:rsidRPr="00A81964">
        <w:rPr>
          <w:rtl/>
        </w:rPr>
        <w:t xml:space="preserve">אותו </w:t>
      </w:r>
      <w:r w:rsidRPr="00A81964">
        <w:rPr>
          <w:rFonts w:hint="cs"/>
          <w:rtl/>
        </w:rPr>
        <w:t>הם</w:t>
      </w:r>
      <w:r w:rsidRPr="00A81964">
        <w:rPr>
          <w:rtl/>
        </w:rPr>
        <w:t xml:space="preserve"> נדרש</w:t>
      </w:r>
      <w:r w:rsidRPr="00A81964">
        <w:rPr>
          <w:rFonts w:hint="cs"/>
          <w:rtl/>
        </w:rPr>
        <w:t>ים</w:t>
      </w:r>
      <w:r w:rsidRPr="00A81964">
        <w:rPr>
          <w:rtl/>
        </w:rPr>
        <w:t xml:space="preserve"> לשלם לקרן.</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2F06CD">
        <w:rPr>
          <w:b/>
          <w:bCs/>
          <w:rtl/>
        </w:rPr>
        <w:t>עלה</w:t>
      </w:r>
      <w:r w:rsidRPr="00A81964">
        <w:rPr>
          <w:b/>
          <w:bCs/>
          <w:rtl/>
        </w:rPr>
        <w:t xml:space="preserve"> כי </w:t>
      </w:r>
      <w:r w:rsidRPr="00A81964">
        <w:rPr>
          <w:rFonts w:hint="cs"/>
          <w:b/>
          <w:bCs/>
          <w:rtl/>
        </w:rPr>
        <w:t>בניגוד ל</w:t>
      </w:r>
      <w:r w:rsidRPr="00A81964">
        <w:rPr>
          <w:b/>
          <w:bCs/>
          <w:rtl/>
        </w:rPr>
        <w:t>חובות בגין מס הכנסה או מע"</w:t>
      </w:r>
      <w:r w:rsidRPr="00A81964">
        <w:rPr>
          <w:rFonts w:hint="cs"/>
          <w:b/>
          <w:bCs/>
          <w:rtl/>
        </w:rPr>
        <w:t>ם,</w:t>
      </w:r>
      <w:r w:rsidRPr="00A81964">
        <w:rPr>
          <w:b/>
          <w:bCs/>
          <w:rtl/>
        </w:rPr>
        <w:t xml:space="preserve"> </w:t>
      </w:r>
      <w:r w:rsidRPr="00A81964">
        <w:rPr>
          <w:rFonts w:hint="cs"/>
          <w:b/>
          <w:bCs/>
          <w:rtl/>
        </w:rPr>
        <w:t xml:space="preserve">שאותם ניתן לשלם </w:t>
      </w:r>
      <w:r w:rsidRPr="00A81964">
        <w:rPr>
          <w:b/>
          <w:bCs/>
          <w:rtl/>
        </w:rPr>
        <w:t>באופן מקוון</w:t>
      </w:r>
      <w:r w:rsidRPr="00A81964">
        <w:rPr>
          <w:rFonts w:hint="cs"/>
          <w:b/>
          <w:bCs/>
          <w:rtl/>
        </w:rPr>
        <w:t xml:space="preserve"> באזור האישי באתר רשות המיסים, </w:t>
      </w:r>
      <w:r w:rsidRPr="00A81964">
        <w:rPr>
          <w:b/>
          <w:bCs/>
          <w:rtl/>
        </w:rPr>
        <w:t xml:space="preserve">כדי לשלם חובות בגין </w:t>
      </w:r>
      <w:r w:rsidRPr="00A81964">
        <w:rPr>
          <w:rFonts w:hint="cs"/>
          <w:b/>
          <w:bCs/>
          <w:rtl/>
        </w:rPr>
        <w:t>תשלומי פיצויים עודפים</w:t>
      </w:r>
      <w:r w:rsidRPr="00A81964">
        <w:rPr>
          <w:b/>
          <w:bCs/>
          <w:rtl/>
        </w:rPr>
        <w:t>, נדרשים עוסקים ל</w:t>
      </w:r>
      <w:r w:rsidRPr="00A81964">
        <w:rPr>
          <w:rFonts w:hint="cs"/>
          <w:b/>
          <w:bCs/>
          <w:rtl/>
        </w:rPr>
        <w:t>בצע העברה בנקאית לחשבון בנק של משרד האוצר ולאחר מכן לשלוח אסמכתה לצורך אימות ההעברה על ידי חשבות רשות המיסים.</w:t>
      </w:r>
    </w:p>
    <w:p w:rsidR="006252C4" w:rsidRDefault="006252C4" w:rsidP="006252C4">
      <w:pPr>
        <w:pStyle w:val="a8"/>
        <w:spacing w:line="269" w:lineRule="auto"/>
        <w:rPr>
          <w:rtl/>
        </w:rPr>
      </w:pPr>
    </w:p>
    <w:p w:rsidR="006252C4" w:rsidRDefault="006252C4" w:rsidP="006252C4">
      <w:pPr>
        <w:spacing w:line="269" w:lineRule="auto"/>
        <w:rPr>
          <w:b/>
          <w:bCs/>
          <w:rtl/>
        </w:rPr>
      </w:pPr>
      <w:r w:rsidRPr="00A81964">
        <w:rPr>
          <w:b/>
          <w:bCs/>
          <w:rtl/>
        </w:rPr>
        <w:t>מומלץ כי רשות המ</w:t>
      </w:r>
      <w:r w:rsidRPr="00A81964">
        <w:rPr>
          <w:rFonts w:hint="cs"/>
          <w:b/>
          <w:bCs/>
          <w:rtl/>
        </w:rPr>
        <w:t>י</w:t>
      </w:r>
      <w:r w:rsidRPr="00A81964">
        <w:rPr>
          <w:b/>
          <w:bCs/>
          <w:rtl/>
        </w:rPr>
        <w:t>סים תאפשר תשלום מקוון של חובות בגין תשלומי</w:t>
      </w:r>
      <w:r w:rsidRPr="00A81964">
        <w:rPr>
          <w:rFonts w:hint="cs"/>
          <w:b/>
          <w:bCs/>
          <w:rtl/>
        </w:rPr>
        <w:t xml:space="preserve"> פיצויים</w:t>
      </w:r>
      <w:r w:rsidRPr="00A81964">
        <w:rPr>
          <w:b/>
          <w:bCs/>
          <w:rtl/>
        </w:rPr>
        <w:t xml:space="preserve"> עוד</w:t>
      </w:r>
      <w:r w:rsidRPr="00A81964">
        <w:rPr>
          <w:rFonts w:hint="cs"/>
          <w:b/>
          <w:bCs/>
          <w:rtl/>
        </w:rPr>
        <w:t>פים באזור האישי של מגיש התביעה באתר רשות המיסים</w:t>
      </w:r>
      <w:r w:rsidRPr="00A81964">
        <w:rPr>
          <w:b/>
          <w:bCs/>
          <w:rtl/>
        </w:rPr>
        <w:t xml:space="preserve">, בדומה לחובות אחרים כלפיה. זאת </w:t>
      </w:r>
      <w:r w:rsidRPr="00A81964">
        <w:rPr>
          <w:rFonts w:hint="cs"/>
          <w:b/>
          <w:bCs/>
          <w:rtl/>
        </w:rPr>
        <w:t>כדי</w:t>
      </w:r>
      <w:r w:rsidRPr="00A81964">
        <w:rPr>
          <w:b/>
          <w:bCs/>
          <w:rtl/>
        </w:rPr>
        <w:t xml:space="preserve"> </w:t>
      </w:r>
      <w:r>
        <w:rPr>
          <w:rFonts w:hint="cs"/>
          <w:b/>
          <w:bCs/>
          <w:rtl/>
        </w:rPr>
        <w:t>לפשט את תהליך תשלום</w:t>
      </w:r>
      <w:r w:rsidRPr="00F93FED">
        <w:rPr>
          <w:b/>
          <w:bCs/>
          <w:rtl/>
        </w:rPr>
        <w:t xml:space="preserve"> </w:t>
      </w:r>
      <w:r>
        <w:rPr>
          <w:rFonts w:hint="cs"/>
          <w:b/>
          <w:bCs/>
          <w:rtl/>
        </w:rPr>
        <w:t>ה</w:t>
      </w:r>
      <w:r w:rsidRPr="00A81964">
        <w:rPr>
          <w:b/>
          <w:bCs/>
          <w:rtl/>
        </w:rPr>
        <w:t>חובות בגין תשלומי</w:t>
      </w:r>
      <w:r w:rsidRPr="00A81964">
        <w:rPr>
          <w:rFonts w:hint="cs"/>
          <w:b/>
          <w:bCs/>
          <w:rtl/>
        </w:rPr>
        <w:t xml:space="preserve"> פיצויים</w:t>
      </w:r>
      <w:r>
        <w:rPr>
          <w:rFonts w:hint="cs"/>
          <w:b/>
          <w:bCs/>
          <w:rtl/>
        </w:rPr>
        <w:t xml:space="preserve"> עודפים ו</w:t>
      </w:r>
      <w:r w:rsidRPr="00A81964">
        <w:rPr>
          <w:b/>
          <w:bCs/>
          <w:rtl/>
        </w:rPr>
        <w:t>להגביר את היענות הציבור להשבת</w:t>
      </w:r>
      <w:r>
        <w:rPr>
          <w:rFonts w:hint="cs"/>
          <w:b/>
          <w:bCs/>
          <w:rtl/>
        </w:rPr>
        <w:t>ם</w:t>
      </w:r>
      <w:r w:rsidRPr="00A81964">
        <w:rPr>
          <w:b/>
          <w:bCs/>
          <w:rtl/>
        </w:rPr>
        <w:t xml:space="preserve"> ו</w:t>
      </w:r>
      <w:r>
        <w:rPr>
          <w:rFonts w:hint="cs"/>
          <w:b/>
          <w:bCs/>
          <w:rtl/>
        </w:rPr>
        <w:t xml:space="preserve">כדי </w:t>
      </w:r>
      <w:r w:rsidRPr="00A81964">
        <w:rPr>
          <w:b/>
          <w:bCs/>
          <w:rtl/>
        </w:rPr>
        <w:t xml:space="preserve">להפחית את המשאבים שמקצה הקרן לצורך ניהול הליכי </w:t>
      </w:r>
      <w:r w:rsidRPr="00A81964">
        <w:rPr>
          <w:rFonts w:hint="cs"/>
          <w:b/>
          <w:bCs/>
          <w:rtl/>
        </w:rPr>
        <w:t>ה</w:t>
      </w:r>
      <w:r w:rsidRPr="00A81964">
        <w:rPr>
          <w:b/>
          <w:bCs/>
          <w:rtl/>
        </w:rPr>
        <w:t>גבייה שלהם.</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08579E">
        <w:rPr>
          <w:rFonts w:hint="eastAsia"/>
          <w:rtl/>
        </w:rPr>
        <w:t>הרשות</w:t>
      </w:r>
      <w:r w:rsidRPr="0008579E">
        <w:rPr>
          <w:rtl/>
        </w:rPr>
        <w:t xml:space="preserve"> </w:t>
      </w:r>
      <w:r w:rsidRPr="0008579E">
        <w:rPr>
          <w:rFonts w:hint="eastAsia"/>
          <w:rtl/>
        </w:rPr>
        <w:t>מסרה</w:t>
      </w:r>
      <w:r w:rsidRPr="0008579E">
        <w:rPr>
          <w:rtl/>
        </w:rPr>
        <w:t xml:space="preserve"> </w:t>
      </w:r>
      <w:r w:rsidRPr="0008579E">
        <w:rPr>
          <w:rFonts w:hint="eastAsia"/>
          <w:rtl/>
        </w:rPr>
        <w:t>בתשובתה</w:t>
      </w:r>
      <w:r w:rsidRPr="0008579E">
        <w:rPr>
          <w:rtl/>
        </w:rPr>
        <w:t xml:space="preserve"> </w:t>
      </w:r>
      <w:r w:rsidRPr="0008579E">
        <w:rPr>
          <w:rFonts w:hint="eastAsia"/>
          <w:rtl/>
        </w:rPr>
        <w:t>כי</w:t>
      </w:r>
      <w:r w:rsidRPr="0008579E">
        <w:rPr>
          <w:rtl/>
        </w:rPr>
        <w:t xml:space="preserve"> פיתוח זה נכלל בתוכנית העבודה של קרן הפיצויים, אולם נדחה ל</w:t>
      </w:r>
      <w:r>
        <w:rPr>
          <w:rFonts w:hint="cs"/>
          <w:rtl/>
        </w:rPr>
        <w:t>נוכח</w:t>
      </w:r>
      <w:r w:rsidRPr="0008579E">
        <w:rPr>
          <w:rtl/>
        </w:rPr>
        <w:t xml:space="preserve"> התמשכות מלחמת חרבות ברזל ו</w:t>
      </w:r>
      <w:r>
        <w:rPr>
          <w:rFonts w:hint="cs"/>
          <w:rtl/>
        </w:rPr>
        <w:t xml:space="preserve">בשל </w:t>
      </w:r>
      <w:r w:rsidRPr="0008579E">
        <w:rPr>
          <w:rFonts w:hint="eastAsia"/>
          <w:rtl/>
        </w:rPr>
        <w:t>הצורך</w:t>
      </w:r>
      <w:r w:rsidRPr="0008579E">
        <w:rPr>
          <w:rtl/>
        </w:rPr>
        <w:t xml:space="preserve"> </w:t>
      </w:r>
      <w:r w:rsidRPr="0008579E">
        <w:rPr>
          <w:rFonts w:hint="eastAsia"/>
          <w:rtl/>
        </w:rPr>
        <w:t>בפיתוחים</w:t>
      </w:r>
      <w:r w:rsidRPr="0008579E">
        <w:rPr>
          <w:rtl/>
        </w:rPr>
        <w:t xml:space="preserve"> </w:t>
      </w:r>
      <w:r w:rsidRPr="0008579E">
        <w:rPr>
          <w:rFonts w:hint="eastAsia"/>
          <w:rtl/>
        </w:rPr>
        <w:t>אחרים</w:t>
      </w:r>
      <w:r>
        <w:rPr>
          <w:rFonts w:hint="cs"/>
          <w:rtl/>
        </w:rPr>
        <w:t xml:space="preserve"> הדרושים לקבלת התביעות ובדיקת התשלומים בגינן.</w:t>
      </w:r>
    </w:p>
    <w:p w:rsidR="006252C4" w:rsidRDefault="006252C4" w:rsidP="005C1E9C">
      <w:pPr>
        <w:spacing w:line="269" w:lineRule="auto"/>
        <w:rPr>
          <w:rtl/>
        </w:rPr>
      </w:pPr>
    </w:p>
    <w:p w:rsidR="006252C4" w:rsidRPr="00A81964" w:rsidRDefault="006252C4" w:rsidP="006252C4">
      <w:pPr>
        <w:pStyle w:val="31"/>
        <w:spacing w:before="0" w:line="269" w:lineRule="auto"/>
        <w:rPr>
          <w:rtl/>
        </w:rPr>
      </w:pPr>
      <w:r w:rsidRPr="00A81964">
        <w:rPr>
          <w:rFonts w:hint="cs"/>
          <w:rtl/>
        </w:rPr>
        <w:t>פעילות ועדות הערר</w:t>
      </w:r>
      <w:r w:rsidRPr="00A81964">
        <w:rPr>
          <w:rtl/>
        </w:rPr>
        <w:t xml:space="preserve"> </w:t>
      </w:r>
      <w:r w:rsidRPr="00A81964">
        <w:rPr>
          <w:rFonts w:hint="cs"/>
          <w:rtl/>
        </w:rPr>
        <w:t>בתביעות לקרן הפיצויים</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ascii="David" w:hAnsi="David" w:hint="cs"/>
          <w:color w:val="000000" w:themeColor="text1"/>
          <w:sz w:val="24"/>
          <w:rtl/>
        </w:rPr>
        <w:t xml:space="preserve">לאחר הגשת </w:t>
      </w:r>
      <w:r w:rsidRPr="00A81964">
        <w:rPr>
          <w:rFonts w:ascii="David" w:hAnsi="David"/>
          <w:color w:val="000000" w:themeColor="text1"/>
          <w:sz w:val="24"/>
          <w:rtl/>
        </w:rPr>
        <w:t xml:space="preserve">תביעה </w:t>
      </w:r>
      <w:r w:rsidRPr="00A81964">
        <w:rPr>
          <w:rFonts w:ascii="David" w:hAnsi="David" w:hint="cs"/>
          <w:color w:val="000000" w:themeColor="text1"/>
          <w:sz w:val="24"/>
          <w:rtl/>
        </w:rPr>
        <w:t>לקרן הפיצויים ל</w:t>
      </w:r>
      <w:r w:rsidRPr="00A81964">
        <w:rPr>
          <w:rFonts w:ascii="David" w:hAnsi="David" w:hint="eastAsia"/>
          <w:color w:val="000000" w:themeColor="text1"/>
          <w:sz w:val="24"/>
          <w:rtl/>
        </w:rPr>
        <w:t>פי</w:t>
      </w:r>
      <w:r w:rsidRPr="00A81964">
        <w:rPr>
          <w:rFonts w:ascii="David" w:hAnsi="David" w:hint="cs"/>
          <w:color w:val="000000" w:themeColor="text1"/>
          <w:sz w:val="24"/>
          <w:rtl/>
        </w:rPr>
        <w:t>צוי בגין נזק ישיר או נזק עקיף,</w:t>
      </w:r>
      <w:r w:rsidRPr="00A81964">
        <w:rPr>
          <w:rFonts w:ascii="David" w:hAnsi="David"/>
          <w:color w:val="000000" w:themeColor="text1"/>
          <w:sz w:val="24"/>
          <w:rtl/>
        </w:rPr>
        <w:t xml:space="preserve"> </w:t>
      </w:r>
      <w:r w:rsidRPr="00A81964">
        <w:rPr>
          <w:rFonts w:ascii="David" w:hAnsi="David" w:hint="cs"/>
          <w:color w:val="000000" w:themeColor="text1"/>
          <w:sz w:val="24"/>
          <w:rtl/>
        </w:rPr>
        <w:t>לעיתים עולות</w:t>
      </w:r>
      <w:r w:rsidRPr="00A81964">
        <w:rPr>
          <w:rFonts w:ascii="David" w:hAnsi="David"/>
          <w:color w:val="000000" w:themeColor="text1"/>
          <w:sz w:val="24"/>
          <w:rtl/>
        </w:rPr>
        <w:t xml:space="preserve"> מחלוקות </w:t>
      </w:r>
      <w:r w:rsidRPr="00A81964">
        <w:rPr>
          <w:rFonts w:ascii="David" w:hAnsi="David" w:hint="cs"/>
          <w:color w:val="000000" w:themeColor="text1"/>
          <w:sz w:val="24"/>
          <w:rtl/>
        </w:rPr>
        <w:t>בין מגיש התביעה</w:t>
      </w:r>
      <w:r w:rsidRPr="00A81964">
        <w:rPr>
          <w:rFonts w:ascii="David" w:hAnsi="David"/>
          <w:color w:val="000000" w:themeColor="text1"/>
          <w:sz w:val="24"/>
          <w:rtl/>
        </w:rPr>
        <w:t xml:space="preserve"> לבין </w:t>
      </w:r>
      <w:r w:rsidRPr="00A81964">
        <w:rPr>
          <w:rFonts w:ascii="David" w:hAnsi="David" w:hint="cs"/>
          <w:color w:val="000000" w:themeColor="text1"/>
          <w:sz w:val="24"/>
          <w:rtl/>
        </w:rPr>
        <w:t>ה</w:t>
      </w:r>
      <w:r w:rsidRPr="00A81964">
        <w:rPr>
          <w:rFonts w:ascii="David" w:hAnsi="David" w:hint="eastAsia"/>
          <w:color w:val="000000" w:themeColor="text1"/>
          <w:sz w:val="24"/>
          <w:rtl/>
        </w:rPr>
        <w:t>קרן</w:t>
      </w:r>
      <w:r w:rsidRPr="00A81964">
        <w:rPr>
          <w:rFonts w:ascii="David" w:hAnsi="David"/>
          <w:color w:val="000000" w:themeColor="text1"/>
          <w:sz w:val="24"/>
          <w:rtl/>
        </w:rPr>
        <w:t xml:space="preserve"> </w:t>
      </w:r>
      <w:r w:rsidRPr="00A81964">
        <w:rPr>
          <w:rFonts w:ascii="David" w:hAnsi="David" w:hint="cs"/>
          <w:color w:val="000000" w:themeColor="text1"/>
          <w:sz w:val="24"/>
          <w:rtl/>
        </w:rPr>
        <w:t>בנוגע</w:t>
      </w:r>
      <w:r w:rsidRPr="00A81964">
        <w:rPr>
          <w:rFonts w:ascii="David" w:hAnsi="David"/>
          <w:color w:val="000000" w:themeColor="text1"/>
          <w:sz w:val="24"/>
          <w:rtl/>
        </w:rPr>
        <w:t xml:space="preserve"> </w:t>
      </w:r>
      <w:r w:rsidRPr="00A81964">
        <w:rPr>
          <w:rFonts w:ascii="David" w:hAnsi="David" w:hint="eastAsia"/>
          <w:color w:val="000000" w:themeColor="text1"/>
          <w:sz w:val="24"/>
          <w:rtl/>
        </w:rPr>
        <w:t>ל</w:t>
      </w:r>
      <w:r w:rsidRPr="00A81964">
        <w:rPr>
          <w:rFonts w:ascii="David" w:hAnsi="David" w:hint="cs"/>
          <w:color w:val="000000" w:themeColor="text1"/>
          <w:sz w:val="24"/>
          <w:rtl/>
        </w:rPr>
        <w:t>זכאותו ל</w:t>
      </w:r>
      <w:r w:rsidRPr="00A81964">
        <w:rPr>
          <w:rFonts w:ascii="David" w:hAnsi="David" w:hint="eastAsia"/>
          <w:color w:val="000000" w:themeColor="text1"/>
          <w:sz w:val="24"/>
          <w:rtl/>
        </w:rPr>
        <w:t>פיצוי</w:t>
      </w:r>
      <w:r w:rsidRPr="00A81964">
        <w:rPr>
          <w:rFonts w:ascii="David" w:hAnsi="David" w:hint="cs"/>
          <w:color w:val="000000" w:themeColor="text1"/>
          <w:sz w:val="24"/>
          <w:rtl/>
        </w:rPr>
        <w:t xml:space="preserve">. במצב כזה </w:t>
      </w:r>
      <w:r w:rsidRPr="00A81964">
        <w:rPr>
          <w:rFonts w:hint="cs"/>
          <w:rtl/>
        </w:rPr>
        <w:t>עומדת למגיש התביעה הזכות להגיש ערר לוועדת ערר</w:t>
      </w:r>
      <w:r w:rsidRPr="00A81964">
        <w:rPr>
          <w:rStyle w:val="af2"/>
          <w:rFonts w:ascii="David" w:hAnsi="David" w:hint="cs"/>
          <w:color w:val="000000" w:themeColor="text1"/>
          <w:sz w:val="24"/>
          <w:rtl/>
        </w:rPr>
        <w:t xml:space="preserve"> </w:t>
      </w:r>
      <w:r w:rsidRPr="00A81964">
        <w:rPr>
          <w:rFonts w:hint="cs"/>
          <w:rtl/>
        </w:rPr>
        <w:t>על החלטת הקרן, וזאת על פי סוג התביעה, הוראות החוק והתקנות מכוחו.</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lastRenderedPageBreak/>
        <w:t xml:space="preserve">ועדת ערר היא גוף </w:t>
      </w:r>
      <w:r>
        <w:rPr>
          <w:rFonts w:hint="cs"/>
          <w:rtl/>
        </w:rPr>
        <w:t>מעין שיפוטי</w:t>
      </w:r>
      <w:r w:rsidRPr="00A81964">
        <w:rPr>
          <w:rtl/>
        </w:rPr>
        <w:t xml:space="preserve"> </w:t>
      </w:r>
      <w:r>
        <w:rPr>
          <w:rFonts w:hint="cs"/>
          <w:rtl/>
        </w:rPr>
        <w:t>הפועל תחת הרשות המבצעת ואשר נתונה לו סמכות להכריע בסכסוך בתחום משפטי מסוים</w:t>
      </w:r>
      <w:r>
        <w:rPr>
          <w:rStyle w:val="af2"/>
          <w:rtl/>
        </w:rPr>
        <w:footnoteReference w:id="105"/>
      </w:r>
      <w:r>
        <w:rPr>
          <w:rFonts w:hint="cs"/>
          <w:rtl/>
        </w:rPr>
        <w:t xml:space="preserve"> שרשות מנהלית היא אחד מהצדדים לו</w:t>
      </w:r>
      <w:r w:rsidRPr="00A81964">
        <w:rPr>
          <w:rFonts w:hint="cs"/>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עוסק שהגיש תביעה לפיצוי בגין נזק עקיף לפי המסלול הכלל ארצי או לפי מסלולי האזור המיוחד ורואה עצמו מקופח מהחלטת הקרן בנוגע לתביעתו, רשאי להגיש השגה בתוך 60 יום מיום קבלת ההחלטה. על קרן הפיצויים לבחון את ההשגה ולתת למגיש התביעה החלטה מנומקת בנוגע לה בתוך שמונה חודשים</w:t>
      </w:r>
      <w:r w:rsidRPr="00A81964">
        <w:rPr>
          <w:rStyle w:val="af2"/>
          <w:rtl/>
        </w:rPr>
        <w:footnoteReference w:id="106"/>
      </w:r>
      <w:r w:rsidRPr="00A81964">
        <w:rPr>
          <w:rFonts w:hint="cs"/>
          <w:rtl/>
        </w:rPr>
        <w:t>. העוסק רשאי להגיש</w:t>
      </w:r>
      <w:r w:rsidRPr="00A81964">
        <w:rPr>
          <w:rStyle w:val="af2"/>
          <w:rtl/>
        </w:rPr>
        <w:footnoteReference w:id="107"/>
      </w:r>
      <w:r w:rsidRPr="00A81964">
        <w:rPr>
          <w:rFonts w:hint="cs"/>
          <w:rtl/>
        </w:rPr>
        <w:t xml:space="preserve"> ערר על החלטת הקרן בהשגה בתוך 60 ימים</w:t>
      </w:r>
      <w:r w:rsidRPr="00A81964">
        <w:rPr>
          <w:rStyle w:val="af2"/>
          <w:rtl/>
        </w:rPr>
        <w:footnoteReference w:id="108"/>
      </w:r>
      <w:r w:rsidRPr="00A81964">
        <w:rPr>
          <w:rFonts w:hint="cs"/>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עוסק שהגיש תביעה לפיצוי בגין נזק עקיף לפי המסלול האדום או ניזוק שהגיש תביעה לפיצוי בגין נזק ישיר ורואה עצמו מקופח עקב החלטת קרן הפיצויים, רשאי לערער</w:t>
      </w:r>
      <w:r w:rsidRPr="00A81964">
        <w:rPr>
          <w:rStyle w:val="af2"/>
          <w:rtl/>
        </w:rPr>
        <w:footnoteReference w:id="109"/>
      </w:r>
      <w:r w:rsidRPr="00A81964">
        <w:rPr>
          <w:rFonts w:hint="cs"/>
          <w:rtl/>
        </w:rPr>
        <w:t xml:space="preserve"> עליה לוועדת ערר בתוך 30 יום ממועד קבלת ההחלטה</w:t>
      </w:r>
      <w:r w:rsidRPr="00A81964">
        <w:rPr>
          <w:rStyle w:val="af2"/>
          <w:rtl/>
        </w:rPr>
        <w:footnoteReference w:id="110"/>
      </w:r>
      <w:r w:rsidRPr="00A81964">
        <w:rPr>
          <w:rFonts w:hint="cs"/>
          <w:rtl/>
        </w:rPr>
        <w:t>. על החלטת ועדת הערר ניתן לערער, בבעיה משפטית, לבית המשפט המחוזי בתוך 30 ימים מיום שהובאה ההחלטה לידיעת המערער</w:t>
      </w:r>
      <w:r w:rsidRPr="00A81964">
        <w:rPr>
          <w:rStyle w:val="af2"/>
          <w:rtl/>
        </w:rPr>
        <w:t xml:space="preserve"> </w:t>
      </w:r>
      <w:r w:rsidRPr="00A81964">
        <w:rPr>
          <w:rStyle w:val="af2"/>
          <w:rtl/>
        </w:rPr>
        <w:footnoteReference w:id="111"/>
      </w:r>
      <w:r w:rsidRPr="00A81964">
        <w:rPr>
          <w:rFonts w:hint="cs"/>
          <w:rtl/>
        </w:rPr>
        <w:t>.</w:t>
      </w:r>
    </w:p>
    <w:p w:rsidR="006252C4" w:rsidRDefault="006252C4" w:rsidP="006252C4">
      <w:pPr>
        <w:pStyle w:val="a8"/>
        <w:spacing w:line="269" w:lineRule="auto"/>
        <w:rPr>
          <w:rtl/>
        </w:rPr>
      </w:pPr>
    </w:p>
    <w:p w:rsidR="006252C4" w:rsidRPr="00A81964" w:rsidRDefault="006252C4" w:rsidP="006252C4">
      <w:pPr>
        <w:spacing w:line="269" w:lineRule="auto"/>
        <w:rPr>
          <w:rFonts w:ascii="David" w:hAnsi="David"/>
          <w:color w:val="000000" w:themeColor="text1"/>
          <w:sz w:val="24"/>
          <w:rtl/>
        </w:rPr>
      </w:pPr>
      <w:r w:rsidRPr="00A81964">
        <w:rPr>
          <w:rFonts w:ascii="David" w:hAnsi="David" w:hint="cs"/>
          <w:color w:val="000000" w:themeColor="text1"/>
          <w:sz w:val="24"/>
          <w:rtl/>
        </w:rPr>
        <w:t>קיימים שני סוגים של ועדות ערר העוסקות בתביעות המוגשות לקרן הפיצויים: (א) ועדת ערר לפי תקנה 12 לתקנות קרן הפיצויים (להלן - ועדת ערר של קרן הפיצויים); (ב) ועדת ערר שהקים שר המשפטים לפי חוק התוכנית לסיוע כלכלי (נגיף הקורונה החדש) (הוראה שעה), התש"ף-2020 (להלן - ועדת ערר של משרד המשפטים), בנובמבר 2020. ב</w:t>
      </w:r>
      <w:r>
        <w:rPr>
          <w:rFonts w:ascii="David" w:hAnsi="David" w:hint="cs"/>
          <w:color w:val="000000" w:themeColor="text1"/>
          <w:sz w:val="24"/>
          <w:rtl/>
        </w:rPr>
        <w:t>נובמבר</w:t>
      </w:r>
      <w:r w:rsidRPr="00A81964">
        <w:rPr>
          <w:rFonts w:ascii="David" w:hAnsi="David" w:hint="cs"/>
          <w:color w:val="000000" w:themeColor="text1"/>
          <w:sz w:val="24"/>
          <w:rtl/>
        </w:rPr>
        <w:t xml:space="preserve"> 2023 נקבע</w:t>
      </w:r>
      <w:r w:rsidRPr="00A81964">
        <w:rPr>
          <w:rStyle w:val="af2"/>
          <w:rFonts w:ascii="David" w:hAnsi="David"/>
          <w:color w:val="000000" w:themeColor="text1"/>
          <w:sz w:val="24"/>
          <w:rtl/>
        </w:rPr>
        <w:footnoteReference w:id="112"/>
      </w:r>
      <w:r w:rsidRPr="00A81964">
        <w:rPr>
          <w:rStyle w:val="af8"/>
          <w:rtl/>
        </w:rPr>
        <w:t xml:space="preserve"> </w:t>
      </w:r>
      <w:r w:rsidRPr="00A81964">
        <w:rPr>
          <w:rFonts w:ascii="David" w:hAnsi="David" w:hint="cs"/>
          <w:color w:val="000000" w:themeColor="text1"/>
          <w:sz w:val="24"/>
          <w:rtl/>
        </w:rPr>
        <w:t>כי ועדת הערר של משרד המשפטים תדון</w:t>
      </w:r>
      <w:r w:rsidRPr="00A81964">
        <w:rPr>
          <w:rtl/>
        </w:rPr>
        <w:t xml:space="preserve"> </w:t>
      </w:r>
      <w:r w:rsidRPr="00A81964">
        <w:rPr>
          <w:rFonts w:ascii="David" w:hAnsi="David"/>
          <w:color w:val="000000" w:themeColor="text1"/>
          <w:sz w:val="24"/>
          <w:rtl/>
        </w:rPr>
        <w:t>גם בעררים המוגשים בתביעות לפיצוי בגין נזק עקיף לפי המסלול הכלל ארצי במלחמת חרבות ברזל</w:t>
      </w:r>
      <w:r w:rsidRPr="00A81964">
        <w:rPr>
          <w:rStyle w:val="af2"/>
          <w:rFonts w:ascii="David" w:hAnsi="David"/>
          <w:color w:val="000000" w:themeColor="text1"/>
          <w:sz w:val="24"/>
          <w:rtl/>
        </w:rPr>
        <w:footnoteReference w:id="113"/>
      </w:r>
      <w:r w:rsidRPr="00A81964">
        <w:rPr>
          <w:rFonts w:ascii="David" w:hAnsi="David" w:hint="cs"/>
          <w:color w:val="000000" w:themeColor="text1"/>
          <w:sz w:val="24"/>
          <w:rtl/>
        </w:rPr>
        <w:t>.</w:t>
      </w:r>
      <w:r w:rsidRPr="00A81964">
        <w:rPr>
          <w:rFonts w:ascii="David" w:hAnsi="David"/>
          <w:color w:val="000000" w:themeColor="text1"/>
          <w:sz w:val="24"/>
          <w:rtl/>
        </w:rPr>
        <w:t xml:space="preserve"> </w:t>
      </w:r>
      <w:r w:rsidRPr="00A81964">
        <w:rPr>
          <w:rFonts w:ascii="David" w:hAnsi="David" w:hint="cs"/>
          <w:color w:val="000000" w:themeColor="text1"/>
          <w:sz w:val="24"/>
          <w:rtl/>
        </w:rPr>
        <w:t xml:space="preserve">בשני הסוגים של </w:t>
      </w:r>
      <w:r w:rsidRPr="00A81964">
        <w:rPr>
          <w:rFonts w:ascii="David" w:hAnsi="David"/>
          <w:color w:val="000000" w:themeColor="text1"/>
          <w:sz w:val="24"/>
          <w:rtl/>
        </w:rPr>
        <w:t>ועד</w:t>
      </w:r>
      <w:r w:rsidRPr="00A81964">
        <w:rPr>
          <w:rFonts w:ascii="David" w:hAnsi="David" w:hint="cs"/>
          <w:color w:val="000000" w:themeColor="text1"/>
          <w:sz w:val="24"/>
          <w:rtl/>
        </w:rPr>
        <w:t>ו</w:t>
      </w:r>
      <w:r w:rsidRPr="00A81964">
        <w:rPr>
          <w:rFonts w:ascii="David" w:hAnsi="David" w:hint="eastAsia"/>
          <w:color w:val="000000" w:themeColor="text1"/>
          <w:sz w:val="24"/>
          <w:rtl/>
        </w:rPr>
        <w:t>ת</w:t>
      </w:r>
      <w:r w:rsidRPr="00A81964">
        <w:rPr>
          <w:rFonts w:ascii="David" w:hAnsi="David"/>
          <w:color w:val="000000" w:themeColor="text1"/>
          <w:sz w:val="24"/>
          <w:rtl/>
        </w:rPr>
        <w:t xml:space="preserve"> </w:t>
      </w:r>
      <w:r w:rsidRPr="00A81964">
        <w:rPr>
          <w:rFonts w:ascii="David" w:hAnsi="David" w:hint="cs"/>
          <w:color w:val="000000" w:themeColor="text1"/>
          <w:sz w:val="24"/>
          <w:rtl/>
        </w:rPr>
        <w:t>ה</w:t>
      </w:r>
      <w:r w:rsidRPr="00A81964">
        <w:rPr>
          <w:rFonts w:ascii="David" w:hAnsi="David" w:hint="eastAsia"/>
          <w:color w:val="000000" w:themeColor="text1"/>
          <w:sz w:val="24"/>
          <w:rtl/>
        </w:rPr>
        <w:t>ערר</w:t>
      </w:r>
      <w:r w:rsidRPr="00A81964">
        <w:rPr>
          <w:rFonts w:ascii="David" w:hAnsi="David"/>
          <w:color w:val="000000" w:themeColor="text1"/>
          <w:sz w:val="24"/>
          <w:rtl/>
        </w:rPr>
        <w:t xml:space="preserve"> </w:t>
      </w:r>
      <w:r w:rsidRPr="00A81964">
        <w:rPr>
          <w:rFonts w:ascii="David" w:hAnsi="David" w:hint="eastAsia"/>
          <w:color w:val="000000" w:themeColor="text1"/>
          <w:sz w:val="24"/>
          <w:rtl/>
        </w:rPr>
        <w:t>קיימים</w:t>
      </w:r>
      <w:r w:rsidRPr="00A81964">
        <w:rPr>
          <w:rFonts w:ascii="David" w:hAnsi="David"/>
          <w:color w:val="000000" w:themeColor="text1"/>
          <w:sz w:val="24"/>
          <w:rtl/>
        </w:rPr>
        <w:t xml:space="preserve"> </w:t>
      </w:r>
      <w:r w:rsidRPr="00A81964">
        <w:rPr>
          <w:rFonts w:ascii="David" w:hAnsi="David" w:hint="cs"/>
          <w:color w:val="000000" w:themeColor="text1"/>
          <w:sz w:val="24"/>
          <w:rtl/>
        </w:rPr>
        <w:t xml:space="preserve">כמה </w:t>
      </w:r>
      <w:r w:rsidRPr="00A81964">
        <w:rPr>
          <w:rFonts w:ascii="David" w:hAnsi="David" w:hint="eastAsia"/>
          <w:color w:val="000000" w:themeColor="text1"/>
          <w:sz w:val="24"/>
          <w:rtl/>
        </w:rPr>
        <w:t>הרכבי</w:t>
      </w:r>
      <w:r w:rsidRPr="00A81964">
        <w:rPr>
          <w:rFonts w:ascii="David" w:hAnsi="David" w:hint="cs"/>
          <w:color w:val="000000" w:themeColor="text1"/>
          <w:sz w:val="24"/>
          <w:rtl/>
        </w:rPr>
        <w:t>ם</w:t>
      </w:r>
      <w:r w:rsidRPr="00A81964">
        <w:rPr>
          <w:rFonts w:ascii="David" w:hAnsi="David"/>
          <w:color w:val="000000" w:themeColor="text1"/>
          <w:sz w:val="24"/>
          <w:rtl/>
        </w:rPr>
        <w:t xml:space="preserve"> </w:t>
      </w:r>
      <w:r w:rsidRPr="00A81964">
        <w:rPr>
          <w:rFonts w:ascii="David" w:hAnsi="David" w:hint="cs"/>
          <w:color w:val="000000" w:themeColor="text1"/>
          <w:sz w:val="24"/>
          <w:rtl/>
        </w:rPr>
        <w:t>ש</w:t>
      </w:r>
      <w:r w:rsidRPr="00A81964">
        <w:rPr>
          <w:rFonts w:ascii="David" w:hAnsi="David"/>
          <w:color w:val="000000" w:themeColor="text1"/>
          <w:sz w:val="24"/>
          <w:rtl/>
        </w:rPr>
        <w:t xml:space="preserve">מתכנסים </w:t>
      </w:r>
      <w:r w:rsidRPr="00A81964">
        <w:rPr>
          <w:rFonts w:ascii="David" w:hAnsi="David" w:hint="cs"/>
          <w:color w:val="000000" w:themeColor="text1"/>
          <w:sz w:val="24"/>
          <w:rtl/>
        </w:rPr>
        <w:t>במחוזות שונים</w:t>
      </w:r>
      <w:r w:rsidRPr="00A81964">
        <w:rPr>
          <w:rFonts w:ascii="David" w:hAnsi="David"/>
          <w:color w:val="000000" w:themeColor="text1"/>
          <w:sz w:val="24"/>
          <w:rtl/>
        </w:rPr>
        <w:t xml:space="preserve"> בארץ.</w:t>
      </w:r>
    </w:p>
    <w:p w:rsidR="006252C4" w:rsidRDefault="006252C4" w:rsidP="006252C4">
      <w:pPr>
        <w:pStyle w:val="a8"/>
        <w:spacing w:line="269" w:lineRule="auto"/>
        <w:rPr>
          <w:rtl/>
        </w:rPr>
      </w:pPr>
    </w:p>
    <w:p w:rsidR="006252C4" w:rsidRPr="00A81964" w:rsidRDefault="006252C4" w:rsidP="006252C4">
      <w:pPr>
        <w:spacing w:line="269" w:lineRule="auto"/>
        <w:rPr>
          <w:rFonts w:ascii="David" w:hAnsi="David"/>
          <w:color w:val="000000" w:themeColor="text1"/>
          <w:sz w:val="24"/>
          <w:rtl/>
        </w:rPr>
      </w:pPr>
      <w:r w:rsidRPr="002F06CD">
        <w:rPr>
          <w:rFonts w:ascii="David" w:hAnsi="David" w:hint="cs"/>
          <w:sz w:val="24"/>
          <w:rtl/>
        </w:rPr>
        <w:t>תפעול ועדות הערר של משרד המשפטים</w:t>
      </w:r>
      <w:r w:rsidRPr="00A81964">
        <w:rPr>
          <w:rFonts w:ascii="David" w:hAnsi="David" w:hint="cs"/>
          <w:color w:val="000000" w:themeColor="text1"/>
          <w:sz w:val="24"/>
          <w:rtl/>
        </w:rPr>
        <w:t xml:space="preserve"> נעשה על ידי בית הדין לענייני קורונה (להלן - בית הדין), המורכב ממספר ועדות ערר</w:t>
      </w:r>
      <w:r w:rsidRPr="00A81964">
        <w:rPr>
          <w:rFonts w:ascii="David" w:hAnsi="David"/>
          <w:color w:val="000000" w:themeColor="text1"/>
          <w:sz w:val="24"/>
          <w:rtl/>
        </w:rPr>
        <w:t xml:space="preserve"> </w:t>
      </w:r>
      <w:r w:rsidRPr="00A81964">
        <w:rPr>
          <w:rFonts w:ascii="David" w:hAnsi="David" w:hint="eastAsia"/>
          <w:color w:val="000000" w:themeColor="text1"/>
          <w:sz w:val="24"/>
          <w:rtl/>
        </w:rPr>
        <w:t>בהרכב</w:t>
      </w:r>
      <w:r w:rsidRPr="00A81964">
        <w:rPr>
          <w:rFonts w:ascii="David" w:hAnsi="David"/>
          <w:color w:val="000000" w:themeColor="text1"/>
          <w:sz w:val="24"/>
          <w:rtl/>
        </w:rPr>
        <w:t xml:space="preserve"> </w:t>
      </w:r>
      <w:r w:rsidRPr="00A81964">
        <w:rPr>
          <w:rFonts w:ascii="David" w:hAnsi="David" w:hint="cs"/>
          <w:color w:val="000000" w:themeColor="text1"/>
          <w:sz w:val="24"/>
          <w:rtl/>
        </w:rPr>
        <w:t>של שני חברים הפועלות במקביל. התפעול המ</w:t>
      </w:r>
      <w:r>
        <w:rPr>
          <w:rFonts w:ascii="David" w:hAnsi="David" w:hint="cs"/>
          <w:color w:val="000000" w:themeColor="text1"/>
          <w:sz w:val="24"/>
          <w:rtl/>
        </w:rPr>
        <w:t>י</w:t>
      </w:r>
      <w:r w:rsidRPr="00A81964">
        <w:rPr>
          <w:rFonts w:ascii="David" w:hAnsi="David" w:hint="cs"/>
          <w:color w:val="000000" w:themeColor="text1"/>
          <w:sz w:val="24"/>
          <w:rtl/>
        </w:rPr>
        <w:t>נהלי של הוועדות נעשה על ידי מזכירות בית הדין המורכבת מעובדי משרד המשפטים.</w:t>
      </w:r>
    </w:p>
    <w:p w:rsidR="006252C4" w:rsidRDefault="006252C4" w:rsidP="006252C4">
      <w:pPr>
        <w:pStyle w:val="a8"/>
        <w:spacing w:line="269" w:lineRule="auto"/>
        <w:rPr>
          <w:rtl/>
        </w:rPr>
      </w:pPr>
    </w:p>
    <w:p w:rsidR="006252C4" w:rsidRPr="00A81964" w:rsidRDefault="006252C4" w:rsidP="006252C4">
      <w:pPr>
        <w:spacing w:line="269" w:lineRule="auto"/>
        <w:rPr>
          <w:rFonts w:ascii="David" w:hAnsi="David"/>
          <w:color w:val="000000" w:themeColor="text1"/>
          <w:sz w:val="24"/>
          <w:rtl/>
        </w:rPr>
      </w:pPr>
      <w:r w:rsidRPr="00A81964">
        <w:rPr>
          <w:rFonts w:ascii="David" w:hAnsi="David" w:hint="eastAsia"/>
          <w:color w:val="000000" w:themeColor="text1"/>
          <w:sz w:val="24"/>
          <w:rtl/>
        </w:rPr>
        <w:lastRenderedPageBreak/>
        <w:t>התפעול</w:t>
      </w:r>
      <w:r w:rsidRPr="00A81964">
        <w:rPr>
          <w:rFonts w:ascii="David" w:hAnsi="David"/>
          <w:color w:val="000000" w:themeColor="text1"/>
          <w:sz w:val="24"/>
          <w:rtl/>
        </w:rPr>
        <w:t xml:space="preserve"> </w:t>
      </w:r>
      <w:r w:rsidRPr="00A81964">
        <w:rPr>
          <w:rFonts w:ascii="David" w:hAnsi="David" w:hint="eastAsia"/>
          <w:color w:val="000000" w:themeColor="text1"/>
          <w:sz w:val="24"/>
          <w:rtl/>
        </w:rPr>
        <w:t>המ</w:t>
      </w:r>
      <w:r w:rsidRPr="00A81964">
        <w:rPr>
          <w:rFonts w:ascii="David" w:hAnsi="David" w:hint="cs"/>
          <w:color w:val="000000" w:themeColor="text1"/>
          <w:sz w:val="24"/>
          <w:rtl/>
        </w:rPr>
        <w:t>י</w:t>
      </w:r>
      <w:r w:rsidRPr="00A81964">
        <w:rPr>
          <w:rFonts w:ascii="David" w:hAnsi="David" w:hint="eastAsia"/>
          <w:color w:val="000000" w:themeColor="text1"/>
          <w:sz w:val="24"/>
          <w:rtl/>
        </w:rPr>
        <w:t>נהלי</w:t>
      </w:r>
      <w:r w:rsidRPr="00A81964">
        <w:rPr>
          <w:rFonts w:ascii="David" w:hAnsi="David"/>
          <w:color w:val="000000" w:themeColor="text1"/>
          <w:sz w:val="24"/>
          <w:rtl/>
        </w:rPr>
        <w:t xml:space="preserve"> </w:t>
      </w:r>
      <w:r w:rsidRPr="00A81964">
        <w:rPr>
          <w:rFonts w:ascii="David" w:hAnsi="David" w:hint="eastAsia"/>
          <w:color w:val="000000" w:themeColor="text1"/>
          <w:sz w:val="24"/>
          <w:rtl/>
        </w:rPr>
        <w:t>של</w:t>
      </w:r>
      <w:r w:rsidRPr="00A81964">
        <w:rPr>
          <w:rFonts w:ascii="David" w:hAnsi="David"/>
          <w:color w:val="000000" w:themeColor="text1"/>
          <w:sz w:val="24"/>
          <w:rtl/>
        </w:rPr>
        <w:t xml:space="preserve"> </w:t>
      </w:r>
      <w:r w:rsidRPr="00A81964">
        <w:rPr>
          <w:rFonts w:ascii="David" w:hAnsi="David" w:hint="eastAsia"/>
          <w:color w:val="000000" w:themeColor="text1"/>
          <w:sz w:val="24"/>
          <w:rtl/>
        </w:rPr>
        <w:t>ועדות</w:t>
      </w:r>
      <w:r w:rsidRPr="00A81964">
        <w:rPr>
          <w:rFonts w:ascii="David" w:hAnsi="David"/>
          <w:color w:val="000000" w:themeColor="text1"/>
          <w:sz w:val="24"/>
          <w:rtl/>
        </w:rPr>
        <w:t xml:space="preserve"> </w:t>
      </w:r>
      <w:r w:rsidRPr="00A81964">
        <w:rPr>
          <w:rFonts w:ascii="David" w:hAnsi="David" w:hint="eastAsia"/>
          <w:color w:val="000000" w:themeColor="text1"/>
          <w:sz w:val="24"/>
          <w:rtl/>
        </w:rPr>
        <w:t>הערר</w:t>
      </w:r>
      <w:r w:rsidRPr="00A81964">
        <w:rPr>
          <w:rFonts w:ascii="David" w:hAnsi="David"/>
          <w:color w:val="000000" w:themeColor="text1"/>
          <w:sz w:val="24"/>
          <w:rtl/>
        </w:rPr>
        <w:t xml:space="preserve"> </w:t>
      </w:r>
      <w:r w:rsidRPr="00A81964">
        <w:rPr>
          <w:rFonts w:ascii="David" w:hAnsi="David" w:hint="eastAsia"/>
          <w:color w:val="000000" w:themeColor="text1"/>
          <w:sz w:val="24"/>
          <w:rtl/>
        </w:rPr>
        <w:t>של</w:t>
      </w:r>
      <w:r w:rsidRPr="00A81964">
        <w:rPr>
          <w:rFonts w:ascii="David" w:hAnsi="David"/>
          <w:color w:val="000000" w:themeColor="text1"/>
          <w:sz w:val="24"/>
          <w:rtl/>
        </w:rPr>
        <w:t xml:space="preserve"> </w:t>
      </w:r>
      <w:r w:rsidRPr="00A81964">
        <w:rPr>
          <w:rFonts w:ascii="David" w:hAnsi="David" w:hint="eastAsia"/>
          <w:color w:val="000000" w:themeColor="text1"/>
          <w:sz w:val="24"/>
          <w:rtl/>
        </w:rPr>
        <w:t>קרן</w:t>
      </w:r>
      <w:r w:rsidRPr="00A81964">
        <w:rPr>
          <w:rFonts w:ascii="David" w:hAnsi="David"/>
          <w:color w:val="000000" w:themeColor="text1"/>
          <w:sz w:val="24"/>
          <w:rtl/>
        </w:rPr>
        <w:t xml:space="preserve"> </w:t>
      </w:r>
      <w:r w:rsidRPr="00A81964">
        <w:rPr>
          <w:rFonts w:ascii="David" w:hAnsi="David" w:hint="eastAsia"/>
          <w:color w:val="000000" w:themeColor="text1"/>
          <w:sz w:val="24"/>
          <w:rtl/>
        </w:rPr>
        <w:t>הפיצויים</w:t>
      </w:r>
      <w:r w:rsidRPr="00A81964">
        <w:rPr>
          <w:rFonts w:ascii="David" w:hAnsi="David"/>
          <w:color w:val="000000" w:themeColor="text1"/>
          <w:sz w:val="24"/>
          <w:rtl/>
        </w:rPr>
        <w:t xml:space="preserve"> נעשה על ידי </w:t>
      </w:r>
      <w:r w:rsidRPr="00A81964">
        <w:rPr>
          <w:rFonts w:ascii="David" w:hAnsi="David" w:hint="eastAsia"/>
          <w:color w:val="000000" w:themeColor="text1"/>
          <w:sz w:val="24"/>
          <w:rtl/>
        </w:rPr>
        <w:t>עובדי</w:t>
      </w:r>
      <w:r w:rsidRPr="00A81964">
        <w:rPr>
          <w:rFonts w:ascii="David" w:hAnsi="David"/>
          <w:color w:val="000000" w:themeColor="text1"/>
          <w:sz w:val="24"/>
          <w:rtl/>
        </w:rPr>
        <w:t xml:space="preserve"> </w:t>
      </w:r>
      <w:r w:rsidRPr="00A81964">
        <w:rPr>
          <w:rFonts w:ascii="David" w:hAnsi="David" w:hint="eastAsia"/>
          <w:color w:val="000000" w:themeColor="text1"/>
          <w:sz w:val="24"/>
          <w:rtl/>
        </w:rPr>
        <w:t>קרן</w:t>
      </w:r>
      <w:r w:rsidRPr="00A81964">
        <w:rPr>
          <w:rFonts w:ascii="David" w:hAnsi="David"/>
          <w:color w:val="000000" w:themeColor="text1"/>
          <w:sz w:val="24"/>
          <w:rtl/>
        </w:rPr>
        <w:t xml:space="preserve"> </w:t>
      </w:r>
      <w:r w:rsidRPr="00A81964">
        <w:rPr>
          <w:rFonts w:ascii="David" w:hAnsi="David" w:hint="eastAsia"/>
          <w:color w:val="000000" w:themeColor="text1"/>
          <w:sz w:val="24"/>
          <w:rtl/>
        </w:rPr>
        <w:t>הפיצויים</w:t>
      </w:r>
      <w:r w:rsidRPr="00A81964">
        <w:rPr>
          <w:rFonts w:ascii="David" w:hAnsi="David"/>
          <w:color w:val="000000" w:themeColor="text1"/>
          <w:sz w:val="24"/>
          <w:rtl/>
        </w:rPr>
        <w:t xml:space="preserve">. </w:t>
      </w:r>
      <w:r w:rsidRPr="00A81964">
        <w:rPr>
          <w:rFonts w:ascii="David" w:hAnsi="David" w:hint="eastAsia"/>
          <w:color w:val="000000" w:themeColor="text1"/>
          <w:sz w:val="24"/>
          <w:rtl/>
        </w:rPr>
        <w:t>כך</w:t>
      </w:r>
      <w:r w:rsidRPr="00A81964">
        <w:rPr>
          <w:rFonts w:ascii="David" w:hAnsi="David"/>
          <w:color w:val="000000" w:themeColor="text1"/>
          <w:sz w:val="24"/>
          <w:rtl/>
        </w:rPr>
        <w:t xml:space="preserve"> </w:t>
      </w:r>
      <w:r w:rsidRPr="00A81964">
        <w:rPr>
          <w:rFonts w:ascii="David" w:hAnsi="David" w:hint="eastAsia"/>
          <w:color w:val="000000" w:themeColor="text1"/>
          <w:sz w:val="24"/>
          <w:rtl/>
        </w:rPr>
        <w:t>למשל</w:t>
      </w:r>
      <w:r w:rsidRPr="00A81964">
        <w:rPr>
          <w:rFonts w:ascii="David" w:hAnsi="David"/>
          <w:color w:val="000000" w:themeColor="text1"/>
          <w:sz w:val="24"/>
          <w:rtl/>
        </w:rPr>
        <w:t xml:space="preserve">, קבלת החומרים מהצדדים </w:t>
      </w:r>
      <w:r w:rsidRPr="00A81964">
        <w:rPr>
          <w:rFonts w:ascii="David" w:hAnsi="David" w:hint="cs"/>
          <w:color w:val="000000" w:themeColor="text1"/>
          <w:sz w:val="24"/>
          <w:rtl/>
        </w:rPr>
        <w:t>לערר</w:t>
      </w:r>
      <w:r w:rsidRPr="00A81964">
        <w:rPr>
          <w:rFonts w:ascii="David" w:hAnsi="David"/>
          <w:color w:val="000000" w:themeColor="text1"/>
          <w:sz w:val="24"/>
          <w:rtl/>
        </w:rPr>
        <w:t xml:space="preserve">, הקצאת </w:t>
      </w:r>
      <w:r w:rsidRPr="00A81964">
        <w:rPr>
          <w:rFonts w:ascii="David" w:hAnsi="David" w:hint="eastAsia"/>
          <w:color w:val="000000" w:themeColor="text1"/>
          <w:sz w:val="24"/>
          <w:rtl/>
        </w:rPr>
        <w:t>העררים</w:t>
      </w:r>
      <w:r w:rsidRPr="00A81964">
        <w:rPr>
          <w:rFonts w:ascii="David" w:hAnsi="David"/>
          <w:color w:val="000000" w:themeColor="text1"/>
          <w:sz w:val="24"/>
          <w:rtl/>
        </w:rPr>
        <w:t xml:space="preserve"> להרכבי הוועדות ה</w:t>
      </w:r>
      <w:r w:rsidRPr="00A81964">
        <w:rPr>
          <w:rFonts w:ascii="David" w:hAnsi="David" w:hint="eastAsia"/>
          <w:color w:val="000000" w:themeColor="text1"/>
          <w:sz w:val="24"/>
          <w:rtl/>
        </w:rPr>
        <w:t>שונ</w:t>
      </w:r>
      <w:r w:rsidRPr="00A81964">
        <w:rPr>
          <w:rFonts w:ascii="David" w:hAnsi="David" w:hint="cs"/>
          <w:color w:val="000000" w:themeColor="text1"/>
          <w:sz w:val="24"/>
          <w:rtl/>
        </w:rPr>
        <w:t>ות</w:t>
      </w:r>
      <w:r w:rsidRPr="00A81964">
        <w:rPr>
          <w:rFonts w:ascii="David" w:hAnsi="David"/>
          <w:color w:val="000000" w:themeColor="text1"/>
          <w:sz w:val="24"/>
          <w:rtl/>
        </w:rPr>
        <w:t xml:space="preserve">, </w:t>
      </w:r>
      <w:r w:rsidRPr="00A81964">
        <w:rPr>
          <w:rFonts w:ascii="David" w:hAnsi="David" w:hint="eastAsia"/>
          <w:color w:val="000000" w:themeColor="text1"/>
          <w:sz w:val="24"/>
          <w:rtl/>
        </w:rPr>
        <w:t>תיאום</w:t>
      </w:r>
      <w:r w:rsidRPr="00A81964">
        <w:rPr>
          <w:rFonts w:ascii="David" w:hAnsi="David"/>
          <w:color w:val="000000" w:themeColor="text1"/>
          <w:sz w:val="24"/>
          <w:rtl/>
        </w:rPr>
        <w:t xml:space="preserve"> </w:t>
      </w:r>
      <w:r w:rsidRPr="00A81964">
        <w:rPr>
          <w:rFonts w:ascii="David" w:hAnsi="David" w:hint="eastAsia"/>
          <w:color w:val="000000" w:themeColor="text1"/>
          <w:sz w:val="24"/>
          <w:rtl/>
        </w:rPr>
        <w:t>דיונים</w:t>
      </w:r>
      <w:r w:rsidRPr="00A81964">
        <w:rPr>
          <w:rFonts w:ascii="David" w:hAnsi="David"/>
          <w:color w:val="000000" w:themeColor="text1"/>
          <w:sz w:val="24"/>
          <w:rtl/>
        </w:rPr>
        <w:t xml:space="preserve">, </w:t>
      </w:r>
      <w:r w:rsidRPr="00A81964">
        <w:rPr>
          <w:rFonts w:ascii="David" w:hAnsi="David" w:hint="eastAsia"/>
          <w:color w:val="000000" w:themeColor="text1"/>
          <w:sz w:val="24"/>
          <w:rtl/>
        </w:rPr>
        <w:t>הקלדת</w:t>
      </w:r>
      <w:r w:rsidRPr="00A81964">
        <w:rPr>
          <w:rFonts w:ascii="David" w:hAnsi="David"/>
          <w:color w:val="000000" w:themeColor="text1"/>
          <w:sz w:val="24"/>
          <w:rtl/>
        </w:rPr>
        <w:t xml:space="preserve"> </w:t>
      </w:r>
      <w:r w:rsidRPr="00A81964">
        <w:rPr>
          <w:rFonts w:ascii="David" w:hAnsi="David" w:hint="eastAsia"/>
          <w:color w:val="000000" w:themeColor="text1"/>
          <w:sz w:val="24"/>
          <w:rtl/>
        </w:rPr>
        <w:t>פרוטוקולי</w:t>
      </w:r>
      <w:r w:rsidRPr="00A81964">
        <w:rPr>
          <w:rFonts w:ascii="David" w:hAnsi="David"/>
          <w:color w:val="000000" w:themeColor="text1"/>
          <w:sz w:val="24"/>
          <w:rtl/>
        </w:rPr>
        <w:t xml:space="preserve"> </w:t>
      </w:r>
      <w:r w:rsidRPr="00A81964">
        <w:rPr>
          <w:rFonts w:ascii="David" w:hAnsi="David" w:hint="eastAsia"/>
          <w:color w:val="000000" w:themeColor="text1"/>
          <w:sz w:val="24"/>
          <w:rtl/>
        </w:rPr>
        <w:t>הדיונים</w:t>
      </w:r>
      <w:r w:rsidRPr="00A81964">
        <w:rPr>
          <w:rFonts w:ascii="David" w:hAnsi="David" w:hint="cs"/>
          <w:color w:val="000000" w:themeColor="text1"/>
          <w:sz w:val="24"/>
          <w:rtl/>
        </w:rPr>
        <w:t xml:space="preserve">, </w:t>
      </w:r>
      <w:r w:rsidRPr="00A81964">
        <w:rPr>
          <w:rFonts w:ascii="David" w:hAnsi="David" w:hint="eastAsia"/>
          <w:color w:val="000000" w:themeColor="text1"/>
          <w:sz w:val="24"/>
          <w:rtl/>
        </w:rPr>
        <w:t>הפצת</w:t>
      </w:r>
      <w:r w:rsidRPr="00A81964">
        <w:rPr>
          <w:rFonts w:ascii="David" w:hAnsi="David"/>
          <w:color w:val="000000" w:themeColor="text1"/>
          <w:sz w:val="24"/>
          <w:rtl/>
        </w:rPr>
        <w:t xml:space="preserve"> </w:t>
      </w:r>
      <w:r w:rsidRPr="00A81964">
        <w:rPr>
          <w:rFonts w:ascii="David" w:hAnsi="David" w:hint="eastAsia"/>
          <w:color w:val="000000" w:themeColor="text1"/>
          <w:sz w:val="24"/>
          <w:rtl/>
        </w:rPr>
        <w:t>החלטות</w:t>
      </w:r>
      <w:r w:rsidRPr="00A81964">
        <w:rPr>
          <w:rFonts w:ascii="David" w:hAnsi="David"/>
          <w:color w:val="000000" w:themeColor="text1"/>
          <w:sz w:val="24"/>
          <w:rtl/>
        </w:rPr>
        <w:t xml:space="preserve"> </w:t>
      </w:r>
      <w:r w:rsidRPr="00A81964">
        <w:rPr>
          <w:rFonts w:ascii="David" w:hAnsi="David" w:hint="eastAsia"/>
          <w:color w:val="000000" w:themeColor="text1"/>
          <w:sz w:val="24"/>
          <w:rtl/>
        </w:rPr>
        <w:t>הוועדות</w:t>
      </w:r>
      <w:r w:rsidRPr="00A81964">
        <w:rPr>
          <w:rFonts w:ascii="David" w:hAnsi="David"/>
          <w:color w:val="000000" w:themeColor="text1"/>
          <w:sz w:val="24"/>
          <w:rtl/>
        </w:rPr>
        <w:t xml:space="preserve"> ואישור שעות העבודה </w:t>
      </w:r>
      <w:r w:rsidRPr="00A81964">
        <w:rPr>
          <w:rFonts w:ascii="David" w:hAnsi="David" w:hint="eastAsia"/>
          <w:color w:val="000000" w:themeColor="text1"/>
          <w:sz w:val="24"/>
          <w:rtl/>
        </w:rPr>
        <w:t>של</w:t>
      </w:r>
      <w:r w:rsidRPr="00A81964">
        <w:rPr>
          <w:rFonts w:ascii="David" w:hAnsi="David"/>
          <w:color w:val="000000" w:themeColor="text1"/>
          <w:sz w:val="24"/>
          <w:rtl/>
        </w:rPr>
        <w:t xml:space="preserve"> </w:t>
      </w:r>
      <w:r w:rsidRPr="00A81964">
        <w:rPr>
          <w:rFonts w:ascii="David" w:hAnsi="David" w:hint="eastAsia"/>
          <w:color w:val="000000" w:themeColor="text1"/>
          <w:sz w:val="24"/>
          <w:rtl/>
        </w:rPr>
        <w:t>יו</w:t>
      </w:r>
      <w:r w:rsidRPr="00A81964">
        <w:rPr>
          <w:rFonts w:ascii="David" w:hAnsi="David"/>
          <w:color w:val="000000" w:themeColor="text1"/>
          <w:sz w:val="24"/>
          <w:rtl/>
        </w:rPr>
        <w:t xml:space="preserve">"ר </w:t>
      </w:r>
      <w:r w:rsidRPr="00A81964">
        <w:rPr>
          <w:rFonts w:ascii="David" w:hAnsi="David" w:hint="eastAsia"/>
          <w:color w:val="000000" w:themeColor="text1"/>
          <w:sz w:val="24"/>
          <w:rtl/>
        </w:rPr>
        <w:t>הוועדה</w:t>
      </w:r>
      <w:r w:rsidRPr="00A81964">
        <w:rPr>
          <w:rFonts w:ascii="David" w:hAnsi="David"/>
          <w:color w:val="000000" w:themeColor="text1"/>
          <w:sz w:val="24"/>
          <w:rtl/>
        </w:rPr>
        <w:t xml:space="preserve"> </w:t>
      </w:r>
      <w:r w:rsidRPr="00A81964">
        <w:rPr>
          <w:rFonts w:ascii="David" w:hAnsi="David" w:hint="eastAsia"/>
          <w:color w:val="000000" w:themeColor="text1"/>
          <w:sz w:val="24"/>
          <w:rtl/>
        </w:rPr>
        <w:t>לצורך</w:t>
      </w:r>
      <w:r w:rsidRPr="00A81964">
        <w:rPr>
          <w:rFonts w:ascii="David" w:hAnsi="David"/>
          <w:color w:val="000000" w:themeColor="text1"/>
          <w:sz w:val="24"/>
          <w:rtl/>
        </w:rPr>
        <w:t xml:space="preserve"> </w:t>
      </w:r>
      <w:r w:rsidRPr="00A81964">
        <w:rPr>
          <w:rFonts w:ascii="David" w:hAnsi="David" w:hint="eastAsia"/>
          <w:color w:val="000000" w:themeColor="text1"/>
          <w:sz w:val="24"/>
          <w:rtl/>
        </w:rPr>
        <w:t>תשלום</w:t>
      </w:r>
      <w:r w:rsidRPr="00A81964">
        <w:rPr>
          <w:rFonts w:ascii="David" w:hAnsi="David"/>
          <w:color w:val="000000" w:themeColor="text1"/>
          <w:sz w:val="24"/>
          <w:rtl/>
        </w:rPr>
        <w:t xml:space="preserve"> </w:t>
      </w:r>
      <w:r w:rsidRPr="00A81964">
        <w:rPr>
          <w:rFonts w:ascii="David" w:hAnsi="David" w:hint="eastAsia"/>
          <w:color w:val="000000" w:themeColor="text1"/>
          <w:sz w:val="24"/>
          <w:rtl/>
        </w:rPr>
        <w:t>שכר</w:t>
      </w:r>
      <w:r w:rsidRPr="00A81964">
        <w:rPr>
          <w:rFonts w:ascii="David" w:hAnsi="David"/>
          <w:color w:val="000000" w:themeColor="text1"/>
          <w:sz w:val="24"/>
          <w:rtl/>
        </w:rPr>
        <w:t xml:space="preserve"> </w:t>
      </w:r>
      <w:r w:rsidRPr="00A81964">
        <w:rPr>
          <w:rFonts w:ascii="David" w:hAnsi="David" w:hint="eastAsia"/>
          <w:color w:val="000000" w:themeColor="text1"/>
          <w:sz w:val="24"/>
          <w:rtl/>
        </w:rPr>
        <w:t>טרחה</w:t>
      </w:r>
      <w:r w:rsidRPr="00A81964">
        <w:rPr>
          <w:rFonts w:ascii="David" w:hAnsi="David"/>
          <w:color w:val="000000" w:themeColor="text1"/>
          <w:sz w:val="24"/>
          <w:rtl/>
        </w:rPr>
        <w:t xml:space="preserve"> </w:t>
      </w:r>
      <w:r w:rsidRPr="00A81964">
        <w:rPr>
          <w:rFonts w:ascii="David" w:hAnsi="David" w:hint="eastAsia"/>
          <w:color w:val="000000" w:themeColor="text1"/>
          <w:sz w:val="24"/>
          <w:rtl/>
        </w:rPr>
        <w:t>נעשים</w:t>
      </w:r>
      <w:r w:rsidRPr="00A81964">
        <w:rPr>
          <w:rFonts w:ascii="David" w:hAnsi="David"/>
          <w:color w:val="000000" w:themeColor="text1"/>
          <w:sz w:val="24"/>
          <w:rtl/>
        </w:rPr>
        <w:t xml:space="preserve"> </w:t>
      </w:r>
      <w:r w:rsidRPr="00A81964">
        <w:rPr>
          <w:rFonts w:ascii="David" w:hAnsi="David" w:hint="eastAsia"/>
          <w:color w:val="000000" w:themeColor="text1"/>
          <w:sz w:val="24"/>
          <w:rtl/>
        </w:rPr>
        <w:t>על</w:t>
      </w:r>
      <w:r w:rsidRPr="00A81964">
        <w:rPr>
          <w:rFonts w:ascii="David" w:hAnsi="David"/>
          <w:color w:val="000000" w:themeColor="text1"/>
          <w:sz w:val="24"/>
          <w:rtl/>
        </w:rPr>
        <w:t xml:space="preserve"> </w:t>
      </w:r>
      <w:r w:rsidRPr="00A81964">
        <w:rPr>
          <w:rFonts w:ascii="David" w:hAnsi="David" w:hint="eastAsia"/>
          <w:color w:val="000000" w:themeColor="text1"/>
          <w:sz w:val="24"/>
          <w:rtl/>
        </w:rPr>
        <w:t>ידי</w:t>
      </w:r>
      <w:r w:rsidRPr="00A81964">
        <w:rPr>
          <w:rFonts w:ascii="David" w:hAnsi="David"/>
          <w:color w:val="000000" w:themeColor="text1"/>
          <w:sz w:val="24"/>
          <w:rtl/>
        </w:rPr>
        <w:t xml:space="preserve"> </w:t>
      </w:r>
      <w:r w:rsidRPr="00A81964">
        <w:rPr>
          <w:rFonts w:ascii="David" w:hAnsi="David" w:hint="eastAsia"/>
          <w:color w:val="000000" w:themeColor="text1"/>
          <w:sz w:val="24"/>
          <w:rtl/>
        </w:rPr>
        <w:t>עובדי</w:t>
      </w:r>
      <w:r w:rsidRPr="00A81964">
        <w:rPr>
          <w:rFonts w:ascii="David" w:hAnsi="David"/>
          <w:color w:val="000000" w:themeColor="text1"/>
          <w:sz w:val="24"/>
          <w:rtl/>
        </w:rPr>
        <w:t xml:space="preserve"> </w:t>
      </w:r>
      <w:r w:rsidRPr="00A81964">
        <w:rPr>
          <w:rFonts w:ascii="David" w:hAnsi="David" w:hint="eastAsia"/>
          <w:color w:val="000000" w:themeColor="text1"/>
          <w:sz w:val="24"/>
          <w:rtl/>
        </w:rPr>
        <w:t>קרן</w:t>
      </w:r>
      <w:r w:rsidRPr="00A81964">
        <w:rPr>
          <w:rFonts w:ascii="David" w:hAnsi="David"/>
          <w:color w:val="000000" w:themeColor="text1"/>
          <w:sz w:val="24"/>
          <w:rtl/>
        </w:rPr>
        <w:t xml:space="preserve"> </w:t>
      </w:r>
      <w:r w:rsidRPr="00A81964">
        <w:rPr>
          <w:rFonts w:ascii="David" w:hAnsi="David" w:hint="eastAsia"/>
          <w:color w:val="000000" w:themeColor="text1"/>
          <w:sz w:val="24"/>
          <w:rtl/>
        </w:rPr>
        <w:t>הפיצויים</w:t>
      </w:r>
      <w:r>
        <w:rPr>
          <w:rFonts w:ascii="David" w:hAnsi="David" w:hint="cs"/>
          <w:color w:val="000000" w:themeColor="text1"/>
          <w:sz w:val="24"/>
          <w:rtl/>
        </w:rPr>
        <w:t xml:space="preserve"> (להלן - תפעול ועדות הערר של קרן הפיצויים)</w:t>
      </w:r>
      <w:r w:rsidRPr="00A81964">
        <w:rPr>
          <w:rFonts w:ascii="David" w:hAnsi="David" w:hint="cs"/>
          <w:color w:val="000000" w:themeColor="text1"/>
          <w:sz w:val="24"/>
          <w:rtl/>
        </w:rPr>
        <w:t>.</w:t>
      </w:r>
      <w:r w:rsidRPr="00A81964">
        <w:rPr>
          <w:rFonts w:ascii="David" w:hAnsi="David"/>
          <w:color w:val="000000" w:themeColor="text1"/>
          <w:sz w:val="24"/>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ascii="David" w:hAnsi="David" w:hint="cs"/>
          <w:color w:val="000000" w:themeColor="text1"/>
          <w:sz w:val="24"/>
          <w:rtl/>
        </w:rPr>
        <w:t>הקביעה לאיזו מהוועדות יופנה הערר</w:t>
      </w:r>
      <w:r w:rsidRPr="00A81964">
        <w:rPr>
          <w:rFonts w:ascii="David" w:hAnsi="David"/>
          <w:color w:val="000000" w:themeColor="text1"/>
          <w:sz w:val="24"/>
          <w:rtl/>
        </w:rPr>
        <w:t xml:space="preserve"> </w:t>
      </w:r>
      <w:r w:rsidRPr="00A81964">
        <w:rPr>
          <w:rFonts w:ascii="David" w:hAnsi="David" w:hint="eastAsia"/>
          <w:color w:val="000000" w:themeColor="text1"/>
          <w:sz w:val="24"/>
          <w:rtl/>
        </w:rPr>
        <w:t>תלויה</w:t>
      </w:r>
      <w:r w:rsidRPr="00A81964">
        <w:rPr>
          <w:rFonts w:ascii="David" w:hAnsi="David"/>
          <w:color w:val="000000" w:themeColor="text1"/>
          <w:sz w:val="24"/>
          <w:rtl/>
        </w:rPr>
        <w:t xml:space="preserve"> </w:t>
      </w:r>
      <w:r w:rsidRPr="00A81964">
        <w:rPr>
          <w:rFonts w:ascii="David" w:hAnsi="David" w:hint="cs"/>
          <w:color w:val="000000" w:themeColor="text1"/>
          <w:sz w:val="24"/>
          <w:rtl/>
        </w:rPr>
        <w:t>במסלול הפיצויים שבו בחר הניזוק</w:t>
      </w:r>
      <w:r w:rsidRPr="00A81964">
        <w:rPr>
          <w:rFonts w:ascii="David" w:hAnsi="David"/>
          <w:color w:val="000000" w:themeColor="text1"/>
          <w:sz w:val="24"/>
          <w:rtl/>
        </w:rPr>
        <w:t xml:space="preserve"> שנדרש בתביעה</w:t>
      </w:r>
      <w:r w:rsidRPr="00A81964">
        <w:rPr>
          <w:rFonts w:ascii="David" w:hAnsi="David" w:hint="cs"/>
          <w:color w:val="000000" w:themeColor="text1"/>
          <w:sz w:val="24"/>
          <w:rtl/>
        </w:rPr>
        <w:t>:</w:t>
      </w:r>
      <w:r w:rsidRPr="00A81964">
        <w:rPr>
          <w:rFonts w:ascii="David" w:hAnsi="David"/>
          <w:color w:val="000000" w:themeColor="text1"/>
          <w:sz w:val="24"/>
          <w:rtl/>
        </w:rPr>
        <w:t xml:space="preserve"> </w:t>
      </w:r>
      <w:r w:rsidRPr="00A81964">
        <w:rPr>
          <w:rFonts w:ascii="David" w:hAnsi="David" w:hint="eastAsia"/>
          <w:color w:val="000000" w:themeColor="text1"/>
          <w:sz w:val="24"/>
          <w:rtl/>
        </w:rPr>
        <w:t>עררים</w:t>
      </w:r>
      <w:r w:rsidRPr="00A81964">
        <w:rPr>
          <w:rFonts w:ascii="David" w:hAnsi="David"/>
          <w:color w:val="000000" w:themeColor="text1"/>
          <w:sz w:val="24"/>
          <w:rtl/>
        </w:rPr>
        <w:t xml:space="preserve"> שהוגשו בתביעות לפיצוי בגין נזק ישיר או </w:t>
      </w:r>
      <w:r w:rsidRPr="00A81964">
        <w:rPr>
          <w:rFonts w:ascii="David" w:hAnsi="David" w:hint="cs"/>
          <w:color w:val="000000" w:themeColor="text1"/>
          <w:sz w:val="24"/>
          <w:rtl/>
        </w:rPr>
        <w:t xml:space="preserve">לפיצוי בגין </w:t>
      </w:r>
      <w:r w:rsidRPr="00A81964">
        <w:rPr>
          <w:rFonts w:ascii="David" w:hAnsi="David" w:hint="eastAsia"/>
          <w:color w:val="000000" w:themeColor="text1"/>
          <w:sz w:val="24"/>
          <w:rtl/>
        </w:rPr>
        <w:t>נזק</w:t>
      </w:r>
      <w:r w:rsidRPr="00A81964">
        <w:rPr>
          <w:rFonts w:ascii="David" w:hAnsi="David"/>
          <w:color w:val="000000" w:themeColor="text1"/>
          <w:sz w:val="24"/>
          <w:rtl/>
        </w:rPr>
        <w:t xml:space="preserve"> </w:t>
      </w:r>
      <w:r w:rsidRPr="00A81964">
        <w:rPr>
          <w:rFonts w:ascii="David" w:hAnsi="David" w:hint="eastAsia"/>
          <w:color w:val="000000" w:themeColor="text1"/>
          <w:sz w:val="24"/>
          <w:rtl/>
        </w:rPr>
        <w:t>עקיף</w:t>
      </w:r>
      <w:r w:rsidRPr="00A81964">
        <w:rPr>
          <w:rFonts w:ascii="David" w:hAnsi="David"/>
          <w:color w:val="000000" w:themeColor="text1"/>
          <w:sz w:val="24"/>
          <w:rtl/>
        </w:rPr>
        <w:t xml:space="preserve"> </w:t>
      </w:r>
      <w:r w:rsidRPr="00A81964">
        <w:rPr>
          <w:rFonts w:ascii="David" w:hAnsi="David" w:hint="eastAsia"/>
          <w:color w:val="000000" w:themeColor="text1"/>
          <w:sz w:val="24"/>
          <w:rtl/>
        </w:rPr>
        <w:t>במסלול</w:t>
      </w:r>
      <w:r w:rsidRPr="00A81964">
        <w:rPr>
          <w:rFonts w:ascii="David" w:hAnsi="David"/>
          <w:color w:val="000000" w:themeColor="text1"/>
          <w:sz w:val="24"/>
          <w:rtl/>
        </w:rPr>
        <w:t xml:space="preserve"> </w:t>
      </w:r>
      <w:r w:rsidRPr="00A81964">
        <w:rPr>
          <w:rFonts w:ascii="David" w:hAnsi="David" w:hint="eastAsia"/>
          <w:color w:val="000000" w:themeColor="text1"/>
          <w:sz w:val="24"/>
          <w:rtl/>
        </w:rPr>
        <w:t>האדום</w:t>
      </w:r>
      <w:r w:rsidRPr="00A81964">
        <w:rPr>
          <w:rFonts w:ascii="David" w:hAnsi="David"/>
          <w:color w:val="000000" w:themeColor="text1"/>
          <w:sz w:val="24"/>
          <w:rtl/>
        </w:rPr>
        <w:t xml:space="preserve"> </w:t>
      </w:r>
      <w:r w:rsidRPr="00A81964">
        <w:rPr>
          <w:rFonts w:ascii="David" w:hAnsi="David" w:hint="eastAsia"/>
          <w:color w:val="000000" w:themeColor="text1"/>
          <w:sz w:val="24"/>
          <w:rtl/>
        </w:rPr>
        <w:t>ו</w:t>
      </w:r>
      <w:r w:rsidRPr="00A81964">
        <w:rPr>
          <w:rFonts w:ascii="David" w:hAnsi="David" w:hint="cs"/>
          <w:color w:val="000000" w:themeColor="text1"/>
          <w:sz w:val="24"/>
          <w:rtl/>
        </w:rPr>
        <w:t>ב</w:t>
      </w:r>
      <w:r w:rsidRPr="00A81964">
        <w:rPr>
          <w:rFonts w:ascii="David" w:hAnsi="David" w:hint="eastAsia"/>
          <w:color w:val="000000" w:themeColor="text1"/>
          <w:sz w:val="24"/>
          <w:rtl/>
        </w:rPr>
        <w:t>מסלולי</w:t>
      </w:r>
      <w:r w:rsidRPr="00A81964">
        <w:rPr>
          <w:rFonts w:ascii="David" w:hAnsi="David"/>
          <w:color w:val="000000" w:themeColor="text1"/>
          <w:sz w:val="24"/>
          <w:rtl/>
        </w:rPr>
        <w:t xml:space="preserve"> </w:t>
      </w:r>
      <w:r w:rsidRPr="00A81964">
        <w:rPr>
          <w:rFonts w:ascii="David" w:hAnsi="David" w:hint="eastAsia"/>
          <w:color w:val="000000" w:themeColor="text1"/>
          <w:sz w:val="24"/>
          <w:rtl/>
        </w:rPr>
        <w:t>האזור</w:t>
      </w:r>
      <w:r w:rsidRPr="00A81964">
        <w:rPr>
          <w:rFonts w:ascii="David" w:hAnsi="David"/>
          <w:color w:val="000000" w:themeColor="text1"/>
          <w:sz w:val="24"/>
          <w:rtl/>
        </w:rPr>
        <w:t xml:space="preserve"> </w:t>
      </w:r>
      <w:r w:rsidRPr="00A81964">
        <w:rPr>
          <w:rFonts w:ascii="David" w:hAnsi="David" w:hint="eastAsia"/>
          <w:color w:val="000000" w:themeColor="text1"/>
          <w:sz w:val="24"/>
          <w:rtl/>
        </w:rPr>
        <w:t>המיוחד</w:t>
      </w:r>
      <w:r w:rsidRPr="00A81964">
        <w:rPr>
          <w:rFonts w:ascii="David" w:hAnsi="David"/>
          <w:color w:val="000000" w:themeColor="text1"/>
          <w:sz w:val="24"/>
          <w:rtl/>
        </w:rPr>
        <w:t xml:space="preserve"> </w:t>
      </w:r>
      <w:r w:rsidRPr="00A81964">
        <w:rPr>
          <w:rFonts w:ascii="David" w:hAnsi="David" w:hint="eastAsia"/>
          <w:color w:val="000000" w:themeColor="text1"/>
          <w:sz w:val="24"/>
          <w:rtl/>
        </w:rPr>
        <w:t>נידונים</w:t>
      </w:r>
      <w:r w:rsidRPr="00A81964">
        <w:rPr>
          <w:rFonts w:ascii="David" w:hAnsi="David"/>
          <w:color w:val="000000" w:themeColor="text1"/>
          <w:sz w:val="24"/>
          <w:rtl/>
        </w:rPr>
        <w:t xml:space="preserve"> </w:t>
      </w:r>
      <w:r w:rsidRPr="00A81964">
        <w:rPr>
          <w:rFonts w:ascii="David" w:hAnsi="David" w:hint="eastAsia"/>
          <w:color w:val="000000" w:themeColor="text1"/>
          <w:sz w:val="24"/>
          <w:rtl/>
        </w:rPr>
        <w:t>בוועדת</w:t>
      </w:r>
      <w:r w:rsidRPr="00A81964">
        <w:rPr>
          <w:rFonts w:ascii="David" w:hAnsi="David" w:hint="cs"/>
          <w:color w:val="000000" w:themeColor="text1"/>
          <w:sz w:val="24"/>
          <w:rtl/>
        </w:rPr>
        <w:t xml:space="preserve"> ערר של</w:t>
      </w:r>
      <w:r w:rsidRPr="00A81964">
        <w:rPr>
          <w:rFonts w:ascii="David" w:hAnsi="David"/>
          <w:color w:val="000000" w:themeColor="text1"/>
          <w:sz w:val="24"/>
          <w:rtl/>
        </w:rPr>
        <w:t xml:space="preserve"> קרן הפיצויים. </w:t>
      </w:r>
      <w:r w:rsidRPr="00A81964">
        <w:rPr>
          <w:rFonts w:ascii="David" w:hAnsi="David" w:hint="eastAsia"/>
          <w:color w:val="000000" w:themeColor="text1"/>
          <w:sz w:val="24"/>
          <w:rtl/>
        </w:rPr>
        <w:t>עררים</w:t>
      </w:r>
      <w:r w:rsidRPr="00A81964">
        <w:rPr>
          <w:rFonts w:ascii="David" w:hAnsi="David"/>
          <w:color w:val="000000" w:themeColor="text1"/>
          <w:sz w:val="24"/>
          <w:rtl/>
        </w:rPr>
        <w:t xml:space="preserve"> שהוגשו בתביעות לפיצוי בגין נזק עקיף במסלול </w:t>
      </w:r>
      <w:r w:rsidRPr="00A81964">
        <w:rPr>
          <w:rFonts w:ascii="David" w:hAnsi="David" w:hint="cs"/>
          <w:color w:val="000000" w:themeColor="text1"/>
          <w:sz w:val="24"/>
          <w:rtl/>
        </w:rPr>
        <w:t>הכלל ארצי</w:t>
      </w:r>
      <w:r w:rsidRPr="00A81964">
        <w:rPr>
          <w:rFonts w:ascii="David" w:hAnsi="David"/>
          <w:color w:val="000000" w:themeColor="text1"/>
          <w:sz w:val="24"/>
          <w:rtl/>
        </w:rPr>
        <w:t xml:space="preserve"> נידונים בוועדת </w:t>
      </w:r>
      <w:r w:rsidRPr="00A81964">
        <w:rPr>
          <w:rFonts w:ascii="David" w:hAnsi="David" w:hint="eastAsia"/>
          <w:color w:val="000000" w:themeColor="text1"/>
          <w:sz w:val="24"/>
          <w:rtl/>
        </w:rPr>
        <w:t>ערר</w:t>
      </w:r>
      <w:r w:rsidRPr="00A81964">
        <w:rPr>
          <w:rFonts w:ascii="David" w:hAnsi="David"/>
          <w:color w:val="000000" w:themeColor="text1"/>
          <w:sz w:val="24"/>
          <w:rtl/>
        </w:rPr>
        <w:t xml:space="preserve"> </w:t>
      </w:r>
      <w:r w:rsidRPr="00A81964">
        <w:rPr>
          <w:rFonts w:ascii="David" w:hAnsi="David" w:hint="eastAsia"/>
          <w:color w:val="000000" w:themeColor="text1"/>
          <w:sz w:val="24"/>
          <w:rtl/>
        </w:rPr>
        <w:t>של</w:t>
      </w:r>
      <w:r w:rsidRPr="00A81964">
        <w:rPr>
          <w:rFonts w:ascii="David" w:hAnsi="David"/>
          <w:color w:val="000000" w:themeColor="text1"/>
          <w:sz w:val="24"/>
          <w:rtl/>
        </w:rPr>
        <w:t xml:space="preserve"> </w:t>
      </w:r>
      <w:r w:rsidRPr="00A81964">
        <w:rPr>
          <w:rFonts w:ascii="David" w:hAnsi="David" w:hint="eastAsia"/>
          <w:color w:val="000000" w:themeColor="text1"/>
          <w:sz w:val="24"/>
          <w:rtl/>
        </w:rPr>
        <w:t>משרד</w:t>
      </w:r>
      <w:r w:rsidRPr="00A81964">
        <w:rPr>
          <w:rFonts w:ascii="David" w:hAnsi="David"/>
          <w:color w:val="000000" w:themeColor="text1"/>
          <w:sz w:val="24"/>
          <w:rtl/>
        </w:rPr>
        <w:t xml:space="preserve"> </w:t>
      </w:r>
      <w:r w:rsidRPr="00A81964">
        <w:rPr>
          <w:rFonts w:ascii="David" w:hAnsi="David" w:hint="eastAsia"/>
          <w:color w:val="000000" w:themeColor="text1"/>
          <w:sz w:val="24"/>
          <w:rtl/>
        </w:rPr>
        <w:t>המשפטים</w:t>
      </w:r>
      <w:r>
        <w:rPr>
          <w:rStyle w:val="af2"/>
          <w:rFonts w:ascii="David" w:hAnsi="David"/>
          <w:color w:val="000000" w:themeColor="text1"/>
          <w:sz w:val="24"/>
          <w:rtl/>
        </w:rPr>
        <w:footnoteReference w:id="114"/>
      </w:r>
      <w:r w:rsidRPr="00A81964">
        <w:rPr>
          <w:rFonts w:ascii="David" w:hAnsi="David"/>
          <w:color w:val="000000" w:themeColor="text1"/>
          <w:sz w:val="24"/>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eastAsia"/>
          <w:rtl/>
        </w:rPr>
        <w:t>בעת</w:t>
      </w:r>
      <w:r w:rsidRPr="00A81964">
        <w:rPr>
          <w:rtl/>
        </w:rPr>
        <w:t xml:space="preserve"> הגשת ערר </w:t>
      </w:r>
      <w:r w:rsidRPr="00A81964">
        <w:rPr>
          <w:rFonts w:hint="cs"/>
          <w:rtl/>
        </w:rPr>
        <w:t>העורר</w:t>
      </w:r>
      <w:r w:rsidRPr="00A81964">
        <w:rPr>
          <w:rtl/>
        </w:rPr>
        <w:t xml:space="preserve"> </w:t>
      </w:r>
      <w:r w:rsidRPr="002F06CD">
        <w:rPr>
          <w:rFonts w:hint="eastAsia"/>
          <w:rtl/>
        </w:rPr>
        <w:t>נדרש</w:t>
      </w:r>
      <w:r w:rsidRPr="002F06CD">
        <w:rPr>
          <w:rtl/>
        </w:rPr>
        <w:t xml:space="preserve"> </w:t>
      </w:r>
      <w:r w:rsidRPr="002F06CD">
        <w:rPr>
          <w:rFonts w:hint="eastAsia"/>
          <w:rtl/>
        </w:rPr>
        <w:t>להשיב</w:t>
      </w:r>
      <w:r w:rsidRPr="002F06CD">
        <w:rPr>
          <w:rtl/>
        </w:rPr>
        <w:t xml:space="preserve"> </w:t>
      </w:r>
      <w:r w:rsidRPr="002F06CD">
        <w:rPr>
          <w:rFonts w:hint="eastAsia"/>
          <w:rtl/>
        </w:rPr>
        <w:t>סכומים</w:t>
      </w:r>
      <w:r w:rsidRPr="00A81964">
        <w:rPr>
          <w:rFonts w:hint="cs"/>
          <w:rtl/>
        </w:rPr>
        <w:t xml:space="preserve"> ש</w:t>
      </w:r>
      <w:r w:rsidRPr="00A81964">
        <w:rPr>
          <w:rFonts w:hint="eastAsia"/>
          <w:rtl/>
        </w:rPr>
        <w:t>קיבל</w:t>
      </w:r>
      <w:r w:rsidRPr="00A81964">
        <w:rPr>
          <w:rFonts w:hint="cs"/>
          <w:rtl/>
        </w:rPr>
        <w:t xml:space="preserve"> כמקדמה העולים על סכום הפיצוי שנקבע בהחלטת </w:t>
      </w:r>
      <w:r w:rsidRPr="00A81964">
        <w:rPr>
          <w:rtl/>
        </w:rPr>
        <w:t xml:space="preserve">קרן הפיצויים בגין הנזק הישיר או העקיף שנגרם לו, </w:t>
      </w:r>
      <w:r w:rsidRPr="00A81964">
        <w:rPr>
          <w:rFonts w:hint="cs"/>
          <w:rtl/>
        </w:rPr>
        <w:t>ו</w:t>
      </w:r>
      <w:r w:rsidRPr="00A81964">
        <w:rPr>
          <w:rtl/>
        </w:rPr>
        <w:t xml:space="preserve">זאת עד להחלטה סופית של ועדת הערר. </w:t>
      </w:r>
    </w:p>
    <w:p w:rsidR="006252C4" w:rsidRDefault="006252C4" w:rsidP="006252C4">
      <w:pPr>
        <w:pStyle w:val="a8"/>
        <w:spacing w:line="269" w:lineRule="auto"/>
        <w:rPr>
          <w:rtl/>
        </w:rPr>
      </w:pPr>
    </w:p>
    <w:p w:rsidR="00F316D6" w:rsidRDefault="00F316D6">
      <w:pPr>
        <w:bidi w:val="0"/>
        <w:spacing w:after="200" w:line="276" w:lineRule="auto"/>
        <w:rPr>
          <w:rtl/>
        </w:rPr>
      </w:pPr>
      <w:r>
        <w:rPr>
          <w:rtl/>
        </w:rPr>
        <w:br w:type="page"/>
      </w:r>
    </w:p>
    <w:p w:rsidR="006252C4" w:rsidRPr="00A81964" w:rsidRDefault="006252C4" w:rsidP="006252C4">
      <w:pPr>
        <w:spacing w:line="269" w:lineRule="auto"/>
        <w:rPr>
          <w:rtl/>
        </w:rPr>
      </w:pPr>
      <w:r w:rsidRPr="00A81964">
        <w:rPr>
          <w:rFonts w:hint="eastAsia"/>
          <w:rtl/>
        </w:rPr>
        <w:lastRenderedPageBreak/>
        <w:t>להלן</w:t>
      </w:r>
      <w:r w:rsidRPr="00A81964">
        <w:rPr>
          <w:rtl/>
        </w:rPr>
        <w:t xml:space="preserve"> בתרשים </w:t>
      </w:r>
      <w:r w:rsidRPr="00A81964">
        <w:rPr>
          <w:rFonts w:hint="cs"/>
          <w:rtl/>
        </w:rPr>
        <w:t>21</w:t>
      </w:r>
      <w:r w:rsidRPr="00A81964">
        <w:rPr>
          <w:rtl/>
        </w:rPr>
        <w:t xml:space="preserve"> סי</w:t>
      </w:r>
      <w:r w:rsidRPr="00A81964">
        <w:rPr>
          <w:rFonts w:hint="eastAsia"/>
          <w:rtl/>
        </w:rPr>
        <w:t>כום</w:t>
      </w:r>
      <w:r w:rsidRPr="00A81964">
        <w:rPr>
          <w:rtl/>
        </w:rPr>
        <w:t xml:space="preserve"> </w:t>
      </w:r>
      <w:r w:rsidRPr="00A81964">
        <w:rPr>
          <w:rFonts w:hint="eastAsia"/>
          <w:rtl/>
        </w:rPr>
        <w:t>תהליך</w:t>
      </w:r>
      <w:r w:rsidRPr="00A81964">
        <w:rPr>
          <w:rtl/>
        </w:rPr>
        <w:t xml:space="preserve"> </w:t>
      </w:r>
      <w:r w:rsidRPr="00A81964">
        <w:rPr>
          <w:rFonts w:hint="eastAsia"/>
          <w:rtl/>
        </w:rPr>
        <w:t>הטיפול</w:t>
      </w:r>
      <w:r w:rsidRPr="00A81964">
        <w:rPr>
          <w:rtl/>
        </w:rPr>
        <w:t xml:space="preserve"> </w:t>
      </w:r>
      <w:r w:rsidRPr="00A81964">
        <w:rPr>
          <w:rFonts w:hint="eastAsia"/>
          <w:rtl/>
        </w:rPr>
        <w:t>בתביעות</w:t>
      </w:r>
      <w:r w:rsidRPr="00A81964">
        <w:rPr>
          <w:rtl/>
        </w:rPr>
        <w:t xml:space="preserve"> </w:t>
      </w:r>
      <w:r>
        <w:rPr>
          <w:rFonts w:hint="cs"/>
          <w:rtl/>
        </w:rPr>
        <w:t>שהוגשו לקרן ה</w:t>
      </w:r>
      <w:r w:rsidRPr="00A81964">
        <w:rPr>
          <w:rFonts w:hint="eastAsia"/>
          <w:rtl/>
        </w:rPr>
        <w:t>פיצויים</w:t>
      </w:r>
      <w:r>
        <w:rPr>
          <w:rFonts w:hint="cs"/>
          <w:rtl/>
        </w:rPr>
        <w:t xml:space="preserve"> עבור פיצויים</w:t>
      </w:r>
      <w:r w:rsidRPr="00A81964">
        <w:rPr>
          <w:rtl/>
        </w:rPr>
        <w:t xml:space="preserve"> </w:t>
      </w:r>
      <w:r w:rsidRPr="00A81964">
        <w:rPr>
          <w:rFonts w:hint="eastAsia"/>
          <w:rtl/>
        </w:rPr>
        <w:t>בגין</w:t>
      </w:r>
      <w:r w:rsidRPr="00A81964">
        <w:rPr>
          <w:rtl/>
        </w:rPr>
        <w:t xml:space="preserve"> </w:t>
      </w:r>
      <w:r w:rsidRPr="00A81964">
        <w:rPr>
          <w:rFonts w:hint="eastAsia"/>
          <w:rtl/>
        </w:rPr>
        <w:t>נזקים</w:t>
      </w:r>
      <w:r w:rsidRPr="00A81964">
        <w:rPr>
          <w:rtl/>
        </w:rPr>
        <w:t xml:space="preserve"> </w:t>
      </w:r>
      <w:r w:rsidRPr="00A81964">
        <w:rPr>
          <w:rFonts w:hint="eastAsia"/>
          <w:rtl/>
        </w:rPr>
        <w:t>ישירים</w:t>
      </w:r>
      <w:r w:rsidRPr="00A81964">
        <w:rPr>
          <w:rtl/>
        </w:rPr>
        <w:t xml:space="preserve"> </w:t>
      </w:r>
      <w:r w:rsidRPr="00A81964">
        <w:rPr>
          <w:rFonts w:hint="eastAsia"/>
          <w:rtl/>
        </w:rPr>
        <w:t>ועקיפים</w:t>
      </w:r>
      <w:r>
        <w:rPr>
          <w:rFonts w:hint="cs"/>
          <w:rtl/>
        </w:rPr>
        <w:t>.</w:t>
      </w:r>
    </w:p>
    <w:p w:rsidR="006252C4" w:rsidRPr="00A81964" w:rsidRDefault="006252C4" w:rsidP="006252C4">
      <w:pPr>
        <w:spacing w:line="269" w:lineRule="auto"/>
        <w:rPr>
          <w:rtl/>
        </w:rPr>
      </w:pPr>
    </w:p>
    <w:p w:rsidR="006252C4" w:rsidRPr="00A81964" w:rsidRDefault="006252C4" w:rsidP="006252C4">
      <w:pPr>
        <w:keepNext/>
        <w:keepLines/>
        <w:spacing w:line="269" w:lineRule="auto"/>
        <w:jc w:val="center"/>
        <w:rPr>
          <w:b/>
          <w:bCs/>
          <w:rtl/>
        </w:rPr>
      </w:pPr>
      <w:r w:rsidRPr="00A81964">
        <w:rPr>
          <w:rFonts w:hint="eastAsia"/>
          <w:rtl/>
        </w:rPr>
        <w:t>תרשים</w:t>
      </w:r>
      <w:r w:rsidRPr="00A81964">
        <w:rPr>
          <w:rtl/>
        </w:rPr>
        <w:t xml:space="preserve"> 21: </w:t>
      </w:r>
      <w:r w:rsidRPr="00A81964">
        <w:rPr>
          <w:b/>
          <w:bCs/>
          <w:rtl/>
        </w:rPr>
        <w:t>סי</w:t>
      </w:r>
      <w:r w:rsidRPr="00A81964">
        <w:rPr>
          <w:rFonts w:hint="eastAsia"/>
          <w:b/>
          <w:bCs/>
          <w:rtl/>
        </w:rPr>
        <w:t>כום</w:t>
      </w:r>
      <w:r w:rsidRPr="00A81964">
        <w:rPr>
          <w:b/>
          <w:bCs/>
          <w:rtl/>
        </w:rPr>
        <w:t xml:space="preserve"> </w:t>
      </w:r>
      <w:r w:rsidRPr="00A81964">
        <w:rPr>
          <w:rFonts w:hint="eastAsia"/>
          <w:b/>
          <w:bCs/>
          <w:rtl/>
        </w:rPr>
        <w:t>תהליך</w:t>
      </w:r>
      <w:r w:rsidRPr="00A81964">
        <w:rPr>
          <w:b/>
          <w:bCs/>
          <w:rtl/>
        </w:rPr>
        <w:t xml:space="preserve"> </w:t>
      </w:r>
      <w:r w:rsidRPr="00A81964">
        <w:rPr>
          <w:rFonts w:hint="eastAsia"/>
          <w:b/>
          <w:bCs/>
          <w:rtl/>
        </w:rPr>
        <w:t>הטיפול</w:t>
      </w:r>
      <w:r w:rsidRPr="00A81964">
        <w:rPr>
          <w:b/>
          <w:bCs/>
          <w:rtl/>
        </w:rPr>
        <w:t xml:space="preserve"> </w:t>
      </w:r>
      <w:r w:rsidRPr="00A81964">
        <w:rPr>
          <w:rFonts w:hint="eastAsia"/>
          <w:b/>
          <w:bCs/>
          <w:rtl/>
        </w:rPr>
        <w:t>בתביעות</w:t>
      </w:r>
      <w:r w:rsidRPr="00A81964">
        <w:rPr>
          <w:b/>
          <w:bCs/>
          <w:rtl/>
        </w:rPr>
        <w:t xml:space="preserve"> </w:t>
      </w:r>
      <w:r w:rsidRPr="00A81964">
        <w:rPr>
          <w:rFonts w:hint="eastAsia"/>
          <w:b/>
          <w:bCs/>
          <w:rtl/>
        </w:rPr>
        <w:t>שהוגשו</w:t>
      </w:r>
      <w:r w:rsidRPr="00A81964">
        <w:rPr>
          <w:b/>
          <w:bCs/>
          <w:rtl/>
        </w:rPr>
        <w:t xml:space="preserve"> </w:t>
      </w:r>
      <w:r w:rsidRPr="00A81964">
        <w:rPr>
          <w:rFonts w:hint="eastAsia"/>
          <w:b/>
          <w:bCs/>
          <w:rtl/>
        </w:rPr>
        <w:t>לקרן</w:t>
      </w:r>
      <w:r w:rsidRPr="00A81964">
        <w:rPr>
          <w:b/>
          <w:bCs/>
          <w:rtl/>
        </w:rPr>
        <w:t xml:space="preserve"> </w:t>
      </w:r>
      <w:r w:rsidRPr="00A81964">
        <w:rPr>
          <w:rFonts w:hint="eastAsia"/>
          <w:b/>
          <w:bCs/>
          <w:rtl/>
        </w:rPr>
        <w:t>הפיצויים</w:t>
      </w:r>
      <w:r w:rsidRPr="00A81964">
        <w:rPr>
          <w:b/>
          <w:bCs/>
          <w:rtl/>
        </w:rPr>
        <w:t xml:space="preserve"> עבור </w:t>
      </w:r>
      <w:r w:rsidRPr="00A81964">
        <w:rPr>
          <w:rFonts w:hint="eastAsia"/>
          <w:b/>
          <w:bCs/>
          <w:rtl/>
        </w:rPr>
        <w:t>פיצויים</w:t>
      </w:r>
      <w:r w:rsidRPr="00A81964">
        <w:rPr>
          <w:b/>
          <w:bCs/>
          <w:rtl/>
        </w:rPr>
        <w:t xml:space="preserve"> </w:t>
      </w:r>
      <w:r w:rsidRPr="00A81964">
        <w:rPr>
          <w:rFonts w:hint="eastAsia"/>
          <w:b/>
          <w:bCs/>
          <w:rtl/>
        </w:rPr>
        <w:t>בגין</w:t>
      </w:r>
      <w:r w:rsidRPr="00A81964">
        <w:rPr>
          <w:b/>
          <w:bCs/>
          <w:rtl/>
        </w:rPr>
        <w:t xml:space="preserve"> </w:t>
      </w:r>
      <w:r w:rsidRPr="00A81964">
        <w:rPr>
          <w:rFonts w:hint="eastAsia"/>
          <w:b/>
          <w:bCs/>
          <w:rtl/>
        </w:rPr>
        <w:t>נזקים</w:t>
      </w:r>
      <w:r w:rsidRPr="00A81964">
        <w:rPr>
          <w:b/>
          <w:bCs/>
          <w:rtl/>
        </w:rPr>
        <w:t xml:space="preserve"> </w:t>
      </w:r>
      <w:r w:rsidRPr="00A81964">
        <w:rPr>
          <w:rFonts w:hint="eastAsia"/>
          <w:b/>
          <w:bCs/>
          <w:rtl/>
        </w:rPr>
        <w:t>ישירים</w:t>
      </w:r>
      <w:r w:rsidRPr="00A81964">
        <w:rPr>
          <w:b/>
          <w:bCs/>
          <w:rtl/>
        </w:rPr>
        <w:t xml:space="preserve"> </w:t>
      </w:r>
      <w:r w:rsidRPr="00A81964">
        <w:rPr>
          <w:rFonts w:hint="eastAsia"/>
          <w:b/>
          <w:bCs/>
          <w:rtl/>
        </w:rPr>
        <w:t>ועקיפים</w:t>
      </w:r>
      <w:r w:rsidRPr="00A81964">
        <w:rPr>
          <w:b/>
          <w:bCs/>
          <w:rtl/>
        </w:rPr>
        <w:t xml:space="preserve"> </w:t>
      </w:r>
    </w:p>
    <w:p w:rsidR="006252C4" w:rsidRPr="00A81964" w:rsidRDefault="006252C4" w:rsidP="006252C4">
      <w:pPr>
        <w:spacing w:line="269" w:lineRule="auto"/>
        <w:rPr>
          <w:rtl/>
        </w:rPr>
      </w:pPr>
      <w:r>
        <w:rPr>
          <w:noProof/>
        </w:rPr>
        <w:drawing>
          <wp:inline distT="0" distB="0" distL="0" distR="0" wp14:anchorId="15E1BD30" wp14:editId="102390B0">
            <wp:extent cx="5219700" cy="4019550"/>
            <wp:effectExtent l="0" t="0" r="0" b="0"/>
            <wp:docPr id="44" name="תמונה 44" descr="התרשים מציג סיכום של תהליך הטיפול בתביעות שהוגשו לקרן הפיצויים, כפי שהוסבר לעי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034" b="3016"/>
                    <a:stretch/>
                  </pic:blipFill>
                  <pic:spPr bwMode="auto">
                    <a:xfrm>
                      <a:off x="0" y="0"/>
                      <a:ext cx="5219700" cy="4019550"/>
                    </a:xfrm>
                    <a:prstGeom prst="rect">
                      <a:avLst/>
                    </a:prstGeom>
                    <a:noFill/>
                    <a:ln>
                      <a:noFill/>
                    </a:ln>
                    <a:extLst>
                      <a:ext uri="{53640926-AAD7-44D8-BBD7-CCE9431645EC}">
                        <a14:shadowObscured xmlns:a14="http://schemas.microsoft.com/office/drawing/2010/main"/>
                      </a:ext>
                    </a:extLst>
                  </pic:spPr>
                </pic:pic>
              </a:graphicData>
            </a:graphic>
          </wp:inline>
        </w:drawing>
      </w:r>
    </w:p>
    <w:p w:rsidR="006252C4" w:rsidRPr="00A81964" w:rsidRDefault="006252C4" w:rsidP="00F316D6">
      <w:pPr>
        <w:pStyle w:val="4"/>
        <w:spacing w:before="60" w:line="269" w:lineRule="auto"/>
        <w:rPr>
          <w:rtl/>
        </w:rPr>
      </w:pPr>
      <w:r w:rsidRPr="00A81964">
        <w:rPr>
          <w:rFonts w:hint="cs"/>
          <w:rtl/>
        </w:rPr>
        <w:t>אי-תלות בתפעול ועדות הערר</w:t>
      </w:r>
    </w:p>
    <w:p w:rsidR="006252C4" w:rsidRDefault="006252C4" w:rsidP="006252C4">
      <w:pPr>
        <w:pStyle w:val="a8"/>
        <w:spacing w:line="269" w:lineRule="auto"/>
        <w:rPr>
          <w:rtl/>
        </w:rPr>
      </w:pPr>
    </w:p>
    <w:p w:rsidR="006252C4" w:rsidRDefault="006252C4" w:rsidP="006252C4">
      <w:pPr>
        <w:spacing w:line="269" w:lineRule="auto"/>
        <w:rPr>
          <w:rFonts w:ascii="David" w:hAnsi="David"/>
          <w:color w:val="000000" w:themeColor="text1"/>
          <w:sz w:val="24"/>
          <w:rtl/>
        </w:rPr>
      </w:pPr>
      <w:r w:rsidRPr="00A81964">
        <w:rPr>
          <w:rFonts w:ascii="David" w:hAnsi="David" w:hint="eastAsia"/>
          <w:color w:val="000000" w:themeColor="text1"/>
          <w:sz w:val="24"/>
          <w:rtl/>
        </w:rPr>
        <w:t>ב</w:t>
      </w:r>
      <w:r w:rsidRPr="00A81964">
        <w:rPr>
          <w:rFonts w:ascii="David" w:hAnsi="David" w:hint="cs"/>
          <w:color w:val="000000" w:themeColor="text1"/>
          <w:sz w:val="24"/>
          <w:rtl/>
        </w:rPr>
        <w:t>פברואר</w:t>
      </w:r>
      <w:r w:rsidRPr="00A81964">
        <w:rPr>
          <w:rFonts w:ascii="David" w:hAnsi="David"/>
          <w:color w:val="000000" w:themeColor="text1"/>
          <w:sz w:val="24"/>
          <w:rtl/>
        </w:rPr>
        <w:t xml:space="preserve"> 2021 </w:t>
      </w:r>
      <w:r w:rsidRPr="002F06CD">
        <w:rPr>
          <w:rFonts w:hint="eastAsia"/>
          <w:rtl/>
        </w:rPr>
        <w:t>כתבה</w:t>
      </w:r>
      <w:r w:rsidRPr="002F06CD">
        <w:rPr>
          <w:rtl/>
        </w:rPr>
        <w:t xml:space="preserve"> </w:t>
      </w:r>
      <w:r w:rsidRPr="002F06CD">
        <w:rPr>
          <w:rFonts w:hint="eastAsia"/>
          <w:rtl/>
        </w:rPr>
        <w:t>המשנה</w:t>
      </w:r>
      <w:r w:rsidRPr="002F06CD">
        <w:rPr>
          <w:rtl/>
        </w:rPr>
        <w:t xml:space="preserve"> </w:t>
      </w:r>
      <w:r w:rsidRPr="002F06CD">
        <w:rPr>
          <w:rFonts w:hint="eastAsia"/>
          <w:rtl/>
        </w:rPr>
        <w:t>למנהל</w:t>
      </w:r>
      <w:r w:rsidRPr="002F06CD">
        <w:rPr>
          <w:rtl/>
        </w:rPr>
        <w:t xml:space="preserve"> </w:t>
      </w:r>
      <w:r w:rsidRPr="002F06CD">
        <w:rPr>
          <w:rFonts w:hint="eastAsia"/>
          <w:rtl/>
        </w:rPr>
        <w:t>רשות</w:t>
      </w:r>
      <w:r w:rsidRPr="002F06CD">
        <w:rPr>
          <w:rtl/>
        </w:rPr>
        <w:t xml:space="preserve"> </w:t>
      </w:r>
      <w:r w:rsidRPr="002F06CD">
        <w:rPr>
          <w:rFonts w:hint="eastAsia"/>
          <w:rtl/>
        </w:rPr>
        <w:t>המ</w:t>
      </w:r>
      <w:r w:rsidRPr="002F06CD">
        <w:rPr>
          <w:rFonts w:hint="cs"/>
          <w:rtl/>
        </w:rPr>
        <w:t>י</w:t>
      </w:r>
      <w:r w:rsidRPr="002F06CD">
        <w:rPr>
          <w:rFonts w:hint="eastAsia"/>
          <w:rtl/>
        </w:rPr>
        <w:t>סים</w:t>
      </w:r>
      <w:r w:rsidRPr="00A81964">
        <w:rPr>
          <w:rFonts w:ascii="David" w:hAnsi="David"/>
          <w:color w:val="000000" w:themeColor="text1"/>
          <w:sz w:val="24"/>
          <w:rtl/>
        </w:rPr>
        <w:t xml:space="preserve"> מכתב למ"מ מנכ"ל משרד המשפטים דאז </w:t>
      </w:r>
      <w:r w:rsidRPr="00A81964">
        <w:rPr>
          <w:rFonts w:ascii="David" w:hAnsi="David" w:hint="cs"/>
          <w:color w:val="000000" w:themeColor="text1"/>
          <w:sz w:val="24"/>
          <w:rtl/>
        </w:rPr>
        <w:t>ו</w:t>
      </w:r>
      <w:r w:rsidRPr="00A81964">
        <w:rPr>
          <w:rFonts w:ascii="David" w:hAnsi="David"/>
          <w:color w:val="000000" w:themeColor="text1"/>
          <w:sz w:val="24"/>
          <w:rtl/>
        </w:rPr>
        <w:t xml:space="preserve">בו </w:t>
      </w:r>
      <w:r w:rsidRPr="00A81964">
        <w:rPr>
          <w:rFonts w:ascii="David" w:hAnsi="David" w:hint="eastAsia"/>
          <w:color w:val="000000" w:themeColor="text1"/>
          <w:sz w:val="24"/>
          <w:rtl/>
        </w:rPr>
        <w:t>ציינה</w:t>
      </w:r>
      <w:r w:rsidRPr="00A81964">
        <w:rPr>
          <w:rFonts w:ascii="David" w:hAnsi="David"/>
          <w:color w:val="000000" w:themeColor="text1"/>
          <w:sz w:val="24"/>
          <w:rtl/>
        </w:rPr>
        <w:t xml:space="preserve"> </w:t>
      </w:r>
      <w:r w:rsidRPr="00A81964">
        <w:rPr>
          <w:rFonts w:ascii="David" w:hAnsi="David" w:hint="eastAsia"/>
          <w:color w:val="000000" w:themeColor="text1"/>
          <w:sz w:val="24"/>
          <w:rtl/>
        </w:rPr>
        <w:t>כי</w:t>
      </w:r>
      <w:r w:rsidRPr="00A81964">
        <w:rPr>
          <w:rFonts w:ascii="David" w:hAnsi="David"/>
          <w:color w:val="000000" w:themeColor="text1"/>
          <w:sz w:val="24"/>
          <w:rtl/>
        </w:rPr>
        <w:t xml:space="preserve"> </w:t>
      </w:r>
      <w:r w:rsidRPr="00A81964">
        <w:rPr>
          <w:rFonts w:ascii="David" w:hAnsi="David" w:hint="eastAsia"/>
          <w:color w:val="000000" w:themeColor="text1"/>
          <w:sz w:val="24"/>
          <w:rtl/>
        </w:rPr>
        <w:t>תפעול</w:t>
      </w:r>
      <w:r w:rsidRPr="00A81964">
        <w:rPr>
          <w:rFonts w:ascii="David" w:hAnsi="David"/>
          <w:color w:val="000000" w:themeColor="text1"/>
          <w:sz w:val="24"/>
          <w:rtl/>
        </w:rPr>
        <w:t xml:space="preserve"> </w:t>
      </w:r>
      <w:r w:rsidRPr="00A81964">
        <w:rPr>
          <w:rFonts w:ascii="David" w:hAnsi="David" w:hint="eastAsia"/>
          <w:color w:val="000000" w:themeColor="text1"/>
          <w:sz w:val="24"/>
          <w:rtl/>
        </w:rPr>
        <w:t>ועדות</w:t>
      </w:r>
      <w:r w:rsidRPr="00A81964">
        <w:rPr>
          <w:rFonts w:ascii="David" w:hAnsi="David"/>
          <w:color w:val="000000" w:themeColor="text1"/>
          <w:sz w:val="24"/>
          <w:rtl/>
        </w:rPr>
        <w:t xml:space="preserve"> </w:t>
      </w:r>
      <w:r w:rsidRPr="00A81964">
        <w:rPr>
          <w:rFonts w:ascii="David" w:hAnsi="David" w:hint="eastAsia"/>
          <w:color w:val="000000" w:themeColor="text1"/>
          <w:sz w:val="24"/>
          <w:rtl/>
        </w:rPr>
        <w:t>הערר</w:t>
      </w:r>
      <w:r w:rsidRPr="00A81964">
        <w:rPr>
          <w:rFonts w:ascii="David" w:hAnsi="David"/>
          <w:color w:val="000000" w:themeColor="text1"/>
          <w:sz w:val="24"/>
          <w:rtl/>
        </w:rPr>
        <w:t xml:space="preserve"> </w:t>
      </w:r>
      <w:r w:rsidRPr="00A81964">
        <w:rPr>
          <w:rFonts w:ascii="David" w:hAnsi="David" w:hint="eastAsia"/>
          <w:color w:val="000000" w:themeColor="text1"/>
          <w:sz w:val="24"/>
          <w:rtl/>
        </w:rPr>
        <w:t>של</w:t>
      </w:r>
      <w:r w:rsidRPr="00A81964">
        <w:rPr>
          <w:rFonts w:ascii="David" w:hAnsi="David"/>
          <w:color w:val="000000" w:themeColor="text1"/>
          <w:sz w:val="24"/>
          <w:rtl/>
        </w:rPr>
        <w:t xml:space="preserve"> </w:t>
      </w:r>
      <w:r w:rsidRPr="00A81964">
        <w:rPr>
          <w:rFonts w:ascii="David" w:hAnsi="David" w:hint="eastAsia"/>
          <w:color w:val="000000" w:themeColor="text1"/>
          <w:sz w:val="24"/>
          <w:rtl/>
        </w:rPr>
        <w:t>קרן</w:t>
      </w:r>
      <w:r w:rsidRPr="00A81964">
        <w:rPr>
          <w:rFonts w:ascii="David" w:hAnsi="David"/>
          <w:color w:val="000000" w:themeColor="text1"/>
          <w:sz w:val="24"/>
          <w:rtl/>
        </w:rPr>
        <w:t xml:space="preserve"> </w:t>
      </w:r>
      <w:r w:rsidRPr="00A81964">
        <w:rPr>
          <w:rFonts w:ascii="David" w:hAnsi="David" w:hint="eastAsia"/>
          <w:color w:val="000000" w:themeColor="text1"/>
          <w:sz w:val="24"/>
          <w:rtl/>
        </w:rPr>
        <w:t>הפיצויים</w:t>
      </w:r>
      <w:r w:rsidRPr="00A81964">
        <w:rPr>
          <w:rFonts w:ascii="David" w:hAnsi="David"/>
          <w:color w:val="000000" w:themeColor="text1"/>
          <w:sz w:val="24"/>
          <w:rtl/>
        </w:rPr>
        <w:t xml:space="preserve"> </w:t>
      </w:r>
      <w:r w:rsidRPr="00A81964">
        <w:rPr>
          <w:rFonts w:ascii="David" w:hAnsi="David" w:hint="eastAsia"/>
          <w:color w:val="000000" w:themeColor="text1"/>
          <w:sz w:val="24"/>
          <w:rtl/>
        </w:rPr>
        <w:t>על</w:t>
      </w:r>
      <w:r w:rsidRPr="00A81964">
        <w:rPr>
          <w:rFonts w:ascii="David" w:hAnsi="David"/>
          <w:color w:val="000000" w:themeColor="text1"/>
          <w:sz w:val="24"/>
          <w:rtl/>
        </w:rPr>
        <w:t xml:space="preserve"> </w:t>
      </w:r>
      <w:r w:rsidRPr="00A81964">
        <w:rPr>
          <w:rFonts w:ascii="David" w:hAnsi="David" w:hint="eastAsia"/>
          <w:color w:val="000000" w:themeColor="text1"/>
          <w:sz w:val="24"/>
          <w:rtl/>
        </w:rPr>
        <w:t>ידי</w:t>
      </w:r>
      <w:r w:rsidRPr="00A81964">
        <w:rPr>
          <w:rFonts w:ascii="David" w:hAnsi="David"/>
          <w:color w:val="000000" w:themeColor="text1"/>
          <w:sz w:val="24"/>
          <w:rtl/>
        </w:rPr>
        <w:t xml:space="preserve"> </w:t>
      </w:r>
      <w:r w:rsidRPr="00A81964">
        <w:rPr>
          <w:rFonts w:ascii="David" w:hAnsi="David" w:hint="eastAsia"/>
          <w:color w:val="000000" w:themeColor="text1"/>
          <w:sz w:val="24"/>
          <w:rtl/>
        </w:rPr>
        <w:t>עובדי</w:t>
      </w:r>
      <w:r w:rsidRPr="00A81964">
        <w:rPr>
          <w:rFonts w:ascii="David" w:hAnsi="David"/>
          <w:color w:val="000000" w:themeColor="text1"/>
          <w:sz w:val="24"/>
          <w:rtl/>
        </w:rPr>
        <w:t xml:space="preserve"> </w:t>
      </w:r>
      <w:r w:rsidRPr="00A81964">
        <w:rPr>
          <w:rFonts w:ascii="David" w:hAnsi="David" w:hint="eastAsia"/>
          <w:color w:val="000000" w:themeColor="text1"/>
          <w:sz w:val="24"/>
          <w:rtl/>
        </w:rPr>
        <w:t>הקרן</w:t>
      </w:r>
      <w:r w:rsidRPr="00A81964">
        <w:rPr>
          <w:rFonts w:ascii="David" w:hAnsi="David"/>
          <w:color w:val="000000" w:themeColor="text1"/>
          <w:sz w:val="24"/>
          <w:rtl/>
        </w:rPr>
        <w:t xml:space="preserve"> "עלול </w:t>
      </w:r>
      <w:r w:rsidRPr="00A81964">
        <w:rPr>
          <w:rFonts w:ascii="David" w:hAnsi="David" w:hint="eastAsia"/>
          <w:color w:val="000000" w:themeColor="text1"/>
          <w:sz w:val="24"/>
          <w:rtl/>
        </w:rPr>
        <w:t>ליצור</w:t>
      </w:r>
      <w:r w:rsidRPr="00A81964">
        <w:rPr>
          <w:rFonts w:ascii="David" w:hAnsi="David"/>
          <w:color w:val="000000" w:themeColor="text1"/>
          <w:sz w:val="24"/>
          <w:rtl/>
        </w:rPr>
        <w:t xml:space="preserve"> </w:t>
      </w:r>
      <w:r w:rsidRPr="00A81964">
        <w:rPr>
          <w:rFonts w:ascii="David" w:hAnsi="David" w:hint="eastAsia"/>
          <w:color w:val="000000" w:themeColor="text1"/>
          <w:sz w:val="24"/>
          <w:rtl/>
        </w:rPr>
        <w:t>מראית</w:t>
      </w:r>
      <w:r w:rsidRPr="00A81964">
        <w:rPr>
          <w:rFonts w:ascii="David" w:hAnsi="David"/>
          <w:color w:val="000000" w:themeColor="text1"/>
          <w:sz w:val="24"/>
          <w:rtl/>
        </w:rPr>
        <w:t xml:space="preserve"> </w:t>
      </w:r>
      <w:r w:rsidRPr="00A81964">
        <w:rPr>
          <w:rFonts w:ascii="David" w:hAnsi="David" w:hint="eastAsia"/>
          <w:color w:val="000000" w:themeColor="text1"/>
          <w:sz w:val="24"/>
          <w:rtl/>
        </w:rPr>
        <w:t>עין</w:t>
      </w:r>
      <w:r w:rsidRPr="00A81964">
        <w:rPr>
          <w:rFonts w:ascii="David" w:hAnsi="David"/>
          <w:color w:val="000000" w:themeColor="text1"/>
          <w:sz w:val="24"/>
          <w:rtl/>
        </w:rPr>
        <w:t xml:space="preserve"> </w:t>
      </w:r>
      <w:r w:rsidRPr="00A81964">
        <w:rPr>
          <w:rFonts w:ascii="David" w:hAnsi="David" w:hint="eastAsia"/>
          <w:color w:val="000000" w:themeColor="text1"/>
          <w:sz w:val="24"/>
          <w:rtl/>
        </w:rPr>
        <w:t>של</w:t>
      </w:r>
      <w:r w:rsidRPr="00A81964">
        <w:rPr>
          <w:rFonts w:ascii="David" w:hAnsi="David"/>
          <w:color w:val="000000" w:themeColor="text1"/>
          <w:sz w:val="24"/>
          <w:rtl/>
        </w:rPr>
        <w:t xml:space="preserve"> </w:t>
      </w:r>
      <w:r w:rsidRPr="00A81964">
        <w:rPr>
          <w:rFonts w:ascii="David" w:hAnsi="David" w:hint="eastAsia"/>
          <w:color w:val="000000" w:themeColor="text1"/>
          <w:sz w:val="24"/>
          <w:rtl/>
        </w:rPr>
        <w:t>ניגוד</w:t>
      </w:r>
      <w:r w:rsidRPr="00A81964">
        <w:rPr>
          <w:rFonts w:ascii="David" w:hAnsi="David"/>
          <w:color w:val="000000" w:themeColor="text1"/>
          <w:sz w:val="24"/>
          <w:rtl/>
        </w:rPr>
        <w:t xml:space="preserve"> </w:t>
      </w:r>
      <w:r w:rsidRPr="00A81964">
        <w:rPr>
          <w:rFonts w:ascii="David" w:hAnsi="David" w:hint="eastAsia"/>
          <w:color w:val="000000" w:themeColor="text1"/>
          <w:sz w:val="24"/>
          <w:rtl/>
        </w:rPr>
        <w:t>עניינים</w:t>
      </w:r>
      <w:r w:rsidRPr="00A81964">
        <w:rPr>
          <w:rFonts w:ascii="David" w:hAnsi="David"/>
          <w:color w:val="000000" w:themeColor="text1"/>
          <w:sz w:val="24"/>
          <w:rtl/>
        </w:rPr>
        <w:t>"</w:t>
      </w:r>
      <w:r w:rsidRPr="00A81964">
        <w:rPr>
          <w:rFonts w:ascii="David" w:hAnsi="David" w:hint="cs"/>
          <w:color w:val="000000" w:themeColor="text1"/>
          <w:sz w:val="24"/>
          <w:rtl/>
        </w:rPr>
        <w:t>,</w:t>
      </w:r>
      <w:r w:rsidRPr="00A81964">
        <w:rPr>
          <w:rFonts w:ascii="David" w:hAnsi="David"/>
          <w:color w:val="000000" w:themeColor="text1"/>
          <w:sz w:val="24"/>
          <w:rtl/>
        </w:rPr>
        <w:t xml:space="preserve"> </w:t>
      </w:r>
      <w:r w:rsidRPr="00A81964">
        <w:rPr>
          <w:rFonts w:ascii="David" w:hAnsi="David" w:hint="cs"/>
          <w:color w:val="000000" w:themeColor="text1"/>
          <w:sz w:val="24"/>
          <w:rtl/>
        </w:rPr>
        <w:t>ו</w:t>
      </w:r>
      <w:r w:rsidRPr="00A81964">
        <w:rPr>
          <w:rFonts w:ascii="David" w:hAnsi="David" w:hint="eastAsia"/>
          <w:color w:val="000000" w:themeColor="text1"/>
          <w:sz w:val="24"/>
          <w:rtl/>
        </w:rPr>
        <w:t>משכך</w:t>
      </w:r>
      <w:r w:rsidRPr="00A81964">
        <w:rPr>
          <w:rFonts w:ascii="David" w:hAnsi="David"/>
          <w:color w:val="000000" w:themeColor="text1"/>
          <w:sz w:val="24"/>
          <w:rtl/>
        </w:rPr>
        <w:t>,</w:t>
      </w:r>
      <w:r w:rsidRPr="00A81964">
        <w:rPr>
          <w:rFonts w:ascii="David" w:hAnsi="David" w:hint="cs"/>
          <w:color w:val="000000" w:themeColor="text1"/>
          <w:sz w:val="24"/>
          <w:rtl/>
        </w:rPr>
        <w:t xml:space="preserve"> </w:t>
      </w:r>
      <w:r w:rsidRPr="00A81964">
        <w:rPr>
          <w:rFonts w:ascii="David" w:hAnsi="David" w:hint="eastAsia"/>
          <w:color w:val="000000" w:themeColor="text1"/>
          <w:sz w:val="24"/>
          <w:rtl/>
        </w:rPr>
        <w:t>לדעת</w:t>
      </w:r>
      <w:r w:rsidRPr="00A81964">
        <w:rPr>
          <w:rFonts w:ascii="David" w:hAnsi="David"/>
          <w:color w:val="000000" w:themeColor="text1"/>
          <w:sz w:val="24"/>
          <w:rtl/>
        </w:rPr>
        <w:t xml:space="preserve"> </w:t>
      </w:r>
      <w:r w:rsidRPr="00A81964">
        <w:rPr>
          <w:rFonts w:ascii="David" w:hAnsi="David" w:hint="eastAsia"/>
          <w:color w:val="000000" w:themeColor="text1"/>
          <w:sz w:val="24"/>
          <w:rtl/>
        </w:rPr>
        <w:t>רשות</w:t>
      </w:r>
      <w:r w:rsidRPr="00A81964">
        <w:rPr>
          <w:rFonts w:ascii="David" w:hAnsi="David"/>
          <w:color w:val="000000" w:themeColor="text1"/>
          <w:sz w:val="24"/>
          <w:rtl/>
        </w:rPr>
        <w:t xml:space="preserve"> </w:t>
      </w:r>
      <w:r w:rsidRPr="00A81964">
        <w:rPr>
          <w:rFonts w:ascii="David" w:hAnsi="David" w:hint="eastAsia"/>
          <w:color w:val="000000" w:themeColor="text1"/>
          <w:sz w:val="24"/>
          <w:rtl/>
        </w:rPr>
        <w:t>המ</w:t>
      </w:r>
      <w:r w:rsidRPr="00A81964">
        <w:rPr>
          <w:rFonts w:ascii="David" w:hAnsi="David" w:hint="cs"/>
          <w:color w:val="000000" w:themeColor="text1"/>
          <w:sz w:val="24"/>
          <w:rtl/>
        </w:rPr>
        <w:t>י</w:t>
      </w:r>
      <w:r w:rsidRPr="00A81964">
        <w:rPr>
          <w:rFonts w:ascii="David" w:hAnsi="David" w:hint="eastAsia"/>
          <w:color w:val="000000" w:themeColor="text1"/>
          <w:sz w:val="24"/>
          <w:rtl/>
        </w:rPr>
        <w:t>סים</w:t>
      </w:r>
      <w:r w:rsidRPr="00A81964">
        <w:rPr>
          <w:rFonts w:ascii="David" w:hAnsi="David"/>
          <w:color w:val="000000" w:themeColor="text1"/>
          <w:sz w:val="24"/>
          <w:rtl/>
        </w:rPr>
        <w:t xml:space="preserve"> "יש </w:t>
      </w:r>
      <w:r w:rsidRPr="00A81964">
        <w:rPr>
          <w:rFonts w:ascii="David" w:hAnsi="David" w:hint="eastAsia"/>
          <w:color w:val="000000" w:themeColor="text1"/>
          <w:sz w:val="24"/>
          <w:rtl/>
        </w:rPr>
        <w:t>להעביר</w:t>
      </w:r>
      <w:r w:rsidRPr="00A81964">
        <w:rPr>
          <w:rFonts w:ascii="David" w:hAnsi="David"/>
          <w:color w:val="000000" w:themeColor="text1"/>
          <w:sz w:val="24"/>
          <w:rtl/>
        </w:rPr>
        <w:t xml:space="preserve"> </w:t>
      </w:r>
      <w:r w:rsidRPr="00A81964">
        <w:rPr>
          <w:rFonts w:ascii="David" w:hAnsi="David" w:hint="eastAsia"/>
          <w:color w:val="000000" w:themeColor="text1"/>
          <w:sz w:val="24"/>
          <w:rtl/>
        </w:rPr>
        <w:t>את</w:t>
      </w:r>
      <w:r w:rsidRPr="00A81964">
        <w:rPr>
          <w:rFonts w:ascii="David" w:hAnsi="David"/>
          <w:color w:val="000000" w:themeColor="text1"/>
          <w:sz w:val="24"/>
          <w:rtl/>
        </w:rPr>
        <w:t xml:space="preserve"> </w:t>
      </w:r>
      <w:r w:rsidRPr="00A81964">
        <w:rPr>
          <w:rFonts w:ascii="David" w:hAnsi="David" w:hint="eastAsia"/>
          <w:color w:val="000000" w:themeColor="text1"/>
          <w:sz w:val="24"/>
          <w:rtl/>
        </w:rPr>
        <w:t>האחריות</w:t>
      </w:r>
      <w:r w:rsidRPr="00A81964">
        <w:rPr>
          <w:rFonts w:ascii="David" w:hAnsi="David"/>
          <w:color w:val="000000" w:themeColor="text1"/>
          <w:sz w:val="24"/>
          <w:rtl/>
        </w:rPr>
        <w:t xml:space="preserve"> </w:t>
      </w:r>
      <w:r w:rsidRPr="00A81964">
        <w:rPr>
          <w:rFonts w:ascii="David" w:hAnsi="David" w:hint="eastAsia"/>
          <w:color w:val="000000" w:themeColor="text1"/>
          <w:sz w:val="24"/>
          <w:rtl/>
        </w:rPr>
        <w:t>המלאה</w:t>
      </w:r>
      <w:r w:rsidRPr="00A81964">
        <w:rPr>
          <w:rFonts w:ascii="David" w:hAnsi="David"/>
          <w:color w:val="000000" w:themeColor="text1"/>
          <w:sz w:val="24"/>
          <w:rtl/>
        </w:rPr>
        <w:t xml:space="preserve"> </w:t>
      </w:r>
      <w:r w:rsidRPr="00A81964">
        <w:rPr>
          <w:rFonts w:ascii="David" w:hAnsi="David" w:hint="eastAsia"/>
          <w:color w:val="000000" w:themeColor="text1"/>
          <w:sz w:val="24"/>
          <w:rtl/>
        </w:rPr>
        <w:t>לניהול</w:t>
      </w:r>
      <w:r w:rsidRPr="00A81964">
        <w:rPr>
          <w:rFonts w:ascii="David" w:hAnsi="David"/>
          <w:color w:val="000000" w:themeColor="text1"/>
          <w:sz w:val="24"/>
          <w:rtl/>
        </w:rPr>
        <w:t xml:space="preserve"> </w:t>
      </w:r>
      <w:r w:rsidRPr="00A81964">
        <w:rPr>
          <w:rFonts w:ascii="David" w:hAnsi="David" w:hint="eastAsia"/>
          <w:color w:val="000000" w:themeColor="text1"/>
          <w:sz w:val="24"/>
          <w:rtl/>
        </w:rPr>
        <w:t>הו</w:t>
      </w:r>
      <w:r>
        <w:rPr>
          <w:rFonts w:ascii="David" w:hAnsi="David" w:hint="cs"/>
          <w:color w:val="000000" w:themeColor="text1"/>
          <w:sz w:val="24"/>
          <w:rtl/>
        </w:rPr>
        <w:t>ו</w:t>
      </w:r>
      <w:r w:rsidRPr="00A81964">
        <w:rPr>
          <w:rFonts w:ascii="David" w:hAnsi="David" w:hint="eastAsia"/>
          <w:color w:val="000000" w:themeColor="text1"/>
          <w:sz w:val="24"/>
          <w:rtl/>
        </w:rPr>
        <w:t>עדות</w:t>
      </w:r>
      <w:r w:rsidRPr="00A81964">
        <w:rPr>
          <w:rFonts w:ascii="David" w:hAnsi="David"/>
          <w:color w:val="000000" w:themeColor="text1"/>
          <w:sz w:val="24"/>
          <w:rtl/>
        </w:rPr>
        <w:t xml:space="preserve"> </w:t>
      </w:r>
      <w:r w:rsidRPr="00A81964">
        <w:rPr>
          <w:rFonts w:ascii="David" w:hAnsi="David" w:hint="eastAsia"/>
          <w:color w:val="000000" w:themeColor="text1"/>
          <w:sz w:val="24"/>
          <w:rtl/>
        </w:rPr>
        <w:t>למשרד</w:t>
      </w:r>
      <w:r w:rsidRPr="00A81964">
        <w:rPr>
          <w:rFonts w:ascii="David" w:hAnsi="David"/>
          <w:color w:val="000000" w:themeColor="text1"/>
          <w:sz w:val="24"/>
          <w:rtl/>
        </w:rPr>
        <w:t xml:space="preserve"> </w:t>
      </w:r>
      <w:r w:rsidRPr="00A81964">
        <w:rPr>
          <w:rFonts w:ascii="David" w:hAnsi="David" w:hint="eastAsia"/>
          <w:color w:val="000000" w:themeColor="text1"/>
          <w:sz w:val="24"/>
          <w:rtl/>
        </w:rPr>
        <w:t>המשפטים</w:t>
      </w:r>
      <w:r w:rsidRPr="00A81964">
        <w:rPr>
          <w:rFonts w:ascii="David" w:hAnsi="David"/>
          <w:color w:val="000000" w:themeColor="text1"/>
          <w:sz w:val="24"/>
          <w:rtl/>
        </w:rPr>
        <w:t>"</w:t>
      </w:r>
      <w:r w:rsidRPr="00A81964">
        <w:rPr>
          <w:rFonts w:ascii="David" w:hAnsi="David" w:hint="cs"/>
          <w:color w:val="000000" w:themeColor="text1"/>
          <w:sz w:val="24"/>
          <w:rtl/>
        </w:rPr>
        <w:t xml:space="preserve">. המשנה למנהל ביקשה במכתבה לקיים דיון משותף בין רשות המיסים למשרד המשפטים בנושא. </w:t>
      </w:r>
      <w:r w:rsidRPr="002F06CD">
        <w:rPr>
          <w:rFonts w:ascii="David" w:hAnsi="David" w:hint="cs"/>
          <w:sz w:val="24"/>
          <w:rtl/>
        </w:rPr>
        <w:t>במכתב</w:t>
      </w:r>
      <w:r w:rsidRPr="00A81964">
        <w:rPr>
          <w:rFonts w:ascii="David" w:hAnsi="David" w:hint="cs"/>
          <w:color w:val="000000" w:themeColor="text1"/>
          <w:sz w:val="24"/>
          <w:rtl/>
        </w:rPr>
        <w:t xml:space="preserve"> נוסף שכתבה המשנה למנכ"ל משרד המשפטים ביוני 2023 (להלן - המכתב משנת 2023) היא ביקשה שוב לקיים דיון משותף </w:t>
      </w:r>
      <w:r w:rsidRPr="00A81964">
        <w:rPr>
          <w:rFonts w:ascii="David" w:hAnsi="David" w:hint="cs"/>
          <w:sz w:val="24"/>
          <w:rtl/>
        </w:rPr>
        <w:t xml:space="preserve">"ולפעול על מנת להניע את המתווה עליו שוחחנו - האפשרות להעברת תפעול הוועדות </w:t>
      </w:r>
      <w:r w:rsidRPr="00A81964">
        <w:rPr>
          <w:rFonts w:ascii="David" w:hAnsi="David" w:hint="cs"/>
          <w:sz w:val="24"/>
          <w:rtl/>
        </w:rPr>
        <w:lastRenderedPageBreak/>
        <w:t>למשרד המשפטים לוועדת הערערים שהוקמה לצורך טיפול במענקי הקורונה [ועדת הערר של משרד המשפטים]</w:t>
      </w:r>
      <w:r w:rsidRPr="00A81964">
        <w:rPr>
          <w:rFonts w:ascii="David" w:hAnsi="David" w:hint="cs"/>
          <w:color w:val="000000" w:themeColor="text1"/>
          <w:sz w:val="24"/>
          <w:rtl/>
        </w:rPr>
        <w:t>".</w:t>
      </w:r>
    </w:p>
    <w:p w:rsidR="006252C4" w:rsidRPr="00A81964" w:rsidRDefault="006252C4" w:rsidP="006252C4">
      <w:pPr>
        <w:spacing w:line="269" w:lineRule="auto"/>
        <w:rPr>
          <w:rFonts w:ascii="David" w:hAnsi="David"/>
          <w:color w:val="000000" w:themeColor="text1"/>
          <w:sz w:val="24"/>
          <w:rtl/>
        </w:rPr>
      </w:pPr>
    </w:p>
    <w:p w:rsidR="006252C4" w:rsidRDefault="006252C4" w:rsidP="006252C4">
      <w:pPr>
        <w:pStyle w:val="a8"/>
        <w:spacing w:line="269" w:lineRule="auto"/>
        <w:rPr>
          <w:rtl/>
        </w:rPr>
      </w:pPr>
    </w:p>
    <w:p w:rsidR="006252C4" w:rsidRDefault="006252C4" w:rsidP="006252C4">
      <w:pPr>
        <w:spacing w:line="269" w:lineRule="auto"/>
        <w:rPr>
          <w:rFonts w:ascii="David" w:hAnsi="David"/>
          <w:color w:val="000000" w:themeColor="text1"/>
          <w:sz w:val="24"/>
          <w:rtl/>
        </w:rPr>
      </w:pPr>
      <w:r w:rsidRPr="00A81964">
        <w:rPr>
          <w:rFonts w:ascii="David" w:hAnsi="David" w:hint="cs"/>
          <w:color w:val="000000" w:themeColor="text1"/>
          <w:sz w:val="24"/>
          <w:rtl/>
        </w:rPr>
        <w:t xml:space="preserve">במכתב שכתבו יושבי הראש של ועדת הערר של קרן הפיצויים לשר המשפטים דאז מיוני 2020 (להלן </w:t>
      </w:r>
      <w:r>
        <w:rPr>
          <w:rFonts w:ascii="David" w:hAnsi="David" w:hint="cs"/>
          <w:color w:val="000000" w:themeColor="text1"/>
          <w:sz w:val="24"/>
          <w:rtl/>
        </w:rPr>
        <w:t>-</w:t>
      </w:r>
      <w:r w:rsidRPr="00A81964">
        <w:rPr>
          <w:rFonts w:ascii="David" w:hAnsi="David" w:hint="cs"/>
          <w:color w:val="000000" w:themeColor="text1"/>
          <w:sz w:val="24"/>
          <w:rtl/>
        </w:rPr>
        <w:t xml:space="preserve"> מכתב יושבי הראש של ועדת ערר) צוין בין היתר כי "הוועדה נשענת כל כולה על גורמי מס רכוש וקרן הפיצויים</w:t>
      </w:r>
      <w:r>
        <w:rPr>
          <w:rFonts w:ascii="David" w:hAnsi="David" w:hint="cs"/>
          <w:color w:val="000000" w:themeColor="text1"/>
          <w:sz w:val="24"/>
          <w:rtl/>
        </w:rPr>
        <w:t xml:space="preserve"> -</w:t>
      </w:r>
      <w:r w:rsidRPr="00A81964">
        <w:rPr>
          <w:rFonts w:ascii="David" w:hAnsi="David" w:hint="cs"/>
          <w:color w:val="000000" w:themeColor="text1"/>
          <w:sz w:val="24"/>
          <w:rtl/>
        </w:rPr>
        <w:t xml:space="preserve"> הם הגופים ששיקול דעתם נבחן בידי ועדת הערר בעררים השונים. כך, למשל</w:t>
      </w:r>
      <w:r>
        <w:rPr>
          <w:rFonts w:ascii="David" w:hAnsi="David" w:hint="cs"/>
          <w:color w:val="000000" w:themeColor="text1"/>
          <w:sz w:val="24"/>
          <w:rtl/>
        </w:rPr>
        <w:t xml:space="preserve"> -</w:t>
      </w:r>
      <w:r w:rsidRPr="00A81964">
        <w:rPr>
          <w:rFonts w:ascii="David" w:hAnsi="David" w:hint="cs"/>
          <w:color w:val="000000" w:themeColor="text1"/>
          <w:sz w:val="24"/>
          <w:rtl/>
        </w:rPr>
        <w:t xml:space="preserve"> את אישור התשלום לחברי הוועדה נותן מנהל קרן הפיצויים שהוא ואנשיו הינם הגורמים הטוענים ומעידים לעיתים מזומנות בפני הוועדה ושיקול דעתם נבחן על ידה, הוא גם מעסיק ומממן את מרכזת הוועדה שקובעת את סדרי הדיון... יש כאן מצב בלתי מתקבל על הדעת של ניגוד עניינים ותלות פוטנציאלית בגורם ששיקול דעתו והחלטותיו נדונים בפני הוועדה. ספק אם מציאות כזאת הייתה עוברת את מבחן בית המשפט אילו נחשפה בפניו"</w:t>
      </w:r>
    </w:p>
    <w:p w:rsidR="006252C4" w:rsidRDefault="006252C4" w:rsidP="006252C4">
      <w:pPr>
        <w:pStyle w:val="a8"/>
        <w:spacing w:line="269" w:lineRule="auto"/>
        <w:rPr>
          <w:rtl/>
        </w:rPr>
      </w:pPr>
    </w:p>
    <w:p w:rsidR="006252C4" w:rsidRPr="00541567" w:rsidRDefault="006252C4" w:rsidP="006252C4">
      <w:pPr>
        <w:spacing w:line="269" w:lineRule="auto"/>
        <w:rPr>
          <w:rFonts w:ascii="David" w:hAnsi="David"/>
          <w:color w:val="000000" w:themeColor="text1"/>
          <w:sz w:val="24"/>
        </w:rPr>
      </w:pPr>
      <w:r w:rsidRPr="00541567">
        <w:rPr>
          <w:rFonts w:ascii="David" w:hAnsi="David" w:hint="eastAsia"/>
          <w:color w:val="000000" w:themeColor="text1"/>
          <w:sz w:val="24"/>
          <w:rtl/>
        </w:rPr>
        <w:t>משרד</w:t>
      </w:r>
      <w:r w:rsidRPr="00541567">
        <w:rPr>
          <w:rFonts w:ascii="David" w:hAnsi="David"/>
          <w:color w:val="000000" w:themeColor="text1"/>
          <w:sz w:val="24"/>
          <w:rtl/>
        </w:rPr>
        <w:t xml:space="preserve"> </w:t>
      </w:r>
      <w:r w:rsidRPr="00541567">
        <w:rPr>
          <w:rFonts w:ascii="David" w:hAnsi="David" w:hint="eastAsia"/>
          <w:color w:val="000000" w:themeColor="text1"/>
          <w:sz w:val="24"/>
          <w:rtl/>
        </w:rPr>
        <w:t>המשפטים</w:t>
      </w:r>
      <w:r w:rsidRPr="00541567">
        <w:rPr>
          <w:rFonts w:ascii="David" w:hAnsi="David"/>
          <w:color w:val="000000" w:themeColor="text1"/>
          <w:sz w:val="24"/>
          <w:rtl/>
        </w:rPr>
        <w:t xml:space="preserve"> </w:t>
      </w:r>
      <w:r w:rsidRPr="00541567">
        <w:rPr>
          <w:rFonts w:ascii="David" w:hAnsi="David" w:hint="eastAsia"/>
          <w:color w:val="000000" w:themeColor="text1"/>
          <w:sz w:val="24"/>
          <w:rtl/>
        </w:rPr>
        <w:t>מסר</w:t>
      </w:r>
      <w:r w:rsidRPr="00541567">
        <w:rPr>
          <w:rFonts w:ascii="David" w:hAnsi="David"/>
          <w:color w:val="000000" w:themeColor="text1"/>
          <w:sz w:val="24"/>
          <w:rtl/>
        </w:rPr>
        <w:t xml:space="preserve"> </w:t>
      </w:r>
      <w:r w:rsidRPr="00541567">
        <w:rPr>
          <w:rFonts w:ascii="David" w:hAnsi="David" w:hint="eastAsia"/>
          <w:color w:val="000000" w:themeColor="text1"/>
          <w:sz w:val="24"/>
          <w:rtl/>
        </w:rPr>
        <w:t>בתשובת</w:t>
      </w:r>
      <w:r>
        <w:rPr>
          <w:rFonts w:ascii="David" w:hAnsi="David" w:hint="cs"/>
          <w:color w:val="000000" w:themeColor="text1"/>
          <w:sz w:val="24"/>
          <w:rtl/>
        </w:rPr>
        <w:t>ו</w:t>
      </w:r>
      <w:r w:rsidRPr="00541567">
        <w:rPr>
          <w:rFonts w:ascii="David" w:hAnsi="David"/>
          <w:color w:val="000000" w:themeColor="text1"/>
          <w:sz w:val="24"/>
          <w:rtl/>
        </w:rPr>
        <w:t xml:space="preserve"> מ</w:t>
      </w:r>
      <w:r w:rsidRPr="00541567">
        <w:rPr>
          <w:rFonts w:ascii="David" w:hAnsi="David" w:hint="eastAsia"/>
          <w:color w:val="000000" w:themeColor="text1"/>
          <w:sz w:val="24"/>
          <w:rtl/>
        </w:rPr>
        <w:t>יום</w:t>
      </w:r>
      <w:r>
        <w:rPr>
          <w:rFonts w:ascii="David" w:hAnsi="David" w:hint="cs"/>
          <w:color w:val="000000" w:themeColor="text1"/>
          <w:sz w:val="24"/>
        </w:rPr>
        <w:t xml:space="preserve"> </w:t>
      </w:r>
      <w:r>
        <w:rPr>
          <w:rFonts w:ascii="David" w:hAnsi="David" w:hint="cs"/>
          <w:color w:val="000000" w:themeColor="text1"/>
          <w:sz w:val="24"/>
          <w:rtl/>
        </w:rPr>
        <w:t>3.8.25</w:t>
      </w:r>
      <w:r w:rsidRPr="00541567">
        <w:rPr>
          <w:rFonts w:ascii="David" w:hAnsi="David"/>
          <w:color w:val="000000" w:themeColor="text1"/>
          <w:sz w:val="24"/>
          <w:rtl/>
        </w:rPr>
        <w:t xml:space="preserve"> (להלן - תשובת </w:t>
      </w:r>
      <w:r w:rsidRPr="00541567">
        <w:rPr>
          <w:rFonts w:ascii="David" w:hAnsi="David" w:hint="eastAsia"/>
          <w:color w:val="000000" w:themeColor="text1"/>
          <w:sz w:val="24"/>
          <w:rtl/>
        </w:rPr>
        <w:t>משרד</w:t>
      </w:r>
      <w:r w:rsidRPr="00541567">
        <w:rPr>
          <w:rFonts w:ascii="David" w:hAnsi="David"/>
          <w:color w:val="000000" w:themeColor="text1"/>
          <w:sz w:val="24"/>
          <w:rtl/>
        </w:rPr>
        <w:t xml:space="preserve"> </w:t>
      </w:r>
      <w:r w:rsidRPr="00541567">
        <w:rPr>
          <w:rFonts w:ascii="David" w:hAnsi="David" w:hint="eastAsia"/>
          <w:color w:val="000000" w:themeColor="text1"/>
          <w:sz w:val="24"/>
          <w:rtl/>
        </w:rPr>
        <w:t>המשפטים</w:t>
      </w:r>
      <w:r w:rsidRPr="00541567">
        <w:rPr>
          <w:rFonts w:ascii="David" w:hAnsi="David"/>
          <w:color w:val="000000" w:themeColor="text1"/>
          <w:sz w:val="24"/>
          <w:rtl/>
        </w:rPr>
        <w:t>) כי מצב זה "אינו ייחודי או חריג בספר החוקים של מדינת ישראל שכן כאמור בתי דין מינהליים שונים ורבים פועלים תחת הרשות המבצעת</w:t>
      </w:r>
      <w:r w:rsidRPr="00AC57F1">
        <w:rPr>
          <w:rFonts w:ascii="David" w:hAnsi="David" w:hint="cs"/>
          <w:color w:val="000000" w:themeColor="text1"/>
          <w:sz w:val="24"/>
          <w:rtl/>
        </w:rPr>
        <w:t>...</w:t>
      </w:r>
      <w:r w:rsidRPr="00541567">
        <w:rPr>
          <w:rFonts w:ascii="David" w:hAnsi="David"/>
          <w:sz w:val="24"/>
          <w:rtl/>
        </w:rPr>
        <w:t xml:space="preserve"> ובכפוף לכך שעיקרון אי-התלות, הקבוע בסעיף 2 לחוק-יסוד: השפיטה ובסעיף 3 לחוק בתי דין מינהליים, נשמר הרי שהדברים נעשים כדין</w:t>
      </w:r>
      <w:r w:rsidRPr="00AC57F1">
        <w:rPr>
          <w:rFonts w:ascii="David" w:hAnsi="David"/>
          <w:color w:val="000000" w:themeColor="text1"/>
          <w:sz w:val="24"/>
          <w:rtl/>
        </w:rPr>
        <w:t xml:space="preserve"> </w:t>
      </w:r>
      <w:r w:rsidRPr="00541567">
        <w:rPr>
          <w:rFonts w:ascii="David" w:hAnsi="David"/>
          <w:color w:val="000000" w:themeColor="text1"/>
          <w:sz w:val="24"/>
          <w:rtl/>
        </w:rPr>
        <w:t>".</w:t>
      </w:r>
    </w:p>
    <w:p w:rsidR="006252C4" w:rsidRDefault="006252C4" w:rsidP="006252C4">
      <w:pPr>
        <w:pStyle w:val="a8"/>
        <w:spacing w:line="269" w:lineRule="auto"/>
        <w:rPr>
          <w:rtl/>
        </w:rPr>
      </w:pPr>
    </w:p>
    <w:p w:rsidR="006252C4" w:rsidRDefault="006252C4" w:rsidP="006252C4">
      <w:pPr>
        <w:spacing w:line="269" w:lineRule="auto"/>
        <w:rPr>
          <w:rFonts w:ascii="David" w:hAnsi="David"/>
          <w:b/>
          <w:bCs/>
          <w:color w:val="000000" w:themeColor="text1"/>
          <w:sz w:val="24"/>
          <w:rtl/>
        </w:rPr>
      </w:pPr>
      <w:r w:rsidRPr="00A81964">
        <w:rPr>
          <w:rFonts w:ascii="David" w:hAnsi="David"/>
          <w:b/>
          <w:bCs/>
          <w:color w:val="000000" w:themeColor="text1"/>
          <w:sz w:val="24"/>
          <w:rtl/>
        </w:rPr>
        <w:t>הועלה כי אף שקרן הפיצויים היא צד להליך הערעור</w:t>
      </w:r>
      <w:r w:rsidRPr="00A81964">
        <w:rPr>
          <w:rFonts w:ascii="David" w:hAnsi="David" w:hint="cs"/>
          <w:b/>
          <w:bCs/>
          <w:color w:val="000000" w:themeColor="text1"/>
          <w:sz w:val="24"/>
          <w:rtl/>
        </w:rPr>
        <w:t xml:space="preserve"> </w:t>
      </w:r>
      <w:r w:rsidRPr="00A81964">
        <w:rPr>
          <w:rFonts w:ascii="David" w:hAnsi="David" w:hint="eastAsia"/>
          <w:b/>
          <w:bCs/>
          <w:color w:val="000000" w:themeColor="text1"/>
          <w:sz w:val="24"/>
          <w:rtl/>
        </w:rPr>
        <w:t>ואת</w:t>
      </w:r>
      <w:r w:rsidRPr="00A81964">
        <w:rPr>
          <w:rFonts w:ascii="David" w:hAnsi="David"/>
          <w:b/>
          <w:bCs/>
          <w:color w:val="000000" w:themeColor="text1"/>
          <w:sz w:val="24"/>
          <w:rtl/>
        </w:rPr>
        <w:t xml:space="preserve"> אישור התשלום לחברי הוועדה מאשרת קרן הפיצויים, אשר שיקול דעתה </w:t>
      </w:r>
      <w:r w:rsidRPr="00A81964">
        <w:rPr>
          <w:rFonts w:ascii="David" w:hAnsi="David" w:hint="eastAsia"/>
          <w:b/>
          <w:bCs/>
          <w:color w:val="000000" w:themeColor="text1"/>
          <w:sz w:val="24"/>
          <w:rtl/>
        </w:rPr>
        <w:t>נבחן</w:t>
      </w:r>
      <w:r w:rsidRPr="00A81964">
        <w:rPr>
          <w:rFonts w:ascii="David" w:hAnsi="David"/>
          <w:b/>
          <w:bCs/>
          <w:color w:val="000000" w:themeColor="text1"/>
          <w:sz w:val="24"/>
          <w:rtl/>
        </w:rPr>
        <w:t xml:space="preserve"> על ידי הוועדה,</w:t>
      </w:r>
      <w:r>
        <w:rPr>
          <w:rFonts w:ascii="David" w:hAnsi="David"/>
          <w:b/>
          <w:bCs/>
          <w:color w:val="000000" w:themeColor="text1"/>
          <w:sz w:val="24"/>
          <w:rtl/>
        </w:rPr>
        <w:t xml:space="preserve"> </w:t>
      </w:r>
      <w:r w:rsidRPr="00A81964">
        <w:rPr>
          <w:rFonts w:ascii="David" w:hAnsi="David" w:hint="cs"/>
          <w:b/>
          <w:bCs/>
          <w:color w:val="000000" w:themeColor="text1"/>
          <w:sz w:val="24"/>
          <w:rtl/>
        </w:rPr>
        <w:t xml:space="preserve">ואף שהמשנה למנהל רשות המיסים כתבה כבר בשנת 2021 כי </w:t>
      </w:r>
      <w:r w:rsidRPr="00A81964">
        <w:rPr>
          <w:rFonts w:ascii="David" w:hAnsi="David"/>
          <w:b/>
          <w:bCs/>
          <w:color w:val="000000" w:themeColor="text1"/>
          <w:sz w:val="24"/>
          <w:rtl/>
        </w:rPr>
        <w:t>תפעול ועדות הערר של קרן הפיצויים על ידי עובדי הקרן "עלול ליצור מראית עין של ניגוד עניינים</w:t>
      </w:r>
      <w:r w:rsidRPr="00A81964">
        <w:rPr>
          <w:rFonts w:ascii="David" w:hAnsi="David" w:hint="cs"/>
          <w:b/>
          <w:bCs/>
          <w:color w:val="000000" w:themeColor="text1"/>
          <w:sz w:val="24"/>
          <w:rtl/>
        </w:rPr>
        <w:t xml:space="preserve">" </w:t>
      </w:r>
      <w:r w:rsidRPr="00A81964">
        <w:rPr>
          <w:rFonts w:ascii="David" w:hAnsi="David" w:hint="eastAsia"/>
          <w:b/>
          <w:bCs/>
          <w:color w:val="000000" w:themeColor="text1"/>
          <w:sz w:val="24"/>
          <w:rtl/>
        </w:rPr>
        <w:t>וכי</w:t>
      </w:r>
      <w:r w:rsidRPr="00A81964">
        <w:rPr>
          <w:rFonts w:ascii="David" w:hAnsi="David" w:hint="cs"/>
          <w:b/>
          <w:bCs/>
          <w:color w:val="000000" w:themeColor="text1"/>
          <w:sz w:val="24"/>
          <w:rtl/>
        </w:rPr>
        <w:t xml:space="preserve"> </w:t>
      </w:r>
      <w:r w:rsidRPr="00A81964">
        <w:rPr>
          <w:rFonts w:ascii="David" w:hAnsi="David"/>
          <w:b/>
          <w:bCs/>
          <w:color w:val="000000" w:themeColor="text1"/>
          <w:sz w:val="24"/>
          <w:rtl/>
        </w:rPr>
        <w:t>יש להעביר את האחריות המלאה לניהול ה</w:t>
      </w:r>
      <w:r>
        <w:rPr>
          <w:rFonts w:ascii="David" w:hAnsi="David" w:hint="cs"/>
          <w:b/>
          <w:bCs/>
          <w:color w:val="000000" w:themeColor="text1"/>
          <w:sz w:val="24"/>
          <w:rtl/>
        </w:rPr>
        <w:t>ו</w:t>
      </w:r>
      <w:r w:rsidRPr="00A81964">
        <w:rPr>
          <w:rFonts w:ascii="David" w:hAnsi="David"/>
          <w:b/>
          <w:bCs/>
          <w:color w:val="000000" w:themeColor="text1"/>
          <w:sz w:val="24"/>
          <w:rtl/>
        </w:rPr>
        <w:t>ועדות למשרד המשפטים, התפעול המ</w:t>
      </w:r>
      <w:r>
        <w:rPr>
          <w:rFonts w:ascii="David" w:hAnsi="David" w:hint="cs"/>
          <w:b/>
          <w:bCs/>
          <w:color w:val="000000" w:themeColor="text1"/>
          <w:sz w:val="24"/>
          <w:rtl/>
        </w:rPr>
        <w:t>י</w:t>
      </w:r>
      <w:r w:rsidRPr="00A81964">
        <w:rPr>
          <w:rFonts w:ascii="David" w:hAnsi="David"/>
          <w:b/>
          <w:bCs/>
          <w:color w:val="000000" w:themeColor="text1"/>
          <w:sz w:val="24"/>
          <w:rtl/>
        </w:rPr>
        <w:t>נהלי של ועדות הערר של הקרן מבוצע על ידי עובדיה.</w:t>
      </w:r>
      <w:r w:rsidRPr="00A81964">
        <w:rPr>
          <w:rtl/>
        </w:rPr>
        <w:t xml:space="preserve"> </w:t>
      </w:r>
      <w:r w:rsidRPr="00A81964">
        <w:rPr>
          <w:rFonts w:ascii="David" w:hAnsi="David"/>
          <w:b/>
          <w:bCs/>
          <w:color w:val="000000" w:themeColor="text1"/>
          <w:sz w:val="24"/>
          <w:rtl/>
        </w:rPr>
        <w:t>כך נוצר מצב של ניגוד עניינים מובנה העלול להשפיע על אופן ניהול הוועדות ועל החלטתן.</w:t>
      </w:r>
    </w:p>
    <w:p w:rsidR="006252C4" w:rsidRPr="00A81964" w:rsidRDefault="006252C4" w:rsidP="006252C4">
      <w:pPr>
        <w:spacing w:line="269" w:lineRule="auto"/>
        <w:rPr>
          <w:rtl/>
        </w:rPr>
      </w:pPr>
    </w:p>
    <w:p w:rsidR="006252C4" w:rsidRPr="00A81964" w:rsidRDefault="006252C4" w:rsidP="006252C4">
      <w:pPr>
        <w:pStyle w:val="4"/>
        <w:spacing w:before="0" w:line="269" w:lineRule="auto"/>
        <w:rPr>
          <w:rtl/>
        </w:rPr>
      </w:pPr>
      <w:r w:rsidRPr="00A81964">
        <w:rPr>
          <w:rFonts w:hint="cs"/>
          <w:rtl/>
        </w:rPr>
        <w:t>פעילות ועדות הערר</w:t>
      </w:r>
    </w:p>
    <w:p w:rsidR="006252C4" w:rsidRDefault="006252C4" w:rsidP="006252C4">
      <w:pPr>
        <w:pStyle w:val="a8"/>
        <w:spacing w:line="269" w:lineRule="auto"/>
        <w:rPr>
          <w:rtl/>
        </w:rPr>
      </w:pPr>
    </w:p>
    <w:p w:rsidR="006252C4" w:rsidRPr="00A81964" w:rsidRDefault="006252C4" w:rsidP="006252C4">
      <w:pPr>
        <w:spacing w:line="269" w:lineRule="auto"/>
        <w:rPr>
          <w:rFonts w:ascii="David" w:hAnsi="David"/>
          <w:color w:val="000000" w:themeColor="text1"/>
          <w:sz w:val="24"/>
          <w:rtl/>
        </w:rPr>
      </w:pPr>
      <w:r w:rsidRPr="00A81964">
        <w:rPr>
          <w:rFonts w:ascii="David" w:hAnsi="David" w:hint="cs"/>
          <w:color w:val="000000" w:themeColor="text1"/>
          <w:sz w:val="24"/>
          <w:rtl/>
        </w:rPr>
        <w:t xml:space="preserve">לפי </w:t>
      </w:r>
      <w:r w:rsidRPr="002F06CD">
        <w:rPr>
          <w:rFonts w:ascii="David" w:hAnsi="David" w:hint="cs"/>
          <w:sz w:val="24"/>
          <w:rtl/>
        </w:rPr>
        <w:t>נתוני רשות המיסים</w:t>
      </w:r>
      <w:r w:rsidRPr="00A81964">
        <w:rPr>
          <w:rFonts w:ascii="David" w:hAnsi="David" w:hint="cs"/>
          <w:color w:val="000000" w:themeColor="text1"/>
          <w:sz w:val="24"/>
          <w:rtl/>
        </w:rPr>
        <w:t>, מינואר 2014 ועד דצמבר 2024 הוגשו לוועדות הערר של קרן הפיצויים 2,668 עררים, כלומר, כ-244 עררים בשנה בממוצע. ב-1,837 עררים הסתיים הטיפול ו-</w:t>
      </w:r>
      <w:r w:rsidRPr="00A81964">
        <w:rPr>
          <w:rFonts w:ascii="David" w:hAnsi="David"/>
          <w:color w:val="000000" w:themeColor="text1"/>
          <w:sz w:val="24"/>
          <w:rtl/>
        </w:rPr>
        <w:t>240 בוטלו</w:t>
      </w:r>
      <w:r w:rsidRPr="00A81964">
        <w:rPr>
          <w:rFonts w:ascii="David" w:hAnsi="David" w:hint="cs"/>
          <w:color w:val="000000" w:themeColor="text1"/>
          <w:sz w:val="24"/>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ascii="David" w:hAnsi="David" w:hint="cs"/>
          <w:color w:val="000000" w:themeColor="text1"/>
          <w:sz w:val="24"/>
          <w:rtl/>
        </w:rPr>
        <w:t xml:space="preserve">להלן </w:t>
      </w:r>
      <w:r w:rsidRPr="00A81964">
        <w:rPr>
          <w:rFonts w:hint="cs"/>
          <w:rtl/>
        </w:rPr>
        <w:t>בתרשים 22 מוצגת התפלגות העררים שהוגשו לוועדות הערר של קרן הפיצויים לפי סטטוס הטיפול בהם.</w:t>
      </w:r>
    </w:p>
    <w:p w:rsidR="006252C4" w:rsidRDefault="006252C4" w:rsidP="006252C4">
      <w:pPr>
        <w:spacing w:line="269" w:lineRule="auto"/>
        <w:jc w:val="center"/>
        <w:rPr>
          <w:rtl/>
        </w:rPr>
      </w:pPr>
    </w:p>
    <w:p w:rsidR="006252C4" w:rsidRPr="00A81964" w:rsidRDefault="006252C4" w:rsidP="006252C4">
      <w:pPr>
        <w:keepNext/>
        <w:keepLines/>
        <w:spacing w:line="269" w:lineRule="auto"/>
        <w:jc w:val="center"/>
        <w:rPr>
          <w:b/>
          <w:bCs/>
          <w:rtl/>
        </w:rPr>
      </w:pPr>
      <w:r w:rsidRPr="00A81964">
        <w:rPr>
          <w:rFonts w:hint="eastAsia"/>
          <w:rtl/>
        </w:rPr>
        <w:lastRenderedPageBreak/>
        <w:t>תרשים</w:t>
      </w:r>
      <w:r w:rsidRPr="00A81964">
        <w:rPr>
          <w:rtl/>
        </w:rPr>
        <w:t xml:space="preserve"> 22:</w:t>
      </w:r>
      <w:r w:rsidRPr="00A81964">
        <w:rPr>
          <w:b/>
          <w:bCs/>
          <w:rtl/>
        </w:rPr>
        <w:t xml:space="preserve"> התפלגות העררים שהוגשו לוועדות הערר של קרן הפיצויים לפי סטטוס הטיפול</w:t>
      </w:r>
      <w:r w:rsidRPr="00A81964">
        <w:rPr>
          <w:rStyle w:val="af2"/>
          <w:b/>
          <w:bCs/>
          <w:rtl/>
        </w:rPr>
        <w:footnoteReference w:id="115"/>
      </w:r>
      <w:r w:rsidRPr="00A81964">
        <w:rPr>
          <w:b/>
          <w:bCs/>
          <w:rtl/>
        </w:rPr>
        <w:t xml:space="preserve"> בהם, </w:t>
      </w:r>
      <w:r w:rsidRPr="00A81964">
        <w:rPr>
          <w:rFonts w:hint="eastAsia"/>
          <w:b/>
          <w:bCs/>
          <w:rtl/>
        </w:rPr>
        <w:t>נכון</w:t>
      </w:r>
      <w:r w:rsidRPr="00A81964">
        <w:rPr>
          <w:b/>
          <w:bCs/>
          <w:rtl/>
        </w:rPr>
        <w:t xml:space="preserve"> </w:t>
      </w:r>
      <w:r w:rsidRPr="00A81964">
        <w:rPr>
          <w:rFonts w:hint="eastAsia"/>
          <w:b/>
          <w:bCs/>
          <w:rtl/>
        </w:rPr>
        <w:t>לדצמבר</w:t>
      </w:r>
      <w:r w:rsidRPr="00A81964">
        <w:rPr>
          <w:b/>
          <w:bCs/>
          <w:rtl/>
        </w:rPr>
        <w:t xml:space="preserve"> 2024</w:t>
      </w:r>
    </w:p>
    <w:p w:rsidR="006252C4" w:rsidRPr="00A81964" w:rsidRDefault="006252C4" w:rsidP="006252C4">
      <w:pPr>
        <w:spacing w:line="269" w:lineRule="auto"/>
        <w:jc w:val="center"/>
        <w:rPr>
          <w:sz w:val="16"/>
          <w:szCs w:val="20"/>
        </w:rPr>
      </w:pPr>
      <w:r>
        <w:rPr>
          <w:noProof/>
        </w:rPr>
        <w:drawing>
          <wp:inline distT="0" distB="0" distL="0" distR="0" wp14:anchorId="3F7276E5" wp14:editId="2548098F">
            <wp:extent cx="3782321" cy="2089150"/>
            <wp:effectExtent l="0" t="0" r="8890" b="6350"/>
            <wp:docPr id="40" name="תמונה 4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4312" cy="2106820"/>
                    </a:xfrm>
                    <a:prstGeom prst="rect">
                      <a:avLst/>
                    </a:prstGeom>
                    <a:noFill/>
                    <a:ln>
                      <a:noFill/>
                    </a:ln>
                  </pic:spPr>
                </pic:pic>
              </a:graphicData>
            </a:graphic>
          </wp:inline>
        </w:drawing>
      </w:r>
    </w:p>
    <w:p w:rsidR="006252C4" w:rsidRPr="00A81964" w:rsidRDefault="006252C4" w:rsidP="006252C4">
      <w:pPr>
        <w:spacing w:line="269" w:lineRule="auto"/>
        <w:rPr>
          <w:sz w:val="16"/>
          <w:szCs w:val="20"/>
          <w:rtl/>
        </w:rPr>
      </w:pPr>
      <w:r w:rsidRPr="00A81964">
        <w:rPr>
          <w:rFonts w:hint="cs"/>
          <w:sz w:val="16"/>
          <w:szCs w:val="20"/>
          <w:rtl/>
        </w:rPr>
        <w:t xml:space="preserve">על פי נתוני </w:t>
      </w:r>
      <w:r w:rsidRPr="002F06CD">
        <w:rPr>
          <w:rFonts w:hint="eastAsia"/>
          <w:sz w:val="16"/>
          <w:szCs w:val="20"/>
          <w:rtl/>
        </w:rPr>
        <w:t>רשות</w:t>
      </w:r>
      <w:r w:rsidRPr="002F06CD">
        <w:rPr>
          <w:rFonts w:hint="cs"/>
          <w:sz w:val="16"/>
          <w:szCs w:val="20"/>
          <w:rtl/>
        </w:rPr>
        <w:t xml:space="preserve"> המיסים, בעיבוד משרד מבקר המדינה</w:t>
      </w:r>
      <w:r w:rsidRPr="009A79BA">
        <w:rPr>
          <w:rFonts w:hint="cs"/>
          <w:rtl/>
        </w:rPr>
        <w:t>.</w:t>
      </w:r>
    </w:p>
    <w:p w:rsidR="006252C4" w:rsidRPr="009A79BA" w:rsidRDefault="006252C4" w:rsidP="006252C4">
      <w:pPr>
        <w:spacing w:line="269" w:lineRule="auto"/>
        <w:rPr>
          <w:sz w:val="16"/>
          <w:szCs w:val="20"/>
          <w:rtl/>
        </w:rPr>
      </w:pPr>
    </w:p>
    <w:p w:rsidR="006252C4" w:rsidRPr="00A81964" w:rsidRDefault="006252C4" w:rsidP="006252C4">
      <w:pPr>
        <w:spacing w:line="269" w:lineRule="auto"/>
        <w:rPr>
          <w:rtl/>
        </w:rPr>
      </w:pPr>
      <w:r w:rsidRPr="00A81964">
        <w:rPr>
          <w:rFonts w:ascii="David" w:hAnsi="David" w:hint="cs"/>
          <w:color w:val="000000" w:themeColor="text1"/>
          <w:sz w:val="24"/>
          <w:rtl/>
        </w:rPr>
        <w:t xml:space="preserve">לפי נתוני משרד המשפטים, מנובמבר 2020 ועד ספטמבר 2024 הוגשו לוועדות הערר של משרד המשפטים 4,554 עררים, כלומר כ-1,188 עררים בשנה בממוצע. ב-4,414 מתוכם הטיפול הסתיים. להלן </w:t>
      </w:r>
      <w:r w:rsidRPr="00A81964">
        <w:rPr>
          <w:rFonts w:hint="cs"/>
          <w:rtl/>
        </w:rPr>
        <w:t>בתרשים 23 התפלגות העררים שהוגשו לוועדות הערר של משרד המשפטים לפי סטטוס הטיפול בהם.</w:t>
      </w:r>
    </w:p>
    <w:p w:rsidR="006252C4" w:rsidRPr="00A81964" w:rsidRDefault="006252C4" w:rsidP="006252C4">
      <w:pPr>
        <w:spacing w:line="269" w:lineRule="auto"/>
        <w:rPr>
          <w:rtl/>
        </w:rPr>
      </w:pPr>
    </w:p>
    <w:p w:rsidR="006252C4" w:rsidRPr="00A81964" w:rsidRDefault="006252C4" w:rsidP="006252C4">
      <w:pPr>
        <w:keepNext/>
        <w:keepLines/>
        <w:spacing w:line="269" w:lineRule="auto"/>
        <w:jc w:val="center"/>
        <w:rPr>
          <w:b/>
          <w:bCs/>
          <w:rtl/>
        </w:rPr>
      </w:pPr>
      <w:r w:rsidRPr="00A81964">
        <w:rPr>
          <w:rFonts w:hint="eastAsia"/>
          <w:rtl/>
        </w:rPr>
        <w:t>תרשים</w:t>
      </w:r>
      <w:r w:rsidRPr="00A81964">
        <w:rPr>
          <w:rtl/>
        </w:rPr>
        <w:t xml:space="preserve"> 23:</w:t>
      </w:r>
      <w:r w:rsidRPr="00A81964">
        <w:rPr>
          <w:b/>
          <w:bCs/>
          <w:rtl/>
        </w:rPr>
        <w:t xml:space="preserve"> התפלגות העררים שהוגשו לוועדות הערר של </w:t>
      </w:r>
      <w:r w:rsidRPr="00A81964">
        <w:rPr>
          <w:rFonts w:hint="eastAsia"/>
          <w:b/>
          <w:bCs/>
          <w:rtl/>
        </w:rPr>
        <w:t>משרד</w:t>
      </w:r>
      <w:r w:rsidRPr="00A81964">
        <w:rPr>
          <w:b/>
          <w:bCs/>
          <w:rtl/>
        </w:rPr>
        <w:t xml:space="preserve"> </w:t>
      </w:r>
      <w:r w:rsidRPr="00A81964">
        <w:rPr>
          <w:rFonts w:hint="eastAsia"/>
          <w:b/>
          <w:bCs/>
          <w:rtl/>
        </w:rPr>
        <w:t>המשפטים</w:t>
      </w:r>
      <w:r w:rsidRPr="00A81964">
        <w:rPr>
          <w:rFonts w:hint="cs"/>
          <w:b/>
          <w:bCs/>
          <w:rtl/>
        </w:rPr>
        <w:t>,</w:t>
      </w:r>
      <w:r w:rsidRPr="00A81964">
        <w:rPr>
          <w:b/>
          <w:bCs/>
          <w:rtl/>
        </w:rPr>
        <w:t xml:space="preserve"> לפי סטטוס הטיפול בהם, </w:t>
      </w:r>
      <w:r w:rsidRPr="00A81964">
        <w:rPr>
          <w:rFonts w:hint="eastAsia"/>
          <w:b/>
          <w:bCs/>
          <w:rtl/>
        </w:rPr>
        <w:t>נכון</w:t>
      </w:r>
      <w:r w:rsidRPr="00A81964">
        <w:rPr>
          <w:b/>
          <w:bCs/>
          <w:rtl/>
        </w:rPr>
        <w:t xml:space="preserve"> </w:t>
      </w:r>
      <w:r w:rsidRPr="00A81964">
        <w:rPr>
          <w:rFonts w:hint="eastAsia"/>
          <w:b/>
          <w:bCs/>
          <w:rtl/>
        </w:rPr>
        <w:t>לספטמבר</w:t>
      </w:r>
      <w:r w:rsidRPr="00A81964">
        <w:rPr>
          <w:b/>
          <w:bCs/>
          <w:rtl/>
        </w:rPr>
        <w:t xml:space="preserve"> 2024</w:t>
      </w:r>
    </w:p>
    <w:p w:rsidR="006252C4" w:rsidRPr="00A81964" w:rsidRDefault="006252C4" w:rsidP="006252C4">
      <w:pPr>
        <w:spacing w:line="269" w:lineRule="auto"/>
        <w:jc w:val="center"/>
        <w:rPr>
          <w:sz w:val="16"/>
          <w:szCs w:val="20"/>
          <w:rtl/>
        </w:rPr>
      </w:pPr>
      <w:r>
        <w:rPr>
          <w:rFonts w:ascii="Almoni ML v5 AAA" w:hAnsi="Almoni ML v5 AAA" w:cs="Almoni ML v5 AAA"/>
          <w:noProof/>
        </w:rPr>
        <w:drawing>
          <wp:inline distT="0" distB="0" distL="0" distR="0" wp14:anchorId="57A368AC" wp14:editId="32F37164">
            <wp:extent cx="3713506" cy="2213925"/>
            <wp:effectExtent l="0" t="0" r="1270" b="0"/>
            <wp:docPr id="41" name="תמונה 4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6056" cy="2227369"/>
                    </a:xfrm>
                    <a:prstGeom prst="rect">
                      <a:avLst/>
                    </a:prstGeom>
                    <a:noFill/>
                    <a:ln>
                      <a:noFill/>
                    </a:ln>
                  </pic:spPr>
                </pic:pic>
              </a:graphicData>
            </a:graphic>
          </wp:inline>
        </w:drawing>
      </w:r>
    </w:p>
    <w:p w:rsidR="006252C4" w:rsidRDefault="006252C4" w:rsidP="006252C4">
      <w:pPr>
        <w:spacing w:line="269" w:lineRule="auto"/>
        <w:rPr>
          <w:sz w:val="16"/>
          <w:szCs w:val="20"/>
          <w:rtl/>
        </w:rPr>
      </w:pPr>
      <w:r w:rsidRPr="00A81964">
        <w:rPr>
          <w:rFonts w:hint="cs"/>
          <w:sz w:val="16"/>
          <w:szCs w:val="20"/>
          <w:rtl/>
        </w:rPr>
        <w:t>על פי נתוני</w:t>
      </w:r>
      <w:r w:rsidRPr="00A81964">
        <w:rPr>
          <w:sz w:val="16"/>
          <w:szCs w:val="20"/>
          <w:rtl/>
        </w:rPr>
        <w:t xml:space="preserve"> </w:t>
      </w:r>
      <w:r w:rsidRPr="002F06CD">
        <w:rPr>
          <w:rFonts w:hint="cs"/>
          <w:sz w:val="16"/>
          <w:szCs w:val="20"/>
          <w:rtl/>
        </w:rPr>
        <w:t>משרד המשפטים, בעיבוד משרד מבקר המדינה</w:t>
      </w:r>
      <w:r w:rsidRPr="00A81964">
        <w:rPr>
          <w:rFonts w:hint="cs"/>
          <w:sz w:val="16"/>
          <w:szCs w:val="20"/>
          <w:rtl/>
        </w:rPr>
        <w:t>.</w:t>
      </w:r>
    </w:p>
    <w:p w:rsidR="006252C4" w:rsidRPr="00A81964" w:rsidRDefault="006252C4" w:rsidP="006252C4">
      <w:pPr>
        <w:spacing w:line="269" w:lineRule="auto"/>
        <w:rPr>
          <w:b/>
          <w:bCs/>
          <w:rtl/>
        </w:rPr>
      </w:pPr>
      <w:r w:rsidRPr="00A81964">
        <w:rPr>
          <w:rFonts w:hint="eastAsia"/>
          <w:b/>
          <w:bCs/>
          <w:rtl/>
        </w:rPr>
        <w:lastRenderedPageBreak/>
        <w:t>מתרשימים</w:t>
      </w:r>
      <w:r w:rsidRPr="00A81964">
        <w:rPr>
          <w:b/>
          <w:bCs/>
          <w:rtl/>
        </w:rPr>
        <w:t xml:space="preserve"> </w:t>
      </w:r>
      <w:r w:rsidRPr="00A81964">
        <w:rPr>
          <w:rFonts w:hint="cs"/>
          <w:b/>
          <w:bCs/>
          <w:rtl/>
        </w:rPr>
        <w:t>22</w:t>
      </w:r>
      <w:r w:rsidRPr="00A81964">
        <w:rPr>
          <w:b/>
          <w:bCs/>
          <w:rtl/>
        </w:rPr>
        <w:t xml:space="preserve"> ו-</w:t>
      </w:r>
      <w:r w:rsidRPr="00A81964">
        <w:rPr>
          <w:rFonts w:hint="cs"/>
          <w:b/>
          <w:bCs/>
          <w:rtl/>
        </w:rPr>
        <w:t>23</w:t>
      </w:r>
      <w:r w:rsidRPr="00A81964">
        <w:rPr>
          <w:b/>
          <w:bCs/>
          <w:rtl/>
        </w:rPr>
        <w:t xml:space="preserve"> עולה כי </w:t>
      </w:r>
      <w:r w:rsidRPr="00A81964">
        <w:rPr>
          <w:rFonts w:hint="cs"/>
          <w:b/>
          <w:bCs/>
          <w:rtl/>
        </w:rPr>
        <w:t xml:space="preserve">בתקופות </w:t>
      </w:r>
      <w:r w:rsidRPr="00A81964">
        <w:rPr>
          <w:b/>
          <w:bCs/>
          <w:rtl/>
        </w:rPr>
        <w:t xml:space="preserve">מינואר 2014 ועד דצמבר 2024 </w:t>
      </w:r>
      <w:r w:rsidRPr="00A81964">
        <w:rPr>
          <w:rFonts w:hint="cs"/>
          <w:b/>
          <w:bCs/>
          <w:rtl/>
        </w:rPr>
        <w:t xml:space="preserve">שנבדקו </w:t>
      </w:r>
      <w:r w:rsidRPr="00A81964">
        <w:rPr>
          <w:rFonts w:hint="eastAsia"/>
          <w:b/>
          <w:bCs/>
          <w:rtl/>
        </w:rPr>
        <w:t>הטיפול</w:t>
      </w:r>
      <w:r w:rsidRPr="00A81964">
        <w:rPr>
          <w:b/>
          <w:bCs/>
          <w:rtl/>
        </w:rPr>
        <w:t xml:space="preserve"> </w:t>
      </w:r>
      <w:r w:rsidRPr="00A81964">
        <w:rPr>
          <w:rFonts w:hint="eastAsia"/>
          <w:b/>
          <w:bCs/>
          <w:rtl/>
        </w:rPr>
        <w:t>ב</w:t>
      </w:r>
      <w:r w:rsidRPr="00A81964">
        <w:rPr>
          <w:b/>
          <w:bCs/>
          <w:rtl/>
        </w:rPr>
        <w:t xml:space="preserve">-22% </w:t>
      </w:r>
      <w:r w:rsidRPr="00A81964">
        <w:rPr>
          <w:rFonts w:hint="eastAsia"/>
          <w:b/>
          <w:bCs/>
          <w:rtl/>
        </w:rPr>
        <w:t>מהעררים</w:t>
      </w:r>
      <w:r w:rsidRPr="00A81964">
        <w:rPr>
          <w:b/>
          <w:bCs/>
          <w:rtl/>
        </w:rPr>
        <w:t xml:space="preserve"> </w:t>
      </w:r>
      <w:r w:rsidRPr="00A81964">
        <w:rPr>
          <w:rFonts w:hint="eastAsia"/>
          <w:b/>
          <w:bCs/>
          <w:rtl/>
        </w:rPr>
        <w:t>שהוגשו</w:t>
      </w:r>
      <w:r w:rsidRPr="00A81964">
        <w:rPr>
          <w:b/>
          <w:bCs/>
          <w:rtl/>
        </w:rPr>
        <w:t xml:space="preserve"> </w:t>
      </w:r>
      <w:r w:rsidRPr="00A81964">
        <w:rPr>
          <w:rFonts w:hint="eastAsia"/>
          <w:b/>
          <w:bCs/>
          <w:rtl/>
        </w:rPr>
        <w:t>לוועד</w:t>
      </w:r>
      <w:r w:rsidRPr="00A81964">
        <w:rPr>
          <w:rFonts w:hint="cs"/>
          <w:b/>
          <w:bCs/>
          <w:rtl/>
        </w:rPr>
        <w:t>ו</w:t>
      </w:r>
      <w:r w:rsidRPr="00A81964">
        <w:rPr>
          <w:rFonts w:hint="eastAsia"/>
          <w:b/>
          <w:bCs/>
          <w:rtl/>
        </w:rPr>
        <w:t>ת</w:t>
      </w:r>
      <w:r w:rsidRPr="00A81964">
        <w:rPr>
          <w:b/>
          <w:bCs/>
          <w:rtl/>
        </w:rPr>
        <w:t xml:space="preserve"> הערר </w:t>
      </w:r>
      <w:r w:rsidRPr="00A81964">
        <w:rPr>
          <w:rFonts w:hint="eastAsia"/>
          <w:b/>
          <w:bCs/>
          <w:rtl/>
        </w:rPr>
        <w:t>של</w:t>
      </w:r>
      <w:r w:rsidRPr="00A81964">
        <w:rPr>
          <w:b/>
          <w:bCs/>
          <w:rtl/>
        </w:rPr>
        <w:t xml:space="preserve"> </w:t>
      </w:r>
      <w:r w:rsidRPr="00A81964">
        <w:rPr>
          <w:rFonts w:hint="eastAsia"/>
          <w:b/>
          <w:bCs/>
          <w:rtl/>
        </w:rPr>
        <w:t>קרן</w:t>
      </w:r>
      <w:r w:rsidRPr="00A81964">
        <w:rPr>
          <w:b/>
          <w:bCs/>
          <w:rtl/>
        </w:rPr>
        <w:t xml:space="preserve"> </w:t>
      </w:r>
      <w:r w:rsidRPr="00A81964">
        <w:rPr>
          <w:rFonts w:hint="eastAsia"/>
          <w:b/>
          <w:bCs/>
          <w:rtl/>
        </w:rPr>
        <w:t>הפיצויים</w:t>
      </w:r>
      <w:r w:rsidRPr="00A81964">
        <w:rPr>
          <w:rFonts w:hint="cs"/>
          <w:b/>
          <w:bCs/>
          <w:rtl/>
        </w:rPr>
        <w:t xml:space="preserve"> לא</w:t>
      </w:r>
      <w:r w:rsidRPr="00A81964">
        <w:rPr>
          <w:b/>
          <w:bCs/>
          <w:rtl/>
        </w:rPr>
        <w:t xml:space="preserve"> </w:t>
      </w:r>
      <w:r w:rsidRPr="00A81964">
        <w:rPr>
          <w:rFonts w:hint="eastAsia"/>
          <w:b/>
          <w:bCs/>
          <w:rtl/>
        </w:rPr>
        <w:t>הסתיים</w:t>
      </w:r>
      <w:r w:rsidRPr="00A81964">
        <w:rPr>
          <w:b/>
          <w:bCs/>
          <w:rtl/>
        </w:rPr>
        <w:t xml:space="preserve">, </w:t>
      </w:r>
      <w:r w:rsidRPr="00A81964">
        <w:rPr>
          <w:rFonts w:hint="cs"/>
          <w:b/>
          <w:bCs/>
          <w:rtl/>
        </w:rPr>
        <w:t>בהשוואה ל-3% מהעררים שהוגשו</w:t>
      </w:r>
      <w:r w:rsidRPr="00A81964">
        <w:rPr>
          <w:b/>
          <w:bCs/>
          <w:rtl/>
        </w:rPr>
        <w:t xml:space="preserve"> </w:t>
      </w:r>
      <w:r w:rsidRPr="00A81964">
        <w:rPr>
          <w:rFonts w:hint="cs"/>
          <w:b/>
          <w:bCs/>
          <w:rtl/>
        </w:rPr>
        <w:t>ל</w:t>
      </w:r>
      <w:r w:rsidRPr="00A81964">
        <w:rPr>
          <w:rFonts w:hint="eastAsia"/>
          <w:b/>
          <w:bCs/>
          <w:rtl/>
        </w:rPr>
        <w:t>וועד</w:t>
      </w:r>
      <w:r w:rsidRPr="00A81964">
        <w:rPr>
          <w:rFonts w:hint="cs"/>
          <w:b/>
          <w:bCs/>
          <w:rtl/>
        </w:rPr>
        <w:t>ו</w:t>
      </w:r>
      <w:r w:rsidRPr="00A81964">
        <w:rPr>
          <w:rFonts w:hint="eastAsia"/>
          <w:b/>
          <w:bCs/>
          <w:rtl/>
        </w:rPr>
        <w:t>ת</w:t>
      </w:r>
      <w:r w:rsidRPr="00A81964">
        <w:rPr>
          <w:b/>
          <w:bCs/>
          <w:rtl/>
        </w:rPr>
        <w:t xml:space="preserve"> הערר של משרד המשפטים</w:t>
      </w:r>
      <w:r w:rsidRPr="00A81964">
        <w:rPr>
          <w:rFonts w:hint="cs"/>
          <w:b/>
          <w:bCs/>
          <w:rtl/>
        </w:rPr>
        <w:t xml:space="preserve"> וטרם הסתיים הטיפול בהם</w:t>
      </w:r>
      <w:r w:rsidRPr="00A81964">
        <w:rPr>
          <w:b/>
          <w:bCs/>
          <w:rtl/>
        </w:rPr>
        <w:t>.</w:t>
      </w:r>
      <w:r w:rsidRPr="00A81964">
        <w:rPr>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ascii="David" w:hAnsi="David" w:hint="cs"/>
          <w:color w:val="000000" w:themeColor="text1"/>
          <w:sz w:val="24"/>
          <w:rtl/>
        </w:rPr>
        <w:t xml:space="preserve">להלן </w:t>
      </w:r>
      <w:r w:rsidRPr="00A81964">
        <w:rPr>
          <w:rFonts w:hint="cs"/>
          <w:rtl/>
        </w:rPr>
        <w:t>בתרשים 24 מוצגת התפלגות העררים שהוגשו לוועדות הערר של קרן הפיצויים ומשרד המשפטים ואשר הטיפול בהם לא הסתיים, לפי משך הזמן שחלף ממועד הגשתם.</w:t>
      </w:r>
    </w:p>
    <w:p w:rsidR="006252C4" w:rsidRDefault="006252C4" w:rsidP="006252C4">
      <w:pPr>
        <w:pStyle w:val="a8"/>
        <w:spacing w:line="269" w:lineRule="auto"/>
        <w:rPr>
          <w:rtl/>
        </w:rPr>
      </w:pPr>
    </w:p>
    <w:p w:rsidR="006252C4" w:rsidRPr="00A81964" w:rsidRDefault="006252C4" w:rsidP="006252C4">
      <w:pPr>
        <w:keepNext/>
        <w:keepLines/>
        <w:spacing w:line="269" w:lineRule="auto"/>
        <w:jc w:val="center"/>
        <w:rPr>
          <w:b/>
          <w:bCs/>
          <w:u w:val="single"/>
          <w:rtl/>
        </w:rPr>
      </w:pPr>
      <w:r w:rsidRPr="00A81964">
        <w:rPr>
          <w:rFonts w:hint="eastAsia"/>
          <w:rtl/>
        </w:rPr>
        <w:t>תרשים</w:t>
      </w:r>
      <w:r w:rsidRPr="00A81964">
        <w:rPr>
          <w:rtl/>
        </w:rPr>
        <w:t xml:space="preserve"> 24:</w:t>
      </w:r>
      <w:r w:rsidRPr="00A81964">
        <w:rPr>
          <w:b/>
          <w:bCs/>
          <w:rtl/>
        </w:rPr>
        <w:t xml:space="preserve"> </w:t>
      </w:r>
      <w:r w:rsidRPr="00A81964">
        <w:rPr>
          <w:rFonts w:hint="eastAsia"/>
          <w:b/>
          <w:bCs/>
          <w:rtl/>
        </w:rPr>
        <w:t>התפלגות</w:t>
      </w:r>
      <w:r w:rsidRPr="00A81964">
        <w:rPr>
          <w:b/>
          <w:bCs/>
          <w:rtl/>
        </w:rPr>
        <w:t xml:space="preserve"> </w:t>
      </w:r>
      <w:r w:rsidRPr="00A81964">
        <w:rPr>
          <w:rFonts w:hint="eastAsia"/>
          <w:b/>
          <w:bCs/>
          <w:rtl/>
        </w:rPr>
        <w:t>העררים</w:t>
      </w:r>
      <w:r w:rsidRPr="00A81964">
        <w:rPr>
          <w:b/>
          <w:bCs/>
          <w:rtl/>
        </w:rPr>
        <w:t xml:space="preserve"> </w:t>
      </w:r>
      <w:r w:rsidRPr="00A81964">
        <w:rPr>
          <w:rFonts w:hint="eastAsia"/>
          <w:b/>
          <w:bCs/>
          <w:rtl/>
        </w:rPr>
        <w:t>שהוגשו</w:t>
      </w:r>
      <w:r w:rsidRPr="00A81964">
        <w:rPr>
          <w:b/>
          <w:bCs/>
          <w:rtl/>
        </w:rPr>
        <w:t xml:space="preserve"> </w:t>
      </w:r>
      <w:r w:rsidRPr="00A81964">
        <w:rPr>
          <w:rFonts w:hint="eastAsia"/>
          <w:b/>
          <w:bCs/>
          <w:rtl/>
        </w:rPr>
        <w:t>לוועדות</w:t>
      </w:r>
      <w:r w:rsidRPr="00A81964">
        <w:rPr>
          <w:b/>
          <w:bCs/>
          <w:rtl/>
        </w:rPr>
        <w:t xml:space="preserve"> </w:t>
      </w:r>
      <w:r w:rsidRPr="00A81964">
        <w:rPr>
          <w:rFonts w:hint="eastAsia"/>
          <w:b/>
          <w:bCs/>
          <w:rtl/>
        </w:rPr>
        <w:t>הערר</w:t>
      </w:r>
      <w:r w:rsidRPr="00A81964">
        <w:rPr>
          <w:b/>
          <w:bCs/>
          <w:rtl/>
        </w:rPr>
        <w:t xml:space="preserve"> </w:t>
      </w:r>
      <w:r w:rsidRPr="00A81964">
        <w:rPr>
          <w:rFonts w:hint="eastAsia"/>
          <w:b/>
          <w:bCs/>
          <w:rtl/>
        </w:rPr>
        <w:t>של</w:t>
      </w:r>
      <w:r w:rsidRPr="00A81964">
        <w:rPr>
          <w:b/>
          <w:bCs/>
          <w:rtl/>
        </w:rPr>
        <w:t xml:space="preserve"> </w:t>
      </w:r>
      <w:r w:rsidRPr="00A81964">
        <w:rPr>
          <w:rFonts w:hint="eastAsia"/>
          <w:b/>
          <w:bCs/>
          <w:rtl/>
        </w:rPr>
        <w:t>קרן</w:t>
      </w:r>
      <w:r w:rsidRPr="00A81964">
        <w:rPr>
          <w:b/>
          <w:bCs/>
          <w:rtl/>
        </w:rPr>
        <w:t xml:space="preserve"> </w:t>
      </w:r>
      <w:r w:rsidRPr="00A81964">
        <w:rPr>
          <w:rFonts w:hint="eastAsia"/>
          <w:b/>
          <w:bCs/>
          <w:rtl/>
        </w:rPr>
        <w:t>הפיצויים</w:t>
      </w:r>
      <w:r w:rsidRPr="00A81964">
        <w:rPr>
          <w:b/>
          <w:bCs/>
          <w:rtl/>
        </w:rPr>
        <w:t xml:space="preserve"> ומשרד המשפטים </w:t>
      </w:r>
      <w:r w:rsidRPr="00A81964">
        <w:rPr>
          <w:rFonts w:hint="cs"/>
          <w:b/>
          <w:bCs/>
          <w:rtl/>
        </w:rPr>
        <w:t>ו</w:t>
      </w:r>
      <w:r w:rsidRPr="00A81964">
        <w:rPr>
          <w:rFonts w:hint="eastAsia"/>
          <w:b/>
          <w:bCs/>
          <w:rtl/>
        </w:rPr>
        <w:t>הטיפול</w:t>
      </w:r>
      <w:r w:rsidRPr="00A81964">
        <w:rPr>
          <w:b/>
          <w:bCs/>
          <w:rtl/>
        </w:rPr>
        <w:t xml:space="preserve"> </w:t>
      </w:r>
      <w:r w:rsidRPr="00A81964">
        <w:rPr>
          <w:rFonts w:hint="eastAsia"/>
          <w:b/>
          <w:bCs/>
          <w:rtl/>
        </w:rPr>
        <w:t>בהם</w:t>
      </w:r>
      <w:r w:rsidRPr="00A81964">
        <w:rPr>
          <w:b/>
          <w:bCs/>
          <w:rtl/>
        </w:rPr>
        <w:t xml:space="preserve"> </w:t>
      </w:r>
      <w:r w:rsidRPr="00A81964">
        <w:rPr>
          <w:rFonts w:hint="eastAsia"/>
          <w:b/>
          <w:bCs/>
          <w:rtl/>
        </w:rPr>
        <w:t>לא</w:t>
      </w:r>
      <w:r w:rsidRPr="00A81964">
        <w:rPr>
          <w:b/>
          <w:bCs/>
          <w:rtl/>
        </w:rPr>
        <w:t xml:space="preserve"> </w:t>
      </w:r>
      <w:r w:rsidRPr="00A81964">
        <w:rPr>
          <w:rFonts w:hint="eastAsia"/>
          <w:b/>
          <w:bCs/>
          <w:rtl/>
        </w:rPr>
        <w:t>הסתיים</w:t>
      </w:r>
      <w:r w:rsidRPr="00A81964">
        <w:rPr>
          <w:b/>
          <w:bCs/>
          <w:rtl/>
        </w:rPr>
        <w:t xml:space="preserve">, </w:t>
      </w:r>
      <w:r w:rsidRPr="00A81964">
        <w:rPr>
          <w:rFonts w:hint="eastAsia"/>
          <w:b/>
          <w:bCs/>
          <w:rtl/>
        </w:rPr>
        <w:t>לפי</w:t>
      </w:r>
      <w:r w:rsidRPr="00A81964">
        <w:rPr>
          <w:b/>
          <w:bCs/>
          <w:rtl/>
        </w:rPr>
        <w:t xml:space="preserve"> </w:t>
      </w:r>
      <w:r w:rsidRPr="00A81964">
        <w:rPr>
          <w:rFonts w:hint="eastAsia"/>
          <w:b/>
          <w:bCs/>
          <w:rtl/>
        </w:rPr>
        <w:t>משך</w:t>
      </w:r>
      <w:r w:rsidRPr="00A81964">
        <w:rPr>
          <w:b/>
          <w:bCs/>
          <w:rtl/>
        </w:rPr>
        <w:t xml:space="preserve"> </w:t>
      </w:r>
      <w:r w:rsidRPr="00A81964">
        <w:rPr>
          <w:rFonts w:hint="cs"/>
          <w:b/>
          <w:bCs/>
          <w:rtl/>
        </w:rPr>
        <w:t>ה</w:t>
      </w:r>
      <w:r w:rsidRPr="00A81964">
        <w:rPr>
          <w:rFonts w:hint="eastAsia"/>
          <w:b/>
          <w:bCs/>
          <w:rtl/>
        </w:rPr>
        <w:t>זמן</w:t>
      </w:r>
      <w:r w:rsidRPr="00A81964">
        <w:rPr>
          <w:b/>
          <w:bCs/>
          <w:rtl/>
        </w:rPr>
        <w:t xml:space="preserve"> </w:t>
      </w:r>
      <w:r w:rsidRPr="00A81964">
        <w:rPr>
          <w:rFonts w:hint="eastAsia"/>
          <w:b/>
          <w:bCs/>
          <w:rtl/>
        </w:rPr>
        <w:t>שחלף</w:t>
      </w:r>
      <w:r w:rsidRPr="00A81964">
        <w:rPr>
          <w:b/>
          <w:bCs/>
          <w:rtl/>
        </w:rPr>
        <w:t xml:space="preserve"> </w:t>
      </w:r>
      <w:r w:rsidRPr="00A81964">
        <w:rPr>
          <w:rFonts w:hint="eastAsia"/>
          <w:b/>
          <w:bCs/>
          <w:rtl/>
        </w:rPr>
        <w:t>ממועד</w:t>
      </w:r>
      <w:r w:rsidRPr="00A81964">
        <w:rPr>
          <w:b/>
          <w:bCs/>
          <w:rtl/>
        </w:rPr>
        <w:t xml:space="preserve"> </w:t>
      </w:r>
      <w:r w:rsidRPr="00A81964">
        <w:rPr>
          <w:rFonts w:hint="eastAsia"/>
          <w:b/>
          <w:bCs/>
          <w:rtl/>
        </w:rPr>
        <w:t>הגשתם</w:t>
      </w:r>
      <w:r w:rsidRPr="00A81964">
        <w:rPr>
          <w:rStyle w:val="af2"/>
          <w:rtl/>
        </w:rPr>
        <w:footnoteReference w:id="116"/>
      </w:r>
    </w:p>
    <w:p w:rsidR="006252C4" w:rsidRPr="00A81964" w:rsidRDefault="006252C4" w:rsidP="006252C4">
      <w:pPr>
        <w:spacing w:line="269" w:lineRule="auto"/>
        <w:jc w:val="center"/>
        <w:rPr>
          <w:b/>
          <w:bCs/>
          <w:rtl/>
        </w:rPr>
      </w:pPr>
      <w:r>
        <w:rPr>
          <w:noProof/>
        </w:rPr>
        <w:drawing>
          <wp:inline distT="0" distB="0" distL="0" distR="0" wp14:anchorId="4051DA2D" wp14:editId="1F2BC9D0">
            <wp:extent cx="4153782" cy="2464868"/>
            <wp:effectExtent l="0" t="0" r="0" b="0"/>
            <wp:docPr id="46" name="תמונה 4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17596" cy="2502736"/>
                    </a:xfrm>
                    <a:prstGeom prst="rect">
                      <a:avLst/>
                    </a:prstGeom>
                    <a:noFill/>
                    <a:ln>
                      <a:noFill/>
                    </a:ln>
                  </pic:spPr>
                </pic:pic>
              </a:graphicData>
            </a:graphic>
          </wp:inline>
        </w:drawing>
      </w:r>
    </w:p>
    <w:p w:rsidR="006252C4" w:rsidRPr="00A81964" w:rsidRDefault="006252C4" w:rsidP="006252C4">
      <w:pPr>
        <w:spacing w:line="269" w:lineRule="auto"/>
        <w:rPr>
          <w:sz w:val="16"/>
          <w:szCs w:val="20"/>
          <w:rtl/>
        </w:rPr>
      </w:pPr>
      <w:r w:rsidRPr="00A81964">
        <w:rPr>
          <w:rFonts w:hint="cs"/>
          <w:sz w:val="16"/>
          <w:szCs w:val="20"/>
          <w:rtl/>
        </w:rPr>
        <w:t>על פי נתוני</w:t>
      </w:r>
      <w:r w:rsidRPr="00A81964">
        <w:rPr>
          <w:sz w:val="16"/>
          <w:szCs w:val="20"/>
          <w:rtl/>
        </w:rPr>
        <w:t xml:space="preserve"> </w:t>
      </w:r>
      <w:r w:rsidRPr="002F06CD">
        <w:rPr>
          <w:rFonts w:hint="cs"/>
          <w:sz w:val="16"/>
          <w:szCs w:val="20"/>
          <w:rtl/>
        </w:rPr>
        <w:t>רשות המיסים ומשרד המשפטים, בעיבוד משרד מבקר המדינה</w:t>
      </w:r>
      <w:r w:rsidRPr="00A81964">
        <w:rPr>
          <w:rFonts w:hint="cs"/>
          <w:sz w:val="16"/>
          <w:szCs w:val="20"/>
          <w:rtl/>
        </w:rPr>
        <w:t>.</w:t>
      </w:r>
    </w:p>
    <w:p w:rsidR="006252C4" w:rsidRDefault="006252C4" w:rsidP="006252C4">
      <w:pPr>
        <w:pStyle w:val="a8"/>
        <w:spacing w:line="269" w:lineRule="auto"/>
        <w:rPr>
          <w:rtl/>
        </w:rPr>
      </w:pPr>
    </w:p>
    <w:p w:rsidR="006252C4" w:rsidRPr="00A81964" w:rsidRDefault="006252C4" w:rsidP="006252C4">
      <w:pPr>
        <w:spacing w:line="269" w:lineRule="auto"/>
        <w:rPr>
          <w:b/>
          <w:bCs/>
        </w:rPr>
      </w:pPr>
      <w:r w:rsidRPr="00A81964">
        <w:rPr>
          <w:rFonts w:hint="cs"/>
          <w:b/>
          <w:bCs/>
          <w:rtl/>
        </w:rPr>
        <w:t>מתרשים 24 עולה כי ב-62% מהעררים שהוגשו לוועדות הערר של קרן הפיצויים והטיפול בהם לא הסתיים חלפה תקופה של יותר משנה ממועד הגשתם. ב-16% מהעררים תקופה זו נמשכה יותר מחמש שנים, וב-4% מהעררים, כולם בגין תביעות ממבצע "עמוד ענן"</w:t>
      </w:r>
      <w:r w:rsidRPr="00A81964">
        <w:rPr>
          <w:rStyle w:val="af2"/>
          <w:b/>
          <w:bCs/>
          <w:rtl/>
        </w:rPr>
        <w:footnoteReference w:id="117"/>
      </w:r>
      <w:r w:rsidRPr="00A81964">
        <w:rPr>
          <w:rFonts w:hint="cs"/>
          <w:b/>
          <w:bCs/>
          <w:rtl/>
        </w:rPr>
        <w:t>, חלפו יותר מעשר שנים. לעומת זאת, ב-26% מהעררים שהוגשו לוועדות הערר של משרד המשפטים והטיפול בהם לא הסתיים חלפה תקופה העולה על שנה ממועד הגשתם</w:t>
      </w:r>
      <w:r w:rsidRPr="00A81964">
        <w:rPr>
          <w:rStyle w:val="af2"/>
          <w:b/>
          <w:bCs/>
          <w:rtl/>
        </w:rPr>
        <w:footnoteReference w:id="118"/>
      </w:r>
      <w:r w:rsidRPr="00A81964">
        <w:rPr>
          <w:rFonts w:hint="cs"/>
          <w:b/>
          <w:bCs/>
          <w:rtl/>
        </w:rPr>
        <w:t>.</w:t>
      </w:r>
    </w:p>
    <w:p w:rsidR="006252C4" w:rsidRDefault="006252C4" w:rsidP="006252C4">
      <w:pPr>
        <w:pStyle w:val="a8"/>
        <w:spacing w:line="269" w:lineRule="auto"/>
        <w:rPr>
          <w:rtl/>
        </w:rPr>
      </w:pPr>
    </w:p>
    <w:p w:rsidR="006252C4" w:rsidRDefault="006252C4" w:rsidP="006252C4">
      <w:pPr>
        <w:spacing w:line="269" w:lineRule="auto"/>
        <w:rPr>
          <w:rtl/>
        </w:rPr>
      </w:pPr>
      <w:r w:rsidRPr="00A81964">
        <w:rPr>
          <w:rFonts w:ascii="David" w:hAnsi="David" w:hint="cs"/>
          <w:color w:val="000000" w:themeColor="text1"/>
          <w:sz w:val="24"/>
          <w:rtl/>
        </w:rPr>
        <w:t xml:space="preserve">להלן </w:t>
      </w:r>
      <w:r w:rsidRPr="00A81964">
        <w:rPr>
          <w:rFonts w:hint="cs"/>
          <w:rtl/>
        </w:rPr>
        <w:t>בתרשים 25 התפלגות העררים שהוגשו לוועדות הערר של קרן הפיצויים ומשרד המשפטים והטיפול בהם הסתיים, לפי משך הזמן שחלף ממועד הגשתם ועד לסיום הטיפול בהם.</w:t>
      </w:r>
    </w:p>
    <w:p w:rsidR="006252C4" w:rsidRDefault="006252C4" w:rsidP="006252C4">
      <w:pPr>
        <w:spacing w:line="269" w:lineRule="auto"/>
        <w:jc w:val="center"/>
        <w:rPr>
          <w:rtl/>
        </w:rPr>
      </w:pPr>
    </w:p>
    <w:p w:rsidR="006252C4" w:rsidRPr="00A81964" w:rsidRDefault="006252C4" w:rsidP="006252C4">
      <w:pPr>
        <w:keepNext/>
        <w:keepLines/>
        <w:spacing w:line="269" w:lineRule="auto"/>
        <w:jc w:val="center"/>
        <w:rPr>
          <w:b/>
          <w:bCs/>
          <w:u w:val="single"/>
          <w:rtl/>
        </w:rPr>
      </w:pPr>
      <w:r w:rsidRPr="00A81964">
        <w:rPr>
          <w:rFonts w:hint="eastAsia"/>
          <w:rtl/>
        </w:rPr>
        <w:lastRenderedPageBreak/>
        <w:t>תרשים</w:t>
      </w:r>
      <w:r w:rsidRPr="00A81964">
        <w:rPr>
          <w:rtl/>
        </w:rPr>
        <w:t xml:space="preserve"> 25:</w:t>
      </w:r>
      <w:r w:rsidRPr="00A81964">
        <w:rPr>
          <w:b/>
          <w:bCs/>
          <w:rtl/>
        </w:rPr>
        <w:t xml:space="preserve"> </w:t>
      </w:r>
      <w:r w:rsidRPr="00A81964">
        <w:rPr>
          <w:rFonts w:hint="eastAsia"/>
          <w:b/>
          <w:bCs/>
          <w:rtl/>
        </w:rPr>
        <w:t>התפלגות</w:t>
      </w:r>
      <w:r w:rsidRPr="00A81964">
        <w:rPr>
          <w:b/>
          <w:bCs/>
          <w:rtl/>
        </w:rPr>
        <w:t xml:space="preserve"> </w:t>
      </w:r>
      <w:r w:rsidRPr="00A81964">
        <w:rPr>
          <w:rFonts w:hint="eastAsia"/>
          <w:b/>
          <w:bCs/>
          <w:rtl/>
        </w:rPr>
        <w:t>העררים</w:t>
      </w:r>
      <w:r w:rsidRPr="00A81964">
        <w:rPr>
          <w:b/>
          <w:bCs/>
          <w:rtl/>
        </w:rPr>
        <w:t xml:space="preserve"> </w:t>
      </w:r>
      <w:r w:rsidRPr="00A81964">
        <w:rPr>
          <w:rFonts w:hint="eastAsia"/>
          <w:b/>
          <w:bCs/>
          <w:rtl/>
        </w:rPr>
        <w:t>שהוגשו</w:t>
      </w:r>
      <w:r w:rsidRPr="00A81964">
        <w:rPr>
          <w:b/>
          <w:bCs/>
          <w:rtl/>
        </w:rPr>
        <w:t xml:space="preserve"> </w:t>
      </w:r>
      <w:r w:rsidRPr="00A81964">
        <w:rPr>
          <w:rFonts w:hint="eastAsia"/>
          <w:b/>
          <w:bCs/>
          <w:rtl/>
        </w:rPr>
        <w:t>לוועדות</w:t>
      </w:r>
      <w:r w:rsidRPr="00A81964">
        <w:rPr>
          <w:b/>
          <w:bCs/>
          <w:rtl/>
        </w:rPr>
        <w:t xml:space="preserve"> </w:t>
      </w:r>
      <w:r w:rsidRPr="00A81964">
        <w:rPr>
          <w:rFonts w:hint="eastAsia"/>
          <w:b/>
          <w:bCs/>
          <w:rtl/>
        </w:rPr>
        <w:t>הערר</w:t>
      </w:r>
      <w:r w:rsidRPr="00A81964">
        <w:rPr>
          <w:b/>
          <w:bCs/>
          <w:rtl/>
        </w:rPr>
        <w:t xml:space="preserve"> </w:t>
      </w:r>
      <w:r w:rsidRPr="00A81964">
        <w:rPr>
          <w:rFonts w:hint="eastAsia"/>
          <w:b/>
          <w:bCs/>
          <w:rtl/>
        </w:rPr>
        <w:t>של</w:t>
      </w:r>
      <w:r w:rsidRPr="00A81964">
        <w:rPr>
          <w:b/>
          <w:bCs/>
          <w:rtl/>
        </w:rPr>
        <w:t xml:space="preserve"> </w:t>
      </w:r>
      <w:r w:rsidRPr="00A81964">
        <w:rPr>
          <w:rFonts w:hint="eastAsia"/>
          <w:b/>
          <w:bCs/>
          <w:rtl/>
        </w:rPr>
        <w:t>קרן</w:t>
      </w:r>
      <w:r w:rsidRPr="00A81964">
        <w:rPr>
          <w:b/>
          <w:bCs/>
          <w:rtl/>
        </w:rPr>
        <w:t xml:space="preserve"> </w:t>
      </w:r>
      <w:r w:rsidRPr="00A81964">
        <w:rPr>
          <w:rFonts w:hint="eastAsia"/>
          <w:b/>
          <w:bCs/>
          <w:rtl/>
        </w:rPr>
        <w:t>הפיצויים</w:t>
      </w:r>
      <w:r w:rsidRPr="00A81964">
        <w:rPr>
          <w:b/>
          <w:bCs/>
          <w:rtl/>
        </w:rPr>
        <w:t xml:space="preserve"> </w:t>
      </w:r>
      <w:r w:rsidRPr="00A81964">
        <w:rPr>
          <w:rFonts w:hint="eastAsia"/>
          <w:b/>
          <w:bCs/>
          <w:rtl/>
        </w:rPr>
        <w:t>ומשרד</w:t>
      </w:r>
      <w:r w:rsidRPr="00A81964">
        <w:rPr>
          <w:b/>
          <w:bCs/>
          <w:rtl/>
        </w:rPr>
        <w:t xml:space="preserve"> </w:t>
      </w:r>
      <w:r w:rsidRPr="00A81964">
        <w:rPr>
          <w:rFonts w:hint="eastAsia"/>
          <w:b/>
          <w:bCs/>
          <w:rtl/>
        </w:rPr>
        <w:t>המשפטים</w:t>
      </w:r>
      <w:r w:rsidRPr="00A81964">
        <w:rPr>
          <w:b/>
          <w:bCs/>
          <w:rtl/>
        </w:rPr>
        <w:t xml:space="preserve"> </w:t>
      </w:r>
      <w:r w:rsidRPr="00A81964">
        <w:rPr>
          <w:rFonts w:hint="eastAsia"/>
          <w:b/>
          <w:bCs/>
          <w:rtl/>
        </w:rPr>
        <w:t>והטיפול</w:t>
      </w:r>
      <w:r w:rsidRPr="00A81964">
        <w:rPr>
          <w:b/>
          <w:bCs/>
          <w:rtl/>
        </w:rPr>
        <w:t xml:space="preserve"> </w:t>
      </w:r>
      <w:r w:rsidRPr="00A81964">
        <w:rPr>
          <w:rFonts w:hint="eastAsia"/>
          <w:b/>
          <w:bCs/>
          <w:rtl/>
        </w:rPr>
        <w:t>בהם</w:t>
      </w:r>
      <w:r w:rsidRPr="00A81964">
        <w:rPr>
          <w:b/>
          <w:bCs/>
          <w:rtl/>
        </w:rPr>
        <w:t xml:space="preserve"> </w:t>
      </w:r>
      <w:r w:rsidRPr="00A81964">
        <w:rPr>
          <w:rFonts w:hint="eastAsia"/>
          <w:b/>
          <w:bCs/>
          <w:rtl/>
        </w:rPr>
        <w:t>הסתיים</w:t>
      </w:r>
      <w:r w:rsidRPr="00A81964">
        <w:rPr>
          <w:b/>
          <w:bCs/>
          <w:rtl/>
        </w:rPr>
        <w:t xml:space="preserve">, </w:t>
      </w:r>
      <w:r w:rsidRPr="00A81964">
        <w:rPr>
          <w:rFonts w:hint="eastAsia"/>
          <w:b/>
          <w:bCs/>
          <w:rtl/>
        </w:rPr>
        <w:t>לפי</w:t>
      </w:r>
      <w:r w:rsidRPr="00A81964">
        <w:rPr>
          <w:b/>
          <w:bCs/>
          <w:rtl/>
        </w:rPr>
        <w:t xml:space="preserve"> </w:t>
      </w:r>
      <w:r w:rsidRPr="00A81964">
        <w:rPr>
          <w:rFonts w:hint="eastAsia"/>
          <w:b/>
          <w:bCs/>
          <w:rtl/>
        </w:rPr>
        <w:t>משך</w:t>
      </w:r>
      <w:r w:rsidRPr="00A81964">
        <w:rPr>
          <w:b/>
          <w:bCs/>
          <w:rtl/>
        </w:rPr>
        <w:t xml:space="preserve"> </w:t>
      </w:r>
      <w:r w:rsidRPr="00A81964">
        <w:rPr>
          <w:rFonts w:hint="cs"/>
          <w:b/>
          <w:bCs/>
          <w:rtl/>
        </w:rPr>
        <w:t>ה</w:t>
      </w:r>
      <w:r w:rsidRPr="00A81964">
        <w:rPr>
          <w:rFonts w:hint="eastAsia"/>
          <w:b/>
          <w:bCs/>
          <w:rtl/>
        </w:rPr>
        <w:t>זמן</w:t>
      </w:r>
      <w:r w:rsidRPr="00A81964">
        <w:rPr>
          <w:b/>
          <w:bCs/>
          <w:rtl/>
        </w:rPr>
        <w:t xml:space="preserve"> </w:t>
      </w:r>
      <w:r w:rsidRPr="00A81964">
        <w:rPr>
          <w:rFonts w:hint="eastAsia"/>
          <w:b/>
          <w:bCs/>
          <w:rtl/>
        </w:rPr>
        <w:t>שחלף</w:t>
      </w:r>
      <w:r w:rsidRPr="00A81964">
        <w:rPr>
          <w:b/>
          <w:bCs/>
          <w:rtl/>
        </w:rPr>
        <w:t xml:space="preserve"> </w:t>
      </w:r>
      <w:r w:rsidRPr="00A81964">
        <w:rPr>
          <w:rFonts w:hint="eastAsia"/>
          <w:b/>
          <w:bCs/>
          <w:rtl/>
        </w:rPr>
        <w:t>ממועד</w:t>
      </w:r>
      <w:r w:rsidRPr="00A81964">
        <w:rPr>
          <w:b/>
          <w:bCs/>
          <w:rtl/>
        </w:rPr>
        <w:t xml:space="preserve"> </w:t>
      </w:r>
      <w:r w:rsidRPr="00A81964">
        <w:rPr>
          <w:rFonts w:hint="eastAsia"/>
          <w:b/>
          <w:bCs/>
          <w:rtl/>
        </w:rPr>
        <w:t>הגשתם</w:t>
      </w:r>
      <w:r w:rsidRPr="00A81964">
        <w:rPr>
          <w:b/>
          <w:bCs/>
          <w:rtl/>
        </w:rPr>
        <w:t xml:space="preserve"> </w:t>
      </w:r>
      <w:r w:rsidRPr="00A81964">
        <w:rPr>
          <w:rFonts w:hint="eastAsia"/>
          <w:b/>
          <w:bCs/>
          <w:rtl/>
        </w:rPr>
        <w:t>עד</w:t>
      </w:r>
      <w:r w:rsidRPr="00A81964">
        <w:rPr>
          <w:b/>
          <w:bCs/>
          <w:rtl/>
        </w:rPr>
        <w:t xml:space="preserve"> </w:t>
      </w:r>
      <w:r w:rsidRPr="00A81964">
        <w:rPr>
          <w:rFonts w:hint="eastAsia"/>
          <w:b/>
          <w:bCs/>
          <w:rtl/>
        </w:rPr>
        <w:t>לסיום</w:t>
      </w:r>
      <w:r w:rsidRPr="00A81964">
        <w:rPr>
          <w:b/>
          <w:bCs/>
          <w:rtl/>
        </w:rPr>
        <w:t xml:space="preserve"> </w:t>
      </w:r>
      <w:r w:rsidRPr="00A81964">
        <w:rPr>
          <w:rFonts w:hint="eastAsia"/>
          <w:b/>
          <w:bCs/>
          <w:rtl/>
        </w:rPr>
        <w:t>הטיפול</w:t>
      </w:r>
      <w:r w:rsidRPr="00A81964">
        <w:rPr>
          <w:b/>
          <w:bCs/>
          <w:rtl/>
        </w:rPr>
        <w:t xml:space="preserve"> </w:t>
      </w:r>
      <w:r w:rsidRPr="00A81964">
        <w:rPr>
          <w:rFonts w:hint="eastAsia"/>
          <w:b/>
          <w:bCs/>
          <w:rtl/>
        </w:rPr>
        <w:t>בהם</w:t>
      </w:r>
      <w:r w:rsidRPr="00A81964">
        <w:rPr>
          <w:rStyle w:val="af2"/>
          <w:rtl/>
        </w:rPr>
        <w:footnoteReference w:id="119"/>
      </w:r>
    </w:p>
    <w:p w:rsidR="006252C4" w:rsidRPr="00A81964" w:rsidRDefault="006252C4" w:rsidP="006252C4">
      <w:pPr>
        <w:spacing w:line="269" w:lineRule="auto"/>
        <w:jc w:val="center"/>
        <w:rPr>
          <w:rtl/>
        </w:rPr>
      </w:pPr>
      <w:r w:rsidRPr="00BD013A">
        <w:rPr>
          <w:rFonts w:ascii="Almoni ML v5 AAA" w:hAnsi="Almoni ML v5 AAA" w:cs="Almoni ML v5 AAA"/>
          <w:noProof/>
        </w:rPr>
        <w:drawing>
          <wp:inline distT="0" distB="0" distL="0" distR="0" wp14:anchorId="6DEA05C1" wp14:editId="45EBAB1C">
            <wp:extent cx="3948113" cy="2409825"/>
            <wp:effectExtent l="0" t="0" r="0" b="0"/>
            <wp:docPr id="227" name="תרשים 227" descr="תוכן התרשים מופיע בטקסט">
              <a:extLst xmlns:a="http://schemas.openxmlformats.org/drawingml/2006/main">
                <a:ext uri="{FF2B5EF4-FFF2-40B4-BE49-F238E27FC236}">
                  <a16:creationId xmlns:a16="http://schemas.microsoft.com/office/drawing/2014/main" id="{5DA37DCC-A635-4191-BE4A-E5FF5D54A6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252C4" w:rsidRPr="00A81964" w:rsidRDefault="006252C4" w:rsidP="006252C4">
      <w:pPr>
        <w:spacing w:line="269" w:lineRule="auto"/>
        <w:rPr>
          <w:sz w:val="16"/>
          <w:szCs w:val="20"/>
          <w:rtl/>
        </w:rPr>
      </w:pPr>
      <w:r w:rsidRPr="00A81964">
        <w:rPr>
          <w:rFonts w:hint="cs"/>
          <w:sz w:val="16"/>
          <w:szCs w:val="20"/>
          <w:rtl/>
        </w:rPr>
        <w:t>על פי נתוני</w:t>
      </w:r>
      <w:r w:rsidRPr="00A81964">
        <w:rPr>
          <w:sz w:val="16"/>
          <w:szCs w:val="20"/>
          <w:rtl/>
        </w:rPr>
        <w:t xml:space="preserve"> </w:t>
      </w:r>
      <w:r w:rsidRPr="002F06CD">
        <w:rPr>
          <w:rFonts w:hint="cs"/>
          <w:sz w:val="16"/>
          <w:szCs w:val="20"/>
          <w:rtl/>
        </w:rPr>
        <w:t>רשות המיסים ומשרד המשפטים, בעיבוד משרד מבקר המדינה</w:t>
      </w:r>
      <w:r w:rsidRPr="00FB6453">
        <w:rPr>
          <w:rFonts w:hint="cs"/>
          <w:rtl/>
        </w:rPr>
        <w:t>.</w:t>
      </w:r>
    </w:p>
    <w:p w:rsidR="006252C4" w:rsidRDefault="006252C4" w:rsidP="006252C4">
      <w:pPr>
        <w:pStyle w:val="a8"/>
        <w:spacing w:line="269" w:lineRule="auto"/>
        <w:rPr>
          <w:rtl/>
        </w:rPr>
      </w:pPr>
    </w:p>
    <w:p w:rsidR="006252C4" w:rsidRPr="00A81964" w:rsidRDefault="006252C4" w:rsidP="006252C4">
      <w:pPr>
        <w:spacing w:line="269" w:lineRule="auto"/>
        <w:rPr>
          <w:b/>
          <w:bCs/>
        </w:rPr>
      </w:pPr>
      <w:r w:rsidRPr="00A81964">
        <w:rPr>
          <w:rFonts w:hint="eastAsia"/>
          <w:b/>
          <w:bCs/>
          <w:rtl/>
        </w:rPr>
        <w:t>מתרשים</w:t>
      </w:r>
      <w:r w:rsidRPr="00A81964">
        <w:rPr>
          <w:b/>
          <w:bCs/>
          <w:rtl/>
        </w:rPr>
        <w:t xml:space="preserve"> </w:t>
      </w:r>
      <w:r w:rsidRPr="00A81964">
        <w:rPr>
          <w:rFonts w:hint="cs"/>
          <w:b/>
          <w:bCs/>
          <w:rtl/>
        </w:rPr>
        <w:t>25</w:t>
      </w:r>
      <w:r w:rsidRPr="00A81964">
        <w:rPr>
          <w:b/>
          <w:bCs/>
          <w:rtl/>
        </w:rPr>
        <w:t xml:space="preserve"> עולה כי </w:t>
      </w:r>
      <w:r w:rsidRPr="00A81964">
        <w:rPr>
          <w:rFonts w:hint="eastAsia"/>
          <w:b/>
          <w:bCs/>
          <w:rtl/>
        </w:rPr>
        <w:t>ב</w:t>
      </w:r>
      <w:r w:rsidRPr="00A81964">
        <w:rPr>
          <w:b/>
          <w:bCs/>
          <w:rtl/>
        </w:rPr>
        <w:t xml:space="preserve">-62% </w:t>
      </w:r>
      <w:r w:rsidRPr="00A81964">
        <w:rPr>
          <w:rFonts w:hint="eastAsia"/>
          <w:b/>
          <w:bCs/>
          <w:rtl/>
        </w:rPr>
        <w:t>מהעררים</w:t>
      </w:r>
      <w:r w:rsidRPr="00A81964">
        <w:rPr>
          <w:b/>
          <w:bCs/>
          <w:rtl/>
        </w:rPr>
        <w:t xml:space="preserve"> </w:t>
      </w:r>
      <w:r w:rsidRPr="00A81964">
        <w:rPr>
          <w:rFonts w:hint="cs"/>
          <w:b/>
          <w:bCs/>
          <w:rtl/>
        </w:rPr>
        <w:t>שהוגשו</w:t>
      </w:r>
      <w:r w:rsidRPr="00A81964">
        <w:rPr>
          <w:b/>
          <w:bCs/>
          <w:rtl/>
        </w:rPr>
        <w:t xml:space="preserve"> </w:t>
      </w:r>
      <w:r w:rsidRPr="00A81964">
        <w:rPr>
          <w:rFonts w:hint="cs"/>
          <w:b/>
          <w:bCs/>
          <w:rtl/>
        </w:rPr>
        <w:t>ל</w:t>
      </w:r>
      <w:r w:rsidRPr="00A81964">
        <w:rPr>
          <w:rFonts w:hint="eastAsia"/>
          <w:b/>
          <w:bCs/>
          <w:rtl/>
        </w:rPr>
        <w:t>וועד</w:t>
      </w:r>
      <w:r w:rsidRPr="00A81964">
        <w:rPr>
          <w:rFonts w:hint="cs"/>
          <w:b/>
          <w:bCs/>
          <w:rtl/>
        </w:rPr>
        <w:t>ו</w:t>
      </w:r>
      <w:r w:rsidRPr="00A81964">
        <w:rPr>
          <w:rFonts w:hint="eastAsia"/>
          <w:b/>
          <w:bCs/>
          <w:rtl/>
        </w:rPr>
        <w:t>ת</w:t>
      </w:r>
      <w:r w:rsidRPr="00A81964">
        <w:rPr>
          <w:b/>
          <w:bCs/>
          <w:rtl/>
        </w:rPr>
        <w:t xml:space="preserve"> </w:t>
      </w:r>
      <w:r w:rsidRPr="00A81964">
        <w:rPr>
          <w:rFonts w:hint="cs"/>
          <w:b/>
          <w:bCs/>
          <w:rtl/>
        </w:rPr>
        <w:t xml:space="preserve">הערר של </w:t>
      </w:r>
      <w:r w:rsidRPr="00A81964">
        <w:rPr>
          <w:rFonts w:hint="eastAsia"/>
          <w:b/>
          <w:bCs/>
          <w:rtl/>
        </w:rPr>
        <w:t>קרן</w:t>
      </w:r>
      <w:r w:rsidRPr="00A81964">
        <w:rPr>
          <w:b/>
          <w:bCs/>
          <w:rtl/>
        </w:rPr>
        <w:t xml:space="preserve"> </w:t>
      </w:r>
      <w:r w:rsidRPr="00A81964">
        <w:rPr>
          <w:rFonts w:hint="eastAsia"/>
          <w:b/>
          <w:bCs/>
          <w:rtl/>
        </w:rPr>
        <w:t>הפיצויים</w:t>
      </w:r>
      <w:r w:rsidRPr="00A81964">
        <w:rPr>
          <w:b/>
          <w:bCs/>
          <w:rtl/>
        </w:rPr>
        <w:t xml:space="preserve"> </w:t>
      </w:r>
      <w:r w:rsidRPr="00A81964">
        <w:rPr>
          <w:rFonts w:hint="cs"/>
          <w:b/>
          <w:bCs/>
          <w:rtl/>
        </w:rPr>
        <w:t xml:space="preserve">והטיפול בהם הסתיים, </w:t>
      </w:r>
      <w:r w:rsidRPr="00A81964">
        <w:rPr>
          <w:rFonts w:hint="eastAsia"/>
          <w:b/>
          <w:bCs/>
          <w:rtl/>
        </w:rPr>
        <w:t>חלפה</w:t>
      </w:r>
      <w:r w:rsidRPr="00A81964">
        <w:rPr>
          <w:b/>
          <w:bCs/>
          <w:rtl/>
        </w:rPr>
        <w:t xml:space="preserve"> </w:t>
      </w:r>
      <w:r w:rsidRPr="00A81964">
        <w:rPr>
          <w:rFonts w:hint="eastAsia"/>
          <w:b/>
          <w:bCs/>
          <w:rtl/>
        </w:rPr>
        <w:t>תקופה</w:t>
      </w:r>
      <w:r w:rsidRPr="00A81964">
        <w:rPr>
          <w:b/>
          <w:bCs/>
          <w:rtl/>
        </w:rPr>
        <w:t xml:space="preserve"> </w:t>
      </w:r>
      <w:r w:rsidRPr="00A81964">
        <w:rPr>
          <w:rFonts w:hint="eastAsia"/>
          <w:b/>
          <w:bCs/>
          <w:rtl/>
        </w:rPr>
        <w:t>של</w:t>
      </w:r>
      <w:r w:rsidRPr="00A81964">
        <w:rPr>
          <w:b/>
          <w:bCs/>
          <w:rtl/>
        </w:rPr>
        <w:t xml:space="preserve"> </w:t>
      </w:r>
      <w:r w:rsidRPr="00A81964">
        <w:rPr>
          <w:rFonts w:hint="cs"/>
          <w:b/>
          <w:bCs/>
          <w:rtl/>
        </w:rPr>
        <w:t>יותר</w:t>
      </w:r>
      <w:r w:rsidRPr="00A81964">
        <w:rPr>
          <w:b/>
          <w:bCs/>
          <w:rtl/>
        </w:rPr>
        <w:t xml:space="preserve"> </w:t>
      </w:r>
      <w:r w:rsidRPr="00A81964">
        <w:rPr>
          <w:rFonts w:hint="eastAsia"/>
          <w:b/>
          <w:bCs/>
          <w:rtl/>
        </w:rPr>
        <w:t>משנה</w:t>
      </w:r>
      <w:r w:rsidRPr="00A81964">
        <w:rPr>
          <w:b/>
          <w:bCs/>
          <w:rtl/>
        </w:rPr>
        <w:t xml:space="preserve"> עד לסיום הטיפול בהם</w:t>
      </w:r>
      <w:r w:rsidRPr="00A81964">
        <w:rPr>
          <w:rFonts w:hint="cs"/>
          <w:b/>
          <w:bCs/>
          <w:rtl/>
        </w:rPr>
        <w:t>.</w:t>
      </w:r>
      <w:r w:rsidRPr="00A81964">
        <w:rPr>
          <w:b/>
          <w:bCs/>
          <w:rtl/>
        </w:rPr>
        <w:t xml:space="preserve"> </w:t>
      </w:r>
      <w:r w:rsidRPr="00A81964">
        <w:rPr>
          <w:rFonts w:hint="eastAsia"/>
          <w:b/>
          <w:bCs/>
          <w:rtl/>
        </w:rPr>
        <w:t>ב</w:t>
      </w:r>
      <w:r w:rsidRPr="00A81964">
        <w:rPr>
          <w:b/>
          <w:bCs/>
          <w:rtl/>
        </w:rPr>
        <w:t xml:space="preserve">-13% מהעררים </w:t>
      </w:r>
      <w:r w:rsidRPr="00A81964">
        <w:rPr>
          <w:rFonts w:hint="eastAsia"/>
          <w:b/>
          <w:bCs/>
          <w:rtl/>
        </w:rPr>
        <w:t>נמשכה</w:t>
      </w:r>
      <w:r w:rsidRPr="00A81964">
        <w:rPr>
          <w:b/>
          <w:bCs/>
          <w:rtl/>
        </w:rPr>
        <w:t xml:space="preserve"> תקופה </w:t>
      </w:r>
      <w:r w:rsidRPr="00A81964">
        <w:rPr>
          <w:rFonts w:hint="eastAsia"/>
          <w:b/>
          <w:bCs/>
          <w:rtl/>
        </w:rPr>
        <w:t>זו</w:t>
      </w:r>
      <w:r w:rsidRPr="00A81964">
        <w:rPr>
          <w:b/>
          <w:bCs/>
          <w:rtl/>
        </w:rPr>
        <w:t xml:space="preserve"> </w:t>
      </w:r>
      <w:r w:rsidRPr="00A81964">
        <w:rPr>
          <w:rFonts w:hint="cs"/>
          <w:b/>
          <w:bCs/>
          <w:rtl/>
        </w:rPr>
        <w:t>יותר מחמש</w:t>
      </w:r>
      <w:r w:rsidRPr="00A81964">
        <w:rPr>
          <w:b/>
          <w:bCs/>
          <w:rtl/>
        </w:rPr>
        <w:t xml:space="preserve"> שנים</w:t>
      </w:r>
      <w:r w:rsidRPr="00A81964">
        <w:rPr>
          <w:rFonts w:hint="cs"/>
          <w:b/>
          <w:bCs/>
          <w:rtl/>
        </w:rPr>
        <w:t>, וב-5% מהעררים נמשכה תקופה זו יותר משבע שנים</w:t>
      </w:r>
      <w:r w:rsidRPr="00A81964">
        <w:rPr>
          <w:b/>
          <w:bCs/>
          <w:rtl/>
        </w:rPr>
        <w:t xml:space="preserve">. </w:t>
      </w:r>
      <w:r w:rsidRPr="00A81964">
        <w:rPr>
          <w:rFonts w:hint="eastAsia"/>
          <w:b/>
          <w:bCs/>
          <w:rtl/>
        </w:rPr>
        <w:t>לעומת</w:t>
      </w:r>
      <w:r w:rsidRPr="00A81964">
        <w:rPr>
          <w:b/>
          <w:bCs/>
          <w:rtl/>
        </w:rPr>
        <w:t xml:space="preserve"> </w:t>
      </w:r>
      <w:r w:rsidRPr="00A81964">
        <w:rPr>
          <w:rFonts w:hint="eastAsia"/>
          <w:b/>
          <w:bCs/>
          <w:rtl/>
        </w:rPr>
        <w:t>זאת</w:t>
      </w:r>
      <w:r w:rsidRPr="00A81964">
        <w:rPr>
          <w:b/>
          <w:bCs/>
          <w:rtl/>
        </w:rPr>
        <w:t xml:space="preserve">, ב-98% מהעררים </w:t>
      </w:r>
      <w:r w:rsidRPr="00A81964">
        <w:rPr>
          <w:rFonts w:hint="eastAsia"/>
          <w:b/>
          <w:bCs/>
          <w:rtl/>
        </w:rPr>
        <w:t>שהוגשו</w:t>
      </w:r>
      <w:r w:rsidRPr="00A81964">
        <w:rPr>
          <w:b/>
          <w:bCs/>
          <w:rtl/>
        </w:rPr>
        <w:t xml:space="preserve"> </w:t>
      </w:r>
      <w:r w:rsidRPr="00A81964">
        <w:rPr>
          <w:rFonts w:hint="eastAsia"/>
          <w:b/>
          <w:bCs/>
          <w:rtl/>
        </w:rPr>
        <w:t>לוועד</w:t>
      </w:r>
      <w:r w:rsidRPr="00A81964">
        <w:rPr>
          <w:rFonts w:hint="cs"/>
          <w:b/>
          <w:bCs/>
          <w:rtl/>
        </w:rPr>
        <w:t>ו</w:t>
      </w:r>
      <w:r w:rsidRPr="00A81964">
        <w:rPr>
          <w:rFonts w:hint="eastAsia"/>
          <w:b/>
          <w:bCs/>
          <w:rtl/>
        </w:rPr>
        <w:t>ת</w:t>
      </w:r>
      <w:r w:rsidRPr="00A81964">
        <w:rPr>
          <w:b/>
          <w:bCs/>
          <w:rtl/>
        </w:rPr>
        <w:t xml:space="preserve"> הערר </w:t>
      </w:r>
      <w:r w:rsidRPr="00A81964">
        <w:rPr>
          <w:rFonts w:hint="cs"/>
          <w:b/>
          <w:bCs/>
          <w:rtl/>
        </w:rPr>
        <w:t>ב</w:t>
      </w:r>
      <w:r w:rsidRPr="00A81964">
        <w:rPr>
          <w:b/>
          <w:bCs/>
          <w:rtl/>
        </w:rPr>
        <w:t xml:space="preserve">משרד המשפטים </w:t>
      </w:r>
      <w:r w:rsidRPr="00A81964">
        <w:rPr>
          <w:rFonts w:hint="eastAsia"/>
          <w:b/>
          <w:bCs/>
          <w:rtl/>
        </w:rPr>
        <w:t>הטיפול</w:t>
      </w:r>
      <w:r w:rsidRPr="00A81964">
        <w:rPr>
          <w:b/>
          <w:bCs/>
          <w:rtl/>
        </w:rPr>
        <w:t xml:space="preserve"> </w:t>
      </w:r>
      <w:r w:rsidRPr="00A81964">
        <w:rPr>
          <w:rFonts w:hint="eastAsia"/>
          <w:b/>
          <w:bCs/>
          <w:rtl/>
        </w:rPr>
        <w:t>הסתיים</w:t>
      </w:r>
      <w:r w:rsidRPr="00A81964">
        <w:rPr>
          <w:b/>
          <w:bCs/>
          <w:rtl/>
        </w:rPr>
        <w:t xml:space="preserve"> </w:t>
      </w:r>
      <w:r w:rsidRPr="00A81964">
        <w:rPr>
          <w:rFonts w:hint="cs"/>
          <w:b/>
          <w:bCs/>
          <w:rtl/>
        </w:rPr>
        <w:t>ב</w:t>
      </w:r>
      <w:r w:rsidRPr="00A81964">
        <w:rPr>
          <w:rFonts w:hint="eastAsia"/>
          <w:b/>
          <w:bCs/>
          <w:rtl/>
        </w:rPr>
        <w:t>תוך</w:t>
      </w:r>
      <w:r w:rsidRPr="00A81964">
        <w:rPr>
          <w:b/>
          <w:bCs/>
          <w:rtl/>
        </w:rPr>
        <w:t xml:space="preserve"> </w:t>
      </w:r>
      <w:r w:rsidRPr="00A81964">
        <w:rPr>
          <w:rFonts w:hint="eastAsia"/>
          <w:b/>
          <w:bCs/>
          <w:rtl/>
        </w:rPr>
        <w:t>פחות</w:t>
      </w:r>
      <w:r w:rsidRPr="00A81964">
        <w:rPr>
          <w:b/>
          <w:bCs/>
          <w:rtl/>
        </w:rPr>
        <w:t xml:space="preserve"> </w:t>
      </w:r>
      <w:r w:rsidRPr="00A81964">
        <w:rPr>
          <w:rFonts w:hint="eastAsia"/>
          <w:b/>
          <w:bCs/>
          <w:rtl/>
        </w:rPr>
        <w:t>משנה</w:t>
      </w:r>
      <w:r w:rsidRPr="00A81964">
        <w:rPr>
          <w:b/>
          <w:bCs/>
          <w:rtl/>
        </w:rPr>
        <w:t xml:space="preserve">, </w:t>
      </w:r>
      <w:r w:rsidRPr="00A81964">
        <w:rPr>
          <w:rFonts w:hint="eastAsia"/>
          <w:b/>
          <w:bCs/>
          <w:rtl/>
        </w:rPr>
        <w:t>וב</w:t>
      </w:r>
      <w:r w:rsidRPr="00A81964">
        <w:rPr>
          <w:b/>
          <w:bCs/>
          <w:rtl/>
        </w:rPr>
        <w:t xml:space="preserve">-86% </w:t>
      </w:r>
      <w:r w:rsidRPr="00A81964">
        <w:rPr>
          <w:rFonts w:hint="eastAsia"/>
          <w:b/>
          <w:bCs/>
          <w:rtl/>
        </w:rPr>
        <w:t>מהם</w:t>
      </w:r>
      <w:r w:rsidRPr="00A81964">
        <w:rPr>
          <w:b/>
          <w:bCs/>
          <w:rtl/>
        </w:rPr>
        <w:t xml:space="preserve"> </w:t>
      </w:r>
      <w:r w:rsidRPr="00A81964">
        <w:rPr>
          <w:rFonts w:hint="eastAsia"/>
          <w:b/>
          <w:bCs/>
          <w:rtl/>
        </w:rPr>
        <w:t>הסתיים</w:t>
      </w:r>
      <w:r w:rsidRPr="00A81964">
        <w:rPr>
          <w:b/>
          <w:bCs/>
          <w:rtl/>
        </w:rPr>
        <w:t xml:space="preserve"> </w:t>
      </w:r>
      <w:r w:rsidRPr="00A81964">
        <w:rPr>
          <w:rFonts w:hint="eastAsia"/>
          <w:b/>
          <w:bCs/>
          <w:rtl/>
        </w:rPr>
        <w:t>הטיפול</w:t>
      </w:r>
      <w:r w:rsidRPr="00A81964">
        <w:rPr>
          <w:b/>
          <w:bCs/>
          <w:rtl/>
        </w:rPr>
        <w:t xml:space="preserve"> </w:t>
      </w:r>
      <w:r w:rsidRPr="00A81964">
        <w:rPr>
          <w:rFonts w:hint="cs"/>
          <w:b/>
          <w:bCs/>
          <w:rtl/>
        </w:rPr>
        <w:t>ב</w:t>
      </w:r>
      <w:r w:rsidRPr="00A81964">
        <w:rPr>
          <w:rFonts w:hint="eastAsia"/>
          <w:b/>
          <w:bCs/>
          <w:rtl/>
        </w:rPr>
        <w:t>תוך</w:t>
      </w:r>
      <w:r w:rsidRPr="00A81964">
        <w:rPr>
          <w:b/>
          <w:bCs/>
          <w:rtl/>
        </w:rPr>
        <w:t xml:space="preserve"> </w:t>
      </w:r>
      <w:r w:rsidRPr="00A81964">
        <w:rPr>
          <w:rFonts w:hint="eastAsia"/>
          <w:b/>
          <w:bCs/>
          <w:rtl/>
        </w:rPr>
        <w:t>פחות</w:t>
      </w:r>
      <w:r w:rsidRPr="00A81964">
        <w:rPr>
          <w:b/>
          <w:bCs/>
          <w:rtl/>
        </w:rPr>
        <w:t xml:space="preserve"> </w:t>
      </w:r>
      <w:r w:rsidRPr="00A81964">
        <w:rPr>
          <w:rFonts w:hint="eastAsia"/>
          <w:b/>
          <w:bCs/>
          <w:rtl/>
        </w:rPr>
        <w:t>מחצי</w:t>
      </w:r>
      <w:r w:rsidRPr="00A81964">
        <w:rPr>
          <w:b/>
          <w:bCs/>
          <w:rtl/>
        </w:rPr>
        <w:t xml:space="preserve"> </w:t>
      </w:r>
      <w:r w:rsidRPr="00A81964">
        <w:rPr>
          <w:rFonts w:hint="eastAsia"/>
          <w:b/>
          <w:bCs/>
          <w:rtl/>
        </w:rPr>
        <w:t>שנה</w:t>
      </w:r>
      <w:r w:rsidRPr="00A81964">
        <w:rPr>
          <w:b/>
          <w:bCs/>
          <w:rtl/>
        </w:rPr>
        <w:t>.</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מהאמור לעיל עולה כי </w:t>
      </w:r>
      <w:r w:rsidRPr="00A81964">
        <w:rPr>
          <w:rFonts w:hint="eastAsia"/>
          <w:b/>
          <w:bCs/>
          <w:rtl/>
        </w:rPr>
        <w:t>משך</w:t>
      </w:r>
      <w:r w:rsidRPr="00A81964">
        <w:rPr>
          <w:b/>
          <w:bCs/>
          <w:rtl/>
        </w:rPr>
        <w:t xml:space="preserve"> </w:t>
      </w:r>
      <w:r w:rsidRPr="00A81964">
        <w:rPr>
          <w:rFonts w:hint="eastAsia"/>
          <w:b/>
          <w:bCs/>
          <w:rtl/>
        </w:rPr>
        <w:t>הזמן</w:t>
      </w:r>
      <w:r w:rsidRPr="00A81964">
        <w:rPr>
          <w:b/>
          <w:bCs/>
          <w:rtl/>
        </w:rPr>
        <w:t xml:space="preserve"> </w:t>
      </w:r>
      <w:r w:rsidRPr="00A81964">
        <w:rPr>
          <w:rFonts w:hint="eastAsia"/>
          <w:b/>
          <w:bCs/>
          <w:rtl/>
        </w:rPr>
        <w:t>הממוצע</w:t>
      </w:r>
      <w:r w:rsidRPr="00A81964">
        <w:rPr>
          <w:b/>
          <w:bCs/>
          <w:rtl/>
        </w:rPr>
        <w:t xml:space="preserve"> </w:t>
      </w:r>
      <w:r w:rsidRPr="00A81964">
        <w:rPr>
          <w:rFonts w:hint="eastAsia"/>
          <w:b/>
          <w:bCs/>
          <w:rtl/>
        </w:rPr>
        <w:t>לסיום</w:t>
      </w:r>
      <w:r w:rsidRPr="00A81964">
        <w:rPr>
          <w:b/>
          <w:bCs/>
          <w:rtl/>
        </w:rPr>
        <w:t xml:space="preserve"> </w:t>
      </w:r>
      <w:r w:rsidRPr="00A81964">
        <w:rPr>
          <w:rFonts w:hint="eastAsia"/>
          <w:b/>
          <w:bCs/>
          <w:rtl/>
        </w:rPr>
        <w:t>הטיפול</w:t>
      </w:r>
      <w:r w:rsidRPr="00A81964">
        <w:rPr>
          <w:b/>
          <w:bCs/>
          <w:rtl/>
        </w:rPr>
        <w:t xml:space="preserve"> </w:t>
      </w:r>
      <w:r w:rsidRPr="00A81964">
        <w:rPr>
          <w:rFonts w:hint="eastAsia"/>
          <w:b/>
          <w:bCs/>
          <w:rtl/>
        </w:rPr>
        <w:t>בעררים</w:t>
      </w:r>
      <w:r w:rsidRPr="00A81964">
        <w:rPr>
          <w:b/>
          <w:bCs/>
          <w:rtl/>
        </w:rPr>
        <w:t xml:space="preserve"> </w:t>
      </w:r>
      <w:r w:rsidRPr="00A81964">
        <w:rPr>
          <w:rFonts w:hint="eastAsia"/>
          <w:b/>
          <w:bCs/>
          <w:rtl/>
        </w:rPr>
        <w:t>שהוגשו</w:t>
      </w:r>
      <w:r w:rsidRPr="00A81964">
        <w:rPr>
          <w:b/>
          <w:bCs/>
          <w:rtl/>
        </w:rPr>
        <w:t xml:space="preserve"> לוועד</w:t>
      </w:r>
      <w:r w:rsidRPr="00A81964">
        <w:rPr>
          <w:rFonts w:hint="cs"/>
          <w:b/>
          <w:bCs/>
          <w:rtl/>
        </w:rPr>
        <w:t>ו</w:t>
      </w:r>
      <w:r w:rsidRPr="00A81964">
        <w:rPr>
          <w:rFonts w:hint="eastAsia"/>
          <w:b/>
          <w:bCs/>
          <w:rtl/>
        </w:rPr>
        <w:t>ת</w:t>
      </w:r>
      <w:r w:rsidRPr="00A81964">
        <w:rPr>
          <w:b/>
          <w:bCs/>
          <w:rtl/>
        </w:rPr>
        <w:t xml:space="preserve"> הערר של </w:t>
      </w:r>
      <w:r w:rsidRPr="002F06CD">
        <w:rPr>
          <w:rFonts w:hint="eastAsia"/>
          <w:b/>
          <w:bCs/>
          <w:rtl/>
        </w:rPr>
        <w:t>קרן</w:t>
      </w:r>
      <w:r w:rsidRPr="002F06CD">
        <w:rPr>
          <w:b/>
          <w:bCs/>
          <w:rtl/>
        </w:rPr>
        <w:t xml:space="preserve"> </w:t>
      </w:r>
      <w:r w:rsidRPr="002F06CD">
        <w:rPr>
          <w:rFonts w:hint="eastAsia"/>
          <w:b/>
          <w:bCs/>
          <w:rtl/>
        </w:rPr>
        <w:t>הפיצויים</w:t>
      </w:r>
      <w:r w:rsidRPr="00A81964">
        <w:rPr>
          <w:b/>
          <w:bCs/>
          <w:rtl/>
        </w:rPr>
        <w:t xml:space="preserve"> </w:t>
      </w:r>
      <w:r w:rsidRPr="00A81964">
        <w:rPr>
          <w:rFonts w:hint="cs"/>
          <w:b/>
          <w:bCs/>
          <w:rtl/>
        </w:rPr>
        <w:t>הוא</w:t>
      </w:r>
      <w:r w:rsidRPr="00A81964">
        <w:rPr>
          <w:b/>
          <w:bCs/>
          <w:rtl/>
        </w:rPr>
        <w:t xml:space="preserve"> 851 ימים, כלומר כ-2.3 שנים</w:t>
      </w:r>
      <w:r w:rsidRPr="00A81964">
        <w:rPr>
          <w:rFonts w:hint="cs"/>
          <w:b/>
          <w:bCs/>
          <w:rtl/>
        </w:rPr>
        <w:t>,</w:t>
      </w:r>
      <w:r w:rsidRPr="00A81964">
        <w:rPr>
          <w:b/>
          <w:bCs/>
          <w:rtl/>
        </w:rPr>
        <w:t xml:space="preserve"> </w:t>
      </w:r>
      <w:r w:rsidRPr="00A81964">
        <w:rPr>
          <w:rFonts w:hint="cs"/>
          <w:b/>
          <w:bCs/>
          <w:rtl/>
        </w:rPr>
        <w:t>ואילו</w:t>
      </w:r>
      <w:r w:rsidRPr="00A81964">
        <w:rPr>
          <w:b/>
          <w:bCs/>
          <w:rtl/>
        </w:rPr>
        <w:t xml:space="preserve"> משך </w:t>
      </w:r>
      <w:r w:rsidRPr="00A81964">
        <w:rPr>
          <w:rFonts w:hint="eastAsia"/>
          <w:b/>
          <w:bCs/>
          <w:rtl/>
        </w:rPr>
        <w:t>הזמן</w:t>
      </w:r>
      <w:r w:rsidRPr="00A81964">
        <w:rPr>
          <w:b/>
          <w:bCs/>
          <w:rtl/>
        </w:rPr>
        <w:t xml:space="preserve"> </w:t>
      </w:r>
      <w:r w:rsidRPr="00A81964">
        <w:rPr>
          <w:rFonts w:hint="eastAsia"/>
          <w:b/>
          <w:bCs/>
          <w:rtl/>
        </w:rPr>
        <w:t>הממוצע</w:t>
      </w:r>
      <w:r w:rsidRPr="00A81964">
        <w:rPr>
          <w:b/>
          <w:bCs/>
          <w:rtl/>
        </w:rPr>
        <w:t xml:space="preserve"> </w:t>
      </w:r>
      <w:r w:rsidRPr="00A81964">
        <w:rPr>
          <w:rFonts w:hint="eastAsia"/>
          <w:b/>
          <w:bCs/>
          <w:rtl/>
        </w:rPr>
        <w:t>לטיפול</w:t>
      </w:r>
      <w:r w:rsidRPr="00A81964">
        <w:rPr>
          <w:b/>
          <w:bCs/>
          <w:rtl/>
        </w:rPr>
        <w:t xml:space="preserve"> </w:t>
      </w:r>
      <w:r w:rsidRPr="00A81964">
        <w:rPr>
          <w:rFonts w:hint="eastAsia"/>
          <w:b/>
          <w:bCs/>
          <w:rtl/>
        </w:rPr>
        <w:t>בעררים</w:t>
      </w:r>
      <w:r w:rsidRPr="00A81964">
        <w:rPr>
          <w:b/>
          <w:bCs/>
          <w:rtl/>
        </w:rPr>
        <w:t xml:space="preserve"> </w:t>
      </w:r>
      <w:r w:rsidRPr="00A81964">
        <w:rPr>
          <w:rFonts w:hint="eastAsia"/>
          <w:b/>
          <w:bCs/>
          <w:rtl/>
        </w:rPr>
        <w:t>שהוגשו</w:t>
      </w:r>
      <w:r w:rsidRPr="00A81964">
        <w:rPr>
          <w:b/>
          <w:bCs/>
          <w:rtl/>
        </w:rPr>
        <w:t xml:space="preserve"> </w:t>
      </w:r>
      <w:r w:rsidRPr="00A81964">
        <w:rPr>
          <w:rFonts w:hint="eastAsia"/>
          <w:b/>
          <w:bCs/>
          <w:rtl/>
        </w:rPr>
        <w:t>לוועד</w:t>
      </w:r>
      <w:r w:rsidRPr="00A81964">
        <w:rPr>
          <w:rFonts w:hint="cs"/>
          <w:b/>
          <w:bCs/>
          <w:rtl/>
        </w:rPr>
        <w:t>ו</w:t>
      </w:r>
      <w:r w:rsidRPr="00A81964">
        <w:rPr>
          <w:rFonts w:hint="eastAsia"/>
          <w:b/>
          <w:bCs/>
          <w:rtl/>
        </w:rPr>
        <w:t>ת</w:t>
      </w:r>
      <w:r w:rsidRPr="00A81964">
        <w:rPr>
          <w:b/>
          <w:bCs/>
          <w:rtl/>
        </w:rPr>
        <w:t xml:space="preserve"> הערר של </w:t>
      </w:r>
      <w:r w:rsidRPr="002F06CD">
        <w:rPr>
          <w:rFonts w:hint="eastAsia"/>
          <w:b/>
          <w:bCs/>
          <w:rtl/>
        </w:rPr>
        <w:t>משרד</w:t>
      </w:r>
      <w:r w:rsidRPr="002F06CD">
        <w:rPr>
          <w:b/>
          <w:bCs/>
          <w:rtl/>
        </w:rPr>
        <w:t xml:space="preserve"> </w:t>
      </w:r>
      <w:r w:rsidRPr="002F06CD">
        <w:rPr>
          <w:rFonts w:hint="eastAsia"/>
          <w:b/>
          <w:bCs/>
          <w:rtl/>
        </w:rPr>
        <w:t>המשפטים</w:t>
      </w:r>
      <w:r w:rsidRPr="00A81964">
        <w:rPr>
          <w:b/>
          <w:bCs/>
          <w:rtl/>
        </w:rPr>
        <w:t xml:space="preserve"> </w:t>
      </w:r>
      <w:r w:rsidRPr="00A81964">
        <w:rPr>
          <w:rFonts w:hint="cs"/>
          <w:b/>
          <w:bCs/>
          <w:rtl/>
        </w:rPr>
        <w:t>הוא</w:t>
      </w:r>
      <w:r w:rsidRPr="00A81964">
        <w:rPr>
          <w:b/>
          <w:bCs/>
          <w:rtl/>
        </w:rPr>
        <w:t xml:space="preserve"> 103 ימים, כלומר כ-3.5 חודשים.</w:t>
      </w:r>
    </w:p>
    <w:p w:rsidR="006252C4" w:rsidRDefault="006252C4" w:rsidP="006252C4">
      <w:pPr>
        <w:pStyle w:val="a8"/>
        <w:spacing w:line="269" w:lineRule="auto"/>
        <w:rPr>
          <w:rtl/>
        </w:rPr>
      </w:pPr>
    </w:p>
    <w:p w:rsidR="006252C4" w:rsidRPr="0008579E" w:rsidRDefault="006252C4" w:rsidP="006252C4">
      <w:pPr>
        <w:spacing w:line="269" w:lineRule="auto"/>
        <w:rPr>
          <w:rtl/>
        </w:rPr>
      </w:pPr>
      <w:r w:rsidRPr="0008579E">
        <w:rPr>
          <w:rFonts w:hint="eastAsia"/>
          <w:rtl/>
        </w:rPr>
        <w:t>ב</w:t>
      </w:r>
      <w:r w:rsidRPr="0008579E">
        <w:rPr>
          <w:rtl/>
        </w:rPr>
        <w:t xml:space="preserve">מכתב יושבי הראש של ועדת ערר מיוני 2020 נכתב כי הקושי העיקרי בתפעול הוועדה הינו היעדר תשתית מינהלית מינימאלית כאשר בפועל "הוועדה נשענת על סטודנטית אחת (!) </w:t>
      </w:r>
      <w:r w:rsidRPr="0008579E">
        <w:rPr>
          <w:rFonts w:hint="eastAsia"/>
          <w:rtl/>
        </w:rPr>
        <w:t>בשכר</w:t>
      </w:r>
      <w:r w:rsidRPr="0008579E">
        <w:rPr>
          <w:rtl/>
        </w:rPr>
        <w:t xml:space="preserve"> שעה ובמשרה חלקית" </w:t>
      </w:r>
      <w:r w:rsidRPr="0008579E">
        <w:rPr>
          <w:rFonts w:hint="eastAsia"/>
          <w:rtl/>
        </w:rPr>
        <w:t>וכי</w:t>
      </w:r>
      <w:r w:rsidRPr="0008579E">
        <w:rPr>
          <w:rtl/>
        </w:rPr>
        <w:t xml:space="preserve"> "איתור </w:t>
      </w:r>
      <w:r w:rsidRPr="0008579E">
        <w:rPr>
          <w:rFonts w:hint="eastAsia"/>
          <w:rtl/>
        </w:rPr>
        <w:t>מקומות</w:t>
      </w:r>
      <w:r w:rsidRPr="0008579E">
        <w:rPr>
          <w:rtl/>
        </w:rPr>
        <w:t xml:space="preserve"> </w:t>
      </w:r>
      <w:r w:rsidRPr="0008579E">
        <w:rPr>
          <w:rFonts w:hint="eastAsia"/>
          <w:rtl/>
        </w:rPr>
        <w:t>לישיבות</w:t>
      </w:r>
      <w:r w:rsidRPr="0008579E">
        <w:rPr>
          <w:rtl/>
        </w:rPr>
        <w:t xml:space="preserve"> </w:t>
      </w:r>
      <w:r w:rsidRPr="0008579E">
        <w:rPr>
          <w:rFonts w:hint="eastAsia"/>
          <w:rtl/>
        </w:rPr>
        <w:t>נתון</w:t>
      </w:r>
      <w:r w:rsidRPr="0008579E">
        <w:rPr>
          <w:rtl/>
        </w:rPr>
        <w:t xml:space="preserve"> </w:t>
      </w:r>
      <w:r w:rsidRPr="0008579E">
        <w:rPr>
          <w:rFonts w:hint="eastAsia"/>
          <w:rtl/>
        </w:rPr>
        <w:t>לשיקול</w:t>
      </w:r>
      <w:r w:rsidRPr="0008579E">
        <w:rPr>
          <w:rtl/>
        </w:rPr>
        <w:t xml:space="preserve"> </w:t>
      </w:r>
      <w:r w:rsidRPr="0008579E">
        <w:rPr>
          <w:rFonts w:hint="eastAsia"/>
          <w:rtl/>
        </w:rPr>
        <w:t>דעתם</w:t>
      </w:r>
      <w:r w:rsidRPr="0008579E">
        <w:rPr>
          <w:rtl/>
        </w:rPr>
        <w:t xml:space="preserve"> </w:t>
      </w:r>
      <w:r w:rsidRPr="0008579E">
        <w:rPr>
          <w:rFonts w:hint="eastAsia"/>
          <w:rtl/>
        </w:rPr>
        <w:t>של</w:t>
      </w:r>
      <w:r w:rsidRPr="0008579E">
        <w:rPr>
          <w:rtl/>
        </w:rPr>
        <w:t xml:space="preserve"> </w:t>
      </w:r>
      <w:r w:rsidRPr="0008579E">
        <w:rPr>
          <w:rFonts w:hint="eastAsia"/>
          <w:rtl/>
        </w:rPr>
        <w:t>הגורמים</w:t>
      </w:r>
      <w:r w:rsidRPr="0008579E">
        <w:rPr>
          <w:rtl/>
        </w:rPr>
        <w:t xml:space="preserve"> </w:t>
      </w:r>
      <w:r w:rsidRPr="0008579E">
        <w:rPr>
          <w:rFonts w:hint="eastAsia"/>
          <w:rtl/>
        </w:rPr>
        <w:t>החיצוניים</w:t>
      </w:r>
      <w:r w:rsidRPr="0008579E">
        <w:rPr>
          <w:rtl/>
        </w:rPr>
        <w:t xml:space="preserve"> </w:t>
      </w:r>
      <w:r w:rsidRPr="0008579E">
        <w:rPr>
          <w:rFonts w:hint="eastAsia"/>
          <w:rtl/>
        </w:rPr>
        <w:t>המארחים</w:t>
      </w:r>
      <w:r w:rsidRPr="0008579E">
        <w:rPr>
          <w:rtl/>
        </w:rPr>
        <w:t xml:space="preserve"> </w:t>
      </w:r>
      <w:r w:rsidRPr="0008579E">
        <w:rPr>
          <w:rFonts w:hint="eastAsia"/>
          <w:rtl/>
        </w:rPr>
        <w:t>ולנדיבות</w:t>
      </w:r>
      <w:r w:rsidRPr="0008579E">
        <w:rPr>
          <w:rtl/>
        </w:rPr>
        <w:t xml:space="preserve"> </w:t>
      </w:r>
      <w:r w:rsidRPr="0008579E">
        <w:rPr>
          <w:rFonts w:hint="eastAsia"/>
          <w:rtl/>
        </w:rPr>
        <w:t>ליבם</w:t>
      </w:r>
      <w:r w:rsidRPr="0008579E">
        <w:rPr>
          <w:rtl/>
        </w:rPr>
        <w:t>".</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2F06CD">
        <w:rPr>
          <w:rFonts w:ascii="David" w:hAnsi="David" w:hint="cs"/>
          <w:sz w:val="24"/>
          <w:rtl/>
        </w:rPr>
        <w:t>בהחלטה של ועדת ערר</w:t>
      </w:r>
      <w:r w:rsidRPr="00A81964">
        <w:rPr>
          <w:rFonts w:ascii="David" w:hAnsi="David" w:hint="cs"/>
          <w:color w:val="000000" w:themeColor="text1"/>
          <w:sz w:val="24"/>
          <w:rtl/>
        </w:rPr>
        <w:t xml:space="preserve"> של קרן הפיצויים מאוגוסט 2019 נכתב "כי למותבי ה</w:t>
      </w:r>
      <w:r>
        <w:rPr>
          <w:rFonts w:ascii="David" w:hAnsi="David" w:hint="cs"/>
          <w:color w:val="000000" w:themeColor="text1"/>
          <w:sz w:val="24"/>
          <w:rtl/>
        </w:rPr>
        <w:t>ו</w:t>
      </w:r>
      <w:r w:rsidRPr="00A81964">
        <w:rPr>
          <w:rFonts w:ascii="David" w:hAnsi="David" w:hint="cs"/>
          <w:color w:val="000000" w:themeColor="text1"/>
          <w:sz w:val="24"/>
          <w:rtl/>
        </w:rPr>
        <w:t>ועדה השונים אין כל שליטה בתיקי ה</w:t>
      </w:r>
      <w:r>
        <w:rPr>
          <w:rFonts w:ascii="David" w:hAnsi="David" w:hint="cs"/>
          <w:color w:val="000000" w:themeColor="text1"/>
          <w:sz w:val="24"/>
          <w:rtl/>
        </w:rPr>
        <w:t>ו</w:t>
      </w:r>
      <w:r w:rsidRPr="00A81964">
        <w:rPr>
          <w:rFonts w:ascii="David" w:hAnsi="David" w:hint="cs"/>
          <w:color w:val="000000" w:themeColor="text1"/>
          <w:sz w:val="24"/>
          <w:rtl/>
        </w:rPr>
        <w:t>ועדה. הללו מצויים בשליטתו ובפיקוחו של המשיב [מנהל קרן הפיצויים]... 'מזכירות הוועדה' הן סטודנטיות המועסקות ע"י המשיב, מתחלפות מעת לעת, וזמינותן לעבודת הו</w:t>
      </w:r>
      <w:r>
        <w:rPr>
          <w:rFonts w:ascii="David" w:hAnsi="David" w:hint="cs"/>
          <w:color w:val="000000" w:themeColor="text1"/>
          <w:sz w:val="24"/>
          <w:rtl/>
        </w:rPr>
        <w:t>ו</w:t>
      </w:r>
      <w:r w:rsidRPr="00A81964">
        <w:rPr>
          <w:rFonts w:ascii="David" w:hAnsi="David" w:hint="cs"/>
          <w:color w:val="000000" w:themeColor="text1"/>
          <w:sz w:val="24"/>
          <w:rtl/>
        </w:rPr>
        <w:t>עדה תלויה בתוכנית הלימודים ובמועדי הבחינות שלהן. מועדים המתואמים ונקבעים ע"י חברי הו</w:t>
      </w:r>
      <w:r>
        <w:rPr>
          <w:rFonts w:ascii="David" w:hAnsi="David" w:hint="cs"/>
          <w:color w:val="000000" w:themeColor="text1"/>
          <w:sz w:val="24"/>
          <w:rtl/>
        </w:rPr>
        <w:t>ו</w:t>
      </w:r>
      <w:r w:rsidRPr="00A81964">
        <w:rPr>
          <w:rFonts w:ascii="David" w:hAnsi="David" w:hint="cs"/>
          <w:color w:val="000000" w:themeColor="text1"/>
          <w:sz w:val="24"/>
          <w:rtl/>
        </w:rPr>
        <w:t xml:space="preserve">עדה, נדחים או מבוטלים </w:t>
      </w:r>
      <w:r w:rsidRPr="00A81964">
        <w:rPr>
          <w:rFonts w:ascii="David" w:hAnsi="David" w:hint="cs"/>
          <w:color w:val="000000" w:themeColor="text1"/>
          <w:sz w:val="24"/>
          <w:rtl/>
        </w:rPr>
        <w:lastRenderedPageBreak/>
        <w:t xml:space="preserve">בשל קשיי היומן של המזכירות... מועברות אלינו בקשות ללא תיקים, ללא חותמת נתקבל, לעיתים באיחור רב, או שדבר הגשתן מתגלה לאחר חודשים של 'טיול' במשרדי הרשות". לסיכום, נכתב בהחלטה כי "בשל תנאים ונסיבות אלה, אין להפריז בכמות התקלות הפוגעות בעבודתה של ועדה זו ואין לנו אלא להצטער על אוזלת היד בטיפול </w:t>
      </w:r>
      <w:proofErr w:type="spellStart"/>
      <w:r w:rsidRPr="00A81964">
        <w:rPr>
          <w:rFonts w:ascii="David" w:hAnsi="David" w:hint="cs"/>
          <w:color w:val="000000" w:themeColor="text1"/>
          <w:sz w:val="24"/>
          <w:rtl/>
        </w:rPr>
        <w:t>בעררים</w:t>
      </w:r>
      <w:proofErr w:type="spellEnd"/>
      <w:r w:rsidRPr="00A81964">
        <w:rPr>
          <w:rFonts w:ascii="David" w:hAnsi="David" w:hint="cs"/>
          <w:color w:val="000000" w:themeColor="text1"/>
          <w:sz w:val="24"/>
          <w:rtl/>
        </w:rPr>
        <w:t xml:space="preserve"> המוגשים </w:t>
      </w:r>
      <w:proofErr w:type="spellStart"/>
      <w:r w:rsidRPr="00A81964">
        <w:rPr>
          <w:rFonts w:ascii="David" w:hAnsi="David" w:hint="cs"/>
          <w:color w:val="000000" w:themeColor="text1"/>
          <w:sz w:val="24"/>
          <w:rtl/>
        </w:rPr>
        <w:t>מכח</w:t>
      </w:r>
      <w:proofErr w:type="spellEnd"/>
      <w:r w:rsidRPr="00A81964">
        <w:rPr>
          <w:rFonts w:ascii="David" w:hAnsi="David" w:hint="cs"/>
          <w:color w:val="000000" w:themeColor="text1"/>
          <w:sz w:val="24"/>
          <w:rtl/>
        </w:rPr>
        <w:t xml:space="preserve"> תקנות מס רכוש וקרן הפיצויים... ובמתן השירות לו נזקק ציבור הניזוקים בדרום הארץ ובעוטף עזה".</w:t>
      </w:r>
    </w:p>
    <w:p w:rsidR="006252C4" w:rsidRDefault="006252C4" w:rsidP="006252C4">
      <w:pPr>
        <w:pStyle w:val="a8"/>
        <w:spacing w:line="269" w:lineRule="auto"/>
        <w:rPr>
          <w:rtl/>
        </w:rPr>
      </w:pPr>
    </w:p>
    <w:p w:rsidR="006252C4" w:rsidRPr="00A81964" w:rsidRDefault="006252C4" w:rsidP="006252C4">
      <w:pPr>
        <w:spacing w:line="269" w:lineRule="auto"/>
        <w:rPr>
          <w:rFonts w:ascii="David" w:hAnsi="David"/>
          <w:color w:val="000000" w:themeColor="text1"/>
          <w:sz w:val="24"/>
          <w:rtl/>
        </w:rPr>
      </w:pPr>
      <w:r w:rsidRPr="00A81964">
        <w:rPr>
          <w:rFonts w:ascii="David" w:hAnsi="David" w:hint="cs"/>
          <w:color w:val="000000" w:themeColor="text1"/>
          <w:sz w:val="24"/>
          <w:rtl/>
        </w:rPr>
        <w:t xml:space="preserve">בדיון שהתקיים ב-5.6.23 </w:t>
      </w:r>
      <w:r w:rsidRPr="00290990">
        <w:rPr>
          <w:rFonts w:ascii="David" w:hAnsi="David" w:hint="cs"/>
          <w:sz w:val="24"/>
          <w:rtl/>
        </w:rPr>
        <w:t>בוועדת הכספים</w:t>
      </w:r>
      <w:r w:rsidRPr="00A81964">
        <w:rPr>
          <w:rFonts w:ascii="David" w:hAnsi="David" w:hint="cs"/>
          <w:color w:val="000000" w:themeColor="text1"/>
          <w:sz w:val="24"/>
          <w:rtl/>
        </w:rPr>
        <w:t xml:space="preserve"> בכנסת ציין נציג לשכת רואי החשבון כי "</w:t>
      </w:r>
      <w:r w:rsidRPr="00A81964">
        <w:rPr>
          <w:rFonts w:ascii="David" w:hAnsi="David"/>
          <w:color w:val="000000" w:themeColor="text1"/>
          <w:sz w:val="24"/>
          <w:rtl/>
        </w:rPr>
        <w:t>יש אנשים שהתביעה שלהם בוועדת ערר מ</w:t>
      </w:r>
      <w:r w:rsidRPr="00A81964">
        <w:rPr>
          <w:rFonts w:ascii="David" w:hAnsi="David" w:hint="cs"/>
          <w:color w:val="000000" w:themeColor="text1"/>
          <w:sz w:val="24"/>
          <w:rtl/>
        </w:rPr>
        <w:t>'</w:t>
      </w:r>
      <w:r w:rsidRPr="00A81964">
        <w:rPr>
          <w:rFonts w:ascii="David" w:hAnsi="David"/>
          <w:color w:val="000000" w:themeColor="text1"/>
          <w:sz w:val="24"/>
          <w:rtl/>
        </w:rPr>
        <w:t>צוק איתן</w:t>
      </w:r>
      <w:r w:rsidRPr="00A81964">
        <w:rPr>
          <w:rFonts w:ascii="David" w:hAnsi="David" w:hint="cs"/>
          <w:color w:val="000000" w:themeColor="text1"/>
          <w:sz w:val="24"/>
          <w:rtl/>
        </w:rPr>
        <w:t>'</w:t>
      </w:r>
      <w:r w:rsidRPr="00A81964">
        <w:rPr>
          <w:rFonts w:ascii="David" w:hAnsi="David"/>
          <w:color w:val="000000" w:themeColor="text1"/>
          <w:sz w:val="24"/>
          <w:rtl/>
        </w:rPr>
        <w:t xml:space="preserve"> עוד לא הוכרעה</w:t>
      </w:r>
      <w:r w:rsidRPr="00A81964">
        <w:rPr>
          <w:rFonts w:ascii="David" w:hAnsi="David" w:hint="cs"/>
          <w:color w:val="000000" w:themeColor="text1"/>
          <w:sz w:val="24"/>
          <w:rtl/>
        </w:rPr>
        <w:t>", בתגובה לכך השיב מנהל קרן הפיצויים כי "</w:t>
      </w:r>
      <w:r w:rsidRPr="00A81964">
        <w:rPr>
          <w:rFonts w:ascii="David" w:hAnsi="David"/>
          <w:color w:val="000000" w:themeColor="text1"/>
          <w:sz w:val="24"/>
          <w:rtl/>
        </w:rPr>
        <w:t xml:space="preserve">הוקמה ועדת ערר ייעודית לעניין הקורונה </w:t>
      </w:r>
      <w:r w:rsidRPr="00A81964">
        <w:rPr>
          <w:rFonts w:ascii="David" w:hAnsi="David" w:hint="cs"/>
          <w:color w:val="000000" w:themeColor="text1"/>
          <w:sz w:val="24"/>
          <w:rtl/>
        </w:rPr>
        <w:t xml:space="preserve">[ועדת הערר של משרד המשפטים] </w:t>
      </w:r>
      <w:r w:rsidRPr="00A81964">
        <w:rPr>
          <w:rFonts w:ascii="David" w:hAnsi="David"/>
          <w:color w:val="000000" w:themeColor="text1"/>
          <w:sz w:val="24"/>
          <w:rtl/>
        </w:rPr>
        <w:t>שבאמת עבדה בזמנים מדהימים. אנחנו מנסים דרך.</w:t>
      </w:r>
      <w:r w:rsidRPr="00A81964">
        <w:rPr>
          <w:rFonts w:ascii="David" w:hAnsi="David" w:hint="cs"/>
          <w:color w:val="000000" w:themeColor="text1"/>
          <w:sz w:val="24"/>
          <w:rtl/>
        </w:rPr>
        <w:t>.. [המשנה למנהל רשות המיסים]</w:t>
      </w:r>
      <w:r w:rsidRPr="00A81964">
        <w:rPr>
          <w:rFonts w:ascii="David" w:hAnsi="David"/>
          <w:color w:val="000000" w:themeColor="text1"/>
          <w:sz w:val="24"/>
          <w:rtl/>
        </w:rPr>
        <w:t xml:space="preserve"> ודרך מנכ"ל משרד המשפטים להעביר את הוועדה הזאת לוועדה של הקורונה</w:t>
      </w:r>
      <w:r w:rsidRPr="00A81964">
        <w:rPr>
          <w:rFonts w:ascii="David" w:hAnsi="David" w:hint="cs"/>
          <w:color w:val="000000" w:themeColor="text1"/>
          <w:sz w:val="24"/>
          <w:rtl/>
        </w:rPr>
        <w:t xml:space="preserve"> </w:t>
      </w:r>
      <w:r w:rsidRPr="00A81964">
        <w:rPr>
          <w:rFonts w:ascii="David" w:hAnsi="David" w:hint="cs"/>
          <w:sz w:val="24"/>
          <w:rtl/>
        </w:rPr>
        <w:t>[ועדת הערר של משרד המשפטים]</w:t>
      </w:r>
      <w:r w:rsidRPr="00A81964">
        <w:rPr>
          <w:rFonts w:ascii="David" w:hAnsi="David" w:hint="cs"/>
          <w:color w:val="000000" w:themeColor="text1"/>
          <w:sz w:val="24"/>
          <w:rtl/>
        </w:rPr>
        <w:t>"</w:t>
      </w:r>
      <w:r w:rsidRPr="00A81964">
        <w:rPr>
          <w:rFonts w:ascii="David" w:hAnsi="David"/>
          <w:color w:val="000000" w:themeColor="text1"/>
          <w:sz w:val="24"/>
          <w:rtl/>
        </w:rPr>
        <w:t>.</w:t>
      </w:r>
    </w:p>
    <w:p w:rsidR="006252C4" w:rsidRDefault="006252C4" w:rsidP="006252C4">
      <w:pPr>
        <w:pStyle w:val="a8"/>
        <w:spacing w:line="269" w:lineRule="auto"/>
        <w:rPr>
          <w:rtl/>
        </w:rPr>
      </w:pPr>
    </w:p>
    <w:p w:rsidR="006252C4" w:rsidRDefault="006252C4" w:rsidP="006252C4">
      <w:pPr>
        <w:spacing w:line="269" w:lineRule="auto"/>
        <w:rPr>
          <w:b/>
          <w:bCs/>
          <w:rtl/>
        </w:rPr>
      </w:pPr>
      <w:r w:rsidRPr="00A81964">
        <w:rPr>
          <w:b/>
          <w:bCs/>
          <w:rtl/>
        </w:rPr>
        <w:t>ה</w:t>
      </w:r>
      <w:r w:rsidRPr="00A81964">
        <w:rPr>
          <w:rFonts w:hint="eastAsia"/>
          <w:b/>
          <w:bCs/>
          <w:rtl/>
        </w:rPr>
        <w:t>תארכות</w:t>
      </w:r>
      <w:r w:rsidRPr="00A81964">
        <w:rPr>
          <w:b/>
          <w:bCs/>
          <w:rtl/>
        </w:rPr>
        <w:t xml:space="preserve"> </w:t>
      </w:r>
      <w:r w:rsidRPr="00A81964">
        <w:rPr>
          <w:rFonts w:hint="cs"/>
          <w:b/>
          <w:bCs/>
          <w:rtl/>
        </w:rPr>
        <w:t>תקופת הטיפול</w:t>
      </w:r>
      <w:r w:rsidRPr="00A81964">
        <w:rPr>
          <w:b/>
          <w:bCs/>
          <w:rtl/>
        </w:rPr>
        <w:t xml:space="preserve"> </w:t>
      </w:r>
      <w:r w:rsidRPr="00A81964">
        <w:rPr>
          <w:rFonts w:hint="eastAsia"/>
          <w:b/>
          <w:bCs/>
          <w:rtl/>
        </w:rPr>
        <w:t>בעררים</w:t>
      </w:r>
      <w:r w:rsidRPr="00A81964">
        <w:rPr>
          <w:b/>
          <w:bCs/>
          <w:rtl/>
        </w:rPr>
        <w:t xml:space="preserve"> </w:t>
      </w:r>
      <w:r w:rsidRPr="00A81964">
        <w:rPr>
          <w:rFonts w:hint="eastAsia"/>
          <w:b/>
          <w:bCs/>
          <w:rtl/>
        </w:rPr>
        <w:t>על</w:t>
      </w:r>
      <w:r w:rsidRPr="00A81964">
        <w:rPr>
          <w:b/>
          <w:bCs/>
          <w:rtl/>
        </w:rPr>
        <w:t xml:space="preserve"> </w:t>
      </w:r>
      <w:r w:rsidRPr="00A81964">
        <w:rPr>
          <w:rFonts w:hint="eastAsia"/>
          <w:b/>
          <w:bCs/>
          <w:rtl/>
        </w:rPr>
        <w:t>ידי</w:t>
      </w:r>
      <w:r w:rsidRPr="00A81964">
        <w:rPr>
          <w:b/>
          <w:bCs/>
          <w:rtl/>
        </w:rPr>
        <w:t xml:space="preserve"> </w:t>
      </w:r>
      <w:r w:rsidRPr="00A81964">
        <w:rPr>
          <w:rFonts w:hint="eastAsia"/>
          <w:b/>
          <w:bCs/>
          <w:rtl/>
        </w:rPr>
        <w:t>ועד</w:t>
      </w:r>
      <w:r w:rsidRPr="00A81964">
        <w:rPr>
          <w:rFonts w:hint="cs"/>
          <w:b/>
          <w:bCs/>
          <w:rtl/>
        </w:rPr>
        <w:t>ו</w:t>
      </w:r>
      <w:r w:rsidRPr="00A81964">
        <w:rPr>
          <w:rFonts w:hint="eastAsia"/>
          <w:b/>
          <w:bCs/>
          <w:rtl/>
        </w:rPr>
        <w:t>ת</w:t>
      </w:r>
      <w:r w:rsidRPr="00A81964">
        <w:rPr>
          <w:b/>
          <w:bCs/>
          <w:rtl/>
        </w:rPr>
        <w:t xml:space="preserve"> </w:t>
      </w:r>
      <w:r w:rsidRPr="00A81964">
        <w:rPr>
          <w:rFonts w:hint="eastAsia"/>
          <w:b/>
          <w:bCs/>
          <w:rtl/>
        </w:rPr>
        <w:t>הערר</w:t>
      </w:r>
      <w:r w:rsidRPr="00A81964">
        <w:rPr>
          <w:b/>
          <w:bCs/>
          <w:rtl/>
        </w:rPr>
        <w:t xml:space="preserve"> </w:t>
      </w:r>
      <w:r w:rsidRPr="00A81964">
        <w:rPr>
          <w:rFonts w:hint="eastAsia"/>
          <w:b/>
          <w:bCs/>
          <w:rtl/>
        </w:rPr>
        <w:t>של</w:t>
      </w:r>
      <w:r w:rsidRPr="00A81964">
        <w:rPr>
          <w:b/>
          <w:bCs/>
          <w:rtl/>
        </w:rPr>
        <w:t xml:space="preserve"> </w:t>
      </w:r>
      <w:r w:rsidRPr="00A81964">
        <w:rPr>
          <w:rFonts w:hint="eastAsia"/>
          <w:b/>
          <w:bCs/>
          <w:rtl/>
        </w:rPr>
        <w:t>קרן</w:t>
      </w:r>
      <w:r w:rsidRPr="00A81964">
        <w:rPr>
          <w:b/>
          <w:bCs/>
          <w:rtl/>
        </w:rPr>
        <w:t xml:space="preserve"> </w:t>
      </w:r>
      <w:r w:rsidRPr="00A81964">
        <w:rPr>
          <w:rFonts w:hint="eastAsia"/>
          <w:b/>
          <w:bCs/>
          <w:rtl/>
        </w:rPr>
        <w:t>הפיצויים</w:t>
      </w:r>
      <w:r w:rsidRPr="00A81964">
        <w:rPr>
          <w:rFonts w:hint="cs"/>
          <w:b/>
          <w:bCs/>
          <w:rtl/>
        </w:rPr>
        <w:t xml:space="preserve"> פוגעת בשירות לציבור הנפגעים ומביאה לכך שבעלי עסקים שנגרמו להם נזקים עקיפים ובעלי נכסים שניזוקו נותרים במשך זמן רב באי-ודאות בנוגע לזכאותם לפיצוי. התארכות תקופה זו, שבממוצע ארוכה עד פי שמונה יותר מזמן הטיפול בוועדות הערר של משרד המשפטים, ובעררים מסוימים אף יותר מעשר שנים, </w:t>
      </w:r>
      <w:r w:rsidRPr="00A81964">
        <w:rPr>
          <w:b/>
          <w:bCs/>
          <w:rtl/>
        </w:rPr>
        <w:t xml:space="preserve">אינה עולה בקנה אחד עם החובות המוטלות על המינהל הציבורי לנהוג בהגינות, ביעילות ובסבירות, ואינה תואמת </w:t>
      </w:r>
      <w:r>
        <w:rPr>
          <w:rFonts w:hint="cs"/>
          <w:b/>
          <w:bCs/>
          <w:rtl/>
        </w:rPr>
        <w:t>את ה</w:t>
      </w:r>
      <w:r w:rsidRPr="00A81964">
        <w:rPr>
          <w:b/>
          <w:bCs/>
          <w:rtl/>
        </w:rPr>
        <w:t>עקרונות של מ</w:t>
      </w:r>
      <w:r>
        <w:rPr>
          <w:rFonts w:hint="cs"/>
          <w:b/>
          <w:bCs/>
          <w:rtl/>
        </w:rPr>
        <w:t>י</w:t>
      </w:r>
      <w:r w:rsidRPr="00A81964">
        <w:rPr>
          <w:b/>
          <w:bCs/>
          <w:rtl/>
        </w:rPr>
        <w:t>נהל תקין.</w:t>
      </w:r>
      <w:r w:rsidRPr="00A81964" w:rsidDel="00BC356F">
        <w:rPr>
          <w:rFonts w:hint="cs"/>
          <w:b/>
          <w:bCs/>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Fonts w:ascii="David" w:hAnsi="David"/>
          <w:b/>
          <w:bCs/>
          <w:color w:val="000000" w:themeColor="text1"/>
          <w:sz w:val="24"/>
          <w:rtl/>
        </w:rPr>
      </w:pPr>
      <w:r w:rsidRPr="00A81964">
        <w:rPr>
          <w:rFonts w:ascii="David" w:hAnsi="David" w:hint="eastAsia"/>
          <w:b/>
          <w:bCs/>
          <w:color w:val="000000" w:themeColor="text1"/>
          <w:sz w:val="24"/>
          <w:rtl/>
        </w:rPr>
        <w:t>משרד</w:t>
      </w:r>
      <w:r w:rsidRPr="00A81964">
        <w:rPr>
          <w:rFonts w:ascii="David" w:hAnsi="David"/>
          <w:b/>
          <w:bCs/>
          <w:color w:val="000000" w:themeColor="text1"/>
          <w:sz w:val="24"/>
          <w:rtl/>
        </w:rPr>
        <w:t xml:space="preserve"> מבקר המדינה ממליץ לרשות המיסים ולמשרד המשפטים לפעול בהקדם </w:t>
      </w:r>
      <w:r w:rsidRPr="00A81964">
        <w:rPr>
          <w:rFonts w:ascii="David" w:hAnsi="David" w:hint="eastAsia"/>
          <w:b/>
          <w:bCs/>
          <w:color w:val="000000" w:themeColor="text1"/>
          <w:sz w:val="24"/>
          <w:rtl/>
        </w:rPr>
        <w:t>לייזום</w:t>
      </w:r>
      <w:r w:rsidRPr="00A81964">
        <w:rPr>
          <w:rFonts w:ascii="David" w:hAnsi="David"/>
          <w:b/>
          <w:bCs/>
          <w:color w:val="000000" w:themeColor="text1"/>
          <w:sz w:val="24"/>
          <w:rtl/>
        </w:rPr>
        <w:t xml:space="preserve"> תיקון חקיקה שיסמיך את ועדות הערר במשרד המשפטים לדון </w:t>
      </w:r>
      <w:r w:rsidRPr="00A81964">
        <w:rPr>
          <w:rFonts w:ascii="David" w:hAnsi="David" w:hint="eastAsia"/>
          <w:b/>
          <w:bCs/>
          <w:color w:val="000000" w:themeColor="text1"/>
          <w:sz w:val="24"/>
          <w:rtl/>
        </w:rPr>
        <w:t>בכל</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העררים</w:t>
      </w:r>
      <w:r w:rsidRPr="00A81964">
        <w:rPr>
          <w:rFonts w:ascii="David" w:hAnsi="David"/>
          <w:b/>
          <w:bCs/>
          <w:color w:val="000000" w:themeColor="text1"/>
          <w:sz w:val="24"/>
          <w:rtl/>
        </w:rPr>
        <w:t xml:space="preserve"> המוגשים </w:t>
      </w:r>
      <w:r w:rsidRPr="00A81964">
        <w:rPr>
          <w:rFonts w:ascii="David" w:hAnsi="David" w:hint="eastAsia"/>
          <w:b/>
          <w:bCs/>
          <w:color w:val="000000" w:themeColor="text1"/>
          <w:sz w:val="24"/>
          <w:rtl/>
        </w:rPr>
        <w:t>על</w:t>
      </w:r>
      <w:r w:rsidRPr="00A81964">
        <w:rPr>
          <w:rFonts w:ascii="David" w:hAnsi="David"/>
          <w:b/>
          <w:bCs/>
          <w:color w:val="000000" w:themeColor="text1"/>
          <w:sz w:val="24"/>
          <w:rtl/>
        </w:rPr>
        <w:t xml:space="preserve"> החלטות קרן הפיצויים בתביעות לתשלום </w:t>
      </w:r>
      <w:r w:rsidRPr="00A81964">
        <w:rPr>
          <w:rFonts w:ascii="David" w:hAnsi="David" w:hint="eastAsia"/>
          <w:b/>
          <w:bCs/>
          <w:color w:val="000000" w:themeColor="text1"/>
          <w:sz w:val="24"/>
          <w:rtl/>
        </w:rPr>
        <w:t>פיצויים</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על</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פי</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חוק</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קרן</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הפיצויים</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והתקנות</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מכוחו</w:t>
      </w:r>
      <w:r w:rsidRPr="00A81964">
        <w:rPr>
          <w:rFonts w:ascii="David" w:hAnsi="David"/>
          <w:b/>
          <w:bCs/>
          <w:color w:val="000000" w:themeColor="text1"/>
          <w:sz w:val="24"/>
          <w:rtl/>
        </w:rPr>
        <w:t xml:space="preserve">. זאת כדי </w:t>
      </w:r>
      <w:r w:rsidRPr="00A81964">
        <w:rPr>
          <w:rFonts w:ascii="David" w:hAnsi="David" w:hint="eastAsia"/>
          <w:b/>
          <w:bCs/>
          <w:color w:val="000000" w:themeColor="text1"/>
          <w:sz w:val="24"/>
          <w:rtl/>
        </w:rPr>
        <w:t>לפתור</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את</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ניגוד</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העניינים</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המובנה</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במצב</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החוקי</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הנוכחי</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ולהביא</w:t>
      </w:r>
      <w:r w:rsidRPr="00A81964">
        <w:rPr>
          <w:rFonts w:ascii="David" w:hAnsi="David"/>
          <w:b/>
          <w:bCs/>
          <w:color w:val="000000" w:themeColor="text1"/>
          <w:sz w:val="24"/>
          <w:rtl/>
        </w:rPr>
        <w:t xml:space="preserve"> לטיפול יעיל </w:t>
      </w:r>
      <w:r w:rsidRPr="00A81964">
        <w:rPr>
          <w:rFonts w:ascii="David" w:hAnsi="David" w:hint="eastAsia"/>
          <w:b/>
          <w:bCs/>
          <w:color w:val="000000" w:themeColor="text1"/>
          <w:sz w:val="24"/>
          <w:rtl/>
        </w:rPr>
        <w:t>בעררים</w:t>
      </w:r>
      <w:r w:rsidRPr="00A81964">
        <w:rPr>
          <w:rFonts w:ascii="David" w:hAnsi="David"/>
          <w:b/>
          <w:bCs/>
          <w:color w:val="000000" w:themeColor="text1"/>
          <w:sz w:val="24"/>
          <w:rtl/>
        </w:rPr>
        <w:t xml:space="preserve"> על תביעות בגין נזקים ישירים ועקיפים, בפרקי זמן קצרים ובאופן בלתי תלוי.</w:t>
      </w:r>
      <w:r w:rsidRPr="00A81964">
        <w:rPr>
          <w:rFonts w:ascii="David" w:hAnsi="David" w:hint="cs"/>
          <w:b/>
          <w:bCs/>
          <w:color w:val="000000" w:themeColor="text1"/>
          <w:sz w:val="24"/>
          <w:rtl/>
        </w:rPr>
        <w:t xml:space="preserve"> עוד ממליץ כי עד להסדרה כאמור, ועדות הערר יפעלו לקיצור לוחות הזמנים ו</w:t>
      </w:r>
      <w:r>
        <w:rPr>
          <w:rFonts w:ascii="David" w:hAnsi="David" w:hint="cs"/>
          <w:b/>
          <w:bCs/>
          <w:color w:val="000000" w:themeColor="text1"/>
          <w:sz w:val="24"/>
          <w:rtl/>
        </w:rPr>
        <w:t>ל</w:t>
      </w:r>
      <w:r w:rsidRPr="00A81964">
        <w:rPr>
          <w:rFonts w:ascii="David" w:hAnsi="David" w:hint="cs"/>
          <w:b/>
          <w:bCs/>
          <w:color w:val="000000" w:themeColor="text1"/>
          <w:sz w:val="24"/>
          <w:rtl/>
        </w:rPr>
        <w:t xml:space="preserve">מתן מענים בלוחות זמנים סבירים. </w:t>
      </w:r>
    </w:p>
    <w:p w:rsidR="006252C4" w:rsidRPr="00A81964" w:rsidRDefault="006252C4" w:rsidP="006252C4">
      <w:pPr>
        <w:spacing w:line="269" w:lineRule="auto"/>
        <w:rPr>
          <w:rtl/>
        </w:rPr>
      </w:pPr>
    </w:p>
    <w:p w:rsidR="006252C4" w:rsidRPr="00A81964" w:rsidRDefault="006252C4" w:rsidP="006252C4">
      <w:pPr>
        <w:pStyle w:val="31"/>
        <w:spacing w:before="0" w:line="269" w:lineRule="auto"/>
        <w:rPr>
          <w:rtl/>
        </w:rPr>
      </w:pPr>
      <w:r w:rsidRPr="00A81964">
        <w:rPr>
          <w:rFonts w:hint="cs"/>
          <w:rtl/>
        </w:rPr>
        <w:t>אופן סיווג היישובים כיישובי ספר</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שר האוצר</w:t>
      </w:r>
      <w:r w:rsidRPr="00A81964">
        <w:rPr>
          <w:rStyle w:val="af2"/>
          <w:rtl/>
        </w:rPr>
        <w:footnoteReference w:id="120"/>
      </w:r>
      <w:r w:rsidRPr="00A81964">
        <w:rPr>
          <w:rFonts w:hint="cs"/>
          <w:rtl/>
        </w:rPr>
        <w:t>, באישור ועדת הכספים, רשאי לקבוע את רשימת היישובים שייחשבו ליישוב</w:t>
      </w:r>
      <w:r w:rsidRPr="00A81964">
        <w:rPr>
          <w:rFonts w:hint="eastAsia"/>
          <w:rtl/>
        </w:rPr>
        <w:t>י</w:t>
      </w:r>
      <w:r w:rsidRPr="00A81964">
        <w:rPr>
          <w:rFonts w:hint="cs"/>
          <w:rtl/>
        </w:rPr>
        <w:t xml:space="preserve"> ספר לצורך חוק קרן הפיצויים והתקנות. רשימה זו מפורסמת בילקוט הפרסומים</w:t>
      </w:r>
      <w:r w:rsidRPr="00A81964">
        <w:rPr>
          <w:rStyle w:val="af2"/>
          <w:rtl/>
        </w:rPr>
        <w:footnoteReference w:id="121"/>
      </w:r>
      <w:r w:rsidRPr="00A81964">
        <w:rPr>
          <w:rFonts w:hint="cs"/>
          <w:rtl/>
        </w:rPr>
        <w:t xml:space="preserve"> תחת השם "הודעה בדבר יישוב ספר לפי חוק מס </w:t>
      </w:r>
      <w:r w:rsidRPr="00D070AF">
        <w:rPr>
          <w:rFonts w:hint="cs"/>
          <w:rtl/>
        </w:rPr>
        <w:t>רכוש ו</w:t>
      </w:r>
      <w:r w:rsidRPr="00D070AF">
        <w:rPr>
          <w:rFonts w:hint="eastAsia"/>
          <w:rtl/>
        </w:rPr>
        <w:t>קרן</w:t>
      </w:r>
      <w:r w:rsidRPr="00A81964">
        <w:rPr>
          <w:rFonts w:hint="cs"/>
          <w:rtl/>
        </w:rPr>
        <w:t xml:space="preserve"> פיצויים, התשכ"ה-1965" ומתעדכנת מדי פעם (להלן - רשימת יישובי הספר או הרשימה). הרשימה פורסמה לראשונה </w:t>
      </w:r>
      <w:r w:rsidRPr="00290990">
        <w:rPr>
          <w:rFonts w:hint="cs"/>
          <w:rtl/>
        </w:rPr>
        <w:t>בשנת 1959</w:t>
      </w:r>
      <w:r w:rsidRPr="00A81964">
        <w:rPr>
          <w:rFonts w:hint="cs"/>
          <w:rtl/>
        </w:rPr>
        <w:t xml:space="preserve"> והורחבה מספר פעמים לאורך השנים. נכון למועד סיום הביקורת היא </w:t>
      </w:r>
      <w:r w:rsidRPr="00290990">
        <w:rPr>
          <w:rFonts w:hint="cs"/>
          <w:rtl/>
        </w:rPr>
        <w:t>מונה 276 יישובים.</w:t>
      </w:r>
      <w:r w:rsidRPr="00A81964">
        <w:rPr>
          <w:rFonts w:hint="cs"/>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הרשימה כוללת בעיקר יישובים השוכנים בסמוך לגבולות מדינת ישראל, כגון קריית שמונה, נהרייה, ראש הנקרה, שלומי, בארי, ניר עוז, עלומים, כרם שלום, פארן, קטורה, יוטבתה, עין גדי וטירת צבי.</w:t>
      </w:r>
    </w:p>
    <w:p w:rsidR="006252C4" w:rsidRDefault="006252C4" w:rsidP="006252C4">
      <w:pPr>
        <w:spacing w:line="269" w:lineRule="auto"/>
        <w:rPr>
          <w:rtl/>
        </w:rPr>
      </w:pPr>
      <w:r w:rsidRPr="00A81964">
        <w:rPr>
          <w:rtl/>
        </w:rPr>
        <w:lastRenderedPageBreak/>
        <w:t>לאחר פרוץ מלחמת חרבות ברזל נוספו באופן זמני לרשי</w:t>
      </w:r>
      <w:r w:rsidRPr="00A81964">
        <w:rPr>
          <w:rFonts w:hint="cs"/>
          <w:rtl/>
        </w:rPr>
        <w:t>מה</w:t>
      </w:r>
      <w:r w:rsidRPr="00A81964">
        <w:rPr>
          <w:rtl/>
        </w:rPr>
        <w:t xml:space="preserve"> </w:t>
      </w:r>
      <w:r w:rsidRPr="00290990">
        <w:rPr>
          <w:rFonts w:hint="cs"/>
          <w:rtl/>
        </w:rPr>
        <w:t>14</w:t>
      </w:r>
      <w:r w:rsidRPr="00290990">
        <w:rPr>
          <w:rtl/>
        </w:rPr>
        <w:t xml:space="preserve"> י</w:t>
      </w:r>
      <w:r w:rsidRPr="00290990">
        <w:rPr>
          <w:rFonts w:hint="cs"/>
          <w:rtl/>
        </w:rPr>
        <w:t>י</w:t>
      </w:r>
      <w:r w:rsidRPr="00290990">
        <w:rPr>
          <w:rtl/>
        </w:rPr>
        <w:t>שובים</w:t>
      </w:r>
      <w:r w:rsidRPr="00A81964">
        <w:rPr>
          <w:rStyle w:val="af2"/>
          <w:rtl/>
        </w:rPr>
        <w:footnoteReference w:id="122"/>
      </w:r>
      <w:r w:rsidRPr="00A81964">
        <w:rPr>
          <w:rFonts w:hint="cs"/>
          <w:rtl/>
        </w:rPr>
        <w:t>, וזאת לתקופה שהוארכה מדי פעם</w:t>
      </w:r>
      <w:r w:rsidRPr="00A81964">
        <w:rPr>
          <w:rStyle w:val="af2"/>
          <w:rtl/>
        </w:rPr>
        <w:footnoteReference w:id="123"/>
      </w:r>
      <w:r w:rsidRPr="00A81964">
        <w:rPr>
          <w:rtl/>
        </w:rPr>
        <w:t xml:space="preserve">. </w:t>
      </w:r>
    </w:p>
    <w:p w:rsidR="006252C4" w:rsidRPr="00A81964" w:rsidRDefault="006252C4" w:rsidP="006252C4">
      <w:pPr>
        <w:spacing w:line="269" w:lineRule="auto"/>
        <w:rPr>
          <w:rtl/>
        </w:rPr>
      </w:pPr>
    </w:p>
    <w:p w:rsidR="006252C4" w:rsidRPr="00A81964" w:rsidRDefault="006252C4" w:rsidP="006252C4">
      <w:pPr>
        <w:spacing w:line="269" w:lineRule="auto"/>
        <w:rPr>
          <w:rtl/>
        </w:rPr>
      </w:pPr>
      <w:r w:rsidRPr="00A81964">
        <w:rPr>
          <w:rFonts w:hint="cs"/>
          <w:rtl/>
        </w:rPr>
        <w:t xml:space="preserve">בדוח </w:t>
      </w:r>
      <w:r w:rsidRPr="00290990">
        <w:rPr>
          <w:rFonts w:hint="cs"/>
          <w:rtl/>
        </w:rPr>
        <w:t>ועדת נזק עקיף</w:t>
      </w:r>
      <w:r w:rsidRPr="00A81964">
        <w:rPr>
          <w:rFonts w:hint="cs"/>
          <w:rtl/>
        </w:rPr>
        <w:t xml:space="preserve"> נכתב כי "</w:t>
      </w:r>
      <w:r w:rsidRPr="00A81964">
        <w:rPr>
          <w:rtl/>
        </w:rPr>
        <w:t>קביעת יישובי הספר כפי שנעשתה בעבר</w:t>
      </w:r>
      <w:r w:rsidRPr="00A81964">
        <w:rPr>
          <w:rFonts w:hint="cs"/>
          <w:rtl/>
        </w:rPr>
        <w:t xml:space="preserve"> </w:t>
      </w:r>
      <w:r w:rsidRPr="00A81964">
        <w:rPr>
          <w:rtl/>
        </w:rPr>
        <w:t>התבססה על סמיכות היישובים לגדר הגבול באותו זמן לרבות גבול מצרים</w:t>
      </w:r>
      <w:r w:rsidRPr="00A81964">
        <w:rPr>
          <w:rFonts w:hint="cs"/>
          <w:rtl/>
        </w:rPr>
        <w:t xml:space="preserve"> </w:t>
      </w:r>
      <w:r w:rsidRPr="00A81964">
        <w:rPr>
          <w:rtl/>
        </w:rPr>
        <w:t>וירדן</w:t>
      </w:r>
      <w:r w:rsidRPr="00A81964">
        <w:rPr>
          <w:rFonts w:hint="cs"/>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היחשבותו של יישוב כיישוב ספר בהתאם לחוק קרן הפיצויים מקנה לעסקים הפועלים בו זכויות שאינן עומדות לעסקים מיישובים אחרים שאינם יישובי ספר. עסק הפועל ביישוב ספר זכאי להגיש תביעה לפיצוי בגין נזק עקיף כהגדרתו בס' 35 לחוק בהתאם למסלול האדום. היקף הזכאות לפיצוי על נזק עקיף כהגדרתו בס' 35 לחוק רחב יותר מפיצוי על נזק עקיף מכוח הגדרות השונות של "שווי נזק עקיף" לפי מסלולי פיצוי אחרים כגון מסלול מחזורים או מסלול שכר. כמו כן, בהתאם לתקנות קרן הפיצויים, הפיצוי שיינתן בגין נזק עקיף במסלול האדום הוא 100% משווי הנזק</w:t>
      </w:r>
      <w:r w:rsidRPr="00A81964">
        <w:rPr>
          <w:rStyle w:val="af2"/>
          <w:rtl/>
        </w:rPr>
        <w:footnoteReference w:id="124"/>
      </w:r>
      <w:r w:rsidRPr="00A81964">
        <w:rPr>
          <w:rFonts w:hint="cs"/>
          <w:rtl/>
        </w:rPr>
        <w:t xml:space="preserve"> שהוכח, ואילו במסלולים אחרים הפיצוי מחושב לפי נוסחה או על בסיס סכומים שנקבעו בחוק ובתקנות, ומשכך על פי רוב הוא נמוך יותר משווי הנזק העקיף. נוסף על כך, הפיצוי במסלול האדום</w:t>
      </w:r>
      <w:r w:rsidRPr="00A81964">
        <w:rPr>
          <w:rtl/>
        </w:rPr>
        <w:t xml:space="preserve"> כולל פיצוי בגין </w:t>
      </w:r>
      <w:r w:rsidRPr="00A81964">
        <w:rPr>
          <w:rFonts w:hint="cs"/>
          <w:rtl/>
        </w:rPr>
        <w:t>מניעת רווח בעתיד.</w:t>
      </w:r>
    </w:p>
    <w:p w:rsidR="006252C4" w:rsidRDefault="006252C4" w:rsidP="006252C4">
      <w:pPr>
        <w:pStyle w:val="a8"/>
        <w:spacing w:line="269" w:lineRule="auto"/>
        <w:rPr>
          <w:rtl/>
        </w:rPr>
      </w:pPr>
    </w:p>
    <w:p w:rsidR="006252C4" w:rsidRPr="00A81964" w:rsidRDefault="006252C4" w:rsidP="006252C4">
      <w:pPr>
        <w:spacing w:line="269" w:lineRule="auto"/>
        <w:rPr>
          <w:rFonts w:ascii="David" w:hAnsi="David"/>
          <w:b/>
          <w:bCs/>
          <w:color w:val="000000" w:themeColor="text1"/>
          <w:sz w:val="24"/>
          <w:rtl/>
        </w:rPr>
      </w:pPr>
      <w:r w:rsidRPr="00A81964">
        <w:rPr>
          <w:rFonts w:ascii="David" w:hAnsi="David" w:hint="cs"/>
          <w:b/>
          <w:bCs/>
          <w:color w:val="000000" w:themeColor="text1"/>
          <w:sz w:val="24"/>
          <w:rtl/>
        </w:rPr>
        <w:t xml:space="preserve">על אף החשיבות שבהגדרת יישוב מסוים כיישוב ספר לצורך קביעת זכאותם של עסקים לתביעת פיצויים בגין נזקי עקיף, </w:t>
      </w:r>
      <w:r w:rsidRPr="00A81964">
        <w:rPr>
          <w:rFonts w:ascii="David" w:hAnsi="David" w:hint="eastAsia"/>
          <w:b/>
          <w:bCs/>
          <w:color w:val="000000" w:themeColor="text1"/>
          <w:sz w:val="24"/>
          <w:rtl/>
        </w:rPr>
        <w:t>לא</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נקבעו</w:t>
      </w:r>
      <w:r w:rsidRPr="00A81964">
        <w:rPr>
          <w:rFonts w:ascii="David" w:hAnsi="David" w:hint="cs"/>
          <w:b/>
          <w:bCs/>
          <w:color w:val="000000" w:themeColor="text1"/>
          <w:sz w:val="24"/>
          <w:rtl/>
        </w:rPr>
        <w:t xml:space="preserve"> בתקנות קרן הפיצויים</w:t>
      </w:r>
      <w:r w:rsidRPr="00A81964">
        <w:rPr>
          <w:rFonts w:ascii="David" w:hAnsi="David"/>
          <w:b/>
          <w:bCs/>
          <w:color w:val="000000" w:themeColor="text1"/>
          <w:sz w:val="24"/>
          <w:rtl/>
        </w:rPr>
        <w:t xml:space="preserve"> קריטריונים אובייקטיבים </w:t>
      </w:r>
      <w:r w:rsidRPr="00A81964">
        <w:rPr>
          <w:rFonts w:ascii="David" w:hAnsi="David" w:hint="cs"/>
          <w:b/>
          <w:bCs/>
          <w:color w:val="000000" w:themeColor="text1"/>
          <w:sz w:val="24"/>
          <w:rtl/>
        </w:rPr>
        <w:t>שבהתקיימם</w:t>
      </w:r>
      <w:r w:rsidRPr="00A81964">
        <w:rPr>
          <w:rFonts w:ascii="David" w:hAnsi="David"/>
          <w:b/>
          <w:bCs/>
          <w:color w:val="000000" w:themeColor="text1"/>
          <w:sz w:val="24"/>
          <w:rtl/>
        </w:rPr>
        <w:t xml:space="preserve"> </w:t>
      </w:r>
      <w:r w:rsidRPr="00A81964">
        <w:rPr>
          <w:rFonts w:ascii="David" w:hAnsi="David" w:hint="cs"/>
          <w:b/>
          <w:bCs/>
          <w:color w:val="000000" w:themeColor="text1"/>
          <w:sz w:val="24"/>
          <w:rtl/>
        </w:rPr>
        <w:t>ייחשב י</w:t>
      </w:r>
      <w:r w:rsidRPr="00A81964">
        <w:rPr>
          <w:rFonts w:ascii="David" w:hAnsi="David"/>
          <w:b/>
          <w:bCs/>
          <w:color w:val="000000" w:themeColor="text1"/>
          <w:sz w:val="24"/>
          <w:rtl/>
        </w:rPr>
        <w:t xml:space="preserve">ישוב מסוים </w:t>
      </w:r>
      <w:r w:rsidRPr="00A81964">
        <w:rPr>
          <w:rFonts w:ascii="David" w:hAnsi="David" w:hint="cs"/>
          <w:b/>
          <w:bCs/>
          <w:color w:val="000000" w:themeColor="text1"/>
          <w:sz w:val="24"/>
          <w:rtl/>
        </w:rPr>
        <w:t>כ</w:t>
      </w:r>
      <w:r w:rsidRPr="00A81964">
        <w:rPr>
          <w:rFonts w:ascii="David" w:hAnsi="David" w:hint="eastAsia"/>
          <w:b/>
          <w:bCs/>
          <w:color w:val="000000" w:themeColor="text1"/>
          <w:sz w:val="24"/>
          <w:rtl/>
        </w:rPr>
        <w:t>י</w:t>
      </w:r>
      <w:r w:rsidRPr="00A81964">
        <w:rPr>
          <w:rFonts w:ascii="David" w:hAnsi="David" w:hint="cs"/>
          <w:b/>
          <w:bCs/>
          <w:color w:val="000000" w:themeColor="text1"/>
          <w:sz w:val="24"/>
          <w:rtl/>
        </w:rPr>
        <w:t>י</w:t>
      </w:r>
      <w:r w:rsidRPr="00A81964">
        <w:rPr>
          <w:rFonts w:ascii="David" w:hAnsi="David" w:hint="eastAsia"/>
          <w:b/>
          <w:bCs/>
          <w:color w:val="000000" w:themeColor="text1"/>
          <w:sz w:val="24"/>
          <w:rtl/>
        </w:rPr>
        <w:t>שוב</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ספר</w:t>
      </w:r>
      <w:r w:rsidRPr="00A81964">
        <w:rPr>
          <w:rFonts w:ascii="David" w:hAnsi="David"/>
          <w:b/>
          <w:bCs/>
          <w:color w:val="000000" w:themeColor="text1"/>
          <w:sz w:val="24"/>
          <w:rtl/>
        </w:rPr>
        <w:t>.</w:t>
      </w:r>
      <w:r w:rsidRPr="00A81964">
        <w:rPr>
          <w:rFonts w:ascii="David" w:hAnsi="David" w:hint="cs"/>
          <w:b/>
          <w:bCs/>
          <w:color w:val="000000" w:themeColor="text1"/>
          <w:sz w:val="24"/>
          <w:rtl/>
        </w:rPr>
        <w:t xml:space="preserve"> משכך, ייתכן שיישובים החשופים לאיום ביטחוני גבוה לא יוגדרו כיישובי ספר, ואילו יישובים שהאיום הביטחוני בסביבתם נמוך יותר ייחשבו ליישובי ספר.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eastAsia"/>
          <w:b/>
          <w:bCs/>
          <w:rtl/>
        </w:rPr>
        <w:t>כך</w:t>
      </w:r>
      <w:r w:rsidRPr="00A81964">
        <w:rPr>
          <w:b/>
          <w:bCs/>
          <w:rtl/>
        </w:rPr>
        <w:t xml:space="preserve"> לדוגמה, </w:t>
      </w:r>
      <w:r w:rsidRPr="00A81964">
        <w:rPr>
          <w:rFonts w:hint="cs"/>
          <w:b/>
          <w:bCs/>
          <w:rtl/>
        </w:rPr>
        <w:t xml:space="preserve">היישוב שדרות, </w:t>
      </w:r>
      <w:r w:rsidRPr="00A81964">
        <w:rPr>
          <w:rFonts w:hint="eastAsia"/>
          <w:b/>
          <w:bCs/>
          <w:rtl/>
        </w:rPr>
        <w:t>השוכן</w:t>
      </w:r>
      <w:r w:rsidRPr="00A81964">
        <w:rPr>
          <w:b/>
          <w:bCs/>
          <w:rtl/>
        </w:rPr>
        <w:t xml:space="preserve"> במרחק של </w:t>
      </w:r>
      <w:r w:rsidRPr="00A81964">
        <w:rPr>
          <w:rFonts w:hint="cs"/>
          <w:b/>
          <w:bCs/>
          <w:rtl/>
        </w:rPr>
        <w:t>כ-1.5</w:t>
      </w:r>
      <w:r w:rsidRPr="00A81964">
        <w:rPr>
          <w:b/>
          <w:bCs/>
          <w:rtl/>
        </w:rPr>
        <w:t xml:space="preserve"> ק"מ מ</w:t>
      </w:r>
      <w:r w:rsidRPr="00A81964">
        <w:rPr>
          <w:rFonts w:hint="cs"/>
          <w:b/>
          <w:bCs/>
          <w:rtl/>
        </w:rPr>
        <w:t xml:space="preserve">גבול </w:t>
      </w:r>
      <w:r w:rsidRPr="00A81964">
        <w:rPr>
          <w:rFonts w:hint="eastAsia"/>
          <w:b/>
          <w:bCs/>
          <w:rtl/>
        </w:rPr>
        <w:t>רצועת</w:t>
      </w:r>
      <w:r w:rsidRPr="00A81964">
        <w:rPr>
          <w:b/>
          <w:bCs/>
          <w:rtl/>
        </w:rPr>
        <w:t xml:space="preserve"> </w:t>
      </w:r>
      <w:r w:rsidRPr="00A81964">
        <w:rPr>
          <w:rFonts w:hint="eastAsia"/>
          <w:b/>
          <w:bCs/>
          <w:rtl/>
        </w:rPr>
        <w:t>עזה</w:t>
      </w:r>
      <w:r w:rsidRPr="00A81964">
        <w:rPr>
          <w:rFonts w:hint="cs"/>
          <w:b/>
          <w:bCs/>
          <w:rtl/>
        </w:rPr>
        <w:t xml:space="preserve">, לא נחשב כיישוב ספר </w:t>
      </w:r>
      <w:r w:rsidRPr="00290990">
        <w:rPr>
          <w:rFonts w:hint="cs"/>
          <w:b/>
          <w:bCs/>
          <w:rtl/>
        </w:rPr>
        <w:t>עד שנת 2018</w:t>
      </w:r>
      <w:r w:rsidRPr="00A81964">
        <w:rPr>
          <w:rFonts w:hint="cs"/>
          <w:b/>
          <w:bCs/>
          <w:rtl/>
        </w:rPr>
        <w:t>, וזאת אף ש</w:t>
      </w:r>
      <w:r w:rsidRPr="00A81964">
        <w:rPr>
          <w:rFonts w:hint="eastAsia"/>
          <w:b/>
          <w:bCs/>
          <w:rtl/>
        </w:rPr>
        <w:t>החל</w:t>
      </w:r>
      <w:r w:rsidRPr="00A81964">
        <w:rPr>
          <w:b/>
          <w:bCs/>
          <w:rtl/>
        </w:rPr>
        <w:t xml:space="preserve"> </w:t>
      </w:r>
      <w:r w:rsidRPr="00A81964">
        <w:rPr>
          <w:rFonts w:hint="cs"/>
          <w:b/>
          <w:bCs/>
          <w:rtl/>
        </w:rPr>
        <w:t>ב</w:t>
      </w:r>
      <w:r w:rsidRPr="00A81964">
        <w:rPr>
          <w:rFonts w:hint="eastAsia"/>
          <w:b/>
          <w:bCs/>
          <w:rtl/>
        </w:rPr>
        <w:t>שנת</w:t>
      </w:r>
      <w:r w:rsidRPr="00A81964">
        <w:rPr>
          <w:b/>
          <w:bCs/>
          <w:rtl/>
        </w:rPr>
        <w:t xml:space="preserve"> 2001 נורו </w:t>
      </w:r>
      <w:r w:rsidRPr="00A81964">
        <w:rPr>
          <w:rFonts w:hint="cs"/>
          <w:b/>
          <w:bCs/>
          <w:rtl/>
        </w:rPr>
        <w:t xml:space="preserve">אליו </w:t>
      </w:r>
      <w:r w:rsidRPr="00A81964">
        <w:rPr>
          <w:b/>
          <w:bCs/>
          <w:rtl/>
        </w:rPr>
        <w:t>אלפי רקטות מרצועת עזה</w:t>
      </w:r>
      <w:r w:rsidRPr="00A81964">
        <w:rPr>
          <w:rStyle w:val="af2"/>
          <w:b/>
          <w:bCs/>
          <w:rtl/>
        </w:rPr>
        <w:footnoteReference w:id="125"/>
      </w:r>
      <w:r w:rsidRPr="00A81964">
        <w:rPr>
          <w:b/>
          <w:bCs/>
          <w:rtl/>
        </w:rPr>
        <w:t xml:space="preserve"> </w:t>
      </w:r>
      <w:r w:rsidRPr="00A81964">
        <w:rPr>
          <w:rFonts w:hint="cs"/>
          <w:b/>
          <w:bCs/>
          <w:rtl/>
        </w:rPr>
        <w:t>ו</w:t>
      </w:r>
      <w:r w:rsidRPr="00A81964">
        <w:rPr>
          <w:rFonts w:hint="eastAsia"/>
          <w:b/>
          <w:bCs/>
          <w:rtl/>
        </w:rPr>
        <w:t>הוטלו</w:t>
      </w:r>
      <w:r w:rsidRPr="00A81964">
        <w:rPr>
          <w:b/>
          <w:bCs/>
          <w:rtl/>
        </w:rPr>
        <w:t xml:space="preserve"> </w:t>
      </w:r>
      <w:r w:rsidRPr="00A81964">
        <w:rPr>
          <w:rFonts w:hint="eastAsia"/>
          <w:b/>
          <w:bCs/>
          <w:rtl/>
        </w:rPr>
        <w:t>על</w:t>
      </w:r>
      <w:r w:rsidRPr="00A81964">
        <w:rPr>
          <w:b/>
          <w:bCs/>
          <w:rtl/>
        </w:rPr>
        <w:t xml:space="preserve"> </w:t>
      </w:r>
      <w:r w:rsidRPr="00A81964">
        <w:rPr>
          <w:rFonts w:hint="eastAsia"/>
          <w:b/>
          <w:bCs/>
          <w:rtl/>
        </w:rPr>
        <w:t>הפעילות</w:t>
      </w:r>
      <w:r w:rsidRPr="00A81964">
        <w:rPr>
          <w:b/>
          <w:bCs/>
          <w:rtl/>
        </w:rPr>
        <w:t xml:space="preserve"> הכלכלית בו מגבלות </w:t>
      </w:r>
      <w:r w:rsidRPr="00A81964">
        <w:rPr>
          <w:rFonts w:hint="eastAsia"/>
          <w:b/>
          <w:bCs/>
          <w:rtl/>
        </w:rPr>
        <w:t>לתקופות</w:t>
      </w:r>
      <w:r w:rsidRPr="00A81964">
        <w:rPr>
          <w:b/>
          <w:bCs/>
          <w:rtl/>
        </w:rPr>
        <w:t xml:space="preserve"> </w:t>
      </w:r>
      <w:r w:rsidRPr="00A81964">
        <w:rPr>
          <w:rFonts w:hint="eastAsia"/>
          <w:b/>
          <w:bCs/>
          <w:rtl/>
        </w:rPr>
        <w:t>מסוימות</w:t>
      </w:r>
      <w:r w:rsidRPr="00A81964">
        <w:rPr>
          <w:b/>
          <w:bCs/>
          <w:rtl/>
        </w:rPr>
        <w:t xml:space="preserve">. </w:t>
      </w:r>
      <w:r w:rsidRPr="00A81964">
        <w:rPr>
          <w:rFonts w:hint="cs"/>
          <w:b/>
          <w:bCs/>
          <w:rtl/>
        </w:rPr>
        <w:t>כתוצאה מכך,</w:t>
      </w:r>
      <w:r w:rsidRPr="00A81964">
        <w:rPr>
          <w:b/>
          <w:bCs/>
          <w:rtl/>
        </w:rPr>
        <w:t xml:space="preserve"> </w:t>
      </w:r>
      <w:r w:rsidRPr="00A81964">
        <w:rPr>
          <w:rFonts w:hint="eastAsia"/>
          <w:b/>
          <w:bCs/>
          <w:rtl/>
        </w:rPr>
        <w:t>עסקים</w:t>
      </w:r>
      <w:r w:rsidRPr="00A81964">
        <w:rPr>
          <w:b/>
          <w:bCs/>
          <w:rtl/>
        </w:rPr>
        <w:t xml:space="preserve"> מהעיר שנגרמו להם נזקים עקיפים לא </w:t>
      </w:r>
      <w:r w:rsidRPr="00A81964">
        <w:rPr>
          <w:rFonts w:hint="cs"/>
          <w:b/>
          <w:bCs/>
          <w:rtl/>
        </w:rPr>
        <w:t>היו יכולים</w:t>
      </w:r>
      <w:r w:rsidRPr="00A81964">
        <w:rPr>
          <w:b/>
          <w:bCs/>
          <w:rtl/>
        </w:rPr>
        <w:t xml:space="preserve"> להגיש תביעה לפיצוי לפי המסלול האדום</w:t>
      </w:r>
      <w:r w:rsidRPr="00A81964">
        <w:rPr>
          <w:rFonts w:hint="cs"/>
          <w:rtl/>
        </w:rPr>
        <w:t>.</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eastAsia"/>
          <w:b/>
          <w:bCs/>
          <w:rtl/>
        </w:rPr>
        <w:t>עוד</w:t>
      </w:r>
      <w:r w:rsidRPr="00A81964">
        <w:rPr>
          <w:b/>
          <w:bCs/>
          <w:rtl/>
        </w:rPr>
        <w:t xml:space="preserve"> עלה כי </w:t>
      </w:r>
      <w:r w:rsidRPr="00A81964">
        <w:rPr>
          <w:rFonts w:hint="cs"/>
          <w:b/>
          <w:bCs/>
          <w:rtl/>
        </w:rPr>
        <w:t>ממועד פרסומה של רשימת יישובי הספר לראשונה, בשנת 1959, ועד למועד סיום הביקורת</w:t>
      </w:r>
      <w:r w:rsidRPr="00A81964">
        <w:rPr>
          <w:b/>
          <w:bCs/>
          <w:rtl/>
        </w:rPr>
        <w:t xml:space="preserve"> </w:t>
      </w:r>
      <w:r w:rsidRPr="00A81964">
        <w:rPr>
          <w:rFonts w:hint="eastAsia"/>
          <w:b/>
          <w:bCs/>
          <w:rtl/>
        </w:rPr>
        <w:t>לא</w:t>
      </w:r>
      <w:r w:rsidRPr="00A81964">
        <w:rPr>
          <w:b/>
          <w:bCs/>
          <w:rtl/>
        </w:rPr>
        <w:t xml:space="preserve"> </w:t>
      </w:r>
      <w:r w:rsidRPr="00A81964">
        <w:rPr>
          <w:rFonts w:hint="eastAsia"/>
          <w:b/>
          <w:bCs/>
          <w:rtl/>
        </w:rPr>
        <w:t>נגרע</w:t>
      </w:r>
      <w:r w:rsidRPr="00A81964">
        <w:rPr>
          <w:rFonts w:hint="cs"/>
          <w:b/>
          <w:bCs/>
          <w:rtl/>
        </w:rPr>
        <w:t>ו ממנה יישובים</w:t>
      </w:r>
      <w:r w:rsidRPr="00A81964">
        <w:rPr>
          <w:b/>
          <w:bCs/>
          <w:rtl/>
        </w:rPr>
        <w:t xml:space="preserve">. </w:t>
      </w:r>
      <w:r w:rsidRPr="00A81964">
        <w:rPr>
          <w:rFonts w:hint="eastAsia"/>
          <w:b/>
          <w:bCs/>
          <w:rtl/>
        </w:rPr>
        <w:t>זאת</w:t>
      </w:r>
      <w:r w:rsidRPr="00A81964">
        <w:rPr>
          <w:b/>
          <w:bCs/>
          <w:rtl/>
        </w:rPr>
        <w:t xml:space="preserve"> </w:t>
      </w:r>
      <w:r w:rsidRPr="00A81964">
        <w:rPr>
          <w:rFonts w:hint="eastAsia"/>
          <w:b/>
          <w:bCs/>
          <w:rtl/>
        </w:rPr>
        <w:t>אף</w:t>
      </w:r>
      <w:r w:rsidRPr="00A81964">
        <w:rPr>
          <w:b/>
          <w:bCs/>
          <w:rtl/>
        </w:rPr>
        <w:t xml:space="preserve"> </w:t>
      </w:r>
      <w:r w:rsidRPr="00A81964">
        <w:rPr>
          <w:rFonts w:hint="eastAsia"/>
          <w:b/>
          <w:bCs/>
          <w:rtl/>
        </w:rPr>
        <w:t>שלאורך</w:t>
      </w:r>
      <w:r w:rsidRPr="00A81964">
        <w:rPr>
          <w:b/>
          <w:bCs/>
          <w:rtl/>
        </w:rPr>
        <w:t xml:space="preserve"> השנים חלו שינויים בהיקף, באופי ובמיקום </w:t>
      </w:r>
      <w:r w:rsidRPr="00A81964">
        <w:rPr>
          <w:rFonts w:hint="cs"/>
          <w:b/>
          <w:bCs/>
          <w:rtl/>
        </w:rPr>
        <w:t xml:space="preserve">של </w:t>
      </w:r>
      <w:r w:rsidRPr="00A81964">
        <w:rPr>
          <w:rFonts w:hint="eastAsia"/>
          <w:b/>
          <w:bCs/>
          <w:rtl/>
        </w:rPr>
        <w:t>האיומים</w:t>
      </w:r>
      <w:r w:rsidRPr="00A81964">
        <w:rPr>
          <w:b/>
          <w:bCs/>
          <w:rtl/>
        </w:rPr>
        <w:t xml:space="preserve"> הביטחוניים </w:t>
      </w:r>
      <w:r w:rsidRPr="00A81964">
        <w:rPr>
          <w:rFonts w:hint="eastAsia"/>
          <w:b/>
          <w:bCs/>
          <w:rtl/>
        </w:rPr>
        <w:t>על</w:t>
      </w:r>
      <w:r w:rsidRPr="00A81964">
        <w:rPr>
          <w:rFonts w:hint="cs"/>
          <w:b/>
          <w:bCs/>
          <w:rtl/>
        </w:rPr>
        <w:t xml:space="preserve"> יישובים</w:t>
      </w:r>
      <w:r w:rsidRPr="00A81964">
        <w:rPr>
          <w:b/>
          <w:bCs/>
          <w:rtl/>
        </w:rPr>
        <w:t xml:space="preserve"> </w:t>
      </w:r>
      <w:r w:rsidRPr="00A81964">
        <w:rPr>
          <w:rFonts w:hint="cs"/>
          <w:b/>
          <w:bCs/>
          <w:rtl/>
        </w:rPr>
        <w:t>ב</w:t>
      </w:r>
      <w:r w:rsidRPr="00A81964">
        <w:rPr>
          <w:rFonts w:hint="eastAsia"/>
          <w:b/>
          <w:bCs/>
          <w:rtl/>
        </w:rPr>
        <w:t>מדינת</w:t>
      </w:r>
      <w:r w:rsidRPr="00A81964">
        <w:rPr>
          <w:b/>
          <w:bCs/>
          <w:rtl/>
        </w:rPr>
        <w:t xml:space="preserve"> </w:t>
      </w:r>
      <w:r w:rsidRPr="00A81964">
        <w:rPr>
          <w:rFonts w:hint="eastAsia"/>
          <w:b/>
          <w:bCs/>
          <w:rtl/>
        </w:rPr>
        <w:t>ישראל</w:t>
      </w:r>
      <w:r w:rsidRPr="00A81964">
        <w:rPr>
          <w:rFonts w:hint="cs"/>
          <w:b/>
          <w:bCs/>
          <w:rtl/>
        </w:rPr>
        <w:t>, לרבות חתימה על הסכמי שלום עם מצרים וירדן</w:t>
      </w:r>
      <w:r w:rsidRPr="00A81964">
        <w:rPr>
          <w:rStyle w:val="af2"/>
          <w:b/>
          <w:bCs/>
          <w:rtl/>
        </w:rPr>
        <w:footnoteReference w:id="126"/>
      </w:r>
      <w:r w:rsidRPr="00A81964">
        <w:rPr>
          <w:rFonts w:hint="cs"/>
          <w:b/>
          <w:bCs/>
          <w:rtl/>
        </w:rPr>
        <w:t xml:space="preserve"> ושינויים בגבולות המדינה.</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eastAsia"/>
          <w:b/>
          <w:bCs/>
          <w:rtl/>
        </w:rPr>
        <w:t>בהקשר</w:t>
      </w:r>
      <w:r w:rsidRPr="00A81964">
        <w:rPr>
          <w:b/>
          <w:bCs/>
          <w:rtl/>
        </w:rPr>
        <w:t xml:space="preserve"> זה נכתב </w:t>
      </w:r>
      <w:r w:rsidRPr="00290990">
        <w:rPr>
          <w:rFonts w:hint="eastAsia"/>
          <w:b/>
          <w:bCs/>
          <w:rtl/>
        </w:rPr>
        <w:t>בדוח</w:t>
      </w:r>
      <w:r w:rsidRPr="00290990">
        <w:rPr>
          <w:b/>
          <w:bCs/>
          <w:rtl/>
        </w:rPr>
        <w:t xml:space="preserve"> </w:t>
      </w:r>
      <w:r w:rsidRPr="00290990">
        <w:rPr>
          <w:rFonts w:hint="eastAsia"/>
          <w:b/>
          <w:bCs/>
          <w:rtl/>
        </w:rPr>
        <w:t>ועדת</w:t>
      </w:r>
      <w:r w:rsidRPr="00290990">
        <w:rPr>
          <w:b/>
          <w:bCs/>
          <w:rtl/>
        </w:rPr>
        <w:t xml:space="preserve"> </w:t>
      </w:r>
      <w:r w:rsidRPr="00290990">
        <w:rPr>
          <w:rFonts w:hint="eastAsia"/>
          <w:b/>
          <w:bCs/>
          <w:rtl/>
        </w:rPr>
        <w:t>נזק</w:t>
      </w:r>
      <w:r w:rsidRPr="00290990">
        <w:rPr>
          <w:b/>
          <w:bCs/>
          <w:rtl/>
        </w:rPr>
        <w:t xml:space="preserve"> </w:t>
      </w:r>
      <w:r w:rsidRPr="00290990">
        <w:rPr>
          <w:rFonts w:hint="eastAsia"/>
          <w:b/>
          <w:bCs/>
          <w:rtl/>
        </w:rPr>
        <w:t>עקיף</w:t>
      </w:r>
      <w:r w:rsidRPr="00A81964">
        <w:rPr>
          <w:b/>
          <w:bCs/>
          <w:rtl/>
        </w:rPr>
        <w:t xml:space="preserve"> </w:t>
      </w:r>
      <w:r w:rsidRPr="00A81964">
        <w:rPr>
          <w:rFonts w:hint="eastAsia"/>
          <w:b/>
          <w:bCs/>
          <w:rtl/>
        </w:rPr>
        <w:t>כי</w:t>
      </w:r>
      <w:r w:rsidRPr="00A81964">
        <w:rPr>
          <w:b/>
          <w:bCs/>
          <w:rtl/>
        </w:rPr>
        <w:t xml:space="preserve"> "ב-40 שנה האחרונות לא נמצאה כל סיבה מדוע יש להותיר את היישובים שנמצאים בגבול ירדן ומצרים תחת הכרזה שהם יישובי ספר".</w:t>
      </w:r>
    </w:p>
    <w:p w:rsidR="006252C4" w:rsidRDefault="006252C4" w:rsidP="006252C4">
      <w:pPr>
        <w:pStyle w:val="a8"/>
        <w:spacing w:line="269" w:lineRule="auto"/>
        <w:rPr>
          <w:rtl/>
        </w:rPr>
      </w:pPr>
    </w:p>
    <w:p w:rsidR="006252C4" w:rsidRDefault="006252C4" w:rsidP="006252C4">
      <w:pPr>
        <w:spacing w:line="269" w:lineRule="auto"/>
        <w:rPr>
          <w:rFonts w:ascii="David" w:hAnsi="David"/>
          <w:color w:val="000000" w:themeColor="text1"/>
          <w:sz w:val="24"/>
          <w:rtl/>
        </w:rPr>
      </w:pPr>
      <w:r w:rsidRPr="00A81964">
        <w:rPr>
          <w:rFonts w:ascii="David" w:hAnsi="David" w:hint="cs"/>
          <w:color w:val="000000" w:themeColor="text1"/>
          <w:sz w:val="24"/>
          <w:rtl/>
        </w:rPr>
        <w:lastRenderedPageBreak/>
        <w:t>דוגמה בולטת לבחינה של יישובים שתושביהם זכאים להקלות על פי דין ולעדכון שנתי של רשימת יישובים אלה היא סעיף 11 לפקודת מס הכנסה. הסעיף מעניק זיכוי ממס לתושבי יישובים השוכנים בקו העימות או מרוחקים מיישובים עירוניים גדולים</w:t>
      </w:r>
      <w:r w:rsidRPr="00A81964">
        <w:rPr>
          <w:rStyle w:val="af2"/>
          <w:rFonts w:ascii="David" w:hAnsi="David"/>
          <w:color w:val="000000" w:themeColor="text1"/>
          <w:sz w:val="24"/>
          <w:rtl/>
        </w:rPr>
        <w:footnoteReference w:id="127"/>
      </w:r>
      <w:r w:rsidRPr="00A81964">
        <w:rPr>
          <w:rFonts w:ascii="David" w:hAnsi="David" w:hint="cs"/>
          <w:color w:val="000000" w:themeColor="text1"/>
          <w:sz w:val="24"/>
          <w:rtl/>
        </w:rPr>
        <w:t>. כדי לקבוע את היקף ההטבות במיסוי שיינתנו לתושב בי</w:t>
      </w:r>
      <w:r>
        <w:rPr>
          <w:rFonts w:ascii="David" w:hAnsi="David" w:hint="cs"/>
          <w:color w:val="000000" w:themeColor="text1"/>
          <w:sz w:val="24"/>
          <w:rtl/>
        </w:rPr>
        <w:t>י</w:t>
      </w:r>
      <w:r w:rsidRPr="00A81964">
        <w:rPr>
          <w:rFonts w:ascii="David" w:hAnsi="David" w:hint="cs"/>
          <w:color w:val="000000" w:themeColor="text1"/>
          <w:sz w:val="24"/>
          <w:rtl/>
        </w:rPr>
        <w:t>שוב מסוים, הוגדרו בסעיף מדדים שעל פיהם יינתן לכל יישוב ניקוד בהתאם למדרג המפורט בו (להלן - הניקוד המזכה). ככל שהניקוד גבוה יותר, כך סכום הזיכוי ממס שיינתן לתושבי היישוב יהיה גבוה יותר.</w:t>
      </w:r>
    </w:p>
    <w:p w:rsidR="006252C4" w:rsidRDefault="006252C4" w:rsidP="006252C4">
      <w:pPr>
        <w:spacing w:line="269" w:lineRule="auto"/>
        <w:rPr>
          <w:rtl/>
        </w:rPr>
      </w:pPr>
      <w:r w:rsidRPr="00A81964">
        <w:rPr>
          <w:rFonts w:ascii="David" w:hAnsi="David" w:hint="cs"/>
          <w:color w:val="000000" w:themeColor="text1"/>
          <w:sz w:val="24"/>
          <w:rtl/>
        </w:rPr>
        <w:t xml:space="preserve"> </w:t>
      </w:r>
    </w:p>
    <w:p w:rsidR="006252C4" w:rsidRPr="00A81964" w:rsidRDefault="006252C4" w:rsidP="006252C4">
      <w:pPr>
        <w:spacing w:line="269" w:lineRule="auto"/>
        <w:rPr>
          <w:rFonts w:ascii="David" w:hAnsi="David"/>
          <w:color w:val="000000" w:themeColor="text1"/>
          <w:sz w:val="24"/>
          <w:rtl/>
        </w:rPr>
      </w:pPr>
      <w:r w:rsidRPr="00A81964">
        <w:rPr>
          <w:rFonts w:ascii="David" w:hAnsi="David" w:hint="cs"/>
          <w:color w:val="000000" w:themeColor="text1"/>
          <w:sz w:val="24"/>
          <w:rtl/>
        </w:rPr>
        <w:t>המדדים העיקריים שעל פיהם נקבע הניקוד המזכה בסעיף 11 לפקודה הם אלו: (א) קרבת היישוב לגבולות המדינה</w:t>
      </w:r>
      <w:r w:rsidRPr="00A81964">
        <w:rPr>
          <w:rStyle w:val="af2"/>
          <w:rFonts w:ascii="David" w:hAnsi="David"/>
          <w:color w:val="000000" w:themeColor="text1"/>
          <w:sz w:val="24"/>
          <w:rtl/>
        </w:rPr>
        <w:footnoteReference w:id="128"/>
      </w:r>
      <w:r w:rsidRPr="00A81964">
        <w:rPr>
          <w:rFonts w:ascii="David" w:hAnsi="David" w:hint="cs"/>
          <w:color w:val="000000" w:themeColor="text1"/>
          <w:sz w:val="24"/>
          <w:rtl/>
        </w:rPr>
        <w:t>; (ב) מדד הפריפריאליות</w:t>
      </w:r>
      <w:r w:rsidRPr="00A81964">
        <w:rPr>
          <w:rStyle w:val="af2"/>
          <w:rFonts w:ascii="David" w:hAnsi="David"/>
          <w:color w:val="000000" w:themeColor="text1"/>
          <w:sz w:val="24"/>
          <w:rtl/>
        </w:rPr>
        <w:footnoteReference w:id="129"/>
      </w:r>
      <w:r w:rsidRPr="00A81964">
        <w:rPr>
          <w:rFonts w:ascii="David" w:hAnsi="David" w:hint="cs"/>
          <w:color w:val="000000" w:themeColor="text1"/>
          <w:sz w:val="24"/>
          <w:rtl/>
        </w:rPr>
        <w:t xml:space="preserve"> של היישוב; (ג) המדרג החברתי-כלכלי</w:t>
      </w:r>
      <w:r w:rsidRPr="00A81964">
        <w:rPr>
          <w:rStyle w:val="af2"/>
          <w:rFonts w:ascii="David" w:hAnsi="David"/>
          <w:color w:val="000000" w:themeColor="text1"/>
          <w:sz w:val="24"/>
          <w:rtl/>
        </w:rPr>
        <w:footnoteReference w:id="130"/>
      </w:r>
      <w:r w:rsidRPr="00A81964">
        <w:rPr>
          <w:rFonts w:ascii="David" w:hAnsi="David" w:hint="cs"/>
          <w:color w:val="000000" w:themeColor="text1"/>
          <w:sz w:val="24"/>
          <w:rtl/>
        </w:rPr>
        <w:t xml:space="preserve"> של היישוב.</w:t>
      </w:r>
    </w:p>
    <w:p w:rsidR="006252C4" w:rsidRDefault="006252C4" w:rsidP="006252C4">
      <w:pPr>
        <w:pStyle w:val="a8"/>
        <w:spacing w:line="269" w:lineRule="auto"/>
        <w:rPr>
          <w:rtl/>
        </w:rPr>
      </w:pPr>
    </w:p>
    <w:p w:rsidR="006252C4" w:rsidRPr="00A81964" w:rsidRDefault="006252C4" w:rsidP="006252C4">
      <w:pPr>
        <w:spacing w:line="269" w:lineRule="auto"/>
        <w:rPr>
          <w:rFonts w:ascii="David" w:hAnsi="David"/>
          <w:color w:val="000000" w:themeColor="text1"/>
          <w:sz w:val="24"/>
          <w:rtl/>
        </w:rPr>
      </w:pPr>
      <w:r w:rsidRPr="00A81964">
        <w:rPr>
          <w:rFonts w:ascii="David" w:hAnsi="David" w:hint="cs"/>
          <w:color w:val="000000" w:themeColor="text1"/>
          <w:sz w:val="24"/>
          <w:rtl/>
        </w:rPr>
        <w:t>בכל שנה ושנה מחושב מחדש הניקוד המזכה של כל יישוב בהתאם לשינוי בערכי המדדים שלו. כפועל יוצא מכך, רשימת היישובים שתושביהם זכאים לזיכוי ממס לפי סעיף 11 לפקודה משתנה מדי שנה.</w:t>
      </w:r>
    </w:p>
    <w:p w:rsidR="006252C4" w:rsidRDefault="006252C4" w:rsidP="006252C4">
      <w:pPr>
        <w:pStyle w:val="a8"/>
        <w:spacing w:line="269" w:lineRule="auto"/>
        <w:rPr>
          <w:rtl/>
        </w:rPr>
      </w:pPr>
    </w:p>
    <w:p w:rsidR="006252C4" w:rsidRDefault="006252C4" w:rsidP="006252C4">
      <w:pPr>
        <w:spacing w:line="269" w:lineRule="auto"/>
        <w:rPr>
          <w:rFonts w:ascii="David" w:hAnsi="David"/>
          <w:b/>
          <w:bCs/>
          <w:color w:val="000000" w:themeColor="text1"/>
          <w:sz w:val="24"/>
          <w:rtl/>
        </w:rPr>
      </w:pPr>
      <w:r w:rsidRPr="00A81964">
        <w:rPr>
          <w:rFonts w:ascii="David" w:hAnsi="David" w:hint="eastAsia"/>
          <w:b/>
          <w:bCs/>
          <w:color w:val="000000" w:themeColor="text1"/>
          <w:sz w:val="24"/>
          <w:rtl/>
        </w:rPr>
        <w:t>מומלץ</w:t>
      </w:r>
      <w:r w:rsidRPr="00A81964">
        <w:rPr>
          <w:rFonts w:ascii="David" w:hAnsi="David"/>
          <w:b/>
          <w:bCs/>
          <w:color w:val="000000" w:themeColor="text1"/>
          <w:sz w:val="24"/>
          <w:rtl/>
        </w:rPr>
        <w:t xml:space="preserve"> </w:t>
      </w:r>
      <w:r w:rsidRPr="00A81964">
        <w:rPr>
          <w:rFonts w:ascii="David" w:hAnsi="David" w:hint="cs"/>
          <w:b/>
          <w:bCs/>
          <w:color w:val="000000" w:themeColor="text1"/>
          <w:sz w:val="24"/>
          <w:rtl/>
        </w:rPr>
        <w:t>כי</w:t>
      </w:r>
      <w:r w:rsidRPr="00A81964">
        <w:rPr>
          <w:rtl/>
        </w:rPr>
        <w:t xml:space="preserve"> </w:t>
      </w:r>
      <w:r w:rsidRPr="00A81964">
        <w:rPr>
          <w:rFonts w:ascii="David" w:hAnsi="David"/>
          <w:b/>
          <w:bCs/>
          <w:color w:val="000000" w:themeColor="text1"/>
          <w:sz w:val="24"/>
          <w:rtl/>
        </w:rPr>
        <w:t>בדומה לבחינת זכאות</w:t>
      </w:r>
      <w:r w:rsidRPr="00A81964">
        <w:rPr>
          <w:rFonts w:ascii="David" w:hAnsi="David" w:hint="cs"/>
          <w:b/>
          <w:bCs/>
          <w:color w:val="000000" w:themeColor="text1"/>
          <w:sz w:val="24"/>
          <w:rtl/>
        </w:rPr>
        <w:t>ם</w:t>
      </w:r>
      <w:r w:rsidRPr="00A81964">
        <w:rPr>
          <w:rFonts w:ascii="David" w:hAnsi="David"/>
          <w:b/>
          <w:bCs/>
          <w:color w:val="000000" w:themeColor="text1"/>
          <w:sz w:val="24"/>
          <w:rtl/>
        </w:rPr>
        <w:t xml:space="preserve"> </w:t>
      </w:r>
      <w:r w:rsidRPr="00A81964">
        <w:rPr>
          <w:rFonts w:ascii="David" w:hAnsi="David" w:hint="cs"/>
          <w:b/>
          <w:bCs/>
          <w:color w:val="000000" w:themeColor="text1"/>
          <w:sz w:val="24"/>
          <w:rtl/>
        </w:rPr>
        <w:t xml:space="preserve">של היישובים שתושביהם זכאים להטבות מס </w:t>
      </w:r>
      <w:r w:rsidRPr="00A81964">
        <w:rPr>
          <w:rFonts w:ascii="David" w:hAnsi="David"/>
          <w:b/>
          <w:bCs/>
          <w:color w:val="000000" w:themeColor="text1"/>
          <w:sz w:val="24"/>
          <w:rtl/>
        </w:rPr>
        <w:t>לפי סעיף 11 לפקודה</w:t>
      </w:r>
      <w:r w:rsidRPr="00A81964">
        <w:rPr>
          <w:rFonts w:ascii="David" w:hAnsi="David" w:hint="cs"/>
          <w:b/>
          <w:bCs/>
          <w:color w:val="000000" w:themeColor="text1"/>
          <w:sz w:val="24"/>
          <w:rtl/>
        </w:rPr>
        <w:t xml:space="preserve"> ולעדכון השנתי של רשימה זו, משרד האוצר בשיתוף רשות המיסים</w:t>
      </w:r>
      <w:r w:rsidRPr="00A81964">
        <w:rPr>
          <w:rFonts w:ascii="David" w:hAnsi="David"/>
          <w:b/>
          <w:bCs/>
          <w:color w:val="000000" w:themeColor="text1"/>
          <w:sz w:val="24"/>
          <w:rtl/>
        </w:rPr>
        <w:t xml:space="preserve"> </w:t>
      </w:r>
      <w:r w:rsidRPr="00A81964">
        <w:rPr>
          <w:rFonts w:ascii="David" w:hAnsi="David" w:hint="cs"/>
          <w:b/>
          <w:bCs/>
          <w:color w:val="000000" w:themeColor="text1"/>
          <w:sz w:val="24"/>
          <w:rtl/>
        </w:rPr>
        <w:t>יקדמו</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הסדרה</w:t>
      </w:r>
      <w:r w:rsidRPr="00A81964">
        <w:rPr>
          <w:rFonts w:ascii="David" w:hAnsi="David"/>
          <w:b/>
          <w:bCs/>
          <w:color w:val="000000" w:themeColor="text1"/>
          <w:sz w:val="24"/>
          <w:rtl/>
        </w:rPr>
        <w:t xml:space="preserve"> </w:t>
      </w:r>
      <w:r w:rsidRPr="00A81964">
        <w:rPr>
          <w:rFonts w:ascii="David" w:hAnsi="David" w:hint="cs"/>
          <w:b/>
          <w:bCs/>
          <w:color w:val="000000" w:themeColor="text1"/>
          <w:sz w:val="24"/>
          <w:rtl/>
        </w:rPr>
        <w:t>בעניין</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סיווג</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י</w:t>
      </w:r>
      <w:r w:rsidRPr="00A81964">
        <w:rPr>
          <w:rFonts w:ascii="David" w:hAnsi="David" w:hint="cs"/>
          <w:b/>
          <w:bCs/>
          <w:color w:val="000000" w:themeColor="text1"/>
          <w:sz w:val="24"/>
          <w:rtl/>
        </w:rPr>
        <w:t>י</w:t>
      </w:r>
      <w:r w:rsidRPr="00A81964">
        <w:rPr>
          <w:rFonts w:ascii="David" w:hAnsi="David" w:hint="eastAsia"/>
          <w:b/>
          <w:bCs/>
          <w:color w:val="000000" w:themeColor="text1"/>
          <w:sz w:val="24"/>
          <w:rtl/>
        </w:rPr>
        <w:t>שובים</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כיישובי</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ספר</w:t>
      </w:r>
      <w:r w:rsidRPr="00A81964">
        <w:rPr>
          <w:rFonts w:ascii="David" w:hAnsi="David"/>
          <w:b/>
          <w:bCs/>
          <w:color w:val="000000" w:themeColor="text1"/>
          <w:sz w:val="24"/>
          <w:rtl/>
        </w:rPr>
        <w:t xml:space="preserve">, </w:t>
      </w:r>
      <w:r w:rsidRPr="00A81964">
        <w:rPr>
          <w:rFonts w:ascii="David" w:hAnsi="David" w:hint="cs"/>
          <w:b/>
          <w:bCs/>
          <w:color w:val="000000" w:themeColor="text1"/>
          <w:sz w:val="24"/>
          <w:rtl/>
        </w:rPr>
        <w:t>ו</w:t>
      </w:r>
      <w:r w:rsidRPr="00A81964">
        <w:rPr>
          <w:rFonts w:ascii="David" w:hAnsi="David"/>
          <w:b/>
          <w:bCs/>
          <w:color w:val="000000" w:themeColor="text1"/>
          <w:sz w:val="24"/>
          <w:rtl/>
        </w:rPr>
        <w:t>זאת בין היתר באמצעות קביעת מדדים אובייקטיביים ואחידים</w:t>
      </w:r>
      <w:r w:rsidRPr="00A81964">
        <w:rPr>
          <w:rFonts w:ascii="David" w:hAnsi="David" w:hint="cs"/>
          <w:b/>
          <w:bCs/>
          <w:color w:val="000000" w:themeColor="text1"/>
          <w:sz w:val="24"/>
          <w:rtl/>
        </w:rPr>
        <w:t>,</w:t>
      </w:r>
      <w:r w:rsidRPr="00A81964">
        <w:rPr>
          <w:rFonts w:ascii="David" w:hAnsi="David"/>
          <w:b/>
          <w:bCs/>
          <w:color w:val="000000" w:themeColor="text1"/>
          <w:sz w:val="24"/>
          <w:rtl/>
        </w:rPr>
        <w:t xml:space="preserve"> אשר י</w:t>
      </w:r>
      <w:r w:rsidRPr="00A81964">
        <w:rPr>
          <w:rFonts w:ascii="David" w:hAnsi="David" w:hint="cs"/>
          <w:b/>
          <w:bCs/>
          <w:color w:val="000000" w:themeColor="text1"/>
          <w:sz w:val="24"/>
          <w:rtl/>
        </w:rPr>
        <w:t>י</w:t>
      </w:r>
      <w:r w:rsidRPr="00A81964">
        <w:rPr>
          <w:rFonts w:ascii="David" w:hAnsi="David"/>
          <w:b/>
          <w:bCs/>
          <w:color w:val="000000" w:themeColor="text1"/>
          <w:sz w:val="24"/>
          <w:rtl/>
        </w:rPr>
        <w:t xml:space="preserve">בחנו מדי </w:t>
      </w:r>
      <w:r w:rsidRPr="00A81964">
        <w:rPr>
          <w:rFonts w:ascii="David" w:hAnsi="David" w:hint="cs"/>
          <w:b/>
          <w:bCs/>
          <w:color w:val="000000" w:themeColor="text1"/>
          <w:sz w:val="24"/>
          <w:rtl/>
        </w:rPr>
        <w:t>תקופה</w:t>
      </w:r>
      <w:r w:rsidRPr="00A81964">
        <w:rPr>
          <w:rFonts w:ascii="David" w:hAnsi="David"/>
          <w:b/>
          <w:bCs/>
          <w:color w:val="000000" w:themeColor="text1"/>
          <w:sz w:val="24"/>
          <w:rtl/>
        </w:rPr>
        <w:t xml:space="preserve">. </w:t>
      </w:r>
      <w:r w:rsidRPr="00A81964">
        <w:rPr>
          <w:rFonts w:ascii="David" w:hAnsi="David" w:hint="cs"/>
          <w:b/>
          <w:bCs/>
          <w:color w:val="000000" w:themeColor="text1"/>
          <w:sz w:val="24"/>
          <w:rtl/>
        </w:rPr>
        <w:t>סיווג היישובים על פי מדדים שייקבעו</w:t>
      </w:r>
      <w:r w:rsidRPr="00A81964">
        <w:rPr>
          <w:rFonts w:ascii="David" w:hAnsi="David"/>
          <w:b/>
          <w:bCs/>
          <w:color w:val="000000" w:themeColor="text1"/>
          <w:sz w:val="24"/>
          <w:rtl/>
        </w:rPr>
        <w:t xml:space="preserve"> </w:t>
      </w:r>
      <w:r w:rsidRPr="00A81964">
        <w:rPr>
          <w:rFonts w:ascii="David" w:hAnsi="David" w:hint="cs"/>
          <w:b/>
          <w:bCs/>
          <w:color w:val="000000" w:themeColor="text1"/>
          <w:sz w:val="24"/>
          <w:rtl/>
        </w:rPr>
        <w:t xml:space="preserve">יאפשר עדכון </w:t>
      </w:r>
      <w:r w:rsidRPr="00A81964">
        <w:rPr>
          <w:rFonts w:ascii="David" w:hAnsi="David" w:hint="eastAsia"/>
          <w:b/>
          <w:bCs/>
          <w:color w:val="000000" w:themeColor="text1"/>
          <w:sz w:val="24"/>
          <w:rtl/>
        </w:rPr>
        <w:t>אחיד</w:t>
      </w:r>
      <w:r w:rsidRPr="00A81964">
        <w:rPr>
          <w:rFonts w:ascii="David" w:hAnsi="David" w:hint="cs"/>
          <w:b/>
          <w:bCs/>
          <w:color w:val="000000" w:themeColor="text1"/>
          <w:sz w:val="24"/>
          <w:rtl/>
        </w:rPr>
        <w:t>,</w:t>
      </w:r>
      <w:r w:rsidRPr="00A81964">
        <w:rPr>
          <w:rFonts w:ascii="David" w:hAnsi="David"/>
          <w:b/>
          <w:bCs/>
          <w:color w:val="000000" w:themeColor="text1"/>
          <w:sz w:val="24"/>
          <w:rtl/>
        </w:rPr>
        <w:t xml:space="preserve"> </w:t>
      </w:r>
      <w:r w:rsidRPr="00A81964">
        <w:rPr>
          <w:rFonts w:ascii="David" w:hAnsi="David" w:hint="eastAsia"/>
          <w:b/>
          <w:bCs/>
          <w:color w:val="000000" w:themeColor="text1"/>
          <w:sz w:val="24"/>
          <w:rtl/>
        </w:rPr>
        <w:t>עקבי</w:t>
      </w:r>
      <w:r w:rsidRPr="00A81964">
        <w:rPr>
          <w:rFonts w:ascii="David" w:hAnsi="David" w:hint="cs"/>
          <w:b/>
          <w:bCs/>
          <w:color w:val="000000" w:themeColor="text1"/>
          <w:sz w:val="24"/>
          <w:rtl/>
        </w:rPr>
        <w:t xml:space="preserve"> ושוויוני של רשימת יישובי הספר </w:t>
      </w:r>
      <w:r w:rsidRPr="00A81964">
        <w:rPr>
          <w:rFonts w:ascii="David" w:hAnsi="David"/>
          <w:b/>
          <w:bCs/>
          <w:color w:val="000000" w:themeColor="text1"/>
          <w:sz w:val="24"/>
          <w:rtl/>
        </w:rPr>
        <w:t xml:space="preserve">בהתאם </w:t>
      </w:r>
      <w:r w:rsidRPr="00A81964">
        <w:rPr>
          <w:rFonts w:ascii="David" w:hAnsi="David" w:hint="cs"/>
          <w:b/>
          <w:bCs/>
          <w:color w:val="000000" w:themeColor="text1"/>
          <w:sz w:val="24"/>
          <w:rtl/>
        </w:rPr>
        <w:t>ל</w:t>
      </w:r>
      <w:r w:rsidRPr="00A81964">
        <w:rPr>
          <w:rFonts w:ascii="David" w:hAnsi="David"/>
          <w:b/>
          <w:bCs/>
          <w:color w:val="000000" w:themeColor="text1"/>
          <w:sz w:val="24"/>
          <w:rtl/>
        </w:rPr>
        <w:t>מצב הביטחוני בישראל</w:t>
      </w:r>
      <w:r w:rsidRPr="00A81964">
        <w:rPr>
          <w:rFonts w:ascii="David" w:hAnsi="David" w:hint="cs"/>
          <w:b/>
          <w:bCs/>
          <w:color w:val="000000" w:themeColor="text1"/>
          <w:sz w:val="24"/>
          <w:rtl/>
        </w:rPr>
        <w:t xml:space="preserve">. </w:t>
      </w:r>
    </w:p>
    <w:p w:rsidR="006252C4" w:rsidRDefault="006252C4" w:rsidP="006252C4">
      <w:pPr>
        <w:pStyle w:val="a8"/>
        <w:spacing w:line="269" w:lineRule="auto"/>
        <w:rPr>
          <w:rtl/>
        </w:rPr>
      </w:pPr>
    </w:p>
    <w:p w:rsidR="006252C4" w:rsidRPr="0008579E" w:rsidRDefault="006252C4" w:rsidP="006252C4">
      <w:pPr>
        <w:spacing w:line="269" w:lineRule="auto"/>
        <w:rPr>
          <w:rFonts w:ascii="David" w:hAnsi="David"/>
          <w:color w:val="000000" w:themeColor="text1"/>
          <w:sz w:val="24"/>
          <w:rtl/>
        </w:rPr>
      </w:pPr>
      <w:r w:rsidRPr="0008579E">
        <w:rPr>
          <w:rFonts w:ascii="David" w:hAnsi="David" w:hint="eastAsia"/>
          <w:color w:val="000000" w:themeColor="text1"/>
          <w:sz w:val="24"/>
          <w:rtl/>
        </w:rPr>
        <w:t>הרשות</w:t>
      </w:r>
      <w:r w:rsidRPr="0008579E">
        <w:rPr>
          <w:rFonts w:ascii="David" w:hAnsi="David"/>
          <w:color w:val="000000" w:themeColor="text1"/>
          <w:sz w:val="24"/>
          <w:rtl/>
        </w:rPr>
        <w:t xml:space="preserve"> </w:t>
      </w:r>
      <w:r w:rsidRPr="0008579E">
        <w:rPr>
          <w:rFonts w:ascii="David" w:hAnsi="David" w:hint="eastAsia"/>
          <w:color w:val="000000" w:themeColor="text1"/>
          <w:sz w:val="24"/>
          <w:rtl/>
        </w:rPr>
        <w:t>מסרה</w:t>
      </w:r>
      <w:r w:rsidRPr="0008579E">
        <w:rPr>
          <w:rFonts w:ascii="David" w:hAnsi="David"/>
          <w:color w:val="000000" w:themeColor="text1"/>
          <w:sz w:val="24"/>
          <w:rtl/>
        </w:rPr>
        <w:t xml:space="preserve"> </w:t>
      </w:r>
      <w:r w:rsidRPr="0008579E">
        <w:rPr>
          <w:rFonts w:ascii="David" w:hAnsi="David" w:hint="eastAsia"/>
          <w:color w:val="000000" w:themeColor="text1"/>
          <w:sz w:val="24"/>
          <w:rtl/>
        </w:rPr>
        <w:t>בתשובתה</w:t>
      </w:r>
      <w:r w:rsidRPr="0008579E">
        <w:rPr>
          <w:rFonts w:ascii="David" w:hAnsi="David"/>
          <w:color w:val="000000" w:themeColor="text1"/>
          <w:sz w:val="24"/>
          <w:rtl/>
        </w:rPr>
        <w:t xml:space="preserve"> </w:t>
      </w:r>
      <w:r w:rsidRPr="0008579E">
        <w:rPr>
          <w:rFonts w:ascii="David" w:hAnsi="David" w:hint="eastAsia"/>
          <w:color w:val="000000" w:themeColor="text1"/>
          <w:sz w:val="24"/>
          <w:rtl/>
        </w:rPr>
        <w:t>כי</w:t>
      </w:r>
      <w:r w:rsidRPr="0008579E">
        <w:rPr>
          <w:rFonts w:ascii="David" w:hAnsi="David"/>
          <w:color w:val="000000" w:themeColor="text1"/>
          <w:sz w:val="24"/>
          <w:rtl/>
        </w:rPr>
        <w:t xml:space="preserve"> </w:t>
      </w:r>
      <w:r w:rsidRPr="0008579E">
        <w:rPr>
          <w:rFonts w:ascii="David" w:hAnsi="David" w:hint="eastAsia"/>
          <w:color w:val="000000" w:themeColor="text1"/>
          <w:sz w:val="24"/>
          <w:rtl/>
        </w:rPr>
        <w:t>לאחר</w:t>
      </w:r>
      <w:r w:rsidRPr="0008579E">
        <w:rPr>
          <w:rFonts w:ascii="David" w:hAnsi="David"/>
          <w:color w:val="000000" w:themeColor="text1"/>
          <w:sz w:val="24"/>
          <w:rtl/>
        </w:rPr>
        <w:t xml:space="preserve"> </w:t>
      </w:r>
      <w:r w:rsidRPr="0008579E">
        <w:rPr>
          <w:rFonts w:ascii="David" w:hAnsi="David" w:hint="eastAsia"/>
          <w:color w:val="000000" w:themeColor="text1"/>
          <w:sz w:val="24"/>
          <w:rtl/>
        </w:rPr>
        <w:t>סיום</w:t>
      </w:r>
      <w:r w:rsidRPr="0008579E">
        <w:rPr>
          <w:rFonts w:ascii="David" w:hAnsi="David"/>
          <w:color w:val="000000" w:themeColor="text1"/>
          <w:sz w:val="24"/>
          <w:rtl/>
        </w:rPr>
        <w:t xml:space="preserve"> </w:t>
      </w:r>
      <w:r w:rsidRPr="0008579E">
        <w:rPr>
          <w:rFonts w:ascii="David" w:hAnsi="David" w:hint="eastAsia"/>
          <w:color w:val="000000" w:themeColor="text1"/>
          <w:sz w:val="24"/>
          <w:rtl/>
        </w:rPr>
        <w:t>מלחמת</w:t>
      </w:r>
      <w:r w:rsidRPr="0008579E">
        <w:rPr>
          <w:rFonts w:ascii="David" w:hAnsi="David"/>
          <w:color w:val="000000" w:themeColor="text1"/>
          <w:sz w:val="24"/>
          <w:rtl/>
        </w:rPr>
        <w:t xml:space="preserve"> </w:t>
      </w:r>
      <w:r w:rsidRPr="0008579E">
        <w:rPr>
          <w:rFonts w:ascii="David" w:hAnsi="David" w:hint="eastAsia"/>
          <w:color w:val="000000" w:themeColor="text1"/>
          <w:sz w:val="24"/>
          <w:rtl/>
        </w:rPr>
        <w:t>חרבות</w:t>
      </w:r>
      <w:r w:rsidRPr="0008579E">
        <w:rPr>
          <w:rFonts w:ascii="David" w:hAnsi="David"/>
          <w:color w:val="000000" w:themeColor="text1"/>
          <w:sz w:val="24"/>
          <w:rtl/>
        </w:rPr>
        <w:t xml:space="preserve"> </w:t>
      </w:r>
      <w:r w:rsidRPr="0008579E">
        <w:rPr>
          <w:rFonts w:ascii="David" w:hAnsi="David" w:hint="eastAsia"/>
          <w:color w:val="000000" w:themeColor="text1"/>
          <w:sz w:val="24"/>
          <w:rtl/>
        </w:rPr>
        <w:t>ברזל</w:t>
      </w:r>
      <w:r w:rsidRPr="0008579E">
        <w:rPr>
          <w:rFonts w:ascii="David" w:hAnsi="David"/>
          <w:color w:val="000000" w:themeColor="text1"/>
          <w:sz w:val="24"/>
          <w:rtl/>
        </w:rPr>
        <w:t xml:space="preserve"> </w:t>
      </w:r>
      <w:r w:rsidRPr="0008579E">
        <w:rPr>
          <w:rFonts w:ascii="David" w:hAnsi="David" w:hint="eastAsia"/>
          <w:color w:val="000000" w:themeColor="text1"/>
          <w:sz w:val="24"/>
          <w:rtl/>
        </w:rPr>
        <w:t>בכוונת</w:t>
      </w:r>
      <w:r w:rsidRPr="0008579E">
        <w:rPr>
          <w:rFonts w:ascii="David" w:hAnsi="David"/>
          <w:color w:val="000000" w:themeColor="text1"/>
          <w:sz w:val="24"/>
          <w:rtl/>
        </w:rPr>
        <w:t xml:space="preserve"> </w:t>
      </w:r>
      <w:r w:rsidRPr="0008579E">
        <w:rPr>
          <w:rFonts w:ascii="David" w:hAnsi="David" w:hint="eastAsia"/>
          <w:color w:val="000000" w:themeColor="text1"/>
          <w:sz w:val="24"/>
          <w:rtl/>
        </w:rPr>
        <w:t>משרד</w:t>
      </w:r>
      <w:r w:rsidRPr="0008579E">
        <w:rPr>
          <w:rFonts w:ascii="David" w:hAnsi="David"/>
          <w:color w:val="000000" w:themeColor="text1"/>
          <w:sz w:val="24"/>
          <w:rtl/>
        </w:rPr>
        <w:t xml:space="preserve"> </w:t>
      </w:r>
      <w:r w:rsidRPr="0008579E">
        <w:rPr>
          <w:rFonts w:ascii="David" w:hAnsi="David" w:hint="eastAsia"/>
          <w:color w:val="000000" w:themeColor="text1"/>
          <w:sz w:val="24"/>
          <w:rtl/>
        </w:rPr>
        <w:t>האוצר</w:t>
      </w:r>
      <w:r w:rsidRPr="0008579E">
        <w:rPr>
          <w:rFonts w:ascii="David" w:hAnsi="David"/>
          <w:color w:val="000000" w:themeColor="text1"/>
          <w:sz w:val="24"/>
          <w:rtl/>
        </w:rPr>
        <w:t xml:space="preserve"> </w:t>
      </w:r>
      <w:r w:rsidRPr="0008579E">
        <w:rPr>
          <w:rFonts w:ascii="David" w:hAnsi="David" w:hint="eastAsia"/>
          <w:color w:val="000000" w:themeColor="text1"/>
          <w:sz w:val="24"/>
          <w:rtl/>
        </w:rPr>
        <w:t>ורשות</w:t>
      </w:r>
      <w:r w:rsidRPr="0008579E">
        <w:rPr>
          <w:rFonts w:ascii="David" w:hAnsi="David"/>
          <w:color w:val="000000" w:themeColor="text1"/>
          <w:sz w:val="24"/>
          <w:rtl/>
        </w:rPr>
        <w:t xml:space="preserve"> </w:t>
      </w:r>
      <w:r>
        <w:rPr>
          <w:rFonts w:ascii="David" w:hAnsi="David" w:hint="eastAsia"/>
          <w:color w:val="000000" w:themeColor="text1"/>
          <w:sz w:val="24"/>
          <w:rtl/>
        </w:rPr>
        <w:t>המיסים</w:t>
      </w:r>
      <w:r w:rsidRPr="0008579E">
        <w:rPr>
          <w:rFonts w:ascii="David" w:hAnsi="David"/>
          <w:color w:val="000000" w:themeColor="text1"/>
          <w:sz w:val="24"/>
          <w:rtl/>
        </w:rPr>
        <w:t xml:space="preserve"> </w:t>
      </w:r>
      <w:r w:rsidRPr="0008579E">
        <w:rPr>
          <w:rFonts w:ascii="David" w:hAnsi="David" w:hint="eastAsia"/>
          <w:color w:val="000000" w:themeColor="text1"/>
          <w:sz w:val="24"/>
          <w:rtl/>
        </w:rPr>
        <w:t>להקים</w:t>
      </w:r>
      <w:r w:rsidRPr="0008579E">
        <w:rPr>
          <w:rFonts w:ascii="David" w:hAnsi="David"/>
          <w:color w:val="000000" w:themeColor="text1"/>
          <w:sz w:val="24"/>
          <w:rtl/>
        </w:rPr>
        <w:t xml:space="preserve"> </w:t>
      </w:r>
      <w:r w:rsidRPr="0008579E">
        <w:rPr>
          <w:rFonts w:ascii="David" w:hAnsi="David" w:hint="eastAsia"/>
          <w:color w:val="000000" w:themeColor="text1"/>
          <w:sz w:val="24"/>
          <w:rtl/>
        </w:rPr>
        <w:t>ועדה</w:t>
      </w:r>
      <w:r w:rsidRPr="0008579E">
        <w:rPr>
          <w:rFonts w:ascii="David" w:hAnsi="David"/>
          <w:color w:val="000000" w:themeColor="text1"/>
          <w:sz w:val="24"/>
          <w:rtl/>
        </w:rPr>
        <w:t xml:space="preserve"> </w:t>
      </w:r>
      <w:r w:rsidRPr="0008579E">
        <w:rPr>
          <w:rFonts w:ascii="David" w:hAnsi="David" w:hint="eastAsia"/>
          <w:color w:val="000000" w:themeColor="text1"/>
          <w:sz w:val="24"/>
          <w:rtl/>
        </w:rPr>
        <w:t>אשר</w:t>
      </w:r>
      <w:r w:rsidRPr="0008579E">
        <w:rPr>
          <w:rFonts w:ascii="David" w:hAnsi="David"/>
          <w:color w:val="000000" w:themeColor="text1"/>
          <w:sz w:val="24"/>
          <w:rtl/>
        </w:rPr>
        <w:t xml:space="preserve"> </w:t>
      </w:r>
      <w:r w:rsidRPr="0008579E">
        <w:rPr>
          <w:rFonts w:ascii="David" w:hAnsi="David" w:hint="eastAsia"/>
          <w:color w:val="000000" w:themeColor="text1"/>
          <w:sz w:val="24"/>
          <w:rtl/>
        </w:rPr>
        <w:t>תבחן</w:t>
      </w:r>
      <w:r w:rsidRPr="0008579E">
        <w:rPr>
          <w:rFonts w:ascii="David" w:hAnsi="David"/>
          <w:color w:val="000000" w:themeColor="text1"/>
          <w:sz w:val="24"/>
          <w:rtl/>
        </w:rPr>
        <w:t xml:space="preserve"> </w:t>
      </w:r>
      <w:r w:rsidRPr="0008579E">
        <w:rPr>
          <w:rFonts w:ascii="David" w:hAnsi="David" w:hint="eastAsia"/>
          <w:color w:val="000000" w:themeColor="text1"/>
          <w:sz w:val="24"/>
          <w:rtl/>
        </w:rPr>
        <w:t>את</w:t>
      </w:r>
      <w:r w:rsidRPr="0008579E">
        <w:rPr>
          <w:rFonts w:ascii="David" w:hAnsi="David"/>
          <w:color w:val="000000" w:themeColor="text1"/>
          <w:sz w:val="24"/>
          <w:rtl/>
        </w:rPr>
        <w:t xml:space="preserve"> </w:t>
      </w:r>
      <w:r w:rsidRPr="0008579E">
        <w:rPr>
          <w:rFonts w:ascii="David" w:hAnsi="David" w:hint="eastAsia"/>
          <w:color w:val="000000" w:themeColor="text1"/>
          <w:sz w:val="24"/>
          <w:rtl/>
        </w:rPr>
        <w:t>רשימת</w:t>
      </w:r>
      <w:r w:rsidRPr="0008579E">
        <w:rPr>
          <w:rFonts w:ascii="David" w:hAnsi="David"/>
          <w:color w:val="000000" w:themeColor="text1"/>
          <w:sz w:val="24"/>
          <w:rtl/>
        </w:rPr>
        <w:t xml:space="preserve"> </w:t>
      </w:r>
      <w:r w:rsidRPr="0008579E">
        <w:rPr>
          <w:rFonts w:ascii="David" w:hAnsi="David" w:hint="eastAsia"/>
          <w:color w:val="000000" w:themeColor="text1"/>
          <w:sz w:val="24"/>
          <w:rtl/>
        </w:rPr>
        <w:t>יישובי</w:t>
      </w:r>
      <w:r w:rsidRPr="0008579E">
        <w:rPr>
          <w:rFonts w:ascii="David" w:hAnsi="David"/>
          <w:color w:val="000000" w:themeColor="text1"/>
          <w:sz w:val="24"/>
          <w:rtl/>
        </w:rPr>
        <w:t xml:space="preserve"> </w:t>
      </w:r>
      <w:r w:rsidRPr="0008579E">
        <w:rPr>
          <w:rFonts w:ascii="David" w:hAnsi="David" w:hint="eastAsia"/>
          <w:color w:val="000000" w:themeColor="text1"/>
          <w:sz w:val="24"/>
          <w:rtl/>
        </w:rPr>
        <w:t>הספר</w:t>
      </w:r>
      <w:r w:rsidRPr="0008579E">
        <w:rPr>
          <w:rFonts w:ascii="David" w:hAnsi="David"/>
          <w:color w:val="000000" w:themeColor="text1"/>
          <w:sz w:val="24"/>
          <w:rtl/>
        </w:rPr>
        <w:t xml:space="preserve"> </w:t>
      </w:r>
      <w:r w:rsidRPr="0008579E">
        <w:rPr>
          <w:rFonts w:ascii="David" w:hAnsi="David" w:hint="eastAsia"/>
          <w:color w:val="000000" w:themeColor="text1"/>
          <w:sz w:val="24"/>
          <w:rtl/>
        </w:rPr>
        <w:t>הקיימת</w:t>
      </w:r>
      <w:r w:rsidRPr="0008579E">
        <w:rPr>
          <w:rFonts w:ascii="David" w:hAnsi="David"/>
          <w:color w:val="000000" w:themeColor="text1"/>
          <w:sz w:val="24"/>
          <w:rtl/>
        </w:rPr>
        <w:t xml:space="preserve"> </w:t>
      </w:r>
      <w:r w:rsidRPr="0008579E">
        <w:rPr>
          <w:rFonts w:ascii="David" w:hAnsi="David" w:hint="eastAsia"/>
          <w:color w:val="000000" w:themeColor="text1"/>
          <w:sz w:val="24"/>
          <w:rtl/>
        </w:rPr>
        <w:t>בחוק</w:t>
      </w:r>
      <w:r w:rsidRPr="0008579E">
        <w:rPr>
          <w:rFonts w:ascii="David" w:hAnsi="David"/>
          <w:color w:val="000000" w:themeColor="text1"/>
          <w:sz w:val="24"/>
          <w:rtl/>
        </w:rPr>
        <w:t>.</w:t>
      </w:r>
    </w:p>
    <w:p w:rsidR="006252C4" w:rsidRPr="00A81964" w:rsidRDefault="006252C4" w:rsidP="006252C4">
      <w:pPr>
        <w:spacing w:line="269" w:lineRule="auto"/>
        <w:rPr>
          <w:rtl/>
        </w:rPr>
      </w:pPr>
    </w:p>
    <w:p w:rsidR="006252C4" w:rsidRPr="00A81964" w:rsidRDefault="006252C4" w:rsidP="006252C4">
      <w:pPr>
        <w:pStyle w:val="31"/>
        <w:spacing w:before="0" w:line="269" w:lineRule="auto"/>
        <w:rPr>
          <w:rtl/>
        </w:rPr>
      </w:pPr>
      <w:r w:rsidRPr="00A81964">
        <w:rPr>
          <w:rFonts w:hint="cs"/>
          <w:rtl/>
        </w:rPr>
        <w:t>הנגשת המידע ושיפור השירות לציבור</w:t>
      </w:r>
    </w:p>
    <w:p w:rsidR="006252C4" w:rsidRDefault="006252C4" w:rsidP="006252C4">
      <w:pPr>
        <w:pStyle w:val="a8"/>
        <w:spacing w:line="269" w:lineRule="auto"/>
        <w:rPr>
          <w:rtl/>
        </w:rPr>
      </w:pPr>
    </w:p>
    <w:p w:rsidR="006252C4" w:rsidRPr="00A81964" w:rsidRDefault="006252C4" w:rsidP="006252C4">
      <w:pPr>
        <w:pStyle w:val="4"/>
        <w:spacing w:before="0" w:line="269" w:lineRule="auto"/>
        <w:rPr>
          <w:rtl/>
        </w:rPr>
      </w:pPr>
      <w:r w:rsidRPr="00A81964">
        <w:rPr>
          <w:rFonts w:hint="cs"/>
          <w:rtl/>
        </w:rPr>
        <w:t>רקע</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ניזוק אשר נגרם לו נזק עקיף יכול לקבל מידע ולהגיש תביעה לפיצוי דרך האזור האישי שלו באתר רשות </w:t>
      </w:r>
      <w:r>
        <w:rPr>
          <w:rFonts w:hint="cs"/>
          <w:rtl/>
        </w:rPr>
        <w:t>המיסים</w:t>
      </w:r>
      <w:r w:rsidRPr="00A81964">
        <w:rPr>
          <w:rFonts w:hint="cs"/>
          <w:rtl/>
        </w:rPr>
        <w:t xml:space="preserve"> (להלן - האזור האישי). </w:t>
      </w:r>
    </w:p>
    <w:p w:rsidR="006252C4" w:rsidRDefault="006252C4" w:rsidP="006252C4">
      <w:pPr>
        <w:pStyle w:val="a8"/>
        <w:spacing w:line="269" w:lineRule="auto"/>
        <w:rPr>
          <w:rtl/>
        </w:rPr>
      </w:pPr>
    </w:p>
    <w:p w:rsidR="006252C4" w:rsidRPr="00A81964" w:rsidRDefault="006252C4" w:rsidP="006252C4">
      <w:pPr>
        <w:spacing w:line="269" w:lineRule="auto"/>
        <w:rPr>
          <w:rtl/>
        </w:rPr>
      </w:pPr>
      <w:r>
        <w:rPr>
          <w:rFonts w:hint="cs"/>
          <w:rtl/>
        </w:rPr>
        <w:t>ניזוק שהוא עוסק נדרש</w:t>
      </w:r>
      <w:r w:rsidRPr="00A81964">
        <w:rPr>
          <w:rFonts w:hint="cs"/>
          <w:rtl/>
        </w:rPr>
        <w:t xml:space="preserve"> למלא את פרטיו האישיים ופרטי העסק, לבחור באחד ממסלולי הפיצוי הרלוונטיים לו, לספק מידע לגבי הכנסותיו והוצאותיו ולהצהיר באשר </w:t>
      </w:r>
      <w:r w:rsidRPr="00A81964">
        <w:rPr>
          <w:rFonts w:hint="eastAsia"/>
          <w:rtl/>
        </w:rPr>
        <w:t>לנזק</w:t>
      </w:r>
      <w:r w:rsidRPr="00A81964">
        <w:rPr>
          <w:rtl/>
        </w:rPr>
        <w:t xml:space="preserve"> </w:t>
      </w:r>
      <w:r w:rsidRPr="00A81964">
        <w:rPr>
          <w:rFonts w:hint="eastAsia"/>
          <w:rtl/>
        </w:rPr>
        <w:t>שנגרם</w:t>
      </w:r>
      <w:r w:rsidRPr="00A81964">
        <w:rPr>
          <w:rtl/>
        </w:rPr>
        <w:t xml:space="preserve"> </w:t>
      </w:r>
      <w:r w:rsidRPr="00A81964">
        <w:rPr>
          <w:rFonts w:hint="eastAsia"/>
          <w:rtl/>
        </w:rPr>
        <w:t>לו</w:t>
      </w:r>
      <w:r w:rsidRPr="00A81964">
        <w:rPr>
          <w:rFonts w:hint="cs"/>
          <w:rtl/>
        </w:rPr>
        <w:t xml:space="preserve"> ולקשר הסיבתי למלחמת חרבות ברזל.</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lastRenderedPageBreak/>
        <w:t>לאחר הגשת התביעה הניזוק יכול לראות באזור האישי את פרטי התביעה, לברר האם הוא נדרש להשלים מסמכים, לעקוב אחר סטטוס התביעה והסכום שאושר לתשלום כפיצוי ולהגיש השגה על החלטת קרן הפיצויים.</w:t>
      </w:r>
    </w:p>
    <w:p w:rsidR="006252C4" w:rsidRDefault="006252C4" w:rsidP="006252C4">
      <w:pPr>
        <w:pStyle w:val="a8"/>
        <w:spacing w:line="269" w:lineRule="auto"/>
        <w:rPr>
          <w:rtl/>
        </w:rPr>
      </w:pPr>
    </w:p>
    <w:p w:rsidR="006252C4" w:rsidRDefault="006252C4" w:rsidP="006252C4">
      <w:pPr>
        <w:spacing w:line="269" w:lineRule="auto"/>
        <w:rPr>
          <w:rtl/>
        </w:rPr>
      </w:pPr>
      <w:r w:rsidRPr="00A81964">
        <w:rPr>
          <w:rFonts w:hint="cs"/>
          <w:rtl/>
        </w:rPr>
        <w:t xml:space="preserve">להלן בתמונה </w:t>
      </w:r>
      <w:r>
        <w:rPr>
          <w:rFonts w:hint="cs"/>
          <w:rtl/>
        </w:rPr>
        <w:t>5</w:t>
      </w:r>
      <w:r w:rsidRPr="00A81964">
        <w:rPr>
          <w:rFonts w:hint="cs"/>
          <w:rtl/>
        </w:rPr>
        <w:t xml:space="preserve"> נתוני ניזוק שהגיש תביעות בגין נזק עקיף המוצגים באזור האישי</w:t>
      </w:r>
      <w:r>
        <w:rPr>
          <w:rFonts w:hint="cs"/>
          <w:rtl/>
        </w:rPr>
        <w:t>.</w:t>
      </w:r>
    </w:p>
    <w:p w:rsidR="006252C4" w:rsidRDefault="006252C4" w:rsidP="006252C4">
      <w:pPr>
        <w:spacing w:line="269" w:lineRule="auto"/>
        <w:jc w:val="center"/>
        <w:rPr>
          <w:rtl/>
        </w:rPr>
      </w:pPr>
    </w:p>
    <w:p w:rsidR="006252C4" w:rsidRPr="00A81964" w:rsidRDefault="006252C4" w:rsidP="006252C4">
      <w:pPr>
        <w:spacing w:line="269" w:lineRule="auto"/>
        <w:jc w:val="center"/>
        <w:rPr>
          <w:b/>
          <w:bCs/>
          <w:rtl/>
        </w:rPr>
      </w:pPr>
      <w:r w:rsidRPr="00A81964">
        <w:rPr>
          <w:rFonts w:hint="eastAsia"/>
          <w:rtl/>
        </w:rPr>
        <w:t>תמונה</w:t>
      </w:r>
      <w:r w:rsidRPr="00A81964">
        <w:rPr>
          <w:rtl/>
        </w:rPr>
        <w:t xml:space="preserve"> </w:t>
      </w:r>
      <w:r>
        <w:rPr>
          <w:rFonts w:hint="cs"/>
          <w:rtl/>
        </w:rPr>
        <w:t>5</w:t>
      </w:r>
      <w:r w:rsidRPr="00A81964">
        <w:rPr>
          <w:rtl/>
        </w:rPr>
        <w:t>:</w:t>
      </w:r>
      <w:r w:rsidRPr="00A81964">
        <w:rPr>
          <w:b/>
          <w:bCs/>
          <w:rtl/>
        </w:rPr>
        <w:t xml:space="preserve"> נתוני ניזוק שהגיש תביעות בגין נזק עקיף המוצגים באזור האישי</w:t>
      </w:r>
    </w:p>
    <w:p w:rsidR="006252C4" w:rsidRPr="00A81964" w:rsidRDefault="006252C4" w:rsidP="006252C4">
      <w:pPr>
        <w:spacing w:line="269" w:lineRule="auto"/>
        <w:jc w:val="center"/>
        <w:rPr>
          <w:rtl/>
        </w:rPr>
      </w:pPr>
      <w:r w:rsidRPr="00A81964">
        <w:rPr>
          <w:rFonts w:hint="cs"/>
          <w:noProof/>
        </w:rPr>
        <w:drawing>
          <wp:inline distT="0" distB="0" distL="0" distR="0" wp14:anchorId="7D101D85" wp14:editId="6E497B0A">
            <wp:extent cx="4212016" cy="3364992"/>
            <wp:effectExtent l="0" t="0" r="0" b="6985"/>
            <wp:docPr id="18" name="תמונה 18" descr="בתמונה מוצג צילום מסך מהאזור האישי של ניזוק שהגיש תביעה לפיצוי בגין נזק עקי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26797" cy="3376800"/>
                    </a:xfrm>
                    <a:prstGeom prst="rect">
                      <a:avLst/>
                    </a:prstGeom>
                    <a:noFill/>
                    <a:ln>
                      <a:noFill/>
                    </a:ln>
                  </pic:spPr>
                </pic:pic>
              </a:graphicData>
            </a:graphic>
          </wp:inline>
        </w:drawing>
      </w:r>
    </w:p>
    <w:p w:rsidR="006252C4" w:rsidRPr="00A81964" w:rsidRDefault="006252C4" w:rsidP="006252C4">
      <w:pPr>
        <w:spacing w:line="269" w:lineRule="auto"/>
        <w:rPr>
          <w:sz w:val="16"/>
          <w:szCs w:val="20"/>
        </w:rPr>
      </w:pPr>
      <w:r w:rsidRPr="00A81964">
        <w:rPr>
          <w:rFonts w:hint="cs"/>
          <w:sz w:val="16"/>
          <w:szCs w:val="20"/>
          <w:rtl/>
        </w:rPr>
        <w:t>המקור: אתר רשות המיסים.</w:t>
      </w:r>
    </w:p>
    <w:p w:rsidR="006252C4" w:rsidRPr="00A81964" w:rsidRDefault="006252C4" w:rsidP="006252C4">
      <w:pPr>
        <w:spacing w:line="269" w:lineRule="auto"/>
        <w:rPr>
          <w:rtl/>
        </w:rPr>
      </w:pPr>
    </w:p>
    <w:p w:rsidR="006252C4" w:rsidRPr="00A81964" w:rsidRDefault="006252C4" w:rsidP="006252C4">
      <w:pPr>
        <w:pStyle w:val="4"/>
        <w:spacing w:before="0" w:line="269" w:lineRule="auto"/>
        <w:rPr>
          <w:rtl/>
        </w:rPr>
      </w:pPr>
      <w:r w:rsidRPr="00A81964">
        <w:rPr>
          <w:rFonts w:hint="cs"/>
          <w:rtl/>
        </w:rPr>
        <w:t>כנסים וימי עיון לבעלי עסקים</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בחודש אפריל 2024 החלה קרן הפיצויים לערוך </w:t>
      </w:r>
      <w:r w:rsidRPr="00290990">
        <w:rPr>
          <w:rFonts w:hint="cs"/>
          <w:rtl/>
        </w:rPr>
        <w:t>כנסים וימי עיון לבעלי עסקים</w:t>
      </w:r>
      <w:r w:rsidRPr="00A81964">
        <w:rPr>
          <w:rFonts w:hint="cs"/>
          <w:rtl/>
        </w:rPr>
        <w:t xml:space="preserve"> (להלן - כנסים) במספר י</w:t>
      </w:r>
      <w:r>
        <w:rPr>
          <w:rFonts w:hint="cs"/>
          <w:rtl/>
        </w:rPr>
        <w:t>י</w:t>
      </w:r>
      <w:r w:rsidRPr="00A81964">
        <w:rPr>
          <w:rFonts w:hint="cs"/>
          <w:rtl/>
        </w:rPr>
        <w:t>שובים בדרום הארץ ובצפונה וביניהם קריית שמונה, נהרייה, טבריה, צפת ויישובי המועצה האזורית אשכול. בחלק מהיישובים התקיימו מספר כנסים.</w:t>
      </w:r>
    </w:p>
    <w:p w:rsidR="006252C4" w:rsidRDefault="006252C4" w:rsidP="006252C4">
      <w:pPr>
        <w:pStyle w:val="a8"/>
        <w:spacing w:line="269" w:lineRule="auto"/>
        <w:rPr>
          <w:rtl/>
        </w:rPr>
      </w:pPr>
    </w:p>
    <w:p w:rsidR="006252C4" w:rsidRPr="00A81964" w:rsidRDefault="006252C4" w:rsidP="006252C4">
      <w:pPr>
        <w:spacing w:line="269" w:lineRule="auto"/>
      </w:pPr>
      <w:r w:rsidRPr="00A81964">
        <w:rPr>
          <w:rFonts w:hint="cs"/>
          <w:rtl/>
        </w:rPr>
        <w:t xml:space="preserve">במסגרת הכנסים הועברו הרצאות המציגות את מסלולי הפיצויים בגין נזקים עקיפים ואת התנאים לזכאותם. נוסף על כך, ניתן מענה לשאלות שהועלו בנושא, ובעלי עסקים יכולים היו להיפגש עם עובדי קרן הפיצויים ולקבל מהם הדרכה אישית בנוגע לזכאותם לפיצויים בגין נזקים עקיפים שנגרמו להם ואף לקבל </w:t>
      </w:r>
      <w:r w:rsidRPr="00A81964">
        <w:rPr>
          <w:rFonts w:hint="cs"/>
          <w:rtl/>
        </w:rPr>
        <w:lastRenderedPageBreak/>
        <w:t>מהם סיוע בהגשת תביעות לפיצויים (להלן - מפגשים אישיים). מקרן הפיצויים נמסר כי להערכתה התקיימו 120 - 170 מפגשים אישיים במסגרת הכנסים שנערכו.</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משרד מבקר המדינה מציין לטובה את יוזמת קרן הפיצויים לקיים את הכנסים ביישובים שנפגעו, בעיצומה של לחימה, לצורך הנגשת המידע המקצועי הרלוונטי ואת הסיוע לבעלי העסקים שנפגעו למ</w:t>
      </w:r>
      <w:r>
        <w:rPr>
          <w:rFonts w:hint="cs"/>
          <w:b/>
          <w:bCs/>
          <w:rtl/>
        </w:rPr>
        <w:t>י</w:t>
      </w:r>
      <w:r w:rsidRPr="00A81964">
        <w:rPr>
          <w:rFonts w:hint="cs"/>
          <w:b/>
          <w:bCs/>
          <w:rtl/>
        </w:rPr>
        <w:t>מ</w:t>
      </w:r>
      <w:r>
        <w:rPr>
          <w:rFonts w:hint="cs"/>
          <w:b/>
          <w:bCs/>
          <w:rtl/>
        </w:rPr>
        <w:t>ו</w:t>
      </w:r>
      <w:r w:rsidRPr="00A81964">
        <w:rPr>
          <w:rFonts w:hint="cs"/>
          <w:b/>
          <w:bCs/>
          <w:rtl/>
        </w:rPr>
        <w:t>ש זכאותם לפיצויים באמצעות המפגשים האישיים.</w:t>
      </w:r>
    </w:p>
    <w:p w:rsidR="006252C4" w:rsidRPr="00A81964" w:rsidRDefault="006252C4" w:rsidP="006252C4">
      <w:pPr>
        <w:spacing w:line="269" w:lineRule="auto"/>
        <w:rPr>
          <w:rtl/>
        </w:rPr>
      </w:pPr>
    </w:p>
    <w:p w:rsidR="006252C4" w:rsidRPr="00A81964" w:rsidRDefault="006252C4" w:rsidP="006252C4">
      <w:pPr>
        <w:pStyle w:val="4"/>
        <w:spacing w:before="0" w:line="269" w:lineRule="auto"/>
        <w:rPr>
          <w:rtl/>
        </w:rPr>
      </w:pPr>
      <w:r w:rsidRPr="00A81964">
        <w:rPr>
          <w:rFonts w:hint="cs"/>
          <w:rtl/>
        </w:rPr>
        <w:t>תהליך הפקת לקחים וסקרי שביעות רצון</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על מנת להביא לשיפור וייעול השירות הציבורי, נדרש ליישם תהליך של הפקת לקחים המאפשר למידה מהתנסויות העבר</w:t>
      </w:r>
      <w:r w:rsidRPr="00A81964">
        <w:rPr>
          <w:rFonts w:hint="cs"/>
          <w:rtl/>
        </w:rPr>
        <w:t xml:space="preserve"> של </w:t>
      </w:r>
      <w:r w:rsidRPr="00D070AF">
        <w:rPr>
          <w:rFonts w:hint="cs"/>
          <w:rtl/>
        </w:rPr>
        <w:t xml:space="preserve">הגוף </w:t>
      </w:r>
      <w:r w:rsidRPr="00F354E0">
        <w:rPr>
          <w:rFonts w:hint="eastAsia"/>
          <w:rtl/>
        </w:rPr>
        <w:t>נות</w:t>
      </w:r>
      <w:r w:rsidRPr="00F35441">
        <w:rPr>
          <w:rFonts w:hint="eastAsia"/>
          <w:rtl/>
        </w:rPr>
        <w:t>ן</w:t>
      </w:r>
      <w:r w:rsidRPr="00F35441">
        <w:rPr>
          <w:rtl/>
        </w:rPr>
        <w:t xml:space="preserve"> </w:t>
      </w:r>
      <w:r w:rsidRPr="00A81964">
        <w:rPr>
          <w:rFonts w:hint="cs"/>
          <w:rtl/>
        </w:rPr>
        <w:t>השירות</w:t>
      </w:r>
      <w:r w:rsidRPr="00A81964">
        <w:rPr>
          <w:rtl/>
        </w:rPr>
        <w:t xml:space="preserve">. תהליך זה כולל איסוף של מידע ממקרים שבהם זוהו כשלים, חריגות או הזדמנויות לשיפור, ניתוח מעמיק של הגורמים </w:t>
      </w:r>
      <w:r w:rsidRPr="00A81964">
        <w:rPr>
          <w:rFonts w:hint="cs"/>
          <w:rtl/>
        </w:rPr>
        <w:t>לכשלים</w:t>
      </w:r>
      <w:r w:rsidRPr="00A81964">
        <w:rPr>
          <w:rtl/>
        </w:rPr>
        <w:t xml:space="preserve">, וגיבוש המלצות ברות-ביצוע </w:t>
      </w:r>
      <w:r w:rsidRPr="00A81964">
        <w:rPr>
          <w:rFonts w:hint="cs"/>
          <w:rtl/>
        </w:rPr>
        <w:t>שראוי</w:t>
      </w:r>
      <w:r w:rsidRPr="00A81964">
        <w:rPr>
          <w:rtl/>
        </w:rPr>
        <w:t xml:space="preserve"> להטמיע בפעילות ה</w:t>
      </w:r>
      <w:r w:rsidRPr="00A81964">
        <w:rPr>
          <w:rFonts w:hint="cs"/>
          <w:rtl/>
        </w:rPr>
        <w:t>גוף למניעת הכשלים בעתיד</w:t>
      </w:r>
      <w:r w:rsidRPr="00A81964">
        <w:rPr>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 xml:space="preserve">נכון למועד סיום הביקורת </w:t>
      </w:r>
      <w:r w:rsidRPr="00A81964">
        <w:rPr>
          <w:rFonts w:hint="eastAsia"/>
          <w:rtl/>
        </w:rPr>
        <w:t>רשות</w:t>
      </w:r>
      <w:r w:rsidRPr="00A81964">
        <w:rPr>
          <w:rtl/>
        </w:rPr>
        <w:t xml:space="preserve"> </w:t>
      </w:r>
      <w:r>
        <w:rPr>
          <w:rFonts w:hint="eastAsia"/>
          <w:rtl/>
        </w:rPr>
        <w:t>המיסים</w:t>
      </w:r>
      <w:r w:rsidRPr="00A81964">
        <w:rPr>
          <w:rtl/>
        </w:rPr>
        <w:t xml:space="preserve"> </w:t>
      </w:r>
      <w:r w:rsidRPr="00A81964">
        <w:rPr>
          <w:rFonts w:hint="eastAsia"/>
          <w:rtl/>
        </w:rPr>
        <w:t>החלה</w:t>
      </w:r>
      <w:r w:rsidRPr="00A81964">
        <w:rPr>
          <w:rtl/>
        </w:rPr>
        <w:t xml:space="preserve"> </w:t>
      </w:r>
      <w:r w:rsidRPr="00A81964">
        <w:rPr>
          <w:rFonts w:hint="eastAsia"/>
          <w:rtl/>
        </w:rPr>
        <w:t>תהליך</w:t>
      </w:r>
      <w:r w:rsidRPr="00A81964">
        <w:rPr>
          <w:rtl/>
        </w:rPr>
        <w:t xml:space="preserve"> </w:t>
      </w:r>
      <w:r w:rsidRPr="00A81964">
        <w:rPr>
          <w:rFonts w:hint="eastAsia"/>
          <w:rtl/>
        </w:rPr>
        <w:t>ל</w:t>
      </w:r>
      <w:r w:rsidRPr="00A81964">
        <w:rPr>
          <w:rtl/>
        </w:rPr>
        <w:t xml:space="preserve">הפקת לקחים </w:t>
      </w:r>
      <w:r w:rsidRPr="00A81964">
        <w:rPr>
          <w:rFonts w:hint="eastAsia"/>
          <w:rtl/>
        </w:rPr>
        <w:t>באשר</w:t>
      </w:r>
      <w:r w:rsidRPr="00A81964">
        <w:rPr>
          <w:rtl/>
        </w:rPr>
        <w:t xml:space="preserve"> </w:t>
      </w:r>
      <w:r w:rsidRPr="00A81964">
        <w:rPr>
          <w:rFonts w:hint="eastAsia"/>
          <w:rtl/>
        </w:rPr>
        <w:t>לטיפול</w:t>
      </w:r>
      <w:r w:rsidRPr="00A81964">
        <w:rPr>
          <w:rtl/>
        </w:rPr>
        <w:t xml:space="preserve"> </w:t>
      </w:r>
      <w:r w:rsidRPr="00A81964">
        <w:rPr>
          <w:rFonts w:hint="eastAsia"/>
          <w:rtl/>
        </w:rPr>
        <w:t>בתביעות</w:t>
      </w:r>
      <w:r w:rsidRPr="00A81964">
        <w:rPr>
          <w:rtl/>
        </w:rPr>
        <w:t xml:space="preserve"> </w:t>
      </w:r>
      <w:r w:rsidRPr="00A81964">
        <w:rPr>
          <w:rFonts w:hint="eastAsia"/>
          <w:rtl/>
        </w:rPr>
        <w:t>לפיצוי</w:t>
      </w:r>
      <w:r w:rsidRPr="00A81964">
        <w:rPr>
          <w:rtl/>
        </w:rPr>
        <w:t xml:space="preserve"> </w:t>
      </w:r>
      <w:r w:rsidRPr="00A81964">
        <w:rPr>
          <w:rFonts w:hint="eastAsia"/>
          <w:rtl/>
        </w:rPr>
        <w:t>בגין</w:t>
      </w:r>
      <w:r w:rsidRPr="00A81964">
        <w:rPr>
          <w:rtl/>
        </w:rPr>
        <w:t xml:space="preserve"> </w:t>
      </w:r>
      <w:r w:rsidRPr="00A81964">
        <w:rPr>
          <w:rFonts w:hint="eastAsia"/>
          <w:rtl/>
        </w:rPr>
        <w:t>נזק</w:t>
      </w:r>
      <w:r w:rsidRPr="00A81964">
        <w:rPr>
          <w:rtl/>
        </w:rPr>
        <w:t xml:space="preserve"> </w:t>
      </w:r>
      <w:r w:rsidRPr="00A81964">
        <w:rPr>
          <w:rFonts w:hint="eastAsia"/>
          <w:rtl/>
        </w:rPr>
        <w:t>ישיר</w:t>
      </w:r>
      <w:r>
        <w:rPr>
          <w:rFonts w:hint="cs"/>
          <w:rtl/>
        </w:rPr>
        <w:t xml:space="preserve"> במלחמת חרבות ברזל</w:t>
      </w:r>
      <w:r w:rsidRPr="00A81964">
        <w:rPr>
          <w:rtl/>
        </w:rPr>
        <w:t xml:space="preserve">. לצורך כך </w:t>
      </w:r>
      <w:r w:rsidRPr="00A81964">
        <w:rPr>
          <w:rFonts w:hint="eastAsia"/>
          <w:rtl/>
        </w:rPr>
        <w:t>הרשות</w:t>
      </w:r>
      <w:r w:rsidRPr="00A81964">
        <w:rPr>
          <w:rtl/>
        </w:rPr>
        <w:t xml:space="preserve"> </w:t>
      </w:r>
      <w:r w:rsidRPr="00A81964">
        <w:rPr>
          <w:rFonts w:hint="eastAsia"/>
          <w:rtl/>
        </w:rPr>
        <w:t>מסתייעת</w:t>
      </w:r>
      <w:r>
        <w:rPr>
          <w:rtl/>
        </w:rPr>
        <w:t xml:space="preserve"> </w:t>
      </w:r>
      <w:r w:rsidRPr="00A81964">
        <w:rPr>
          <w:rtl/>
        </w:rPr>
        <w:t>בחברה חיצונית.</w:t>
      </w:r>
      <w:r w:rsidRPr="00A81964">
        <w:rPr>
          <w:rFonts w:hint="cs"/>
          <w:rtl/>
        </w:rPr>
        <w:t xml:space="preserve"> תהליך הפקת הלקחים באשר לטיפול הרשות בתביעות לפיצוי בגין נזק עקיף טרם החל.</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מומלץ כי רשות </w:t>
      </w:r>
      <w:r>
        <w:rPr>
          <w:rFonts w:hint="cs"/>
          <w:b/>
          <w:bCs/>
          <w:rtl/>
        </w:rPr>
        <w:t>המיסים</w:t>
      </w:r>
      <w:r w:rsidRPr="00A81964">
        <w:rPr>
          <w:rFonts w:hint="cs"/>
          <w:b/>
          <w:bCs/>
          <w:rtl/>
        </w:rPr>
        <w:t xml:space="preserve"> תבצע תהליך הפקת לקחים גם באשר לטיפולה במאות אלפי התביעות לפיצויים שהוגשו בגין נזק עקיף.</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סקר שביעות רצון</w:t>
      </w:r>
      <w:r w:rsidRPr="00A81964">
        <w:rPr>
          <w:rFonts w:hint="cs"/>
          <w:rtl/>
        </w:rPr>
        <w:t xml:space="preserve"> לקוחות</w:t>
      </w:r>
      <w:r w:rsidRPr="00A81964">
        <w:rPr>
          <w:rtl/>
        </w:rPr>
        <w:t xml:space="preserve"> </w:t>
      </w:r>
      <w:r w:rsidRPr="00A81964">
        <w:rPr>
          <w:rFonts w:hint="cs"/>
          <w:rtl/>
        </w:rPr>
        <w:t>הוא אחד הכלים בתהליך הפקת לקחים</w:t>
      </w:r>
      <w:r w:rsidRPr="00A81964">
        <w:rPr>
          <w:rtl/>
        </w:rPr>
        <w:t xml:space="preserve"> </w:t>
      </w:r>
      <w:r w:rsidRPr="00A81964">
        <w:rPr>
          <w:rFonts w:hint="cs"/>
          <w:rtl/>
        </w:rPr>
        <w:t>ו</w:t>
      </w:r>
      <w:r w:rsidRPr="00A81964">
        <w:rPr>
          <w:rtl/>
        </w:rPr>
        <w:t>הוא נועד לשקף את חוויית הציבור מהשירות</w:t>
      </w:r>
      <w:r w:rsidRPr="00A81964">
        <w:rPr>
          <w:rStyle w:val="af2"/>
          <w:rtl/>
        </w:rPr>
        <w:footnoteReference w:id="131"/>
      </w:r>
      <w:r w:rsidRPr="00A81964">
        <w:rPr>
          <w:rFonts w:hint="cs"/>
          <w:rtl/>
        </w:rPr>
        <w:t xml:space="preserve">, </w:t>
      </w:r>
      <w:r w:rsidRPr="00A81964">
        <w:rPr>
          <w:rtl/>
        </w:rPr>
        <w:t>לסייע באיתור נושאים הדורשים שיפור</w:t>
      </w:r>
      <w:r w:rsidRPr="00A81964">
        <w:rPr>
          <w:rFonts w:hint="cs"/>
          <w:rtl/>
        </w:rPr>
        <w:t xml:space="preserve"> באמצעות זיהוי</w:t>
      </w:r>
      <w:r w:rsidRPr="00A81964">
        <w:rPr>
          <w:rtl/>
        </w:rPr>
        <w:t xml:space="preserve"> כשלים או פערים בתהליך מתן השירות</w:t>
      </w:r>
      <w:r w:rsidRPr="00A81964">
        <w:rPr>
          <w:rFonts w:hint="cs"/>
          <w:rtl/>
        </w:rPr>
        <w:t xml:space="preserve"> ובהבנה של צרכי</w:t>
      </w:r>
      <w:r w:rsidRPr="00A81964">
        <w:rPr>
          <w:rtl/>
        </w:rPr>
        <w:t xml:space="preserve"> המשתמשים</w:t>
      </w:r>
      <w:r w:rsidRPr="00A81964">
        <w:rPr>
          <w:rFonts w:hint="cs"/>
          <w:rtl/>
        </w:rPr>
        <w:t>, לרבות:</w:t>
      </w:r>
      <w:r w:rsidRPr="00A81964">
        <w:rPr>
          <w:rtl/>
        </w:rPr>
        <w:t xml:space="preserve"> איכות השירות</w:t>
      </w:r>
      <w:r w:rsidRPr="00A81964">
        <w:rPr>
          <w:rFonts w:hint="cs"/>
          <w:rtl/>
        </w:rPr>
        <w:t xml:space="preserve">, </w:t>
      </w:r>
      <w:r w:rsidRPr="00A81964">
        <w:rPr>
          <w:rtl/>
        </w:rPr>
        <w:t>רמת ההיענות לצרכים, ההתנהלות של נותני השירות, זמני ההמתנה</w:t>
      </w:r>
      <w:r w:rsidRPr="00A81964">
        <w:rPr>
          <w:rFonts w:hint="cs"/>
          <w:rtl/>
        </w:rPr>
        <w:t xml:space="preserve"> ונגישות המידע והסיוע. הסקר מסייע בייעול</w:t>
      </w:r>
      <w:r w:rsidRPr="00A81964">
        <w:rPr>
          <w:rtl/>
        </w:rPr>
        <w:t xml:space="preserve"> תהליכי קבלת ההחלטות ובגיבוש מדיניות מבוססת נתונים. נוסף</w:t>
      </w:r>
      <w:r>
        <w:rPr>
          <w:rFonts w:hint="cs"/>
          <w:rtl/>
        </w:rPr>
        <w:t xml:space="preserve"> על כך</w:t>
      </w:r>
      <w:r w:rsidRPr="00A81964">
        <w:rPr>
          <w:rtl/>
        </w:rPr>
        <w:t xml:space="preserve">, פרסום ממצאי הסקר ושילובם בתוכניות </w:t>
      </w:r>
      <w:r w:rsidRPr="00A81964">
        <w:rPr>
          <w:rFonts w:hint="cs"/>
          <w:rtl/>
        </w:rPr>
        <w:t>העבודה</w:t>
      </w:r>
      <w:r w:rsidRPr="00A81964">
        <w:rPr>
          <w:rtl/>
        </w:rPr>
        <w:t xml:space="preserve"> </w:t>
      </w:r>
      <w:r w:rsidRPr="00A81964">
        <w:rPr>
          <w:rFonts w:hint="cs"/>
          <w:rtl/>
        </w:rPr>
        <w:t>מגבירים את השקיפות כלפי הציבור ו</w:t>
      </w:r>
      <w:r w:rsidRPr="00A81964">
        <w:rPr>
          <w:rtl/>
        </w:rPr>
        <w:t xml:space="preserve">מחדדים את מחויבות </w:t>
      </w:r>
      <w:r w:rsidRPr="00A81964">
        <w:rPr>
          <w:rFonts w:hint="cs"/>
          <w:rtl/>
        </w:rPr>
        <w:t>הגוף</w:t>
      </w:r>
      <w:r w:rsidRPr="00A81964">
        <w:rPr>
          <w:rtl/>
        </w:rPr>
        <w:t xml:space="preserve"> למתן שירות </w:t>
      </w:r>
      <w:r w:rsidRPr="00A81964">
        <w:rPr>
          <w:rFonts w:hint="cs"/>
          <w:rtl/>
        </w:rPr>
        <w:t>איכותי יותר.</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eastAsia"/>
          <w:b/>
          <w:bCs/>
          <w:rtl/>
        </w:rPr>
        <w:t>עלה</w:t>
      </w:r>
      <w:r w:rsidRPr="00A81964">
        <w:rPr>
          <w:b/>
          <w:bCs/>
          <w:rtl/>
        </w:rPr>
        <w:t xml:space="preserve"> כי </w:t>
      </w:r>
      <w:r w:rsidRPr="00A81964">
        <w:rPr>
          <w:rFonts w:hint="eastAsia"/>
          <w:b/>
          <w:bCs/>
          <w:rtl/>
        </w:rPr>
        <w:t>רשות</w:t>
      </w:r>
      <w:r w:rsidRPr="00A81964">
        <w:rPr>
          <w:b/>
          <w:bCs/>
          <w:rtl/>
        </w:rPr>
        <w:t xml:space="preserve"> </w:t>
      </w:r>
      <w:r>
        <w:rPr>
          <w:b/>
          <w:bCs/>
          <w:rtl/>
        </w:rPr>
        <w:t>המיסים</w:t>
      </w:r>
      <w:r w:rsidRPr="00A81964">
        <w:rPr>
          <w:b/>
          <w:bCs/>
          <w:rtl/>
        </w:rPr>
        <w:t xml:space="preserve"> לא </w:t>
      </w:r>
      <w:r w:rsidRPr="00A81964">
        <w:rPr>
          <w:rFonts w:hint="cs"/>
          <w:b/>
          <w:bCs/>
          <w:rtl/>
        </w:rPr>
        <w:t>שלחה</w:t>
      </w:r>
      <w:r w:rsidRPr="00A81964">
        <w:rPr>
          <w:b/>
          <w:bCs/>
          <w:rtl/>
        </w:rPr>
        <w:t xml:space="preserve"> סקרי שביעות רצון </w:t>
      </w:r>
      <w:r w:rsidRPr="00A81964">
        <w:rPr>
          <w:rFonts w:hint="cs"/>
          <w:b/>
          <w:bCs/>
          <w:rtl/>
        </w:rPr>
        <w:t>למגישי התביעות, זאת אף שהיא מטפלת במאות אלפי תביעות לפיצוי בגין נזק ישיר ועקיף.</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בהיעדר סקרי שביעות רצון, המאפשרים ניתוח של חוויית השירות מנקודת מבטו של מי שקיבל אותו, מוגבלת יכולתה של רשות </w:t>
      </w:r>
      <w:r>
        <w:rPr>
          <w:rFonts w:hint="cs"/>
          <w:b/>
          <w:bCs/>
          <w:rtl/>
        </w:rPr>
        <w:t>המיסים</w:t>
      </w:r>
      <w:r w:rsidRPr="00A81964">
        <w:rPr>
          <w:rFonts w:hint="cs"/>
          <w:b/>
          <w:bCs/>
          <w:rtl/>
        </w:rPr>
        <w:t xml:space="preserve"> לאתר כשלים ופערים בפעילות קרן הפיצויים ולייעל את השירותים אותם היא נותנת למגישי התביעות.</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מומלץ כי רשות </w:t>
      </w:r>
      <w:r>
        <w:rPr>
          <w:rFonts w:hint="cs"/>
          <w:b/>
          <w:bCs/>
          <w:rtl/>
        </w:rPr>
        <w:t>המיסים</w:t>
      </w:r>
      <w:r w:rsidRPr="00A81964">
        <w:rPr>
          <w:rFonts w:hint="cs"/>
          <w:b/>
          <w:bCs/>
          <w:rtl/>
        </w:rPr>
        <w:t xml:space="preserve"> תשלח למגישי התביעות סקרי שביעות רצון, תבצע ניתוח של תוצאותיהם, תאתר את הכשלים והפערים העולים מהם, תפיק לקחים ותפעל לגיבוש וביצוע תוכנית עבודה לתיקונם.</w:t>
      </w:r>
    </w:p>
    <w:p w:rsidR="006252C4" w:rsidRDefault="006252C4" w:rsidP="006252C4">
      <w:pPr>
        <w:bidi w:val="0"/>
        <w:spacing w:line="269" w:lineRule="auto"/>
        <w:rPr>
          <w:rFonts w:eastAsia="Times New Roman"/>
          <w:bCs/>
          <w:szCs w:val="32"/>
          <w:rtl/>
        </w:rPr>
      </w:pPr>
      <w:r>
        <w:rPr>
          <w:rFonts w:eastAsia="Times New Roman"/>
          <w:rtl/>
        </w:rPr>
        <w:br w:type="page"/>
      </w:r>
    </w:p>
    <w:p w:rsidR="006252C4" w:rsidRPr="00A81964" w:rsidRDefault="006252C4" w:rsidP="006252C4">
      <w:pPr>
        <w:pStyle w:val="20"/>
        <w:spacing w:before="0" w:line="269" w:lineRule="auto"/>
        <w:jc w:val="both"/>
        <w:rPr>
          <w:rFonts w:eastAsia="Times New Roman"/>
          <w:rtl/>
        </w:rPr>
      </w:pPr>
      <w:r w:rsidRPr="00A81964">
        <w:rPr>
          <w:rFonts w:eastAsia="Times New Roman"/>
          <w:rtl/>
        </w:rPr>
        <w:lastRenderedPageBreak/>
        <w:t>היערכות קרן הפיצויים - יתרות ונכסים - ערב מלחמת חרבות ברזל</w:t>
      </w:r>
    </w:p>
    <w:p w:rsidR="006252C4" w:rsidRPr="00FB6453" w:rsidRDefault="006252C4" w:rsidP="006252C4">
      <w:pPr>
        <w:spacing w:line="269" w:lineRule="auto"/>
        <w:rPr>
          <w:rtl/>
        </w:rPr>
      </w:pPr>
    </w:p>
    <w:p w:rsidR="006252C4" w:rsidRPr="00A81964" w:rsidRDefault="006252C4" w:rsidP="006252C4">
      <w:pPr>
        <w:pStyle w:val="31"/>
        <w:spacing w:before="0" w:line="269" w:lineRule="auto"/>
        <w:rPr>
          <w:rFonts w:eastAsia="Times New Roman"/>
          <w:rtl/>
        </w:rPr>
      </w:pPr>
      <w:r w:rsidRPr="00A81964">
        <w:rPr>
          <w:rFonts w:eastAsia="Times New Roman" w:hint="cs"/>
          <w:rtl/>
        </w:rPr>
        <w:t>ה</w:t>
      </w:r>
      <w:r w:rsidRPr="00A81964">
        <w:rPr>
          <w:rFonts w:eastAsia="Times New Roman"/>
          <w:rtl/>
        </w:rPr>
        <w:t xml:space="preserve">מסגרת </w:t>
      </w:r>
      <w:r w:rsidRPr="00A81964">
        <w:rPr>
          <w:rFonts w:eastAsia="Times New Roman" w:hint="cs"/>
          <w:rtl/>
        </w:rPr>
        <w:t>ה</w:t>
      </w:r>
      <w:r w:rsidRPr="00A81964">
        <w:rPr>
          <w:rFonts w:eastAsia="Times New Roman"/>
          <w:rtl/>
        </w:rPr>
        <w:t>נורמטיבית</w:t>
      </w:r>
    </w:p>
    <w:p w:rsidR="006252C4" w:rsidRDefault="006252C4" w:rsidP="006252C4">
      <w:pPr>
        <w:pStyle w:val="a8"/>
        <w:spacing w:line="269" w:lineRule="auto"/>
        <w:rPr>
          <w:rtl/>
        </w:rPr>
      </w:pPr>
    </w:p>
    <w:p w:rsidR="006252C4" w:rsidRPr="00A81964" w:rsidRDefault="006252C4" w:rsidP="006252C4">
      <w:pPr>
        <w:spacing w:line="269" w:lineRule="auto"/>
        <w:rPr>
          <w:rFonts w:eastAsia="Calibri"/>
          <w:rtl/>
        </w:rPr>
      </w:pPr>
      <w:bookmarkStart w:id="26" w:name="_Hlk190674622"/>
      <w:r w:rsidRPr="00A81964">
        <w:rPr>
          <w:rFonts w:eastAsia="Calibri" w:hint="cs"/>
          <w:rtl/>
        </w:rPr>
        <w:t>ב</w:t>
      </w:r>
      <w:r w:rsidRPr="00A81964">
        <w:rPr>
          <w:rFonts w:eastAsia="Calibri"/>
          <w:rtl/>
        </w:rPr>
        <w:t xml:space="preserve">חוק מס רכוש </w:t>
      </w:r>
      <w:bookmarkEnd w:id="26"/>
      <w:r w:rsidRPr="00A81964">
        <w:rPr>
          <w:rFonts w:eastAsia="Calibri"/>
          <w:rtl/>
        </w:rPr>
        <w:t xml:space="preserve">נקבע </w:t>
      </w:r>
      <w:r w:rsidRPr="00A81964">
        <w:rPr>
          <w:rFonts w:eastAsia="Calibri" w:hint="cs"/>
          <w:rtl/>
        </w:rPr>
        <w:t xml:space="preserve">כאמור </w:t>
      </w:r>
      <w:r w:rsidRPr="00A81964">
        <w:rPr>
          <w:rFonts w:eastAsia="Calibri"/>
          <w:rtl/>
        </w:rPr>
        <w:t>בס</w:t>
      </w:r>
      <w:r w:rsidRPr="00A81964">
        <w:rPr>
          <w:rFonts w:eastAsia="Calibri" w:hint="cs"/>
          <w:rtl/>
        </w:rPr>
        <w:t>עיף</w:t>
      </w:r>
      <w:r w:rsidRPr="00A81964">
        <w:rPr>
          <w:rFonts w:eastAsia="Calibri"/>
          <w:rtl/>
        </w:rPr>
        <w:t xml:space="preserve"> 2א(א) כי "25%</w:t>
      </w:r>
      <w:r w:rsidRPr="00A81964">
        <w:rPr>
          <w:rFonts w:eastAsia="Calibri"/>
        </w:rPr>
        <w:t xml:space="preserve"> </w:t>
      </w:r>
      <w:r w:rsidRPr="00A81964">
        <w:rPr>
          <w:rFonts w:eastAsia="Calibri"/>
          <w:rtl/>
        </w:rPr>
        <w:t xml:space="preserve">ממס </w:t>
      </w:r>
      <w:r w:rsidRPr="00A81964">
        <w:rPr>
          <w:rFonts w:eastAsia="Calibri" w:hint="cs"/>
          <w:rtl/>
        </w:rPr>
        <w:t>ה</w:t>
      </w:r>
      <w:r w:rsidRPr="00A81964">
        <w:rPr>
          <w:rFonts w:eastAsia="Calibri"/>
          <w:rtl/>
        </w:rPr>
        <w:t>רכוש, וכן 15%</w:t>
      </w:r>
      <w:r w:rsidRPr="00A81964">
        <w:rPr>
          <w:rFonts w:eastAsia="Calibri"/>
        </w:rPr>
        <w:t xml:space="preserve"> </w:t>
      </w:r>
      <w:r w:rsidRPr="00A81964">
        <w:rPr>
          <w:rFonts w:eastAsia="Calibri"/>
          <w:rtl/>
        </w:rPr>
        <w:t xml:space="preserve">ממס רכישה </w:t>
      </w:r>
      <w:bookmarkStart w:id="27" w:name="_Hlk190674859"/>
      <w:r w:rsidRPr="00A81964">
        <w:rPr>
          <w:rFonts w:eastAsia="Calibri"/>
          <w:rtl/>
        </w:rPr>
        <w:t xml:space="preserve">כמשמעותו בסעיף 9 לחוק מס שבח מקרקעין </w:t>
      </w:r>
      <w:r w:rsidRPr="00A81964">
        <w:rPr>
          <w:rFonts w:eastAsia="Calibri" w:hint="cs"/>
          <w:rtl/>
        </w:rPr>
        <w:t>ה</w:t>
      </w:r>
      <w:r w:rsidRPr="00A81964">
        <w:rPr>
          <w:rFonts w:eastAsia="Calibri"/>
          <w:rtl/>
        </w:rPr>
        <w:t>תשכ"ג-1963</w:t>
      </w:r>
      <w:bookmarkEnd w:id="27"/>
      <w:r w:rsidRPr="00A81964">
        <w:rPr>
          <w:rFonts w:eastAsia="Calibri"/>
          <w:rtl/>
        </w:rPr>
        <w:t>, הנגבים בכל שנה יהיו קרן מיוחדת לתשלום פיצויים בעד נזק (להלן - קרן פיצויים)". בס</w:t>
      </w:r>
      <w:r w:rsidRPr="00A81964">
        <w:rPr>
          <w:rFonts w:eastAsia="Calibri" w:hint="cs"/>
          <w:rtl/>
        </w:rPr>
        <w:t>עיף</w:t>
      </w:r>
      <w:r w:rsidRPr="00A81964">
        <w:rPr>
          <w:rFonts w:eastAsia="Calibri"/>
          <w:rtl/>
        </w:rPr>
        <w:t xml:space="preserve"> 2א(ב) נקבע כי "שר האוצר</w:t>
      </w:r>
      <w:r>
        <w:rPr>
          <w:rFonts w:eastAsia="Calibri" w:hint="cs"/>
          <w:rtl/>
        </w:rPr>
        <w:t>,</w:t>
      </w:r>
      <w:r w:rsidRPr="00A81964">
        <w:rPr>
          <w:rFonts w:eastAsia="Calibri"/>
          <w:rtl/>
        </w:rPr>
        <w:t xml:space="preserve"> באישור ועדת הכספים של הכנסת, רשאי לשנות את השיעור הקבוע בסעיף קטן (א); הודעה על כך תפורסם ברשומות". בס</w:t>
      </w:r>
      <w:r w:rsidRPr="00A81964">
        <w:rPr>
          <w:rFonts w:eastAsia="Calibri" w:hint="cs"/>
          <w:rtl/>
        </w:rPr>
        <w:t>עיף</w:t>
      </w:r>
      <w:r w:rsidRPr="00A81964">
        <w:rPr>
          <w:rFonts w:eastAsia="Calibri"/>
          <w:rtl/>
        </w:rPr>
        <w:t xml:space="preserve"> 2א(ג) נקבע כי "כספי קרן הפיצויים שלא הוצאו יושקעו בדרך שיורה שר האוצר; רווחי ההשקעות יצורפו לקרן הפיצויים ויהיו חלק ממנה".</w:t>
      </w:r>
    </w:p>
    <w:p w:rsidR="006252C4" w:rsidRDefault="006252C4" w:rsidP="006252C4">
      <w:pPr>
        <w:pStyle w:val="a8"/>
        <w:spacing w:line="269" w:lineRule="auto"/>
        <w:rPr>
          <w:rtl/>
        </w:rPr>
      </w:pPr>
    </w:p>
    <w:p w:rsidR="006252C4" w:rsidRPr="00A81964" w:rsidRDefault="006252C4" w:rsidP="006252C4">
      <w:pPr>
        <w:spacing w:line="269" w:lineRule="auto"/>
        <w:rPr>
          <w:rFonts w:eastAsia="Calibri"/>
          <w:rtl/>
        </w:rPr>
      </w:pPr>
      <w:r w:rsidRPr="00A81964">
        <w:rPr>
          <w:rFonts w:eastAsia="Calibri"/>
          <w:rtl/>
        </w:rPr>
        <w:t>בתיקון חקיקה 27 לחוק מס רכוש</w:t>
      </w:r>
      <w:r w:rsidRPr="00A81964">
        <w:rPr>
          <w:rFonts w:eastAsia="Calibri"/>
          <w:vertAlign w:val="superscript"/>
          <w:rtl/>
        </w:rPr>
        <w:footnoteReference w:id="132"/>
      </w:r>
      <w:r w:rsidRPr="00A81964">
        <w:rPr>
          <w:rFonts w:eastAsia="Calibri"/>
          <w:rtl/>
        </w:rPr>
        <w:t xml:space="preserve"> משנת 1999 נקבע כי </w:t>
      </w:r>
      <w:r w:rsidRPr="00A81964">
        <w:rPr>
          <w:rFonts w:eastAsia="Calibri" w:hint="cs"/>
          <w:rtl/>
        </w:rPr>
        <w:t>מ-1.1.00</w:t>
      </w:r>
      <w:r w:rsidRPr="00A81964">
        <w:rPr>
          <w:rFonts w:eastAsia="Calibri"/>
          <w:rtl/>
        </w:rPr>
        <w:t xml:space="preserve"> </w:t>
      </w:r>
      <w:bookmarkStart w:id="28" w:name="_Hlk173774995"/>
      <w:r w:rsidRPr="00A81964">
        <w:rPr>
          <w:rFonts w:eastAsia="Calibri"/>
          <w:rtl/>
        </w:rPr>
        <w:t>שיעור המס על קרקע (מס רכוש) יהיה 0%. על כן, ממועד תיקון זה לא נזקפו הכנסות מס רכוש לקרן הפיצויים.</w:t>
      </w:r>
    </w:p>
    <w:p w:rsidR="006252C4" w:rsidRDefault="006252C4" w:rsidP="006252C4">
      <w:pPr>
        <w:pStyle w:val="a8"/>
        <w:spacing w:line="269" w:lineRule="auto"/>
        <w:rPr>
          <w:rtl/>
        </w:rPr>
      </w:pPr>
    </w:p>
    <w:p w:rsidR="006252C4" w:rsidRPr="00A81964" w:rsidRDefault="006252C4" w:rsidP="006252C4">
      <w:pPr>
        <w:spacing w:line="269" w:lineRule="auto"/>
        <w:rPr>
          <w:rFonts w:eastAsia="Calibri"/>
          <w:rtl/>
        </w:rPr>
      </w:pPr>
      <w:r w:rsidRPr="00A81964">
        <w:rPr>
          <w:rFonts w:eastAsia="Calibri"/>
          <w:rtl/>
        </w:rPr>
        <w:t>שיעור ההפרשה לקרן הפיצויים נקבע בתקנות מס רכוש וקרן פיצויים</w:t>
      </w:r>
      <w:r w:rsidRPr="00A81964">
        <w:rPr>
          <w:rFonts w:eastAsia="Calibri"/>
          <w:vertAlign w:val="superscript"/>
          <w:rtl/>
        </w:rPr>
        <w:footnoteReference w:id="133"/>
      </w:r>
      <w:r w:rsidRPr="00A81964">
        <w:rPr>
          <w:rFonts w:eastAsia="Calibri"/>
          <w:rtl/>
        </w:rPr>
        <w:t xml:space="preserve"> (שיעור ההפרשה לקרן פיצויים). בשנים </w:t>
      </w:r>
      <w:r>
        <w:rPr>
          <w:rFonts w:eastAsia="Calibri" w:hint="cs"/>
          <w:rtl/>
        </w:rPr>
        <w:t>שקדמו למלחמת חרבות ברזל</w:t>
      </w:r>
      <w:r>
        <w:rPr>
          <w:rFonts w:eastAsia="Calibri" w:hint="cs"/>
        </w:rPr>
        <w:t xml:space="preserve"> </w:t>
      </w:r>
      <w:r w:rsidRPr="00A81964">
        <w:rPr>
          <w:rFonts w:eastAsia="Calibri" w:hint="cs"/>
          <w:rtl/>
        </w:rPr>
        <w:t xml:space="preserve">היו </w:t>
      </w:r>
      <w:r w:rsidRPr="00A81964">
        <w:rPr>
          <w:rFonts w:eastAsia="Calibri"/>
          <w:rtl/>
        </w:rPr>
        <w:t xml:space="preserve">שיעורי ההפרשה לקרן מהכנסות מס הרכישה </w:t>
      </w:r>
      <w:r w:rsidRPr="00A81964">
        <w:rPr>
          <w:rFonts w:eastAsia="Calibri" w:hint="cs"/>
          <w:rtl/>
        </w:rPr>
        <w:t>השיעורים האלה</w:t>
      </w:r>
      <w:r w:rsidRPr="00A81964">
        <w:rPr>
          <w:rFonts w:eastAsia="Calibri"/>
          <w:rtl/>
        </w:rPr>
        <w:t>:</w:t>
      </w:r>
      <w:r w:rsidRPr="00A81964">
        <w:rPr>
          <w:rFonts w:eastAsia="Calibri" w:hint="cs"/>
          <w:rtl/>
        </w:rPr>
        <w:t xml:space="preserve"> </w:t>
      </w:r>
      <w:r w:rsidRPr="00A81964">
        <w:rPr>
          <w:rFonts w:eastAsia="Calibri"/>
          <w:rtl/>
        </w:rPr>
        <w:t>בשנת 2017 -</w:t>
      </w:r>
      <w:r w:rsidRPr="00A81964">
        <w:rPr>
          <w:rFonts w:eastAsia="Calibri" w:hint="cs"/>
          <w:rtl/>
        </w:rPr>
        <w:t xml:space="preserve"> </w:t>
      </w:r>
      <w:r w:rsidRPr="00A81964">
        <w:rPr>
          <w:rFonts w:eastAsia="Calibri"/>
          <w:rtl/>
        </w:rPr>
        <w:t>75%; בשנים 2018 עד 2020</w:t>
      </w:r>
      <w:r w:rsidRPr="00A81964">
        <w:rPr>
          <w:rFonts w:eastAsia="Calibri" w:hint="cs"/>
          <w:rtl/>
        </w:rPr>
        <w:t xml:space="preserve"> </w:t>
      </w:r>
      <w:r w:rsidRPr="00A81964">
        <w:rPr>
          <w:rFonts w:eastAsia="Calibri"/>
          <w:rtl/>
        </w:rPr>
        <w:t>- 0%; בשנת 2021 - 25%; ובשנים 2022 ו-2023 - 0%.</w:t>
      </w:r>
      <w:r w:rsidRPr="00A81964">
        <w:rPr>
          <w:rFonts w:eastAsia="Calibri" w:hint="cs"/>
          <w:rtl/>
        </w:rPr>
        <w:t xml:space="preserve"> נוכח</w:t>
      </w:r>
      <w:r w:rsidRPr="00A81964">
        <w:rPr>
          <w:rFonts w:eastAsia="Calibri"/>
          <w:rtl/>
        </w:rPr>
        <w:t xml:space="preserve"> מלחמת חרבות ברזל ולצורך עיבוי יתרות הקרן ושיקום הקרן לקראת אירועים ב</w:t>
      </w:r>
      <w:r w:rsidRPr="00A81964">
        <w:rPr>
          <w:rFonts w:eastAsia="Calibri" w:hint="cs"/>
          <w:rtl/>
        </w:rPr>
        <w:t>י</w:t>
      </w:r>
      <w:r w:rsidRPr="00A81964">
        <w:rPr>
          <w:rFonts w:eastAsia="Calibri"/>
          <w:rtl/>
        </w:rPr>
        <w:t>טחוני</w:t>
      </w:r>
      <w:r w:rsidRPr="00A81964">
        <w:rPr>
          <w:rFonts w:eastAsia="Calibri" w:hint="cs"/>
          <w:rtl/>
        </w:rPr>
        <w:t>י</w:t>
      </w:r>
      <w:r w:rsidRPr="00A81964">
        <w:rPr>
          <w:rFonts w:eastAsia="Calibri"/>
          <w:rtl/>
        </w:rPr>
        <w:t>ם עתידיים, ב-</w:t>
      </w:r>
      <w:r w:rsidRPr="00A81964">
        <w:rPr>
          <w:rFonts w:eastAsia="Calibri" w:hint="cs"/>
          <w:rtl/>
        </w:rPr>
        <w:t>7</w:t>
      </w:r>
      <w:r w:rsidRPr="00A81964">
        <w:rPr>
          <w:rFonts w:eastAsia="Calibri"/>
          <w:rtl/>
        </w:rPr>
        <w:t>.3.24 נקבע בהוראת שעה</w:t>
      </w:r>
      <w:r w:rsidRPr="00A81964">
        <w:rPr>
          <w:rFonts w:eastAsia="Calibri"/>
          <w:vertAlign w:val="superscript"/>
          <w:rtl/>
        </w:rPr>
        <w:footnoteReference w:id="134"/>
      </w:r>
      <w:r w:rsidRPr="00A81964">
        <w:rPr>
          <w:rFonts w:eastAsia="Calibri"/>
          <w:rtl/>
        </w:rPr>
        <w:t xml:space="preserve"> כי שיעור ההפרשה לקרן יעמוד על </w:t>
      </w:r>
      <w:r w:rsidRPr="00A81964">
        <w:rPr>
          <w:rFonts w:eastAsia="Calibri" w:hint="cs"/>
          <w:rtl/>
        </w:rPr>
        <w:t xml:space="preserve">80% </w:t>
      </w:r>
      <w:r w:rsidRPr="00A81964">
        <w:rPr>
          <w:rFonts w:eastAsia="Calibri"/>
          <w:rtl/>
        </w:rPr>
        <w:t>בשנת המס 2024 ו</w:t>
      </w:r>
      <w:r w:rsidRPr="00A81964">
        <w:rPr>
          <w:rFonts w:eastAsia="Calibri" w:hint="cs"/>
          <w:rtl/>
        </w:rPr>
        <w:t xml:space="preserve">על 100% </w:t>
      </w:r>
      <w:r w:rsidRPr="00A81964">
        <w:rPr>
          <w:rFonts w:eastAsia="Calibri"/>
          <w:rtl/>
        </w:rPr>
        <w:t>בשנת המס 2025</w:t>
      </w:r>
      <w:r w:rsidRPr="00A81964">
        <w:rPr>
          <w:rFonts w:eastAsia="Calibri" w:hint="cs"/>
          <w:rtl/>
        </w:rPr>
        <w:t>.</w:t>
      </w:r>
      <w:r w:rsidRPr="00A81964">
        <w:rPr>
          <w:rFonts w:eastAsia="Calibri"/>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Fonts w:eastAsia="Calibri"/>
          <w:rtl/>
        </w:rPr>
      </w:pPr>
      <w:r w:rsidRPr="00A81964">
        <w:rPr>
          <w:rFonts w:eastAsia="Calibri"/>
          <w:rtl/>
        </w:rPr>
        <w:t xml:space="preserve">בחוק </w:t>
      </w:r>
      <w:r w:rsidRPr="00A81964">
        <w:rPr>
          <w:rFonts w:eastAsia="Calibri" w:hint="cs"/>
          <w:rtl/>
        </w:rPr>
        <w:t xml:space="preserve">מס רכוש </w:t>
      </w:r>
      <w:r w:rsidRPr="00A81964">
        <w:rPr>
          <w:rFonts w:eastAsia="Calibri"/>
          <w:rtl/>
        </w:rPr>
        <w:t>נקבע כי שר האוצר יקבע בתקנות באישור ועדת הכספים של הכנסת מי זכאי‏</w:t>
      </w:r>
      <w:r w:rsidRPr="00A81964">
        <w:rPr>
          <w:rFonts w:eastAsia="Calibri"/>
          <w:vertAlign w:val="superscript"/>
          <w:rtl/>
        </w:rPr>
        <w:footnoteReference w:id="135"/>
      </w:r>
      <w:r w:rsidRPr="00A81964">
        <w:rPr>
          <w:rFonts w:eastAsia="Calibri"/>
          <w:rtl/>
        </w:rPr>
        <w:t xml:space="preserve"> לקבלת פיצויים בגין נזק עקיף‏, את שיעורי הפיצויים, כללים לקביעת שווי הנזקים וכללים לביצוע תשלום הפיצויים. ‏</w:t>
      </w:r>
    </w:p>
    <w:p w:rsidR="006252C4" w:rsidRDefault="006252C4" w:rsidP="006252C4">
      <w:pPr>
        <w:pStyle w:val="a8"/>
        <w:spacing w:line="269" w:lineRule="auto"/>
        <w:rPr>
          <w:rtl/>
        </w:rPr>
      </w:pPr>
    </w:p>
    <w:p w:rsidR="006252C4" w:rsidRDefault="006252C4" w:rsidP="006252C4">
      <w:pPr>
        <w:spacing w:line="269" w:lineRule="auto"/>
        <w:rPr>
          <w:rFonts w:ascii="David" w:eastAsia="Calibri" w:hAnsi="David"/>
          <w:rtl/>
        </w:rPr>
      </w:pPr>
      <w:r w:rsidRPr="00A81964">
        <w:rPr>
          <w:rFonts w:eastAsia="Calibri"/>
          <w:rtl/>
        </w:rPr>
        <w:t xml:space="preserve">בתרשים </w:t>
      </w:r>
      <w:r>
        <w:rPr>
          <w:rFonts w:eastAsia="Calibri" w:hint="cs"/>
          <w:rtl/>
        </w:rPr>
        <w:t>ש</w:t>
      </w:r>
      <w:r w:rsidRPr="00A81964">
        <w:rPr>
          <w:rFonts w:eastAsia="Calibri"/>
          <w:rtl/>
        </w:rPr>
        <w:t xml:space="preserve">להלן מפורטים </w:t>
      </w:r>
      <w:r>
        <w:rPr>
          <w:rFonts w:eastAsia="Calibri" w:hint="cs"/>
          <w:rtl/>
        </w:rPr>
        <w:t>ההפרשות</w:t>
      </w:r>
      <w:r w:rsidRPr="00A81964">
        <w:rPr>
          <w:rFonts w:eastAsia="Calibri"/>
          <w:rtl/>
        </w:rPr>
        <w:t xml:space="preserve"> לקרן הפיצויים ממס רכישה </w:t>
      </w:r>
      <w:r w:rsidRPr="00A81964">
        <w:rPr>
          <w:rFonts w:eastAsia="Calibri" w:hint="cs"/>
          <w:rtl/>
        </w:rPr>
        <w:t>בשנים 2010 - 2024</w:t>
      </w:r>
      <w:r w:rsidRPr="00A81964">
        <w:rPr>
          <w:rFonts w:eastAsia="Calibri"/>
          <w:rtl/>
        </w:rPr>
        <w:t xml:space="preserve"> (במיליארדי ש"ח).</w:t>
      </w:r>
      <w:bookmarkStart w:id="29" w:name="_Hlk194830347"/>
    </w:p>
    <w:p w:rsidR="006252C4" w:rsidRDefault="006252C4" w:rsidP="006252C4">
      <w:pPr>
        <w:spacing w:line="269" w:lineRule="auto"/>
        <w:jc w:val="center"/>
        <w:rPr>
          <w:rFonts w:ascii="David" w:eastAsia="Calibri" w:hAnsi="David"/>
          <w:rtl/>
        </w:rPr>
      </w:pPr>
    </w:p>
    <w:p w:rsidR="006252C4" w:rsidRPr="00A81964" w:rsidRDefault="006252C4" w:rsidP="006252C4">
      <w:pPr>
        <w:keepNext/>
        <w:keepLines/>
        <w:spacing w:line="269" w:lineRule="auto"/>
        <w:jc w:val="center"/>
        <w:rPr>
          <w:rFonts w:ascii="David" w:eastAsia="Calibri" w:hAnsi="David"/>
          <w:b/>
          <w:bCs/>
          <w:rtl/>
        </w:rPr>
      </w:pPr>
      <w:r w:rsidRPr="00A81964">
        <w:rPr>
          <w:rFonts w:ascii="David" w:eastAsia="Calibri" w:hAnsi="David"/>
          <w:rtl/>
        </w:rPr>
        <w:lastRenderedPageBreak/>
        <w:t xml:space="preserve">תרשים </w:t>
      </w:r>
      <w:r w:rsidRPr="00A81964">
        <w:rPr>
          <w:rStyle w:val="af8"/>
          <w:rFonts w:hint="cs"/>
          <w:sz w:val="24"/>
          <w:szCs w:val="24"/>
          <w:rtl/>
        </w:rPr>
        <w:t>26</w:t>
      </w:r>
      <w:r w:rsidRPr="00A81964">
        <w:rPr>
          <w:rFonts w:ascii="David" w:eastAsia="Calibri" w:hAnsi="David"/>
          <w:rtl/>
        </w:rPr>
        <w:t>:</w:t>
      </w:r>
      <w:r w:rsidRPr="00A81964">
        <w:rPr>
          <w:rFonts w:ascii="David" w:eastAsia="Calibri" w:hAnsi="David"/>
          <w:b/>
          <w:bCs/>
          <w:rtl/>
        </w:rPr>
        <w:t xml:space="preserve"> </w:t>
      </w:r>
      <w:r w:rsidRPr="00A81964">
        <w:rPr>
          <w:rFonts w:ascii="David" w:eastAsia="Calibri" w:hAnsi="David" w:hint="cs"/>
          <w:b/>
          <w:bCs/>
          <w:rtl/>
        </w:rPr>
        <w:t>ה</w:t>
      </w:r>
      <w:r w:rsidRPr="00A81964">
        <w:rPr>
          <w:rFonts w:ascii="David" w:eastAsia="Calibri" w:hAnsi="David"/>
          <w:b/>
          <w:bCs/>
          <w:rtl/>
        </w:rPr>
        <w:t>הפרש</w:t>
      </w:r>
      <w:r w:rsidRPr="00A81964">
        <w:rPr>
          <w:rFonts w:ascii="David" w:eastAsia="Calibri" w:hAnsi="David" w:hint="cs"/>
          <w:b/>
          <w:bCs/>
          <w:rtl/>
        </w:rPr>
        <w:t>ות</w:t>
      </w:r>
      <w:r w:rsidRPr="00A81964">
        <w:rPr>
          <w:rFonts w:ascii="David" w:eastAsia="Calibri" w:hAnsi="David"/>
          <w:b/>
          <w:bCs/>
          <w:rtl/>
        </w:rPr>
        <w:t xml:space="preserve"> לקרן הפיצויים, 2010 </w:t>
      </w:r>
      <w:r w:rsidRPr="00A81964">
        <w:rPr>
          <w:rFonts w:ascii="David" w:eastAsia="Calibri" w:hAnsi="David" w:hint="cs"/>
          <w:b/>
          <w:bCs/>
          <w:rtl/>
        </w:rPr>
        <w:t>-</w:t>
      </w:r>
      <w:r w:rsidRPr="00A81964">
        <w:rPr>
          <w:rFonts w:ascii="David" w:eastAsia="Calibri" w:hAnsi="David"/>
          <w:b/>
          <w:bCs/>
          <w:rtl/>
        </w:rPr>
        <w:t xml:space="preserve"> 2024 (במיליארדי ש"ח)</w:t>
      </w:r>
    </w:p>
    <w:bookmarkEnd w:id="29"/>
    <w:p w:rsidR="006252C4" w:rsidRPr="00A81964" w:rsidRDefault="006252C4" w:rsidP="006252C4">
      <w:pPr>
        <w:spacing w:line="269" w:lineRule="auto"/>
        <w:jc w:val="center"/>
        <w:rPr>
          <w:rFonts w:ascii="David" w:eastAsia="Calibri" w:hAnsi="David"/>
          <w:b/>
          <w:bCs/>
          <w:rtl/>
        </w:rPr>
      </w:pPr>
      <w:r>
        <w:rPr>
          <w:rFonts w:ascii="David" w:eastAsia="Calibri" w:hAnsi="David"/>
          <w:b/>
          <w:bCs/>
          <w:noProof/>
          <w:rtl/>
          <w:lang w:val="he-IL"/>
        </w:rPr>
        <w:drawing>
          <wp:inline distT="0" distB="0" distL="0" distR="0" wp14:anchorId="14021510" wp14:editId="2EEEC5FA">
            <wp:extent cx="5220335" cy="2489835"/>
            <wp:effectExtent l="0" t="0" r="0" b="5715"/>
            <wp:docPr id="13" name="תמונה 1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478CC.t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20335" cy="2489835"/>
                    </a:xfrm>
                    <a:prstGeom prst="rect">
                      <a:avLst/>
                    </a:prstGeom>
                  </pic:spPr>
                </pic:pic>
              </a:graphicData>
            </a:graphic>
          </wp:inline>
        </w:drawing>
      </w:r>
    </w:p>
    <w:p w:rsidR="006252C4" w:rsidRPr="00A81964" w:rsidRDefault="006252C4" w:rsidP="006252C4">
      <w:pPr>
        <w:spacing w:line="269" w:lineRule="auto"/>
        <w:jc w:val="left"/>
        <w:rPr>
          <w:rFonts w:ascii="David" w:eastAsia="Calibri" w:hAnsi="David"/>
          <w:szCs w:val="20"/>
          <w:rtl/>
        </w:rPr>
      </w:pPr>
      <w:r w:rsidRPr="00A81964">
        <w:rPr>
          <w:rFonts w:ascii="David" w:eastAsia="Calibri" w:hAnsi="David"/>
          <w:szCs w:val="20"/>
          <w:rtl/>
        </w:rPr>
        <w:t>על פי נתוני רשות המיסים, בעיבוד משרד מבקר המדינה.</w:t>
      </w:r>
    </w:p>
    <w:p w:rsidR="006252C4" w:rsidRDefault="006252C4" w:rsidP="006252C4">
      <w:pPr>
        <w:pStyle w:val="a8"/>
        <w:spacing w:line="269" w:lineRule="auto"/>
        <w:rPr>
          <w:rtl/>
        </w:rPr>
      </w:pPr>
    </w:p>
    <w:p w:rsidR="006252C4" w:rsidRPr="00A81964" w:rsidRDefault="006252C4" w:rsidP="006252C4">
      <w:pPr>
        <w:spacing w:line="269" w:lineRule="auto"/>
        <w:rPr>
          <w:rFonts w:eastAsia="Calibri"/>
          <w:b/>
          <w:bCs/>
          <w:rtl/>
        </w:rPr>
      </w:pPr>
      <w:r w:rsidRPr="00A81964">
        <w:rPr>
          <w:rFonts w:eastAsia="Calibri"/>
          <w:b/>
          <w:bCs/>
          <w:rtl/>
        </w:rPr>
        <w:t>מהתרשים עולה כי בשנים 2010 - 2017 נזק</w:t>
      </w:r>
      <w:r w:rsidRPr="00A81964">
        <w:rPr>
          <w:rFonts w:eastAsia="Calibri" w:hint="cs"/>
          <w:b/>
          <w:bCs/>
          <w:rtl/>
        </w:rPr>
        <w:t>פו</w:t>
      </w:r>
      <w:r w:rsidRPr="00A81964">
        <w:rPr>
          <w:rFonts w:eastAsia="Calibri"/>
          <w:b/>
          <w:bCs/>
          <w:rtl/>
        </w:rPr>
        <w:t xml:space="preserve"> לקרן בכל שנה בממוצע כ-2.03 מיליארד ש"ח. </w:t>
      </w:r>
      <w:r w:rsidRPr="00A81964">
        <w:rPr>
          <w:rFonts w:eastAsia="Calibri" w:hint="cs"/>
          <w:b/>
          <w:bCs/>
          <w:rtl/>
        </w:rPr>
        <w:t>ב</w:t>
      </w:r>
      <w:r w:rsidRPr="00A81964">
        <w:rPr>
          <w:rFonts w:eastAsia="Calibri"/>
          <w:b/>
          <w:bCs/>
          <w:rtl/>
        </w:rPr>
        <w:t xml:space="preserve">שנים </w:t>
      </w:r>
      <w:r w:rsidRPr="00A81964">
        <w:rPr>
          <w:rFonts w:eastAsia="Calibri" w:hint="cs"/>
          <w:b/>
          <w:bCs/>
          <w:rtl/>
        </w:rPr>
        <w:t>2018 - 2020</w:t>
      </w:r>
      <w:r w:rsidRPr="00A81964">
        <w:rPr>
          <w:rFonts w:eastAsia="Calibri"/>
          <w:b/>
          <w:bCs/>
          <w:rtl/>
        </w:rPr>
        <w:t xml:space="preserve"> </w:t>
      </w:r>
      <w:r w:rsidRPr="00A81964">
        <w:rPr>
          <w:rFonts w:eastAsia="Calibri" w:hint="cs"/>
          <w:b/>
          <w:bCs/>
          <w:rtl/>
        </w:rPr>
        <w:t xml:space="preserve">ובשנים 2022 - 2023 </w:t>
      </w:r>
      <w:r w:rsidRPr="00A81964">
        <w:rPr>
          <w:rFonts w:eastAsia="Calibri"/>
          <w:b/>
          <w:bCs/>
          <w:rtl/>
        </w:rPr>
        <w:t>עמד שיעור ההפרשה לקרן על 0%. בשנת 2021 נזק</w:t>
      </w:r>
      <w:r w:rsidRPr="00A81964">
        <w:rPr>
          <w:rFonts w:eastAsia="Calibri" w:hint="cs"/>
          <w:b/>
          <w:bCs/>
          <w:rtl/>
        </w:rPr>
        <w:t>פו</w:t>
      </w:r>
      <w:r w:rsidRPr="00A81964">
        <w:rPr>
          <w:rFonts w:eastAsia="Calibri"/>
          <w:b/>
          <w:bCs/>
          <w:rtl/>
        </w:rPr>
        <w:t xml:space="preserve"> לקרן 3.17 מיליארד. ביום </w:t>
      </w:r>
      <w:r w:rsidRPr="00A81964">
        <w:rPr>
          <w:rFonts w:eastAsia="Calibri" w:hint="cs"/>
          <w:b/>
          <w:bCs/>
          <w:rtl/>
        </w:rPr>
        <w:t>7.3.24</w:t>
      </w:r>
      <w:r w:rsidRPr="00A81964">
        <w:rPr>
          <w:rFonts w:eastAsia="Calibri"/>
          <w:b/>
          <w:bCs/>
          <w:rtl/>
        </w:rPr>
        <w:t xml:space="preserve"> פורסמה הוראה שעה שלפיה לעניין ס' 2א(א) לחוק שיעור ההפרשה ממס רכישה לקרן ‏הפיצויים יהיה 80% בשנת 2024 ו-100% בשנת 2025. ‏</w:t>
      </w:r>
      <w:r w:rsidRPr="00A81964">
        <w:rPr>
          <w:rFonts w:eastAsia="Calibri" w:hint="cs"/>
          <w:b/>
          <w:bCs/>
          <w:rtl/>
        </w:rPr>
        <w:t xml:space="preserve">משכך, </w:t>
      </w:r>
      <w:r w:rsidRPr="00A81964">
        <w:rPr>
          <w:rFonts w:eastAsia="Calibri"/>
          <w:b/>
          <w:bCs/>
          <w:rtl/>
        </w:rPr>
        <w:t xml:space="preserve">בשנת 2024 </w:t>
      </w:r>
      <w:r w:rsidRPr="00A81964">
        <w:rPr>
          <w:rFonts w:eastAsia="Calibri" w:hint="cs"/>
          <w:b/>
          <w:bCs/>
          <w:rtl/>
        </w:rPr>
        <w:t>נזקפו לקרן כ</w:t>
      </w:r>
      <w:r w:rsidRPr="00A81964">
        <w:rPr>
          <w:rFonts w:eastAsia="Calibri"/>
          <w:b/>
          <w:bCs/>
          <w:rtl/>
        </w:rPr>
        <w:t>-</w:t>
      </w:r>
      <w:r w:rsidRPr="00A81964">
        <w:rPr>
          <w:rFonts w:eastAsia="Calibri" w:hint="cs"/>
          <w:b/>
          <w:bCs/>
          <w:rtl/>
        </w:rPr>
        <w:t xml:space="preserve">8.19 </w:t>
      </w:r>
      <w:r w:rsidRPr="00A81964">
        <w:rPr>
          <w:rFonts w:eastAsia="Calibri"/>
          <w:b/>
          <w:bCs/>
          <w:rtl/>
        </w:rPr>
        <w:t>מיליארד ש"ח.</w:t>
      </w:r>
    </w:p>
    <w:p w:rsidR="006252C4" w:rsidRDefault="006252C4" w:rsidP="006252C4">
      <w:pPr>
        <w:pStyle w:val="a8"/>
        <w:spacing w:line="269" w:lineRule="auto"/>
        <w:rPr>
          <w:rtl/>
        </w:rPr>
      </w:pPr>
    </w:p>
    <w:p w:rsidR="006252C4" w:rsidRPr="00A81964" w:rsidRDefault="006252C4" w:rsidP="006252C4">
      <w:pPr>
        <w:spacing w:line="269" w:lineRule="auto"/>
        <w:rPr>
          <w:rFonts w:eastAsia="Calibri"/>
          <w:rtl/>
        </w:rPr>
      </w:pPr>
      <w:r w:rsidRPr="00A81964">
        <w:rPr>
          <w:rFonts w:eastAsia="Calibri"/>
          <w:rtl/>
        </w:rPr>
        <w:t xml:space="preserve">בתרשים </w:t>
      </w:r>
      <w:r>
        <w:rPr>
          <w:rFonts w:eastAsia="Calibri" w:hint="cs"/>
          <w:rtl/>
        </w:rPr>
        <w:t>ש</w:t>
      </w:r>
      <w:r w:rsidRPr="00A81964">
        <w:rPr>
          <w:rFonts w:eastAsia="Calibri"/>
          <w:rtl/>
        </w:rPr>
        <w:t xml:space="preserve">להלן מפורטים תשלומי הפיצויים מקרן </w:t>
      </w:r>
      <w:r w:rsidRPr="00A81964">
        <w:rPr>
          <w:rFonts w:eastAsia="Calibri" w:hint="cs"/>
          <w:rtl/>
        </w:rPr>
        <w:t>הפיצויים</w:t>
      </w:r>
      <w:r w:rsidRPr="00A81964">
        <w:rPr>
          <w:rFonts w:eastAsia="Calibri"/>
          <w:rtl/>
        </w:rPr>
        <w:t xml:space="preserve"> </w:t>
      </w:r>
      <w:r w:rsidRPr="00A81964">
        <w:rPr>
          <w:rFonts w:eastAsia="Calibri" w:hint="cs"/>
          <w:rtl/>
        </w:rPr>
        <w:t>ב</w:t>
      </w:r>
      <w:r w:rsidRPr="00A81964">
        <w:rPr>
          <w:rFonts w:eastAsia="Calibri"/>
          <w:rtl/>
        </w:rPr>
        <w:t>שנים 2008 -</w:t>
      </w:r>
      <w:r w:rsidRPr="00A81964">
        <w:rPr>
          <w:rFonts w:eastAsia="Calibri" w:hint="cs"/>
          <w:rtl/>
        </w:rPr>
        <w:t xml:space="preserve"> 2024</w:t>
      </w:r>
      <w:r w:rsidRPr="00A81964">
        <w:rPr>
          <w:rFonts w:eastAsia="Calibri"/>
          <w:rtl/>
        </w:rPr>
        <w:t xml:space="preserve"> (במיליוני ש"ח).</w:t>
      </w:r>
    </w:p>
    <w:p w:rsidR="006252C4" w:rsidRPr="00A81964" w:rsidRDefault="006252C4" w:rsidP="006252C4">
      <w:pPr>
        <w:spacing w:line="269" w:lineRule="auto"/>
        <w:rPr>
          <w:rtl/>
        </w:rPr>
      </w:pPr>
    </w:p>
    <w:p w:rsidR="006252C4" w:rsidRDefault="006252C4" w:rsidP="001876AD">
      <w:pPr>
        <w:keepNext/>
        <w:keepLines/>
        <w:jc w:val="center"/>
        <w:rPr>
          <w:rFonts w:ascii="David" w:eastAsia="Calibri" w:hAnsi="David"/>
          <w:b/>
          <w:bCs/>
          <w:rtl/>
        </w:rPr>
      </w:pPr>
      <w:r w:rsidRPr="00A81964">
        <w:rPr>
          <w:rFonts w:ascii="David" w:eastAsia="Calibri" w:hAnsi="David"/>
          <w:rtl/>
        </w:rPr>
        <w:lastRenderedPageBreak/>
        <w:t xml:space="preserve">תרשים </w:t>
      </w:r>
      <w:r w:rsidRPr="00A81964">
        <w:rPr>
          <w:rFonts w:ascii="David" w:eastAsia="Calibri" w:hAnsi="David" w:hint="cs"/>
          <w:rtl/>
        </w:rPr>
        <w:t>27</w:t>
      </w:r>
      <w:r w:rsidRPr="00A81964">
        <w:rPr>
          <w:rFonts w:ascii="David" w:eastAsia="Calibri" w:hAnsi="David"/>
          <w:rtl/>
        </w:rPr>
        <w:t>:</w:t>
      </w:r>
      <w:r w:rsidRPr="00A81964">
        <w:rPr>
          <w:rFonts w:ascii="David" w:eastAsia="Calibri" w:hAnsi="David"/>
          <w:b/>
          <w:bCs/>
          <w:rtl/>
        </w:rPr>
        <w:t xml:space="preserve"> תשלומי פיצויים מקרן </w:t>
      </w:r>
      <w:r w:rsidRPr="00A81964">
        <w:rPr>
          <w:rFonts w:ascii="David" w:eastAsia="Calibri" w:hAnsi="David" w:hint="cs"/>
          <w:b/>
          <w:bCs/>
          <w:rtl/>
        </w:rPr>
        <w:t>הפיצויים</w:t>
      </w:r>
      <w:r w:rsidRPr="00A81964">
        <w:rPr>
          <w:rFonts w:ascii="David" w:eastAsia="Calibri" w:hAnsi="David"/>
          <w:b/>
          <w:bCs/>
          <w:rtl/>
        </w:rPr>
        <w:t xml:space="preserve">, </w:t>
      </w:r>
      <w:r w:rsidRPr="00A81964">
        <w:rPr>
          <w:rFonts w:ascii="David" w:eastAsia="Calibri" w:hAnsi="David" w:hint="cs"/>
          <w:b/>
          <w:bCs/>
          <w:rtl/>
        </w:rPr>
        <w:t xml:space="preserve">2008 - 2024 </w:t>
      </w:r>
      <w:r w:rsidRPr="00A81964">
        <w:rPr>
          <w:rFonts w:ascii="David" w:eastAsia="Calibri" w:hAnsi="David"/>
          <w:b/>
          <w:bCs/>
          <w:rtl/>
        </w:rPr>
        <w:t>(במיליוני ש"ח)</w:t>
      </w:r>
    </w:p>
    <w:p w:rsidR="006252C4" w:rsidRPr="00A81964" w:rsidRDefault="006252C4" w:rsidP="006252C4">
      <w:pPr>
        <w:spacing w:line="269" w:lineRule="auto"/>
        <w:jc w:val="center"/>
        <w:rPr>
          <w:rFonts w:ascii="David" w:eastAsia="Calibri" w:hAnsi="David"/>
          <w:b/>
          <w:bCs/>
          <w:rtl/>
        </w:rPr>
      </w:pPr>
      <w:r>
        <w:rPr>
          <w:rFonts w:ascii="David" w:eastAsia="Calibri" w:hAnsi="David"/>
          <w:b/>
          <w:bCs/>
          <w:noProof/>
          <w:rtl/>
          <w:lang w:val="he-IL"/>
        </w:rPr>
        <w:drawing>
          <wp:inline distT="0" distB="0" distL="0" distR="0" wp14:anchorId="192DE662" wp14:editId="10EBF9EC">
            <wp:extent cx="5220335" cy="3183255"/>
            <wp:effectExtent l="0" t="0" r="0" b="0"/>
            <wp:docPr id="14" name="תמונה 1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4371C.tmp"/>
                    <pic:cNvPicPr/>
                  </pic:nvPicPr>
                  <pic:blipFill>
                    <a:blip r:embed="rId46">
                      <a:extLst>
                        <a:ext uri="{28A0092B-C50C-407E-A947-70E740481C1C}">
                          <a14:useLocalDpi xmlns:a14="http://schemas.microsoft.com/office/drawing/2010/main" val="0"/>
                        </a:ext>
                      </a:extLst>
                    </a:blip>
                    <a:stretch>
                      <a:fillRect/>
                    </a:stretch>
                  </pic:blipFill>
                  <pic:spPr>
                    <a:xfrm>
                      <a:off x="0" y="0"/>
                      <a:ext cx="5220335" cy="3183255"/>
                    </a:xfrm>
                    <a:prstGeom prst="rect">
                      <a:avLst/>
                    </a:prstGeom>
                  </pic:spPr>
                </pic:pic>
              </a:graphicData>
            </a:graphic>
          </wp:inline>
        </w:drawing>
      </w:r>
    </w:p>
    <w:p w:rsidR="006252C4" w:rsidRPr="00A81964" w:rsidRDefault="006252C4" w:rsidP="006252C4">
      <w:pPr>
        <w:spacing w:line="269" w:lineRule="auto"/>
        <w:jc w:val="left"/>
        <w:rPr>
          <w:rFonts w:ascii="David" w:eastAsia="Calibri" w:hAnsi="David"/>
          <w:szCs w:val="20"/>
        </w:rPr>
      </w:pPr>
      <w:r w:rsidRPr="00A81964">
        <w:rPr>
          <w:rFonts w:ascii="David" w:eastAsia="Calibri" w:hAnsi="David"/>
          <w:szCs w:val="20"/>
          <w:rtl/>
        </w:rPr>
        <w:t>על פי נתוני רשות המיסים, בעיבוד משרד מבקר המדינה.</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b/>
          <w:bCs/>
          <w:rtl/>
        </w:rPr>
      </w:pPr>
      <w:r w:rsidRPr="00A81964">
        <w:rPr>
          <w:rFonts w:ascii="David" w:eastAsia="Calibri" w:hAnsi="David"/>
          <w:b/>
          <w:bCs/>
          <w:rtl/>
        </w:rPr>
        <w:t xml:space="preserve">מהתרשים עולה כי </w:t>
      </w:r>
      <w:bookmarkStart w:id="30" w:name="_Hlk190592659"/>
      <w:r w:rsidRPr="00A81964">
        <w:rPr>
          <w:rFonts w:ascii="David" w:eastAsia="Calibri" w:hAnsi="David"/>
          <w:b/>
          <w:bCs/>
          <w:rtl/>
        </w:rPr>
        <w:t xml:space="preserve">בשנת 2023 שולמו פיצויים בסך </w:t>
      </w:r>
      <w:r w:rsidRPr="00A81964">
        <w:rPr>
          <w:rFonts w:ascii="David" w:eastAsia="Calibri" w:hAnsi="David" w:hint="cs"/>
          <w:b/>
          <w:bCs/>
          <w:rtl/>
        </w:rPr>
        <w:t xml:space="preserve">של כ-5 מיליארד </w:t>
      </w:r>
      <w:r w:rsidRPr="00A81964">
        <w:rPr>
          <w:rFonts w:ascii="David" w:eastAsia="Calibri" w:hAnsi="David"/>
          <w:b/>
          <w:bCs/>
          <w:rtl/>
        </w:rPr>
        <w:t xml:space="preserve">ש"ח. בשנת 2024 שולמו פיצויים בסכום של </w:t>
      </w:r>
      <w:r w:rsidRPr="00A81964">
        <w:rPr>
          <w:rFonts w:ascii="David" w:eastAsia="Calibri" w:hAnsi="David" w:hint="cs"/>
          <w:b/>
          <w:bCs/>
          <w:rtl/>
        </w:rPr>
        <w:t>13,991</w:t>
      </w:r>
      <w:r w:rsidRPr="00A81964">
        <w:rPr>
          <w:rFonts w:ascii="David" w:eastAsia="Calibri" w:hAnsi="David"/>
          <w:b/>
          <w:bCs/>
          <w:rtl/>
        </w:rPr>
        <w:t xml:space="preserve"> מיליון ש"ח. </w:t>
      </w:r>
      <w:r>
        <w:rPr>
          <w:rFonts w:ascii="David" w:eastAsia="Calibri" w:hAnsi="David" w:hint="cs"/>
          <w:b/>
          <w:bCs/>
          <w:rtl/>
        </w:rPr>
        <w:t xml:space="preserve">ובסך הכול </w:t>
      </w:r>
      <w:r w:rsidRPr="00A81964">
        <w:rPr>
          <w:rFonts w:ascii="David" w:eastAsia="Calibri" w:hAnsi="David" w:hint="cs"/>
          <w:b/>
          <w:bCs/>
          <w:rtl/>
        </w:rPr>
        <w:t>מתחילת המלחמה</w:t>
      </w:r>
      <w:r w:rsidRPr="00A81964">
        <w:rPr>
          <w:rFonts w:ascii="David" w:eastAsia="Calibri" w:hAnsi="David"/>
          <w:b/>
          <w:bCs/>
          <w:rtl/>
        </w:rPr>
        <w:t xml:space="preserve"> </w:t>
      </w:r>
      <w:r w:rsidRPr="00A81964">
        <w:rPr>
          <w:rFonts w:ascii="David" w:eastAsia="Calibri" w:hAnsi="David" w:hint="cs"/>
          <w:b/>
          <w:bCs/>
          <w:rtl/>
        </w:rPr>
        <w:t>ב</w:t>
      </w:r>
      <w:r w:rsidRPr="00A81964">
        <w:rPr>
          <w:rFonts w:ascii="David" w:eastAsia="Calibri" w:hAnsi="David"/>
          <w:b/>
          <w:bCs/>
          <w:rtl/>
        </w:rPr>
        <w:t>אוקטובר 2023 ועד סוף 2024 שולמו פיצויים בסך של כ-18,804 מיליון ש"ח.</w:t>
      </w:r>
      <w:bookmarkEnd w:id="30"/>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b/>
          <w:bCs/>
          <w:rtl/>
        </w:rPr>
      </w:pPr>
      <w:r w:rsidRPr="00A81964">
        <w:rPr>
          <w:rFonts w:ascii="David" w:eastAsia="Calibri" w:hAnsi="David" w:hint="eastAsia"/>
          <w:b/>
          <w:bCs/>
          <w:rtl/>
        </w:rPr>
        <w:t>ערב</w:t>
      </w:r>
      <w:r w:rsidRPr="00A81964">
        <w:rPr>
          <w:rFonts w:ascii="David" w:eastAsia="Calibri" w:hAnsi="David"/>
          <w:b/>
          <w:bCs/>
          <w:rtl/>
        </w:rPr>
        <w:t xml:space="preserve"> פרוץ המלחמה עמדה יתרת קרן הפיצויים ליום 30.9.23 </w:t>
      </w:r>
      <w:r w:rsidRPr="00A81964">
        <w:rPr>
          <w:rFonts w:ascii="David" w:eastAsia="Calibri" w:hAnsi="David" w:hint="eastAsia"/>
          <w:b/>
          <w:bCs/>
          <w:rtl/>
        </w:rPr>
        <w:t>על</w:t>
      </w:r>
      <w:r w:rsidRPr="00A81964">
        <w:rPr>
          <w:rFonts w:ascii="David" w:eastAsia="Calibri" w:hAnsi="David"/>
          <w:b/>
          <w:bCs/>
          <w:rtl/>
        </w:rPr>
        <w:t xml:space="preserve"> כ-17.7 מיליארד ש"ח. יתרה זו </w:t>
      </w:r>
      <w:r w:rsidRPr="00A81964">
        <w:rPr>
          <w:rFonts w:ascii="David" w:eastAsia="Calibri" w:hAnsi="David" w:hint="eastAsia"/>
          <w:b/>
          <w:bCs/>
          <w:rtl/>
        </w:rPr>
        <w:t>כללה</w:t>
      </w:r>
      <w:r w:rsidRPr="00A81964">
        <w:rPr>
          <w:rFonts w:ascii="David" w:eastAsia="Calibri" w:hAnsi="David"/>
          <w:b/>
          <w:bCs/>
          <w:rtl/>
        </w:rPr>
        <w:t xml:space="preserve"> הכנסות מגביית מיסים </w:t>
      </w:r>
      <w:r w:rsidRPr="00A81964">
        <w:rPr>
          <w:rFonts w:ascii="David" w:eastAsia="Calibri" w:hAnsi="David" w:hint="eastAsia"/>
          <w:b/>
          <w:bCs/>
          <w:rtl/>
        </w:rPr>
        <w:t>ו</w:t>
      </w:r>
      <w:r w:rsidRPr="00A81964">
        <w:rPr>
          <w:rFonts w:ascii="David" w:eastAsia="Calibri" w:hAnsi="David"/>
          <w:b/>
          <w:bCs/>
          <w:rtl/>
        </w:rPr>
        <w:t>ריבית שנצברה לקרן, בניכוי תשלו</w:t>
      </w:r>
      <w:r w:rsidRPr="00A81964">
        <w:rPr>
          <w:rFonts w:ascii="David" w:eastAsia="Calibri" w:hAnsi="David" w:hint="eastAsia"/>
          <w:b/>
          <w:bCs/>
          <w:rtl/>
        </w:rPr>
        <w:t>מי</w:t>
      </w:r>
      <w:r w:rsidRPr="00A81964">
        <w:rPr>
          <w:rFonts w:ascii="David" w:eastAsia="Calibri" w:hAnsi="David"/>
          <w:b/>
          <w:bCs/>
          <w:rtl/>
        </w:rPr>
        <w:t xml:space="preserve"> </w:t>
      </w:r>
      <w:r w:rsidRPr="00A81964">
        <w:rPr>
          <w:rFonts w:ascii="David" w:eastAsia="Calibri" w:hAnsi="David" w:hint="eastAsia"/>
          <w:b/>
          <w:bCs/>
          <w:rtl/>
        </w:rPr>
        <w:t>ה</w:t>
      </w:r>
      <w:r w:rsidRPr="00A81964">
        <w:rPr>
          <w:rFonts w:ascii="David" w:eastAsia="Calibri" w:hAnsi="David"/>
          <w:b/>
          <w:bCs/>
          <w:rtl/>
        </w:rPr>
        <w:t xml:space="preserve">פיצויים. יצוין כי קרן הפיצויים </w:t>
      </w:r>
      <w:r w:rsidRPr="00A81964">
        <w:rPr>
          <w:rFonts w:ascii="David" w:eastAsia="Calibri" w:hAnsi="David" w:hint="eastAsia"/>
          <w:b/>
          <w:bCs/>
          <w:rtl/>
        </w:rPr>
        <w:t>היא</w:t>
      </w:r>
      <w:r w:rsidRPr="00A81964">
        <w:rPr>
          <w:rFonts w:ascii="David" w:eastAsia="Calibri" w:hAnsi="David"/>
          <w:b/>
          <w:bCs/>
          <w:rtl/>
        </w:rPr>
        <w:t xml:space="preserve"> קרן רישומית, כלומר, קרן </w:t>
      </w:r>
      <w:r w:rsidRPr="00A81964">
        <w:rPr>
          <w:rFonts w:ascii="David" w:eastAsia="Calibri" w:hAnsi="David" w:hint="eastAsia"/>
          <w:b/>
          <w:bCs/>
          <w:rtl/>
        </w:rPr>
        <w:t>ש</w:t>
      </w:r>
      <w:r w:rsidRPr="00A81964">
        <w:rPr>
          <w:rFonts w:ascii="David" w:eastAsia="Calibri" w:hAnsi="David"/>
          <w:b/>
          <w:bCs/>
          <w:rtl/>
        </w:rPr>
        <w:t xml:space="preserve">בה הכספים </w:t>
      </w:r>
      <w:r w:rsidRPr="00A81964">
        <w:rPr>
          <w:rFonts w:ascii="David" w:eastAsia="Calibri" w:hAnsi="David" w:hint="eastAsia"/>
          <w:b/>
          <w:bCs/>
          <w:rtl/>
        </w:rPr>
        <w:t>אינה</w:t>
      </w:r>
      <w:r w:rsidRPr="00A81964">
        <w:rPr>
          <w:rFonts w:ascii="David" w:eastAsia="Calibri" w:hAnsi="David"/>
          <w:b/>
          <w:bCs/>
          <w:rtl/>
        </w:rPr>
        <w:t xml:space="preserve"> מושקעים בנכסים מזוהים (ראו להלן בפרק "פיקדון י</w:t>
      </w:r>
      <w:r w:rsidRPr="00A81964">
        <w:rPr>
          <w:rFonts w:ascii="David" w:eastAsia="Calibri" w:hAnsi="David" w:hint="eastAsia"/>
          <w:b/>
          <w:bCs/>
          <w:rtl/>
        </w:rPr>
        <w:t>י</w:t>
      </w:r>
      <w:r w:rsidRPr="00A81964">
        <w:rPr>
          <w:rFonts w:ascii="David" w:eastAsia="Calibri" w:hAnsi="David"/>
          <w:b/>
          <w:bCs/>
          <w:rtl/>
        </w:rPr>
        <w:t>עודי").</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rtl/>
        </w:rPr>
      </w:pPr>
      <w:r w:rsidRPr="00A81964">
        <w:rPr>
          <w:rFonts w:ascii="David" w:eastAsia="Calibri" w:hAnsi="David"/>
          <w:rtl/>
        </w:rPr>
        <w:t xml:space="preserve">בתרשים </w:t>
      </w:r>
      <w:r>
        <w:rPr>
          <w:rFonts w:ascii="David" w:eastAsia="Calibri" w:hAnsi="David" w:hint="cs"/>
          <w:rtl/>
        </w:rPr>
        <w:t>ש</w:t>
      </w:r>
      <w:r w:rsidRPr="00A81964">
        <w:rPr>
          <w:rFonts w:ascii="David" w:eastAsia="Calibri" w:hAnsi="David"/>
          <w:rtl/>
        </w:rPr>
        <w:t xml:space="preserve">להלן </w:t>
      </w:r>
      <w:r w:rsidRPr="00A81964">
        <w:rPr>
          <w:rFonts w:ascii="David" w:eastAsia="Calibri" w:hAnsi="David" w:hint="cs"/>
          <w:rtl/>
        </w:rPr>
        <w:t>פירוט</w:t>
      </w:r>
      <w:r w:rsidRPr="00A81964">
        <w:rPr>
          <w:rFonts w:ascii="David" w:eastAsia="Calibri" w:hAnsi="David"/>
          <w:rtl/>
        </w:rPr>
        <w:t xml:space="preserve"> הכנסות הריבית שנזקפו לקרן הפיצויים בשנים </w:t>
      </w:r>
      <w:r w:rsidRPr="00A81964">
        <w:rPr>
          <w:rFonts w:ascii="David" w:eastAsia="Calibri" w:hAnsi="David" w:hint="cs"/>
          <w:rtl/>
        </w:rPr>
        <w:t>2008 - 2024</w:t>
      </w:r>
      <w:r w:rsidRPr="00A81964">
        <w:rPr>
          <w:rStyle w:val="af2"/>
          <w:rFonts w:ascii="David" w:eastAsia="Calibri" w:hAnsi="David"/>
          <w:rtl/>
        </w:rPr>
        <w:footnoteReference w:id="136"/>
      </w:r>
      <w:r w:rsidRPr="00A81964">
        <w:rPr>
          <w:rFonts w:ascii="David" w:eastAsia="Calibri" w:hAnsi="David"/>
          <w:rtl/>
        </w:rPr>
        <w:t>.</w:t>
      </w:r>
    </w:p>
    <w:p w:rsidR="006252C4" w:rsidRPr="00A81964" w:rsidRDefault="006252C4" w:rsidP="006252C4">
      <w:pPr>
        <w:spacing w:line="269" w:lineRule="auto"/>
        <w:rPr>
          <w:rtl/>
        </w:rPr>
      </w:pPr>
    </w:p>
    <w:p w:rsidR="006252C4" w:rsidRPr="00A81964" w:rsidRDefault="006252C4" w:rsidP="006252C4">
      <w:pPr>
        <w:keepNext/>
        <w:keepLines/>
        <w:spacing w:line="269" w:lineRule="auto"/>
        <w:jc w:val="center"/>
        <w:rPr>
          <w:rFonts w:ascii="David" w:eastAsia="Calibri" w:hAnsi="David"/>
          <w:b/>
          <w:bCs/>
          <w:rtl/>
        </w:rPr>
      </w:pPr>
      <w:r w:rsidRPr="00A81964">
        <w:rPr>
          <w:rFonts w:ascii="David" w:eastAsia="Calibri" w:hAnsi="David"/>
          <w:rtl/>
        </w:rPr>
        <w:lastRenderedPageBreak/>
        <w:t xml:space="preserve">תרשים </w:t>
      </w:r>
      <w:r w:rsidRPr="00A81964">
        <w:rPr>
          <w:rFonts w:ascii="David" w:eastAsia="Calibri" w:hAnsi="David" w:hint="cs"/>
          <w:rtl/>
        </w:rPr>
        <w:t>28</w:t>
      </w:r>
      <w:r w:rsidRPr="00A81964">
        <w:rPr>
          <w:rFonts w:ascii="David" w:eastAsia="Calibri" w:hAnsi="David"/>
          <w:rtl/>
        </w:rPr>
        <w:t>:</w:t>
      </w:r>
      <w:r w:rsidRPr="00A81964">
        <w:rPr>
          <w:rFonts w:ascii="David" w:eastAsia="Calibri" w:hAnsi="David"/>
          <w:b/>
          <w:bCs/>
          <w:rtl/>
        </w:rPr>
        <w:t xml:space="preserve"> הכנסות ריבית שנזקפו לקרן הפיצויים, </w:t>
      </w:r>
      <w:r w:rsidRPr="00A81964">
        <w:rPr>
          <w:rFonts w:ascii="David" w:eastAsia="Calibri" w:hAnsi="David" w:hint="cs"/>
          <w:b/>
          <w:bCs/>
          <w:rtl/>
        </w:rPr>
        <w:t>2008 - 2024</w:t>
      </w:r>
      <w:r w:rsidRPr="00A81964">
        <w:rPr>
          <w:rFonts w:ascii="David" w:eastAsia="Calibri" w:hAnsi="David"/>
          <w:b/>
          <w:bCs/>
          <w:rtl/>
        </w:rPr>
        <w:t xml:space="preserve"> (במיליוני ש"ח)</w:t>
      </w:r>
    </w:p>
    <w:p w:rsidR="006252C4" w:rsidRPr="00A81964" w:rsidRDefault="006252C4" w:rsidP="006252C4">
      <w:pPr>
        <w:spacing w:line="269" w:lineRule="auto"/>
        <w:jc w:val="center"/>
        <w:rPr>
          <w:rFonts w:ascii="David" w:eastAsia="Calibri" w:hAnsi="David"/>
          <w:b/>
          <w:bCs/>
        </w:rPr>
      </w:pPr>
      <w:r>
        <w:rPr>
          <w:rFonts w:ascii="David" w:eastAsia="Calibri" w:hAnsi="David"/>
          <w:b/>
          <w:bCs/>
          <w:noProof/>
        </w:rPr>
        <w:drawing>
          <wp:inline distT="0" distB="0" distL="0" distR="0" wp14:anchorId="47DF8EAD" wp14:editId="667168AC">
            <wp:extent cx="5220335" cy="3088005"/>
            <wp:effectExtent l="0" t="0" r="0" b="0"/>
            <wp:docPr id="17" name="תמונה 1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4C969.tmp"/>
                    <pic:cNvPicPr/>
                  </pic:nvPicPr>
                  <pic:blipFill>
                    <a:blip r:embed="rId47">
                      <a:extLst>
                        <a:ext uri="{28A0092B-C50C-407E-A947-70E740481C1C}">
                          <a14:useLocalDpi xmlns:a14="http://schemas.microsoft.com/office/drawing/2010/main" val="0"/>
                        </a:ext>
                      </a:extLst>
                    </a:blip>
                    <a:stretch>
                      <a:fillRect/>
                    </a:stretch>
                  </pic:blipFill>
                  <pic:spPr>
                    <a:xfrm>
                      <a:off x="0" y="0"/>
                      <a:ext cx="5220335" cy="3088005"/>
                    </a:xfrm>
                    <a:prstGeom prst="rect">
                      <a:avLst/>
                    </a:prstGeom>
                  </pic:spPr>
                </pic:pic>
              </a:graphicData>
            </a:graphic>
          </wp:inline>
        </w:drawing>
      </w:r>
    </w:p>
    <w:p w:rsidR="006252C4" w:rsidRPr="00A81964" w:rsidRDefault="006252C4" w:rsidP="006252C4">
      <w:pPr>
        <w:spacing w:line="269" w:lineRule="auto"/>
        <w:jc w:val="left"/>
        <w:rPr>
          <w:rFonts w:ascii="David" w:eastAsia="Calibri" w:hAnsi="David"/>
          <w:szCs w:val="20"/>
          <w:rtl/>
        </w:rPr>
      </w:pPr>
      <w:r w:rsidRPr="00A81964">
        <w:rPr>
          <w:rFonts w:ascii="David" w:eastAsia="Calibri" w:hAnsi="David"/>
          <w:szCs w:val="20"/>
          <w:rtl/>
        </w:rPr>
        <w:t xml:space="preserve">על פי נתוני </w:t>
      </w:r>
      <w:r w:rsidRPr="00A81964">
        <w:rPr>
          <w:rFonts w:ascii="David" w:eastAsia="Calibri" w:hAnsi="David" w:hint="cs"/>
          <w:szCs w:val="20"/>
          <w:rtl/>
        </w:rPr>
        <w:t>ה</w:t>
      </w:r>
      <w:r w:rsidRPr="00A81964">
        <w:rPr>
          <w:rFonts w:ascii="David" w:eastAsia="Calibri" w:hAnsi="David"/>
          <w:szCs w:val="20"/>
          <w:rtl/>
        </w:rPr>
        <w:t xml:space="preserve">דוחות </w:t>
      </w:r>
      <w:r w:rsidRPr="00A81964">
        <w:rPr>
          <w:rFonts w:ascii="David" w:eastAsia="Calibri" w:hAnsi="David" w:hint="cs"/>
          <w:szCs w:val="20"/>
          <w:rtl/>
        </w:rPr>
        <w:t>ה</w:t>
      </w:r>
      <w:r w:rsidRPr="00A81964">
        <w:rPr>
          <w:rFonts w:ascii="David" w:eastAsia="Calibri" w:hAnsi="David"/>
          <w:szCs w:val="20"/>
          <w:rtl/>
        </w:rPr>
        <w:t xml:space="preserve">כספיים של מדינת ישראל לשנים </w:t>
      </w:r>
      <w:r w:rsidRPr="00A81964">
        <w:rPr>
          <w:rFonts w:ascii="David" w:eastAsia="Calibri" w:hAnsi="David" w:hint="cs"/>
          <w:szCs w:val="20"/>
          <w:rtl/>
        </w:rPr>
        <w:t>2008 - 2024</w:t>
      </w:r>
      <w:r w:rsidRPr="00A81964">
        <w:rPr>
          <w:rFonts w:ascii="David" w:eastAsia="Calibri" w:hAnsi="David"/>
          <w:szCs w:val="20"/>
          <w:rtl/>
        </w:rPr>
        <w:t>, בעיבוד משרד מבקר המדינה.</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b/>
          <w:bCs/>
          <w:rtl/>
        </w:rPr>
      </w:pPr>
      <w:r w:rsidRPr="00A81964">
        <w:rPr>
          <w:rFonts w:ascii="David" w:eastAsia="Calibri" w:hAnsi="David"/>
          <w:b/>
          <w:bCs/>
          <w:rtl/>
        </w:rPr>
        <w:t xml:space="preserve">מהתרשים עולה כי בשנים </w:t>
      </w:r>
      <w:r w:rsidRPr="00A81964">
        <w:rPr>
          <w:rFonts w:ascii="David" w:eastAsia="Calibri" w:hAnsi="David" w:hint="cs"/>
          <w:b/>
          <w:bCs/>
          <w:rtl/>
        </w:rPr>
        <w:t xml:space="preserve">2008 - 2010 </w:t>
      </w:r>
      <w:r w:rsidRPr="00A81964">
        <w:rPr>
          <w:rFonts w:ascii="David" w:eastAsia="Calibri" w:hAnsi="David"/>
          <w:b/>
          <w:bCs/>
          <w:rtl/>
        </w:rPr>
        <w:t>נזקפו לקרן הכנסות ריבית</w:t>
      </w:r>
      <w:r w:rsidRPr="00A81964">
        <w:rPr>
          <w:rFonts w:ascii="David" w:eastAsia="Calibri" w:hAnsi="David" w:hint="cs"/>
          <w:b/>
          <w:bCs/>
          <w:rtl/>
        </w:rPr>
        <w:t xml:space="preserve"> שנתיות</w:t>
      </w:r>
      <w:r w:rsidRPr="00A81964">
        <w:rPr>
          <w:rFonts w:ascii="David" w:eastAsia="Calibri" w:hAnsi="David"/>
          <w:b/>
          <w:bCs/>
          <w:rtl/>
        </w:rPr>
        <w:t xml:space="preserve"> בסך של </w:t>
      </w:r>
      <w:r w:rsidRPr="00A81964">
        <w:rPr>
          <w:rFonts w:ascii="David" w:eastAsia="Calibri" w:hAnsi="David" w:hint="cs"/>
          <w:b/>
          <w:bCs/>
          <w:rtl/>
        </w:rPr>
        <w:t xml:space="preserve">כ-8 עד </w:t>
      </w:r>
      <w:r>
        <w:rPr>
          <w:rFonts w:ascii="David" w:eastAsia="Calibri" w:hAnsi="David"/>
          <w:b/>
          <w:bCs/>
          <w:rtl/>
        </w:rPr>
        <w:br/>
      </w:r>
      <w:r w:rsidRPr="00A81964">
        <w:rPr>
          <w:rFonts w:ascii="David" w:eastAsia="Calibri" w:hAnsi="David" w:hint="cs"/>
          <w:b/>
          <w:bCs/>
          <w:rtl/>
        </w:rPr>
        <w:t>כ-</w:t>
      </w:r>
      <w:r w:rsidRPr="00A81964">
        <w:rPr>
          <w:rFonts w:ascii="David" w:eastAsia="Calibri" w:hAnsi="David"/>
          <w:b/>
          <w:bCs/>
          <w:rtl/>
        </w:rPr>
        <w:t xml:space="preserve">24 מיליון ש"ח, ובשנים </w:t>
      </w:r>
      <w:r w:rsidRPr="00A81964">
        <w:rPr>
          <w:rFonts w:ascii="David" w:eastAsia="Calibri" w:hAnsi="David" w:hint="cs"/>
          <w:b/>
          <w:bCs/>
          <w:rtl/>
        </w:rPr>
        <w:t xml:space="preserve">2011 </w:t>
      </w:r>
      <w:r w:rsidRPr="00A81964">
        <w:rPr>
          <w:rFonts w:ascii="David" w:eastAsia="Calibri" w:hAnsi="David"/>
          <w:b/>
          <w:bCs/>
          <w:rtl/>
        </w:rPr>
        <w:t>-</w:t>
      </w:r>
      <w:r w:rsidRPr="00A81964">
        <w:rPr>
          <w:rFonts w:ascii="David" w:eastAsia="Calibri" w:hAnsi="David" w:hint="cs"/>
          <w:b/>
          <w:bCs/>
          <w:rtl/>
        </w:rPr>
        <w:t xml:space="preserve"> 2023</w:t>
      </w:r>
      <w:r w:rsidRPr="00A81964">
        <w:rPr>
          <w:rFonts w:ascii="David" w:eastAsia="Calibri" w:hAnsi="David"/>
          <w:b/>
          <w:bCs/>
          <w:rtl/>
        </w:rPr>
        <w:t xml:space="preserve"> נזקפו לקרן </w:t>
      </w:r>
      <w:r w:rsidRPr="00A81964">
        <w:rPr>
          <w:rFonts w:ascii="David" w:eastAsia="Calibri" w:hAnsi="David" w:hint="cs"/>
          <w:b/>
          <w:bCs/>
          <w:rtl/>
        </w:rPr>
        <w:t>הכנסות ריבית שנתיות של כ-</w:t>
      </w:r>
      <w:r w:rsidRPr="00A81964">
        <w:rPr>
          <w:rFonts w:ascii="David" w:eastAsia="Calibri" w:hAnsi="David"/>
          <w:b/>
          <w:bCs/>
          <w:rtl/>
        </w:rPr>
        <w:t>66</w:t>
      </w:r>
      <w:r w:rsidRPr="00A81964">
        <w:rPr>
          <w:rFonts w:ascii="David" w:eastAsia="Calibri" w:hAnsi="David" w:hint="cs"/>
          <w:b/>
          <w:bCs/>
          <w:rtl/>
        </w:rPr>
        <w:t xml:space="preserve"> עד כ-</w:t>
      </w:r>
      <w:r w:rsidRPr="00A81964">
        <w:rPr>
          <w:rFonts w:ascii="David" w:eastAsia="Calibri" w:hAnsi="David"/>
          <w:b/>
          <w:bCs/>
          <w:rtl/>
        </w:rPr>
        <w:t>133</w:t>
      </w:r>
      <w:r w:rsidRPr="00A81964">
        <w:rPr>
          <w:rFonts w:ascii="David" w:eastAsia="Calibri" w:hAnsi="David" w:hint="cs"/>
          <w:b/>
          <w:bCs/>
          <w:rtl/>
        </w:rPr>
        <w:t xml:space="preserve"> </w:t>
      </w:r>
      <w:r w:rsidRPr="00A81964">
        <w:rPr>
          <w:rFonts w:ascii="David" w:eastAsia="Calibri" w:hAnsi="David"/>
          <w:b/>
          <w:bCs/>
          <w:rtl/>
        </w:rPr>
        <w:t>מיליון ש"ח. בשנת 2024 נזקפו לקרן הכנסות ריבית בסך של כ-52 מיליון ש"ח.</w:t>
      </w:r>
    </w:p>
    <w:p w:rsidR="006252C4" w:rsidRDefault="006252C4" w:rsidP="006252C4">
      <w:pPr>
        <w:pStyle w:val="a8"/>
        <w:spacing w:line="269" w:lineRule="auto"/>
        <w:rPr>
          <w:rtl/>
        </w:rPr>
      </w:pPr>
    </w:p>
    <w:p w:rsidR="006252C4" w:rsidRDefault="006252C4" w:rsidP="006252C4">
      <w:pPr>
        <w:spacing w:line="269" w:lineRule="auto"/>
        <w:rPr>
          <w:rFonts w:ascii="David" w:eastAsia="Calibri" w:hAnsi="David"/>
          <w:rtl/>
        </w:rPr>
      </w:pPr>
      <w:r w:rsidRPr="00A81964">
        <w:rPr>
          <w:rFonts w:ascii="David" w:eastAsia="Calibri" w:hAnsi="David"/>
          <w:rtl/>
        </w:rPr>
        <w:t xml:space="preserve">בתרשים </w:t>
      </w:r>
      <w:r>
        <w:rPr>
          <w:rFonts w:ascii="David" w:eastAsia="Calibri" w:hAnsi="David" w:hint="cs"/>
          <w:rtl/>
        </w:rPr>
        <w:t>ש</w:t>
      </w:r>
      <w:r w:rsidRPr="00A81964">
        <w:rPr>
          <w:rFonts w:ascii="David" w:eastAsia="Calibri" w:hAnsi="David"/>
          <w:rtl/>
        </w:rPr>
        <w:t xml:space="preserve">להלן מפורטים סכומי </w:t>
      </w:r>
      <w:r w:rsidRPr="00A81964">
        <w:rPr>
          <w:rFonts w:ascii="David" w:eastAsia="Calibri" w:hAnsi="David" w:hint="cs"/>
          <w:rtl/>
        </w:rPr>
        <w:t xml:space="preserve">ההכנסות, הריבית שנזקפה וההוצאות </w:t>
      </w:r>
      <w:r w:rsidRPr="00A81964">
        <w:rPr>
          <w:rFonts w:ascii="David" w:eastAsia="Calibri" w:hAnsi="David"/>
          <w:rtl/>
        </w:rPr>
        <w:t xml:space="preserve">לקרן </w:t>
      </w:r>
      <w:r w:rsidRPr="00A81964">
        <w:rPr>
          <w:rFonts w:ascii="David" w:eastAsia="Calibri" w:hAnsi="David" w:hint="cs"/>
          <w:rtl/>
        </w:rPr>
        <w:t xml:space="preserve">הפיצויים, לשנים 2008 - </w:t>
      </w:r>
      <w:r w:rsidRPr="00A81964">
        <w:rPr>
          <w:rFonts w:ascii="David" w:eastAsia="Calibri" w:hAnsi="David"/>
          <w:rtl/>
        </w:rPr>
        <w:t>‏‏2024 (</w:t>
      </w:r>
      <w:r w:rsidRPr="00A81964">
        <w:rPr>
          <w:rFonts w:ascii="David" w:eastAsia="Calibri" w:hAnsi="David" w:hint="cs"/>
          <w:rtl/>
        </w:rPr>
        <w:t>במיליונ</w:t>
      </w:r>
      <w:r w:rsidRPr="00A81964">
        <w:rPr>
          <w:rFonts w:ascii="David" w:eastAsia="Calibri" w:hAnsi="David" w:hint="eastAsia"/>
          <w:rtl/>
        </w:rPr>
        <w:t>י</w:t>
      </w:r>
      <w:r w:rsidRPr="00A81964">
        <w:rPr>
          <w:rFonts w:ascii="David" w:eastAsia="Calibri" w:hAnsi="David"/>
          <w:rtl/>
        </w:rPr>
        <w:t xml:space="preserve"> ש"ח).‏</w:t>
      </w:r>
    </w:p>
    <w:p w:rsidR="006252C4" w:rsidRDefault="006252C4" w:rsidP="006252C4">
      <w:pPr>
        <w:spacing w:line="269" w:lineRule="auto"/>
        <w:ind w:left="720"/>
        <w:jc w:val="center"/>
        <w:rPr>
          <w:rFonts w:ascii="David" w:eastAsia="Calibri" w:hAnsi="David"/>
          <w:rtl/>
        </w:rPr>
      </w:pPr>
    </w:p>
    <w:p w:rsidR="006252C4" w:rsidRPr="00A81964" w:rsidRDefault="006252C4" w:rsidP="006252C4">
      <w:pPr>
        <w:keepNext/>
        <w:keepLines/>
        <w:spacing w:line="269" w:lineRule="auto"/>
        <w:jc w:val="center"/>
        <w:rPr>
          <w:rFonts w:ascii="David" w:eastAsia="Calibri" w:hAnsi="David"/>
          <w:rtl/>
        </w:rPr>
      </w:pPr>
      <w:r w:rsidRPr="00A81964">
        <w:rPr>
          <w:rFonts w:ascii="David" w:eastAsia="Calibri" w:hAnsi="David" w:hint="cs"/>
          <w:rtl/>
        </w:rPr>
        <w:lastRenderedPageBreak/>
        <w:t xml:space="preserve">תרשים 29: </w:t>
      </w:r>
      <w:r w:rsidRPr="00A81964">
        <w:rPr>
          <w:rFonts w:ascii="David" w:eastAsia="Calibri" w:hAnsi="David" w:hint="cs"/>
          <w:b/>
          <w:bCs/>
          <w:rtl/>
        </w:rPr>
        <w:t>ה</w:t>
      </w:r>
      <w:r w:rsidRPr="00A81964">
        <w:rPr>
          <w:rFonts w:ascii="David" w:eastAsia="Calibri" w:hAnsi="David" w:hint="eastAsia"/>
          <w:b/>
          <w:bCs/>
          <w:rtl/>
        </w:rPr>
        <w:t>הפרשות</w:t>
      </w:r>
      <w:r w:rsidRPr="00A81964">
        <w:rPr>
          <w:rFonts w:ascii="David" w:eastAsia="Calibri" w:hAnsi="David"/>
          <w:b/>
          <w:bCs/>
          <w:rtl/>
        </w:rPr>
        <w:t xml:space="preserve"> </w:t>
      </w:r>
      <w:r w:rsidRPr="00A81964">
        <w:rPr>
          <w:rFonts w:ascii="David" w:eastAsia="Calibri" w:hAnsi="David" w:hint="eastAsia"/>
          <w:b/>
          <w:bCs/>
          <w:rtl/>
        </w:rPr>
        <w:t>לקרן</w:t>
      </w:r>
      <w:r w:rsidRPr="00A81964">
        <w:rPr>
          <w:rFonts w:ascii="David" w:eastAsia="Calibri" w:hAnsi="David"/>
          <w:b/>
          <w:bCs/>
          <w:rtl/>
        </w:rPr>
        <w:t xml:space="preserve"> </w:t>
      </w:r>
      <w:r w:rsidRPr="00A81964">
        <w:rPr>
          <w:rFonts w:ascii="David" w:eastAsia="Calibri" w:hAnsi="David" w:hint="eastAsia"/>
          <w:b/>
          <w:bCs/>
          <w:rtl/>
        </w:rPr>
        <w:t>הפיצויים</w:t>
      </w:r>
      <w:r w:rsidRPr="00A81964">
        <w:rPr>
          <w:rFonts w:ascii="David" w:eastAsia="Calibri" w:hAnsi="David"/>
          <w:b/>
          <w:bCs/>
          <w:rtl/>
        </w:rPr>
        <w:t xml:space="preserve">, </w:t>
      </w:r>
      <w:r w:rsidRPr="00A81964">
        <w:rPr>
          <w:rFonts w:ascii="David" w:eastAsia="Calibri" w:hAnsi="David" w:hint="cs"/>
          <w:b/>
          <w:bCs/>
          <w:rtl/>
        </w:rPr>
        <w:t>ה</w:t>
      </w:r>
      <w:r w:rsidRPr="00A81964">
        <w:rPr>
          <w:rFonts w:ascii="David" w:eastAsia="Calibri" w:hAnsi="David"/>
          <w:b/>
          <w:bCs/>
          <w:rtl/>
        </w:rPr>
        <w:t>ריבית שנזקפה ו</w:t>
      </w:r>
      <w:r w:rsidRPr="00A81964">
        <w:rPr>
          <w:rFonts w:ascii="David" w:eastAsia="Calibri" w:hAnsi="David" w:hint="cs"/>
          <w:b/>
          <w:bCs/>
          <w:rtl/>
        </w:rPr>
        <w:t>ה</w:t>
      </w:r>
      <w:r w:rsidRPr="00A81964">
        <w:rPr>
          <w:rFonts w:ascii="David" w:eastAsia="Calibri" w:hAnsi="David"/>
          <w:b/>
          <w:bCs/>
          <w:rtl/>
        </w:rPr>
        <w:t xml:space="preserve">הוצאות, 2008 - ‏‏2024 </w:t>
      </w:r>
      <w:r>
        <w:rPr>
          <w:rFonts w:ascii="David" w:eastAsia="Calibri" w:hAnsi="David"/>
          <w:b/>
          <w:bCs/>
          <w:rtl/>
        </w:rPr>
        <w:br/>
      </w:r>
      <w:r w:rsidRPr="00A81964">
        <w:rPr>
          <w:rFonts w:ascii="David" w:eastAsia="Calibri" w:hAnsi="David"/>
          <w:b/>
          <w:bCs/>
          <w:rtl/>
        </w:rPr>
        <w:t>(</w:t>
      </w:r>
      <w:r w:rsidRPr="00A81964">
        <w:rPr>
          <w:rFonts w:ascii="David" w:eastAsia="Calibri" w:hAnsi="David" w:hint="cs"/>
          <w:b/>
          <w:bCs/>
          <w:rtl/>
        </w:rPr>
        <w:t>במיליונ</w:t>
      </w:r>
      <w:r w:rsidRPr="00A81964">
        <w:rPr>
          <w:rFonts w:ascii="David" w:eastAsia="Calibri" w:hAnsi="David" w:hint="eastAsia"/>
          <w:b/>
          <w:bCs/>
          <w:rtl/>
        </w:rPr>
        <w:t>י</w:t>
      </w:r>
      <w:r w:rsidRPr="00A81964">
        <w:rPr>
          <w:rFonts w:ascii="David" w:eastAsia="Calibri" w:hAnsi="David"/>
          <w:b/>
          <w:bCs/>
          <w:rtl/>
        </w:rPr>
        <w:t xml:space="preserve"> ש"ח)</w:t>
      </w:r>
    </w:p>
    <w:p w:rsidR="006252C4" w:rsidRPr="00A81964" w:rsidRDefault="006252C4" w:rsidP="006252C4">
      <w:pPr>
        <w:spacing w:line="269" w:lineRule="auto"/>
        <w:jc w:val="center"/>
        <w:rPr>
          <w:rFonts w:ascii="David" w:eastAsia="Calibri" w:hAnsi="David"/>
          <w:rtl/>
        </w:rPr>
      </w:pPr>
      <w:r>
        <w:rPr>
          <w:rFonts w:ascii="David" w:eastAsia="Calibri" w:hAnsi="David"/>
          <w:noProof/>
          <w:rtl/>
          <w:lang w:val="he-IL"/>
        </w:rPr>
        <w:drawing>
          <wp:inline distT="0" distB="0" distL="0" distR="0" wp14:anchorId="27C988EB" wp14:editId="79967190">
            <wp:extent cx="5220335" cy="5067300"/>
            <wp:effectExtent l="0" t="0" r="0" b="0"/>
            <wp:docPr id="19" name="תמונה 1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4C7EA.tmp"/>
                    <pic:cNvPicPr/>
                  </pic:nvPicPr>
                  <pic:blipFill>
                    <a:blip r:embed="rId48">
                      <a:extLst>
                        <a:ext uri="{28A0092B-C50C-407E-A947-70E740481C1C}">
                          <a14:useLocalDpi xmlns:a14="http://schemas.microsoft.com/office/drawing/2010/main" val="0"/>
                        </a:ext>
                      </a:extLst>
                    </a:blip>
                    <a:stretch>
                      <a:fillRect/>
                    </a:stretch>
                  </pic:blipFill>
                  <pic:spPr>
                    <a:xfrm>
                      <a:off x="0" y="0"/>
                      <a:ext cx="5220335" cy="5067300"/>
                    </a:xfrm>
                    <a:prstGeom prst="rect">
                      <a:avLst/>
                    </a:prstGeom>
                  </pic:spPr>
                </pic:pic>
              </a:graphicData>
            </a:graphic>
          </wp:inline>
        </w:drawing>
      </w:r>
    </w:p>
    <w:p w:rsidR="006252C4" w:rsidRPr="00A81964" w:rsidRDefault="006252C4" w:rsidP="006252C4">
      <w:pPr>
        <w:spacing w:line="269" w:lineRule="auto"/>
        <w:rPr>
          <w:rFonts w:ascii="David" w:eastAsia="Calibri" w:hAnsi="David"/>
          <w:sz w:val="16"/>
          <w:szCs w:val="20"/>
          <w:rtl/>
        </w:rPr>
      </w:pPr>
      <w:r w:rsidRPr="00A81964">
        <w:rPr>
          <w:rFonts w:ascii="David" w:eastAsia="Calibri" w:hAnsi="David"/>
          <w:sz w:val="16"/>
          <w:szCs w:val="20"/>
          <w:rtl/>
        </w:rPr>
        <w:t>על פי נתוני רשות המיסים, בעיבוד משרד מבקר המדינה.</w:t>
      </w:r>
    </w:p>
    <w:p w:rsidR="006252C4" w:rsidRPr="0095334E" w:rsidRDefault="006252C4" w:rsidP="006252C4">
      <w:pPr>
        <w:pStyle w:val="a8"/>
        <w:spacing w:line="269" w:lineRule="auto"/>
        <w:rPr>
          <w:b/>
          <w:bCs/>
          <w:rtl/>
        </w:rPr>
      </w:pPr>
    </w:p>
    <w:p w:rsidR="006252C4" w:rsidRPr="00A81964" w:rsidRDefault="006252C4" w:rsidP="006252C4">
      <w:pPr>
        <w:spacing w:line="269" w:lineRule="auto"/>
        <w:rPr>
          <w:rFonts w:ascii="David" w:eastAsia="Calibri" w:hAnsi="David"/>
          <w:rtl/>
        </w:rPr>
      </w:pPr>
      <w:r w:rsidRPr="0095334E">
        <w:rPr>
          <w:rFonts w:ascii="David" w:eastAsia="Calibri" w:hAnsi="David"/>
          <w:b/>
          <w:bCs/>
          <w:rtl/>
        </w:rPr>
        <w:t xml:space="preserve">מהתרשים עולה כי בשנים ‏‏2008 - 2022 </w:t>
      </w:r>
      <w:r w:rsidRPr="0095334E">
        <w:rPr>
          <w:rFonts w:ascii="David" w:eastAsia="Calibri" w:hAnsi="David" w:hint="cs"/>
          <w:b/>
          <w:bCs/>
          <w:rtl/>
        </w:rPr>
        <w:t>שולמו פיצויים</w:t>
      </w:r>
      <w:r w:rsidRPr="0095334E">
        <w:rPr>
          <w:rFonts w:ascii="David" w:eastAsia="Calibri" w:hAnsi="David"/>
          <w:b/>
          <w:bCs/>
          <w:rtl/>
        </w:rPr>
        <w:t xml:space="preserve"> בסך של כ-18 עד </w:t>
      </w:r>
      <w:r w:rsidRPr="0095334E">
        <w:rPr>
          <w:rFonts w:ascii="David" w:eastAsia="Calibri" w:hAnsi="David" w:hint="cs"/>
          <w:b/>
          <w:bCs/>
          <w:rtl/>
        </w:rPr>
        <w:t>כ-</w:t>
      </w:r>
      <w:r w:rsidRPr="0095334E">
        <w:rPr>
          <w:rFonts w:ascii="David" w:eastAsia="Calibri" w:hAnsi="David"/>
          <w:b/>
          <w:bCs/>
          <w:rtl/>
        </w:rPr>
        <w:t xml:space="preserve">947 מיליון ש"ח, </w:t>
      </w:r>
      <w:r w:rsidRPr="0095334E">
        <w:rPr>
          <w:rFonts w:ascii="David" w:eastAsia="Calibri" w:hAnsi="David" w:hint="cs"/>
          <w:b/>
          <w:bCs/>
          <w:rtl/>
        </w:rPr>
        <w:t>ו</w:t>
      </w:r>
      <w:r w:rsidRPr="0095334E">
        <w:rPr>
          <w:rFonts w:ascii="David" w:eastAsia="Calibri" w:hAnsi="David"/>
          <w:b/>
          <w:bCs/>
          <w:rtl/>
        </w:rPr>
        <w:t>בשנים ‏‏2023 - 2024 שולמו פיצויים בסך של כ-4,920 וכ-8,146 מ</w:t>
      </w:r>
      <w:r w:rsidRPr="0095334E">
        <w:rPr>
          <w:rFonts w:ascii="David" w:eastAsia="Calibri" w:hAnsi="David" w:hint="cs"/>
          <w:b/>
          <w:bCs/>
          <w:rtl/>
        </w:rPr>
        <w:t>י</w:t>
      </w:r>
      <w:r w:rsidRPr="0095334E">
        <w:rPr>
          <w:rFonts w:ascii="David" w:eastAsia="Calibri" w:hAnsi="David"/>
          <w:b/>
          <w:bCs/>
          <w:rtl/>
        </w:rPr>
        <w:t>ליון ש"ח בהתאמה. בשנים 2010</w:t>
      </w:r>
      <w:r w:rsidRPr="0095334E">
        <w:rPr>
          <w:rFonts w:ascii="David" w:eastAsia="Calibri" w:hAnsi="David" w:hint="cs"/>
          <w:b/>
          <w:bCs/>
          <w:rtl/>
        </w:rPr>
        <w:t xml:space="preserve"> </w:t>
      </w:r>
      <w:r w:rsidRPr="0095334E">
        <w:rPr>
          <w:rFonts w:ascii="David" w:eastAsia="Calibri" w:hAnsi="David"/>
          <w:b/>
          <w:bCs/>
          <w:rtl/>
        </w:rPr>
        <w:t>-</w:t>
      </w:r>
      <w:r w:rsidRPr="0095334E">
        <w:rPr>
          <w:rFonts w:ascii="David" w:eastAsia="Calibri" w:hAnsi="David" w:hint="cs"/>
          <w:b/>
          <w:bCs/>
          <w:rtl/>
        </w:rPr>
        <w:t xml:space="preserve"> </w:t>
      </w:r>
      <w:r w:rsidRPr="0095334E">
        <w:rPr>
          <w:rFonts w:ascii="David" w:eastAsia="Calibri" w:hAnsi="David"/>
          <w:b/>
          <w:bCs/>
          <w:rtl/>
        </w:rPr>
        <w:t xml:space="preserve">‏2017 עמדו הכנסות הקרן על כ-1,000 עד </w:t>
      </w:r>
      <w:r w:rsidRPr="0095334E">
        <w:rPr>
          <w:rFonts w:ascii="David" w:eastAsia="Calibri" w:hAnsi="David" w:hint="cs"/>
          <w:b/>
          <w:bCs/>
          <w:rtl/>
        </w:rPr>
        <w:t>כ-</w:t>
      </w:r>
      <w:r w:rsidRPr="0095334E">
        <w:rPr>
          <w:rFonts w:ascii="David" w:eastAsia="Calibri" w:hAnsi="David"/>
          <w:b/>
          <w:bCs/>
          <w:rtl/>
        </w:rPr>
        <w:t>5,000 מ</w:t>
      </w:r>
      <w:r w:rsidRPr="0095334E">
        <w:rPr>
          <w:rFonts w:ascii="David" w:eastAsia="Calibri" w:hAnsi="David" w:hint="cs"/>
          <w:b/>
          <w:bCs/>
          <w:rtl/>
        </w:rPr>
        <w:t>י</w:t>
      </w:r>
      <w:r w:rsidRPr="0095334E">
        <w:rPr>
          <w:rFonts w:ascii="David" w:eastAsia="Calibri" w:hAnsi="David"/>
          <w:b/>
          <w:bCs/>
          <w:rtl/>
        </w:rPr>
        <w:t>ליון ש"ח, בשנים 2018 - 2020 ו-2022 - ‏‏2023 לא נרשמו הכנסות לקרן. בשנים 2021</w:t>
      </w:r>
      <w:r w:rsidRPr="0095334E">
        <w:rPr>
          <w:rFonts w:ascii="David" w:eastAsia="Calibri" w:hAnsi="David" w:hint="cs"/>
          <w:b/>
          <w:bCs/>
          <w:rtl/>
        </w:rPr>
        <w:t xml:space="preserve"> ו-</w:t>
      </w:r>
      <w:r w:rsidRPr="0095334E">
        <w:rPr>
          <w:rFonts w:ascii="David" w:eastAsia="Calibri" w:hAnsi="David"/>
          <w:b/>
          <w:bCs/>
          <w:rtl/>
        </w:rPr>
        <w:t>2024 נרשמו הכנסות בסך של כ-3,170 וכ-8,190 ‏מ</w:t>
      </w:r>
      <w:r w:rsidRPr="0095334E">
        <w:rPr>
          <w:rFonts w:ascii="David" w:eastAsia="Calibri" w:hAnsi="David" w:hint="cs"/>
          <w:b/>
          <w:bCs/>
          <w:rtl/>
        </w:rPr>
        <w:t>י</w:t>
      </w:r>
      <w:r w:rsidRPr="0095334E">
        <w:rPr>
          <w:rFonts w:ascii="David" w:eastAsia="Calibri" w:hAnsi="David"/>
          <w:b/>
          <w:bCs/>
          <w:rtl/>
        </w:rPr>
        <w:t xml:space="preserve">ליון ש"ח בהתאמה. כמו כן, בשנים 2008 - 2024 נזקפו הכנסות ריבית שנתיות בסך של כ-‏‏8 עד </w:t>
      </w:r>
      <w:r w:rsidRPr="0095334E">
        <w:rPr>
          <w:rFonts w:ascii="David" w:eastAsia="Calibri" w:hAnsi="David" w:hint="cs"/>
          <w:b/>
          <w:bCs/>
          <w:rtl/>
        </w:rPr>
        <w:t>כ-</w:t>
      </w:r>
      <w:r w:rsidRPr="0095334E">
        <w:rPr>
          <w:rFonts w:ascii="David" w:eastAsia="Calibri" w:hAnsi="David"/>
          <w:b/>
          <w:bCs/>
          <w:rtl/>
        </w:rPr>
        <w:t>133 מיליון ש"ח.</w:t>
      </w:r>
      <w:r w:rsidRPr="00A81964">
        <w:rPr>
          <w:rFonts w:ascii="David" w:eastAsia="Calibri" w:hAnsi="David"/>
          <w:rtl/>
        </w:rPr>
        <w:t xml:space="preserve"> ‏</w:t>
      </w:r>
    </w:p>
    <w:p w:rsidR="006252C4" w:rsidRDefault="006252C4" w:rsidP="006252C4">
      <w:pPr>
        <w:keepNext/>
        <w:keepLines/>
        <w:spacing w:line="269" w:lineRule="auto"/>
        <w:jc w:val="center"/>
        <w:rPr>
          <w:rFonts w:ascii="David" w:eastAsia="Calibri" w:hAnsi="David"/>
          <w:b/>
          <w:bCs/>
          <w:noProof/>
          <w:rtl/>
        </w:rPr>
      </w:pPr>
      <w:r w:rsidRPr="00A81964">
        <w:rPr>
          <w:rFonts w:ascii="David" w:eastAsia="Calibri" w:hAnsi="David"/>
          <w:rtl/>
        </w:rPr>
        <w:lastRenderedPageBreak/>
        <w:t xml:space="preserve">תרשים </w:t>
      </w:r>
      <w:r w:rsidRPr="00A81964">
        <w:rPr>
          <w:rFonts w:ascii="David" w:eastAsia="Calibri" w:hAnsi="David" w:hint="cs"/>
          <w:rtl/>
        </w:rPr>
        <w:t>30</w:t>
      </w:r>
      <w:r w:rsidRPr="00A81964">
        <w:rPr>
          <w:rFonts w:ascii="David" w:eastAsia="Calibri" w:hAnsi="David"/>
          <w:rtl/>
        </w:rPr>
        <w:t>:</w:t>
      </w:r>
      <w:r w:rsidRPr="00A81964">
        <w:rPr>
          <w:rFonts w:ascii="David" w:eastAsia="Calibri" w:hAnsi="David"/>
          <w:b/>
          <w:bCs/>
          <w:rtl/>
        </w:rPr>
        <w:t xml:space="preserve"> היתרה השנתית בקרן הפיצויים, 2007 - 2024, ובפרט בספטמבר 2023 </w:t>
      </w:r>
      <w:r>
        <w:rPr>
          <w:rFonts w:ascii="David" w:eastAsia="Calibri" w:hAnsi="David"/>
          <w:b/>
          <w:bCs/>
          <w:rtl/>
        </w:rPr>
        <w:br/>
      </w:r>
      <w:r w:rsidRPr="00A81964">
        <w:rPr>
          <w:rFonts w:ascii="David" w:eastAsia="Calibri" w:hAnsi="David"/>
          <w:b/>
          <w:bCs/>
          <w:rtl/>
        </w:rPr>
        <w:t>(במיליארדי ש"ח)</w:t>
      </w:r>
    </w:p>
    <w:p w:rsidR="006252C4" w:rsidRPr="00A81964" w:rsidRDefault="006252C4" w:rsidP="006252C4">
      <w:pPr>
        <w:spacing w:line="269" w:lineRule="auto"/>
        <w:ind w:left="-568"/>
        <w:jc w:val="center"/>
        <w:rPr>
          <w:rFonts w:ascii="David" w:eastAsia="Calibri" w:hAnsi="David"/>
          <w:b/>
          <w:bCs/>
          <w:rtl/>
        </w:rPr>
      </w:pPr>
      <w:r>
        <w:rPr>
          <w:rFonts w:ascii="David" w:eastAsia="Calibri" w:hAnsi="David" w:hint="cs"/>
          <w:b/>
          <w:bCs/>
          <w:noProof/>
          <w:rtl/>
          <w:lang w:val="he-IL"/>
        </w:rPr>
        <w:drawing>
          <wp:inline distT="0" distB="0" distL="0" distR="0" wp14:anchorId="1B8FAB7C" wp14:editId="71B2656C">
            <wp:extent cx="5220335" cy="4001135"/>
            <wp:effectExtent l="0" t="0" r="0" b="0"/>
            <wp:docPr id="27" name="תמונה 2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7498CD.tmp"/>
                    <pic:cNvPicPr/>
                  </pic:nvPicPr>
                  <pic:blipFill>
                    <a:blip r:embed="rId49">
                      <a:extLst>
                        <a:ext uri="{28A0092B-C50C-407E-A947-70E740481C1C}">
                          <a14:useLocalDpi xmlns:a14="http://schemas.microsoft.com/office/drawing/2010/main" val="0"/>
                        </a:ext>
                      </a:extLst>
                    </a:blip>
                    <a:stretch>
                      <a:fillRect/>
                    </a:stretch>
                  </pic:blipFill>
                  <pic:spPr>
                    <a:xfrm>
                      <a:off x="0" y="0"/>
                      <a:ext cx="5220335" cy="4001135"/>
                    </a:xfrm>
                    <a:prstGeom prst="rect">
                      <a:avLst/>
                    </a:prstGeom>
                  </pic:spPr>
                </pic:pic>
              </a:graphicData>
            </a:graphic>
          </wp:inline>
        </w:drawing>
      </w:r>
    </w:p>
    <w:p w:rsidR="006252C4" w:rsidRPr="00A81964" w:rsidRDefault="006252C4" w:rsidP="006252C4">
      <w:pPr>
        <w:spacing w:line="269" w:lineRule="auto"/>
        <w:jc w:val="left"/>
        <w:rPr>
          <w:rFonts w:ascii="David" w:eastAsia="Calibri" w:hAnsi="David"/>
          <w:szCs w:val="20"/>
          <w:rtl/>
        </w:rPr>
      </w:pPr>
      <w:r w:rsidRPr="00A81964">
        <w:rPr>
          <w:rFonts w:ascii="David" w:eastAsia="Calibri" w:hAnsi="David"/>
          <w:szCs w:val="20"/>
          <w:rtl/>
        </w:rPr>
        <w:t>על פי נתוני רשות המיסים, בעיבוד משרד מבקר המדינה.</w:t>
      </w:r>
    </w:p>
    <w:p w:rsidR="006252C4" w:rsidRDefault="006252C4" w:rsidP="006252C4">
      <w:pPr>
        <w:pStyle w:val="a8"/>
        <w:spacing w:line="269" w:lineRule="auto"/>
        <w:rPr>
          <w:rtl/>
        </w:rPr>
      </w:pPr>
    </w:p>
    <w:p w:rsidR="006252C4" w:rsidRPr="00A81964" w:rsidRDefault="006252C4" w:rsidP="006252C4">
      <w:pPr>
        <w:spacing w:line="269" w:lineRule="auto"/>
        <w:rPr>
          <w:rFonts w:eastAsia="Calibri"/>
          <w:b/>
          <w:bCs/>
          <w:rtl/>
        </w:rPr>
      </w:pPr>
      <w:r w:rsidRPr="00A81964">
        <w:rPr>
          <w:rFonts w:eastAsia="Calibri"/>
          <w:b/>
          <w:bCs/>
          <w:rtl/>
        </w:rPr>
        <w:t>מהתרשים עולה כי יתרת הקרן עלתה מסך של 7 מיליון ש"ח בשנת 2007 לסך של 17.</w:t>
      </w:r>
      <w:r>
        <w:rPr>
          <w:rFonts w:eastAsia="Calibri" w:hint="cs"/>
          <w:b/>
          <w:bCs/>
          <w:rtl/>
        </w:rPr>
        <w:t>7</w:t>
      </w:r>
      <w:r w:rsidRPr="00A81964">
        <w:rPr>
          <w:rFonts w:eastAsia="Calibri"/>
          <w:b/>
          <w:bCs/>
          <w:rtl/>
        </w:rPr>
        <w:t xml:space="preserve"> מיליארד ש"ח </w:t>
      </w:r>
      <w:r w:rsidRPr="00A81964">
        <w:rPr>
          <w:rFonts w:eastAsia="Calibri" w:hint="cs"/>
          <w:b/>
          <w:bCs/>
          <w:rtl/>
        </w:rPr>
        <w:t>ב</w:t>
      </w:r>
      <w:r w:rsidRPr="00A81964">
        <w:rPr>
          <w:rFonts w:eastAsia="Calibri"/>
          <w:b/>
          <w:bCs/>
          <w:rtl/>
        </w:rPr>
        <w:t>תום ספטמבר 2023</w:t>
      </w:r>
      <w:r w:rsidRPr="00A81964">
        <w:rPr>
          <w:rFonts w:eastAsia="Calibri" w:hint="cs"/>
          <w:b/>
          <w:bCs/>
          <w:rtl/>
        </w:rPr>
        <w:t>,</w:t>
      </w:r>
      <w:r w:rsidRPr="00A81964">
        <w:rPr>
          <w:rFonts w:eastAsia="Calibri"/>
          <w:b/>
          <w:bCs/>
          <w:rtl/>
        </w:rPr>
        <w:t xml:space="preserve"> סמוך למלחמת חרבות ברזל</w:t>
      </w:r>
      <w:r w:rsidRPr="00A81964">
        <w:rPr>
          <w:rFonts w:eastAsia="Calibri"/>
          <w:b/>
          <w:bCs/>
          <w:vertAlign w:val="superscript"/>
          <w:rtl/>
        </w:rPr>
        <w:footnoteReference w:id="137"/>
      </w:r>
      <w:r w:rsidRPr="00A81964">
        <w:rPr>
          <w:rFonts w:eastAsia="Calibri"/>
          <w:b/>
          <w:bCs/>
          <w:rtl/>
        </w:rPr>
        <w:t xml:space="preserve">. עוד עולה מהתרשים כי </w:t>
      </w:r>
      <w:r w:rsidRPr="00A81964">
        <w:rPr>
          <w:rFonts w:eastAsia="Calibri" w:hint="cs"/>
          <w:b/>
          <w:bCs/>
          <w:rtl/>
        </w:rPr>
        <w:t>בשנים</w:t>
      </w:r>
      <w:r w:rsidRPr="00A81964">
        <w:rPr>
          <w:rFonts w:eastAsia="Calibri"/>
          <w:b/>
          <w:bCs/>
          <w:rtl/>
        </w:rPr>
        <w:t xml:space="preserve"> 20</w:t>
      </w:r>
      <w:r w:rsidRPr="00A81964">
        <w:rPr>
          <w:rFonts w:eastAsia="Calibri" w:hint="cs"/>
          <w:b/>
          <w:bCs/>
          <w:rtl/>
        </w:rPr>
        <w:t xml:space="preserve">17 </w:t>
      </w:r>
      <w:r w:rsidRPr="00A81964">
        <w:rPr>
          <w:rFonts w:eastAsia="Calibri"/>
          <w:b/>
          <w:bCs/>
          <w:rtl/>
        </w:rPr>
        <w:t>-</w:t>
      </w:r>
      <w:r w:rsidRPr="00A81964">
        <w:rPr>
          <w:rFonts w:eastAsia="Calibri" w:hint="cs"/>
          <w:b/>
          <w:bCs/>
          <w:rtl/>
        </w:rPr>
        <w:t xml:space="preserve"> </w:t>
      </w:r>
      <w:r w:rsidRPr="00A81964">
        <w:rPr>
          <w:rFonts w:eastAsia="Calibri"/>
          <w:b/>
          <w:bCs/>
          <w:rtl/>
        </w:rPr>
        <w:t>20</w:t>
      </w:r>
      <w:r w:rsidRPr="00A81964">
        <w:rPr>
          <w:rFonts w:eastAsia="Calibri" w:hint="cs"/>
          <w:b/>
          <w:bCs/>
          <w:rtl/>
        </w:rPr>
        <w:t>20</w:t>
      </w:r>
      <w:r w:rsidRPr="00A81964">
        <w:rPr>
          <w:rFonts w:eastAsia="Calibri"/>
          <w:b/>
          <w:bCs/>
          <w:rtl/>
        </w:rPr>
        <w:t xml:space="preserve"> ובשנים 2022</w:t>
      </w:r>
      <w:r w:rsidRPr="00A81964">
        <w:rPr>
          <w:rFonts w:eastAsia="Calibri" w:hint="cs"/>
          <w:b/>
          <w:bCs/>
          <w:rtl/>
        </w:rPr>
        <w:t xml:space="preserve"> - ספטמבר 2023 </w:t>
      </w:r>
      <w:r w:rsidRPr="00A81964">
        <w:rPr>
          <w:rFonts w:eastAsia="Calibri"/>
          <w:b/>
          <w:bCs/>
          <w:rtl/>
        </w:rPr>
        <w:t xml:space="preserve">יתרת הקרן כמעט </w:t>
      </w:r>
      <w:r w:rsidRPr="00A81964">
        <w:rPr>
          <w:rFonts w:eastAsia="Calibri" w:hint="cs"/>
          <w:b/>
          <w:bCs/>
          <w:rtl/>
        </w:rPr>
        <w:t>ש</w:t>
      </w:r>
      <w:r w:rsidRPr="00A81964">
        <w:rPr>
          <w:rFonts w:eastAsia="Calibri"/>
          <w:b/>
          <w:bCs/>
          <w:rtl/>
        </w:rPr>
        <w:t>לא השתנתה</w:t>
      </w:r>
      <w:r w:rsidRPr="00A81964">
        <w:rPr>
          <w:rFonts w:eastAsia="Calibri" w:hint="cs"/>
          <w:b/>
          <w:bCs/>
          <w:rtl/>
        </w:rPr>
        <w:t>, מאחר ש</w:t>
      </w:r>
      <w:r w:rsidRPr="00A81964">
        <w:rPr>
          <w:rFonts w:eastAsia="Calibri"/>
          <w:b/>
          <w:bCs/>
          <w:rtl/>
        </w:rPr>
        <w:t xml:space="preserve">שיעור ההפרשה מהכנסות מס רכישה </w:t>
      </w:r>
      <w:r w:rsidRPr="00A81964">
        <w:rPr>
          <w:rFonts w:eastAsia="Calibri" w:hint="cs"/>
          <w:b/>
          <w:bCs/>
          <w:rtl/>
        </w:rPr>
        <w:t>עמד על</w:t>
      </w:r>
      <w:r w:rsidRPr="00A81964">
        <w:rPr>
          <w:rFonts w:eastAsia="Calibri"/>
          <w:b/>
          <w:bCs/>
          <w:rtl/>
        </w:rPr>
        <w:t xml:space="preserve"> 0%. יתרת הקרן לתום שנת 2024,</w:t>
      </w:r>
      <w:r w:rsidRPr="00A81964">
        <w:rPr>
          <w:rFonts w:eastAsia="Calibri" w:hint="cs"/>
          <w:b/>
          <w:bCs/>
          <w:rtl/>
        </w:rPr>
        <w:t xml:space="preserve"> לאחר ביצוע תשלומי פיצויים</w:t>
      </w:r>
      <w:r w:rsidRPr="00A81964">
        <w:rPr>
          <w:rFonts w:eastAsia="Calibri"/>
          <w:b/>
          <w:bCs/>
          <w:rtl/>
        </w:rPr>
        <w:t xml:space="preserve"> </w:t>
      </w:r>
      <w:r w:rsidRPr="00A81964">
        <w:rPr>
          <w:rFonts w:eastAsia="Calibri" w:hint="cs"/>
          <w:b/>
          <w:bCs/>
          <w:rtl/>
        </w:rPr>
        <w:t>ו</w:t>
      </w:r>
      <w:r w:rsidRPr="00A81964">
        <w:rPr>
          <w:rFonts w:eastAsia="Calibri"/>
          <w:b/>
          <w:bCs/>
          <w:rtl/>
        </w:rPr>
        <w:t>לאחר תיקון שיעור ההפרשה במרץ 2024, עמדה על כ</w:t>
      </w:r>
      <w:r w:rsidRPr="00A81964">
        <w:rPr>
          <w:rFonts w:eastAsia="Calibri" w:hint="cs"/>
          <w:b/>
          <w:bCs/>
          <w:rtl/>
        </w:rPr>
        <w:t>-</w:t>
      </w:r>
      <w:r w:rsidRPr="00A81964">
        <w:rPr>
          <w:rFonts w:eastAsia="Calibri"/>
          <w:b/>
          <w:bCs/>
          <w:rtl/>
        </w:rPr>
        <w:t>7.176 מיליארד ש"ח.</w:t>
      </w:r>
    </w:p>
    <w:p w:rsidR="006252C4" w:rsidRPr="00A81964" w:rsidRDefault="006252C4" w:rsidP="006252C4">
      <w:pPr>
        <w:spacing w:line="269" w:lineRule="auto"/>
        <w:rPr>
          <w:rtl/>
        </w:rPr>
      </w:pPr>
    </w:p>
    <w:p w:rsidR="006252C4" w:rsidRDefault="006252C4" w:rsidP="006252C4">
      <w:pPr>
        <w:bidi w:val="0"/>
        <w:spacing w:after="200" w:line="276" w:lineRule="auto"/>
        <w:rPr>
          <w:rFonts w:eastAsia="Times New Roman"/>
          <w:bCs/>
          <w:szCs w:val="28"/>
          <w:u w:val="single"/>
          <w:rtl/>
        </w:rPr>
      </w:pPr>
      <w:r>
        <w:rPr>
          <w:rFonts w:eastAsia="Times New Roman"/>
          <w:rtl/>
        </w:rPr>
        <w:br w:type="page"/>
      </w:r>
    </w:p>
    <w:p w:rsidR="006252C4" w:rsidRDefault="006252C4" w:rsidP="006252C4">
      <w:pPr>
        <w:pStyle w:val="31"/>
        <w:spacing w:before="0" w:line="269" w:lineRule="auto"/>
        <w:rPr>
          <w:rFonts w:eastAsia="Times New Roman"/>
          <w:rtl/>
        </w:rPr>
      </w:pPr>
      <w:r w:rsidRPr="00A81964">
        <w:rPr>
          <w:rFonts w:eastAsia="Times New Roman"/>
          <w:rtl/>
        </w:rPr>
        <w:lastRenderedPageBreak/>
        <w:t xml:space="preserve">עקרונות ניהול כספי הקרן והרישום </w:t>
      </w:r>
      <w:r w:rsidRPr="00A81964">
        <w:rPr>
          <w:rFonts w:eastAsia="Times New Roman" w:hint="cs"/>
          <w:rtl/>
        </w:rPr>
        <w:t>ה</w:t>
      </w:r>
      <w:r w:rsidRPr="00A81964">
        <w:rPr>
          <w:rFonts w:eastAsia="Times New Roman"/>
          <w:rtl/>
        </w:rPr>
        <w:t xml:space="preserve">חשבונאי </w:t>
      </w:r>
      <w:r w:rsidRPr="00A81964">
        <w:rPr>
          <w:rFonts w:eastAsia="Times New Roman" w:hint="cs"/>
          <w:rtl/>
        </w:rPr>
        <w:t>ב</w:t>
      </w:r>
      <w:r w:rsidRPr="00A81964">
        <w:rPr>
          <w:rFonts w:eastAsia="Times New Roman"/>
          <w:rtl/>
        </w:rPr>
        <w:t>קרנות הון</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 xml:space="preserve">קרן הפיצויים היא קרן ממשלתית </w:t>
      </w:r>
      <w:r w:rsidRPr="00A81964">
        <w:rPr>
          <w:rFonts w:hint="cs"/>
          <w:rtl/>
        </w:rPr>
        <w:t>שמנהל</w:t>
      </w:r>
      <w:r w:rsidRPr="00A81964">
        <w:rPr>
          <w:rtl/>
        </w:rPr>
        <w:t xml:space="preserve"> החשב הכללי </w:t>
      </w:r>
      <w:r w:rsidRPr="00A81964">
        <w:rPr>
          <w:rFonts w:hint="cs"/>
          <w:rtl/>
        </w:rPr>
        <w:t xml:space="preserve">(להלן גם - החשכ"ל) </w:t>
      </w:r>
      <w:r w:rsidRPr="00A81964">
        <w:rPr>
          <w:rtl/>
        </w:rPr>
        <w:t xml:space="preserve">במשרד האוצר. </w:t>
      </w:r>
      <w:r w:rsidRPr="00A81964">
        <w:rPr>
          <w:rFonts w:hint="cs"/>
          <w:rtl/>
        </w:rPr>
        <w:t>על פי</w:t>
      </w:r>
      <w:r w:rsidRPr="00A81964">
        <w:rPr>
          <w:rtl/>
        </w:rPr>
        <w:t xml:space="preserve"> הוראת התכ"ם</w:t>
      </w:r>
      <w:r w:rsidRPr="00A81964">
        <w:rPr>
          <w:vertAlign w:val="superscript"/>
          <w:rtl/>
        </w:rPr>
        <w:footnoteReference w:id="138"/>
      </w:r>
      <w:r w:rsidRPr="00A81964">
        <w:rPr>
          <w:rFonts w:hint="cs"/>
          <w:rtl/>
        </w:rPr>
        <w:t>,</w:t>
      </w:r>
      <w:r w:rsidRPr="00A81964">
        <w:rPr>
          <w:rtl/>
        </w:rPr>
        <w:t xml:space="preserve"> "קרנות ממשלתיות משמשות לניהול פעילות ייחודית במסגרת הישות הממשלתית, תוך יצירת הפרדה חשבונאית ותקציבית בין פעילות הקרן לבין הפעילות הרגילה של הישות הממשלתית".</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הוראת התכ"</w:t>
      </w:r>
      <w:r>
        <w:rPr>
          <w:rFonts w:hint="cs"/>
          <w:rtl/>
        </w:rPr>
        <w:t>ם</w:t>
      </w:r>
      <w:r w:rsidRPr="00A81964">
        <w:rPr>
          <w:rStyle w:val="af2"/>
          <w:rFonts w:ascii="David" w:eastAsia="Calibri" w:hAnsi="David"/>
          <w:rtl/>
        </w:rPr>
        <w:footnoteReference w:id="139"/>
      </w:r>
      <w:r w:rsidRPr="00A81964">
        <w:rPr>
          <w:rFonts w:hint="cs"/>
          <w:rtl/>
        </w:rPr>
        <w:t xml:space="preserve"> מגדירה</w:t>
      </w:r>
      <w:r w:rsidRPr="00A81964">
        <w:rPr>
          <w:rtl/>
        </w:rPr>
        <w:t xml:space="preserve"> </w:t>
      </w:r>
      <w:r w:rsidRPr="00A81964">
        <w:rPr>
          <w:rFonts w:hint="cs"/>
          <w:rtl/>
        </w:rPr>
        <w:t>שני</w:t>
      </w:r>
      <w:r w:rsidRPr="00A81964">
        <w:rPr>
          <w:rtl/>
        </w:rPr>
        <w:t xml:space="preserve"> סוגי קרנות</w:t>
      </w:r>
      <w:r w:rsidRPr="00A81964">
        <w:rPr>
          <w:rFonts w:hint="cs"/>
          <w:rtl/>
        </w:rPr>
        <w:t xml:space="preserve">. הקרן האחת היא </w:t>
      </w:r>
      <w:r w:rsidRPr="00A81964">
        <w:rPr>
          <w:rtl/>
        </w:rPr>
        <w:t>קרן תקציבית</w:t>
      </w:r>
      <w:r w:rsidRPr="00A81964">
        <w:rPr>
          <w:rFonts w:hint="cs"/>
          <w:rtl/>
        </w:rPr>
        <w:t xml:space="preserve"> </w:t>
      </w:r>
      <w:r w:rsidRPr="00A81964">
        <w:rPr>
          <w:rtl/>
        </w:rPr>
        <w:t>- קרן המנוהלת בספרי הישות הממשלתית בהתאם לקבוע בחוק יסודות התקציב</w:t>
      </w:r>
      <w:r w:rsidRPr="00A81964">
        <w:rPr>
          <w:vertAlign w:val="superscript"/>
          <w:rtl/>
        </w:rPr>
        <w:footnoteReference w:id="140"/>
      </w:r>
      <w:r w:rsidRPr="00A81964">
        <w:rPr>
          <w:rtl/>
        </w:rPr>
        <w:t>. הכנסותיה והוצאותיה הכספיות נרשמות כביצוע בתקציב המדינה בעת קבלת המזומן או הוצאת המזומן, לפי העניין</w:t>
      </w:r>
      <w:r w:rsidRPr="00A81964">
        <w:rPr>
          <w:vertAlign w:val="superscript"/>
          <w:rtl/>
        </w:rPr>
        <w:footnoteReference w:id="141"/>
      </w:r>
      <w:r w:rsidRPr="00A81964">
        <w:rPr>
          <w:rtl/>
        </w:rPr>
        <w:t>.</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 xml:space="preserve">הקרן האחרת היא </w:t>
      </w:r>
      <w:r w:rsidRPr="00A81964">
        <w:rPr>
          <w:rtl/>
        </w:rPr>
        <w:t xml:space="preserve">קרן חוץ תקציבית - קרן </w:t>
      </w:r>
      <w:r w:rsidRPr="00A81964">
        <w:rPr>
          <w:rFonts w:hint="cs"/>
          <w:rtl/>
        </w:rPr>
        <w:t>המנוהלת</w:t>
      </w:r>
      <w:r w:rsidRPr="00A81964">
        <w:rPr>
          <w:rtl/>
        </w:rPr>
        <w:t xml:space="preserve"> בספרי הישות הממשלתית, אשר הכנסותיה והוצאותיה הכספיות אינן נרשמות כביצוע בתקציב המדינה</w:t>
      </w:r>
      <w:r w:rsidRPr="00A81964">
        <w:rPr>
          <w:rFonts w:hint="cs"/>
          <w:rtl/>
        </w:rPr>
        <w:t>. קרן זו פועלת</w:t>
      </w:r>
      <w:r w:rsidRPr="00A81964">
        <w:rPr>
          <w:rtl/>
        </w:rPr>
        <w:t xml:space="preserve"> בהתאם לכללים </w:t>
      </w:r>
      <w:r w:rsidRPr="00A81964">
        <w:rPr>
          <w:rFonts w:hint="cs"/>
          <w:rtl/>
        </w:rPr>
        <w:t>האלה</w:t>
      </w:r>
      <w:r w:rsidRPr="00A81964">
        <w:rPr>
          <w:vertAlign w:val="superscript"/>
          <w:rtl/>
        </w:rPr>
        <w:footnoteReference w:id="142"/>
      </w:r>
      <w:r w:rsidRPr="00A81964">
        <w:rPr>
          <w:rtl/>
        </w:rPr>
        <w:t>:</w:t>
      </w:r>
    </w:p>
    <w:p w:rsidR="006252C4" w:rsidRDefault="006252C4" w:rsidP="006252C4">
      <w:pPr>
        <w:pStyle w:val="a8"/>
        <w:spacing w:line="269" w:lineRule="auto"/>
        <w:rPr>
          <w:rtl/>
        </w:rPr>
      </w:pPr>
    </w:p>
    <w:p w:rsidR="006252C4" w:rsidRPr="009A79BA" w:rsidRDefault="006252C4" w:rsidP="006252C4">
      <w:pPr>
        <w:pStyle w:val="af3"/>
        <w:numPr>
          <w:ilvl w:val="0"/>
          <w:numId w:val="48"/>
        </w:numPr>
        <w:spacing w:line="269" w:lineRule="auto"/>
        <w:jc w:val="left"/>
        <w:rPr>
          <w:rFonts w:ascii="David" w:eastAsia="Calibri" w:hAnsi="David"/>
          <w:rtl/>
        </w:rPr>
      </w:pPr>
      <w:r w:rsidRPr="009A79BA">
        <w:rPr>
          <w:rFonts w:ascii="David" w:eastAsia="Calibri" w:hAnsi="David"/>
          <w:rtl/>
        </w:rPr>
        <w:t>חשב המשרד ינהל את הכספים המיועדים לפעילות של הקרן החוץ תקציבית במסגרת פיקדון אצל החשב הכללי.</w:t>
      </w:r>
    </w:p>
    <w:p w:rsidR="006252C4" w:rsidRPr="009A79BA" w:rsidRDefault="006252C4" w:rsidP="006252C4">
      <w:pPr>
        <w:pStyle w:val="af3"/>
        <w:numPr>
          <w:ilvl w:val="0"/>
          <w:numId w:val="48"/>
        </w:numPr>
        <w:spacing w:line="269" w:lineRule="auto"/>
        <w:jc w:val="left"/>
        <w:rPr>
          <w:rFonts w:ascii="David" w:eastAsia="Calibri" w:hAnsi="David"/>
        </w:rPr>
      </w:pPr>
      <w:r w:rsidRPr="009A79BA">
        <w:rPr>
          <w:rFonts w:ascii="David" w:eastAsia="Calibri" w:hAnsi="David"/>
          <w:rtl/>
        </w:rPr>
        <w:t>הרישום התקציבי של הכנסות הקרן במזומן לא יתבצע במועד קבלת הכספים, אלא יידחה למועד השימוש בכספי הקרן.</w:t>
      </w:r>
    </w:p>
    <w:p w:rsidR="006252C4" w:rsidRPr="009A79BA" w:rsidRDefault="006252C4" w:rsidP="006252C4">
      <w:pPr>
        <w:pStyle w:val="af3"/>
        <w:numPr>
          <w:ilvl w:val="0"/>
          <w:numId w:val="48"/>
        </w:numPr>
        <w:spacing w:line="269" w:lineRule="auto"/>
        <w:jc w:val="left"/>
        <w:rPr>
          <w:rFonts w:ascii="David" w:eastAsia="Calibri" w:hAnsi="David"/>
        </w:rPr>
      </w:pPr>
      <w:r w:rsidRPr="009A79BA">
        <w:rPr>
          <w:rFonts w:ascii="David" w:eastAsia="Calibri" w:hAnsi="David"/>
          <w:rtl/>
        </w:rPr>
        <w:t>בעת גביית הכנסות הקרן יזוכה תקציב ההכנסות של המשרד הממשלתי.</w:t>
      </w:r>
    </w:p>
    <w:p w:rsidR="006252C4" w:rsidRPr="009A79BA" w:rsidRDefault="006252C4" w:rsidP="006252C4">
      <w:pPr>
        <w:pStyle w:val="af3"/>
        <w:numPr>
          <w:ilvl w:val="0"/>
          <w:numId w:val="48"/>
        </w:numPr>
        <w:spacing w:line="269" w:lineRule="auto"/>
        <w:jc w:val="left"/>
        <w:rPr>
          <w:rFonts w:ascii="David" w:eastAsia="Calibri" w:hAnsi="David"/>
        </w:rPr>
      </w:pPr>
      <w:r w:rsidRPr="009A79BA">
        <w:rPr>
          <w:rFonts w:ascii="David" w:eastAsia="Calibri" w:hAnsi="David"/>
          <w:rtl/>
        </w:rPr>
        <w:t>הפקדת הכספים בחשבון החשב הכללי תירשם כנגד חשבון "פיקדון בחשב הכללי", ובמקביל יחויב תקציב ההכנסות של המשרד הממשלתי.</w:t>
      </w:r>
    </w:p>
    <w:p w:rsidR="006252C4" w:rsidRPr="009A79BA" w:rsidRDefault="006252C4" w:rsidP="006252C4">
      <w:pPr>
        <w:pStyle w:val="af3"/>
        <w:numPr>
          <w:ilvl w:val="0"/>
          <w:numId w:val="48"/>
        </w:numPr>
        <w:spacing w:line="269" w:lineRule="auto"/>
        <w:jc w:val="left"/>
        <w:rPr>
          <w:rFonts w:ascii="David" w:eastAsia="Calibri" w:hAnsi="David"/>
        </w:rPr>
      </w:pPr>
      <w:r w:rsidRPr="009A79BA">
        <w:rPr>
          <w:rFonts w:ascii="David" w:eastAsia="Calibri" w:hAnsi="David"/>
          <w:rtl/>
        </w:rPr>
        <w:t>בעת קבלת ריבית מהחשב הכללי, בהתאם להסכם שייקבע עימו, יזוכה תקציב ההכנסות של המשרד בסכום הכנסות הריבית.</w:t>
      </w:r>
    </w:p>
    <w:p w:rsidR="006252C4" w:rsidRPr="009A79BA" w:rsidRDefault="006252C4" w:rsidP="006252C4">
      <w:pPr>
        <w:pStyle w:val="af3"/>
        <w:numPr>
          <w:ilvl w:val="0"/>
          <w:numId w:val="48"/>
        </w:numPr>
        <w:spacing w:line="269" w:lineRule="auto"/>
        <w:jc w:val="left"/>
        <w:rPr>
          <w:rFonts w:ascii="David" w:eastAsia="Calibri" w:hAnsi="David"/>
        </w:rPr>
      </w:pPr>
      <w:r w:rsidRPr="009A79BA">
        <w:rPr>
          <w:rFonts w:ascii="David" w:eastAsia="Calibri" w:hAnsi="David"/>
          <w:rtl/>
        </w:rPr>
        <w:t>בעת משיכת פיקדון לצורך מימון פעילות הקרן, יקטין חשב המשרד את חשבון "פיקדון בחשב הכללי" באמצעות זיכוי החשבון וכן יזכה את תקציב ההכנסות (מועד ההכרה בהכנסה התקציבית).</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rtl/>
        </w:rPr>
      </w:pPr>
      <w:r w:rsidRPr="00A81964">
        <w:rPr>
          <w:rFonts w:eastAsia="Calibri"/>
          <w:rtl/>
        </w:rPr>
        <w:t xml:space="preserve">החל </w:t>
      </w:r>
      <w:r w:rsidRPr="00A81964">
        <w:rPr>
          <w:rFonts w:eastAsia="Calibri" w:hint="cs"/>
          <w:rtl/>
        </w:rPr>
        <w:t>ב</w:t>
      </w:r>
      <w:r w:rsidRPr="00A81964">
        <w:rPr>
          <w:rFonts w:eastAsia="Calibri"/>
          <w:rtl/>
        </w:rPr>
        <w:t xml:space="preserve">יום </w:t>
      </w:r>
      <w:r w:rsidRPr="00A81964">
        <w:rPr>
          <w:rFonts w:eastAsia="Calibri" w:hint="cs"/>
          <w:rtl/>
        </w:rPr>
        <w:t xml:space="preserve">1.11.07 </w:t>
      </w:r>
      <w:r w:rsidRPr="00A81964">
        <w:rPr>
          <w:rFonts w:eastAsia="Calibri"/>
          <w:rtl/>
        </w:rPr>
        <w:t>נוהלה קרן הפיצויים כקרן הון חוץ תקציבית. עד למועד זה נוהלה הקרן במסגרת תקציב המדינה.</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rtl/>
        </w:rPr>
      </w:pPr>
      <w:r w:rsidRPr="00A81964">
        <w:rPr>
          <w:rFonts w:ascii="David" w:eastAsia="Calibri" w:hAnsi="David"/>
          <w:rtl/>
        </w:rPr>
        <w:t>תשלומים בגין הוצאות הקרן יירשמו כחיוב תקציב ההוצאות (תקציבי ההוצאות וההכנסות יימצאו, בדרך כלל, באותה ת</w:t>
      </w:r>
      <w:r w:rsidRPr="00A81964">
        <w:rPr>
          <w:rFonts w:ascii="David" w:eastAsia="Calibri" w:hAnsi="David" w:hint="cs"/>
          <w:rtl/>
        </w:rPr>
        <w:t>ו</w:t>
      </w:r>
      <w:r w:rsidRPr="00A81964">
        <w:rPr>
          <w:rFonts w:ascii="David" w:eastAsia="Calibri" w:hAnsi="David"/>
          <w:rtl/>
        </w:rPr>
        <w:t xml:space="preserve">כנית בחוק התקציב). </w:t>
      </w:r>
      <w:bookmarkEnd w:id="28"/>
      <w:r w:rsidRPr="00A81964">
        <w:rPr>
          <w:rFonts w:ascii="David" w:eastAsia="Calibri" w:hAnsi="David"/>
          <w:rtl/>
        </w:rPr>
        <w:t>הרישום של הקרן כקרן הון חוץ תקציבית מאפשר לממן את הוצאות</w:t>
      </w:r>
      <w:r w:rsidRPr="00A81964">
        <w:rPr>
          <w:rFonts w:ascii="David" w:eastAsia="Calibri" w:hAnsi="David" w:hint="cs"/>
          <w:rtl/>
        </w:rPr>
        <w:t>יה</w:t>
      </w:r>
      <w:r w:rsidRPr="00A81964">
        <w:rPr>
          <w:rFonts w:ascii="David" w:eastAsia="Calibri" w:hAnsi="David"/>
          <w:rtl/>
        </w:rPr>
        <w:t xml:space="preserve"> ללא </w:t>
      </w:r>
      <w:r w:rsidRPr="00A81964">
        <w:rPr>
          <w:rFonts w:ascii="David" w:eastAsia="Calibri" w:hAnsi="David" w:hint="cs"/>
          <w:rtl/>
        </w:rPr>
        <w:t>ה</w:t>
      </w:r>
      <w:r w:rsidRPr="00A81964">
        <w:rPr>
          <w:rFonts w:ascii="David" w:eastAsia="Calibri" w:hAnsi="David"/>
          <w:rtl/>
        </w:rPr>
        <w:t xml:space="preserve">צורך </w:t>
      </w:r>
      <w:r w:rsidRPr="00A81964">
        <w:rPr>
          <w:rFonts w:ascii="David" w:eastAsia="Calibri" w:hAnsi="David" w:hint="cs"/>
          <w:rtl/>
        </w:rPr>
        <w:t>למצוא</w:t>
      </w:r>
      <w:r w:rsidRPr="00A81964">
        <w:rPr>
          <w:rFonts w:ascii="David" w:eastAsia="Calibri" w:hAnsi="David"/>
          <w:rtl/>
        </w:rPr>
        <w:t xml:space="preserve"> מקור תקציבי בתקציב המדינה. זאת כיוון שההכנסה </w:t>
      </w:r>
      <w:r w:rsidRPr="00A81964">
        <w:rPr>
          <w:rFonts w:ascii="David" w:eastAsia="Calibri" w:hAnsi="David" w:hint="cs"/>
          <w:rtl/>
        </w:rPr>
        <w:t>אינה</w:t>
      </w:r>
      <w:r w:rsidRPr="00A81964">
        <w:rPr>
          <w:rFonts w:ascii="David" w:eastAsia="Calibri" w:hAnsi="David"/>
          <w:rtl/>
        </w:rPr>
        <w:t xml:space="preserve"> נרשמת במהלך השנים בתקציב המדינה</w:t>
      </w:r>
      <w:r>
        <w:rPr>
          <w:rFonts w:ascii="David" w:eastAsia="Calibri" w:hAnsi="David" w:hint="cs"/>
          <w:rtl/>
        </w:rPr>
        <w:t xml:space="preserve"> בעת קבלתה</w:t>
      </w:r>
      <w:r w:rsidRPr="00A81964">
        <w:rPr>
          <w:rFonts w:ascii="David" w:eastAsia="Calibri" w:hAnsi="David"/>
          <w:rtl/>
        </w:rPr>
        <w:t>, ובמועד ההוצאה נרשמ</w:t>
      </w:r>
      <w:r w:rsidRPr="00A81964">
        <w:rPr>
          <w:rFonts w:ascii="David" w:eastAsia="Calibri" w:hAnsi="David" w:hint="cs"/>
          <w:rtl/>
        </w:rPr>
        <w:t>ו</w:t>
      </w:r>
      <w:r w:rsidRPr="00A81964">
        <w:rPr>
          <w:rFonts w:ascii="David" w:eastAsia="Calibri" w:hAnsi="David"/>
          <w:rtl/>
        </w:rPr>
        <w:t xml:space="preserve">ת ההוצאה וההכנסה, כך שאין צורך בהעברת תקציב ייעודי. מנגנון זה מאפשר לאוצר לממן את פעילות הקרן </w:t>
      </w:r>
      <w:r w:rsidRPr="00A81964">
        <w:rPr>
          <w:rFonts w:ascii="David" w:eastAsia="Calibri" w:hAnsi="David" w:hint="cs"/>
          <w:rtl/>
        </w:rPr>
        <w:t>בלי</w:t>
      </w:r>
      <w:r w:rsidRPr="00A81964">
        <w:rPr>
          <w:rFonts w:ascii="David" w:eastAsia="Calibri" w:hAnsi="David"/>
          <w:rtl/>
        </w:rPr>
        <w:t xml:space="preserve"> </w:t>
      </w:r>
      <w:r w:rsidRPr="00A81964">
        <w:rPr>
          <w:rFonts w:ascii="David" w:eastAsia="Calibri" w:hAnsi="David" w:hint="cs"/>
          <w:rtl/>
        </w:rPr>
        <w:t>להגדיל את</w:t>
      </w:r>
      <w:r w:rsidRPr="00A81964">
        <w:rPr>
          <w:rFonts w:ascii="David" w:eastAsia="Calibri" w:hAnsi="David"/>
          <w:rtl/>
        </w:rPr>
        <w:t xml:space="preserve"> התקציב בשנת ההוצאה</w:t>
      </w:r>
      <w:r w:rsidRPr="00A81964">
        <w:rPr>
          <w:rFonts w:ascii="David" w:eastAsia="Calibri" w:hAnsi="David" w:hint="cs"/>
          <w:rtl/>
        </w:rPr>
        <w:t>,</w:t>
      </w:r>
      <w:r w:rsidRPr="00A81964">
        <w:rPr>
          <w:rFonts w:ascii="David" w:eastAsia="Calibri" w:hAnsi="David"/>
          <w:rtl/>
        </w:rPr>
        <w:t xml:space="preserve"> אלא </w:t>
      </w:r>
      <w:r w:rsidRPr="00A81964">
        <w:rPr>
          <w:rFonts w:ascii="David" w:eastAsia="Calibri" w:hAnsi="David" w:hint="cs"/>
          <w:rtl/>
        </w:rPr>
        <w:t xml:space="preserve">דרך </w:t>
      </w:r>
      <w:r w:rsidRPr="00A81964">
        <w:rPr>
          <w:rFonts w:ascii="David" w:eastAsia="Calibri" w:hAnsi="David"/>
          <w:rtl/>
        </w:rPr>
        <w:t>פריסת ההוצאה על פני שנים.</w:t>
      </w:r>
    </w:p>
    <w:p w:rsidR="006252C4" w:rsidRPr="00A81964" w:rsidRDefault="006252C4" w:rsidP="006252C4">
      <w:pPr>
        <w:pStyle w:val="31"/>
        <w:spacing w:before="0" w:line="269" w:lineRule="auto"/>
        <w:rPr>
          <w:rFonts w:eastAsia="Times New Roman"/>
          <w:rtl/>
        </w:rPr>
      </w:pPr>
      <w:r w:rsidRPr="00A81964">
        <w:rPr>
          <w:rFonts w:eastAsia="Times New Roman"/>
          <w:rtl/>
        </w:rPr>
        <w:lastRenderedPageBreak/>
        <w:t>פ</w:t>
      </w:r>
      <w:r w:rsidRPr="00A81964">
        <w:rPr>
          <w:rFonts w:eastAsia="Times New Roman" w:hint="cs"/>
          <w:rtl/>
        </w:rPr>
        <w:t>י</w:t>
      </w:r>
      <w:r w:rsidRPr="00A81964">
        <w:rPr>
          <w:rFonts w:eastAsia="Times New Roman"/>
          <w:rtl/>
        </w:rPr>
        <w:t>קדון י</w:t>
      </w:r>
      <w:r w:rsidRPr="00A81964">
        <w:rPr>
          <w:rFonts w:eastAsia="Times New Roman" w:hint="cs"/>
          <w:rtl/>
        </w:rPr>
        <w:t>י</w:t>
      </w:r>
      <w:r w:rsidRPr="00A81964">
        <w:rPr>
          <w:rFonts w:eastAsia="Times New Roman"/>
          <w:rtl/>
        </w:rPr>
        <w:t>עודי</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כאמור, קרן הפיצויים היא קרן רישומית</w:t>
      </w:r>
      <w:r w:rsidRPr="00A81964">
        <w:rPr>
          <w:rFonts w:hint="cs"/>
          <w:rtl/>
        </w:rPr>
        <w:t>,</w:t>
      </w:r>
      <w:r w:rsidRPr="00A81964">
        <w:rPr>
          <w:rtl/>
        </w:rPr>
        <w:t xml:space="preserve"> אשר הכספים הנצברים בה</w:t>
      </w:r>
      <w:r w:rsidRPr="00A81964">
        <w:rPr>
          <w:rFonts w:hint="cs"/>
          <w:rtl/>
        </w:rPr>
        <w:t xml:space="preserve"> אינם </w:t>
      </w:r>
      <w:r w:rsidRPr="00A81964">
        <w:rPr>
          <w:rtl/>
        </w:rPr>
        <w:t xml:space="preserve">מושקעים בנכסים מזוהים. רשות המיסים גובה את המיסים בהתאם לחוקי המס השונים ומעבירה </w:t>
      </w:r>
      <w:r w:rsidRPr="00A81964">
        <w:rPr>
          <w:rFonts w:hint="cs"/>
          <w:rtl/>
        </w:rPr>
        <w:t xml:space="preserve">את הכספים </w:t>
      </w:r>
      <w:r w:rsidRPr="00A81964">
        <w:rPr>
          <w:rtl/>
        </w:rPr>
        <w:t>לחשבון החשב הכללי</w:t>
      </w:r>
      <w:r w:rsidRPr="00A81964">
        <w:rPr>
          <w:rFonts w:hint="cs"/>
          <w:rtl/>
        </w:rPr>
        <w:t>. בין היתר, הרשות גובה מס רכישה ובהתאם</w:t>
      </w:r>
      <w:r w:rsidRPr="00A81964">
        <w:rPr>
          <w:rtl/>
        </w:rPr>
        <w:t xml:space="preserve"> </w:t>
      </w:r>
      <w:r w:rsidRPr="00A81964">
        <w:rPr>
          <w:rFonts w:hint="cs"/>
          <w:rtl/>
        </w:rPr>
        <w:t>ל</w:t>
      </w:r>
      <w:r w:rsidRPr="00A81964">
        <w:rPr>
          <w:rtl/>
        </w:rPr>
        <w:t>שיעורים שנקבעו בחוק מס רכוש ובתקנות מכוחו</w:t>
      </w:r>
      <w:r w:rsidRPr="00A81964">
        <w:rPr>
          <w:rFonts w:hint="cs"/>
          <w:rtl/>
        </w:rPr>
        <w:t xml:space="preserve"> נזקפות</w:t>
      </w:r>
      <w:r w:rsidRPr="00A81964">
        <w:rPr>
          <w:rtl/>
        </w:rPr>
        <w:t xml:space="preserve"> </w:t>
      </w:r>
      <w:r w:rsidRPr="00A81964">
        <w:rPr>
          <w:rFonts w:hint="cs"/>
          <w:rtl/>
        </w:rPr>
        <w:t xml:space="preserve">הכנסות לזכות קרן הפיצויים </w:t>
      </w:r>
      <w:r w:rsidRPr="00A81964">
        <w:rPr>
          <w:rtl/>
        </w:rPr>
        <w:t>מדי חודש</w:t>
      </w:r>
      <w:r w:rsidRPr="00A81964">
        <w:rPr>
          <w:rFonts w:hint="cs"/>
          <w:rtl/>
        </w:rPr>
        <w:t>.</w:t>
      </w:r>
      <w:r w:rsidRPr="00A81964">
        <w:rPr>
          <w:rtl/>
        </w:rPr>
        <w:t xml:space="preserve"> </w:t>
      </w:r>
      <w:r w:rsidRPr="00A81964">
        <w:rPr>
          <w:rFonts w:hint="cs"/>
          <w:rtl/>
        </w:rPr>
        <w:t>בעת</w:t>
      </w:r>
      <w:r w:rsidRPr="00A81964">
        <w:rPr>
          <w:rtl/>
        </w:rPr>
        <w:t xml:space="preserve"> </w:t>
      </w:r>
      <w:r w:rsidRPr="00A81964">
        <w:rPr>
          <w:rFonts w:hint="cs"/>
          <w:rtl/>
        </w:rPr>
        <w:t>תשלום</w:t>
      </w:r>
      <w:r w:rsidRPr="00A81964">
        <w:rPr>
          <w:rtl/>
        </w:rPr>
        <w:t xml:space="preserve"> פיצויים </w:t>
      </w:r>
      <w:r w:rsidRPr="00A81964">
        <w:rPr>
          <w:rFonts w:hint="cs"/>
          <w:rtl/>
        </w:rPr>
        <w:t>בהתאם ל</w:t>
      </w:r>
      <w:r w:rsidRPr="00A81964">
        <w:rPr>
          <w:rtl/>
        </w:rPr>
        <w:t>חוק מס רכוש נרשמות הוצאות בחשבון הקרן</w:t>
      </w:r>
      <w:r w:rsidRPr="00A81964">
        <w:rPr>
          <w:rFonts w:hint="cs"/>
          <w:rtl/>
        </w:rPr>
        <w:t>, המקטינות את יתרת הקרן</w:t>
      </w:r>
      <w:r w:rsidRPr="00A81964">
        <w:rPr>
          <w:rtl/>
        </w:rPr>
        <w:t xml:space="preserve">. כלומר, מדובר במהלך רישומי בלבד, ואין נכסים המזוהים עם הקרן. </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 xml:space="preserve">ניהול קרן הפיצויים כקרן רישומית מאפשר גמישות ניהולית ושימוש בכספים לצרכים נוספים, אך מחייב </w:t>
      </w:r>
      <w:r>
        <w:rPr>
          <w:rFonts w:hint="cs"/>
          <w:rtl/>
        </w:rPr>
        <w:t xml:space="preserve">מציאת מקור </w:t>
      </w:r>
      <w:r w:rsidRPr="00A81964">
        <w:rPr>
          <w:rtl/>
        </w:rPr>
        <w:t xml:space="preserve">מימון של </w:t>
      </w:r>
      <w:r w:rsidRPr="00A81964">
        <w:rPr>
          <w:rFonts w:hint="cs"/>
          <w:rtl/>
        </w:rPr>
        <w:t>ה</w:t>
      </w:r>
      <w:r w:rsidRPr="00A81964">
        <w:rPr>
          <w:rtl/>
        </w:rPr>
        <w:t xml:space="preserve">הוצאות בעת מימוש ייעוד הקרן באמצעות גיוס הון פנימי או חיצוני. הדבר עלול </w:t>
      </w:r>
      <w:r w:rsidRPr="00A81964">
        <w:rPr>
          <w:rFonts w:hint="cs"/>
          <w:rtl/>
        </w:rPr>
        <w:t>להביא</w:t>
      </w:r>
      <w:r w:rsidRPr="00A81964">
        <w:rPr>
          <w:rtl/>
        </w:rPr>
        <w:t xml:space="preserve"> לעלויות מימון גבוהות יותר </w:t>
      </w:r>
      <w:r w:rsidRPr="00A81964">
        <w:rPr>
          <w:rFonts w:hint="cs"/>
          <w:rtl/>
        </w:rPr>
        <w:t>אם עולה</w:t>
      </w:r>
      <w:r w:rsidRPr="00A81964">
        <w:rPr>
          <w:rtl/>
        </w:rPr>
        <w:t xml:space="preserve"> </w:t>
      </w:r>
      <w:r w:rsidRPr="00A81964">
        <w:rPr>
          <w:rFonts w:hint="cs"/>
          <w:rtl/>
        </w:rPr>
        <w:t>ה</w:t>
      </w:r>
      <w:r w:rsidRPr="00A81964">
        <w:rPr>
          <w:rtl/>
        </w:rPr>
        <w:t xml:space="preserve">צורך </w:t>
      </w:r>
      <w:r w:rsidRPr="00A81964">
        <w:rPr>
          <w:rFonts w:hint="cs"/>
          <w:rtl/>
        </w:rPr>
        <w:t>לגייס</w:t>
      </w:r>
      <w:r w:rsidRPr="00A81964">
        <w:rPr>
          <w:rtl/>
        </w:rPr>
        <w:t xml:space="preserve"> הון חיצוני בעת אירוע מלחמה.</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 xml:space="preserve">מנגד, שמירת </w:t>
      </w:r>
      <w:r w:rsidRPr="00A81964">
        <w:rPr>
          <w:rFonts w:hint="cs"/>
          <w:rtl/>
        </w:rPr>
        <w:t>ה</w:t>
      </w:r>
      <w:r w:rsidRPr="00A81964">
        <w:rPr>
          <w:rtl/>
        </w:rPr>
        <w:t xml:space="preserve">כספים בפיקדון ייעודי תגדיל </w:t>
      </w:r>
      <w:r w:rsidRPr="00A81964">
        <w:rPr>
          <w:rFonts w:hint="cs"/>
          <w:rtl/>
        </w:rPr>
        <w:t xml:space="preserve">את </w:t>
      </w:r>
      <w:r w:rsidRPr="00A81964">
        <w:rPr>
          <w:rtl/>
        </w:rPr>
        <w:t xml:space="preserve">גיוסי </w:t>
      </w:r>
      <w:r w:rsidRPr="00A81964">
        <w:rPr>
          <w:rFonts w:hint="cs"/>
          <w:rtl/>
        </w:rPr>
        <w:t>ה</w:t>
      </w:r>
      <w:r w:rsidRPr="00A81964">
        <w:rPr>
          <w:rtl/>
        </w:rPr>
        <w:t xml:space="preserve">הון </w:t>
      </w:r>
      <w:r w:rsidRPr="00A81964">
        <w:rPr>
          <w:rFonts w:hint="cs"/>
          <w:rtl/>
        </w:rPr>
        <w:t>ותביא ל</w:t>
      </w:r>
      <w:r w:rsidRPr="00A81964">
        <w:rPr>
          <w:rtl/>
        </w:rPr>
        <w:t xml:space="preserve">עלויות מימון נוספות לצורכי שימושים שוטפים של המדינה בשנים </w:t>
      </w:r>
      <w:r w:rsidRPr="00A81964">
        <w:rPr>
          <w:rFonts w:hint="cs"/>
          <w:rtl/>
        </w:rPr>
        <w:t>ש</w:t>
      </w:r>
      <w:r w:rsidRPr="00A81964">
        <w:rPr>
          <w:rtl/>
        </w:rPr>
        <w:t>בהן יתרת הקרן חיובית.</w:t>
      </w:r>
      <w:r w:rsidRPr="00A81964">
        <w:rPr>
          <w:rFonts w:hint="cs"/>
          <w:rtl/>
        </w:rPr>
        <w:t xml:space="preserve"> בהתאם, </w:t>
      </w:r>
      <w:r w:rsidRPr="00A81964">
        <w:rPr>
          <w:rtl/>
        </w:rPr>
        <w:t>לפי עמדת משרד האוצר</w:t>
      </w:r>
      <w:r w:rsidRPr="00A81964">
        <w:rPr>
          <w:rFonts w:hint="cs"/>
          <w:rtl/>
        </w:rPr>
        <w:t>,</w:t>
      </w:r>
      <w:r w:rsidRPr="00A81964">
        <w:rPr>
          <w:rtl/>
        </w:rPr>
        <w:t xml:space="preserve"> קיימת הצדקה כלכלית לפרקטיקה הנהוגה ולפיה נעשה שימוש בכספי</w:t>
      </w:r>
      <w:r w:rsidRPr="00A81964">
        <w:rPr>
          <w:rFonts w:hint="cs"/>
          <w:rtl/>
        </w:rPr>
        <w:t xml:space="preserve"> </w:t>
      </w:r>
      <w:r w:rsidRPr="00A81964">
        <w:rPr>
          <w:rtl/>
        </w:rPr>
        <w:t>קרנות אגב רישום התחייבות לטובתן לשם מימון הוצאות הממשלה. החזקה בכספים נזילים</w:t>
      </w:r>
      <w:r w:rsidRPr="00A81964">
        <w:rPr>
          <w:rFonts w:hint="cs"/>
          <w:rtl/>
        </w:rPr>
        <w:t xml:space="preserve"> </w:t>
      </w:r>
      <w:r w:rsidRPr="00A81964">
        <w:rPr>
          <w:rtl/>
        </w:rPr>
        <w:t xml:space="preserve">בקרנות, ובייחוד ללא השקעתם בשל רצון לשמור על נזילותם, אינה פעולה כלכלית ועלולה </w:t>
      </w:r>
      <w:r w:rsidRPr="00A81964">
        <w:rPr>
          <w:rFonts w:hint="cs"/>
          <w:rtl/>
        </w:rPr>
        <w:t>לפגוע בערך הריאלי של הנכסים</w:t>
      </w:r>
      <w:r w:rsidRPr="00A81964">
        <w:rPr>
          <w:rtl/>
        </w:rPr>
        <w:t xml:space="preserve">. כמו כן, </w:t>
      </w:r>
      <w:r w:rsidRPr="00A81964">
        <w:rPr>
          <w:rFonts w:hint="cs"/>
          <w:rtl/>
        </w:rPr>
        <w:t xml:space="preserve">לעמדת משרד האוצר, </w:t>
      </w:r>
      <w:r w:rsidRPr="00A81964">
        <w:rPr>
          <w:rtl/>
        </w:rPr>
        <w:t>בראייה משקית של ניהול הוצאות המדינה יש</w:t>
      </w:r>
      <w:r w:rsidRPr="00A81964">
        <w:rPr>
          <w:rFonts w:hint="cs"/>
          <w:rtl/>
        </w:rPr>
        <w:t>נו</w:t>
      </w:r>
      <w:r w:rsidRPr="00A81964">
        <w:rPr>
          <w:rtl/>
        </w:rPr>
        <w:t xml:space="preserve"> יתרון מובהק</w:t>
      </w:r>
      <w:r w:rsidRPr="00A81964">
        <w:rPr>
          <w:rFonts w:hint="cs"/>
          <w:rtl/>
        </w:rPr>
        <w:t xml:space="preserve"> </w:t>
      </w:r>
      <w:r w:rsidRPr="00A81964">
        <w:rPr>
          <w:rtl/>
        </w:rPr>
        <w:t xml:space="preserve">לשימוש בכספים לפיתוח תחומים שונים </w:t>
      </w:r>
      <w:r w:rsidRPr="00A81964">
        <w:rPr>
          <w:rFonts w:hint="cs"/>
          <w:rtl/>
        </w:rPr>
        <w:t>ש</w:t>
      </w:r>
      <w:r w:rsidRPr="00A81964">
        <w:rPr>
          <w:rtl/>
        </w:rPr>
        <w:t>בהם נדרש מימון מיידי, וזאת חלף גיוס חוב על ידי</w:t>
      </w:r>
      <w:r w:rsidRPr="00A81964">
        <w:rPr>
          <w:rFonts w:hint="cs"/>
          <w:rtl/>
        </w:rPr>
        <w:t xml:space="preserve"> </w:t>
      </w:r>
      <w:r w:rsidRPr="00A81964">
        <w:rPr>
          <w:rtl/>
        </w:rPr>
        <w:t>המדינה, הנושא עימו עלויות ריבית.</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בדוח מבקר המדינה בנושא הדוחות הכספיים של מדינת ישראל ל-31.12.23 - ניהול קרנות הון ממשלתיות</w:t>
      </w:r>
      <w:r w:rsidRPr="00A81964">
        <w:rPr>
          <w:vertAlign w:val="superscript"/>
          <w:rtl/>
        </w:rPr>
        <w:footnoteReference w:id="143"/>
      </w:r>
      <w:r w:rsidRPr="00A81964">
        <w:rPr>
          <w:rtl/>
        </w:rPr>
        <w:t xml:space="preserve"> (להלן - </w:t>
      </w:r>
      <w:r w:rsidRPr="00A81964">
        <w:rPr>
          <w:rFonts w:hint="cs"/>
          <w:rtl/>
        </w:rPr>
        <w:t xml:space="preserve">הדוח בנושא </w:t>
      </w:r>
      <w:r w:rsidRPr="00A81964">
        <w:rPr>
          <w:rtl/>
        </w:rPr>
        <w:t xml:space="preserve">ניהול קרנות הון) </w:t>
      </w:r>
      <w:r w:rsidRPr="00A81964">
        <w:rPr>
          <w:rFonts w:hint="cs"/>
          <w:rtl/>
        </w:rPr>
        <w:t xml:space="preserve">- </w:t>
      </w:r>
      <w:r w:rsidRPr="00A81964">
        <w:rPr>
          <w:rtl/>
        </w:rPr>
        <w:t>צוין כי "בשנים 2014 - 2023 מסתמנת מגמת ירידה בשיעור הוצאות הריבית ביחס לחוב הממשלתי. שיעור הוצאות הריבית הממוצע ביחס לחוב הממשלתי בעשור האחרון מוערך ב-4.6% ונע בין 5.4% ל-3.9%. שיעורי ריבית שנתיים אלה גבוהים יחסית לתשואות השנתיות הממוצעות המתקבלות בהשקעות שוטפות בגופים מוסדיים, בחברות ממשלתיות ובתאגידים סטטוטוריים, וכן יחסית להשקעות ארוכות טווח של רשויות מקומיות...</w:t>
      </w:r>
      <w:r w:rsidRPr="00A81964">
        <w:rPr>
          <w:rFonts w:hint="cs"/>
          <w:rtl/>
        </w:rPr>
        <w:t xml:space="preserve"> </w:t>
      </w:r>
      <w:r w:rsidRPr="00A81964">
        <w:rPr>
          <w:rtl/>
        </w:rPr>
        <w:t>יש בנתונים אלה כדי להוכיח כי יש הצדקה כלכלית לשימוש בכספי קרנות הון חלף גיוס חוב".</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לצד האמור נכתב</w:t>
      </w:r>
      <w:r w:rsidRPr="00A81964">
        <w:rPr>
          <w:rtl/>
        </w:rPr>
        <w:t xml:space="preserve"> כי "עם זאת, חלק מקרנות ההון נועדו למימוש במקרי חירום, ולכן ייתכן כי בעת מימושן תתרחש טלטלה בשווקים שתוביל לגיוס כספים בעלויות גבוהות. זאת ועוד, ייתכן מתאם בין מועדי המימוש של קרנות הון שונות, באופן שהצורך בהגדלת גיוסי ההון יגדל. לפיכך הכדאיות הכלכלית הטמונה בשימוש בכספי קרנות הון למימון הוצאות הממשלה השוטפות צריכה להיבחן בקפדנות</w:t>
      </w:r>
      <w:r>
        <w:rPr>
          <w:rFonts w:hint="cs"/>
          <w:rtl/>
        </w:rPr>
        <w:t xml:space="preserve"> </w:t>
      </w:r>
      <w:r w:rsidRPr="00A81964">
        <w:rPr>
          <w:rtl/>
        </w:rPr>
        <w:t>ולאורך זמן".</w:t>
      </w:r>
    </w:p>
    <w:p w:rsidR="006252C4" w:rsidRDefault="006252C4" w:rsidP="006252C4">
      <w:pPr>
        <w:pStyle w:val="a8"/>
        <w:spacing w:line="269" w:lineRule="auto"/>
        <w:rPr>
          <w:rtl/>
        </w:rPr>
      </w:pPr>
    </w:p>
    <w:p w:rsidR="006252C4" w:rsidRDefault="006252C4" w:rsidP="006252C4">
      <w:pPr>
        <w:spacing w:line="269" w:lineRule="auto"/>
        <w:rPr>
          <w:rtl/>
        </w:rPr>
      </w:pPr>
      <w:bookmarkStart w:id="32" w:name="_Hlk178092208"/>
      <w:r w:rsidRPr="00A81964">
        <w:rPr>
          <w:rtl/>
        </w:rPr>
        <w:t>בדוח מבקר המדינה</w:t>
      </w:r>
      <w:r w:rsidRPr="00A81964">
        <w:rPr>
          <w:vertAlign w:val="superscript"/>
          <w:rtl/>
        </w:rPr>
        <w:footnoteReference w:id="144"/>
      </w:r>
      <w:r w:rsidRPr="00A81964">
        <w:rPr>
          <w:rtl/>
        </w:rPr>
        <w:t xml:space="preserve"> משנת 200</w:t>
      </w:r>
      <w:r w:rsidRPr="00A81964">
        <w:rPr>
          <w:rFonts w:hint="cs"/>
          <w:rtl/>
        </w:rPr>
        <w:t>8</w:t>
      </w:r>
      <w:r w:rsidRPr="00A81964">
        <w:rPr>
          <w:rtl/>
        </w:rPr>
        <w:t xml:space="preserve"> בנושא ניהול כספי קרנות ופיקדונות צוין כי החשבונאי הראשי המליץ</w:t>
      </w:r>
      <w:r w:rsidRPr="00A81964">
        <w:rPr>
          <w:rFonts w:hint="cs"/>
          <w:rtl/>
        </w:rPr>
        <w:t xml:space="preserve"> לחשכ"ל </w:t>
      </w:r>
      <w:r w:rsidRPr="00A81964">
        <w:rPr>
          <w:rtl/>
        </w:rPr>
        <w:t>לקבל חוות דעת משפטית בשאלה</w:t>
      </w:r>
      <w:r w:rsidRPr="00A81964">
        <w:rPr>
          <w:rFonts w:hint="cs"/>
          <w:rtl/>
        </w:rPr>
        <w:t>,</w:t>
      </w:r>
      <w:r w:rsidRPr="00A81964">
        <w:rPr>
          <w:rtl/>
        </w:rPr>
        <w:t xml:space="preserve"> אם החוק מגביל את השימוש השוטף בתקבולי המס שהם </w:t>
      </w:r>
      <w:r w:rsidRPr="00A81964">
        <w:rPr>
          <w:rtl/>
        </w:rPr>
        <w:lastRenderedPageBreak/>
        <w:t>המקורות הכספיים של הקרן</w:t>
      </w:r>
      <w:r w:rsidRPr="00A81964">
        <w:rPr>
          <w:rFonts w:hint="cs"/>
          <w:rtl/>
        </w:rPr>
        <w:t xml:space="preserve">. </w:t>
      </w:r>
      <w:r w:rsidRPr="00A81964">
        <w:rPr>
          <w:rtl/>
        </w:rPr>
        <w:t>נוסף</w:t>
      </w:r>
      <w:r>
        <w:rPr>
          <w:rFonts w:hint="cs"/>
          <w:rtl/>
        </w:rPr>
        <w:t xml:space="preserve"> על כך</w:t>
      </w:r>
      <w:r w:rsidRPr="00A81964">
        <w:rPr>
          <w:rtl/>
        </w:rPr>
        <w:t xml:space="preserve"> צוינה תשובתה של היועמ"ש</w:t>
      </w:r>
      <w:r>
        <w:rPr>
          <w:rFonts w:hint="cs"/>
          <w:rtl/>
        </w:rPr>
        <w:t>ית</w:t>
      </w:r>
      <w:r w:rsidRPr="00A81964">
        <w:rPr>
          <w:rtl/>
        </w:rPr>
        <w:t xml:space="preserve"> של משרד האוצר דאז אשר מסרה כי</w:t>
      </w:r>
      <w:bookmarkStart w:id="33" w:name="_Hlk181179458"/>
      <w:bookmarkEnd w:id="32"/>
      <w:r w:rsidRPr="00A81964">
        <w:rPr>
          <w:rtl/>
        </w:rPr>
        <w:t xml:space="preserve"> בדיון אצל החשכ"ל בינואר 2007 הובהרה עמדתה המשפטית</w:t>
      </w:r>
      <w:r w:rsidRPr="00A81964">
        <w:rPr>
          <w:rFonts w:hint="cs"/>
          <w:rtl/>
        </w:rPr>
        <w:t xml:space="preserve">. עוד הוסיפה כי </w:t>
      </w:r>
      <w:r w:rsidRPr="00A81964">
        <w:rPr>
          <w:rtl/>
        </w:rPr>
        <w:t>מאחר שהנושא עלה מחדש ‏והתקיימו דיונים בעניין, היא כתבה מזכר לחשבונאי הראשי, ובו חזרה על עיקרי ‏חוות דעתה המשפטית, ולפיה הקרן היא ייעודית, ולכן מותר להשתמש בה רק ‏כדי לשלם פיצויים כחוק. ‏</w:t>
      </w:r>
      <w:r w:rsidRPr="00A81964">
        <w:rPr>
          <w:rFonts w:hint="cs"/>
          <w:rtl/>
        </w:rPr>
        <w:t>כן</w:t>
      </w:r>
      <w:r w:rsidRPr="00A81964">
        <w:rPr>
          <w:rtl/>
        </w:rPr>
        <w:t xml:space="preserve"> צוין כי בסוף אוקטובר 2007 התקיים דיון </w:t>
      </w:r>
      <w:r w:rsidRPr="00A81964">
        <w:rPr>
          <w:rFonts w:hint="cs"/>
          <w:rtl/>
        </w:rPr>
        <w:t>אצל</w:t>
      </w:r>
      <w:r w:rsidRPr="00A81964">
        <w:rPr>
          <w:rtl/>
        </w:rPr>
        <w:t xml:space="preserve"> </w:t>
      </w:r>
      <w:r w:rsidRPr="00A81964">
        <w:rPr>
          <w:rFonts w:hint="cs"/>
          <w:rtl/>
        </w:rPr>
        <w:t>ה</w:t>
      </w:r>
      <w:r w:rsidRPr="00A81964">
        <w:rPr>
          <w:rtl/>
        </w:rPr>
        <w:t>חשכ"ל והתקבלו ההחלטות ה</w:t>
      </w:r>
      <w:r>
        <w:rPr>
          <w:rFonts w:hint="cs"/>
          <w:rtl/>
        </w:rPr>
        <w:t>אלה</w:t>
      </w:r>
      <w:r w:rsidRPr="00A81964">
        <w:rPr>
          <w:rtl/>
        </w:rPr>
        <w:t xml:space="preserve">: </w:t>
      </w:r>
    </w:p>
    <w:p w:rsidR="006252C4" w:rsidRPr="00A81964" w:rsidRDefault="006252C4" w:rsidP="006252C4">
      <w:pPr>
        <w:spacing w:line="269" w:lineRule="auto"/>
        <w:rPr>
          <w:rtl/>
        </w:rPr>
      </w:pPr>
    </w:p>
    <w:p w:rsidR="006252C4" w:rsidRPr="00542A17" w:rsidRDefault="006252C4" w:rsidP="006252C4">
      <w:pPr>
        <w:pStyle w:val="af3"/>
        <w:numPr>
          <w:ilvl w:val="0"/>
          <w:numId w:val="47"/>
        </w:numPr>
        <w:spacing w:line="269" w:lineRule="auto"/>
        <w:jc w:val="left"/>
        <w:rPr>
          <w:rFonts w:ascii="David" w:eastAsia="Calibri" w:hAnsi="David"/>
          <w:rtl/>
        </w:rPr>
      </w:pPr>
      <w:r w:rsidRPr="00542A17">
        <w:rPr>
          <w:rFonts w:ascii="David" w:eastAsia="Calibri" w:hAnsi="David"/>
          <w:rtl/>
        </w:rPr>
        <w:t>הקרן תנוהל כקרן הון חוץ תקציבית.</w:t>
      </w:r>
    </w:p>
    <w:p w:rsidR="006252C4" w:rsidRPr="00542A17" w:rsidRDefault="006252C4" w:rsidP="006252C4">
      <w:pPr>
        <w:pStyle w:val="af3"/>
        <w:numPr>
          <w:ilvl w:val="0"/>
          <w:numId w:val="47"/>
        </w:numPr>
        <w:spacing w:line="269" w:lineRule="auto"/>
        <w:jc w:val="left"/>
        <w:rPr>
          <w:rFonts w:ascii="David" w:eastAsia="Calibri" w:hAnsi="David"/>
        </w:rPr>
      </w:pPr>
      <w:r w:rsidRPr="00542A17">
        <w:rPr>
          <w:rFonts w:ascii="David" w:eastAsia="Calibri" w:hAnsi="David"/>
          <w:rtl/>
        </w:rPr>
        <w:t>רווחים שיתקבלו על הכנסות הקרן יירשמו גם הם בקרן.</w:t>
      </w:r>
    </w:p>
    <w:p w:rsidR="006252C4" w:rsidRDefault="006252C4" w:rsidP="006252C4">
      <w:pPr>
        <w:pStyle w:val="af3"/>
        <w:numPr>
          <w:ilvl w:val="0"/>
          <w:numId w:val="47"/>
        </w:numPr>
        <w:spacing w:line="269" w:lineRule="auto"/>
        <w:jc w:val="left"/>
        <w:rPr>
          <w:rFonts w:ascii="David" w:eastAsia="Calibri" w:hAnsi="David"/>
        </w:rPr>
      </w:pPr>
      <w:r w:rsidRPr="00542A17">
        <w:rPr>
          <w:rFonts w:ascii="David" w:eastAsia="Calibri" w:hAnsi="David"/>
          <w:rtl/>
        </w:rPr>
        <w:t>אין צורך להפקיד את כספי הקרן בחשבון בנק ייעודי, והשיעור של יתרת המזומנים הזמינה למימון מיידי ייקבע במדיניות המימון הממשלתית, על פי החלטת יחידת החוב הממשלתית בחשכ"ל.</w:t>
      </w:r>
    </w:p>
    <w:p w:rsidR="006252C4" w:rsidRPr="00542A17" w:rsidRDefault="006252C4" w:rsidP="006252C4">
      <w:pPr>
        <w:pStyle w:val="af3"/>
        <w:spacing w:line="269" w:lineRule="auto"/>
        <w:ind w:left="340"/>
        <w:jc w:val="left"/>
        <w:rPr>
          <w:rFonts w:ascii="David" w:eastAsia="Calibri" w:hAnsi="David"/>
        </w:rPr>
      </w:pPr>
    </w:p>
    <w:bookmarkEnd w:id="33"/>
    <w:p w:rsidR="006252C4" w:rsidRPr="00A81964" w:rsidRDefault="006252C4" w:rsidP="006252C4">
      <w:pPr>
        <w:spacing w:line="269" w:lineRule="auto"/>
        <w:rPr>
          <w:rFonts w:eastAsia="Calibri"/>
          <w:rtl/>
        </w:rPr>
      </w:pPr>
      <w:r w:rsidRPr="00A81964">
        <w:rPr>
          <w:rFonts w:eastAsia="Calibri"/>
          <w:rtl/>
        </w:rPr>
        <w:t>בדוח מבקר המדינה</w:t>
      </w:r>
      <w:r w:rsidRPr="00A81964">
        <w:rPr>
          <w:rFonts w:eastAsia="Calibri"/>
          <w:vertAlign w:val="superscript"/>
          <w:rtl/>
        </w:rPr>
        <w:footnoteReference w:id="145"/>
      </w:r>
      <w:r w:rsidRPr="00A81964">
        <w:rPr>
          <w:rFonts w:eastAsia="Calibri"/>
          <w:rtl/>
        </w:rPr>
        <w:t xml:space="preserve"> משנת 2012 בנושא היערכות הממשלה לביטוח רכוש ותשתיות מפני אסונות </w:t>
      </w:r>
      <w:r w:rsidRPr="00A81964">
        <w:rPr>
          <w:rFonts w:eastAsia="Calibri" w:hint="cs"/>
          <w:rtl/>
        </w:rPr>
        <w:t>הוער</w:t>
      </w:r>
      <w:r w:rsidRPr="00A81964">
        <w:rPr>
          <w:rFonts w:eastAsia="Calibri"/>
          <w:rtl/>
        </w:rPr>
        <w:t xml:space="preserve"> כי "ניהול כספי קרן הפיצויים ללא ייחוסם לנכסים מזוהים אינו מותיר בידי המדינה מקור מימון מזוהה שיכול לשמש למימון פיצויים בגין נזקים הצפויים במלחמה כוללת על פי החוק". משרד מבקר המדינה המליץ למשרד האוצר "לפעול למציאת כלים מתאימים על מנת להבטיח מקורות מימון מזוהים לתשלום פיצויים כמתחייב מהחוק".</w:t>
      </w:r>
    </w:p>
    <w:p w:rsidR="006252C4" w:rsidRDefault="006252C4" w:rsidP="006252C4">
      <w:pPr>
        <w:pStyle w:val="a8"/>
        <w:spacing w:line="269" w:lineRule="auto"/>
        <w:rPr>
          <w:rtl/>
        </w:rPr>
      </w:pPr>
    </w:p>
    <w:p w:rsidR="006252C4" w:rsidRPr="00A81964" w:rsidRDefault="006252C4" w:rsidP="006252C4">
      <w:pPr>
        <w:spacing w:line="269" w:lineRule="auto"/>
        <w:rPr>
          <w:rFonts w:eastAsia="Calibri"/>
          <w:rtl/>
        </w:rPr>
      </w:pPr>
      <w:r w:rsidRPr="00A81964">
        <w:rPr>
          <w:rFonts w:eastAsia="Calibri"/>
          <w:rtl/>
        </w:rPr>
        <w:t>בדוח בנושא ניהול קרנות הון</w:t>
      </w:r>
      <w:r w:rsidRPr="00A81964">
        <w:rPr>
          <w:rStyle w:val="af2"/>
          <w:rFonts w:ascii="David" w:eastAsia="Calibri" w:hAnsi="David"/>
          <w:rtl/>
        </w:rPr>
        <w:footnoteReference w:id="146"/>
      </w:r>
      <w:r w:rsidRPr="00A81964">
        <w:rPr>
          <w:rFonts w:eastAsia="Calibri"/>
          <w:rtl/>
        </w:rPr>
        <w:t xml:space="preserve"> </w:t>
      </w:r>
      <w:r>
        <w:rPr>
          <w:rFonts w:eastAsia="Calibri" w:hint="cs"/>
          <w:rtl/>
        </w:rPr>
        <w:t>צוין</w:t>
      </w:r>
      <w:r w:rsidRPr="00A81964">
        <w:rPr>
          <w:rFonts w:eastAsia="Calibri"/>
          <w:rtl/>
        </w:rPr>
        <w:t xml:space="preserve"> כי "אין בסיס לפרקטיקה הנהוגה באגף החשכ"ל, לפיה אין חובה לשמור על כספי הקרנות ונעשה בהם שימוש אגב רישום התחייבויות לטובתן, אף שייתכן כי יש הצדקה כלכלית לכך".</w:t>
      </w:r>
    </w:p>
    <w:p w:rsidR="006252C4" w:rsidRDefault="006252C4" w:rsidP="006252C4">
      <w:pPr>
        <w:pStyle w:val="a8"/>
        <w:spacing w:line="269" w:lineRule="auto"/>
        <w:rPr>
          <w:rtl/>
        </w:rPr>
      </w:pPr>
    </w:p>
    <w:p w:rsidR="006252C4" w:rsidRDefault="006252C4" w:rsidP="006252C4">
      <w:pPr>
        <w:spacing w:line="269" w:lineRule="auto"/>
        <w:rPr>
          <w:rFonts w:eastAsia="Calibri"/>
          <w:b/>
          <w:bCs/>
          <w:rtl/>
        </w:rPr>
      </w:pPr>
      <w:r w:rsidRPr="00A81964">
        <w:rPr>
          <w:rFonts w:eastAsia="Calibri"/>
          <w:b/>
          <w:bCs/>
          <w:rtl/>
        </w:rPr>
        <w:t>מכלל האמור</w:t>
      </w:r>
      <w:r w:rsidRPr="00A81964">
        <w:rPr>
          <w:rFonts w:eastAsia="Calibri" w:hint="cs"/>
          <w:b/>
          <w:bCs/>
          <w:rtl/>
        </w:rPr>
        <w:t xml:space="preserve">, ובין היתר </w:t>
      </w:r>
      <w:r>
        <w:rPr>
          <w:rFonts w:eastAsia="Calibri" w:hint="cs"/>
          <w:b/>
          <w:bCs/>
          <w:rtl/>
        </w:rPr>
        <w:t>מ</w:t>
      </w:r>
      <w:r w:rsidRPr="00A81964">
        <w:rPr>
          <w:rFonts w:eastAsia="Calibri" w:hint="cs"/>
          <w:b/>
          <w:bCs/>
          <w:rtl/>
        </w:rPr>
        <w:t>עמדת היועצת המשפטית של משרד האוצר דאז,</w:t>
      </w:r>
      <w:r>
        <w:rPr>
          <w:rFonts w:eastAsia="Calibri" w:hint="cs"/>
          <w:b/>
          <w:bCs/>
          <w:rtl/>
        </w:rPr>
        <w:t xml:space="preserve"> </w:t>
      </w:r>
      <w:r w:rsidRPr="00A81964">
        <w:rPr>
          <w:rFonts w:eastAsia="Calibri" w:hint="cs"/>
          <w:b/>
          <w:bCs/>
          <w:rtl/>
        </w:rPr>
        <w:t xml:space="preserve">עולה כי נדרש לבחון משפטית אם ניהול הקרן כקרן רישומית, </w:t>
      </w:r>
      <w:r w:rsidRPr="00A81964">
        <w:rPr>
          <w:rFonts w:eastAsia="Calibri"/>
          <w:b/>
          <w:bCs/>
          <w:rtl/>
        </w:rPr>
        <w:t xml:space="preserve">אשר הכספים הנצברים בה </w:t>
      </w:r>
      <w:r w:rsidRPr="00A81964">
        <w:rPr>
          <w:rFonts w:eastAsia="Calibri" w:hint="cs"/>
          <w:b/>
          <w:bCs/>
          <w:rtl/>
        </w:rPr>
        <w:t>אינם</w:t>
      </w:r>
      <w:r w:rsidRPr="00A81964">
        <w:rPr>
          <w:rFonts w:eastAsia="Calibri"/>
          <w:b/>
          <w:bCs/>
          <w:rtl/>
        </w:rPr>
        <w:t xml:space="preserve"> מושקעים בנכסים מזוהים,</w:t>
      </w:r>
      <w:r w:rsidRPr="00A81964">
        <w:rPr>
          <w:rFonts w:eastAsia="Calibri" w:hint="cs"/>
          <w:b/>
          <w:bCs/>
          <w:rtl/>
        </w:rPr>
        <w:t xml:space="preserve"> </w:t>
      </w:r>
      <w:r w:rsidRPr="00A81964">
        <w:rPr>
          <w:rFonts w:eastAsia="Calibri"/>
          <w:b/>
          <w:bCs/>
          <w:rtl/>
        </w:rPr>
        <w:t>ו</w:t>
      </w:r>
      <w:r w:rsidRPr="00A81964">
        <w:rPr>
          <w:rFonts w:eastAsia="Calibri" w:hint="cs"/>
          <w:b/>
          <w:bCs/>
          <w:rtl/>
        </w:rPr>
        <w:t xml:space="preserve">האם </w:t>
      </w:r>
      <w:r w:rsidRPr="00A81964">
        <w:rPr>
          <w:rFonts w:eastAsia="Calibri"/>
          <w:b/>
          <w:bCs/>
          <w:rtl/>
        </w:rPr>
        <w:t xml:space="preserve">השימוש </w:t>
      </w:r>
      <w:r w:rsidRPr="00A81964">
        <w:rPr>
          <w:rFonts w:eastAsia="Calibri" w:hint="cs"/>
          <w:b/>
          <w:bCs/>
          <w:rtl/>
        </w:rPr>
        <w:t>שנעשה</w:t>
      </w:r>
      <w:r w:rsidRPr="00A81964">
        <w:rPr>
          <w:rFonts w:eastAsia="Calibri"/>
          <w:b/>
          <w:bCs/>
          <w:rtl/>
        </w:rPr>
        <w:t xml:space="preserve"> בכספים אלו</w:t>
      </w:r>
      <w:r w:rsidRPr="00A81964">
        <w:rPr>
          <w:rFonts w:eastAsia="Calibri" w:hint="cs"/>
          <w:b/>
          <w:bCs/>
          <w:rtl/>
        </w:rPr>
        <w:t xml:space="preserve"> על ידי משרד האוצר,</w:t>
      </w:r>
      <w:r w:rsidRPr="00A81964">
        <w:rPr>
          <w:rFonts w:eastAsia="Calibri"/>
          <w:b/>
          <w:bCs/>
          <w:rtl/>
        </w:rPr>
        <w:t xml:space="preserve"> </w:t>
      </w:r>
      <w:r w:rsidRPr="00A81964">
        <w:rPr>
          <w:rFonts w:eastAsia="Calibri" w:hint="cs"/>
          <w:b/>
          <w:bCs/>
          <w:rtl/>
        </w:rPr>
        <w:t>עולה בקנה אחד עם הוראות סעיף 2א' לחוק מס רכוש וכל סעיפי המשנה שלו.</w:t>
      </w:r>
    </w:p>
    <w:p w:rsidR="006252C4" w:rsidRDefault="006252C4" w:rsidP="006252C4">
      <w:pPr>
        <w:pStyle w:val="a8"/>
        <w:spacing w:line="269" w:lineRule="auto"/>
        <w:rPr>
          <w:rtl/>
        </w:rPr>
      </w:pPr>
    </w:p>
    <w:p w:rsidR="006252C4" w:rsidRPr="00770B34" w:rsidRDefault="006252C4" w:rsidP="006252C4">
      <w:pPr>
        <w:spacing w:line="269" w:lineRule="auto"/>
      </w:pPr>
      <w:r>
        <w:rPr>
          <w:rFonts w:eastAsia="Calibri" w:hint="cs"/>
          <w:rtl/>
        </w:rPr>
        <w:t xml:space="preserve">אגף </w:t>
      </w:r>
      <w:r w:rsidRPr="006A2C48">
        <w:rPr>
          <w:rFonts w:eastAsia="Calibri" w:hint="cs"/>
          <w:rtl/>
        </w:rPr>
        <w:t xml:space="preserve">החשב הכללי במשרד האוצר </w:t>
      </w:r>
      <w:r>
        <w:rPr>
          <w:rFonts w:eastAsia="Calibri" w:hint="cs"/>
          <w:rtl/>
        </w:rPr>
        <w:t>מסר</w:t>
      </w:r>
      <w:r w:rsidRPr="006A2C48">
        <w:rPr>
          <w:rFonts w:eastAsia="Calibri" w:hint="cs"/>
          <w:rtl/>
        </w:rPr>
        <w:t xml:space="preserve"> בתשובתו </w:t>
      </w:r>
      <w:r>
        <w:rPr>
          <w:rFonts w:eastAsia="Calibri" w:hint="cs"/>
          <w:rtl/>
        </w:rPr>
        <w:t>מיום 1.9.25 (</w:t>
      </w:r>
      <w:r w:rsidRPr="006A2C48">
        <w:rPr>
          <w:rFonts w:eastAsia="Calibri" w:hint="cs"/>
          <w:rtl/>
        </w:rPr>
        <w:t xml:space="preserve">להלן </w:t>
      </w:r>
      <w:r>
        <w:rPr>
          <w:rFonts w:eastAsia="Calibri" w:hint="cs"/>
          <w:rtl/>
        </w:rPr>
        <w:t>-</w:t>
      </w:r>
      <w:r w:rsidRPr="006A2C48">
        <w:rPr>
          <w:rFonts w:eastAsia="Calibri" w:hint="cs"/>
          <w:rtl/>
        </w:rPr>
        <w:t xml:space="preserve"> תשובת החשכ"ל) </w:t>
      </w:r>
      <w:r>
        <w:rPr>
          <w:rFonts w:hint="cs"/>
          <w:rtl/>
        </w:rPr>
        <w:t>כי אין זה</w:t>
      </w:r>
      <w:r>
        <w:rPr>
          <w:rFonts w:hint="cs"/>
        </w:rPr>
        <w:t xml:space="preserve"> </w:t>
      </w:r>
      <w:r>
        <w:rPr>
          <w:rFonts w:hint="cs"/>
          <w:rtl/>
        </w:rPr>
        <w:t xml:space="preserve">נכון מהבחינה </w:t>
      </w:r>
      <w:r>
        <w:rPr>
          <w:rtl/>
        </w:rPr>
        <w:t>כלכלי</w:t>
      </w:r>
      <w:r>
        <w:rPr>
          <w:rFonts w:hint="cs"/>
          <w:rtl/>
        </w:rPr>
        <w:t>ת</w:t>
      </w:r>
      <w:r>
        <w:rPr>
          <w:rtl/>
        </w:rPr>
        <w:t xml:space="preserve"> </w:t>
      </w:r>
      <w:r>
        <w:rPr>
          <w:rFonts w:hint="cs"/>
          <w:rtl/>
        </w:rPr>
        <w:t>לצבוע</w:t>
      </w:r>
      <w:r>
        <w:rPr>
          <w:rtl/>
        </w:rPr>
        <w:t xml:space="preserve"> מימון למטרות</w:t>
      </w:r>
      <w:r>
        <w:rPr>
          <w:rFonts w:hint="cs"/>
          <w:rtl/>
        </w:rPr>
        <w:t xml:space="preserve"> </w:t>
      </w:r>
      <w:r>
        <w:rPr>
          <w:rtl/>
        </w:rPr>
        <w:t xml:space="preserve">ספציפיות. הדרך הנכונה לניהול תזרים המזומנים </w:t>
      </w:r>
      <w:r>
        <w:rPr>
          <w:rFonts w:hint="cs"/>
          <w:rtl/>
        </w:rPr>
        <w:t>היא</w:t>
      </w:r>
      <w:r>
        <w:rPr>
          <w:rtl/>
        </w:rPr>
        <w:t xml:space="preserve"> להחזיק מזומנים בהתאם לאומדנים</w:t>
      </w:r>
      <w:r>
        <w:rPr>
          <w:rFonts w:hint="cs"/>
          <w:rtl/>
        </w:rPr>
        <w:t xml:space="preserve"> </w:t>
      </w:r>
      <w:r>
        <w:rPr>
          <w:rtl/>
        </w:rPr>
        <w:t>של צ</w:t>
      </w:r>
      <w:r>
        <w:rPr>
          <w:rFonts w:hint="cs"/>
          <w:rtl/>
        </w:rPr>
        <w:t>ו</w:t>
      </w:r>
      <w:r>
        <w:rPr>
          <w:rtl/>
        </w:rPr>
        <w:t>רכי המימון לשגרה ולחירום, בהתחשב בעיתוי שהכספים צפויים לצאת ובקצב שבו הם</w:t>
      </w:r>
      <w:r>
        <w:rPr>
          <w:rFonts w:hint="cs"/>
          <w:rtl/>
        </w:rPr>
        <w:t xml:space="preserve"> </w:t>
      </w:r>
      <w:r>
        <w:rPr>
          <w:rtl/>
        </w:rPr>
        <w:t xml:space="preserve">אמורים </w:t>
      </w:r>
      <w:r>
        <w:rPr>
          <w:rFonts w:hint="cs"/>
          <w:rtl/>
        </w:rPr>
        <w:t>לצאת. בדומה לפרקטיקה המקובלת בעולם, לחשב הכללי יש מתודולוגיה המתייחסת לעיתות חירום, המאפשרת לו בין היתר, לתמוך במימוש כספי הקרן ובהתחייבויותיה של המדינה בעת מצב של טלטלה בשווקים.</w:t>
      </w:r>
    </w:p>
    <w:p w:rsidR="006252C4" w:rsidRDefault="006252C4" w:rsidP="006252C4">
      <w:pPr>
        <w:pStyle w:val="a8"/>
        <w:spacing w:line="269" w:lineRule="auto"/>
        <w:rPr>
          <w:rtl/>
        </w:rPr>
      </w:pPr>
    </w:p>
    <w:p w:rsidR="006252C4" w:rsidRPr="00A81964" w:rsidRDefault="006252C4" w:rsidP="006252C4">
      <w:pPr>
        <w:spacing w:line="269" w:lineRule="auto"/>
        <w:rPr>
          <w:rFonts w:eastAsia="Calibri"/>
          <w:b/>
          <w:bCs/>
          <w:rtl/>
        </w:rPr>
      </w:pPr>
      <w:r w:rsidRPr="00A81964">
        <w:rPr>
          <w:rFonts w:eastAsia="Calibri"/>
          <w:b/>
          <w:bCs/>
          <w:rtl/>
        </w:rPr>
        <w:t xml:space="preserve">משרד מבקר המדינה ממליץ למשרד האוצר </w:t>
      </w:r>
      <w:r w:rsidRPr="00A81964">
        <w:rPr>
          <w:rFonts w:eastAsia="Calibri" w:hint="cs"/>
          <w:b/>
          <w:bCs/>
          <w:rtl/>
        </w:rPr>
        <w:t xml:space="preserve">לבצע עבודת מטה </w:t>
      </w:r>
      <w:r w:rsidRPr="00A81964">
        <w:rPr>
          <w:rFonts w:eastAsia="Calibri" w:hint="eastAsia"/>
          <w:b/>
          <w:bCs/>
          <w:rtl/>
        </w:rPr>
        <w:t>א</w:t>
      </w:r>
      <w:r w:rsidRPr="00A81964">
        <w:rPr>
          <w:rFonts w:eastAsia="Calibri" w:hint="cs"/>
          <w:b/>
          <w:bCs/>
          <w:rtl/>
        </w:rPr>
        <w:t xml:space="preserve">שר תבחן את ההיבט המשפטי של ניהול הקרן כקרן רישומית והן את ההיבט הכלכלי, </w:t>
      </w:r>
      <w:r w:rsidRPr="00A81964">
        <w:rPr>
          <w:rFonts w:eastAsia="Calibri" w:hint="eastAsia"/>
          <w:b/>
          <w:bCs/>
          <w:rtl/>
        </w:rPr>
        <w:t>ובכלל</w:t>
      </w:r>
      <w:r w:rsidRPr="00A81964">
        <w:rPr>
          <w:rFonts w:eastAsia="Calibri"/>
          <w:b/>
          <w:bCs/>
          <w:rtl/>
        </w:rPr>
        <w:t xml:space="preserve"> זה </w:t>
      </w:r>
      <w:r w:rsidRPr="00A81964">
        <w:rPr>
          <w:rFonts w:eastAsia="Calibri" w:hint="eastAsia"/>
          <w:b/>
          <w:bCs/>
          <w:rtl/>
        </w:rPr>
        <w:t>את</w:t>
      </w:r>
      <w:r w:rsidRPr="00A81964">
        <w:rPr>
          <w:rFonts w:eastAsia="Calibri" w:hint="cs"/>
          <w:b/>
          <w:bCs/>
          <w:rtl/>
        </w:rPr>
        <w:t xml:space="preserve"> </w:t>
      </w:r>
      <w:r w:rsidRPr="00A81964">
        <w:rPr>
          <w:rFonts w:eastAsia="Calibri"/>
          <w:b/>
          <w:bCs/>
          <w:rtl/>
        </w:rPr>
        <w:t xml:space="preserve">השימוש בכספי קרן הפיצויים למימון הוצאות </w:t>
      </w:r>
      <w:r w:rsidRPr="00A81964">
        <w:rPr>
          <w:rFonts w:eastAsia="Calibri"/>
          <w:b/>
          <w:bCs/>
          <w:rtl/>
        </w:rPr>
        <w:lastRenderedPageBreak/>
        <w:t xml:space="preserve">הממשלה. </w:t>
      </w:r>
      <w:r w:rsidRPr="00A81964">
        <w:rPr>
          <w:rFonts w:eastAsia="Calibri" w:hint="cs"/>
          <w:b/>
          <w:bCs/>
          <w:rtl/>
        </w:rPr>
        <w:t xml:space="preserve">זאת בפרט נוכח </w:t>
      </w:r>
      <w:r w:rsidRPr="00A81964">
        <w:rPr>
          <w:rFonts w:eastAsia="Calibri"/>
          <w:b/>
          <w:bCs/>
          <w:rtl/>
        </w:rPr>
        <w:t xml:space="preserve">הסיכון בעליית עלויות גיוס החוב וסיכון מצב השוק </w:t>
      </w:r>
      <w:r w:rsidRPr="00A81964">
        <w:rPr>
          <w:rFonts w:eastAsia="Calibri" w:hint="cs"/>
          <w:b/>
          <w:bCs/>
          <w:rtl/>
        </w:rPr>
        <w:t>בעיתות</w:t>
      </w:r>
      <w:r w:rsidRPr="00A81964">
        <w:rPr>
          <w:rFonts w:eastAsia="Calibri"/>
          <w:b/>
          <w:bCs/>
          <w:rtl/>
        </w:rPr>
        <w:t xml:space="preserve"> מלחמה, </w:t>
      </w:r>
      <w:r w:rsidRPr="00A81964">
        <w:rPr>
          <w:rFonts w:eastAsia="Calibri" w:hint="eastAsia"/>
          <w:b/>
          <w:bCs/>
          <w:rtl/>
        </w:rPr>
        <w:t>ובהתאם</w:t>
      </w:r>
      <w:r w:rsidRPr="00A81964">
        <w:rPr>
          <w:rFonts w:eastAsia="Calibri"/>
          <w:b/>
          <w:bCs/>
          <w:rtl/>
        </w:rPr>
        <w:t xml:space="preserve"> </w:t>
      </w:r>
      <w:r w:rsidRPr="00A81964">
        <w:rPr>
          <w:rFonts w:eastAsia="Calibri" w:hint="eastAsia"/>
          <w:b/>
          <w:bCs/>
          <w:rtl/>
        </w:rPr>
        <w:t>לנהל</w:t>
      </w:r>
      <w:r w:rsidRPr="00A81964">
        <w:rPr>
          <w:rFonts w:eastAsia="Calibri"/>
          <w:b/>
          <w:bCs/>
          <w:rtl/>
        </w:rPr>
        <w:t xml:space="preserve"> </w:t>
      </w:r>
      <w:r w:rsidRPr="00A81964">
        <w:rPr>
          <w:rFonts w:eastAsia="Calibri" w:hint="eastAsia"/>
          <w:b/>
          <w:bCs/>
          <w:rtl/>
        </w:rPr>
        <w:t>את</w:t>
      </w:r>
      <w:r w:rsidRPr="00A81964">
        <w:rPr>
          <w:rFonts w:eastAsia="Calibri"/>
          <w:b/>
          <w:bCs/>
          <w:rtl/>
        </w:rPr>
        <w:t xml:space="preserve"> </w:t>
      </w:r>
      <w:r w:rsidRPr="00A81964">
        <w:rPr>
          <w:rFonts w:eastAsia="Calibri" w:hint="eastAsia"/>
          <w:b/>
          <w:bCs/>
          <w:rtl/>
        </w:rPr>
        <w:t>כספי</w:t>
      </w:r>
      <w:r w:rsidRPr="00A81964">
        <w:rPr>
          <w:rFonts w:eastAsia="Calibri"/>
          <w:b/>
          <w:bCs/>
          <w:rtl/>
        </w:rPr>
        <w:t xml:space="preserve"> </w:t>
      </w:r>
      <w:r w:rsidRPr="00A81964">
        <w:rPr>
          <w:rFonts w:eastAsia="Calibri" w:hint="eastAsia"/>
          <w:b/>
          <w:bCs/>
          <w:rtl/>
        </w:rPr>
        <w:t>הקרן</w:t>
      </w:r>
      <w:r w:rsidRPr="00A81964">
        <w:rPr>
          <w:rFonts w:eastAsia="Calibri"/>
          <w:b/>
          <w:bCs/>
          <w:rtl/>
        </w:rPr>
        <w:t>.</w:t>
      </w:r>
      <w:r>
        <w:rPr>
          <w:rFonts w:eastAsia="Calibri"/>
          <w:b/>
          <w:bCs/>
          <w:rtl/>
        </w:rPr>
        <w:t xml:space="preserve"> </w:t>
      </w:r>
    </w:p>
    <w:p w:rsidR="006252C4" w:rsidRPr="00A81964" w:rsidRDefault="006252C4" w:rsidP="006252C4">
      <w:pPr>
        <w:spacing w:line="269" w:lineRule="auto"/>
        <w:rPr>
          <w:rtl/>
        </w:rPr>
      </w:pPr>
    </w:p>
    <w:p w:rsidR="006252C4" w:rsidRPr="00A81964" w:rsidRDefault="006252C4" w:rsidP="006252C4">
      <w:pPr>
        <w:pStyle w:val="31"/>
        <w:spacing w:before="0" w:line="269" w:lineRule="auto"/>
        <w:rPr>
          <w:rFonts w:eastAsia="Times New Roman"/>
          <w:rtl/>
        </w:rPr>
      </w:pPr>
      <w:r w:rsidRPr="00A81964">
        <w:rPr>
          <w:rFonts w:eastAsia="Times New Roman"/>
          <w:rtl/>
        </w:rPr>
        <w:t>הצגת הקרן בתקציב המדינה</w:t>
      </w:r>
    </w:p>
    <w:p w:rsidR="006252C4" w:rsidRDefault="006252C4" w:rsidP="006252C4">
      <w:pPr>
        <w:pStyle w:val="a8"/>
        <w:spacing w:line="269" w:lineRule="auto"/>
        <w:rPr>
          <w:rtl/>
        </w:rPr>
      </w:pPr>
    </w:p>
    <w:p w:rsidR="006252C4" w:rsidRDefault="006252C4" w:rsidP="006252C4">
      <w:pPr>
        <w:spacing w:line="269" w:lineRule="auto"/>
        <w:rPr>
          <w:szCs w:val="20"/>
          <w:rtl/>
        </w:rPr>
      </w:pPr>
      <w:r w:rsidRPr="00A81964">
        <w:rPr>
          <w:rFonts w:ascii="David" w:eastAsia="Calibri" w:hAnsi="David"/>
          <w:rtl/>
        </w:rPr>
        <w:t>חוק יסוד: משק המדינה</w:t>
      </w:r>
      <w:r w:rsidRPr="00A81964">
        <w:rPr>
          <w:rStyle w:val="af2"/>
          <w:rFonts w:ascii="David" w:eastAsia="Calibri" w:hAnsi="David"/>
          <w:rtl/>
        </w:rPr>
        <w:footnoteReference w:id="147"/>
      </w:r>
      <w:r w:rsidRPr="00A81964">
        <w:rPr>
          <w:rFonts w:ascii="David" w:eastAsia="Calibri" w:hAnsi="David"/>
          <w:rtl/>
        </w:rPr>
        <w:t xml:space="preserve">, </w:t>
      </w:r>
      <w:r>
        <w:rPr>
          <w:rFonts w:ascii="David" w:eastAsia="Calibri" w:hAnsi="David" w:hint="cs"/>
          <w:rtl/>
        </w:rPr>
        <w:t>קובע כי</w:t>
      </w:r>
      <w:r w:rsidRPr="00A81964">
        <w:rPr>
          <w:rFonts w:ascii="David" w:eastAsia="Calibri" w:hAnsi="David"/>
          <w:rtl/>
        </w:rPr>
        <w:t xml:space="preserve"> תקציב המדינה </w:t>
      </w:r>
      <w:r>
        <w:rPr>
          <w:rFonts w:ascii="David" w:eastAsia="Calibri" w:hAnsi="David" w:hint="cs"/>
          <w:rtl/>
        </w:rPr>
        <w:t xml:space="preserve">ייקבע </w:t>
      </w:r>
      <w:r w:rsidRPr="00A81964">
        <w:rPr>
          <w:rFonts w:ascii="David" w:eastAsia="Calibri" w:hAnsi="David"/>
          <w:rtl/>
        </w:rPr>
        <w:t>בחוק</w:t>
      </w:r>
      <w:r w:rsidRPr="00A81964">
        <w:rPr>
          <w:rFonts w:ascii="David" w:eastAsia="Calibri" w:hAnsi="David" w:hint="cs"/>
          <w:rtl/>
        </w:rPr>
        <w:t>,</w:t>
      </w:r>
      <w:r w:rsidRPr="00A81964">
        <w:rPr>
          <w:rFonts w:ascii="David" w:eastAsia="Calibri" w:hAnsi="David"/>
          <w:rtl/>
        </w:rPr>
        <w:t xml:space="preserve"> </w:t>
      </w:r>
      <w:r>
        <w:rPr>
          <w:rFonts w:ascii="David" w:eastAsia="Calibri" w:hAnsi="David" w:hint="cs"/>
          <w:rtl/>
        </w:rPr>
        <w:t xml:space="preserve">יהיה לשנה אחת </w:t>
      </w:r>
      <w:r w:rsidRPr="00A81964">
        <w:rPr>
          <w:rFonts w:ascii="David" w:eastAsia="Calibri" w:hAnsi="David"/>
          <w:rtl/>
        </w:rPr>
        <w:t>ויכלול את הוצאות</w:t>
      </w:r>
      <w:r>
        <w:rPr>
          <w:rFonts w:ascii="David" w:eastAsia="Calibri" w:hAnsi="David" w:hint="cs"/>
          <w:rtl/>
        </w:rPr>
        <w:t xml:space="preserve"> הממשלה</w:t>
      </w:r>
      <w:r w:rsidRPr="00A81964">
        <w:rPr>
          <w:rFonts w:ascii="David" w:eastAsia="Calibri" w:hAnsi="David"/>
          <w:rtl/>
        </w:rPr>
        <w:t xml:space="preserve"> הצפויות והמתוכננות</w:t>
      </w:r>
      <w:r>
        <w:rPr>
          <w:rFonts w:ascii="David" w:eastAsia="Calibri" w:hAnsi="David" w:hint="cs"/>
          <w:rtl/>
        </w:rPr>
        <w:t>.</w:t>
      </w:r>
      <w:r w:rsidRPr="00A81964">
        <w:rPr>
          <w:rFonts w:ascii="David" w:eastAsia="Calibri" w:hAnsi="David"/>
          <w:rtl/>
        </w:rPr>
        <w:t xml:space="preserve"> </w:t>
      </w:r>
      <w:r w:rsidRPr="004D6067">
        <w:rPr>
          <w:rFonts w:ascii="David" w:eastAsia="Calibri" w:hAnsi="David" w:hint="eastAsia"/>
          <w:rtl/>
        </w:rPr>
        <w:t>הוראות</w:t>
      </w:r>
      <w:r w:rsidRPr="004D6067">
        <w:rPr>
          <w:rFonts w:ascii="David" w:eastAsia="Calibri" w:hAnsi="David"/>
          <w:rtl/>
        </w:rPr>
        <w:t xml:space="preserve"> </w:t>
      </w:r>
      <w:r w:rsidRPr="004D6067">
        <w:rPr>
          <w:rFonts w:ascii="David" w:eastAsia="Calibri" w:hAnsi="David" w:hint="eastAsia"/>
          <w:rtl/>
        </w:rPr>
        <w:t>נוספות</w:t>
      </w:r>
      <w:r w:rsidRPr="004D6067">
        <w:rPr>
          <w:rFonts w:ascii="David" w:eastAsia="Calibri" w:hAnsi="David"/>
          <w:rtl/>
        </w:rPr>
        <w:t xml:space="preserve"> </w:t>
      </w:r>
      <w:r w:rsidRPr="004D6067">
        <w:rPr>
          <w:rFonts w:ascii="David" w:eastAsia="Calibri" w:hAnsi="David" w:hint="eastAsia"/>
          <w:rtl/>
        </w:rPr>
        <w:t>בעניין</w:t>
      </w:r>
      <w:r w:rsidRPr="004D6067">
        <w:rPr>
          <w:rFonts w:ascii="David" w:eastAsia="Calibri" w:hAnsi="David"/>
          <w:rtl/>
        </w:rPr>
        <w:t xml:space="preserve"> </w:t>
      </w:r>
      <w:r w:rsidRPr="004D6067">
        <w:rPr>
          <w:rFonts w:ascii="David" w:eastAsia="Calibri" w:hAnsi="David" w:hint="eastAsia"/>
          <w:rtl/>
        </w:rPr>
        <w:t>מבנה</w:t>
      </w:r>
      <w:r w:rsidRPr="004D6067">
        <w:rPr>
          <w:rFonts w:ascii="David" w:eastAsia="Calibri" w:hAnsi="David"/>
          <w:rtl/>
        </w:rPr>
        <w:t xml:space="preserve"> </w:t>
      </w:r>
      <w:r w:rsidRPr="004D6067">
        <w:rPr>
          <w:rFonts w:ascii="David" w:eastAsia="Calibri" w:hAnsi="David" w:hint="eastAsia"/>
          <w:rtl/>
        </w:rPr>
        <w:t>חוק</w:t>
      </w:r>
      <w:r w:rsidRPr="004D6067">
        <w:rPr>
          <w:rFonts w:ascii="David" w:eastAsia="Calibri" w:hAnsi="David"/>
          <w:rtl/>
        </w:rPr>
        <w:t xml:space="preserve"> </w:t>
      </w:r>
      <w:r w:rsidRPr="004D6067">
        <w:rPr>
          <w:rFonts w:ascii="David" w:eastAsia="Calibri" w:hAnsi="David" w:hint="eastAsia"/>
          <w:rtl/>
        </w:rPr>
        <w:t>תקציב</w:t>
      </w:r>
      <w:r w:rsidRPr="004D6067">
        <w:rPr>
          <w:rFonts w:ascii="David" w:eastAsia="Calibri" w:hAnsi="David"/>
          <w:rtl/>
        </w:rPr>
        <w:t xml:space="preserve"> </w:t>
      </w:r>
      <w:r w:rsidRPr="004D6067">
        <w:rPr>
          <w:rFonts w:ascii="David" w:eastAsia="Calibri" w:hAnsi="David" w:hint="eastAsia"/>
          <w:rtl/>
        </w:rPr>
        <w:t>שנתי</w:t>
      </w:r>
      <w:r w:rsidRPr="004D6067">
        <w:rPr>
          <w:rFonts w:ascii="David" w:eastAsia="Calibri" w:hAnsi="David"/>
          <w:rtl/>
        </w:rPr>
        <w:t xml:space="preserve"> </w:t>
      </w:r>
      <w:r w:rsidRPr="004D6067">
        <w:rPr>
          <w:rFonts w:ascii="David" w:eastAsia="Calibri" w:hAnsi="David" w:hint="eastAsia"/>
          <w:rtl/>
        </w:rPr>
        <w:t>קבועות</w:t>
      </w:r>
      <w:r w:rsidRPr="004D6067">
        <w:rPr>
          <w:rFonts w:ascii="David" w:eastAsia="Calibri" w:hAnsi="David"/>
          <w:rtl/>
        </w:rPr>
        <w:t xml:space="preserve"> </w:t>
      </w:r>
      <w:r w:rsidRPr="004D6067">
        <w:rPr>
          <w:rFonts w:ascii="David" w:eastAsia="Calibri" w:hAnsi="David" w:hint="eastAsia"/>
          <w:rtl/>
        </w:rPr>
        <w:t>בחוק</w:t>
      </w:r>
      <w:r w:rsidRPr="004D6067">
        <w:rPr>
          <w:rFonts w:ascii="David" w:eastAsia="Calibri" w:hAnsi="David"/>
          <w:rtl/>
        </w:rPr>
        <w:t xml:space="preserve"> </w:t>
      </w:r>
      <w:r w:rsidRPr="004D6067">
        <w:rPr>
          <w:rFonts w:ascii="David" w:eastAsia="Calibri" w:hAnsi="David" w:hint="eastAsia"/>
          <w:rtl/>
        </w:rPr>
        <w:t>יסודות</w:t>
      </w:r>
      <w:r w:rsidRPr="004D6067">
        <w:rPr>
          <w:rFonts w:ascii="David" w:eastAsia="Calibri" w:hAnsi="David"/>
          <w:rtl/>
        </w:rPr>
        <w:t xml:space="preserve"> </w:t>
      </w:r>
      <w:r w:rsidRPr="004D6067">
        <w:rPr>
          <w:rFonts w:ascii="David" w:eastAsia="Calibri" w:hAnsi="David" w:hint="eastAsia"/>
          <w:rtl/>
        </w:rPr>
        <w:t>התקציב</w:t>
      </w:r>
      <w:r w:rsidRPr="004D6067">
        <w:rPr>
          <w:rFonts w:ascii="David" w:eastAsia="Calibri" w:hAnsi="David"/>
          <w:rtl/>
        </w:rPr>
        <w:t xml:space="preserve">, </w:t>
      </w:r>
      <w:r w:rsidRPr="004D6067">
        <w:rPr>
          <w:rFonts w:ascii="David" w:eastAsia="Calibri" w:hAnsi="David" w:hint="eastAsia"/>
          <w:rtl/>
        </w:rPr>
        <w:t>התשמ</w:t>
      </w:r>
      <w:r w:rsidRPr="004D6067">
        <w:rPr>
          <w:rFonts w:ascii="David" w:eastAsia="Calibri" w:hAnsi="David"/>
          <w:rtl/>
        </w:rPr>
        <w:t>"ה-1985.</w:t>
      </w:r>
    </w:p>
    <w:p w:rsidR="006252C4" w:rsidRDefault="006252C4" w:rsidP="006252C4">
      <w:pPr>
        <w:pStyle w:val="a8"/>
        <w:spacing w:line="269" w:lineRule="auto"/>
        <w:rPr>
          <w:rtl/>
        </w:rPr>
      </w:pPr>
    </w:p>
    <w:p w:rsidR="006252C4" w:rsidRPr="00A81964" w:rsidRDefault="006252C4" w:rsidP="006252C4">
      <w:pPr>
        <w:spacing w:line="269" w:lineRule="auto"/>
        <w:rPr>
          <w:rFonts w:ascii="David" w:hAnsi="David"/>
          <w:szCs w:val="20"/>
          <w:rtl/>
        </w:rPr>
      </w:pPr>
      <w:r w:rsidRPr="00A81964">
        <w:rPr>
          <w:rFonts w:ascii="David" w:hAnsi="David"/>
          <w:rtl/>
        </w:rPr>
        <w:t xml:space="preserve">הצעת חוק תקציב כוללת את מסמכי התקציב וכן סקירה </w:t>
      </w:r>
      <w:r w:rsidRPr="00A81964">
        <w:rPr>
          <w:rFonts w:ascii="David" w:hAnsi="David" w:hint="cs"/>
          <w:rtl/>
        </w:rPr>
        <w:t>ש</w:t>
      </w:r>
      <w:r w:rsidRPr="00A81964">
        <w:rPr>
          <w:rFonts w:ascii="David" w:hAnsi="David"/>
          <w:rtl/>
        </w:rPr>
        <w:t>ל המדיניות הכלכלית והתקציבית לשנת התקציב</w:t>
      </w:r>
      <w:r w:rsidRPr="00A81964">
        <w:rPr>
          <w:rFonts w:ascii="David" w:hAnsi="David"/>
          <w:vertAlign w:val="superscript"/>
          <w:rtl/>
        </w:rPr>
        <w:footnoteReference w:id="148"/>
      </w:r>
      <w:r w:rsidRPr="00A81964">
        <w:rPr>
          <w:rFonts w:ascii="David" w:hAnsi="David"/>
          <w:rtl/>
        </w:rPr>
        <w:t xml:space="preserve">, עיקרי </w:t>
      </w:r>
      <w:r w:rsidRPr="00A81964">
        <w:rPr>
          <w:rFonts w:ascii="David" w:hAnsi="David" w:hint="cs"/>
          <w:rtl/>
        </w:rPr>
        <w:t>ה</w:t>
      </w:r>
      <w:r w:rsidRPr="00A81964">
        <w:rPr>
          <w:rFonts w:ascii="David" w:hAnsi="David"/>
          <w:rtl/>
        </w:rPr>
        <w:t xml:space="preserve">התפתחויות </w:t>
      </w:r>
      <w:r w:rsidRPr="00A81964">
        <w:rPr>
          <w:rFonts w:ascii="David" w:hAnsi="David" w:hint="cs"/>
          <w:rtl/>
        </w:rPr>
        <w:t>ה</w:t>
      </w:r>
      <w:r w:rsidRPr="00A81964">
        <w:rPr>
          <w:rFonts w:ascii="David" w:hAnsi="David"/>
          <w:rtl/>
        </w:rPr>
        <w:t>מקרו</w:t>
      </w:r>
      <w:r w:rsidRPr="00A81964">
        <w:rPr>
          <w:rFonts w:ascii="David" w:hAnsi="David" w:hint="cs"/>
          <w:rtl/>
        </w:rPr>
        <w:t>-</w:t>
      </w:r>
      <w:r w:rsidRPr="00A81964">
        <w:rPr>
          <w:rFonts w:ascii="David" w:hAnsi="David"/>
          <w:rtl/>
        </w:rPr>
        <w:t xml:space="preserve">כלכליות, צפי לגירעון ומימונו </w:t>
      </w:r>
      <w:r w:rsidRPr="00A81964">
        <w:rPr>
          <w:rFonts w:ascii="David" w:hAnsi="David" w:hint="cs"/>
          <w:rtl/>
        </w:rPr>
        <w:t>ו</w:t>
      </w:r>
      <w:r w:rsidRPr="00A81964">
        <w:rPr>
          <w:rFonts w:ascii="David" w:hAnsi="David"/>
          <w:rtl/>
        </w:rPr>
        <w:t>הוצאות הממשלה בפילוח לפי נושאים.</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rtl/>
        </w:rPr>
      </w:pPr>
      <w:r w:rsidRPr="00A81964">
        <w:rPr>
          <w:rFonts w:ascii="David" w:eastAsia="Calibri" w:hAnsi="David"/>
          <w:rtl/>
        </w:rPr>
        <w:t>תקציב המדינה נקבע בהתאם לכללים הפיסקליים הקבועים בחוק הפחתת הגירעון והגבלת ההוצאה התקציבית, התשנ"ב-1992. שני הכללים הקבועים בחוק הם</w:t>
      </w:r>
      <w:r w:rsidRPr="00A81964">
        <w:rPr>
          <w:rFonts w:ascii="David" w:eastAsia="Calibri" w:hAnsi="David" w:hint="cs"/>
          <w:rtl/>
        </w:rPr>
        <w:t xml:space="preserve"> אלו</w:t>
      </w:r>
      <w:r w:rsidRPr="00A81964">
        <w:rPr>
          <w:rFonts w:ascii="David" w:eastAsia="Calibri" w:hAnsi="David"/>
          <w:rtl/>
        </w:rPr>
        <w:t>: מגבלת הגידול בהוצאה</w:t>
      </w:r>
      <w:r w:rsidRPr="00A81964">
        <w:rPr>
          <w:rFonts w:ascii="David" w:eastAsia="Calibri" w:hAnsi="David" w:hint="cs"/>
          <w:rtl/>
        </w:rPr>
        <w:t>,</w:t>
      </w:r>
      <w:r w:rsidRPr="00A81964">
        <w:rPr>
          <w:rFonts w:ascii="David" w:eastAsia="Calibri" w:hAnsi="David"/>
          <w:rtl/>
        </w:rPr>
        <w:t xml:space="preserve"> הקובעת את סך ההוצאה ה</w:t>
      </w:r>
      <w:r>
        <w:rPr>
          <w:rFonts w:ascii="David" w:eastAsia="Calibri" w:hAnsi="David" w:hint="cs"/>
          <w:rtl/>
        </w:rPr>
        <w:t>ממשלתית</w:t>
      </w:r>
      <w:r w:rsidRPr="00A81964">
        <w:rPr>
          <w:rFonts w:ascii="David" w:eastAsia="Calibri" w:hAnsi="David"/>
          <w:rtl/>
        </w:rPr>
        <w:t xml:space="preserve"> בכל שנה, וכלל תקרת הגירעון, הקובע מהו הגירעון התקציבי </w:t>
      </w:r>
      <w:r w:rsidRPr="00A81964">
        <w:rPr>
          <w:rFonts w:ascii="David" w:eastAsia="Calibri" w:hAnsi="David" w:hint="cs"/>
          <w:rtl/>
        </w:rPr>
        <w:t>המרבי</w:t>
      </w:r>
      <w:r w:rsidRPr="00A81964">
        <w:rPr>
          <w:rFonts w:ascii="David" w:eastAsia="Calibri" w:hAnsi="David"/>
          <w:rtl/>
        </w:rPr>
        <w:t xml:space="preserve"> כאחוז מהתוצר המשמש לתכנון התקציב השנתי.</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rtl/>
        </w:rPr>
      </w:pPr>
      <w:r w:rsidRPr="00A81964">
        <w:rPr>
          <w:rFonts w:ascii="David" w:eastAsia="Calibri" w:hAnsi="David"/>
          <w:rtl/>
        </w:rPr>
        <w:t>הגירעון התקציבי הוא ההפרש בין כלל הוצאות הממשלה לבין כלל הכנסות הממשלה מגביית מיסים וממכירת סחורות ושירותים, ללא פעילות הממשלה במתן הלוואות ו</w:t>
      </w:r>
      <w:r w:rsidRPr="00A81964">
        <w:rPr>
          <w:rFonts w:ascii="David" w:eastAsia="Calibri" w:hAnsi="David" w:hint="cs"/>
          <w:rtl/>
        </w:rPr>
        <w:t>ב</w:t>
      </w:r>
      <w:r w:rsidRPr="00A81964">
        <w:rPr>
          <w:rFonts w:ascii="David" w:eastAsia="Calibri" w:hAnsi="David"/>
          <w:rtl/>
        </w:rPr>
        <w:t xml:space="preserve">גביית החזרים. </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rtl/>
        </w:rPr>
      </w:pPr>
      <w:r w:rsidRPr="00A81964">
        <w:rPr>
          <w:rFonts w:ascii="David" w:eastAsia="Calibri" w:hAnsi="David" w:hint="cs"/>
          <w:rtl/>
        </w:rPr>
        <w:t>כאמור,</w:t>
      </w:r>
      <w:r w:rsidRPr="00A81964">
        <w:rPr>
          <w:rFonts w:ascii="David" w:eastAsia="Calibri" w:hAnsi="David"/>
          <w:rtl/>
        </w:rPr>
        <w:t xml:space="preserve"> </w:t>
      </w:r>
      <w:r w:rsidRPr="00A81964">
        <w:rPr>
          <w:rFonts w:ascii="David" w:eastAsia="Calibri" w:hAnsi="David" w:hint="cs"/>
          <w:rtl/>
        </w:rPr>
        <w:t>החל ב</w:t>
      </w:r>
      <w:r w:rsidRPr="00A81964">
        <w:rPr>
          <w:rFonts w:ascii="David" w:eastAsia="Calibri" w:hAnsi="David"/>
          <w:rtl/>
        </w:rPr>
        <w:t>יום 1.11.07 נוהלה קרן הפיצויים כקרן הון חוץ תקציבית, אשר אחד ממאפייניה המרכזיים הוא פער עיתוי</w:t>
      </w:r>
      <w:r>
        <w:rPr>
          <w:rFonts w:ascii="David" w:eastAsia="Calibri" w:hAnsi="David" w:hint="cs"/>
          <w:rtl/>
        </w:rPr>
        <w:t xml:space="preserve"> רב-שנתי בין הכנסות להוצאות</w:t>
      </w:r>
      <w:r w:rsidRPr="00A81964">
        <w:rPr>
          <w:rFonts w:ascii="David" w:eastAsia="Calibri" w:hAnsi="David" w:hint="cs"/>
          <w:rtl/>
        </w:rPr>
        <w:t>.</w:t>
      </w:r>
      <w:r w:rsidRPr="00A81964">
        <w:rPr>
          <w:rFonts w:ascii="David" w:eastAsia="Calibri" w:hAnsi="David"/>
          <w:rtl/>
        </w:rPr>
        <w:t xml:space="preserve"> כאמור, ההכנסה במהלך השנים אינה נרשמת בתקציב המדינה</w:t>
      </w:r>
      <w:r>
        <w:rPr>
          <w:rFonts w:ascii="David" w:eastAsia="Calibri" w:hAnsi="David" w:hint="cs"/>
          <w:rtl/>
        </w:rPr>
        <w:t xml:space="preserve"> בעת קבלתה</w:t>
      </w:r>
      <w:r w:rsidRPr="00A81964">
        <w:rPr>
          <w:rFonts w:ascii="David" w:eastAsia="Calibri" w:hAnsi="David"/>
          <w:rtl/>
        </w:rPr>
        <w:t xml:space="preserve">, אלא נרשמת במועד ההוצאה. מנגנון זה מאפשר </w:t>
      </w:r>
      <w:r w:rsidRPr="00A81964">
        <w:rPr>
          <w:rFonts w:ascii="David" w:eastAsia="Calibri" w:hAnsi="David" w:hint="cs"/>
          <w:rtl/>
        </w:rPr>
        <w:t>ש</w:t>
      </w:r>
      <w:r w:rsidRPr="00A81964">
        <w:rPr>
          <w:rFonts w:ascii="David" w:eastAsia="Calibri" w:hAnsi="David"/>
          <w:rtl/>
        </w:rPr>
        <w:t>במועד הוצאת הכספים מהקרן לא תתקיים חריגה מהותית מכלל יעד הגירעון. נוסף</w:t>
      </w:r>
      <w:r w:rsidRPr="00A81964">
        <w:rPr>
          <w:rFonts w:ascii="David" w:eastAsia="Calibri" w:hAnsi="David" w:hint="cs"/>
          <w:rtl/>
        </w:rPr>
        <w:t xml:space="preserve"> על כך</w:t>
      </w:r>
      <w:r w:rsidRPr="00A81964">
        <w:rPr>
          <w:rFonts w:ascii="David" w:eastAsia="Calibri" w:hAnsi="David"/>
          <w:rtl/>
        </w:rPr>
        <w:t xml:space="preserve">, במועד הוצאת הכספים מהקרן לא תתקיים חריגה מכלל ההוצאה, כיוון שהוצאות אלה מתוקצבות כנגד הכנסה מותנית, שאינה נכללת בהוצאה נטו לחישוב מגבלת ההוצאה. </w:t>
      </w:r>
    </w:p>
    <w:p w:rsidR="006252C4" w:rsidRDefault="006252C4" w:rsidP="006252C4">
      <w:pPr>
        <w:pStyle w:val="a8"/>
        <w:spacing w:line="269" w:lineRule="auto"/>
        <w:rPr>
          <w:rtl/>
        </w:rPr>
      </w:pPr>
    </w:p>
    <w:p w:rsidR="006252C4" w:rsidRPr="00A81964" w:rsidRDefault="006252C4" w:rsidP="006252C4">
      <w:pPr>
        <w:spacing w:line="269" w:lineRule="auto"/>
        <w:rPr>
          <w:rFonts w:eastAsia="Calibri"/>
          <w:rtl/>
        </w:rPr>
      </w:pPr>
      <w:r w:rsidRPr="00A81964">
        <w:rPr>
          <w:rFonts w:ascii="David" w:eastAsia="Calibri" w:hAnsi="David"/>
          <w:rtl/>
        </w:rPr>
        <w:t>בדוח מבקר המדינה בנושא ניהול קרנות הון</w:t>
      </w:r>
      <w:r w:rsidRPr="00A81964">
        <w:rPr>
          <w:rStyle w:val="af2"/>
          <w:rFonts w:ascii="David" w:eastAsia="Calibri" w:hAnsi="David"/>
          <w:rtl/>
        </w:rPr>
        <w:footnoteReference w:id="149"/>
      </w:r>
      <w:r w:rsidRPr="00A81964">
        <w:rPr>
          <w:rFonts w:eastAsia="Calibri"/>
          <w:rtl/>
        </w:rPr>
        <w:t xml:space="preserve"> </w:t>
      </w:r>
      <w:r w:rsidRPr="00A81964">
        <w:rPr>
          <w:rFonts w:eastAsia="Calibri" w:hint="cs"/>
          <w:rtl/>
        </w:rPr>
        <w:t>מ</w:t>
      </w:r>
      <w:r>
        <w:rPr>
          <w:rFonts w:eastAsia="Calibri" w:hint="cs"/>
          <w:rtl/>
        </w:rPr>
        <w:t>שנת</w:t>
      </w:r>
      <w:r w:rsidRPr="00A81964">
        <w:rPr>
          <w:rFonts w:eastAsia="Calibri" w:hint="cs"/>
          <w:rtl/>
        </w:rPr>
        <w:t xml:space="preserve"> 2025 </w:t>
      </w:r>
      <w:r w:rsidRPr="00A81964">
        <w:rPr>
          <w:rFonts w:eastAsia="Calibri"/>
          <w:rtl/>
        </w:rPr>
        <w:t>העיר משרד מבקר המדינה כי "התעלמות מהכנסות מדינה ליצירת יעודה להוצאה בקרנות הון חוץ-תקציביות, בדומה לקרן הפיצויים, גורמת להיעדר שקיפות ביחס להיקף הכספים שהועברו ונצברו בהן בכל רגע נתון". משרד מבקר המדינה המליץ "כי אגף החשכ"ל ואגף התקציבים יבחנו במשותף דרך חלופית לרישום יעודה להוצאה בקרנות הון חוץ-תקציביות שתגביר את מידת השקיפות בעניינן".</w:t>
      </w:r>
    </w:p>
    <w:p w:rsidR="006252C4" w:rsidRDefault="006252C4" w:rsidP="006252C4">
      <w:pPr>
        <w:pStyle w:val="a8"/>
        <w:spacing w:line="269" w:lineRule="auto"/>
        <w:rPr>
          <w:rtl/>
        </w:rPr>
      </w:pPr>
    </w:p>
    <w:p w:rsidR="006252C4" w:rsidRPr="00A81964" w:rsidRDefault="006252C4" w:rsidP="006252C4">
      <w:pPr>
        <w:spacing w:line="269" w:lineRule="auto"/>
        <w:rPr>
          <w:rFonts w:ascii="David" w:hAnsi="David"/>
          <w:rtl/>
        </w:rPr>
      </w:pPr>
      <w:r w:rsidRPr="00A81964">
        <w:rPr>
          <w:rFonts w:ascii="David" w:hAnsi="David"/>
          <w:rtl/>
        </w:rPr>
        <w:t xml:space="preserve">במישור התקציבי הכנסות הקרן אינן </w:t>
      </w:r>
      <w:r>
        <w:rPr>
          <w:rFonts w:ascii="David" w:hAnsi="David" w:hint="cs"/>
          <w:rtl/>
        </w:rPr>
        <w:t>נרשמות</w:t>
      </w:r>
      <w:r w:rsidRPr="00A81964">
        <w:rPr>
          <w:rFonts w:ascii="David" w:hAnsi="David"/>
          <w:rtl/>
        </w:rPr>
        <w:t xml:space="preserve"> במועד קבלתן, אלא במקביל למועד הוצאתן. כלומר, במועד הפקדת הכספים לקרן הכנסות מדינה אינן נכללות בתקציב</w:t>
      </w:r>
      <w:r w:rsidRPr="00A81964">
        <w:rPr>
          <w:rFonts w:ascii="David" w:hAnsi="David" w:hint="cs"/>
          <w:rtl/>
        </w:rPr>
        <w:t>.</w:t>
      </w:r>
      <w:r w:rsidRPr="00A81964">
        <w:rPr>
          <w:rFonts w:ascii="David" w:hAnsi="David"/>
          <w:rtl/>
        </w:rPr>
        <w:t xml:space="preserve"> לכן מחד הגירעון הצפוי המוצג (</w:t>
      </w:r>
      <w:r w:rsidRPr="00A81964">
        <w:rPr>
          <w:rFonts w:ascii="David" w:hAnsi="David" w:hint="cs"/>
          <w:rtl/>
        </w:rPr>
        <w:t>ה</w:t>
      </w:r>
      <w:r w:rsidRPr="00A81964">
        <w:rPr>
          <w:rFonts w:ascii="David" w:hAnsi="David"/>
          <w:rtl/>
        </w:rPr>
        <w:t xml:space="preserve">תקציבי) </w:t>
      </w:r>
      <w:r w:rsidRPr="00A81964">
        <w:rPr>
          <w:rFonts w:ascii="David" w:hAnsi="David"/>
          <w:rtl/>
        </w:rPr>
        <w:lastRenderedPageBreak/>
        <w:t xml:space="preserve">גבוה יותר </w:t>
      </w:r>
      <w:r w:rsidRPr="00A81964">
        <w:rPr>
          <w:rFonts w:ascii="David" w:hAnsi="David" w:hint="cs"/>
          <w:rtl/>
        </w:rPr>
        <w:t>מ</w:t>
      </w:r>
      <w:r w:rsidRPr="00A81964">
        <w:rPr>
          <w:rFonts w:ascii="David" w:hAnsi="David"/>
          <w:rtl/>
        </w:rPr>
        <w:t>הגירעון שנדרש לממנו. מאידך</w:t>
      </w:r>
      <w:r w:rsidRPr="00A81964">
        <w:rPr>
          <w:rFonts w:ascii="David" w:hAnsi="David" w:hint="cs"/>
          <w:rtl/>
        </w:rPr>
        <w:t>,</w:t>
      </w:r>
      <w:r w:rsidRPr="00A81964">
        <w:rPr>
          <w:rFonts w:ascii="David" w:hAnsi="David"/>
          <w:rtl/>
        </w:rPr>
        <w:t xml:space="preserve"> במועד מימוש ייעוד הקרן הגירעון התקציבי יהיה נמוך </w:t>
      </w:r>
      <w:r w:rsidRPr="00A81964">
        <w:rPr>
          <w:rFonts w:ascii="David" w:hAnsi="David" w:hint="cs"/>
          <w:rtl/>
        </w:rPr>
        <w:t>מ</w:t>
      </w:r>
      <w:r w:rsidRPr="00A81964">
        <w:rPr>
          <w:rFonts w:ascii="David" w:hAnsi="David"/>
          <w:rtl/>
        </w:rPr>
        <w:t>הגירעון שנדרש לממנו.</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rtl/>
        </w:rPr>
      </w:pPr>
      <w:bookmarkStart w:id="34" w:name="_Hlk168499474"/>
      <w:r w:rsidRPr="00A81964">
        <w:rPr>
          <w:rFonts w:ascii="David" w:eastAsia="Calibri" w:hAnsi="David"/>
          <w:rtl/>
        </w:rPr>
        <w:t xml:space="preserve">קרן הפיצויים מתאפיינת בתנודתיות רבה. במהלך השנים נצברו ההכנסות </w:t>
      </w:r>
      <w:r w:rsidRPr="00A81964">
        <w:rPr>
          <w:rFonts w:ascii="David" w:eastAsia="Calibri" w:hAnsi="David" w:hint="cs"/>
          <w:rtl/>
        </w:rPr>
        <w:t>באופן שקיים</w:t>
      </w:r>
      <w:r w:rsidRPr="00A81964">
        <w:rPr>
          <w:rFonts w:ascii="David" w:eastAsia="Calibri" w:hAnsi="David"/>
          <w:rtl/>
        </w:rPr>
        <w:t xml:space="preserve"> פער מהותי בין ההכנסות הגבוהות להוצאות </w:t>
      </w:r>
      <w:r w:rsidRPr="00A81964">
        <w:rPr>
          <w:rFonts w:ascii="David" w:eastAsia="Calibri" w:hAnsi="David" w:hint="cs"/>
          <w:rtl/>
        </w:rPr>
        <w:t>ה</w:t>
      </w:r>
      <w:r w:rsidRPr="00A81964">
        <w:rPr>
          <w:rFonts w:ascii="David" w:eastAsia="Calibri" w:hAnsi="David"/>
          <w:rtl/>
        </w:rPr>
        <w:t>נמוכות. בתקופות מלחמה או מבצעים צבאיים קיים פער הפוך</w:t>
      </w:r>
      <w:r w:rsidRPr="00A81964">
        <w:rPr>
          <w:rFonts w:ascii="David" w:eastAsia="Calibri" w:hAnsi="David" w:hint="cs"/>
          <w:rtl/>
        </w:rPr>
        <w:t>,</w:t>
      </w:r>
      <w:r w:rsidRPr="00A81964">
        <w:rPr>
          <w:rFonts w:ascii="David" w:eastAsia="Calibri" w:hAnsi="David"/>
          <w:rtl/>
        </w:rPr>
        <w:t xml:space="preserve"> שבו ההוצאות גדלות באופן ניכר ביחס להכנסות. כך נוצר פער משמעותי בין הג</w:t>
      </w:r>
      <w:r w:rsidRPr="00A81964">
        <w:rPr>
          <w:rFonts w:ascii="David" w:eastAsia="Calibri" w:hAnsi="David" w:hint="cs"/>
          <w:rtl/>
        </w:rPr>
        <w:t>י</w:t>
      </w:r>
      <w:r w:rsidRPr="00A81964">
        <w:rPr>
          <w:rFonts w:ascii="David" w:eastAsia="Calibri" w:hAnsi="David"/>
          <w:rtl/>
        </w:rPr>
        <w:t xml:space="preserve">רעון המוצג בתקציב המדינה לבין הגירעון שנדרש לממנו. </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rtl/>
        </w:rPr>
      </w:pPr>
      <w:r w:rsidRPr="00A81964">
        <w:rPr>
          <w:rFonts w:ascii="David" w:eastAsia="Calibri" w:hAnsi="David"/>
          <w:rtl/>
        </w:rPr>
        <w:t>מרכז המחקר והמידע של הכנסת ציין בעבודה בנושא התפתחות הגירעון התקציבי בשנת 2024 ובשנים הבאות</w:t>
      </w:r>
      <w:r w:rsidRPr="00A81964">
        <w:rPr>
          <w:rFonts w:ascii="David" w:eastAsia="Calibri" w:hAnsi="David"/>
          <w:vertAlign w:val="superscript"/>
          <w:rtl/>
        </w:rPr>
        <w:footnoteReference w:id="150"/>
      </w:r>
      <w:r w:rsidRPr="00A81964">
        <w:rPr>
          <w:rFonts w:ascii="David" w:eastAsia="Calibri" w:hAnsi="David"/>
          <w:rtl/>
        </w:rPr>
        <w:t xml:space="preserve"> כי "הממשלה השתמשה בקרן הפיצויים (מס רכוש) לצורך מימון הפיצוי לעסקים שנפגעו בתקופת המלחמה, אשר לא בא לידי ביטוי בתקציב ובגירעון הממשלה המרכזית, אך נרשם בגירעון הממשלה הרחבה</w:t>
      </w:r>
      <w:r w:rsidRPr="00A81964">
        <w:rPr>
          <w:rFonts w:ascii="David" w:eastAsia="Calibri" w:hAnsi="David"/>
          <w:vertAlign w:val="superscript"/>
          <w:rtl/>
        </w:rPr>
        <w:footnoteReference w:id="151"/>
      </w:r>
      <w:r w:rsidRPr="00A81964">
        <w:rPr>
          <w:rFonts w:ascii="David" w:eastAsia="Calibri" w:hAnsi="David"/>
          <w:rtl/>
        </w:rPr>
        <w:t>, ומחייב את הממשלה לגייס חוב כנגדו שכן מדובר בקרן חוץ-תקציבית רישומית".</w:t>
      </w:r>
    </w:p>
    <w:p w:rsidR="006252C4" w:rsidRDefault="006252C4" w:rsidP="006252C4">
      <w:pPr>
        <w:pStyle w:val="a8"/>
        <w:spacing w:line="269" w:lineRule="auto"/>
        <w:rPr>
          <w:rtl/>
        </w:rPr>
      </w:pPr>
    </w:p>
    <w:p w:rsidR="006252C4" w:rsidRPr="00A81964" w:rsidRDefault="006252C4" w:rsidP="006252C4">
      <w:pPr>
        <w:spacing w:line="269" w:lineRule="auto"/>
        <w:rPr>
          <w:szCs w:val="20"/>
          <w:rtl/>
        </w:rPr>
      </w:pPr>
      <w:r w:rsidRPr="00A81964">
        <w:rPr>
          <w:rFonts w:ascii="David" w:eastAsia="Calibri" w:hAnsi="David"/>
          <w:rtl/>
        </w:rPr>
        <w:t>הגירעון הכולל של הממשלה הרחבה מחושב כהפרש בין סך ההכנסות הציבוריות (מקומיות וחו"ל) לסך ההוצאות הציבוריות (מקומיות וחו"ל), אשר בשנת 2023 נאמד ב-6.7 אחוז מהתוצר</w:t>
      </w:r>
      <w:r w:rsidRPr="00A81964">
        <w:rPr>
          <w:rFonts w:ascii="David" w:eastAsia="Calibri" w:hAnsi="David"/>
          <w:vertAlign w:val="superscript"/>
          <w:rtl/>
        </w:rPr>
        <w:footnoteReference w:id="152"/>
      </w:r>
      <w:r w:rsidRPr="00A81964">
        <w:rPr>
          <w:rFonts w:ascii="David" w:eastAsia="Calibri" w:hAnsi="David"/>
          <w:rtl/>
        </w:rPr>
        <w:t>. בדוח בנק ישראל לשנת 2023</w:t>
      </w:r>
      <w:r w:rsidRPr="00A81964">
        <w:rPr>
          <w:rFonts w:ascii="David" w:eastAsia="Calibri" w:hAnsi="David"/>
          <w:vertAlign w:val="superscript"/>
          <w:rtl/>
        </w:rPr>
        <w:footnoteReference w:id="153"/>
      </w:r>
      <w:r w:rsidRPr="00A81964">
        <w:rPr>
          <w:rFonts w:ascii="David" w:eastAsia="Calibri" w:hAnsi="David"/>
          <w:rtl/>
        </w:rPr>
        <w:t xml:space="preserve"> צוין כי הפער בין גירעון הממשלה הרחבה לגירעון בתקציב המדינה (כאמור 4.1 אחוזי תוצר) נובע מהבדלים מתודולוגיים באופן חישוב הגירעון. גירעון הממשלה הרחבה בשנת 2023 כלל, בין היתר, </w:t>
      </w:r>
      <w:bookmarkStart w:id="35" w:name="_Hlk188339015"/>
      <w:r w:rsidRPr="00A81964">
        <w:rPr>
          <w:rFonts w:ascii="David" w:eastAsia="Calibri" w:hAnsi="David"/>
          <w:rtl/>
        </w:rPr>
        <w:t xml:space="preserve">הוצאות חוץ-תקציביות בגין פיצויים על נזקי המלחמה הישירים והעקיפים (0.3 אחוז תוצר). </w:t>
      </w:r>
      <w:bookmarkEnd w:id="35"/>
      <w:r w:rsidRPr="00A81964">
        <w:rPr>
          <w:rFonts w:ascii="David" w:eastAsia="Calibri" w:hAnsi="David"/>
          <w:rtl/>
        </w:rPr>
        <w:t>דוח זה מוצג לממשלה ולוועדת הכספים של הכנסת ביחס לנתוני שנה קודמת.</w:t>
      </w:r>
    </w:p>
    <w:bookmarkEnd w:id="34"/>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b/>
          <w:bCs/>
          <w:rtl/>
        </w:rPr>
      </w:pPr>
      <w:r w:rsidRPr="00A81964">
        <w:rPr>
          <w:rFonts w:ascii="David" w:eastAsia="Calibri" w:hAnsi="David"/>
          <w:b/>
          <w:bCs/>
          <w:rtl/>
        </w:rPr>
        <w:t xml:space="preserve">במסמכי התקציב המוגשים </w:t>
      </w:r>
      <w:r w:rsidRPr="00A81964">
        <w:rPr>
          <w:rFonts w:ascii="David" w:eastAsia="Calibri" w:hAnsi="David" w:hint="cs"/>
          <w:b/>
          <w:bCs/>
          <w:rtl/>
        </w:rPr>
        <w:t xml:space="preserve">על ידי משרד האוצר </w:t>
      </w:r>
      <w:r w:rsidRPr="00A81964">
        <w:rPr>
          <w:rFonts w:ascii="David" w:eastAsia="Calibri" w:hAnsi="David"/>
          <w:b/>
          <w:bCs/>
          <w:rtl/>
        </w:rPr>
        <w:t>עם הצעת חוק התקציב השנתי לכנסת, או במסמכים הנלווים להם, מוצג הגירעון התקציבי בלבד</w:t>
      </w:r>
      <w:r w:rsidRPr="00A81964">
        <w:rPr>
          <w:rFonts w:ascii="David" w:eastAsia="Calibri" w:hAnsi="David" w:hint="cs"/>
          <w:b/>
          <w:bCs/>
          <w:rtl/>
        </w:rPr>
        <w:t>,</w:t>
      </w:r>
      <w:r w:rsidRPr="00A81964">
        <w:rPr>
          <w:rFonts w:ascii="David" w:eastAsia="Calibri" w:hAnsi="David"/>
          <w:b/>
          <w:bCs/>
          <w:rtl/>
        </w:rPr>
        <w:t xml:space="preserve"> </w:t>
      </w:r>
      <w:r w:rsidRPr="00A81964">
        <w:rPr>
          <w:rFonts w:ascii="David" w:eastAsia="Calibri" w:hAnsi="David" w:hint="cs"/>
          <w:b/>
          <w:bCs/>
          <w:rtl/>
        </w:rPr>
        <w:t>ו</w:t>
      </w:r>
      <w:r w:rsidRPr="00A81964">
        <w:rPr>
          <w:rFonts w:ascii="David" w:eastAsia="Calibri" w:hAnsi="David"/>
          <w:b/>
          <w:bCs/>
          <w:rtl/>
        </w:rPr>
        <w:t xml:space="preserve">הגירעון </w:t>
      </w:r>
      <w:r w:rsidRPr="00A81964">
        <w:rPr>
          <w:rFonts w:ascii="David" w:eastAsia="Calibri" w:hAnsi="David" w:hint="cs"/>
          <w:b/>
          <w:bCs/>
          <w:rtl/>
        </w:rPr>
        <w:t xml:space="preserve">אשר </w:t>
      </w:r>
      <w:r w:rsidRPr="00A81964">
        <w:rPr>
          <w:rFonts w:ascii="David" w:eastAsia="Calibri" w:hAnsi="David"/>
          <w:b/>
          <w:bCs/>
          <w:rtl/>
        </w:rPr>
        <w:t xml:space="preserve">ייתכן </w:t>
      </w:r>
      <w:r w:rsidRPr="00A81964">
        <w:rPr>
          <w:rFonts w:ascii="David" w:eastAsia="Calibri" w:hAnsi="David" w:hint="cs"/>
          <w:b/>
          <w:bCs/>
          <w:rtl/>
        </w:rPr>
        <w:t>ש</w:t>
      </w:r>
      <w:r w:rsidRPr="00A81964">
        <w:rPr>
          <w:rFonts w:ascii="David" w:eastAsia="Calibri" w:hAnsi="David"/>
          <w:b/>
          <w:bCs/>
          <w:rtl/>
        </w:rPr>
        <w:t>יידרש לממנו</w:t>
      </w:r>
      <w:r w:rsidRPr="00A81964">
        <w:rPr>
          <w:rFonts w:ascii="David" w:eastAsia="Calibri" w:hAnsi="David" w:hint="cs"/>
          <w:b/>
          <w:bCs/>
          <w:rtl/>
        </w:rPr>
        <w:t>, בין היתר בגין הוצאות חוץ</w:t>
      </w:r>
      <w:r>
        <w:rPr>
          <w:rFonts w:ascii="David" w:eastAsia="Calibri" w:hAnsi="David" w:hint="cs"/>
          <w:b/>
          <w:bCs/>
          <w:rtl/>
        </w:rPr>
        <w:t>-</w:t>
      </w:r>
      <w:r w:rsidRPr="00A81964">
        <w:rPr>
          <w:rFonts w:ascii="David" w:eastAsia="Calibri" w:hAnsi="David" w:hint="cs"/>
          <w:b/>
          <w:bCs/>
          <w:rtl/>
        </w:rPr>
        <w:t>תקציביות כגון פיצויים בגין נזקי מלחמה אינו</w:t>
      </w:r>
      <w:r w:rsidRPr="00A81964">
        <w:rPr>
          <w:rFonts w:ascii="David" w:eastAsia="Calibri" w:hAnsi="David"/>
          <w:b/>
          <w:bCs/>
          <w:rtl/>
        </w:rPr>
        <w:t xml:space="preserve"> מוצג. </w:t>
      </w:r>
      <w:r w:rsidRPr="00A81964">
        <w:rPr>
          <w:rFonts w:ascii="David" w:eastAsia="Calibri" w:hAnsi="David" w:hint="eastAsia"/>
          <w:b/>
          <w:bCs/>
          <w:rtl/>
        </w:rPr>
        <w:t>הצגת</w:t>
      </w:r>
      <w:r w:rsidRPr="00A81964">
        <w:rPr>
          <w:rFonts w:ascii="David" w:eastAsia="Calibri" w:hAnsi="David"/>
          <w:b/>
          <w:bCs/>
          <w:rtl/>
        </w:rPr>
        <w:t xml:space="preserve"> </w:t>
      </w:r>
      <w:r w:rsidRPr="00A81964">
        <w:rPr>
          <w:rFonts w:ascii="David" w:eastAsia="Calibri" w:hAnsi="David" w:hint="cs"/>
          <w:b/>
          <w:bCs/>
          <w:rtl/>
        </w:rPr>
        <w:t>ג</w:t>
      </w:r>
      <w:r>
        <w:rPr>
          <w:rFonts w:ascii="David" w:eastAsia="Calibri" w:hAnsi="David" w:hint="cs"/>
          <w:b/>
          <w:bCs/>
          <w:rtl/>
        </w:rPr>
        <w:t>י</w:t>
      </w:r>
      <w:r w:rsidRPr="00A81964">
        <w:rPr>
          <w:rFonts w:ascii="David" w:eastAsia="Calibri" w:hAnsi="David" w:hint="cs"/>
          <w:b/>
          <w:bCs/>
          <w:rtl/>
        </w:rPr>
        <w:t xml:space="preserve">רעון </w:t>
      </w:r>
      <w:r w:rsidRPr="00A81964">
        <w:rPr>
          <w:rFonts w:ascii="David" w:eastAsia="Calibri" w:hAnsi="David" w:hint="eastAsia"/>
          <w:b/>
          <w:bCs/>
          <w:rtl/>
        </w:rPr>
        <w:t>זה</w:t>
      </w:r>
      <w:r w:rsidRPr="00A81964">
        <w:rPr>
          <w:rFonts w:ascii="David" w:eastAsia="Calibri" w:hAnsi="David"/>
          <w:b/>
          <w:bCs/>
          <w:rtl/>
        </w:rPr>
        <w:t xml:space="preserve"> </w:t>
      </w:r>
      <w:r w:rsidRPr="00A81964">
        <w:rPr>
          <w:rFonts w:ascii="David" w:eastAsia="Calibri" w:hAnsi="David" w:hint="eastAsia"/>
          <w:b/>
          <w:bCs/>
          <w:rtl/>
        </w:rPr>
        <w:t>חש</w:t>
      </w:r>
      <w:r w:rsidRPr="00A81964">
        <w:rPr>
          <w:rFonts w:ascii="David" w:eastAsia="Calibri" w:hAnsi="David" w:hint="cs"/>
          <w:b/>
          <w:bCs/>
          <w:rtl/>
        </w:rPr>
        <w:t>ו</w:t>
      </w:r>
      <w:r w:rsidRPr="00A81964">
        <w:rPr>
          <w:rFonts w:ascii="David" w:eastAsia="Calibri" w:hAnsi="David" w:hint="eastAsia"/>
          <w:b/>
          <w:bCs/>
          <w:rtl/>
        </w:rPr>
        <w:t>בה</w:t>
      </w:r>
      <w:r w:rsidRPr="00A81964">
        <w:rPr>
          <w:rFonts w:ascii="David" w:eastAsia="Calibri" w:hAnsi="David"/>
          <w:b/>
          <w:bCs/>
          <w:rtl/>
        </w:rPr>
        <w:t xml:space="preserve"> בשל המאפיינים המיוחדים של קרן הפיצויים והאפשרות לזינוק מהיר בגירעון שידר</w:t>
      </w:r>
      <w:r w:rsidRPr="00A81964">
        <w:rPr>
          <w:rFonts w:ascii="David" w:eastAsia="Calibri" w:hAnsi="David" w:hint="cs"/>
          <w:b/>
          <w:bCs/>
          <w:rtl/>
        </w:rPr>
        <w:t>ו</w:t>
      </w:r>
      <w:r w:rsidRPr="00A81964">
        <w:rPr>
          <w:rFonts w:ascii="David" w:eastAsia="Calibri" w:hAnsi="David"/>
          <w:b/>
          <w:bCs/>
          <w:rtl/>
        </w:rPr>
        <w:t>ש מ</w:t>
      </w:r>
      <w:r w:rsidRPr="00A81964">
        <w:rPr>
          <w:rFonts w:ascii="David" w:eastAsia="Calibri" w:hAnsi="David" w:hint="cs"/>
          <w:b/>
          <w:bCs/>
          <w:rtl/>
        </w:rPr>
        <w:t>י</w:t>
      </w:r>
      <w:r w:rsidRPr="00A81964">
        <w:rPr>
          <w:rFonts w:ascii="David" w:eastAsia="Calibri" w:hAnsi="David"/>
          <w:b/>
          <w:bCs/>
          <w:rtl/>
        </w:rPr>
        <w:t>מ</w:t>
      </w:r>
      <w:r w:rsidRPr="00A81964">
        <w:rPr>
          <w:rFonts w:ascii="David" w:eastAsia="Calibri" w:hAnsi="David" w:hint="cs"/>
          <w:b/>
          <w:bCs/>
          <w:rtl/>
        </w:rPr>
        <w:t>ו</w:t>
      </w:r>
      <w:r w:rsidRPr="00A81964">
        <w:rPr>
          <w:rFonts w:ascii="David" w:eastAsia="Calibri" w:hAnsi="David"/>
          <w:b/>
          <w:bCs/>
          <w:rtl/>
        </w:rPr>
        <w:t>ן</w:t>
      </w:r>
      <w:r w:rsidRPr="00A81964">
        <w:rPr>
          <w:rFonts w:ascii="David" w:eastAsia="Calibri" w:hAnsi="David" w:hint="cs"/>
          <w:b/>
          <w:bCs/>
          <w:rtl/>
        </w:rPr>
        <w:t>.</w:t>
      </w:r>
      <w:r w:rsidRPr="00A81964">
        <w:rPr>
          <w:rFonts w:ascii="David" w:eastAsia="Calibri" w:hAnsi="David"/>
          <w:b/>
          <w:bCs/>
          <w:rtl/>
        </w:rPr>
        <w:t xml:space="preserve"> </w:t>
      </w:r>
      <w:r w:rsidRPr="00A81964">
        <w:rPr>
          <w:rFonts w:ascii="David" w:eastAsia="Calibri" w:hAnsi="David" w:hint="cs"/>
          <w:b/>
          <w:bCs/>
          <w:rtl/>
        </w:rPr>
        <w:t>ה</w:t>
      </w:r>
      <w:r w:rsidRPr="00A81964">
        <w:rPr>
          <w:rFonts w:ascii="David" w:eastAsia="Calibri" w:hAnsi="David"/>
          <w:b/>
          <w:bCs/>
          <w:rtl/>
        </w:rPr>
        <w:t xml:space="preserve">דבר עלול לגרור עלייה אף בעלות גיוס החוב בשל </w:t>
      </w:r>
      <w:r w:rsidRPr="00A81964">
        <w:rPr>
          <w:rFonts w:ascii="David" w:eastAsia="Calibri" w:hAnsi="David" w:hint="cs"/>
          <w:b/>
          <w:bCs/>
          <w:rtl/>
        </w:rPr>
        <w:t>ה</w:t>
      </w:r>
      <w:r w:rsidRPr="00A81964">
        <w:rPr>
          <w:rFonts w:ascii="David" w:eastAsia="Calibri" w:hAnsi="David"/>
          <w:b/>
          <w:bCs/>
          <w:rtl/>
        </w:rPr>
        <w:t xml:space="preserve">צורך </w:t>
      </w:r>
      <w:r w:rsidRPr="00A81964">
        <w:rPr>
          <w:rFonts w:ascii="David" w:eastAsia="Calibri" w:hAnsi="David" w:hint="cs"/>
          <w:b/>
          <w:bCs/>
          <w:rtl/>
        </w:rPr>
        <w:t>לגייס</w:t>
      </w:r>
      <w:r w:rsidRPr="00A81964">
        <w:rPr>
          <w:rFonts w:ascii="David" w:eastAsia="Calibri" w:hAnsi="David"/>
          <w:b/>
          <w:bCs/>
          <w:rtl/>
        </w:rPr>
        <w:t xml:space="preserve"> חוב גבוה בזמן מלחמה.</w:t>
      </w:r>
      <w:r w:rsidRPr="00A81964">
        <w:rPr>
          <w:rFonts w:ascii="David" w:eastAsia="Calibri" w:hAnsi="David" w:hint="cs"/>
          <w:b/>
          <w:bCs/>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b/>
          <w:bCs/>
          <w:rtl/>
        </w:rPr>
      </w:pPr>
      <w:r w:rsidRPr="00A81964">
        <w:rPr>
          <w:rFonts w:ascii="David" w:eastAsia="Calibri" w:hAnsi="David" w:hint="eastAsia"/>
          <w:b/>
          <w:bCs/>
          <w:rtl/>
        </w:rPr>
        <w:t>מומלץ</w:t>
      </w:r>
      <w:r w:rsidRPr="00A81964">
        <w:rPr>
          <w:rFonts w:ascii="David" w:eastAsia="Calibri" w:hAnsi="David"/>
          <w:b/>
          <w:bCs/>
          <w:rtl/>
        </w:rPr>
        <w:t xml:space="preserve"> </w:t>
      </w:r>
      <w:r w:rsidRPr="00A81964">
        <w:rPr>
          <w:rFonts w:ascii="David" w:eastAsia="Calibri" w:hAnsi="David" w:hint="eastAsia"/>
          <w:b/>
          <w:bCs/>
          <w:rtl/>
        </w:rPr>
        <w:t>כי</w:t>
      </w:r>
      <w:r w:rsidRPr="00A81964">
        <w:rPr>
          <w:rFonts w:ascii="David" w:eastAsia="Calibri" w:hAnsi="David"/>
          <w:b/>
          <w:bCs/>
          <w:rtl/>
        </w:rPr>
        <w:t xml:space="preserve"> משרד האוצר </w:t>
      </w:r>
      <w:r w:rsidRPr="00A81964">
        <w:rPr>
          <w:rFonts w:ascii="David" w:eastAsia="Calibri" w:hAnsi="David" w:hint="eastAsia"/>
          <w:b/>
          <w:bCs/>
          <w:rtl/>
        </w:rPr>
        <w:t>י</w:t>
      </w:r>
      <w:r w:rsidRPr="00A81964">
        <w:rPr>
          <w:rFonts w:ascii="David" w:eastAsia="Calibri" w:hAnsi="David"/>
          <w:b/>
          <w:bCs/>
          <w:rtl/>
        </w:rPr>
        <w:t xml:space="preserve">ציג לכנסת, במסגרת מסמכי התקציב, </w:t>
      </w:r>
      <w:r w:rsidRPr="00A81964">
        <w:rPr>
          <w:rFonts w:ascii="David" w:eastAsia="Calibri" w:hAnsi="David" w:hint="eastAsia"/>
          <w:b/>
          <w:bCs/>
          <w:rtl/>
        </w:rPr>
        <w:t>גם</w:t>
      </w:r>
      <w:r w:rsidRPr="00A81964">
        <w:rPr>
          <w:rFonts w:ascii="David" w:eastAsia="Calibri" w:hAnsi="David"/>
          <w:b/>
          <w:bCs/>
          <w:rtl/>
        </w:rPr>
        <w:t xml:space="preserve"> </w:t>
      </w:r>
      <w:r w:rsidRPr="00A81964">
        <w:rPr>
          <w:rFonts w:ascii="David" w:eastAsia="Calibri" w:hAnsi="David" w:hint="eastAsia"/>
          <w:b/>
          <w:bCs/>
          <w:rtl/>
        </w:rPr>
        <w:t>את</w:t>
      </w:r>
      <w:r w:rsidRPr="00A81964">
        <w:rPr>
          <w:rFonts w:ascii="David" w:eastAsia="Calibri" w:hAnsi="David"/>
          <w:b/>
          <w:bCs/>
          <w:rtl/>
        </w:rPr>
        <w:t xml:space="preserve"> </w:t>
      </w:r>
      <w:r w:rsidRPr="00A81964">
        <w:rPr>
          <w:rFonts w:ascii="David" w:eastAsia="Calibri" w:hAnsi="David" w:hint="eastAsia"/>
          <w:b/>
          <w:bCs/>
          <w:rtl/>
        </w:rPr>
        <w:t>הג</w:t>
      </w:r>
      <w:r>
        <w:rPr>
          <w:rFonts w:ascii="David" w:eastAsia="Calibri" w:hAnsi="David" w:hint="cs"/>
          <w:b/>
          <w:bCs/>
          <w:rtl/>
        </w:rPr>
        <w:t>י</w:t>
      </w:r>
      <w:r w:rsidRPr="00A81964">
        <w:rPr>
          <w:rFonts w:ascii="David" w:eastAsia="Calibri" w:hAnsi="David" w:hint="eastAsia"/>
          <w:b/>
          <w:bCs/>
          <w:rtl/>
        </w:rPr>
        <w:t>רעון</w:t>
      </w:r>
      <w:r w:rsidRPr="00A81964">
        <w:rPr>
          <w:rFonts w:ascii="David" w:eastAsia="Calibri" w:hAnsi="David"/>
          <w:b/>
          <w:bCs/>
          <w:rtl/>
        </w:rPr>
        <w:t xml:space="preserve"> אשר </w:t>
      </w:r>
      <w:r>
        <w:rPr>
          <w:rFonts w:ascii="David" w:eastAsia="Calibri" w:hAnsi="David" w:hint="cs"/>
          <w:b/>
          <w:bCs/>
          <w:rtl/>
        </w:rPr>
        <w:t>י</w:t>
      </w:r>
      <w:r w:rsidRPr="00A81964">
        <w:rPr>
          <w:rFonts w:ascii="David" w:eastAsia="Calibri" w:hAnsi="David"/>
          <w:b/>
          <w:bCs/>
          <w:rtl/>
        </w:rPr>
        <w:t xml:space="preserve">יתכן </w:t>
      </w:r>
      <w:r>
        <w:rPr>
          <w:rFonts w:ascii="David" w:eastAsia="Calibri" w:hAnsi="David" w:hint="cs"/>
          <w:b/>
          <w:bCs/>
          <w:rtl/>
        </w:rPr>
        <w:t>ש</w:t>
      </w:r>
      <w:r w:rsidRPr="00A81964">
        <w:rPr>
          <w:rFonts w:ascii="David" w:eastAsia="Calibri" w:hAnsi="David"/>
          <w:b/>
          <w:bCs/>
          <w:rtl/>
        </w:rPr>
        <w:t>יידרש לממנו בעת מצבי ח</w:t>
      </w:r>
      <w:r>
        <w:rPr>
          <w:rFonts w:ascii="David" w:eastAsia="Calibri" w:hAnsi="David" w:hint="cs"/>
          <w:b/>
          <w:bCs/>
          <w:rtl/>
        </w:rPr>
        <w:t>י</w:t>
      </w:r>
      <w:r w:rsidRPr="00A81964">
        <w:rPr>
          <w:rFonts w:ascii="David" w:eastAsia="Calibri" w:hAnsi="David"/>
          <w:b/>
          <w:bCs/>
          <w:rtl/>
        </w:rPr>
        <w:t xml:space="preserve">רום, </w:t>
      </w:r>
      <w:r w:rsidRPr="00A81964">
        <w:rPr>
          <w:rFonts w:ascii="David" w:eastAsia="Calibri" w:hAnsi="David" w:hint="eastAsia"/>
          <w:b/>
          <w:bCs/>
          <w:rtl/>
        </w:rPr>
        <w:t>ובכלל</w:t>
      </w:r>
      <w:r w:rsidRPr="00A81964">
        <w:rPr>
          <w:rFonts w:ascii="David" w:eastAsia="Calibri" w:hAnsi="David"/>
          <w:b/>
          <w:bCs/>
          <w:rtl/>
        </w:rPr>
        <w:t xml:space="preserve"> זה ההתחייבויות לקרן הפיצויים, ואת עלויות המימון הכרוכות בגיוס החוב בעת </w:t>
      </w:r>
      <w:r w:rsidRPr="00A81964">
        <w:rPr>
          <w:rFonts w:ascii="David" w:eastAsia="Calibri" w:hAnsi="David"/>
          <w:b/>
          <w:bCs/>
          <w:rtl/>
        </w:rPr>
        <w:lastRenderedPageBreak/>
        <w:t xml:space="preserve">מלחמה. </w:t>
      </w:r>
      <w:r w:rsidRPr="00A81964">
        <w:rPr>
          <w:rFonts w:ascii="David" w:eastAsia="Calibri" w:hAnsi="David" w:hint="eastAsia"/>
          <w:b/>
          <w:bCs/>
          <w:rtl/>
        </w:rPr>
        <w:t>הצגת</w:t>
      </w:r>
      <w:r w:rsidRPr="00A81964">
        <w:rPr>
          <w:rFonts w:ascii="David" w:eastAsia="Calibri" w:hAnsi="David"/>
          <w:b/>
          <w:bCs/>
          <w:rtl/>
        </w:rPr>
        <w:t xml:space="preserve"> נתונים אלו תאפשר </w:t>
      </w:r>
      <w:r w:rsidRPr="00A81964">
        <w:rPr>
          <w:rFonts w:ascii="David" w:eastAsia="Calibri" w:hAnsi="David" w:hint="eastAsia"/>
          <w:b/>
          <w:bCs/>
          <w:rtl/>
        </w:rPr>
        <w:t>למ</w:t>
      </w:r>
      <w:r w:rsidRPr="00A81964">
        <w:rPr>
          <w:rFonts w:ascii="David" w:eastAsia="Calibri" w:hAnsi="David"/>
          <w:b/>
          <w:bCs/>
          <w:rtl/>
        </w:rPr>
        <w:t xml:space="preserve">קבלי ההחלטות </w:t>
      </w:r>
      <w:r w:rsidRPr="00A81964">
        <w:rPr>
          <w:rFonts w:ascii="David" w:eastAsia="Calibri" w:hAnsi="David" w:hint="eastAsia"/>
          <w:b/>
          <w:bCs/>
          <w:rtl/>
        </w:rPr>
        <w:t>לשקלל</w:t>
      </w:r>
      <w:r w:rsidRPr="00A81964">
        <w:rPr>
          <w:rFonts w:ascii="David" w:eastAsia="Calibri" w:hAnsi="David"/>
          <w:b/>
          <w:bCs/>
          <w:rtl/>
        </w:rPr>
        <w:t xml:space="preserve"> גם תרחישים למלחמות עתידיות ו</w:t>
      </w:r>
      <w:r>
        <w:rPr>
          <w:rFonts w:ascii="David" w:eastAsia="Calibri" w:hAnsi="David" w:hint="cs"/>
          <w:b/>
          <w:bCs/>
          <w:rtl/>
        </w:rPr>
        <w:t>ל</w:t>
      </w:r>
      <w:r w:rsidRPr="00A81964">
        <w:rPr>
          <w:rFonts w:ascii="David" w:eastAsia="Calibri" w:hAnsi="David"/>
          <w:b/>
          <w:bCs/>
          <w:rtl/>
        </w:rPr>
        <w:t xml:space="preserve">תרחישי קטסטרופה אחרים </w:t>
      </w:r>
      <w:r w:rsidRPr="00A81964">
        <w:rPr>
          <w:rFonts w:ascii="David" w:eastAsia="Calibri" w:hAnsi="David" w:hint="eastAsia"/>
          <w:b/>
          <w:bCs/>
          <w:rtl/>
        </w:rPr>
        <w:t>בבואם</w:t>
      </w:r>
      <w:r w:rsidRPr="00A81964">
        <w:rPr>
          <w:rFonts w:ascii="David" w:eastAsia="Calibri" w:hAnsi="David"/>
          <w:b/>
          <w:bCs/>
          <w:rtl/>
        </w:rPr>
        <w:t xml:space="preserve"> </w:t>
      </w:r>
      <w:r w:rsidRPr="00A81964">
        <w:rPr>
          <w:rFonts w:ascii="David" w:eastAsia="Calibri" w:hAnsi="David" w:hint="eastAsia"/>
          <w:b/>
          <w:bCs/>
          <w:rtl/>
        </w:rPr>
        <w:t>לאשר</w:t>
      </w:r>
      <w:r w:rsidRPr="00A81964">
        <w:rPr>
          <w:rFonts w:ascii="David" w:eastAsia="Calibri" w:hAnsi="David"/>
          <w:b/>
          <w:bCs/>
          <w:rtl/>
        </w:rPr>
        <w:t xml:space="preserve"> </w:t>
      </w:r>
      <w:r w:rsidRPr="00A81964">
        <w:rPr>
          <w:rFonts w:ascii="David" w:eastAsia="Calibri" w:hAnsi="David" w:hint="eastAsia"/>
          <w:b/>
          <w:bCs/>
          <w:rtl/>
        </w:rPr>
        <w:t>את</w:t>
      </w:r>
      <w:r w:rsidRPr="00A81964">
        <w:rPr>
          <w:rFonts w:ascii="David" w:eastAsia="Calibri" w:hAnsi="David"/>
          <w:b/>
          <w:bCs/>
          <w:rtl/>
        </w:rPr>
        <w:t xml:space="preserve"> </w:t>
      </w:r>
      <w:r w:rsidRPr="00A81964">
        <w:rPr>
          <w:rFonts w:ascii="David" w:eastAsia="Calibri" w:hAnsi="David" w:hint="eastAsia"/>
          <w:b/>
          <w:bCs/>
          <w:rtl/>
        </w:rPr>
        <w:t>תקציב</w:t>
      </w:r>
      <w:r w:rsidRPr="00A81964">
        <w:rPr>
          <w:rFonts w:ascii="David" w:eastAsia="Calibri" w:hAnsi="David"/>
          <w:b/>
          <w:bCs/>
          <w:rtl/>
        </w:rPr>
        <w:t xml:space="preserve"> </w:t>
      </w:r>
      <w:r w:rsidRPr="00A81964">
        <w:rPr>
          <w:rFonts w:ascii="David" w:eastAsia="Calibri" w:hAnsi="David" w:hint="eastAsia"/>
          <w:b/>
          <w:bCs/>
          <w:rtl/>
        </w:rPr>
        <w:t>המדינה</w:t>
      </w:r>
      <w:r w:rsidRPr="00A81964">
        <w:rPr>
          <w:rFonts w:ascii="David" w:eastAsia="Calibri" w:hAnsi="David"/>
          <w:b/>
          <w:bCs/>
          <w:rtl/>
        </w:rPr>
        <w:t xml:space="preserve">. </w:t>
      </w:r>
    </w:p>
    <w:p w:rsidR="006252C4" w:rsidRPr="00A81964" w:rsidRDefault="006252C4" w:rsidP="006252C4">
      <w:pPr>
        <w:spacing w:line="269" w:lineRule="auto"/>
        <w:rPr>
          <w:rtl/>
        </w:rPr>
      </w:pPr>
    </w:p>
    <w:p w:rsidR="006252C4" w:rsidRPr="00A81964" w:rsidRDefault="006252C4" w:rsidP="006252C4">
      <w:pPr>
        <w:pStyle w:val="31"/>
        <w:spacing w:before="0" w:line="269" w:lineRule="auto"/>
        <w:rPr>
          <w:rFonts w:eastAsia="Times New Roman"/>
          <w:rtl/>
        </w:rPr>
      </w:pPr>
      <w:r w:rsidRPr="00A81964">
        <w:rPr>
          <w:rFonts w:eastAsia="Times New Roman"/>
          <w:rtl/>
        </w:rPr>
        <w:t>הכנסות הקרן מהשקעות</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rtl/>
        </w:rPr>
      </w:pPr>
      <w:r w:rsidRPr="00A81964">
        <w:rPr>
          <w:rFonts w:ascii="David" w:eastAsia="Calibri" w:hAnsi="David"/>
          <w:rtl/>
        </w:rPr>
        <w:t>כאמור, בחוק נקבע כי "כספי קרן הפיצויים שלא הוצאו יושקעו בדרך שיורה שר האוצר; רווחי ההשקעות יצורפו לקרן הפיצויים ויהיו חלק ממנה"</w:t>
      </w:r>
      <w:r w:rsidRPr="00A81964">
        <w:rPr>
          <w:rFonts w:ascii="David" w:eastAsia="Calibri" w:hAnsi="David"/>
        </w:rPr>
        <w:t>.</w:t>
      </w:r>
      <w:r w:rsidRPr="00A81964">
        <w:rPr>
          <w:rFonts w:ascii="David" w:eastAsia="Calibri" w:hAnsi="David"/>
          <w:rtl/>
        </w:rPr>
        <w:t xml:space="preserve"> בהוראת התכ"</w:t>
      </w:r>
      <w:r>
        <w:rPr>
          <w:rFonts w:ascii="David" w:eastAsia="Calibri" w:hAnsi="David" w:hint="cs"/>
          <w:rtl/>
        </w:rPr>
        <w:t>ם</w:t>
      </w:r>
      <w:r w:rsidRPr="00A81964">
        <w:rPr>
          <w:rFonts w:ascii="David" w:eastAsia="Calibri" w:hAnsi="David"/>
          <w:vertAlign w:val="superscript"/>
          <w:rtl/>
        </w:rPr>
        <w:footnoteReference w:id="154"/>
      </w:r>
      <w:r w:rsidRPr="00A81964">
        <w:rPr>
          <w:rFonts w:ascii="David" w:eastAsia="Calibri" w:hAnsi="David"/>
          <w:rtl/>
        </w:rPr>
        <w:t xml:space="preserve"> נקבע כי חשב המשרד ינהל את הכספים המיועדים לפעילות של קרן חוץ תקציבית במסגרת פיקדון אצל החשב הכללי</w:t>
      </w:r>
      <w:r w:rsidRPr="00A81964">
        <w:rPr>
          <w:rFonts w:ascii="David" w:eastAsia="Calibri" w:hAnsi="David"/>
          <w:vertAlign w:val="superscript"/>
          <w:rtl/>
        </w:rPr>
        <w:footnoteReference w:id="155"/>
      </w:r>
      <w:r w:rsidRPr="00A81964">
        <w:rPr>
          <w:rFonts w:ascii="David" w:eastAsia="Calibri" w:hAnsi="David"/>
          <w:rtl/>
        </w:rPr>
        <w:t>.</w:t>
      </w:r>
    </w:p>
    <w:p w:rsidR="006252C4" w:rsidRPr="00491908" w:rsidRDefault="006252C4" w:rsidP="006252C4">
      <w:pPr>
        <w:spacing w:line="269" w:lineRule="auto"/>
        <w:rPr>
          <w:rtl/>
        </w:rPr>
      </w:pPr>
    </w:p>
    <w:p w:rsidR="006252C4" w:rsidRDefault="006252C4" w:rsidP="006252C4">
      <w:pPr>
        <w:pStyle w:val="4"/>
        <w:spacing w:before="0" w:line="269" w:lineRule="auto"/>
        <w:rPr>
          <w:rFonts w:eastAsia="Times New Roman"/>
          <w:rtl/>
        </w:rPr>
      </w:pPr>
      <w:r>
        <w:rPr>
          <w:rFonts w:eastAsia="Times New Roman" w:hint="cs"/>
          <w:rtl/>
        </w:rPr>
        <w:t>הסכם הפקדת כספי הקרן בפיקדון חשכ"ל</w:t>
      </w:r>
    </w:p>
    <w:p w:rsidR="006252C4" w:rsidRDefault="006252C4" w:rsidP="006252C4">
      <w:pPr>
        <w:pStyle w:val="a8"/>
        <w:spacing w:line="269" w:lineRule="auto"/>
        <w:rPr>
          <w:rtl/>
        </w:rPr>
      </w:pPr>
    </w:p>
    <w:p w:rsidR="006252C4" w:rsidRDefault="006252C4" w:rsidP="006252C4">
      <w:pPr>
        <w:spacing w:line="269" w:lineRule="auto"/>
        <w:rPr>
          <w:rFonts w:ascii="David" w:eastAsia="Calibri" w:hAnsi="David"/>
          <w:rtl/>
        </w:rPr>
      </w:pPr>
      <w:r w:rsidRPr="00A81964">
        <w:rPr>
          <w:rFonts w:ascii="David" w:eastAsia="Calibri" w:hAnsi="David" w:hint="cs"/>
          <w:rtl/>
        </w:rPr>
        <w:t>ב</w:t>
      </w:r>
      <w:r w:rsidRPr="00A81964">
        <w:rPr>
          <w:rFonts w:ascii="David" w:eastAsia="Calibri" w:hAnsi="David"/>
          <w:rtl/>
        </w:rPr>
        <w:t>הוראת התכ"</w:t>
      </w:r>
      <w:r w:rsidRPr="00A81964">
        <w:rPr>
          <w:rFonts w:ascii="David" w:eastAsia="Calibri" w:hAnsi="David" w:hint="cs"/>
          <w:rtl/>
        </w:rPr>
        <w:t>ם 2.2.9</w:t>
      </w:r>
      <w:r w:rsidRPr="00A81964">
        <w:rPr>
          <w:rFonts w:ascii="David" w:eastAsia="Calibri" w:hAnsi="David"/>
          <w:vertAlign w:val="superscript"/>
          <w:rtl/>
        </w:rPr>
        <w:footnoteReference w:id="156"/>
      </w:r>
      <w:r w:rsidRPr="00A81964">
        <w:rPr>
          <w:rFonts w:ascii="David" w:eastAsia="Calibri" w:hAnsi="David"/>
          <w:rtl/>
        </w:rPr>
        <w:t xml:space="preserve"> נקבע כי חשב המשרד יפנה ישירות לחשב מטה </w:t>
      </w:r>
      <w:r w:rsidRPr="00A81964">
        <w:rPr>
          <w:rFonts w:ascii="David" w:eastAsia="Calibri" w:hAnsi="David" w:hint="cs"/>
          <w:rtl/>
        </w:rPr>
        <w:t>החשכ"ל</w:t>
      </w:r>
      <w:r w:rsidRPr="00A81964">
        <w:rPr>
          <w:rFonts w:ascii="David" w:eastAsia="Calibri" w:hAnsi="David"/>
          <w:rtl/>
        </w:rPr>
        <w:t xml:space="preserve"> לצורך עריכת הסכם פ</w:t>
      </w:r>
      <w:r w:rsidRPr="00A81964">
        <w:rPr>
          <w:rFonts w:ascii="David" w:eastAsia="Calibri" w:hAnsi="David" w:hint="cs"/>
          <w:rtl/>
        </w:rPr>
        <w:t>י</w:t>
      </w:r>
      <w:r w:rsidRPr="00A81964">
        <w:rPr>
          <w:rFonts w:ascii="David" w:eastAsia="Calibri" w:hAnsi="David"/>
          <w:rtl/>
        </w:rPr>
        <w:t xml:space="preserve">קדון, אשר יכלול את העקרונות </w:t>
      </w:r>
      <w:r w:rsidRPr="00A81964">
        <w:rPr>
          <w:rFonts w:ascii="David" w:eastAsia="Calibri" w:hAnsi="David" w:hint="cs"/>
          <w:rtl/>
        </w:rPr>
        <w:t>האלו</w:t>
      </w:r>
      <w:r w:rsidRPr="00A81964">
        <w:rPr>
          <w:rFonts w:ascii="David" w:eastAsia="Calibri" w:hAnsi="David"/>
          <w:vertAlign w:val="superscript"/>
          <w:rtl/>
        </w:rPr>
        <w:footnoteReference w:id="157"/>
      </w:r>
      <w:r w:rsidRPr="00A81964">
        <w:rPr>
          <w:rFonts w:ascii="David" w:eastAsia="Calibri" w:hAnsi="David"/>
          <w:rtl/>
        </w:rPr>
        <w:t xml:space="preserve">: </w:t>
      </w:r>
    </w:p>
    <w:p w:rsidR="006252C4" w:rsidRPr="00A81964" w:rsidRDefault="006252C4" w:rsidP="006252C4">
      <w:pPr>
        <w:spacing w:line="269" w:lineRule="auto"/>
        <w:rPr>
          <w:rFonts w:ascii="David" w:eastAsia="Calibri" w:hAnsi="David"/>
          <w:rtl/>
        </w:rPr>
      </w:pPr>
    </w:p>
    <w:p w:rsidR="006252C4" w:rsidRPr="00A81964" w:rsidRDefault="006252C4" w:rsidP="006252C4">
      <w:pPr>
        <w:numPr>
          <w:ilvl w:val="0"/>
          <w:numId w:val="35"/>
        </w:numPr>
        <w:spacing w:line="269" w:lineRule="auto"/>
        <w:contextualSpacing/>
        <w:rPr>
          <w:rFonts w:ascii="David" w:eastAsia="Calibri" w:hAnsi="David"/>
          <w:rtl/>
        </w:rPr>
      </w:pPr>
      <w:r w:rsidRPr="00A81964">
        <w:rPr>
          <w:rFonts w:ascii="David" w:eastAsia="Calibri" w:hAnsi="David"/>
          <w:rtl/>
        </w:rPr>
        <w:t>תיאור כללי של מקור הכספים ומטרת</w:t>
      </w:r>
      <w:r w:rsidRPr="00A81964">
        <w:rPr>
          <w:rFonts w:ascii="David" w:eastAsia="Calibri" w:hAnsi="David" w:hint="cs"/>
          <w:rtl/>
        </w:rPr>
        <w:t>ם;</w:t>
      </w:r>
    </w:p>
    <w:p w:rsidR="006252C4" w:rsidRPr="00A81964" w:rsidRDefault="006252C4" w:rsidP="006252C4">
      <w:pPr>
        <w:numPr>
          <w:ilvl w:val="0"/>
          <w:numId w:val="35"/>
        </w:numPr>
        <w:spacing w:line="269" w:lineRule="auto"/>
        <w:contextualSpacing/>
        <w:rPr>
          <w:rFonts w:ascii="David" w:eastAsia="Calibri" w:hAnsi="David"/>
        </w:rPr>
      </w:pPr>
      <w:r w:rsidRPr="00A81964">
        <w:rPr>
          <w:rFonts w:ascii="David" w:eastAsia="Calibri" w:hAnsi="David"/>
          <w:rtl/>
        </w:rPr>
        <w:t>קביעת התנאים הכללי</w:t>
      </w:r>
      <w:r w:rsidRPr="00A81964">
        <w:rPr>
          <w:rFonts w:ascii="David" w:eastAsia="Calibri" w:hAnsi="David" w:hint="cs"/>
          <w:rtl/>
        </w:rPr>
        <w:t>י</w:t>
      </w:r>
      <w:r w:rsidRPr="00A81964">
        <w:rPr>
          <w:rFonts w:ascii="David" w:eastAsia="Calibri" w:hAnsi="David"/>
          <w:rtl/>
        </w:rPr>
        <w:t xml:space="preserve">ם של ההפקדה: </w:t>
      </w:r>
    </w:p>
    <w:p w:rsidR="006252C4" w:rsidRPr="00A81964" w:rsidRDefault="006252C4" w:rsidP="006252C4">
      <w:pPr>
        <w:numPr>
          <w:ilvl w:val="1"/>
          <w:numId w:val="35"/>
        </w:numPr>
        <w:spacing w:line="269" w:lineRule="auto"/>
        <w:ind w:left="708"/>
        <w:contextualSpacing/>
        <w:rPr>
          <w:rFonts w:ascii="David" w:eastAsia="Calibri" w:hAnsi="David"/>
        </w:rPr>
      </w:pPr>
      <w:r w:rsidRPr="00A81964">
        <w:rPr>
          <w:rFonts w:ascii="David" w:eastAsia="Calibri" w:hAnsi="David"/>
          <w:rtl/>
        </w:rPr>
        <w:t>שיטת החזר ההפקדה - על פי דרישה או בהתאם ללוח סילוקין ש</w:t>
      </w:r>
      <w:r w:rsidRPr="00A81964">
        <w:rPr>
          <w:rFonts w:ascii="David" w:eastAsia="Calibri" w:hAnsi="David" w:hint="cs"/>
          <w:rtl/>
        </w:rPr>
        <w:t>י</w:t>
      </w:r>
      <w:r w:rsidRPr="00A81964">
        <w:rPr>
          <w:rFonts w:ascii="David" w:eastAsia="Calibri" w:hAnsi="David"/>
          <w:rtl/>
        </w:rPr>
        <w:t>יקבע מראש</w:t>
      </w:r>
      <w:r w:rsidRPr="00A81964">
        <w:rPr>
          <w:rFonts w:ascii="David" w:eastAsia="Calibri" w:hAnsi="David" w:hint="cs"/>
          <w:rtl/>
        </w:rPr>
        <w:t>;</w:t>
      </w:r>
    </w:p>
    <w:p w:rsidR="006252C4" w:rsidRPr="00A81964" w:rsidRDefault="006252C4" w:rsidP="006252C4">
      <w:pPr>
        <w:numPr>
          <w:ilvl w:val="1"/>
          <w:numId w:val="35"/>
        </w:numPr>
        <w:spacing w:line="269" w:lineRule="auto"/>
        <w:ind w:left="708"/>
        <w:contextualSpacing/>
        <w:rPr>
          <w:rFonts w:ascii="David" w:eastAsia="Calibri" w:hAnsi="David"/>
        </w:rPr>
      </w:pPr>
      <w:r w:rsidRPr="00A81964">
        <w:rPr>
          <w:rFonts w:ascii="David" w:eastAsia="Calibri" w:hAnsi="David"/>
          <w:rtl/>
        </w:rPr>
        <w:t xml:space="preserve"> הפקדה צמודה או נומינלית (כולל בסיס ההצמדה) ופירוט של ערך </w:t>
      </w:r>
      <w:r w:rsidRPr="00A81964">
        <w:rPr>
          <w:rFonts w:ascii="David" w:eastAsia="Calibri" w:hAnsi="David" w:hint="cs"/>
          <w:rtl/>
        </w:rPr>
        <w:t>ה</w:t>
      </w:r>
      <w:r w:rsidRPr="00A81964">
        <w:rPr>
          <w:rFonts w:ascii="David" w:eastAsia="Calibri" w:hAnsi="David"/>
          <w:rtl/>
        </w:rPr>
        <w:t xml:space="preserve">מדד או שער </w:t>
      </w:r>
      <w:r w:rsidRPr="00A81964">
        <w:rPr>
          <w:rFonts w:ascii="David" w:eastAsia="Calibri" w:hAnsi="David" w:hint="cs"/>
          <w:rtl/>
        </w:rPr>
        <w:t>ה</w:t>
      </w:r>
      <w:r w:rsidRPr="00A81964">
        <w:rPr>
          <w:rFonts w:ascii="David" w:eastAsia="Calibri" w:hAnsi="David"/>
          <w:rtl/>
        </w:rPr>
        <w:t>בסיס</w:t>
      </w:r>
      <w:r w:rsidRPr="00A81964">
        <w:rPr>
          <w:rFonts w:ascii="David" w:eastAsia="Calibri" w:hAnsi="David" w:hint="cs"/>
          <w:rtl/>
        </w:rPr>
        <w:t>;</w:t>
      </w:r>
    </w:p>
    <w:p w:rsidR="006252C4" w:rsidRPr="00A81964" w:rsidRDefault="006252C4" w:rsidP="006252C4">
      <w:pPr>
        <w:numPr>
          <w:ilvl w:val="1"/>
          <w:numId w:val="35"/>
        </w:numPr>
        <w:spacing w:line="269" w:lineRule="auto"/>
        <w:ind w:left="708"/>
        <w:contextualSpacing/>
        <w:rPr>
          <w:rFonts w:ascii="David" w:eastAsia="Calibri" w:hAnsi="David"/>
        </w:rPr>
      </w:pPr>
      <w:r w:rsidRPr="00A81964">
        <w:rPr>
          <w:rFonts w:ascii="David" w:eastAsia="Calibri" w:hAnsi="David"/>
          <w:rtl/>
        </w:rPr>
        <w:t>הנחיות בנוגע לריבית על הפקדה:</w:t>
      </w:r>
    </w:p>
    <w:p w:rsidR="006252C4" w:rsidRPr="00A81964" w:rsidRDefault="006252C4" w:rsidP="006252C4">
      <w:pPr>
        <w:numPr>
          <w:ilvl w:val="2"/>
          <w:numId w:val="35"/>
        </w:numPr>
        <w:spacing w:line="269" w:lineRule="auto"/>
        <w:ind w:left="1417"/>
        <w:contextualSpacing/>
        <w:rPr>
          <w:rFonts w:ascii="David" w:eastAsia="Calibri" w:hAnsi="David"/>
        </w:rPr>
      </w:pPr>
      <w:r w:rsidRPr="00A81964">
        <w:rPr>
          <w:rFonts w:ascii="David" w:eastAsia="Calibri" w:hAnsi="David"/>
          <w:rtl/>
        </w:rPr>
        <w:t xml:space="preserve">סוג הריבית </w:t>
      </w:r>
      <w:r w:rsidRPr="00A81964">
        <w:rPr>
          <w:rFonts w:ascii="David" w:eastAsia="Calibri" w:hAnsi="David" w:hint="cs"/>
          <w:rtl/>
        </w:rPr>
        <w:t>-</w:t>
      </w:r>
      <w:r w:rsidRPr="00A81964">
        <w:rPr>
          <w:rFonts w:ascii="David" w:eastAsia="Calibri" w:hAnsi="David"/>
          <w:rtl/>
        </w:rPr>
        <w:t xml:space="preserve"> שיעור ריבית קבועה, משתנה או הפקדה ללא ריבית</w:t>
      </w:r>
      <w:r w:rsidRPr="00A81964">
        <w:rPr>
          <w:rFonts w:ascii="David" w:eastAsia="Calibri" w:hAnsi="David" w:hint="cs"/>
          <w:rtl/>
        </w:rPr>
        <w:t>;</w:t>
      </w:r>
    </w:p>
    <w:p w:rsidR="006252C4" w:rsidRPr="00A81964" w:rsidRDefault="006252C4" w:rsidP="006252C4">
      <w:pPr>
        <w:numPr>
          <w:ilvl w:val="2"/>
          <w:numId w:val="35"/>
        </w:numPr>
        <w:spacing w:line="269" w:lineRule="auto"/>
        <w:ind w:left="1417"/>
        <w:contextualSpacing/>
        <w:rPr>
          <w:rFonts w:ascii="David" w:eastAsia="Calibri" w:hAnsi="David"/>
        </w:rPr>
      </w:pPr>
      <w:r w:rsidRPr="00A81964">
        <w:rPr>
          <w:rFonts w:ascii="David" w:eastAsia="Calibri" w:hAnsi="David"/>
          <w:rtl/>
        </w:rPr>
        <w:t xml:space="preserve">קביעת שיעור הריבית </w:t>
      </w:r>
      <w:r w:rsidRPr="00A81964">
        <w:rPr>
          <w:rFonts w:ascii="David" w:eastAsia="Calibri" w:hAnsi="David" w:hint="cs"/>
          <w:rtl/>
        </w:rPr>
        <w:t>ע</w:t>
      </w:r>
      <w:r w:rsidRPr="00A81964">
        <w:rPr>
          <w:rFonts w:ascii="David" w:eastAsia="Calibri" w:hAnsi="David"/>
          <w:rtl/>
        </w:rPr>
        <w:t>ל ההפקדה</w:t>
      </w:r>
      <w:r w:rsidRPr="00A81964">
        <w:rPr>
          <w:rFonts w:ascii="David" w:eastAsia="Calibri" w:hAnsi="David" w:hint="cs"/>
          <w:rtl/>
        </w:rPr>
        <w:t>;</w:t>
      </w:r>
    </w:p>
    <w:p w:rsidR="006252C4" w:rsidRPr="00A81964" w:rsidRDefault="006252C4" w:rsidP="006252C4">
      <w:pPr>
        <w:numPr>
          <w:ilvl w:val="2"/>
          <w:numId w:val="35"/>
        </w:numPr>
        <w:spacing w:line="269" w:lineRule="auto"/>
        <w:ind w:left="1417"/>
        <w:contextualSpacing/>
        <w:rPr>
          <w:rFonts w:ascii="David" w:eastAsia="Calibri" w:hAnsi="David"/>
        </w:rPr>
      </w:pPr>
      <w:r w:rsidRPr="00A81964">
        <w:rPr>
          <w:rFonts w:ascii="David" w:eastAsia="Calibri" w:hAnsi="David"/>
          <w:rtl/>
        </w:rPr>
        <w:t xml:space="preserve"> יום חישוב הריבית</w:t>
      </w:r>
      <w:r w:rsidRPr="00A81964">
        <w:rPr>
          <w:rFonts w:ascii="David" w:eastAsia="Calibri" w:hAnsi="David" w:hint="cs"/>
          <w:rtl/>
        </w:rPr>
        <w:t>;</w:t>
      </w:r>
    </w:p>
    <w:p w:rsidR="006252C4" w:rsidRPr="00A81964" w:rsidRDefault="006252C4" w:rsidP="006252C4">
      <w:pPr>
        <w:numPr>
          <w:ilvl w:val="2"/>
          <w:numId w:val="35"/>
        </w:numPr>
        <w:spacing w:line="269" w:lineRule="auto"/>
        <w:ind w:left="1417"/>
        <w:contextualSpacing/>
        <w:rPr>
          <w:rFonts w:ascii="David" w:eastAsia="Calibri" w:hAnsi="David"/>
        </w:rPr>
      </w:pPr>
      <w:r w:rsidRPr="00A81964">
        <w:rPr>
          <w:rFonts w:ascii="David" w:eastAsia="Calibri" w:hAnsi="David"/>
          <w:rtl/>
        </w:rPr>
        <w:t>שיטת חישוב הריבית וצבירתה</w:t>
      </w:r>
      <w:r w:rsidRPr="00A81964">
        <w:rPr>
          <w:rFonts w:ascii="David" w:eastAsia="Calibri" w:hAnsi="David" w:hint="cs"/>
          <w:rtl/>
        </w:rPr>
        <w:t>;</w:t>
      </w:r>
    </w:p>
    <w:p w:rsidR="006252C4" w:rsidRPr="00A81964" w:rsidRDefault="006252C4" w:rsidP="006252C4">
      <w:pPr>
        <w:numPr>
          <w:ilvl w:val="2"/>
          <w:numId w:val="35"/>
        </w:numPr>
        <w:spacing w:line="269" w:lineRule="auto"/>
        <w:ind w:left="1417"/>
        <w:contextualSpacing/>
        <w:rPr>
          <w:rFonts w:ascii="David" w:eastAsia="Calibri" w:hAnsi="David"/>
        </w:rPr>
      </w:pPr>
      <w:r w:rsidRPr="00A81964">
        <w:rPr>
          <w:rFonts w:ascii="David" w:eastAsia="Calibri" w:hAnsi="David"/>
          <w:rtl/>
        </w:rPr>
        <w:t xml:space="preserve">המועדים </w:t>
      </w:r>
      <w:r w:rsidRPr="00A81964">
        <w:rPr>
          <w:rFonts w:ascii="David" w:eastAsia="Calibri" w:hAnsi="David" w:hint="cs"/>
          <w:rtl/>
        </w:rPr>
        <w:t>ש</w:t>
      </w:r>
      <w:r w:rsidRPr="00A81964">
        <w:rPr>
          <w:rFonts w:ascii="David" w:eastAsia="Calibri" w:hAnsi="David"/>
          <w:rtl/>
        </w:rPr>
        <w:t>בהם יחולו שינויים בשיעורי הריבית (בהפקדה בריבית משתנה).</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Fonts w:hint="cs"/>
          <w:rtl/>
        </w:rPr>
        <w:t>כן</w:t>
      </w:r>
      <w:r w:rsidRPr="00A81964">
        <w:rPr>
          <w:rtl/>
        </w:rPr>
        <w:t xml:space="preserve"> נקבע בסעיף 2.4.3 </w:t>
      </w:r>
      <w:r w:rsidRPr="00A81964">
        <w:rPr>
          <w:rFonts w:hint="cs"/>
          <w:rtl/>
        </w:rPr>
        <w:t xml:space="preserve">להוראה </w:t>
      </w:r>
      <w:r w:rsidRPr="00A81964">
        <w:rPr>
          <w:rtl/>
        </w:rPr>
        <w:t xml:space="preserve">כי חשב המשרד יפנה ישירות לסגן בכיר </w:t>
      </w:r>
      <w:r w:rsidRPr="00A81964">
        <w:rPr>
          <w:rFonts w:hint="cs"/>
          <w:rtl/>
        </w:rPr>
        <w:t xml:space="preserve">לחשכ"ל </w:t>
      </w:r>
      <w:r w:rsidRPr="00A81964">
        <w:rPr>
          <w:rtl/>
        </w:rPr>
        <w:t xml:space="preserve">המנהל את חטיבת המימון לצורך הסדרת תנאי ההצמדה, מתן </w:t>
      </w:r>
      <w:r w:rsidRPr="00A81964">
        <w:rPr>
          <w:rFonts w:hint="cs"/>
          <w:rtl/>
        </w:rPr>
        <w:t>ה</w:t>
      </w:r>
      <w:r w:rsidRPr="00A81964">
        <w:rPr>
          <w:rtl/>
        </w:rPr>
        <w:t>ריבית ושיעור הריבית על הכספים המופקדים.</w:t>
      </w:r>
    </w:p>
    <w:p w:rsidR="006252C4" w:rsidRDefault="006252C4" w:rsidP="006252C4">
      <w:pPr>
        <w:pStyle w:val="a8"/>
        <w:spacing w:line="269" w:lineRule="auto"/>
        <w:rPr>
          <w:rtl/>
        </w:rPr>
      </w:pPr>
    </w:p>
    <w:p w:rsidR="006252C4" w:rsidRPr="00A81964" w:rsidRDefault="006252C4" w:rsidP="006252C4">
      <w:pPr>
        <w:spacing w:line="269" w:lineRule="auto"/>
        <w:rPr>
          <w:rtl/>
        </w:rPr>
      </w:pPr>
      <w:r w:rsidRPr="00A81964">
        <w:rPr>
          <w:rtl/>
        </w:rPr>
        <w:t>בסעיף 2.1.5.3.3 להוראה נקבע כי "בעת קבלת ריבית מהחשב הכללי, בהתאם להסכם שייקבע עימו, יזוכה תקציב ההכנסות של המשרד, בסכום הכנסות הריבית".</w:t>
      </w:r>
    </w:p>
    <w:p w:rsidR="006252C4" w:rsidRDefault="006252C4" w:rsidP="006252C4">
      <w:pPr>
        <w:pStyle w:val="a8"/>
        <w:spacing w:line="269" w:lineRule="auto"/>
        <w:rPr>
          <w:rtl/>
        </w:rPr>
      </w:pPr>
    </w:p>
    <w:p w:rsidR="006252C4" w:rsidRPr="00A81964" w:rsidRDefault="006252C4" w:rsidP="006252C4">
      <w:pPr>
        <w:spacing w:line="269" w:lineRule="auto"/>
      </w:pPr>
      <w:bookmarkStart w:id="36" w:name="_Hlk188459432"/>
      <w:r w:rsidRPr="00A81964">
        <w:rPr>
          <w:rtl/>
        </w:rPr>
        <w:t xml:space="preserve">במכתב מיום 24.6.91 הודיע </w:t>
      </w:r>
      <w:r w:rsidRPr="00A81964">
        <w:rPr>
          <w:rFonts w:hint="cs"/>
          <w:rtl/>
        </w:rPr>
        <w:t xml:space="preserve">החשכ"ל דאז </w:t>
      </w:r>
      <w:r w:rsidRPr="00A81964">
        <w:rPr>
          <w:rtl/>
        </w:rPr>
        <w:t xml:space="preserve">לנציב מס הכנסה דאז כי </w:t>
      </w:r>
      <w:r>
        <w:rPr>
          <w:rFonts w:hint="cs"/>
          <w:rtl/>
        </w:rPr>
        <w:t xml:space="preserve">החל ביום 1.1.1989 </w:t>
      </w:r>
      <w:r w:rsidRPr="00A81964">
        <w:rPr>
          <w:rtl/>
        </w:rPr>
        <w:t xml:space="preserve">פיקדון בגין קרן ארנונה לפיצויים לנזקי איבה יישא ריבית בשיעור 2/3 מריבית החשב הכללי בחישוב רבעוני. אגף </w:t>
      </w:r>
      <w:r w:rsidRPr="00A81964">
        <w:rPr>
          <w:rFonts w:hint="cs"/>
          <w:rtl/>
        </w:rPr>
        <w:t xml:space="preserve">החשכ"ל </w:t>
      </w:r>
      <w:r w:rsidRPr="00A81964">
        <w:rPr>
          <w:rtl/>
        </w:rPr>
        <w:t>מסר לצוות הביקורת</w:t>
      </w:r>
      <w:r w:rsidRPr="00A81964">
        <w:rPr>
          <w:rStyle w:val="af2"/>
          <w:rFonts w:ascii="David" w:eastAsia="Calibri" w:hAnsi="David"/>
          <w:rtl/>
        </w:rPr>
        <w:footnoteReference w:id="158"/>
      </w:r>
      <w:r w:rsidRPr="00A81964">
        <w:rPr>
          <w:rFonts w:hint="cs"/>
          <w:rtl/>
        </w:rPr>
        <w:t xml:space="preserve"> כי </w:t>
      </w:r>
      <w:r w:rsidRPr="00A81964">
        <w:rPr>
          <w:rtl/>
        </w:rPr>
        <w:t xml:space="preserve">החשבונאי הראשי דאז </w:t>
      </w:r>
      <w:r w:rsidRPr="00A81964">
        <w:rPr>
          <w:rFonts w:hint="cs"/>
          <w:rtl/>
        </w:rPr>
        <w:t xml:space="preserve">החליט </w:t>
      </w:r>
      <w:r w:rsidRPr="00A81964">
        <w:rPr>
          <w:rtl/>
        </w:rPr>
        <w:t>להפחית את שיעור הריבית לכל הפיקדונות</w:t>
      </w:r>
      <w:r w:rsidRPr="00A81964">
        <w:rPr>
          <w:rFonts w:hint="cs"/>
          <w:rtl/>
        </w:rPr>
        <w:t>,</w:t>
      </w:r>
      <w:r w:rsidRPr="00A81964">
        <w:rPr>
          <w:rtl/>
        </w:rPr>
        <w:t xml:space="preserve"> </w:t>
      </w:r>
      <w:r w:rsidRPr="00A81964">
        <w:rPr>
          <w:rFonts w:hint="cs"/>
          <w:rtl/>
        </w:rPr>
        <w:t xml:space="preserve">וכי </w:t>
      </w:r>
      <w:r w:rsidRPr="00A81964">
        <w:rPr>
          <w:rtl/>
        </w:rPr>
        <w:lastRenderedPageBreak/>
        <w:t>שיעור הריבית הנצבר בכל רבעון ליתרת קרן הפיצויים הוא 0.75%</w:t>
      </w:r>
      <w:r w:rsidRPr="00A81964">
        <w:rPr>
          <w:rFonts w:hint="cs"/>
          <w:rtl/>
        </w:rPr>
        <w:t xml:space="preserve"> ב</w:t>
      </w:r>
      <w:r w:rsidRPr="00A81964">
        <w:rPr>
          <w:rtl/>
        </w:rPr>
        <w:t>ריבית קבועה. מאגף החשכ"ל נמסר כי לא נערך הסכם</w:t>
      </w:r>
      <w:r>
        <w:rPr>
          <w:rFonts w:hint="cs"/>
          <w:rtl/>
        </w:rPr>
        <w:t xml:space="preserve"> פיקדון</w:t>
      </w:r>
      <w:r w:rsidRPr="00A81964">
        <w:rPr>
          <w:rtl/>
        </w:rPr>
        <w:t xml:space="preserve"> בין חשב רשות המיסים לחשכ"ל, אלא </w:t>
      </w:r>
      <w:r w:rsidRPr="00A81964">
        <w:rPr>
          <w:rFonts w:hint="cs"/>
          <w:rtl/>
        </w:rPr>
        <w:t>ה</w:t>
      </w:r>
      <w:r w:rsidRPr="00A81964">
        <w:rPr>
          <w:rtl/>
        </w:rPr>
        <w:t xml:space="preserve">חשכ"ל </w:t>
      </w:r>
      <w:r w:rsidRPr="00A81964">
        <w:rPr>
          <w:rFonts w:hint="cs"/>
          <w:rtl/>
        </w:rPr>
        <w:t>עדכן</w:t>
      </w:r>
      <w:r w:rsidRPr="00A81964">
        <w:rPr>
          <w:rtl/>
        </w:rPr>
        <w:t xml:space="preserve"> את הרשות על הפחתת שיעור הריבית. מבדיקת צוות הביקורת עולה כי ריבית קבועה בשיעור של 0.75 אחוז נצברה לקרן החל </w:t>
      </w:r>
      <w:r w:rsidRPr="00A81964">
        <w:rPr>
          <w:rFonts w:hint="cs"/>
          <w:rtl/>
        </w:rPr>
        <w:t>ב</w:t>
      </w:r>
      <w:r w:rsidRPr="00A81964">
        <w:rPr>
          <w:rtl/>
        </w:rPr>
        <w:t xml:space="preserve">רבעון </w:t>
      </w:r>
      <w:r w:rsidRPr="00A81964">
        <w:rPr>
          <w:rFonts w:hint="cs"/>
          <w:rtl/>
        </w:rPr>
        <w:t>ה</w:t>
      </w:r>
      <w:r w:rsidRPr="00A81964">
        <w:rPr>
          <w:rtl/>
        </w:rPr>
        <w:t xml:space="preserve">ראשון </w:t>
      </w:r>
      <w:r w:rsidRPr="00A81964">
        <w:rPr>
          <w:rFonts w:hint="cs"/>
          <w:rtl/>
        </w:rPr>
        <w:t>ל</w:t>
      </w:r>
      <w:r w:rsidRPr="00A81964">
        <w:rPr>
          <w:rtl/>
        </w:rPr>
        <w:t>שנת 2019.</w:t>
      </w:r>
    </w:p>
    <w:bookmarkEnd w:id="36"/>
    <w:p w:rsidR="006252C4" w:rsidRDefault="006252C4" w:rsidP="006252C4">
      <w:pPr>
        <w:pStyle w:val="a8"/>
        <w:spacing w:line="269" w:lineRule="auto"/>
        <w:rPr>
          <w:rtl/>
        </w:rPr>
      </w:pPr>
    </w:p>
    <w:p w:rsidR="006252C4" w:rsidRDefault="006252C4" w:rsidP="006252C4">
      <w:pPr>
        <w:spacing w:line="269" w:lineRule="auto"/>
        <w:rPr>
          <w:b/>
          <w:bCs/>
          <w:rtl/>
        </w:rPr>
      </w:pPr>
      <w:r w:rsidRPr="00A81964">
        <w:rPr>
          <w:b/>
          <w:bCs/>
          <w:rtl/>
        </w:rPr>
        <w:t>נמצא כי על אף האמור בהוראות התכ"</w:t>
      </w:r>
      <w:r>
        <w:rPr>
          <w:rFonts w:hint="cs"/>
          <w:b/>
          <w:bCs/>
          <w:rtl/>
        </w:rPr>
        <w:t>ם</w:t>
      </w:r>
      <w:r w:rsidRPr="00A81964">
        <w:rPr>
          <w:b/>
          <w:bCs/>
          <w:rtl/>
        </w:rPr>
        <w:t>,</w:t>
      </w:r>
      <w:r w:rsidRPr="00A81964">
        <w:rPr>
          <w:rFonts w:hint="cs"/>
          <w:b/>
          <w:bCs/>
          <w:rtl/>
        </w:rPr>
        <w:t xml:space="preserve"> </w:t>
      </w:r>
      <w:r>
        <w:rPr>
          <w:rFonts w:hint="cs"/>
          <w:b/>
          <w:bCs/>
          <w:rtl/>
        </w:rPr>
        <w:t>ש</w:t>
      </w:r>
      <w:r w:rsidRPr="00A81964">
        <w:rPr>
          <w:rFonts w:hint="cs"/>
          <w:b/>
          <w:bCs/>
          <w:rtl/>
        </w:rPr>
        <w:t>בה</w:t>
      </w:r>
      <w:r>
        <w:rPr>
          <w:rFonts w:hint="cs"/>
          <w:b/>
          <w:bCs/>
          <w:rtl/>
        </w:rPr>
        <w:t>ן</w:t>
      </w:r>
      <w:r w:rsidRPr="00A81964">
        <w:rPr>
          <w:rFonts w:hint="cs"/>
          <w:b/>
          <w:bCs/>
          <w:rtl/>
        </w:rPr>
        <w:t xml:space="preserve"> נקבע כי בעת הפקדת כספים בחשבון החשב הכללי יש לערוך הסכם פ</w:t>
      </w:r>
      <w:r>
        <w:rPr>
          <w:rFonts w:hint="cs"/>
          <w:b/>
          <w:bCs/>
          <w:rtl/>
        </w:rPr>
        <w:t>י</w:t>
      </w:r>
      <w:r w:rsidRPr="00A81964">
        <w:rPr>
          <w:rFonts w:hint="cs"/>
          <w:b/>
          <w:bCs/>
          <w:rtl/>
        </w:rPr>
        <w:t>קדון, אשר יכלול את מטרת הפקדת הכספים ותנאי ההפקדה, החשכ"ל</w:t>
      </w:r>
      <w:r w:rsidRPr="00A81964">
        <w:rPr>
          <w:b/>
          <w:bCs/>
          <w:rtl/>
        </w:rPr>
        <w:t xml:space="preserve"> </w:t>
      </w:r>
      <w:r w:rsidRPr="00A81964">
        <w:rPr>
          <w:rFonts w:hint="cs"/>
          <w:b/>
          <w:bCs/>
          <w:rtl/>
        </w:rPr>
        <w:t>ו</w:t>
      </w:r>
      <w:r w:rsidRPr="00A81964">
        <w:rPr>
          <w:b/>
          <w:bCs/>
          <w:rtl/>
        </w:rPr>
        <w:t>רשות המיסים</w:t>
      </w:r>
      <w:r w:rsidRPr="00A81964">
        <w:rPr>
          <w:rFonts w:hint="cs"/>
          <w:b/>
          <w:bCs/>
          <w:rtl/>
        </w:rPr>
        <w:t xml:space="preserve"> לא ערכו הסכם</w:t>
      </w:r>
      <w:r w:rsidRPr="00A81964">
        <w:rPr>
          <w:b/>
          <w:bCs/>
          <w:rtl/>
        </w:rPr>
        <w:t xml:space="preserve"> בעניין הפקדת כספי הקרן בפ</w:t>
      </w:r>
      <w:r>
        <w:rPr>
          <w:rFonts w:hint="cs"/>
          <w:b/>
          <w:bCs/>
          <w:rtl/>
        </w:rPr>
        <w:t>י</w:t>
      </w:r>
      <w:r w:rsidRPr="00A81964">
        <w:rPr>
          <w:b/>
          <w:bCs/>
          <w:rtl/>
        </w:rPr>
        <w:t>קדון חשכ"ל, וממילא לא פורטו בכתב העקרונות המפורטים בהוראת התכ"ם 2</w:t>
      </w:r>
      <w:r w:rsidRPr="00A81964">
        <w:rPr>
          <w:rFonts w:hint="cs"/>
          <w:b/>
          <w:bCs/>
          <w:rtl/>
        </w:rPr>
        <w:t>.2</w:t>
      </w:r>
      <w:r w:rsidRPr="00A81964">
        <w:rPr>
          <w:b/>
          <w:bCs/>
          <w:rtl/>
        </w:rPr>
        <w:t xml:space="preserve">.9. זאת ועוד, משנת 1989 ועד למועד </w:t>
      </w:r>
      <w:r w:rsidRPr="00A81964">
        <w:rPr>
          <w:rFonts w:hint="cs"/>
          <w:b/>
          <w:bCs/>
          <w:rtl/>
        </w:rPr>
        <w:t xml:space="preserve">סיום </w:t>
      </w:r>
      <w:r w:rsidRPr="00A81964">
        <w:rPr>
          <w:b/>
          <w:bCs/>
          <w:rtl/>
        </w:rPr>
        <w:t>הביקורת</w:t>
      </w:r>
      <w:r w:rsidRPr="00A81964">
        <w:rPr>
          <w:rFonts w:hint="cs"/>
          <w:b/>
          <w:bCs/>
          <w:rtl/>
        </w:rPr>
        <w:t xml:space="preserve"> (דצמבר 2024)</w:t>
      </w:r>
      <w:r w:rsidRPr="00A81964">
        <w:rPr>
          <w:b/>
          <w:bCs/>
          <w:rtl/>
        </w:rPr>
        <w:t xml:space="preserve"> הוחלט פעם אחת בלבד על שינוי תנאי ההפקדה והריבית.</w:t>
      </w:r>
    </w:p>
    <w:p w:rsidR="006252C4" w:rsidRDefault="006252C4" w:rsidP="006252C4">
      <w:pPr>
        <w:pStyle w:val="a8"/>
        <w:spacing w:line="269" w:lineRule="auto"/>
        <w:rPr>
          <w:rtl/>
        </w:rPr>
      </w:pPr>
    </w:p>
    <w:p w:rsidR="006252C4" w:rsidRDefault="006252C4" w:rsidP="006252C4">
      <w:pPr>
        <w:spacing w:line="269" w:lineRule="auto"/>
        <w:rPr>
          <w:b/>
          <w:bCs/>
          <w:rtl/>
        </w:rPr>
      </w:pPr>
      <w:r w:rsidRPr="00A81964">
        <w:rPr>
          <w:b/>
          <w:bCs/>
          <w:rtl/>
        </w:rPr>
        <w:t xml:space="preserve">על </w:t>
      </w:r>
      <w:r w:rsidRPr="00A81964">
        <w:rPr>
          <w:rFonts w:hint="cs"/>
          <w:b/>
          <w:bCs/>
          <w:rtl/>
        </w:rPr>
        <w:t>ה</w:t>
      </w:r>
      <w:r w:rsidRPr="00A81964">
        <w:rPr>
          <w:b/>
          <w:bCs/>
          <w:rtl/>
        </w:rPr>
        <w:t>חשכ"ל ורשות המיסים לפעול ב</w:t>
      </w:r>
      <w:r w:rsidRPr="00A81964">
        <w:rPr>
          <w:rFonts w:hint="cs"/>
          <w:b/>
          <w:bCs/>
          <w:rtl/>
        </w:rPr>
        <w:t>ה</w:t>
      </w:r>
      <w:r w:rsidRPr="00A81964">
        <w:rPr>
          <w:b/>
          <w:bCs/>
          <w:rtl/>
        </w:rPr>
        <w:t>תאם להוראות התכ"ם ולערוך הסכם</w:t>
      </w:r>
      <w:r>
        <w:rPr>
          <w:rFonts w:hint="cs"/>
          <w:b/>
          <w:bCs/>
          <w:rtl/>
        </w:rPr>
        <w:t xml:space="preserve"> פיקדון</w:t>
      </w:r>
      <w:r w:rsidRPr="00A81964">
        <w:rPr>
          <w:b/>
          <w:bCs/>
          <w:rtl/>
        </w:rPr>
        <w:t xml:space="preserve"> כנדרש </w:t>
      </w:r>
      <w:r w:rsidRPr="00A81964">
        <w:rPr>
          <w:rFonts w:hint="cs"/>
          <w:b/>
          <w:bCs/>
          <w:rtl/>
        </w:rPr>
        <w:t>בהן</w:t>
      </w:r>
      <w:r w:rsidRPr="00A81964">
        <w:rPr>
          <w:b/>
          <w:bCs/>
          <w:rtl/>
        </w:rPr>
        <w:t xml:space="preserve">. </w:t>
      </w:r>
    </w:p>
    <w:p w:rsidR="006252C4" w:rsidRDefault="006252C4" w:rsidP="006252C4">
      <w:pPr>
        <w:pStyle w:val="a8"/>
        <w:spacing w:line="269" w:lineRule="auto"/>
        <w:rPr>
          <w:rtl/>
        </w:rPr>
      </w:pPr>
    </w:p>
    <w:p w:rsidR="006252C4" w:rsidRPr="000A1C34" w:rsidRDefault="006252C4" w:rsidP="006252C4">
      <w:pPr>
        <w:spacing w:line="269" w:lineRule="auto"/>
        <w:rPr>
          <w:rtl/>
        </w:rPr>
      </w:pPr>
      <w:r>
        <w:rPr>
          <w:rFonts w:hint="cs"/>
          <w:rtl/>
        </w:rPr>
        <w:t>רשות המיסים מסרה בתשובתה כי "חשב הרשות יפעל אל מול מטה החשב הכללי בעניין".</w:t>
      </w:r>
    </w:p>
    <w:p w:rsidR="006252C4" w:rsidRPr="00A81964" w:rsidRDefault="006252C4" w:rsidP="006252C4">
      <w:pPr>
        <w:spacing w:line="269" w:lineRule="auto"/>
        <w:rPr>
          <w:rtl/>
        </w:rPr>
      </w:pPr>
    </w:p>
    <w:p w:rsidR="006252C4" w:rsidRPr="00A81964" w:rsidRDefault="006252C4" w:rsidP="006252C4">
      <w:pPr>
        <w:pStyle w:val="4"/>
        <w:spacing w:before="0" w:line="269" w:lineRule="auto"/>
        <w:rPr>
          <w:rFonts w:eastAsia="Times New Roman"/>
          <w:rtl/>
        </w:rPr>
      </w:pPr>
      <w:r w:rsidRPr="00A81964">
        <w:rPr>
          <w:rFonts w:eastAsia="Times New Roman"/>
          <w:rtl/>
        </w:rPr>
        <w:t>השקעות כספי הקרן</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rtl/>
        </w:rPr>
      </w:pPr>
      <w:r w:rsidRPr="00A81964">
        <w:rPr>
          <w:rFonts w:ascii="David" w:eastAsia="Calibri" w:hAnsi="David"/>
          <w:rtl/>
        </w:rPr>
        <w:t>בסעיף 2א(ג) לחוק נקבע כי "רווחי ההשקעות יצורפו לקרן הפיצויים ויהיו חלק ממנה". כלומר</w:t>
      </w:r>
      <w:r w:rsidRPr="00A81964">
        <w:rPr>
          <w:rFonts w:ascii="David" w:eastAsia="Calibri" w:hAnsi="David" w:hint="cs"/>
          <w:rtl/>
        </w:rPr>
        <w:t>,</w:t>
      </w:r>
      <w:r w:rsidRPr="00A81964">
        <w:rPr>
          <w:rFonts w:ascii="David" w:eastAsia="Calibri" w:hAnsi="David"/>
          <w:rtl/>
        </w:rPr>
        <w:t xml:space="preserve"> יש להשקיע את כספי הקרן ולזקוף את רווחי ההשקעות של כספי הקרן לקופת הקרן.</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rtl/>
        </w:rPr>
      </w:pPr>
      <w:r w:rsidRPr="00A81964">
        <w:rPr>
          <w:rFonts w:ascii="David" w:eastAsia="Calibri" w:hAnsi="David"/>
          <w:rtl/>
        </w:rPr>
        <w:t xml:space="preserve">כבר </w:t>
      </w:r>
      <w:r w:rsidRPr="00664533">
        <w:rPr>
          <w:rFonts w:ascii="David" w:eastAsia="Calibri" w:hAnsi="David"/>
          <w:rtl/>
        </w:rPr>
        <w:t xml:space="preserve">בדוח מבקר המדינה משנת 2008 בנושא ניהול כספי קרנות ופיקדונות </w:t>
      </w:r>
      <w:r w:rsidRPr="00A81964">
        <w:rPr>
          <w:rFonts w:ascii="David" w:eastAsia="Calibri" w:hAnsi="David"/>
          <w:rtl/>
        </w:rPr>
        <w:t>נמצא כי יתרות הכספים של המדינה בבנק ישראל</w:t>
      </w:r>
      <w:r w:rsidRPr="00A81964">
        <w:rPr>
          <w:rFonts w:ascii="David" w:eastAsia="Calibri" w:hAnsi="David" w:hint="cs"/>
          <w:rtl/>
        </w:rPr>
        <w:t xml:space="preserve"> נשאו </w:t>
      </w:r>
      <w:r w:rsidRPr="00A81964">
        <w:rPr>
          <w:rFonts w:ascii="David" w:eastAsia="Calibri" w:hAnsi="David"/>
          <w:rtl/>
        </w:rPr>
        <w:t>ריבית בגובה הריבית הבסיסית במשק (ריבית הפריים)</w:t>
      </w:r>
      <w:r w:rsidRPr="00A81964">
        <w:rPr>
          <w:rFonts w:ascii="David" w:eastAsia="Calibri" w:hAnsi="David" w:hint="cs"/>
          <w:rtl/>
        </w:rPr>
        <w:t xml:space="preserve">, וכי בגין </w:t>
      </w:r>
      <w:r w:rsidRPr="00A81964">
        <w:rPr>
          <w:rFonts w:ascii="David" w:eastAsia="Calibri" w:hAnsi="David"/>
          <w:rtl/>
        </w:rPr>
        <w:t xml:space="preserve">כספי חלק מהקרנות שילם החשכ"ל ריבית נמוכה </w:t>
      </w:r>
      <w:r w:rsidRPr="00A81964">
        <w:rPr>
          <w:rFonts w:ascii="David" w:eastAsia="Calibri" w:hAnsi="David" w:hint="cs"/>
          <w:rtl/>
        </w:rPr>
        <w:t>מזאת</w:t>
      </w:r>
      <w:r w:rsidRPr="00A81964">
        <w:rPr>
          <w:rFonts w:ascii="David" w:eastAsia="Calibri" w:hAnsi="David"/>
          <w:rtl/>
        </w:rPr>
        <w:t>, בגובה שני</w:t>
      </w:r>
      <w:r w:rsidRPr="00A81964">
        <w:rPr>
          <w:rFonts w:ascii="David" w:eastAsia="Calibri" w:hAnsi="David" w:hint="cs"/>
          <w:rtl/>
        </w:rPr>
        <w:t xml:space="preserve"> </w:t>
      </w:r>
      <w:r w:rsidRPr="00A81964">
        <w:rPr>
          <w:rFonts w:ascii="David" w:eastAsia="Calibri" w:hAnsi="David"/>
          <w:rtl/>
        </w:rPr>
        <w:t>שליש</w:t>
      </w:r>
      <w:r w:rsidRPr="00A81964">
        <w:rPr>
          <w:rFonts w:ascii="David" w:eastAsia="Calibri" w:hAnsi="David" w:hint="cs"/>
          <w:rtl/>
        </w:rPr>
        <w:t>ים</w:t>
      </w:r>
      <w:r w:rsidRPr="00A81964">
        <w:rPr>
          <w:rFonts w:ascii="David" w:eastAsia="Calibri" w:hAnsi="David"/>
          <w:rtl/>
        </w:rPr>
        <w:t xml:space="preserve"> מהריבית הבסיסית. </w:t>
      </w:r>
      <w:r>
        <w:rPr>
          <w:rFonts w:ascii="David" w:eastAsia="Calibri" w:hAnsi="David" w:hint="cs"/>
          <w:rtl/>
        </w:rPr>
        <w:t xml:space="preserve">יצוין </w:t>
      </w:r>
      <w:r w:rsidRPr="00A81964">
        <w:rPr>
          <w:rFonts w:ascii="David" w:eastAsia="Calibri" w:hAnsi="David"/>
          <w:rtl/>
        </w:rPr>
        <w:t xml:space="preserve">כי </w:t>
      </w:r>
      <w:r w:rsidRPr="0070574E">
        <w:rPr>
          <w:rFonts w:ascii="David" w:eastAsia="Calibri" w:hAnsi="David"/>
          <w:rtl/>
        </w:rPr>
        <w:t xml:space="preserve">פער הריביות הנצבר לזכות החשבון הכללי </w:t>
      </w:r>
      <w:r>
        <w:rPr>
          <w:rFonts w:ascii="David" w:eastAsia="Calibri" w:hAnsi="David" w:hint="cs"/>
          <w:rtl/>
        </w:rPr>
        <w:t xml:space="preserve">של חשכ"ל </w:t>
      </w:r>
      <w:r w:rsidRPr="0070574E">
        <w:rPr>
          <w:rFonts w:ascii="David" w:eastAsia="Calibri" w:hAnsi="David"/>
          <w:rtl/>
        </w:rPr>
        <w:t xml:space="preserve">מסייע </w:t>
      </w:r>
      <w:r w:rsidRPr="00A81964">
        <w:rPr>
          <w:rFonts w:ascii="David" w:eastAsia="Calibri" w:hAnsi="David"/>
          <w:rtl/>
        </w:rPr>
        <w:t xml:space="preserve">להפחית את עלויות גיוס ההון של הממשלה. </w:t>
      </w:r>
    </w:p>
    <w:p w:rsidR="006252C4" w:rsidRDefault="006252C4" w:rsidP="006252C4">
      <w:pPr>
        <w:pStyle w:val="a8"/>
        <w:spacing w:line="269" w:lineRule="auto"/>
        <w:rPr>
          <w:rtl/>
        </w:rPr>
      </w:pPr>
    </w:p>
    <w:p w:rsidR="001876AD" w:rsidRDefault="001876AD">
      <w:pPr>
        <w:bidi w:val="0"/>
        <w:spacing w:after="200" w:line="276" w:lineRule="auto"/>
        <w:rPr>
          <w:rFonts w:ascii="David" w:eastAsia="Calibri" w:hAnsi="David"/>
          <w:rtl/>
        </w:rPr>
      </w:pPr>
      <w:r>
        <w:rPr>
          <w:rFonts w:ascii="David" w:eastAsia="Calibri" w:hAnsi="David"/>
          <w:rtl/>
        </w:rPr>
        <w:br w:type="page"/>
      </w:r>
    </w:p>
    <w:p w:rsidR="006252C4" w:rsidRDefault="006252C4" w:rsidP="006252C4">
      <w:pPr>
        <w:spacing w:line="269" w:lineRule="auto"/>
        <w:rPr>
          <w:rFonts w:ascii="David" w:eastAsia="Calibri" w:hAnsi="David"/>
          <w:sz w:val="24"/>
          <w:rtl/>
        </w:rPr>
      </w:pPr>
      <w:r w:rsidRPr="00A81964">
        <w:rPr>
          <w:rFonts w:ascii="David" w:eastAsia="Calibri" w:hAnsi="David"/>
          <w:rtl/>
        </w:rPr>
        <w:lastRenderedPageBreak/>
        <w:t xml:space="preserve">בתרשים </w:t>
      </w:r>
      <w:r>
        <w:rPr>
          <w:rFonts w:ascii="David" w:eastAsia="Calibri" w:hAnsi="David" w:hint="cs"/>
          <w:rtl/>
        </w:rPr>
        <w:t>ש</w:t>
      </w:r>
      <w:r w:rsidRPr="00A81964">
        <w:rPr>
          <w:rFonts w:ascii="David" w:eastAsia="Calibri" w:hAnsi="David"/>
          <w:rtl/>
        </w:rPr>
        <w:t>להלן מפורטים שיעורי הריבית הממוצעת על יתרת הקרן</w:t>
      </w:r>
      <w:r w:rsidRPr="00A81964">
        <w:rPr>
          <w:rFonts w:ascii="David" w:eastAsia="Calibri" w:hAnsi="David"/>
          <w:vertAlign w:val="superscript"/>
          <w:rtl/>
        </w:rPr>
        <w:footnoteReference w:id="159"/>
      </w:r>
      <w:r w:rsidRPr="00A81964">
        <w:rPr>
          <w:rFonts w:ascii="David" w:eastAsia="Calibri" w:hAnsi="David"/>
          <w:rtl/>
        </w:rPr>
        <w:t xml:space="preserve"> לשנים 2008 -</w:t>
      </w:r>
      <w:r w:rsidRPr="00A81964">
        <w:rPr>
          <w:rFonts w:ascii="David" w:eastAsia="Calibri" w:hAnsi="David" w:hint="cs"/>
          <w:rtl/>
        </w:rPr>
        <w:t xml:space="preserve"> </w:t>
      </w:r>
      <w:r w:rsidRPr="00A81964">
        <w:rPr>
          <w:rFonts w:ascii="David" w:eastAsia="Calibri" w:hAnsi="David"/>
          <w:rtl/>
        </w:rPr>
        <w:t>2023.</w:t>
      </w:r>
    </w:p>
    <w:p w:rsidR="006252C4" w:rsidRDefault="006252C4" w:rsidP="006252C4">
      <w:pPr>
        <w:spacing w:line="269" w:lineRule="auto"/>
        <w:jc w:val="center"/>
        <w:rPr>
          <w:rFonts w:ascii="David" w:eastAsia="Calibri" w:hAnsi="David"/>
          <w:sz w:val="24"/>
          <w:rtl/>
        </w:rPr>
      </w:pPr>
    </w:p>
    <w:p w:rsidR="006252C4" w:rsidRPr="00A81964" w:rsidRDefault="006252C4" w:rsidP="006252C4">
      <w:pPr>
        <w:keepNext/>
        <w:keepLines/>
        <w:spacing w:line="269" w:lineRule="auto"/>
        <w:jc w:val="center"/>
        <w:rPr>
          <w:rFonts w:ascii="David" w:eastAsia="Calibri" w:hAnsi="David"/>
          <w:b/>
          <w:bCs/>
          <w:sz w:val="24"/>
          <w:rtl/>
        </w:rPr>
      </w:pPr>
      <w:r w:rsidRPr="00A81964">
        <w:rPr>
          <w:rFonts w:ascii="David" w:eastAsia="Calibri" w:hAnsi="David"/>
          <w:sz w:val="24"/>
          <w:rtl/>
        </w:rPr>
        <w:t xml:space="preserve">תרשים </w:t>
      </w:r>
      <w:r w:rsidRPr="00A81964">
        <w:rPr>
          <w:rFonts w:ascii="David" w:eastAsia="Calibri" w:hAnsi="David" w:hint="cs"/>
          <w:sz w:val="24"/>
          <w:rtl/>
        </w:rPr>
        <w:t>31</w:t>
      </w:r>
      <w:r w:rsidRPr="00A81964">
        <w:rPr>
          <w:rFonts w:ascii="David" w:eastAsia="Calibri" w:hAnsi="David"/>
          <w:sz w:val="24"/>
          <w:rtl/>
        </w:rPr>
        <w:t>:</w:t>
      </w:r>
      <w:r w:rsidRPr="00A81964">
        <w:rPr>
          <w:rFonts w:ascii="David" w:eastAsia="Calibri" w:hAnsi="David"/>
          <w:b/>
          <w:bCs/>
          <w:sz w:val="24"/>
          <w:rtl/>
        </w:rPr>
        <w:t xml:space="preserve"> שיעורי הריבית שנזקפו לקרן בשנים 2008 - 2023</w:t>
      </w:r>
      <w:r w:rsidRPr="00A81964">
        <w:rPr>
          <w:rFonts w:ascii="David" w:eastAsia="Calibri" w:hAnsi="David"/>
          <w:b/>
          <w:bCs/>
          <w:sz w:val="24"/>
          <w:vertAlign w:val="superscript"/>
          <w:rtl/>
        </w:rPr>
        <w:footnoteReference w:id="160"/>
      </w:r>
      <w:r w:rsidRPr="00A81964">
        <w:rPr>
          <w:rFonts w:ascii="David" w:eastAsia="Calibri" w:hAnsi="David"/>
          <w:b/>
          <w:bCs/>
          <w:sz w:val="24"/>
          <w:rtl/>
        </w:rPr>
        <w:t xml:space="preserve"> (באחוזים)</w:t>
      </w:r>
    </w:p>
    <w:p w:rsidR="006252C4" w:rsidRPr="00A81964" w:rsidRDefault="006252C4" w:rsidP="006252C4">
      <w:pPr>
        <w:spacing w:line="269" w:lineRule="auto"/>
        <w:jc w:val="center"/>
        <w:rPr>
          <w:rFonts w:ascii="Calibri" w:eastAsia="Calibri" w:hAnsi="Calibri"/>
          <w:rtl/>
        </w:rPr>
      </w:pPr>
      <w:r>
        <w:rPr>
          <w:rFonts w:ascii="Calibri" w:eastAsia="Calibri" w:hAnsi="Calibri" w:hint="cs"/>
          <w:noProof/>
          <w:rtl/>
          <w:lang w:val="he-IL"/>
        </w:rPr>
        <w:drawing>
          <wp:inline distT="0" distB="0" distL="0" distR="0" wp14:anchorId="63E9D4F9" wp14:editId="1C9C2E4C">
            <wp:extent cx="5220335" cy="3362325"/>
            <wp:effectExtent l="0" t="0" r="0" b="9525"/>
            <wp:docPr id="28" name="תמונה 2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744D95.tmp"/>
                    <pic:cNvPicPr/>
                  </pic:nvPicPr>
                  <pic:blipFill>
                    <a:blip r:embed="rId50">
                      <a:extLst>
                        <a:ext uri="{28A0092B-C50C-407E-A947-70E740481C1C}">
                          <a14:useLocalDpi xmlns:a14="http://schemas.microsoft.com/office/drawing/2010/main" val="0"/>
                        </a:ext>
                      </a:extLst>
                    </a:blip>
                    <a:stretch>
                      <a:fillRect/>
                    </a:stretch>
                  </pic:blipFill>
                  <pic:spPr>
                    <a:xfrm>
                      <a:off x="0" y="0"/>
                      <a:ext cx="5220335" cy="3362325"/>
                    </a:xfrm>
                    <a:prstGeom prst="rect">
                      <a:avLst/>
                    </a:prstGeom>
                  </pic:spPr>
                </pic:pic>
              </a:graphicData>
            </a:graphic>
          </wp:inline>
        </w:drawing>
      </w:r>
    </w:p>
    <w:p w:rsidR="006252C4" w:rsidRPr="00A81964" w:rsidRDefault="006252C4" w:rsidP="006252C4">
      <w:pPr>
        <w:spacing w:line="269" w:lineRule="auto"/>
        <w:rPr>
          <w:rFonts w:ascii="David" w:eastAsia="Calibri" w:hAnsi="David"/>
          <w:sz w:val="16"/>
          <w:szCs w:val="20"/>
          <w:rtl/>
        </w:rPr>
      </w:pPr>
      <w:r w:rsidRPr="00A81964">
        <w:rPr>
          <w:rFonts w:ascii="David" w:eastAsia="Calibri" w:hAnsi="David"/>
          <w:sz w:val="16"/>
          <w:szCs w:val="20"/>
          <w:rtl/>
        </w:rPr>
        <w:t>על פי נתוני משרד האוצר</w:t>
      </w:r>
      <w:r w:rsidRPr="00A81964">
        <w:rPr>
          <w:rFonts w:ascii="David" w:eastAsia="Calibri" w:hAnsi="David" w:hint="cs"/>
          <w:sz w:val="16"/>
          <w:szCs w:val="20"/>
          <w:rtl/>
        </w:rPr>
        <w:t>,</w:t>
      </w:r>
      <w:r w:rsidRPr="00A81964">
        <w:rPr>
          <w:rFonts w:ascii="David" w:eastAsia="Calibri" w:hAnsi="David"/>
          <w:sz w:val="16"/>
          <w:szCs w:val="20"/>
          <w:rtl/>
        </w:rPr>
        <w:t xml:space="preserve"> בעיבוד משרד מבקר המדינה.</w:t>
      </w:r>
    </w:p>
    <w:p w:rsidR="006252C4" w:rsidRDefault="006252C4" w:rsidP="006252C4">
      <w:pPr>
        <w:pStyle w:val="a8"/>
        <w:spacing w:line="269" w:lineRule="auto"/>
        <w:rPr>
          <w:rtl/>
        </w:rPr>
      </w:pPr>
    </w:p>
    <w:p w:rsidR="006252C4" w:rsidRDefault="006252C4" w:rsidP="006252C4">
      <w:pPr>
        <w:spacing w:line="269" w:lineRule="auto"/>
        <w:rPr>
          <w:rFonts w:ascii="David" w:eastAsia="Calibri" w:hAnsi="David"/>
          <w:b/>
          <w:bCs/>
          <w:rtl/>
        </w:rPr>
      </w:pPr>
      <w:r w:rsidRPr="00A81964">
        <w:rPr>
          <w:rFonts w:ascii="David" w:eastAsia="Calibri" w:hAnsi="David"/>
          <w:b/>
          <w:bCs/>
          <w:rtl/>
        </w:rPr>
        <w:t xml:space="preserve">מהתרשים עולה כי </w:t>
      </w:r>
      <w:r>
        <w:rPr>
          <w:rFonts w:ascii="David" w:eastAsia="Calibri" w:hAnsi="David" w:hint="cs"/>
          <w:b/>
          <w:bCs/>
          <w:rtl/>
        </w:rPr>
        <w:t>משנת 2012</w:t>
      </w:r>
      <w:r w:rsidRPr="00A81964">
        <w:rPr>
          <w:rFonts w:ascii="David" w:eastAsia="Calibri" w:hAnsi="David" w:hint="cs"/>
          <w:b/>
          <w:bCs/>
          <w:rtl/>
        </w:rPr>
        <w:t xml:space="preserve"> חל קיטון בשיעור הריבית שנזקף לקרן: </w:t>
      </w:r>
      <w:r w:rsidRPr="00A81964">
        <w:rPr>
          <w:rFonts w:ascii="David" w:eastAsia="Calibri" w:hAnsi="David"/>
          <w:b/>
          <w:bCs/>
          <w:rtl/>
        </w:rPr>
        <w:t xml:space="preserve">שיעור הריבית </w:t>
      </w:r>
      <w:r w:rsidRPr="00A81964">
        <w:rPr>
          <w:rFonts w:ascii="David" w:eastAsia="Calibri" w:hAnsi="David" w:hint="cs"/>
          <w:b/>
          <w:bCs/>
          <w:rtl/>
        </w:rPr>
        <w:t>לאורך</w:t>
      </w:r>
      <w:r w:rsidRPr="00A81964">
        <w:rPr>
          <w:rFonts w:ascii="David" w:eastAsia="Calibri" w:hAnsi="David"/>
          <w:b/>
          <w:bCs/>
          <w:rtl/>
        </w:rPr>
        <w:t xml:space="preserve"> השנים 2008 - 2018 נע בין 0.98% ל</w:t>
      </w:r>
      <w:r w:rsidRPr="00A81964">
        <w:rPr>
          <w:rFonts w:ascii="David" w:eastAsia="Calibri" w:hAnsi="David" w:hint="cs"/>
          <w:b/>
          <w:bCs/>
          <w:rtl/>
        </w:rPr>
        <w:t>-</w:t>
      </w:r>
      <w:r w:rsidRPr="00A81964">
        <w:rPr>
          <w:rFonts w:ascii="David" w:eastAsia="Calibri" w:hAnsi="David"/>
          <w:b/>
          <w:bCs/>
          <w:rtl/>
        </w:rPr>
        <w:t>2.6%</w:t>
      </w:r>
      <w:r w:rsidRPr="00A81964">
        <w:rPr>
          <w:rFonts w:ascii="David" w:eastAsia="Calibri" w:hAnsi="David" w:hint="cs"/>
          <w:b/>
          <w:bCs/>
          <w:rtl/>
        </w:rPr>
        <w:t xml:space="preserve">, </w:t>
      </w:r>
      <w:r w:rsidRPr="00A81964">
        <w:rPr>
          <w:rFonts w:ascii="David" w:eastAsia="Calibri" w:hAnsi="David"/>
          <w:b/>
          <w:bCs/>
          <w:rtl/>
        </w:rPr>
        <w:t xml:space="preserve">ואילו </w:t>
      </w:r>
      <w:r>
        <w:rPr>
          <w:rFonts w:ascii="David" w:eastAsia="Calibri" w:hAnsi="David" w:hint="cs"/>
          <w:b/>
          <w:bCs/>
          <w:rtl/>
        </w:rPr>
        <w:t>ב</w:t>
      </w:r>
      <w:r w:rsidRPr="00A81964">
        <w:rPr>
          <w:rFonts w:ascii="David" w:eastAsia="Calibri" w:hAnsi="David"/>
          <w:b/>
          <w:bCs/>
          <w:rtl/>
        </w:rPr>
        <w:t>שנים 20</w:t>
      </w:r>
      <w:r w:rsidRPr="00A81964">
        <w:rPr>
          <w:rFonts w:ascii="David" w:eastAsia="Calibri" w:hAnsi="David" w:hint="cs"/>
          <w:b/>
          <w:bCs/>
          <w:rtl/>
        </w:rPr>
        <w:t xml:space="preserve">19 </w:t>
      </w:r>
      <w:r w:rsidRPr="00A81964">
        <w:rPr>
          <w:rFonts w:ascii="David" w:eastAsia="Calibri" w:hAnsi="David"/>
          <w:b/>
          <w:bCs/>
          <w:rtl/>
        </w:rPr>
        <w:t>-</w:t>
      </w:r>
      <w:r w:rsidRPr="00A81964">
        <w:rPr>
          <w:rFonts w:ascii="David" w:eastAsia="Calibri" w:hAnsi="David" w:hint="cs"/>
          <w:b/>
          <w:bCs/>
          <w:rtl/>
        </w:rPr>
        <w:t xml:space="preserve"> </w:t>
      </w:r>
      <w:r w:rsidRPr="00A81964">
        <w:rPr>
          <w:rFonts w:ascii="David" w:eastAsia="Calibri" w:hAnsi="David"/>
          <w:b/>
          <w:bCs/>
          <w:rtl/>
        </w:rPr>
        <w:t>20</w:t>
      </w:r>
      <w:r w:rsidRPr="00A81964">
        <w:rPr>
          <w:rFonts w:ascii="David" w:eastAsia="Calibri" w:hAnsi="David" w:hint="cs"/>
          <w:b/>
          <w:bCs/>
          <w:rtl/>
        </w:rPr>
        <w:t>23</w:t>
      </w:r>
      <w:r w:rsidRPr="00A81964">
        <w:rPr>
          <w:rFonts w:ascii="David" w:eastAsia="Calibri" w:hAnsi="David"/>
          <w:b/>
          <w:bCs/>
          <w:rtl/>
        </w:rPr>
        <w:t xml:space="preserve"> </w:t>
      </w:r>
      <w:r w:rsidRPr="00A81964">
        <w:rPr>
          <w:rFonts w:ascii="David" w:eastAsia="Calibri" w:hAnsi="David" w:hint="cs"/>
          <w:b/>
          <w:bCs/>
          <w:rtl/>
        </w:rPr>
        <w:t xml:space="preserve">עמד </w:t>
      </w:r>
      <w:r w:rsidRPr="00A81964">
        <w:rPr>
          <w:rFonts w:ascii="David" w:eastAsia="Calibri" w:hAnsi="David"/>
          <w:b/>
          <w:bCs/>
          <w:rtl/>
        </w:rPr>
        <w:t>שיעור הריבית על כ-0.75%.</w:t>
      </w:r>
    </w:p>
    <w:p w:rsidR="006252C4" w:rsidRDefault="006252C4" w:rsidP="006252C4">
      <w:pPr>
        <w:pStyle w:val="a8"/>
        <w:spacing w:line="269" w:lineRule="auto"/>
        <w:rPr>
          <w:rtl/>
        </w:rPr>
      </w:pPr>
    </w:p>
    <w:p w:rsidR="001876AD" w:rsidRDefault="001876AD">
      <w:pPr>
        <w:bidi w:val="0"/>
        <w:spacing w:after="200" w:line="276" w:lineRule="auto"/>
        <w:rPr>
          <w:rFonts w:ascii="David" w:eastAsia="Calibri" w:hAnsi="David"/>
          <w:rtl/>
        </w:rPr>
      </w:pPr>
      <w:r>
        <w:rPr>
          <w:rFonts w:ascii="David" w:eastAsia="Calibri" w:hAnsi="David"/>
          <w:rtl/>
        </w:rPr>
        <w:br w:type="page"/>
      </w:r>
    </w:p>
    <w:p w:rsidR="006252C4" w:rsidRDefault="006252C4" w:rsidP="006252C4">
      <w:pPr>
        <w:spacing w:line="269" w:lineRule="auto"/>
        <w:rPr>
          <w:rFonts w:ascii="David" w:eastAsia="Calibri" w:hAnsi="David"/>
          <w:rtl/>
        </w:rPr>
      </w:pPr>
      <w:r w:rsidRPr="00A81964">
        <w:rPr>
          <w:rFonts w:ascii="David" w:eastAsia="Calibri" w:hAnsi="David"/>
          <w:rtl/>
        </w:rPr>
        <w:lastRenderedPageBreak/>
        <w:t xml:space="preserve">בתרשים </w:t>
      </w:r>
      <w:r>
        <w:rPr>
          <w:rFonts w:ascii="David" w:eastAsia="Calibri" w:hAnsi="David" w:hint="cs"/>
          <w:rtl/>
        </w:rPr>
        <w:t>ש</w:t>
      </w:r>
      <w:r w:rsidRPr="00A81964">
        <w:rPr>
          <w:rFonts w:ascii="David" w:eastAsia="Calibri" w:hAnsi="David"/>
          <w:rtl/>
        </w:rPr>
        <w:t xml:space="preserve">להלן מפורטים הכנסות הקרן מריבית אל מול עליית מדד </w:t>
      </w:r>
      <w:r w:rsidRPr="00A81964">
        <w:rPr>
          <w:rFonts w:ascii="David" w:eastAsia="Calibri" w:hAnsi="David" w:hint="cs"/>
          <w:rtl/>
        </w:rPr>
        <w:t>ה</w:t>
      </w:r>
      <w:r w:rsidRPr="00A81964">
        <w:rPr>
          <w:rFonts w:ascii="David" w:eastAsia="Calibri" w:hAnsi="David"/>
          <w:rtl/>
        </w:rPr>
        <w:t>מחירי</w:t>
      </w:r>
      <w:r w:rsidRPr="00A81964">
        <w:rPr>
          <w:rFonts w:ascii="David" w:eastAsia="Calibri" w:hAnsi="David" w:hint="cs"/>
          <w:rtl/>
        </w:rPr>
        <w:t>ם</w:t>
      </w:r>
      <w:r w:rsidRPr="00A81964">
        <w:rPr>
          <w:rFonts w:ascii="David" w:eastAsia="Calibri" w:hAnsi="David"/>
          <w:rtl/>
        </w:rPr>
        <w:t xml:space="preserve"> </w:t>
      </w:r>
      <w:r w:rsidRPr="00A81964">
        <w:rPr>
          <w:rFonts w:ascii="David" w:eastAsia="Calibri" w:hAnsi="David" w:hint="cs"/>
          <w:rtl/>
        </w:rPr>
        <w:t>ל</w:t>
      </w:r>
      <w:r w:rsidRPr="00A81964">
        <w:rPr>
          <w:rFonts w:ascii="David" w:eastAsia="Calibri" w:hAnsi="David"/>
          <w:rtl/>
        </w:rPr>
        <w:t>צרכן</w:t>
      </w:r>
      <w:r>
        <w:rPr>
          <w:rFonts w:ascii="David" w:eastAsia="Calibri" w:hAnsi="David" w:hint="cs"/>
          <w:rtl/>
        </w:rPr>
        <w:t xml:space="preserve"> </w:t>
      </w:r>
      <w:r w:rsidRPr="00A81964">
        <w:rPr>
          <w:rFonts w:ascii="David" w:eastAsia="Calibri" w:hAnsi="David" w:hint="cs"/>
          <w:rtl/>
        </w:rPr>
        <w:t>לשנים 2008 - 2023</w:t>
      </w:r>
      <w:r w:rsidRPr="00A81964">
        <w:rPr>
          <w:rFonts w:ascii="David" w:eastAsia="Calibri" w:hAnsi="David"/>
          <w:rtl/>
        </w:rPr>
        <w:t xml:space="preserve"> (במיליוני ש"ח).</w:t>
      </w:r>
    </w:p>
    <w:p w:rsidR="006252C4" w:rsidRDefault="006252C4" w:rsidP="006252C4">
      <w:pPr>
        <w:spacing w:line="269" w:lineRule="auto"/>
        <w:jc w:val="center"/>
        <w:rPr>
          <w:rFonts w:ascii="David" w:eastAsia="Calibri" w:hAnsi="David"/>
          <w:rtl/>
        </w:rPr>
      </w:pPr>
    </w:p>
    <w:p w:rsidR="006252C4" w:rsidRPr="00A81964" w:rsidRDefault="006252C4" w:rsidP="006252C4">
      <w:pPr>
        <w:keepNext/>
        <w:keepLines/>
        <w:spacing w:line="269" w:lineRule="auto"/>
        <w:jc w:val="center"/>
        <w:rPr>
          <w:rFonts w:ascii="David" w:eastAsia="Calibri" w:hAnsi="David"/>
          <w:b/>
          <w:bCs/>
          <w:rtl/>
        </w:rPr>
      </w:pPr>
      <w:r w:rsidRPr="00A81964">
        <w:rPr>
          <w:rFonts w:ascii="David" w:eastAsia="Calibri" w:hAnsi="David"/>
          <w:rtl/>
        </w:rPr>
        <w:t xml:space="preserve">תרשים </w:t>
      </w:r>
      <w:r w:rsidRPr="00A81964">
        <w:rPr>
          <w:rFonts w:ascii="David" w:eastAsia="Calibri" w:hAnsi="David" w:hint="cs"/>
          <w:rtl/>
        </w:rPr>
        <w:t>32</w:t>
      </w:r>
      <w:r w:rsidRPr="00A81964">
        <w:rPr>
          <w:rFonts w:ascii="David" w:eastAsia="Calibri" w:hAnsi="David"/>
          <w:rtl/>
        </w:rPr>
        <w:t>:</w:t>
      </w:r>
      <w:r w:rsidRPr="00A81964">
        <w:rPr>
          <w:rFonts w:ascii="David" w:eastAsia="Calibri" w:hAnsi="David"/>
          <w:b/>
          <w:bCs/>
          <w:rtl/>
        </w:rPr>
        <w:t xml:space="preserve"> </w:t>
      </w:r>
      <w:r w:rsidRPr="00A81964">
        <w:rPr>
          <w:rFonts w:ascii="David" w:eastAsia="Calibri" w:hAnsi="David" w:hint="cs"/>
          <w:b/>
          <w:bCs/>
          <w:rtl/>
        </w:rPr>
        <w:t>ה</w:t>
      </w:r>
      <w:r w:rsidRPr="00A81964">
        <w:rPr>
          <w:rFonts w:ascii="David" w:eastAsia="Calibri" w:hAnsi="David"/>
          <w:b/>
          <w:bCs/>
          <w:rtl/>
        </w:rPr>
        <w:t xml:space="preserve">ריבית שנצברה אל מול </w:t>
      </w:r>
      <w:r w:rsidRPr="00A81964">
        <w:rPr>
          <w:rFonts w:ascii="David" w:eastAsia="Calibri" w:hAnsi="David" w:hint="cs"/>
          <w:b/>
          <w:bCs/>
          <w:rtl/>
        </w:rPr>
        <w:t>ה</w:t>
      </w:r>
      <w:r w:rsidRPr="00A81964">
        <w:rPr>
          <w:rFonts w:ascii="David" w:eastAsia="Calibri" w:hAnsi="David"/>
          <w:b/>
          <w:bCs/>
          <w:rtl/>
        </w:rPr>
        <w:t>קיטון בערכה הריאלי של הקרן במונחים כספיים</w:t>
      </w:r>
      <w:r w:rsidRPr="00A81964">
        <w:rPr>
          <w:rFonts w:ascii="David" w:eastAsia="Calibri" w:hAnsi="David" w:hint="cs"/>
          <w:b/>
          <w:bCs/>
          <w:rtl/>
        </w:rPr>
        <w:t>,</w:t>
      </w:r>
      <w:r w:rsidRPr="00A81964">
        <w:rPr>
          <w:rFonts w:ascii="David" w:eastAsia="Calibri" w:hAnsi="David"/>
          <w:b/>
          <w:bCs/>
          <w:rtl/>
        </w:rPr>
        <w:t xml:space="preserve"> </w:t>
      </w:r>
      <w:r>
        <w:rPr>
          <w:rFonts w:ascii="David" w:eastAsia="Calibri" w:hAnsi="David"/>
          <w:b/>
          <w:bCs/>
          <w:rtl/>
        </w:rPr>
        <w:br/>
      </w:r>
      <w:r w:rsidRPr="00A81964">
        <w:rPr>
          <w:rFonts w:ascii="David" w:eastAsia="Calibri" w:hAnsi="David"/>
          <w:b/>
          <w:bCs/>
          <w:rtl/>
        </w:rPr>
        <w:t xml:space="preserve">2008 </w:t>
      </w:r>
      <w:r w:rsidRPr="00A81964">
        <w:rPr>
          <w:rFonts w:ascii="David" w:eastAsia="Calibri" w:hAnsi="David" w:hint="cs"/>
          <w:b/>
          <w:bCs/>
          <w:rtl/>
        </w:rPr>
        <w:t xml:space="preserve">- 2023 </w:t>
      </w:r>
      <w:r w:rsidRPr="00A81964">
        <w:rPr>
          <w:rFonts w:ascii="David" w:eastAsia="Calibri" w:hAnsi="David"/>
          <w:b/>
          <w:bCs/>
          <w:rtl/>
        </w:rPr>
        <w:t>(במיליוני ש"ח)</w:t>
      </w:r>
    </w:p>
    <w:p w:rsidR="006252C4" w:rsidRDefault="006252C4" w:rsidP="006252C4">
      <w:pPr>
        <w:spacing w:line="269" w:lineRule="auto"/>
        <w:jc w:val="center"/>
        <w:rPr>
          <w:rtl/>
        </w:rPr>
      </w:pPr>
      <w:r>
        <w:rPr>
          <w:noProof/>
          <w:rtl/>
          <w:lang w:val="he-IL"/>
        </w:rPr>
        <w:drawing>
          <wp:inline distT="0" distB="0" distL="0" distR="0" wp14:anchorId="2EA8EB48" wp14:editId="2157028C">
            <wp:extent cx="5220335" cy="3714115"/>
            <wp:effectExtent l="0" t="0" r="0" b="635"/>
            <wp:docPr id="47" name="תמונה 4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74D437.tmp"/>
                    <pic:cNvPicPr/>
                  </pic:nvPicPr>
                  <pic:blipFill>
                    <a:blip r:embed="rId51">
                      <a:extLst>
                        <a:ext uri="{28A0092B-C50C-407E-A947-70E740481C1C}">
                          <a14:useLocalDpi xmlns:a14="http://schemas.microsoft.com/office/drawing/2010/main" val="0"/>
                        </a:ext>
                      </a:extLst>
                    </a:blip>
                    <a:stretch>
                      <a:fillRect/>
                    </a:stretch>
                  </pic:blipFill>
                  <pic:spPr>
                    <a:xfrm>
                      <a:off x="0" y="0"/>
                      <a:ext cx="5220335" cy="3714115"/>
                    </a:xfrm>
                    <a:prstGeom prst="rect">
                      <a:avLst/>
                    </a:prstGeom>
                  </pic:spPr>
                </pic:pic>
              </a:graphicData>
            </a:graphic>
          </wp:inline>
        </w:drawing>
      </w:r>
    </w:p>
    <w:p w:rsidR="006252C4" w:rsidRPr="00B62843" w:rsidRDefault="006252C4" w:rsidP="001876AD">
      <w:pPr>
        <w:spacing w:before="60" w:line="269" w:lineRule="auto"/>
        <w:rPr>
          <w:sz w:val="16"/>
          <w:szCs w:val="20"/>
          <w:rtl/>
        </w:rPr>
      </w:pPr>
      <w:r w:rsidRPr="00B62843">
        <w:rPr>
          <w:rFonts w:hint="eastAsia"/>
          <w:sz w:val="16"/>
          <w:szCs w:val="20"/>
          <w:rtl/>
        </w:rPr>
        <w:t>ע</w:t>
      </w:r>
      <w:r w:rsidRPr="00B62843">
        <w:rPr>
          <w:sz w:val="16"/>
          <w:szCs w:val="20"/>
          <w:rtl/>
        </w:rPr>
        <w:t>ל</w:t>
      </w:r>
      <w:r w:rsidRPr="00B62843">
        <w:rPr>
          <w:rFonts w:hint="cs"/>
          <w:sz w:val="16"/>
          <w:szCs w:val="20"/>
          <w:rtl/>
        </w:rPr>
        <w:t xml:space="preserve"> </w:t>
      </w:r>
      <w:r w:rsidRPr="00B62843">
        <w:rPr>
          <w:sz w:val="16"/>
          <w:szCs w:val="20"/>
          <w:rtl/>
        </w:rPr>
        <w:t>פי נתוני הדוחות הכספיים של מדינת ישראל ונתוני מדד המחירים לצרכן, בעיבוד משרד מבקר המדינה.</w:t>
      </w:r>
    </w:p>
    <w:p w:rsidR="006252C4" w:rsidRDefault="006252C4" w:rsidP="006252C4">
      <w:pPr>
        <w:pStyle w:val="a8"/>
        <w:spacing w:line="269" w:lineRule="auto"/>
        <w:rPr>
          <w:rtl/>
        </w:rPr>
      </w:pPr>
    </w:p>
    <w:p w:rsidR="006252C4" w:rsidRPr="00A81964" w:rsidRDefault="006252C4" w:rsidP="006252C4">
      <w:pPr>
        <w:spacing w:line="269" w:lineRule="auto"/>
        <w:rPr>
          <w:rFonts w:eastAsia="Calibri"/>
          <w:rtl/>
        </w:rPr>
      </w:pPr>
      <w:r w:rsidRPr="00A81964">
        <w:rPr>
          <w:rFonts w:eastAsia="Calibri"/>
          <w:b/>
          <w:bCs/>
          <w:rtl/>
        </w:rPr>
        <w:t xml:space="preserve">מהתרשים עולה כי </w:t>
      </w:r>
      <w:r>
        <w:rPr>
          <w:rFonts w:eastAsia="Calibri" w:hint="cs"/>
          <w:b/>
          <w:bCs/>
          <w:rtl/>
        </w:rPr>
        <w:t>בשנים</w:t>
      </w:r>
      <w:r w:rsidRPr="00A81964">
        <w:rPr>
          <w:rFonts w:eastAsia="Calibri"/>
          <w:b/>
          <w:bCs/>
          <w:rtl/>
        </w:rPr>
        <w:t xml:space="preserve"> 2008 -</w:t>
      </w:r>
      <w:r w:rsidRPr="00A81964">
        <w:rPr>
          <w:rFonts w:eastAsia="Calibri" w:hint="cs"/>
          <w:b/>
          <w:bCs/>
          <w:rtl/>
        </w:rPr>
        <w:t xml:space="preserve"> </w:t>
      </w:r>
      <w:r w:rsidRPr="00A81964">
        <w:rPr>
          <w:rFonts w:eastAsia="Calibri"/>
          <w:b/>
          <w:bCs/>
          <w:rtl/>
        </w:rPr>
        <w:t>2013 הכנסות הריבית שנצברו,</w:t>
      </w:r>
      <w:r w:rsidRPr="00A81964">
        <w:rPr>
          <w:rFonts w:eastAsia="Calibri" w:hint="cs"/>
          <w:b/>
          <w:bCs/>
          <w:rtl/>
        </w:rPr>
        <w:t xml:space="preserve"> אשר כאמור אינן צמודות למדד, </w:t>
      </w:r>
      <w:r w:rsidRPr="00A81964">
        <w:rPr>
          <w:rFonts w:eastAsia="Calibri"/>
          <w:b/>
          <w:bCs/>
          <w:rtl/>
        </w:rPr>
        <w:t xml:space="preserve">כמעט </w:t>
      </w:r>
      <w:r w:rsidRPr="00A81964">
        <w:rPr>
          <w:rFonts w:eastAsia="Calibri" w:hint="cs"/>
          <w:b/>
          <w:bCs/>
          <w:rtl/>
        </w:rPr>
        <w:t>ש</w:t>
      </w:r>
      <w:r w:rsidRPr="00A81964">
        <w:rPr>
          <w:rFonts w:eastAsia="Calibri"/>
          <w:b/>
          <w:bCs/>
          <w:rtl/>
        </w:rPr>
        <w:t xml:space="preserve">לא השפיעו על ערכה הריאלי של הקרן. </w:t>
      </w:r>
      <w:r>
        <w:rPr>
          <w:rFonts w:eastAsia="Calibri" w:hint="cs"/>
          <w:b/>
          <w:bCs/>
          <w:rtl/>
        </w:rPr>
        <w:t>ב</w:t>
      </w:r>
      <w:r w:rsidRPr="00A81964">
        <w:rPr>
          <w:rFonts w:eastAsia="Calibri"/>
          <w:b/>
          <w:bCs/>
          <w:rtl/>
        </w:rPr>
        <w:t>שנים 2014 -</w:t>
      </w:r>
      <w:r w:rsidRPr="00A81964">
        <w:rPr>
          <w:rFonts w:eastAsia="Calibri" w:hint="cs"/>
          <w:b/>
          <w:bCs/>
          <w:rtl/>
        </w:rPr>
        <w:t xml:space="preserve"> </w:t>
      </w:r>
      <w:r w:rsidRPr="00A81964">
        <w:rPr>
          <w:rFonts w:eastAsia="Calibri"/>
          <w:b/>
          <w:bCs/>
          <w:rtl/>
        </w:rPr>
        <w:t>2017 וכן בין השנים 20</w:t>
      </w:r>
      <w:r w:rsidRPr="00A81964">
        <w:rPr>
          <w:rFonts w:eastAsia="Calibri" w:hint="cs"/>
          <w:b/>
          <w:bCs/>
          <w:rtl/>
        </w:rPr>
        <w:t xml:space="preserve">19 </w:t>
      </w:r>
      <w:r w:rsidRPr="00A81964">
        <w:rPr>
          <w:rFonts w:eastAsia="Calibri"/>
          <w:b/>
          <w:bCs/>
          <w:rtl/>
        </w:rPr>
        <w:t>-</w:t>
      </w:r>
      <w:r w:rsidRPr="00A81964">
        <w:rPr>
          <w:rFonts w:eastAsia="Calibri" w:hint="cs"/>
          <w:b/>
          <w:bCs/>
          <w:rtl/>
        </w:rPr>
        <w:t xml:space="preserve"> </w:t>
      </w:r>
      <w:r w:rsidRPr="00A81964">
        <w:rPr>
          <w:rFonts w:eastAsia="Calibri"/>
          <w:b/>
          <w:bCs/>
          <w:rtl/>
        </w:rPr>
        <w:t>20</w:t>
      </w:r>
      <w:r w:rsidRPr="00A81964">
        <w:rPr>
          <w:rFonts w:eastAsia="Calibri" w:hint="cs"/>
          <w:b/>
          <w:bCs/>
          <w:rtl/>
        </w:rPr>
        <w:t>20</w:t>
      </w:r>
      <w:r w:rsidRPr="00A81964">
        <w:rPr>
          <w:rFonts w:eastAsia="Calibri"/>
          <w:b/>
          <w:bCs/>
          <w:rtl/>
        </w:rPr>
        <w:t xml:space="preserve"> האינפלציה הייתה נמוכה ואף שלילית, כך שהכנסות הריבית שמרו על ערכה הריאלי של הקרן. בשנת 2018 הערך הריאלי כמעט </w:t>
      </w:r>
      <w:r w:rsidRPr="00A81964">
        <w:rPr>
          <w:rFonts w:eastAsia="Calibri" w:hint="cs"/>
          <w:b/>
          <w:bCs/>
          <w:rtl/>
        </w:rPr>
        <w:t>ש</w:t>
      </w:r>
      <w:r w:rsidRPr="00A81964">
        <w:rPr>
          <w:rFonts w:eastAsia="Calibri"/>
          <w:b/>
          <w:bCs/>
          <w:rtl/>
        </w:rPr>
        <w:t>לא השתנה.</w:t>
      </w:r>
      <w:r w:rsidRPr="00A81964">
        <w:rPr>
          <w:rFonts w:eastAsia="Calibri"/>
          <w:rtl/>
        </w:rPr>
        <w:t xml:space="preserve"> </w:t>
      </w:r>
      <w:r>
        <w:rPr>
          <w:rFonts w:eastAsia="Calibri" w:hint="cs"/>
          <w:b/>
          <w:bCs/>
          <w:rtl/>
        </w:rPr>
        <w:t>ב</w:t>
      </w:r>
      <w:r w:rsidRPr="00A81964">
        <w:rPr>
          <w:rFonts w:eastAsia="Calibri"/>
          <w:b/>
          <w:bCs/>
          <w:rtl/>
        </w:rPr>
        <w:t>שנים 202</w:t>
      </w:r>
      <w:r w:rsidRPr="00A81964">
        <w:rPr>
          <w:rFonts w:eastAsia="Calibri" w:hint="cs"/>
          <w:b/>
          <w:bCs/>
          <w:rtl/>
        </w:rPr>
        <w:t xml:space="preserve">1 </w:t>
      </w:r>
      <w:r w:rsidRPr="00A81964">
        <w:rPr>
          <w:rFonts w:eastAsia="Calibri"/>
          <w:b/>
          <w:bCs/>
          <w:rtl/>
        </w:rPr>
        <w:t>-</w:t>
      </w:r>
      <w:r w:rsidRPr="00A81964">
        <w:rPr>
          <w:rFonts w:eastAsia="Calibri" w:hint="cs"/>
          <w:b/>
          <w:bCs/>
          <w:rtl/>
        </w:rPr>
        <w:t xml:space="preserve"> </w:t>
      </w:r>
      <w:r w:rsidRPr="00A81964">
        <w:rPr>
          <w:rFonts w:eastAsia="Calibri"/>
          <w:b/>
          <w:bCs/>
          <w:rtl/>
        </w:rPr>
        <w:t>202</w:t>
      </w:r>
      <w:r w:rsidRPr="00A81964">
        <w:rPr>
          <w:rFonts w:eastAsia="Calibri" w:hint="cs"/>
          <w:b/>
          <w:bCs/>
          <w:rtl/>
        </w:rPr>
        <w:t>3</w:t>
      </w:r>
      <w:r w:rsidRPr="00A81964">
        <w:rPr>
          <w:rFonts w:eastAsia="Calibri"/>
          <w:b/>
          <w:bCs/>
          <w:rtl/>
        </w:rPr>
        <w:t xml:space="preserve"> נתוני האינפלציה היו גבוהים, כך שהכנסות הריבית (382 מיליון ש"ח) היו נמוכות מהקיטון בערכה הר</w:t>
      </w:r>
      <w:r w:rsidRPr="00A81964">
        <w:rPr>
          <w:rFonts w:eastAsia="Calibri" w:hint="cs"/>
          <w:b/>
          <w:bCs/>
          <w:rtl/>
        </w:rPr>
        <w:t>י</w:t>
      </w:r>
      <w:r w:rsidRPr="00A81964">
        <w:rPr>
          <w:rFonts w:eastAsia="Calibri"/>
          <w:b/>
          <w:bCs/>
          <w:rtl/>
        </w:rPr>
        <w:t>אלי של הקרן</w:t>
      </w:r>
      <w:r w:rsidRPr="00A81964">
        <w:rPr>
          <w:rFonts w:eastAsia="Calibri" w:hint="cs"/>
          <w:b/>
          <w:bCs/>
          <w:rtl/>
        </w:rPr>
        <w:t xml:space="preserve"> </w:t>
      </w:r>
      <w:r w:rsidRPr="00A81964">
        <w:rPr>
          <w:rFonts w:eastAsia="Calibri"/>
          <w:b/>
          <w:bCs/>
          <w:rtl/>
        </w:rPr>
        <w:t>(כ-</w:t>
      </w:r>
      <w:r w:rsidRPr="00A81964">
        <w:rPr>
          <w:rFonts w:eastAsia="Calibri" w:hint="cs"/>
          <w:b/>
          <w:bCs/>
          <w:rtl/>
        </w:rPr>
        <w:t xml:space="preserve">2 מיליארד </w:t>
      </w:r>
      <w:r w:rsidRPr="00A81964">
        <w:rPr>
          <w:rFonts w:eastAsia="Calibri"/>
          <w:b/>
          <w:bCs/>
          <w:rtl/>
        </w:rPr>
        <w:t>ש"ח)</w:t>
      </w:r>
      <w:r>
        <w:rPr>
          <w:rFonts w:eastAsia="Calibri" w:hint="cs"/>
          <w:b/>
          <w:bCs/>
          <w:rtl/>
        </w:rPr>
        <w:t>,</w:t>
      </w:r>
      <w:r w:rsidRPr="00A81964">
        <w:rPr>
          <w:rFonts w:eastAsia="Calibri"/>
          <w:b/>
          <w:bCs/>
          <w:rtl/>
        </w:rPr>
        <w:t xml:space="preserve"> כלומר ערכה הריאלי של הקרן קטן בסך של כ-1,550 מיליון ש"ח.</w:t>
      </w:r>
      <w:r w:rsidRPr="00A81964">
        <w:rPr>
          <w:rFonts w:eastAsia="Calibri" w:hint="cs"/>
          <w:b/>
          <w:bCs/>
          <w:rtl/>
        </w:rPr>
        <w:t xml:space="preserve"> </w:t>
      </w:r>
      <w:r w:rsidRPr="00A81964">
        <w:rPr>
          <w:rFonts w:eastAsia="Calibri"/>
          <w:b/>
          <w:bCs/>
          <w:rtl/>
        </w:rPr>
        <w:t xml:space="preserve">סה"כ </w:t>
      </w:r>
      <w:r>
        <w:rPr>
          <w:rFonts w:eastAsia="Calibri" w:hint="cs"/>
          <w:b/>
          <w:bCs/>
          <w:rtl/>
        </w:rPr>
        <w:t>ב</w:t>
      </w:r>
      <w:r w:rsidRPr="00A81964">
        <w:rPr>
          <w:rFonts w:eastAsia="Calibri"/>
          <w:b/>
          <w:bCs/>
          <w:rtl/>
        </w:rPr>
        <w:t xml:space="preserve">שנים </w:t>
      </w:r>
      <w:r w:rsidRPr="00A81964">
        <w:rPr>
          <w:rFonts w:eastAsia="Calibri" w:hint="cs"/>
          <w:b/>
          <w:bCs/>
          <w:rtl/>
        </w:rPr>
        <w:t xml:space="preserve">2008 - 2023 </w:t>
      </w:r>
      <w:r w:rsidRPr="00A81964">
        <w:rPr>
          <w:rFonts w:eastAsia="Calibri"/>
          <w:b/>
          <w:bCs/>
          <w:rtl/>
        </w:rPr>
        <w:t>ערכה הריאלי של הקרן קטן בכ-912 מיליון ש"ח.</w:t>
      </w:r>
    </w:p>
    <w:p w:rsidR="006252C4" w:rsidRDefault="006252C4" w:rsidP="006252C4">
      <w:pPr>
        <w:pStyle w:val="a8"/>
        <w:spacing w:line="269" w:lineRule="auto"/>
        <w:rPr>
          <w:rtl/>
        </w:rPr>
      </w:pPr>
    </w:p>
    <w:p w:rsidR="006252C4" w:rsidRPr="00A81964" w:rsidRDefault="006252C4" w:rsidP="006252C4">
      <w:pPr>
        <w:spacing w:line="269" w:lineRule="auto"/>
        <w:rPr>
          <w:rFonts w:eastAsia="Calibri"/>
          <w:b/>
          <w:bCs/>
          <w:rtl/>
        </w:rPr>
      </w:pPr>
      <w:r w:rsidRPr="00A81964">
        <w:rPr>
          <w:rFonts w:eastAsia="Calibri"/>
          <w:rtl/>
        </w:rPr>
        <w:lastRenderedPageBreak/>
        <w:t>בנק ישראל</w:t>
      </w:r>
      <w:r w:rsidRPr="00A81964">
        <w:rPr>
          <w:rFonts w:eastAsia="Calibri"/>
          <w:vertAlign w:val="superscript"/>
          <w:rtl/>
        </w:rPr>
        <w:footnoteReference w:id="161"/>
      </w:r>
      <w:r w:rsidRPr="00A81964">
        <w:rPr>
          <w:rFonts w:eastAsia="Calibri"/>
          <w:rtl/>
        </w:rPr>
        <w:t xml:space="preserve"> משלם על </w:t>
      </w:r>
      <w:r w:rsidRPr="00A81964">
        <w:rPr>
          <w:rFonts w:eastAsia="Calibri" w:hint="cs"/>
          <w:rtl/>
        </w:rPr>
        <w:t>ה</w:t>
      </w:r>
      <w:r w:rsidRPr="00A81964">
        <w:rPr>
          <w:rFonts w:eastAsia="Calibri"/>
          <w:rtl/>
        </w:rPr>
        <w:t xml:space="preserve">יתרות </w:t>
      </w:r>
      <w:r w:rsidRPr="00A81964">
        <w:rPr>
          <w:rFonts w:eastAsia="Calibri" w:hint="cs"/>
          <w:rtl/>
        </w:rPr>
        <w:t>ה</w:t>
      </w:r>
      <w:r w:rsidRPr="00A81964">
        <w:rPr>
          <w:rFonts w:eastAsia="Calibri"/>
          <w:rtl/>
        </w:rPr>
        <w:t xml:space="preserve">שוטפות של הממשלה במטבע מקומי, ריבית </w:t>
      </w:r>
      <w:r w:rsidRPr="00A81964">
        <w:rPr>
          <w:rFonts w:eastAsia="Calibri" w:hint="cs"/>
          <w:rtl/>
        </w:rPr>
        <w:t xml:space="preserve">החל </w:t>
      </w:r>
      <w:r w:rsidRPr="00A81964">
        <w:rPr>
          <w:rFonts w:eastAsia="Calibri"/>
          <w:rtl/>
        </w:rPr>
        <w:t>בשיעור</w:t>
      </w:r>
      <w:r w:rsidRPr="00A81964">
        <w:rPr>
          <w:rFonts w:eastAsia="Calibri" w:hint="cs"/>
          <w:rtl/>
        </w:rPr>
        <w:t xml:space="preserve"> של </w:t>
      </w:r>
      <w:r w:rsidRPr="00A81964">
        <w:rPr>
          <w:rFonts w:eastAsia="Calibri"/>
          <w:rtl/>
        </w:rPr>
        <w:t>ריבית בנק ישראל בתוספת 1.5% (להלן - ריבית פריים)</w:t>
      </w:r>
      <w:r w:rsidRPr="00A81964">
        <w:rPr>
          <w:rFonts w:eastAsia="Calibri" w:hint="cs"/>
          <w:rtl/>
        </w:rPr>
        <w:t xml:space="preserve"> </w:t>
      </w:r>
      <w:r w:rsidRPr="00A81964">
        <w:rPr>
          <w:rFonts w:eastAsia="Calibri"/>
          <w:rtl/>
        </w:rPr>
        <w:t>ועד ריבית בנק ישראל לפי מדרגות סכומים.</w:t>
      </w:r>
    </w:p>
    <w:p w:rsidR="006252C4" w:rsidRDefault="006252C4" w:rsidP="006252C4">
      <w:pPr>
        <w:pStyle w:val="a8"/>
        <w:spacing w:line="269" w:lineRule="auto"/>
        <w:rPr>
          <w:rtl/>
        </w:rPr>
      </w:pPr>
    </w:p>
    <w:p w:rsidR="006252C4" w:rsidRPr="00A81964" w:rsidRDefault="006252C4" w:rsidP="006252C4">
      <w:pPr>
        <w:spacing w:line="269" w:lineRule="auto"/>
        <w:rPr>
          <w:rFonts w:eastAsia="Calibri"/>
          <w:b/>
          <w:bCs/>
          <w:rtl/>
        </w:rPr>
      </w:pPr>
      <w:r w:rsidRPr="00A81964">
        <w:rPr>
          <w:rFonts w:eastAsia="Calibri"/>
          <w:b/>
          <w:bCs/>
          <w:rtl/>
        </w:rPr>
        <w:t>עולה כי שיעור הריבית</w:t>
      </w:r>
      <w:r w:rsidRPr="00A81964">
        <w:rPr>
          <w:rFonts w:eastAsia="Calibri" w:hint="cs"/>
          <w:b/>
          <w:bCs/>
          <w:rtl/>
        </w:rPr>
        <w:t>,</w:t>
      </w:r>
      <w:r w:rsidRPr="00A81964">
        <w:rPr>
          <w:rFonts w:eastAsia="Calibri"/>
          <w:b/>
          <w:bCs/>
          <w:rtl/>
        </w:rPr>
        <w:t xml:space="preserve"> </w:t>
      </w:r>
      <w:r w:rsidRPr="00A81964">
        <w:rPr>
          <w:rFonts w:eastAsia="Calibri" w:hint="cs"/>
          <w:b/>
          <w:bCs/>
          <w:rtl/>
        </w:rPr>
        <w:t xml:space="preserve">שעמדה על 2/3 משיעור ריבית החשכ"ל, ושונתה בשנת 2019 </w:t>
      </w:r>
      <w:r w:rsidRPr="00A81964">
        <w:rPr>
          <w:rFonts w:eastAsia="Calibri"/>
          <w:b/>
          <w:bCs/>
          <w:rtl/>
        </w:rPr>
        <w:t>ע</w:t>
      </w:r>
      <w:r w:rsidRPr="00A81964">
        <w:rPr>
          <w:rFonts w:eastAsia="Calibri" w:hint="cs"/>
          <w:b/>
          <w:bCs/>
          <w:rtl/>
        </w:rPr>
        <w:t>ל ידי</w:t>
      </w:r>
      <w:r w:rsidRPr="00A81964">
        <w:rPr>
          <w:rFonts w:eastAsia="Calibri"/>
          <w:b/>
          <w:bCs/>
          <w:rtl/>
        </w:rPr>
        <w:t xml:space="preserve"> החשבונאי הראשי</w:t>
      </w:r>
      <w:r w:rsidRPr="00A81964">
        <w:rPr>
          <w:rFonts w:eastAsia="Calibri" w:hint="cs"/>
          <w:b/>
          <w:bCs/>
          <w:rtl/>
        </w:rPr>
        <w:t xml:space="preserve"> דאז ל0.75%</w:t>
      </w:r>
      <w:r w:rsidRPr="00A81964">
        <w:rPr>
          <w:rFonts w:eastAsia="Calibri"/>
          <w:b/>
          <w:bCs/>
          <w:rtl/>
        </w:rPr>
        <w:t xml:space="preserve">, והרווחים הנובעים ממנו ונזקפים לקרן הפיצויים, נמוכים משמעותית משיעורי </w:t>
      </w:r>
      <w:r w:rsidRPr="00A81964">
        <w:rPr>
          <w:rFonts w:eastAsia="Calibri" w:hint="cs"/>
          <w:b/>
          <w:bCs/>
          <w:rtl/>
        </w:rPr>
        <w:t>ה</w:t>
      </w:r>
      <w:r w:rsidRPr="00A81964">
        <w:rPr>
          <w:rFonts w:eastAsia="Calibri"/>
          <w:b/>
          <w:bCs/>
          <w:rtl/>
        </w:rPr>
        <w:t>ריבית המשולמים ונזקפים לפיקדו</w:t>
      </w:r>
      <w:r w:rsidRPr="00A81964">
        <w:rPr>
          <w:rFonts w:eastAsia="Calibri" w:hint="cs"/>
          <w:b/>
          <w:bCs/>
          <w:rtl/>
        </w:rPr>
        <w:t>נות</w:t>
      </w:r>
      <w:r w:rsidRPr="00A81964">
        <w:rPr>
          <w:rFonts w:eastAsia="Calibri"/>
          <w:b/>
          <w:bCs/>
          <w:rtl/>
        </w:rPr>
        <w:t xml:space="preserve"> </w:t>
      </w:r>
      <w:r w:rsidRPr="00A81964">
        <w:rPr>
          <w:rFonts w:eastAsia="Calibri" w:hint="cs"/>
          <w:b/>
          <w:bCs/>
          <w:rtl/>
        </w:rPr>
        <w:t>ה</w:t>
      </w:r>
      <w:r w:rsidRPr="00A81964">
        <w:rPr>
          <w:rFonts w:eastAsia="Calibri"/>
          <w:b/>
          <w:bCs/>
          <w:rtl/>
        </w:rPr>
        <w:t>חשכ"ל</w:t>
      </w:r>
      <w:r w:rsidRPr="00A81964">
        <w:rPr>
          <w:rFonts w:eastAsia="Calibri" w:hint="cs"/>
          <w:b/>
          <w:bCs/>
          <w:rtl/>
        </w:rPr>
        <w:t xml:space="preserve"> בבנק ישראל ואף אינם מותאמים לשינויים בשיעורי ריביות אלו</w:t>
      </w:r>
      <w:r w:rsidRPr="00A81964">
        <w:rPr>
          <w:rFonts w:eastAsia="Calibri"/>
          <w:b/>
          <w:bCs/>
          <w:rtl/>
        </w:rPr>
        <w:t>.</w:t>
      </w:r>
    </w:p>
    <w:p w:rsidR="006252C4" w:rsidRDefault="006252C4" w:rsidP="006252C4">
      <w:pPr>
        <w:pStyle w:val="a8"/>
        <w:spacing w:line="269" w:lineRule="auto"/>
        <w:rPr>
          <w:rtl/>
        </w:rPr>
      </w:pPr>
    </w:p>
    <w:p w:rsidR="006252C4" w:rsidRPr="00A81964" w:rsidRDefault="006252C4" w:rsidP="006252C4">
      <w:pPr>
        <w:spacing w:line="269" w:lineRule="auto"/>
        <w:rPr>
          <w:rFonts w:eastAsia="Calibri"/>
          <w:rtl/>
        </w:rPr>
      </w:pPr>
      <w:r w:rsidRPr="00A81964">
        <w:rPr>
          <w:rFonts w:eastAsia="Calibri"/>
          <w:rtl/>
        </w:rPr>
        <w:t xml:space="preserve">בתרשים </w:t>
      </w:r>
      <w:r>
        <w:rPr>
          <w:rFonts w:eastAsia="Calibri" w:hint="cs"/>
          <w:rtl/>
        </w:rPr>
        <w:t>ש</w:t>
      </w:r>
      <w:r w:rsidRPr="00A81964">
        <w:rPr>
          <w:rFonts w:eastAsia="Calibri"/>
          <w:rtl/>
        </w:rPr>
        <w:t>להלן מפורטים שיעורי הריבית שנזקפ</w:t>
      </w:r>
      <w:r>
        <w:rPr>
          <w:rFonts w:eastAsia="Calibri" w:hint="cs"/>
          <w:rtl/>
        </w:rPr>
        <w:t xml:space="preserve">ה </w:t>
      </w:r>
      <w:r w:rsidRPr="00A81964">
        <w:rPr>
          <w:rFonts w:eastAsia="Calibri"/>
          <w:rtl/>
        </w:rPr>
        <w:t>לקרן</w:t>
      </w:r>
      <w:r w:rsidRPr="00A81964">
        <w:rPr>
          <w:rFonts w:eastAsia="Calibri" w:hint="cs"/>
          <w:rtl/>
        </w:rPr>
        <w:t xml:space="preserve"> בהתאם להחלטת החשכ"ל</w:t>
      </w:r>
      <w:r w:rsidRPr="00A81964">
        <w:rPr>
          <w:rFonts w:eastAsia="Calibri"/>
          <w:rtl/>
        </w:rPr>
        <w:t xml:space="preserve"> ושיעורי ריבית הפריים בשנים </w:t>
      </w:r>
      <w:r w:rsidRPr="00A81964">
        <w:rPr>
          <w:rFonts w:eastAsia="Calibri" w:hint="cs"/>
          <w:rtl/>
        </w:rPr>
        <w:t>2008 - 2024</w:t>
      </w:r>
      <w:r w:rsidRPr="00A81964">
        <w:rPr>
          <w:rFonts w:eastAsia="Calibri"/>
          <w:rtl/>
        </w:rPr>
        <w:t>.</w:t>
      </w:r>
    </w:p>
    <w:p w:rsidR="006252C4" w:rsidRPr="00A81964" w:rsidRDefault="006252C4" w:rsidP="006252C4">
      <w:pPr>
        <w:spacing w:line="269" w:lineRule="auto"/>
        <w:rPr>
          <w:rtl/>
        </w:rPr>
      </w:pPr>
    </w:p>
    <w:p w:rsidR="006252C4" w:rsidRDefault="006252C4" w:rsidP="001876AD">
      <w:pPr>
        <w:keepNext/>
        <w:keepLines/>
        <w:jc w:val="center"/>
        <w:rPr>
          <w:rFonts w:ascii="David" w:eastAsia="Calibri" w:hAnsi="David"/>
          <w:b/>
          <w:bCs/>
          <w:rtl/>
        </w:rPr>
      </w:pPr>
      <w:r w:rsidRPr="00A81964">
        <w:rPr>
          <w:rFonts w:ascii="David" w:eastAsia="Calibri" w:hAnsi="David"/>
          <w:sz w:val="24"/>
          <w:rtl/>
        </w:rPr>
        <w:t xml:space="preserve">תרשים </w:t>
      </w:r>
      <w:r w:rsidRPr="00A81964">
        <w:rPr>
          <w:rStyle w:val="af8"/>
          <w:rFonts w:hint="cs"/>
          <w:sz w:val="24"/>
          <w:szCs w:val="24"/>
          <w:rtl/>
        </w:rPr>
        <w:t>33</w:t>
      </w:r>
      <w:r w:rsidRPr="00A81964">
        <w:rPr>
          <w:rFonts w:ascii="David" w:eastAsia="Calibri" w:hAnsi="David"/>
          <w:rtl/>
        </w:rPr>
        <w:t>:</w:t>
      </w:r>
      <w:r w:rsidRPr="00A81964">
        <w:rPr>
          <w:rFonts w:ascii="David" w:eastAsia="Calibri" w:hAnsi="David"/>
          <w:b/>
          <w:bCs/>
          <w:rtl/>
        </w:rPr>
        <w:t xml:space="preserve"> שיעורי </w:t>
      </w:r>
      <w:r w:rsidRPr="00A81964">
        <w:rPr>
          <w:rFonts w:ascii="David" w:eastAsia="Calibri" w:hAnsi="David" w:hint="cs"/>
          <w:b/>
          <w:bCs/>
          <w:rtl/>
        </w:rPr>
        <w:t>ה</w:t>
      </w:r>
      <w:r w:rsidRPr="00A81964">
        <w:rPr>
          <w:rFonts w:ascii="David" w:eastAsia="Calibri" w:hAnsi="David"/>
          <w:b/>
          <w:bCs/>
          <w:rtl/>
        </w:rPr>
        <w:t>ריבית שנזקפה לקרן ושיעורי ריבית הפריים</w:t>
      </w:r>
      <w:r w:rsidRPr="00A81964">
        <w:rPr>
          <w:rFonts w:ascii="David" w:eastAsia="Calibri" w:hAnsi="David" w:hint="cs"/>
          <w:b/>
          <w:bCs/>
          <w:rtl/>
        </w:rPr>
        <w:t>,</w:t>
      </w:r>
      <w:r w:rsidRPr="00A81964">
        <w:rPr>
          <w:rFonts w:ascii="David" w:eastAsia="Calibri" w:hAnsi="David"/>
          <w:b/>
          <w:bCs/>
          <w:rtl/>
        </w:rPr>
        <w:t xml:space="preserve"> 2008 </w:t>
      </w:r>
      <w:r w:rsidRPr="00A81964">
        <w:rPr>
          <w:rFonts w:ascii="David" w:eastAsia="Calibri" w:hAnsi="David" w:hint="cs"/>
          <w:b/>
          <w:bCs/>
          <w:rtl/>
        </w:rPr>
        <w:t xml:space="preserve">- 2024 </w:t>
      </w:r>
      <w:r w:rsidRPr="00A81964">
        <w:rPr>
          <w:rFonts w:ascii="David" w:eastAsia="Calibri" w:hAnsi="David"/>
          <w:b/>
          <w:bCs/>
          <w:rtl/>
        </w:rPr>
        <w:t xml:space="preserve">(באחוזים) </w:t>
      </w:r>
    </w:p>
    <w:p w:rsidR="006252C4" w:rsidRDefault="006252C4" w:rsidP="006252C4">
      <w:pPr>
        <w:spacing w:line="269" w:lineRule="auto"/>
        <w:jc w:val="center"/>
        <w:rPr>
          <w:rFonts w:ascii="David" w:eastAsia="Calibri" w:hAnsi="David"/>
          <w:b/>
          <w:bCs/>
          <w:rtl/>
        </w:rPr>
      </w:pPr>
      <w:r>
        <w:rPr>
          <w:rFonts w:ascii="David" w:eastAsia="Calibri" w:hAnsi="David" w:hint="cs"/>
          <w:b/>
          <w:bCs/>
          <w:noProof/>
          <w:rtl/>
          <w:lang w:val="he-IL"/>
        </w:rPr>
        <w:drawing>
          <wp:inline distT="0" distB="0" distL="0" distR="0" wp14:anchorId="22098316" wp14:editId="61F6AEBE">
            <wp:extent cx="5220335" cy="3125470"/>
            <wp:effectExtent l="0" t="0" r="0" b="0"/>
            <wp:docPr id="48" name="תמונה 4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744AA4.tmp"/>
                    <pic:cNvPicPr/>
                  </pic:nvPicPr>
                  <pic:blipFill>
                    <a:blip r:embed="rId52">
                      <a:extLst>
                        <a:ext uri="{28A0092B-C50C-407E-A947-70E740481C1C}">
                          <a14:useLocalDpi xmlns:a14="http://schemas.microsoft.com/office/drawing/2010/main" val="0"/>
                        </a:ext>
                      </a:extLst>
                    </a:blip>
                    <a:stretch>
                      <a:fillRect/>
                    </a:stretch>
                  </pic:blipFill>
                  <pic:spPr>
                    <a:xfrm>
                      <a:off x="0" y="0"/>
                      <a:ext cx="5220335" cy="3125470"/>
                    </a:xfrm>
                    <a:prstGeom prst="rect">
                      <a:avLst/>
                    </a:prstGeom>
                  </pic:spPr>
                </pic:pic>
              </a:graphicData>
            </a:graphic>
          </wp:inline>
        </w:drawing>
      </w:r>
    </w:p>
    <w:p w:rsidR="006252C4" w:rsidRPr="00A81964" w:rsidRDefault="006252C4" w:rsidP="001876AD">
      <w:pPr>
        <w:spacing w:before="60" w:line="269" w:lineRule="auto"/>
        <w:rPr>
          <w:rFonts w:ascii="David" w:eastAsia="Calibri" w:hAnsi="David"/>
          <w:sz w:val="16"/>
          <w:szCs w:val="20"/>
          <w:rtl/>
        </w:rPr>
      </w:pPr>
      <w:r w:rsidRPr="00A81964">
        <w:rPr>
          <w:rFonts w:ascii="David" w:eastAsia="Calibri" w:hAnsi="David" w:hint="cs"/>
          <w:sz w:val="16"/>
          <w:szCs w:val="20"/>
          <w:rtl/>
        </w:rPr>
        <w:t>על פי</w:t>
      </w:r>
      <w:r w:rsidRPr="00A81964">
        <w:rPr>
          <w:rFonts w:ascii="David" w:eastAsia="Calibri" w:hAnsi="David"/>
          <w:sz w:val="16"/>
          <w:szCs w:val="20"/>
          <w:rtl/>
        </w:rPr>
        <w:t xml:space="preserve"> נתוני בנק ישראל ונתוני משרד האוצר</w:t>
      </w:r>
      <w:r w:rsidRPr="00A81964">
        <w:rPr>
          <w:rFonts w:ascii="David" w:eastAsia="Calibri" w:hAnsi="David" w:hint="cs"/>
          <w:sz w:val="16"/>
          <w:szCs w:val="20"/>
          <w:rtl/>
        </w:rPr>
        <w:t>,</w:t>
      </w:r>
      <w:r w:rsidRPr="00A81964">
        <w:rPr>
          <w:rFonts w:ascii="David" w:eastAsia="Calibri" w:hAnsi="David"/>
          <w:sz w:val="16"/>
          <w:szCs w:val="20"/>
          <w:rtl/>
        </w:rPr>
        <w:t xml:space="preserve"> בעיבוד משרד מבקר המדינה.</w:t>
      </w:r>
    </w:p>
    <w:p w:rsidR="006252C4" w:rsidRDefault="006252C4" w:rsidP="006252C4">
      <w:pPr>
        <w:pStyle w:val="a8"/>
        <w:spacing w:line="269" w:lineRule="auto"/>
        <w:rPr>
          <w:rtl/>
        </w:rPr>
      </w:pPr>
    </w:p>
    <w:p w:rsidR="006252C4" w:rsidRPr="00552D03" w:rsidRDefault="006252C4" w:rsidP="006252C4">
      <w:pPr>
        <w:spacing w:line="269" w:lineRule="auto"/>
        <w:rPr>
          <w:rFonts w:ascii="David" w:eastAsia="Calibri" w:hAnsi="David"/>
          <w:b/>
          <w:bCs/>
          <w:rtl/>
        </w:rPr>
      </w:pPr>
      <w:r w:rsidRPr="00A81964">
        <w:rPr>
          <w:rFonts w:ascii="David" w:eastAsia="Calibri" w:hAnsi="David" w:hint="cs"/>
          <w:b/>
          <w:bCs/>
          <w:rtl/>
        </w:rPr>
        <w:t>מהתרשים</w:t>
      </w:r>
      <w:r w:rsidRPr="00A81964">
        <w:rPr>
          <w:rFonts w:ascii="David" w:eastAsia="Calibri" w:hAnsi="David"/>
          <w:b/>
          <w:bCs/>
          <w:rtl/>
        </w:rPr>
        <w:t xml:space="preserve"> עולה כי בשנת 2008 ריבית הפריים הי</w:t>
      </w:r>
      <w:r w:rsidRPr="00A81964">
        <w:rPr>
          <w:rFonts w:ascii="David" w:eastAsia="Calibri" w:hAnsi="David" w:hint="cs"/>
          <w:b/>
          <w:bCs/>
          <w:rtl/>
        </w:rPr>
        <w:t>י</w:t>
      </w:r>
      <w:r w:rsidRPr="00A81964">
        <w:rPr>
          <w:rFonts w:ascii="David" w:eastAsia="Calibri" w:hAnsi="David"/>
          <w:b/>
          <w:bCs/>
          <w:rtl/>
        </w:rPr>
        <w:t xml:space="preserve">תה גבוהה משיעור הריבית שנזקפה לקרן, בשנים </w:t>
      </w:r>
      <w:r w:rsidRPr="00A81964">
        <w:rPr>
          <w:rFonts w:ascii="David" w:eastAsia="Calibri" w:hAnsi="David" w:hint="cs"/>
          <w:b/>
          <w:bCs/>
          <w:rtl/>
        </w:rPr>
        <w:t xml:space="preserve">2009 - 2010 </w:t>
      </w:r>
      <w:r w:rsidRPr="00A81964">
        <w:rPr>
          <w:rFonts w:ascii="David" w:eastAsia="Calibri" w:hAnsi="David"/>
          <w:b/>
          <w:bCs/>
          <w:rtl/>
        </w:rPr>
        <w:t xml:space="preserve">הריבית </w:t>
      </w:r>
      <w:r w:rsidRPr="00552D03">
        <w:rPr>
          <w:rFonts w:ascii="David" w:eastAsia="Calibri" w:hAnsi="David"/>
          <w:b/>
          <w:bCs/>
          <w:rtl/>
        </w:rPr>
        <w:t>שנזקפה לקרן ה</w:t>
      </w:r>
      <w:r w:rsidRPr="00552D03">
        <w:rPr>
          <w:rFonts w:ascii="David" w:eastAsia="Calibri" w:hAnsi="David" w:hint="cs"/>
          <w:b/>
          <w:bCs/>
          <w:rtl/>
        </w:rPr>
        <w:t>י</w:t>
      </w:r>
      <w:r w:rsidRPr="00552D03">
        <w:rPr>
          <w:rFonts w:ascii="David" w:eastAsia="Calibri" w:hAnsi="David"/>
          <w:b/>
          <w:bCs/>
          <w:rtl/>
        </w:rPr>
        <w:t>יתה גבוהה מריבית הפר</w:t>
      </w:r>
      <w:r w:rsidRPr="00552D03">
        <w:rPr>
          <w:rFonts w:ascii="David" w:eastAsia="Calibri" w:hAnsi="David" w:hint="cs"/>
          <w:b/>
          <w:bCs/>
          <w:rtl/>
        </w:rPr>
        <w:t>י</w:t>
      </w:r>
      <w:r w:rsidRPr="00552D03">
        <w:rPr>
          <w:rFonts w:ascii="David" w:eastAsia="Calibri" w:hAnsi="David"/>
          <w:b/>
          <w:bCs/>
          <w:rtl/>
        </w:rPr>
        <w:t xml:space="preserve">ים, </w:t>
      </w:r>
      <w:r w:rsidRPr="00552D03">
        <w:rPr>
          <w:rFonts w:ascii="David" w:eastAsia="Calibri" w:hAnsi="David" w:hint="cs"/>
          <w:b/>
          <w:bCs/>
          <w:rtl/>
        </w:rPr>
        <w:t>ב</w:t>
      </w:r>
      <w:r w:rsidRPr="00552D03">
        <w:rPr>
          <w:rFonts w:ascii="David" w:eastAsia="Calibri" w:hAnsi="David"/>
          <w:b/>
          <w:bCs/>
          <w:rtl/>
        </w:rPr>
        <w:t>שנים 20</w:t>
      </w:r>
      <w:r w:rsidRPr="00552D03">
        <w:rPr>
          <w:rFonts w:ascii="David" w:eastAsia="Calibri" w:hAnsi="David" w:hint="cs"/>
          <w:b/>
          <w:bCs/>
          <w:rtl/>
        </w:rPr>
        <w:t>1</w:t>
      </w:r>
      <w:r w:rsidRPr="00552D03">
        <w:rPr>
          <w:rFonts w:ascii="David" w:eastAsia="Calibri" w:hAnsi="David"/>
          <w:b/>
          <w:bCs/>
          <w:rtl/>
        </w:rPr>
        <w:t>2</w:t>
      </w:r>
      <w:r w:rsidRPr="00552D03">
        <w:rPr>
          <w:rFonts w:ascii="David" w:eastAsia="Calibri" w:hAnsi="David" w:hint="cs"/>
          <w:b/>
          <w:bCs/>
          <w:rtl/>
        </w:rPr>
        <w:t xml:space="preserve"> ועד למחצית שנת </w:t>
      </w:r>
      <w:r w:rsidRPr="00552D03">
        <w:rPr>
          <w:rFonts w:ascii="David" w:eastAsia="Calibri" w:hAnsi="David"/>
          <w:b/>
          <w:bCs/>
          <w:rtl/>
        </w:rPr>
        <w:t>20</w:t>
      </w:r>
      <w:r w:rsidRPr="00552D03">
        <w:rPr>
          <w:rFonts w:ascii="David" w:eastAsia="Calibri" w:hAnsi="David" w:hint="cs"/>
          <w:b/>
          <w:bCs/>
          <w:rtl/>
        </w:rPr>
        <w:t>2</w:t>
      </w:r>
      <w:r w:rsidRPr="00552D03">
        <w:rPr>
          <w:rFonts w:ascii="David" w:eastAsia="Calibri" w:hAnsi="David"/>
          <w:b/>
          <w:bCs/>
          <w:rtl/>
        </w:rPr>
        <w:t>2 שיעורי הריבית לקרן היו נמוכים משיעור</w:t>
      </w:r>
      <w:r w:rsidRPr="00552D03">
        <w:rPr>
          <w:rFonts w:ascii="David" w:eastAsia="Calibri" w:hAnsi="David" w:hint="cs"/>
          <w:b/>
          <w:bCs/>
          <w:rtl/>
        </w:rPr>
        <w:t>י</w:t>
      </w:r>
      <w:r w:rsidRPr="00552D03">
        <w:rPr>
          <w:rFonts w:ascii="David" w:eastAsia="Calibri" w:hAnsi="David"/>
          <w:b/>
          <w:bCs/>
          <w:rtl/>
        </w:rPr>
        <w:t xml:space="preserve"> ריבית הפריים</w:t>
      </w:r>
      <w:r w:rsidRPr="00552D03">
        <w:rPr>
          <w:rFonts w:ascii="David" w:eastAsia="Calibri" w:hAnsi="David" w:hint="cs"/>
          <w:b/>
          <w:bCs/>
          <w:rtl/>
        </w:rPr>
        <w:t>,</w:t>
      </w:r>
      <w:r w:rsidRPr="00552D03">
        <w:rPr>
          <w:rFonts w:ascii="David" w:eastAsia="Calibri" w:hAnsi="David"/>
          <w:b/>
          <w:bCs/>
          <w:rtl/>
        </w:rPr>
        <w:t xml:space="preserve"> ובין </w:t>
      </w:r>
      <w:r w:rsidRPr="00552D03">
        <w:rPr>
          <w:rFonts w:ascii="David" w:eastAsia="Calibri" w:hAnsi="David" w:hint="cs"/>
          <w:b/>
          <w:bCs/>
          <w:rtl/>
        </w:rPr>
        <w:t>מחצית שנת</w:t>
      </w:r>
      <w:r w:rsidRPr="00552D03">
        <w:rPr>
          <w:rFonts w:ascii="David" w:eastAsia="Calibri" w:hAnsi="David"/>
          <w:b/>
          <w:bCs/>
          <w:rtl/>
        </w:rPr>
        <w:t xml:space="preserve"> 2022 </w:t>
      </w:r>
      <w:r w:rsidRPr="00552D03">
        <w:rPr>
          <w:rFonts w:ascii="David" w:eastAsia="Calibri" w:hAnsi="David" w:hint="cs"/>
          <w:b/>
          <w:bCs/>
          <w:rtl/>
        </w:rPr>
        <w:t xml:space="preserve">ועד לשנת </w:t>
      </w:r>
      <w:r w:rsidRPr="00552D03">
        <w:rPr>
          <w:rFonts w:ascii="David" w:eastAsia="Calibri" w:hAnsi="David"/>
          <w:b/>
          <w:bCs/>
          <w:rtl/>
        </w:rPr>
        <w:t>2024 שיעורי הריבית שנזקפה לקרן היו נמוכים משמעותית משיעור</w:t>
      </w:r>
      <w:r w:rsidRPr="00552D03">
        <w:rPr>
          <w:rFonts w:ascii="David" w:eastAsia="Calibri" w:hAnsi="David" w:hint="cs"/>
          <w:b/>
          <w:bCs/>
          <w:rtl/>
        </w:rPr>
        <w:t>י</w:t>
      </w:r>
      <w:r w:rsidRPr="00552D03">
        <w:rPr>
          <w:rFonts w:ascii="David" w:eastAsia="Calibri" w:hAnsi="David"/>
          <w:b/>
          <w:bCs/>
          <w:rtl/>
        </w:rPr>
        <w:t xml:space="preserve"> ריבית הפריים.</w:t>
      </w:r>
    </w:p>
    <w:p w:rsidR="006252C4" w:rsidRDefault="006252C4" w:rsidP="006252C4">
      <w:pPr>
        <w:pStyle w:val="a8"/>
        <w:spacing w:line="269" w:lineRule="auto"/>
        <w:rPr>
          <w:rtl/>
        </w:rPr>
      </w:pPr>
    </w:p>
    <w:p w:rsidR="006252C4" w:rsidRDefault="006252C4" w:rsidP="006252C4">
      <w:pPr>
        <w:spacing w:line="269" w:lineRule="auto"/>
        <w:rPr>
          <w:rFonts w:ascii="David" w:eastAsia="Calibri" w:hAnsi="David"/>
          <w:rtl/>
        </w:rPr>
      </w:pPr>
      <w:r w:rsidRPr="00552D03">
        <w:rPr>
          <w:rFonts w:ascii="David" w:eastAsia="Calibri" w:hAnsi="David"/>
          <w:rtl/>
        </w:rPr>
        <w:lastRenderedPageBreak/>
        <w:t xml:space="preserve">בתרשים </w:t>
      </w:r>
      <w:r w:rsidRPr="00552D03">
        <w:rPr>
          <w:rFonts w:ascii="David" w:eastAsia="Calibri" w:hAnsi="David" w:hint="cs"/>
          <w:rtl/>
        </w:rPr>
        <w:t>ש</w:t>
      </w:r>
      <w:r w:rsidRPr="00552D03">
        <w:rPr>
          <w:rFonts w:ascii="David" w:eastAsia="Calibri" w:hAnsi="David"/>
          <w:rtl/>
        </w:rPr>
        <w:t xml:space="preserve">להלן מפורט הפער בין </w:t>
      </w:r>
      <w:r w:rsidRPr="00552D03">
        <w:rPr>
          <w:rFonts w:ascii="David" w:eastAsia="Calibri" w:hAnsi="David" w:hint="cs"/>
          <w:rtl/>
        </w:rPr>
        <w:t>הכנסות</w:t>
      </w:r>
      <w:r w:rsidRPr="00552D03">
        <w:rPr>
          <w:rFonts w:ascii="David" w:eastAsia="Calibri" w:hAnsi="David"/>
          <w:rtl/>
        </w:rPr>
        <w:t xml:space="preserve"> הריבית </w:t>
      </w:r>
      <w:r>
        <w:rPr>
          <w:rFonts w:ascii="David" w:eastAsia="Calibri" w:hAnsi="David" w:hint="cs"/>
          <w:rtl/>
        </w:rPr>
        <w:t>ב</w:t>
      </w:r>
      <w:r w:rsidRPr="00552D03">
        <w:rPr>
          <w:rFonts w:ascii="David" w:eastAsia="Calibri" w:hAnsi="David"/>
          <w:rtl/>
        </w:rPr>
        <w:t xml:space="preserve">קרן לבין הכנסות ריבית צמודה לפריים בגין הסכום שנצבר בכל שנה </w:t>
      </w:r>
      <w:r w:rsidRPr="00552D03">
        <w:rPr>
          <w:rFonts w:ascii="David" w:eastAsia="Calibri" w:hAnsi="David" w:hint="cs"/>
          <w:rtl/>
        </w:rPr>
        <w:t>ו</w:t>
      </w:r>
      <w:r w:rsidRPr="00552D03">
        <w:rPr>
          <w:rFonts w:ascii="David" w:eastAsia="Calibri" w:hAnsi="David"/>
          <w:rtl/>
        </w:rPr>
        <w:t>הפער המצטבר</w:t>
      </w:r>
      <w:r w:rsidRPr="00552D03">
        <w:rPr>
          <w:rFonts w:ascii="David" w:eastAsia="Calibri" w:hAnsi="David" w:hint="cs"/>
          <w:rtl/>
        </w:rPr>
        <w:t>,</w:t>
      </w:r>
      <w:r w:rsidRPr="00552D03">
        <w:rPr>
          <w:rFonts w:ascii="David" w:eastAsia="Calibri" w:hAnsi="David"/>
          <w:rtl/>
        </w:rPr>
        <w:t xml:space="preserve"> לשנים </w:t>
      </w:r>
      <w:r w:rsidRPr="00552D03">
        <w:rPr>
          <w:rFonts w:ascii="David" w:eastAsia="Calibri" w:hAnsi="David" w:hint="cs"/>
          <w:rtl/>
        </w:rPr>
        <w:t>2008 - 2023</w:t>
      </w:r>
      <w:r w:rsidRPr="00552D03">
        <w:rPr>
          <w:rFonts w:ascii="David" w:eastAsia="Calibri" w:hAnsi="David"/>
          <w:rtl/>
        </w:rPr>
        <w:t>.</w:t>
      </w:r>
    </w:p>
    <w:p w:rsidR="006252C4" w:rsidRDefault="006252C4" w:rsidP="006252C4">
      <w:pPr>
        <w:spacing w:line="269" w:lineRule="auto"/>
        <w:jc w:val="center"/>
        <w:rPr>
          <w:rFonts w:ascii="David" w:eastAsia="Calibri" w:hAnsi="David"/>
          <w:rtl/>
        </w:rPr>
      </w:pPr>
    </w:p>
    <w:p w:rsidR="006252C4" w:rsidRPr="00A81964" w:rsidRDefault="006252C4" w:rsidP="006252C4">
      <w:pPr>
        <w:spacing w:line="269" w:lineRule="auto"/>
        <w:jc w:val="center"/>
        <w:rPr>
          <w:rFonts w:ascii="David" w:eastAsia="Calibri" w:hAnsi="David"/>
          <w:b/>
          <w:bCs/>
          <w:rtl/>
        </w:rPr>
      </w:pPr>
      <w:r w:rsidRPr="00552D03">
        <w:rPr>
          <w:rFonts w:ascii="David" w:eastAsia="Calibri" w:hAnsi="David"/>
          <w:rtl/>
        </w:rPr>
        <w:t>תרשים</w:t>
      </w:r>
      <w:r w:rsidRPr="00552D03">
        <w:rPr>
          <w:rFonts w:ascii="David" w:eastAsia="Calibri" w:hAnsi="David" w:hint="cs"/>
          <w:rtl/>
        </w:rPr>
        <w:t xml:space="preserve"> 34</w:t>
      </w:r>
      <w:r w:rsidRPr="00552D03">
        <w:rPr>
          <w:rFonts w:ascii="David" w:eastAsia="Calibri" w:hAnsi="David"/>
          <w:rtl/>
        </w:rPr>
        <w:t xml:space="preserve">: </w:t>
      </w:r>
      <w:r w:rsidRPr="00552D03">
        <w:rPr>
          <w:rFonts w:ascii="David" w:eastAsia="Calibri" w:hAnsi="David"/>
          <w:b/>
          <w:bCs/>
          <w:rtl/>
        </w:rPr>
        <w:t>הפער בין הכנסות הריבית</w:t>
      </w:r>
      <w:r w:rsidRPr="00552D03">
        <w:rPr>
          <w:rFonts w:ascii="David" w:eastAsia="Calibri" w:hAnsi="David"/>
          <w:b/>
          <w:bCs/>
          <w:vertAlign w:val="superscript"/>
          <w:rtl/>
        </w:rPr>
        <w:footnoteReference w:id="162"/>
      </w:r>
      <w:r w:rsidRPr="00552D03">
        <w:rPr>
          <w:rFonts w:ascii="David" w:eastAsia="Calibri" w:hAnsi="David"/>
          <w:b/>
          <w:bCs/>
          <w:rtl/>
        </w:rPr>
        <w:t xml:space="preserve"> בקרן לבין הכנסות ריבית צמודה</w:t>
      </w:r>
      <w:r w:rsidRPr="00A81964">
        <w:rPr>
          <w:rFonts w:ascii="David" w:eastAsia="Calibri" w:hAnsi="David"/>
          <w:b/>
          <w:bCs/>
          <w:rtl/>
        </w:rPr>
        <w:t xml:space="preserve"> לפריים בגין הסכום שנצבר בכל שנה </w:t>
      </w:r>
      <w:r w:rsidRPr="00A81964">
        <w:rPr>
          <w:rFonts w:ascii="David" w:eastAsia="Calibri" w:hAnsi="David" w:hint="cs"/>
          <w:b/>
          <w:bCs/>
          <w:rtl/>
        </w:rPr>
        <w:t>ו</w:t>
      </w:r>
      <w:r w:rsidRPr="00A81964">
        <w:rPr>
          <w:rFonts w:ascii="David" w:eastAsia="Calibri" w:hAnsi="David"/>
          <w:b/>
          <w:bCs/>
          <w:rtl/>
        </w:rPr>
        <w:t>הפער המצטבר</w:t>
      </w:r>
      <w:r w:rsidRPr="00A81964">
        <w:rPr>
          <w:rFonts w:ascii="David" w:eastAsia="Calibri" w:hAnsi="David" w:hint="cs"/>
          <w:b/>
          <w:bCs/>
          <w:rtl/>
        </w:rPr>
        <w:t>,</w:t>
      </w:r>
      <w:r w:rsidRPr="00A81964">
        <w:rPr>
          <w:rFonts w:ascii="David" w:eastAsia="Calibri" w:hAnsi="David"/>
          <w:b/>
          <w:bCs/>
          <w:rtl/>
        </w:rPr>
        <w:t xml:space="preserve"> </w:t>
      </w:r>
      <w:r w:rsidRPr="00A81964">
        <w:rPr>
          <w:rFonts w:ascii="David" w:eastAsia="Calibri" w:hAnsi="David" w:hint="cs"/>
          <w:b/>
          <w:bCs/>
          <w:rtl/>
        </w:rPr>
        <w:t xml:space="preserve">2008 - 2023 </w:t>
      </w:r>
      <w:r w:rsidRPr="00A81964">
        <w:rPr>
          <w:rFonts w:ascii="David" w:eastAsia="Calibri" w:hAnsi="David"/>
          <w:b/>
          <w:bCs/>
          <w:rtl/>
        </w:rPr>
        <w:t>(במיליוני ש"ח)</w:t>
      </w:r>
    </w:p>
    <w:p w:rsidR="006252C4" w:rsidRDefault="006252C4" w:rsidP="006252C4">
      <w:pPr>
        <w:spacing w:line="269" w:lineRule="auto"/>
        <w:jc w:val="center"/>
        <w:rPr>
          <w:rFonts w:ascii="David" w:eastAsia="Calibri" w:hAnsi="David"/>
          <w:sz w:val="16"/>
          <w:szCs w:val="20"/>
          <w:rtl/>
        </w:rPr>
      </w:pPr>
      <w:r>
        <w:rPr>
          <w:rFonts w:ascii="David" w:eastAsia="Calibri" w:hAnsi="David"/>
          <w:noProof/>
          <w:sz w:val="16"/>
          <w:szCs w:val="20"/>
          <w:rtl/>
          <w:lang w:val="he-IL"/>
        </w:rPr>
        <w:drawing>
          <wp:inline distT="0" distB="0" distL="0" distR="0" wp14:anchorId="4F9AA15D" wp14:editId="7A2D4DAA">
            <wp:extent cx="5220335" cy="2689860"/>
            <wp:effectExtent l="0" t="0" r="0" b="0"/>
            <wp:docPr id="49" name="תמונה 4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74E560.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20335" cy="2689860"/>
                    </a:xfrm>
                    <a:prstGeom prst="rect">
                      <a:avLst/>
                    </a:prstGeom>
                  </pic:spPr>
                </pic:pic>
              </a:graphicData>
            </a:graphic>
          </wp:inline>
        </w:drawing>
      </w:r>
    </w:p>
    <w:p w:rsidR="006252C4" w:rsidRPr="00A81964" w:rsidRDefault="006252C4" w:rsidP="006252C4">
      <w:pPr>
        <w:spacing w:line="269" w:lineRule="auto"/>
        <w:rPr>
          <w:rFonts w:ascii="David" w:eastAsia="Calibri" w:hAnsi="David"/>
          <w:sz w:val="16"/>
          <w:szCs w:val="20"/>
        </w:rPr>
      </w:pPr>
      <w:r w:rsidRPr="00A81964">
        <w:rPr>
          <w:rFonts w:ascii="David" w:eastAsia="Calibri" w:hAnsi="David" w:hint="cs"/>
          <w:sz w:val="16"/>
          <w:szCs w:val="20"/>
          <w:rtl/>
        </w:rPr>
        <w:t>על פי</w:t>
      </w:r>
      <w:r w:rsidRPr="00A81964">
        <w:rPr>
          <w:rFonts w:ascii="David" w:eastAsia="Calibri" w:hAnsi="David"/>
          <w:sz w:val="16"/>
          <w:szCs w:val="20"/>
          <w:rtl/>
        </w:rPr>
        <w:t xml:space="preserve"> נתוני בנק ישראל </w:t>
      </w:r>
      <w:r w:rsidRPr="00A81964">
        <w:rPr>
          <w:rFonts w:ascii="David" w:eastAsia="Calibri" w:hAnsi="David" w:hint="cs"/>
          <w:sz w:val="16"/>
          <w:szCs w:val="20"/>
          <w:rtl/>
        </w:rPr>
        <w:t>ו</w:t>
      </w:r>
      <w:r w:rsidRPr="00A81964">
        <w:rPr>
          <w:rFonts w:ascii="David" w:eastAsia="Calibri" w:hAnsi="David"/>
          <w:sz w:val="16"/>
          <w:szCs w:val="20"/>
          <w:rtl/>
        </w:rPr>
        <w:t>משרד האוצר</w:t>
      </w:r>
      <w:r w:rsidRPr="00A81964">
        <w:rPr>
          <w:rFonts w:ascii="David" w:eastAsia="Calibri" w:hAnsi="David" w:hint="cs"/>
          <w:sz w:val="16"/>
          <w:szCs w:val="20"/>
          <w:rtl/>
        </w:rPr>
        <w:t>,</w:t>
      </w:r>
      <w:r w:rsidRPr="00A81964">
        <w:rPr>
          <w:rFonts w:ascii="David" w:eastAsia="Calibri" w:hAnsi="David"/>
          <w:sz w:val="16"/>
          <w:szCs w:val="20"/>
          <w:rtl/>
        </w:rPr>
        <w:t xml:space="preserve"> בעיבוד משרד מבקר המדינה.</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b/>
          <w:bCs/>
          <w:rtl/>
        </w:rPr>
      </w:pPr>
      <w:r w:rsidRPr="00A81964">
        <w:rPr>
          <w:rFonts w:ascii="David" w:eastAsia="Calibri" w:hAnsi="David"/>
          <w:b/>
          <w:bCs/>
          <w:rtl/>
        </w:rPr>
        <w:t xml:space="preserve">מהתרשים עולה כי משנת 2011 ועד 2023 </w:t>
      </w:r>
      <w:r w:rsidRPr="00A81964">
        <w:rPr>
          <w:rFonts w:ascii="David" w:eastAsia="Calibri" w:hAnsi="David" w:hint="cs"/>
          <w:b/>
          <w:bCs/>
          <w:rtl/>
        </w:rPr>
        <w:t>התקיים פער ב</w:t>
      </w:r>
      <w:r w:rsidRPr="00A81964">
        <w:rPr>
          <w:rFonts w:ascii="David" w:eastAsia="Calibri" w:hAnsi="David"/>
          <w:b/>
          <w:bCs/>
          <w:rtl/>
        </w:rPr>
        <w:t xml:space="preserve">כל שנה </w:t>
      </w:r>
      <w:r w:rsidRPr="00A81964">
        <w:rPr>
          <w:rFonts w:ascii="David" w:eastAsia="Calibri" w:hAnsi="David" w:hint="cs"/>
          <w:b/>
          <w:bCs/>
          <w:rtl/>
        </w:rPr>
        <w:t xml:space="preserve">בין הכנסות הריבית בפועל של הקרן לבין ההכנסות מהריבית הצמודה לפריים בהיקף </w:t>
      </w:r>
      <w:r w:rsidRPr="00A81964">
        <w:rPr>
          <w:rFonts w:ascii="David" w:eastAsia="Calibri" w:hAnsi="David"/>
          <w:b/>
          <w:bCs/>
          <w:rtl/>
        </w:rPr>
        <w:t>של עשרות מיליוני שקלים</w:t>
      </w:r>
      <w:r w:rsidRPr="00A81964">
        <w:rPr>
          <w:rFonts w:ascii="David" w:eastAsia="Calibri" w:hAnsi="David" w:hint="cs"/>
          <w:b/>
          <w:bCs/>
          <w:rtl/>
        </w:rPr>
        <w:t>.</w:t>
      </w:r>
      <w:r w:rsidRPr="00A81964">
        <w:rPr>
          <w:rFonts w:ascii="David" w:eastAsia="Calibri" w:hAnsi="David"/>
          <w:b/>
          <w:bCs/>
          <w:rtl/>
        </w:rPr>
        <w:t xml:space="preserve"> הפער המצטבר עד לתום שנת 2023 עמד על כ-</w:t>
      </w:r>
      <w:r w:rsidRPr="00A81964">
        <w:rPr>
          <w:rFonts w:ascii="David" w:eastAsia="Calibri" w:hAnsi="David" w:hint="cs"/>
          <w:b/>
          <w:bCs/>
          <w:rtl/>
        </w:rPr>
        <w:t xml:space="preserve">2.8 מיליארד </w:t>
      </w:r>
      <w:r w:rsidRPr="00A81964">
        <w:rPr>
          <w:rFonts w:ascii="David" w:eastAsia="Calibri" w:hAnsi="David"/>
          <w:b/>
          <w:bCs/>
          <w:rtl/>
        </w:rPr>
        <w:t>ש"ח.</w:t>
      </w:r>
    </w:p>
    <w:p w:rsidR="006252C4" w:rsidRDefault="006252C4" w:rsidP="006252C4">
      <w:pPr>
        <w:pStyle w:val="a8"/>
        <w:spacing w:line="269" w:lineRule="auto"/>
        <w:rPr>
          <w:rtl/>
        </w:rPr>
      </w:pPr>
    </w:p>
    <w:p w:rsidR="006252C4" w:rsidRDefault="006252C4" w:rsidP="006252C4">
      <w:pPr>
        <w:spacing w:line="269" w:lineRule="auto"/>
        <w:rPr>
          <w:rFonts w:ascii="David" w:eastAsia="Calibri" w:hAnsi="David"/>
          <w:rtl/>
        </w:rPr>
      </w:pPr>
      <w:bookmarkStart w:id="37" w:name="_Hlk215477582"/>
      <w:r w:rsidRPr="00A81964">
        <w:rPr>
          <w:rFonts w:ascii="David" w:eastAsia="Calibri" w:hAnsi="David"/>
          <w:b/>
          <w:bCs/>
          <w:rtl/>
        </w:rPr>
        <w:t xml:space="preserve">נמצא כי למרות האמור בחוק, כי רווחי ההשקעות יצורפו לקרן הפיצויים, ההכנסות על יתרת הקרן בפיקדון </w:t>
      </w:r>
      <w:r w:rsidRPr="00A81964">
        <w:rPr>
          <w:rFonts w:ascii="David" w:eastAsia="Calibri" w:hAnsi="David" w:hint="cs"/>
          <w:b/>
          <w:bCs/>
          <w:rtl/>
        </w:rPr>
        <w:t>ה</w:t>
      </w:r>
      <w:r w:rsidRPr="00A81964">
        <w:rPr>
          <w:rFonts w:ascii="David" w:eastAsia="Calibri" w:hAnsi="David"/>
          <w:b/>
          <w:bCs/>
          <w:rtl/>
        </w:rPr>
        <w:t>חשכ"ל נמוכ</w:t>
      </w:r>
      <w:r>
        <w:rPr>
          <w:rFonts w:ascii="David" w:eastAsia="Calibri" w:hAnsi="David" w:hint="cs"/>
          <w:b/>
          <w:bCs/>
          <w:rtl/>
        </w:rPr>
        <w:t>ות</w:t>
      </w:r>
      <w:r w:rsidRPr="00A81964">
        <w:rPr>
          <w:rFonts w:ascii="David" w:eastAsia="Calibri" w:hAnsi="David"/>
          <w:b/>
          <w:bCs/>
          <w:rtl/>
        </w:rPr>
        <w:t xml:space="preserve"> מההכנסות </w:t>
      </w:r>
      <w:r w:rsidRPr="00A81964">
        <w:rPr>
          <w:rFonts w:ascii="David" w:eastAsia="Calibri" w:hAnsi="David" w:hint="cs"/>
          <w:b/>
          <w:bCs/>
          <w:rtl/>
        </w:rPr>
        <w:t>ש</w:t>
      </w:r>
      <w:r w:rsidRPr="00A81964">
        <w:rPr>
          <w:rFonts w:ascii="David" w:eastAsia="Calibri" w:hAnsi="David"/>
          <w:b/>
          <w:bCs/>
          <w:rtl/>
        </w:rPr>
        <w:t xml:space="preserve">מקבל </w:t>
      </w:r>
      <w:r w:rsidRPr="00A81964">
        <w:rPr>
          <w:rFonts w:ascii="David" w:eastAsia="Calibri" w:hAnsi="David" w:hint="cs"/>
          <w:b/>
          <w:bCs/>
          <w:rtl/>
        </w:rPr>
        <w:t>ה</w:t>
      </w:r>
      <w:r w:rsidRPr="00A81964">
        <w:rPr>
          <w:rFonts w:ascii="David" w:eastAsia="Calibri" w:hAnsi="David"/>
          <w:b/>
          <w:bCs/>
          <w:rtl/>
        </w:rPr>
        <w:t>חשכ"ל על פיקדונותיו בבנק ישראל</w:t>
      </w:r>
      <w:r>
        <w:rPr>
          <w:rFonts w:ascii="David" w:eastAsia="Calibri" w:hAnsi="David" w:hint="cs"/>
          <w:b/>
          <w:bCs/>
          <w:rtl/>
        </w:rPr>
        <w:t>.</w:t>
      </w:r>
      <w:r w:rsidRPr="00A81964">
        <w:rPr>
          <w:rFonts w:ascii="David" w:eastAsia="Calibri" w:hAnsi="David"/>
          <w:b/>
          <w:bCs/>
          <w:rtl/>
        </w:rPr>
        <w:t xml:space="preserve"> אילו היו נזקפות לזכות ‏ הקרן </w:t>
      </w:r>
      <w:r>
        <w:rPr>
          <w:rFonts w:ascii="David" w:eastAsia="Calibri" w:hAnsi="David" w:hint="cs"/>
          <w:b/>
          <w:bCs/>
          <w:rtl/>
        </w:rPr>
        <w:t>ה</w:t>
      </w:r>
      <w:r w:rsidRPr="00A81964">
        <w:rPr>
          <w:rFonts w:ascii="David" w:eastAsia="Calibri" w:hAnsi="David"/>
          <w:b/>
          <w:bCs/>
          <w:rtl/>
        </w:rPr>
        <w:t xml:space="preserve">הכנסות מריבית בהתאם ‏להכנסות שמקבל </w:t>
      </w:r>
      <w:r w:rsidRPr="00A81964">
        <w:rPr>
          <w:rFonts w:ascii="David" w:eastAsia="Calibri" w:hAnsi="David" w:hint="cs"/>
          <w:b/>
          <w:bCs/>
          <w:rtl/>
        </w:rPr>
        <w:t>ה</w:t>
      </w:r>
      <w:r w:rsidRPr="00A81964">
        <w:rPr>
          <w:rFonts w:ascii="David" w:eastAsia="Calibri" w:hAnsi="David"/>
          <w:b/>
          <w:bCs/>
          <w:rtl/>
        </w:rPr>
        <w:t xml:space="preserve">חשכ"ל על פיקדונותיו, היתרה לקרן נכון לתום שנת 2023 הייתה יכולה להיות 15.7 מיליארד ש"ח, 2.8 מיליארד ש"ח יותר מהסכום שנצבר לקרן </w:t>
      </w:r>
      <w:r w:rsidRPr="00A81964">
        <w:rPr>
          <w:rFonts w:ascii="David" w:eastAsia="Calibri" w:hAnsi="David" w:hint="cs"/>
          <w:b/>
          <w:bCs/>
          <w:rtl/>
        </w:rPr>
        <w:t>ב</w:t>
      </w:r>
      <w:r w:rsidRPr="00A81964">
        <w:rPr>
          <w:rFonts w:ascii="David" w:eastAsia="Calibri" w:hAnsi="David"/>
          <w:b/>
          <w:bCs/>
          <w:rtl/>
        </w:rPr>
        <w:t>תום שנת 2023.</w:t>
      </w:r>
    </w:p>
    <w:bookmarkEnd w:id="37"/>
    <w:p w:rsidR="006252C4" w:rsidRDefault="006252C4" w:rsidP="006252C4">
      <w:pPr>
        <w:pStyle w:val="a8"/>
        <w:spacing w:line="269" w:lineRule="auto"/>
        <w:rPr>
          <w:rtl/>
        </w:rPr>
      </w:pPr>
    </w:p>
    <w:p w:rsidR="006252C4" w:rsidRDefault="006252C4" w:rsidP="006252C4">
      <w:pPr>
        <w:spacing w:line="269" w:lineRule="auto"/>
        <w:rPr>
          <w:rFonts w:ascii="David" w:eastAsia="Calibri" w:hAnsi="David"/>
          <w:b/>
          <w:bCs/>
          <w:rtl/>
        </w:rPr>
      </w:pPr>
      <w:r w:rsidRPr="00A81964">
        <w:rPr>
          <w:rFonts w:ascii="David" w:eastAsia="Calibri" w:hAnsi="David"/>
          <w:b/>
          <w:bCs/>
          <w:rtl/>
        </w:rPr>
        <w:t xml:space="preserve">מומלץ כי </w:t>
      </w:r>
      <w:r w:rsidRPr="00A81964">
        <w:rPr>
          <w:rFonts w:ascii="David" w:eastAsia="Calibri" w:hAnsi="David" w:hint="cs"/>
          <w:b/>
          <w:bCs/>
          <w:rtl/>
        </w:rPr>
        <w:t>ה</w:t>
      </w:r>
      <w:r w:rsidRPr="00A81964">
        <w:rPr>
          <w:rFonts w:ascii="David" w:eastAsia="Calibri" w:hAnsi="David"/>
          <w:b/>
          <w:bCs/>
          <w:rtl/>
        </w:rPr>
        <w:t xml:space="preserve">חשכ"ל </w:t>
      </w:r>
      <w:r w:rsidRPr="00A81964">
        <w:rPr>
          <w:rFonts w:ascii="David" w:eastAsia="Calibri" w:hAnsi="David" w:hint="cs"/>
          <w:b/>
          <w:bCs/>
          <w:rtl/>
        </w:rPr>
        <w:t>יקבע באופן עיתי את</w:t>
      </w:r>
      <w:r w:rsidRPr="00A81964">
        <w:rPr>
          <w:rFonts w:ascii="David" w:eastAsia="Calibri" w:hAnsi="David"/>
          <w:b/>
          <w:bCs/>
          <w:rtl/>
        </w:rPr>
        <w:t xml:space="preserve"> שיעור הריבית שתשולם על כספי הקרן ויסדיר את העקרונות לכך,</w:t>
      </w:r>
      <w:r w:rsidRPr="00A81964">
        <w:rPr>
          <w:rFonts w:ascii="David" w:eastAsia="Calibri" w:hAnsi="David" w:hint="cs"/>
          <w:b/>
          <w:bCs/>
          <w:rtl/>
        </w:rPr>
        <w:t xml:space="preserve"> </w:t>
      </w:r>
      <w:r w:rsidRPr="00A81964">
        <w:rPr>
          <w:rFonts w:ascii="David" w:eastAsia="Calibri" w:hAnsi="David"/>
          <w:b/>
          <w:bCs/>
          <w:rtl/>
        </w:rPr>
        <w:t>וזאת תוך הקפדה על כך שרווחים שנבעו מכספי הקרן י</w:t>
      </w:r>
      <w:r w:rsidRPr="00A81964">
        <w:rPr>
          <w:rFonts w:ascii="David" w:eastAsia="Calibri" w:hAnsi="David" w:hint="cs"/>
          <w:b/>
          <w:bCs/>
          <w:rtl/>
        </w:rPr>
        <w:t>י</w:t>
      </w:r>
      <w:r w:rsidRPr="00A81964">
        <w:rPr>
          <w:rFonts w:ascii="David" w:eastAsia="Calibri" w:hAnsi="David"/>
          <w:b/>
          <w:bCs/>
          <w:rtl/>
        </w:rPr>
        <w:t>זקפו לקרן.</w:t>
      </w:r>
      <w:r w:rsidRPr="00A81964">
        <w:rPr>
          <w:rFonts w:ascii="David-Bold" w:eastAsia="Calibri" w:cs="David-Bold" w:hint="cs"/>
          <w:b/>
          <w:bCs/>
          <w:sz w:val="24"/>
          <w:rtl/>
        </w:rPr>
        <w:t xml:space="preserve"> </w:t>
      </w:r>
    </w:p>
    <w:p w:rsidR="006252C4" w:rsidRDefault="006252C4" w:rsidP="006252C4">
      <w:pPr>
        <w:pStyle w:val="a8"/>
        <w:spacing w:line="269" w:lineRule="auto"/>
        <w:rPr>
          <w:rtl/>
        </w:rPr>
      </w:pPr>
    </w:p>
    <w:p w:rsidR="006252C4" w:rsidRDefault="006252C4" w:rsidP="006252C4">
      <w:pPr>
        <w:spacing w:line="269" w:lineRule="auto"/>
        <w:rPr>
          <w:rFonts w:eastAsia="Times New Roman"/>
          <w:bCs/>
          <w:szCs w:val="28"/>
          <w:u w:val="single"/>
          <w:rtl/>
        </w:rPr>
      </w:pPr>
      <w:r>
        <w:rPr>
          <w:rFonts w:ascii="David" w:eastAsia="Calibri" w:hAnsi="David" w:hint="cs"/>
          <w:rtl/>
        </w:rPr>
        <w:lastRenderedPageBreak/>
        <w:t>אגף החשכ"ל מסר בתשובתו כי "</w:t>
      </w:r>
      <w:r w:rsidRPr="008C78EE">
        <w:rPr>
          <w:rFonts w:ascii="David" w:eastAsia="Calibri" w:hAnsi="David"/>
          <w:rtl/>
        </w:rPr>
        <w:t>יבחן את שיעור הריבית</w:t>
      </w:r>
      <w:r>
        <w:rPr>
          <w:rFonts w:ascii="David" w:eastAsia="Calibri" w:hAnsi="David" w:hint="cs"/>
          <w:rtl/>
        </w:rPr>
        <w:t xml:space="preserve"> </w:t>
      </w:r>
      <w:r w:rsidRPr="008C78EE">
        <w:rPr>
          <w:rFonts w:ascii="David" w:eastAsia="Calibri" w:hAnsi="David"/>
          <w:rtl/>
        </w:rPr>
        <w:t>שנזקפת עבור הקרן בפיקדון חשכ"ל</w:t>
      </w:r>
      <w:r>
        <w:rPr>
          <w:rFonts w:ascii="David" w:eastAsia="Calibri" w:hAnsi="David" w:hint="cs"/>
          <w:rtl/>
        </w:rPr>
        <w:t xml:space="preserve"> </w:t>
      </w:r>
      <w:r w:rsidRPr="008C78EE">
        <w:rPr>
          <w:rFonts w:ascii="David" w:eastAsia="Calibri" w:hAnsi="David"/>
          <w:rtl/>
        </w:rPr>
        <w:t>וכן יבחן האם נכון להשקיע את</w:t>
      </w:r>
      <w:r>
        <w:rPr>
          <w:rFonts w:ascii="David" w:eastAsia="Calibri" w:hAnsi="David" w:hint="cs"/>
          <w:rtl/>
        </w:rPr>
        <w:t xml:space="preserve"> </w:t>
      </w:r>
      <w:r w:rsidRPr="008C78EE">
        <w:rPr>
          <w:rFonts w:ascii="David" w:eastAsia="Calibri" w:hAnsi="David"/>
          <w:rtl/>
        </w:rPr>
        <w:t>היתרה באפיק אחר שהוא לא פיקדון</w:t>
      </w:r>
      <w:r>
        <w:rPr>
          <w:rFonts w:ascii="David" w:eastAsia="Calibri" w:hAnsi="David" w:hint="cs"/>
          <w:rtl/>
        </w:rPr>
        <w:t xml:space="preserve">". בנוסף הבהיר </w:t>
      </w:r>
      <w:r w:rsidRPr="00734DC7">
        <w:rPr>
          <w:rFonts w:ascii="David" w:eastAsia="Calibri" w:hAnsi="David"/>
          <w:rtl/>
        </w:rPr>
        <w:t>כי "סכום שלא נזקף לפיקדונות מיועדים (כמו פיקדון קרן מס רכוש) נכנס להכנסות המדינה". כך שהריבית קיבלה ביטוי בהכנסות המדינה.</w:t>
      </w:r>
    </w:p>
    <w:p w:rsidR="001876AD" w:rsidRDefault="001876AD" w:rsidP="006252C4">
      <w:pPr>
        <w:spacing w:line="269" w:lineRule="auto"/>
        <w:rPr>
          <w:rFonts w:eastAsia="Times New Roman"/>
          <w:bCs/>
          <w:szCs w:val="28"/>
          <w:u w:val="single"/>
          <w:rtl/>
        </w:rPr>
      </w:pPr>
    </w:p>
    <w:p w:rsidR="006252C4" w:rsidRPr="00A81964" w:rsidRDefault="006252C4" w:rsidP="006252C4">
      <w:pPr>
        <w:pStyle w:val="31"/>
        <w:spacing w:before="0" w:line="269" w:lineRule="auto"/>
        <w:rPr>
          <w:rFonts w:eastAsia="Times New Roman"/>
          <w:rtl/>
        </w:rPr>
      </w:pPr>
      <w:r w:rsidRPr="00A81964">
        <w:rPr>
          <w:rFonts w:eastAsia="Times New Roman"/>
          <w:rtl/>
        </w:rPr>
        <w:t xml:space="preserve">היערכות </w:t>
      </w:r>
      <w:r w:rsidRPr="00A81964">
        <w:rPr>
          <w:rFonts w:eastAsia="Times New Roman" w:hint="cs"/>
          <w:rtl/>
        </w:rPr>
        <w:t>לתשלום פיצוים על ידי הקרן</w:t>
      </w:r>
    </w:p>
    <w:p w:rsidR="006252C4" w:rsidRPr="00542A17" w:rsidRDefault="006252C4" w:rsidP="006252C4">
      <w:pPr>
        <w:spacing w:line="269" w:lineRule="auto"/>
        <w:rPr>
          <w:rtl/>
        </w:rPr>
      </w:pPr>
    </w:p>
    <w:p w:rsidR="006252C4" w:rsidRPr="00A81964" w:rsidRDefault="006252C4" w:rsidP="006252C4">
      <w:pPr>
        <w:pStyle w:val="4"/>
        <w:spacing w:before="0" w:line="269" w:lineRule="auto"/>
        <w:rPr>
          <w:rFonts w:eastAsia="Times New Roman"/>
          <w:rtl/>
        </w:rPr>
      </w:pPr>
      <w:r w:rsidRPr="00A81964">
        <w:rPr>
          <w:rFonts w:eastAsia="Times New Roman"/>
          <w:rtl/>
        </w:rPr>
        <w:t>אמות מידה ליתרת הקרן</w:t>
      </w:r>
    </w:p>
    <w:p w:rsidR="006252C4" w:rsidRDefault="006252C4" w:rsidP="006252C4">
      <w:pPr>
        <w:pStyle w:val="a8"/>
        <w:spacing w:line="269" w:lineRule="auto"/>
        <w:rPr>
          <w:rtl/>
        </w:rPr>
      </w:pPr>
    </w:p>
    <w:p w:rsidR="006252C4" w:rsidRPr="00A81964" w:rsidRDefault="006252C4" w:rsidP="006252C4">
      <w:pPr>
        <w:spacing w:line="269" w:lineRule="auto"/>
        <w:rPr>
          <w:rFonts w:eastAsia="Calibri"/>
          <w:rtl/>
        </w:rPr>
      </w:pPr>
      <w:bookmarkStart w:id="38" w:name="_Hlk176943896"/>
      <w:r w:rsidRPr="00A81964">
        <w:rPr>
          <w:rFonts w:eastAsia="Calibri"/>
          <w:rtl/>
        </w:rPr>
        <w:t>בהתאם לסעיף 2א(ב) לחוק</w:t>
      </w:r>
      <w:r w:rsidRPr="00A81964">
        <w:rPr>
          <w:rFonts w:eastAsia="Calibri" w:hint="cs"/>
          <w:rtl/>
        </w:rPr>
        <w:t>,</w:t>
      </w:r>
      <w:r w:rsidRPr="00A81964">
        <w:rPr>
          <w:rFonts w:eastAsia="Calibri"/>
          <w:rtl/>
        </w:rPr>
        <w:t xml:space="preserve"> "שר האוצר באישור ועדת הכספים של הכנסת, רשאי לשנות את שיעור ההפרשה".</w:t>
      </w:r>
      <w:r w:rsidRPr="00A81964">
        <w:rPr>
          <w:rFonts w:eastAsia="Calibri" w:hint="cs"/>
          <w:rtl/>
        </w:rPr>
        <w:t xml:space="preserve"> </w:t>
      </w:r>
      <w:r w:rsidRPr="00A81964">
        <w:rPr>
          <w:rFonts w:eastAsia="Calibri"/>
          <w:rtl/>
        </w:rPr>
        <w:t>בשנים האחרונות תוקנו תקנות מס רכוש וקרן פיצויים</w:t>
      </w:r>
      <w:r w:rsidRPr="00A81964">
        <w:rPr>
          <w:rFonts w:eastAsia="Calibri"/>
          <w:vertAlign w:val="superscript"/>
          <w:rtl/>
        </w:rPr>
        <w:footnoteReference w:id="163"/>
      </w:r>
      <w:r w:rsidRPr="00A81964">
        <w:rPr>
          <w:rFonts w:eastAsia="Calibri" w:hint="cs"/>
          <w:rtl/>
        </w:rPr>
        <w:t>,</w:t>
      </w:r>
      <w:r w:rsidRPr="00A81964">
        <w:rPr>
          <w:rFonts w:eastAsia="Calibri"/>
          <w:rtl/>
        </w:rPr>
        <w:t xml:space="preserve"> בהוראת שעה שפורסמה ב-6.3.24 נקבע כי בשנת 2024 שיעור ההפרשה לקרן פיצויים יהיה ‏‏80% ובשנת המס 2025 יהיה שיעור ההפרשה 100%‏</w:t>
      </w:r>
      <w:r w:rsidRPr="00A81964">
        <w:rPr>
          <w:rStyle w:val="af2"/>
          <w:rFonts w:ascii="David" w:eastAsia="Calibri" w:hAnsi="David"/>
          <w:rtl/>
        </w:rPr>
        <w:footnoteReference w:id="164"/>
      </w:r>
      <w:r w:rsidRPr="00A81964">
        <w:rPr>
          <w:rFonts w:eastAsia="Calibri" w:hint="cs"/>
          <w:rtl/>
        </w:rPr>
        <w:t>.</w:t>
      </w:r>
    </w:p>
    <w:bookmarkEnd w:id="38"/>
    <w:p w:rsidR="006252C4" w:rsidRDefault="006252C4" w:rsidP="006252C4">
      <w:pPr>
        <w:pStyle w:val="a8"/>
        <w:spacing w:line="269" w:lineRule="auto"/>
        <w:rPr>
          <w:rtl/>
        </w:rPr>
      </w:pPr>
    </w:p>
    <w:p w:rsidR="006252C4" w:rsidRPr="00A81964" w:rsidRDefault="006252C4" w:rsidP="006252C4">
      <w:pPr>
        <w:spacing w:line="269" w:lineRule="auto"/>
        <w:rPr>
          <w:rFonts w:eastAsia="Calibri"/>
          <w:rtl/>
        </w:rPr>
      </w:pPr>
      <w:r w:rsidRPr="00A81964">
        <w:rPr>
          <w:rFonts w:eastAsia="Calibri"/>
          <w:rtl/>
        </w:rPr>
        <w:t>לצורך היערכות הממשלה לביטוח ו</w:t>
      </w:r>
      <w:r w:rsidRPr="00A81964">
        <w:rPr>
          <w:rFonts w:eastAsia="Calibri" w:hint="cs"/>
          <w:rtl/>
        </w:rPr>
        <w:t>ל</w:t>
      </w:r>
      <w:r w:rsidRPr="00A81964">
        <w:rPr>
          <w:rFonts w:eastAsia="Calibri"/>
          <w:rtl/>
        </w:rPr>
        <w:t xml:space="preserve">כיסוי </w:t>
      </w:r>
      <w:r w:rsidRPr="00A81964">
        <w:rPr>
          <w:rFonts w:eastAsia="Calibri" w:hint="cs"/>
          <w:rtl/>
        </w:rPr>
        <w:t xml:space="preserve">של </w:t>
      </w:r>
      <w:r w:rsidRPr="00A81964">
        <w:rPr>
          <w:rFonts w:eastAsia="Calibri"/>
          <w:rtl/>
        </w:rPr>
        <w:t xml:space="preserve">נזקים ישירים ועקיפים, נדרשת בחינה יסודית וקביעת אמות מידה לקביעת הסכום </w:t>
      </w:r>
      <w:r w:rsidRPr="00A81964">
        <w:rPr>
          <w:rFonts w:eastAsia="Calibri" w:hint="cs"/>
          <w:rtl/>
        </w:rPr>
        <w:t>ש</w:t>
      </w:r>
      <w:r w:rsidRPr="00A81964">
        <w:rPr>
          <w:rFonts w:eastAsia="Calibri"/>
          <w:rtl/>
        </w:rPr>
        <w:t>אותו הממשלה מבקשת להחזיק בקרן הפיצויים. כמו כן</w:t>
      </w:r>
      <w:r w:rsidRPr="00A81964">
        <w:rPr>
          <w:rFonts w:eastAsia="Calibri" w:hint="cs"/>
          <w:rtl/>
        </w:rPr>
        <w:t>,</w:t>
      </w:r>
      <w:r w:rsidRPr="00A81964">
        <w:rPr>
          <w:rFonts w:eastAsia="Calibri"/>
          <w:rtl/>
        </w:rPr>
        <w:t xml:space="preserve"> יש לקבוע מבנה הון אופטימלי לעמידה בהתחייבויות הממשלה, הנובעות מהחובה לשלם פיצויים בגין מלחמה. זאת, בין היתר, תוך בחינת הפיצויים ששולמו במלחמות קודמות, בחינת תרחישי </w:t>
      </w:r>
      <w:r w:rsidRPr="00A81964">
        <w:rPr>
          <w:rFonts w:eastAsia="Calibri" w:hint="cs"/>
          <w:rtl/>
        </w:rPr>
        <w:t>י</w:t>
      </w:r>
      <w:r w:rsidRPr="00A81964">
        <w:rPr>
          <w:rFonts w:eastAsia="Calibri"/>
          <w:rtl/>
        </w:rPr>
        <w:t>יחוס רלוונטיים וכימות הנזקים במונחים כלכליים.</w:t>
      </w:r>
    </w:p>
    <w:p w:rsidR="006252C4" w:rsidRDefault="006252C4" w:rsidP="006252C4">
      <w:pPr>
        <w:pStyle w:val="a8"/>
        <w:spacing w:line="269" w:lineRule="auto"/>
        <w:rPr>
          <w:rtl/>
        </w:rPr>
      </w:pPr>
    </w:p>
    <w:p w:rsidR="006252C4" w:rsidRPr="00A81964" w:rsidRDefault="006252C4" w:rsidP="006252C4">
      <w:pPr>
        <w:spacing w:line="269" w:lineRule="auto"/>
        <w:rPr>
          <w:rFonts w:eastAsia="Calibri"/>
          <w:rtl/>
        </w:rPr>
      </w:pPr>
      <w:r w:rsidRPr="00A81964">
        <w:rPr>
          <w:rFonts w:eastAsia="Calibri"/>
          <w:rtl/>
        </w:rPr>
        <w:t xml:space="preserve">בדוח מבקר המדינה משנת 2012 הוסברה החשיבות </w:t>
      </w:r>
      <w:r w:rsidRPr="00A81964">
        <w:rPr>
          <w:rFonts w:eastAsia="Calibri" w:hint="cs"/>
          <w:rtl/>
        </w:rPr>
        <w:t>שב</w:t>
      </w:r>
      <w:r w:rsidRPr="00A81964">
        <w:rPr>
          <w:rFonts w:eastAsia="Calibri"/>
          <w:rtl/>
        </w:rPr>
        <w:t>הגדרת יתרות כספיות ו</w:t>
      </w:r>
      <w:r w:rsidRPr="00A81964">
        <w:rPr>
          <w:rFonts w:eastAsia="Calibri" w:hint="cs"/>
          <w:rtl/>
        </w:rPr>
        <w:t>ב</w:t>
      </w:r>
      <w:r w:rsidRPr="00A81964">
        <w:rPr>
          <w:rFonts w:eastAsia="Calibri"/>
          <w:rtl/>
        </w:rPr>
        <w:t>ניהול רמת נזילות הקרן: "היתרות בקרן הפיצויים, אשר באוגוסט 2011 הגיעו לכ-3.4 מיליארד ש"ח, לא יוכלו לשמש מקור מספיק לפיצוי על נזקי מלחמה כוללת. אי-שמירת יתרות מספיקות פוגעת ביכולת הקרן לממש את ייעודה על פי החוק ולפצות ניזוקים בעת הצורך".</w:t>
      </w:r>
    </w:p>
    <w:p w:rsidR="006252C4" w:rsidRDefault="006252C4" w:rsidP="006252C4">
      <w:pPr>
        <w:pStyle w:val="a8"/>
        <w:spacing w:line="269" w:lineRule="auto"/>
        <w:rPr>
          <w:rtl/>
        </w:rPr>
      </w:pPr>
    </w:p>
    <w:p w:rsidR="006252C4" w:rsidRDefault="006252C4" w:rsidP="006252C4">
      <w:pPr>
        <w:spacing w:line="269" w:lineRule="auto"/>
        <w:rPr>
          <w:rFonts w:eastAsia="Calibri"/>
          <w:rtl/>
        </w:rPr>
      </w:pPr>
      <w:r w:rsidRPr="00A81964">
        <w:rPr>
          <w:rFonts w:eastAsia="Calibri"/>
          <w:rtl/>
        </w:rPr>
        <w:t xml:space="preserve">בשנת 2014 נערך תרגיל </w:t>
      </w:r>
      <w:r w:rsidRPr="00A81964">
        <w:rPr>
          <w:rFonts w:eastAsia="Calibri" w:hint="cs"/>
          <w:rtl/>
        </w:rPr>
        <w:t xml:space="preserve">בשם </w:t>
      </w:r>
      <w:r w:rsidRPr="00A81964">
        <w:rPr>
          <w:rFonts w:eastAsia="Calibri"/>
          <w:rtl/>
        </w:rPr>
        <w:t>"צליל מקוון"</w:t>
      </w:r>
      <w:r w:rsidRPr="00A81964">
        <w:rPr>
          <w:rFonts w:eastAsia="Calibri" w:hint="cs"/>
          <w:rtl/>
        </w:rPr>
        <w:t>.</w:t>
      </w:r>
      <w:r w:rsidRPr="00A81964">
        <w:rPr>
          <w:rFonts w:eastAsia="Calibri"/>
          <w:rtl/>
        </w:rPr>
        <w:t xml:space="preserve"> מדובר בתרגיל פיננסי </w:t>
      </w:r>
      <w:r w:rsidRPr="00A81964">
        <w:rPr>
          <w:rFonts w:eastAsia="Calibri" w:hint="cs"/>
          <w:rtl/>
        </w:rPr>
        <w:t xml:space="preserve">בו השתתפו </w:t>
      </w:r>
      <w:r w:rsidRPr="00A81964">
        <w:rPr>
          <w:rFonts w:eastAsia="Calibri"/>
          <w:rtl/>
        </w:rPr>
        <w:t>משרד האוצר, בנק ישראל והרגולטורים הפיננסיים ‏בנושא סוגיות במערכת הפיננסית ב</w:t>
      </w:r>
      <w:r w:rsidRPr="00A81964">
        <w:rPr>
          <w:rFonts w:eastAsia="Calibri" w:hint="cs"/>
          <w:rtl/>
        </w:rPr>
        <w:t xml:space="preserve">שעת </w:t>
      </w:r>
      <w:r w:rsidRPr="00A81964">
        <w:rPr>
          <w:rFonts w:eastAsia="Calibri"/>
          <w:rtl/>
        </w:rPr>
        <w:t>חירום. בתרגיל זוהה בין היתר פער ביכולות מדינת ישראל ליישם את חוק מס רכוש במציאות הביטחונית הקיימת. נוכח ממצאי התרגיל</w:t>
      </w:r>
      <w:r w:rsidRPr="00A81964">
        <w:rPr>
          <w:rFonts w:eastAsia="Calibri" w:hint="cs"/>
          <w:rtl/>
        </w:rPr>
        <w:t>,</w:t>
      </w:r>
      <w:r w:rsidRPr="00A81964">
        <w:rPr>
          <w:rFonts w:eastAsia="Calibri"/>
          <w:rtl/>
        </w:rPr>
        <w:t xml:space="preserve"> </w:t>
      </w:r>
      <w:r w:rsidRPr="00A81964">
        <w:rPr>
          <w:rFonts w:eastAsia="Calibri" w:hint="cs"/>
          <w:rtl/>
        </w:rPr>
        <w:t>ונוכח העובדה</w:t>
      </w:r>
      <w:r w:rsidRPr="00A81964">
        <w:rPr>
          <w:rFonts w:eastAsia="Calibri"/>
          <w:rtl/>
        </w:rPr>
        <w:t xml:space="preserve"> </w:t>
      </w:r>
      <w:r w:rsidRPr="00A81964">
        <w:rPr>
          <w:rFonts w:eastAsia="Calibri" w:hint="eastAsia"/>
          <w:rtl/>
        </w:rPr>
        <w:t>שבשנים</w:t>
      </w:r>
      <w:r w:rsidRPr="00A81964">
        <w:rPr>
          <w:rFonts w:eastAsia="Calibri"/>
          <w:rtl/>
        </w:rPr>
        <w:t xml:space="preserve"> </w:t>
      </w:r>
      <w:r w:rsidRPr="00A81964">
        <w:rPr>
          <w:rFonts w:eastAsia="Calibri" w:hint="eastAsia"/>
          <w:rtl/>
        </w:rPr>
        <w:t>שלפני</w:t>
      </w:r>
      <w:r w:rsidRPr="00A81964">
        <w:rPr>
          <w:rFonts w:eastAsia="Calibri"/>
          <w:rtl/>
        </w:rPr>
        <w:t xml:space="preserve"> 2015 </w:t>
      </w:r>
      <w:r>
        <w:rPr>
          <w:rFonts w:eastAsia="Calibri" w:hint="cs"/>
          <w:rtl/>
        </w:rPr>
        <w:t>שרי האוצר התקינו</w:t>
      </w:r>
      <w:r w:rsidRPr="00A81964">
        <w:rPr>
          <w:rFonts w:eastAsia="Calibri"/>
          <w:rtl/>
        </w:rPr>
        <w:t xml:space="preserve"> תקנות</w:t>
      </w:r>
      <w:r>
        <w:rPr>
          <w:rFonts w:eastAsia="Calibri" w:hint="cs"/>
          <w:rtl/>
        </w:rPr>
        <w:t xml:space="preserve"> באישור ועדת הכספים של הכנסת</w:t>
      </w:r>
      <w:r w:rsidRPr="00A81964">
        <w:rPr>
          <w:rFonts w:eastAsia="Calibri"/>
          <w:rtl/>
        </w:rPr>
        <w:t xml:space="preserve"> </w:t>
      </w:r>
      <w:proofErr w:type="spellStart"/>
      <w:r w:rsidRPr="00A81964">
        <w:rPr>
          <w:rFonts w:eastAsia="Calibri"/>
          <w:rtl/>
        </w:rPr>
        <w:t>שא</w:t>
      </w:r>
      <w:r w:rsidRPr="00A81964">
        <w:rPr>
          <w:rFonts w:eastAsia="Calibri" w:hint="cs"/>
          <w:rtl/>
        </w:rPr>
        <w:t>י</w:t>
      </w:r>
      <w:r w:rsidRPr="00A81964">
        <w:rPr>
          <w:rFonts w:eastAsia="Calibri"/>
          <w:rtl/>
        </w:rPr>
        <w:t>פשרו</w:t>
      </w:r>
      <w:proofErr w:type="spellEnd"/>
      <w:r w:rsidRPr="00A81964">
        <w:rPr>
          <w:rFonts w:eastAsia="Calibri"/>
          <w:rtl/>
        </w:rPr>
        <w:t xml:space="preserve"> מתן פיצוי בשל נזק עקיף, בינואר 2015 מינתה</w:t>
      </w:r>
      <w:r w:rsidRPr="00A81964">
        <w:rPr>
          <w:rFonts w:eastAsia="Calibri" w:hint="cs"/>
          <w:rtl/>
        </w:rPr>
        <w:t xml:space="preserve"> </w:t>
      </w:r>
      <w:r w:rsidRPr="00A81964">
        <w:rPr>
          <w:rFonts w:eastAsia="Calibri"/>
          <w:rtl/>
        </w:rPr>
        <w:t xml:space="preserve">מנכ"לית משרד האוצר </w:t>
      </w:r>
      <w:r w:rsidRPr="00A81964">
        <w:rPr>
          <w:rFonts w:eastAsia="Calibri" w:hint="cs"/>
          <w:rtl/>
        </w:rPr>
        <w:t xml:space="preserve">כאמור </w:t>
      </w:r>
      <w:r>
        <w:rPr>
          <w:rFonts w:eastAsia="Calibri" w:hint="cs"/>
          <w:rtl/>
        </w:rPr>
        <w:t>את ועדת משרד האוצר.</w:t>
      </w:r>
      <w:r w:rsidRPr="00A81964">
        <w:rPr>
          <w:rFonts w:eastAsia="Calibri"/>
          <w:rtl/>
        </w:rPr>
        <w:t xml:space="preserve"> תפקידה</w:t>
      </w:r>
      <w:r>
        <w:rPr>
          <w:rFonts w:eastAsia="Calibri" w:hint="cs"/>
          <w:rtl/>
        </w:rPr>
        <w:t xml:space="preserve"> של הוועדה</w:t>
      </w:r>
      <w:r w:rsidRPr="00A81964">
        <w:rPr>
          <w:rFonts w:eastAsia="Calibri"/>
          <w:rtl/>
        </w:rPr>
        <w:t xml:space="preserve"> היה לבחון את המשמעויות ליישום חוק מס רכוש </w:t>
      </w:r>
      <w:r w:rsidRPr="00A81964">
        <w:rPr>
          <w:rFonts w:eastAsia="Calibri" w:hint="cs"/>
          <w:rtl/>
        </w:rPr>
        <w:t xml:space="preserve">במצב החדש </w:t>
      </w:r>
      <w:r w:rsidRPr="00A81964">
        <w:rPr>
          <w:rFonts w:eastAsia="Calibri"/>
          <w:rtl/>
        </w:rPr>
        <w:t xml:space="preserve">ולגבש המלצות בנושאים </w:t>
      </w:r>
      <w:r w:rsidRPr="00A81964">
        <w:rPr>
          <w:rFonts w:eastAsia="Calibri" w:hint="cs"/>
          <w:rtl/>
        </w:rPr>
        <w:t>האלה</w:t>
      </w:r>
      <w:r w:rsidRPr="00A81964">
        <w:rPr>
          <w:rFonts w:eastAsia="Calibri"/>
          <w:rtl/>
        </w:rPr>
        <w:t>: מיפוי תמונת הנזק בהתבסס על תרחישי ייחוס</w:t>
      </w:r>
      <w:r w:rsidRPr="00A81964">
        <w:rPr>
          <w:rFonts w:eastAsia="Calibri" w:hint="cs"/>
          <w:rtl/>
        </w:rPr>
        <w:t>;</w:t>
      </w:r>
      <w:r w:rsidRPr="00A81964">
        <w:rPr>
          <w:rFonts w:eastAsia="Calibri"/>
          <w:rtl/>
        </w:rPr>
        <w:t xml:space="preserve"> מיפוי יכולות מנגנוני משרד האוצר ורשות המיסים לאמוד את הנזק בלוח זמנים קצר ולקבוע את גובה הפיצוי</w:t>
      </w:r>
      <w:r w:rsidRPr="00A81964">
        <w:rPr>
          <w:rFonts w:eastAsia="Calibri" w:hint="cs"/>
          <w:rtl/>
        </w:rPr>
        <w:t>;</w:t>
      </w:r>
      <w:r w:rsidRPr="00A81964">
        <w:rPr>
          <w:rFonts w:eastAsia="Calibri"/>
          <w:rtl/>
        </w:rPr>
        <w:t xml:space="preserve"> </w:t>
      </w:r>
      <w:r w:rsidRPr="00A81964">
        <w:rPr>
          <w:rFonts w:eastAsia="Calibri" w:hint="cs"/>
          <w:rtl/>
        </w:rPr>
        <w:t>ה</w:t>
      </w:r>
      <w:r w:rsidRPr="00A81964">
        <w:rPr>
          <w:rFonts w:eastAsia="Calibri"/>
          <w:rtl/>
        </w:rPr>
        <w:t xml:space="preserve">משמעות </w:t>
      </w:r>
      <w:r w:rsidRPr="00A81964">
        <w:rPr>
          <w:rFonts w:eastAsia="Calibri" w:hint="cs"/>
          <w:rtl/>
        </w:rPr>
        <w:t>ה</w:t>
      </w:r>
      <w:r w:rsidRPr="00A81964">
        <w:rPr>
          <w:rFonts w:eastAsia="Calibri"/>
          <w:rtl/>
        </w:rPr>
        <w:t>תקציבית לאומדן הנזקים לאורך תקופה ויכולות התשלום של הקרן</w:t>
      </w:r>
      <w:r w:rsidRPr="00A81964">
        <w:rPr>
          <w:rFonts w:eastAsia="Calibri" w:hint="cs"/>
          <w:rtl/>
        </w:rPr>
        <w:t>;</w:t>
      </w:r>
      <w:r w:rsidRPr="00A81964">
        <w:rPr>
          <w:rFonts w:eastAsia="Calibri"/>
          <w:rtl/>
        </w:rPr>
        <w:t xml:space="preserve"> המלצה על תיקוני חקיקה בהתאם לממצאי הוועדה. </w:t>
      </w:r>
      <w:r w:rsidRPr="00A81964">
        <w:rPr>
          <w:rFonts w:eastAsia="Calibri" w:hint="cs"/>
          <w:rtl/>
        </w:rPr>
        <w:t xml:space="preserve">במסגרת פעילות הוועדה </w:t>
      </w:r>
      <w:r w:rsidRPr="00A81964">
        <w:rPr>
          <w:rFonts w:eastAsia="Calibri"/>
          <w:rtl/>
        </w:rPr>
        <w:t>הוקמו</w:t>
      </w:r>
      <w:r>
        <w:rPr>
          <w:rFonts w:eastAsia="Calibri" w:hint="cs"/>
        </w:rPr>
        <w:t xml:space="preserve"> </w:t>
      </w:r>
      <w:r>
        <w:rPr>
          <w:rFonts w:eastAsia="Calibri" w:hint="cs"/>
          <w:rtl/>
        </w:rPr>
        <w:t xml:space="preserve">כאמור </w:t>
      </w:r>
      <w:r w:rsidRPr="00A81964">
        <w:rPr>
          <w:rFonts w:eastAsia="Calibri"/>
          <w:rtl/>
        </w:rPr>
        <w:t>ארבעה צוותי משנה:</w:t>
      </w:r>
    </w:p>
    <w:p w:rsidR="006252C4" w:rsidRPr="00A81964" w:rsidRDefault="006252C4" w:rsidP="006252C4">
      <w:pPr>
        <w:spacing w:line="269" w:lineRule="auto"/>
        <w:rPr>
          <w:rFonts w:eastAsia="Calibri"/>
          <w:rtl/>
        </w:rPr>
      </w:pPr>
    </w:p>
    <w:p w:rsidR="006252C4" w:rsidRPr="00DC3702" w:rsidRDefault="006252C4" w:rsidP="006252C4">
      <w:pPr>
        <w:pStyle w:val="af3"/>
        <w:numPr>
          <w:ilvl w:val="0"/>
          <w:numId w:val="49"/>
        </w:numPr>
        <w:spacing w:line="269" w:lineRule="auto"/>
        <w:jc w:val="left"/>
        <w:rPr>
          <w:rFonts w:ascii="David" w:eastAsia="Calibri" w:hAnsi="David"/>
          <w:rtl/>
        </w:rPr>
      </w:pPr>
      <w:r w:rsidRPr="00DC3702">
        <w:rPr>
          <w:rFonts w:ascii="David" w:eastAsia="Calibri" w:hAnsi="David"/>
          <w:rtl/>
        </w:rPr>
        <w:lastRenderedPageBreak/>
        <w:t>צוות "הצגת תרחישי ייחוס";</w:t>
      </w:r>
    </w:p>
    <w:p w:rsidR="006252C4" w:rsidRPr="00DC3702" w:rsidRDefault="006252C4" w:rsidP="006252C4">
      <w:pPr>
        <w:pStyle w:val="af3"/>
        <w:numPr>
          <w:ilvl w:val="0"/>
          <w:numId w:val="49"/>
        </w:numPr>
        <w:spacing w:line="269" w:lineRule="auto"/>
        <w:jc w:val="left"/>
        <w:rPr>
          <w:rFonts w:ascii="David" w:eastAsia="Calibri" w:hAnsi="David"/>
        </w:rPr>
      </w:pPr>
      <w:r w:rsidRPr="00DC3702">
        <w:rPr>
          <w:rFonts w:ascii="David" w:eastAsia="Calibri" w:hAnsi="David"/>
          <w:rtl/>
        </w:rPr>
        <w:t>צוות "הערכת עלויות ומימון";</w:t>
      </w:r>
    </w:p>
    <w:p w:rsidR="006252C4" w:rsidRPr="00DC3702" w:rsidRDefault="006252C4" w:rsidP="006252C4">
      <w:pPr>
        <w:pStyle w:val="af3"/>
        <w:numPr>
          <w:ilvl w:val="0"/>
          <w:numId w:val="49"/>
        </w:numPr>
        <w:spacing w:line="269" w:lineRule="auto"/>
        <w:jc w:val="left"/>
        <w:rPr>
          <w:rFonts w:ascii="David" w:eastAsia="Calibri" w:hAnsi="David"/>
        </w:rPr>
      </w:pPr>
      <w:r w:rsidRPr="00DC3702">
        <w:rPr>
          <w:rFonts w:ascii="David" w:eastAsia="Calibri" w:hAnsi="David"/>
          <w:rtl/>
        </w:rPr>
        <w:t>צוות "תפעול נזק ישיר";</w:t>
      </w:r>
    </w:p>
    <w:p w:rsidR="006252C4" w:rsidRPr="00DC3702" w:rsidRDefault="006252C4" w:rsidP="006252C4">
      <w:pPr>
        <w:pStyle w:val="af3"/>
        <w:numPr>
          <w:ilvl w:val="0"/>
          <w:numId w:val="49"/>
        </w:numPr>
        <w:spacing w:line="269" w:lineRule="auto"/>
        <w:jc w:val="left"/>
        <w:rPr>
          <w:rFonts w:ascii="David" w:eastAsia="Calibri" w:hAnsi="David"/>
        </w:rPr>
      </w:pPr>
      <w:r w:rsidRPr="00DC3702">
        <w:rPr>
          <w:rFonts w:ascii="David" w:eastAsia="Calibri" w:hAnsi="David"/>
          <w:rtl/>
        </w:rPr>
        <w:t>צוות "נזק עקיף".</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rtl/>
        </w:rPr>
      </w:pPr>
      <w:r w:rsidRPr="00A81964">
        <w:rPr>
          <w:rFonts w:ascii="David" w:eastAsia="Calibri" w:hAnsi="David"/>
          <w:rtl/>
        </w:rPr>
        <w:t xml:space="preserve">בהתבסס על עבודת הצוותים, בספטמבר 2016 גובש </w:t>
      </w:r>
      <w:r w:rsidRPr="00A81964">
        <w:rPr>
          <w:rFonts w:ascii="David" w:eastAsia="Calibri" w:hAnsi="David" w:hint="cs"/>
          <w:rtl/>
        </w:rPr>
        <w:t xml:space="preserve">על ידי חברה חיצונית </w:t>
      </w:r>
      <w:r w:rsidRPr="00A81964">
        <w:rPr>
          <w:rFonts w:ascii="David" w:eastAsia="Calibri" w:hAnsi="David"/>
          <w:rtl/>
        </w:rPr>
        <w:t xml:space="preserve">מסמך "תרחישי ייחוס אופציונאליים למערך מס רכוש למצב מלחמה". </w:t>
      </w:r>
      <w:r w:rsidRPr="00A81964">
        <w:rPr>
          <w:rFonts w:ascii="David" w:eastAsia="Calibri" w:hAnsi="David" w:hint="cs"/>
          <w:rtl/>
        </w:rPr>
        <w:t>צוות "הערכת עלויות ומימון"</w:t>
      </w:r>
      <w:r w:rsidRPr="00A81964">
        <w:rPr>
          <w:rFonts w:ascii="David" w:eastAsia="Calibri" w:hAnsi="David"/>
          <w:rtl/>
        </w:rPr>
        <w:t xml:space="preserve"> בחן </w:t>
      </w:r>
      <w:r w:rsidRPr="00A81964">
        <w:rPr>
          <w:rFonts w:ascii="David" w:eastAsia="Calibri" w:hAnsi="David" w:hint="cs"/>
          <w:rtl/>
        </w:rPr>
        <w:t>והגדיר,</w:t>
      </w:r>
      <w:r w:rsidRPr="00A81964">
        <w:rPr>
          <w:rFonts w:ascii="David" w:eastAsia="Calibri" w:hAnsi="David"/>
          <w:rtl/>
        </w:rPr>
        <w:t xml:space="preserve"> בהתאם לתרחיש המלחמה ו</w:t>
      </w:r>
      <w:r w:rsidRPr="00A81964">
        <w:rPr>
          <w:rFonts w:ascii="David" w:eastAsia="Calibri" w:hAnsi="David" w:hint="cs"/>
          <w:rtl/>
        </w:rPr>
        <w:t>ל</w:t>
      </w:r>
      <w:r w:rsidRPr="00A81964">
        <w:rPr>
          <w:rFonts w:ascii="David" w:eastAsia="Calibri" w:hAnsi="David"/>
          <w:rtl/>
        </w:rPr>
        <w:t>מתארי הנזק הצפויים, את הנזק שעלול להיגרם למבנים בהתאם לחומרת הנזק, מקל מאוד ועד כבד מאוד. במקביל, הצוות הגדיר מספר מתארי מלחמה, ולכל מתאר אמד את כמות הבניינים והדירות שי</w:t>
      </w:r>
      <w:r w:rsidRPr="00A81964">
        <w:rPr>
          <w:rFonts w:ascii="David" w:eastAsia="Calibri" w:hAnsi="David" w:hint="cs"/>
          <w:rtl/>
        </w:rPr>
        <w:t>י</w:t>
      </w:r>
      <w:r w:rsidRPr="00A81964">
        <w:rPr>
          <w:rFonts w:ascii="David" w:eastAsia="Calibri" w:hAnsi="David"/>
          <w:rtl/>
        </w:rPr>
        <w:t>פגעו</w:t>
      </w:r>
      <w:r w:rsidRPr="00A81964">
        <w:rPr>
          <w:rFonts w:ascii="David" w:eastAsia="Calibri" w:hAnsi="David" w:hint="cs"/>
          <w:rtl/>
        </w:rPr>
        <w:t>,</w:t>
      </w:r>
      <w:r w:rsidRPr="00A81964">
        <w:rPr>
          <w:rFonts w:ascii="David" w:eastAsia="Calibri" w:hAnsi="David"/>
          <w:rtl/>
        </w:rPr>
        <w:t xml:space="preserve"> בחלוקה לפי חומרת הנזק. </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rtl/>
        </w:rPr>
      </w:pPr>
      <w:r w:rsidRPr="00A81964">
        <w:rPr>
          <w:rFonts w:ascii="David" w:eastAsia="Calibri" w:hAnsi="David"/>
          <w:rtl/>
        </w:rPr>
        <w:t>במרץ 2018 גיבש צוות "הערכת עלויות ומימון" טיוטה שכללה "דוח מסכם של הצוות לבחינת פתרונות פיננסים עבור קרן מס רכוש"</w:t>
      </w:r>
      <w:r w:rsidRPr="00A81964">
        <w:rPr>
          <w:rFonts w:ascii="David" w:eastAsia="Calibri" w:hAnsi="David" w:hint="cs"/>
          <w:rtl/>
        </w:rPr>
        <w:t>.</w:t>
      </w:r>
      <w:r w:rsidRPr="00A81964">
        <w:rPr>
          <w:rFonts w:ascii="David" w:eastAsia="Calibri" w:hAnsi="David"/>
          <w:rtl/>
        </w:rPr>
        <w:t xml:space="preserve"> בהתבסס על תרח</w:t>
      </w:r>
      <w:r w:rsidRPr="00A81964">
        <w:rPr>
          <w:rFonts w:ascii="David" w:eastAsia="Calibri" w:hAnsi="David" w:hint="cs"/>
          <w:rtl/>
        </w:rPr>
        <w:t>י</w:t>
      </w:r>
      <w:r w:rsidRPr="00A81964">
        <w:rPr>
          <w:rFonts w:ascii="David" w:eastAsia="Calibri" w:hAnsi="David"/>
          <w:rtl/>
        </w:rPr>
        <w:t>שי הייחוס והאומדנים שהוכנו</w:t>
      </w:r>
      <w:r w:rsidRPr="00A81964">
        <w:rPr>
          <w:rFonts w:ascii="David" w:eastAsia="Calibri" w:hAnsi="David" w:hint="cs"/>
          <w:rtl/>
        </w:rPr>
        <w:t>,</w:t>
      </w:r>
      <w:r w:rsidRPr="00A81964">
        <w:rPr>
          <w:rFonts w:ascii="David" w:eastAsia="Calibri" w:hAnsi="David"/>
          <w:rtl/>
        </w:rPr>
        <w:t xml:space="preserve"> הצוות אמד את החשיפה של קרן מס רכוש והציג את הפתרונות להתמודדות פיננסית עם הנזק הצפוי, לרבות הצעת תמהיל אופטימלי והמלצות לדרכי פעולה.</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rtl/>
        </w:rPr>
      </w:pPr>
      <w:r>
        <w:rPr>
          <w:rFonts w:ascii="David" w:eastAsia="Calibri" w:hAnsi="David" w:hint="cs"/>
          <w:rtl/>
        </w:rPr>
        <w:t xml:space="preserve">לפי החוק שר האוצר מוסמך לקבוע בתקנות את שיעור ההפרשה לקרן הפיצויים. זאת באישור ועדת הכספים של הכנסת. </w:t>
      </w:r>
      <w:r w:rsidRPr="00A81964">
        <w:rPr>
          <w:rFonts w:ascii="David" w:eastAsia="Calibri" w:hAnsi="David"/>
          <w:rtl/>
        </w:rPr>
        <w:t>צוות הביקורת</w:t>
      </w:r>
      <w:r>
        <w:rPr>
          <w:rFonts w:ascii="David" w:eastAsia="Calibri" w:hAnsi="David" w:hint="cs"/>
        </w:rPr>
        <w:t xml:space="preserve"> </w:t>
      </w:r>
      <w:r>
        <w:rPr>
          <w:rFonts w:ascii="David" w:eastAsia="Calibri" w:hAnsi="David" w:hint="cs"/>
          <w:rtl/>
        </w:rPr>
        <w:t>סקר את הפרוטוקולים של</w:t>
      </w:r>
      <w:r w:rsidRPr="00A81964">
        <w:rPr>
          <w:rFonts w:ascii="David" w:eastAsia="Calibri" w:hAnsi="David"/>
          <w:rtl/>
        </w:rPr>
        <w:t xml:space="preserve"> דיוני ועדת הכספים</w:t>
      </w:r>
      <w:r w:rsidRPr="00A81964">
        <w:rPr>
          <w:rFonts w:ascii="David" w:eastAsia="Calibri" w:hAnsi="David" w:hint="cs"/>
          <w:rtl/>
        </w:rPr>
        <w:t xml:space="preserve"> של הכנסת</w:t>
      </w:r>
      <w:r w:rsidRPr="00A81964">
        <w:rPr>
          <w:rFonts w:ascii="David" w:eastAsia="Calibri" w:hAnsi="David"/>
          <w:rtl/>
        </w:rPr>
        <w:t xml:space="preserve"> </w:t>
      </w:r>
      <w:r w:rsidRPr="00A81964">
        <w:rPr>
          <w:rFonts w:ascii="David" w:eastAsia="Calibri" w:hAnsi="David" w:hint="cs"/>
          <w:rtl/>
        </w:rPr>
        <w:t xml:space="preserve">בנוגע </w:t>
      </w:r>
      <w:r w:rsidRPr="00A81964">
        <w:rPr>
          <w:rFonts w:ascii="David" w:eastAsia="Calibri" w:hAnsi="David"/>
          <w:rtl/>
        </w:rPr>
        <w:t>לשינוי</w:t>
      </w:r>
      <w:r w:rsidRPr="00A81964">
        <w:rPr>
          <w:rFonts w:ascii="David" w:eastAsia="Calibri" w:hAnsi="David" w:hint="cs"/>
          <w:rtl/>
        </w:rPr>
        <w:t>ים</w:t>
      </w:r>
      <w:r w:rsidRPr="00A81964">
        <w:rPr>
          <w:rFonts w:ascii="David" w:eastAsia="Calibri" w:hAnsi="David"/>
          <w:rtl/>
        </w:rPr>
        <w:t xml:space="preserve"> </w:t>
      </w:r>
      <w:r w:rsidRPr="00A81964">
        <w:rPr>
          <w:rFonts w:ascii="David" w:eastAsia="Calibri" w:hAnsi="David" w:hint="cs"/>
          <w:rtl/>
        </w:rPr>
        <w:t>ב</w:t>
      </w:r>
      <w:r w:rsidRPr="00A81964">
        <w:rPr>
          <w:rFonts w:ascii="David" w:eastAsia="Calibri" w:hAnsi="David"/>
          <w:rtl/>
        </w:rPr>
        <w:t xml:space="preserve">שיעורי ההפרשה לקרן. </w:t>
      </w:r>
      <w:r>
        <w:rPr>
          <w:rFonts w:ascii="David" w:eastAsia="Calibri" w:hAnsi="David" w:hint="cs"/>
          <w:rtl/>
        </w:rPr>
        <w:t>ב</w:t>
      </w:r>
      <w:r w:rsidRPr="00A81964">
        <w:rPr>
          <w:rFonts w:ascii="David" w:eastAsia="Calibri" w:hAnsi="David"/>
          <w:rtl/>
        </w:rPr>
        <w:t xml:space="preserve">שנים </w:t>
      </w:r>
      <w:r w:rsidRPr="00A81964">
        <w:rPr>
          <w:rFonts w:ascii="David" w:eastAsia="Calibri" w:hAnsi="David" w:hint="cs"/>
          <w:rtl/>
        </w:rPr>
        <w:t xml:space="preserve">2017 - 2023 </w:t>
      </w:r>
      <w:r w:rsidRPr="00A81964">
        <w:rPr>
          <w:rFonts w:ascii="David" w:eastAsia="Calibri" w:hAnsi="David"/>
          <w:rtl/>
        </w:rPr>
        <w:t>דנה הוועדה ארבע פעמים בשינוי שיעור ההפרשה:</w:t>
      </w:r>
    </w:p>
    <w:p w:rsidR="006252C4" w:rsidRDefault="006252C4" w:rsidP="006252C4">
      <w:pPr>
        <w:pStyle w:val="a8"/>
        <w:spacing w:line="269" w:lineRule="auto"/>
        <w:rPr>
          <w:rtl/>
        </w:rPr>
      </w:pPr>
    </w:p>
    <w:p w:rsidR="006252C4" w:rsidRPr="00832A1E" w:rsidRDefault="006252C4" w:rsidP="006252C4">
      <w:pPr>
        <w:pStyle w:val="af3"/>
        <w:numPr>
          <w:ilvl w:val="0"/>
          <w:numId w:val="37"/>
        </w:numPr>
        <w:spacing w:line="269" w:lineRule="auto"/>
        <w:rPr>
          <w:rFonts w:ascii="David" w:eastAsia="Calibri" w:hAnsi="David"/>
        </w:rPr>
      </w:pPr>
      <w:r w:rsidRPr="00832A1E">
        <w:rPr>
          <w:rFonts w:ascii="David" w:eastAsia="Calibri" w:hAnsi="David"/>
          <w:rtl/>
        </w:rPr>
        <w:t>בחודש דצמבר 2017 התכנסה ועדת הכספים להתקנת תקנות מס רכוש וקרן הפיצויים לצורך אישור תקנות מס רכוש וקרן פיצויים (שיעור ההפרשה לקרן פיצויים) (הוראת שעה), התשע"ח-2017, בעניין שיעור ההפרשה לקרן לשנים 2017 - 2020. ועדת הכספים החליטה כי להגדיל את שיעור ההפרשה ממס רכישה בשנת 2017 ל-75% ולהקטין את שיעור ההפרשה ממס הרכישה ל-0%, כך שבשנים 2018 - 2020 הכנסות המדינה ממס רכישה לא ייזקפו לקרן כלל. מעיון בפרוטוקול ועדת הכספים</w:t>
      </w:r>
      <w:r w:rsidRPr="00832A1E">
        <w:rPr>
          <w:rFonts w:ascii="David" w:hAnsi="David"/>
          <w:vertAlign w:val="superscript"/>
          <w:rtl/>
        </w:rPr>
        <w:footnoteReference w:id="165"/>
      </w:r>
      <w:r w:rsidRPr="00832A1E">
        <w:rPr>
          <w:rFonts w:ascii="David" w:eastAsia="Calibri" w:hAnsi="David"/>
          <w:rtl/>
        </w:rPr>
        <w:t xml:space="preserve"> מדצמבר 2017 עולה כי הסיבה שהוצגה לצורך בהקטנת ההפרשה לקרן היא לייצר איזון בין השנים ולהקל על שנות התקציב 2018 - 2020. רשות המיסים הציגה כי בהתאם לתרחישי הייחוס, הסכום הנדרש לפיצויים הוא גבוה מהסכום שיש בקרן. הוצג הסכום שקיים בקרן והסכום החזוי ב-2020. חברי הכנסת העלו כי שינוי שיעור ההפרשה נעשה ללא הערכה לגבי התוצאות האפשריות של מלחמה והנזק הצפוי. </w:t>
      </w:r>
    </w:p>
    <w:p w:rsidR="006252C4" w:rsidRPr="00832A1E" w:rsidRDefault="006252C4" w:rsidP="006252C4">
      <w:pPr>
        <w:spacing w:line="269" w:lineRule="auto"/>
        <w:ind w:left="340"/>
        <w:contextualSpacing/>
        <w:rPr>
          <w:rFonts w:ascii="David" w:eastAsia="Calibri" w:hAnsi="David"/>
          <w:rtl/>
        </w:rPr>
      </w:pPr>
    </w:p>
    <w:p w:rsidR="006252C4" w:rsidRPr="00832A1E" w:rsidRDefault="006252C4" w:rsidP="006252C4">
      <w:pPr>
        <w:pStyle w:val="af3"/>
        <w:numPr>
          <w:ilvl w:val="0"/>
          <w:numId w:val="37"/>
        </w:numPr>
        <w:spacing w:line="269" w:lineRule="auto"/>
        <w:jc w:val="left"/>
        <w:rPr>
          <w:rFonts w:ascii="David" w:eastAsia="Calibri" w:hAnsi="David"/>
        </w:rPr>
      </w:pPr>
      <w:r w:rsidRPr="00832A1E">
        <w:rPr>
          <w:rFonts w:ascii="David" w:eastAsia="Calibri" w:hAnsi="David"/>
          <w:rtl/>
        </w:rPr>
        <w:t>במרץ 2022 החליטה ועדת הכספים להקטין את שיעור ההפרשה מ-25% ל-8.5%. בדיון הוצג כי הסיבה להקטנת ההפרשה לקרן היא צפי לגידול בהכנסות ממס רכוש ואי-פגיעה בהכנסות הצפויות של הקרן בשל כך.</w:t>
      </w:r>
    </w:p>
    <w:p w:rsidR="006252C4" w:rsidRPr="00832A1E" w:rsidRDefault="006252C4" w:rsidP="006252C4">
      <w:pPr>
        <w:spacing w:line="269" w:lineRule="auto"/>
        <w:contextualSpacing/>
        <w:rPr>
          <w:rFonts w:ascii="David" w:eastAsia="Calibri" w:hAnsi="David"/>
          <w:rtl/>
        </w:rPr>
      </w:pPr>
    </w:p>
    <w:p w:rsidR="006252C4" w:rsidRPr="00832A1E" w:rsidRDefault="006252C4" w:rsidP="006252C4">
      <w:pPr>
        <w:pStyle w:val="af3"/>
        <w:numPr>
          <w:ilvl w:val="0"/>
          <w:numId w:val="37"/>
        </w:numPr>
        <w:spacing w:line="269" w:lineRule="auto"/>
        <w:rPr>
          <w:rFonts w:ascii="David" w:eastAsia="Calibri" w:hAnsi="David"/>
        </w:rPr>
      </w:pPr>
      <w:r w:rsidRPr="00832A1E">
        <w:rPr>
          <w:rFonts w:ascii="David" w:eastAsia="Calibri" w:hAnsi="David"/>
          <w:rtl/>
        </w:rPr>
        <w:t>באפריל 2022 התכנסה ועדת הכספים כדי לדון בהורדת ההפרשה מ-8.5% ל-0%</w:t>
      </w:r>
      <w:r>
        <w:rPr>
          <w:rFonts w:ascii="David" w:eastAsia="Calibri" w:hAnsi="David" w:hint="cs"/>
          <w:rtl/>
        </w:rPr>
        <w:t xml:space="preserve"> </w:t>
      </w:r>
      <w:r w:rsidRPr="00832A1E">
        <w:rPr>
          <w:rFonts w:ascii="David" w:eastAsia="Calibri" w:hAnsi="David"/>
          <w:rtl/>
        </w:rPr>
        <w:t xml:space="preserve">רטרואקטיבית לשנת 2022, וזאת במטרה לממן מקור תקציבי להפחתה במס הבלו. </w:t>
      </w:r>
    </w:p>
    <w:p w:rsidR="006252C4" w:rsidRPr="00832A1E" w:rsidRDefault="006252C4" w:rsidP="006252C4">
      <w:pPr>
        <w:spacing w:line="269" w:lineRule="auto"/>
        <w:contextualSpacing/>
        <w:rPr>
          <w:rFonts w:ascii="David" w:eastAsia="Calibri" w:hAnsi="David"/>
        </w:rPr>
      </w:pPr>
    </w:p>
    <w:p w:rsidR="006252C4" w:rsidRPr="00832A1E" w:rsidRDefault="006252C4" w:rsidP="006252C4">
      <w:pPr>
        <w:pStyle w:val="af3"/>
        <w:numPr>
          <w:ilvl w:val="0"/>
          <w:numId w:val="37"/>
        </w:numPr>
        <w:spacing w:line="269" w:lineRule="auto"/>
        <w:rPr>
          <w:rFonts w:ascii="David" w:eastAsia="Calibri" w:hAnsi="David"/>
        </w:rPr>
      </w:pPr>
      <w:r w:rsidRPr="00832A1E">
        <w:rPr>
          <w:rFonts w:ascii="David" w:eastAsia="Calibri" w:hAnsi="David"/>
          <w:rtl/>
        </w:rPr>
        <w:lastRenderedPageBreak/>
        <w:t xml:space="preserve">בדיון נוסף של ועדת הכספים מינואר 2023 הסבירה רשות המיסים כי "השינוי הזה </w:t>
      </w:r>
      <w:bookmarkStart w:id="39" w:name="_ETM_Q1_1356000"/>
      <w:bookmarkEnd w:id="39"/>
      <w:r w:rsidRPr="00832A1E">
        <w:rPr>
          <w:rFonts w:ascii="David" w:eastAsia="Calibri" w:hAnsi="David"/>
          <w:rtl/>
        </w:rPr>
        <w:t>נועד לממן הפחתות מס שונות שצפויות להיכנס לתוקף במהלך השנה". ועדת הכספים החליטה להקטין את שיעור ההפרשה ל-0%. אמת המידה שנבחנה התבססה על הצרכים למימון, ללא התייחסות להוצאות הקרן במלחמות עבר ולא בהתאם לתחזיות ולהערכות הצופות פני עתיד.</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b/>
          <w:bCs/>
        </w:rPr>
      </w:pPr>
      <w:r w:rsidRPr="00A81964">
        <w:rPr>
          <w:rFonts w:ascii="David" w:eastAsia="Calibri" w:hAnsi="David"/>
          <w:b/>
          <w:bCs/>
          <w:rtl/>
        </w:rPr>
        <w:t xml:space="preserve">נמצא כי </w:t>
      </w:r>
      <w:r>
        <w:rPr>
          <w:rFonts w:ascii="David" w:eastAsia="Calibri" w:hAnsi="David" w:hint="cs"/>
          <w:b/>
          <w:bCs/>
          <w:rtl/>
        </w:rPr>
        <w:t xml:space="preserve">בדיוני ועדת הכספים של הכנסת שנסבו על </w:t>
      </w:r>
      <w:r w:rsidRPr="00A81964">
        <w:rPr>
          <w:rFonts w:ascii="David" w:eastAsia="Calibri" w:hAnsi="David"/>
          <w:b/>
          <w:bCs/>
          <w:rtl/>
        </w:rPr>
        <w:t xml:space="preserve">קביעת שיעור ההפרשה לקרן </w:t>
      </w:r>
      <w:r>
        <w:rPr>
          <w:rFonts w:ascii="David" w:eastAsia="Calibri" w:hAnsi="David" w:hint="cs"/>
          <w:b/>
          <w:bCs/>
          <w:rtl/>
        </w:rPr>
        <w:t xml:space="preserve">מכוח </w:t>
      </w:r>
      <w:r w:rsidRPr="00A81964">
        <w:rPr>
          <w:rFonts w:ascii="David" w:eastAsia="Calibri" w:hAnsi="David"/>
          <w:b/>
          <w:bCs/>
          <w:rtl/>
        </w:rPr>
        <w:t>תקנות מס רכוש וקרן הפיצויים לא הציגו משרד האוצר ורשות המיסים לוועדת הכספים של הכנסת ‏תרחישים והערכות נזק</w:t>
      </w:r>
      <w:r w:rsidRPr="00A81964">
        <w:rPr>
          <w:rFonts w:ascii="David" w:eastAsia="Calibri" w:hAnsi="David" w:hint="cs"/>
          <w:b/>
          <w:bCs/>
          <w:rtl/>
        </w:rPr>
        <w:t xml:space="preserve"> ומהן </w:t>
      </w:r>
      <w:r w:rsidRPr="00A81964">
        <w:rPr>
          <w:rFonts w:ascii="David" w:eastAsia="Calibri" w:hAnsi="David"/>
          <w:b/>
          <w:bCs/>
          <w:rtl/>
        </w:rPr>
        <w:t xml:space="preserve">היתרות </w:t>
      </w:r>
      <w:r w:rsidRPr="00A81964">
        <w:rPr>
          <w:rFonts w:ascii="David" w:eastAsia="Calibri" w:hAnsi="David" w:hint="cs"/>
          <w:b/>
          <w:bCs/>
          <w:rtl/>
        </w:rPr>
        <w:t>שיידרשו</w:t>
      </w:r>
      <w:r w:rsidRPr="00A81964">
        <w:rPr>
          <w:rFonts w:ascii="David" w:eastAsia="Calibri" w:hAnsi="David"/>
          <w:b/>
          <w:bCs/>
          <w:rtl/>
        </w:rPr>
        <w:t xml:space="preserve"> לפיצוי נזקי מלחמה</w:t>
      </w:r>
      <w:r>
        <w:rPr>
          <w:rFonts w:ascii="David" w:eastAsia="Calibri" w:hAnsi="David" w:hint="cs"/>
          <w:b/>
          <w:bCs/>
          <w:rtl/>
        </w:rPr>
        <w:t>.</w:t>
      </w:r>
      <w:r w:rsidRPr="00A81964">
        <w:rPr>
          <w:rFonts w:ascii="David" w:eastAsia="Calibri" w:hAnsi="David"/>
          <w:b/>
          <w:bCs/>
          <w:rtl/>
        </w:rPr>
        <w:t xml:space="preserve"> </w:t>
      </w:r>
    </w:p>
    <w:p w:rsidR="006252C4" w:rsidRDefault="006252C4" w:rsidP="006252C4">
      <w:pPr>
        <w:pStyle w:val="a8"/>
        <w:spacing w:line="269" w:lineRule="auto"/>
        <w:rPr>
          <w:rtl/>
        </w:rPr>
      </w:pPr>
    </w:p>
    <w:p w:rsidR="006252C4" w:rsidRDefault="006252C4" w:rsidP="006252C4">
      <w:pPr>
        <w:spacing w:line="269" w:lineRule="auto"/>
        <w:rPr>
          <w:rFonts w:eastAsia="Times New Roman"/>
          <w:bCs/>
          <w:szCs w:val="26"/>
          <w:rtl/>
        </w:rPr>
      </w:pPr>
      <w:r w:rsidRPr="00A81964">
        <w:rPr>
          <w:rFonts w:ascii="David" w:eastAsia="Calibri" w:hAnsi="David"/>
          <w:b/>
          <w:bCs/>
          <w:rtl/>
        </w:rPr>
        <w:t xml:space="preserve">על </w:t>
      </w:r>
      <w:r w:rsidRPr="00A81964">
        <w:rPr>
          <w:rFonts w:ascii="David" w:eastAsia="Calibri" w:hAnsi="David" w:hint="cs"/>
          <w:b/>
          <w:bCs/>
          <w:rtl/>
        </w:rPr>
        <w:t>משרד האוצר ורשות המיסים</w:t>
      </w:r>
      <w:r w:rsidRPr="00A81964">
        <w:rPr>
          <w:rFonts w:ascii="David" w:eastAsia="Calibri" w:hAnsi="David"/>
          <w:b/>
          <w:bCs/>
          <w:rtl/>
        </w:rPr>
        <w:t xml:space="preserve"> להיערך לדיונים ולהציג לוועדת הכספים של הכנסת ‏את הנתונים הרלוונטיים לצורך קבלת ההחלטות,</w:t>
      </w:r>
      <w:r w:rsidRPr="00A81964">
        <w:rPr>
          <w:rFonts w:ascii="David" w:eastAsia="Calibri" w:hAnsi="David" w:hint="cs"/>
          <w:b/>
          <w:bCs/>
          <w:rtl/>
        </w:rPr>
        <w:t xml:space="preserve"> וזאת</w:t>
      </w:r>
      <w:r w:rsidRPr="00A81964">
        <w:rPr>
          <w:rFonts w:ascii="David" w:eastAsia="Calibri" w:hAnsi="David"/>
          <w:b/>
          <w:bCs/>
          <w:rtl/>
        </w:rPr>
        <w:t xml:space="preserve"> בהסתמך על תרחישים למלחמות עתידיות. </w:t>
      </w:r>
    </w:p>
    <w:p w:rsidR="006252C4" w:rsidRDefault="006252C4" w:rsidP="006252C4">
      <w:pPr>
        <w:spacing w:line="269" w:lineRule="auto"/>
        <w:rPr>
          <w:rFonts w:eastAsia="Times New Roman"/>
          <w:bCs/>
          <w:szCs w:val="26"/>
          <w:rtl/>
        </w:rPr>
      </w:pPr>
    </w:p>
    <w:p w:rsidR="006252C4" w:rsidRPr="00A81964" w:rsidRDefault="006252C4" w:rsidP="006252C4">
      <w:pPr>
        <w:pStyle w:val="4"/>
        <w:spacing w:before="0" w:line="269" w:lineRule="auto"/>
        <w:rPr>
          <w:rFonts w:eastAsia="Times New Roman"/>
          <w:rtl/>
        </w:rPr>
      </w:pPr>
      <w:r w:rsidRPr="00A81964">
        <w:rPr>
          <w:rFonts w:eastAsia="Times New Roman"/>
          <w:rtl/>
        </w:rPr>
        <w:t>היערכות לתשלום נזקי מלחמה</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rtl/>
        </w:rPr>
      </w:pPr>
      <w:r w:rsidRPr="00A81964">
        <w:rPr>
          <w:rFonts w:ascii="David" w:eastAsia="Calibri" w:hAnsi="David" w:hint="cs"/>
          <w:rtl/>
        </w:rPr>
        <w:t xml:space="preserve">בכתב המינוי לצוות "הערכת עלויות ומימון" צוין כי </w:t>
      </w:r>
      <w:r>
        <w:rPr>
          <w:rFonts w:ascii="David" w:eastAsia="Calibri" w:hAnsi="David" w:hint="cs"/>
          <w:rtl/>
        </w:rPr>
        <w:t xml:space="preserve">על </w:t>
      </w:r>
      <w:r w:rsidRPr="00A81964">
        <w:rPr>
          <w:rFonts w:ascii="David" w:eastAsia="Calibri" w:hAnsi="David" w:hint="cs"/>
          <w:rtl/>
        </w:rPr>
        <w:t xml:space="preserve">הצוות לבחון עלויות כלכליות של שלושת תרחישי הייחוס (תרחיש קטן, תרחיש אמצע, ותרחיש קיצון) ואת מקורות המימון לכך, צוין כי על </w:t>
      </w:r>
      <w:r>
        <w:rPr>
          <w:rFonts w:ascii="David" w:eastAsia="Calibri" w:hAnsi="David" w:hint="cs"/>
          <w:rtl/>
        </w:rPr>
        <w:t>הצוות</w:t>
      </w:r>
      <w:r w:rsidRPr="00A81964">
        <w:rPr>
          <w:rFonts w:ascii="David" w:eastAsia="Calibri" w:hAnsi="David" w:hint="cs"/>
          <w:rtl/>
        </w:rPr>
        <w:t xml:space="preserve"> להתייחס בין היתר לנקודות </w:t>
      </w:r>
      <w:r>
        <w:rPr>
          <w:rFonts w:ascii="David" w:eastAsia="Calibri" w:hAnsi="David" w:hint="cs"/>
          <w:rtl/>
        </w:rPr>
        <w:t>האלה</w:t>
      </w:r>
      <w:r w:rsidRPr="00A81964">
        <w:rPr>
          <w:rFonts w:ascii="David" w:eastAsia="Calibri" w:hAnsi="David" w:hint="cs"/>
          <w:rtl/>
        </w:rPr>
        <w:t xml:space="preserve">: </w:t>
      </w:r>
      <w:r>
        <w:rPr>
          <w:rFonts w:ascii="David" w:eastAsia="Calibri" w:hAnsi="David" w:hint="cs"/>
          <w:rtl/>
        </w:rPr>
        <w:t>(א)</w:t>
      </w:r>
      <w:r w:rsidRPr="00A81964">
        <w:rPr>
          <w:rFonts w:ascii="David" w:eastAsia="Calibri" w:hAnsi="David" w:hint="cs"/>
          <w:rtl/>
        </w:rPr>
        <w:t xml:space="preserve"> הגדלת הזיקה הביטוחית</w:t>
      </w:r>
      <w:r>
        <w:rPr>
          <w:rFonts w:ascii="David" w:eastAsia="Calibri" w:hAnsi="David" w:hint="cs"/>
          <w:rtl/>
        </w:rPr>
        <w:t>;</w:t>
      </w:r>
      <w:r w:rsidRPr="00A81964">
        <w:rPr>
          <w:rFonts w:ascii="David" w:eastAsia="Calibri" w:hAnsi="David" w:hint="cs"/>
          <w:rtl/>
        </w:rPr>
        <w:t xml:space="preserve"> </w:t>
      </w:r>
      <w:r>
        <w:rPr>
          <w:rFonts w:ascii="David" w:eastAsia="Calibri" w:hAnsi="David" w:hint="cs"/>
          <w:rtl/>
        </w:rPr>
        <w:t>(ב)</w:t>
      </w:r>
      <w:r>
        <w:rPr>
          <w:rFonts w:ascii="David" w:eastAsia="Calibri" w:hAnsi="David" w:hint="cs"/>
        </w:rPr>
        <w:t xml:space="preserve"> </w:t>
      </w:r>
      <w:r w:rsidRPr="00A81964">
        <w:rPr>
          <w:rFonts w:ascii="David" w:eastAsia="Calibri" w:hAnsi="David" w:hint="cs"/>
          <w:rtl/>
        </w:rPr>
        <w:t>רכישת ביטוחי משנה</w:t>
      </w:r>
      <w:r>
        <w:rPr>
          <w:rFonts w:ascii="David" w:eastAsia="Calibri" w:hAnsi="David" w:hint="cs"/>
          <w:rtl/>
        </w:rPr>
        <w:t>;</w:t>
      </w:r>
      <w:r w:rsidRPr="00A81964">
        <w:rPr>
          <w:rFonts w:ascii="David" w:eastAsia="Calibri" w:hAnsi="David" w:hint="cs"/>
          <w:rtl/>
        </w:rPr>
        <w:t xml:space="preserve"> </w:t>
      </w:r>
      <w:r>
        <w:rPr>
          <w:rFonts w:ascii="David" w:eastAsia="Calibri" w:hAnsi="David" w:hint="cs"/>
          <w:rtl/>
        </w:rPr>
        <w:t>(</w:t>
      </w:r>
      <w:r w:rsidRPr="00A81964">
        <w:rPr>
          <w:rFonts w:ascii="David" w:eastAsia="Calibri" w:hAnsi="David" w:hint="cs"/>
          <w:rtl/>
        </w:rPr>
        <w:t>ג</w:t>
      </w:r>
      <w:r>
        <w:rPr>
          <w:rFonts w:ascii="David" w:eastAsia="Calibri" w:hAnsi="David" w:hint="cs"/>
          <w:rtl/>
        </w:rPr>
        <w:t xml:space="preserve">) </w:t>
      </w:r>
      <w:r w:rsidRPr="00A81964">
        <w:rPr>
          <w:rFonts w:ascii="David" w:eastAsia="Calibri" w:hAnsi="David" w:hint="cs"/>
          <w:rtl/>
        </w:rPr>
        <w:t>הגדלת גובה הפרשה לקרן</w:t>
      </w:r>
      <w:r>
        <w:rPr>
          <w:rFonts w:ascii="David" w:eastAsia="Calibri" w:hAnsi="David" w:hint="cs"/>
          <w:rtl/>
        </w:rPr>
        <w:t>;</w:t>
      </w:r>
      <w:r w:rsidRPr="00A81964">
        <w:rPr>
          <w:rFonts w:ascii="David" w:eastAsia="Calibri" w:hAnsi="David" w:hint="cs"/>
          <w:rtl/>
        </w:rPr>
        <w:t xml:space="preserve"> </w:t>
      </w:r>
      <w:r>
        <w:rPr>
          <w:rFonts w:ascii="David" w:eastAsia="Calibri" w:hAnsi="David" w:hint="cs"/>
          <w:rtl/>
        </w:rPr>
        <w:t>(</w:t>
      </w:r>
      <w:r w:rsidRPr="00A81964">
        <w:rPr>
          <w:rFonts w:ascii="David" w:eastAsia="Calibri" w:hAnsi="David" w:hint="cs"/>
          <w:rtl/>
        </w:rPr>
        <w:t>ד</w:t>
      </w:r>
      <w:r>
        <w:rPr>
          <w:rFonts w:ascii="David" w:eastAsia="Calibri" w:hAnsi="David" w:hint="cs"/>
          <w:rtl/>
        </w:rPr>
        <w:t>)</w:t>
      </w:r>
      <w:r w:rsidRPr="00A81964">
        <w:rPr>
          <w:rFonts w:ascii="David" w:eastAsia="Calibri" w:hAnsi="David" w:hint="cs"/>
          <w:rtl/>
        </w:rPr>
        <w:t xml:space="preserve"> מקורות להעברת כספים לקרן. </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rtl/>
        </w:rPr>
      </w:pPr>
      <w:r w:rsidRPr="00A81964">
        <w:rPr>
          <w:rFonts w:ascii="David" w:eastAsia="Calibri" w:hAnsi="David"/>
          <w:rtl/>
        </w:rPr>
        <w:t>כאמור, במרץ 2018 גיבש צוות "הערכת עלויות ומימון" טיוט</w:t>
      </w:r>
      <w:r w:rsidRPr="00A81964">
        <w:rPr>
          <w:rFonts w:ascii="David" w:eastAsia="Calibri" w:hAnsi="David" w:hint="cs"/>
          <w:rtl/>
        </w:rPr>
        <w:t>ת</w:t>
      </w:r>
      <w:r w:rsidRPr="00A81964">
        <w:rPr>
          <w:rFonts w:ascii="David" w:eastAsia="Calibri" w:hAnsi="David"/>
          <w:rtl/>
        </w:rPr>
        <w:t xml:space="preserve"> </w:t>
      </w:r>
      <w:r w:rsidRPr="00A81964">
        <w:rPr>
          <w:rFonts w:ascii="David" w:eastAsia="Calibri" w:hAnsi="David" w:hint="cs"/>
          <w:rtl/>
        </w:rPr>
        <w:t>דין וחשבון,</w:t>
      </w:r>
      <w:r w:rsidRPr="00A81964">
        <w:rPr>
          <w:rFonts w:ascii="David" w:eastAsia="Calibri" w:hAnsi="David"/>
          <w:rtl/>
        </w:rPr>
        <w:t xml:space="preserve"> "דוח מסכם של הצוות לבחינת פתרונות פיננסי</w:t>
      </w:r>
      <w:r w:rsidRPr="00A81964">
        <w:rPr>
          <w:rFonts w:ascii="David" w:eastAsia="Calibri" w:hAnsi="David" w:hint="cs"/>
          <w:rtl/>
        </w:rPr>
        <w:t>י</w:t>
      </w:r>
      <w:r w:rsidRPr="00A81964">
        <w:rPr>
          <w:rFonts w:ascii="David" w:eastAsia="Calibri" w:hAnsi="David"/>
          <w:rtl/>
        </w:rPr>
        <w:t>ם עבור קרן מס רכוש"</w:t>
      </w:r>
      <w:r w:rsidRPr="00A81964">
        <w:rPr>
          <w:rFonts w:ascii="David" w:eastAsia="Calibri" w:hAnsi="David" w:hint="cs"/>
          <w:rtl/>
        </w:rPr>
        <w:t xml:space="preserve">. </w:t>
      </w:r>
      <w:r w:rsidRPr="00A81964">
        <w:rPr>
          <w:rFonts w:ascii="David" w:eastAsia="Calibri" w:hAnsi="David"/>
          <w:rtl/>
        </w:rPr>
        <w:t>בהתבסס על תרח</w:t>
      </w:r>
      <w:r w:rsidRPr="00A81964">
        <w:rPr>
          <w:rFonts w:ascii="David" w:eastAsia="Calibri" w:hAnsi="David" w:hint="cs"/>
          <w:rtl/>
        </w:rPr>
        <w:t>י</w:t>
      </w:r>
      <w:r w:rsidRPr="00A81964">
        <w:rPr>
          <w:rFonts w:ascii="David" w:eastAsia="Calibri" w:hAnsi="David"/>
          <w:rtl/>
        </w:rPr>
        <w:t>שי הייחוס והאומדנים שהוכנו</w:t>
      </w:r>
      <w:r w:rsidRPr="00A81964">
        <w:rPr>
          <w:rFonts w:ascii="David" w:eastAsia="Calibri" w:hAnsi="David" w:hint="cs"/>
          <w:rtl/>
        </w:rPr>
        <w:t>,</w:t>
      </w:r>
      <w:r w:rsidRPr="00A81964">
        <w:rPr>
          <w:rFonts w:ascii="David" w:eastAsia="Calibri" w:hAnsi="David"/>
          <w:rtl/>
        </w:rPr>
        <w:t xml:space="preserve"> הצוות אמד את החשיפה של קרן מס רכוש </w:t>
      </w:r>
      <w:r w:rsidRPr="00A81964">
        <w:rPr>
          <w:rFonts w:ascii="David" w:eastAsia="Calibri" w:hAnsi="David" w:hint="cs"/>
          <w:rtl/>
        </w:rPr>
        <w:t>וקבע</w:t>
      </w:r>
      <w:r w:rsidRPr="00A81964">
        <w:rPr>
          <w:rFonts w:ascii="David" w:eastAsia="Calibri" w:hAnsi="David"/>
          <w:rtl/>
        </w:rPr>
        <w:t xml:space="preserve"> </w:t>
      </w:r>
      <w:r w:rsidRPr="00A81964">
        <w:rPr>
          <w:rFonts w:ascii="David" w:eastAsia="Calibri" w:hAnsi="David" w:hint="cs"/>
          <w:rtl/>
        </w:rPr>
        <w:t>ש</w:t>
      </w:r>
      <w:r w:rsidRPr="00A81964">
        <w:rPr>
          <w:rFonts w:ascii="David" w:eastAsia="Calibri" w:hAnsi="David"/>
          <w:rtl/>
        </w:rPr>
        <w:t>תרחיש הייחוס לצורך קביעת הנזק הפוטנציאלי הסביר יהיה התרחיש החמור</w:t>
      </w:r>
      <w:r w:rsidRPr="00A81964">
        <w:rPr>
          <w:rFonts w:ascii="David" w:eastAsia="Calibri" w:hAnsi="David" w:hint="cs"/>
          <w:rtl/>
        </w:rPr>
        <w:t>,</w:t>
      </w:r>
      <w:r w:rsidRPr="00A81964">
        <w:rPr>
          <w:rFonts w:ascii="David" w:eastAsia="Calibri" w:hAnsi="David"/>
          <w:rtl/>
        </w:rPr>
        <w:t xml:space="preserve"> </w:t>
      </w:r>
      <w:r w:rsidRPr="00A81964">
        <w:rPr>
          <w:rFonts w:ascii="David" w:eastAsia="Calibri" w:hAnsi="David" w:hint="cs"/>
          <w:rtl/>
        </w:rPr>
        <w:t xml:space="preserve">וזאת </w:t>
      </w:r>
      <w:r w:rsidRPr="00A81964">
        <w:rPr>
          <w:rFonts w:ascii="David" w:eastAsia="Calibri" w:hAnsi="David"/>
          <w:rtl/>
        </w:rPr>
        <w:t xml:space="preserve">מפני שזהו התרחיש </w:t>
      </w:r>
      <w:r w:rsidRPr="00A81964">
        <w:rPr>
          <w:rFonts w:ascii="David" w:eastAsia="Calibri" w:hAnsi="David" w:hint="cs"/>
          <w:rtl/>
        </w:rPr>
        <w:t>שהגדירה רשות החירום הלאומית</w:t>
      </w:r>
      <w:r w:rsidRPr="00A81964">
        <w:rPr>
          <w:rFonts w:ascii="David" w:eastAsia="Calibri" w:hAnsi="David"/>
          <w:rtl/>
        </w:rPr>
        <w:t xml:space="preserve"> </w:t>
      </w:r>
      <w:r w:rsidRPr="00A81964">
        <w:rPr>
          <w:rFonts w:ascii="David" w:eastAsia="Calibri" w:hAnsi="David" w:hint="cs"/>
          <w:rtl/>
        </w:rPr>
        <w:t>(</w:t>
      </w:r>
      <w:r w:rsidRPr="00A81964">
        <w:rPr>
          <w:rFonts w:ascii="David" w:eastAsia="Calibri" w:hAnsi="David"/>
          <w:rtl/>
        </w:rPr>
        <w:t>רח"ל</w:t>
      </w:r>
      <w:r w:rsidRPr="00A81964">
        <w:rPr>
          <w:rFonts w:ascii="David" w:eastAsia="Calibri" w:hAnsi="David" w:hint="cs"/>
          <w:rtl/>
        </w:rPr>
        <w:t>)</w:t>
      </w:r>
      <w:r w:rsidRPr="00A81964">
        <w:rPr>
          <w:rFonts w:ascii="David" w:eastAsia="Calibri" w:hAnsi="David"/>
          <w:vertAlign w:val="superscript"/>
          <w:rtl/>
        </w:rPr>
        <w:footnoteReference w:id="166"/>
      </w:r>
      <w:r w:rsidRPr="00A81964">
        <w:rPr>
          <w:rFonts w:ascii="David" w:eastAsia="Calibri" w:hAnsi="David"/>
          <w:rtl/>
        </w:rPr>
        <w:t xml:space="preserve">. סיבה נוספת לבחירה זו היא </w:t>
      </w:r>
      <w:r w:rsidRPr="00A81964">
        <w:rPr>
          <w:rFonts w:ascii="David" w:eastAsia="Calibri" w:hAnsi="David" w:hint="cs"/>
          <w:rtl/>
        </w:rPr>
        <w:t>ש</w:t>
      </w:r>
      <w:r w:rsidRPr="00A81964">
        <w:rPr>
          <w:rFonts w:ascii="David" w:eastAsia="Calibri" w:hAnsi="David"/>
          <w:rtl/>
        </w:rPr>
        <w:t xml:space="preserve">מלחמת לבנון השנייה </w:t>
      </w:r>
      <w:r w:rsidRPr="00A81964">
        <w:rPr>
          <w:rFonts w:ascii="David" w:eastAsia="Calibri" w:hAnsi="David" w:hint="cs"/>
          <w:rtl/>
        </w:rPr>
        <w:t>משמשת</w:t>
      </w:r>
      <w:r w:rsidRPr="00A81964">
        <w:rPr>
          <w:rFonts w:ascii="David" w:eastAsia="Calibri" w:hAnsi="David"/>
          <w:rtl/>
        </w:rPr>
        <w:t xml:space="preserve"> דוגמה לתרחיש בינוני, ובה הפיצויים ששולמו מהקרן היו בסך 3.5 מיליארד ש"ח. בהתאם לתרחיש </w:t>
      </w:r>
      <w:r w:rsidRPr="00A81964">
        <w:rPr>
          <w:rFonts w:ascii="David" w:eastAsia="Calibri" w:hAnsi="David" w:hint="cs"/>
          <w:rtl/>
        </w:rPr>
        <w:t>החמור,</w:t>
      </w:r>
      <w:r w:rsidRPr="00A81964">
        <w:rPr>
          <w:rFonts w:ascii="David" w:eastAsia="Calibri" w:hAnsi="David"/>
          <w:rtl/>
        </w:rPr>
        <w:t xml:space="preserve"> היקף הנזק שהוערך היה 36.2 מיליארד</w:t>
      </w:r>
      <w:r w:rsidRPr="00A81964">
        <w:rPr>
          <w:rFonts w:ascii="David" w:eastAsia="Calibri" w:hAnsi="David" w:hint="cs"/>
          <w:rtl/>
        </w:rPr>
        <w:t xml:space="preserve"> ש"ח</w:t>
      </w:r>
      <w:r w:rsidRPr="00A81964">
        <w:rPr>
          <w:rFonts w:ascii="David" w:eastAsia="Calibri" w:hAnsi="David"/>
          <w:rtl/>
        </w:rPr>
        <w:t xml:space="preserve">. הערכה זו </w:t>
      </w:r>
      <w:r w:rsidRPr="00A81964">
        <w:rPr>
          <w:rFonts w:ascii="David" w:eastAsia="Calibri" w:hAnsi="David" w:hint="cs"/>
          <w:rtl/>
        </w:rPr>
        <w:t>חלה על</w:t>
      </w:r>
      <w:r w:rsidRPr="00A81964">
        <w:rPr>
          <w:rFonts w:ascii="David" w:eastAsia="Calibri" w:hAnsi="David"/>
          <w:rtl/>
        </w:rPr>
        <w:t xml:space="preserve"> נזק ישיר</w:t>
      </w:r>
      <w:r w:rsidRPr="00A81964">
        <w:rPr>
          <w:rFonts w:ascii="David" w:eastAsia="Calibri" w:hAnsi="David" w:hint="cs"/>
          <w:rtl/>
        </w:rPr>
        <w:t>,</w:t>
      </w:r>
      <w:r w:rsidRPr="00A81964">
        <w:rPr>
          <w:rFonts w:ascii="David" w:eastAsia="Calibri" w:hAnsi="David"/>
          <w:rtl/>
        </w:rPr>
        <w:t xml:space="preserve"> הכולל פיצוי </w:t>
      </w:r>
      <w:r w:rsidRPr="00A81964">
        <w:rPr>
          <w:rFonts w:ascii="David" w:eastAsia="Calibri" w:hAnsi="David" w:hint="cs"/>
          <w:rtl/>
        </w:rPr>
        <w:t xml:space="preserve">על </w:t>
      </w:r>
      <w:r w:rsidRPr="00A81964">
        <w:rPr>
          <w:rFonts w:ascii="David" w:eastAsia="Calibri" w:hAnsi="David"/>
          <w:rtl/>
        </w:rPr>
        <w:t xml:space="preserve">עלויות בנייה </w:t>
      </w:r>
      <w:r w:rsidRPr="00A81964">
        <w:rPr>
          <w:rFonts w:ascii="David" w:eastAsia="Calibri" w:hAnsi="David" w:hint="cs"/>
          <w:rtl/>
        </w:rPr>
        <w:t xml:space="preserve">של </w:t>
      </w:r>
      <w:r w:rsidRPr="00A81964">
        <w:rPr>
          <w:rFonts w:ascii="David" w:eastAsia="Calibri" w:hAnsi="David"/>
          <w:rtl/>
        </w:rPr>
        <w:t>מגורים, משרדים</w:t>
      </w:r>
      <w:r w:rsidRPr="00A81964">
        <w:rPr>
          <w:rFonts w:ascii="David" w:eastAsia="Calibri" w:hAnsi="David" w:hint="cs"/>
          <w:rtl/>
        </w:rPr>
        <w:t>, מבני</w:t>
      </w:r>
      <w:r w:rsidRPr="00A81964">
        <w:rPr>
          <w:rFonts w:ascii="David" w:eastAsia="Calibri" w:hAnsi="David"/>
          <w:rtl/>
        </w:rPr>
        <w:t xml:space="preserve"> מסחר ומבני ציבור, אומדן להתייקרות גורמי ייצור, חפצים ביתיים, רכבים, מלאי, תשלום שכירות ושכר טרחה.</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rtl/>
        </w:rPr>
      </w:pPr>
      <w:r w:rsidRPr="00A81964">
        <w:rPr>
          <w:rFonts w:ascii="David" w:eastAsia="Calibri" w:hAnsi="David"/>
          <w:b/>
          <w:bCs/>
          <w:rtl/>
        </w:rPr>
        <w:t>על אף האמור בכתב המינוי של הוועדה</w:t>
      </w:r>
      <w:r w:rsidRPr="00A81964">
        <w:rPr>
          <w:rFonts w:ascii="David" w:eastAsia="Calibri" w:hAnsi="David" w:hint="cs"/>
          <w:b/>
          <w:bCs/>
          <w:rtl/>
        </w:rPr>
        <w:t xml:space="preserve"> לבחינת משמעויות יישום חוק מס רכוש</w:t>
      </w:r>
      <w:r>
        <w:rPr>
          <w:rFonts w:ascii="David" w:eastAsia="Calibri" w:hAnsi="David"/>
          <w:b/>
          <w:bCs/>
          <w:rtl/>
        </w:rPr>
        <w:t xml:space="preserve"> </w:t>
      </w:r>
      <w:r w:rsidRPr="00A81964">
        <w:rPr>
          <w:rFonts w:ascii="David" w:eastAsia="Calibri" w:hAnsi="David" w:hint="cs"/>
          <w:b/>
          <w:bCs/>
          <w:rtl/>
        </w:rPr>
        <w:t xml:space="preserve">משנת 2015 </w:t>
      </w:r>
      <w:r w:rsidRPr="00A81964">
        <w:rPr>
          <w:rFonts w:ascii="David" w:eastAsia="Calibri" w:hAnsi="David"/>
          <w:b/>
          <w:bCs/>
          <w:rtl/>
        </w:rPr>
        <w:t xml:space="preserve">בדבר ההיתכנות לגובה פיצויים גבוה יותר בשל תשלום פיצויים בגין נזק עקיף, </w:t>
      </w:r>
      <w:r w:rsidRPr="00A81964">
        <w:rPr>
          <w:rFonts w:ascii="David" w:eastAsia="Calibri" w:hAnsi="David" w:hint="cs"/>
          <w:b/>
          <w:bCs/>
          <w:rtl/>
        </w:rPr>
        <w:t xml:space="preserve">משרד האוצר לא ביצע </w:t>
      </w:r>
      <w:r w:rsidRPr="00A81964">
        <w:rPr>
          <w:rFonts w:ascii="David" w:eastAsia="Calibri" w:hAnsi="David"/>
          <w:b/>
          <w:bCs/>
          <w:rtl/>
        </w:rPr>
        <w:t>הערכ</w:t>
      </w:r>
      <w:r w:rsidRPr="00A81964">
        <w:rPr>
          <w:rFonts w:ascii="David" w:eastAsia="Calibri" w:hAnsi="David" w:hint="cs"/>
          <w:b/>
          <w:bCs/>
          <w:rtl/>
        </w:rPr>
        <w:t>ה בנוגע</w:t>
      </w:r>
      <w:r w:rsidRPr="00A81964">
        <w:rPr>
          <w:rFonts w:ascii="David" w:eastAsia="Calibri" w:hAnsi="David"/>
          <w:b/>
          <w:bCs/>
          <w:rtl/>
        </w:rPr>
        <w:t xml:space="preserve"> </w:t>
      </w:r>
      <w:r w:rsidRPr="00A81964">
        <w:rPr>
          <w:rFonts w:ascii="David" w:eastAsia="Calibri" w:hAnsi="David" w:hint="cs"/>
          <w:b/>
          <w:bCs/>
          <w:rtl/>
        </w:rPr>
        <w:t>ל</w:t>
      </w:r>
      <w:r w:rsidRPr="00A81964">
        <w:rPr>
          <w:rFonts w:ascii="David" w:eastAsia="Calibri" w:hAnsi="David"/>
          <w:b/>
          <w:bCs/>
          <w:rtl/>
        </w:rPr>
        <w:t>חשיפ</w:t>
      </w:r>
      <w:r w:rsidRPr="00A81964">
        <w:rPr>
          <w:rFonts w:ascii="David" w:eastAsia="Calibri" w:hAnsi="David" w:hint="cs"/>
          <w:b/>
          <w:bCs/>
          <w:rtl/>
        </w:rPr>
        <w:t>ת</w:t>
      </w:r>
      <w:r w:rsidRPr="00A81964">
        <w:rPr>
          <w:rFonts w:ascii="David" w:eastAsia="Calibri" w:hAnsi="David"/>
          <w:b/>
          <w:bCs/>
          <w:rtl/>
        </w:rPr>
        <w:t xml:space="preserve"> הקרן לתשלום פיצוי בשל נזק מסוג זה.</w:t>
      </w:r>
      <w:r w:rsidRPr="00A81964">
        <w:rPr>
          <w:rtl/>
        </w:rPr>
        <w:t xml:space="preserve"> </w:t>
      </w:r>
      <w:r w:rsidRPr="00A81964">
        <w:rPr>
          <w:rFonts w:ascii="David" w:eastAsia="Calibri" w:hAnsi="David"/>
          <w:b/>
          <w:bCs/>
          <w:rtl/>
        </w:rPr>
        <w:t>עולה ספק אם</w:t>
      </w:r>
      <w:r w:rsidRPr="00A81964">
        <w:rPr>
          <w:rFonts w:ascii="David" w:eastAsia="Calibri" w:hAnsi="David" w:hint="cs"/>
          <w:b/>
          <w:bCs/>
          <w:rtl/>
        </w:rPr>
        <w:t xml:space="preserve"> הכספים שייצברו בקרן הפיצויים יספיקו לתשלום בתרחישים עתידיים חמורים,</w:t>
      </w:r>
      <w:r w:rsidRPr="00A81964">
        <w:rPr>
          <w:rFonts w:ascii="David" w:eastAsia="Calibri" w:hAnsi="David"/>
          <w:b/>
          <w:bCs/>
          <w:rtl/>
        </w:rPr>
        <w:t xml:space="preserve"> </w:t>
      </w:r>
      <w:r w:rsidRPr="00A81964">
        <w:rPr>
          <w:rFonts w:ascii="David" w:eastAsia="Calibri" w:hAnsi="David" w:hint="cs"/>
          <w:b/>
          <w:bCs/>
          <w:rtl/>
        </w:rPr>
        <w:t>בהם</w:t>
      </w:r>
      <w:r w:rsidRPr="00A81964">
        <w:rPr>
          <w:rFonts w:ascii="David" w:eastAsia="Calibri" w:hAnsi="David"/>
          <w:b/>
          <w:bCs/>
          <w:rtl/>
        </w:rPr>
        <w:t xml:space="preserve"> המדינה תחליט לשלם מכספי הקרן גם </w:t>
      </w:r>
      <w:r w:rsidRPr="00A81964">
        <w:rPr>
          <w:rFonts w:ascii="David" w:eastAsia="Calibri" w:hAnsi="David" w:hint="cs"/>
          <w:b/>
          <w:bCs/>
          <w:rtl/>
        </w:rPr>
        <w:t xml:space="preserve">פיצויים </w:t>
      </w:r>
      <w:r w:rsidRPr="00A81964">
        <w:rPr>
          <w:rFonts w:ascii="David" w:eastAsia="Calibri" w:hAnsi="David"/>
          <w:b/>
          <w:bCs/>
          <w:rtl/>
        </w:rPr>
        <w:t>בגין נזק עקיף</w:t>
      </w:r>
      <w:r w:rsidRPr="00A81964">
        <w:rPr>
          <w:rFonts w:ascii="David" w:eastAsia="Calibri" w:hAnsi="David" w:hint="cs"/>
          <w:b/>
          <w:bCs/>
          <w:rtl/>
        </w:rPr>
        <w:t>.</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rtl/>
        </w:rPr>
      </w:pPr>
      <w:r w:rsidRPr="00A81964">
        <w:rPr>
          <w:rFonts w:ascii="David" w:eastAsia="Calibri" w:hAnsi="David"/>
          <w:rtl/>
        </w:rPr>
        <w:t xml:space="preserve">צוות </w:t>
      </w:r>
      <w:r w:rsidRPr="00A81964">
        <w:rPr>
          <w:rFonts w:ascii="David" w:eastAsia="Calibri" w:hAnsi="David" w:hint="cs"/>
          <w:rtl/>
        </w:rPr>
        <w:t xml:space="preserve">"הערכת עלויות ומימון" </w:t>
      </w:r>
      <w:r w:rsidRPr="00A81964">
        <w:rPr>
          <w:rFonts w:ascii="David" w:eastAsia="Calibri" w:hAnsi="David"/>
          <w:rtl/>
        </w:rPr>
        <w:t xml:space="preserve">בחן את מבנה ההון האופטימלי למימון עלויות אלו </w:t>
      </w:r>
      <w:r w:rsidRPr="00A81964">
        <w:rPr>
          <w:rFonts w:ascii="David" w:eastAsia="Calibri" w:hAnsi="David" w:hint="cs"/>
          <w:rtl/>
        </w:rPr>
        <w:t>ו</w:t>
      </w:r>
      <w:r w:rsidRPr="00A81964">
        <w:rPr>
          <w:rFonts w:ascii="David" w:eastAsia="Calibri" w:hAnsi="David"/>
          <w:rtl/>
        </w:rPr>
        <w:t>את היתרונות והחסרונות של אפשרויות המימון הבאות: מימון באמצעות קרן הפיצויים, רכישת ביטוחי משנה</w:t>
      </w:r>
      <w:r w:rsidRPr="00A81964">
        <w:rPr>
          <w:rFonts w:ascii="David" w:eastAsia="Calibri" w:hAnsi="David"/>
          <w:vertAlign w:val="superscript"/>
          <w:rtl/>
        </w:rPr>
        <w:footnoteReference w:id="167"/>
      </w:r>
      <w:r w:rsidRPr="00A81964">
        <w:rPr>
          <w:rFonts w:ascii="David" w:eastAsia="Calibri" w:hAnsi="David"/>
          <w:rtl/>
        </w:rPr>
        <w:t xml:space="preserve"> והנפקת אג"ח קטסטרופה</w:t>
      </w:r>
      <w:r w:rsidRPr="00A81964">
        <w:rPr>
          <w:rFonts w:ascii="David" w:eastAsia="Calibri" w:hAnsi="David"/>
          <w:vertAlign w:val="superscript"/>
          <w:rtl/>
        </w:rPr>
        <w:footnoteReference w:id="168"/>
      </w:r>
      <w:r w:rsidRPr="00A81964">
        <w:rPr>
          <w:rFonts w:ascii="David" w:eastAsia="Calibri" w:hAnsi="David"/>
          <w:rtl/>
        </w:rPr>
        <w:t xml:space="preserve">. הצוות המליץ כי קרן הפיצויים תהווה </w:t>
      </w:r>
      <w:r>
        <w:rPr>
          <w:rFonts w:ascii="David" w:eastAsia="Calibri" w:hAnsi="David" w:hint="cs"/>
          <w:rtl/>
        </w:rPr>
        <w:t>"</w:t>
      </w:r>
      <w:r w:rsidRPr="00A81964">
        <w:rPr>
          <w:rFonts w:ascii="David" w:eastAsia="Calibri" w:hAnsi="David"/>
          <w:rtl/>
        </w:rPr>
        <w:t>כרית הון</w:t>
      </w:r>
      <w:r>
        <w:rPr>
          <w:rFonts w:ascii="David" w:eastAsia="Calibri" w:hAnsi="David" w:hint="cs"/>
          <w:rtl/>
        </w:rPr>
        <w:t>"</w:t>
      </w:r>
      <w:r w:rsidRPr="00A81964">
        <w:rPr>
          <w:rFonts w:ascii="David" w:eastAsia="Calibri" w:hAnsi="David"/>
          <w:rtl/>
        </w:rPr>
        <w:t xml:space="preserve"> ראשונית לאירוע מלחמה, וכי יש לבחון </w:t>
      </w:r>
      <w:r w:rsidRPr="00A81964">
        <w:rPr>
          <w:rFonts w:ascii="David" w:eastAsia="Calibri" w:hAnsi="David" w:hint="cs"/>
          <w:rtl/>
        </w:rPr>
        <w:t>את ה</w:t>
      </w:r>
      <w:r w:rsidRPr="00A81964">
        <w:rPr>
          <w:rFonts w:ascii="David" w:eastAsia="Calibri" w:hAnsi="David"/>
          <w:rtl/>
        </w:rPr>
        <w:t>אפשרות של רכישת ביטוחי משנה, תוך התחשבות במחיר הביטוח</w:t>
      </w:r>
      <w:r w:rsidRPr="00A81964">
        <w:rPr>
          <w:rFonts w:ascii="David" w:eastAsia="Calibri" w:hAnsi="David" w:hint="cs"/>
          <w:rtl/>
        </w:rPr>
        <w:t>,</w:t>
      </w:r>
      <w:r w:rsidRPr="00A81964">
        <w:rPr>
          <w:rFonts w:ascii="David" w:eastAsia="Calibri" w:hAnsi="David"/>
          <w:rtl/>
        </w:rPr>
        <w:t xml:space="preserve"> וכי נדרש לקבוע תקרות לפיצוי, </w:t>
      </w:r>
      <w:r w:rsidRPr="00A81964">
        <w:rPr>
          <w:rFonts w:ascii="David" w:eastAsia="Calibri" w:hAnsi="David" w:hint="cs"/>
          <w:rtl/>
        </w:rPr>
        <w:t>באופן שהן</w:t>
      </w:r>
      <w:r w:rsidRPr="00A81964">
        <w:rPr>
          <w:rFonts w:ascii="David" w:eastAsia="Calibri" w:hAnsi="David"/>
          <w:rtl/>
        </w:rPr>
        <w:t xml:space="preserve"> ישקפו פיצוי למשק בית סביר, ובכך להקטין את החשיפה של הקרן לעלויות גבוהות. עוד המליץ הצוות לבחון מבנה הון כדלקמן:</w:t>
      </w:r>
      <w:r w:rsidRPr="00A81964">
        <w:rPr>
          <w:rFonts w:ascii="David" w:eastAsia="Calibri" w:hAnsi="David" w:hint="cs"/>
          <w:rtl/>
        </w:rPr>
        <w:t xml:space="preserve"> 16 מיליארד ש"ח קרן מס רכוש, 8 מיליארד ש"ח ביטוחי משנה, 12 מיליארד ש"ח מתקציב המדינה.</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b/>
          <w:bCs/>
          <w:rtl/>
        </w:rPr>
      </w:pPr>
      <w:bookmarkStart w:id="40" w:name="_Hlk191809774"/>
      <w:r w:rsidRPr="00A81964">
        <w:rPr>
          <w:rFonts w:ascii="David" w:eastAsia="Calibri" w:hAnsi="David"/>
          <w:b/>
          <w:bCs/>
          <w:rtl/>
        </w:rPr>
        <w:t xml:space="preserve">הביקורת </w:t>
      </w:r>
      <w:r w:rsidRPr="00A81964">
        <w:rPr>
          <w:rFonts w:ascii="David" w:eastAsia="Calibri" w:hAnsi="David" w:hint="eastAsia"/>
          <w:b/>
          <w:bCs/>
          <w:rtl/>
        </w:rPr>
        <w:t>ה</w:t>
      </w:r>
      <w:r w:rsidRPr="00A81964">
        <w:rPr>
          <w:rFonts w:ascii="David" w:eastAsia="Calibri" w:hAnsi="David"/>
          <w:b/>
          <w:bCs/>
          <w:rtl/>
        </w:rPr>
        <w:t>על</w:t>
      </w:r>
      <w:r w:rsidRPr="00A81964">
        <w:rPr>
          <w:rFonts w:ascii="David" w:eastAsia="Calibri" w:hAnsi="David" w:hint="eastAsia"/>
          <w:b/>
          <w:bCs/>
          <w:rtl/>
        </w:rPr>
        <w:t>ת</w:t>
      </w:r>
      <w:r w:rsidRPr="00A81964">
        <w:rPr>
          <w:rFonts w:ascii="David" w:eastAsia="Calibri" w:hAnsi="David"/>
          <w:b/>
          <w:bCs/>
          <w:rtl/>
        </w:rPr>
        <w:t xml:space="preserve">ה כי המלצות </w:t>
      </w:r>
      <w:r w:rsidRPr="00A81964">
        <w:rPr>
          <w:rFonts w:ascii="David" w:eastAsia="Calibri" w:hAnsi="David" w:hint="cs"/>
          <w:b/>
          <w:bCs/>
          <w:rtl/>
        </w:rPr>
        <w:t xml:space="preserve">צוות "הערכת עלויות ומימון" משנת 2018 בדבר, מבנה ההון האופטימלי למימון עלויות פיצוי לפי חוק מס רכוש של נזקי מלחמה, אשר קבעו בין היתר, כי יש לבחון את גובה הקרן הרצויה וכי יש לבחון הוצאת הסיכון מידי הממשלה על ידי שימוש ברכישת ביטוח משנה </w:t>
      </w:r>
      <w:r w:rsidRPr="00A81964">
        <w:rPr>
          <w:rFonts w:ascii="David" w:eastAsia="Calibri" w:hAnsi="David"/>
          <w:b/>
          <w:bCs/>
          <w:rtl/>
        </w:rPr>
        <w:t>לא קודמו ולא אושרו</w:t>
      </w:r>
      <w:r w:rsidRPr="00A81964">
        <w:rPr>
          <w:rFonts w:ascii="David" w:eastAsia="Calibri" w:hAnsi="David" w:hint="cs"/>
          <w:b/>
          <w:bCs/>
          <w:rtl/>
        </w:rPr>
        <w:t xml:space="preserve"> על ידי משרד האוצר</w:t>
      </w:r>
      <w:r w:rsidRPr="00A81964">
        <w:rPr>
          <w:rFonts w:ascii="David" w:eastAsia="Calibri" w:hAnsi="David"/>
          <w:b/>
          <w:bCs/>
          <w:rtl/>
        </w:rPr>
        <w:t>.</w:t>
      </w:r>
      <w:r w:rsidRPr="00A81964">
        <w:rPr>
          <w:rFonts w:ascii="David" w:eastAsia="Calibri" w:hAnsi="David" w:hint="cs"/>
          <w:b/>
          <w:bCs/>
          <w:rtl/>
        </w:rPr>
        <w:t xml:space="preserve"> </w:t>
      </w:r>
    </w:p>
    <w:p w:rsidR="006252C4" w:rsidRDefault="006252C4" w:rsidP="006252C4">
      <w:pPr>
        <w:pStyle w:val="a8"/>
        <w:spacing w:line="269" w:lineRule="auto"/>
        <w:rPr>
          <w:rtl/>
        </w:rPr>
      </w:pPr>
    </w:p>
    <w:p w:rsidR="006252C4" w:rsidRDefault="006252C4" w:rsidP="006252C4">
      <w:pPr>
        <w:spacing w:line="269" w:lineRule="auto"/>
        <w:rPr>
          <w:rFonts w:ascii="David" w:eastAsia="Calibri" w:hAnsi="David"/>
          <w:rtl/>
        </w:rPr>
      </w:pPr>
      <w:r w:rsidRPr="00A81964">
        <w:rPr>
          <w:rFonts w:ascii="David" w:eastAsia="Calibri" w:hAnsi="David"/>
          <w:rtl/>
        </w:rPr>
        <w:t xml:space="preserve">בפגישות עם נציגי </w:t>
      </w:r>
      <w:r w:rsidRPr="00A81964">
        <w:rPr>
          <w:rFonts w:ascii="David" w:eastAsia="Calibri" w:hAnsi="David" w:hint="cs"/>
          <w:rtl/>
        </w:rPr>
        <w:t>ה</w:t>
      </w:r>
      <w:r w:rsidRPr="00A81964">
        <w:rPr>
          <w:rFonts w:ascii="David" w:eastAsia="Calibri" w:hAnsi="David" w:hint="eastAsia"/>
          <w:rtl/>
        </w:rPr>
        <w:t>חשכ</w:t>
      </w:r>
      <w:r w:rsidRPr="00A81964">
        <w:rPr>
          <w:rFonts w:ascii="David" w:eastAsia="Calibri" w:hAnsi="David"/>
          <w:rtl/>
        </w:rPr>
        <w:t xml:space="preserve">"ל נמסר לצוות הביקורת כי נערכה </w:t>
      </w:r>
      <w:r w:rsidRPr="00A81964">
        <w:rPr>
          <w:rFonts w:ascii="David" w:eastAsia="Calibri" w:hAnsi="David" w:hint="eastAsia"/>
          <w:rtl/>
        </w:rPr>
        <w:t>בחינה</w:t>
      </w:r>
      <w:r w:rsidRPr="00A81964">
        <w:rPr>
          <w:rFonts w:ascii="David" w:eastAsia="Calibri" w:hAnsi="David"/>
          <w:rtl/>
        </w:rPr>
        <w:t xml:space="preserve"> של היתכנות רכישת ביטוחי משנה</w:t>
      </w:r>
      <w:r w:rsidRPr="00A81964">
        <w:rPr>
          <w:rFonts w:ascii="David" w:eastAsia="Calibri" w:hAnsi="David" w:hint="cs"/>
          <w:rtl/>
        </w:rPr>
        <w:t>,</w:t>
      </w:r>
      <w:r w:rsidRPr="00A81964">
        <w:rPr>
          <w:rFonts w:ascii="David" w:eastAsia="Calibri" w:hAnsi="David"/>
          <w:rtl/>
        </w:rPr>
        <w:t xml:space="preserve"> אך </w:t>
      </w:r>
      <w:r w:rsidRPr="00A81964">
        <w:rPr>
          <w:rFonts w:ascii="David" w:eastAsia="Calibri" w:hAnsi="David" w:hint="eastAsia"/>
          <w:rtl/>
        </w:rPr>
        <w:t>נמצא</w:t>
      </w:r>
      <w:r w:rsidRPr="00A81964">
        <w:rPr>
          <w:rFonts w:ascii="David" w:eastAsia="Calibri" w:hAnsi="David"/>
          <w:rtl/>
        </w:rPr>
        <w:t xml:space="preserve"> כי אין כדאיות כלכלית</w:t>
      </w:r>
      <w:r w:rsidRPr="00A81964">
        <w:rPr>
          <w:rFonts w:ascii="David" w:eastAsia="Calibri" w:hAnsi="David" w:hint="cs"/>
          <w:rtl/>
        </w:rPr>
        <w:t xml:space="preserve"> לכך,</w:t>
      </w:r>
      <w:r w:rsidRPr="00A81964">
        <w:rPr>
          <w:rFonts w:ascii="David" w:eastAsia="Calibri" w:hAnsi="David"/>
          <w:rtl/>
        </w:rPr>
        <w:t xml:space="preserve"> כיוון שעלות הכיסוי </w:t>
      </w:r>
      <w:r w:rsidRPr="00A81964">
        <w:rPr>
          <w:rFonts w:ascii="David" w:eastAsia="Calibri" w:hAnsi="David" w:hint="eastAsia"/>
          <w:rtl/>
        </w:rPr>
        <w:t>הביטוחי</w:t>
      </w:r>
      <w:r w:rsidRPr="00A81964">
        <w:rPr>
          <w:rFonts w:ascii="David" w:eastAsia="Calibri" w:hAnsi="David"/>
          <w:rtl/>
        </w:rPr>
        <w:t xml:space="preserve"> </w:t>
      </w:r>
      <w:r w:rsidRPr="00A81964">
        <w:rPr>
          <w:rFonts w:ascii="David" w:eastAsia="Calibri" w:hAnsi="David" w:hint="cs"/>
          <w:rtl/>
        </w:rPr>
        <w:t xml:space="preserve">לנזקי מלחמה </w:t>
      </w:r>
      <w:r w:rsidRPr="00A81964">
        <w:rPr>
          <w:rFonts w:ascii="David" w:eastAsia="Calibri" w:hAnsi="David"/>
          <w:rtl/>
        </w:rPr>
        <w:t xml:space="preserve">יקרה מאוד. </w:t>
      </w:r>
      <w:r w:rsidRPr="00A81964">
        <w:rPr>
          <w:rFonts w:ascii="David" w:eastAsia="Calibri" w:hAnsi="David" w:hint="cs"/>
          <w:rtl/>
        </w:rPr>
        <w:t>עבודה כאמור לא נמסרה לצוות הביקורת.</w:t>
      </w:r>
      <w:bookmarkEnd w:id="40"/>
    </w:p>
    <w:p w:rsidR="006252C4" w:rsidRDefault="006252C4" w:rsidP="006252C4">
      <w:pPr>
        <w:pStyle w:val="a8"/>
        <w:spacing w:line="269" w:lineRule="auto"/>
        <w:rPr>
          <w:rtl/>
        </w:rPr>
      </w:pPr>
    </w:p>
    <w:p w:rsidR="006252C4" w:rsidRDefault="006252C4" w:rsidP="006252C4">
      <w:pPr>
        <w:spacing w:line="269" w:lineRule="auto"/>
        <w:rPr>
          <w:rFonts w:ascii="David" w:eastAsia="Calibri" w:hAnsi="David"/>
          <w:rtl/>
        </w:rPr>
      </w:pPr>
      <w:bookmarkStart w:id="41" w:name="_Hlk207702637"/>
      <w:r>
        <w:rPr>
          <w:rFonts w:ascii="David" w:eastAsia="Calibri" w:hAnsi="David" w:hint="cs"/>
          <w:rtl/>
        </w:rPr>
        <w:t>החשכ"ל</w:t>
      </w:r>
      <w:r w:rsidRPr="00183C23">
        <w:rPr>
          <w:rFonts w:ascii="David" w:eastAsia="Calibri" w:hAnsi="David"/>
          <w:rtl/>
        </w:rPr>
        <w:t xml:space="preserve"> ציין בתשובתו</w:t>
      </w:r>
      <w:r>
        <w:rPr>
          <w:rFonts w:ascii="David" w:eastAsia="Calibri" w:hAnsi="David" w:hint="cs"/>
        </w:rPr>
        <w:t xml:space="preserve"> </w:t>
      </w:r>
      <w:r>
        <w:rPr>
          <w:rFonts w:ascii="David" w:eastAsia="Calibri" w:hAnsi="David" w:hint="cs"/>
          <w:rtl/>
        </w:rPr>
        <w:t>כי</w:t>
      </w:r>
      <w:r>
        <w:rPr>
          <w:rFonts w:ascii="David" w:eastAsia="Calibri" w:hAnsi="David" w:hint="cs"/>
        </w:rPr>
        <w:t xml:space="preserve"> </w:t>
      </w:r>
      <w:r>
        <w:rPr>
          <w:rFonts w:ascii="David" w:eastAsia="Calibri" w:hAnsi="David" w:hint="cs"/>
          <w:rtl/>
        </w:rPr>
        <w:t>הוא</w:t>
      </w:r>
      <w:r w:rsidRPr="00183C23">
        <w:rPr>
          <w:rFonts w:ascii="David" w:eastAsia="Calibri" w:hAnsi="David"/>
          <w:rtl/>
        </w:rPr>
        <w:t xml:space="preserve"> נערך למימון פעילות המלחמה בשגרה ובחירום</w:t>
      </w:r>
      <w:r>
        <w:rPr>
          <w:rFonts w:ascii="David" w:eastAsia="Calibri" w:hAnsi="David"/>
          <w:rtl/>
        </w:rPr>
        <w:t>,</w:t>
      </w:r>
      <w:r>
        <w:rPr>
          <w:rFonts w:ascii="David" w:eastAsia="Calibri" w:hAnsi="David" w:hint="cs"/>
          <w:rtl/>
        </w:rPr>
        <w:t xml:space="preserve"> בין היתר גם למימון הוצאות בגין פיצויים. כמו כן, הוא מסר כי לגישתו</w:t>
      </w:r>
      <w:r w:rsidRPr="00183C23">
        <w:rPr>
          <w:rFonts w:ascii="David" w:eastAsia="Calibri" w:hAnsi="David"/>
          <w:rtl/>
        </w:rPr>
        <w:t xml:space="preserve"> אין הגיון כלכלי בהחזקת הכספים בהתאם </w:t>
      </w:r>
      <w:r>
        <w:rPr>
          <w:rFonts w:ascii="David" w:eastAsia="Calibri" w:hAnsi="David" w:hint="cs"/>
          <w:rtl/>
        </w:rPr>
        <w:t>להתממשות ודאית של</w:t>
      </w:r>
      <w:r>
        <w:rPr>
          <w:rFonts w:ascii="David" w:eastAsia="Calibri" w:hAnsi="David" w:hint="cs"/>
        </w:rPr>
        <w:t xml:space="preserve"> </w:t>
      </w:r>
      <w:r w:rsidRPr="00183C23">
        <w:rPr>
          <w:rFonts w:ascii="David" w:eastAsia="Calibri" w:hAnsi="David"/>
          <w:rtl/>
        </w:rPr>
        <w:t xml:space="preserve">תרחיש ההוצאה שכן מבחינה </w:t>
      </w:r>
      <w:proofErr w:type="spellStart"/>
      <w:r w:rsidRPr="00183C23">
        <w:rPr>
          <w:rFonts w:ascii="David" w:eastAsia="Calibri" w:hAnsi="David"/>
          <w:rtl/>
        </w:rPr>
        <w:t>מימונית</w:t>
      </w:r>
      <w:proofErr w:type="spellEnd"/>
      <w:r w:rsidRPr="00183C23">
        <w:rPr>
          <w:rFonts w:ascii="David" w:eastAsia="Calibri" w:hAnsi="David"/>
          <w:rtl/>
        </w:rPr>
        <w:t xml:space="preserve"> יש להתחשב בסבירות האירועים ובתזרים של הוצאת הכספים. </w:t>
      </w:r>
    </w:p>
    <w:bookmarkEnd w:id="41"/>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b/>
          <w:bCs/>
          <w:rtl/>
        </w:rPr>
      </w:pPr>
      <w:r w:rsidRPr="00A81964">
        <w:rPr>
          <w:rFonts w:ascii="David" w:eastAsia="Calibri" w:hAnsi="David"/>
          <w:b/>
          <w:bCs/>
          <w:rtl/>
        </w:rPr>
        <w:t xml:space="preserve">יוצא אפוא כי ערב מלחמת חרבות ברזל עמדה יתרת קרן הפיצויים על </w:t>
      </w:r>
      <w:r w:rsidRPr="00A81964">
        <w:rPr>
          <w:rFonts w:ascii="David" w:eastAsia="Calibri" w:hAnsi="David" w:hint="cs"/>
          <w:b/>
          <w:bCs/>
          <w:rtl/>
        </w:rPr>
        <w:t>17.7</w:t>
      </w:r>
      <w:r w:rsidRPr="00A81964">
        <w:rPr>
          <w:rFonts w:ascii="David" w:eastAsia="Calibri" w:hAnsi="David"/>
          <w:b/>
          <w:bCs/>
          <w:rtl/>
        </w:rPr>
        <w:t xml:space="preserve"> מיליארד ש"ח</w:t>
      </w:r>
      <w:r w:rsidRPr="00A81964">
        <w:rPr>
          <w:rFonts w:ascii="David" w:eastAsia="Calibri" w:hAnsi="David" w:hint="cs"/>
          <w:b/>
          <w:bCs/>
          <w:rtl/>
        </w:rPr>
        <w:t xml:space="preserve">. סך ההוצאות בתקופת מלחמת חרבות ברזל לפיצוי ישיר ועקיף, מאוקטובר 2023 ועד תום 2024, עמד על 18.8 מיליארד ש"ח. ולמול יתרות אלו, </w:t>
      </w:r>
      <w:r w:rsidRPr="00A81964">
        <w:rPr>
          <w:rFonts w:ascii="David" w:eastAsia="Calibri" w:hAnsi="David"/>
          <w:b/>
          <w:bCs/>
          <w:rtl/>
        </w:rPr>
        <w:t xml:space="preserve">הערכת הנזק הישיר בלבד, ללא נזק עקיף, </w:t>
      </w:r>
      <w:r w:rsidRPr="00A81964">
        <w:rPr>
          <w:rFonts w:ascii="David" w:eastAsia="Calibri" w:hAnsi="David" w:hint="cs"/>
          <w:b/>
          <w:bCs/>
          <w:rtl/>
        </w:rPr>
        <w:t>בהתאם לתרחיש החמור,</w:t>
      </w:r>
      <w:r w:rsidRPr="00A81964">
        <w:rPr>
          <w:rFonts w:ascii="David" w:eastAsia="Calibri" w:hAnsi="David"/>
          <w:b/>
          <w:bCs/>
          <w:rtl/>
        </w:rPr>
        <w:t xml:space="preserve"> עמדה בשנת 2018 על 36.2 מיליארד</w:t>
      </w:r>
      <w:r w:rsidRPr="00A81964">
        <w:rPr>
          <w:rFonts w:ascii="David" w:eastAsia="Calibri" w:hAnsi="David" w:hint="cs"/>
          <w:b/>
          <w:bCs/>
          <w:rtl/>
        </w:rPr>
        <w:t xml:space="preserve"> ש"ח</w:t>
      </w:r>
      <w:r w:rsidRPr="00A81964">
        <w:rPr>
          <w:rFonts w:ascii="David" w:eastAsia="Calibri" w:hAnsi="David"/>
          <w:b/>
          <w:bCs/>
          <w:rtl/>
        </w:rPr>
        <w:t xml:space="preserve">. </w:t>
      </w:r>
      <w:r w:rsidRPr="00A81964">
        <w:rPr>
          <w:rFonts w:ascii="David" w:eastAsia="Calibri" w:hAnsi="David" w:hint="cs"/>
          <w:b/>
          <w:bCs/>
          <w:rtl/>
        </w:rPr>
        <w:t xml:space="preserve">נמצא כי משרד האוצר לא קבע, </w:t>
      </w:r>
      <w:r w:rsidRPr="00A81964">
        <w:rPr>
          <w:rFonts w:ascii="David" w:eastAsia="Calibri" w:hAnsi="David" w:hint="eastAsia"/>
          <w:b/>
          <w:bCs/>
          <w:rtl/>
        </w:rPr>
        <w:t>במהלך</w:t>
      </w:r>
      <w:r w:rsidRPr="00A81964">
        <w:rPr>
          <w:rFonts w:ascii="David" w:eastAsia="Calibri" w:hAnsi="David"/>
          <w:b/>
          <w:bCs/>
          <w:rtl/>
        </w:rPr>
        <w:t xml:space="preserve"> </w:t>
      </w:r>
      <w:r w:rsidRPr="00A81964">
        <w:rPr>
          <w:rFonts w:ascii="David" w:eastAsia="Calibri" w:hAnsi="David" w:hint="eastAsia"/>
          <w:b/>
          <w:bCs/>
          <w:rtl/>
        </w:rPr>
        <w:t>השנים</w:t>
      </w:r>
      <w:r w:rsidRPr="00A81964">
        <w:rPr>
          <w:rFonts w:ascii="David" w:eastAsia="Calibri" w:hAnsi="David" w:hint="cs"/>
          <w:b/>
          <w:bCs/>
          <w:rtl/>
        </w:rPr>
        <w:t xml:space="preserve"> </w:t>
      </w:r>
      <w:r w:rsidRPr="00A81964">
        <w:rPr>
          <w:rFonts w:ascii="David" w:eastAsia="Calibri" w:hAnsi="David"/>
          <w:b/>
          <w:bCs/>
          <w:rtl/>
        </w:rPr>
        <w:t>לאיזה תרחיש הקרן נדרשת להיערך, מה</w:t>
      </w:r>
      <w:r w:rsidRPr="00A81964">
        <w:rPr>
          <w:rFonts w:ascii="David" w:eastAsia="Calibri" w:hAnsi="David" w:hint="cs"/>
          <w:b/>
          <w:bCs/>
          <w:rtl/>
        </w:rPr>
        <w:t>י</w:t>
      </w:r>
      <w:r w:rsidRPr="00A81964">
        <w:rPr>
          <w:rFonts w:ascii="David" w:eastAsia="Calibri" w:hAnsi="David"/>
          <w:b/>
          <w:bCs/>
          <w:rtl/>
        </w:rPr>
        <w:t xml:space="preserve"> היתרה הנדרשת בקרן </w:t>
      </w:r>
      <w:r w:rsidRPr="00A81964">
        <w:rPr>
          <w:rFonts w:ascii="David" w:eastAsia="Calibri" w:hAnsi="David" w:hint="cs"/>
          <w:b/>
          <w:bCs/>
          <w:rtl/>
        </w:rPr>
        <w:t>ו</w:t>
      </w:r>
      <w:r w:rsidRPr="00A81964">
        <w:rPr>
          <w:rFonts w:ascii="David" w:eastAsia="Calibri" w:hAnsi="David"/>
          <w:b/>
          <w:bCs/>
          <w:rtl/>
        </w:rPr>
        <w:t>מהו מבנה ההון האופטימלי אל מול החשיפה של הקרן, ולא בוצעו פעולות להשלמת הפער בין יתרת הקרן לבין עלות הפיצויים הצפויה בהתאם לתרחיש הקיים. כל זאת, על אף עבודות והמלצות בנושא.</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b/>
          <w:bCs/>
          <w:rtl/>
        </w:rPr>
      </w:pPr>
      <w:r w:rsidRPr="00A81964">
        <w:rPr>
          <w:rFonts w:ascii="David" w:eastAsia="Calibri" w:hAnsi="David"/>
          <w:b/>
          <w:bCs/>
          <w:rtl/>
        </w:rPr>
        <w:t>בפועל, בינואר 2024 החליטה הממשלה</w:t>
      </w:r>
      <w:r w:rsidRPr="00A81964">
        <w:rPr>
          <w:rFonts w:ascii="David" w:eastAsia="Calibri" w:hAnsi="David"/>
          <w:b/>
          <w:bCs/>
          <w:vertAlign w:val="superscript"/>
          <w:rtl/>
        </w:rPr>
        <w:footnoteReference w:id="169"/>
      </w:r>
      <w:r w:rsidRPr="00A81964">
        <w:rPr>
          <w:rFonts w:ascii="David" w:eastAsia="Calibri" w:hAnsi="David"/>
          <w:b/>
          <w:bCs/>
          <w:rtl/>
        </w:rPr>
        <w:t xml:space="preserve"> להורות לשר האוצר לתקן את תקנות מס רכוש ולהגדיל את ההפרשה לקרן הפיצויים בשנים 2024</w:t>
      </w:r>
      <w:r w:rsidRPr="00A81964">
        <w:rPr>
          <w:rFonts w:ascii="David" w:eastAsia="Calibri" w:hAnsi="David" w:hint="cs"/>
          <w:b/>
          <w:bCs/>
          <w:rtl/>
        </w:rPr>
        <w:t xml:space="preserve"> </w:t>
      </w:r>
      <w:r w:rsidRPr="00A81964">
        <w:rPr>
          <w:rFonts w:ascii="David" w:eastAsia="Calibri" w:hAnsi="David"/>
          <w:b/>
          <w:bCs/>
          <w:rtl/>
        </w:rPr>
        <w:t>-</w:t>
      </w:r>
      <w:r w:rsidRPr="00A81964">
        <w:rPr>
          <w:rFonts w:ascii="David" w:eastAsia="Calibri" w:hAnsi="David" w:hint="cs"/>
          <w:b/>
          <w:bCs/>
          <w:rtl/>
        </w:rPr>
        <w:t xml:space="preserve"> </w:t>
      </w:r>
      <w:r w:rsidRPr="00A81964">
        <w:rPr>
          <w:rFonts w:ascii="David" w:eastAsia="Calibri" w:hAnsi="David"/>
          <w:b/>
          <w:bCs/>
          <w:rtl/>
        </w:rPr>
        <w:t>2025</w:t>
      </w:r>
      <w:r w:rsidRPr="00A81964">
        <w:rPr>
          <w:rFonts w:ascii="David" w:eastAsia="Calibri" w:hAnsi="David" w:hint="cs"/>
          <w:b/>
          <w:bCs/>
          <w:rtl/>
        </w:rPr>
        <w:t>.</w:t>
      </w:r>
      <w:r w:rsidRPr="00A81964">
        <w:rPr>
          <w:rFonts w:ascii="David" w:eastAsia="Calibri" w:hAnsi="David"/>
          <w:b/>
          <w:bCs/>
          <w:rtl/>
        </w:rPr>
        <w:t xml:space="preserve"> זאת כיוון שהיקף ההוצאות מקרן הפיצויים היה צפוי לחרוג מהיקף יתרת הקרן </w:t>
      </w:r>
      <w:r w:rsidRPr="00A81964">
        <w:rPr>
          <w:rFonts w:ascii="David" w:eastAsia="Calibri" w:hAnsi="David" w:hint="cs"/>
          <w:b/>
          <w:bCs/>
          <w:rtl/>
        </w:rPr>
        <w:t>ב</w:t>
      </w:r>
      <w:r w:rsidRPr="00A81964">
        <w:rPr>
          <w:rFonts w:ascii="David" w:eastAsia="Calibri" w:hAnsi="David"/>
          <w:b/>
          <w:bCs/>
          <w:rtl/>
        </w:rPr>
        <w:t xml:space="preserve">פרוץ הלחימה. </w:t>
      </w:r>
    </w:p>
    <w:p w:rsidR="006252C4" w:rsidRDefault="006252C4" w:rsidP="006252C4">
      <w:pPr>
        <w:pStyle w:val="a8"/>
        <w:spacing w:line="269" w:lineRule="auto"/>
        <w:rPr>
          <w:rtl/>
        </w:rPr>
      </w:pPr>
    </w:p>
    <w:p w:rsidR="006252C4" w:rsidRPr="00A81964" w:rsidRDefault="006252C4" w:rsidP="006252C4">
      <w:pPr>
        <w:spacing w:line="269" w:lineRule="auto"/>
        <w:rPr>
          <w:b/>
          <w:bCs/>
          <w:rtl/>
        </w:rPr>
      </w:pPr>
      <w:bookmarkStart w:id="42" w:name="_Hlk211432350"/>
      <w:r w:rsidRPr="00A81964">
        <w:rPr>
          <w:rFonts w:hint="eastAsia"/>
          <w:b/>
          <w:bCs/>
          <w:rtl/>
        </w:rPr>
        <w:lastRenderedPageBreak/>
        <w:t>מומלץ</w:t>
      </w:r>
      <w:r w:rsidRPr="00A81964">
        <w:rPr>
          <w:b/>
          <w:bCs/>
          <w:rtl/>
        </w:rPr>
        <w:t xml:space="preserve"> </w:t>
      </w:r>
      <w:r w:rsidRPr="00A81964">
        <w:rPr>
          <w:rFonts w:hint="cs"/>
          <w:b/>
          <w:bCs/>
          <w:rtl/>
        </w:rPr>
        <w:t>ש</w:t>
      </w:r>
      <w:r w:rsidRPr="00A81964">
        <w:rPr>
          <w:rFonts w:hint="eastAsia"/>
          <w:b/>
          <w:bCs/>
          <w:rtl/>
        </w:rPr>
        <w:t>משרד</w:t>
      </w:r>
      <w:r w:rsidRPr="00A81964">
        <w:rPr>
          <w:b/>
          <w:bCs/>
          <w:rtl/>
        </w:rPr>
        <w:t xml:space="preserve"> האוצר ורשות המיסים </w:t>
      </w:r>
      <w:r w:rsidRPr="00A81964">
        <w:rPr>
          <w:rFonts w:hint="eastAsia"/>
          <w:b/>
          <w:bCs/>
          <w:rtl/>
        </w:rPr>
        <w:t>יבחנו</w:t>
      </w:r>
      <w:r w:rsidRPr="00A81964">
        <w:rPr>
          <w:b/>
          <w:bCs/>
          <w:rtl/>
        </w:rPr>
        <w:t xml:space="preserve"> </w:t>
      </w:r>
      <w:r w:rsidRPr="00A81964">
        <w:rPr>
          <w:rFonts w:hint="eastAsia"/>
          <w:b/>
          <w:bCs/>
          <w:rtl/>
        </w:rPr>
        <w:t>תרחישי</w:t>
      </w:r>
      <w:r w:rsidRPr="00A81964">
        <w:rPr>
          <w:b/>
          <w:bCs/>
          <w:rtl/>
        </w:rPr>
        <w:t xml:space="preserve"> מלחמה </w:t>
      </w:r>
      <w:r w:rsidRPr="00A81964">
        <w:rPr>
          <w:rFonts w:hint="cs"/>
          <w:b/>
          <w:bCs/>
          <w:rtl/>
        </w:rPr>
        <w:t>ש</w:t>
      </w:r>
      <w:r w:rsidRPr="00A81964">
        <w:rPr>
          <w:b/>
          <w:bCs/>
          <w:rtl/>
        </w:rPr>
        <w:t>אלי</w:t>
      </w:r>
      <w:r w:rsidRPr="00A81964">
        <w:rPr>
          <w:rFonts w:hint="eastAsia"/>
          <w:b/>
          <w:bCs/>
          <w:rtl/>
        </w:rPr>
        <w:t>הם</w:t>
      </w:r>
      <w:r w:rsidRPr="00A81964">
        <w:rPr>
          <w:b/>
          <w:bCs/>
          <w:rtl/>
        </w:rPr>
        <w:t xml:space="preserve"> </w:t>
      </w:r>
      <w:r w:rsidRPr="00A81964">
        <w:rPr>
          <w:rFonts w:hint="eastAsia"/>
          <w:b/>
          <w:bCs/>
          <w:rtl/>
        </w:rPr>
        <w:t>נדרש</w:t>
      </w:r>
      <w:r w:rsidRPr="00A81964">
        <w:rPr>
          <w:b/>
          <w:bCs/>
          <w:rtl/>
        </w:rPr>
        <w:t xml:space="preserve"> </w:t>
      </w:r>
      <w:r w:rsidRPr="00A81964">
        <w:rPr>
          <w:rFonts w:hint="eastAsia"/>
          <w:b/>
          <w:bCs/>
          <w:rtl/>
        </w:rPr>
        <w:t>להיערך</w:t>
      </w:r>
      <w:r w:rsidRPr="00A81964">
        <w:rPr>
          <w:b/>
          <w:bCs/>
          <w:rtl/>
        </w:rPr>
        <w:t xml:space="preserve"> </w:t>
      </w:r>
      <w:r w:rsidRPr="00A81964">
        <w:rPr>
          <w:rFonts w:hint="eastAsia"/>
          <w:b/>
          <w:bCs/>
          <w:rtl/>
        </w:rPr>
        <w:t>לצורך</w:t>
      </w:r>
      <w:r w:rsidRPr="00A81964">
        <w:rPr>
          <w:b/>
          <w:bCs/>
          <w:rtl/>
        </w:rPr>
        <w:t xml:space="preserve"> </w:t>
      </w:r>
      <w:r w:rsidRPr="00A81964">
        <w:rPr>
          <w:rFonts w:hint="eastAsia"/>
          <w:b/>
          <w:bCs/>
          <w:rtl/>
        </w:rPr>
        <w:t>מתן</w:t>
      </w:r>
      <w:r w:rsidRPr="00A81964">
        <w:rPr>
          <w:b/>
          <w:bCs/>
          <w:rtl/>
        </w:rPr>
        <w:t xml:space="preserve"> </w:t>
      </w:r>
      <w:r w:rsidRPr="00A81964">
        <w:rPr>
          <w:rFonts w:hint="eastAsia"/>
          <w:b/>
          <w:bCs/>
          <w:rtl/>
        </w:rPr>
        <w:t>פיצוי</w:t>
      </w:r>
      <w:r w:rsidRPr="00A81964">
        <w:rPr>
          <w:b/>
          <w:bCs/>
          <w:rtl/>
        </w:rPr>
        <w:t xml:space="preserve"> </w:t>
      </w:r>
      <w:r w:rsidRPr="00A81964">
        <w:rPr>
          <w:rFonts w:hint="cs"/>
          <w:b/>
          <w:bCs/>
          <w:rtl/>
        </w:rPr>
        <w:t>לניזוקים</w:t>
      </w:r>
      <w:r w:rsidRPr="00A81964">
        <w:rPr>
          <w:b/>
          <w:bCs/>
          <w:rtl/>
        </w:rPr>
        <w:t xml:space="preserve"> </w:t>
      </w:r>
      <w:r w:rsidRPr="00A81964">
        <w:rPr>
          <w:rFonts w:hint="eastAsia"/>
          <w:b/>
          <w:bCs/>
          <w:rtl/>
        </w:rPr>
        <w:t>בגין</w:t>
      </w:r>
      <w:r w:rsidRPr="00A81964">
        <w:rPr>
          <w:b/>
          <w:bCs/>
          <w:rtl/>
        </w:rPr>
        <w:t xml:space="preserve"> </w:t>
      </w:r>
      <w:r w:rsidRPr="00A81964">
        <w:rPr>
          <w:rFonts w:hint="eastAsia"/>
          <w:b/>
          <w:bCs/>
          <w:rtl/>
        </w:rPr>
        <w:t>נזקי</w:t>
      </w:r>
      <w:r w:rsidRPr="00A81964">
        <w:rPr>
          <w:b/>
          <w:bCs/>
          <w:rtl/>
        </w:rPr>
        <w:t xml:space="preserve"> </w:t>
      </w:r>
      <w:r w:rsidRPr="00A81964">
        <w:rPr>
          <w:rFonts w:hint="eastAsia"/>
          <w:b/>
          <w:bCs/>
          <w:rtl/>
        </w:rPr>
        <w:t>מלחמה</w:t>
      </w:r>
      <w:r w:rsidRPr="00A81964">
        <w:rPr>
          <w:b/>
          <w:bCs/>
          <w:rtl/>
        </w:rPr>
        <w:t>,</w:t>
      </w:r>
      <w:r w:rsidRPr="00A81964">
        <w:rPr>
          <w:rFonts w:hint="cs"/>
          <w:b/>
          <w:bCs/>
          <w:rtl/>
        </w:rPr>
        <w:t xml:space="preserve"> ו</w:t>
      </w:r>
      <w:r w:rsidRPr="00A81964">
        <w:rPr>
          <w:b/>
          <w:bCs/>
          <w:rtl/>
        </w:rPr>
        <w:t xml:space="preserve">בהתאם </w:t>
      </w:r>
      <w:r w:rsidRPr="00A81964">
        <w:rPr>
          <w:rFonts w:hint="cs"/>
          <w:b/>
          <w:bCs/>
          <w:rtl/>
        </w:rPr>
        <w:t xml:space="preserve">לבחינה זו </w:t>
      </w:r>
      <w:r>
        <w:rPr>
          <w:rFonts w:hint="cs"/>
          <w:b/>
          <w:bCs/>
          <w:rtl/>
        </w:rPr>
        <w:t>יחליטו</w:t>
      </w:r>
      <w:r w:rsidRPr="00A81964">
        <w:rPr>
          <w:b/>
          <w:bCs/>
          <w:rtl/>
        </w:rPr>
        <w:t xml:space="preserve"> על יתרת הקרן הנדר</w:t>
      </w:r>
      <w:r w:rsidRPr="00A81964">
        <w:rPr>
          <w:rFonts w:hint="eastAsia"/>
          <w:b/>
          <w:bCs/>
          <w:rtl/>
        </w:rPr>
        <w:t>שת</w:t>
      </w:r>
      <w:r w:rsidRPr="00A81964">
        <w:rPr>
          <w:b/>
          <w:bCs/>
          <w:rtl/>
        </w:rPr>
        <w:t xml:space="preserve"> וכן </w:t>
      </w:r>
      <w:r w:rsidRPr="00A81964">
        <w:rPr>
          <w:rFonts w:hint="cs"/>
          <w:b/>
          <w:bCs/>
          <w:rtl/>
        </w:rPr>
        <w:t>על</w:t>
      </w:r>
      <w:r w:rsidRPr="00A81964">
        <w:rPr>
          <w:b/>
          <w:bCs/>
          <w:rtl/>
        </w:rPr>
        <w:t xml:space="preserve"> מבנה ההון האופטימלי </w:t>
      </w:r>
      <w:r w:rsidRPr="00A81964">
        <w:rPr>
          <w:rFonts w:hint="eastAsia"/>
          <w:b/>
          <w:bCs/>
          <w:rtl/>
        </w:rPr>
        <w:t>לעמידה</w:t>
      </w:r>
      <w:r w:rsidRPr="00A81964">
        <w:rPr>
          <w:b/>
          <w:bCs/>
          <w:rtl/>
        </w:rPr>
        <w:t xml:space="preserve"> </w:t>
      </w:r>
      <w:r w:rsidRPr="00A81964">
        <w:rPr>
          <w:rFonts w:hint="eastAsia"/>
          <w:b/>
          <w:bCs/>
          <w:rtl/>
        </w:rPr>
        <w:t>בתשלומים</w:t>
      </w:r>
      <w:r w:rsidRPr="00A81964">
        <w:rPr>
          <w:b/>
          <w:bCs/>
          <w:rtl/>
        </w:rPr>
        <w:t xml:space="preserve"> </w:t>
      </w:r>
      <w:r w:rsidRPr="00A81964">
        <w:rPr>
          <w:rFonts w:hint="cs"/>
          <w:b/>
          <w:bCs/>
          <w:rtl/>
        </w:rPr>
        <w:t xml:space="preserve">אם </w:t>
      </w:r>
      <w:r>
        <w:rPr>
          <w:rFonts w:hint="cs"/>
          <w:b/>
          <w:bCs/>
          <w:rtl/>
        </w:rPr>
        <w:t xml:space="preserve">אכן </w:t>
      </w:r>
      <w:r w:rsidRPr="00A81964">
        <w:rPr>
          <w:rFonts w:hint="cs"/>
          <w:b/>
          <w:bCs/>
          <w:rtl/>
        </w:rPr>
        <w:t>יתממשו</w:t>
      </w:r>
      <w:r w:rsidRPr="00A81964">
        <w:rPr>
          <w:b/>
          <w:bCs/>
          <w:rtl/>
        </w:rPr>
        <w:t xml:space="preserve"> </w:t>
      </w:r>
      <w:r w:rsidRPr="00A81964">
        <w:rPr>
          <w:rFonts w:hint="eastAsia"/>
          <w:b/>
          <w:bCs/>
          <w:rtl/>
        </w:rPr>
        <w:t>תרחישי</w:t>
      </w:r>
      <w:r>
        <w:rPr>
          <w:rFonts w:hint="cs"/>
          <w:b/>
          <w:bCs/>
          <w:rtl/>
        </w:rPr>
        <w:t>ם אלו</w:t>
      </w:r>
      <w:r w:rsidRPr="00A81964">
        <w:rPr>
          <w:b/>
          <w:bCs/>
          <w:rtl/>
        </w:rPr>
        <w:t xml:space="preserve">. </w:t>
      </w:r>
      <w:r w:rsidRPr="00A81964">
        <w:rPr>
          <w:rFonts w:hint="cs"/>
          <w:b/>
          <w:bCs/>
          <w:rtl/>
        </w:rPr>
        <w:t>כמו כן,</w:t>
      </w:r>
      <w:r w:rsidRPr="00A81964">
        <w:rPr>
          <w:b/>
          <w:bCs/>
          <w:rtl/>
        </w:rPr>
        <w:t xml:space="preserve"> יש להמליץ לשר האוצר </w:t>
      </w:r>
      <w:r>
        <w:rPr>
          <w:rFonts w:hint="cs"/>
          <w:b/>
          <w:bCs/>
          <w:rtl/>
        </w:rPr>
        <w:t>בהתאם לתוצאות הבחינה</w:t>
      </w:r>
      <w:r w:rsidRPr="00A81964">
        <w:rPr>
          <w:b/>
          <w:bCs/>
          <w:rtl/>
        </w:rPr>
        <w:t xml:space="preserve"> על גובה ההפר</w:t>
      </w:r>
      <w:r w:rsidRPr="00A81964">
        <w:rPr>
          <w:rFonts w:hint="eastAsia"/>
          <w:b/>
          <w:bCs/>
          <w:rtl/>
        </w:rPr>
        <w:t>שה</w:t>
      </w:r>
      <w:r w:rsidRPr="00A81964">
        <w:rPr>
          <w:b/>
          <w:bCs/>
          <w:rtl/>
        </w:rPr>
        <w:t xml:space="preserve"> ממס הרכישה</w:t>
      </w:r>
      <w:r w:rsidRPr="00A81964">
        <w:rPr>
          <w:rFonts w:hint="cs"/>
          <w:b/>
          <w:bCs/>
          <w:rtl/>
        </w:rPr>
        <w:t>. כל זאת, גם בראי המציאות הנוכחית של המלחמה המתמשכת</w:t>
      </w:r>
      <w:r>
        <w:rPr>
          <w:rFonts w:hint="cs"/>
          <w:b/>
          <w:bCs/>
          <w:rtl/>
        </w:rPr>
        <w:t xml:space="preserve">. </w:t>
      </w:r>
    </w:p>
    <w:bookmarkEnd w:id="42"/>
    <w:p w:rsidR="006252C4" w:rsidRPr="008E2BD5" w:rsidRDefault="006252C4" w:rsidP="006252C4">
      <w:pPr>
        <w:spacing w:line="269" w:lineRule="auto"/>
        <w:rPr>
          <w:rtl/>
        </w:rPr>
      </w:pPr>
    </w:p>
    <w:p w:rsidR="006252C4" w:rsidRPr="00A81964" w:rsidRDefault="006252C4" w:rsidP="006252C4">
      <w:pPr>
        <w:spacing w:line="269" w:lineRule="auto"/>
        <w:jc w:val="center"/>
        <w:rPr>
          <w:rFonts w:ascii="Arial" w:eastAsia="Calibri" w:hAnsi="Arial" w:cs="Arial"/>
          <w:b/>
          <w:bCs/>
          <w:sz w:val="36"/>
          <w:rtl/>
        </w:rPr>
      </w:pPr>
      <w:r w:rsidRPr="00A81964">
        <w:rPr>
          <w:rFonts w:ascii="Segoe UI Symbol" w:eastAsia="Calibri" w:hAnsi="Segoe UI Symbol" w:cs="Segoe UI Symbol"/>
          <w:b/>
          <w:bCs/>
          <w:sz w:val="36"/>
          <w:rtl/>
        </w:rPr>
        <w:t>✰</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b/>
          <w:bCs/>
          <w:rtl/>
        </w:rPr>
      </w:pPr>
      <w:r w:rsidRPr="00A81964">
        <w:rPr>
          <w:rFonts w:ascii="David" w:eastAsia="Calibri" w:hAnsi="David"/>
          <w:b/>
          <w:bCs/>
          <w:rtl/>
        </w:rPr>
        <w:t xml:space="preserve">כנסת ישראל חוקקה כבר בשנת 1961 חוק </w:t>
      </w:r>
      <w:r w:rsidRPr="00A81964">
        <w:rPr>
          <w:rFonts w:ascii="David" w:eastAsia="Calibri" w:hAnsi="David" w:hint="cs"/>
          <w:b/>
          <w:bCs/>
          <w:rtl/>
        </w:rPr>
        <w:t>שמטרתו</w:t>
      </w:r>
      <w:r w:rsidRPr="00A81964">
        <w:rPr>
          <w:rFonts w:ascii="David" w:eastAsia="Calibri" w:hAnsi="David"/>
          <w:b/>
          <w:bCs/>
          <w:rtl/>
        </w:rPr>
        <w:t xml:space="preserve"> להיערך לפיצוי </w:t>
      </w:r>
      <w:r w:rsidRPr="00A81964">
        <w:rPr>
          <w:rFonts w:ascii="David" w:eastAsia="Calibri" w:hAnsi="David" w:hint="cs"/>
          <w:b/>
          <w:bCs/>
          <w:rtl/>
        </w:rPr>
        <w:t>ניזוקים</w:t>
      </w:r>
      <w:r w:rsidRPr="00A81964">
        <w:rPr>
          <w:rFonts w:ascii="David" w:eastAsia="Calibri" w:hAnsi="David"/>
          <w:b/>
          <w:bCs/>
          <w:rtl/>
        </w:rPr>
        <w:t xml:space="preserve"> בקרות נזק ישיר או עקיף באירועי מלחמה. החוק </w:t>
      </w:r>
      <w:r w:rsidRPr="00A81964">
        <w:rPr>
          <w:rFonts w:ascii="David" w:eastAsia="Calibri" w:hAnsi="David" w:hint="cs"/>
          <w:b/>
          <w:bCs/>
          <w:rtl/>
        </w:rPr>
        <w:t xml:space="preserve">המקורי </w:t>
      </w:r>
      <w:r w:rsidRPr="00A81964">
        <w:rPr>
          <w:rFonts w:ascii="David" w:eastAsia="Calibri" w:hAnsi="David"/>
          <w:b/>
          <w:bCs/>
          <w:rtl/>
        </w:rPr>
        <w:t>קבע כי שיעור מסוים ממס רכוש הנגבה בכל שנה יהיה ‏קרן מיוחדת לתשלום פיצויים</w:t>
      </w:r>
      <w:r w:rsidRPr="00A81964">
        <w:rPr>
          <w:rFonts w:ascii="David" w:eastAsia="Calibri" w:hAnsi="David" w:hint="cs"/>
          <w:b/>
          <w:bCs/>
          <w:rtl/>
        </w:rPr>
        <w:t xml:space="preserve"> בעד נזק</w:t>
      </w:r>
      <w:r w:rsidRPr="00A81964">
        <w:rPr>
          <w:rFonts w:ascii="David" w:eastAsia="Calibri" w:hAnsi="David"/>
          <w:b/>
          <w:bCs/>
          <w:rtl/>
        </w:rPr>
        <w:t>, כי כספי הקרן שלא הוצאו יושקעו בדרך שיורה שר האוצר ‏</w:t>
      </w:r>
      <w:r w:rsidRPr="00A81964">
        <w:rPr>
          <w:rFonts w:ascii="David" w:eastAsia="Calibri" w:hAnsi="David" w:hint="cs"/>
          <w:b/>
          <w:bCs/>
          <w:rtl/>
        </w:rPr>
        <w:t xml:space="preserve">ורווחי ההשקעות </w:t>
      </w:r>
      <w:r w:rsidRPr="00A81964">
        <w:rPr>
          <w:rFonts w:ascii="David" w:eastAsia="Calibri" w:hAnsi="David"/>
          <w:b/>
          <w:bCs/>
          <w:rtl/>
        </w:rPr>
        <w:t>יצורפו לקרן ויהיו חלק ממנה. כאשר הועמד השיעור של מס הרכוש על קרקע על 0% (בשנת 1999) נקבע כי שיעור מסוים ‏ממס רכישה שנגבה בכל שנה יהיה המקור לקרן הפיצויים.‏</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b/>
          <w:bCs/>
          <w:rtl/>
        </w:rPr>
      </w:pPr>
      <w:r w:rsidRPr="00A81964">
        <w:rPr>
          <w:rFonts w:ascii="David" w:eastAsia="Calibri" w:hAnsi="David"/>
          <w:b/>
          <w:bCs/>
          <w:rtl/>
        </w:rPr>
        <w:t>ממצאי דוח זה העלו כי משרד האוצר בחר</w:t>
      </w:r>
      <w:r w:rsidRPr="00A81964">
        <w:rPr>
          <w:rFonts w:ascii="David" w:eastAsia="Calibri" w:hAnsi="David" w:hint="cs"/>
          <w:b/>
          <w:bCs/>
          <w:rtl/>
        </w:rPr>
        <w:t xml:space="preserve"> </w:t>
      </w:r>
      <w:r w:rsidRPr="00A81964">
        <w:rPr>
          <w:rFonts w:ascii="David" w:eastAsia="Calibri" w:hAnsi="David"/>
          <w:b/>
          <w:bCs/>
          <w:rtl/>
        </w:rPr>
        <w:t>להשתמש בכספי הקרן באופן שוטף ולא לשמור כספים בקרן,</w:t>
      </w:r>
      <w:r w:rsidRPr="00A81964">
        <w:rPr>
          <w:rFonts w:ascii="David" w:eastAsia="Calibri" w:hAnsi="David" w:hint="cs"/>
          <w:b/>
          <w:bCs/>
          <w:rtl/>
        </w:rPr>
        <w:t xml:space="preserve"> וזאת</w:t>
      </w:r>
      <w:r w:rsidRPr="00A81964">
        <w:rPr>
          <w:rFonts w:ascii="David" w:eastAsia="Calibri" w:hAnsi="David"/>
          <w:b/>
          <w:bCs/>
          <w:rtl/>
        </w:rPr>
        <w:t xml:space="preserve"> </w:t>
      </w:r>
      <w:r w:rsidRPr="00A81964">
        <w:rPr>
          <w:rFonts w:ascii="David" w:eastAsia="Calibri" w:hAnsi="David" w:hint="cs"/>
          <w:b/>
          <w:bCs/>
          <w:rtl/>
        </w:rPr>
        <w:t>ללא עמדה משפטית תומכת ו</w:t>
      </w:r>
      <w:r w:rsidRPr="00A81964">
        <w:rPr>
          <w:rFonts w:ascii="David" w:eastAsia="Calibri" w:hAnsi="David"/>
          <w:b/>
          <w:bCs/>
          <w:rtl/>
        </w:rPr>
        <w:t>ללא בדיקה כלכלית מקיפה בנושא. ניהול הקרן כקרן חוץ תקציבית נושא בחוב</w:t>
      </w:r>
      <w:r w:rsidRPr="00A81964">
        <w:rPr>
          <w:rFonts w:ascii="David" w:eastAsia="Calibri" w:hAnsi="David" w:hint="cs"/>
          <w:b/>
          <w:bCs/>
          <w:rtl/>
        </w:rPr>
        <w:t>ו</w:t>
      </w:r>
      <w:r w:rsidRPr="00A81964">
        <w:rPr>
          <w:rFonts w:ascii="David" w:eastAsia="Calibri" w:hAnsi="David"/>
          <w:b/>
          <w:bCs/>
          <w:rtl/>
        </w:rPr>
        <w:t xml:space="preserve"> עול מימוני משמעותי</w:t>
      </w:r>
      <w:r w:rsidRPr="00A81964">
        <w:rPr>
          <w:rFonts w:ascii="David" w:eastAsia="Calibri" w:hAnsi="David" w:hint="cs"/>
          <w:b/>
          <w:bCs/>
          <w:rtl/>
        </w:rPr>
        <w:t>,</w:t>
      </w:r>
      <w:r w:rsidRPr="00A81964">
        <w:rPr>
          <w:rFonts w:ascii="David" w:eastAsia="Calibri" w:hAnsi="David"/>
          <w:b/>
          <w:bCs/>
          <w:rtl/>
        </w:rPr>
        <w:t xml:space="preserve"> אשר אינו מוצג במסגרת דיוני תקציב המדינה. כספי הקרן נושאים ריבית נמוכה</w:t>
      </w:r>
      <w:r w:rsidRPr="00A81964">
        <w:rPr>
          <w:rFonts w:ascii="David" w:eastAsia="Calibri" w:hAnsi="David" w:hint="cs"/>
          <w:b/>
          <w:bCs/>
          <w:rtl/>
        </w:rPr>
        <w:t>,</w:t>
      </w:r>
      <w:r w:rsidRPr="00A81964">
        <w:rPr>
          <w:rFonts w:ascii="David" w:eastAsia="Calibri" w:hAnsi="David"/>
          <w:b/>
          <w:bCs/>
          <w:rtl/>
        </w:rPr>
        <w:t xml:space="preserve"> אשר אין בה כדי לכסות את השחיקה האינפלציונית. בדיונים על קביעת שיעורי ההפרשה לקרן משרד </w:t>
      </w:r>
      <w:r w:rsidRPr="00A81964">
        <w:rPr>
          <w:rFonts w:ascii="David" w:eastAsia="Calibri" w:hAnsi="David" w:hint="cs"/>
          <w:b/>
          <w:bCs/>
          <w:rtl/>
        </w:rPr>
        <w:t>ה</w:t>
      </w:r>
      <w:r w:rsidRPr="00A81964">
        <w:rPr>
          <w:rFonts w:ascii="David" w:eastAsia="Calibri" w:hAnsi="David"/>
          <w:b/>
          <w:bCs/>
          <w:rtl/>
        </w:rPr>
        <w:t>אוצר לא הציג תרחישים, אומדנים ויתרה נדרשת בקרן</w:t>
      </w:r>
      <w:r w:rsidRPr="00A81964">
        <w:rPr>
          <w:rFonts w:ascii="David" w:eastAsia="Calibri" w:hAnsi="David" w:hint="cs"/>
          <w:b/>
          <w:bCs/>
          <w:rtl/>
        </w:rPr>
        <w:t>,</w:t>
      </w:r>
      <w:r w:rsidRPr="00A81964">
        <w:rPr>
          <w:rFonts w:ascii="David" w:eastAsia="Calibri" w:hAnsi="David"/>
          <w:b/>
          <w:bCs/>
          <w:rtl/>
        </w:rPr>
        <w:t xml:space="preserve"> אף שנעשתה עבודה במשרד האוצר לגבי היתרות הנדרשות ומבנה ההון האופטימלי. </w:t>
      </w:r>
    </w:p>
    <w:p w:rsidR="006252C4" w:rsidRDefault="006252C4" w:rsidP="006252C4">
      <w:pPr>
        <w:pStyle w:val="a8"/>
        <w:spacing w:line="269" w:lineRule="auto"/>
        <w:rPr>
          <w:rtl/>
        </w:rPr>
      </w:pPr>
    </w:p>
    <w:p w:rsidR="006252C4" w:rsidRPr="00A81964" w:rsidRDefault="006252C4" w:rsidP="006252C4">
      <w:pPr>
        <w:spacing w:line="269" w:lineRule="auto"/>
        <w:rPr>
          <w:rFonts w:ascii="David" w:eastAsia="Calibri" w:hAnsi="David"/>
          <w:b/>
          <w:bCs/>
          <w:rtl/>
        </w:rPr>
      </w:pPr>
      <w:bookmarkStart w:id="43" w:name="_Hlk190696132"/>
      <w:bookmarkEnd w:id="22"/>
      <w:r w:rsidRPr="00A81964">
        <w:rPr>
          <w:rFonts w:ascii="David" w:eastAsia="Calibri" w:hAnsi="David" w:hint="cs"/>
          <w:b/>
          <w:bCs/>
          <w:rtl/>
        </w:rPr>
        <w:t>נוסף</w:t>
      </w:r>
      <w:r>
        <w:rPr>
          <w:rFonts w:ascii="David" w:eastAsia="Calibri" w:hAnsi="David" w:hint="cs"/>
          <w:b/>
          <w:bCs/>
          <w:rtl/>
        </w:rPr>
        <w:t xml:space="preserve"> על כך</w:t>
      </w:r>
      <w:r w:rsidRPr="00A81964">
        <w:rPr>
          <w:rFonts w:ascii="David" w:eastAsia="Calibri" w:hAnsi="David" w:hint="cs"/>
          <w:b/>
          <w:bCs/>
          <w:rtl/>
        </w:rPr>
        <w:t xml:space="preserve">, עלה </w:t>
      </w:r>
      <w:r w:rsidRPr="00A81964">
        <w:rPr>
          <w:rFonts w:ascii="David" w:eastAsia="Calibri" w:hAnsi="David"/>
          <w:b/>
          <w:bCs/>
          <w:rtl/>
        </w:rPr>
        <w:t xml:space="preserve">כי ערב מלחמת חרבות ברזל יתרת קרן הפיצויים </w:t>
      </w:r>
      <w:r w:rsidRPr="00A81964">
        <w:rPr>
          <w:rFonts w:ascii="David" w:eastAsia="Calibri" w:hAnsi="David" w:hint="cs"/>
          <w:b/>
          <w:bCs/>
          <w:rtl/>
        </w:rPr>
        <w:t xml:space="preserve">שעמדה </w:t>
      </w:r>
      <w:r w:rsidRPr="00A81964">
        <w:rPr>
          <w:rFonts w:ascii="David" w:eastAsia="Calibri" w:hAnsi="David"/>
          <w:b/>
          <w:bCs/>
          <w:rtl/>
        </w:rPr>
        <w:t xml:space="preserve">על </w:t>
      </w:r>
      <w:r w:rsidRPr="00A81964">
        <w:rPr>
          <w:rFonts w:ascii="David" w:eastAsia="Calibri" w:hAnsi="David" w:hint="cs"/>
          <w:b/>
          <w:bCs/>
          <w:rtl/>
        </w:rPr>
        <w:t>סך של כ-17.7</w:t>
      </w:r>
      <w:r w:rsidRPr="00A81964">
        <w:rPr>
          <w:rFonts w:ascii="David" w:eastAsia="Calibri" w:hAnsi="David"/>
          <w:b/>
          <w:bCs/>
          <w:rtl/>
        </w:rPr>
        <w:t xml:space="preserve"> מיליארד ש"ח</w:t>
      </w:r>
      <w:r w:rsidRPr="00A81964">
        <w:rPr>
          <w:rStyle w:val="af2"/>
          <w:rFonts w:ascii="David" w:eastAsia="Calibri" w:hAnsi="David"/>
          <w:b/>
          <w:bCs/>
          <w:rtl/>
        </w:rPr>
        <w:footnoteReference w:id="170"/>
      </w:r>
      <w:r w:rsidRPr="00A81964">
        <w:rPr>
          <w:rFonts w:ascii="David" w:eastAsia="Calibri" w:hAnsi="David"/>
          <w:b/>
          <w:bCs/>
          <w:rtl/>
        </w:rPr>
        <w:t xml:space="preserve"> </w:t>
      </w:r>
      <w:r w:rsidRPr="00A81964">
        <w:rPr>
          <w:rFonts w:ascii="David" w:eastAsia="Calibri" w:hAnsi="David" w:hint="eastAsia"/>
          <w:b/>
          <w:bCs/>
          <w:rtl/>
        </w:rPr>
        <w:t>הייתה</w:t>
      </w:r>
      <w:r w:rsidRPr="00A81964">
        <w:rPr>
          <w:rFonts w:ascii="David" w:eastAsia="Calibri" w:hAnsi="David"/>
          <w:b/>
          <w:bCs/>
          <w:rtl/>
        </w:rPr>
        <w:t xml:space="preserve"> </w:t>
      </w:r>
      <w:r w:rsidRPr="00A81964">
        <w:rPr>
          <w:rFonts w:ascii="David" w:eastAsia="Calibri" w:hAnsi="David" w:hint="eastAsia"/>
          <w:b/>
          <w:bCs/>
          <w:rtl/>
        </w:rPr>
        <w:t>נמוכה</w:t>
      </w:r>
      <w:r w:rsidRPr="00A81964">
        <w:rPr>
          <w:rFonts w:ascii="David" w:eastAsia="Calibri" w:hAnsi="David"/>
          <w:b/>
          <w:bCs/>
          <w:rtl/>
        </w:rPr>
        <w:t xml:space="preserve"> </w:t>
      </w:r>
      <w:r w:rsidRPr="00A81964">
        <w:rPr>
          <w:rFonts w:ascii="David" w:eastAsia="Calibri" w:hAnsi="David" w:hint="eastAsia"/>
          <w:b/>
          <w:bCs/>
          <w:rtl/>
        </w:rPr>
        <w:t>מההוצאות</w:t>
      </w:r>
      <w:r w:rsidRPr="00A81964">
        <w:rPr>
          <w:rFonts w:ascii="David" w:eastAsia="Calibri" w:hAnsi="David"/>
          <w:b/>
          <w:bCs/>
          <w:rtl/>
        </w:rPr>
        <w:t xml:space="preserve"> בתקופת מלחמת חרבות ברזל לפיצוי </w:t>
      </w:r>
      <w:r>
        <w:rPr>
          <w:rFonts w:ascii="David" w:eastAsia="Calibri" w:hAnsi="David" w:hint="cs"/>
          <w:b/>
          <w:bCs/>
          <w:rtl/>
        </w:rPr>
        <w:t xml:space="preserve">ניזוקים בעבור נזק </w:t>
      </w:r>
      <w:r w:rsidRPr="00A81964">
        <w:rPr>
          <w:rFonts w:ascii="David" w:eastAsia="Calibri" w:hAnsi="David"/>
          <w:b/>
          <w:bCs/>
          <w:rtl/>
        </w:rPr>
        <w:t>ישיר ו</w:t>
      </w:r>
      <w:r>
        <w:rPr>
          <w:rFonts w:ascii="David" w:eastAsia="Calibri" w:hAnsi="David" w:hint="cs"/>
          <w:b/>
          <w:bCs/>
          <w:rtl/>
        </w:rPr>
        <w:t xml:space="preserve">בעבור נזק </w:t>
      </w:r>
      <w:r w:rsidRPr="00A81964">
        <w:rPr>
          <w:rFonts w:ascii="David" w:eastAsia="Calibri" w:hAnsi="David"/>
          <w:b/>
          <w:bCs/>
          <w:rtl/>
        </w:rPr>
        <w:t>עקיף</w:t>
      </w:r>
      <w:r w:rsidRPr="00A81964">
        <w:rPr>
          <w:rFonts w:ascii="David" w:eastAsia="Calibri" w:hAnsi="David" w:hint="cs"/>
          <w:b/>
          <w:bCs/>
          <w:rtl/>
        </w:rPr>
        <w:t xml:space="preserve">, </w:t>
      </w:r>
      <w:r w:rsidRPr="00A81964">
        <w:rPr>
          <w:rFonts w:ascii="David" w:eastAsia="Calibri" w:hAnsi="David"/>
          <w:b/>
          <w:bCs/>
          <w:rtl/>
        </w:rPr>
        <w:t xml:space="preserve">מאוקטובר 2023 ועד תום 2024, </w:t>
      </w:r>
      <w:r w:rsidRPr="00A81964">
        <w:rPr>
          <w:rFonts w:ascii="David" w:eastAsia="Calibri" w:hAnsi="David" w:hint="cs"/>
          <w:b/>
          <w:bCs/>
          <w:rtl/>
        </w:rPr>
        <w:t xml:space="preserve">(18.8 מיליארד ש"ח) </w:t>
      </w:r>
      <w:r w:rsidRPr="00A81964">
        <w:rPr>
          <w:rFonts w:ascii="David" w:eastAsia="Calibri" w:hAnsi="David" w:hint="eastAsia"/>
          <w:b/>
          <w:bCs/>
          <w:rtl/>
        </w:rPr>
        <w:t>ונמוכה</w:t>
      </w:r>
      <w:r w:rsidRPr="00A81964">
        <w:rPr>
          <w:rFonts w:ascii="David" w:eastAsia="Calibri" w:hAnsi="David"/>
          <w:b/>
          <w:bCs/>
          <w:rtl/>
        </w:rPr>
        <w:t xml:space="preserve"> </w:t>
      </w:r>
      <w:r w:rsidRPr="00A81964">
        <w:rPr>
          <w:rFonts w:ascii="David" w:eastAsia="Calibri" w:hAnsi="David" w:hint="eastAsia"/>
          <w:b/>
          <w:bCs/>
          <w:rtl/>
        </w:rPr>
        <w:t>מ</w:t>
      </w:r>
      <w:r w:rsidRPr="00A81964">
        <w:rPr>
          <w:rFonts w:ascii="David" w:eastAsia="Calibri" w:hAnsi="David"/>
          <w:b/>
          <w:bCs/>
          <w:rtl/>
        </w:rPr>
        <w:t xml:space="preserve">הערכת הנזק הישיר בלבד, ללא נזק עקיף, </w:t>
      </w:r>
      <w:r w:rsidRPr="00A81964">
        <w:rPr>
          <w:rFonts w:ascii="David" w:eastAsia="Calibri" w:hAnsi="David" w:hint="eastAsia"/>
          <w:b/>
          <w:bCs/>
          <w:rtl/>
        </w:rPr>
        <w:t>בהתאם</w:t>
      </w:r>
      <w:r w:rsidRPr="00A81964">
        <w:rPr>
          <w:rFonts w:ascii="David" w:eastAsia="Calibri" w:hAnsi="David"/>
          <w:b/>
          <w:bCs/>
          <w:rtl/>
        </w:rPr>
        <w:t xml:space="preserve"> </w:t>
      </w:r>
      <w:r w:rsidRPr="00A81964">
        <w:rPr>
          <w:rFonts w:ascii="David" w:eastAsia="Calibri" w:hAnsi="David" w:hint="eastAsia"/>
          <w:b/>
          <w:bCs/>
          <w:rtl/>
        </w:rPr>
        <w:t>לתרחיש</w:t>
      </w:r>
      <w:r w:rsidRPr="00A81964">
        <w:rPr>
          <w:rFonts w:ascii="David" w:eastAsia="Calibri" w:hAnsi="David"/>
          <w:b/>
          <w:bCs/>
          <w:rtl/>
        </w:rPr>
        <w:t xml:space="preserve"> </w:t>
      </w:r>
      <w:r w:rsidRPr="00A81964">
        <w:rPr>
          <w:rFonts w:ascii="David" w:eastAsia="Calibri" w:hAnsi="David" w:hint="eastAsia"/>
          <w:b/>
          <w:bCs/>
          <w:rtl/>
        </w:rPr>
        <w:t>החמור</w:t>
      </w:r>
      <w:r w:rsidRPr="00A81964">
        <w:rPr>
          <w:rFonts w:ascii="David" w:eastAsia="Calibri" w:hAnsi="David"/>
          <w:b/>
          <w:bCs/>
          <w:rtl/>
        </w:rPr>
        <w:t xml:space="preserve"> של </w:t>
      </w:r>
      <w:r w:rsidRPr="00A81964">
        <w:rPr>
          <w:rFonts w:ascii="David" w:eastAsia="Calibri" w:hAnsi="David" w:hint="eastAsia"/>
          <w:b/>
          <w:bCs/>
          <w:rtl/>
        </w:rPr>
        <w:t>מלחמה</w:t>
      </w:r>
      <w:r w:rsidRPr="00A81964">
        <w:rPr>
          <w:rFonts w:ascii="David" w:eastAsia="Calibri" w:hAnsi="David"/>
          <w:b/>
          <w:bCs/>
          <w:rtl/>
        </w:rPr>
        <w:t xml:space="preserve"> רב</w:t>
      </w:r>
      <w:r>
        <w:rPr>
          <w:rFonts w:ascii="David" w:eastAsia="Calibri" w:hAnsi="David" w:hint="cs"/>
          <w:b/>
          <w:bCs/>
          <w:rtl/>
        </w:rPr>
        <w:t>-</w:t>
      </w:r>
      <w:proofErr w:type="spellStart"/>
      <w:r w:rsidRPr="00A81964">
        <w:rPr>
          <w:rFonts w:ascii="David" w:eastAsia="Calibri" w:hAnsi="David" w:hint="eastAsia"/>
          <w:b/>
          <w:bCs/>
          <w:rtl/>
        </w:rPr>
        <w:t>זירתית</w:t>
      </w:r>
      <w:proofErr w:type="spellEnd"/>
      <w:r w:rsidRPr="00A81964">
        <w:rPr>
          <w:rFonts w:ascii="David" w:eastAsia="Calibri" w:hAnsi="David" w:hint="cs"/>
          <w:b/>
          <w:bCs/>
          <w:rtl/>
        </w:rPr>
        <w:t xml:space="preserve"> (36.2 מיליארד ש"ח).</w:t>
      </w:r>
      <w:r w:rsidRPr="00A81964">
        <w:rPr>
          <w:rFonts w:ascii="David" w:eastAsia="Calibri" w:hAnsi="David"/>
          <w:b/>
          <w:bCs/>
          <w:rtl/>
        </w:rPr>
        <w:t xml:space="preserve"> </w:t>
      </w:r>
      <w:r w:rsidRPr="00A81964">
        <w:rPr>
          <w:rFonts w:ascii="David" w:eastAsia="Calibri" w:hAnsi="David" w:hint="cs"/>
          <w:b/>
          <w:bCs/>
          <w:rtl/>
        </w:rPr>
        <w:t>כך,</w:t>
      </w:r>
      <w:r w:rsidRPr="00A81964">
        <w:rPr>
          <w:rFonts w:ascii="David" w:eastAsia="Calibri" w:hAnsi="David"/>
          <w:b/>
          <w:bCs/>
          <w:rtl/>
        </w:rPr>
        <w:t xml:space="preserve"> </w:t>
      </w:r>
      <w:r w:rsidRPr="00A81964">
        <w:rPr>
          <w:rFonts w:ascii="David" w:eastAsia="Calibri" w:hAnsi="David" w:hint="cs"/>
          <w:b/>
          <w:bCs/>
          <w:rtl/>
        </w:rPr>
        <w:t xml:space="preserve">שנדרש היה </w:t>
      </w:r>
      <w:r w:rsidRPr="00A81964">
        <w:rPr>
          <w:rFonts w:ascii="David" w:eastAsia="Calibri" w:hAnsi="David"/>
          <w:b/>
          <w:bCs/>
          <w:rtl/>
        </w:rPr>
        <w:t>לתקן את תקנות מס רכוש ולהגדיל את ההפרשה לקרן הפיצויים בשנים 2024</w:t>
      </w:r>
      <w:r w:rsidRPr="00A81964">
        <w:rPr>
          <w:rFonts w:ascii="David" w:eastAsia="Calibri" w:hAnsi="David" w:hint="cs"/>
          <w:b/>
          <w:bCs/>
          <w:rtl/>
        </w:rPr>
        <w:t xml:space="preserve"> </w:t>
      </w:r>
      <w:r>
        <w:rPr>
          <w:rFonts w:ascii="David" w:eastAsia="Calibri" w:hAnsi="David" w:hint="cs"/>
          <w:b/>
          <w:bCs/>
          <w:rtl/>
        </w:rPr>
        <w:t>-</w:t>
      </w:r>
      <w:r w:rsidRPr="00A81964">
        <w:rPr>
          <w:rFonts w:ascii="David" w:eastAsia="Calibri" w:hAnsi="David" w:hint="cs"/>
          <w:b/>
          <w:bCs/>
          <w:rtl/>
        </w:rPr>
        <w:t xml:space="preserve"> </w:t>
      </w:r>
      <w:r w:rsidRPr="00A81964">
        <w:rPr>
          <w:rFonts w:ascii="David" w:eastAsia="Calibri" w:hAnsi="David"/>
          <w:b/>
          <w:bCs/>
          <w:rtl/>
        </w:rPr>
        <w:t>2025</w:t>
      </w:r>
      <w:r w:rsidRPr="00A81964">
        <w:rPr>
          <w:rFonts w:ascii="David" w:eastAsia="Calibri" w:hAnsi="David" w:hint="cs"/>
          <w:b/>
          <w:bCs/>
          <w:rtl/>
        </w:rPr>
        <w:t xml:space="preserve"> ל-80% ו-100% בהתאמה תוך הסטת מקורת תקציביים נדרשים לטובת הקרן.</w:t>
      </w:r>
    </w:p>
    <w:p w:rsidR="006252C4" w:rsidRDefault="006252C4" w:rsidP="006252C4">
      <w:pPr>
        <w:pStyle w:val="a8"/>
        <w:spacing w:line="269" w:lineRule="auto"/>
        <w:rPr>
          <w:rtl/>
        </w:rPr>
      </w:pPr>
    </w:p>
    <w:p w:rsidR="006252C4" w:rsidRDefault="006252C4" w:rsidP="006252C4">
      <w:pPr>
        <w:spacing w:line="269" w:lineRule="auto"/>
        <w:rPr>
          <w:rFonts w:eastAsiaTheme="majorEastAsia"/>
          <w:bCs/>
          <w:szCs w:val="28"/>
          <w:u w:val="single"/>
          <w:rtl/>
        </w:rPr>
      </w:pPr>
      <w:r w:rsidRPr="00A81964">
        <w:rPr>
          <w:rFonts w:ascii="David" w:eastAsia="Calibri" w:hAnsi="David" w:hint="cs"/>
          <w:b/>
          <w:bCs/>
          <w:rtl/>
        </w:rPr>
        <w:t>מומלץ כי משרד האוצר יגבש מדיניות רב שנתית אשר תעודכן בהתאם לתרחישי סיכון עדכניים. על משרד האוצר לבחון משפטית וכלכלית את סוגיית ניהול הקרן כקרן רישומית ללא נכסים מזוהים וכן לבחון מחדש את שיעור הריבית הנזקפת לקרן ולפעול בהתאם לתוצאות בחינה זו. נוסף</w:t>
      </w:r>
      <w:r>
        <w:rPr>
          <w:rFonts w:ascii="David" w:eastAsia="Calibri" w:hAnsi="David" w:hint="cs"/>
          <w:b/>
          <w:bCs/>
          <w:rtl/>
        </w:rPr>
        <w:t xml:space="preserve"> על כך,</w:t>
      </w:r>
      <w:r w:rsidRPr="00A81964">
        <w:rPr>
          <w:rFonts w:ascii="David" w:eastAsia="Calibri" w:hAnsi="David" w:hint="cs"/>
          <w:b/>
          <w:bCs/>
          <w:rtl/>
        </w:rPr>
        <w:t xml:space="preserve"> על משרד האוצר לבחון את היתרות הנדרשות בקרן הפיצויים בהסתמך על תרחישי הסיכון המתעדכנים</w:t>
      </w:r>
      <w:r>
        <w:rPr>
          <w:rFonts w:ascii="David" w:eastAsia="Calibri" w:hAnsi="David" w:hint="cs"/>
          <w:b/>
          <w:bCs/>
          <w:rtl/>
        </w:rPr>
        <w:t>.</w:t>
      </w:r>
      <w:r w:rsidRPr="00A81964">
        <w:rPr>
          <w:rFonts w:ascii="David" w:eastAsia="Calibri" w:hAnsi="David" w:hint="cs"/>
          <w:b/>
          <w:bCs/>
          <w:rtl/>
        </w:rPr>
        <w:t xml:space="preserve"> </w:t>
      </w:r>
      <w:bookmarkEnd w:id="43"/>
    </w:p>
    <w:p w:rsidR="006252C4" w:rsidRDefault="006252C4" w:rsidP="006252C4">
      <w:pPr>
        <w:spacing w:line="269" w:lineRule="auto"/>
        <w:rPr>
          <w:rFonts w:eastAsiaTheme="majorEastAsia"/>
          <w:bCs/>
          <w:szCs w:val="28"/>
          <w:u w:val="single"/>
          <w:rtl/>
        </w:rPr>
      </w:pPr>
    </w:p>
    <w:p w:rsidR="001876AD" w:rsidRDefault="001876AD">
      <w:pPr>
        <w:bidi w:val="0"/>
        <w:spacing w:after="200" w:line="276" w:lineRule="auto"/>
        <w:rPr>
          <w:rFonts w:eastAsiaTheme="majorEastAsia"/>
          <w:bCs/>
          <w:szCs w:val="28"/>
          <w:u w:val="single"/>
          <w:rtl/>
        </w:rPr>
      </w:pPr>
      <w:r>
        <w:rPr>
          <w:rtl/>
        </w:rPr>
        <w:br w:type="page"/>
      </w:r>
    </w:p>
    <w:p w:rsidR="006252C4" w:rsidRPr="00A81964" w:rsidRDefault="006252C4" w:rsidP="006252C4">
      <w:pPr>
        <w:pStyle w:val="31"/>
        <w:spacing w:before="0" w:line="269" w:lineRule="auto"/>
        <w:rPr>
          <w:rtl/>
        </w:rPr>
      </w:pPr>
      <w:r w:rsidRPr="00A81964">
        <w:rPr>
          <w:rFonts w:hint="cs"/>
          <w:rtl/>
        </w:rPr>
        <w:lastRenderedPageBreak/>
        <w:t>סיכום</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b/>
          <w:bCs/>
          <w:rtl/>
        </w:rPr>
        <w:t>בבוקר יום שבת חג שמחת תורה, שבעה באוקטובר 2023</w:t>
      </w:r>
      <w:r w:rsidRPr="00A81964">
        <w:rPr>
          <w:rFonts w:hint="cs"/>
          <w:b/>
          <w:bCs/>
          <w:rtl/>
        </w:rPr>
        <w:t xml:space="preserve">, </w:t>
      </w:r>
      <w:r w:rsidRPr="00A81964">
        <w:rPr>
          <w:b/>
          <w:bCs/>
          <w:rtl/>
        </w:rPr>
        <w:t>פרצה מלחמת חרבות ברזל</w:t>
      </w:r>
      <w:r w:rsidRPr="00A81964">
        <w:rPr>
          <w:rFonts w:hint="cs"/>
          <w:b/>
          <w:bCs/>
          <w:rtl/>
        </w:rPr>
        <w:t xml:space="preserve">, ובעקבותיה </w:t>
      </w:r>
      <w:r w:rsidRPr="00A81964">
        <w:rPr>
          <w:b/>
          <w:bCs/>
          <w:rtl/>
        </w:rPr>
        <w:t>הוטלו על האוכלוסייה והמשק הישראליים מגבלות שונות ונגרמו נזקים ישירים לרכוש ונזקים עקיפים לעסקים</w:t>
      </w:r>
      <w:r>
        <w:rPr>
          <w:rFonts w:hint="cs"/>
          <w:b/>
          <w:bCs/>
          <w:rtl/>
        </w:rPr>
        <w:t>.</w:t>
      </w:r>
      <w:r>
        <w:rPr>
          <w:rFonts w:hint="cs"/>
          <w:b/>
          <w:bCs/>
        </w:rPr>
        <w:t xml:space="preserve"> </w:t>
      </w:r>
      <w:r w:rsidRPr="00A81964">
        <w:rPr>
          <w:rFonts w:hint="cs"/>
          <w:b/>
          <w:bCs/>
          <w:rtl/>
        </w:rPr>
        <w:t>סך ה</w:t>
      </w:r>
      <w:r w:rsidRPr="00A81964">
        <w:rPr>
          <w:b/>
          <w:bCs/>
          <w:rtl/>
        </w:rPr>
        <w:t>פיצויים ששולמו בפועל מתחילת המלחמה ועד סוף דצמבר 2024</w:t>
      </w:r>
      <w:r w:rsidRPr="00A81964">
        <w:rPr>
          <w:rFonts w:hint="cs"/>
          <w:b/>
          <w:bCs/>
          <w:rtl/>
        </w:rPr>
        <w:t xml:space="preserve"> </w:t>
      </w:r>
      <w:r w:rsidRPr="00A81964">
        <w:rPr>
          <w:b/>
          <w:bCs/>
          <w:rtl/>
        </w:rPr>
        <w:t>‏</w:t>
      </w:r>
      <w:r w:rsidRPr="00A81964">
        <w:rPr>
          <w:rFonts w:hint="cs"/>
          <w:b/>
          <w:bCs/>
          <w:rtl/>
        </w:rPr>
        <w:t>עמדו על כ-17 מיליארד ש"ח</w:t>
      </w:r>
      <w:r w:rsidRPr="00A81964">
        <w:rPr>
          <w:b/>
          <w:bCs/>
          <w:rtl/>
        </w:rPr>
        <w:t>.</w:t>
      </w:r>
      <w:r w:rsidRPr="00A81964">
        <w:rPr>
          <w:rFonts w:hint="cs"/>
          <w:b/>
          <w:bCs/>
          <w:rtl/>
        </w:rPr>
        <w:t xml:space="preserve"> משרד מבקר המדינה בחן היבטים </w:t>
      </w:r>
      <w:r>
        <w:rPr>
          <w:rFonts w:hint="cs"/>
          <w:b/>
          <w:bCs/>
          <w:rtl/>
        </w:rPr>
        <w:t xml:space="preserve">שונים </w:t>
      </w:r>
      <w:r w:rsidRPr="0012479E">
        <w:rPr>
          <w:b/>
          <w:bCs/>
          <w:rtl/>
        </w:rPr>
        <w:t>בהיערכות ובפעילות רשות המיסים לטיפול בתביעות לפיצוי בגין נזקים ישירים ונזקים עקיפים</w:t>
      </w:r>
      <w:r>
        <w:rPr>
          <w:rFonts w:hint="cs"/>
          <w:b/>
          <w:bCs/>
          <w:rtl/>
        </w:rPr>
        <w:t xml:space="preserve"> ולתשלומן</w:t>
      </w:r>
      <w:r w:rsidRPr="00A81964">
        <w:rPr>
          <w:rFonts w:hint="cs"/>
          <w:b/>
          <w:bCs/>
          <w:rtl/>
        </w:rPr>
        <w:t>, בהתאם להוראות החוק ולתקנות</w:t>
      </w:r>
      <w:r>
        <w:rPr>
          <w:rFonts w:hint="cs"/>
          <w:b/>
          <w:bCs/>
          <w:rtl/>
        </w:rPr>
        <w:t xml:space="preserve"> שהותקנו</w:t>
      </w:r>
      <w:r w:rsidRPr="00A81964">
        <w:rPr>
          <w:rFonts w:hint="cs"/>
          <w:b/>
          <w:bCs/>
          <w:rtl/>
        </w:rPr>
        <w:t xml:space="preserve"> מכוחו.</w:t>
      </w:r>
    </w:p>
    <w:p w:rsidR="006252C4" w:rsidRPr="00A81964" w:rsidRDefault="006252C4" w:rsidP="006252C4">
      <w:pPr>
        <w:spacing w:line="269" w:lineRule="auto"/>
        <w:rPr>
          <w:b/>
          <w:bCs/>
          <w:rtl/>
        </w:rPr>
      </w:pPr>
      <w:r w:rsidRPr="00A81964">
        <w:rPr>
          <w:rFonts w:hint="cs"/>
          <w:b/>
          <w:bCs/>
          <w:rtl/>
        </w:rPr>
        <w:t xml:space="preserve">בביקורת עלה כי </w:t>
      </w:r>
      <w:r w:rsidRPr="00A81964">
        <w:rPr>
          <w:b/>
          <w:bCs/>
          <w:rtl/>
        </w:rPr>
        <w:t>לא הוסדרו הוראות חוק קבועות המפרטות את תנאי הזכאות לפיצויים בגין נזקים עקיפים ואת אופן חישובם</w:t>
      </w:r>
      <w:r w:rsidRPr="00A81964">
        <w:rPr>
          <w:rFonts w:hint="cs"/>
          <w:b/>
          <w:bCs/>
          <w:rtl/>
        </w:rPr>
        <w:t>, וזאת אף ש</w:t>
      </w:r>
      <w:r w:rsidRPr="00A81964">
        <w:rPr>
          <w:b/>
          <w:bCs/>
          <w:rtl/>
        </w:rPr>
        <w:t>מדינת ישראל התמודדה ב</w:t>
      </w:r>
      <w:r>
        <w:rPr>
          <w:rFonts w:hint="cs"/>
          <w:b/>
          <w:bCs/>
          <w:rtl/>
        </w:rPr>
        <w:t>-20</w:t>
      </w:r>
      <w:r w:rsidRPr="00A81964">
        <w:rPr>
          <w:b/>
          <w:bCs/>
          <w:rtl/>
        </w:rPr>
        <w:t xml:space="preserve"> השנים האחרונות עם מלחמ</w:t>
      </w:r>
      <w:r>
        <w:rPr>
          <w:rFonts w:hint="cs"/>
          <w:b/>
          <w:bCs/>
          <w:rtl/>
        </w:rPr>
        <w:t>ות</w:t>
      </w:r>
      <w:r w:rsidRPr="00A81964">
        <w:rPr>
          <w:b/>
          <w:bCs/>
          <w:rtl/>
        </w:rPr>
        <w:t xml:space="preserve"> </w:t>
      </w:r>
      <w:r w:rsidRPr="00A81964">
        <w:rPr>
          <w:rFonts w:hint="cs"/>
          <w:b/>
          <w:bCs/>
          <w:rtl/>
        </w:rPr>
        <w:t>ו</w:t>
      </w:r>
      <w:r w:rsidRPr="00A81964">
        <w:rPr>
          <w:b/>
          <w:bCs/>
          <w:rtl/>
        </w:rPr>
        <w:t>מבצעים צבאיים</w:t>
      </w:r>
      <w:r w:rsidRPr="00A81964">
        <w:rPr>
          <w:rFonts w:hint="cs"/>
          <w:b/>
          <w:bCs/>
          <w:rtl/>
        </w:rPr>
        <w:t>,</w:t>
      </w:r>
      <w:r w:rsidRPr="00A81964">
        <w:rPr>
          <w:b/>
          <w:bCs/>
          <w:rtl/>
        </w:rPr>
        <w:t xml:space="preserve"> </w:t>
      </w:r>
      <w:r w:rsidRPr="00A81964">
        <w:rPr>
          <w:rFonts w:hint="cs"/>
          <w:b/>
          <w:bCs/>
          <w:rtl/>
        </w:rPr>
        <w:t>ש</w:t>
      </w:r>
      <w:r w:rsidRPr="00A81964">
        <w:rPr>
          <w:b/>
          <w:bCs/>
          <w:rtl/>
        </w:rPr>
        <w:t>במהלכם הוטלו על האוכלוסייה והמשק הישראליים מגבלות שונות</w:t>
      </w:r>
      <w:r>
        <w:rPr>
          <w:rFonts w:hint="cs"/>
          <w:b/>
          <w:bCs/>
          <w:rtl/>
        </w:rPr>
        <w:t>,</w:t>
      </w:r>
      <w:r w:rsidRPr="00A81964">
        <w:rPr>
          <w:b/>
          <w:bCs/>
          <w:rtl/>
        </w:rPr>
        <w:t xml:space="preserve"> ונגרמו נזקים ישירים לרכוש ונזקים עקיפים לעסקים</w:t>
      </w:r>
      <w:r w:rsidRPr="00A81964">
        <w:rPr>
          <w:rFonts w:hint="cs"/>
          <w:b/>
          <w:bCs/>
          <w:rtl/>
        </w:rPr>
        <w:t xml:space="preserve">. היעדר הסדרה בחקיקה בעלת תוקף קבוע, והזמן שחלף עד לקביעת הוראות השעה בעניין מסלולי הפיצויים העקיפים הגבירו את אי-הוודאות למי שנפגע במהלך המלחמה, האריכו את פרקי הזמן </w:t>
      </w:r>
      <w:r w:rsidRPr="00A81964">
        <w:rPr>
          <w:b/>
          <w:bCs/>
          <w:rtl/>
        </w:rPr>
        <w:t>בין המועד</w:t>
      </w:r>
      <w:r w:rsidRPr="00A81964">
        <w:rPr>
          <w:rFonts w:hint="cs"/>
          <w:b/>
          <w:bCs/>
          <w:rtl/>
        </w:rPr>
        <w:t>ים</w:t>
      </w:r>
      <w:r w:rsidRPr="00A81964">
        <w:rPr>
          <w:b/>
          <w:bCs/>
          <w:rtl/>
        </w:rPr>
        <w:t xml:space="preserve"> </w:t>
      </w:r>
      <w:r w:rsidRPr="00A81964">
        <w:rPr>
          <w:rFonts w:hint="cs"/>
          <w:b/>
          <w:bCs/>
          <w:rtl/>
        </w:rPr>
        <w:t>שבהם</w:t>
      </w:r>
      <w:r w:rsidRPr="00A81964">
        <w:rPr>
          <w:b/>
          <w:bCs/>
          <w:rtl/>
        </w:rPr>
        <w:t xml:space="preserve"> נגרמו </w:t>
      </w:r>
      <w:r w:rsidRPr="00A81964">
        <w:rPr>
          <w:rFonts w:hint="cs"/>
          <w:b/>
          <w:bCs/>
          <w:rtl/>
        </w:rPr>
        <w:t>הנזקים לעסקים</w:t>
      </w:r>
      <w:r w:rsidRPr="00A81964">
        <w:rPr>
          <w:b/>
          <w:bCs/>
          <w:rtl/>
        </w:rPr>
        <w:t xml:space="preserve"> לבין </w:t>
      </w:r>
      <w:r w:rsidRPr="00A81964">
        <w:rPr>
          <w:rFonts w:hint="cs"/>
          <w:b/>
          <w:bCs/>
          <w:rtl/>
        </w:rPr>
        <w:t xml:space="preserve">מועדי קבלת הפיצויים בגינם והקשו על יכולתם של עסקים להתאושש מהפגיעה בפעילותם.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עוד עולה כי קרן הפיצויים שילמה לעסקים במלחמת חרבות ברזל, בסבבי הלחימה בשנים הקודמות ובתקופת מגפת הקורונה תשלומים עודפים</w:t>
      </w:r>
      <w:r w:rsidRPr="00A81964">
        <w:rPr>
          <w:rtl/>
        </w:rPr>
        <w:t xml:space="preserve"> </w:t>
      </w:r>
      <w:r w:rsidRPr="00A81964">
        <w:rPr>
          <w:b/>
          <w:bCs/>
          <w:rtl/>
        </w:rPr>
        <w:t>בגין נזקים עקיפים</w:t>
      </w:r>
      <w:r w:rsidRPr="00A81964">
        <w:rPr>
          <w:rFonts w:hint="cs"/>
          <w:b/>
          <w:bCs/>
          <w:rtl/>
        </w:rPr>
        <w:t xml:space="preserve"> בהיקף של יותר מ-3 מיליארד ש"ח</w:t>
      </w:r>
      <w:r w:rsidRPr="00A81964">
        <w:rPr>
          <w:rFonts w:hint="cs"/>
          <w:rtl/>
        </w:rPr>
        <w:t>,</w:t>
      </w:r>
      <w:r w:rsidRPr="00A81964">
        <w:rPr>
          <w:rtl/>
        </w:rPr>
        <w:t xml:space="preserve"> </w:t>
      </w:r>
      <w:r w:rsidRPr="00A81964">
        <w:rPr>
          <w:b/>
          <w:bCs/>
          <w:rtl/>
        </w:rPr>
        <w:t>בלי שמגישי התביעות היו זכאים להם על פי דין</w:t>
      </w:r>
      <w:r w:rsidRPr="00A81964">
        <w:rPr>
          <w:rFonts w:hint="cs"/>
          <w:b/>
          <w:bCs/>
          <w:rtl/>
        </w:rPr>
        <w:t>.</w:t>
      </w:r>
      <w:r w:rsidRPr="00A81964">
        <w:rPr>
          <w:b/>
          <w:bCs/>
          <w:rtl/>
        </w:rPr>
        <w:t xml:space="preserve"> </w:t>
      </w:r>
      <w:r w:rsidRPr="00A81964">
        <w:rPr>
          <w:rFonts w:hint="cs"/>
          <w:b/>
          <w:bCs/>
          <w:rtl/>
        </w:rPr>
        <w:t>כ-</w:t>
      </w:r>
      <w:r w:rsidRPr="00A81964">
        <w:rPr>
          <w:b/>
          <w:bCs/>
          <w:rtl/>
        </w:rPr>
        <w:t xml:space="preserve">1.5 מיליארד ש"ח מתוכם </w:t>
      </w:r>
      <w:r w:rsidRPr="00A81964">
        <w:rPr>
          <w:rFonts w:hint="cs"/>
          <w:b/>
          <w:bCs/>
          <w:rtl/>
        </w:rPr>
        <w:t xml:space="preserve">שולמו בעקבות </w:t>
      </w:r>
      <w:r w:rsidRPr="00A81964">
        <w:rPr>
          <w:b/>
          <w:bCs/>
          <w:rtl/>
        </w:rPr>
        <w:t>מלחמת חרבות ברזל</w:t>
      </w:r>
      <w:r w:rsidRPr="00A81964">
        <w:rPr>
          <w:rFonts w:hint="cs"/>
          <w:b/>
          <w:bCs/>
          <w:rtl/>
        </w:rPr>
        <w:t>. נכון למועד סיום הביקורת בדצמבר 2024, 1.9 מיליארד ש"ח מתוכם טרם הושבו לקרן.</w:t>
      </w:r>
      <w:r w:rsidRPr="00A81964">
        <w:rPr>
          <w:b/>
          <w:bCs/>
          <w:rtl/>
        </w:rPr>
        <w:t xml:space="preserve"> </w:t>
      </w:r>
    </w:p>
    <w:p w:rsidR="006252C4" w:rsidRDefault="006252C4" w:rsidP="006252C4">
      <w:pPr>
        <w:pStyle w:val="a8"/>
        <w:spacing w:line="269" w:lineRule="auto"/>
        <w:rPr>
          <w:rtl/>
        </w:rPr>
      </w:pPr>
    </w:p>
    <w:p w:rsidR="006252C4" w:rsidRDefault="006252C4" w:rsidP="006252C4">
      <w:pPr>
        <w:spacing w:line="269" w:lineRule="auto"/>
        <w:rPr>
          <w:rtl/>
        </w:rPr>
      </w:pPr>
      <w:r w:rsidRPr="00A81964">
        <w:rPr>
          <w:rFonts w:hint="cs"/>
          <w:b/>
          <w:bCs/>
          <w:rtl/>
        </w:rPr>
        <w:t>בביקורת נמצאו ליקויים גם</w:t>
      </w:r>
      <w:r>
        <w:rPr>
          <w:rFonts w:hint="cs"/>
          <w:b/>
          <w:bCs/>
        </w:rPr>
        <w:t xml:space="preserve"> </w:t>
      </w:r>
      <w:r w:rsidRPr="00A81964">
        <w:rPr>
          <w:rFonts w:hint="cs"/>
          <w:b/>
          <w:bCs/>
          <w:rtl/>
        </w:rPr>
        <w:t>בהתמשכות הטיפול בערעורים על החלטות הקרן המוגשים לוועדת הערר של מס רכוש ובפיצול הטיפול בערעורים בין ועדת ערר של משרד המשפטים ל</w:t>
      </w:r>
      <w:r>
        <w:rPr>
          <w:rFonts w:hint="cs"/>
          <w:b/>
          <w:bCs/>
          <w:rtl/>
        </w:rPr>
        <w:t>ו</w:t>
      </w:r>
      <w:r w:rsidRPr="00A81964">
        <w:rPr>
          <w:rFonts w:hint="cs"/>
          <w:b/>
          <w:bCs/>
          <w:rtl/>
        </w:rPr>
        <w:t>ועדת ערר של מס רכוש, בבקרות על טיפול בתביעות ותשלומי פיצויים, בהיערכות הקרן לטיפול בנזקים ישירים כבדים, בהתמקצעות עובדי הקרן בתחום השמאות, בפיתוח מערכות השליטה והבקרה על צוותי השטח ובהגברת מודעות הציבור לזכאותו לרכוש ביטוח חפצים אישיים.</w:t>
      </w:r>
      <w:r w:rsidRPr="00A81964">
        <w:rPr>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b/>
          <w:bCs/>
          <w:rtl/>
        </w:rPr>
        <w:t xml:space="preserve">התארכות תקופת הטיפול בעררים על ידי ועדות הערר של קרן הפיצויים פוגעת בשירות לציבור הנפגעים ומביאה לכך שבעלי עסקים שנגרמו להם נזקים עקיפים ובעלי נכסים שניזוקו נותרים במשך זמן רב באי-ודאות בנוגע לזכאותם לפיצוי. התארכות תקופה זו, שבממוצע ארוכה עד פי שמונה יותר מזמן הטיפול בוועדות הערר של משרד המשפטים, ובעררים מסוימים </w:t>
      </w:r>
      <w:r>
        <w:rPr>
          <w:rFonts w:hint="cs"/>
          <w:b/>
          <w:bCs/>
          <w:rtl/>
        </w:rPr>
        <w:t xml:space="preserve">נמשכה </w:t>
      </w:r>
      <w:r w:rsidRPr="00A81964">
        <w:rPr>
          <w:b/>
          <w:bCs/>
          <w:rtl/>
        </w:rPr>
        <w:t>אף יותר מעשר שנים, היא בלתי סבי</w:t>
      </w:r>
      <w:r w:rsidRPr="00A81964">
        <w:rPr>
          <w:rFonts w:hint="cs"/>
          <w:b/>
          <w:bCs/>
          <w:rtl/>
        </w:rPr>
        <w:t>רה.</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עוד עלה כי </w:t>
      </w:r>
      <w:r w:rsidRPr="00A81964">
        <w:rPr>
          <w:b/>
          <w:bCs/>
          <w:rtl/>
        </w:rPr>
        <w:t>משרד האוצר</w:t>
      </w:r>
      <w:r w:rsidRPr="00A81964">
        <w:rPr>
          <w:rtl/>
        </w:rPr>
        <w:t xml:space="preserve"> </w:t>
      </w:r>
      <w:r w:rsidRPr="00A81964">
        <w:rPr>
          <w:b/>
          <w:bCs/>
          <w:rtl/>
        </w:rPr>
        <w:t>נ</w:t>
      </w:r>
      <w:r w:rsidRPr="00A81964">
        <w:rPr>
          <w:rFonts w:hint="cs"/>
          <w:b/>
          <w:bCs/>
          <w:rtl/>
        </w:rPr>
        <w:t>יהל את</w:t>
      </w:r>
      <w:r w:rsidRPr="00A81964">
        <w:rPr>
          <w:b/>
          <w:bCs/>
          <w:rtl/>
        </w:rPr>
        <w:t xml:space="preserve"> הקרן כקרן רישומית בלבד וללא נכסים מזוהים, </w:t>
      </w:r>
      <w:r w:rsidRPr="00A81964">
        <w:rPr>
          <w:rFonts w:hint="cs"/>
          <w:b/>
          <w:bCs/>
          <w:rtl/>
        </w:rPr>
        <w:t>ואף</w:t>
      </w:r>
      <w:r>
        <w:rPr>
          <w:rFonts w:hint="cs"/>
          <w:b/>
          <w:bCs/>
          <w:rtl/>
        </w:rPr>
        <w:t xml:space="preserve"> </w:t>
      </w:r>
      <w:r w:rsidRPr="00A81964">
        <w:rPr>
          <w:b/>
          <w:bCs/>
          <w:rtl/>
        </w:rPr>
        <w:t>השתמש בכספי הקרן באופן שוטף</w:t>
      </w:r>
      <w:r w:rsidRPr="00A81964">
        <w:rPr>
          <w:rFonts w:hint="cs"/>
          <w:b/>
          <w:bCs/>
          <w:rtl/>
        </w:rPr>
        <w:t>,</w:t>
      </w:r>
      <w:r w:rsidRPr="00A81964">
        <w:rPr>
          <w:b/>
          <w:bCs/>
          <w:rtl/>
        </w:rPr>
        <w:t xml:space="preserve"> </w:t>
      </w:r>
      <w:r w:rsidRPr="00A81964">
        <w:rPr>
          <w:rFonts w:hint="cs"/>
          <w:b/>
          <w:bCs/>
          <w:rtl/>
        </w:rPr>
        <w:t>זאת,</w:t>
      </w:r>
      <w:r w:rsidRPr="00A81964">
        <w:rPr>
          <w:b/>
          <w:bCs/>
          <w:rtl/>
        </w:rPr>
        <w:t xml:space="preserve"> </w:t>
      </w:r>
      <w:r w:rsidRPr="00A81964">
        <w:rPr>
          <w:rFonts w:hint="cs"/>
          <w:b/>
          <w:bCs/>
          <w:rtl/>
        </w:rPr>
        <w:t>ללא עמדה משפטית תומכת ו</w:t>
      </w:r>
      <w:r w:rsidRPr="00A81964">
        <w:rPr>
          <w:b/>
          <w:bCs/>
          <w:rtl/>
        </w:rPr>
        <w:t>ללא בדיקה כלכלית מקיפה בנושא. כספי הקרן נושאים ריבית נמוכה</w:t>
      </w:r>
      <w:r w:rsidRPr="00A81964">
        <w:rPr>
          <w:rFonts w:hint="cs"/>
          <w:b/>
          <w:bCs/>
          <w:rtl/>
        </w:rPr>
        <w:t>,</w:t>
      </w:r>
      <w:r w:rsidRPr="00A81964">
        <w:rPr>
          <w:b/>
          <w:bCs/>
          <w:rtl/>
        </w:rPr>
        <w:t xml:space="preserve"> אשר אין בה כדי לכסות את השחיקה האינפלציונית</w:t>
      </w:r>
      <w:r w:rsidRPr="00A81964">
        <w:rPr>
          <w:rFonts w:hint="cs"/>
          <w:b/>
          <w:bCs/>
          <w:rtl/>
        </w:rPr>
        <w:t xml:space="preserve">, </w:t>
      </w:r>
      <w:r>
        <w:rPr>
          <w:rFonts w:hint="cs"/>
          <w:b/>
          <w:bCs/>
          <w:rtl/>
        </w:rPr>
        <w:t>ואינה</w:t>
      </w:r>
      <w:r w:rsidRPr="00A81964">
        <w:rPr>
          <w:rFonts w:hint="cs"/>
          <w:b/>
          <w:bCs/>
          <w:rtl/>
        </w:rPr>
        <w:t xml:space="preserve"> עול</w:t>
      </w:r>
      <w:r>
        <w:rPr>
          <w:rFonts w:hint="cs"/>
          <w:b/>
          <w:bCs/>
          <w:rtl/>
        </w:rPr>
        <w:t>ה</w:t>
      </w:r>
      <w:r w:rsidRPr="00A81964">
        <w:rPr>
          <w:rFonts w:hint="cs"/>
          <w:b/>
          <w:bCs/>
          <w:rtl/>
        </w:rPr>
        <w:t xml:space="preserve"> בקנה אחד עם סביבת הריבית המשתנה. הפער המצטבר לשנים 2011 - 2023 בין הכנסות הריבית שנזקפו לקרן לבין הכנסות מריבית פריים עמד על כ-2.8 מיליארד ש"ח.</w:t>
      </w:r>
      <w:r>
        <w:rPr>
          <w:rFonts w:hint="cs"/>
          <w:b/>
          <w:bCs/>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עוד נמצא כי </w:t>
      </w:r>
      <w:r w:rsidRPr="00A81964">
        <w:rPr>
          <w:b/>
          <w:bCs/>
          <w:rtl/>
        </w:rPr>
        <w:t>ערב מלחמת חרבות ברזל יתרת קרן הפיצויים</w:t>
      </w:r>
      <w:r w:rsidRPr="00A81964">
        <w:rPr>
          <w:rFonts w:hint="cs"/>
          <w:b/>
          <w:bCs/>
          <w:rtl/>
        </w:rPr>
        <w:t xml:space="preserve"> (17.7 מיליארד ש"ח)</w:t>
      </w:r>
      <w:r w:rsidRPr="00A81964">
        <w:rPr>
          <w:b/>
          <w:bCs/>
          <w:rtl/>
        </w:rPr>
        <w:t xml:space="preserve"> </w:t>
      </w:r>
      <w:r w:rsidRPr="00A81964">
        <w:rPr>
          <w:rFonts w:hint="cs"/>
          <w:b/>
          <w:bCs/>
          <w:rtl/>
        </w:rPr>
        <w:t>הייתה נמוכה</w:t>
      </w:r>
      <w:r w:rsidRPr="00A81964">
        <w:rPr>
          <w:rtl/>
        </w:rPr>
        <w:t xml:space="preserve"> </w:t>
      </w:r>
      <w:r w:rsidRPr="00A81964">
        <w:rPr>
          <w:b/>
          <w:bCs/>
          <w:rtl/>
        </w:rPr>
        <w:t>מההוצאות בתקופת מלחמת חרבות ברזל לפיצוי ישיר ועקיף, מאוקטובר 2023 ועד תום 2024</w:t>
      </w:r>
      <w:r w:rsidRPr="00A81964">
        <w:rPr>
          <w:rFonts w:hint="cs"/>
          <w:b/>
          <w:bCs/>
          <w:rtl/>
        </w:rPr>
        <w:t xml:space="preserve"> (18.8 מיליארד ש"ח) </w:t>
      </w:r>
      <w:r w:rsidRPr="00A81964">
        <w:rPr>
          <w:rFonts w:hint="cs"/>
          <w:b/>
          <w:bCs/>
          <w:rtl/>
        </w:rPr>
        <w:lastRenderedPageBreak/>
        <w:t>ואף מהערכת הנזק הישיר בלבד (36.2 מיליארד ש"ח) ובפועל, הממשלה נדרשה להגדיל את ההפרשות לקרן מתקבולי מס רכישה בשנים הבאות כדי לעמוד בהוצאות</w:t>
      </w:r>
      <w:r w:rsidRPr="00A81964">
        <w:rPr>
          <w:b/>
          <w:bCs/>
          <w:rtl/>
        </w:rPr>
        <w:t xml:space="preserve">. </w:t>
      </w:r>
      <w:r w:rsidRPr="00A81964">
        <w:rPr>
          <w:rFonts w:hint="cs"/>
          <w:b/>
          <w:bCs/>
          <w:rtl/>
        </w:rPr>
        <w:t xml:space="preserve">משרד האוצר </w:t>
      </w:r>
      <w:r w:rsidRPr="00A81964">
        <w:rPr>
          <w:b/>
          <w:bCs/>
          <w:rtl/>
        </w:rPr>
        <w:t>לא קבע</w:t>
      </w:r>
      <w:r w:rsidRPr="00A81964">
        <w:rPr>
          <w:rFonts w:hint="cs"/>
          <w:b/>
          <w:bCs/>
          <w:rtl/>
        </w:rPr>
        <w:t xml:space="preserve"> ולא הציג ל</w:t>
      </w:r>
      <w:r>
        <w:rPr>
          <w:rFonts w:hint="cs"/>
          <w:b/>
          <w:bCs/>
          <w:rtl/>
        </w:rPr>
        <w:t>וועדת הכספים של הכנסת</w:t>
      </w:r>
      <w:r w:rsidRPr="00A81964">
        <w:rPr>
          <w:b/>
          <w:bCs/>
          <w:rtl/>
        </w:rPr>
        <w:t xml:space="preserve"> </w:t>
      </w:r>
      <w:r w:rsidRPr="00A81964">
        <w:rPr>
          <w:rFonts w:hint="eastAsia"/>
          <w:b/>
          <w:bCs/>
          <w:rtl/>
        </w:rPr>
        <w:t>במהלך</w:t>
      </w:r>
      <w:r w:rsidRPr="00A81964">
        <w:rPr>
          <w:b/>
          <w:bCs/>
          <w:rtl/>
        </w:rPr>
        <w:t xml:space="preserve"> </w:t>
      </w:r>
      <w:r w:rsidRPr="00A81964">
        <w:rPr>
          <w:rFonts w:hint="eastAsia"/>
          <w:b/>
          <w:bCs/>
          <w:rtl/>
        </w:rPr>
        <w:t>השנים</w:t>
      </w:r>
      <w:r w:rsidRPr="00A81964">
        <w:rPr>
          <w:b/>
          <w:bCs/>
          <w:rtl/>
        </w:rPr>
        <w:t xml:space="preserve"> לאיזה תרחיש הקרן נדרשת להיערך, מה היתרה הנדרשת בקרן </w:t>
      </w:r>
      <w:r w:rsidRPr="00A81964">
        <w:rPr>
          <w:rFonts w:hint="cs"/>
          <w:b/>
          <w:bCs/>
          <w:rtl/>
        </w:rPr>
        <w:t>ו</w:t>
      </w:r>
      <w:r w:rsidRPr="00A81964">
        <w:rPr>
          <w:b/>
          <w:bCs/>
          <w:rtl/>
        </w:rPr>
        <w:t>מהו מבנה ההון האופטימלי אל מול החשיפה של הקרן</w:t>
      </w:r>
      <w:r w:rsidRPr="00A81964">
        <w:rPr>
          <w:rFonts w:hint="cs"/>
          <w:b/>
          <w:bCs/>
          <w:rtl/>
        </w:rPr>
        <w:t xml:space="preserve">, </w:t>
      </w:r>
      <w:r w:rsidRPr="00A81964">
        <w:rPr>
          <w:rFonts w:ascii="David" w:eastAsia="Calibri" w:hAnsi="David" w:hint="cs"/>
          <w:b/>
          <w:bCs/>
          <w:rtl/>
        </w:rPr>
        <w:t xml:space="preserve">ובכך </w:t>
      </w:r>
      <w:r w:rsidRPr="00A81964">
        <w:rPr>
          <w:rFonts w:ascii="David" w:eastAsia="Calibri" w:hAnsi="David"/>
          <w:b/>
          <w:bCs/>
          <w:rtl/>
        </w:rPr>
        <w:t>לא נעשתה היערכות מספקת לתרחיש מלחמה</w:t>
      </w:r>
      <w:r w:rsidRPr="00A81964">
        <w:rPr>
          <w:rFonts w:ascii="David" w:eastAsia="Calibri" w:hAnsi="David" w:hint="cs"/>
          <w:b/>
          <w:bCs/>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משרד מבקר המדינה מציין לחיוב את פעילות עובדי קרן הפיצויים ואת תודעת השירות שבאה לידי ביטוי בהגעה של </w:t>
      </w:r>
      <w:r w:rsidRPr="00A81964">
        <w:rPr>
          <w:b/>
          <w:bCs/>
          <w:rtl/>
        </w:rPr>
        <w:t>צוותי השטח</w:t>
      </w:r>
      <w:r w:rsidRPr="00A81964">
        <w:rPr>
          <w:rFonts w:hint="cs"/>
          <w:b/>
          <w:bCs/>
          <w:rtl/>
        </w:rPr>
        <w:t xml:space="preserve"> </w:t>
      </w:r>
      <w:r w:rsidRPr="00A81964">
        <w:rPr>
          <w:b/>
          <w:bCs/>
          <w:rtl/>
        </w:rPr>
        <w:t>לאתרי הנזק עוד טרם פנייתם של בעלי הנכסים שניזוקו ובכך מסייעים להגשת התביעות ולקידום הטיפול בנזקים</w:t>
      </w:r>
      <w:r w:rsidRPr="00A81964">
        <w:rPr>
          <w:rFonts w:hint="cs"/>
          <w:b/>
          <w:bCs/>
          <w:rtl/>
        </w:rPr>
        <w:t>. עוד מציין לחיוב</w:t>
      </w:r>
      <w:r w:rsidRPr="00A81964">
        <w:rPr>
          <w:b/>
          <w:bCs/>
          <w:rtl/>
        </w:rPr>
        <w:t xml:space="preserve"> את יוזמת קרן הפיצויים לקיים כנסים ביישובים שנפגעו, בעיצומה של לחימה, לצורך הנגשת המידע המקצועי הרלוונטי ואת הסיוע לבעלי העסקים שנפגעו לממש את זכאותם לפיצויים באמצעות מפגשים אישיים.</w:t>
      </w:r>
      <w:r w:rsidRPr="00A81964">
        <w:rPr>
          <w:rFonts w:hint="cs"/>
          <w:b/>
          <w:bCs/>
          <w:rtl/>
        </w:rPr>
        <w:t xml:space="preserve"> לצד זאת</w:t>
      </w:r>
      <w:r>
        <w:rPr>
          <w:rFonts w:hint="cs"/>
          <w:b/>
          <w:bCs/>
          <w:rtl/>
        </w:rPr>
        <w:t xml:space="preserve"> הרשות לא ביצעה תהליך הפקת לקחים באשר לטיפול בתביעות בגין לפיצויים בגין נזקים עקיפים</w:t>
      </w:r>
      <w:r w:rsidRPr="00A81964">
        <w:rPr>
          <w:rFonts w:hint="cs"/>
          <w:b/>
          <w:bCs/>
          <w:rtl/>
        </w:rPr>
        <w:t xml:space="preserve"> ולא שלחה סקרי שביעות רצון לניזוקים</w:t>
      </w:r>
      <w:r w:rsidRPr="00A81964">
        <w:rPr>
          <w:b/>
          <w:bCs/>
          <w:rtl/>
        </w:rPr>
        <w:t>.</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מומלץ כי רשות </w:t>
      </w:r>
      <w:r>
        <w:rPr>
          <w:rFonts w:hint="cs"/>
          <w:b/>
          <w:bCs/>
          <w:rtl/>
        </w:rPr>
        <w:t>המיסים</w:t>
      </w:r>
      <w:r w:rsidRPr="00A81964">
        <w:rPr>
          <w:rFonts w:hint="cs"/>
          <w:b/>
          <w:bCs/>
          <w:rtl/>
        </w:rPr>
        <w:t xml:space="preserve"> ומשרד האוצר </w:t>
      </w:r>
      <w:r>
        <w:rPr>
          <w:rFonts w:hint="cs"/>
          <w:b/>
          <w:bCs/>
          <w:rtl/>
        </w:rPr>
        <w:t>ייזמו הצעת</w:t>
      </w:r>
      <w:r w:rsidRPr="00A81964">
        <w:rPr>
          <w:rFonts w:hint="cs"/>
          <w:b/>
          <w:bCs/>
          <w:rtl/>
        </w:rPr>
        <w:t xml:space="preserve"> חוק בעלת תוקף קבוע בעניין מסלולי פיצויים בגין נזק עקי</w:t>
      </w:r>
      <w:r>
        <w:rPr>
          <w:rFonts w:hint="cs"/>
          <w:b/>
          <w:bCs/>
          <w:rtl/>
        </w:rPr>
        <w:t>ף</w:t>
      </w:r>
      <w:r w:rsidRPr="00A81964">
        <w:rPr>
          <w:rFonts w:hint="cs"/>
          <w:b/>
          <w:bCs/>
          <w:rtl/>
        </w:rPr>
        <w:t>, במטרה לקצר</w:t>
      </w:r>
      <w:r w:rsidRPr="00A81964">
        <w:rPr>
          <w:b/>
          <w:bCs/>
          <w:rtl/>
        </w:rPr>
        <w:t xml:space="preserve"> את פרק הזמן שחולף מהמועד בו נגרם נזק ועד המועד בו מתאפשרת הגשת תביעה וקבלת פיצויים בגינו ויעניקו לעסקים ודאות בשעת חירום</w:t>
      </w:r>
      <w:r w:rsidRPr="00A81964">
        <w:rPr>
          <w:rFonts w:hint="cs"/>
          <w:b/>
          <w:bCs/>
          <w:rtl/>
        </w:rPr>
        <w:t xml:space="preserve">. </w:t>
      </w:r>
    </w:p>
    <w:p w:rsidR="006252C4" w:rsidRDefault="006252C4" w:rsidP="006252C4">
      <w:pPr>
        <w:pStyle w:val="a8"/>
        <w:spacing w:line="269" w:lineRule="auto"/>
        <w:rPr>
          <w:rtl/>
        </w:rPr>
      </w:pPr>
    </w:p>
    <w:p w:rsidR="006252C4" w:rsidRPr="00A81964" w:rsidRDefault="006252C4" w:rsidP="006252C4">
      <w:pPr>
        <w:spacing w:line="269" w:lineRule="auto"/>
        <w:rPr>
          <w:b/>
          <w:bCs/>
          <w:rtl/>
        </w:rPr>
      </w:pPr>
      <w:r w:rsidRPr="00A81964">
        <w:rPr>
          <w:rFonts w:hint="cs"/>
          <w:b/>
          <w:bCs/>
          <w:rtl/>
        </w:rPr>
        <w:t xml:space="preserve">על רשות המיסים </w:t>
      </w:r>
      <w:r>
        <w:rPr>
          <w:rFonts w:hint="cs"/>
          <w:b/>
          <w:bCs/>
          <w:rtl/>
        </w:rPr>
        <w:t>לנקוט ב</w:t>
      </w:r>
      <w:r w:rsidRPr="00A81964">
        <w:rPr>
          <w:rFonts w:hint="cs"/>
          <w:b/>
          <w:bCs/>
          <w:rtl/>
        </w:rPr>
        <w:t xml:space="preserve">הליכי גבייה </w:t>
      </w:r>
      <w:r>
        <w:rPr>
          <w:rFonts w:hint="cs"/>
          <w:b/>
          <w:bCs/>
          <w:rtl/>
        </w:rPr>
        <w:t>כלפי</w:t>
      </w:r>
      <w:r w:rsidRPr="00A81964">
        <w:rPr>
          <w:rFonts w:hint="cs"/>
          <w:b/>
          <w:bCs/>
          <w:rtl/>
        </w:rPr>
        <w:t xml:space="preserve"> כלל התשלומים העודפים </w:t>
      </w:r>
      <w:r w:rsidRPr="00A81964">
        <w:rPr>
          <w:b/>
          <w:bCs/>
          <w:rtl/>
        </w:rPr>
        <w:t>שנוצרו בגין תשלומי קרן הפיצויים</w:t>
      </w:r>
      <w:r w:rsidRPr="00A81964">
        <w:rPr>
          <w:rFonts w:hint="cs"/>
          <w:b/>
          <w:bCs/>
          <w:rtl/>
        </w:rPr>
        <w:t xml:space="preserve"> ו</w:t>
      </w:r>
      <w:r w:rsidRPr="00A81964">
        <w:rPr>
          <w:b/>
          <w:bCs/>
          <w:rtl/>
        </w:rPr>
        <w:t>לבחון כיצד לעשות שימוש מיטבי בכוח האדם ובכלים הטכנולוגיים שברשותה לצורך כך</w:t>
      </w:r>
      <w:r w:rsidRPr="00A81964">
        <w:rPr>
          <w:rFonts w:hint="cs"/>
          <w:b/>
          <w:bCs/>
          <w:rtl/>
        </w:rPr>
        <w:t xml:space="preserve">. נוסף על כך, על הרשות לפעול לפיתוחן ולהטמעתן של בקרות ממוחשבות במערכות קרן הפיצויים כדי לצמצם את הפגיעה בקופת המדינה בשל תשלומי פיצויים למי שאינו זכאי לכך, לייעל את עבודתה של קרן הפיצויים ולקצר את </w:t>
      </w:r>
      <w:r w:rsidRPr="00A81964">
        <w:rPr>
          <w:b/>
          <w:bCs/>
          <w:rtl/>
        </w:rPr>
        <w:t xml:space="preserve">פרקי הזמן בין המועדים </w:t>
      </w:r>
      <w:r w:rsidRPr="00A81964">
        <w:rPr>
          <w:rFonts w:hint="cs"/>
          <w:b/>
          <w:bCs/>
          <w:rtl/>
        </w:rPr>
        <w:t>שבהם</w:t>
      </w:r>
      <w:r w:rsidRPr="00A81964">
        <w:rPr>
          <w:b/>
          <w:bCs/>
          <w:rtl/>
        </w:rPr>
        <w:t xml:space="preserve"> נגרמו </w:t>
      </w:r>
      <w:r w:rsidRPr="00A81964">
        <w:rPr>
          <w:rFonts w:hint="cs"/>
          <w:b/>
          <w:bCs/>
          <w:rtl/>
        </w:rPr>
        <w:t>ה</w:t>
      </w:r>
      <w:r w:rsidRPr="00A81964">
        <w:rPr>
          <w:b/>
          <w:bCs/>
          <w:rtl/>
        </w:rPr>
        <w:t xml:space="preserve">נזקים </w:t>
      </w:r>
      <w:r w:rsidRPr="00A81964">
        <w:rPr>
          <w:rFonts w:hint="cs"/>
          <w:b/>
          <w:bCs/>
          <w:rtl/>
        </w:rPr>
        <w:t>ה</w:t>
      </w:r>
      <w:r w:rsidRPr="00A81964">
        <w:rPr>
          <w:b/>
          <w:bCs/>
          <w:rtl/>
        </w:rPr>
        <w:t>עקיפים</w:t>
      </w:r>
      <w:r w:rsidRPr="00A81964">
        <w:rPr>
          <w:rFonts w:hint="cs"/>
          <w:b/>
          <w:bCs/>
          <w:rtl/>
        </w:rPr>
        <w:t xml:space="preserve"> </w:t>
      </w:r>
      <w:r w:rsidRPr="00A81964">
        <w:rPr>
          <w:b/>
          <w:bCs/>
          <w:rtl/>
        </w:rPr>
        <w:t xml:space="preserve">לעסקים לבין </w:t>
      </w:r>
      <w:r w:rsidRPr="00A81964">
        <w:rPr>
          <w:rFonts w:hint="cs"/>
          <w:b/>
          <w:bCs/>
          <w:rtl/>
        </w:rPr>
        <w:t>מועדי קבלת</w:t>
      </w:r>
      <w:r w:rsidRPr="00A81964">
        <w:rPr>
          <w:b/>
          <w:bCs/>
          <w:rtl/>
        </w:rPr>
        <w:t xml:space="preserve"> </w:t>
      </w:r>
      <w:r w:rsidRPr="00A81964">
        <w:rPr>
          <w:rFonts w:hint="cs"/>
          <w:b/>
          <w:bCs/>
          <w:rtl/>
        </w:rPr>
        <w:t>ה</w:t>
      </w:r>
      <w:r w:rsidRPr="00A81964">
        <w:rPr>
          <w:b/>
          <w:bCs/>
          <w:rtl/>
        </w:rPr>
        <w:t>פיצויים בגינם</w:t>
      </w:r>
      <w:r w:rsidRPr="00A81964">
        <w:rPr>
          <w:rFonts w:hint="cs"/>
          <w:b/>
          <w:bCs/>
          <w:rtl/>
        </w:rPr>
        <w:t>.</w:t>
      </w:r>
    </w:p>
    <w:p w:rsidR="006252C4" w:rsidRDefault="006252C4" w:rsidP="006252C4">
      <w:pPr>
        <w:pStyle w:val="a8"/>
        <w:spacing w:line="269" w:lineRule="auto"/>
        <w:rPr>
          <w:rtl/>
        </w:rPr>
      </w:pPr>
    </w:p>
    <w:p w:rsidR="00930B35" w:rsidRDefault="006252C4" w:rsidP="006252C4">
      <w:pPr>
        <w:spacing w:line="269" w:lineRule="auto"/>
        <w:rPr>
          <w:b/>
          <w:bCs/>
          <w:szCs w:val="20"/>
          <w:rtl/>
        </w:rPr>
        <w:sectPr w:rsidR="00930B35" w:rsidSect="00930B35">
          <w:headerReference w:type="even" r:id="rId54"/>
          <w:headerReference w:type="default" r:id="rId55"/>
          <w:headerReference w:type="first" r:id="rId56"/>
          <w:footerReference w:type="first" r:id="rId57"/>
          <w:type w:val="continuous"/>
          <w:pgSz w:w="11340" w:h="14175" w:code="9"/>
          <w:pgMar w:top="2268" w:right="1276" w:bottom="1588" w:left="1134" w:header="709" w:footer="709" w:gutter="0"/>
          <w:cols w:space="708"/>
          <w:titlePg/>
          <w:bidi/>
          <w:rtlGutter/>
          <w:docGrid w:linePitch="360"/>
        </w:sectPr>
      </w:pPr>
      <w:r w:rsidRPr="00A81964">
        <w:rPr>
          <w:rFonts w:hint="cs"/>
          <w:b/>
          <w:bCs/>
          <w:rtl/>
        </w:rPr>
        <w:t xml:space="preserve">על </w:t>
      </w:r>
      <w:r w:rsidRPr="00A81964">
        <w:rPr>
          <w:b/>
          <w:bCs/>
          <w:rtl/>
        </w:rPr>
        <w:t>משרד האוצר לבחון משפטית האם ניהול הקרן כקרן רישומית, אשר הכספים הנצברים בה אינם ‏מושקעים בנכסים מזוהים</w:t>
      </w:r>
      <w:r w:rsidRPr="0008579E">
        <w:rPr>
          <w:b/>
          <w:bCs/>
          <w:rtl/>
        </w:rPr>
        <w:t xml:space="preserve">, </w:t>
      </w:r>
      <w:r w:rsidRPr="0008579E">
        <w:rPr>
          <w:rFonts w:hint="eastAsia"/>
          <w:b/>
          <w:bCs/>
          <w:rtl/>
        </w:rPr>
        <w:t>והאם</w:t>
      </w:r>
      <w:r w:rsidRPr="0008579E">
        <w:rPr>
          <w:b/>
          <w:bCs/>
          <w:rtl/>
        </w:rPr>
        <w:t xml:space="preserve"> השימוש </w:t>
      </w:r>
      <w:r w:rsidRPr="0008579E">
        <w:rPr>
          <w:rFonts w:hint="eastAsia"/>
          <w:b/>
          <w:bCs/>
          <w:rtl/>
        </w:rPr>
        <w:t>שנעשה</w:t>
      </w:r>
      <w:r w:rsidRPr="0008579E">
        <w:rPr>
          <w:b/>
          <w:bCs/>
          <w:rtl/>
        </w:rPr>
        <w:t xml:space="preserve"> בכספים אלו עולה</w:t>
      </w:r>
      <w:r w:rsidRPr="0008579E">
        <w:rPr>
          <w:rFonts w:ascii="Tahoma" w:eastAsia="Calibri" w:hAnsi="Tahoma" w:cs="Tahoma"/>
          <w:sz w:val="19"/>
          <w:szCs w:val="19"/>
          <w:rtl/>
        </w:rPr>
        <w:t xml:space="preserve"> </w:t>
      </w:r>
      <w:r w:rsidRPr="0008579E">
        <w:rPr>
          <w:b/>
          <w:bCs/>
          <w:rtl/>
        </w:rPr>
        <w:t>ב</w:t>
      </w:r>
      <w:r w:rsidRPr="00A81964">
        <w:rPr>
          <w:b/>
          <w:bCs/>
          <w:rtl/>
        </w:rPr>
        <w:t>קנה אחד עם ‏הוראות סעיף 2</w:t>
      </w:r>
      <w:r>
        <w:rPr>
          <w:rFonts w:hint="cs"/>
          <w:b/>
          <w:bCs/>
          <w:rtl/>
        </w:rPr>
        <w:t xml:space="preserve">א </w:t>
      </w:r>
      <w:r w:rsidRPr="00A81964">
        <w:rPr>
          <w:b/>
          <w:bCs/>
          <w:rtl/>
        </w:rPr>
        <w:t>לחוק מס רכוש וכל סעיפי המשנה שלו.‏</w:t>
      </w:r>
      <w:r w:rsidRPr="00A81964">
        <w:rPr>
          <w:rFonts w:hint="cs"/>
          <w:b/>
          <w:bCs/>
          <w:rtl/>
        </w:rPr>
        <w:t xml:space="preserve"> כמו כן, עליו לבצע עבודת מטה מקיפה בדבר</w:t>
      </w:r>
      <w:r>
        <w:rPr>
          <w:rFonts w:hint="cs"/>
          <w:b/>
          <w:bCs/>
          <w:rtl/>
        </w:rPr>
        <w:t xml:space="preserve"> </w:t>
      </w:r>
      <w:r w:rsidRPr="00A81964">
        <w:rPr>
          <w:b/>
          <w:bCs/>
          <w:rtl/>
        </w:rPr>
        <w:t>כדאיות השימוש בכספי</w:t>
      </w:r>
      <w:r w:rsidRPr="00A81964">
        <w:rPr>
          <w:rFonts w:hint="cs"/>
          <w:b/>
          <w:bCs/>
          <w:rtl/>
        </w:rPr>
        <w:t xml:space="preserve"> </w:t>
      </w:r>
      <w:r w:rsidRPr="00A81964">
        <w:rPr>
          <w:b/>
          <w:bCs/>
          <w:rtl/>
        </w:rPr>
        <w:t>קרן הפיצויים למימון הוצאות הממשלה.</w:t>
      </w:r>
      <w:r>
        <w:rPr>
          <w:rFonts w:ascii="David" w:eastAsia="Calibri" w:hAnsi="David" w:hint="cs"/>
          <w:b/>
          <w:bCs/>
          <w:rtl/>
        </w:rPr>
        <w:t xml:space="preserve"> כמו</w:t>
      </w:r>
      <w:r w:rsidRPr="00A81964">
        <w:rPr>
          <w:rFonts w:ascii="David" w:eastAsia="Calibri" w:hAnsi="David" w:hint="cs"/>
          <w:b/>
          <w:bCs/>
          <w:rtl/>
        </w:rPr>
        <w:t xml:space="preserve"> כן, </w:t>
      </w:r>
      <w:r w:rsidRPr="00A81964">
        <w:rPr>
          <w:rFonts w:ascii="David" w:eastAsia="Calibri" w:hAnsi="David"/>
          <w:b/>
          <w:bCs/>
          <w:rtl/>
        </w:rPr>
        <w:t>על משרד האוצר</w:t>
      </w:r>
      <w:r w:rsidRPr="00A81964">
        <w:rPr>
          <w:rFonts w:ascii="David" w:eastAsia="Calibri" w:hAnsi="David" w:hint="cs"/>
          <w:b/>
          <w:bCs/>
          <w:rtl/>
        </w:rPr>
        <w:t xml:space="preserve"> לגבש עבודת מטה ולקבוע יעדים ומקורות מימון תוך בחינה עיתית ועמידה בהערכות המתעדכנות</w:t>
      </w:r>
      <w:r w:rsidRPr="00A81964">
        <w:rPr>
          <w:rFonts w:ascii="David" w:eastAsia="Calibri" w:hAnsi="David"/>
          <w:b/>
          <w:bCs/>
          <w:rtl/>
        </w:rPr>
        <w:t xml:space="preserve">, </w:t>
      </w:r>
      <w:r w:rsidRPr="00A81964">
        <w:rPr>
          <w:rFonts w:ascii="David" w:eastAsia="Calibri" w:hAnsi="David" w:hint="eastAsia"/>
          <w:b/>
          <w:bCs/>
          <w:rtl/>
        </w:rPr>
        <w:t>ו</w:t>
      </w:r>
      <w:r w:rsidRPr="00A81964">
        <w:rPr>
          <w:rFonts w:ascii="David" w:eastAsia="Calibri" w:hAnsi="David"/>
          <w:b/>
          <w:bCs/>
          <w:rtl/>
        </w:rPr>
        <w:t>להציג לכנסת</w:t>
      </w:r>
      <w:bookmarkStart w:id="44" w:name="_Hlk191803218"/>
      <w:r w:rsidRPr="00A81964">
        <w:rPr>
          <w:rFonts w:ascii="David" w:eastAsia="Calibri" w:hAnsi="David"/>
          <w:b/>
          <w:bCs/>
          <w:rtl/>
        </w:rPr>
        <w:t>, במסגרת מסמכי התקציב, גם את הג</w:t>
      </w:r>
      <w:r>
        <w:rPr>
          <w:rFonts w:ascii="David" w:eastAsia="Calibri" w:hAnsi="David" w:hint="cs"/>
          <w:b/>
          <w:bCs/>
          <w:rtl/>
        </w:rPr>
        <w:t>י</w:t>
      </w:r>
      <w:r w:rsidRPr="00A81964">
        <w:rPr>
          <w:rFonts w:ascii="David" w:eastAsia="Calibri" w:hAnsi="David"/>
          <w:b/>
          <w:bCs/>
          <w:rtl/>
        </w:rPr>
        <w:t>רעון אשר י</w:t>
      </w:r>
      <w:r>
        <w:rPr>
          <w:rFonts w:ascii="David" w:eastAsia="Calibri" w:hAnsi="David" w:hint="cs"/>
          <w:b/>
          <w:bCs/>
          <w:rtl/>
        </w:rPr>
        <w:t>י</w:t>
      </w:r>
      <w:r w:rsidRPr="00A81964">
        <w:rPr>
          <w:rFonts w:ascii="David" w:eastAsia="Calibri" w:hAnsi="David"/>
          <w:b/>
          <w:bCs/>
          <w:rtl/>
        </w:rPr>
        <w:t xml:space="preserve">תכן </w:t>
      </w:r>
      <w:r>
        <w:rPr>
          <w:rFonts w:ascii="David" w:eastAsia="Calibri" w:hAnsi="David" w:hint="cs"/>
          <w:b/>
          <w:bCs/>
          <w:rtl/>
        </w:rPr>
        <w:t>ש</w:t>
      </w:r>
      <w:r w:rsidRPr="00A81964">
        <w:rPr>
          <w:rFonts w:ascii="David" w:eastAsia="Calibri" w:hAnsi="David"/>
          <w:b/>
          <w:bCs/>
          <w:rtl/>
        </w:rPr>
        <w:t>יידרש לממנו בעת מצבי ח</w:t>
      </w:r>
      <w:r>
        <w:rPr>
          <w:rFonts w:ascii="David" w:eastAsia="Calibri" w:hAnsi="David" w:hint="cs"/>
          <w:b/>
          <w:bCs/>
          <w:rtl/>
        </w:rPr>
        <w:t>י</w:t>
      </w:r>
      <w:r w:rsidRPr="00A81964">
        <w:rPr>
          <w:rFonts w:ascii="David" w:eastAsia="Calibri" w:hAnsi="David"/>
          <w:b/>
          <w:bCs/>
          <w:rtl/>
        </w:rPr>
        <w:t>רום, ובכלל זה ההתחייבויות לקרן הפיצויים, ואת עלויות המימון הכרוכות בגיוס החוב בעת מלחמה. הצגת נתונים אלו תאפשר למקבלי ההחלטות לשקלל גם תרחישים למלחמות עתידיות ותרחישי קטסטרופה אחרים בבואם לאשר את תקציב המדינה</w:t>
      </w:r>
      <w:bookmarkEnd w:id="3"/>
      <w:bookmarkEnd w:id="4"/>
      <w:bookmarkEnd w:id="23"/>
      <w:bookmarkEnd w:id="44"/>
      <w:r w:rsidR="00A67BF7" w:rsidRPr="00D04D4F">
        <w:rPr>
          <w:rFonts w:hint="cs"/>
          <w:b/>
          <w:bCs/>
          <w:szCs w:val="20"/>
          <w:rtl/>
        </w:rPr>
        <w:t>.</w:t>
      </w:r>
    </w:p>
    <w:bookmarkEnd w:id="5"/>
    <w:p w:rsidR="008B3CAB" w:rsidRPr="004E2733" w:rsidRDefault="008B3CAB" w:rsidP="00930B35">
      <w:pPr>
        <w:spacing w:after="160" w:line="259" w:lineRule="auto"/>
        <w:jc w:val="left"/>
        <w:rPr>
          <w:rFonts w:ascii="Tahoma" w:hAnsi="Tahoma" w:cs="Tahoma"/>
          <w:noProof/>
          <w:rtl/>
        </w:rPr>
      </w:pPr>
    </w:p>
    <w:sectPr w:rsidR="008B3CAB" w:rsidRPr="004E2733" w:rsidSect="00930B35">
      <w:headerReference w:type="even" r:id="rId58"/>
      <w:type w:val="continuous"/>
      <w:pgSz w:w="11340" w:h="14175" w:code="9"/>
      <w:pgMar w:top="2268" w:right="1276" w:bottom="1588" w:left="1134"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4C7B" w:rsidRDefault="00184C7B">
      <w:pPr>
        <w:spacing w:line="240" w:lineRule="auto"/>
      </w:pPr>
      <w:r>
        <w:separator/>
      </w:r>
    </w:p>
  </w:endnote>
  <w:endnote w:type="continuationSeparator" w:id="0">
    <w:p w:rsidR="00184C7B" w:rsidRDefault="00184C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lmoni ML v5 AAA">
    <w:panose1 w:val="00000500000000000000"/>
    <w:charset w:val="00"/>
    <w:family w:val="modern"/>
    <w:notTrueType/>
    <w:pitch w:val="variable"/>
    <w:sig w:usb0="00000A07" w:usb1="40000000" w:usb2="00000000" w:usb3="00000000" w:csb0="000000B7" w:csb1="00000000"/>
  </w:font>
  <w:font w:name="David-Bold">
    <w:altName w:val="David"/>
    <w:panose1 w:val="00000000000000000000"/>
    <w:charset w:val="B1"/>
    <w:family w:val="auto"/>
    <w:notTrueType/>
    <w:pitch w:val="default"/>
    <w:sig w:usb0="00000801" w:usb1="00000000" w:usb2="00000000" w:usb3="00000000" w:csb0="0000002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C7B" w:rsidRDefault="00184C7B">
    <w:pPr>
      <w:pStyle w:val="ac"/>
      <w:rPr>
        <w:rtl/>
      </w:rPr>
    </w:pPr>
    <w:r>
      <w:rPr>
        <w:noProof/>
      </w:rPr>
      <mc:AlternateContent>
        <mc:Choice Requires="wpg">
          <w:drawing>
            <wp:anchor distT="0" distB="0" distL="114300" distR="114300" simplePos="0" relativeHeight="251654656" behindDoc="0" locked="0" layoutInCell="1" allowOverlap="1">
              <wp:simplePos x="0" y="0"/>
              <wp:positionH relativeFrom="column">
                <wp:posOffset>1591311</wp:posOffset>
              </wp:positionH>
              <wp:positionV relativeFrom="paragraph">
                <wp:posOffset>-391583</wp:posOffset>
              </wp:positionV>
              <wp:extent cx="2512060" cy="2365375"/>
              <wp:effectExtent l="0" t="0" r="2540" b="0"/>
              <wp:wrapNone/>
              <wp:docPr id="58" name="קבוצה 58"/>
              <wp:cNvGraphicFramePr/>
              <a:graphic xmlns:a="http://schemas.openxmlformats.org/drawingml/2006/main">
                <a:graphicData uri="http://schemas.microsoft.com/office/word/2010/wordprocessingGroup">
                  <wpg:wgp>
                    <wpg:cNvGrpSpPr/>
                    <wpg:grpSpPr>
                      <a:xfrm>
                        <a:off x="0" y="0"/>
                        <a:ext cx="2512060" cy="2365375"/>
                        <a:chOff x="3936" y="0"/>
                        <a:chExt cx="2512060" cy="2365375"/>
                      </a:xfrm>
                    </wpg:grpSpPr>
                    <wps:wsp>
                      <wps:cNvPr id="59" name="tbMMHF"/>
                      <wps:cNvSpPr txBox="1"/>
                      <wps:spPr>
                        <a:xfrm>
                          <a:off x="3936" y="180975"/>
                          <a:ext cx="2512060" cy="304800"/>
                        </a:xfrm>
                        <a:prstGeom prst="rect">
                          <a:avLst/>
                        </a:prstGeom>
                        <a:solidFill>
                          <a:schemeClr val="bg1"/>
                        </a:solidFill>
                        <a:ln w="6350">
                          <a:noFill/>
                        </a:ln>
                      </wps:spPr>
                      <wps:txbx>
                        <w:txbxContent>
                          <w:p w:rsidR="00184C7B" w:rsidRPr="0062451B" w:rsidRDefault="00184C7B"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טבת</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ינואר</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2026</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52107"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קבוצה 58" o:spid="_x0000_s1032" style="position:absolute;left:0;text-align:left;margin-left:125.3pt;margin-top:-30.85pt;width:197.8pt;height:186.25pt;z-index:251654656" coordorigin="39" coordsize="25120,2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">
              <v:shapetype id="_x0000_t202" coordsize="21600,21600" o:spt="202" path="m,l,21600r21600,l21600,xe">
                <v:stroke joinstyle="miter"/>
                <v:path gradientshapeok="t" o:connecttype="rect"/>
              </v:shapetype>
              <v:shape id="tbMMHF" o:spid="_x0000_s1033" type="#_x0000_t202" style="position:absolute;left:39;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184C7B" w:rsidRPr="0062451B" w:rsidRDefault="00184C7B"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טבת</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ינואר</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2026</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1034"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5" style="position:absolute;left:4521;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C7B" w:rsidRDefault="00184C7B">
    <w:pPr>
      <w:pStyle w:val="ac"/>
    </w:pPr>
    <w:r>
      <w:rPr>
        <w:noProof/>
      </w:rPr>
      <mc:AlternateContent>
        <mc:Choice Requires="wps">
          <w:drawing>
            <wp:anchor distT="0" distB="0" distL="114300" distR="114300" simplePos="0" relativeHeight="251665920" behindDoc="0" locked="0" layoutInCell="1" allowOverlap="1" wp14:anchorId="33E67302" wp14:editId="2AD6E866">
              <wp:simplePos x="0" y="0"/>
              <wp:positionH relativeFrom="page">
                <wp:align>center</wp:align>
              </wp:positionH>
              <wp:positionV relativeFrom="paragraph">
                <wp:posOffset>-1106656</wp:posOffset>
              </wp:positionV>
              <wp:extent cx="2959100" cy="273050"/>
              <wp:effectExtent l="0" t="0" r="0" b="0"/>
              <wp:wrapNone/>
              <wp:docPr id="52" name="תיבת טקסט 52"/>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rsidR="00184C7B" w:rsidRPr="00A222E2" w:rsidRDefault="00184C7B"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w14:anchorId="33E67302" id="_x0000_t202" coordsize="21600,21600" o:spt="202" path="m,l,21600r21600,l21600,xe">
              <v:stroke joinstyle="miter"/>
              <v:path gradientshapeok="t" o:connecttype="rect"/>
            </v:shapetype>
            <v:shape id="תיבת טקסט 52" o:spid="_x0000_s1051" type="#_x0000_t202" style="position:absolute;left:0;text-align:left;margin-left:0;margin-top:-87.15pt;width:233pt;height:21.5pt;z-index:25166592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" filled="f" stroked="f" strokeweight=".5pt">
              <v:textbox>
                <w:txbxContent>
                  <w:p w:rsidR="00184C7B" w:rsidRPr="00A222E2" w:rsidRDefault="00184C7B"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4C7B" w:rsidRDefault="00184C7B">
      <w:pPr>
        <w:spacing w:line="240" w:lineRule="auto"/>
      </w:pPr>
      <w:r>
        <w:separator/>
      </w:r>
    </w:p>
  </w:footnote>
  <w:footnote w:type="continuationSeparator" w:id="0">
    <w:p w:rsidR="00184C7B" w:rsidRDefault="00184C7B">
      <w:pPr>
        <w:spacing w:line="240" w:lineRule="auto"/>
      </w:pPr>
      <w:r>
        <w:continuationSeparator/>
      </w:r>
    </w:p>
  </w:footnote>
  <w:footnote w:id="1">
    <w:p w:rsidR="00184C7B" w:rsidRPr="00C31D66" w:rsidRDefault="00184C7B" w:rsidP="006252C4">
      <w:pPr>
        <w:pStyle w:val="af0"/>
        <w:rPr>
          <w:rFonts w:ascii="David" w:hAnsi="David"/>
          <w:strike/>
          <w:rtl/>
        </w:rPr>
      </w:pPr>
      <w:r w:rsidRPr="00C31D66">
        <w:rPr>
          <w:rStyle w:val="af2"/>
          <w:rFonts w:ascii="David" w:hAnsi="David"/>
        </w:rPr>
        <w:footnoteRef/>
      </w:r>
      <w:r w:rsidRPr="00C31D66">
        <w:rPr>
          <w:rFonts w:ascii="David" w:hAnsi="David"/>
          <w:rtl/>
        </w:rPr>
        <w:t xml:space="preserve"> </w:t>
      </w:r>
      <w:r w:rsidRPr="00C31D66">
        <w:rPr>
          <w:rFonts w:ascii="David" w:hAnsi="David"/>
          <w:rtl/>
        </w:rPr>
        <w:tab/>
      </w:r>
      <w:bookmarkStart w:id="9" w:name="_Hlk196050911"/>
      <w:r w:rsidRPr="00C31D66">
        <w:rPr>
          <w:rFonts w:ascii="David" w:hAnsi="David"/>
          <w:rtl/>
        </w:rPr>
        <w:t xml:space="preserve">רע"א 5902/12 </w:t>
      </w:r>
      <w:r w:rsidRPr="00C31D66">
        <w:rPr>
          <w:rFonts w:ascii="David" w:hAnsi="David"/>
          <w:b/>
          <w:bCs/>
          <w:rtl/>
        </w:rPr>
        <w:t>מנהל קרן פיצויים ופעולות איבה נ' קיבוץ נירים</w:t>
      </w:r>
      <w:r w:rsidRPr="00C31D66">
        <w:rPr>
          <w:rFonts w:ascii="David" w:hAnsi="David"/>
          <w:rtl/>
        </w:rPr>
        <w:t xml:space="preserve">, פס' 19 לפסק הדין של השופט </w:t>
      </w:r>
      <w:proofErr w:type="spellStart"/>
      <w:r w:rsidRPr="00C31D66">
        <w:rPr>
          <w:rFonts w:ascii="David" w:hAnsi="David"/>
          <w:rtl/>
        </w:rPr>
        <w:t>דנציגר</w:t>
      </w:r>
      <w:proofErr w:type="spellEnd"/>
      <w:r w:rsidRPr="00C31D66">
        <w:rPr>
          <w:rFonts w:ascii="David" w:hAnsi="David"/>
          <w:rtl/>
        </w:rPr>
        <w:t xml:space="preserve"> (פורסם במאגר ממוחשב, 23.1.14).</w:t>
      </w:r>
      <w:r w:rsidRPr="00C31D66">
        <w:rPr>
          <w:rFonts w:ascii="David" w:hAnsi="David"/>
          <w:strike/>
          <w:rtl/>
        </w:rPr>
        <w:t xml:space="preserve"> </w:t>
      </w:r>
      <w:bookmarkEnd w:id="9"/>
    </w:p>
  </w:footnote>
  <w:footnote w:id="2">
    <w:p w:rsidR="00184C7B" w:rsidRPr="00C31D66" w:rsidRDefault="00184C7B" w:rsidP="006252C4">
      <w:pPr>
        <w:pStyle w:val="af0"/>
        <w:rPr>
          <w:rFonts w:ascii="David" w:hAnsi="David"/>
        </w:rPr>
      </w:pPr>
      <w:r w:rsidRPr="00C31D66">
        <w:rPr>
          <w:rStyle w:val="af2"/>
          <w:rFonts w:ascii="David" w:hAnsi="David"/>
        </w:rPr>
        <w:footnoteRef/>
      </w:r>
      <w:r w:rsidRPr="00C31D66">
        <w:rPr>
          <w:rFonts w:ascii="David" w:hAnsi="David"/>
          <w:rtl/>
        </w:rPr>
        <w:t xml:space="preserve"> </w:t>
      </w:r>
      <w:r w:rsidRPr="00C31D66">
        <w:rPr>
          <w:rFonts w:ascii="David" w:hAnsi="David"/>
          <w:rtl/>
        </w:rPr>
        <w:tab/>
        <w:t>דוגמאות ליישובים שהוכרזו כיישובי ספר: בארי, כפר עזה, ניר עוז, שדרות, קריית שמונה, נהרייה ומטולה. ראו בהמשך בפרקים "המסלול האדום - פיצוי בגין נזקים עקיפים ביישובי ספר" ו"אופן סיווג היישובים כיישובי ספר".</w:t>
      </w:r>
    </w:p>
  </w:footnote>
  <w:footnote w:id="3">
    <w:p w:rsidR="00184C7B" w:rsidRPr="00C31D66" w:rsidRDefault="00184C7B" w:rsidP="006252C4">
      <w:pPr>
        <w:pStyle w:val="af0"/>
        <w:rPr>
          <w:rFonts w:ascii="David" w:hAnsi="David"/>
        </w:rPr>
      </w:pPr>
      <w:r w:rsidRPr="00C31D66">
        <w:rPr>
          <w:rStyle w:val="af2"/>
          <w:rFonts w:ascii="David" w:hAnsi="David"/>
        </w:rPr>
        <w:footnoteRef/>
      </w:r>
      <w:r w:rsidRPr="00C31D66">
        <w:rPr>
          <w:rFonts w:ascii="David" w:hAnsi="David"/>
          <w:rtl/>
        </w:rPr>
        <w:t xml:space="preserve"> </w:t>
      </w:r>
      <w:r w:rsidRPr="00C31D66">
        <w:rPr>
          <w:rFonts w:ascii="David" w:hAnsi="David"/>
          <w:rtl/>
        </w:rPr>
        <w:tab/>
        <w:t>למעט במקרים שמפורטים בתקנות.</w:t>
      </w:r>
    </w:p>
  </w:footnote>
  <w:footnote w:id="4">
    <w:p w:rsidR="00184C7B" w:rsidRPr="00C31D66" w:rsidRDefault="00184C7B" w:rsidP="006252C4">
      <w:pPr>
        <w:pStyle w:val="af0"/>
        <w:rPr>
          <w:rFonts w:ascii="David" w:hAnsi="David"/>
        </w:rPr>
      </w:pPr>
      <w:r w:rsidRPr="00C31D66">
        <w:rPr>
          <w:rStyle w:val="af2"/>
          <w:rFonts w:ascii="David" w:hAnsi="David"/>
        </w:rPr>
        <w:footnoteRef/>
      </w:r>
      <w:r w:rsidRPr="00C31D66">
        <w:rPr>
          <w:rFonts w:ascii="David" w:hAnsi="David"/>
          <w:rtl/>
        </w:rPr>
        <w:t xml:space="preserve"> </w:t>
      </w:r>
      <w:r w:rsidRPr="00C31D66">
        <w:rPr>
          <w:rFonts w:ascii="David" w:hAnsi="David"/>
          <w:rtl/>
        </w:rPr>
        <w:tab/>
        <w:t>חוק קרן הפיצויים מסדיר גם תשלום פיצוי על "נזק בצורת" בשנים שבהן מוכרזת בצורת על ידי הגורמים המוסמכים לכך.</w:t>
      </w:r>
      <w:r w:rsidRPr="00C31D66">
        <w:rPr>
          <w:rFonts w:ascii="David" w:hAnsi="David"/>
        </w:rPr>
        <w:t xml:space="preserve"> </w:t>
      </w:r>
    </w:p>
  </w:footnote>
  <w:footnote w:id="5">
    <w:p w:rsidR="00184C7B" w:rsidRPr="00C31D66" w:rsidRDefault="00184C7B" w:rsidP="006252C4">
      <w:pPr>
        <w:pStyle w:val="af0"/>
        <w:rPr>
          <w:rFonts w:ascii="David" w:hAnsi="David"/>
        </w:rPr>
      </w:pPr>
      <w:r w:rsidRPr="00C31D66">
        <w:rPr>
          <w:rStyle w:val="af2"/>
          <w:rFonts w:ascii="David" w:hAnsi="David"/>
        </w:rPr>
        <w:footnoteRef/>
      </w:r>
      <w:r w:rsidRPr="00C31D66">
        <w:rPr>
          <w:rFonts w:ascii="David" w:hAnsi="David"/>
          <w:rtl/>
        </w:rPr>
        <w:t xml:space="preserve"> </w:t>
      </w:r>
      <w:r w:rsidRPr="00C31D66">
        <w:rPr>
          <w:rFonts w:ascii="David" w:hAnsi="David"/>
          <w:rtl/>
        </w:rPr>
        <w:tab/>
        <w:t>עד שנת 2009 שיעור ההפרשה עמד על 25%, בשנת 2010, 45%, בשנים 2011 עד 2014, 25%; בשנת 2015, 47%; בשנת 2016, 25%; בשנת 2017, 75%; בשנים 2018 עד 2020, 0%; בשנת 2021, 25%; בשנים 2022 ו־2023, 0%.</w:t>
      </w:r>
    </w:p>
  </w:footnote>
  <w:footnote w:id="6">
    <w:p w:rsidR="00184C7B" w:rsidRPr="00C31D66" w:rsidRDefault="00184C7B" w:rsidP="006252C4">
      <w:pPr>
        <w:pStyle w:val="af0"/>
        <w:rPr>
          <w:rFonts w:ascii="David" w:hAnsi="David"/>
        </w:rPr>
      </w:pPr>
      <w:r w:rsidRPr="00C31D66">
        <w:rPr>
          <w:rStyle w:val="af2"/>
          <w:rFonts w:ascii="David" w:hAnsi="David"/>
        </w:rPr>
        <w:footnoteRef/>
      </w:r>
      <w:r w:rsidRPr="00C31D66">
        <w:rPr>
          <w:rFonts w:ascii="David" w:hAnsi="David"/>
          <w:rtl/>
        </w:rPr>
        <w:t xml:space="preserve"> </w:t>
      </w:r>
      <w:r w:rsidRPr="00C31D66">
        <w:rPr>
          <w:rFonts w:ascii="David" w:hAnsi="David"/>
          <w:rtl/>
        </w:rPr>
        <w:tab/>
        <w:t>ההכרזה הייתה לשטח ברדיוס של 80 ק"מ מרצועת עזה ותוקפה נקבע ל-48 שעות. ב-8.10.23 האריכה הממשלה את תוקפה של הכרזת שר הביטחון בשטח המדינה כולו וב-12.10.23 החליטה ועדת החוץ והביטחון של הכנסת לאשר את הכרזת הממשלה מ-12.10.23 ולקבוע את תוקפה עד 19.10.23. הממשלה האריכה הכרזה זו באישור ועדת החוץ והביטחון של הכנסת פעמים נוספות. ב-4.3.25 החליטה הממשלה להאריך את תוקפה של ההכרזה תוך צמצומה, כך שתחול באזורים בדרום המדינה הסמוכים לרצועת עזה עד 20.3.25.הממשלה שבה והודיעה על הארכת ההכרזה פעמים נוספות ובמועד כתיבת דוח זה</w:t>
      </w:r>
      <w:r w:rsidRPr="00C31D66">
        <w:rPr>
          <w:rFonts w:ascii="David" w:hAnsi="David"/>
        </w:rPr>
        <w:t xml:space="preserve"> </w:t>
      </w:r>
      <w:r w:rsidRPr="00C31D66">
        <w:rPr>
          <w:rFonts w:ascii="David" w:hAnsi="David"/>
          <w:rtl/>
        </w:rPr>
        <w:t>תוקפה הוארך עד 6.5.25. [</w:t>
      </w:r>
      <w:proofErr w:type="spellStart"/>
      <w:r w:rsidRPr="00C31D66">
        <w:rPr>
          <w:rFonts w:ascii="David" w:hAnsi="David"/>
          <w:rtl/>
        </w:rPr>
        <w:t>י"פ</w:t>
      </w:r>
      <w:proofErr w:type="spellEnd"/>
      <w:r w:rsidRPr="00C31D66">
        <w:rPr>
          <w:rFonts w:ascii="David" w:hAnsi="David"/>
          <w:rtl/>
        </w:rPr>
        <w:t xml:space="preserve"> 13043 מ-29.4.25].</w:t>
      </w:r>
    </w:p>
  </w:footnote>
  <w:footnote w:id="7">
    <w:p w:rsidR="00184C7B" w:rsidRPr="00C31D66" w:rsidRDefault="00184C7B" w:rsidP="006252C4">
      <w:pPr>
        <w:pStyle w:val="af0"/>
        <w:rPr>
          <w:rFonts w:ascii="David" w:hAnsi="David"/>
          <w:rtl/>
        </w:rPr>
      </w:pPr>
      <w:r w:rsidRPr="00C31D66">
        <w:rPr>
          <w:rStyle w:val="af2"/>
          <w:rFonts w:ascii="David" w:hAnsi="David"/>
        </w:rPr>
        <w:footnoteRef/>
      </w:r>
      <w:r w:rsidRPr="00C31D66">
        <w:rPr>
          <w:rFonts w:ascii="David" w:hAnsi="David"/>
          <w:rtl/>
        </w:rPr>
        <w:t xml:space="preserve"> </w:t>
      </w:r>
      <w:r w:rsidRPr="00C31D66">
        <w:rPr>
          <w:rFonts w:ascii="David" w:hAnsi="David"/>
          <w:rtl/>
        </w:rPr>
        <w:tab/>
        <w:t xml:space="preserve">הכרזה זו הוארכה </w:t>
      </w:r>
      <w:r>
        <w:rPr>
          <w:rFonts w:ascii="David" w:hAnsi="David" w:hint="cs"/>
          <w:rtl/>
        </w:rPr>
        <w:t>מפעם לפעם</w:t>
      </w:r>
      <w:r w:rsidRPr="00C31D66">
        <w:rPr>
          <w:rFonts w:ascii="David" w:hAnsi="David"/>
          <w:rtl/>
        </w:rPr>
        <w:t>.</w:t>
      </w:r>
    </w:p>
  </w:footnote>
  <w:footnote w:id="8">
    <w:p w:rsidR="00184C7B" w:rsidRPr="00C31D66" w:rsidRDefault="00184C7B" w:rsidP="006252C4">
      <w:pPr>
        <w:pStyle w:val="af0"/>
        <w:rPr>
          <w:rFonts w:ascii="David" w:hAnsi="David"/>
        </w:rPr>
      </w:pPr>
      <w:r w:rsidRPr="00C31D66">
        <w:rPr>
          <w:rStyle w:val="af2"/>
          <w:rFonts w:ascii="David" w:hAnsi="David"/>
        </w:rPr>
        <w:footnoteRef/>
      </w:r>
      <w:r w:rsidRPr="00C31D66">
        <w:rPr>
          <w:rFonts w:ascii="David" w:hAnsi="David"/>
          <w:rtl/>
        </w:rPr>
        <w:t xml:space="preserve"> </w:t>
      </w:r>
      <w:r w:rsidRPr="00C31D66">
        <w:rPr>
          <w:rFonts w:ascii="David" w:hAnsi="David"/>
          <w:rtl/>
        </w:rPr>
        <w:tab/>
        <w:t>ראו לדוג</w:t>
      </w:r>
      <w:r>
        <w:rPr>
          <w:rFonts w:ascii="David" w:hAnsi="David" w:hint="cs"/>
          <w:rtl/>
        </w:rPr>
        <w:t>מה</w:t>
      </w:r>
      <w:r w:rsidRPr="00C31D66">
        <w:rPr>
          <w:rFonts w:ascii="David" w:hAnsi="David"/>
          <w:rtl/>
        </w:rPr>
        <w:t xml:space="preserve"> החלטה 950 של הממשלה ה-37 "תוכנית פעולה לאומית לביצוע פינוי אוכלוסייה המצויה בסמוך לגבול רצועת עזה וקליטתה - 'חרבות ברזל'" (12.10.2023).</w:t>
      </w:r>
    </w:p>
  </w:footnote>
  <w:footnote w:id="9">
    <w:p w:rsidR="00184C7B" w:rsidRPr="00C31D66" w:rsidRDefault="00184C7B" w:rsidP="006252C4">
      <w:pPr>
        <w:pStyle w:val="af0"/>
        <w:rPr>
          <w:rFonts w:ascii="David" w:hAnsi="David"/>
        </w:rPr>
      </w:pPr>
      <w:r w:rsidRPr="00C31D66">
        <w:rPr>
          <w:rStyle w:val="af2"/>
          <w:rFonts w:ascii="David" w:hAnsi="David"/>
        </w:rPr>
        <w:footnoteRef/>
      </w:r>
      <w:r w:rsidRPr="00C31D66">
        <w:rPr>
          <w:rFonts w:ascii="David" w:hAnsi="David"/>
          <w:rtl/>
        </w:rPr>
        <w:t xml:space="preserve"> </w:t>
      </w:r>
      <w:r w:rsidRPr="00C31D66">
        <w:rPr>
          <w:rFonts w:ascii="David" w:hAnsi="David"/>
          <w:rtl/>
        </w:rPr>
        <w:tab/>
        <w:t>לפי החלטות הממשלה שהתקבלו במהלך מלחמת חרבות ברזל מתקני הקליטה היו בתי מלון, אכסניות ובתי הארחה.</w:t>
      </w:r>
    </w:p>
  </w:footnote>
  <w:footnote w:id="10">
    <w:p w:rsidR="00184C7B" w:rsidRPr="00C31D66" w:rsidRDefault="00184C7B" w:rsidP="006252C4">
      <w:pPr>
        <w:pStyle w:val="af0"/>
        <w:rPr>
          <w:rFonts w:ascii="David" w:hAnsi="David"/>
          <w:rtl/>
        </w:rPr>
      </w:pPr>
      <w:r w:rsidRPr="00C31D66">
        <w:rPr>
          <w:rStyle w:val="af2"/>
          <w:rFonts w:ascii="David" w:hAnsi="David"/>
        </w:rPr>
        <w:footnoteRef/>
      </w:r>
      <w:r w:rsidRPr="00C31D66">
        <w:rPr>
          <w:rFonts w:ascii="David" w:hAnsi="David"/>
          <w:rtl/>
        </w:rPr>
        <w:t xml:space="preserve"> </w:t>
      </w:r>
      <w:r w:rsidRPr="00C31D66">
        <w:rPr>
          <w:rFonts w:ascii="David" w:hAnsi="David"/>
          <w:rtl/>
        </w:rPr>
        <w:tab/>
        <w:t>תפקידיה של רח"ל הם לפעול לקידום היערכות גופי החירום, ספקי החירום והמשק החיוני לשעת חירום, לשמש מנחה מקצועי בתחום ההיערכות לשעת חירום ולפעול במצב חירום במשק כדי לסייע לשר הביטחון, לגופי החירום ולספקי החירום. התרחיש שהכינה רח"ל הביא בחשבון את מגוון מצבי החירום. התרחיש אושר על ידי שר הביטחון, האחראי לשעת חירום בממשלת ישראל, והמתין באותה עת לאישור הקבינט.</w:t>
      </w:r>
    </w:p>
  </w:footnote>
  <w:footnote w:id="11">
    <w:p w:rsidR="00184C7B" w:rsidRPr="00C31D66" w:rsidRDefault="00184C7B" w:rsidP="006252C4">
      <w:pPr>
        <w:pStyle w:val="af0"/>
        <w:rPr>
          <w:rFonts w:ascii="David" w:hAnsi="David"/>
          <w:rtl/>
        </w:rPr>
      </w:pPr>
      <w:r w:rsidRPr="00C31D66">
        <w:rPr>
          <w:rStyle w:val="af2"/>
          <w:rFonts w:ascii="David" w:hAnsi="David"/>
        </w:rPr>
        <w:footnoteRef/>
      </w:r>
      <w:r w:rsidRPr="00C31D66">
        <w:rPr>
          <w:rFonts w:ascii="David" w:hAnsi="David"/>
          <w:rtl/>
        </w:rPr>
        <w:t xml:space="preserve"> </w:t>
      </w:r>
      <w:r w:rsidRPr="00C31D66">
        <w:rPr>
          <w:rFonts w:ascii="David" w:hAnsi="David"/>
          <w:rtl/>
        </w:rPr>
        <w:tab/>
      </w:r>
      <w:r w:rsidRPr="00C31D66">
        <w:rPr>
          <w:rFonts w:ascii="David" w:hAnsi="David"/>
          <w:b/>
          <w:bCs/>
          <w:rtl/>
        </w:rPr>
        <w:t>תוכניות לפינוי אוכלוסייה - חלק ב': מפרוץ מלחמת חרבות ברזל</w:t>
      </w:r>
      <w:r w:rsidRPr="00C31D66">
        <w:rPr>
          <w:rFonts w:ascii="David" w:hAnsi="David"/>
          <w:rtl/>
        </w:rPr>
        <w:t xml:space="preserve"> (הכנסת, מרכז מחקר ומידע 2023).</w:t>
      </w:r>
    </w:p>
  </w:footnote>
  <w:footnote w:id="12">
    <w:p w:rsidR="00184C7B" w:rsidRPr="00C31D66" w:rsidRDefault="00184C7B" w:rsidP="006252C4">
      <w:pPr>
        <w:pStyle w:val="af0"/>
        <w:rPr>
          <w:rFonts w:ascii="David" w:hAnsi="David"/>
        </w:rPr>
      </w:pPr>
      <w:r w:rsidRPr="00C31D66">
        <w:rPr>
          <w:rStyle w:val="af2"/>
          <w:rFonts w:ascii="David" w:hAnsi="David"/>
        </w:rPr>
        <w:footnoteRef/>
      </w:r>
      <w:r w:rsidRPr="00C31D66">
        <w:rPr>
          <w:rFonts w:ascii="David" w:hAnsi="David"/>
          <w:rtl/>
        </w:rPr>
        <w:t xml:space="preserve"> </w:t>
      </w:r>
      <w:r w:rsidRPr="00C31D66">
        <w:rPr>
          <w:rFonts w:ascii="David" w:hAnsi="David"/>
          <w:rtl/>
        </w:rPr>
        <w:tab/>
        <w:t>3,000 מתוכם שוגרו במהלך ארבע השעות הראשונות של מתקפת הטרור.</w:t>
      </w:r>
    </w:p>
  </w:footnote>
  <w:footnote w:id="13">
    <w:p w:rsidR="00184C7B" w:rsidRPr="00C31D66" w:rsidRDefault="00184C7B" w:rsidP="006252C4">
      <w:pPr>
        <w:pStyle w:val="af0"/>
        <w:rPr>
          <w:rFonts w:ascii="David" w:hAnsi="David"/>
          <w:rtl/>
        </w:rPr>
      </w:pPr>
      <w:r w:rsidRPr="00C31D66">
        <w:rPr>
          <w:rStyle w:val="af2"/>
          <w:rFonts w:ascii="David" w:hAnsi="David"/>
        </w:rPr>
        <w:footnoteRef/>
      </w:r>
      <w:r w:rsidRPr="00C31D66">
        <w:rPr>
          <w:rFonts w:ascii="David" w:hAnsi="David"/>
          <w:rtl/>
        </w:rPr>
        <w:t xml:space="preserve"> </w:t>
      </w:r>
      <w:r w:rsidRPr="00C31D66">
        <w:rPr>
          <w:rFonts w:ascii="David" w:hAnsi="David"/>
          <w:rtl/>
        </w:rPr>
        <w:tab/>
        <w:t>תקנות מס רכוש וקרן פיצויים (שיעור ההפרשה לקרן פיצויים) (הוראת שעה), התשפ"ד-2024.</w:t>
      </w:r>
    </w:p>
  </w:footnote>
  <w:footnote w:id="14">
    <w:p w:rsidR="00184C7B" w:rsidRPr="00C31D66" w:rsidRDefault="00184C7B" w:rsidP="006252C4">
      <w:pPr>
        <w:pStyle w:val="af0"/>
        <w:rPr>
          <w:rFonts w:ascii="David" w:hAnsi="David"/>
        </w:rPr>
      </w:pPr>
      <w:r w:rsidRPr="00C31D66">
        <w:rPr>
          <w:rStyle w:val="af2"/>
          <w:rFonts w:ascii="David" w:hAnsi="David"/>
        </w:rPr>
        <w:footnoteRef/>
      </w:r>
      <w:r w:rsidRPr="00C31D66">
        <w:rPr>
          <w:rFonts w:ascii="David" w:hAnsi="David"/>
          <w:rtl/>
        </w:rPr>
        <w:t xml:space="preserve"> </w:t>
      </w:r>
      <w:r w:rsidRPr="00C31D66">
        <w:rPr>
          <w:rFonts w:ascii="David" w:hAnsi="David"/>
          <w:rtl/>
        </w:rPr>
        <w:tab/>
        <w:t>הנוהל כולל התייחסות למבנה הארגוני ולתחומי הפעילות של המוקדים המחוזיים והמקומיים וכן הבהרות לדגשים לעבודה במוקדים בעת שגרה ובשעת חירום.</w:t>
      </w:r>
    </w:p>
  </w:footnote>
  <w:footnote w:id="15">
    <w:p w:rsidR="00184C7B" w:rsidRPr="00C31D66" w:rsidRDefault="00184C7B" w:rsidP="006252C4">
      <w:pPr>
        <w:pStyle w:val="af0"/>
        <w:rPr>
          <w:rFonts w:ascii="David" w:hAnsi="David"/>
          <w:rtl/>
        </w:rPr>
      </w:pPr>
      <w:r w:rsidRPr="00C31D66">
        <w:rPr>
          <w:rStyle w:val="af2"/>
          <w:rFonts w:ascii="David" w:hAnsi="David"/>
        </w:rPr>
        <w:footnoteRef/>
      </w:r>
      <w:r w:rsidRPr="00C31D66">
        <w:rPr>
          <w:rFonts w:ascii="David" w:hAnsi="David"/>
          <w:rtl/>
        </w:rPr>
        <w:t xml:space="preserve"> </w:t>
      </w:r>
      <w:r w:rsidRPr="00C31D66">
        <w:rPr>
          <w:rFonts w:ascii="David" w:hAnsi="David"/>
          <w:rtl/>
        </w:rPr>
        <w:tab/>
        <w:t>ההחלטה על הקמת המוקדים המקומיים התקבלה בשנת 2009 לאחר שוועדה פנימית של רשות המיסים המליצה על כך.</w:t>
      </w:r>
    </w:p>
  </w:footnote>
  <w:footnote w:id="16">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סוג נזק "אחר" בלוח כולל נזקים שנגרמו לנכסים של רשויות מקומיות, ועדי בתים ותושבי חוץ.</w:t>
      </w:r>
    </w:p>
  </w:footnote>
  <w:footnote w:id="17">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ראו בפרק "חוות הדעת של בעלי המקצוע".</w:t>
      </w:r>
    </w:p>
  </w:footnote>
  <w:footnote w:id="18">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תת-מערכת שהיא חלק מתוכנת מחשב ונועדה לבצע פעולה מסוימת.</w:t>
      </w:r>
    </w:p>
  </w:footnote>
  <w:footnote w:id="19">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הספק שאיתו התקשר משרד הביטחון לצורך פיתוח מערכת </w:t>
      </w:r>
      <w:proofErr w:type="spellStart"/>
      <w:r w:rsidRPr="009D1C95">
        <w:rPr>
          <w:rFonts w:ascii="David" w:hAnsi="David"/>
          <w:rtl/>
        </w:rPr>
        <w:t>שוע"ל</w:t>
      </w:r>
      <w:proofErr w:type="spellEnd"/>
      <w:r w:rsidRPr="009D1C95">
        <w:rPr>
          <w:rFonts w:ascii="David" w:hAnsi="David"/>
          <w:rtl/>
        </w:rPr>
        <w:t xml:space="preserve"> והוגדר כ"ספק יחיד" לצורך פיתוח מודולים למערכת.</w:t>
      </w:r>
    </w:p>
  </w:footnote>
  <w:footnote w:id="20">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הדרישות במסמך אפיון מערכת </w:t>
      </w:r>
      <w:proofErr w:type="spellStart"/>
      <w:r w:rsidRPr="009D1C95">
        <w:rPr>
          <w:rFonts w:ascii="David" w:hAnsi="David"/>
          <w:rtl/>
        </w:rPr>
        <w:t>השו"ב</w:t>
      </w:r>
      <w:proofErr w:type="spellEnd"/>
      <w:r w:rsidRPr="009D1C95">
        <w:rPr>
          <w:rFonts w:ascii="David" w:hAnsi="David"/>
          <w:rtl/>
        </w:rPr>
        <w:t xml:space="preserve"> עודכנו על ידי קרן הפיצויים בינואר 2023.</w:t>
      </w:r>
    </w:p>
  </w:footnote>
  <w:footnote w:id="21">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במלחמת חרבות ברזל שילמה קרן הפיצויים פיצוי חלף דמי שכירות בסכום של עד כ-4,000 ש"ח בחודש.</w:t>
      </w:r>
    </w:p>
  </w:footnote>
  <w:footnote w:id="22">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אם נגרם נזק הנדסי או קיים חשש לנזק שיכול לגרום לסכנה, מנהל המוקד מזמין גם מהנדס לצורך קבלת חוות דעתו בנוגע להליך השיקום הנדרש כדי להשיב את הנכס למצבו טרם הפגיעה.</w:t>
      </w:r>
    </w:p>
  </w:footnote>
  <w:footnote w:id="23">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"הפרש בין שווי הנכס לפני שניזוק לבין שווי הנכס מיד לאחר שניזוק", אך לא יותר מההוצאות שנדרשו בפועל לצורך שיקום הנכס הניזוק או הקמתו מחדש. כמו כן, אם הניזוק נשא בהוצאות נוספות במטרה להקטין את היקף הנזק ייתכן ויקבל פיצוי בגינן, בהתאם לנסיבות.</w:t>
      </w:r>
    </w:p>
  </w:footnote>
  <w:footnote w:id="24">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תקנה 1 לתקנות חפצים ביתיים.</w:t>
      </w:r>
    </w:p>
  </w:footnote>
  <w:footnote w:id="25">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תקנה 2 לתקנות חפצים ביתיים.</w:t>
      </w:r>
    </w:p>
  </w:footnote>
  <w:footnote w:id="26">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תקנה 3(א) לתקנות חפצים ביתיים.</w:t>
      </w:r>
    </w:p>
  </w:footnote>
  <w:footnote w:id="27">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מבקר המדינה, </w:t>
      </w:r>
      <w:hyperlink r:id="rId1" w:history="1">
        <w:r w:rsidRPr="009D1C95">
          <w:rPr>
            <w:rStyle w:val="Hyperlink"/>
            <w:rFonts w:ascii="David" w:hAnsi="David"/>
            <w:rtl/>
          </w:rPr>
          <w:t>דוח שנתי 47</w:t>
        </w:r>
      </w:hyperlink>
      <w:r w:rsidRPr="009D1C95">
        <w:rPr>
          <w:rFonts w:ascii="David" w:hAnsi="David"/>
          <w:b/>
          <w:bCs/>
          <w:rtl/>
        </w:rPr>
        <w:t xml:space="preserve"> </w:t>
      </w:r>
      <w:r w:rsidRPr="009D1C95">
        <w:rPr>
          <w:rFonts w:ascii="David" w:hAnsi="David"/>
          <w:rtl/>
        </w:rPr>
        <w:t>(1997), עמ' 81.</w:t>
      </w:r>
    </w:p>
  </w:footnote>
  <w:footnote w:id="28">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מבקר המדינה, </w:t>
      </w:r>
      <w:hyperlink r:id="rId2" w:history="1">
        <w:r w:rsidRPr="009D1C95">
          <w:rPr>
            <w:rStyle w:val="Hyperlink"/>
            <w:rFonts w:ascii="David" w:hAnsi="David"/>
            <w:rtl/>
          </w:rPr>
          <w:t>דוח שנתי 67א</w:t>
        </w:r>
      </w:hyperlink>
      <w:r w:rsidRPr="009D1C95">
        <w:rPr>
          <w:rFonts w:ascii="David" w:hAnsi="David"/>
          <w:rtl/>
        </w:rPr>
        <w:t xml:space="preserve"> (2012), עמ' 36ד.</w:t>
      </w:r>
    </w:p>
  </w:footnote>
  <w:footnote w:id="29">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תקנה 3(א) לתקנות חפצים ביתיים.</w:t>
      </w:r>
    </w:p>
  </w:footnote>
  <w:footnote w:id="30">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תקנה 3(ב) לתקנות חפצים ביתיים.</w:t>
      </w:r>
    </w:p>
  </w:footnote>
  <w:footnote w:id="31">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השווי המקסימלי של חפצים ביתיים שניתן לבטח אותם לפי תקנה 3(א) לתקנות חפצים ביתיים הוא 998,245 ש"ח, נכון לשנת 2024.</w:t>
      </w:r>
    </w:p>
  </w:footnote>
  <w:footnote w:id="32">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לדוגמה, זוג נשוי ללא ילדים המעוניין לרכוש ביטוח בגין מוצרי חשמל, ששווים הכולל 125,683 ש"ח ותקרת הפיצוי בגינם בתוספת הראשונה היא 25,683 ש"ח, יידרש לשלם פרמיית ביטוח שנתית בסך 300 ש"ח. </w:t>
      </w:r>
    </w:p>
  </w:footnote>
  <w:footnote w:id="33">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תקנה 4(א) לתקנות חפצים ביתיים.</w:t>
      </w:r>
    </w:p>
  </w:footnote>
  <w:footnote w:id="34">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על פי אתר פיקוד העורף.</w:t>
      </w:r>
    </w:p>
  </w:footnote>
  <w:footnote w:id="35">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במקרים מסוימים קרן הפיצויים מחליטה על הצבת שמירה על נכסים שניזוקו ולשם כך מזמינה שירותי שמירה ומשלמת בעדם לדוגמה, כדי למנוע כניסה למבנים שנקבע כי קיימת סכנה ממשית שיקרסו או כדי למנוע ביזה וגרימת נזקים נוספים לנכסים.</w:t>
      </w:r>
    </w:p>
  </w:footnote>
  <w:footnote w:id="36">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סעיף 35 לחוק קובע כי ישוב ספר הוא ישוב ששר האוצר, באישור ועדת הכספים של הכנסת, הודיע עליו שהוא יישוב ספר וכן אזור ששר האוצר, באישור ועדת הכספים של הכנסת, הודע עליו שהוא ישוב ספר לתקופה קצובה שקבע. לדוגמה, קריית שמונה, נהרייה, ראש הנקרה, שלומי, בארי, ניר עוז, עלומים, כרם שלום, פארן, קטורה, יוטבתה, עין גדי, טירת צבי ועוד. ראו גם בפרק "אופן סיווג היישובים כיישובי ספר".</w:t>
      </w:r>
    </w:p>
  </w:footnote>
  <w:footnote w:id="37">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לצורך הוכחת הקשר הסיבתי ושווי הנזק העקיף שנגרם לעסק, על המבקש לקבל פיצוי במסלול האדום, להציג ראיות ואסמכתאות לכך. כגון, תחשיבים מפורטים, דו"חות מלאי וייצור, הסכמים, חשבוניות ואישורי תשלומים. ראו גם רע"א 6948/13 </w:t>
      </w:r>
      <w:r w:rsidRPr="009D1C95">
        <w:rPr>
          <w:rFonts w:ascii="David" w:hAnsi="David"/>
          <w:b/>
          <w:bCs/>
          <w:rtl/>
        </w:rPr>
        <w:t>מנהל מס רכוש וקרן פיצויים נ' קטיף מושב שיתופי בע"מ</w:t>
      </w:r>
      <w:r w:rsidRPr="009D1C95">
        <w:rPr>
          <w:rFonts w:ascii="David" w:hAnsi="David"/>
          <w:rtl/>
        </w:rPr>
        <w:t xml:space="preserve"> (פורסם במאגר ממוחשב, 13.12.15)</w:t>
      </w:r>
    </w:p>
  </w:footnote>
  <w:footnote w:id="38">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רע"א 6904/97 </w:t>
      </w:r>
      <w:r w:rsidRPr="009D1C95">
        <w:rPr>
          <w:rFonts w:ascii="David" w:hAnsi="David"/>
          <w:b/>
          <w:bCs/>
          <w:rtl/>
        </w:rPr>
        <w:t>ס' ת' ו' בקעות בע"מ נ' מנהל מס רכוש וקרן פיצויים</w:t>
      </w:r>
      <w:r w:rsidRPr="009D1C95">
        <w:rPr>
          <w:rFonts w:ascii="David" w:hAnsi="David"/>
          <w:rtl/>
        </w:rPr>
        <w:t>, פ"ד נב(4) 1 (1998).</w:t>
      </w:r>
    </w:p>
  </w:footnote>
  <w:footnote w:id="39">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ע"ש (חיפה) 5779/97 </w:t>
      </w:r>
      <w:r w:rsidRPr="009D1C95">
        <w:rPr>
          <w:rFonts w:ascii="David" w:hAnsi="David"/>
          <w:b/>
          <w:bCs/>
          <w:rtl/>
        </w:rPr>
        <w:t>ראש הנקרה - קבוצת הפועלים להתיישבות שיתופית בע"מ נ' מנהל מס רכוש וקרן פיצויים</w:t>
      </w:r>
      <w:r w:rsidRPr="009D1C95">
        <w:rPr>
          <w:rFonts w:ascii="David" w:hAnsi="David"/>
          <w:rtl/>
        </w:rPr>
        <w:t xml:space="preserve"> (פורסם במאגר ממוחשב, 11.5.1998).</w:t>
      </w:r>
    </w:p>
  </w:footnote>
  <w:footnote w:id="40">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המסלולים הוורודים היו זמינים רק לעסקי חקלאות אשר להם גידולים מסוגים מסוימים ביישובי ספר מסוימים. </w:t>
      </w:r>
    </w:p>
  </w:footnote>
  <w:footnote w:id="41">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סכום הפיצוי במסלולים הוורודים נקבע לפי סכום פיצוי למ"ר של גידול חקלאי כפול שטחי הגידול הנפגעים. לכל סוג גידול חקלאי נקבע סכום פיצוי אחר למ"ר.</w:t>
      </w:r>
    </w:p>
  </w:footnote>
  <w:footnote w:id="42">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רשימת היישובים שנכללו באזור המיוחד נקבעה בתקנות וכוללת מאות יישובים המצויים בטווח של עד כ-40 ק"מ מרצועת עזה ויישובים המצויים בקו העימות בצפון ובאזור הגולן, וביניהם שדרות, אופקים, נתיבות, אשקלון, אשדוד, גן יבנה, יבנה, קריית גת, קריית מלאכי, מטולה, נהרייה וקצרין.</w:t>
      </w:r>
    </w:p>
  </w:footnote>
  <w:footnote w:id="43">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גם בעל עסק שנעדר מעבודתו עקב הוראה על סגירת המוסד שבו הוא מפעיל את עסקו היה זכאי לפיצוי בגין ימי היעדרות אלו. ראו סעיף 3.1 להוראת ביצוע 3/2023 של רשות המיסים.</w:t>
      </w:r>
    </w:p>
  </w:footnote>
  <w:footnote w:id="44">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מחודש ינואר 2024 ואילך שונתה רשימת היישובים שבגינם היה ניתן לתבוע פיצוי לפי מסלול שכר, באופן שהיא כללה רק חלק מיישובי קו העימות בצפון ויישובי עוטף עזה. בחודשים ספטמבר-אוקטובר 2024 נוספו לתקופה מוגבלת גם יישובים שלא נכללו ברשימה המקורית של יישובי האזור המיוחד (כגון ערי הקריות).</w:t>
      </w:r>
    </w:p>
  </w:footnote>
  <w:footnote w:id="45">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לדוגמה, עובדים שנעדרו מהעבודה בשל פינוי היישוב שבו הם מתגוררים על פי החלטת ממשלה, או קרוב של אדם עם מוגבלות המתגורר באזור המיוחד, אשר נעדר מעבודתו לצורך השגחה עליו או טיפול בו.</w:t>
      </w:r>
    </w:p>
  </w:footnote>
  <w:footnote w:id="46">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בחישוב מספר ימי ההיעדרות של העובד יילקח בחשבון רק החלק היחסי מיום העבודה שבו נעדר העובד, ובלבד שהיעדרות זו איננה פחותה משעה.</w:t>
      </w:r>
    </w:p>
  </w:footnote>
  <w:footnote w:id="47">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מחודש ינואר 2024 ואילך שונתה רשימת היישובים שבגינם היה ניתן לתבוע פיצוי לפי מסלול מחזורים, כך שכללה רק חלק מיישובי קו העימות בצפון ויישובי עוטף עזה. בחודשים ספטמבר-אוקטובר 2024 נוספו לתקופה מוגבלת גם יישובים שלא נכללו ברשימה המקורית של יישובי האזור המיוחד (כגון ערי הקריות).</w:t>
      </w:r>
    </w:p>
  </w:footnote>
  <w:footnote w:id="48">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כמשמעותו בחוק מס ערך מוסף, התשל"ו-1974, למעט חשבוניות עצמיות, עסקאות חריגות, פיצויים ששולמו לפי חוק קרן הפיצויים, </w:t>
      </w:r>
      <w:bookmarkStart w:id="24" w:name="_Hlk196633513"/>
      <w:r w:rsidRPr="009D1C95">
        <w:rPr>
          <w:rFonts w:ascii="David" w:hAnsi="David"/>
          <w:rtl/>
        </w:rPr>
        <w:t xml:space="preserve">עסקאות שבוטלו ודווחו בתעודות זיכוי במועד מאוחר יותר, </w:t>
      </w:r>
      <w:bookmarkEnd w:id="24"/>
      <w:r w:rsidRPr="009D1C95">
        <w:rPr>
          <w:rFonts w:ascii="David" w:hAnsi="David"/>
          <w:rtl/>
        </w:rPr>
        <w:t>מכירות הוניות ועסקאות של עוסק עם קרובו.</w:t>
      </w:r>
    </w:p>
  </w:footnote>
  <w:footnote w:id="49">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לדוגמה, בוחנים את הירידה במחזור העסקאות של העסק באוקטובר 2023 ביחס למחזור העסקאות של העסק באוקטובר 2022.</w:t>
      </w:r>
    </w:p>
  </w:footnote>
  <w:footnote w:id="50">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הגשת תביעה לפיצוי בגין נזק עקיף במסלול חקלאות הייתה אפשרית רק בגין החודשים אוקטובר-דצמבר 2023.</w:t>
      </w:r>
    </w:p>
  </w:footnote>
  <w:footnote w:id="51">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תקנות האזור המיוחד מפרטות באילו יישובים יכול עוסק להגיש תביעה במסלול חקלאות.</w:t>
      </w:r>
    </w:p>
  </w:footnote>
  <w:footnote w:id="52">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בתקנות האזור המיוחד קיימות הוראות נוספות בנוגע לזכאות לפיצוי במסלול חקלאות. זאת בין היתר בהתאם לסיווג העסק במע"ם, לבסיס הדיווח שלו לרשות המיסים ולמועד פתיחת העסק. </w:t>
      </w:r>
    </w:p>
  </w:footnote>
  <w:footnote w:id="53">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סך התשומות השוטפות שהוכפלו במקדם.</w:t>
      </w:r>
    </w:p>
  </w:footnote>
  <w:footnote w:id="54">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הוראת ביצוע 2/2023 של רשות המיסים.</w:t>
      </w:r>
    </w:p>
  </w:footnote>
  <w:footnote w:id="55">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ראו בהמשך בפרק "הבקרות על תשלומי פיצויים בגין נזקים עקיפים".</w:t>
      </w:r>
    </w:p>
  </w:footnote>
  <w:footnote w:id="56">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עסק אחד יכול להגיש </w:t>
      </w:r>
      <w:r>
        <w:rPr>
          <w:rFonts w:ascii="David" w:hAnsi="David" w:hint="cs"/>
          <w:rtl/>
        </w:rPr>
        <w:t>כמה</w:t>
      </w:r>
      <w:r w:rsidRPr="009D1C95">
        <w:rPr>
          <w:rFonts w:ascii="David" w:hAnsi="David"/>
          <w:rtl/>
        </w:rPr>
        <w:t xml:space="preserve"> תביעות, אחת בגין כל תקופה, בכפוף לעמידה בהוראות החוק והתקנות.</w:t>
      </w:r>
    </w:p>
  </w:footnote>
  <w:footnote w:id="57">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הפיצויים ששולמו במסלול האדום הסתכמו כאמור בכ-2.9 מיליארד ש"ח מתחילת המלחמה עד אוקטובר 2024.</w:t>
      </w:r>
    </w:p>
  </w:footnote>
  <w:footnote w:id="58">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הגדרת "יישוב ספר" מסמיכה את שר האוצר לקבוע כי יישוב מסוים הוא "יישוב ספר" באורח קבע וכן לקבוע כי יישוב או אזור מסוימים ייחשבו "יישוב ספר" לתקופה מסוימת.</w:t>
      </w:r>
    </w:p>
  </w:footnote>
  <w:footnote w:id="59">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הוראות שעה לסבבי לחימה הותקנו בשנים 2006, 2007 (שתי הוראות שעה), 2008, 2009, 2012, 2013, 2014, 2019, 2021, 2022 ו-2023.</w:t>
      </w:r>
    </w:p>
  </w:footnote>
  <w:footnote w:id="60">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תקנות מס רכוש וקרן פיצויים (תשלום פיצויים) (נזק מלחמה ונזק עקיף) (הוראת שעה), התשס"ו-2006.</w:t>
      </w:r>
    </w:p>
  </w:footnote>
  <w:footnote w:id="61">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ובהם כרמיאל, עכו, טבריה ועפולה.</w:t>
      </w:r>
    </w:p>
  </w:footnote>
  <w:footnote w:id="62">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תקנות מס רכוש וקרן פיצויים (תשלום פיצויים) (נזק מלחמה ונזק עקיף) (הוראת שעה), התשס"ט-2009.</w:t>
      </w:r>
    </w:p>
  </w:footnote>
  <w:footnote w:id="63">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תקנות מס רכוש וקרן פיצויים (תשלום פיצויים) (נזק מלחמה ונזק עקיף) (הוראת שעה), התשע"ג-2013.</w:t>
      </w:r>
    </w:p>
  </w:footnote>
  <w:footnote w:id="64">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תקנות מס רכוש וקרן פיצויים (תשלום פיצויים) (נזק מלחמה ונזק עקיף) (הוראת שעה), התשע"ד-2014.</w:t>
      </w:r>
    </w:p>
  </w:footnote>
  <w:footnote w:id="65">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ובהם אשדוד, יבנה, באר שבע, אשקלון, קריית גת, שדרות ונתיבות.</w:t>
      </w:r>
    </w:p>
  </w:footnote>
  <w:footnote w:id="66">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ועדות משנה: "הצגת תרחישי ייחוס", "הערכת עלויות ומימון", "תפעול נזק ישיר", "תפעול נזק עקיף".</w:t>
      </w:r>
    </w:p>
  </w:footnote>
  <w:footnote w:id="67">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בדוח לא נמצאה התייחסות למשך הלחימה.</w:t>
      </w:r>
    </w:p>
  </w:footnote>
  <w:footnote w:id="68">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תוצר מקומי גולמי (תמ"ג) הוא מדד כלכלי שמבטא את הערך הכולל של כל הסחורות והשירותים שיוצרו במשק במשך פרק זמן מסוים. המדד משמש להערכת מצב הכלכלה ומאפשר להשוות בין רמות הפעילות הכלכלית בזמנים שונים ובמדינות שונות.</w:t>
      </w:r>
    </w:p>
  </w:footnote>
  <w:footnote w:id="69">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מתחילת שנת 2023 ועד פרוץ המלחמה עלה התמ"ג בשיעור של 3.8%.</w:t>
      </w:r>
    </w:p>
  </w:footnote>
  <w:footnote w:id="70">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התוצר העסקי הוא החלק בתמ"ג המיוצר על ידי עסקים פרטיים במשק ומשקף את הערך המוסף של פעילויות כלכליות כמו ייצור, מסחר ושירותים במגזר העסקי.</w:t>
      </w:r>
    </w:p>
  </w:footnote>
  <w:footnote w:id="71">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בנק ישראל </w:t>
      </w:r>
      <w:r w:rsidRPr="009D1C95">
        <w:rPr>
          <w:rFonts w:ascii="David" w:hAnsi="David"/>
          <w:b/>
          <w:bCs/>
          <w:rtl/>
        </w:rPr>
        <w:t>דוח 2023</w:t>
      </w:r>
      <w:r w:rsidRPr="009D1C95">
        <w:rPr>
          <w:rFonts w:ascii="David" w:hAnsi="David"/>
          <w:rtl/>
        </w:rPr>
        <w:t xml:space="preserve"> עמ' 30 (2024).</w:t>
      </w:r>
    </w:p>
  </w:footnote>
  <w:footnote w:id="72">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הלשכה המרכזית לסטטיסטיקה, </w:t>
      </w:r>
      <w:r w:rsidRPr="009D1C95">
        <w:rPr>
          <w:rFonts w:ascii="David" w:hAnsi="David"/>
          <w:b/>
          <w:bCs/>
          <w:rtl/>
        </w:rPr>
        <w:t>הודעה לתקשורת</w:t>
      </w:r>
      <w:r w:rsidRPr="009D1C95">
        <w:rPr>
          <w:rFonts w:ascii="David" w:hAnsi="David"/>
          <w:rtl/>
        </w:rPr>
        <w:t>, "חשבונות לאומיים: אומדן ראשון לרבעון השלישי של שנת 2024" (17.11.24).</w:t>
      </w:r>
    </w:p>
  </w:footnote>
  <w:footnote w:id="73">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עם התרחבות השימוש בכרטיסי אשראי כאמצעי תשלום גדלה הזיקה בין סך העסקאות המבוצעות באמצעותם לבין סך ההוצאות לצריכה פרטית במשק. משכך, נתונים אלו יכולים לשמש כאינדיקטור בזמן אמת לרמת הפעילות העסקית. ראו גם בנק ישראל, </w:t>
      </w:r>
      <w:r w:rsidRPr="009D1C95">
        <w:rPr>
          <w:rFonts w:ascii="David" w:hAnsi="David"/>
          <w:b/>
          <w:bCs/>
          <w:rtl/>
        </w:rPr>
        <w:t>ניתוח מיוחד של חטיבת המחקר: ההוצאה בכרטיסי אשראי כאינדיקטור לרמת הפעילות הכלכלית בתקופת מלחמת 'חרבות ברזל' (נובמבר 2023</w:t>
      </w:r>
      <w:r w:rsidRPr="009D1C95">
        <w:rPr>
          <w:rFonts w:ascii="David" w:hAnsi="David"/>
          <w:rtl/>
        </w:rPr>
        <w:t>).</w:t>
      </w:r>
    </w:p>
  </w:footnote>
  <w:footnote w:id="74">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הענפים אותם הציג בנק ישראל.</w:t>
      </w:r>
    </w:p>
  </w:footnote>
  <w:footnote w:id="75">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מענקים לפי המסלול הכלל ארצי בגין חודשים ינואר-אפריל 2024 אושרו בהחלטות ממשלה 1637 ו-1833 ולא במסגרת הליכי חקיקה.</w:t>
      </w:r>
    </w:p>
  </w:footnote>
  <w:footnote w:id="76">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לדוגמה אמצע תקופת נובמבר-דצמבר 2023 הוא בתאריך 30.11.23.</w:t>
      </w:r>
    </w:p>
  </w:footnote>
  <w:footnote w:id="77">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ראו להלן בפרק "הבקרות על תשלומי פיצויים בגין נזקים עקיפים".</w:t>
      </w:r>
    </w:p>
  </w:footnote>
  <w:footnote w:id="78">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חוק התוכנית לסיוע כלכלי (הוראת שעה - חרבות ברזל), התשפ"ד-2023 (תיקון עקיף לחוק מס רכוש וקרן פיצויים).</w:t>
      </w:r>
    </w:p>
  </w:footnote>
  <w:footnote w:id="79">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סעיף 38ז לחוק ותקנה 1(5) לתקנות האזור המיוחד.</w:t>
      </w:r>
    </w:p>
  </w:footnote>
  <w:footnote w:id="80">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סעיף 38ח לחוק ותקנה 1(5) לתקנות האזור המיוחד.</w:t>
      </w:r>
    </w:p>
  </w:footnote>
  <w:footnote w:id="81">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תקנה 8 לתקנות קרן הפיצויים.</w:t>
      </w:r>
    </w:p>
  </w:footnote>
  <w:footnote w:id="82">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סכום הפיצוי הנדרש על ידי מגיש התביעה, ובהתאם לכך סכום המקדמה, נקבע לאחר שמערכת הגשת תביעות מבצעת השוואה של הנתונים שהוצהרו על ידי מגיש התביעה לנתונים במערכות שע"מ. כאשר אין נתוני דיווח למע"מ, לדוג' לגבי עוסקים פטורים, סכום הפיצוי הנדרש נקבע בהתאם להצהרות מגיש התביעה בלבד.</w:t>
      </w:r>
    </w:p>
  </w:footnote>
  <w:footnote w:id="83">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סעיף 38ח לחוק ותקנה 1(5) לתקנות האזור המיוחד.</w:t>
      </w:r>
    </w:p>
  </w:footnote>
  <w:footnote w:id="84">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תקנה 13(2) לתקנות קרן הפיצויים.</w:t>
      </w:r>
    </w:p>
  </w:footnote>
  <w:footnote w:id="85">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ראו הוראת ביצוע 3/2023 של רשות המיסים, "פיצויים בשל נזק עקיף לניזוק שעסקו באזור המיוחד" (19.11.23) (להלן - הוראת ביצוע מסלולי האזור המיוחד או הוראת הביצוע).</w:t>
      </w:r>
    </w:p>
  </w:footnote>
  <w:footnote w:id="86">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עוסק שהגיש בקשה למקדמת מסלול אדום לפני הגשת התביעה נדרש לצרף מסמכים ואישורים כמפורט בהוראת הביצוע וכן להצהיר כי נגרם לו נזק עקיף בגין מלחמת חרבות ברזל. כמו כן, חלה עליו חובה להגיש תביעה בעתיד בגין נזק זה, וסכום המקדמה ששולמה לו יקוזז מהתשלום הסופי.</w:t>
      </w:r>
    </w:p>
  </w:footnote>
  <w:footnote w:id="87">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לדוגמה: בדיקה של מגמת השינויים במחזורי העסק עד לתחילת המלחמה או קיום קשר סיבתי בין הירידה במחזורים לבין המלחמה.</w:t>
      </w:r>
    </w:p>
  </w:footnote>
  <w:footnote w:id="88">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ראו בפרק "סימנים מחשידים".</w:t>
      </w:r>
    </w:p>
  </w:footnote>
  <w:footnote w:id="89">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"הסטת מחזורים", בהקשר של הגשת תביעה לפיצוי בגין נזק עקיף, היא פעולה שבמסגרתה עוסק מדווח על עסקאות מסוימות במועד שונה מזה שנדרש על פי חוק כדי להציג מצג ולפיו נוצר לעסקו נזק עקיף גדול יותר, ומשכך הוא זכאי לפיצוי גבוה יותר.</w:t>
      </w:r>
    </w:p>
  </w:footnote>
  <w:footnote w:id="90">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ראו פרק "פעילות ועדות הערר בתביעות לקרן הפיצויים".</w:t>
      </w:r>
    </w:p>
  </w:footnote>
  <w:footnote w:id="91">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ראו לדוגמה תקנה 1(4) לתקנות מס רכוש וקרן פיצויים (תשלום פיצויים) (נזק מלחמה ונזק עקיף) (הוראת שעה), התשע"ד-2014.</w:t>
      </w:r>
    </w:p>
  </w:footnote>
  <w:footnote w:id="92">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ראו לדוגמה החלטה 5015 של הממשלה ה-34 "מענק סיוע לעסקים בעד השתתפות בהוצאות קבועות בשל ההשפעה הכלכלית של התפשטות נגיף הקורונה" (24.04.2020).</w:t>
      </w:r>
    </w:p>
  </w:footnote>
  <w:footnote w:id="93">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ראו לדוגמה תקנות שעת חירום (נגיף הקורונה החדש) (מענק סיוע לעצמאים), התש"ף-2020.</w:t>
      </w:r>
    </w:p>
  </w:footnote>
  <w:footnote w:id="94">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מבקר המדינה, </w:t>
      </w:r>
      <w:r w:rsidRPr="009D1C95">
        <w:rPr>
          <w:rFonts w:ascii="David" w:hAnsi="David"/>
          <w:b/>
          <w:bCs/>
          <w:rtl/>
        </w:rPr>
        <w:t xml:space="preserve">דוח ביניים מיוחד בנושא התמודדות מדינת ישראל עם משבר הקורונה (2020), </w:t>
      </w:r>
      <w:r w:rsidRPr="009D1C95">
        <w:rPr>
          <w:rFonts w:ascii="David" w:hAnsi="David"/>
          <w:rtl/>
        </w:rPr>
        <w:t>"היבטים בפעילות רשות המיסים בתקופת משבר הקורונה", עמ' 59.</w:t>
      </w:r>
    </w:p>
  </w:footnote>
  <w:footnote w:id="95">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ראו גם מבקר המדינה, </w:t>
      </w:r>
      <w:r w:rsidRPr="009D1C95">
        <w:rPr>
          <w:rFonts w:ascii="David" w:hAnsi="David"/>
          <w:b/>
          <w:bCs/>
          <w:rtl/>
        </w:rPr>
        <w:t xml:space="preserve">דוח שנתי 61ב, </w:t>
      </w:r>
      <w:r w:rsidRPr="009D1C95">
        <w:rPr>
          <w:rFonts w:ascii="David" w:hAnsi="David"/>
          <w:rtl/>
        </w:rPr>
        <w:t>"גביית חובות מס"</w:t>
      </w:r>
      <w:r w:rsidRPr="009D1C95">
        <w:rPr>
          <w:rFonts w:ascii="David" w:hAnsi="David"/>
          <w:b/>
          <w:bCs/>
          <w:rtl/>
        </w:rPr>
        <w:t xml:space="preserve"> (</w:t>
      </w:r>
      <w:r w:rsidRPr="009D1C95">
        <w:rPr>
          <w:rFonts w:ascii="David" w:hAnsi="David"/>
          <w:rtl/>
        </w:rPr>
        <w:t>2011), שבו העיר מבקר המדינה כי רשות המיסים אינה נוקטת את הליכי הגבייה העומדים לרשותה סמוך למועד היווצרות חובות כלפיה.</w:t>
      </w:r>
    </w:p>
  </w:footnote>
  <w:footnote w:id="96">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חוליות הביקורת פועלות במוקדים בבני ברק, בירושלים, בחיפה ובטבריה. כמו כן, באפריל 2024 החלו חלק מחוליות השומה בפקידי השומה באשקלון ובצפת לערוך ביקורת על תביעות בגין נזקים עקיפים.</w:t>
      </w:r>
    </w:p>
  </w:footnote>
  <w:footnote w:id="97">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כאמור, עד אוקטובר 2024 הוגשו כ-525,000 תביעות לפיצוי בגין נזק עקיף במלחמת חרבות ברזל.</w:t>
      </w:r>
    </w:p>
  </w:footnote>
  <w:footnote w:id="98">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לדוגמה, כאשר קרן הפיצויים טיפלה במענקים לעסקים במהלך מגפת הקורונה.</w:t>
      </w:r>
    </w:p>
  </w:footnote>
  <w:footnote w:id="99">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קרן הפיצויים החלה לעשות שימוש </w:t>
      </w:r>
      <w:proofErr w:type="spellStart"/>
      <w:r w:rsidRPr="009D1C95">
        <w:rPr>
          <w:rFonts w:ascii="David" w:hAnsi="David"/>
          <w:rtl/>
        </w:rPr>
        <w:t>בסמ"חים</w:t>
      </w:r>
      <w:proofErr w:type="spellEnd"/>
      <w:r w:rsidRPr="009D1C95">
        <w:rPr>
          <w:rFonts w:ascii="David" w:hAnsi="David"/>
          <w:rtl/>
        </w:rPr>
        <w:t xml:space="preserve"> בשנת 2020 לצורך בדיקת תביעות למענקים שניתנו במהלך מגפת הקורונה.</w:t>
      </w:r>
    </w:p>
  </w:footnote>
  <w:footnote w:id="100">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לדוגמה, באמצעות שאילתה בשם </w:t>
      </w:r>
      <w:r w:rsidRPr="009D1C95">
        <w:rPr>
          <w:rFonts w:ascii="David" w:hAnsi="David"/>
        </w:rPr>
        <w:t>ESNA</w:t>
      </w:r>
      <w:r w:rsidRPr="009D1C95">
        <w:rPr>
          <w:rFonts w:ascii="David" w:hAnsi="David"/>
          <w:rtl/>
        </w:rPr>
        <w:t>, המרכזת את נתוני דיווחי המע"ם של העסק.</w:t>
      </w:r>
    </w:p>
  </w:footnote>
  <w:footnote w:id="101">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זאת למעט תביעות שבהן בוצעה חסימה של תשלומים אוטומטיים, כפי שיפורט בהמשך.</w:t>
      </w:r>
    </w:p>
  </w:footnote>
  <w:footnote w:id="102">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תביעות לפיצוי בגין נזק עקיף במסלול האדום אינן עוברות בדיקות </w:t>
      </w:r>
      <w:proofErr w:type="spellStart"/>
      <w:r w:rsidRPr="009D1C95">
        <w:rPr>
          <w:rFonts w:ascii="David" w:hAnsi="David"/>
          <w:rtl/>
        </w:rPr>
        <w:t>לסמ"חים</w:t>
      </w:r>
      <w:proofErr w:type="spellEnd"/>
      <w:r w:rsidRPr="009D1C95">
        <w:rPr>
          <w:rFonts w:ascii="David" w:hAnsi="David"/>
          <w:rtl/>
        </w:rPr>
        <w:t>, מאחר שכל תביעה שמוגשת במסלול זה נבדקת על ידי חוליות הביקורת באופן פרטני.</w:t>
      </w:r>
    </w:p>
  </w:footnote>
  <w:footnote w:id="103">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כאשר קיימים נתונים מדווחים של מגיש התביעה למע"ם במערכות שע"ם, סכום הפיצוי נקבע לאחר שמערכת הגשת התביעות מבצעת השוואה בין הנתונים שהצהיר מגיש התביעה ובין הנתונים במערכות שע"ם. כאשר אין נתוני דיווח למע"ם, לדוגמה לגבי עוסקים פטורים, סכום הפיצוי נקבע על פי הצהרות מגיש התביעה בלבד.</w:t>
      </w:r>
    </w:p>
  </w:footnote>
  <w:footnote w:id="104">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ab/>
        <w:t>ראו סעיף 38ח לחוק ותקנה 13(2) לתקנות קרן הפיצויים.</w:t>
      </w:r>
    </w:p>
  </w:footnote>
  <w:footnote w:id="105">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קיימים סוגים שונים של ועדות ערר הדנות בתחומים שונים, וסמכויותיה של כל ועדת ערר ניתנות לה על פי חוק בהתאם לתחום המשפטי ולגוף המינהלי שבענייניו היא מוסמכת לדון. </w:t>
      </w:r>
    </w:p>
  </w:footnote>
  <w:footnote w:id="106">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לפי סעיף 38יד(א)(4) לחוק ותקנה 1(6) לתקנות האזור המיוחד, תקופה זו עשויה להתארך אם מגיש התביעה התבקש להמציא מסמכים ופרטים נוספים או שמנהל קרן הפיצויים החליט, מטעמים מיוחדים, על הארכת התקופה לקבלת ההחלטה בהשגה.</w:t>
      </w:r>
    </w:p>
  </w:footnote>
  <w:footnote w:id="107">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ערר בגין תביעות לפיצוי במסלול הכלל ארצי מוגש למזכירות ועדת הערר של משרד המשפטים. עררים בתביעות לפיצוי ביתר המסלולים מוגשים תחילה לקרן הפיצויים ולאחר מכן מועברים לטיפול ועדות הערר של קרן הפיצויים.</w:t>
      </w:r>
    </w:p>
  </w:footnote>
  <w:footnote w:id="108">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סעיף 38יד(ב) לחוק ותקנה 1(6)</w:t>
      </w:r>
      <w:r w:rsidRPr="009D1C95">
        <w:rPr>
          <w:rFonts w:ascii="David" w:hAnsi="David"/>
        </w:rPr>
        <w:t xml:space="preserve"> </w:t>
      </w:r>
      <w:r w:rsidRPr="009D1C95">
        <w:rPr>
          <w:rFonts w:ascii="David" w:hAnsi="David"/>
          <w:rtl/>
        </w:rPr>
        <w:t>לתקנות האזור המיוחד.</w:t>
      </w:r>
    </w:p>
  </w:footnote>
  <w:footnote w:id="109">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בתביעות לפיצוי בגין נזק עקיף במסלול האדום ובתביעות לפיצוי בגין נזק ישיר אין בחוק או בתקנות אפשרות להגיש השגה. </w:t>
      </w:r>
    </w:p>
  </w:footnote>
  <w:footnote w:id="110">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תקנה 11 לתקנות קרן הפיצויים.</w:t>
      </w:r>
    </w:p>
  </w:footnote>
  <w:footnote w:id="111">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תקנה 12א לתקנות קרן הפיצויים.</w:t>
      </w:r>
    </w:p>
  </w:footnote>
  <w:footnote w:id="112">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r>
      <w:r w:rsidRPr="009D1C95">
        <w:rPr>
          <w:rFonts w:ascii="David" w:hAnsi="David"/>
          <w:color w:val="000000" w:themeColor="text1"/>
          <w:sz w:val="24"/>
          <w:rtl/>
        </w:rPr>
        <w:t xml:space="preserve">סעיף 38טו לחוק קרן הפיצויים. </w:t>
      </w:r>
    </w:p>
  </w:footnote>
  <w:footnote w:id="113">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ועדות הערר של משרד המשפטים הוקמו </w:t>
      </w:r>
      <w:r w:rsidRPr="009D1C95">
        <w:rPr>
          <w:rFonts w:ascii="David" w:hAnsi="David"/>
          <w:color w:val="000000" w:themeColor="text1"/>
          <w:sz w:val="24"/>
          <w:rtl/>
        </w:rPr>
        <w:t xml:space="preserve">מכוח סעיף 21 </w:t>
      </w:r>
      <w:r w:rsidRPr="009D1C95">
        <w:rPr>
          <w:rFonts w:ascii="David" w:hAnsi="David"/>
          <w:sz w:val="24"/>
          <w:rtl/>
        </w:rPr>
        <w:t>לחוק התוכנית לסיוע כלכלי (נגיף הקורונה החדש) (הוראת שעה), התש"ף-2020</w:t>
      </w:r>
      <w:r w:rsidRPr="009D1C95">
        <w:rPr>
          <w:rFonts w:ascii="David" w:hAnsi="David"/>
          <w:color w:val="000000" w:themeColor="text1"/>
          <w:sz w:val="24"/>
          <w:rtl/>
        </w:rPr>
        <w:t xml:space="preserve"> (להלן - חוק הסיוע הכלכלי),</w:t>
      </w:r>
      <w:r w:rsidRPr="009D1C95">
        <w:rPr>
          <w:rFonts w:ascii="David" w:hAnsi="David"/>
          <w:rtl/>
        </w:rPr>
        <w:t xml:space="preserve"> לצורך קבלת החלטות בעררים שהוגשו בגין תביעות למענקי סיוע לפי חוק הסיוע הכלכלי בתקופת מגפת הקורונה. במלחמת חרבות ברזל נקבע כי ועדות אלו ידונו גם בעררים המוגשים בתביעות לפיצוי בגין נזק עקיף לפי המסלול הכלל ארצי בהתאם לחוק, בין היתר מאחר שהפיצוי לפי המסלול הכלל ארצי מחושב במתכונת דומה לזו שלפיה חושבו חלק מהמענקים במגפת הקורונה.</w:t>
      </w:r>
    </w:p>
  </w:footnote>
  <w:footnote w:id="114">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החלטה סופית של ועדת ערר של משרד המשפטים ניתנת לערעור לפני בית משפט לעניינים מינהליים.</w:t>
      </w:r>
    </w:p>
  </w:footnote>
  <w:footnote w:id="115">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סטטוס טיפול "מבוטל" נקבע כאשר הערר נמשך על ידי המגיש, בין היתר, בשל הגעה להסכמות בין הצדדים לגבי תשלום הפיצוי. </w:t>
      </w:r>
    </w:p>
  </w:footnote>
  <w:footnote w:id="116">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הנתונים המוצגים בתרשים לגבי ועדות הערר של משרד המשפטים הם עד סוף ספטמבר 2024. הנתונים המוצגים בתרשים לגבי ועדות הערר של קרן הפיצויים הם עד סוף דצמבר 2024.</w:t>
      </w:r>
    </w:p>
  </w:footnote>
  <w:footnote w:id="117">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מבצע עמוד ענן התקיים בנובמבר 2012. העררים הוגשו משנת 2014 על תביעות שהוגשו בשנת 2013.</w:t>
      </w:r>
    </w:p>
  </w:footnote>
  <w:footnote w:id="118">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ועדות הערר של משרד המשפטים החלו את עבודתן בנובמבר 2020, כך שבסיום הביקורת טרם חלפו חמש שנים ממועד זה.</w:t>
      </w:r>
    </w:p>
  </w:footnote>
  <w:footnote w:id="119">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הנתונים המוצגים בתרשים לגבי ועדות הערר של משרד המשפטים הם עד סוף ספטמבר 2024. הנתונים המוצגים בתרשים לגבי ועדות הערר של קרן הפיצויים הם עד סוף דצמבר 2024.</w:t>
      </w:r>
    </w:p>
  </w:footnote>
  <w:footnote w:id="120">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סעיף 35 לחוק קרן הפיצויים.</w:t>
      </w:r>
    </w:p>
  </w:footnote>
  <w:footnote w:id="121">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קובץ שמפרסם משרד המשפטים ובו הודעות מינהליות של מוסדות המדינה, בהתאם לסמכויות שהוענקו להם בחקיקה ובחקיקת משנה.</w:t>
      </w:r>
    </w:p>
  </w:footnote>
  <w:footnote w:id="122">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 xml:space="preserve">היישובים הם אשקלון, </w:t>
      </w:r>
      <w:proofErr w:type="spellStart"/>
      <w:r w:rsidRPr="009D1C95">
        <w:rPr>
          <w:rFonts w:ascii="David" w:hAnsi="David"/>
          <w:rtl/>
        </w:rPr>
        <w:t>בוקעאת'א</w:t>
      </w:r>
      <w:proofErr w:type="spellEnd"/>
      <w:r w:rsidRPr="009D1C95">
        <w:rPr>
          <w:rFonts w:ascii="David" w:hAnsi="David"/>
          <w:rtl/>
        </w:rPr>
        <w:t xml:space="preserve">, בני יהודה, בני נצרים, ברור חיל, דורות, חד נס, </w:t>
      </w:r>
      <w:proofErr w:type="spellStart"/>
      <w:r w:rsidRPr="009D1C95">
        <w:rPr>
          <w:rFonts w:ascii="David" w:hAnsi="David"/>
          <w:rtl/>
        </w:rPr>
        <w:t>חספין</w:t>
      </w:r>
      <w:proofErr w:type="spellEnd"/>
      <w:r w:rsidRPr="009D1C95">
        <w:rPr>
          <w:rFonts w:ascii="David" w:hAnsi="David"/>
          <w:rtl/>
        </w:rPr>
        <w:t xml:space="preserve">, כפר ורדים, מבקיעים, נווה, </w:t>
      </w:r>
      <w:proofErr w:type="spellStart"/>
      <w:r w:rsidRPr="009D1C95">
        <w:rPr>
          <w:rFonts w:ascii="David" w:hAnsi="David"/>
          <w:rtl/>
        </w:rPr>
        <w:t>צוחר</w:t>
      </w:r>
      <w:proofErr w:type="spellEnd"/>
      <w:r w:rsidRPr="009D1C95">
        <w:rPr>
          <w:rFonts w:ascii="David" w:hAnsi="David"/>
          <w:rtl/>
        </w:rPr>
        <w:t xml:space="preserve">, קצרין ורמת </w:t>
      </w:r>
      <w:proofErr w:type="spellStart"/>
      <w:r w:rsidRPr="009D1C95">
        <w:rPr>
          <w:rFonts w:ascii="David" w:hAnsi="David"/>
          <w:rtl/>
        </w:rPr>
        <w:t>טראמפ</w:t>
      </w:r>
      <w:proofErr w:type="spellEnd"/>
      <w:r w:rsidRPr="009D1C95">
        <w:rPr>
          <w:rFonts w:ascii="David" w:hAnsi="David"/>
          <w:rtl/>
        </w:rPr>
        <w:t>.</w:t>
      </w:r>
    </w:p>
  </w:footnote>
  <w:footnote w:id="123">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נכון לדצמבר 2024 הוחלט כי היישובים שנוספו לרשימה לאחר פרוץ המלחמה ייחשבו ליישובי ספר עד מאי 2025.</w:t>
      </w:r>
    </w:p>
  </w:footnote>
  <w:footnote w:id="124">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סעיף 2 בתוספת לתקנות קרן הפיצויים.</w:t>
      </w:r>
    </w:p>
  </w:footnote>
  <w:footnote w:id="125">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מרכז המידע למודיעין וטרור, המרכז למורשת המודיעין (</w:t>
      </w:r>
      <w:proofErr w:type="spellStart"/>
      <w:r w:rsidRPr="009D1C95">
        <w:rPr>
          <w:rFonts w:ascii="David" w:hAnsi="David"/>
          <w:rtl/>
        </w:rPr>
        <w:t>מל"מ</w:t>
      </w:r>
      <w:proofErr w:type="spellEnd"/>
      <w:r w:rsidRPr="009D1C95">
        <w:rPr>
          <w:rFonts w:ascii="David" w:hAnsi="David"/>
          <w:rtl/>
        </w:rPr>
        <w:t>), "איום הרקטות מרצועת עזה 2000</w:t>
      </w:r>
      <w:r>
        <w:rPr>
          <w:rFonts w:ascii="David" w:hAnsi="David" w:hint="cs"/>
          <w:rtl/>
        </w:rPr>
        <w:t xml:space="preserve"> </w:t>
      </w:r>
      <w:r w:rsidRPr="009D1C95">
        <w:rPr>
          <w:rFonts w:ascii="David" w:hAnsi="David"/>
          <w:rtl/>
        </w:rPr>
        <w:t>-</w:t>
      </w:r>
      <w:r>
        <w:rPr>
          <w:rFonts w:ascii="David" w:hAnsi="David" w:hint="cs"/>
          <w:rtl/>
        </w:rPr>
        <w:t xml:space="preserve"> </w:t>
      </w:r>
      <w:r w:rsidRPr="009D1C95">
        <w:rPr>
          <w:rFonts w:ascii="David" w:hAnsi="David"/>
          <w:rtl/>
        </w:rPr>
        <w:t>2007" (דצמבר 2007).</w:t>
      </w:r>
    </w:p>
  </w:footnote>
  <w:footnote w:id="126">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בשנת 1979 נחתם הסכם שלום בין מדינת ישראל למצרים, ובשנת 1994 נחתם הסכם שלום בין מדינת ישראל לירדן.</w:t>
      </w:r>
    </w:p>
  </w:footnote>
  <w:footnote w:id="127">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ראו את דברי ההסבר להצעת חוק התכנית להבראת כלכלת ישראל (תיקוני חקיקה להשגת יעדי התקציב והמדיניות הכלכלית לשנות הכספים 2003 ו־2004), התשס״ג-2003.</w:t>
      </w:r>
    </w:p>
  </w:footnote>
  <w:footnote w:id="128">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לדוגמה, "יישוב סמוך לגבול" מוגדר בסעיף 11 לפקודה כ"יישוב שדירות המגורים שבתחומו, כולן או חלקן, שוכנות עד 7 קילומטרים מגבול ישראל עם ירדן, סוריה או מצרים או מגדר המערכת המקיפה את רצועת עזה, או עד 9 קילומטרים מגבול ישראל עם לבנון, והכול בקו אווירי".</w:t>
      </w:r>
    </w:p>
  </w:footnote>
  <w:footnote w:id="129">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מדד שאותו מחשבת הלשכה המרכזית לסטטיסטיקה, המשקף את מידת הפריפריאליות של רשות מקומית בישראל מבחינת מיקומה הגיאוגרפי ביחס למרכזי פעילות כלכלית.</w:t>
      </w:r>
    </w:p>
  </w:footnote>
  <w:footnote w:id="130">
    <w:p w:rsidR="00184C7B" w:rsidRPr="009D1C95" w:rsidRDefault="00184C7B" w:rsidP="006252C4">
      <w:pPr>
        <w:pStyle w:val="af0"/>
        <w:rPr>
          <w:rFonts w:ascii="David" w:hAnsi="David"/>
        </w:rPr>
      </w:pPr>
      <w:r w:rsidRPr="009D1C95">
        <w:rPr>
          <w:rStyle w:val="af2"/>
          <w:rFonts w:ascii="David" w:hAnsi="David"/>
        </w:rPr>
        <w:footnoteRef/>
      </w:r>
      <w:r w:rsidRPr="009D1C95">
        <w:rPr>
          <w:rFonts w:ascii="David" w:hAnsi="David"/>
          <w:rtl/>
        </w:rPr>
        <w:t xml:space="preserve"> </w:t>
      </w:r>
      <w:r w:rsidRPr="009D1C95">
        <w:rPr>
          <w:rFonts w:ascii="David" w:hAnsi="David"/>
          <w:rtl/>
        </w:rPr>
        <w:tab/>
        <w:t>מדד שאותו מחשבת הלשכה המרכזית לסטטיסטיקה, המאפיין ומדרג את הרמה החברתית והכלכלית (סוציו-אקונומית) של האוכלוסייה ביחידות גיאוגרפיות שונות.</w:t>
      </w:r>
    </w:p>
  </w:footnote>
  <w:footnote w:id="131">
    <w:p w:rsidR="00184C7B" w:rsidRPr="009D1C95" w:rsidRDefault="00184C7B" w:rsidP="006252C4">
      <w:pPr>
        <w:pStyle w:val="af0"/>
        <w:rPr>
          <w:rFonts w:ascii="David" w:hAnsi="David"/>
          <w:rtl/>
        </w:rPr>
      </w:pPr>
      <w:r w:rsidRPr="009D1C95">
        <w:rPr>
          <w:rStyle w:val="af2"/>
          <w:rFonts w:ascii="David" w:hAnsi="David"/>
        </w:rPr>
        <w:footnoteRef/>
      </w:r>
      <w:r w:rsidRPr="009D1C95">
        <w:rPr>
          <w:rFonts w:ascii="David" w:hAnsi="David"/>
          <w:rtl/>
        </w:rPr>
        <w:t xml:space="preserve"> </w:t>
      </w:r>
      <w:r w:rsidRPr="009D1C95">
        <w:rPr>
          <w:rFonts w:ascii="David" w:hAnsi="David"/>
          <w:rtl/>
        </w:rPr>
        <w:tab/>
        <w:t>ראו "מדידת איכות השירות הממשלתי לציבור - דוח מסכם לשנת 2023", מערך הדיגיטל הלאומי, מאי 2023.</w:t>
      </w:r>
    </w:p>
  </w:footnote>
  <w:footnote w:id="132">
    <w:p w:rsidR="00184C7B" w:rsidRPr="006F69DC" w:rsidRDefault="00184C7B" w:rsidP="006252C4">
      <w:pPr>
        <w:pStyle w:val="af0"/>
        <w:rPr>
          <w:rFonts w:ascii="David" w:hAnsi="David"/>
        </w:rPr>
      </w:pPr>
      <w:r w:rsidRPr="006F69DC">
        <w:rPr>
          <w:rStyle w:val="af2"/>
          <w:rFonts w:ascii="David" w:hAnsi="David"/>
        </w:rPr>
        <w:footnoteRef/>
      </w:r>
      <w:r w:rsidRPr="006F69DC">
        <w:rPr>
          <w:rFonts w:ascii="David" w:hAnsi="David"/>
          <w:rtl/>
        </w:rPr>
        <w:t xml:space="preserve"> </w:t>
      </w:r>
      <w:r w:rsidRPr="006F69DC">
        <w:rPr>
          <w:rFonts w:ascii="David" w:hAnsi="David"/>
          <w:rtl/>
        </w:rPr>
        <w:tab/>
        <w:t>שיעור המס על קרקע (תיקון מס' 27), התשנ"ט-1999. ס' 14 לחוק מס שבח מקרקעין (תיקון מס' 45), התשנ"ט-1999 (תיקון עקיף לחוק מס רכוש וקרן פיצויים, התשכ"א-1961).</w:t>
      </w:r>
    </w:p>
  </w:footnote>
  <w:footnote w:id="133">
    <w:p w:rsidR="00184C7B" w:rsidRPr="006F69DC" w:rsidRDefault="00184C7B" w:rsidP="006252C4">
      <w:pPr>
        <w:pStyle w:val="af0"/>
        <w:rPr>
          <w:rFonts w:ascii="David" w:hAnsi="David"/>
          <w:rtl/>
        </w:rPr>
      </w:pPr>
      <w:r w:rsidRPr="006F69DC">
        <w:rPr>
          <w:rStyle w:val="af2"/>
          <w:rFonts w:ascii="David" w:hAnsi="David"/>
        </w:rPr>
        <w:footnoteRef/>
      </w:r>
      <w:r w:rsidRPr="006F69DC">
        <w:rPr>
          <w:rFonts w:ascii="David" w:hAnsi="David"/>
          <w:rtl/>
        </w:rPr>
        <w:t xml:space="preserve"> </w:t>
      </w:r>
      <w:r w:rsidRPr="006F69DC">
        <w:rPr>
          <w:rFonts w:ascii="David" w:hAnsi="David"/>
        </w:rPr>
        <w:tab/>
      </w:r>
      <w:r w:rsidRPr="006F69DC">
        <w:rPr>
          <w:rFonts w:ascii="David" w:hAnsi="David"/>
          <w:rtl/>
        </w:rPr>
        <w:t>תקנות מס רכוש וקרן פיצויים (שיעור ההפרשה לקרן פיצויים), התשנ״א-1991.</w:t>
      </w:r>
    </w:p>
  </w:footnote>
  <w:footnote w:id="134">
    <w:p w:rsidR="00184C7B" w:rsidRPr="006F69DC" w:rsidRDefault="00184C7B" w:rsidP="006252C4">
      <w:pPr>
        <w:pStyle w:val="af0"/>
        <w:rPr>
          <w:rFonts w:ascii="David" w:hAnsi="David"/>
          <w:rtl/>
        </w:rPr>
      </w:pPr>
      <w:r w:rsidRPr="006F69DC">
        <w:rPr>
          <w:rStyle w:val="af2"/>
          <w:rFonts w:ascii="David" w:hAnsi="David"/>
        </w:rPr>
        <w:footnoteRef/>
      </w:r>
      <w:r w:rsidRPr="006F69DC">
        <w:rPr>
          <w:rFonts w:ascii="David" w:hAnsi="David"/>
          <w:rtl/>
        </w:rPr>
        <w:t xml:space="preserve"> </w:t>
      </w:r>
      <w:r w:rsidRPr="006F69DC">
        <w:rPr>
          <w:rFonts w:ascii="David" w:hAnsi="David"/>
          <w:rtl/>
        </w:rPr>
        <w:tab/>
        <w:t>תקנות מס רכוש וקרן פיצויים (שיעור ההפרשה לקרן פיצויים) (הוראת שעה), התשפ"ד-2024.</w:t>
      </w:r>
    </w:p>
  </w:footnote>
  <w:footnote w:id="135">
    <w:p w:rsidR="00184C7B" w:rsidRPr="006F69DC" w:rsidRDefault="00184C7B" w:rsidP="006252C4">
      <w:pPr>
        <w:pStyle w:val="af0"/>
        <w:rPr>
          <w:rFonts w:ascii="David" w:hAnsi="David"/>
        </w:rPr>
      </w:pPr>
      <w:r w:rsidRPr="006F69DC">
        <w:rPr>
          <w:rStyle w:val="af2"/>
          <w:rFonts w:ascii="David" w:hAnsi="David"/>
        </w:rPr>
        <w:footnoteRef/>
      </w:r>
      <w:r w:rsidRPr="006F69DC">
        <w:rPr>
          <w:rFonts w:ascii="David" w:hAnsi="David"/>
          <w:rtl/>
        </w:rPr>
        <w:t xml:space="preserve"> </w:t>
      </w:r>
      <w:r w:rsidRPr="006F69DC">
        <w:rPr>
          <w:rFonts w:ascii="David" w:hAnsi="David"/>
          <w:rtl/>
        </w:rPr>
        <w:tab/>
        <w:t>סעיפים 36(א) ו-65.</w:t>
      </w:r>
    </w:p>
  </w:footnote>
  <w:footnote w:id="136">
    <w:p w:rsidR="00184C7B" w:rsidRPr="006F69DC" w:rsidRDefault="00184C7B" w:rsidP="006252C4">
      <w:pPr>
        <w:pStyle w:val="af0"/>
        <w:rPr>
          <w:rFonts w:ascii="David" w:hAnsi="David"/>
          <w:rtl/>
        </w:rPr>
      </w:pPr>
      <w:r w:rsidRPr="006F69DC">
        <w:rPr>
          <w:rStyle w:val="af2"/>
          <w:rFonts w:ascii="David" w:hAnsi="David"/>
        </w:rPr>
        <w:footnoteRef/>
      </w:r>
      <w:r w:rsidRPr="006F69DC">
        <w:rPr>
          <w:rFonts w:ascii="David" w:hAnsi="David"/>
          <w:rtl/>
        </w:rPr>
        <w:t xml:space="preserve"> </w:t>
      </w:r>
      <w:r w:rsidRPr="006F69DC">
        <w:rPr>
          <w:rFonts w:ascii="David" w:hAnsi="David"/>
          <w:rtl/>
        </w:rPr>
        <w:tab/>
      </w:r>
      <w:bookmarkStart w:id="31" w:name="_Hlk191223722"/>
      <w:r w:rsidRPr="006F69DC">
        <w:rPr>
          <w:rFonts w:ascii="David" w:hAnsi="David"/>
          <w:rtl/>
        </w:rPr>
        <w:t>עד שנת 2019 נזקפה לקרן ריבית בשיעור 2/3 מריבית חשכ"ל, ומשנה זו נזקפה ריבית קבועה בשיעור 0.75%.</w:t>
      </w:r>
      <w:bookmarkEnd w:id="31"/>
    </w:p>
  </w:footnote>
  <w:footnote w:id="137">
    <w:p w:rsidR="00184C7B" w:rsidRPr="006F69DC" w:rsidRDefault="00184C7B" w:rsidP="006252C4">
      <w:pPr>
        <w:pStyle w:val="af0"/>
        <w:rPr>
          <w:rFonts w:ascii="David" w:hAnsi="David"/>
        </w:rPr>
      </w:pPr>
      <w:r w:rsidRPr="006F69DC">
        <w:rPr>
          <w:rStyle w:val="af2"/>
          <w:rFonts w:ascii="David" w:hAnsi="David"/>
        </w:rPr>
        <w:footnoteRef/>
      </w:r>
      <w:r w:rsidRPr="006F69DC">
        <w:rPr>
          <w:rFonts w:ascii="David" w:hAnsi="David"/>
          <w:rtl/>
        </w:rPr>
        <w:t xml:space="preserve"> </w:t>
      </w:r>
      <w:r w:rsidRPr="006F69DC">
        <w:rPr>
          <w:rFonts w:ascii="David" w:hAnsi="David"/>
          <w:rtl/>
        </w:rPr>
        <w:tab/>
        <w:t>עם שינוי שיטת הרישום שהנהיג החשכ"ל, הועמדה יתרת הקרן לינואר 2007 על אפס.</w:t>
      </w:r>
    </w:p>
  </w:footnote>
  <w:footnote w:id="138">
    <w:p w:rsidR="00184C7B" w:rsidRPr="006F69DC" w:rsidRDefault="00184C7B" w:rsidP="006252C4">
      <w:pPr>
        <w:pStyle w:val="af0"/>
        <w:rPr>
          <w:rFonts w:ascii="David" w:hAnsi="David"/>
          <w:rtl/>
        </w:rPr>
      </w:pPr>
      <w:r w:rsidRPr="006F69DC">
        <w:rPr>
          <w:rStyle w:val="af2"/>
          <w:rFonts w:ascii="David" w:hAnsi="David"/>
        </w:rPr>
        <w:footnoteRef/>
      </w:r>
      <w:r w:rsidRPr="006F69DC">
        <w:rPr>
          <w:rFonts w:ascii="David" w:hAnsi="David"/>
          <w:rtl/>
        </w:rPr>
        <w:t xml:space="preserve"> </w:t>
      </w:r>
      <w:r w:rsidRPr="006F69DC">
        <w:rPr>
          <w:rFonts w:ascii="David" w:hAnsi="David"/>
          <w:rtl/>
        </w:rPr>
        <w:tab/>
        <w:t>משרד האוצר, אגף החשכ"ל, הוראת תכ"ם 2.2.9, "רישום חשבונאי וניהול תקציבי של קרנות ושל פיקדונות" (1.10.11) (להלן - הוראת תכ"ם 2.2.9), סעיף 2.1.5, "ניהול כספי קרן חוץ תקציבית".</w:t>
      </w:r>
    </w:p>
  </w:footnote>
  <w:footnote w:id="139">
    <w:p w:rsidR="00184C7B" w:rsidRPr="006F69DC" w:rsidRDefault="00184C7B" w:rsidP="006252C4">
      <w:pPr>
        <w:pStyle w:val="af0"/>
        <w:rPr>
          <w:rFonts w:ascii="David" w:hAnsi="David"/>
        </w:rPr>
      </w:pPr>
      <w:r w:rsidRPr="006F69DC">
        <w:rPr>
          <w:rStyle w:val="af2"/>
          <w:rFonts w:ascii="David" w:hAnsi="David"/>
        </w:rPr>
        <w:footnoteRef/>
      </w:r>
      <w:r w:rsidRPr="006F69DC">
        <w:rPr>
          <w:rFonts w:ascii="David" w:hAnsi="David"/>
          <w:rtl/>
        </w:rPr>
        <w:t xml:space="preserve"> </w:t>
      </w:r>
      <w:r w:rsidRPr="006F69DC">
        <w:rPr>
          <w:rFonts w:ascii="David" w:hAnsi="David"/>
          <w:rtl/>
        </w:rPr>
        <w:tab/>
        <w:t>הוראת תכ"ם 2.2.9, סעיף 2.1.5.</w:t>
      </w:r>
    </w:p>
  </w:footnote>
  <w:footnote w:id="140">
    <w:p w:rsidR="00184C7B" w:rsidRPr="006F69DC" w:rsidRDefault="00184C7B" w:rsidP="006252C4">
      <w:pPr>
        <w:pStyle w:val="af0"/>
        <w:rPr>
          <w:rFonts w:ascii="David" w:hAnsi="David"/>
        </w:rPr>
      </w:pPr>
      <w:r w:rsidRPr="006F69DC">
        <w:rPr>
          <w:rStyle w:val="af2"/>
          <w:rFonts w:ascii="David" w:hAnsi="David"/>
        </w:rPr>
        <w:footnoteRef/>
      </w:r>
      <w:r w:rsidRPr="006F69DC">
        <w:rPr>
          <w:rFonts w:ascii="David" w:hAnsi="David"/>
          <w:rtl/>
        </w:rPr>
        <w:t xml:space="preserve"> </w:t>
      </w:r>
      <w:r w:rsidRPr="006F69DC">
        <w:rPr>
          <w:rFonts w:ascii="David" w:hAnsi="David"/>
          <w:rtl/>
        </w:rPr>
        <w:tab/>
        <w:t>חוק יסודות התקציב, התשמ"ה-1985.</w:t>
      </w:r>
    </w:p>
  </w:footnote>
  <w:footnote w:id="141">
    <w:p w:rsidR="00184C7B" w:rsidRPr="006F69DC" w:rsidRDefault="00184C7B" w:rsidP="006252C4">
      <w:pPr>
        <w:pStyle w:val="af0"/>
        <w:rPr>
          <w:rFonts w:ascii="David" w:hAnsi="David"/>
          <w:rtl/>
        </w:rPr>
      </w:pPr>
      <w:r w:rsidRPr="006F69DC">
        <w:rPr>
          <w:rStyle w:val="af2"/>
          <w:rFonts w:ascii="David" w:hAnsi="David"/>
        </w:rPr>
        <w:footnoteRef/>
      </w:r>
      <w:r w:rsidRPr="006F69DC">
        <w:rPr>
          <w:rFonts w:ascii="David" w:hAnsi="David"/>
          <w:rtl/>
        </w:rPr>
        <w:t xml:space="preserve"> </w:t>
      </w:r>
      <w:r w:rsidRPr="006F69DC">
        <w:rPr>
          <w:rFonts w:ascii="David" w:hAnsi="David"/>
          <w:rtl/>
        </w:rPr>
        <w:tab/>
        <w:t>הוראת תכ"</w:t>
      </w:r>
      <w:r>
        <w:rPr>
          <w:rFonts w:ascii="David" w:hAnsi="David" w:hint="cs"/>
          <w:rtl/>
        </w:rPr>
        <w:t>ם</w:t>
      </w:r>
      <w:r w:rsidRPr="006F69DC">
        <w:rPr>
          <w:rFonts w:ascii="David" w:hAnsi="David"/>
          <w:rtl/>
        </w:rPr>
        <w:t xml:space="preserve"> 2.2.9, סעיף 2.5.1.</w:t>
      </w:r>
    </w:p>
  </w:footnote>
  <w:footnote w:id="142">
    <w:p w:rsidR="00184C7B" w:rsidRPr="006F69DC" w:rsidRDefault="00184C7B" w:rsidP="006252C4">
      <w:pPr>
        <w:pStyle w:val="af0"/>
        <w:ind w:hanging="722"/>
        <w:rPr>
          <w:rFonts w:ascii="David" w:hAnsi="David"/>
          <w:rtl/>
        </w:rPr>
      </w:pPr>
      <w:r w:rsidRPr="006F69DC">
        <w:rPr>
          <w:rStyle w:val="af2"/>
          <w:rFonts w:ascii="David" w:hAnsi="David"/>
        </w:rPr>
        <w:footnoteRef/>
      </w:r>
      <w:r w:rsidRPr="006F69DC">
        <w:rPr>
          <w:rFonts w:ascii="David" w:hAnsi="David"/>
          <w:rtl/>
        </w:rPr>
        <w:t xml:space="preserve"> </w:t>
      </w:r>
      <w:r w:rsidRPr="006F69DC">
        <w:rPr>
          <w:rFonts w:ascii="David" w:hAnsi="David"/>
          <w:rtl/>
        </w:rPr>
        <w:tab/>
        <w:t>הוראת תכ"ם 2.2.9, סעיף 2.1.5.</w:t>
      </w:r>
    </w:p>
  </w:footnote>
  <w:footnote w:id="143">
    <w:p w:rsidR="00184C7B" w:rsidRPr="006F69DC" w:rsidRDefault="00184C7B" w:rsidP="006252C4">
      <w:pPr>
        <w:pStyle w:val="af0"/>
        <w:rPr>
          <w:rFonts w:ascii="David" w:hAnsi="David"/>
          <w:rtl/>
        </w:rPr>
      </w:pPr>
      <w:r w:rsidRPr="006F69DC">
        <w:rPr>
          <w:rStyle w:val="af2"/>
          <w:rFonts w:ascii="David" w:hAnsi="David"/>
        </w:rPr>
        <w:footnoteRef/>
      </w:r>
      <w:r w:rsidRPr="006F69DC">
        <w:rPr>
          <w:rFonts w:ascii="David" w:hAnsi="David"/>
          <w:rtl/>
        </w:rPr>
        <w:t xml:space="preserve"> </w:t>
      </w:r>
      <w:r w:rsidRPr="006F69DC">
        <w:rPr>
          <w:rFonts w:ascii="David" w:hAnsi="David"/>
          <w:rtl/>
        </w:rPr>
        <w:tab/>
        <w:t xml:space="preserve">מבקר המדינה, </w:t>
      </w:r>
      <w:r w:rsidRPr="006F69DC">
        <w:rPr>
          <w:rFonts w:ascii="David" w:hAnsi="David"/>
          <w:b/>
          <w:bCs/>
          <w:rtl/>
        </w:rPr>
        <w:t>דוח מבקר המדינה - מאי 2025,</w:t>
      </w:r>
      <w:r w:rsidRPr="006F69DC">
        <w:rPr>
          <w:rFonts w:ascii="David" w:hAnsi="David"/>
          <w:rtl/>
        </w:rPr>
        <w:t xml:space="preserve"> "הדוחות הכספיים של מדינת ישראל ליום 31.12.23 - קרנות הון ממשלתיות", עמ' 49.</w:t>
      </w:r>
    </w:p>
  </w:footnote>
  <w:footnote w:id="144">
    <w:p w:rsidR="00184C7B" w:rsidRPr="006F69DC" w:rsidRDefault="00184C7B" w:rsidP="006252C4">
      <w:pPr>
        <w:pStyle w:val="af0"/>
        <w:rPr>
          <w:rFonts w:ascii="David" w:hAnsi="David"/>
        </w:rPr>
      </w:pPr>
      <w:r w:rsidRPr="006F69DC">
        <w:rPr>
          <w:rStyle w:val="af2"/>
          <w:rFonts w:ascii="David" w:hAnsi="David"/>
        </w:rPr>
        <w:footnoteRef/>
      </w:r>
      <w:r w:rsidRPr="006F69DC">
        <w:rPr>
          <w:rFonts w:ascii="David" w:hAnsi="David"/>
          <w:rtl/>
        </w:rPr>
        <w:t xml:space="preserve"> </w:t>
      </w:r>
      <w:r w:rsidRPr="006F69DC">
        <w:rPr>
          <w:rFonts w:ascii="David" w:hAnsi="David"/>
          <w:rtl/>
        </w:rPr>
        <w:tab/>
        <w:t xml:space="preserve">מבקר המדינה, </w:t>
      </w:r>
      <w:r w:rsidRPr="006F69DC">
        <w:rPr>
          <w:rFonts w:ascii="David" w:hAnsi="David"/>
          <w:b/>
          <w:bCs/>
          <w:rtl/>
        </w:rPr>
        <w:t>דוח שנתי 58ב</w:t>
      </w:r>
      <w:r w:rsidRPr="006F69DC">
        <w:rPr>
          <w:rFonts w:ascii="David" w:hAnsi="David"/>
          <w:rtl/>
        </w:rPr>
        <w:t>, "מאזן המדינה ליום 31.12.06 - ניהול כספי קרנות ופיקדונות" (20.5.08), עמ' 171.</w:t>
      </w:r>
    </w:p>
  </w:footnote>
  <w:footnote w:id="145">
    <w:p w:rsidR="00184C7B" w:rsidRPr="006F69DC" w:rsidRDefault="00184C7B" w:rsidP="006252C4">
      <w:pPr>
        <w:pStyle w:val="af0"/>
        <w:rPr>
          <w:rFonts w:ascii="David" w:hAnsi="David"/>
          <w:rtl/>
        </w:rPr>
      </w:pPr>
      <w:r w:rsidRPr="006F69DC">
        <w:rPr>
          <w:rStyle w:val="af2"/>
          <w:rFonts w:ascii="David" w:hAnsi="David"/>
        </w:rPr>
        <w:footnoteRef/>
      </w:r>
      <w:r w:rsidRPr="006F69DC">
        <w:rPr>
          <w:rFonts w:ascii="David" w:hAnsi="David"/>
          <w:rtl/>
        </w:rPr>
        <w:t xml:space="preserve"> </w:t>
      </w:r>
      <w:r w:rsidRPr="006F69DC">
        <w:rPr>
          <w:rFonts w:ascii="David" w:hAnsi="David"/>
          <w:rtl/>
        </w:rPr>
        <w:tab/>
        <w:t xml:space="preserve">מבקר המדינה, </w:t>
      </w:r>
      <w:r w:rsidRPr="006F69DC">
        <w:rPr>
          <w:rFonts w:ascii="David" w:hAnsi="David"/>
          <w:b/>
          <w:bCs/>
          <w:rtl/>
        </w:rPr>
        <w:t>דוח שנתי 63א</w:t>
      </w:r>
      <w:r>
        <w:rPr>
          <w:rFonts w:ascii="David" w:hAnsi="David" w:hint="cs"/>
          <w:rtl/>
        </w:rPr>
        <w:t xml:space="preserve"> (2012)</w:t>
      </w:r>
      <w:r w:rsidRPr="006F69DC">
        <w:rPr>
          <w:rFonts w:ascii="David" w:hAnsi="David"/>
          <w:rtl/>
        </w:rPr>
        <w:t>, "היערכות הממשלה לביטוח רכוש ותשתיות מפני אסונות". עמ' 40.</w:t>
      </w:r>
    </w:p>
  </w:footnote>
  <w:footnote w:id="146">
    <w:p w:rsidR="00184C7B" w:rsidRPr="006F69DC" w:rsidRDefault="00184C7B" w:rsidP="006252C4">
      <w:pPr>
        <w:pStyle w:val="af0"/>
        <w:rPr>
          <w:rFonts w:ascii="David" w:hAnsi="David"/>
          <w:rtl/>
        </w:rPr>
      </w:pPr>
      <w:r w:rsidRPr="006F69DC">
        <w:rPr>
          <w:rStyle w:val="af2"/>
          <w:rFonts w:ascii="David" w:hAnsi="David"/>
        </w:rPr>
        <w:footnoteRef/>
      </w:r>
      <w:r w:rsidRPr="006F69DC">
        <w:rPr>
          <w:rFonts w:ascii="David" w:hAnsi="David"/>
          <w:rtl/>
        </w:rPr>
        <w:t xml:space="preserve"> </w:t>
      </w:r>
      <w:r w:rsidRPr="006F69DC">
        <w:rPr>
          <w:rFonts w:ascii="David" w:hAnsi="David"/>
          <w:rtl/>
        </w:rPr>
        <w:tab/>
        <w:t xml:space="preserve">מבקר המדינה, </w:t>
      </w:r>
      <w:r w:rsidRPr="006F69DC">
        <w:rPr>
          <w:rFonts w:ascii="David" w:hAnsi="David"/>
          <w:b/>
          <w:bCs/>
          <w:rtl/>
        </w:rPr>
        <w:t>דוח מבקר המדינה - מאי 2025</w:t>
      </w:r>
      <w:r w:rsidRPr="006F69DC">
        <w:rPr>
          <w:rFonts w:ascii="David" w:hAnsi="David"/>
          <w:rtl/>
        </w:rPr>
        <w:t>, "הדוחות הכספיים של מדינת ישראל ליום 31.12.23 - קרנות הון ממשלתיות", עמ' 50.</w:t>
      </w:r>
    </w:p>
  </w:footnote>
  <w:footnote w:id="147">
    <w:p w:rsidR="00184C7B" w:rsidRPr="006F69DC" w:rsidRDefault="00184C7B" w:rsidP="006252C4">
      <w:pPr>
        <w:pStyle w:val="af0"/>
        <w:rPr>
          <w:rFonts w:ascii="David" w:hAnsi="David"/>
        </w:rPr>
      </w:pPr>
      <w:r w:rsidRPr="006F69DC">
        <w:rPr>
          <w:rStyle w:val="af2"/>
          <w:rFonts w:ascii="David" w:hAnsi="David"/>
        </w:rPr>
        <w:footnoteRef/>
      </w:r>
      <w:r w:rsidRPr="006F69DC">
        <w:rPr>
          <w:rFonts w:ascii="David" w:hAnsi="David"/>
          <w:rtl/>
        </w:rPr>
        <w:t xml:space="preserve"> </w:t>
      </w:r>
      <w:r w:rsidRPr="006F69DC">
        <w:rPr>
          <w:rFonts w:ascii="David" w:hAnsi="David"/>
          <w:rtl/>
        </w:rPr>
        <w:tab/>
        <w:t>חוק יסוד: משק המדינה, ס"ח התשל"ה 206.</w:t>
      </w:r>
    </w:p>
  </w:footnote>
  <w:footnote w:id="148">
    <w:p w:rsidR="00184C7B" w:rsidRPr="006F69DC" w:rsidRDefault="00184C7B" w:rsidP="006252C4">
      <w:pPr>
        <w:pStyle w:val="af0"/>
        <w:rPr>
          <w:rFonts w:ascii="David" w:hAnsi="David"/>
        </w:rPr>
      </w:pPr>
      <w:r w:rsidRPr="006F69DC">
        <w:rPr>
          <w:rStyle w:val="af2"/>
          <w:rFonts w:ascii="David" w:hAnsi="David"/>
        </w:rPr>
        <w:footnoteRef/>
      </w:r>
      <w:r w:rsidRPr="006F69DC">
        <w:rPr>
          <w:rFonts w:ascii="David" w:hAnsi="David"/>
          <w:rtl/>
        </w:rPr>
        <w:t xml:space="preserve"> </w:t>
      </w:r>
      <w:r w:rsidRPr="006F69DC">
        <w:rPr>
          <w:rFonts w:ascii="David" w:hAnsi="David"/>
          <w:rtl/>
        </w:rPr>
        <w:tab/>
        <w:t>החל בשנת 2009 נחקקו חוקי תקציב דו-שנתיים (למעט שנת 2019 ושנת 2020, שבהן נקבע תקציב חד-שנתי).</w:t>
      </w:r>
    </w:p>
  </w:footnote>
  <w:footnote w:id="149">
    <w:p w:rsidR="00184C7B" w:rsidRPr="006F69DC" w:rsidRDefault="00184C7B" w:rsidP="006252C4">
      <w:pPr>
        <w:pStyle w:val="af0"/>
        <w:rPr>
          <w:rFonts w:ascii="David" w:hAnsi="David"/>
        </w:rPr>
      </w:pPr>
      <w:r w:rsidRPr="006F69DC">
        <w:rPr>
          <w:rStyle w:val="af2"/>
          <w:rFonts w:ascii="David" w:hAnsi="David"/>
        </w:rPr>
        <w:footnoteRef/>
      </w:r>
      <w:r w:rsidRPr="006F69DC">
        <w:rPr>
          <w:rFonts w:ascii="David" w:hAnsi="David"/>
          <w:rtl/>
        </w:rPr>
        <w:t xml:space="preserve"> </w:t>
      </w:r>
      <w:r w:rsidRPr="006F69DC">
        <w:rPr>
          <w:rFonts w:ascii="David" w:hAnsi="David"/>
          <w:rtl/>
        </w:rPr>
        <w:tab/>
        <w:t xml:space="preserve">מבקר המדינה, </w:t>
      </w:r>
      <w:r w:rsidRPr="006F69DC">
        <w:rPr>
          <w:rFonts w:ascii="David" w:hAnsi="David"/>
          <w:b/>
          <w:bCs/>
          <w:rtl/>
        </w:rPr>
        <w:t>דוח מבקר המדינה - מאי 2025</w:t>
      </w:r>
      <w:r w:rsidRPr="00542A17">
        <w:rPr>
          <w:rFonts w:ascii="David" w:hAnsi="David"/>
          <w:rtl/>
        </w:rPr>
        <w:t>,</w:t>
      </w:r>
      <w:r w:rsidRPr="006F69DC">
        <w:rPr>
          <w:rFonts w:ascii="David" w:hAnsi="David"/>
          <w:rtl/>
        </w:rPr>
        <w:t xml:space="preserve"> "הדוחות הכספיים של מדינת ישראל ליום 31.12.23 - קרנות הון ממשלתיות", עמ' 34.</w:t>
      </w:r>
    </w:p>
  </w:footnote>
  <w:footnote w:id="150">
    <w:p w:rsidR="00184C7B" w:rsidRPr="006F69DC" w:rsidRDefault="00184C7B" w:rsidP="006252C4">
      <w:pPr>
        <w:pStyle w:val="af0"/>
        <w:rPr>
          <w:rFonts w:ascii="David" w:hAnsi="David"/>
          <w:rtl/>
        </w:rPr>
      </w:pPr>
      <w:r w:rsidRPr="006F69DC">
        <w:rPr>
          <w:rStyle w:val="af2"/>
          <w:rFonts w:ascii="David" w:hAnsi="David"/>
        </w:rPr>
        <w:footnoteRef/>
      </w:r>
      <w:r w:rsidRPr="006F69DC">
        <w:rPr>
          <w:rFonts w:ascii="David" w:hAnsi="David"/>
          <w:rtl/>
        </w:rPr>
        <w:t xml:space="preserve"> </w:t>
      </w:r>
      <w:r w:rsidRPr="006F69DC">
        <w:rPr>
          <w:rFonts w:ascii="David" w:hAnsi="David"/>
          <w:rtl/>
        </w:rPr>
        <w:tab/>
        <w:t xml:space="preserve">מרכז המחקר והמידע של הכנסת, </w:t>
      </w:r>
      <w:r w:rsidRPr="006F69DC">
        <w:rPr>
          <w:rFonts w:ascii="David" w:hAnsi="David"/>
          <w:b/>
          <w:bCs/>
          <w:rtl/>
        </w:rPr>
        <w:t>התפתחות הגירעון התקציבי בשנת 2024 ובשנים הבאות</w:t>
      </w:r>
      <w:r w:rsidRPr="006F69DC">
        <w:rPr>
          <w:rFonts w:ascii="David" w:hAnsi="David"/>
          <w:rtl/>
        </w:rPr>
        <w:t xml:space="preserve"> (3.6.24).</w:t>
      </w:r>
    </w:p>
  </w:footnote>
  <w:footnote w:id="151">
    <w:p w:rsidR="00184C7B" w:rsidRPr="006F69DC" w:rsidRDefault="00184C7B" w:rsidP="006252C4">
      <w:pPr>
        <w:pStyle w:val="af0"/>
        <w:rPr>
          <w:rFonts w:ascii="David" w:hAnsi="David"/>
        </w:rPr>
      </w:pPr>
      <w:r w:rsidRPr="006F69DC">
        <w:rPr>
          <w:rStyle w:val="af2"/>
          <w:rFonts w:ascii="David" w:hAnsi="David"/>
        </w:rPr>
        <w:footnoteRef/>
      </w:r>
      <w:r w:rsidRPr="006F69DC">
        <w:rPr>
          <w:rFonts w:ascii="David" w:hAnsi="David"/>
          <w:rtl/>
        </w:rPr>
        <w:t xml:space="preserve"> </w:t>
      </w:r>
      <w:r w:rsidRPr="006F69DC">
        <w:rPr>
          <w:rFonts w:ascii="David" w:hAnsi="David"/>
          <w:rtl/>
        </w:rPr>
        <w:tab/>
        <w:t>הממשלה הרחבה מורכבת מהממשלה עצמה, מהמוסד לביטוח לאומי, מהרשויות המקומיות, מהמלכ״רים (קופות החולים, האוניברסיטאות, הישיבות וכו') שעיקר הכנסתם מהממשלה, וכן מהמוסדות הלאומיים (הסוכנות היהודית, הקרן הקיימת וההסתדרות הציונית העולמית). פעילותה נמדדת בהתאם להגדרות החשבונאות הלאומית, שהן שונות מאלו המשמשות בתקציב המדינה.</w:t>
      </w:r>
    </w:p>
  </w:footnote>
  <w:footnote w:id="152">
    <w:p w:rsidR="00184C7B" w:rsidRPr="006F69DC" w:rsidRDefault="00184C7B" w:rsidP="006252C4">
      <w:pPr>
        <w:pStyle w:val="af0"/>
        <w:rPr>
          <w:rFonts w:ascii="David" w:hAnsi="David"/>
        </w:rPr>
      </w:pPr>
      <w:r w:rsidRPr="006F69DC">
        <w:rPr>
          <w:rStyle w:val="af2"/>
          <w:rFonts w:ascii="David" w:hAnsi="David"/>
        </w:rPr>
        <w:footnoteRef/>
      </w:r>
      <w:r w:rsidRPr="006F69DC">
        <w:rPr>
          <w:rFonts w:ascii="David" w:hAnsi="David"/>
          <w:rtl/>
        </w:rPr>
        <w:t xml:space="preserve"> </w:t>
      </w:r>
      <w:r w:rsidRPr="006F69DC">
        <w:rPr>
          <w:rFonts w:ascii="David" w:hAnsi="David"/>
          <w:rtl/>
        </w:rPr>
        <w:tab/>
        <w:t>על פי נתוני הלמ"ס, הגירעון הסתכם ב-4.9 אחוזי תוצר. הסיבה לפער היא שהלמ"ס מפחיתה את ההכנסות ממכירת קרקעות, משום שהפרשנות לכללי החשבונות הלאומיים גורסת כי מכירת קרקעות היא השקעה שלילית של הממשלה. במדינות ה-</w:t>
      </w:r>
      <w:r w:rsidRPr="006F69DC">
        <w:rPr>
          <w:rFonts w:ascii="David" w:hAnsi="David"/>
        </w:rPr>
        <w:t>OECD</w:t>
      </w:r>
      <w:r w:rsidRPr="006F69DC">
        <w:rPr>
          <w:rFonts w:ascii="David" w:hAnsi="David"/>
          <w:rtl/>
        </w:rPr>
        <w:t xml:space="preserve"> מרבית ההכנסות ממכירת קרקעות בשנים האחרונות נמוכות מאוד, ולפיהן ההפחתה בהשקעה משקפת פעילויות כגון מכירת קרקע חקלאית שהושבחה או רכישה ושיפוץ של דירות בדיור הציבורי ומכירתן לזכאים. לעומת זאת, בישראל מדובר בהכנסות ממכירת קרקעות שלמדינה יש עליהן בעלות היסטורית, כלומר מדובר במימוש נכסים - פעולה </w:t>
      </w:r>
      <w:proofErr w:type="spellStart"/>
      <w:r w:rsidRPr="006F69DC">
        <w:rPr>
          <w:rFonts w:ascii="David" w:hAnsi="David"/>
          <w:rtl/>
        </w:rPr>
        <w:t>מימונית</w:t>
      </w:r>
      <w:proofErr w:type="spellEnd"/>
      <w:r w:rsidRPr="006F69DC">
        <w:rPr>
          <w:rFonts w:ascii="David" w:hAnsi="David"/>
          <w:rtl/>
        </w:rPr>
        <w:t>. בנק ישראל בוחר להציג את ההוצאה הציבורית ללא אותה הפחתה, ואת מכירת הקרקעות מציגים כסעיף מימוני שמרסן את גידול החוב.</w:t>
      </w:r>
    </w:p>
  </w:footnote>
  <w:footnote w:id="153">
    <w:p w:rsidR="00184C7B" w:rsidRPr="006F69DC" w:rsidRDefault="00184C7B" w:rsidP="006252C4">
      <w:pPr>
        <w:pStyle w:val="af0"/>
        <w:rPr>
          <w:rFonts w:ascii="David" w:hAnsi="David"/>
        </w:rPr>
      </w:pPr>
      <w:r w:rsidRPr="006F69DC">
        <w:rPr>
          <w:rStyle w:val="af2"/>
          <w:rFonts w:ascii="David" w:hAnsi="David"/>
        </w:rPr>
        <w:footnoteRef/>
      </w:r>
      <w:r w:rsidRPr="006F69DC">
        <w:rPr>
          <w:rFonts w:ascii="David" w:hAnsi="David"/>
          <w:rtl/>
        </w:rPr>
        <w:t xml:space="preserve"> </w:t>
      </w:r>
      <w:r w:rsidRPr="006F69DC">
        <w:rPr>
          <w:rFonts w:ascii="David" w:hAnsi="David"/>
          <w:rtl/>
        </w:rPr>
        <w:tab/>
        <w:t xml:space="preserve">בנק ישראל, </w:t>
      </w:r>
      <w:r w:rsidRPr="006F69DC">
        <w:rPr>
          <w:rFonts w:ascii="David" w:hAnsi="David"/>
          <w:b/>
          <w:bCs/>
          <w:rtl/>
        </w:rPr>
        <w:t>דוח 2023</w:t>
      </w:r>
      <w:r w:rsidRPr="006F69DC">
        <w:rPr>
          <w:rFonts w:ascii="David" w:hAnsi="David"/>
          <w:rtl/>
        </w:rPr>
        <w:t xml:space="preserve"> (28.3.24)</w:t>
      </w:r>
      <w:r>
        <w:rPr>
          <w:rFonts w:ascii="David" w:hAnsi="David" w:hint="cs"/>
          <w:rtl/>
        </w:rPr>
        <w:t xml:space="preserve">, </w:t>
      </w:r>
      <w:r w:rsidRPr="006F69DC">
        <w:rPr>
          <w:rFonts w:ascii="David" w:hAnsi="David"/>
          <w:rtl/>
        </w:rPr>
        <w:t>עמ' 141.</w:t>
      </w:r>
    </w:p>
  </w:footnote>
  <w:footnote w:id="154">
    <w:p w:rsidR="00184C7B" w:rsidRPr="006F69DC" w:rsidRDefault="00184C7B" w:rsidP="006252C4">
      <w:pPr>
        <w:pStyle w:val="af0"/>
        <w:rPr>
          <w:rFonts w:ascii="David" w:hAnsi="David"/>
          <w:rtl/>
        </w:rPr>
      </w:pPr>
      <w:r w:rsidRPr="006F69DC">
        <w:rPr>
          <w:rStyle w:val="af2"/>
          <w:rFonts w:ascii="David" w:hAnsi="David"/>
        </w:rPr>
        <w:footnoteRef/>
      </w:r>
      <w:r w:rsidRPr="006F69DC">
        <w:rPr>
          <w:rFonts w:ascii="David" w:hAnsi="David"/>
          <w:rtl/>
        </w:rPr>
        <w:t xml:space="preserve"> </w:t>
      </w:r>
      <w:r w:rsidRPr="006F69DC">
        <w:rPr>
          <w:rFonts w:ascii="David" w:hAnsi="David"/>
          <w:rtl/>
        </w:rPr>
        <w:tab/>
        <w:t>הוראת תכ"</w:t>
      </w:r>
      <w:r>
        <w:rPr>
          <w:rFonts w:ascii="David" w:hAnsi="David" w:hint="cs"/>
          <w:rtl/>
        </w:rPr>
        <w:t>ם</w:t>
      </w:r>
      <w:r w:rsidRPr="006F69DC">
        <w:rPr>
          <w:rFonts w:ascii="David" w:hAnsi="David"/>
          <w:rtl/>
        </w:rPr>
        <w:t xml:space="preserve"> 2.2.9, סעיף 2.4, "הפקדת כספים בחשבון החשב הכללי".</w:t>
      </w:r>
    </w:p>
  </w:footnote>
  <w:footnote w:id="155">
    <w:p w:rsidR="00184C7B" w:rsidRPr="006F69DC" w:rsidRDefault="00184C7B" w:rsidP="006252C4">
      <w:pPr>
        <w:pStyle w:val="af0"/>
        <w:rPr>
          <w:rFonts w:ascii="David" w:hAnsi="David"/>
          <w:rtl/>
        </w:rPr>
      </w:pPr>
      <w:r w:rsidRPr="006F69DC">
        <w:rPr>
          <w:rStyle w:val="af2"/>
          <w:rFonts w:ascii="David" w:hAnsi="David"/>
        </w:rPr>
        <w:footnoteRef/>
      </w:r>
      <w:r w:rsidRPr="006F69DC">
        <w:rPr>
          <w:rFonts w:ascii="David" w:hAnsi="David"/>
          <w:rtl/>
        </w:rPr>
        <w:t xml:space="preserve"> </w:t>
      </w:r>
      <w:r w:rsidRPr="006F69DC">
        <w:rPr>
          <w:rFonts w:ascii="David" w:hAnsi="David"/>
          <w:rtl/>
        </w:rPr>
        <w:tab/>
        <w:t>למעט אם התקבל אישור החשכ"ל לניהול כספי הקרן במסגרת שונה.</w:t>
      </w:r>
    </w:p>
  </w:footnote>
  <w:footnote w:id="156">
    <w:p w:rsidR="00184C7B" w:rsidRDefault="00184C7B" w:rsidP="006252C4">
      <w:pPr>
        <w:pStyle w:val="af0"/>
        <w:ind w:left="707" w:hanging="707"/>
        <w:rPr>
          <w:rFonts w:ascii="David" w:hAnsi="David"/>
          <w:rtl/>
        </w:rPr>
      </w:pPr>
      <w:r>
        <w:rPr>
          <w:rStyle w:val="af2"/>
          <w:rFonts w:ascii="David" w:hAnsi="David"/>
        </w:rPr>
        <w:footnoteRef/>
      </w:r>
      <w:r>
        <w:rPr>
          <w:rFonts w:ascii="David" w:hAnsi="David"/>
          <w:rtl/>
        </w:rPr>
        <w:t xml:space="preserve"> </w:t>
      </w:r>
      <w:r>
        <w:rPr>
          <w:rFonts w:ascii="David" w:hAnsi="David" w:hint="cs"/>
          <w:rtl/>
        </w:rPr>
        <w:tab/>
        <w:t>הוראת תכ"ם 2.2.9, סעיף 2.4.2.</w:t>
      </w:r>
    </w:p>
  </w:footnote>
  <w:footnote w:id="157">
    <w:p w:rsidR="00184C7B" w:rsidRDefault="00184C7B" w:rsidP="006252C4">
      <w:pPr>
        <w:pStyle w:val="af0"/>
        <w:rPr>
          <w:rtl/>
        </w:rPr>
      </w:pPr>
      <w:r>
        <w:rPr>
          <w:rStyle w:val="af2"/>
        </w:rPr>
        <w:footnoteRef/>
      </w:r>
      <w:r>
        <w:rPr>
          <w:rtl/>
        </w:rPr>
        <w:t xml:space="preserve"> </w:t>
      </w:r>
      <w:r>
        <w:rPr>
          <w:rtl/>
        </w:rPr>
        <w:tab/>
      </w:r>
      <w:r>
        <w:rPr>
          <w:rFonts w:ascii="David" w:hAnsi="David" w:hint="cs"/>
          <w:rtl/>
        </w:rPr>
        <w:t xml:space="preserve">הוראת תכ"ם 2.2.9, </w:t>
      </w:r>
      <w:r>
        <w:rPr>
          <w:rFonts w:ascii="David" w:hAnsi="David"/>
          <w:rtl/>
        </w:rPr>
        <w:t>נספח ד</w:t>
      </w:r>
      <w:r>
        <w:rPr>
          <w:rFonts w:ascii="David" w:hAnsi="David" w:hint="cs"/>
          <w:rtl/>
        </w:rPr>
        <w:t>', "</w:t>
      </w:r>
      <w:r>
        <w:rPr>
          <w:rFonts w:ascii="David" w:hAnsi="David"/>
          <w:rtl/>
        </w:rPr>
        <w:t>עקרונות שיש לכלול במסגרת הסכם הפקדה</w:t>
      </w:r>
      <w:r>
        <w:rPr>
          <w:rFonts w:ascii="David" w:hAnsi="David" w:hint="cs"/>
          <w:rtl/>
        </w:rPr>
        <w:t>"</w:t>
      </w:r>
      <w:r>
        <w:rPr>
          <w:rFonts w:ascii="David" w:hAnsi="David"/>
          <w:rtl/>
        </w:rPr>
        <w:t>.</w:t>
      </w:r>
    </w:p>
  </w:footnote>
  <w:footnote w:id="158">
    <w:p w:rsidR="00184C7B" w:rsidRDefault="00184C7B" w:rsidP="006252C4">
      <w:pPr>
        <w:pStyle w:val="af0"/>
        <w:rPr>
          <w:rtl/>
        </w:rPr>
      </w:pPr>
      <w:r>
        <w:rPr>
          <w:rStyle w:val="af2"/>
        </w:rPr>
        <w:footnoteRef/>
      </w:r>
      <w:r>
        <w:rPr>
          <w:rtl/>
        </w:rPr>
        <w:t xml:space="preserve"> </w:t>
      </w:r>
      <w:r>
        <w:rPr>
          <w:rtl/>
        </w:rPr>
        <w:tab/>
      </w:r>
      <w:r>
        <w:rPr>
          <w:rFonts w:hint="cs"/>
          <w:rtl/>
        </w:rPr>
        <w:t>בפגישה עם צוות הביקורת ביום 25.2.24.</w:t>
      </w:r>
    </w:p>
  </w:footnote>
  <w:footnote w:id="159">
    <w:p w:rsidR="00184C7B" w:rsidRDefault="00184C7B" w:rsidP="006252C4">
      <w:pPr>
        <w:pStyle w:val="af0"/>
      </w:pPr>
      <w:r>
        <w:rPr>
          <w:rStyle w:val="af2"/>
        </w:rPr>
        <w:footnoteRef/>
      </w:r>
      <w:r>
        <w:rPr>
          <w:rtl/>
        </w:rPr>
        <w:t xml:space="preserve"> </w:t>
      </w:r>
      <w:r>
        <w:rPr>
          <w:rtl/>
        </w:rPr>
        <w:tab/>
        <w:t xml:space="preserve">מחושב רבעונית לפי ממוצע יתרת </w:t>
      </w:r>
      <w:r>
        <w:rPr>
          <w:rFonts w:hint="cs"/>
          <w:rtl/>
        </w:rPr>
        <w:t>ה</w:t>
      </w:r>
      <w:r>
        <w:rPr>
          <w:rtl/>
        </w:rPr>
        <w:t xml:space="preserve">פתיחה ויתרת </w:t>
      </w:r>
      <w:r>
        <w:rPr>
          <w:rFonts w:hint="cs"/>
          <w:rtl/>
        </w:rPr>
        <w:t>ה</w:t>
      </w:r>
      <w:r>
        <w:rPr>
          <w:rtl/>
        </w:rPr>
        <w:t>סגירה.</w:t>
      </w:r>
    </w:p>
  </w:footnote>
  <w:footnote w:id="160">
    <w:p w:rsidR="00184C7B" w:rsidRDefault="00184C7B" w:rsidP="006252C4">
      <w:pPr>
        <w:pStyle w:val="af0"/>
        <w:rPr>
          <w:rFonts w:ascii="David" w:hAnsi="David"/>
        </w:rPr>
      </w:pPr>
      <w:r>
        <w:rPr>
          <w:rStyle w:val="af2"/>
          <w:rFonts w:ascii="David" w:hAnsi="David"/>
        </w:rPr>
        <w:footnoteRef/>
      </w:r>
      <w:r>
        <w:rPr>
          <w:rFonts w:ascii="David" w:hAnsi="David"/>
          <w:rtl/>
        </w:rPr>
        <w:t xml:space="preserve"> </w:t>
      </w:r>
      <w:r>
        <w:rPr>
          <w:rFonts w:ascii="David" w:hAnsi="David" w:hint="cs"/>
          <w:rtl/>
        </w:rPr>
        <w:tab/>
        <w:t>אופן החישוב - ריבית שנצברה בכל שנה חלקי יתרת הסגירה בשנה הקודמת.</w:t>
      </w:r>
    </w:p>
  </w:footnote>
  <w:footnote w:id="161">
    <w:p w:rsidR="00184C7B" w:rsidRDefault="00184C7B" w:rsidP="006252C4">
      <w:pPr>
        <w:pStyle w:val="af0"/>
        <w:rPr>
          <w:rFonts w:ascii="David" w:hAnsi="David"/>
          <w:rtl/>
        </w:rPr>
      </w:pPr>
      <w:r>
        <w:rPr>
          <w:rStyle w:val="af2"/>
          <w:rFonts w:ascii="David" w:hAnsi="David"/>
        </w:rPr>
        <w:footnoteRef/>
      </w:r>
      <w:r>
        <w:rPr>
          <w:rFonts w:ascii="David" w:hAnsi="David"/>
          <w:rtl/>
        </w:rPr>
        <w:t xml:space="preserve"> </w:t>
      </w:r>
      <w:r>
        <w:rPr>
          <w:rFonts w:ascii="David" w:hAnsi="David" w:hint="cs"/>
          <w:rtl/>
        </w:rPr>
        <w:tab/>
        <w:t xml:space="preserve">בנק ישראל, </w:t>
      </w:r>
      <w:r w:rsidRPr="00F6374D">
        <w:rPr>
          <w:rFonts w:ascii="David" w:hAnsi="David" w:hint="eastAsia"/>
          <w:b/>
          <w:bCs/>
          <w:rtl/>
        </w:rPr>
        <w:t>דוחות</w:t>
      </w:r>
      <w:r w:rsidRPr="00F6374D">
        <w:rPr>
          <w:rFonts w:ascii="David" w:hAnsi="David"/>
          <w:b/>
          <w:bCs/>
          <w:rtl/>
        </w:rPr>
        <w:t xml:space="preserve"> כספי</w:t>
      </w:r>
      <w:r w:rsidRPr="00F6374D">
        <w:rPr>
          <w:rFonts w:ascii="David" w:hAnsi="David" w:hint="eastAsia"/>
          <w:b/>
          <w:bCs/>
          <w:rtl/>
        </w:rPr>
        <w:t>ים</w:t>
      </w:r>
      <w:r w:rsidRPr="00F6374D">
        <w:rPr>
          <w:rFonts w:ascii="David" w:hAnsi="David"/>
          <w:b/>
          <w:bCs/>
          <w:rtl/>
        </w:rPr>
        <w:t xml:space="preserve"> לשנת 2022</w:t>
      </w:r>
      <w:r>
        <w:rPr>
          <w:rFonts w:ascii="David" w:hAnsi="David" w:hint="cs"/>
          <w:rtl/>
        </w:rPr>
        <w:t xml:space="preserve"> (29.3.23), עמ' 44.</w:t>
      </w:r>
    </w:p>
  </w:footnote>
  <w:footnote w:id="162">
    <w:p w:rsidR="00184C7B" w:rsidRDefault="00184C7B" w:rsidP="006252C4">
      <w:pPr>
        <w:pStyle w:val="af0"/>
        <w:rPr>
          <w:rtl/>
        </w:rPr>
      </w:pPr>
      <w:r>
        <w:rPr>
          <w:rStyle w:val="af2"/>
        </w:rPr>
        <w:footnoteRef/>
      </w:r>
      <w:r>
        <w:rPr>
          <w:rtl/>
        </w:rPr>
        <w:t xml:space="preserve"> </w:t>
      </w:r>
      <w:r>
        <w:rPr>
          <w:rtl/>
        </w:rPr>
        <w:tab/>
      </w:r>
      <w:r>
        <w:rPr>
          <w:rFonts w:hint="cs"/>
          <w:rtl/>
        </w:rPr>
        <w:t>ה</w:t>
      </w:r>
      <w:r>
        <w:rPr>
          <w:rtl/>
        </w:rPr>
        <w:t xml:space="preserve">סכומים </w:t>
      </w:r>
      <w:r>
        <w:rPr>
          <w:rFonts w:hint="cs"/>
          <w:rtl/>
        </w:rPr>
        <w:t>ה</w:t>
      </w:r>
      <w:r>
        <w:rPr>
          <w:rtl/>
        </w:rPr>
        <w:t>שנתיים ו</w:t>
      </w:r>
      <w:r>
        <w:rPr>
          <w:rFonts w:hint="cs"/>
          <w:rtl/>
        </w:rPr>
        <w:t>ה</w:t>
      </w:r>
      <w:r>
        <w:rPr>
          <w:rtl/>
        </w:rPr>
        <w:t xml:space="preserve">ריבית </w:t>
      </w:r>
      <w:r>
        <w:rPr>
          <w:rFonts w:hint="cs"/>
          <w:rtl/>
        </w:rPr>
        <w:t>ה</w:t>
      </w:r>
      <w:r>
        <w:rPr>
          <w:rtl/>
        </w:rPr>
        <w:t>נומינלית.</w:t>
      </w:r>
    </w:p>
  </w:footnote>
  <w:footnote w:id="163">
    <w:p w:rsidR="00184C7B" w:rsidRDefault="00184C7B" w:rsidP="006252C4">
      <w:pPr>
        <w:pStyle w:val="af0"/>
        <w:rPr>
          <w:rtl/>
        </w:rPr>
      </w:pPr>
      <w:r>
        <w:rPr>
          <w:rStyle w:val="af2"/>
        </w:rPr>
        <w:footnoteRef/>
      </w:r>
      <w:r>
        <w:rPr>
          <w:rtl/>
        </w:rPr>
        <w:t xml:space="preserve"> </w:t>
      </w:r>
      <w:r>
        <w:rPr>
          <w:rtl/>
        </w:rPr>
        <w:tab/>
        <w:t>תקנות מס רכוש וקרן פיצויים (שיעור ההפרשה לקרן פיצויים), התשנ"א-1991.</w:t>
      </w:r>
    </w:p>
  </w:footnote>
  <w:footnote w:id="164">
    <w:p w:rsidR="00184C7B" w:rsidRDefault="00184C7B" w:rsidP="006252C4">
      <w:pPr>
        <w:pStyle w:val="af0"/>
        <w:rPr>
          <w:rtl/>
        </w:rPr>
      </w:pPr>
      <w:r>
        <w:rPr>
          <w:rStyle w:val="af2"/>
        </w:rPr>
        <w:footnoteRef/>
      </w:r>
      <w:r>
        <w:rPr>
          <w:rtl/>
        </w:rPr>
        <w:t xml:space="preserve"> </w:t>
      </w:r>
      <w:r>
        <w:rPr>
          <w:rtl/>
        </w:rPr>
        <w:tab/>
      </w:r>
      <w:r w:rsidRPr="00DB2064">
        <w:rPr>
          <w:rtl/>
        </w:rPr>
        <w:t>תקנות מס רכוש וקרן פיצויים (שעיור ההפרשה לקרן פיצויים) (הוראת שעה), התשפ"ד-2024</w:t>
      </w:r>
      <w:r>
        <w:rPr>
          <w:rFonts w:hint="cs"/>
          <w:rtl/>
        </w:rPr>
        <w:t>.</w:t>
      </w:r>
    </w:p>
  </w:footnote>
  <w:footnote w:id="165">
    <w:p w:rsidR="00184C7B" w:rsidRDefault="00184C7B" w:rsidP="006252C4">
      <w:pPr>
        <w:pStyle w:val="af0"/>
        <w:rPr>
          <w:rtl/>
        </w:rPr>
      </w:pPr>
      <w:r>
        <w:rPr>
          <w:rStyle w:val="af2"/>
        </w:rPr>
        <w:footnoteRef/>
      </w:r>
      <w:r>
        <w:rPr>
          <w:rtl/>
        </w:rPr>
        <w:t xml:space="preserve"> </w:t>
      </w:r>
      <w:r>
        <w:rPr>
          <w:rtl/>
        </w:rPr>
        <w:tab/>
        <w:t>ועדת הכספים</w:t>
      </w:r>
      <w:r>
        <w:rPr>
          <w:rFonts w:hint="cs"/>
          <w:rtl/>
        </w:rPr>
        <w:t>,</w:t>
      </w:r>
      <w:r w:rsidRPr="00C1347E">
        <w:rPr>
          <w:rtl/>
        </w:rPr>
        <w:t xml:space="preserve"> </w:t>
      </w:r>
      <w:r>
        <w:rPr>
          <w:rtl/>
        </w:rPr>
        <w:t>פרוטוקול 900 (</w:t>
      </w:r>
      <w:r>
        <w:rPr>
          <w:rFonts w:hint="cs"/>
          <w:rtl/>
        </w:rPr>
        <w:t>31.12.17</w:t>
      </w:r>
      <w:r>
        <w:rPr>
          <w:rtl/>
        </w:rPr>
        <w:t>).</w:t>
      </w:r>
    </w:p>
  </w:footnote>
  <w:footnote w:id="166">
    <w:p w:rsidR="00184C7B" w:rsidRDefault="00184C7B" w:rsidP="006252C4">
      <w:pPr>
        <w:pStyle w:val="af0"/>
        <w:rPr>
          <w:rtl/>
        </w:rPr>
      </w:pPr>
      <w:r>
        <w:rPr>
          <w:rStyle w:val="af2"/>
        </w:rPr>
        <w:footnoteRef/>
      </w:r>
      <w:r>
        <w:rPr>
          <w:rtl/>
        </w:rPr>
        <w:t xml:space="preserve"> </w:t>
      </w:r>
      <w:r>
        <w:rPr>
          <w:rtl/>
        </w:rPr>
        <w:tab/>
      </w:r>
      <w:r w:rsidRPr="001310E2">
        <w:rPr>
          <w:rtl/>
        </w:rPr>
        <w:t>תפקידיה של רח"ל, המשמשת כגוף מטה ליד שר הביטחון, הם בין היתר</w:t>
      </w:r>
      <w:r>
        <w:rPr>
          <w:rFonts w:hint="cs"/>
          <w:rtl/>
        </w:rPr>
        <w:t xml:space="preserve"> </w:t>
      </w:r>
      <w:r w:rsidRPr="001310E2">
        <w:rPr>
          <w:rtl/>
        </w:rPr>
        <w:t xml:space="preserve">לפעול לקידום היערכות גופי החירום, ספקי החירום והמשק החיוני לשעת חירום, לשמש מנחה מקצועי בתחום ההיערכות לשעת חירום ולפעול במצב חירום במשק כדי לסייע לשר הביטחון, לגופי החירום ולספקי החירום לרכז עבודת מטה לצורך הגדרת האיום ותרחישי הייחוס לעורף ברמה הלאומית, לצורך גיבוש תפיסות הפעלה למצבי החירום בעורף וכדי לקבוע את ההיערכות והמענה הנדרשים של הארגונים ומשרדי הממשלה בעורף במצבי חירום שונים. התרחיש שהכינה רח"ל הביא בחשבון את מגוון מצבי החירום. התרחיש אושר על ידי שר הביטחון, </w:t>
      </w:r>
      <w:r>
        <w:rPr>
          <w:rtl/>
        </w:rPr>
        <w:t xml:space="preserve">האחראי </w:t>
      </w:r>
      <w:r>
        <w:rPr>
          <w:rFonts w:hint="cs"/>
          <w:rtl/>
        </w:rPr>
        <w:t>ל</w:t>
      </w:r>
      <w:r>
        <w:rPr>
          <w:rtl/>
        </w:rPr>
        <w:t>שעת חירום בממשלת ישראל</w:t>
      </w:r>
      <w:r>
        <w:rPr>
          <w:rFonts w:hint="cs"/>
          <w:rtl/>
        </w:rPr>
        <w:t>,</w:t>
      </w:r>
      <w:r>
        <w:rPr>
          <w:rtl/>
        </w:rPr>
        <w:t xml:space="preserve"> והמתין </w:t>
      </w:r>
      <w:r>
        <w:rPr>
          <w:rFonts w:hint="cs"/>
          <w:rtl/>
        </w:rPr>
        <w:t>גיבוש ה</w:t>
      </w:r>
      <w:r w:rsidRPr="00456E91">
        <w:rPr>
          <w:rtl/>
        </w:rPr>
        <w:t>דוח מ</w:t>
      </w:r>
      <w:r>
        <w:rPr>
          <w:rFonts w:hint="cs"/>
          <w:rtl/>
        </w:rPr>
        <w:t>ה</w:t>
      </w:r>
      <w:r w:rsidRPr="00456E91">
        <w:rPr>
          <w:rtl/>
        </w:rPr>
        <w:t>סכם של הצוות לבחינת פתרונות פיננסיים עבור קרן מס רכוש</w:t>
      </w:r>
      <w:r>
        <w:rPr>
          <w:rtl/>
        </w:rPr>
        <w:t xml:space="preserve"> לאישור הקבינט</w:t>
      </w:r>
      <w:r>
        <w:rPr>
          <w:rFonts w:hint="cs"/>
          <w:rtl/>
        </w:rPr>
        <w:t>.</w:t>
      </w:r>
    </w:p>
  </w:footnote>
  <w:footnote w:id="167">
    <w:p w:rsidR="00184C7B" w:rsidRDefault="00184C7B" w:rsidP="006252C4">
      <w:pPr>
        <w:pStyle w:val="af0"/>
      </w:pPr>
      <w:r>
        <w:rPr>
          <w:rStyle w:val="af2"/>
        </w:rPr>
        <w:footnoteRef/>
      </w:r>
      <w:r>
        <w:rPr>
          <w:rtl/>
        </w:rPr>
        <w:t xml:space="preserve"> </w:t>
      </w:r>
      <w:r>
        <w:rPr>
          <w:rtl/>
        </w:rPr>
        <w:tab/>
        <w:t>ביטוח בחברת ביטוח חיצונית לממשלה, אשר במסגרתו המבוטח משלם פרמיה למבטח בהתאם לאחוז מסוים משווי הנכסים המבוטחים, בהתאם לפרופיל הסיכון שלהם ולכיסוי הביטוחי הנרכש.</w:t>
      </w:r>
    </w:p>
  </w:footnote>
  <w:footnote w:id="168">
    <w:p w:rsidR="00184C7B" w:rsidRDefault="00184C7B" w:rsidP="006252C4">
      <w:pPr>
        <w:pStyle w:val="af0"/>
      </w:pPr>
      <w:r>
        <w:rPr>
          <w:rStyle w:val="af2"/>
        </w:rPr>
        <w:footnoteRef/>
      </w:r>
      <w:r>
        <w:rPr>
          <w:rtl/>
        </w:rPr>
        <w:t xml:space="preserve"> </w:t>
      </w:r>
      <w:r>
        <w:rPr>
          <w:rtl/>
        </w:rPr>
        <w:tab/>
        <w:t xml:space="preserve">אג"ח קטסטרופה </w:t>
      </w:r>
      <w:r>
        <w:rPr>
          <w:rFonts w:hint="cs"/>
          <w:rtl/>
        </w:rPr>
        <w:t>הוא</w:t>
      </w:r>
      <w:r>
        <w:rPr>
          <w:rtl/>
        </w:rPr>
        <w:t xml:space="preserve"> מנגנון מורכב של גיוס הון </w:t>
      </w:r>
      <w:r>
        <w:rPr>
          <w:rFonts w:hint="cs"/>
          <w:rtl/>
        </w:rPr>
        <w:t>ש</w:t>
      </w:r>
      <w:r>
        <w:rPr>
          <w:rtl/>
        </w:rPr>
        <w:t>הישות המגייסת אינה נדרשת להחזירו למלווים בקרות אירוע מוסכם מראש.</w:t>
      </w:r>
    </w:p>
  </w:footnote>
  <w:footnote w:id="169">
    <w:p w:rsidR="00184C7B" w:rsidRDefault="00184C7B" w:rsidP="006252C4">
      <w:pPr>
        <w:pStyle w:val="af0"/>
      </w:pPr>
      <w:r>
        <w:rPr>
          <w:rStyle w:val="af2"/>
        </w:rPr>
        <w:footnoteRef/>
      </w:r>
      <w:r>
        <w:rPr>
          <w:rtl/>
        </w:rPr>
        <w:t xml:space="preserve"> </w:t>
      </w:r>
      <w:r>
        <w:rPr>
          <w:rtl/>
        </w:rPr>
        <w:tab/>
        <w:t>החלט</w:t>
      </w:r>
      <w:r>
        <w:rPr>
          <w:rFonts w:hint="cs"/>
          <w:rtl/>
        </w:rPr>
        <w:t xml:space="preserve">ה </w:t>
      </w:r>
      <w:r>
        <w:rPr>
          <w:rtl/>
        </w:rPr>
        <w:t>1266</w:t>
      </w:r>
      <w:r>
        <w:rPr>
          <w:rFonts w:hint="cs"/>
          <w:rtl/>
        </w:rPr>
        <w:t xml:space="preserve"> של הממשלה ה-37</w:t>
      </w:r>
      <w:r>
        <w:rPr>
          <w:rtl/>
        </w:rPr>
        <w:t xml:space="preserve"> "הגדלת ההפרשה לקרן הפיצויים בעקבות מלחמת חרבות ברזל" </w:t>
      </w:r>
      <w:r>
        <w:rPr>
          <w:rFonts w:hint="cs"/>
          <w:rtl/>
        </w:rPr>
        <w:t>(</w:t>
      </w:r>
      <w:r>
        <w:rPr>
          <w:rtl/>
        </w:rPr>
        <w:t>14.1.24</w:t>
      </w:r>
      <w:r>
        <w:rPr>
          <w:rFonts w:hint="cs"/>
          <w:rtl/>
        </w:rPr>
        <w:t>)</w:t>
      </w:r>
      <w:r>
        <w:rPr>
          <w:rtl/>
        </w:rPr>
        <w:t>.</w:t>
      </w:r>
    </w:p>
  </w:footnote>
  <w:footnote w:id="170">
    <w:p w:rsidR="00184C7B" w:rsidRDefault="00184C7B" w:rsidP="006252C4">
      <w:pPr>
        <w:pStyle w:val="af0"/>
      </w:pPr>
      <w:r>
        <w:rPr>
          <w:rStyle w:val="af2"/>
        </w:rPr>
        <w:footnoteRef/>
      </w:r>
      <w:r>
        <w:rPr>
          <w:rtl/>
        </w:rPr>
        <w:t xml:space="preserve"> </w:t>
      </w:r>
      <w:r>
        <w:rPr>
          <w:rtl/>
        </w:rPr>
        <w:tab/>
      </w:r>
      <w:r>
        <w:rPr>
          <w:rFonts w:hint="cs"/>
          <w:rtl/>
        </w:rPr>
        <w:t xml:space="preserve">נכון </w:t>
      </w:r>
      <w:r w:rsidRPr="006B1BCA">
        <w:rPr>
          <w:rtl/>
        </w:rPr>
        <w:t>ליום 30.9.23</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C7B" w:rsidRPr="0062451B" w:rsidRDefault="00184C7B" w:rsidP="00DA67CB">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5680"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1" name="קבוצה 1"/>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4" name="מחבר ישר 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7"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184C7B" w:rsidRPr="0062451B" w:rsidRDefault="00184C7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6"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184C7B" w:rsidRPr="0062451B" w:rsidRDefault="00184C7B"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7"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184C7B" w:rsidRPr="001E204F" w:rsidRDefault="00184C7B" w:rsidP="00B4321D">
                            <w:pPr>
                              <w:rPr>
                                <w:rFonts w:ascii="Calibri" w:hAnsi="Calibri" w:cs="Calibri"/>
                                <w:color w:val="002060"/>
                                <w:szCs w:val="20"/>
                                <w:rtl/>
                              </w:rPr>
                            </w:pPr>
                            <w:r>
                              <w:rPr>
                                <w:rFonts w:ascii="Calibri" w:hAnsi="Calibri" w:cs="Calibri" w:hint="cs"/>
                                <w:color w:val="002060"/>
                                <w:szCs w:val="20"/>
                                <w:rtl/>
                              </w:rPr>
                              <w:t>שם הדוח שם הדוח</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1" o:spid="_x0000_s1026" style="position:absolute;margin-left:-15.2pt;margin-top:-7.45pt;width:484.3pt;height:47.6pt;z-index:251655680;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">
              <v:line id="מחבר ישר 4" o:spid="_x0000_s1027"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" strokecolor="#4579b8 [3044]"/>
              <v:shapetype id="_x0000_t202" coordsize="21600,21600" o:spt="202" path="m,l,21600r21600,l21600,xe">
                <v:stroke joinstyle="miter"/>
                <v:path gradientshapeok="t" o:connecttype="rect"/>
              </v:shapetype>
              <v:shape id="תיבת טקסט 2" o:spid="_x0000_s1028"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" filled="f" stroked="f">
                <v:textbox>
                  <w:txbxContent>
                    <w:p w:rsidR="00184C7B" w:rsidRPr="0062451B" w:rsidRDefault="00184C7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29"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" filled="f" stroked="f">
                <v:textbox>
                  <w:txbxContent>
                    <w:p w:rsidR="00184C7B" w:rsidRPr="0062451B" w:rsidRDefault="00184C7B"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30"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" filled="f" stroked="f">
                <v:textbox>
                  <w:txbxContent>
                    <w:p w:rsidR="00184C7B" w:rsidRPr="001E204F" w:rsidRDefault="00184C7B" w:rsidP="00B4321D">
                      <w:pPr>
                        <w:rPr>
                          <w:rFonts w:ascii="Calibri" w:hAnsi="Calibri" w:cs="Calibri"/>
                          <w:color w:val="002060"/>
                          <w:szCs w:val="20"/>
                          <w:rtl/>
                        </w:rPr>
                      </w:pPr>
                      <w:r>
                        <w:rPr>
                          <w:rFonts w:ascii="Calibri" w:hAnsi="Calibri" w:cs="Calibri" w:hint="cs"/>
                          <w:color w:val="002060"/>
                          <w:szCs w:val="20"/>
                          <w:rtl/>
                        </w:rPr>
                        <w:t>שם הדוח שם הדוח</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C7B" w:rsidRDefault="00184C7B" w:rsidP="005E62A6">
    <w:pPr>
      <w:pStyle w:val="aa"/>
      <w:tabs>
        <w:tab w:val="clear" w:pos="8306"/>
      </w:tabs>
    </w:pPr>
    <w:r>
      <w:rPr>
        <w:noProof/>
      </w:rPr>
      <w:drawing>
        <wp:anchor distT="0" distB="0" distL="114300" distR="114300" simplePos="0" relativeHeight="251663872" behindDoc="0" locked="0" layoutInCell="1" allowOverlap="1" wp14:anchorId="6EC3A4AB" wp14:editId="62913705">
          <wp:simplePos x="0" y="0"/>
          <wp:positionH relativeFrom="column">
            <wp:posOffset>2346960</wp:posOffset>
          </wp:positionH>
          <wp:positionV relativeFrom="paragraph">
            <wp:posOffset>978535</wp:posOffset>
          </wp:positionV>
          <wp:extent cx="871220" cy="570865"/>
          <wp:effectExtent l="0" t="0" r="0" b="0"/>
          <wp:wrapNone/>
          <wp:docPr id="55" name="גרפיק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71220" cy="570865"/>
                  </a:xfrm>
                  <a:prstGeom prst="rect">
                    <a:avLst/>
                  </a:prstGeom>
                </pic:spPr>
              </pic:pic>
            </a:graphicData>
          </a:graphic>
        </wp:anchor>
      </w:drawing>
    </w:r>
    <w:r>
      <w:rPr>
        <w:noProof/>
      </w:rPr>
      <mc:AlternateContent>
        <mc:Choice Requires="wpg">
          <w:drawing>
            <wp:anchor distT="0" distB="0" distL="114300" distR="114300" simplePos="0" relativeHeight="251653632" behindDoc="0" locked="0" layoutInCell="1" allowOverlap="1">
              <wp:simplePos x="0" y="0"/>
              <wp:positionH relativeFrom="column">
                <wp:posOffset>1946910</wp:posOffset>
              </wp:positionH>
              <wp:positionV relativeFrom="paragraph">
                <wp:posOffset>-462915</wp:posOffset>
              </wp:positionV>
              <wp:extent cx="1695450" cy="3009900"/>
              <wp:effectExtent l="0" t="0" r="19050" b="19050"/>
              <wp:wrapNone/>
              <wp:docPr id="53" name="קבוצה 53"/>
              <wp:cNvGraphicFramePr/>
              <a:graphic xmlns:a="http://schemas.openxmlformats.org/drawingml/2006/main">
                <a:graphicData uri="http://schemas.microsoft.com/office/word/2010/wordprocessingGroup">
                  <wpg:wgp>
                    <wpg:cNvGrpSpPr/>
                    <wpg:grpSpPr>
                      <a:xfrm>
                        <a:off x="0" y="0"/>
                        <a:ext cx="1695450" cy="3009900"/>
                        <a:chOff x="628650" y="0"/>
                        <a:chExt cx="169545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D5E595" id="קבוצה 53" o:spid="_x0000_s1026" style="position:absolute;left:0;text-align:left;margin-left:153.3pt;margin-top:-36.45pt;width:133.5pt;height:237pt;z-index:251653632" coordorigin="6286" coordsize="16954,3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">
              <v:rect id="מלבן 54" o:spid="_x0000_s1027"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line id="מחבר ישר 56" o:spid="_x0000_s1028"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group>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1304713</wp:posOffset>
              </wp:positionH>
              <wp:positionV relativeFrom="paragraph">
                <wp:posOffset>2090420</wp:posOffset>
              </wp:positionV>
              <wp:extent cx="2959100" cy="455930"/>
              <wp:effectExtent l="0" t="0" r="0" b="1270"/>
              <wp:wrapNone/>
              <wp:docPr id="57" name="תיבת טקסט 57"/>
              <wp:cNvGraphicFramePr/>
              <a:graphic xmlns:a="http://schemas.openxmlformats.org/drawingml/2006/main">
                <a:graphicData uri="http://schemas.microsoft.com/office/word/2010/wordprocessingShape">
                  <wps:wsp>
                    <wps:cNvSpPr txBox="1"/>
                    <wps:spPr>
                      <a:xfrm>
                        <a:off x="0" y="0"/>
                        <a:ext cx="2959100" cy="455930"/>
                      </a:xfrm>
                      <a:prstGeom prst="rect">
                        <a:avLst/>
                      </a:prstGeom>
                      <a:noFill/>
                      <a:ln w="6350">
                        <a:noFill/>
                      </a:ln>
                    </wps:spPr>
                    <wps:txbx>
                      <w:txbxContent>
                        <w:p w:rsidR="00184C7B" w:rsidRPr="00CE6B6A" w:rsidRDefault="00184C7B" w:rsidP="006A646E">
                          <w:pPr>
                            <w:jc w:val="center"/>
                            <w:rPr>
                              <w:rFonts w:ascii="Calibri" w:hAnsi="Calibri" w:cs="Calibri"/>
                              <w:color w:val="002060"/>
                              <w:spacing w:val="80"/>
                              <w:sz w:val="28"/>
                              <w:szCs w:val="36"/>
                            </w:rPr>
                          </w:pPr>
                          <w:r w:rsidRPr="00CE6B6A">
                            <w:rPr>
                              <w:rFonts w:ascii="Calibri" w:hAnsi="Calibri" w:cs="Calibri"/>
                              <w:color w:val="002060"/>
                              <w:spacing w:val="80"/>
                              <w:sz w:val="28"/>
                              <w:szCs w:val="36"/>
                              <w:rtl/>
                            </w:rPr>
                            <w:t>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57" o:spid="_x0000_s1031" type="#_x0000_t202" style="position:absolute;left:0;text-align:left;margin-left:102.75pt;margin-top:164.6pt;width:233pt;height:35.9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" filled="f" stroked="f" strokeweight=".5pt">
              <v:textbox>
                <w:txbxContent>
                  <w:p w:rsidR="00184C7B" w:rsidRPr="00CE6B6A" w:rsidRDefault="00184C7B" w:rsidP="006A646E">
                    <w:pPr>
                      <w:jc w:val="center"/>
                      <w:rPr>
                        <w:rFonts w:ascii="Calibri" w:hAnsi="Calibri" w:cs="Calibri"/>
                        <w:color w:val="002060"/>
                        <w:spacing w:val="80"/>
                        <w:sz w:val="28"/>
                        <w:szCs w:val="36"/>
                      </w:rPr>
                    </w:pPr>
                    <w:r w:rsidRPr="00CE6B6A">
                      <w:rPr>
                        <w:rFonts w:ascii="Calibri" w:hAnsi="Calibri" w:cs="Calibri"/>
                        <w:color w:val="002060"/>
                        <w:spacing w:val="80"/>
                        <w:sz w:val="28"/>
                        <w:szCs w:val="36"/>
                        <w:rtl/>
                      </w:rPr>
                      <w:t>מבקר המדינה</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C7B" w:rsidRPr="005C3049" w:rsidRDefault="00184C7B" w:rsidP="005C3049">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8992" behindDoc="0" locked="0" layoutInCell="1" allowOverlap="1" wp14:anchorId="1E8A21C8" wp14:editId="343EA71C">
              <wp:simplePos x="0" y="0"/>
              <wp:positionH relativeFrom="column">
                <wp:posOffset>-193040</wp:posOffset>
              </wp:positionH>
              <wp:positionV relativeFrom="paragraph">
                <wp:posOffset>-94615</wp:posOffset>
              </wp:positionV>
              <wp:extent cx="6150310" cy="604586"/>
              <wp:effectExtent l="0" t="0" r="3175" b="5080"/>
              <wp:wrapNone/>
              <wp:docPr id="3" name="קבוצה 3"/>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5" name="מחבר ישר 5"/>
                      <wps:cNvCnPr/>
                      <wps:spPr>
                        <a:xfrm>
                          <a:off x="100483" y="304800"/>
                          <a:ext cx="6019800" cy="0"/>
                        </a:xfrm>
                        <a:prstGeom prst="line">
                          <a:avLst/>
                        </a:prstGeom>
                        <a:noFill/>
                        <a:ln w="9525" cap="flat" cmpd="sng" algn="ctr">
                          <a:solidFill>
                            <a:srgbClr val="4F81BD">
                              <a:shade val="95000"/>
                              <a:satMod val="105000"/>
                            </a:srgbClr>
                          </a:solidFill>
                          <a:prstDash val="solid"/>
                        </a:ln>
                        <a:effectLst/>
                      </wps:spPr>
                      <wps:bodyPr/>
                    </wps:wsp>
                    <wps:wsp>
                      <wps:cNvPr id="8"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184C7B" w:rsidRPr="0062451B" w:rsidRDefault="00184C7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9"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184C7B" w:rsidRPr="0062451B" w:rsidRDefault="00184C7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0"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184C7B" w:rsidRPr="001E204F" w:rsidRDefault="00184C7B"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1E8A21C8" id="קבוצה 3" o:spid="_x0000_s1036" style="position:absolute;margin-left:-15.2pt;margin-top:-7.45pt;width:484.3pt;height:47.6pt;z-index:251668992;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">
              <v:line id="מחבר ישר 5" o:spid="_x0000_s1037"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" strokecolor="#4a7ebb"/>
              <v:shapetype id="_x0000_t202" coordsize="21600,21600" o:spt="202" path="m,l,21600r21600,l21600,xe">
                <v:stroke joinstyle="miter"/>
                <v:path gradientshapeok="t" o:connecttype="rect"/>
              </v:shapetype>
              <v:shape id="תיבת טקסט 2" o:spid="_x0000_s1038"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" filled="f" stroked="f">
                <v:textbox>
                  <w:txbxContent>
                    <w:p w:rsidR="00184C7B" w:rsidRPr="0062451B" w:rsidRDefault="00184C7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39"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" filled="f" stroked="f">
                <v:textbox>
                  <w:txbxContent>
                    <w:p w:rsidR="00184C7B" w:rsidRPr="0062451B" w:rsidRDefault="00184C7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40"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" filled="f" stroked="f">
                <v:textbox>
                  <w:txbxContent>
                    <w:p w:rsidR="00184C7B" w:rsidRPr="001E204F" w:rsidRDefault="00184C7B"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C7B" w:rsidRPr="0062451B" w:rsidRDefault="00184C7B" w:rsidP="00DA67CB">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6944" behindDoc="0" locked="0" layoutInCell="1" allowOverlap="1" wp14:anchorId="629DB283" wp14:editId="56D64785">
              <wp:simplePos x="0" y="0"/>
              <wp:positionH relativeFrom="column">
                <wp:posOffset>-193040</wp:posOffset>
              </wp:positionH>
              <wp:positionV relativeFrom="paragraph">
                <wp:posOffset>-94615</wp:posOffset>
              </wp:positionV>
              <wp:extent cx="6150310" cy="604586"/>
              <wp:effectExtent l="0" t="0" r="3175" b="5080"/>
              <wp:wrapNone/>
              <wp:docPr id="12" name="קבוצה 12"/>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15" name="מחבר ישר 38"/>
                      <wps:cNvCnPr/>
                      <wps:spPr>
                        <a:xfrm>
                          <a:off x="100483" y="304800"/>
                          <a:ext cx="6019800" cy="0"/>
                        </a:xfrm>
                        <a:prstGeom prst="line">
                          <a:avLst/>
                        </a:prstGeom>
                        <a:noFill/>
                        <a:ln w="9525" cap="flat" cmpd="sng" algn="ctr">
                          <a:solidFill>
                            <a:srgbClr val="4F81BD">
                              <a:shade val="95000"/>
                              <a:satMod val="105000"/>
                            </a:srgbClr>
                          </a:solidFill>
                          <a:prstDash val="solid"/>
                        </a:ln>
                        <a:effectLst/>
                      </wps:spPr>
                      <wps:bodyPr/>
                    </wps:wsp>
                    <wps:wsp>
                      <wps:cNvPr id="20"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184C7B" w:rsidRPr="0062451B" w:rsidRDefault="00184C7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21"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184C7B" w:rsidRPr="0062451B" w:rsidRDefault="00184C7B" w:rsidP="00276705">
                            <w:pPr>
                              <w:spacing w:line="240" w:lineRule="auto"/>
                              <w:jc w:val="right"/>
                              <w:rPr>
                                <w:rFonts w:ascii="Calibri" w:hAnsi="Calibri" w:cs="Calibri"/>
                                <w:color w:val="002060"/>
                                <w:szCs w:val="20"/>
                                <w:rtl/>
                              </w:rPr>
                            </w:pPr>
                            <w:r>
                              <w:rPr>
                                <w:rFonts w:ascii="Calibri" w:hAnsi="Calibri" w:cs="Calibri" w:hint="cs"/>
                                <w:color w:val="002060"/>
                                <w:szCs w:val="20"/>
                                <w:rtl/>
                              </w:rPr>
                              <w:t>טבת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ינואר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23"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184C7B" w:rsidRPr="001E204F" w:rsidRDefault="00184C7B" w:rsidP="00B4321D">
                            <w:pPr>
                              <w:rPr>
                                <w:rFonts w:ascii="Calibri" w:hAnsi="Calibri" w:cs="Calibri"/>
                                <w:color w:val="002060"/>
                                <w:szCs w:val="20"/>
                                <w:rtl/>
                              </w:rPr>
                            </w:pPr>
                            <w:r w:rsidRPr="009E02AD">
                              <w:rPr>
                                <w:rFonts w:ascii="Calibri" w:hAnsi="Calibri" w:cs="Calibri"/>
                                <w:color w:val="002060"/>
                                <w:szCs w:val="20"/>
                                <w:rtl/>
                              </w:rPr>
                              <w:t>ההיערכות והפעילות של רשות המיסים לפיצוי בגין נזקי מלחמה</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629DB283" id="קבוצה 12" o:spid="_x0000_s1041" style="position:absolute;margin-left:-15.2pt;margin-top:-7.45pt;width:484.3pt;height:47.6pt;z-index:251666944;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">
              <v:line id="מחבר ישר 38" o:spid="_x0000_s1042"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" strokecolor="#4a7ebb"/>
              <v:shapetype id="_x0000_t202" coordsize="21600,21600" o:spt="202" path="m,l,21600r21600,l21600,xe">
                <v:stroke joinstyle="miter"/>
                <v:path gradientshapeok="t" o:connecttype="rect"/>
              </v:shapetype>
              <v:shape id="תיבת טקסט 2" o:spid="_x0000_s1043"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" filled="f" stroked="f">
                <v:textbox>
                  <w:txbxContent>
                    <w:p w:rsidR="00184C7B" w:rsidRPr="0062451B" w:rsidRDefault="00184C7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44"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" filled="f" stroked="f">
                <v:textbox>
                  <w:txbxContent>
                    <w:p w:rsidR="00184C7B" w:rsidRPr="0062451B" w:rsidRDefault="00184C7B" w:rsidP="00276705">
                      <w:pPr>
                        <w:spacing w:line="240" w:lineRule="auto"/>
                        <w:jc w:val="right"/>
                        <w:rPr>
                          <w:rFonts w:ascii="Calibri" w:hAnsi="Calibri" w:cs="Calibri"/>
                          <w:color w:val="002060"/>
                          <w:szCs w:val="20"/>
                          <w:rtl/>
                        </w:rPr>
                      </w:pPr>
                      <w:r>
                        <w:rPr>
                          <w:rFonts w:ascii="Calibri" w:hAnsi="Calibri" w:cs="Calibri" w:hint="cs"/>
                          <w:color w:val="002060"/>
                          <w:szCs w:val="20"/>
                          <w:rtl/>
                        </w:rPr>
                        <w:t>טבת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ינואר 2026</w:t>
                      </w:r>
                      <w:r w:rsidRPr="0062451B">
                        <w:rPr>
                          <w:rFonts w:ascii="Calibri" w:hAnsi="Calibri" w:cs="Calibri" w:hint="cs"/>
                          <w:color w:val="002060"/>
                          <w:szCs w:val="20"/>
                          <w:rtl/>
                        </w:rPr>
                        <w:t xml:space="preserve"> </w:t>
                      </w:r>
                    </w:p>
                  </w:txbxContent>
                </v:textbox>
              </v:shape>
              <v:shape id="תיבת טקסט 2" o:spid="_x0000_s1045"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" filled="f" stroked="f">
                <v:textbox>
                  <w:txbxContent>
                    <w:p w:rsidR="00184C7B" w:rsidRPr="001E204F" w:rsidRDefault="00184C7B" w:rsidP="00B4321D">
                      <w:pPr>
                        <w:rPr>
                          <w:rFonts w:ascii="Calibri" w:hAnsi="Calibri" w:cs="Calibri"/>
                          <w:color w:val="002060"/>
                          <w:szCs w:val="20"/>
                          <w:rtl/>
                        </w:rPr>
                      </w:pPr>
                      <w:r w:rsidRPr="009E02AD">
                        <w:rPr>
                          <w:rFonts w:ascii="Calibri" w:hAnsi="Calibri" w:cs="Calibri"/>
                          <w:color w:val="002060"/>
                          <w:szCs w:val="20"/>
                          <w:rtl/>
                        </w:rPr>
                        <w:t>ההיערכות והפעילות של רשות המיסים לפיצוי בגין נזקי מלחמה</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C7B" w:rsidRPr="00FB414E" w:rsidRDefault="00184C7B" w:rsidP="00FB414E">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7968" behindDoc="0" locked="0" layoutInCell="1" allowOverlap="1" wp14:anchorId="7582A3C9" wp14:editId="2FD25A7E">
              <wp:simplePos x="0" y="0"/>
              <wp:positionH relativeFrom="column">
                <wp:posOffset>-193040</wp:posOffset>
              </wp:positionH>
              <wp:positionV relativeFrom="paragraph">
                <wp:posOffset>-94615</wp:posOffset>
              </wp:positionV>
              <wp:extent cx="6150310" cy="604586"/>
              <wp:effectExtent l="0" t="0" r="3175" b="5080"/>
              <wp:wrapNone/>
              <wp:docPr id="25" name="קבוצה 25"/>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26" name="מחבר ישר 26"/>
                      <wps:cNvCnPr/>
                      <wps:spPr>
                        <a:xfrm>
                          <a:off x="100483" y="304800"/>
                          <a:ext cx="6019800" cy="0"/>
                        </a:xfrm>
                        <a:prstGeom prst="line">
                          <a:avLst/>
                        </a:prstGeom>
                        <a:noFill/>
                        <a:ln w="9525" cap="flat" cmpd="sng" algn="ctr">
                          <a:solidFill>
                            <a:srgbClr val="4F81BD">
                              <a:shade val="95000"/>
                              <a:satMod val="105000"/>
                            </a:srgbClr>
                          </a:solidFill>
                          <a:prstDash val="solid"/>
                        </a:ln>
                        <a:effectLst/>
                      </wps:spPr>
                      <wps:bodyPr/>
                    </wps:wsp>
                    <wps:wsp>
                      <wps:cNvPr id="45"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184C7B" w:rsidRPr="0062451B" w:rsidRDefault="00184C7B"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5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184C7B" w:rsidRPr="0062451B" w:rsidRDefault="00184C7B" w:rsidP="00FB414E">
                            <w:pPr>
                              <w:spacing w:line="240" w:lineRule="auto"/>
                              <w:jc w:val="right"/>
                              <w:rPr>
                                <w:rFonts w:ascii="Calibri" w:hAnsi="Calibri" w:cs="Calibri"/>
                                <w:color w:val="002060"/>
                                <w:szCs w:val="20"/>
                                <w:rtl/>
                              </w:rPr>
                            </w:pPr>
                            <w:r>
                              <w:rPr>
                                <w:rFonts w:ascii="Calibri" w:hAnsi="Calibri" w:cs="Calibri" w:hint="cs"/>
                                <w:color w:val="002060"/>
                                <w:szCs w:val="20"/>
                                <w:rtl/>
                              </w:rPr>
                              <w:t>טבת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ינואר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51"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184C7B" w:rsidRPr="001E204F" w:rsidRDefault="00184C7B" w:rsidP="00FB414E">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7582A3C9" id="קבוצה 25" o:spid="_x0000_s1046" style="position:absolute;margin-left:-15.2pt;margin-top:-7.45pt;width:484.3pt;height:47.6pt;z-index:251667968;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">
              <v:line id="מחבר ישר 26" o:spid="_x0000_s1047"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" strokecolor="#4a7ebb"/>
              <v:shapetype id="_x0000_t202" coordsize="21600,21600" o:spt="202" path="m,l,21600r21600,l21600,xe">
                <v:stroke joinstyle="miter"/>
                <v:path gradientshapeok="t" o:connecttype="rect"/>
              </v:shapetype>
              <v:shape id="תיבת טקסט 2" o:spid="_x0000_s1048"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" filled="f" stroked="f">
                <v:textbox>
                  <w:txbxContent>
                    <w:p w:rsidR="00184C7B" w:rsidRPr="0062451B" w:rsidRDefault="00184C7B"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49"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" filled="f" stroked="f">
                <v:textbox>
                  <w:txbxContent>
                    <w:p w:rsidR="00184C7B" w:rsidRPr="0062451B" w:rsidRDefault="00184C7B" w:rsidP="00FB414E">
                      <w:pPr>
                        <w:spacing w:line="240" w:lineRule="auto"/>
                        <w:jc w:val="right"/>
                        <w:rPr>
                          <w:rFonts w:ascii="Calibri" w:hAnsi="Calibri" w:cs="Calibri"/>
                          <w:color w:val="002060"/>
                          <w:szCs w:val="20"/>
                          <w:rtl/>
                        </w:rPr>
                      </w:pPr>
                      <w:r>
                        <w:rPr>
                          <w:rFonts w:ascii="Calibri" w:hAnsi="Calibri" w:cs="Calibri" w:hint="cs"/>
                          <w:color w:val="002060"/>
                          <w:szCs w:val="20"/>
                          <w:rtl/>
                        </w:rPr>
                        <w:t>טבת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ינואר 2026</w:t>
                      </w:r>
                      <w:r w:rsidRPr="0062451B">
                        <w:rPr>
                          <w:rFonts w:ascii="Calibri" w:hAnsi="Calibri" w:cs="Calibri" w:hint="cs"/>
                          <w:color w:val="002060"/>
                          <w:szCs w:val="20"/>
                          <w:rtl/>
                        </w:rPr>
                        <w:t xml:space="preserve"> </w:t>
                      </w:r>
                    </w:p>
                  </w:txbxContent>
                </v:textbox>
              </v:shape>
              <v:shape id="תיבת טקסט 2" o:spid="_x0000_s1050"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" filled="f" stroked="f">
                <v:textbox>
                  <w:txbxContent>
                    <w:p w:rsidR="00184C7B" w:rsidRPr="001E204F" w:rsidRDefault="00184C7B" w:rsidP="00FB414E">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C7B" w:rsidRPr="005C3049" w:rsidRDefault="00184C7B" w:rsidP="005C3049">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1824"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89213021" name="קבוצה 89213021"/>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47956213" name="מחבר ישר 347956213"/>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9674053"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184C7B" w:rsidRPr="0062451B" w:rsidRDefault="00184C7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52521800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184C7B" w:rsidRPr="0062451B" w:rsidRDefault="00184C7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769145022"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184C7B" w:rsidRPr="001E204F" w:rsidRDefault="00184C7B"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89213021" o:spid="_x0000_s1052" style="position:absolute;margin-left:-15.2pt;margin-top:-7.45pt;width:484.3pt;height:47.6pt;z-index:251661824;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">
              <v:line id="מחבר ישר 347956213" o:spid="_x0000_s1053"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" strokecolor="#4579b8 [3044]"/>
              <v:shapetype id="_x0000_t202" coordsize="21600,21600" o:spt="202" path="m,l,21600r21600,l21600,xe">
                <v:stroke joinstyle="miter"/>
                <v:path gradientshapeok="t" o:connecttype="rect"/>
              </v:shapetype>
              <v:shape id="תיבת טקסט 2" o:spid="_x0000_s1054"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" filled="f" stroked="f">
                <v:textbox>
                  <w:txbxContent>
                    <w:p w:rsidR="00D04D4F" w:rsidRPr="0062451B" w:rsidRDefault="00D04D4F"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55"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" filled="f" stroked="f">
                <v:textbox>
                  <w:txbxContent>
                    <w:p w:rsidR="00D04D4F" w:rsidRPr="0062451B" w:rsidRDefault="00D04D4F"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56"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" filled="f" stroked="f">
                <v:textbox>
                  <w:txbxContent>
                    <w:p w:rsidR="00D04D4F" w:rsidRPr="001E204F" w:rsidRDefault="00D04D4F"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8.25pt" o:bullet="t">
        <v:imagedata r:id="rId1" o:title="hand-red"/>
      </v:shape>
    </w:pict>
  </w:numPicBullet>
  <w:numPicBullet w:numPicBulletId="1">
    <w:pict>
      <v:shape id="_x0000_i1027" type="#_x0000_t75" style="width:384pt;height:384pt" o:bullet="t">
        <v:imagedata r:id="rId2" o:title=""/>
      </v:shape>
    </w:pict>
  </w:numPicBullet>
  <w:abstractNum w:abstractNumId="0" w15:restartNumberingAfterBreak="0">
    <w:nsid w:val="0274399F"/>
    <w:multiLevelType w:val="hybridMultilevel"/>
    <w:tmpl w:val="17B6F3F8"/>
    <w:lvl w:ilvl="0" w:tplc="0D32BC52">
      <w:start w:val="1"/>
      <w:numFmt w:val="decimal"/>
      <w:lvlText w:val="%1."/>
      <w:lvlJc w:val="left"/>
      <w:pPr>
        <w:ind w:left="720" w:hanging="360"/>
      </w:pPr>
      <w:rPr>
        <w:rFonts w:hint="default"/>
        <w:b/>
        <w:bCs/>
      </w:rPr>
    </w:lvl>
    <w:lvl w:ilvl="1" w:tplc="E9E6E0FA">
      <w:start w:val="1"/>
      <w:numFmt w:val="hebrew1"/>
      <w:lvlText w:val="%2."/>
      <w:lvlJc w:val="left"/>
      <w:pPr>
        <w:ind w:left="1485" w:hanging="405"/>
      </w:pPr>
      <w:rPr>
        <w:rFonts w:hint="default"/>
      </w:rPr>
    </w:lvl>
    <w:lvl w:ilvl="2" w:tplc="69D80B5C" w:tentative="1">
      <w:start w:val="1"/>
      <w:numFmt w:val="lowerRoman"/>
      <w:lvlText w:val="%3."/>
      <w:lvlJc w:val="right"/>
      <w:pPr>
        <w:ind w:left="2160" w:hanging="180"/>
      </w:pPr>
    </w:lvl>
    <w:lvl w:ilvl="3" w:tplc="14625D92" w:tentative="1">
      <w:start w:val="1"/>
      <w:numFmt w:val="decimal"/>
      <w:lvlText w:val="%4."/>
      <w:lvlJc w:val="left"/>
      <w:pPr>
        <w:ind w:left="2880" w:hanging="360"/>
      </w:pPr>
    </w:lvl>
    <w:lvl w:ilvl="4" w:tplc="189EAB90" w:tentative="1">
      <w:start w:val="1"/>
      <w:numFmt w:val="lowerLetter"/>
      <w:lvlText w:val="%5."/>
      <w:lvlJc w:val="left"/>
      <w:pPr>
        <w:ind w:left="3600" w:hanging="360"/>
      </w:pPr>
    </w:lvl>
    <w:lvl w:ilvl="5" w:tplc="554CCA74" w:tentative="1">
      <w:start w:val="1"/>
      <w:numFmt w:val="lowerRoman"/>
      <w:lvlText w:val="%6."/>
      <w:lvlJc w:val="right"/>
      <w:pPr>
        <w:ind w:left="4320" w:hanging="180"/>
      </w:pPr>
    </w:lvl>
    <w:lvl w:ilvl="6" w:tplc="7AB606E2" w:tentative="1">
      <w:start w:val="1"/>
      <w:numFmt w:val="decimal"/>
      <w:lvlText w:val="%7."/>
      <w:lvlJc w:val="left"/>
      <w:pPr>
        <w:ind w:left="5040" w:hanging="360"/>
      </w:pPr>
    </w:lvl>
    <w:lvl w:ilvl="7" w:tplc="8AC8B740" w:tentative="1">
      <w:start w:val="1"/>
      <w:numFmt w:val="lowerLetter"/>
      <w:lvlText w:val="%8."/>
      <w:lvlJc w:val="left"/>
      <w:pPr>
        <w:ind w:left="5760" w:hanging="360"/>
      </w:pPr>
    </w:lvl>
    <w:lvl w:ilvl="8" w:tplc="B67C6044" w:tentative="1">
      <w:start w:val="1"/>
      <w:numFmt w:val="lowerRoman"/>
      <w:lvlText w:val="%9."/>
      <w:lvlJc w:val="right"/>
      <w:pPr>
        <w:ind w:left="6480" w:hanging="180"/>
      </w:pPr>
    </w:lvl>
  </w:abstractNum>
  <w:abstractNum w:abstractNumId="1" w15:restartNumberingAfterBreak="0">
    <w:nsid w:val="05F947B6"/>
    <w:multiLevelType w:val="multilevel"/>
    <w:tmpl w:val="A624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F6BD7"/>
    <w:multiLevelType w:val="hybridMultilevel"/>
    <w:tmpl w:val="50EE0E50"/>
    <w:lvl w:ilvl="0" w:tplc="6CB26970">
      <w:start w:val="1"/>
      <w:numFmt w:val="decimal"/>
      <w:lvlText w:val="%1."/>
      <w:lvlJc w:val="left"/>
      <w:pPr>
        <w:ind w:left="720" w:hanging="360"/>
      </w:pPr>
      <w:rPr>
        <w:rFonts w:hint="default"/>
        <w:b/>
        <w:bCs/>
      </w:rPr>
    </w:lvl>
    <w:lvl w:ilvl="1" w:tplc="3C001B28" w:tentative="1">
      <w:start w:val="1"/>
      <w:numFmt w:val="lowerLetter"/>
      <w:lvlText w:val="%2."/>
      <w:lvlJc w:val="left"/>
      <w:pPr>
        <w:ind w:left="1440" w:hanging="360"/>
      </w:pPr>
    </w:lvl>
    <w:lvl w:ilvl="2" w:tplc="1D3C018E" w:tentative="1">
      <w:start w:val="1"/>
      <w:numFmt w:val="lowerRoman"/>
      <w:lvlText w:val="%3."/>
      <w:lvlJc w:val="right"/>
      <w:pPr>
        <w:ind w:left="2160" w:hanging="180"/>
      </w:pPr>
    </w:lvl>
    <w:lvl w:ilvl="3" w:tplc="EC76F0D6" w:tentative="1">
      <w:start w:val="1"/>
      <w:numFmt w:val="decimal"/>
      <w:lvlText w:val="%4."/>
      <w:lvlJc w:val="left"/>
      <w:pPr>
        <w:ind w:left="2880" w:hanging="360"/>
      </w:pPr>
    </w:lvl>
    <w:lvl w:ilvl="4" w:tplc="D21E6A8E" w:tentative="1">
      <w:start w:val="1"/>
      <w:numFmt w:val="lowerLetter"/>
      <w:lvlText w:val="%5."/>
      <w:lvlJc w:val="left"/>
      <w:pPr>
        <w:ind w:left="3600" w:hanging="360"/>
      </w:pPr>
    </w:lvl>
    <w:lvl w:ilvl="5" w:tplc="3E6C0BDE" w:tentative="1">
      <w:start w:val="1"/>
      <w:numFmt w:val="lowerRoman"/>
      <w:lvlText w:val="%6."/>
      <w:lvlJc w:val="right"/>
      <w:pPr>
        <w:ind w:left="4320" w:hanging="180"/>
      </w:pPr>
    </w:lvl>
    <w:lvl w:ilvl="6" w:tplc="B4547D60" w:tentative="1">
      <w:start w:val="1"/>
      <w:numFmt w:val="decimal"/>
      <w:lvlText w:val="%7."/>
      <w:lvlJc w:val="left"/>
      <w:pPr>
        <w:ind w:left="5040" w:hanging="360"/>
      </w:pPr>
    </w:lvl>
    <w:lvl w:ilvl="7" w:tplc="3B604E5E" w:tentative="1">
      <w:start w:val="1"/>
      <w:numFmt w:val="lowerLetter"/>
      <w:lvlText w:val="%8."/>
      <w:lvlJc w:val="left"/>
      <w:pPr>
        <w:ind w:left="5760" w:hanging="360"/>
      </w:pPr>
    </w:lvl>
    <w:lvl w:ilvl="8" w:tplc="036EEC44" w:tentative="1">
      <w:start w:val="1"/>
      <w:numFmt w:val="lowerRoman"/>
      <w:lvlText w:val="%9."/>
      <w:lvlJc w:val="right"/>
      <w:pPr>
        <w:ind w:left="6480" w:hanging="180"/>
      </w:pPr>
    </w:lvl>
  </w:abstractNum>
  <w:abstractNum w:abstractNumId="3" w15:restartNumberingAfterBreak="0">
    <w:nsid w:val="088216AB"/>
    <w:multiLevelType w:val="hybridMultilevel"/>
    <w:tmpl w:val="BB7ADECA"/>
    <w:lvl w:ilvl="0" w:tplc="51FCC494">
      <w:start w:val="1"/>
      <w:numFmt w:val="hebrew1"/>
      <w:pStyle w:val="1"/>
      <w:lvlText w:val="%1."/>
      <w:lvlJc w:val="center"/>
      <w:pPr>
        <w:ind w:left="1915" w:hanging="360"/>
      </w:pPr>
    </w:lvl>
    <w:lvl w:ilvl="1" w:tplc="ED464D04" w:tentative="1">
      <w:start w:val="1"/>
      <w:numFmt w:val="lowerLetter"/>
      <w:lvlText w:val="%2."/>
      <w:lvlJc w:val="left"/>
      <w:pPr>
        <w:ind w:left="2635" w:hanging="360"/>
      </w:pPr>
    </w:lvl>
    <w:lvl w:ilvl="2" w:tplc="0CF6A778" w:tentative="1">
      <w:start w:val="1"/>
      <w:numFmt w:val="lowerRoman"/>
      <w:lvlText w:val="%3."/>
      <w:lvlJc w:val="right"/>
      <w:pPr>
        <w:ind w:left="3355" w:hanging="180"/>
      </w:pPr>
    </w:lvl>
    <w:lvl w:ilvl="3" w:tplc="2C541640" w:tentative="1">
      <w:start w:val="1"/>
      <w:numFmt w:val="decimal"/>
      <w:lvlText w:val="%4."/>
      <w:lvlJc w:val="left"/>
      <w:pPr>
        <w:ind w:left="4075" w:hanging="360"/>
      </w:pPr>
    </w:lvl>
    <w:lvl w:ilvl="4" w:tplc="1B9C8998" w:tentative="1">
      <w:start w:val="1"/>
      <w:numFmt w:val="lowerLetter"/>
      <w:lvlText w:val="%5."/>
      <w:lvlJc w:val="left"/>
      <w:pPr>
        <w:ind w:left="4795" w:hanging="360"/>
      </w:pPr>
    </w:lvl>
    <w:lvl w:ilvl="5" w:tplc="F4BA2640" w:tentative="1">
      <w:start w:val="1"/>
      <w:numFmt w:val="lowerRoman"/>
      <w:lvlText w:val="%6."/>
      <w:lvlJc w:val="right"/>
      <w:pPr>
        <w:ind w:left="5515" w:hanging="180"/>
      </w:pPr>
    </w:lvl>
    <w:lvl w:ilvl="6" w:tplc="D89A468A" w:tentative="1">
      <w:start w:val="1"/>
      <w:numFmt w:val="decimal"/>
      <w:lvlText w:val="%7."/>
      <w:lvlJc w:val="left"/>
      <w:pPr>
        <w:ind w:left="6235" w:hanging="360"/>
      </w:pPr>
    </w:lvl>
    <w:lvl w:ilvl="7" w:tplc="6B7AAB5C" w:tentative="1">
      <w:start w:val="1"/>
      <w:numFmt w:val="lowerLetter"/>
      <w:lvlText w:val="%8."/>
      <w:lvlJc w:val="left"/>
      <w:pPr>
        <w:ind w:left="6955" w:hanging="360"/>
      </w:pPr>
    </w:lvl>
    <w:lvl w:ilvl="8" w:tplc="782EE7DE" w:tentative="1">
      <w:start w:val="1"/>
      <w:numFmt w:val="lowerRoman"/>
      <w:lvlText w:val="%9."/>
      <w:lvlJc w:val="right"/>
      <w:pPr>
        <w:ind w:left="7675" w:hanging="180"/>
      </w:pPr>
    </w:lvl>
  </w:abstractNum>
  <w:abstractNum w:abstractNumId="4" w15:restartNumberingAfterBreak="0">
    <w:nsid w:val="0CBD5F52"/>
    <w:multiLevelType w:val="hybridMultilevel"/>
    <w:tmpl w:val="D94CDEE4"/>
    <w:lvl w:ilvl="0" w:tplc="275C5C5E">
      <w:start w:val="1"/>
      <w:numFmt w:val="decimal"/>
      <w:lvlText w:val="%1."/>
      <w:lvlJc w:val="left"/>
      <w:pPr>
        <w:ind w:left="397" w:hanging="397"/>
      </w:pPr>
      <w:rPr>
        <w:rFonts w:hint="default"/>
      </w:rPr>
    </w:lvl>
    <w:lvl w:ilvl="1" w:tplc="F2E2768C" w:tentative="1">
      <w:start w:val="1"/>
      <w:numFmt w:val="lowerLetter"/>
      <w:lvlText w:val="%2."/>
      <w:lvlJc w:val="left"/>
      <w:pPr>
        <w:ind w:left="1440" w:hanging="360"/>
      </w:pPr>
    </w:lvl>
    <w:lvl w:ilvl="2" w:tplc="39FCC4C0" w:tentative="1">
      <w:start w:val="1"/>
      <w:numFmt w:val="lowerRoman"/>
      <w:lvlText w:val="%3."/>
      <w:lvlJc w:val="right"/>
      <w:pPr>
        <w:ind w:left="2160" w:hanging="180"/>
      </w:pPr>
    </w:lvl>
    <w:lvl w:ilvl="3" w:tplc="81200A5C" w:tentative="1">
      <w:start w:val="1"/>
      <w:numFmt w:val="decimal"/>
      <w:lvlText w:val="%4."/>
      <w:lvlJc w:val="left"/>
      <w:pPr>
        <w:ind w:left="2880" w:hanging="360"/>
      </w:pPr>
    </w:lvl>
    <w:lvl w:ilvl="4" w:tplc="E2E06E28" w:tentative="1">
      <w:start w:val="1"/>
      <w:numFmt w:val="lowerLetter"/>
      <w:lvlText w:val="%5."/>
      <w:lvlJc w:val="left"/>
      <w:pPr>
        <w:ind w:left="3600" w:hanging="360"/>
      </w:pPr>
    </w:lvl>
    <w:lvl w:ilvl="5" w:tplc="77242468" w:tentative="1">
      <w:start w:val="1"/>
      <w:numFmt w:val="lowerRoman"/>
      <w:lvlText w:val="%6."/>
      <w:lvlJc w:val="right"/>
      <w:pPr>
        <w:ind w:left="4320" w:hanging="180"/>
      </w:pPr>
    </w:lvl>
    <w:lvl w:ilvl="6" w:tplc="EDC2D74C" w:tentative="1">
      <w:start w:val="1"/>
      <w:numFmt w:val="decimal"/>
      <w:lvlText w:val="%7."/>
      <w:lvlJc w:val="left"/>
      <w:pPr>
        <w:ind w:left="5040" w:hanging="360"/>
      </w:pPr>
    </w:lvl>
    <w:lvl w:ilvl="7" w:tplc="1C0C4A86" w:tentative="1">
      <w:start w:val="1"/>
      <w:numFmt w:val="lowerLetter"/>
      <w:lvlText w:val="%8."/>
      <w:lvlJc w:val="left"/>
      <w:pPr>
        <w:ind w:left="5760" w:hanging="360"/>
      </w:pPr>
    </w:lvl>
    <w:lvl w:ilvl="8" w:tplc="65B071CE" w:tentative="1">
      <w:start w:val="1"/>
      <w:numFmt w:val="lowerRoman"/>
      <w:lvlText w:val="%9."/>
      <w:lvlJc w:val="right"/>
      <w:pPr>
        <w:ind w:left="6480" w:hanging="180"/>
      </w:pPr>
    </w:lvl>
  </w:abstractNum>
  <w:abstractNum w:abstractNumId="5" w15:restartNumberingAfterBreak="0">
    <w:nsid w:val="0E697B12"/>
    <w:multiLevelType w:val="hybridMultilevel"/>
    <w:tmpl w:val="30EA0890"/>
    <w:lvl w:ilvl="0" w:tplc="64FC6F7A">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3AF2C020" w:tentative="1">
      <w:start w:val="1"/>
      <w:numFmt w:val="bullet"/>
      <w:lvlText w:val="o"/>
      <w:lvlJc w:val="left"/>
      <w:pPr>
        <w:ind w:left="1440" w:hanging="360"/>
      </w:pPr>
      <w:rPr>
        <w:rFonts w:ascii="Courier New" w:hAnsi="Courier New" w:cs="Courier New" w:hint="default"/>
      </w:rPr>
    </w:lvl>
    <w:lvl w:ilvl="2" w:tplc="120A4C94" w:tentative="1">
      <w:start w:val="1"/>
      <w:numFmt w:val="bullet"/>
      <w:lvlText w:val=""/>
      <w:lvlJc w:val="left"/>
      <w:pPr>
        <w:ind w:left="2160" w:hanging="360"/>
      </w:pPr>
      <w:rPr>
        <w:rFonts w:ascii="Wingdings" w:hAnsi="Wingdings" w:hint="default"/>
      </w:rPr>
    </w:lvl>
    <w:lvl w:ilvl="3" w:tplc="23B2D4E0" w:tentative="1">
      <w:start w:val="1"/>
      <w:numFmt w:val="bullet"/>
      <w:lvlText w:val=""/>
      <w:lvlJc w:val="left"/>
      <w:pPr>
        <w:ind w:left="2880" w:hanging="360"/>
      </w:pPr>
      <w:rPr>
        <w:rFonts w:ascii="Symbol" w:hAnsi="Symbol" w:hint="default"/>
      </w:rPr>
    </w:lvl>
    <w:lvl w:ilvl="4" w:tplc="17B49F02" w:tentative="1">
      <w:start w:val="1"/>
      <w:numFmt w:val="bullet"/>
      <w:lvlText w:val="o"/>
      <w:lvlJc w:val="left"/>
      <w:pPr>
        <w:ind w:left="3600" w:hanging="360"/>
      </w:pPr>
      <w:rPr>
        <w:rFonts w:ascii="Courier New" w:hAnsi="Courier New" w:cs="Courier New" w:hint="default"/>
      </w:rPr>
    </w:lvl>
    <w:lvl w:ilvl="5" w:tplc="B82052C6" w:tentative="1">
      <w:start w:val="1"/>
      <w:numFmt w:val="bullet"/>
      <w:lvlText w:val=""/>
      <w:lvlJc w:val="left"/>
      <w:pPr>
        <w:ind w:left="4320" w:hanging="360"/>
      </w:pPr>
      <w:rPr>
        <w:rFonts w:ascii="Wingdings" w:hAnsi="Wingdings" w:hint="default"/>
      </w:rPr>
    </w:lvl>
    <w:lvl w:ilvl="6" w:tplc="085884E6" w:tentative="1">
      <w:start w:val="1"/>
      <w:numFmt w:val="bullet"/>
      <w:lvlText w:val=""/>
      <w:lvlJc w:val="left"/>
      <w:pPr>
        <w:ind w:left="5040" w:hanging="360"/>
      </w:pPr>
      <w:rPr>
        <w:rFonts w:ascii="Symbol" w:hAnsi="Symbol" w:hint="default"/>
      </w:rPr>
    </w:lvl>
    <w:lvl w:ilvl="7" w:tplc="0C94F372" w:tentative="1">
      <w:start w:val="1"/>
      <w:numFmt w:val="bullet"/>
      <w:lvlText w:val="o"/>
      <w:lvlJc w:val="left"/>
      <w:pPr>
        <w:ind w:left="5760" w:hanging="360"/>
      </w:pPr>
      <w:rPr>
        <w:rFonts w:ascii="Courier New" w:hAnsi="Courier New" w:cs="Courier New" w:hint="default"/>
      </w:rPr>
    </w:lvl>
    <w:lvl w:ilvl="8" w:tplc="0DB2A130" w:tentative="1">
      <w:start w:val="1"/>
      <w:numFmt w:val="bullet"/>
      <w:lvlText w:val=""/>
      <w:lvlJc w:val="left"/>
      <w:pPr>
        <w:ind w:left="6480" w:hanging="360"/>
      </w:pPr>
      <w:rPr>
        <w:rFonts w:ascii="Wingdings" w:hAnsi="Wingdings" w:hint="default"/>
      </w:rPr>
    </w:lvl>
  </w:abstractNum>
  <w:abstractNum w:abstractNumId="6" w15:restartNumberingAfterBreak="0">
    <w:nsid w:val="0E8662B2"/>
    <w:multiLevelType w:val="multilevel"/>
    <w:tmpl w:val="80025D90"/>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7" w15:restartNumberingAfterBreak="0">
    <w:nsid w:val="10C92E7D"/>
    <w:multiLevelType w:val="hybridMultilevel"/>
    <w:tmpl w:val="2D021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806966"/>
    <w:multiLevelType w:val="hybridMultilevel"/>
    <w:tmpl w:val="FC6ED52C"/>
    <w:lvl w:ilvl="0" w:tplc="DA1AACF8">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4CB2E09E" w:tentative="1">
      <w:start w:val="1"/>
      <w:numFmt w:val="bullet"/>
      <w:lvlText w:val="o"/>
      <w:lvlJc w:val="left"/>
      <w:pPr>
        <w:ind w:left="1440" w:hanging="360"/>
      </w:pPr>
      <w:rPr>
        <w:rFonts w:ascii="Courier New" w:hAnsi="Courier New" w:cs="Courier New" w:hint="default"/>
      </w:rPr>
    </w:lvl>
    <w:lvl w:ilvl="2" w:tplc="96469410" w:tentative="1">
      <w:start w:val="1"/>
      <w:numFmt w:val="bullet"/>
      <w:lvlText w:val=""/>
      <w:lvlJc w:val="left"/>
      <w:pPr>
        <w:ind w:left="2160" w:hanging="360"/>
      </w:pPr>
      <w:rPr>
        <w:rFonts w:ascii="Wingdings" w:hAnsi="Wingdings" w:hint="default"/>
      </w:rPr>
    </w:lvl>
    <w:lvl w:ilvl="3" w:tplc="BDFAC886" w:tentative="1">
      <w:start w:val="1"/>
      <w:numFmt w:val="bullet"/>
      <w:lvlText w:val=""/>
      <w:lvlJc w:val="left"/>
      <w:pPr>
        <w:ind w:left="2880" w:hanging="360"/>
      </w:pPr>
      <w:rPr>
        <w:rFonts w:ascii="Symbol" w:hAnsi="Symbol" w:hint="default"/>
      </w:rPr>
    </w:lvl>
    <w:lvl w:ilvl="4" w:tplc="39D61AB2" w:tentative="1">
      <w:start w:val="1"/>
      <w:numFmt w:val="bullet"/>
      <w:lvlText w:val="o"/>
      <w:lvlJc w:val="left"/>
      <w:pPr>
        <w:ind w:left="3600" w:hanging="360"/>
      </w:pPr>
      <w:rPr>
        <w:rFonts w:ascii="Courier New" w:hAnsi="Courier New" w:cs="Courier New" w:hint="default"/>
      </w:rPr>
    </w:lvl>
    <w:lvl w:ilvl="5" w:tplc="85C69190" w:tentative="1">
      <w:start w:val="1"/>
      <w:numFmt w:val="bullet"/>
      <w:lvlText w:val=""/>
      <w:lvlJc w:val="left"/>
      <w:pPr>
        <w:ind w:left="4320" w:hanging="360"/>
      </w:pPr>
      <w:rPr>
        <w:rFonts w:ascii="Wingdings" w:hAnsi="Wingdings" w:hint="default"/>
      </w:rPr>
    </w:lvl>
    <w:lvl w:ilvl="6" w:tplc="AC8C1662" w:tentative="1">
      <w:start w:val="1"/>
      <w:numFmt w:val="bullet"/>
      <w:lvlText w:val=""/>
      <w:lvlJc w:val="left"/>
      <w:pPr>
        <w:ind w:left="5040" w:hanging="360"/>
      </w:pPr>
      <w:rPr>
        <w:rFonts w:ascii="Symbol" w:hAnsi="Symbol" w:hint="default"/>
      </w:rPr>
    </w:lvl>
    <w:lvl w:ilvl="7" w:tplc="269CA060" w:tentative="1">
      <w:start w:val="1"/>
      <w:numFmt w:val="bullet"/>
      <w:lvlText w:val="o"/>
      <w:lvlJc w:val="left"/>
      <w:pPr>
        <w:ind w:left="5760" w:hanging="360"/>
      </w:pPr>
      <w:rPr>
        <w:rFonts w:ascii="Courier New" w:hAnsi="Courier New" w:cs="Courier New" w:hint="default"/>
      </w:rPr>
    </w:lvl>
    <w:lvl w:ilvl="8" w:tplc="F0720184" w:tentative="1">
      <w:start w:val="1"/>
      <w:numFmt w:val="bullet"/>
      <w:lvlText w:val=""/>
      <w:lvlJc w:val="left"/>
      <w:pPr>
        <w:ind w:left="6480" w:hanging="360"/>
      </w:pPr>
      <w:rPr>
        <w:rFonts w:ascii="Wingdings" w:hAnsi="Wingdings" w:hint="default"/>
      </w:rPr>
    </w:lvl>
  </w:abstractNum>
  <w:abstractNum w:abstractNumId="9" w15:restartNumberingAfterBreak="0">
    <w:nsid w:val="1C702ADE"/>
    <w:multiLevelType w:val="multilevel"/>
    <w:tmpl w:val="DF2C227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1CF648D2"/>
    <w:multiLevelType w:val="hybridMultilevel"/>
    <w:tmpl w:val="E2B6F6AA"/>
    <w:lvl w:ilvl="0" w:tplc="4732C6BE">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rPr>
    </w:lvl>
    <w:lvl w:ilvl="1" w:tplc="020CCCAC" w:tentative="1">
      <w:start w:val="1"/>
      <w:numFmt w:val="bullet"/>
      <w:lvlText w:val="o"/>
      <w:lvlJc w:val="left"/>
      <w:pPr>
        <w:ind w:left="1837" w:hanging="360"/>
      </w:pPr>
      <w:rPr>
        <w:rFonts w:ascii="Courier New" w:hAnsi="Courier New" w:cs="Courier New" w:hint="default"/>
      </w:rPr>
    </w:lvl>
    <w:lvl w:ilvl="2" w:tplc="8904FF70" w:tentative="1">
      <w:start w:val="1"/>
      <w:numFmt w:val="bullet"/>
      <w:lvlText w:val=""/>
      <w:lvlJc w:val="left"/>
      <w:pPr>
        <w:ind w:left="2557" w:hanging="360"/>
      </w:pPr>
      <w:rPr>
        <w:rFonts w:ascii="Wingdings" w:hAnsi="Wingdings" w:hint="default"/>
      </w:rPr>
    </w:lvl>
    <w:lvl w:ilvl="3" w:tplc="2E26C360" w:tentative="1">
      <w:start w:val="1"/>
      <w:numFmt w:val="bullet"/>
      <w:lvlText w:val=""/>
      <w:lvlJc w:val="left"/>
      <w:pPr>
        <w:ind w:left="3277" w:hanging="360"/>
      </w:pPr>
      <w:rPr>
        <w:rFonts w:ascii="Symbol" w:hAnsi="Symbol" w:hint="default"/>
      </w:rPr>
    </w:lvl>
    <w:lvl w:ilvl="4" w:tplc="BFA228A2" w:tentative="1">
      <w:start w:val="1"/>
      <w:numFmt w:val="bullet"/>
      <w:lvlText w:val="o"/>
      <w:lvlJc w:val="left"/>
      <w:pPr>
        <w:ind w:left="3997" w:hanging="360"/>
      </w:pPr>
      <w:rPr>
        <w:rFonts w:ascii="Courier New" w:hAnsi="Courier New" w:cs="Courier New" w:hint="default"/>
      </w:rPr>
    </w:lvl>
    <w:lvl w:ilvl="5" w:tplc="20281344" w:tentative="1">
      <w:start w:val="1"/>
      <w:numFmt w:val="bullet"/>
      <w:lvlText w:val=""/>
      <w:lvlJc w:val="left"/>
      <w:pPr>
        <w:ind w:left="4717" w:hanging="360"/>
      </w:pPr>
      <w:rPr>
        <w:rFonts w:ascii="Wingdings" w:hAnsi="Wingdings" w:hint="default"/>
      </w:rPr>
    </w:lvl>
    <w:lvl w:ilvl="6" w:tplc="80AEFC3C" w:tentative="1">
      <w:start w:val="1"/>
      <w:numFmt w:val="bullet"/>
      <w:lvlText w:val=""/>
      <w:lvlJc w:val="left"/>
      <w:pPr>
        <w:ind w:left="5437" w:hanging="360"/>
      </w:pPr>
      <w:rPr>
        <w:rFonts w:ascii="Symbol" w:hAnsi="Symbol" w:hint="default"/>
      </w:rPr>
    </w:lvl>
    <w:lvl w:ilvl="7" w:tplc="527CBDA2" w:tentative="1">
      <w:start w:val="1"/>
      <w:numFmt w:val="bullet"/>
      <w:lvlText w:val="o"/>
      <w:lvlJc w:val="left"/>
      <w:pPr>
        <w:ind w:left="6157" w:hanging="360"/>
      </w:pPr>
      <w:rPr>
        <w:rFonts w:ascii="Courier New" w:hAnsi="Courier New" w:cs="Courier New" w:hint="default"/>
      </w:rPr>
    </w:lvl>
    <w:lvl w:ilvl="8" w:tplc="AA6EE90A" w:tentative="1">
      <w:start w:val="1"/>
      <w:numFmt w:val="bullet"/>
      <w:lvlText w:val=""/>
      <w:lvlJc w:val="left"/>
      <w:pPr>
        <w:ind w:left="6877" w:hanging="360"/>
      </w:pPr>
      <w:rPr>
        <w:rFonts w:ascii="Wingdings" w:hAnsi="Wingdings" w:hint="default"/>
      </w:rPr>
    </w:lvl>
  </w:abstractNum>
  <w:abstractNum w:abstractNumId="11" w15:restartNumberingAfterBreak="0">
    <w:nsid w:val="1D587F94"/>
    <w:multiLevelType w:val="hybridMultilevel"/>
    <w:tmpl w:val="FF2AB340"/>
    <w:lvl w:ilvl="0" w:tplc="760653F8">
      <w:start w:val="1"/>
      <w:numFmt w:val="decimal"/>
      <w:lvlText w:val="%1."/>
      <w:lvlJc w:val="left"/>
      <w:pPr>
        <w:ind w:left="397" w:hanging="397"/>
      </w:pPr>
      <w:rPr>
        <w:rFonts w:hint="default"/>
        <w:b/>
        <w:i w:val="0"/>
        <w:caps w:val="0"/>
        <w:strike w:val="0"/>
        <w:dstrike w:val="0"/>
        <w:vanish w:val="0"/>
        <w:color w:val="FF0000"/>
        <w:sz w:val="40"/>
        <w:szCs w:val="25"/>
        <w:vertAlign w:val="baseline"/>
      </w:rPr>
    </w:lvl>
    <w:lvl w:ilvl="1" w:tplc="CC92931A" w:tentative="1">
      <w:start w:val="1"/>
      <w:numFmt w:val="bullet"/>
      <w:lvlText w:val="o"/>
      <w:lvlJc w:val="left"/>
      <w:pPr>
        <w:ind w:left="1440" w:hanging="360"/>
      </w:pPr>
      <w:rPr>
        <w:rFonts w:ascii="Courier New" w:hAnsi="Courier New" w:cs="Courier New" w:hint="default"/>
      </w:rPr>
    </w:lvl>
    <w:lvl w:ilvl="2" w:tplc="EB50F090" w:tentative="1">
      <w:start w:val="1"/>
      <w:numFmt w:val="bullet"/>
      <w:lvlText w:val=""/>
      <w:lvlJc w:val="left"/>
      <w:pPr>
        <w:ind w:left="2160" w:hanging="360"/>
      </w:pPr>
      <w:rPr>
        <w:rFonts w:ascii="Wingdings" w:hAnsi="Wingdings" w:hint="default"/>
      </w:rPr>
    </w:lvl>
    <w:lvl w:ilvl="3" w:tplc="6534090A" w:tentative="1">
      <w:start w:val="1"/>
      <w:numFmt w:val="bullet"/>
      <w:lvlText w:val=""/>
      <w:lvlJc w:val="left"/>
      <w:pPr>
        <w:ind w:left="2880" w:hanging="360"/>
      </w:pPr>
      <w:rPr>
        <w:rFonts w:ascii="Symbol" w:hAnsi="Symbol" w:hint="default"/>
      </w:rPr>
    </w:lvl>
    <w:lvl w:ilvl="4" w:tplc="495EE894" w:tentative="1">
      <w:start w:val="1"/>
      <w:numFmt w:val="bullet"/>
      <w:lvlText w:val="o"/>
      <w:lvlJc w:val="left"/>
      <w:pPr>
        <w:ind w:left="3600" w:hanging="360"/>
      </w:pPr>
      <w:rPr>
        <w:rFonts w:ascii="Courier New" w:hAnsi="Courier New" w:cs="Courier New" w:hint="default"/>
      </w:rPr>
    </w:lvl>
    <w:lvl w:ilvl="5" w:tplc="FDF65812" w:tentative="1">
      <w:start w:val="1"/>
      <w:numFmt w:val="bullet"/>
      <w:lvlText w:val=""/>
      <w:lvlJc w:val="left"/>
      <w:pPr>
        <w:ind w:left="4320" w:hanging="360"/>
      </w:pPr>
      <w:rPr>
        <w:rFonts w:ascii="Wingdings" w:hAnsi="Wingdings" w:hint="default"/>
      </w:rPr>
    </w:lvl>
    <w:lvl w:ilvl="6" w:tplc="13EC8772" w:tentative="1">
      <w:start w:val="1"/>
      <w:numFmt w:val="bullet"/>
      <w:lvlText w:val=""/>
      <w:lvlJc w:val="left"/>
      <w:pPr>
        <w:ind w:left="5040" w:hanging="360"/>
      </w:pPr>
      <w:rPr>
        <w:rFonts w:ascii="Symbol" w:hAnsi="Symbol" w:hint="default"/>
      </w:rPr>
    </w:lvl>
    <w:lvl w:ilvl="7" w:tplc="C19892F6" w:tentative="1">
      <w:start w:val="1"/>
      <w:numFmt w:val="bullet"/>
      <w:lvlText w:val="o"/>
      <w:lvlJc w:val="left"/>
      <w:pPr>
        <w:ind w:left="5760" w:hanging="360"/>
      </w:pPr>
      <w:rPr>
        <w:rFonts w:ascii="Courier New" w:hAnsi="Courier New" w:cs="Courier New" w:hint="default"/>
      </w:rPr>
    </w:lvl>
    <w:lvl w:ilvl="8" w:tplc="4FE2F02A" w:tentative="1">
      <w:start w:val="1"/>
      <w:numFmt w:val="bullet"/>
      <w:lvlText w:val=""/>
      <w:lvlJc w:val="left"/>
      <w:pPr>
        <w:ind w:left="6480" w:hanging="360"/>
      </w:pPr>
      <w:rPr>
        <w:rFonts w:ascii="Wingdings" w:hAnsi="Wingdings" w:hint="default"/>
      </w:rPr>
    </w:lvl>
  </w:abstractNum>
  <w:abstractNum w:abstractNumId="12" w15:restartNumberingAfterBreak="0">
    <w:nsid w:val="213A71B5"/>
    <w:multiLevelType w:val="multilevel"/>
    <w:tmpl w:val="D766D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D35648"/>
    <w:multiLevelType w:val="hybridMultilevel"/>
    <w:tmpl w:val="94E0E1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2E55D56"/>
    <w:multiLevelType w:val="hybridMultilevel"/>
    <w:tmpl w:val="DFB6D314"/>
    <w:lvl w:ilvl="0" w:tplc="25B27668">
      <w:start w:val="1"/>
      <w:numFmt w:val="decimal"/>
      <w:pStyle w:val="a"/>
      <w:suff w:val="space"/>
      <w:lvlText w:val="תרשים %1:"/>
      <w:lvlJc w:val="left"/>
      <w:pPr>
        <w:ind w:left="2628" w:hanging="360"/>
      </w:pPr>
      <w:rPr>
        <w:rFonts w:ascii="David" w:hAnsi="David" w:cs="David" w:hint="cs"/>
        <w:b w:val="0"/>
        <w:bCs w:val="0"/>
        <w:i w:val="0"/>
        <w:iCs w:val="0"/>
        <w:sz w:val="24"/>
        <w:szCs w:val="24"/>
      </w:rPr>
    </w:lvl>
    <w:lvl w:ilvl="1" w:tplc="F23231C6" w:tentative="1">
      <w:start w:val="1"/>
      <w:numFmt w:val="lowerLetter"/>
      <w:lvlText w:val="%2."/>
      <w:lvlJc w:val="left"/>
      <w:pPr>
        <w:ind w:left="1440" w:hanging="360"/>
      </w:pPr>
    </w:lvl>
    <w:lvl w:ilvl="2" w:tplc="03F2D8C4" w:tentative="1">
      <w:start w:val="1"/>
      <w:numFmt w:val="lowerRoman"/>
      <w:lvlText w:val="%3."/>
      <w:lvlJc w:val="right"/>
      <w:pPr>
        <w:ind w:left="2160" w:hanging="180"/>
      </w:pPr>
    </w:lvl>
    <w:lvl w:ilvl="3" w:tplc="7924B826" w:tentative="1">
      <w:start w:val="1"/>
      <w:numFmt w:val="decimal"/>
      <w:lvlText w:val="%4."/>
      <w:lvlJc w:val="left"/>
      <w:pPr>
        <w:ind w:left="2880" w:hanging="360"/>
      </w:pPr>
    </w:lvl>
    <w:lvl w:ilvl="4" w:tplc="04347F4E" w:tentative="1">
      <w:start w:val="1"/>
      <w:numFmt w:val="lowerLetter"/>
      <w:lvlText w:val="%5."/>
      <w:lvlJc w:val="left"/>
      <w:pPr>
        <w:ind w:left="3600" w:hanging="360"/>
      </w:pPr>
    </w:lvl>
    <w:lvl w:ilvl="5" w:tplc="37D6566C" w:tentative="1">
      <w:start w:val="1"/>
      <w:numFmt w:val="lowerRoman"/>
      <w:lvlText w:val="%6."/>
      <w:lvlJc w:val="right"/>
      <w:pPr>
        <w:ind w:left="4320" w:hanging="180"/>
      </w:pPr>
    </w:lvl>
    <w:lvl w:ilvl="6" w:tplc="FF784D36" w:tentative="1">
      <w:start w:val="1"/>
      <w:numFmt w:val="decimal"/>
      <w:lvlText w:val="%7."/>
      <w:lvlJc w:val="left"/>
      <w:pPr>
        <w:ind w:left="5040" w:hanging="360"/>
      </w:pPr>
    </w:lvl>
    <w:lvl w:ilvl="7" w:tplc="7F684F80" w:tentative="1">
      <w:start w:val="1"/>
      <w:numFmt w:val="lowerLetter"/>
      <w:lvlText w:val="%8."/>
      <w:lvlJc w:val="left"/>
      <w:pPr>
        <w:ind w:left="5760" w:hanging="360"/>
      </w:pPr>
    </w:lvl>
    <w:lvl w:ilvl="8" w:tplc="46F6BDF2" w:tentative="1">
      <w:start w:val="1"/>
      <w:numFmt w:val="lowerRoman"/>
      <w:lvlText w:val="%9."/>
      <w:lvlJc w:val="right"/>
      <w:pPr>
        <w:ind w:left="6480" w:hanging="180"/>
      </w:pPr>
    </w:lvl>
  </w:abstractNum>
  <w:abstractNum w:abstractNumId="15" w15:restartNumberingAfterBreak="0">
    <w:nsid w:val="22E55E8B"/>
    <w:multiLevelType w:val="multilevel"/>
    <w:tmpl w:val="7AD474D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24B27CDF"/>
    <w:multiLevelType w:val="hybridMultilevel"/>
    <w:tmpl w:val="7C3C8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8C71E9"/>
    <w:multiLevelType w:val="multilevel"/>
    <w:tmpl w:val="AEBAA2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8A55DC"/>
    <w:multiLevelType w:val="multilevel"/>
    <w:tmpl w:val="41DABC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B951A8"/>
    <w:multiLevelType w:val="hybridMultilevel"/>
    <w:tmpl w:val="477266D6"/>
    <w:lvl w:ilvl="0" w:tplc="F170F7CC">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lang w:bidi="he-IL"/>
      </w:rPr>
    </w:lvl>
    <w:lvl w:ilvl="1" w:tplc="DB12EAD0" w:tentative="1">
      <w:start w:val="1"/>
      <w:numFmt w:val="bullet"/>
      <w:lvlText w:val="o"/>
      <w:lvlJc w:val="left"/>
      <w:pPr>
        <w:ind w:left="1837" w:hanging="360"/>
      </w:pPr>
      <w:rPr>
        <w:rFonts w:ascii="Courier New" w:hAnsi="Courier New" w:cs="Courier New" w:hint="default"/>
      </w:rPr>
    </w:lvl>
    <w:lvl w:ilvl="2" w:tplc="E84A1BC0" w:tentative="1">
      <w:start w:val="1"/>
      <w:numFmt w:val="bullet"/>
      <w:lvlText w:val=""/>
      <w:lvlJc w:val="left"/>
      <w:pPr>
        <w:ind w:left="2557" w:hanging="360"/>
      </w:pPr>
      <w:rPr>
        <w:rFonts w:ascii="Wingdings" w:hAnsi="Wingdings" w:hint="default"/>
      </w:rPr>
    </w:lvl>
    <w:lvl w:ilvl="3" w:tplc="E48C6DBE" w:tentative="1">
      <w:start w:val="1"/>
      <w:numFmt w:val="bullet"/>
      <w:lvlText w:val=""/>
      <w:lvlJc w:val="left"/>
      <w:pPr>
        <w:ind w:left="3277" w:hanging="360"/>
      </w:pPr>
      <w:rPr>
        <w:rFonts w:ascii="Symbol" w:hAnsi="Symbol" w:hint="default"/>
      </w:rPr>
    </w:lvl>
    <w:lvl w:ilvl="4" w:tplc="7E5E6FB8" w:tentative="1">
      <w:start w:val="1"/>
      <w:numFmt w:val="bullet"/>
      <w:lvlText w:val="o"/>
      <w:lvlJc w:val="left"/>
      <w:pPr>
        <w:ind w:left="3997" w:hanging="360"/>
      </w:pPr>
      <w:rPr>
        <w:rFonts w:ascii="Courier New" w:hAnsi="Courier New" w:cs="Courier New" w:hint="default"/>
      </w:rPr>
    </w:lvl>
    <w:lvl w:ilvl="5" w:tplc="62E2EE2E" w:tentative="1">
      <w:start w:val="1"/>
      <w:numFmt w:val="bullet"/>
      <w:lvlText w:val=""/>
      <w:lvlJc w:val="left"/>
      <w:pPr>
        <w:ind w:left="4717" w:hanging="360"/>
      </w:pPr>
      <w:rPr>
        <w:rFonts w:ascii="Wingdings" w:hAnsi="Wingdings" w:hint="default"/>
      </w:rPr>
    </w:lvl>
    <w:lvl w:ilvl="6" w:tplc="2182D912" w:tentative="1">
      <w:start w:val="1"/>
      <w:numFmt w:val="bullet"/>
      <w:lvlText w:val=""/>
      <w:lvlJc w:val="left"/>
      <w:pPr>
        <w:ind w:left="5437" w:hanging="360"/>
      </w:pPr>
      <w:rPr>
        <w:rFonts w:ascii="Symbol" w:hAnsi="Symbol" w:hint="default"/>
      </w:rPr>
    </w:lvl>
    <w:lvl w:ilvl="7" w:tplc="09C4257C" w:tentative="1">
      <w:start w:val="1"/>
      <w:numFmt w:val="bullet"/>
      <w:lvlText w:val="o"/>
      <w:lvlJc w:val="left"/>
      <w:pPr>
        <w:ind w:left="6157" w:hanging="360"/>
      </w:pPr>
      <w:rPr>
        <w:rFonts w:ascii="Courier New" w:hAnsi="Courier New" w:cs="Courier New" w:hint="default"/>
      </w:rPr>
    </w:lvl>
    <w:lvl w:ilvl="8" w:tplc="5E94DD20" w:tentative="1">
      <w:start w:val="1"/>
      <w:numFmt w:val="bullet"/>
      <w:lvlText w:val=""/>
      <w:lvlJc w:val="left"/>
      <w:pPr>
        <w:ind w:left="6877" w:hanging="360"/>
      </w:pPr>
      <w:rPr>
        <w:rFonts w:ascii="Wingdings" w:hAnsi="Wingdings" w:hint="default"/>
      </w:rPr>
    </w:lvl>
  </w:abstractNum>
  <w:abstractNum w:abstractNumId="20" w15:restartNumberingAfterBreak="0">
    <w:nsid w:val="2EC744C3"/>
    <w:multiLevelType w:val="hybridMultilevel"/>
    <w:tmpl w:val="4A68CCE0"/>
    <w:lvl w:ilvl="0" w:tplc="4A68C9E8">
      <w:start w:val="1"/>
      <w:numFmt w:val="bullet"/>
      <w:lvlText w:val=""/>
      <w:lvlJc w:val="left"/>
      <w:pPr>
        <w:ind w:left="794" w:hanging="397"/>
      </w:pPr>
      <w:rPr>
        <w:rFonts w:ascii="Wingdings" w:hAnsi="Wingdings" w:cs="Wingdings" w:hint="default"/>
        <w:b/>
        <w:i w:val="0"/>
        <w:caps w:val="0"/>
        <w:strike w:val="0"/>
        <w:dstrike w:val="0"/>
        <w:vanish w:val="0"/>
        <w:color w:val="FF0000"/>
        <w:sz w:val="40"/>
        <w:szCs w:val="25"/>
        <w:vertAlign w:val="baseline"/>
      </w:rPr>
    </w:lvl>
    <w:lvl w:ilvl="1" w:tplc="5160229A" w:tentative="1">
      <w:start w:val="1"/>
      <w:numFmt w:val="bullet"/>
      <w:lvlText w:val="o"/>
      <w:lvlJc w:val="left"/>
      <w:pPr>
        <w:ind w:left="1440" w:hanging="360"/>
      </w:pPr>
      <w:rPr>
        <w:rFonts w:ascii="Courier New" w:hAnsi="Courier New" w:cs="Courier New" w:hint="default"/>
      </w:rPr>
    </w:lvl>
    <w:lvl w:ilvl="2" w:tplc="F286988E" w:tentative="1">
      <w:start w:val="1"/>
      <w:numFmt w:val="bullet"/>
      <w:lvlText w:val=""/>
      <w:lvlJc w:val="left"/>
      <w:pPr>
        <w:ind w:left="2160" w:hanging="360"/>
      </w:pPr>
      <w:rPr>
        <w:rFonts w:ascii="Wingdings" w:hAnsi="Wingdings" w:hint="default"/>
      </w:rPr>
    </w:lvl>
    <w:lvl w:ilvl="3" w:tplc="F87430BC" w:tentative="1">
      <w:start w:val="1"/>
      <w:numFmt w:val="bullet"/>
      <w:lvlText w:val=""/>
      <w:lvlJc w:val="left"/>
      <w:pPr>
        <w:ind w:left="2880" w:hanging="360"/>
      </w:pPr>
      <w:rPr>
        <w:rFonts w:ascii="Symbol" w:hAnsi="Symbol" w:hint="default"/>
      </w:rPr>
    </w:lvl>
    <w:lvl w:ilvl="4" w:tplc="280A6D04" w:tentative="1">
      <w:start w:val="1"/>
      <w:numFmt w:val="bullet"/>
      <w:lvlText w:val="o"/>
      <w:lvlJc w:val="left"/>
      <w:pPr>
        <w:ind w:left="3600" w:hanging="360"/>
      </w:pPr>
      <w:rPr>
        <w:rFonts w:ascii="Courier New" w:hAnsi="Courier New" w:cs="Courier New" w:hint="default"/>
      </w:rPr>
    </w:lvl>
    <w:lvl w:ilvl="5" w:tplc="9D60E156" w:tentative="1">
      <w:start w:val="1"/>
      <w:numFmt w:val="bullet"/>
      <w:lvlText w:val=""/>
      <w:lvlJc w:val="left"/>
      <w:pPr>
        <w:ind w:left="4320" w:hanging="360"/>
      </w:pPr>
      <w:rPr>
        <w:rFonts w:ascii="Wingdings" w:hAnsi="Wingdings" w:hint="default"/>
      </w:rPr>
    </w:lvl>
    <w:lvl w:ilvl="6" w:tplc="21C4DCA6" w:tentative="1">
      <w:start w:val="1"/>
      <w:numFmt w:val="bullet"/>
      <w:lvlText w:val=""/>
      <w:lvlJc w:val="left"/>
      <w:pPr>
        <w:ind w:left="5040" w:hanging="360"/>
      </w:pPr>
      <w:rPr>
        <w:rFonts w:ascii="Symbol" w:hAnsi="Symbol" w:hint="default"/>
      </w:rPr>
    </w:lvl>
    <w:lvl w:ilvl="7" w:tplc="5D1424DA" w:tentative="1">
      <w:start w:val="1"/>
      <w:numFmt w:val="bullet"/>
      <w:lvlText w:val="o"/>
      <w:lvlJc w:val="left"/>
      <w:pPr>
        <w:ind w:left="5760" w:hanging="360"/>
      </w:pPr>
      <w:rPr>
        <w:rFonts w:ascii="Courier New" w:hAnsi="Courier New" w:cs="Courier New" w:hint="default"/>
      </w:rPr>
    </w:lvl>
    <w:lvl w:ilvl="8" w:tplc="3FCA92F8" w:tentative="1">
      <w:start w:val="1"/>
      <w:numFmt w:val="bullet"/>
      <w:lvlText w:val=""/>
      <w:lvlJc w:val="left"/>
      <w:pPr>
        <w:ind w:left="6480" w:hanging="360"/>
      </w:pPr>
      <w:rPr>
        <w:rFonts w:ascii="Wingdings" w:hAnsi="Wingdings" w:hint="default"/>
      </w:rPr>
    </w:lvl>
  </w:abstractNum>
  <w:abstractNum w:abstractNumId="21" w15:restartNumberingAfterBreak="0">
    <w:nsid w:val="30D17255"/>
    <w:multiLevelType w:val="hybridMultilevel"/>
    <w:tmpl w:val="F1AE1FFC"/>
    <w:lvl w:ilvl="0" w:tplc="5B7876C0">
      <w:start w:val="1"/>
      <w:numFmt w:val="decimal"/>
      <w:pStyle w:val="a0"/>
      <w:lvlText w:val="לוח %1:"/>
      <w:lvlJc w:val="left"/>
      <w:pPr>
        <w:ind w:left="1854" w:hanging="360"/>
      </w:pPr>
      <w:rPr>
        <w:rFonts w:ascii="Calibri" w:hAnsi="Calibri" w:cs="Calibri" w:hint="default"/>
        <w:b w:val="0"/>
        <w:bCs w:val="0"/>
        <w:i w:val="0"/>
        <w:iCs w:val="0"/>
        <w:color w:val="002060"/>
        <w:sz w:val="24"/>
        <w:szCs w:val="24"/>
      </w:rPr>
    </w:lvl>
    <w:lvl w:ilvl="1" w:tplc="13AC0250" w:tentative="1">
      <w:start w:val="1"/>
      <w:numFmt w:val="lowerLetter"/>
      <w:lvlText w:val="%2."/>
      <w:lvlJc w:val="left"/>
      <w:pPr>
        <w:ind w:left="2574" w:hanging="360"/>
      </w:pPr>
    </w:lvl>
    <w:lvl w:ilvl="2" w:tplc="23446ED4" w:tentative="1">
      <w:start w:val="1"/>
      <w:numFmt w:val="lowerRoman"/>
      <w:lvlText w:val="%3."/>
      <w:lvlJc w:val="right"/>
      <w:pPr>
        <w:ind w:left="3294" w:hanging="180"/>
      </w:pPr>
    </w:lvl>
    <w:lvl w:ilvl="3" w:tplc="35FA18FC" w:tentative="1">
      <w:start w:val="1"/>
      <w:numFmt w:val="decimal"/>
      <w:lvlText w:val="%4."/>
      <w:lvlJc w:val="left"/>
      <w:pPr>
        <w:ind w:left="4014" w:hanging="360"/>
      </w:pPr>
    </w:lvl>
    <w:lvl w:ilvl="4" w:tplc="D1008A62" w:tentative="1">
      <w:start w:val="1"/>
      <w:numFmt w:val="lowerLetter"/>
      <w:lvlText w:val="%5."/>
      <w:lvlJc w:val="left"/>
      <w:pPr>
        <w:ind w:left="4734" w:hanging="360"/>
      </w:pPr>
    </w:lvl>
    <w:lvl w:ilvl="5" w:tplc="5DA4D774" w:tentative="1">
      <w:start w:val="1"/>
      <w:numFmt w:val="lowerRoman"/>
      <w:lvlText w:val="%6."/>
      <w:lvlJc w:val="right"/>
      <w:pPr>
        <w:ind w:left="5454" w:hanging="180"/>
      </w:pPr>
    </w:lvl>
    <w:lvl w:ilvl="6" w:tplc="08F4CB5A" w:tentative="1">
      <w:start w:val="1"/>
      <w:numFmt w:val="decimal"/>
      <w:lvlText w:val="%7."/>
      <w:lvlJc w:val="left"/>
      <w:pPr>
        <w:ind w:left="6174" w:hanging="360"/>
      </w:pPr>
    </w:lvl>
    <w:lvl w:ilvl="7" w:tplc="B114C324" w:tentative="1">
      <w:start w:val="1"/>
      <w:numFmt w:val="lowerLetter"/>
      <w:lvlText w:val="%8."/>
      <w:lvlJc w:val="left"/>
      <w:pPr>
        <w:ind w:left="6894" w:hanging="360"/>
      </w:pPr>
    </w:lvl>
    <w:lvl w:ilvl="8" w:tplc="E2D6EFDE" w:tentative="1">
      <w:start w:val="1"/>
      <w:numFmt w:val="lowerRoman"/>
      <w:lvlText w:val="%9."/>
      <w:lvlJc w:val="right"/>
      <w:pPr>
        <w:ind w:left="7614" w:hanging="180"/>
      </w:pPr>
    </w:lvl>
  </w:abstractNum>
  <w:abstractNum w:abstractNumId="22" w15:restartNumberingAfterBreak="0">
    <w:nsid w:val="316B14B9"/>
    <w:multiLevelType w:val="hybridMultilevel"/>
    <w:tmpl w:val="378E9214"/>
    <w:lvl w:ilvl="0" w:tplc="C50E4C78">
      <w:start w:val="1"/>
      <w:numFmt w:val="decimal"/>
      <w:pStyle w:val="a1"/>
      <w:lvlText w:val="תמונה %1:"/>
      <w:lvlJc w:val="left"/>
      <w:pPr>
        <w:ind w:left="1494" w:hanging="360"/>
      </w:pPr>
      <w:rPr>
        <w:rFonts w:ascii="Calibri" w:hAnsi="Calibri" w:cs="Calibri" w:hint="default"/>
        <w:b w:val="0"/>
        <w:bCs w:val="0"/>
        <w:i w:val="0"/>
        <w:iCs w:val="0"/>
        <w:color w:val="002060"/>
        <w:sz w:val="24"/>
        <w:szCs w:val="24"/>
      </w:rPr>
    </w:lvl>
    <w:lvl w:ilvl="1" w:tplc="23283050" w:tentative="1">
      <w:start w:val="1"/>
      <w:numFmt w:val="lowerLetter"/>
      <w:lvlText w:val="%2."/>
      <w:lvlJc w:val="left"/>
      <w:pPr>
        <w:ind w:left="2578" w:hanging="360"/>
      </w:pPr>
    </w:lvl>
    <w:lvl w:ilvl="2" w:tplc="CBD2F198" w:tentative="1">
      <w:start w:val="1"/>
      <w:numFmt w:val="lowerRoman"/>
      <w:lvlText w:val="%3."/>
      <w:lvlJc w:val="right"/>
      <w:pPr>
        <w:ind w:left="3298" w:hanging="180"/>
      </w:pPr>
    </w:lvl>
    <w:lvl w:ilvl="3" w:tplc="F856BEE4" w:tentative="1">
      <w:start w:val="1"/>
      <w:numFmt w:val="decimal"/>
      <w:lvlText w:val="%4."/>
      <w:lvlJc w:val="left"/>
      <w:pPr>
        <w:ind w:left="4018" w:hanging="360"/>
      </w:pPr>
    </w:lvl>
    <w:lvl w:ilvl="4" w:tplc="E0C231DA" w:tentative="1">
      <w:start w:val="1"/>
      <w:numFmt w:val="lowerLetter"/>
      <w:lvlText w:val="%5."/>
      <w:lvlJc w:val="left"/>
      <w:pPr>
        <w:ind w:left="4738" w:hanging="360"/>
      </w:pPr>
    </w:lvl>
    <w:lvl w:ilvl="5" w:tplc="C9705D18" w:tentative="1">
      <w:start w:val="1"/>
      <w:numFmt w:val="lowerRoman"/>
      <w:lvlText w:val="%6."/>
      <w:lvlJc w:val="right"/>
      <w:pPr>
        <w:ind w:left="5458" w:hanging="180"/>
      </w:pPr>
    </w:lvl>
    <w:lvl w:ilvl="6" w:tplc="E43C6160" w:tentative="1">
      <w:start w:val="1"/>
      <w:numFmt w:val="decimal"/>
      <w:lvlText w:val="%7."/>
      <w:lvlJc w:val="left"/>
      <w:pPr>
        <w:ind w:left="6178" w:hanging="360"/>
      </w:pPr>
    </w:lvl>
    <w:lvl w:ilvl="7" w:tplc="1A3EFC6C" w:tentative="1">
      <w:start w:val="1"/>
      <w:numFmt w:val="lowerLetter"/>
      <w:lvlText w:val="%8."/>
      <w:lvlJc w:val="left"/>
      <w:pPr>
        <w:ind w:left="6898" w:hanging="360"/>
      </w:pPr>
    </w:lvl>
    <w:lvl w:ilvl="8" w:tplc="6F8E1D6E" w:tentative="1">
      <w:start w:val="1"/>
      <w:numFmt w:val="lowerRoman"/>
      <w:lvlText w:val="%9."/>
      <w:lvlJc w:val="right"/>
      <w:pPr>
        <w:ind w:left="7618" w:hanging="180"/>
      </w:pPr>
    </w:lvl>
  </w:abstractNum>
  <w:abstractNum w:abstractNumId="23" w15:restartNumberingAfterBreak="0">
    <w:nsid w:val="33A86F96"/>
    <w:multiLevelType w:val="hybridMultilevel"/>
    <w:tmpl w:val="220A2AB2"/>
    <w:lvl w:ilvl="0" w:tplc="738C6200">
      <w:start w:val="1"/>
      <w:numFmt w:val="decimal"/>
      <w:pStyle w:val="a2"/>
      <w:lvlText w:val="מפה %1:"/>
      <w:lvlJc w:val="left"/>
      <w:pPr>
        <w:ind w:left="1858" w:hanging="360"/>
      </w:pPr>
      <w:rPr>
        <w:rFonts w:ascii="Calibri" w:hAnsi="Calibri" w:cs="Calibri" w:hint="default"/>
        <w:b w:val="0"/>
        <w:bCs w:val="0"/>
        <w:i w:val="0"/>
        <w:iCs w:val="0"/>
        <w:color w:val="002060"/>
        <w:sz w:val="24"/>
        <w:szCs w:val="24"/>
      </w:rPr>
    </w:lvl>
    <w:lvl w:ilvl="1" w:tplc="0BC0017E" w:tentative="1">
      <w:start w:val="1"/>
      <w:numFmt w:val="lowerLetter"/>
      <w:lvlText w:val="%2."/>
      <w:lvlJc w:val="left"/>
      <w:pPr>
        <w:ind w:left="2934" w:hanging="360"/>
      </w:pPr>
    </w:lvl>
    <w:lvl w:ilvl="2" w:tplc="B72A7164" w:tentative="1">
      <w:start w:val="1"/>
      <w:numFmt w:val="lowerRoman"/>
      <w:lvlText w:val="%3."/>
      <w:lvlJc w:val="right"/>
      <w:pPr>
        <w:ind w:left="3654" w:hanging="180"/>
      </w:pPr>
    </w:lvl>
    <w:lvl w:ilvl="3" w:tplc="8ED27B00" w:tentative="1">
      <w:start w:val="1"/>
      <w:numFmt w:val="decimal"/>
      <w:lvlText w:val="%4."/>
      <w:lvlJc w:val="left"/>
      <w:pPr>
        <w:ind w:left="4374" w:hanging="360"/>
      </w:pPr>
    </w:lvl>
    <w:lvl w:ilvl="4" w:tplc="10D4E1E4" w:tentative="1">
      <w:start w:val="1"/>
      <w:numFmt w:val="lowerLetter"/>
      <w:lvlText w:val="%5."/>
      <w:lvlJc w:val="left"/>
      <w:pPr>
        <w:ind w:left="5094" w:hanging="360"/>
      </w:pPr>
    </w:lvl>
    <w:lvl w:ilvl="5" w:tplc="7A582222" w:tentative="1">
      <w:start w:val="1"/>
      <w:numFmt w:val="lowerRoman"/>
      <w:lvlText w:val="%6."/>
      <w:lvlJc w:val="right"/>
      <w:pPr>
        <w:ind w:left="5814" w:hanging="180"/>
      </w:pPr>
    </w:lvl>
    <w:lvl w:ilvl="6" w:tplc="DC82F020" w:tentative="1">
      <w:start w:val="1"/>
      <w:numFmt w:val="decimal"/>
      <w:lvlText w:val="%7."/>
      <w:lvlJc w:val="left"/>
      <w:pPr>
        <w:ind w:left="6534" w:hanging="360"/>
      </w:pPr>
    </w:lvl>
    <w:lvl w:ilvl="7" w:tplc="BD3AD36A" w:tentative="1">
      <w:start w:val="1"/>
      <w:numFmt w:val="lowerLetter"/>
      <w:lvlText w:val="%8."/>
      <w:lvlJc w:val="left"/>
      <w:pPr>
        <w:ind w:left="7254" w:hanging="360"/>
      </w:pPr>
    </w:lvl>
    <w:lvl w:ilvl="8" w:tplc="442EF450" w:tentative="1">
      <w:start w:val="1"/>
      <w:numFmt w:val="lowerRoman"/>
      <w:lvlText w:val="%9."/>
      <w:lvlJc w:val="right"/>
      <w:pPr>
        <w:ind w:left="7974" w:hanging="180"/>
      </w:pPr>
    </w:lvl>
  </w:abstractNum>
  <w:abstractNum w:abstractNumId="24" w15:restartNumberingAfterBreak="0">
    <w:nsid w:val="355B1DDE"/>
    <w:multiLevelType w:val="hybridMultilevel"/>
    <w:tmpl w:val="0382FD12"/>
    <w:lvl w:ilvl="0" w:tplc="4F641BE8">
      <w:start w:val="1"/>
      <w:numFmt w:val="bullet"/>
      <w:lvlText w:val=""/>
      <w:lvlJc w:val="left"/>
      <w:pPr>
        <w:ind w:left="397" w:hanging="397"/>
      </w:pPr>
      <w:rPr>
        <w:rFonts w:ascii="Segoe MDL2 Assets" w:hAnsi="Segoe MDL2 Assets" w:cs="Segoe MDL2 Assets" w:hint="default"/>
        <w:b/>
        <w:bCs/>
        <w:i w:val="0"/>
        <w:iCs w:val="0"/>
        <w:color w:val="FFC000"/>
        <w:position w:val="-6"/>
        <w:sz w:val="28"/>
        <w:szCs w:val="32"/>
        <w:lang w:bidi="he-IL"/>
      </w:rPr>
    </w:lvl>
    <w:lvl w:ilvl="1" w:tplc="E23822D2" w:tentative="1">
      <w:start w:val="1"/>
      <w:numFmt w:val="bullet"/>
      <w:lvlText w:val="o"/>
      <w:lvlJc w:val="left"/>
      <w:pPr>
        <w:ind w:left="1080" w:hanging="360"/>
      </w:pPr>
      <w:rPr>
        <w:rFonts w:ascii="Courier New" w:hAnsi="Courier New" w:cs="Courier New" w:hint="default"/>
      </w:rPr>
    </w:lvl>
    <w:lvl w:ilvl="2" w:tplc="33CC644C" w:tentative="1">
      <w:start w:val="1"/>
      <w:numFmt w:val="bullet"/>
      <w:lvlText w:val=""/>
      <w:lvlJc w:val="left"/>
      <w:pPr>
        <w:ind w:left="1800" w:hanging="360"/>
      </w:pPr>
      <w:rPr>
        <w:rFonts w:ascii="Wingdings" w:hAnsi="Wingdings" w:hint="default"/>
      </w:rPr>
    </w:lvl>
    <w:lvl w:ilvl="3" w:tplc="14B851E8" w:tentative="1">
      <w:start w:val="1"/>
      <w:numFmt w:val="bullet"/>
      <w:lvlText w:val=""/>
      <w:lvlJc w:val="left"/>
      <w:pPr>
        <w:ind w:left="2520" w:hanging="360"/>
      </w:pPr>
      <w:rPr>
        <w:rFonts w:ascii="Symbol" w:hAnsi="Symbol" w:hint="default"/>
      </w:rPr>
    </w:lvl>
    <w:lvl w:ilvl="4" w:tplc="ADB8F21A" w:tentative="1">
      <w:start w:val="1"/>
      <w:numFmt w:val="bullet"/>
      <w:lvlText w:val="o"/>
      <w:lvlJc w:val="left"/>
      <w:pPr>
        <w:ind w:left="3240" w:hanging="360"/>
      </w:pPr>
      <w:rPr>
        <w:rFonts w:ascii="Courier New" w:hAnsi="Courier New" w:cs="Courier New" w:hint="default"/>
      </w:rPr>
    </w:lvl>
    <w:lvl w:ilvl="5" w:tplc="5F98CD0C" w:tentative="1">
      <w:start w:val="1"/>
      <w:numFmt w:val="bullet"/>
      <w:lvlText w:val=""/>
      <w:lvlJc w:val="left"/>
      <w:pPr>
        <w:ind w:left="3960" w:hanging="360"/>
      </w:pPr>
      <w:rPr>
        <w:rFonts w:ascii="Wingdings" w:hAnsi="Wingdings" w:hint="default"/>
      </w:rPr>
    </w:lvl>
    <w:lvl w:ilvl="6" w:tplc="E05819F4" w:tentative="1">
      <w:start w:val="1"/>
      <w:numFmt w:val="bullet"/>
      <w:lvlText w:val=""/>
      <w:lvlJc w:val="left"/>
      <w:pPr>
        <w:ind w:left="4680" w:hanging="360"/>
      </w:pPr>
      <w:rPr>
        <w:rFonts w:ascii="Symbol" w:hAnsi="Symbol" w:hint="default"/>
      </w:rPr>
    </w:lvl>
    <w:lvl w:ilvl="7" w:tplc="F48AFEA4" w:tentative="1">
      <w:start w:val="1"/>
      <w:numFmt w:val="bullet"/>
      <w:lvlText w:val="o"/>
      <w:lvlJc w:val="left"/>
      <w:pPr>
        <w:ind w:left="5400" w:hanging="360"/>
      </w:pPr>
      <w:rPr>
        <w:rFonts w:ascii="Courier New" w:hAnsi="Courier New" w:cs="Courier New" w:hint="default"/>
      </w:rPr>
    </w:lvl>
    <w:lvl w:ilvl="8" w:tplc="8D7EAEB4" w:tentative="1">
      <w:start w:val="1"/>
      <w:numFmt w:val="bullet"/>
      <w:lvlText w:val=""/>
      <w:lvlJc w:val="left"/>
      <w:pPr>
        <w:ind w:left="6120" w:hanging="360"/>
      </w:pPr>
      <w:rPr>
        <w:rFonts w:ascii="Wingdings" w:hAnsi="Wingdings" w:hint="default"/>
      </w:rPr>
    </w:lvl>
  </w:abstractNum>
  <w:abstractNum w:abstractNumId="25" w15:restartNumberingAfterBreak="0">
    <w:nsid w:val="37D64381"/>
    <w:multiLevelType w:val="hybridMultilevel"/>
    <w:tmpl w:val="CB76E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92E622D"/>
    <w:multiLevelType w:val="hybridMultilevel"/>
    <w:tmpl w:val="7D5E01EA"/>
    <w:lvl w:ilvl="0" w:tplc="0734A782">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9494890E" w:tentative="1">
      <w:start w:val="1"/>
      <w:numFmt w:val="bullet"/>
      <w:lvlText w:val="o"/>
      <w:lvlJc w:val="left"/>
      <w:pPr>
        <w:ind w:left="1837" w:hanging="360"/>
      </w:pPr>
      <w:rPr>
        <w:rFonts w:ascii="Courier New" w:hAnsi="Courier New" w:cs="Courier New" w:hint="default"/>
      </w:rPr>
    </w:lvl>
    <w:lvl w:ilvl="2" w:tplc="74DED302" w:tentative="1">
      <w:start w:val="1"/>
      <w:numFmt w:val="bullet"/>
      <w:lvlText w:val=""/>
      <w:lvlJc w:val="left"/>
      <w:pPr>
        <w:ind w:left="2557" w:hanging="360"/>
      </w:pPr>
      <w:rPr>
        <w:rFonts w:ascii="Wingdings" w:hAnsi="Wingdings" w:hint="default"/>
      </w:rPr>
    </w:lvl>
    <w:lvl w:ilvl="3" w:tplc="762CFF86" w:tentative="1">
      <w:start w:val="1"/>
      <w:numFmt w:val="bullet"/>
      <w:lvlText w:val=""/>
      <w:lvlJc w:val="left"/>
      <w:pPr>
        <w:ind w:left="3277" w:hanging="360"/>
      </w:pPr>
      <w:rPr>
        <w:rFonts w:ascii="Symbol" w:hAnsi="Symbol" w:hint="default"/>
      </w:rPr>
    </w:lvl>
    <w:lvl w:ilvl="4" w:tplc="789A2D9C" w:tentative="1">
      <w:start w:val="1"/>
      <w:numFmt w:val="bullet"/>
      <w:lvlText w:val="o"/>
      <w:lvlJc w:val="left"/>
      <w:pPr>
        <w:ind w:left="3997" w:hanging="360"/>
      </w:pPr>
      <w:rPr>
        <w:rFonts w:ascii="Courier New" w:hAnsi="Courier New" w:cs="Courier New" w:hint="default"/>
      </w:rPr>
    </w:lvl>
    <w:lvl w:ilvl="5" w:tplc="38D83108" w:tentative="1">
      <w:start w:val="1"/>
      <w:numFmt w:val="bullet"/>
      <w:lvlText w:val=""/>
      <w:lvlJc w:val="left"/>
      <w:pPr>
        <w:ind w:left="4717" w:hanging="360"/>
      </w:pPr>
      <w:rPr>
        <w:rFonts w:ascii="Wingdings" w:hAnsi="Wingdings" w:hint="default"/>
      </w:rPr>
    </w:lvl>
    <w:lvl w:ilvl="6" w:tplc="4664E16C" w:tentative="1">
      <w:start w:val="1"/>
      <w:numFmt w:val="bullet"/>
      <w:lvlText w:val=""/>
      <w:lvlJc w:val="left"/>
      <w:pPr>
        <w:ind w:left="5437" w:hanging="360"/>
      </w:pPr>
      <w:rPr>
        <w:rFonts w:ascii="Symbol" w:hAnsi="Symbol" w:hint="default"/>
      </w:rPr>
    </w:lvl>
    <w:lvl w:ilvl="7" w:tplc="B14C3A78" w:tentative="1">
      <w:start w:val="1"/>
      <w:numFmt w:val="bullet"/>
      <w:lvlText w:val="o"/>
      <w:lvlJc w:val="left"/>
      <w:pPr>
        <w:ind w:left="6157" w:hanging="360"/>
      </w:pPr>
      <w:rPr>
        <w:rFonts w:ascii="Courier New" w:hAnsi="Courier New" w:cs="Courier New" w:hint="default"/>
      </w:rPr>
    </w:lvl>
    <w:lvl w:ilvl="8" w:tplc="72E67046" w:tentative="1">
      <w:start w:val="1"/>
      <w:numFmt w:val="bullet"/>
      <w:lvlText w:val=""/>
      <w:lvlJc w:val="left"/>
      <w:pPr>
        <w:ind w:left="6877" w:hanging="360"/>
      </w:pPr>
      <w:rPr>
        <w:rFonts w:ascii="Wingdings" w:hAnsi="Wingdings" w:hint="default"/>
      </w:rPr>
    </w:lvl>
  </w:abstractNum>
  <w:abstractNum w:abstractNumId="27" w15:restartNumberingAfterBreak="0">
    <w:nsid w:val="3A923526"/>
    <w:multiLevelType w:val="hybridMultilevel"/>
    <w:tmpl w:val="4E74417E"/>
    <w:lvl w:ilvl="0" w:tplc="0368237A">
      <w:start w:val="1"/>
      <w:numFmt w:val="decimal"/>
      <w:pStyle w:val="a3"/>
      <w:lvlText w:val="תרשים %1:"/>
      <w:lvlJc w:val="left"/>
      <w:pPr>
        <w:ind w:left="1494" w:hanging="360"/>
      </w:pPr>
      <w:rPr>
        <w:rFonts w:ascii="Calibri" w:hAnsi="Calibri" w:cs="Calibri" w:hint="default"/>
        <w:b w:val="0"/>
        <w:bCs w:val="0"/>
        <w:i w:val="0"/>
        <w:iCs w:val="0"/>
        <w:color w:val="002060"/>
        <w:sz w:val="24"/>
        <w:szCs w:val="24"/>
      </w:rPr>
    </w:lvl>
    <w:lvl w:ilvl="1" w:tplc="74F2E368" w:tentative="1">
      <w:start w:val="1"/>
      <w:numFmt w:val="lowerLetter"/>
      <w:lvlText w:val="%2."/>
      <w:lvlJc w:val="left"/>
      <w:pPr>
        <w:ind w:left="2578" w:hanging="360"/>
      </w:pPr>
    </w:lvl>
    <w:lvl w:ilvl="2" w:tplc="8BAA935E" w:tentative="1">
      <w:start w:val="1"/>
      <w:numFmt w:val="lowerRoman"/>
      <w:lvlText w:val="%3."/>
      <w:lvlJc w:val="right"/>
      <w:pPr>
        <w:ind w:left="3298" w:hanging="180"/>
      </w:pPr>
    </w:lvl>
    <w:lvl w:ilvl="3" w:tplc="EB3AC694" w:tentative="1">
      <w:start w:val="1"/>
      <w:numFmt w:val="decimal"/>
      <w:lvlText w:val="%4."/>
      <w:lvlJc w:val="left"/>
      <w:pPr>
        <w:ind w:left="4018" w:hanging="360"/>
      </w:pPr>
    </w:lvl>
    <w:lvl w:ilvl="4" w:tplc="92868A74" w:tentative="1">
      <w:start w:val="1"/>
      <w:numFmt w:val="lowerLetter"/>
      <w:lvlText w:val="%5."/>
      <w:lvlJc w:val="left"/>
      <w:pPr>
        <w:ind w:left="4738" w:hanging="360"/>
      </w:pPr>
    </w:lvl>
    <w:lvl w:ilvl="5" w:tplc="E5D485D4" w:tentative="1">
      <w:start w:val="1"/>
      <w:numFmt w:val="lowerRoman"/>
      <w:lvlText w:val="%6."/>
      <w:lvlJc w:val="right"/>
      <w:pPr>
        <w:ind w:left="5458" w:hanging="180"/>
      </w:pPr>
    </w:lvl>
    <w:lvl w:ilvl="6" w:tplc="C07A9F8A" w:tentative="1">
      <w:start w:val="1"/>
      <w:numFmt w:val="decimal"/>
      <w:lvlText w:val="%7."/>
      <w:lvlJc w:val="left"/>
      <w:pPr>
        <w:ind w:left="6178" w:hanging="360"/>
      </w:pPr>
    </w:lvl>
    <w:lvl w:ilvl="7" w:tplc="16C4D6E4" w:tentative="1">
      <w:start w:val="1"/>
      <w:numFmt w:val="lowerLetter"/>
      <w:lvlText w:val="%8."/>
      <w:lvlJc w:val="left"/>
      <w:pPr>
        <w:ind w:left="6898" w:hanging="360"/>
      </w:pPr>
    </w:lvl>
    <w:lvl w:ilvl="8" w:tplc="948E7BB4" w:tentative="1">
      <w:start w:val="1"/>
      <w:numFmt w:val="lowerRoman"/>
      <w:lvlText w:val="%9."/>
      <w:lvlJc w:val="right"/>
      <w:pPr>
        <w:ind w:left="7618" w:hanging="180"/>
      </w:pPr>
    </w:lvl>
  </w:abstractNum>
  <w:abstractNum w:abstractNumId="28" w15:restartNumberingAfterBreak="0">
    <w:nsid w:val="3AF63923"/>
    <w:multiLevelType w:val="hybridMultilevel"/>
    <w:tmpl w:val="4464001C"/>
    <w:lvl w:ilvl="0" w:tplc="B406F7D2">
      <w:start w:val="1"/>
      <w:numFmt w:val="bullet"/>
      <w:lvlText w:val=""/>
      <w:lvlJc w:val="left"/>
      <w:pPr>
        <w:ind w:left="10" w:hanging="360"/>
      </w:pPr>
      <w:rPr>
        <w:rFonts w:ascii="Wingdings" w:hAnsi="Wingdings" w:cs="Wingdings" w:hint="default"/>
        <w:b/>
        <w:i w:val="0"/>
        <w:caps w:val="0"/>
        <w:strike w:val="0"/>
        <w:dstrike w:val="0"/>
        <w:vanish w:val="0"/>
        <w:color w:val="FF0000"/>
        <w:sz w:val="40"/>
        <w:szCs w:val="25"/>
        <w:vertAlign w:val="baseline"/>
      </w:rPr>
    </w:lvl>
    <w:lvl w:ilvl="1" w:tplc="04090003">
      <w:start w:val="1"/>
      <w:numFmt w:val="bullet"/>
      <w:lvlText w:val="o"/>
      <w:lvlJc w:val="left"/>
      <w:pPr>
        <w:ind w:left="730" w:hanging="360"/>
      </w:pPr>
      <w:rPr>
        <w:rFonts w:ascii="Courier New" w:hAnsi="Courier New" w:cs="Courier New" w:hint="default"/>
      </w:rPr>
    </w:lvl>
    <w:lvl w:ilvl="2" w:tplc="04090005" w:tentative="1">
      <w:start w:val="1"/>
      <w:numFmt w:val="bullet"/>
      <w:lvlText w:val=""/>
      <w:lvlJc w:val="left"/>
      <w:pPr>
        <w:ind w:left="1450" w:hanging="360"/>
      </w:pPr>
      <w:rPr>
        <w:rFonts w:ascii="Wingdings" w:hAnsi="Wingdings" w:hint="default"/>
      </w:rPr>
    </w:lvl>
    <w:lvl w:ilvl="3" w:tplc="04090001" w:tentative="1">
      <w:start w:val="1"/>
      <w:numFmt w:val="bullet"/>
      <w:lvlText w:val=""/>
      <w:lvlJc w:val="left"/>
      <w:pPr>
        <w:ind w:left="2170" w:hanging="360"/>
      </w:pPr>
      <w:rPr>
        <w:rFonts w:ascii="Symbol" w:hAnsi="Symbol" w:hint="default"/>
      </w:rPr>
    </w:lvl>
    <w:lvl w:ilvl="4" w:tplc="04090003" w:tentative="1">
      <w:start w:val="1"/>
      <w:numFmt w:val="bullet"/>
      <w:lvlText w:val="o"/>
      <w:lvlJc w:val="left"/>
      <w:pPr>
        <w:ind w:left="2890" w:hanging="360"/>
      </w:pPr>
      <w:rPr>
        <w:rFonts w:ascii="Courier New" w:hAnsi="Courier New" w:cs="Courier New" w:hint="default"/>
      </w:rPr>
    </w:lvl>
    <w:lvl w:ilvl="5" w:tplc="04090005" w:tentative="1">
      <w:start w:val="1"/>
      <w:numFmt w:val="bullet"/>
      <w:lvlText w:val=""/>
      <w:lvlJc w:val="left"/>
      <w:pPr>
        <w:ind w:left="3610" w:hanging="360"/>
      </w:pPr>
      <w:rPr>
        <w:rFonts w:ascii="Wingdings" w:hAnsi="Wingdings" w:hint="default"/>
      </w:rPr>
    </w:lvl>
    <w:lvl w:ilvl="6" w:tplc="04090001" w:tentative="1">
      <w:start w:val="1"/>
      <w:numFmt w:val="bullet"/>
      <w:lvlText w:val=""/>
      <w:lvlJc w:val="left"/>
      <w:pPr>
        <w:ind w:left="4330" w:hanging="360"/>
      </w:pPr>
      <w:rPr>
        <w:rFonts w:ascii="Symbol" w:hAnsi="Symbol" w:hint="default"/>
      </w:rPr>
    </w:lvl>
    <w:lvl w:ilvl="7" w:tplc="04090003" w:tentative="1">
      <w:start w:val="1"/>
      <w:numFmt w:val="bullet"/>
      <w:lvlText w:val="o"/>
      <w:lvlJc w:val="left"/>
      <w:pPr>
        <w:ind w:left="5050" w:hanging="360"/>
      </w:pPr>
      <w:rPr>
        <w:rFonts w:ascii="Courier New" w:hAnsi="Courier New" w:cs="Courier New" w:hint="default"/>
      </w:rPr>
    </w:lvl>
    <w:lvl w:ilvl="8" w:tplc="04090005" w:tentative="1">
      <w:start w:val="1"/>
      <w:numFmt w:val="bullet"/>
      <w:lvlText w:val=""/>
      <w:lvlJc w:val="left"/>
      <w:pPr>
        <w:ind w:left="5770" w:hanging="360"/>
      </w:pPr>
      <w:rPr>
        <w:rFonts w:ascii="Wingdings" w:hAnsi="Wingdings" w:hint="default"/>
      </w:rPr>
    </w:lvl>
  </w:abstractNum>
  <w:abstractNum w:abstractNumId="29" w15:restartNumberingAfterBreak="0">
    <w:nsid w:val="3B0B597E"/>
    <w:multiLevelType w:val="hybridMultilevel"/>
    <w:tmpl w:val="C582C6B2"/>
    <w:lvl w:ilvl="0" w:tplc="D6589448">
      <w:numFmt w:val="bullet"/>
      <w:lvlText w:val="•"/>
      <w:lvlJc w:val="left"/>
      <w:pPr>
        <w:ind w:left="1003" w:hanging="360"/>
      </w:pPr>
      <w:rPr>
        <w:rFonts w:ascii="Tahoma" w:eastAsiaTheme="minorHAnsi" w:hAnsi="Tahoma" w:cs="Tahoma" w:hint="default"/>
        <w:b/>
        <w:i w:val="0"/>
        <w:caps w:val="0"/>
        <w:strike w:val="0"/>
        <w:dstrike w:val="0"/>
        <w:vanish w:val="0"/>
        <w:color w:val="FF0000"/>
        <w:position w:val="0"/>
        <w:sz w:val="21"/>
        <w:szCs w:val="25"/>
        <w:vertAlign w:val="baseline"/>
        <w14:ligatures w14:val="all"/>
        <w14:numForm w14:val="default"/>
        <w14:numSpacing w14:val="default"/>
        <w14:stylisticSets/>
      </w:rPr>
    </w:lvl>
    <w:lvl w:ilvl="1" w:tplc="217E3EB0">
      <w:numFmt w:val="bullet"/>
      <w:lvlText w:val="•"/>
      <w:lvlJc w:val="left"/>
      <w:pPr>
        <w:ind w:left="1528" w:hanging="165"/>
      </w:pPr>
      <w:rPr>
        <w:rFonts w:ascii="Tahoma" w:eastAsiaTheme="minorHAnsi" w:hAnsi="Tahoma" w:cs="Tahoma" w:hint="default"/>
        <w:b/>
        <w:color w:val="FF0000"/>
        <w:sz w:val="21"/>
      </w:rPr>
    </w:lvl>
    <w:lvl w:ilvl="2" w:tplc="4D74BF36" w:tentative="1">
      <w:start w:val="1"/>
      <w:numFmt w:val="bullet"/>
      <w:lvlText w:val=""/>
      <w:lvlJc w:val="left"/>
      <w:pPr>
        <w:ind w:left="2443" w:hanging="360"/>
      </w:pPr>
      <w:rPr>
        <w:rFonts w:ascii="Wingdings" w:hAnsi="Wingdings" w:hint="default"/>
      </w:rPr>
    </w:lvl>
    <w:lvl w:ilvl="3" w:tplc="1CC2B206" w:tentative="1">
      <w:start w:val="1"/>
      <w:numFmt w:val="bullet"/>
      <w:lvlText w:val=""/>
      <w:lvlJc w:val="left"/>
      <w:pPr>
        <w:ind w:left="3163" w:hanging="360"/>
      </w:pPr>
      <w:rPr>
        <w:rFonts w:ascii="Symbol" w:hAnsi="Symbol" w:hint="default"/>
      </w:rPr>
    </w:lvl>
    <w:lvl w:ilvl="4" w:tplc="0E8086E0" w:tentative="1">
      <w:start w:val="1"/>
      <w:numFmt w:val="bullet"/>
      <w:lvlText w:val="o"/>
      <w:lvlJc w:val="left"/>
      <w:pPr>
        <w:ind w:left="3883" w:hanging="360"/>
      </w:pPr>
      <w:rPr>
        <w:rFonts w:ascii="Courier New" w:hAnsi="Courier New" w:cs="Courier New" w:hint="default"/>
      </w:rPr>
    </w:lvl>
    <w:lvl w:ilvl="5" w:tplc="E77886EE" w:tentative="1">
      <w:start w:val="1"/>
      <w:numFmt w:val="bullet"/>
      <w:lvlText w:val=""/>
      <w:lvlJc w:val="left"/>
      <w:pPr>
        <w:ind w:left="4603" w:hanging="360"/>
      </w:pPr>
      <w:rPr>
        <w:rFonts w:ascii="Wingdings" w:hAnsi="Wingdings" w:hint="default"/>
      </w:rPr>
    </w:lvl>
    <w:lvl w:ilvl="6" w:tplc="EC90D628" w:tentative="1">
      <w:start w:val="1"/>
      <w:numFmt w:val="bullet"/>
      <w:lvlText w:val=""/>
      <w:lvlJc w:val="left"/>
      <w:pPr>
        <w:ind w:left="5323" w:hanging="360"/>
      </w:pPr>
      <w:rPr>
        <w:rFonts w:ascii="Symbol" w:hAnsi="Symbol" w:hint="default"/>
      </w:rPr>
    </w:lvl>
    <w:lvl w:ilvl="7" w:tplc="4A5870D0" w:tentative="1">
      <w:start w:val="1"/>
      <w:numFmt w:val="bullet"/>
      <w:lvlText w:val="o"/>
      <w:lvlJc w:val="left"/>
      <w:pPr>
        <w:ind w:left="6043" w:hanging="360"/>
      </w:pPr>
      <w:rPr>
        <w:rFonts w:ascii="Courier New" w:hAnsi="Courier New" w:cs="Courier New" w:hint="default"/>
      </w:rPr>
    </w:lvl>
    <w:lvl w:ilvl="8" w:tplc="5A549E44" w:tentative="1">
      <w:start w:val="1"/>
      <w:numFmt w:val="bullet"/>
      <w:lvlText w:val=""/>
      <w:lvlJc w:val="left"/>
      <w:pPr>
        <w:ind w:left="6763" w:hanging="360"/>
      </w:pPr>
      <w:rPr>
        <w:rFonts w:ascii="Wingdings" w:hAnsi="Wingdings" w:hint="default"/>
      </w:rPr>
    </w:lvl>
  </w:abstractNum>
  <w:abstractNum w:abstractNumId="30" w15:restartNumberingAfterBreak="0">
    <w:nsid w:val="3D0404F2"/>
    <w:multiLevelType w:val="hybridMultilevel"/>
    <w:tmpl w:val="6DBC57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3DFC3F2B"/>
    <w:multiLevelType w:val="hybridMultilevel"/>
    <w:tmpl w:val="27902D54"/>
    <w:lvl w:ilvl="0" w:tplc="36781B2A">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rPr>
    </w:lvl>
    <w:lvl w:ilvl="1" w:tplc="72CA09D0" w:tentative="1">
      <w:start w:val="1"/>
      <w:numFmt w:val="bullet"/>
      <w:lvlText w:val="o"/>
      <w:lvlJc w:val="left"/>
      <w:pPr>
        <w:ind w:left="1440" w:hanging="360"/>
      </w:pPr>
      <w:rPr>
        <w:rFonts w:ascii="Courier New" w:hAnsi="Courier New" w:cs="Courier New" w:hint="default"/>
      </w:rPr>
    </w:lvl>
    <w:lvl w:ilvl="2" w:tplc="DD127F2C" w:tentative="1">
      <w:start w:val="1"/>
      <w:numFmt w:val="bullet"/>
      <w:lvlText w:val=""/>
      <w:lvlJc w:val="left"/>
      <w:pPr>
        <w:ind w:left="2160" w:hanging="360"/>
      </w:pPr>
      <w:rPr>
        <w:rFonts w:ascii="Wingdings" w:hAnsi="Wingdings" w:hint="default"/>
      </w:rPr>
    </w:lvl>
    <w:lvl w:ilvl="3" w:tplc="4A400230" w:tentative="1">
      <w:start w:val="1"/>
      <w:numFmt w:val="bullet"/>
      <w:lvlText w:val=""/>
      <w:lvlJc w:val="left"/>
      <w:pPr>
        <w:ind w:left="2880" w:hanging="360"/>
      </w:pPr>
      <w:rPr>
        <w:rFonts w:ascii="Symbol" w:hAnsi="Symbol" w:hint="default"/>
      </w:rPr>
    </w:lvl>
    <w:lvl w:ilvl="4" w:tplc="5860DFAC" w:tentative="1">
      <w:start w:val="1"/>
      <w:numFmt w:val="bullet"/>
      <w:lvlText w:val="o"/>
      <w:lvlJc w:val="left"/>
      <w:pPr>
        <w:ind w:left="3600" w:hanging="360"/>
      </w:pPr>
      <w:rPr>
        <w:rFonts w:ascii="Courier New" w:hAnsi="Courier New" w:cs="Courier New" w:hint="default"/>
      </w:rPr>
    </w:lvl>
    <w:lvl w:ilvl="5" w:tplc="78E69A44" w:tentative="1">
      <w:start w:val="1"/>
      <w:numFmt w:val="bullet"/>
      <w:lvlText w:val=""/>
      <w:lvlJc w:val="left"/>
      <w:pPr>
        <w:ind w:left="4320" w:hanging="360"/>
      </w:pPr>
      <w:rPr>
        <w:rFonts w:ascii="Wingdings" w:hAnsi="Wingdings" w:hint="default"/>
      </w:rPr>
    </w:lvl>
    <w:lvl w:ilvl="6" w:tplc="A6D4C232" w:tentative="1">
      <w:start w:val="1"/>
      <w:numFmt w:val="bullet"/>
      <w:lvlText w:val=""/>
      <w:lvlJc w:val="left"/>
      <w:pPr>
        <w:ind w:left="5040" w:hanging="360"/>
      </w:pPr>
      <w:rPr>
        <w:rFonts w:ascii="Symbol" w:hAnsi="Symbol" w:hint="default"/>
      </w:rPr>
    </w:lvl>
    <w:lvl w:ilvl="7" w:tplc="8E12C9FC" w:tentative="1">
      <w:start w:val="1"/>
      <w:numFmt w:val="bullet"/>
      <w:lvlText w:val="o"/>
      <w:lvlJc w:val="left"/>
      <w:pPr>
        <w:ind w:left="5760" w:hanging="360"/>
      </w:pPr>
      <w:rPr>
        <w:rFonts w:ascii="Courier New" w:hAnsi="Courier New" w:cs="Courier New" w:hint="default"/>
      </w:rPr>
    </w:lvl>
    <w:lvl w:ilvl="8" w:tplc="7E2CE06E" w:tentative="1">
      <w:start w:val="1"/>
      <w:numFmt w:val="bullet"/>
      <w:lvlText w:val=""/>
      <w:lvlJc w:val="left"/>
      <w:pPr>
        <w:ind w:left="6480" w:hanging="360"/>
      </w:pPr>
      <w:rPr>
        <w:rFonts w:ascii="Wingdings" w:hAnsi="Wingdings" w:hint="default"/>
      </w:rPr>
    </w:lvl>
  </w:abstractNum>
  <w:abstractNum w:abstractNumId="32" w15:restartNumberingAfterBreak="0">
    <w:nsid w:val="40DC7E01"/>
    <w:multiLevelType w:val="hybridMultilevel"/>
    <w:tmpl w:val="5D24C320"/>
    <w:lvl w:ilvl="0" w:tplc="CF0EE2E4">
      <w:start w:val="1"/>
      <w:numFmt w:val="decimal"/>
      <w:pStyle w:val="3"/>
      <w:lvlText w:val="%1.1.1"/>
      <w:lvlJc w:val="left"/>
      <w:pPr>
        <w:ind w:left="1854" w:hanging="360"/>
      </w:pPr>
      <w:rPr>
        <w:rFonts w:hint="default"/>
      </w:rPr>
    </w:lvl>
    <w:lvl w:ilvl="1" w:tplc="D5F47040" w:tentative="1">
      <w:start w:val="1"/>
      <w:numFmt w:val="lowerLetter"/>
      <w:lvlText w:val="%2."/>
      <w:lvlJc w:val="left"/>
      <w:pPr>
        <w:ind w:left="2574" w:hanging="360"/>
      </w:pPr>
    </w:lvl>
    <w:lvl w:ilvl="2" w:tplc="B9986F56" w:tentative="1">
      <w:start w:val="1"/>
      <w:numFmt w:val="lowerRoman"/>
      <w:lvlText w:val="%3."/>
      <w:lvlJc w:val="right"/>
      <w:pPr>
        <w:ind w:left="3294" w:hanging="180"/>
      </w:pPr>
    </w:lvl>
    <w:lvl w:ilvl="3" w:tplc="BFFCC2E4" w:tentative="1">
      <w:start w:val="1"/>
      <w:numFmt w:val="decimal"/>
      <w:lvlText w:val="%4."/>
      <w:lvlJc w:val="left"/>
      <w:pPr>
        <w:ind w:left="4014" w:hanging="360"/>
      </w:pPr>
    </w:lvl>
    <w:lvl w:ilvl="4" w:tplc="525E7254" w:tentative="1">
      <w:start w:val="1"/>
      <w:numFmt w:val="lowerLetter"/>
      <w:lvlText w:val="%5."/>
      <w:lvlJc w:val="left"/>
      <w:pPr>
        <w:ind w:left="4734" w:hanging="360"/>
      </w:pPr>
    </w:lvl>
    <w:lvl w:ilvl="5" w:tplc="854088D6" w:tentative="1">
      <w:start w:val="1"/>
      <w:numFmt w:val="lowerRoman"/>
      <w:lvlText w:val="%6."/>
      <w:lvlJc w:val="right"/>
      <w:pPr>
        <w:ind w:left="5454" w:hanging="180"/>
      </w:pPr>
    </w:lvl>
    <w:lvl w:ilvl="6" w:tplc="15747D34" w:tentative="1">
      <w:start w:val="1"/>
      <w:numFmt w:val="decimal"/>
      <w:lvlText w:val="%7."/>
      <w:lvlJc w:val="left"/>
      <w:pPr>
        <w:ind w:left="6174" w:hanging="360"/>
      </w:pPr>
    </w:lvl>
    <w:lvl w:ilvl="7" w:tplc="A6826E0A" w:tentative="1">
      <w:start w:val="1"/>
      <w:numFmt w:val="lowerLetter"/>
      <w:lvlText w:val="%8."/>
      <w:lvlJc w:val="left"/>
      <w:pPr>
        <w:ind w:left="6894" w:hanging="360"/>
      </w:pPr>
    </w:lvl>
    <w:lvl w:ilvl="8" w:tplc="106EB362" w:tentative="1">
      <w:start w:val="1"/>
      <w:numFmt w:val="lowerRoman"/>
      <w:lvlText w:val="%9."/>
      <w:lvlJc w:val="right"/>
      <w:pPr>
        <w:ind w:left="7614" w:hanging="180"/>
      </w:pPr>
    </w:lvl>
  </w:abstractNum>
  <w:abstractNum w:abstractNumId="33" w15:restartNumberingAfterBreak="0">
    <w:nsid w:val="441A6670"/>
    <w:multiLevelType w:val="hybridMultilevel"/>
    <w:tmpl w:val="369C82D6"/>
    <w:lvl w:ilvl="0" w:tplc="6DCA7DC2">
      <w:start w:val="1"/>
      <w:numFmt w:val="hebrew1"/>
      <w:pStyle w:val="30"/>
      <w:lvlText w:val="%1."/>
      <w:lvlJc w:val="center"/>
      <w:pPr>
        <w:ind w:left="2705" w:hanging="360"/>
      </w:pPr>
    </w:lvl>
    <w:lvl w:ilvl="1" w:tplc="F2286B36" w:tentative="1">
      <w:start w:val="1"/>
      <w:numFmt w:val="lowerLetter"/>
      <w:lvlText w:val="%2."/>
      <w:lvlJc w:val="left"/>
      <w:pPr>
        <w:ind w:left="3425" w:hanging="360"/>
      </w:pPr>
    </w:lvl>
    <w:lvl w:ilvl="2" w:tplc="57E686D2" w:tentative="1">
      <w:start w:val="1"/>
      <w:numFmt w:val="lowerRoman"/>
      <w:lvlText w:val="%3."/>
      <w:lvlJc w:val="right"/>
      <w:pPr>
        <w:ind w:left="4145" w:hanging="180"/>
      </w:pPr>
    </w:lvl>
    <w:lvl w:ilvl="3" w:tplc="B3B6D222" w:tentative="1">
      <w:start w:val="1"/>
      <w:numFmt w:val="decimal"/>
      <w:lvlText w:val="%4."/>
      <w:lvlJc w:val="left"/>
      <w:pPr>
        <w:ind w:left="4865" w:hanging="360"/>
      </w:pPr>
    </w:lvl>
    <w:lvl w:ilvl="4" w:tplc="161C839C" w:tentative="1">
      <w:start w:val="1"/>
      <w:numFmt w:val="lowerLetter"/>
      <w:lvlText w:val="%5."/>
      <w:lvlJc w:val="left"/>
      <w:pPr>
        <w:ind w:left="5585" w:hanging="360"/>
      </w:pPr>
    </w:lvl>
    <w:lvl w:ilvl="5" w:tplc="7DE09600" w:tentative="1">
      <w:start w:val="1"/>
      <w:numFmt w:val="lowerRoman"/>
      <w:lvlText w:val="%6."/>
      <w:lvlJc w:val="right"/>
      <w:pPr>
        <w:ind w:left="6305" w:hanging="180"/>
      </w:pPr>
    </w:lvl>
    <w:lvl w:ilvl="6" w:tplc="23442B76" w:tentative="1">
      <w:start w:val="1"/>
      <w:numFmt w:val="decimal"/>
      <w:lvlText w:val="%7."/>
      <w:lvlJc w:val="left"/>
      <w:pPr>
        <w:ind w:left="7025" w:hanging="360"/>
      </w:pPr>
    </w:lvl>
    <w:lvl w:ilvl="7" w:tplc="B364B690" w:tentative="1">
      <w:start w:val="1"/>
      <w:numFmt w:val="lowerLetter"/>
      <w:lvlText w:val="%8."/>
      <w:lvlJc w:val="left"/>
      <w:pPr>
        <w:ind w:left="7745" w:hanging="360"/>
      </w:pPr>
    </w:lvl>
    <w:lvl w:ilvl="8" w:tplc="48CAF43E" w:tentative="1">
      <w:start w:val="1"/>
      <w:numFmt w:val="lowerRoman"/>
      <w:lvlText w:val="%9."/>
      <w:lvlJc w:val="right"/>
      <w:pPr>
        <w:ind w:left="8465" w:hanging="180"/>
      </w:pPr>
    </w:lvl>
  </w:abstractNum>
  <w:abstractNum w:abstractNumId="34" w15:restartNumberingAfterBreak="0">
    <w:nsid w:val="4D393DF4"/>
    <w:multiLevelType w:val="multilevel"/>
    <w:tmpl w:val="026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DD35436"/>
    <w:multiLevelType w:val="hybridMultilevel"/>
    <w:tmpl w:val="EC1EC164"/>
    <w:lvl w:ilvl="0" w:tplc="CA0A9C68">
      <w:start w:val="1"/>
      <w:numFmt w:val="decimal"/>
      <w:pStyle w:val="2"/>
      <w:lvlText w:val="%1.1"/>
      <w:lvlJc w:val="left"/>
      <w:pPr>
        <w:ind w:left="1860" w:hanging="360"/>
      </w:pPr>
      <w:rPr>
        <w:rFonts w:hint="default"/>
      </w:rPr>
    </w:lvl>
    <w:lvl w:ilvl="1" w:tplc="E996B1D8" w:tentative="1">
      <w:start w:val="1"/>
      <w:numFmt w:val="lowerLetter"/>
      <w:lvlText w:val="%2."/>
      <w:lvlJc w:val="left"/>
      <w:pPr>
        <w:ind w:left="2580" w:hanging="360"/>
      </w:pPr>
    </w:lvl>
    <w:lvl w:ilvl="2" w:tplc="3056D902" w:tentative="1">
      <w:start w:val="1"/>
      <w:numFmt w:val="lowerRoman"/>
      <w:lvlText w:val="%3."/>
      <w:lvlJc w:val="right"/>
      <w:pPr>
        <w:ind w:left="3300" w:hanging="180"/>
      </w:pPr>
    </w:lvl>
    <w:lvl w:ilvl="3" w:tplc="D17C4076" w:tentative="1">
      <w:start w:val="1"/>
      <w:numFmt w:val="decimal"/>
      <w:lvlText w:val="%4."/>
      <w:lvlJc w:val="left"/>
      <w:pPr>
        <w:ind w:left="4020" w:hanging="360"/>
      </w:pPr>
    </w:lvl>
    <w:lvl w:ilvl="4" w:tplc="3FA4C742" w:tentative="1">
      <w:start w:val="1"/>
      <w:numFmt w:val="lowerLetter"/>
      <w:lvlText w:val="%5."/>
      <w:lvlJc w:val="left"/>
      <w:pPr>
        <w:ind w:left="4740" w:hanging="360"/>
      </w:pPr>
    </w:lvl>
    <w:lvl w:ilvl="5" w:tplc="DF321970" w:tentative="1">
      <w:start w:val="1"/>
      <w:numFmt w:val="lowerRoman"/>
      <w:lvlText w:val="%6."/>
      <w:lvlJc w:val="right"/>
      <w:pPr>
        <w:ind w:left="5460" w:hanging="180"/>
      </w:pPr>
    </w:lvl>
    <w:lvl w:ilvl="6" w:tplc="26B6638E" w:tentative="1">
      <w:start w:val="1"/>
      <w:numFmt w:val="decimal"/>
      <w:lvlText w:val="%7."/>
      <w:lvlJc w:val="left"/>
      <w:pPr>
        <w:ind w:left="6180" w:hanging="360"/>
      </w:pPr>
    </w:lvl>
    <w:lvl w:ilvl="7" w:tplc="CF602F52" w:tentative="1">
      <w:start w:val="1"/>
      <w:numFmt w:val="lowerLetter"/>
      <w:lvlText w:val="%8."/>
      <w:lvlJc w:val="left"/>
      <w:pPr>
        <w:ind w:left="6900" w:hanging="360"/>
      </w:pPr>
    </w:lvl>
    <w:lvl w:ilvl="8" w:tplc="A7F038CA" w:tentative="1">
      <w:start w:val="1"/>
      <w:numFmt w:val="lowerRoman"/>
      <w:lvlText w:val="%9."/>
      <w:lvlJc w:val="right"/>
      <w:pPr>
        <w:ind w:left="7620" w:hanging="180"/>
      </w:pPr>
    </w:lvl>
  </w:abstractNum>
  <w:abstractNum w:abstractNumId="36" w15:restartNumberingAfterBreak="0">
    <w:nsid w:val="51655FC7"/>
    <w:multiLevelType w:val="hybridMultilevel"/>
    <w:tmpl w:val="5A2E2E6C"/>
    <w:lvl w:ilvl="0" w:tplc="71509D9E">
      <w:start w:val="1"/>
      <w:numFmt w:val="decimal"/>
      <w:lvlText w:val="%1."/>
      <w:lvlJc w:val="left"/>
      <w:pPr>
        <w:ind w:left="360" w:hanging="360"/>
      </w:pPr>
      <w:rPr>
        <w:rFonts w:hint="default"/>
        <w:b/>
        <w:bCs/>
      </w:rPr>
    </w:lvl>
    <w:lvl w:ilvl="1" w:tplc="61EAE124" w:tentative="1">
      <w:start w:val="1"/>
      <w:numFmt w:val="lowerLetter"/>
      <w:lvlText w:val="%2."/>
      <w:lvlJc w:val="left"/>
      <w:pPr>
        <w:ind w:left="1080" w:hanging="360"/>
      </w:pPr>
    </w:lvl>
    <w:lvl w:ilvl="2" w:tplc="B0DEDB2C" w:tentative="1">
      <w:start w:val="1"/>
      <w:numFmt w:val="lowerRoman"/>
      <w:lvlText w:val="%3."/>
      <w:lvlJc w:val="right"/>
      <w:pPr>
        <w:ind w:left="1800" w:hanging="180"/>
      </w:pPr>
    </w:lvl>
    <w:lvl w:ilvl="3" w:tplc="B9F444B4" w:tentative="1">
      <w:start w:val="1"/>
      <w:numFmt w:val="decimal"/>
      <w:lvlText w:val="%4."/>
      <w:lvlJc w:val="left"/>
      <w:pPr>
        <w:ind w:left="2520" w:hanging="360"/>
      </w:pPr>
    </w:lvl>
    <w:lvl w:ilvl="4" w:tplc="3ED83FFA" w:tentative="1">
      <w:start w:val="1"/>
      <w:numFmt w:val="lowerLetter"/>
      <w:lvlText w:val="%5."/>
      <w:lvlJc w:val="left"/>
      <w:pPr>
        <w:ind w:left="3240" w:hanging="360"/>
      </w:pPr>
    </w:lvl>
    <w:lvl w:ilvl="5" w:tplc="A97A1AD6" w:tentative="1">
      <w:start w:val="1"/>
      <w:numFmt w:val="lowerRoman"/>
      <w:lvlText w:val="%6."/>
      <w:lvlJc w:val="right"/>
      <w:pPr>
        <w:ind w:left="3960" w:hanging="180"/>
      </w:pPr>
    </w:lvl>
    <w:lvl w:ilvl="6" w:tplc="075E1B14" w:tentative="1">
      <w:start w:val="1"/>
      <w:numFmt w:val="decimal"/>
      <w:lvlText w:val="%7."/>
      <w:lvlJc w:val="left"/>
      <w:pPr>
        <w:ind w:left="4680" w:hanging="360"/>
      </w:pPr>
    </w:lvl>
    <w:lvl w:ilvl="7" w:tplc="10AE3F40" w:tentative="1">
      <w:start w:val="1"/>
      <w:numFmt w:val="lowerLetter"/>
      <w:lvlText w:val="%8."/>
      <w:lvlJc w:val="left"/>
      <w:pPr>
        <w:ind w:left="5400" w:hanging="360"/>
      </w:pPr>
    </w:lvl>
    <w:lvl w:ilvl="8" w:tplc="D414A2EA" w:tentative="1">
      <w:start w:val="1"/>
      <w:numFmt w:val="lowerRoman"/>
      <w:lvlText w:val="%9."/>
      <w:lvlJc w:val="right"/>
      <w:pPr>
        <w:ind w:left="6120" w:hanging="180"/>
      </w:pPr>
    </w:lvl>
  </w:abstractNum>
  <w:abstractNum w:abstractNumId="37" w15:restartNumberingAfterBreak="0">
    <w:nsid w:val="59F011FB"/>
    <w:multiLevelType w:val="hybridMultilevel"/>
    <w:tmpl w:val="FBB8779C"/>
    <w:lvl w:ilvl="0" w:tplc="27F64D04">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lang w:bidi="he-IL"/>
      </w:rPr>
    </w:lvl>
    <w:lvl w:ilvl="1" w:tplc="E8186B36" w:tentative="1">
      <w:start w:val="1"/>
      <w:numFmt w:val="bullet"/>
      <w:lvlText w:val="o"/>
      <w:lvlJc w:val="left"/>
      <w:pPr>
        <w:ind w:left="1440" w:hanging="360"/>
      </w:pPr>
      <w:rPr>
        <w:rFonts w:ascii="Courier New" w:hAnsi="Courier New" w:cs="Courier New" w:hint="default"/>
      </w:rPr>
    </w:lvl>
    <w:lvl w:ilvl="2" w:tplc="52CAA99E" w:tentative="1">
      <w:start w:val="1"/>
      <w:numFmt w:val="bullet"/>
      <w:lvlText w:val=""/>
      <w:lvlJc w:val="left"/>
      <w:pPr>
        <w:ind w:left="2160" w:hanging="360"/>
      </w:pPr>
      <w:rPr>
        <w:rFonts w:ascii="Wingdings" w:hAnsi="Wingdings" w:hint="default"/>
      </w:rPr>
    </w:lvl>
    <w:lvl w:ilvl="3" w:tplc="88907C6C" w:tentative="1">
      <w:start w:val="1"/>
      <w:numFmt w:val="bullet"/>
      <w:lvlText w:val=""/>
      <w:lvlJc w:val="left"/>
      <w:pPr>
        <w:ind w:left="2880" w:hanging="360"/>
      </w:pPr>
      <w:rPr>
        <w:rFonts w:ascii="Symbol" w:hAnsi="Symbol" w:hint="default"/>
      </w:rPr>
    </w:lvl>
    <w:lvl w:ilvl="4" w:tplc="ADA8B14A" w:tentative="1">
      <w:start w:val="1"/>
      <w:numFmt w:val="bullet"/>
      <w:lvlText w:val="o"/>
      <w:lvlJc w:val="left"/>
      <w:pPr>
        <w:ind w:left="3600" w:hanging="360"/>
      </w:pPr>
      <w:rPr>
        <w:rFonts w:ascii="Courier New" w:hAnsi="Courier New" w:cs="Courier New" w:hint="default"/>
      </w:rPr>
    </w:lvl>
    <w:lvl w:ilvl="5" w:tplc="FF0C2700" w:tentative="1">
      <w:start w:val="1"/>
      <w:numFmt w:val="bullet"/>
      <w:lvlText w:val=""/>
      <w:lvlJc w:val="left"/>
      <w:pPr>
        <w:ind w:left="4320" w:hanging="360"/>
      </w:pPr>
      <w:rPr>
        <w:rFonts w:ascii="Wingdings" w:hAnsi="Wingdings" w:hint="default"/>
      </w:rPr>
    </w:lvl>
    <w:lvl w:ilvl="6" w:tplc="98986FC2" w:tentative="1">
      <w:start w:val="1"/>
      <w:numFmt w:val="bullet"/>
      <w:lvlText w:val=""/>
      <w:lvlJc w:val="left"/>
      <w:pPr>
        <w:ind w:left="5040" w:hanging="360"/>
      </w:pPr>
      <w:rPr>
        <w:rFonts w:ascii="Symbol" w:hAnsi="Symbol" w:hint="default"/>
      </w:rPr>
    </w:lvl>
    <w:lvl w:ilvl="7" w:tplc="C60AE3FE" w:tentative="1">
      <w:start w:val="1"/>
      <w:numFmt w:val="bullet"/>
      <w:lvlText w:val="o"/>
      <w:lvlJc w:val="left"/>
      <w:pPr>
        <w:ind w:left="5760" w:hanging="360"/>
      </w:pPr>
      <w:rPr>
        <w:rFonts w:ascii="Courier New" w:hAnsi="Courier New" w:cs="Courier New" w:hint="default"/>
      </w:rPr>
    </w:lvl>
    <w:lvl w:ilvl="8" w:tplc="14462EE2" w:tentative="1">
      <w:start w:val="1"/>
      <w:numFmt w:val="bullet"/>
      <w:lvlText w:val=""/>
      <w:lvlJc w:val="left"/>
      <w:pPr>
        <w:ind w:left="6480" w:hanging="360"/>
      </w:pPr>
      <w:rPr>
        <w:rFonts w:ascii="Wingdings" w:hAnsi="Wingdings" w:hint="default"/>
      </w:rPr>
    </w:lvl>
  </w:abstractNum>
  <w:abstractNum w:abstractNumId="38" w15:restartNumberingAfterBreak="0">
    <w:nsid w:val="5B0D5138"/>
    <w:multiLevelType w:val="hybridMultilevel"/>
    <w:tmpl w:val="ED2E90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7A0117"/>
    <w:multiLevelType w:val="hybridMultilevel"/>
    <w:tmpl w:val="D5F6B71A"/>
    <w:lvl w:ilvl="0" w:tplc="C408DD0A">
      <w:start w:val="1"/>
      <w:numFmt w:val="bullet"/>
      <w:lvlText w:val=""/>
      <w:lvlJc w:val="left"/>
      <w:pPr>
        <w:ind w:left="720" w:hanging="360"/>
      </w:pPr>
      <w:rPr>
        <w:rFonts w:ascii="Symbol" w:hAnsi="Symbol" w:hint="default"/>
      </w:rPr>
    </w:lvl>
    <w:lvl w:ilvl="1" w:tplc="6B3EB8F0" w:tentative="1">
      <w:start w:val="1"/>
      <w:numFmt w:val="bullet"/>
      <w:lvlText w:val="o"/>
      <w:lvlJc w:val="left"/>
      <w:pPr>
        <w:ind w:left="1440" w:hanging="360"/>
      </w:pPr>
      <w:rPr>
        <w:rFonts w:ascii="Courier New" w:hAnsi="Courier New" w:cs="Courier New" w:hint="default"/>
      </w:rPr>
    </w:lvl>
    <w:lvl w:ilvl="2" w:tplc="5BF428F6" w:tentative="1">
      <w:start w:val="1"/>
      <w:numFmt w:val="bullet"/>
      <w:lvlText w:val=""/>
      <w:lvlJc w:val="left"/>
      <w:pPr>
        <w:ind w:left="2160" w:hanging="360"/>
      </w:pPr>
      <w:rPr>
        <w:rFonts w:ascii="Wingdings" w:hAnsi="Wingdings" w:hint="default"/>
      </w:rPr>
    </w:lvl>
    <w:lvl w:ilvl="3" w:tplc="E07C9ED8" w:tentative="1">
      <w:start w:val="1"/>
      <w:numFmt w:val="bullet"/>
      <w:lvlText w:val=""/>
      <w:lvlJc w:val="left"/>
      <w:pPr>
        <w:ind w:left="2880" w:hanging="360"/>
      </w:pPr>
      <w:rPr>
        <w:rFonts w:ascii="Symbol" w:hAnsi="Symbol" w:hint="default"/>
      </w:rPr>
    </w:lvl>
    <w:lvl w:ilvl="4" w:tplc="42E01F38" w:tentative="1">
      <w:start w:val="1"/>
      <w:numFmt w:val="bullet"/>
      <w:lvlText w:val="o"/>
      <w:lvlJc w:val="left"/>
      <w:pPr>
        <w:ind w:left="3600" w:hanging="360"/>
      </w:pPr>
      <w:rPr>
        <w:rFonts w:ascii="Courier New" w:hAnsi="Courier New" w:cs="Courier New" w:hint="default"/>
      </w:rPr>
    </w:lvl>
    <w:lvl w:ilvl="5" w:tplc="FD7631AE" w:tentative="1">
      <w:start w:val="1"/>
      <w:numFmt w:val="bullet"/>
      <w:lvlText w:val=""/>
      <w:lvlJc w:val="left"/>
      <w:pPr>
        <w:ind w:left="4320" w:hanging="360"/>
      </w:pPr>
      <w:rPr>
        <w:rFonts w:ascii="Wingdings" w:hAnsi="Wingdings" w:hint="default"/>
      </w:rPr>
    </w:lvl>
    <w:lvl w:ilvl="6" w:tplc="6256D1FA" w:tentative="1">
      <w:start w:val="1"/>
      <w:numFmt w:val="bullet"/>
      <w:lvlText w:val=""/>
      <w:lvlJc w:val="left"/>
      <w:pPr>
        <w:ind w:left="5040" w:hanging="360"/>
      </w:pPr>
      <w:rPr>
        <w:rFonts w:ascii="Symbol" w:hAnsi="Symbol" w:hint="default"/>
      </w:rPr>
    </w:lvl>
    <w:lvl w:ilvl="7" w:tplc="2130B66A" w:tentative="1">
      <w:start w:val="1"/>
      <w:numFmt w:val="bullet"/>
      <w:lvlText w:val="o"/>
      <w:lvlJc w:val="left"/>
      <w:pPr>
        <w:ind w:left="5760" w:hanging="360"/>
      </w:pPr>
      <w:rPr>
        <w:rFonts w:ascii="Courier New" w:hAnsi="Courier New" w:cs="Courier New" w:hint="default"/>
      </w:rPr>
    </w:lvl>
    <w:lvl w:ilvl="8" w:tplc="8DEAD3F2" w:tentative="1">
      <w:start w:val="1"/>
      <w:numFmt w:val="bullet"/>
      <w:lvlText w:val=""/>
      <w:lvlJc w:val="left"/>
      <w:pPr>
        <w:ind w:left="6480" w:hanging="360"/>
      </w:pPr>
      <w:rPr>
        <w:rFonts w:ascii="Wingdings" w:hAnsi="Wingdings" w:hint="default"/>
      </w:rPr>
    </w:lvl>
  </w:abstractNum>
  <w:abstractNum w:abstractNumId="40" w15:restartNumberingAfterBreak="0">
    <w:nsid w:val="6079445E"/>
    <w:multiLevelType w:val="hybridMultilevel"/>
    <w:tmpl w:val="CDCA638E"/>
    <w:lvl w:ilvl="0" w:tplc="DE32D0C2">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lang w:bidi="he-IL"/>
      </w:rPr>
    </w:lvl>
    <w:lvl w:ilvl="1" w:tplc="2D9AC20E" w:tentative="1">
      <w:start w:val="1"/>
      <w:numFmt w:val="bullet"/>
      <w:lvlText w:val="o"/>
      <w:lvlJc w:val="left"/>
      <w:pPr>
        <w:ind w:left="1080" w:hanging="360"/>
      </w:pPr>
      <w:rPr>
        <w:rFonts w:ascii="Courier New" w:hAnsi="Courier New" w:cs="Courier New" w:hint="default"/>
      </w:rPr>
    </w:lvl>
    <w:lvl w:ilvl="2" w:tplc="0EDE9FB4" w:tentative="1">
      <w:start w:val="1"/>
      <w:numFmt w:val="bullet"/>
      <w:lvlText w:val=""/>
      <w:lvlJc w:val="left"/>
      <w:pPr>
        <w:ind w:left="1800" w:hanging="360"/>
      </w:pPr>
      <w:rPr>
        <w:rFonts w:ascii="Wingdings" w:hAnsi="Wingdings" w:hint="default"/>
      </w:rPr>
    </w:lvl>
    <w:lvl w:ilvl="3" w:tplc="358E0596" w:tentative="1">
      <w:start w:val="1"/>
      <w:numFmt w:val="bullet"/>
      <w:lvlText w:val=""/>
      <w:lvlJc w:val="left"/>
      <w:pPr>
        <w:ind w:left="2520" w:hanging="360"/>
      </w:pPr>
      <w:rPr>
        <w:rFonts w:ascii="Symbol" w:hAnsi="Symbol" w:hint="default"/>
      </w:rPr>
    </w:lvl>
    <w:lvl w:ilvl="4" w:tplc="ADA2BCB8" w:tentative="1">
      <w:start w:val="1"/>
      <w:numFmt w:val="bullet"/>
      <w:lvlText w:val="o"/>
      <w:lvlJc w:val="left"/>
      <w:pPr>
        <w:ind w:left="3240" w:hanging="360"/>
      </w:pPr>
      <w:rPr>
        <w:rFonts w:ascii="Courier New" w:hAnsi="Courier New" w:cs="Courier New" w:hint="default"/>
      </w:rPr>
    </w:lvl>
    <w:lvl w:ilvl="5" w:tplc="6A84C5E4" w:tentative="1">
      <w:start w:val="1"/>
      <w:numFmt w:val="bullet"/>
      <w:lvlText w:val=""/>
      <w:lvlJc w:val="left"/>
      <w:pPr>
        <w:ind w:left="3960" w:hanging="360"/>
      </w:pPr>
      <w:rPr>
        <w:rFonts w:ascii="Wingdings" w:hAnsi="Wingdings" w:hint="default"/>
      </w:rPr>
    </w:lvl>
    <w:lvl w:ilvl="6" w:tplc="3262222C" w:tentative="1">
      <w:start w:val="1"/>
      <w:numFmt w:val="bullet"/>
      <w:lvlText w:val=""/>
      <w:lvlJc w:val="left"/>
      <w:pPr>
        <w:ind w:left="4680" w:hanging="360"/>
      </w:pPr>
      <w:rPr>
        <w:rFonts w:ascii="Symbol" w:hAnsi="Symbol" w:hint="default"/>
      </w:rPr>
    </w:lvl>
    <w:lvl w:ilvl="7" w:tplc="7D50E47A" w:tentative="1">
      <w:start w:val="1"/>
      <w:numFmt w:val="bullet"/>
      <w:lvlText w:val="o"/>
      <w:lvlJc w:val="left"/>
      <w:pPr>
        <w:ind w:left="5400" w:hanging="360"/>
      </w:pPr>
      <w:rPr>
        <w:rFonts w:ascii="Courier New" w:hAnsi="Courier New" w:cs="Courier New" w:hint="default"/>
      </w:rPr>
    </w:lvl>
    <w:lvl w:ilvl="8" w:tplc="B0A40114" w:tentative="1">
      <w:start w:val="1"/>
      <w:numFmt w:val="bullet"/>
      <w:lvlText w:val=""/>
      <w:lvlJc w:val="left"/>
      <w:pPr>
        <w:ind w:left="6120" w:hanging="360"/>
      </w:pPr>
      <w:rPr>
        <w:rFonts w:ascii="Wingdings" w:hAnsi="Wingdings" w:hint="default"/>
      </w:rPr>
    </w:lvl>
  </w:abstractNum>
  <w:abstractNum w:abstractNumId="41" w15:restartNumberingAfterBreak="0">
    <w:nsid w:val="65D5678F"/>
    <w:multiLevelType w:val="hybridMultilevel"/>
    <w:tmpl w:val="8844FB18"/>
    <w:lvl w:ilvl="0" w:tplc="A6604DD2">
      <w:start w:val="1"/>
      <w:numFmt w:val="bullet"/>
      <w:lvlText w:val=""/>
      <w:lvlJc w:val="left"/>
      <w:pPr>
        <w:ind w:left="1080" w:hanging="360"/>
      </w:pPr>
      <w:rPr>
        <w:rFonts w:ascii="Symbol" w:hAnsi="Symbol" w:hint="default"/>
        <w:color w:val="FF0000"/>
        <w:lang w:val="en-US"/>
      </w:rPr>
    </w:lvl>
    <w:lvl w:ilvl="1" w:tplc="C914BEE6" w:tentative="1">
      <w:start w:val="1"/>
      <w:numFmt w:val="lowerLetter"/>
      <w:lvlText w:val="%2."/>
      <w:lvlJc w:val="left"/>
      <w:pPr>
        <w:ind w:left="1800" w:hanging="360"/>
      </w:pPr>
    </w:lvl>
    <w:lvl w:ilvl="2" w:tplc="0B16A66A" w:tentative="1">
      <w:start w:val="1"/>
      <w:numFmt w:val="lowerRoman"/>
      <w:lvlText w:val="%3."/>
      <w:lvlJc w:val="right"/>
      <w:pPr>
        <w:ind w:left="2520" w:hanging="180"/>
      </w:pPr>
    </w:lvl>
    <w:lvl w:ilvl="3" w:tplc="AC64151C" w:tentative="1">
      <w:start w:val="1"/>
      <w:numFmt w:val="decimal"/>
      <w:lvlText w:val="%4."/>
      <w:lvlJc w:val="left"/>
      <w:pPr>
        <w:ind w:left="3240" w:hanging="360"/>
      </w:pPr>
    </w:lvl>
    <w:lvl w:ilvl="4" w:tplc="199A8E26" w:tentative="1">
      <w:start w:val="1"/>
      <w:numFmt w:val="lowerLetter"/>
      <w:lvlText w:val="%5."/>
      <w:lvlJc w:val="left"/>
      <w:pPr>
        <w:ind w:left="3960" w:hanging="360"/>
      </w:pPr>
    </w:lvl>
    <w:lvl w:ilvl="5" w:tplc="EEE6B6F6" w:tentative="1">
      <w:start w:val="1"/>
      <w:numFmt w:val="lowerRoman"/>
      <w:lvlText w:val="%6."/>
      <w:lvlJc w:val="right"/>
      <w:pPr>
        <w:ind w:left="4680" w:hanging="180"/>
      </w:pPr>
    </w:lvl>
    <w:lvl w:ilvl="6" w:tplc="8FBCC6A2" w:tentative="1">
      <w:start w:val="1"/>
      <w:numFmt w:val="decimal"/>
      <w:lvlText w:val="%7."/>
      <w:lvlJc w:val="left"/>
      <w:pPr>
        <w:ind w:left="5400" w:hanging="360"/>
      </w:pPr>
    </w:lvl>
    <w:lvl w:ilvl="7" w:tplc="EDD47186" w:tentative="1">
      <w:start w:val="1"/>
      <w:numFmt w:val="lowerLetter"/>
      <w:lvlText w:val="%8."/>
      <w:lvlJc w:val="left"/>
      <w:pPr>
        <w:ind w:left="6120" w:hanging="360"/>
      </w:pPr>
    </w:lvl>
    <w:lvl w:ilvl="8" w:tplc="9BE892AA" w:tentative="1">
      <w:start w:val="1"/>
      <w:numFmt w:val="lowerRoman"/>
      <w:lvlText w:val="%9."/>
      <w:lvlJc w:val="right"/>
      <w:pPr>
        <w:ind w:left="6840" w:hanging="180"/>
      </w:pPr>
    </w:lvl>
  </w:abstractNum>
  <w:abstractNum w:abstractNumId="42" w15:restartNumberingAfterBreak="0">
    <w:nsid w:val="665B09CB"/>
    <w:multiLevelType w:val="hybridMultilevel"/>
    <w:tmpl w:val="F98283A0"/>
    <w:lvl w:ilvl="0" w:tplc="FB9A0848">
      <w:start w:val="1"/>
      <w:numFmt w:val="bullet"/>
      <w:pStyle w:val="5"/>
      <w:lvlText w:val=""/>
      <w:lvlJc w:val="left"/>
      <w:pPr>
        <w:ind w:left="1854" w:hanging="360"/>
      </w:pPr>
      <w:rPr>
        <w:rFonts w:ascii="Wingdings" w:hAnsi="Wingdings" w:hint="default"/>
        <w:color w:val="FFF400"/>
      </w:rPr>
    </w:lvl>
    <w:lvl w:ilvl="1" w:tplc="32845B70" w:tentative="1">
      <w:start w:val="1"/>
      <w:numFmt w:val="lowerLetter"/>
      <w:lvlText w:val="%2."/>
      <w:lvlJc w:val="left"/>
      <w:pPr>
        <w:ind w:left="2574" w:hanging="360"/>
      </w:pPr>
    </w:lvl>
    <w:lvl w:ilvl="2" w:tplc="50A41BDE" w:tentative="1">
      <w:start w:val="1"/>
      <w:numFmt w:val="lowerRoman"/>
      <w:lvlText w:val="%3."/>
      <w:lvlJc w:val="right"/>
      <w:pPr>
        <w:ind w:left="3294" w:hanging="180"/>
      </w:pPr>
    </w:lvl>
    <w:lvl w:ilvl="3" w:tplc="728E55F8" w:tentative="1">
      <w:start w:val="1"/>
      <w:numFmt w:val="decimal"/>
      <w:lvlText w:val="%4."/>
      <w:lvlJc w:val="left"/>
      <w:pPr>
        <w:ind w:left="4014" w:hanging="360"/>
      </w:pPr>
    </w:lvl>
    <w:lvl w:ilvl="4" w:tplc="7B60AA1A" w:tentative="1">
      <w:start w:val="1"/>
      <w:numFmt w:val="lowerLetter"/>
      <w:lvlText w:val="%5."/>
      <w:lvlJc w:val="left"/>
      <w:pPr>
        <w:ind w:left="4734" w:hanging="360"/>
      </w:pPr>
    </w:lvl>
    <w:lvl w:ilvl="5" w:tplc="372C138A" w:tentative="1">
      <w:start w:val="1"/>
      <w:numFmt w:val="lowerRoman"/>
      <w:lvlText w:val="%6."/>
      <w:lvlJc w:val="right"/>
      <w:pPr>
        <w:ind w:left="5454" w:hanging="180"/>
      </w:pPr>
    </w:lvl>
    <w:lvl w:ilvl="6" w:tplc="E3C20884" w:tentative="1">
      <w:start w:val="1"/>
      <w:numFmt w:val="decimal"/>
      <w:lvlText w:val="%7."/>
      <w:lvlJc w:val="left"/>
      <w:pPr>
        <w:ind w:left="6174" w:hanging="360"/>
      </w:pPr>
    </w:lvl>
    <w:lvl w:ilvl="7" w:tplc="252C72EC" w:tentative="1">
      <w:start w:val="1"/>
      <w:numFmt w:val="lowerLetter"/>
      <w:lvlText w:val="%8."/>
      <w:lvlJc w:val="left"/>
      <w:pPr>
        <w:ind w:left="6894" w:hanging="360"/>
      </w:pPr>
    </w:lvl>
    <w:lvl w:ilvl="8" w:tplc="2E36372C" w:tentative="1">
      <w:start w:val="1"/>
      <w:numFmt w:val="lowerRoman"/>
      <w:lvlText w:val="%9."/>
      <w:lvlJc w:val="right"/>
      <w:pPr>
        <w:ind w:left="7614" w:hanging="180"/>
      </w:pPr>
    </w:lvl>
  </w:abstractNum>
  <w:abstractNum w:abstractNumId="43" w15:restartNumberingAfterBreak="0">
    <w:nsid w:val="6699458C"/>
    <w:multiLevelType w:val="hybridMultilevel"/>
    <w:tmpl w:val="B9E2BA98"/>
    <w:lvl w:ilvl="0" w:tplc="4808C986">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9B1C12CE" w:tentative="1">
      <w:start w:val="1"/>
      <w:numFmt w:val="bullet"/>
      <w:lvlText w:val="o"/>
      <w:lvlJc w:val="left"/>
      <w:pPr>
        <w:ind w:left="1080" w:hanging="360"/>
      </w:pPr>
      <w:rPr>
        <w:rFonts w:ascii="Courier New" w:hAnsi="Courier New" w:cs="Courier New" w:hint="default"/>
      </w:rPr>
    </w:lvl>
    <w:lvl w:ilvl="2" w:tplc="D9007814" w:tentative="1">
      <w:start w:val="1"/>
      <w:numFmt w:val="bullet"/>
      <w:lvlText w:val=""/>
      <w:lvlJc w:val="left"/>
      <w:pPr>
        <w:ind w:left="1800" w:hanging="360"/>
      </w:pPr>
      <w:rPr>
        <w:rFonts w:ascii="Wingdings" w:hAnsi="Wingdings" w:hint="default"/>
      </w:rPr>
    </w:lvl>
    <w:lvl w:ilvl="3" w:tplc="F8A449BA" w:tentative="1">
      <w:start w:val="1"/>
      <w:numFmt w:val="bullet"/>
      <w:lvlText w:val=""/>
      <w:lvlJc w:val="left"/>
      <w:pPr>
        <w:ind w:left="2520" w:hanging="360"/>
      </w:pPr>
      <w:rPr>
        <w:rFonts w:ascii="Symbol" w:hAnsi="Symbol" w:hint="default"/>
      </w:rPr>
    </w:lvl>
    <w:lvl w:ilvl="4" w:tplc="BFD018D8" w:tentative="1">
      <w:start w:val="1"/>
      <w:numFmt w:val="bullet"/>
      <w:lvlText w:val="o"/>
      <w:lvlJc w:val="left"/>
      <w:pPr>
        <w:ind w:left="3240" w:hanging="360"/>
      </w:pPr>
      <w:rPr>
        <w:rFonts w:ascii="Courier New" w:hAnsi="Courier New" w:cs="Courier New" w:hint="default"/>
      </w:rPr>
    </w:lvl>
    <w:lvl w:ilvl="5" w:tplc="6674F740" w:tentative="1">
      <w:start w:val="1"/>
      <w:numFmt w:val="bullet"/>
      <w:lvlText w:val=""/>
      <w:lvlJc w:val="left"/>
      <w:pPr>
        <w:ind w:left="3960" w:hanging="360"/>
      </w:pPr>
      <w:rPr>
        <w:rFonts w:ascii="Wingdings" w:hAnsi="Wingdings" w:hint="default"/>
      </w:rPr>
    </w:lvl>
    <w:lvl w:ilvl="6" w:tplc="ED74408C" w:tentative="1">
      <w:start w:val="1"/>
      <w:numFmt w:val="bullet"/>
      <w:lvlText w:val=""/>
      <w:lvlJc w:val="left"/>
      <w:pPr>
        <w:ind w:left="4680" w:hanging="360"/>
      </w:pPr>
      <w:rPr>
        <w:rFonts w:ascii="Symbol" w:hAnsi="Symbol" w:hint="default"/>
      </w:rPr>
    </w:lvl>
    <w:lvl w:ilvl="7" w:tplc="AD1A5A6E" w:tentative="1">
      <w:start w:val="1"/>
      <w:numFmt w:val="bullet"/>
      <w:lvlText w:val="o"/>
      <w:lvlJc w:val="left"/>
      <w:pPr>
        <w:ind w:left="5400" w:hanging="360"/>
      </w:pPr>
      <w:rPr>
        <w:rFonts w:ascii="Courier New" w:hAnsi="Courier New" w:cs="Courier New" w:hint="default"/>
      </w:rPr>
    </w:lvl>
    <w:lvl w:ilvl="8" w:tplc="B922D94E" w:tentative="1">
      <w:start w:val="1"/>
      <w:numFmt w:val="bullet"/>
      <w:lvlText w:val=""/>
      <w:lvlJc w:val="left"/>
      <w:pPr>
        <w:ind w:left="6120" w:hanging="360"/>
      </w:pPr>
      <w:rPr>
        <w:rFonts w:ascii="Wingdings" w:hAnsi="Wingdings" w:hint="default"/>
      </w:rPr>
    </w:lvl>
  </w:abstractNum>
  <w:abstractNum w:abstractNumId="44" w15:restartNumberingAfterBreak="0">
    <w:nsid w:val="74815120"/>
    <w:multiLevelType w:val="multilevel"/>
    <w:tmpl w:val="7AD474D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5" w15:restartNumberingAfterBreak="0">
    <w:nsid w:val="75B45A6E"/>
    <w:multiLevelType w:val="hybridMultilevel"/>
    <w:tmpl w:val="0B7836AC"/>
    <w:lvl w:ilvl="0" w:tplc="FE188CAE">
      <w:start w:val="1"/>
      <w:numFmt w:val="bullet"/>
      <w:lvlText w:val=""/>
      <w:lvlJc w:val="left"/>
      <w:pPr>
        <w:ind w:left="360" w:hanging="360"/>
      </w:pPr>
      <w:rPr>
        <w:rFonts w:ascii="Symbol" w:hAnsi="Symbol" w:hint="default"/>
      </w:rPr>
    </w:lvl>
    <w:lvl w:ilvl="1" w:tplc="6E900CC2" w:tentative="1">
      <w:start w:val="1"/>
      <w:numFmt w:val="bullet"/>
      <w:lvlText w:val="o"/>
      <w:lvlJc w:val="left"/>
      <w:pPr>
        <w:ind w:left="1080" w:hanging="360"/>
      </w:pPr>
      <w:rPr>
        <w:rFonts w:ascii="Courier New" w:hAnsi="Courier New" w:cs="Courier New" w:hint="default"/>
      </w:rPr>
    </w:lvl>
    <w:lvl w:ilvl="2" w:tplc="DB4C8ECA" w:tentative="1">
      <w:start w:val="1"/>
      <w:numFmt w:val="bullet"/>
      <w:lvlText w:val=""/>
      <w:lvlJc w:val="left"/>
      <w:pPr>
        <w:ind w:left="1800" w:hanging="360"/>
      </w:pPr>
      <w:rPr>
        <w:rFonts w:ascii="Wingdings" w:hAnsi="Wingdings" w:hint="default"/>
      </w:rPr>
    </w:lvl>
    <w:lvl w:ilvl="3" w:tplc="5A00482C" w:tentative="1">
      <w:start w:val="1"/>
      <w:numFmt w:val="bullet"/>
      <w:lvlText w:val=""/>
      <w:lvlJc w:val="left"/>
      <w:pPr>
        <w:ind w:left="2520" w:hanging="360"/>
      </w:pPr>
      <w:rPr>
        <w:rFonts w:ascii="Symbol" w:hAnsi="Symbol" w:hint="default"/>
      </w:rPr>
    </w:lvl>
    <w:lvl w:ilvl="4" w:tplc="30A2084C" w:tentative="1">
      <w:start w:val="1"/>
      <w:numFmt w:val="bullet"/>
      <w:lvlText w:val="o"/>
      <w:lvlJc w:val="left"/>
      <w:pPr>
        <w:ind w:left="3240" w:hanging="360"/>
      </w:pPr>
      <w:rPr>
        <w:rFonts w:ascii="Courier New" w:hAnsi="Courier New" w:cs="Courier New" w:hint="default"/>
      </w:rPr>
    </w:lvl>
    <w:lvl w:ilvl="5" w:tplc="8C5C1630" w:tentative="1">
      <w:start w:val="1"/>
      <w:numFmt w:val="bullet"/>
      <w:lvlText w:val=""/>
      <w:lvlJc w:val="left"/>
      <w:pPr>
        <w:ind w:left="3960" w:hanging="360"/>
      </w:pPr>
      <w:rPr>
        <w:rFonts w:ascii="Wingdings" w:hAnsi="Wingdings" w:hint="default"/>
      </w:rPr>
    </w:lvl>
    <w:lvl w:ilvl="6" w:tplc="799A7B78" w:tentative="1">
      <w:start w:val="1"/>
      <w:numFmt w:val="bullet"/>
      <w:lvlText w:val=""/>
      <w:lvlJc w:val="left"/>
      <w:pPr>
        <w:ind w:left="4680" w:hanging="360"/>
      </w:pPr>
      <w:rPr>
        <w:rFonts w:ascii="Symbol" w:hAnsi="Symbol" w:hint="default"/>
      </w:rPr>
    </w:lvl>
    <w:lvl w:ilvl="7" w:tplc="38BCECFE" w:tentative="1">
      <w:start w:val="1"/>
      <w:numFmt w:val="bullet"/>
      <w:lvlText w:val="o"/>
      <w:lvlJc w:val="left"/>
      <w:pPr>
        <w:ind w:left="5400" w:hanging="360"/>
      </w:pPr>
      <w:rPr>
        <w:rFonts w:ascii="Courier New" w:hAnsi="Courier New" w:cs="Courier New" w:hint="default"/>
      </w:rPr>
    </w:lvl>
    <w:lvl w:ilvl="8" w:tplc="61009E54" w:tentative="1">
      <w:start w:val="1"/>
      <w:numFmt w:val="bullet"/>
      <w:lvlText w:val=""/>
      <w:lvlJc w:val="left"/>
      <w:pPr>
        <w:ind w:left="6120" w:hanging="360"/>
      </w:pPr>
      <w:rPr>
        <w:rFonts w:ascii="Wingdings" w:hAnsi="Wingdings" w:hint="default"/>
      </w:rPr>
    </w:lvl>
  </w:abstractNum>
  <w:abstractNum w:abstractNumId="46" w15:restartNumberingAfterBreak="0">
    <w:nsid w:val="778F7677"/>
    <w:multiLevelType w:val="hybridMultilevel"/>
    <w:tmpl w:val="257EC434"/>
    <w:lvl w:ilvl="0" w:tplc="91E204A6">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B4F841D6" w:tentative="1">
      <w:start w:val="1"/>
      <w:numFmt w:val="bullet"/>
      <w:lvlText w:val="o"/>
      <w:lvlJc w:val="left"/>
      <w:pPr>
        <w:ind w:left="1440" w:hanging="360"/>
      </w:pPr>
      <w:rPr>
        <w:rFonts w:ascii="Courier New" w:hAnsi="Courier New" w:cs="Courier New" w:hint="default"/>
      </w:rPr>
    </w:lvl>
    <w:lvl w:ilvl="2" w:tplc="19B45C0A" w:tentative="1">
      <w:start w:val="1"/>
      <w:numFmt w:val="bullet"/>
      <w:lvlText w:val=""/>
      <w:lvlJc w:val="left"/>
      <w:pPr>
        <w:ind w:left="2160" w:hanging="360"/>
      </w:pPr>
      <w:rPr>
        <w:rFonts w:ascii="Wingdings" w:hAnsi="Wingdings" w:hint="default"/>
      </w:rPr>
    </w:lvl>
    <w:lvl w:ilvl="3" w:tplc="480095E2" w:tentative="1">
      <w:start w:val="1"/>
      <w:numFmt w:val="bullet"/>
      <w:lvlText w:val=""/>
      <w:lvlJc w:val="left"/>
      <w:pPr>
        <w:ind w:left="2880" w:hanging="360"/>
      </w:pPr>
      <w:rPr>
        <w:rFonts w:ascii="Symbol" w:hAnsi="Symbol" w:hint="default"/>
      </w:rPr>
    </w:lvl>
    <w:lvl w:ilvl="4" w:tplc="6998583A" w:tentative="1">
      <w:start w:val="1"/>
      <w:numFmt w:val="bullet"/>
      <w:lvlText w:val="o"/>
      <w:lvlJc w:val="left"/>
      <w:pPr>
        <w:ind w:left="3600" w:hanging="360"/>
      </w:pPr>
      <w:rPr>
        <w:rFonts w:ascii="Courier New" w:hAnsi="Courier New" w:cs="Courier New" w:hint="default"/>
      </w:rPr>
    </w:lvl>
    <w:lvl w:ilvl="5" w:tplc="2258DB9C" w:tentative="1">
      <w:start w:val="1"/>
      <w:numFmt w:val="bullet"/>
      <w:lvlText w:val=""/>
      <w:lvlJc w:val="left"/>
      <w:pPr>
        <w:ind w:left="4320" w:hanging="360"/>
      </w:pPr>
      <w:rPr>
        <w:rFonts w:ascii="Wingdings" w:hAnsi="Wingdings" w:hint="default"/>
      </w:rPr>
    </w:lvl>
    <w:lvl w:ilvl="6" w:tplc="A33E06C8" w:tentative="1">
      <w:start w:val="1"/>
      <w:numFmt w:val="bullet"/>
      <w:lvlText w:val=""/>
      <w:lvlJc w:val="left"/>
      <w:pPr>
        <w:ind w:left="5040" w:hanging="360"/>
      </w:pPr>
      <w:rPr>
        <w:rFonts w:ascii="Symbol" w:hAnsi="Symbol" w:hint="default"/>
      </w:rPr>
    </w:lvl>
    <w:lvl w:ilvl="7" w:tplc="9DC8A082" w:tentative="1">
      <w:start w:val="1"/>
      <w:numFmt w:val="bullet"/>
      <w:lvlText w:val="o"/>
      <w:lvlJc w:val="left"/>
      <w:pPr>
        <w:ind w:left="5760" w:hanging="360"/>
      </w:pPr>
      <w:rPr>
        <w:rFonts w:ascii="Courier New" w:hAnsi="Courier New" w:cs="Courier New" w:hint="default"/>
      </w:rPr>
    </w:lvl>
    <w:lvl w:ilvl="8" w:tplc="3E720C0C" w:tentative="1">
      <w:start w:val="1"/>
      <w:numFmt w:val="bullet"/>
      <w:lvlText w:val=""/>
      <w:lvlJc w:val="left"/>
      <w:pPr>
        <w:ind w:left="6480" w:hanging="360"/>
      </w:pPr>
      <w:rPr>
        <w:rFonts w:ascii="Wingdings" w:hAnsi="Wingdings" w:hint="default"/>
      </w:rPr>
    </w:lvl>
  </w:abstractNum>
  <w:abstractNum w:abstractNumId="47" w15:restartNumberingAfterBreak="0">
    <w:nsid w:val="7AC6413D"/>
    <w:multiLevelType w:val="multilevel"/>
    <w:tmpl w:val="7AD474D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8" w15:restartNumberingAfterBreak="0">
    <w:nsid w:val="7E431D00"/>
    <w:multiLevelType w:val="hybridMultilevel"/>
    <w:tmpl w:val="7576C230"/>
    <w:lvl w:ilvl="0" w:tplc="0220D99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D00E39FE" w:tentative="1">
      <w:start w:val="1"/>
      <w:numFmt w:val="lowerLetter"/>
      <w:lvlText w:val="%2."/>
      <w:lvlJc w:val="left"/>
      <w:pPr>
        <w:ind w:left="2578" w:hanging="360"/>
      </w:pPr>
    </w:lvl>
    <w:lvl w:ilvl="2" w:tplc="37202504" w:tentative="1">
      <w:start w:val="1"/>
      <w:numFmt w:val="lowerRoman"/>
      <w:lvlText w:val="%3."/>
      <w:lvlJc w:val="right"/>
      <w:pPr>
        <w:ind w:left="3298" w:hanging="180"/>
      </w:pPr>
    </w:lvl>
    <w:lvl w:ilvl="3" w:tplc="60B80394" w:tentative="1">
      <w:start w:val="1"/>
      <w:numFmt w:val="decimal"/>
      <w:lvlText w:val="%4."/>
      <w:lvlJc w:val="left"/>
      <w:pPr>
        <w:ind w:left="4018" w:hanging="360"/>
      </w:pPr>
    </w:lvl>
    <w:lvl w:ilvl="4" w:tplc="A33CD8D4" w:tentative="1">
      <w:start w:val="1"/>
      <w:numFmt w:val="lowerLetter"/>
      <w:lvlText w:val="%5."/>
      <w:lvlJc w:val="left"/>
      <w:pPr>
        <w:ind w:left="4738" w:hanging="360"/>
      </w:pPr>
    </w:lvl>
    <w:lvl w:ilvl="5" w:tplc="E9CCD126" w:tentative="1">
      <w:start w:val="1"/>
      <w:numFmt w:val="lowerRoman"/>
      <w:lvlText w:val="%6."/>
      <w:lvlJc w:val="right"/>
      <w:pPr>
        <w:ind w:left="5458" w:hanging="180"/>
      </w:pPr>
    </w:lvl>
    <w:lvl w:ilvl="6" w:tplc="5CB2A52C" w:tentative="1">
      <w:start w:val="1"/>
      <w:numFmt w:val="decimal"/>
      <w:lvlText w:val="%7."/>
      <w:lvlJc w:val="left"/>
      <w:pPr>
        <w:ind w:left="6178" w:hanging="360"/>
      </w:pPr>
    </w:lvl>
    <w:lvl w:ilvl="7" w:tplc="16E24C18" w:tentative="1">
      <w:start w:val="1"/>
      <w:numFmt w:val="lowerLetter"/>
      <w:lvlText w:val="%8."/>
      <w:lvlJc w:val="left"/>
      <w:pPr>
        <w:ind w:left="6898" w:hanging="360"/>
      </w:pPr>
    </w:lvl>
    <w:lvl w:ilvl="8" w:tplc="83C469C8" w:tentative="1">
      <w:start w:val="1"/>
      <w:numFmt w:val="lowerRoman"/>
      <w:lvlText w:val="%9."/>
      <w:lvlJc w:val="right"/>
      <w:pPr>
        <w:ind w:left="7618" w:hanging="180"/>
      </w:pPr>
    </w:lvl>
  </w:abstractNum>
  <w:num w:numId="1">
    <w:abstractNumId w:val="48"/>
  </w:num>
  <w:num w:numId="2">
    <w:abstractNumId w:val="35"/>
  </w:num>
  <w:num w:numId="3">
    <w:abstractNumId w:val="32"/>
  </w:num>
  <w:num w:numId="4">
    <w:abstractNumId w:val="3"/>
  </w:num>
  <w:num w:numId="5">
    <w:abstractNumId w:val="33"/>
  </w:num>
  <w:num w:numId="6">
    <w:abstractNumId w:val="42"/>
  </w:num>
  <w:num w:numId="7">
    <w:abstractNumId w:val="27"/>
  </w:num>
  <w:num w:numId="8">
    <w:abstractNumId w:val="22"/>
  </w:num>
  <w:num w:numId="9">
    <w:abstractNumId w:val="21"/>
  </w:num>
  <w:num w:numId="10">
    <w:abstractNumId w:val="23"/>
  </w:num>
  <w:num w:numId="11">
    <w:abstractNumId w:val="43"/>
  </w:num>
  <w:num w:numId="12">
    <w:abstractNumId w:val="40"/>
  </w:num>
  <w:num w:numId="13">
    <w:abstractNumId w:val="37"/>
  </w:num>
  <w:num w:numId="14">
    <w:abstractNumId w:val="41"/>
  </w:num>
  <w:num w:numId="15">
    <w:abstractNumId w:val="4"/>
  </w:num>
  <w:num w:numId="16">
    <w:abstractNumId w:val="19"/>
  </w:num>
  <w:num w:numId="17">
    <w:abstractNumId w:val="20"/>
  </w:num>
  <w:num w:numId="18">
    <w:abstractNumId w:val="5"/>
  </w:num>
  <w:num w:numId="19">
    <w:abstractNumId w:val="24"/>
  </w:num>
  <w:num w:numId="20">
    <w:abstractNumId w:val="31"/>
  </w:num>
  <w:num w:numId="21">
    <w:abstractNumId w:val="11"/>
  </w:num>
  <w:num w:numId="22">
    <w:abstractNumId w:val="8"/>
  </w:num>
  <w:num w:numId="23">
    <w:abstractNumId w:val="46"/>
  </w:num>
  <w:num w:numId="24">
    <w:abstractNumId w:val="10"/>
  </w:num>
  <w:num w:numId="25">
    <w:abstractNumId w:val="26"/>
  </w:num>
  <w:num w:numId="26">
    <w:abstractNumId w:val="29"/>
  </w:num>
  <w:num w:numId="27">
    <w:abstractNumId w:val="45"/>
  </w:num>
  <w:num w:numId="28">
    <w:abstractNumId w:val="14"/>
  </w:num>
  <w:num w:numId="29">
    <w:abstractNumId w:val="36"/>
  </w:num>
  <w:num w:numId="30">
    <w:abstractNumId w:val="2"/>
  </w:num>
  <w:num w:numId="31">
    <w:abstractNumId w:val="0"/>
  </w:num>
  <w:num w:numId="32">
    <w:abstractNumId w:val="39"/>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12"/>
  </w:num>
  <w:num w:numId="39">
    <w:abstractNumId w:val="18"/>
  </w:num>
  <w:num w:numId="40">
    <w:abstractNumId w:val="1"/>
  </w:num>
  <w:num w:numId="41">
    <w:abstractNumId w:val="34"/>
  </w:num>
  <w:num w:numId="42">
    <w:abstractNumId w:val="17"/>
  </w:num>
  <w:num w:numId="43">
    <w:abstractNumId w:val="38"/>
  </w:num>
  <w:num w:numId="44">
    <w:abstractNumId w:val="16"/>
  </w:num>
  <w:num w:numId="45">
    <w:abstractNumId w:val="28"/>
  </w:num>
  <w:num w:numId="46">
    <w:abstractNumId w:val="7"/>
  </w:num>
  <w:num w:numId="47">
    <w:abstractNumId w:val="44"/>
  </w:num>
  <w:num w:numId="48">
    <w:abstractNumId w:val="15"/>
  </w:num>
  <w:num w:numId="49">
    <w:abstractNumId w:val="4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1.3"/>
  </w:docVars>
  <w:rsids>
    <w:rsidRoot w:val="0062451B"/>
    <w:rsid w:val="00001576"/>
    <w:rsid w:val="00003B77"/>
    <w:rsid w:val="0001735B"/>
    <w:rsid w:val="00042837"/>
    <w:rsid w:val="000501A4"/>
    <w:rsid w:val="000532AA"/>
    <w:rsid w:val="000756B7"/>
    <w:rsid w:val="00092F16"/>
    <w:rsid w:val="00095829"/>
    <w:rsid w:val="000B06DD"/>
    <w:rsid w:val="000B1102"/>
    <w:rsid w:val="000C6528"/>
    <w:rsid w:val="000C7459"/>
    <w:rsid w:val="000D221E"/>
    <w:rsid w:val="000E013E"/>
    <w:rsid w:val="000F7725"/>
    <w:rsid w:val="00101D0F"/>
    <w:rsid w:val="00113E28"/>
    <w:rsid w:val="00114325"/>
    <w:rsid w:val="00164D9B"/>
    <w:rsid w:val="00166477"/>
    <w:rsid w:val="001730B0"/>
    <w:rsid w:val="00184C7B"/>
    <w:rsid w:val="001876AD"/>
    <w:rsid w:val="001960B4"/>
    <w:rsid w:val="001A613C"/>
    <w:rsid w:val="001B2821"/>
    <w:rsid w:val="001C057E"/>
    <w:rsid w:val="001C6185"/>
    <w:rsid w:val="001E204F"/>
    <w:rsid w:val="00203604"/>
    <w:rsid w:val="002064F7"/>
    <w:rsid w:val="00212D9D"/>
    <w:rsid w:val="00240887"/>
    <w:rsid w:val="00263521"/>
    <w:rsid w:val="00276705"/>
    <w:rsid w:val="002A7D21"/>
    <w:rsid w:val="002C0C75"/>
    <w:rsid w:val="002C0FD0"/>
    <w:rsid w:val="002C1EE0"/>
    <w:rsid w:val="002C4139"/>
    <w:rsid w:val="00301153"/>
    <w:rsid w:val="0030602D"/>
    <w:rsid w:val="00310345"/>
    <w:rsid w:val="00313DEA"/>
    <w:rsid w:val="00323027"/>
    <w:rsid w:val="00345D61"/>
    <w:rsid w:val="0036735A"/>
    <w:rsid w:val="0037370B"/>
    <w:rsid w:val="0037752E"/>
    <w:rsid w:val="0037780B"/>
    <w:rsid w:val="00380052"/>
    <w:rsid w:val="00386E9B"/>
    <w:rsid w:val="0039415D"/>
    <w:rsid w:val="0039635D"/>
    <w:rsid w:val="003B12F0"/>
    <w:rsid w:val="003D61C6"/>
    <w:rsid w:val="003E58C2"/>
    <w:rsid w:val="00450C77"/>
    <w:rsid w:val="004672FB"/>
    <w:rsid w:val="004779AA"/>
    <w:rsid w:val="0048779B"/>
    <w:rsid w:val="004A0385"/>
    <w:rsid w:val="004C7D9F"/>
    <w:rsid w:val="004E2733"/>
    <w:rsid w:val="004E488A"/>
    <w:rsid w:val="004F0AB4"/>
    <w:rsid w:val="005006C5"/>
    <w:rsid w:val="00524C99"/>
    <w:rsid w:val="00551B42"/>
    <w:rsid w:val="00551FF7"/>
    <w:rsid w:val="00574579"/>
    <w:rsid w:val="00580C5C"/>
    <w:rsid w:val="005A021D"/>
    <w:rsid w:val="005A0472"/>
    <w:rsid w:val="005A09B4"/>
    <w:rsid w:val="005A3F71"/>
    <w:rsid w:val="005B2688"/>
    <w:rsid w:val="005B3801"/>
    <w:rsid w:val="005C1E9C"/>
    <w:rsid w:val="005C3049"/>
    <w:rsid w:val="005C568B"/>
    <w:rsid w:val="005E62A6"/>
    <w:rsid w:val="005F4A6D"/>
    <w:rsid w:val="00602674"/>
    <w:rsid w:val="0062451B"/>
    <w:rsid w:val="006252C4"/>
    <w:rsid w:val="00634DAD"/>
    <w:rsid w:val="00640B60"/>
    <w:rsid w:val="006457EB"/>
    <w:rsid w:val="006531CB"/>
    <w:rsid w:val="00653A21"/>
    <w:rsid w:val="00666E5B"/>
    <w:rsid w:val="006A0446"/>
    <w:rsid w:val="006A646E"/>
    <w:rsid w:val="006B1593"/>
    <w:rsid w:val="006B7706"/>
    <w:rsid w:val="006C4033"/>
    <w:rsid w:val="006C5C3F"/>
    <w:rsid w:val="006D4161"/>
    <w:rsid w:val="006D786C"/>
    <w:rsid w:val="006E1414"/>
    <w:rsid w:val="006F285F"/>
    <w:rsid w:val="00716AFD"/>
    <w:rsid w:val="0072219B"/>
    <w:rsid w:val="007474F0"/>
    <w:rsid w:val="00753ADE"/>
    <w:rsid w:val="00773F61"/>
    <w:rsid w:val="00794DF5"/>
    <w:rsid w:val="007A2205"/>
    <w:rsid w:val="007A4EBD"/>
    <w:rsid w:val="007A56DB"/>
    <w:rsid w:val="007B112B"/>
    <w:rsid w:val="007B5B26"/>
    <w:rsid w:val="007B691A"/>
    <w:rsid w:val="007C1FF6"/>
    <w:rsid w:val="007D61B8"/>
    <w:rsid w:val="007E24BD"/>
    <w:rsid w:val="007F7FF2"/>
    <w:rsid w:val="00805B42"/>
    <w:rsid w:val="008102AD"/>
    <w:rsid w:val="00824AB2"/>
    <w:rsid w:val="00837997"/>
    <w:rsid w:val="008654CB"/>
    <w:rsid w:val="00867FC5"/>
    <w:rsid w:val="00892F80"/>
    <w:rsid w:val="00897698"/>
    <w:rsid w:val="008A2E0E"/>
    <w:rsid w:val="008B3CAB"/>
    <w:rsid w:val="008B4F41"/>
    <w:rsid w:val="008C1428"/>
    <w:rsid w:val="008C6F75"/>
    <w:rsid w:val="009015B2"/>
    <w:rsid w:val="00906E90"/>
    <w:rsid w:val="0091051D"/>
    <w:rsid w:val="00930B35"/>
    <w:rsid w:val="00936F84"/>
    <w:rsid w:val="00940851"/>
    <w:rsid w:val="00960A4D"/>
    <w:rsid w:val="009679D9"/>
    <w:rsid w:val="009A6817"/>
    <w:rsid w:val="009B497A"/>
    <w:rsid w:val="009C6066"/>
    <w:rsid w:val="009D45C5"/>
    <w:rsid w:val="009D73F5"/>
    <w:rsid w:val="009E1A3F"/>
    <w:rsid w:val="009E53CF"/>
    <w:rsid w:val="009F0BD3"/>
    <w:rsid w:val="00A055D0"/>
    <w:rsid w:val="00A20B3B"/>
    <w:rsid w:val="00A222E2"/>
    <w:rsid w:val="00A30B00"/>
    <w:rsid w:val="00A35383"/>
    <w:rsid w:val="00A61AD5"/>
    <w:rsid w:val="00A67BF7"/>
    <w:rsid w:val="00A73038"/>
    <w:rsid w:val="00A76C99"/>
    <w:rsid w:val="00A81EBE"/>
    <w:rsid w:val="00A857BE"/>
    <w:rsid w:val="00AB465B"/>
    <w:rsid w:val="00AB66C8"/>
    <w:rsid w:val="00AC6B95"/>
    <w:rsid w:val="00AE741B"/>
    <w:rsid w:val="00B00E5C"/>
    <w:rsid w:val="00B04B80"/>
    <w:rsid w:val="00B14FC8"/>
    <w:rsid w:val="00B4321D"/>
    <w:rsid w:val="00B666B9"/>
    <w:rsid w:val="00B76DC1"/>
    <w:rsid w:val="00B862C0"/>
    <w:rsid w:val="00BD291C"/>
    <w:rsid w:val="00BE22D7"/>
    <w:rsid w:val="00BE2DD8"/>
    <w:rsid w:val="00C2305A"/>
    <w:rsid w:val="00C23CC9"/>
    <w:rsid w:val="00C30B3D"/>
    <w:rsid w:val="00C33AE2"/>
    <w:rsid w:val="00C36C5E"/>
    <w:rsid w:val="00C4664C"/>
    <w:rsid w:val="00C75A49"/>
    <w:rsid w:val="00C8096C"/>
    <w:rsid w:val="00C8100B"/>
    <w:rsid w:val="00CA41D2"/>
    <w:rsid w:val="00CA4F20"/>
    <w:rsid w:val="00CD5320"/>
    <w:rsid w:val="00CD6EEC"/>
    <w:rsid w:val="00CE6B6A"/>
    <w:rsid w:val="00D04D4F"/>
    <w:rsid w:val="00D22748"/>
    <w:rsid w:val="00D26918"/>
    <w:rsid w:val="00D37121"/>
    <w:rsid w:val="00D71966"/>
    <w:rsid w:val="00D779F7"/>
    <w:rsid w:val="00D87542"/>
    <w:rsid w:val="00D95C20"/>
    <w:rsid w:val="00D97C16"/>
    <w:rsid w:val="00D97D95"/>
    <w:rsid w:val="00DA3406"/>
    <w:rsid w:val="00DA67CB"/>
    <w:rsid w:val="00DB2E3A"/>
    <w:rsid w:val="00DB6E18"/>
    <w:rsid w:val="00DE047C"/>
    <w:rsid w:val="00DE1DAB"/>
    <w:rsid w:val="00DE20A2"/>
    <w:rsid w:val="00DF0B89"/>
    <w:rsid w:val="00DF0E37"/>
    <w:rsid w:val="00E23B0C"/>
    <w:rsid w:val="00E35682"/>
    <w:rsid w:val="00E46EA3"/>
    <w:rsid w:val="00E51C1B"/>
    <w:rsid w:val="00E53DA7"/>
    <w:rsid w:val="00E678C7"/>
    <w:rsid w:val="00EC6B44"/>
    <w:rsid w:val="00EE37A3"/>
    <w:rsid w:val="00F30558"/>
    <w:rsid w:val="00F316D6"/>
    <w:rsid w:val="00F4385E"/>
    <w:rsid w:val="00F56CE4"/>
    <w:rsid w:val="00F627EB"/>
    <w:rsid w:val="00F66FC8"/>
    <w:rsid w:val="00F75A10"/>
    <w:rsid w:val="00F77276"/>
    <w:rsid w:val="00F8434C"/>
    <w:rsid w:val="00F92629"/>
    <w:rsid w:val="00F95853"/>
    <w:rsid w:val="00FA48C8"/>
    <w:rsid w:val="00FB3F26"/>
    <w:rsid w:val="00FB414E"/>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0501A4"/>
    <w:pPr>
      <w:bidi/>
      <w:spacing w:after="0" w:line="312" w:lineRule="auto"/>
    </w:pPr>
  </w:style>
  <w:style w:type="paragraph" w:styleId="11">
    <w:name w:val="heading 1"/>
    <w:basedOn w:val="a4"/>
    <w:next w:val="a4"/>
    <w:link w:val="12"/>
    <w:uiPriority w:val="1"/>
    <w:qFormat/>
    <w:rsid w:val="000501A4"/>
    <w:pPr>
      <w:keepNext/>
      <w:keepLines/>
      <w:jc w:val="center"/>
      <w:outlineLvl w:val="0"/>
    </w:pPr>
    <w:rPr>
      <w:rFonts w:eastAsiaTheme="majorEastAsia"/>
      <w:bCs/>
      <w:szCs w:val="36"/>
      <w:u w:val="single"/>
    </w:rPr>
  </w:style>
  <w:style w:type="paragraph" w:styleId="20">
    <w:name w:val="heading 2"/>
    <w:basedOn w:val="a4"/>
    <w:next w:val="a4"/>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4"/>
    <w:next w:val="a4"/>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4"/>
    <w:next w:val="a4"/>
    <w:link w:val="40"/>
    <w:uiPriority w:val="1"/>
    <w:qFormat/>
    <w:rsid w:val="006D786C"/>
    <w:pPr>
      <w:keepNext/>
      <w:keepLines/>
      <w:spacing w:before="120"/>
      <w:outlineLvl w:val="3"/>
    </w:pPr>
    <w:rPr>
      <w:rFonts w:eastAsiaTheme="majorEastAsia"/>
      <w:bCs/>
      <w:szCs w:val="26"/>
    </w:rPr>
  </w:style>
  <w:style w:type="paragraph" w:styleId="50">
    <w:name w:val="heading 5"/>
    <w:basedOn w:val="a4"/>
    <w:next w:val="a4"/>
    <w:link w:val="51"/>
    <w:uiPriority w:val="1"/>
    <w:qFormat/>
    <w:rsid w:val="000501A4"/>
    <w:pPr>
      <w:keepNext/>
      <w:keepLines/>
      <w:outlineLvl w:val="4"/>
    </w:pPr>
    <w:rPr>
      <w:rFonts w:eastAsiaTheme="majorEastAsia"/>
      <w:bCs/>
      <w:spacing w:val="40"/>
    </w:rPr>
  </w:style>
  <w:style w:type="paragraph" w:styleId="6">
    <w:name w:val="heading 6"/>
    <w:basedOn w:val="a4"/>
    <w:next w:val="a4"/>
    <w:link w:val="60"/>
    <w:uiPriority w:val="1"/>
    <w:qFormat/>
    <w:rsid w:val="000501A4"/>
    <w:pPr>
      <w:keepNext/>
      <w:keepLines/>
      <w:outlineLvl w:val="5"/>
    </w:pPr>
    <w:rPr>
      <w:rFonts w:eastAsiaTheme="majorEastAsia"/>
      <w:spacing w:val="40"/>
    </w:rPr>
  </w:style>
  <w:style w:type="paragraph" w:styleId="7">
    <w:name w:val="heading 7"/>
    <w:basedOn w:val="a4"/>
    <w:next w:val="a4"/>
    <w:link w:val="70"/>
    <w:uiPriority w:val="1"/>
    <w:qFormat/>
    <w:rsid w:val="000501A4"/>
    <w:pPr>
      <w:keepNext/>
      <w:keepLines/>
      <w:outlineLvl w:val="6"/>
    </w:pPr>
    <w:rPr>
      <w:rFonts w:eastAsiaTheme="majorEastAsia"/>
      <w:bCs/>
      <w:spacing w:val="40"/>
    </w:rPr>
  </w:style>
  <w:style w:type="paragraph" w:styleId="8">
    <w:name w:val="heading 8"/>
    <w:basedOn w:val="a4"/>
    <w:next w:val="a4"/>
    <w:link w:val="80"/>
    <w:uiPriority w:val="1"/>
    <w:qFormat/>
    <w:rsid w:val="000501A4"/>
    <w:pPr>
      <w:keepNext/>
      <w:keepLines/>
      <w:outlineLvl w:val="7"/>
    </w:pPr>
    <w:rPr>
      <w:rFonts w:eastAsiaTheme="majorEastAsia"/>
      <w:spacing w:val="4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כותרת 1 תו"/>
    <w:basedOn w:val="a5"/>
    <w:link w:val="11"/>
    <w:uiPriority w:val="1"/>
    <w:rsid w:val="000501A4"/>
    <w:rPr>
      <w:rFonts w:eastAsiaTheme="majorEastAsia"/>
      <w:bCs/>
      <w:szCs w:val="36"/>
      <w:u w:val="single"/>
    </w:rPr>
  </w:style>
  <w:style w:type="character" w:customStyle="1" w:styleId="21">
    <w:name w:val="כותרת 2 תו"/>
    <w:basedOn w:val="a5"/>
    <w:link w:val="20"/>
    <w:uiPriority w:val="1"/>
    <w:rsid w:val="000501A4"/>
    <w:rPr>
      <w:rFonts w:eastAsiaTheme="majorEastAsia"/>
      <w:bCs/>
      <w:szCs w:val="32"/>
    </w:rPr>
  </w:style>
  <w:style w:type="character" w:customStyle="1" w:styleId="32">
    <w:name w:val="כותרת 3 תו"/>
    <w:basedOn w:val="a5"/>
    <w:link w:val="31"/>
    <w:uiPriority w:val="1"/>
    <w:rsid w:val="006D786C"/>
    <w:rPr>
      <w:rFonts w:eastAsiaTheme="majorEastAsia"/>
      <w:bCs/>
      <w:szCs w:val="28"/>
      <w:u w:val="single"/>
    </w:rPr>
  </w:style>
  <w:style w:type="character" w:customStyle="1" w:styleId="40">
    <w:name w:val="כותרת 4 תו"/>
    <w:basedOn w:val="a5"/>
    <w:link w:val="4"/>
    <w:uiPriority w:val="1"/>
    <w:rsid w:val="006D786C"/>
    <w:rPr>
      <w:rFonts w:eastAsiaTheme="majorEastAsia"/>
      <w:bCs/>
      <w:szCs w:val="26"/>
    </w:rPr>
  </w:style>
  <w:style w:type="character" w:customStyle="1" w:styleId="51">
    <w:name w:val="כותרת 5 תו"/>
    <w:basedOn w:val="a5"/>
    <w:link w:val="50"/>
    <w:uiPriority w:val="1"/>
    <w:rsid w:val="000501A4"/>
    <w:rPr>
      <w:rFonts w:eastAsiaTheme="majorEastAsia"/>
      <w:bCs/>
      <w:spacing w:val="40"/>
    </w:rPr>
  </w:style>
  <w:style w:type="character" w:customStyle="1" w:styleId="60">
    <w:name w:val="כותרת 6 תו"/>
    <w:basedOn w:val="a5"/>
    <w:link w:val="6"/>
    <w:uiPriority w:val="1"/>
    <w:rsid w:val="000501A4"/>
    <w:rPr>
      <w:rFonts w:eastAsiaTheme="majorEastAsia"/>
      <w:spacing w:val="40"/>
    </w:rPr>
  </w:style>
  <w:style w:type="character" w:customStyle="1" w:styleId="70">
    <w:name w:val="כותרת 7 תו"/>
    <w:basedOn w:val="a5"/>
    <w:link w:val="7"/>
    <w:uiPriority w:val="1"/>
    <w:rsid w:val="000501A4"/>
    <w:rPr>
      <w:rFonts w:eastAsiaTheme="majorEastAsia"/>
      <w:bCs/>
      <w:spacing w:val="40"/>
    </w:rPr>
  </w:style>
  <w:style w:type="character" w:customStyle="1" w:styleId="80">
    <w:name w:val="כותרת 8 תו"/>
    <w:basedOn w:val="a5"/>
    <w:link w:val="8"/>
    <w:uiPriority w:val="1"/>
    <w:rsid w:val="000501A4"/>
    <w:rPr>
      <w:rFonts w:eastAsiaTheme="majorEastAsia"/>
      <w:spacing w:val="40"/>
    </w:rPr>
  </w:style>
  <w:style w:type="paragraph" w:customStyle="1" w:styleId="a8">
    <w:name w:val="נבנצאל"/>
    <w:basedOn w:val="a4"/>
    <w:next w:val="a4"/>
    <w:link w:val="a9"/>
    <w:uiPriority w:val="99"/>
    <w:rsid w:val="000501A4"/>
    <w:pPr>
      <w:ind w:left="-567"/>
    </w:pPr>
    <w:rPr>
      <w:szCs w:val="20"/>
    </w:rPr>
  </w:style>
  <w:style w:type="character" w:customStyle="1" w:styleId="a9">
    <w:name w:val="נבנצאל תו"/>
    <w:basedOn w:val="a5"/>
    <w:link w:val="a8"/>
    <w:uiPriority w:val="99"/>
    <w:rsid w:val="000501A4"/>
    <w:rPr>
      <w:szCs w:val="20"/>
    </w:rPr>
  </w:style>
  <w:style w:type="paragraph" w:styleId="aa">
    <w:name w:val="header"/>
    <w:basedOn w:val="a4"/>
    <w:link w:val="ab"/>
    <w:uiPriority w:val="99"/>
    <w:unhideWhenUsed/>
    <w:rsid w:val="000501A4"/>
    <w:pPr>
      <w:tabs>
        <w:tab w:val="center" w:pos="4153"/>
        <w:tab w:val="right" w:pos="8306"/>
      </w:tabs>
      <w:spacing w:line="240" w:lineRule="auto"/>
    </w:pPr>
  </w:style>
  <w:style w:type="character" w:customStyle="1" w:styleId="ab">
    <w:name w:val="כותרת עליונה תו"/>
    <w:basedOn w:val="a5"/>
    <w:link w:val="aa"/>
    <w:uiPriority w:val="99"/>
    <w:rsid w:val="000501A4"/>
  </w:style>
  <w:style w:type="paragraph" w:styleId="ac">
    <w:name w:val="footer"/>
    <w:basedOn w:val="a4"/>
    <w:link w:val="ad"/>
    <w:uiPriority w:val="99"/>
    <w:unhideWhenUsed/>
    <w:rsid w:val="000501A4"/>
    <w:pPr>
      <w:tabs>
        <w:tab w:val="center" w:pos="4153"/>
        <w:tab w:val="right" w:pos="8306"/>
      </w:tabs>
      <w:spacing w:line="240" w:lineRule="auto"/>
    </w:pPr>
  </w:style>
  <w:style w:type="character" w:customStyle="1" w:styleId="ad">
    <w:name w:val="כותרת תחתונה תו"/>
    <w:basedOn w:val="a5"/>
    <w:link w:val="ac"/>
    <w:uiPriority w:val="99"/>
    <w:rsid w:val="000501A4"/>
  </w:style>
  <w:style w:type="paragraph" w:styleId="ae">
    <w:name w:val="Date"/>
    <w:basedOn w:val="a4"/>
    <w:next w:val="a4"/>
    <w:link w:val="af"/>
    <w:uiPriority w:val="99"/>
    <w:unhideWhenUsed/>
    <w:rsid w:val="000501A4"/>
    <w:pPr>
      <w:spacing w:before="120" w:line="240" w:lineRule="auto"/>
    </w:pPr>
  </w:style>
  <w:style w:type="character" w:customStyle="1" w:styleId="af">
    <w:name w:val="תאריך תו"/>
    <w:basedOn w:val="a5"/>
    <w:link w:val="ae"/>
    <w:uiPriority w:val="99"/>
    <w:rsid w:val="000501A4"/>
  </w:style>
  <w:style w:type="paragraph" w:styleId="af0">
    <w:name w:val="footnote text"/>
    <w:aliases w:val=" Char,Char,F1,FOOTNOTES,Footnote Text - Sharp,Footnote Text - Sharp Char,Footnote Text - Sharp Char Char,Footnote Text Char Char Char Char Char,Footnote reference,Sharp - Footnote Text,Sharp - Footnote Text1 Char,fn,footnote text"/>
    <w:basedOn w:val="a4"/>
    <w:link w:val="af1"/>
    <w:uiPriority w:val="99"/>
    <w:qFormat/>
    <w:rsid w:val="00574579"/>
    <w:pPr>
      <w:spacing w:line="240" w:lineRule="auto"/>
      <w:ind w:left="720" w:hanging="720"/>
    </w:pPr>
    <w:rPr>
      <w:szCs w:val="20"/>
    </w:rPr>
  </w:style>
  <w:style w:type="character" w:customStyle="1" w:styleId="af1">
    <w:name w:val="טקסט הערת שוליים תו"/>
    <w:aliases w:val=" Char תו,Char תו,F1 תו,FOOTNOTES תו,Footnote Text - Sharp תו,Footnote Text - Sharp Char תו,Footnote Text - Sharp Char Char תו,Footnote Text Char Char Char Char Char תו,Footnote reference תו,Sharp - Footnote Text תו,fn תו"/>
    <w:basedOn w:val="a5"/>
    <w:link w:val="af0"/>
    <w:uiPriority w:val="99"/>
    <w:rsid w:val="00574579"/>
    <w:rPr>
      <w:szCs w:val="20"/>
    </w:rPr>
  </w:style>
  <w:style w:type="character" w:styleId="af2">
    <w:name w:val="footnote reference"/>
    <w:aliases w:val="Footnote Reference_0,Footnote Reference_0_0,Footnote Reference_0_0_0,Footnote Reference_0_0_0_0,Footnote Reference_1,Footnote Reference_2,Footnote Reference_3,Footnote Reference_3_0,Footnote Reference_4,Footnote text,fr,מ"/>
    <w:basedOn w:val="a5"/>
    <w:uiPriority w:val="99"/>
    <w:unhideWhenUsed/>
    <w:rsid w:val="000501A4"/>
    <w:rPr>
      <w:vertAlign w:val="superscript"/>
    </w:rPr>
  </w:style>
  <w:style w:type="paragraph" w:styleId="af3">
    <w:name w:val="List Paragraph"/>
    <w:aliases w:val="Bullet Number,Num Bullet 1,Use Case List Paragraph,style 2,פיסקת רשימה1"/>
    <w:basedOn w:val="a4"/>
    <w:link w:val="af4"/>
    <w:uiPriority w:val="34"/>
    <w:qFormat/>
    <w:rsid w:val="00B4321D"/>
    <w:pPr>
      <w:ind w:left="720"/>
      <w:contextualSpacing/>
    </w:pPr>
  </w:style>
  <w:style w:type="table" w:styleId="af5">
    <w:name w:val="Table Grid"/>
    <w:basedOn w:val="a6"/>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4"/>
    <w:link w:val="af7"/>
    <w:uiPriority w:val="99"/>
    <w:unhideWhenUsed/>
    <w:rsid w:val="00B4321D"/>
    <w:pPr>
      <w:spacing w:line="240" w:lineRule="auto"/>
    </w:pPr>
    <w:rPr>
      <w:rFonts w:ascii="Tahoma" w:hAnsi="Tahoma" w:cs="Tahoma"/>
      <w:sz w:val="18"/>
      <w:szCs w:val="18"/>
    </w:rPr>
  </w:style>
  <w:style w:type="character" w:customStyle="1" w:styleId="af7">
    <w:name w:val="טקסט בלונים תו"/>
    <w:basedOn w:val="a5"/>
    <w:link w:val="af6"/>
    <w:uiPriority w:val="99"/>
    <w:rsid w:val="00B4321D"/>
    <w:rPr>
      <w:rFonts w:ascii="Tahoma" w:hAnsi="Tahoma" w:cs="Tahoma"/>
      <w:sz w:val="18"/>
      <w:szCs w:val="18"/>
    </w:rPr>
  </w:style>
  <w:style w:type="character" w:styleId="af8">
    <w:name w:val="annotation reference"/>
    <w:basedOn w:val="a5"/>
    <w:uiPriority w:val="99"/>
    <w:semiHidden/>
    <w:unhideWhenUsed/>
    <w:rsid w:val="00B4321D"/>
    <w:rPr>
      <w:sz w:val="16"/>
      <w:szCs w:val="16"/>
    </w:rPr>
  </w:style>
  <w:style w:type="paragraph" w:styleId="af9">
    <w:name w:val="annotation text"/>
    <w:basedOn w:val="a4"/>
    <w:link w:val="afa"/>
    <w:uiPriority w:val="99"/>
    <w:unhideWhenUsed/>
    <w:rsid w:val="00B4321D"/>
    <w:pPr>
      <w:spacing w:line="240" w:lineRule="auto"/>
    </w:pPr>
    <w:rPr>
      <w:szCs w:val="20"/>
    </w:rPr>
  </w:style>
  <w:style w:type="character" w:customStyle="1" w:styleId="afa">
    <w:name w:val="טקסט הערה תו"/>
    <w:basedOn w:val="a5"/>
    <w:link w:val="af9"/>
    <w:uiPriority w:val="99"/>
    <w:rsid w:val="00B4321D"/>
    <w:rPr>
      <w:szCs w:val="20"/>
    </w:rPr>
  </w:style>
  <w:style w:type="paragraph" w:styleId="afb">
    <w:name w:val="annotation subject"/>
    <w:basedOn w:val="af9"/>
    <w:next w:val="af9"/>
    <w:link w:val="afc"/>
    <w:uiPriority w:val="99"/>
    <w:semiHidden/>
    <w:unhideWhenUsed/>
    <w:rsid w:val="00B4321D"/>
    <w:rPr>
      <w:b/>
      <w:bCs/>
    </w:rPr>
  </w:style>
  <w:style w:type="character" w:customStyle="1" w:styleId="afc">
    <w:name w:val="נושא הערה תו"/>
    <w:basedOn w:val="afa"/>
    <w:link w:val="afb"/>
    <w:uiPriority w:val="99"/>
    <w:semiHidden/>
    <w:rsid w:val="00B4321D"/>
    <w:rPr>
      <w:b/>
      <w:bCs/>
      <w:szCs w:val="20"/>
    </w:rPr>
  </w:style>
  <w:style w:type="paragraph" w:styleId="afd">
    <w:name w:val="Revision"/>
    <w:hidden/>
    <w:uiPriority w:val="99"/>
    <w:semiHidden/>
    <w:rsid w:val="00B4321D"/>
    <w:pPr>
      <w:spacing w:after="0" w:line="240" w:lineRule="auto"/>
      <w:jc w:val="left"/>
    </w:pPr>
  </w:style>
  <w:style w:type="paragraph" w:styleId="afe">
    <w:name w:val="No Spacing"/>
    <w:aliases w:val="מספורנוהל"/>
    <w:basedOn w:val="a4"/>
    <w:link w:val="aff"/>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f">
    <w:name w:val="ללא מרווח תו"/>
    <w:aliases w:val="מספורנוהל תו"/>
    <w:basedOn w:val="a5"/>
    <w:link w:val="afe"/>
    <w:uiPriority w:val="1"/>
    <w:rsid w:val="00B4321D"/>
    <w:rPr>
      <w:rFonts w:ascii="David" w:eastAsia="Times New Roman" w:hAnsi="David"/>
      <w:b/>
      <w:sz w:val="24"/>
      <w:lang w:eastAsia="he-IL"/>
    </w:rPr>
  </w:style>
  <w:style w:type="paragraph" w:styleId="NormalWeb">
    <w:name w:val="Normal (Web)"/>
    <w:basedOn w:val="a4"/>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6"/>
    <w:next w:val="af5"/>
    <w:uiPriority w:val="5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פיסקת רשימה תו"/>
    <w:aliases w:val="Bullet Number תו,Num Bullet 1 תו,Use Case List Paragraph תו,style 2 תו,פיסקת רשימה1 תו"/>
    <w:link w:val="af3"/>
    <w:uiPriority w:val="34"/>
    <w:rsid w:val="00B4321D"/>
  </w:style>
  <w:style w:type="table" w:styleId="1-5">
    <w:name w:val="Grid Table 1 Light Accent 5"/>
    <w:basedOn w:val="a6"/>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5"/>
    <w:uiPriority w:val="99"/>
    <w:unhideWhenUsed/>
    <w:rsid w:val="00B4321D"/>
    <w:rPr>
      <w:color w:val="0000FF" w:themeColor="hyperlink"/>
      <w:u w:val="single"/>
    </w:rPr>
  </w:style>
  <w:style w:type="paragraph" w:customStyle="1" w:styleId="75">
    <w:name w:val="75א מספור הערות שוליים"/>
    <w:basedOn w:val="a4"/>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5"/>
    <w:uiPriority w:val="99"/>
    <w:semiHidden/>
    <w:unhideWhenUsed/>
    <w:rsid w:val="00B4321D"/>
    <w:rPr>
      <w:color w:val="800080" w:themeColor="followedHyperlink"/>
      <w:u w:val="single"/>
    </w:rPr>
  </w:style>
  <w:style w:type="character" w:styleId="aff0">
    <w:name w:val="Unresolved Mention"/>
    <w:basedOn w:val="a5"/>
    <w:uiPriority w:val="99"/>
    <w:semiHidden/>
    <w:unhideWhenUsed/>
    <w:rsid w:val="00B4321D"/>
    <w:rPr>
      <w:color w:val="605E5C"/>
      <w:shd w:val="clear" w:color="auto" w:fill="E1DFDD"/>
    </w:rPr>
  </w:style>
  <w:style w:type="paragraph" w:customStyle="1" w:styleId="aff1">
    <w:name w:val="פרטי הדוח ממה"/>
    <w:basedOn w:val="a4"/>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2">
    <w:name w:val="כותרת הדוח ממה"/>
    <w:basedOn w:val="a4"/>
    <w:link w:val="aff3"/>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3">
    <w:name w:val="כותרת הדוח ממה תו"/>
    <w:basedOn w:val="a5"/>
    <w:link w:val="aff2"/>
    <w:rsid w:val="00B4321D"/>
    <w:rPr>
      <w:rFonts w:ascii="Calibri" w:hAnsi="Calibri" w:cs="Calibri"/>
      <w:b/>
      <w:bCs/>
      <w:color w:val="FFFFFF" w:themeColor="background1"/>
      <w:sz w:val="60"/>
      <w:szCs w:val="60"/>
    </w:rPr>
  </w:style>
  <w:style w:type="paragraph" w:customStyle="1" w:styleId="aff4">
    <w:name w:val="טקסט שם מונח ממה"/>
    <w:basedOn w:val="a4"/>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5">
    <w:name w:val="טקסט הגדרת מונח ממה"/>
    <w:link w:val="aff6"/>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6">
    <w:name w:val="טקסט הגדרת מונח ממה תו"/>
    <w:basedOn w:val="a5"/>
    <w:link w:val="aff5"/>
    <w:rsid w:val="00B4321D"/>
    <w:rPr>
      <w:rFonts w:ascii="Calibri" w:eastAsia="DengXian" w:hAnsi="Calibri" w:cs="Calibri"/>
      <w:color w:val="002060"/>
      <w:sz w:val="24"/>
      <w:lang w:val="en-GB"/>
    </w:rPr>
  </w:style>
  <w:style w:type="paragraph" w:customStyle="1" w:styleId="aff7">
    <w:name w:val="מבוא ממה"/>
    <w:basedOn w:val="a4"/>
    <w:next w:val="a4"/>
    <w:link w:val="aff8"/>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8">
    <w:name w:val="מבוא ממה תו"/>
    <w:basedOn w:val="a5"/>
    <w:link w:val="aff7"/>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9">
    <w:name w:val="מראה מקום ממה"/>
    <w:basedOn w:val="a4"/>
    <w:next w:val="a4"/>
    <w:link w:val="affa"/>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a">
    <w:name w:val="מראה מקום ממה תו"/>
    <w:basedOn w:val="a5"/>
    <w:link w:val="aff9"/>
    <w:rsid w:val="00B4321D"/>
    <w:rPr>
      <w:rFonts w:ascii="Calibri" w:eastAsia="Calibri" w:hAnsi="Calibri" w:cs="Calibri"/>
      <w:b/>
      <w:bCs/>
      <w:color w:val="002060"/>
      <w:sz w:val="18"/>
      <w:szCs w:val="18"/>
      <w:shd w:val="solid" w:color="F3F7FF" w:fill="auto"/>
    </w:rPr>
  </w:style>
  <w:style w:type="paragraph" w:customStyle="1" w:styleId="affb">
    <w:name w:val="כותרת עליונה ממה"/>
    <w:basedOn w:val="a4"/>
    <w:next w:val="a4"/>
    <w:link w:val="affc"/>
    <w:qFormat/>
    <w:rsid w:val="00B4321D"/>
    <w:pPr>
      <w:spacing w:line="240" w:lineRule="auto"/>
      <w:ind w:left="737"/>
      <w:jc w:val="left"/>
    </w:pPr>
    <w:rPr>
      <w:rFonts w:ascii="Calibri" w:eastAsia="Calibri" w:hAnsi="Calibri" w:cs="Calibri"/>
      <w:color w:val="002060"/>
      <w:sz w:val="18"/>
      <w:szCs w:val="18"/>
    </w:rPr>
  </w:style>
  <w:style w:type="character" w:customStyle="1" w:styleId="affc">
    <w:name w:val="כותרת עליונה ממה תו"/>
    <w:basedOn w:val="a5"/>
    <w:link w:val="affb"/>
    <w:rsid w:val="00B4321D"/>
    <w:rPr>
      <w:rFonts w:ascii="Calibri" w:eastAsia="Calibri" w:hAnsi="Calibri" w:cs="Calibri"/>
      <w:color w:val="002060"/>
      <w:sz w:val="18"/>
      <w:szCs w:val="18"/>
    </w:rPr>
  </w:style>
  <w:style w:type="paragraph" w:customStyle="1" w:styleId="10">
    <w:name w:val="כותרת 1 ממה"/>
    <w:basedOn w:val="a4"/>
    <w:next w:val="a4"/>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5"/>
    <w:link w:val="10"/>
    <w:rsid w:val="00B4321D"/>
    <w:rPr>
      <w:rFonts w:ascii="Calibri" w:eastAsia="Calibri" w:hAnsi="Calibri" w:cs="Calibri"/>
      <w:b/>
      <w:bCs/>
      <w:color w:val="002060"/>
      <w:sz w:val="40"/>
      <w:szCs w:val="40"/>
    </w:rPr>
  </w:style>
  <w:style w:type="paragraph" w:customStyle="1" w:styleId="2">
    <w:name w:val="כותרת 2 ממה"/>
    <w:basedOn w:val="a4"/>
    <w:next w:val="a4"/>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4"/>
    <w:next w:val="a4"/>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4"/>
    <w:next w:val="a4"/>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5"/>
    <w:link w:val="41"/>
    <w:rsid w:val="00B4321D"/>
    <w:rPr>
      <w:rFonts w:ascii="Calibri" w:eastAsia="Calibri" w:hAnsi="Calibri" w:cs="Calibri"/>
      <w:color w:val="002060"/>
      <w:sz w:val="28"/>
      <w:szCs w:val="28"/>
    </w:rPr>
  </w:style>
  <w:style w:type="paragraph" w:customStyle="1" w:styleId="1">
    <w:name w:val="רשימה1 ממה"/>
    <w:basedOn w:val="a4"/>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5"/>
    <w:link w:val="1"/>
    <w:rsid w:val="00B4321D"/>
    <w:rPr>
      <w:rFonts w:ascii="Calibri" w:eastAsia="Calibri" w:hAnsi="Calibri" w:cs="Calibri"/>
      <w:color w:val="002060"/>
      <w:sz w:val="24"/>
    </w:rPr>
  </w:style>
  <w:style w:type="paragraph" w:customStyle="1" w:styleId="23">
    <w:name w:val="רשימה2 ממה"/>
    <w:basedOn w:val="a4"/>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5"/>
    <w:link w:val="23"/>
    <w:rsid w:val="00B4321D"/>
    <w:rPr>
      <w:rFonts w:ascii="Calibri" w:eastAsia="Calibri" w:hAnsi="Calibri" w:cs="Calibri"/>
      <w:color w:val="002060"/>
      <w:sz w:val="24"/>
    </w:rPr>
  </w:style>
  <w:style w:type="paragraph" w:customStyle="1" w:styleId="30">
    <w:name w:val="רשימה3 ממה"/>
    <w:basedOn w:val="a4"/>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5"/>
    <w:link w:val="30"/>
    <w:rsid w:val="00B4321D"/>
    <w:rPr>
      <w:rFonts w:ascii="Calibri" w:eastAsia="Calibri" w:hAnsi="Calibri" w:cs="Calibri"/>
      <w:color w:val="002060"/>
      <w:sz w:val="24"/>
    </w:rPr>
  </w:style>
  <w:style w:type="paragraph" w:customStyle="1" w:styleId="43">
    <w:name w:val="רשימה4 ממה"/>
    <w:basedOn w:val="a4"/>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5"/>
    <w:link w:val="43"/>
    <w:rsid w:val="00B4321D"/>
    <w:rPr>
      <w:rFonts w:ascii="Calibri" w:eastAsia="Calibri" w:hAnsi="Calibri" w:cs="Calibri"/>
      <w:color w:val="002060"/>
      <w:sz w:val="24"/>
    </w:rPr>
  </w:style>
  <w:style w:type="paragraph" w:customStyle="1" w:styleId="5">
    <w:name w:val="רשימה5 ממה"/>
    <w:basedOn w:val="a4"/>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5"/>
    <w:link w:val="5"/>
    <w:rsid w:val="00B4321D"/>
    <w:rPr>
      <w:rFonts w:ascii="Calibri" w:eastAsia="Calibri" w:hAnsi="Calibri" w:cs="Calibri"/>
      <w:color w:val="002060"/>
      <w:sz w:val="24"/>
    </w:rPr>
  </w:style>
  <w:style w:type="paragraph" w:customStyle="1" w:styleId="affd">
    <w:name w:val="הערת שוליים ממה"/>
    <w:basedOn w:val="a4"/>
    <w:link w:val="affe"/>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e">
    <w:name w:val="הערת שוליים ממה תו"/>
    <w:basedOn w:val="a5"/>
    <w:link w:val="affd"/>
    <w:rsid w:val="00B4321D"/>
    <w:rPr>
      <w:rFonts w:ascii="Calibri" w:eastAsia="Calibri" w:hAnsi="Calibri" w:cs="Calibri"/>
      <w:color w:val="002060"/>
      <w:sz w:val="24"/>
      <w:szCs w:val="20"/>
    </w:rPr>
  </w:style>
  <w:style w:type="paragraph" w:customStyle="1" w:styleId="afff">
    <w:name w:val="הערת סיום ממה"/>
    <w:basedOn w:val="a4"/>
    <w:link w:val="afff0"/>
    <w:qFormat/>
    <w:rsid w:val="00B4321D"/>
    <w:pPr>
      <w:widowControl w:val="0"/>
      <w:spacing w:line="240" w:lineRule="auto"/>
      <w:ind w:left="1134"/>
    </w:pPr>
    <w:rPr>
      <w:rFonts w:ascii="Calibri" w:eastAsia="Calibri" w:hAnsi="Calibri" w:cs="Calibri"/>
      <w:color w:val="002060"/>
      <w:sz w:val="24"/>
      <w:szCs w:val="20"/>
    </w:rPr>
  </w:style>
  <w:style w:type="character" w:customStyle="1" w:styleId="afff0">
    <w:name w:val="הערת סיום ממה תו"/>
    <w:basedOn w:val="a5"/>
    <w:link w:val="afff"/>
    <w:rsid w:val="00B4321D"/>
    <w:rPr>
      <w:rFonts w:ascii="Calibri" w:eastAsia="Calibri" w:hAnsi="Calibri" w:cs="Calibri"/>
      <w:color w:val="002060"/>
      <w:sz w:val="24"/>
      <w:szCs w:val="20"/>
    </w:rPr>
  </w:style>
  <w:style w:type="paragraph" w:customStyle="1" w:styleId="16">
    <w:name w:val="ליקוי/ממצא חיובי/המלצה1 ממה"/>
    <w:next w:val="a4"/>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5"/>
    <w:link w:val="16"/>
    <w:rsid w:val="00B4321D"/>
    <w:rPr>
      <w:rFonts w:ascii="Calibri" w:eastAsia="Calibri" w:hAnsi="Calibri" w:cs="Calibri"/>
      <w:color w:val="002060"/>
      <w:sz w:val="24"/>
    </w:rPr>
  </w:style>
  <w:style w:type="paragraph" w:customStyle="1" w:styleId="25">
    <w:name w:val="ליקוי/ממצא חיובי/המלצה2 ממה"/>
    <w:basedOn w:val="a4"/>
    <w:next w:val="a4"/>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4"/>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5"/>
    <w:link w:val="35"/>
    <w:rsid w:val="00B4321D"/>
    <w:rPr>
      <w:rFonts w:ascii="Calibri" w:eastAsia="Calibri" w:hAnsi="Calibri" w:cs="Calibri"/>
      <w:color w:val="002060"/>
      <w:sz w:val="24"/>
    </w:rPr>
  </w:style>
  <w:style w:type="paragraph" w:customStyle="1" w:styleId="afff1">
    <w:name w:val="נבנצאל ממה"/>
    <w:basedOn w:val="a4"/>
    <w:next w:val="a4"/>
    <w:link w:val="afff2"/>
    <w:uiPriority w:val="99"/>
    <w:qFormat/>
    <w:rsid w:val="00B4321D"/>
    <w:pPr>
      <w:keepNext/>
      <w:spacing w:line="280" w:lineRule="exact"/>
      <w:jc w:val="left"/>
    </w:pPr>
    <w:rPr>
      <w:rFonts w:ascii="Calibri" w:eastAsia="Calibri" w:hAnsi="Calibri" w:cs="Calibri"/>
      <w:color w:val="002060"/>
      <w:szCs w:val="20"/>
    </w:rPr>
  </w:style>
  <w:style w:type="character" w:customStyle="1" w:styleId="afff2">
    <w:name w:val="נבנצאל ממה תו"/>
    <w:basedOn w:val="a5"/>
    <w:link w:val="afff1"/>
    <w:uiPriority w:val="99"/>
    <w:rsid w:val="00B4321D"/>
    <w:rPr>
      <w:rFonts w:ascii="Calibri" w:eastAsia="Calibri" w:hAnsi="Calibri" w:cs="Calibri"/>
      <w:color w:val="002060"/>
      <w:szCs w:val="20"/>
    </w:rPr>
  </w:style>
  <w:style w:type="paragraph" w:customStyle="1" w:styleId="afff3">
    <w:name w:val="רגיל ממה"/>
    <w:basedOn w:val="a4"/>
    <w:link w:val="afff4"/>
    <w:qFormat/>
    <w:rsid w:val="00B4321D"/>
    <w:pPr>
      <w:widowControl w:val="0"/>
      <w:spacing w:line="280" w:lineRule="exact"/>
      <w:ind w:left="1134"/>
    </w:pPr>
    <w:rPr>
      <w:rFonts w:ascii="Calibri" w:eastAsia="Calibri" w:hAnsi="Calibri" w:cs="Calibri"/>
      <w:color w:val="002060"/>
      <w:sz w:val="24"/>
    </w:rPr>
  </w:style>
  <w:style w:type="character" w:customStyle="1" w:styleId="afff4">
    <w:name w:val="רגיל ממה תו"/>
    <w:basedOn w:val="a5"/>
    <w:link w:val="afff3"/>
    <w:rsid w:val="00B4321D"/>
    <w:rPr>
      <w:rFonts w:ascii="Calibri" w:eastAsia="Calibri" w:hAnsi="Calibri" w:cs="Calibri"/>
      <w:color w:val="002060"/>
      <w:sz w:val="24"/>
    </w:rPr>
  </w:style>
  <w:style w:type="paragraph" w:customStyle="1" w:styleId="afff5">
    <w:name w:val="סיכום ממה"/>
    <w:basedOn w:val="a4"/>
    <w:next w:val="a4"/>
    <w:link w:val="afff6"/>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6">
    <w:name w:val="סיכום ממה תו"/>
    <w:basedOn w:val="a5"/>
    <w:link w:val="afff5"/>
    <w:rsid w:val="00B4321D"/>
    <w:rPr>
      <w:rFonts w:ascii="Calibri" w:eastAsia="Calibri" w:hAnsi="Calibri" w:cs="Calibri"/>
      <w:b/>
      <w:bCs/>
      <w:color w:val="FFFFFF" w:themeColor="background1"/>
      <w:sz w:val="2"/>
      <w:szCs w:val="2"/>
    </w:rPr>
  </w:style>
  <w:style w:type="paragraph" w:customStyle="1" w:styleId="afff7">
    <w:name w:val="טקסט סיכום ממה"/>
    <w:basedOn w:val="a4"/>
    <w:next w:val="a4"/>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8">
    <w:name w:val="סיכום ביניים ממה"/>
    <w:basedOn w:val="a4"/>
    <w:next w:val="a4"/>
    <w:qFormat/>
    <w:rsid w:val="00B4321D"/>
    <w:pPr>
      <w:widowControl w:val="0"/>
      <w:spacing w:before="240" w:after="240"/>
      <w:ind w:left="1134"/>
    </w:pPr>
    <w:rPr>
      <w:rFonts w:ascii="Calibri" w:eastAsia="Calibri" w:hAnsi="Calibri" w:cs="Calibri"/>
      <w:noProof/>
      <w:color w:val="002060"/>
      <w:sz w:val="24"/>
    </w:rPr>
  </w:style>
  <w:style w:type="paragraph" w:customStyle="1" w:styleId="afff9">
    <w:name w:val="טקסט סיכום ביניים ממה"/>
    <w:basedOn w:val="a4"/>
    <w:next w:val="a4"/>
    <w:qFormat/>
    <w:rsid w:val="00B4321D"/>
    <w:pPr>
      <w:widowControl w:val="0"/>
      <w:spacing w:after="240" w:line="280" w:lineRule="exact"/>
      <w:ind w:left="1134"/>
    </w:pPr>
    <w:rPr>
      <w:rFonts w:ascii="Calibri" w:eastAsia="Calibri" w:hAnsi="Calibri" w:cs="Calibri"/>
      <w:bCs/>
      <w:color w:val="002060"/>
      <w:sz w:val="24"/>
    </w:rPr>
  </w:style>
  <w:style w:type="paragraph" w:customStyle="1" w:styleId="a3">
    <w:name w:val="תרשים ממה"/>
    <w:basedOn w:val="a4"/>
    <w:next w:val="a4"/>
    <w:link w:val="afffa"/>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a">
    <w:name w:val="תרשים ממה תו"/>
    <w:basedOn w:val="a5"/>
    <w:link w:val="a3"/>
    <w:rsid w:val="00B4321D"/>
    <w:rPr>
      <w:rFonts w:ascii="Calibri" w:eastAsia="Calibri" w:hAnsi="Calibri" w:cs="Calibri"/>
      <w:b/>
      <w:bCs/>
      <w:color w:val="002060"/>
      <w:sz w:val="24"/>
    </w:rPr>
  </w:style>
  <w:style w:type="paragraph" w:customStyle="1" w:styleId="a1">
    <w:name w:val="תמונה ממה"/>
    <w:basedOn w:val="a4"/>
    <w:next w:val="a4"/>
    <w:link w:val="afffb"/>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b">
    <w:name w:val="תמונה ממה תו"/>
    <w:basedOn w:val="a5"/>
    <w:link w:val="a1"/>
    <w:rsid w:val="00B4321D"/>
    <w:rPr>
      <w:rFonts w:ascii="Calibri" w:eastAsia="Calibri" w:hAnsi="Calibri" w:cs="Calibri"/>
      <w:b/>
      <w:bCs/>
      <w:color w:val="002060"/>
      <w:sz w:val="24"/>
    </w:rPr>
  </w:style>
  <w:style w:type="paragraph" w:customStyle="1" w:styleId="a0">
    <w:name w:val="לוח ממה"/>
    <w:basedOn w:val="a4"/>
    <w:next w:val="a4"/>
    <w:link w:val="afffc"/>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c">
    <w:name w:val="לוח ממה תו"/>
    <w:basedOn w:val="a5"/>
    <w:link w:val="a0"/>
    <w:rsid w:val="00B4321D"/>
    <w:rPr>
      <w:rFonts w:ascii="Calibri" w:eastAsia="Calibri" w:hAnsi="Calibri" w:cs="Calibri"/>
      <w:b/>
      <w:bCs/>
      <w:color w:val="002060"/>
      <w:sz w:val="24"/>
    </w:rPr>
  </w:style>
  <w:style w:type="paragraph" w:customStyle="1" w:styleId="a2">
    <w:name w:val="מפה ממה"/>
    <w:basedOn w:val="a4"/>
    <w:next w:val="a4"/>
    <w:link w:val="afffd"/>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d">
    <w:name w:val="מפה ממה תו"/>
    <w:basedOn w:val="a5"/>
    <w:link w:val="a2"/>
    <w:rsid w:val="00B4321D"/>
    <w:rPr>
      <w:rFonts w:ascii="Calibri" w:eastAsia="Calibri" w:hAnsi="Calibri" w:cs="Calibri"/>
      <w:b/>
      <w:bCs/>
      <w:color w:val="002060"/>
      <w:sz w:val="24"/>
    </w:rPr>
  </w:style>
  <w:style w:type="paragraph" w:customStyle="1" w:styleId="afffe">
    <w:name w:val="מקור ממה"/>
    <w:basedOn w:val="a4"/>
    <w:next w:val="a4"/>
    <w:qFormat/>
    <w:rsid w:val="00B4321D"/>
    <w:pPr>
      <w:keepNext/>
      <w:keepLines/>
      <w:widowControl w:val="0"/>
      <w:ind w:left="1134"/>
    </w:pPr>
    <w:rPr>
      <w:rFonts w:ascii="Calibri" w:eastAsia="Calibri" w:hAnsi="Calibri" w:cs="Calibri"/>
      <w:color w:val="002060"/>
      <w:szCs w:val="20"/>
    </w:rPr>
  </w:style>
  <w:style w:type="paragraph" w:customStyle="1" w:styleId="affff">
    <w:name w:val="אובייקט ממה"/>
    <w:basedOn w:val="a4"/>
    <w:next w:val="a4"/>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0">
    <w:name w:val="רכיבי המבוא ממה"/>
    <w:basedOn w:val="a4"/>
    <w:link w:val="affff1"/>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1">
    <w:name w:val="רכיבי המבוא ממה תו"/>
    <w:basedOn w:val="a5"/>
    <w:link w:val="affff0"/>
    <w:rsid w:val="00B4321D"/>
    <w:rPr>
      <w:rFonts w:ascii="Calibri" w:eastAsia="Calibri" w:hAnsi="Calibri" w:cs="Calibri"/>
      <w:color w:val="002060"/>
      <w:szCs w:val="20"/>
    </w:rPr>
  </w:style>
  <w:style w:type="paragraph" w:customStyle="1" w:styleId="affff2">
    <w:name w:val="אייקון במבוא ממה"/>
    <w:basedOn w:val="a4"/>
    <w:link w:val="affff3"/>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3">
    <w:name w:val="אייקון במבוא ממה תו"/>
    <w:basedOn w:val="a5"/>
    <w:link w:val="affff2"/>
    <w:rsid w:val="00B4321D"/>
    <w:rPr>
      <w:rFonts w:ascii="Calibri" w:eastAsia="Calibri" w:hAnsi="Calibri" w:cs="Calibri"/>
      <w:bCs/>
      <w:color w:val="002060"/>
      <w:sz w:val="24"/>
      <w:szCs w:val="20"/>
    </w:rPr>
  </w:style>
  <w:style w:type="paragraph" w:customStyle="1" w:styleId="739">
    <w:name w:val="73א טקסט רץ 9"/>
    <w:basedOn w:val="a4"/>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5"/>
    <w:link w:val="739"/>
    <w:rsid w:val="00B4321D"/>
    <w:rPr>
      <w:rFonts w:ascii="Tahoma" w:hAnsi="Tahoma" w:cs="Tahoma"/>
      <w:color w:val="0D0D0D" w:themeColor="text1" w:themeTint="F2"/>
      <w:sz w:val="18"/>
      <w:szCs w:val="18"/>
    </w:rPr>
  </w:style>
  <w:style w:type="paragraph" w:customStyle="1" w:styleId="71">
    <w:name w:val="71ג הערות שוליים"/>
    <w:basedOn w:val="af0"/>
    <w:link w:val="71Char"/>
    <w:qFormat/>
    <w:rsid w:val="009A6817"/>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a5"/>
    <w:link w:val="71"/>
    <w:rsid w:val="009A6817"/>
    <w:rPr>
      <w:rFonts w:ascii="Tahoma" w:hAnsi="Tahoma" w:cs="Tahoma"/>
      <w:color w:val="0D0D0D" w:themeColor="text1" w:themeTint="F2"/>
      <w:sz w:val="14"/>
      <w:szCs w:val="14"/>
    </w:rPr>
  </w:style>
  <w:style w:type="paragraph" w:customStyle="1" w:styleId="2021">
    <w:name w:val="מספרים גדולים בטבלת תקציר 2021"/>
    <w:basedOn w:val="a4"/>
    <w:link w:val="2021Char"/>
    <w:qFormat/>
    <w:rsid w:val="00BE22D7"/>
    <w:pPr>
      <w:spacing w:before="120" w:line="240" w:lineRule="auto"/>
      <w:jc w:val="left"/>
      <w:outlineLvl w:val="0"/>
    </w:pPr>
    <w:rPr>
      <w:rFonts w:ascii="Tahoma" w:eastAsiaTheme="minorEastAsia" w:hAnsi="Tahoma" w:cs="Tahoma"/>
      <w:b/>
      <w:bCs/>
      <w:color w:val="0D0D0D" w:themeColor="text1" w:themeTint="F2"/>
      <w:sz w:val="36"/>
      <w:szCs w:val="36"/>
    </w:rPr>
  </w:style>
  <w:style w:type="character" w:customStyle="1" w:styleId="2021Char">
    <w:name w:val="מספרים גדולים בטבלת תקציר 2021 Char"/>
    <w:basedOn w:val="a5"/>
    <w:link w:val="2021"/>
    <w:rsid w:val="00BE22D7"/>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a4"/>
    <w:link w:val="7320210"/>
    <w:qFormat/>
    <w:rsid w:val="00BE22D7"/>
    <w:pPr>
      <w:keepNext/>
      <w:spacing w:before="60" w:after="180" w:line="260" w:lineRule="exact"/>
      <w:jc w:val="left"/>
      <w:outlineLvl w:val="0"/>
    </w:pPr>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a5"/>
    <w:link w:val="732021"/>
    <w:rsid w:val="00BE22D7"/>
    <w:rPr>
      <w:rFonts w:ascii="Tahoma" w:eastAsiaTheme="minorEastAsia" w:hAnsi="Tahoma" w:cs="Tahoma"/>
      <w:color w:val="0D0D0D" w:themeColor="text1" w:themeTint="F2"/>
      <w:w w:val="90"/>
      <w:sz w:val="18"/>
      <w:szCs w:val="18"/>
    </w:rPr>
  </w:style>
  <w:style w:type="paragraph" w:customStyle="1" w:styleId="73">
    <w:name w:val="73א הזחה ראשונה ללא מספר"/>
    <w:basedOn w:val="a4"/>
    <w:qFormat/>
    <w:rsid w:val="00BE22D7"/>
    <w:pPr>
      <w:spacing w:after="180" w:line="260" w:lineRule="exact"/>
      <w:ind w:left="397"/>
    </w:pPr>
    <w:rPr>
      <w:rFonts w:ascii="Tahoma" w:hAnsi="Tahoma" w:cs="Tahoma"/>
      <w:color w:val="0D0D0D" w:themeColor="text1" w:themeTint="F2"/>
      <w:sz w:val="18"/>
      <w:szCs w:val="18"/>
    </w:rPr>
  </w:style>
  <w:style w:type="paragraph" w:customStyle="1" w:styleId="730">
    <w:name w:val="73א פעולות ביקורת"/>
    <w:basedOn w:val="a4"/>
    <w:qFormat/>
    <w:rsid w:val="00BE22D7"/>
    <w:pPr>
      <w:keepNext/>
      <w:keepLines/>
      <w:pBdr>
        <w:top w:val="double" w:sz="12" w:space="5" w:color="auto"/>
      </w:pBdr>
      <w:spacing w:before="480" w:after="360" w:line="240" w:lineRule="atLeast"/>
      <w:jc w:val="left"/>
    </w:pPr>
    <w:rPr>
      <w:rFonts w:ascii="Tahoma" w:eastAsiaTheme="minorEastAsia" w:hAnsi="Tahoma" w:cs="Tahoma"/>
      <w:b/>
      <w:bCs/>
      <w:noProof/>
      <w:color w:val="00305F"/>
      <w:sz w:val="31"/>
      <w:szCs w:val="31"/>
      <w:lang w:val="he-IL"/>
    </w:rPr>
  </w:style>
  <w:style w:type="character" w:customStyle="1" w:styleId="737">
    <w:name w:val="73א כותרת 7 הדגשת קטע בטקסט רץ תו"/>
    <w:basedOn w:val="a5"/>
    <w:link w:val="7370"/>
    <w:rsid w:val="00BE22D7"/>
    <w:rPr>
      <w:rFonts w:ascii="Tahoma" w:hAnsi="Tahoma" w:cs="Tahoma"/>
      <w:bCs/>
      <w:color w:val="0D0D0D" w:themeColor="text1" w:themeTint="F2"/>
      <w:sz w:val="18"/>
      <w:szCs w:val="18"/>
    </w:rPr>
  </w:style>
  <w:style w:type="paragraph" w:customStyle="1" w:styleId="7370">
    <w:name w:val="73א כותרת 7 הדגשת קטע בטקסט רץ"/>
    <w:basedOn w:val="739"/>
    <w:link w:val="737"/>
    <w:qFormat/>
    <w:rsid w:val="00BE22D7"/>
    <w:rPr>
      <w:bCs/>
    </w:rPr>
  </w:style>
  <w:style w:type="paragraph" w:customStyle="1" w:styleId="731">
    <w:name w:val="73א מקרא+הערות לתרשים/לוח/תמונה"/>
    <w:basedOn w:val="a4"/>
    <w:link w:val="732"/>
    <w:qFormat/>
    <w:rsid w:val="00BE22D7"/>
    <w:pPr>
      <w:spacing w:before="120" w:after="240" w:line="260" w:lineRule="exact"/>
    </w:pPr>
    <w:rPr>
      <w:rFonts w:ascii="Tahoma" w:hAnsi="Tahoma" w:cs="Tahoma"/>
      <w:color w:val="0D0D0D" w:themeColor="text1" w:themeTint="F2"/>
      <w:sz w:val="16"/>
      <w:szCs w:val="16"/>
    </w:rPr>
  </w:style>
  <w:style w:type="character" w:customStyle="1" w:styleId="732">
    <w:name w:val="73א מקרא+הערות לתרשים/לוח/תמונה תו"/>
    <w:basedOn w:val="a5"/>
    <w:link w:val="731"/>
    <w:rsid w:val="00BE22D7"/>
    <w:rPr>
      <w:rFonts w:ascii="Tahoma" w:hAnsi="Tahoma" w:cs="Tahoma"/>
      <w:color w:val="0D0D0D" w:themeColor="text1" w:themeTint="F2"/>
      <w:sz w:val="16"/>
      <w:szCs w:val="16"/>
    </w:rPr>
  </w:style>
  <w:style w:type="paragraph" w:customStyle="1" w:styleId="733">
    <w:name w:val="73א כותרת לבנה בתוך תבנית אדומה בתקציר"/>
    <w:basedOn w:val="a4"/>
    <w:link w:val="734"/>
    <w:qFormat/>
    <w:rsid w:val="00BE22D7"/>
    <w:pPr>
      <w:keepNext/>
      <w:keepLines/>
      <w:spacing w:line="240" w:lineRule="atLeast"/>
      <w:ind w:left="170" w:right="113"/>
      <w:jc w:val="left"/>
    </w:pPr>
    <w:rPr>
      <w:rFonts w:ascii="Tahoma" w:hAnsi="Tahoma" w:cs="Tahoma"/>
      <w:b/>
      <w:bCs/>
      <w:color w:val="FFFFFF" w:themeColor="background1"/>
      <w:sz w:val="22"/>
      <w:szCs w:val="22"/>
    </w:rPr>
  </w:style>
  <w:style w:type="character" w:customStyle="1" w:styleId="734">
    <w:name w:val="73א כותרת לבנה בתוך תבנית אדומה בתקציר תו"/>
    <w:basedOn w:val="a5"/>
    <w:link w:val="733"/>
    <w:rsid w:val="00BE22D7"/>
    <w:rPr>
      <w:rFonts w:ascii="Tahoma" w:hAnsi="Tahoma" w:cs="Tahoma"/>
      <w:b/>
      <w:bCs/>
      <w:color w:val="FFFFFF" w:themeColor="background1"/>
      <w:sz w:val="22"/>
      <w:szCs w:val="22"/>
    </w:rPr>
  </w:style>
  <w:style w:type="character" w:styleId="affff4">
    <w:name w:val="page number"/>
    <w:basedOn w:val="a5"/>
    <w:uiPriority w:val="99"/>
    <w:semiHidden/>
    <w:unhideWhenUsed/>
    <w:rsid w:val="005C3049"/>
  </w:style>
  <w:style w:type="paragraph" w:customStyle="1" w:styleId="a">
    <w:name w:val="כותרת תרשים"/>
    <w:basedOn w:val="a4"/>
    <w:next w:val="a4"/>
    <w:link w:val="affff5"/>
    <w:qFormat/>
    <w:rsid w:val="00960A4D"/>
    <w:pPr>
      <w:keepNext/>
      <w:keepLines/>
      <w:numPr>
        <w:numId w:val="28"/>
      </w:numPr>
      <w:ind w:left="717"/>
      <w:jc w:val="center"/>
      <w:outlineLvl w:val="4"/>
    </w:pPr>
    <w:rPr>
      <w:bCs/>
      <w:sz w:val="24"/>
    </w:rPr>
  </w:style>
  <w:style w:type="character" w:customStyle="1" w:styleId="affff5">
    <w:name w:val="כותרת תרשים תו"/>
    <w:basedOn w:val="a5"/>
    <w:link w:val="a"/>
    <w:rsid w:val="00960A4D"/>
    <w:rPr>
      <w:bCs/>
      <w:sz w:val="24"/>
    </w:rPr>
  </w:style>
  <w:style w:type="paragraph" w:styleId="affff6">
    <w:name w:val="endnote text"/>
    <w:basedOn w:val="a4"/>
    <w:link w:val="affff7"/>
    <w:uiPriority w:val="99"/>
    <w:semiHidden/>
    <w:unhideWhenUsed/>
    <w:rsid w:val="006252C4"/>
    <w:pPr>
      <w:spacing w:line="240" w:lineRule="auto"/>
    </w:pPr>
    <w:rPr>
      <w:szCs w:val="20"/>
    </w:rPr>
  </w:style>
  <w:style w:type="character" w:customStyle="1" w:styleId="affff7">
    <w:name w:val="טקסט הערת סיום תו"/>
    <w:basedOn w:val="a5"/>
    <w:link w:val="affff6"/>
    <w:uiPriority w:val="99"/>
    <w:semiHidden/>
    <w:rsid w:val="006252C4"/>
    <w:rPr>
      <w:szCs w:val="20"/>
    </w:rPr>
  </w:style>
  <w:style w:type="character" w:styleId="affff8">
    <w:name w:val="endnote reference"/>
    <w:basedOn w:val="a5"/>
    <w:uiPriority w:val="99"/>
    <w:semiHidden/>
    <w:unhideWhenUsed/>
    <w:rsid w:val="006252C4"/>
    <w:rPr>
      <w:vertAlign w:val="superscript"/>
    </w:rPr>
  </w:style>
  <w:style w:type="character" w:styleId="affff9">
    <w:name w:val="Placeholder Text"/>
    <w:basedOn w:val="a5"/>
    <w:uiPriority w:val="99"/>
    <w:semiHidden/>
    <w:rsid w:val="006252C4"/>
    <w:rPr>
      <w:color w:val="808080"/>
    </w:rPr>
  </w:style>
  <w:style w:type="paragraph" w:styleId="affffa">
    <w:name w:val="TOC Heading"/>
    <w:basedOn w:val="11"/>
    <w:next w:val="a4"/>
    <w:uiPriority w:val="39"/>
    <w:unhideWhenUsed/>
    <w:qFormat/>
    <w:rsid w:val="006252C4"/>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1">
    <w:name w:val="toc 1"/>
    <w:basedOn w:val="a4"/>
    <w:next w:val="a4"/>
    <w:autoRedefine/>
    <w:uiPriority w:val="39"/>
    <w:unhideWhenUsed/>
    <w:rsid w:val="006252C4"/>
    <w:pPr>
      <w:spacing w:after="100"/>
    </w:pPr>
  </w:style>
  <w:style w:type="paragraph" w:styleId="TOC2">
    <w:name w:val="toc 2"/>
    <w:basedOn w:val="a4"/>
    <w:next w:val="a4"/>
    <w:autoRedefine/>
    <w:uiPriority w:val="39"/>
    <w:unhideWhenUsed/>
    <w:rsid w:val="006252C4"/>
    <w:pPr>
      <w:spacing w:after="100"/>
      <w:ind w:left="200"/>
    </w:pPr>
  </w:style>
  <w:style w:type="paragraph" w:styleId="TOC3">
    <w:name w:val="toc 3"/>
    <w:basedOn w:val="a4"/>
    <w:next w:val="a4"/>
    <w:autoRedefine/>
    <w:uiPriority w:val="39"/>
    <w:unhideWhenUsed/>
    <w:rsid w:val="006252C4"/>
    <w:pPr>
      <w:spacing w:after="100"/>
      <w:ind w:left="400"/>
    </w:pPr>
  </w:style>
  <w:style w:type="paragraph" w:styleId="TOC4">
    <w:name w:val="toc 4"/>
    <w:basedOn w:val="a4"/>
    <w:next w:val="a4"/>
    <w:autoRedefine/>
    <w:uiPriority w:val="39"/>
    <w:unhideWhenUsed/>
    <w:rsid w:val="006252C4"/>
    <w:pPr>
      <w:spacing w:after="100"/>
      <w:ind w:left="600"/>
    </w:pPr>
  </w:style>
  <w:style w:type="character" w:styleId="affffb">
    <w:name w:val="Strong"/>
    <w:basedOn w:val="a5"/>
    <w:uiPriority w:val="22"/>
    <w:qFormat/>
    <w:rsid w:val="006252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mvdocd2app.mevaker.loc/D2/?docbase=NM_PRD&amp;locateId=090bc09b8461d74c" TargetMode="External"/><Relationship Id="rId26" Type="http://schemas.openxmlformats.org/officeDocument/2006/relationships/hyperlink" Target="http://mvdocd2app.mevaker.loc/D2/?docbase=NM_PRD&amp;locateId=090bc09b8470d3ae" TargetMode="External"/><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tmp"/><Relationship Id="rId50" Type="http://schemas.openxmlformats.org/officeDocument/2006/relationships/image" Target="media/image41.tmp"/><Relationship Id="rId55" Type="http://schemas.openxmlformats.org/officeDocument/2006/relationships/header" Target="header4.xml"/><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tmp"/><Relationship Id="rId53" Type="http://schemas.openxmlformats.org/officeDocument/2006/relationships/image" Target="media/image44.tmp"/><Relationship Id="rId58"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chart" Target="charts/chart1.xml"/><Relationship Id="rId48" Type="http://schemas.openxmlformats.org/officeDocument/2006/relationships/image" Target="media/image39.tmp"/><Relationship Id="rId56"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42.tmp"/><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tmp"/><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header" Target="header3.xm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tmp"/><Relationship Id="rId57" Type="http://schemas.openxmlformats.org/officeDocument/2006/relationships/footer" Target="footer2.xml"/><Relationship Id="rId10" Type="http://schemas.openxmlformats.org/officeDocument/2006/relationships/footer" Target="footer1.xml"/><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media/image43.tmp"/><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mevaker.gov.il/sites/DigitalLibrary/Documents/63a/2012-63a-101-Bituach.pdf" TargetMode="External"/><Relationship Id="rId1" Type="http://schemas.openxmlformats.org/officeDocument/2006/relationships/hyperlink" Target="https://www.mevaker.gov.il/sites/DigitalLibrary/Documents/1950-2008/1997-47/1997-47-106-AnveyZaam.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mvtanas\MVTANAS\Eco%20Division\Agaf_19\&#1514;&#1497;&#1511;&#1497;&#1493;&#1514;%20&#1506;&#1493;&#1489;&#1491;&#1497;&#1501;\&#1497;&#1512;&#1497;&#1489;\&#1511;&#1512;&#1503;%20&#1492;&#1508;&#1497;&#1510;&#1493;&#1497;&#1497;&#1501;\&#1506;&#1512;&#1512;&#1497;&#1501;\&#1502;&#1488;&#1490;&#1512;%20&#1504;&#1514;&#1493;&#1504;&#1497;&#1501;%20-%20&#1506;&#1512;&#1512;&#1497;&#1501;%20&#1500;&#1493;&#1493;&#1506;&#1491;&#1514;%20&#1511;&#1512;&#1503;%20&#1492;&#1508;&#1497;&#1510;&#1493;&#1497;&#1497;&#1501;%20-%20&#1504;&#1493;&#1489;&#1502;&#1489;&#1512;%20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'ניתוח נתונים'!$B$11:$C$11</c:f>
              <c:strCache>
                <c:ptCount val="1"/>
                <c:pt idx="0">
                  <c:v>וועדת ערר קרן הפיצויים</c:v>
                </c:pt>
              </c:strCache>
            </c:strRef>
          </c:tx>
          <c:spPr>
            <a:solidFill>
              <a:srgbClr val="BE2843">
                <a:alpha val="50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lmoni ML v5 AAA" panose="00000500000000000000" pitchFamily="50" charset="-79"/>
                    <a:ea typeface="+mn-ea"/>
                    <a:cs typeface="Almoni ML v5 AAA" panose="00000500000000000000" pitchFamily="50" charset="-79"/>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'ניתוח נתונים'!$A$12:$A$16</c:f>
              <c:strCache>
                <c:ptCount val="5"/>
                <c:pt idx="0">
                  <c:v>מתחת לחצי שנה</c:v>
                </c:pt>
                <c:pt idx="1">
                  <c:v>מעל חצי שנה</c:v>
                </c:pt>
                <c:pt idx="2">
                  <c:v>מעלה שנה</c:v>
                </c:pt>
                <c:pt idx="3">
                  <c:v>מעל 5 שנים</c:v>
                </c:pt>
                <c:pt idx="4">
                  <c:v>מעל 7 שנים</c:v>
                </c:pt>
              </c:strCache>
            </c:strRef>
          </c:cat>
          <c:val>
            <c:numRef>
              <c:f>'ניתוח נתונים'!$C$12:$C$16</c:f>
              <c:numCache>
                <c:formatCode>0%</c:formatCode>
                <c:ptCount val="5"/>
                <c:pt idx="0">
                  <c:v>0.23355263157894737</c:v>
                </c:pt>
                <c:pt idx="1">
                  <c:v>0.14912280701754385</c:v>
                </c:pt>
                <c:pt idx="2">
                  <c:v>0.49232456140350878</c:v>
                </c:pt>
                <c:pt idx="3">
                  <c:v>7.7850877192982462E-2</c:v>
                </c:pt>
                <c:pt idx="4">
                  <c:v>4.7149122807017545E-2</c:v>
                </c:pt>
              </c:numCache>
            </c:numRef>
          </c:val>
          <c:extLst>
            <c:ext xmlns:c16="http://schemas.microsoft.com/office/drawing/2014/chart" uri="{C3380CC4-5D6E-409C-BE32-E72D297353CC}">
              <c16:uniqueId val="{00000000-E391-487A-AAFF-06FC343DAABB}"/>
            </c:ext>
          </c:extLst>
        </c:ser>
        <c:ser>
          <c:idx val="1"/>
          <c:order val="1"/>
          <c:tx>
            <c:strRef>
              <c:f>'ניתוח נתונים'!$D$11:$E$11</c:f>
              <c:strCache>
                <c:ptCount val="1"/>
                <c:pt idx="0">
                  <c:v>וועדת ערר משרד המשפטים</c:v>
                </c:pt>
              </c:strCache>
            </c:strRef>
          </c:tx>
          <c:spPr>
            <a:solidFill>
              <a:srgbClr val="23A09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lmoni ML v5 AAA" panose="00000500000000000000" pitchFamily="50" charset="-79"/>
                    <a:ea typeface="+mn-ea"/>
                    <a:cs typeface="Almoni ML v5 AAA" panose="00000500000000000000" pitchFamily="50" charset="-79"/>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'ניתוח נתונים'!$A$12:$A$16</c:f>
              <c:strCache>
                <c:ptCount val="5"/>
                <c:pt idx="0">
                  <c:v>מתחת לחצי שנה</c:v>
                </c:pt>
                <c:pt idx="1">
                  <c:v>מעל חצי שנה</c:v>
                </c:pt>
                <c:pt idx="2">
                  <c:v>מעלה שנה</c:v>
                </c:pt>
                <c:pt idx="3">
                  <c:v>מעל 5 שנים</c:v>
                </c:pt>
                <c:pt idx="4">
                  <c:v>מעל 7 שנים</c:v>
                </c:pt>
              </c:strCache>
            </c:strRef>
          </c:cat>
          <c:val>
            <c:numRef>
              <c:f>'ניתוח נתונים'!$E$12:$E$16</c:f>
              <c:numCache>
                <c:formatCode>0%</c:formatCode>
                <c:ptCount val="5"/>
                <c:pt idx="0">
                  <c:v>0.860444041685546</c:v>
                </c:pt>
                <c:pt idx="1">
                  <c:v>0.11871318531943816</c:v>
                </c:pt>
                <c:pt idx="2">
                  <c:v>2.0842772995015857E-2</c:v>
                </c:pt>
                <c:pt idx="3">
                  <c:v>0</c:v>
                </c:pt>
                <c:pt idx="4">
                  <c:v>0</c:v>
                </c:pt>
              </c:numCache>
            </c:numRef>
          </c:val>
          <c:extLst>
            <c:ext xmlns:c16="http://schemas.microsoft.com/office/drawing/2014/chart" uri="{C3380CC4-5D6E-409C-BE32-E72D297353CC}">
              <c16:uniqueId val="{00000001-E391-487A-AAFF-06FC343DAABB}"/>
            </c:ext>
          </c:extLst>
        </c:ser>
        <c:dLbls>
          <c:showLegendKey val="0"/>
          <c:showVal val="0"/>
          <c:showCatName val="0"/>
          <c:showSerName val="0"/>
          <c:showPercent val="0"/>
          <c:showBubbleSize val="0"/>
        </c:dLbls>
        <c:gapWidth val="219"/>
        <c:overlap val="-27"/>
        <c:axId val="972251152"/>
        <c:axId val="977300672"/>
      </c:barChart>
      <c:catAx>
        <c:axId val="97225115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lmoni ML v5 AAA" panose="00000500000000000000" pitchFamily="50" charset="-79"/>
                <a:ea typeface="+mn-ea"/>
                <a:cs typeface="Almoni ML v5 AAA" panose="00000500000000000000" pitchFamily="50" charset="-79"/>
              </a:defRPr>
            </a:pPr>
            <a:endParaRPr lang="he-IL"/>
          </a:p>
        </c:txPr>
        <c:crossAx val="977300672"/>
        <c:crosses val="autoZero"/>
        <c:auto val="1"/>
        <c:lblAlgn val="ctr"/>
        <c:lblOffset val="100"/>
        <c:noMultiLvlLbl val="0"/>
      </c:catAx>
      <c:valAx>
        <c:axId val="977300672"/>
        <c:scaling>
          <c:orientation val="minMax"/>
          <c:max val="0.9"/>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lmoni ML v5 AAA" panose="00000500000000000000" pitchFamily="50" charset="-79"/>
                <a:ea typeface="+mn-ea"/>
                <a:cs typeface="Almoni ML v5 AAA" panose="00000500000000000000" pitchFamily="50" charset="-79"/>
              </a:defRPr>
            </a:pPr>
            <a:endParaRPr lang="he-IL"/>
          </a:p>
        </c:txPr>
        <c:crossAx val="97225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lmoni ML v5 AAA" panose="00000500000000000000" pitchFamily="50" charset="-79"/>
              <a:ea typeface="+mn-ea"/>
              <a:cs typeface="Almoni ML v5 AAA" panose="00000500000000000000" pitchFamily="50" charset="-79"/>
            </a:defRPr>
          </a:pPr>
          <a:endParaRPr lang="he-IL"/>
        </a:p>
      </c:txPr>
    </c:legend>
    <c:plotVisOnly val="1"/>
    <c:dispBlanksAs val="gap"/>
    <c:showDLblsOverMax val="0"/>
  </c:chart>
  <c:spPr>
    <a:solidFill>
      <a:schemeClr val="bg1"/>
    </a:solidFill>
    <a:ln w="9525">
      <a:noFill/>
      <a:round/>
    </a:ln>
    <a:effectLst/>
  </c:spPr>
  <c:txPr>
    <a:bodyPr/>
    <a:lstStyle/>
    <a:p>
      <a:pPr>
        <a:defRPr>
          <a:latin typeface="Almoni ML v5 AAA" panose="00000500000000000000" pitchFamily="50" charset="-79"/>
          <a:cs typeface="Almoni ML v5 AAA" panose="00000500000000000000" pitchFamily="50" charset="-79"/>
        </a:defRPr>
      </a:pPr>
      <a:endParaRPr lang="he-I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04206B5-7B72-4F89-A558-710F8AFB2538}">
  <ds:schemaRefs>
    <ds:schemaRef ds:uri="http://schemas.openxmlformats.org/officeDocument/2006/bibliography"/>
  </ds:schemaRefs>
</ds:datastoreItem>
</file>

<file path=customXml/itemProps2.xml><?xml version="1.0" encoding="utf-8"?>
<ds:datastoreItem xmlns:ds="http://schemas.openxmlformats.org/officeDocument/2006/customXml" ds:itemID="{FC6CFE7A-B894-4C4E-859B-FC5F08459A67}"/>
</file>

<file path=customXml/itemProps3.xml><?xml version="1.0" encoding="utf-8"?>
<ds:datastoreItem xmlns:ds="http://schemas.openxmlformats.org/officeDocument/2006/customXml" ds:itemID="{EB8A7689-B815-48C8-A515-CED392874FD1}"/>
</file>

<file path=customXml/itemProps4.xml><?xml version="1.0" encoding="utf-8"?>
<ds:datastoreItem xmlns:ds="http://schemas.openxmlformats.org/officeDocument/2006/customXml" ds:itemID="{00F49108-9669-4A8A-B1F4-892536F4BBD6}"/>
</file>

<file path=docProps/app.xml><?xml version="1.0" encoding="utf-8"?>
<Properties xmlns="http://schemas.openxmlformats.org/officeDocument/2006/extended-properties" xmlns:vt="http://schemas.openxmlformats.org/officeDocument/2006/docPropsVTypes">
  <Template>Normal</Template>
  <TotalTime>419</TotalTime>
  <Pages>104</Pages>
  <Words>25095</Words>
  <Characters>125478</Characters>
  <Application>Microsoft Office Word</Application>
  <DocSecurity>0</DocSecurity>
  <Lines>1045</Lines>
  <Paragraphs>300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מירב יקיר</dc:creator>
  <cp:lastModifiedBy>הילה לוי</cp:lastModifiedBy>
  <cp:revision>12</cp:revision>
  <dcterms:created xsi:type="dcterms:W3CDTF">2025-12-30T07:11:00Z</dcterms:created>
  <dcterms:modified xsi:type="dcterms:W3CDTF">2026-01-01T07:52:00Z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