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14E" w:rsidRPr="00E019DA" w:rsidRDefault="00771278" w:rsidP="006E1414">
      <w:pPr>
        <w:spacing w:before="3480" w:after="2040" w:line="800" w:lineRule="exact"/>
        <w:jc w:val="center"/>
        <w:rPr>
          <w:rFonts w:ascii="Tahoma" w:hAnsi="Tahoma" w:cs="Tahoma"/>
          <w:b/>
          <w:bCs/>
          <w:color w:val="002060"/>
          <w:sz w:val="80"/>
          <w:szCs w:val="80"/>
          <w:rtl/>
        </w:rPr>
        <w:sectPr w:rsidR="00FB414E" w:rsidRPr="00E019DA" w:rsidSect="00FB414E">
          <w:headerReference w:type="default" r:id="rId8"/>
          <w:headerReference w:type="first" r:id="rId9"/>
          <w:footerReference w:type="first" r:id="rId10"/>
          <w:pgSz w:w="11340" w:h="14175" w:code="9"/>
          <w:pgMar w:top="2268" w:right="1276" w:bottom="1588" w:left="1134" w:header="709" w:footer="709" w:gutter="0"/>
          <w:cols w:space="708"/>
          <w:titlePg/>
          <w:bidi/>
          <w:rtlGutter/>
          <w:docGrid w:linePitch="360"/>
        </w:sectPr>
      </w:pPr>
      <w:bookmarkStart w:id="0" w:name="_Hlk217991499"/>
      <w:bookmarkEnd w:id="0"/>
      <w:r w:rsidRPr="00E019DA">
        <w:rPr>
          <w:rFonts w:ascii="Tahoma" w:hAnsi="Tahoma" w:cs="Tahoma"/>
          <w:b/>
          <w:bCs/>
          <w:color w:val="002060"/>
          <w:sz w:val="80"/>
          <w:szCs w:val="80"/>
          <w:rtl/>
        </w:rPr>
        <w:t>מיגון בתי חולים</w:t>
      </w:r>
    </w:p>
    <w:p w:rsidR="00291629" w:rsidRPr="00E019DA" w:rsidRDefault="009961E8" w:rsidP="00A30B00">
      <w:pPr>
        <w:spacing w:after="160" w:line="259" w:lineRule="auto"/>
        <w:jc w:val="left"/>
        <w:rPr>
          <w:rFonts w:ascii="Tahoma" w:hAnsi="Tahoma" w:cs="Tahoma"/>
          <w:sz w:val="19"/>
          <w:szCs w:val="19"/>
          <w:rtl/>
        </w:rPr>
      </w:pPr>
      <w:bookmarkStart w:id="1" w:name="_Hlk192594390"/>
      <w:r w:rsidRPr="00E019DA">
        <w:rPr>
          <w:rFonts w:ascii="Tahoma" w:hAnsi="Tahoma" w:cs="Tahoma"/>
          <w:sz w:val="19"/>
          <w:szCs w:val="19"/>
          <w:rtl/>
        </w:rPr>
        <w:lastRenderedPageBreak/>
        <w:br w:type="page"/>
      </w:r>
    </w:p>
    <w:p w:rsidR="00C4789A" w:rsidRPr="00E019DA" w:rsidRDefault="00C4789A" w:rsidP="00A30B00">
      <w:pPr>
        <w:spacing w:after="160" w:line="259" w:lineRule="auto"/>
        <w:jc w:val="left"/>
        <w:rPr>
          <w:rFonts w:ascii="Tahoma" w:hAnsi="Tahoma" w:cs="Tahoma"/>
          <w:sz w:val="19"/>
          <w:szCs w:val="19"/>
          <w:rtl/>
        </w:rPr>
        <w:sectPr w:rsidR="00C4789A" w:rsidRPr="00E019DA" w:rsidSect="008654CB">
          <w:headerReference w:type="even" r:id="rId11"/>
          <w:headerReference w:type="default" r:id="rId12"/>
          <w:headerReference w:type="first" r:id="rId13"/>
          <w:footerReference w:type="first" r:id="rId14"/>
          <w:pgSz w:w="11340" w:h="14175" w:code="9"/>
          <w:pgMar w:top="2268" w:right="1276" w:bottom="1588" w:left="1134" w:header="709" w:footer="709" w:gutter="0"/>
          <w:cols w:space="708"/>
          <w:titlePg/>
          <w:bidi/>
          <w:rtlGutter/>
          <w:docGrid w:linePitch="360"/>
        </w:sectPr>
      </w:pPr>
    </w:p>
    <w:bookmarkEnd w:id="1"/>
    <w:tbl>
      <w:tblPr>
        <w:tblStyle w:val="af4"/>
        <w:tblpPr w:leftFromText="180" w:rightFromText="180" w:vertAnchor="text" w:tblpXSpec="center" w:tblpY="1"/>
        <w:tblOverlap w:val="never"/>
        <w:bidiVisual/>
        <w:tblW w:w="9076"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6"/>
      </w:tblGrid>
      <w:tr w:rsidR="00BD2291" w:rsidRPr="00E019DA" w:rsidTr="00493AB8">
        <w:trPr>
          <w:trHeight w:val="77"/>
        </w:trPr>
        <w:tc>
          <w:tcPr>
            <w:tcW w:w="9076" w:type="dxa"/>
          </w:tcPr>
          <w:p w:rsidR="00C4789A" w:rsidRPr="00E019DA" w:rsidRDefault="00C4789A" w:rsidP="00493AB8">
            <w:pPr>
              <w:tabs>
                <w:tab w:val="left" w:pos="1122"/>
              </w:tabs>
              <w:spacing w:line="288" w:lineRule="auto"/>
              <w:jc w:val="left"/>
              <w:rPr>
                <w:rFonts w:ascii="Tahoma" w:hAnsi="Tahoma" w:cs="Tahoma"/>
                <w:sz w:val="2"/>
                <w:szCs w:val="4"/>
                <w:rtl/>
              </w:rPr>
            </w:pPr>
          </w:p>
        </w:tc>
      </w:tr>
      <w:tr w:rsidR="00BD2291" w:rsidRPr="00E019DA" w:rsidTr="00493AB8">
        <w:trPr>
          <w:trHeight w:val="1644"/>
        </w:trPr>
        <w:tc>
          <w:tcPr>
            <w:tcW w:w="9076" w:type="dxa"/>
          </w:tcPr>
          <w:p w:rsidR="00C4789A" w:rsidRPr="00E019DA" w:rsidRDefault="00771278" w:rsidP="00493AB8">
            <w:pPr>
              <w:spacing w:before="120" w:line="288" w:lineRule="auto"/>
              <w:jc w:val="left"/>
              <w:rPr>
                <w:rFonts w:ascii="Tahoma" w:hAnsi="Tahoma" w:cs="Tahoma"/>
                <w:b/>
                <w:bCs/>
                <w:sz w:val="40"/>
                <w:szCs w:val="40"/>
                <w:rtl/>
              </w:rPr>
            </w:pPr>
            <w:r w:rsidRPr="00E019DA">
              <w:rPr>
                <w:rFonts w:ascii="Tahoma" w:hAnsi="Tahoma" w:cs="Tahoma"/>
                <w:b/>
                <w:bCs/>
                <w:sz w:val="40"/>
                <w:szCs w:val="40"/>
                <w:rtl/>
              </w:rPr>
              <w:t>מיגון בתי חולים</w:t>
            </w:r>
          </w:p>
          <w:p w:rsidR="00C4789A" w:rsidRPr="00E019DA" w:rsidRDefault="009961E8" w:rsidP="00493AB8">
            <w:pPr>
              <w:spacing w:before="120" w:line="288" w:lineRule="auto"/>
              <w:jc w:val="left"/>
              <w:rPr>
                <w:rFonts w:ascii="Tahoma" w:hAnsi="Tahoma" w:cs="Tahoma"/>
              </w:rPr>
            </w:pPr>
            <w:r w:rsidRPr="00E019DA">
              <w:rPr>
                <w:rFonts w:ascii="Tahoma" w:hAnsi="Tahoma" w:cs="Tahoma"/>
                <w:sz w:val="36"/>
                <w:szCs w:val="36"/>
                <w:rtl/>
              </w:rPr>
              <w:t>תקציר</w:t>
            </w:r>
          </w:p>
          <w:p w:rsidR="00C4789A" w:rsidRPr="00E019DA" w:rsidRDefault="00C4789A" w:rsidP="00493AB8">
            <w:pPr>
              <w:spacing w:line="288" w:lineRule="auto"/>
              <w:ind w:left="-851"/>
              <w:jc w:val="left"/>
              <w:rPr>
                <w:rFonts w:ascii="Tahoma" w:hAnsi="Tahoma" w:cs="Tahoma"/>
                <w:rtl/>
              </w:rPr>
            </w:pPr>
          </w:p>
        </w:tc>
      </w:tr>
    </w:tbl>
    <w:p w:rsidR="00C4789A" w:rsidRPr="00E019DA" w:rsidRDefault="009961E8" w:rsidP="00C4789A">
      <w:pPr>
        <w:spacing w:line="288" w:lineRule="auto"/>
        <w:ind w:left="-284"/>
        <w:rPr>
          <w:rFonts w:ascii="Tahoma" w:hAnsi="Tahoma" w:cs="Tahoma"/>
          <w:rtl/>
        </w:rPr>
      </w:pPr>
      <w:r w:rsidRPr="00E019DA">
        <w:rPr>
          <w:rFonts w:ascii="Tahoma" w:hAnsi="Tahoma" w:cs="Tahoma"/>
          <w:noProof/>
          <w:rtl/>
        </w:rPr>
        <w:drawing>
          <wp:inline distT="0" distB="0" distL="0" distR="0">
            <wp:extent cx="1638300" cy="411480"/>
            <wp:effectExtent l="0" t="0" r="0"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קציר-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inline>
        </w:drawing>
      </w:r>
    </w:p>
    <w:p w:rsidR="00771278" w:rsidRPr="00E019DA" w:rsidRDefault="00771278" w:rsidP="001E4270">
      <w:pPr>
        <w:pStyle w:val="739"/>
        <w:spacing w:after="120"/>
        <w:rPr>
          <w:sz w:val="19"/>
          <w:szCs w:val="19"/>
          <w:rtl/>
        </w:rPr>
      </w:pPr>
      <w:r w:rsidRPr="00E019DA">
        <w:rPr>
          <w:sz w:val="19"/>
          <w:szCs w:val="19"/>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 415 חיילים ואנשי כוחות הביטחון נפלו בקרבות ו-905 אזרחים ישראלים וזרים נרצחו. המחבלים ביצעו פשעים מחרידים בנשים, בגברים, בקשישים ובילדים, בחיילות ובחיילים, בהם גם 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וכן אזרחים זרים. הם פגעו גם ברכוש - הרסו, שרפו והשמידו בתים ומפעלים ופגעו בציוד. באותו היום בשעה 8:00 הכריז שר הביטחון על "מצב מיוחד בעורף" (עיתות חירום או שע"ח); ב-8.10.23 הכריזה ועדת השרים לענייני ביטחון לאומי (הקבינט המדיני-ביטחוני) על נקיטת פעולות צבאיות משמעותיות - מלחמת חרבות ברזל.</w:t>
      </w:r>
    </w:p>
    <w:p w:rsidR="00771278" w:rsidRPr="00E019DA" w:rsidRDefault="00771278" w:rsidP="001E4270">
      <w:pPr>
        <w:pStyle w:val="739"/>
        <w:spacing w:after="120"/>
        <w:rPr>
          <w:sz w:val="19"/>
          <w:szCs w:val="19"/>
          <w:rtl/>
        </w:rPr>
      </w:pPr>
      <w:r w:rsidRPr="00E019DA">
        <w:rPr>
          <w:sz w:val="19"/>
          <w:szCs w:val="19"/>
          <w:rtl/>
        </w:rPr>
        <w:t xml:space="preserve">בעת הכרזה על "מצב מיוחד בעורף", מערך האשפוז נותן מענה לנפגעים מקרב האוכלוסייה האזרחית ולחיילים; והוא נדרש לתפקד בתנאים חריגים, ובכלל זה לספק הגנה על חיי הצוותים הרפואיים והמטופלים השוהים בבתי החולים. </w:t>
      </w:r>
    </w:p>
    <w:p w:rsidR="00771278" w:rsidRPr="00E019DA" w:rsidRDefault="00771278" w:rsidP="001E4270">
      <w:pPr>
        <w:pStyle w:val="739"/>
        <w:spacing w:after="120"/>
        <w:rPr>
          <w:sz w:val="19"/>
          <w:szCs w:val="19"/>
          <w:rtl/>
        </w:rPr>
      </w:pPr>
      <w:r w:rsidRPr="00E019DA">
        <w:rPr>
          <w:sz w:val="19"/>
          <w:szCs w:val="19"/>
          <w:rtl/>
        </w:rPr>
        <w:t xml:space="preserve">אי-תפקודה של מערכת האשפוז בהיקף הנדרש עלול להביא לפגיעה בחוסן </w:t>
      </w:r>
      <w:r w:rsidR="009C3E62" w:rsidRPr="00E019DA">
        <w:rPr>
          <w:sz w:val="19"/>
          <w:szCs w:val="19"/>
          <w:rtl/>
        </w:rPr>
        <w:t xml:space="preserve">של </w:t>
      </w:r>
      <w:r w:rsidRPr="00E019DA">
        <w:rPr>
          <w:sz w:val="19"/>
          <w:szCs w:val="19"/>
          <w:rtl/>
        </w:rPr>
        <w:t xml:space="preserve">העורף </w:t>
      </w:r>
      <w:r w:rsidR="009C3E62" w:rsidRPr="00E019DA">
        <w:rPr>
          <w:sz w:val="19"/>
          <w:szCs w:val="19"/>
          <w:rtl/>
        </w:rPr>
        <w:t xml:space="preserve">וביכולתו </w:t>
      </w:r>
      <w:r w:rsidRPr="00E019DA">
        <w:rPr>
          <w:sz w:val="19"/>
          <w:szCs w:val="19"/>
          <w:rtl/>
        </w:rPr>
        <w:t>להתמודד עם מצבי החירום וגם ביכולת הלחימה בחזית. תנאי בסיסי להבטחת רציפות התפקוד של מערך האשפוז בעיתות חירום ולהבטחת היכולת למתן סיוע רפואי לנפגעים הוא המיגון, כמרכיב במסגרת ההיערכות למלחמה. בדוחות קודמים התייחס משרד מבקר המדינה להיערכות מערכת הבריאות בישראל לעיתות חירום, ובפרט בנושא מיגון בתי החולים, והדגיש שבשעת מלחמה גוברת החשיבות של מיגון המוסדות הרפואיים.</w:t>
      </w:r>
    </w:p>
    <w:p w:rsidR="00771278" w:rsidRPr="00E019DA" w:rsidRDefault="00771278" w:rsidP="001E4270">
      <w:pPr>
        <w:pStyle w:val="739"/>
        <w:spacing w:after="120"/>
        <w:rPr>
          <w:sz w:val="19"/>
          <w:szCs w:val="19"/>
          <w:rtl/>
        </w:rPr>
      </w:pPr>
      <w:r w:rsidRPr="00E019DA">
        <w:rPr>
          <w:sz w:val="19"/>
          <w:szCs w:val="19"/>
          <w:rtl/>
        </w:rPr>
        <w:t xml:space="preserve">משרד הבריאות אחראי כמאסדר למתן שירותי רפואה ובריאות לתושבי המדינה. הרשות העליונה לאשפוז ובריאות לשעת חירום היא רשות ייעודית הפועלת בסמכות משרד הבריאות ובהסמכת ועדת המשק העליונה לשעת חירום, אשר נועדה להבטיח את הפעלת המשק החיוני בתחומי הבריאות והספקת המוצרים והשירותים החיוניים לאוכלוסייה ולצה"ל בעיתות חירום. האגף לשעת חירום </w:t>
      </w:r>
      <w:r w:rsidR="002518F4" w:rsidRPr="00E019DA">
        <w:rPr>
          <w:sz w:val="19"/>
          <w:szCs w:val="19"/>
          <w:rtl/>
        </w:rPr>
        <w:t xml:space="preserve">במשרד הבריאות </w:t>
      </w:r>
      <w:r w:rsidRPr="00E019DA">
        <w:rPr>
          <w:sz w:val="19"/>
          <w:szCs w:val="19"/>
          <w:rtl/>
        </w:rPr>
        <w:t>(האגף לשע"ח), הוא בעל הסמכות המקצועית להכנה ולהיערכות לעיתות חירום של מערכת הבריאות על כל מוסדותיה ומערכיה: אשפוז, קהילה (קופות החולים) ומ</w:t>
      </w:r>
      <w:r w:rsidR="002518F4" w:rsidRPr="00E019DA">
        <w:rPr>
          <w:sz w:val="19"/>
          <w:szCs w:val="19"/>
          <w:rtl/>
        </w:rPr>
        <w:t>גן דוד אדום</w:t>
      </w:r>
      <w:r w:rsidRPr="00E019DA">
        <w:rPr>
          <w:sz w:val="19"/>
          <w:szCs w:val="19"/>
          <w:rtl/>
        </w:rPr>
        <w:t xml:space="preserve">. פיקוד העורף בצה"ל (פקע"ר) אחראי לתחום המיגון במדינת ישראל, מתוקף חוק ההתגוננות האזרחית, התשי"א-1951 (חוק הג"א). </w:t>
      </w:r>
    </w:p>
    <w:p w:rsidR="00771278" w:rsidRPr="00E019DA" w:rsidRDefault="00771278" w:rsidP="001E4270">
      <w:pPr>
        <w:pStyle w:val="739"/>
        <w:spacing w:after="120"/>
        <w:rPr>
          <w:sz w:val="19"/>
          <w:szCs w:val="19"/>
          <w:rtl/>
        </w:rPr>
      </w:pPr>
      <w:r w:rsidRPr="00E019DA">
        <w:rPr>
          <w:sz w:val="19"/>
          <w:szCs w:val="19"/>
          <w:rtl/>
        </w:rPr>
        <w:t xml:space="preserve">פקע"ר קבע את נורמות המיגון בבתי חולים בתקנות ההתגוננות האזרחית (מפרטים לבניית מקלטים), (תיקון), התשע"ג-2013 (תקנות הג"א); התיקון קובע, בין היתר, את עקרונות התכן למרחב מוגן ייעודי במוסד בריאות. </w:t>
      </w:r>
      <w:r w:rsidRPr="00E019DA">
        <w:rPr>
          <w:sz w:val="19"/>
          <w:szCs w:val="19"/>
          <w:rtl/>
        </w:rPr>
        <w:lastRenderedPageBreak/>
        <w:t>יודגש כי נורמות המיגון חלות רק על מבנים חדשים שנבנו במוסדות בריאות החל מיום התיקון לתקנות (2013), וכן כי המיגון הקיים במוסדות הבריאות לפי התקנות נועד להגן מפני הדף ורסיסים, ולא מפני פגיעה ישירה של טילים.</w:t>
      </w:r>
    </w:p>
    <w:p w:rsidR="00771278" w:rsidRPr="00E019DA" w:rsidRDefault="00771278" w:rsidP="001E4270">
      <w:pPr>
        <w:pStyle w:val="739"/>
        <w:spacing w:after="120"/>
        <w:rPr>
          <w:sz w:val="19"/>
          <w:szCs w:val="19"/>
          <w:rtl/>
        </w:rPr>
      </w:pPr>
      <w:r w:rsidRPr="00E019DA">
        <w:rPr>
          <w:sz w:val="19"/>
          <w:szCs w:val="19"/>
          <w:rtl/>
        </w:rPr>
        <w:t xml:space="preserve">"פערי המיגון" פירושם היקף השטחים בבתי החולים שאינם מוגנים באופן שפקע"ר קבע כרמת מיגון מספקת בעיתות חירום. פערים אלו פוגעים ביכולת בתי החולים להגן על חיי המטופלים </w:t>
      </w:r>
      <w:r w:rsidR="00043627" w:rsidRPr="00E019DA">
        <w:rPr>
          <w:sz w:val="19"/>
          <w:szCs w:val="19"/>
          <w:rtl/>
        </w:rPr>
        <w:t>ו</w:t>
      </w:r>
      <w:r w:rsidRPr="00E019DA">
        <w:rPr>
          <w:sz w:val="19"/>
          <w:szCs w:val="19"/>
          <w:rtl/>
        </w:rPr>
        <w:t xml:space="preserve">הצוותים הרפואיים, הסיעודיים והאחרים, וכן ביכולתם לשמר רציפות טיפול ותפקוד. פערי המיגון נובעים, בין היתר, מהעובדה שמבנים רבים בבתי החולים נבנו לפני התקנת תקנות הג"א בשנת 2013. </w:t>
      </w:r>
    </w:p>
    <w:p w:rsidR="00771278" w:rsidRPr="00E019DA" w:rsidRDefault="00771278" w:rsidP="001E4270">
      <w:pPr>
        <w:pStyle w:val="739"/>
        <w:spacing w:after="120"/>
        <w:rPr>
          <w:sz w:val="19"/>
          <w:szCs w:val="19"/>
          <w:rtl/>
        </w:rPr>
      </w:pPr>
      <w:r w:rsidRPr="00E019DA">
        <w:rPr>
          <w:sz w:val="19"/>
          <w:szCs w:val="19"/>
          <w:rtl/>
        </w:rPr>
        <w:t xml:space="preserve">במכתב של מבקר המדינה לראש הממשלה מנובמבר 2023 הצביע מבקר המדינה על הכשלים והפערים המרכזיים בטיפול בעורף האזרחי, כפי שעלו מסיוריו ביישובים הקרובים לגבול, ברשויות המקומיות ובבתי החולים, מייד לאחר אירועי שבעה באוקטובר. מבקר המדינה ציין במכתבו שמהסיורים בבתי חולים מסוימים עלו פערי מיגון הנדרשים לטיפול באופן מידי, בדגש על חדרי טיפול מצילי חיים. בנוגע לצמצום מערך הטיפול האלקטיבי בבתי החולים לטובת אשפוז פצועי מלחמה ובמסגרת היערכותם למצב החירום, מבקר המדינה המליץ לגבש מתכונת טיפול בקהילה חלף </w:t>
      </w:r>
      <w:r w:rsidR="00043627" w:rsidRPr="00E019DA">
        <w:rPr>
          <w:sz w:val="19"/>
          <w:szCs w:val="19"/>
          <w:rtl/>
        </w:rPr>
        <w:t>ה</w:t>
      </w:r>
      <w:r w:rsidRPr="00E019DA">
        <w:rPr>
          <w:sz w:val="19"/>
          <w:szCs w:val="19"/>
          <w:rtl/>
        </w:rPr>
        <w:t xml:space="preserve">טיפולים שבתי החולים אינם מעניקים. </w:t>
      </w:r>
    </w:p>
    <w:p w:rsidR="00771278" w:rsidRPr="00E019DA" w:rsidRDefault="00771278" w:rsidP="001E4270">
      <w:pPr>
        <w:pStyle w:val="739"/>
        <w:spacing w:after="120"/>
        <w:rPr>
          <w:sz w:val="19"/>
          <w:szCs w:val="19"/>
          <w:rtl/>
        </w:rPr>
      </w:pPr>
      <w:r w:rsidRPr="00E019DA">
        <w:rPr>
          <w:sz w:val="19"/>
          <w:szCs w:val="19"/>
          <w:rtl/>
        </w:rPr>
        <w:t xml:space="preserve">ואכן, ההשפעות של פערי המיגון באו לידי ביטוי באירוע </w:t>
      </w:r>
      <w:r w:rsidR="00043627" w:rsidRPr="00E019DA">
        <w:rPr>
          <w:sz w:val="19"/>
          <w:szCs w:val="19"/>
          <w:rtl/>
        </w:rPr>
        <w:t xml:space="preserve">שבו נפל </w:t>
      </w:r>
      <w:r w:rsidRPr="00E019DA">
        <w:rPr>
          <w:sz w:val="19"/>
          <w:szCs w:val="19"/>
          <w:rtl/>
        </w:rPr>
        <w:t xml:space="preserve">בבית החולים סורוקה בבאר שבע </w:t>
      </w:r>
      <w:r w:rsidR="00043627" w:rsidRPr="00E019DA">
        <w:rPr>
          <w:sz w:val="19"/>
          <w:szCs w:val="19"/>
          <w:rtl/>
        </w:rPr>
        <w:t>טיל ש</w:t>
      </w:r>
      <w:r w:rsidRPr="00E019DA">
        <w:rPr>
          <w:sz w:val="19"/>
          <w:szCs w:val="19"/>
          <w:rtl/>
        </w:rPr>
        <w:t>שוגר מאירן ב-19.6.25 (לאחר סיום הביקורת) במהלך מבצע עם כְּלָבִיא. בעקבות נפילת הטיל - שאומנם לא גבה חיי אדם, בשל העברת המטופלים מבעוד מועד - בבניין שיש בו אזורים שאינם מוגנים ולנוכח הנזק שנגרם בגינו, הלכה למעשה נפגעה קשות הרציפות התפקודית של בית החולים</w:t>
      </w:r>
      <w:r w:rsidR="00CA37DE" w:rsidRPr="00E019DA">
        <w:rPr>
          <w:sz w:val="19"/>
          <w:szCs w:val="19"/>
          <w:rtl/>
        </w:rPr>
        <w:t>,</w:t>
      </w:r>
      <w:r w:rsidRPr="00E019DA">
        <w:rPr>
          <w:sz w:val="19"/>
          <w:szCs w:val="19"/>
          <w:rtl/>
        </w:rPr>
        <w:t xml:space="preserve"> ונפגמה היכולת שלו להמשיך לתפקד באופן רציף ויעיל לאספקת שירותי רפואה חיוניים ולטיפול בחולים.</w:t>
      </w:r>
    </w:p>
    <w:p w:rsidR="00771278" w:rsidRPr="00E019DA" w:rsidRDefault="00771278" w:rsidP="00771278">
      <w:pPr>
        <w:pStyle w:val="739"/>
        <w:rPr>
          <w:sz w:val="19"/>
          <w:szCs w:val="19"/>
          <w:rtl/>
        </w:rPr>
      </w:pPr>
      <w:r w:rsidRPr="00E019DA">
        <w:rPr>
          <w:sz w:val="19"/>
          <w:szCs w:val="19"/>
          <w:rtl/>
        </w:rPr>
        <w:t>החל משנת 2016 מבצע פקע"ר סקרי מיגון בבתי חולים כלליים ובבתי חולים לאשפוז המשכי (פסיכיאטריים, גריאטריים ושיקומיים), שבמסגרתם ממופות רמות המיגון של כלל אתרי בתי החולים. רמות המיגון מסווגות לפי מנעד הנדסי המעיד על יכולת האתר לעמוד בפני פגיעה מאמצעי הלחימה. על בסיס סקרים אלו מגבשים בתי החולים תוכנית פעולה מפורטת הכוללת הנחיות התגוננות (תיק חירום). שיטה זו מאפשרת תכנון מוקדם לתפקוד בתי החולים בעיתות חירום והפחתה משמעותית של תוחלת הנזק.</w:t>
      </w:r>
    </w:p>
    <w:p w:rsidR="001E4270" w:rsidRPr="00E019DA" w:rsidRDefault="001E4270" w:rsidP="00771278">
      <w:pPr>
        <w:pStyle w:val="739"/>
        <w:rPr>
          <w:rtl/>
        </w:rPr>
      </w:pPr>
    </w:p>
    <w:p w:rsidR="001E4270" w:rsidRPr="00E019DA" w:rsidRDefault="001E4270" w:rsidP="00771278">
      <w:pPr>
        <w:pStyle w:val="739"/>
        <w:rPr>
          <w:rtl/>
        </w:rPr>
      </w:pPr>
    </w:p>
    <w:p w:rsidR="001E4270" w:rsidRPr="00E019DA" w:rsidRDefault="001E4270" w:rsidP="00771278">
      <w:pPr>
        <w:pStyle w:val="739"/>
        <w:rPr>
          <w:rtl/>
        </w:rPr>
      </w:pPr>
    </w:p>
    <w:p w:rsidR="001E4270" w:rsidRPr="00E019DA" w:rsidRDefault="001E4270" w:rsidP="00771278">
      <w:pPr>
        <w:pStyle w:val="739"/>
        <w:rPr>
          <w:rtl/>
        </w:rPr>
      </w:pPr>
    </w:p>
    <w:p w:rsidR="001E4270" w:rsidRPr="00E019DA" w:rsidRDefault="001E4270" w:rsidP="00771278">
      <w:pPr>
        <w:pStyle w:val="739"/>
        <w:rPr>
          <w:rtl/>
        </w:rPr>
      </w:pPr>
    </w:p>
    <w:p w:rsidR="001E4270" w:rsidRPr="00E019DA" w:rsidRDefault="001E4270" w:rsidP="00771278">
      <w:pPr>
        <w:pStyle w:val="739"/>
        <w:rPr>
          <w:rtl/>
        </w:rPr>
      </w:pPr>
    </w:p>
    <w:p w:rsidR="001E4270" w:rsidRPr="00E019DA" w:rsidRDefault="001E4270" w:rsidP="00771278">
      <w:pPr>
        <w:pStyle w:val="739"/>
        <w:rPr>
          <w:rtl/>
        </w:rPr>
      </w:pPr>
    </w:p>
    <w:p w:rsidR="001E4270" w:rsidRPr="00E019DA" w:rsidRDefault="001E4270" w:rsidP="00771278">
      <w:pPr>
        <w:pStyle w:val="739"/>
        <w:rPr>
          <w:rtl/>
        </w:rPr>
      </w:pPr>
    </w:p>
    <w:p w:rsidR="001E4270" w:rsidRPr="00E019DA" w:rsidRDefault="001E4270" w:rsidP="00771278">
      <w:pPr>
        <w:pStyle w:val="739"/>
        <w:rPr>
          <w:rtl/>
        </w:rPr>
      </w:pPr>
      <w:r w:rsidRPr="00E019DA">
        <w:rPr>
          <w:noProof/>
          <w:szCs w:val="20"/>
          <w:rtl/>
        </w:rPr>
        <w:lastRenderedPageBreak/>
        <w:drawing>
          <wp:anchor distT="0" distB="0" distL="114300" distR="114300" simplePos="0" relativeHeight="251662336" behindDoc="0" locked="0" layoutInCell="1" allowOverlap="1" wp14:anchorId="18F4B018" wp14:editId="7E14518C">
            <wp:simplePos x="0" y="0"/>
            <wp:positionH relativeFrom="column">
              <wp:posOffset>337432</wp:posOffset>
            </wp:positionH>
            <wp:positionV relativeFrom="paragraph">
              <wp:posOffset>-994</wp:posOffset>
            </wp:positionV>
            <wp:extent cx="5680821" cy="761289"/>
            <wp:effectExtent l="0" t="0" r="0" b="1270"/>
            <wp:wrapNone/>
            <wp:docPr id="3"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7429" cy="786296"/>
                    </a:xfrm>
                    <a:prstGeom prst="rect">
                      <a:avLst/>
                    </a:prstGeom>
                  </pic:spPr>
                </pic:pic>
              </a:graphicData>
            </a:graphic>
            <wp14:sizeRelH relativeFrom="margin">
              <wp14:pctWidth>0</wp14:pctWidth>
            </wp14:sizeRelH>
            <wp14:sizeRelV relativeFrom="margin">
              <wp14:pctHeight>0</wp14:pctHeight>
            </wp14:sizeRelV>
          </wp:anchor>
        </w:drawing>
      </w:r>
      <w:r w:rsidRPr="00E019DA">
        <w:rPr>
          <w:noProof/>
          <w:color w:val="auto"/>
          <w:sz w:val="20"/>
          <w:szCs w:val="20"/>
          <w:rtl/>
        </w:rPr>
        <mc:AlternateContent>
          <mc:Choice Requires="wps">
            <w:drawing>
              <wp:anchor distT="0" distB="0" distL="114300" distR="114300" simplePos="0" relativeHeight="251664384" behindDoc="0" locked="0" layoutInCell="1" allowOverlap="1" wp14:anchorId="1419AD17" wp14:editId="3811FCCF">
                <wp:simplePos x="0" y="0"/>
                <wp:positionH relativeFrom="column">
                  <wp:posOffset>477286</wp:posOffset>
                </wp:positionH>
                <wp:positionV relativeFrom="paragraph">
                  <wp:posOffset>112395</wp:posOffset>
                </wp:positionV>
                <wp:extent cx="5417820" cy="434975"/>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434975"/>
                        </a:xfrm>
                        <a:prstGeom prst="rect">
                          <a:avLst/>
                        </a:prstGeom>
                        <a:solidFill>
                          <a:srgbClr val="F05260"/>
                        </a:solidFill>
                        <a:ln w="9525">
                          <a:noFill/>
                          <a:miter lim="800000"/>
                          <a:headEnd/>
                          <a:tailEnd/>
                        </a:ln>
                      </wps:spPr>
                      <wps:txbx>
                        <w:txbxContent>
                          <w:p w:rsidR="001E4270" w:rsidRPr="005C7ABF" w:rsidRDefault="001E4270" w:rsidP="001E4270">
                            <w:pPr>
                              <w:pStyle w:val="733"/>
                              <w:ind w:left="5" w:right="-142"/>
                              <w:rPr>
                                <w:rtl/>
                              </w:rPr>
                            </w:pPr>
                            <w:r w:rsidRPr="001E4270">
                              <w:rPr>
                                <w:rtl/>
                              </w:rPr>
                              <w:t>מיפוי מתחמים במבנה בית חולים בהתאם לרמת המיגון, על פי סקרי המיגון של פקע"ר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1419AD17" id="_x0000_t202" coordsize="21600,21600" o:spt="202" path="m,l,21600r21600,l21600,xe">
                <v:stroke joinstyle="miter"/>
                <v:path gradientshapeok="t" o:connecttype="rect"/>
              </v:shapetype>
              <v:shape id="Text Box 2" o:spid="_x0000_s1026" type="#_x0000_t202" style="position:absolute;left:0;text-align:left;margin-left:37.6pt;margin-top:8.85pt;width:426.6pt;height: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" fillcolor="#f05260" stroked="f">
                <v:textbox>
                  <w:txbxContent>
                    <w:p w:rsidR="001E4270" w:rsidRPr="005C7ABF" w:rsidRDefault="001E4270" w:rsidP="001E4270">
                      <w:pPr>
                        <w:pStyle w:val="733"/>
                        <w:ind w:left="5" w:right="-142"/>
                        <w:rPr>
                          <w:rtl/>
                        </w:rPr>
                      </w:pPr>
                      <w:r w:rsidRPr="001E4270">
                        <w:rPr>
                          <w:rtl/>
                        </w:rPr>
                        <w:t>מיפוי מתחמים במבנה בית חולים בהתאם לרמת המיגון, על פי סקרי המיגון של פקע"ר</w:t>
                      </w:r>
                    </w:p>
                  </w:txbxContent>
                </v:textbox>
              </v:shape>
            </w:pict>
          </mc:Fallback>
        </mc:AlternateContent>
      </w:r>
    </w:p>
    <w:p w:rsidR="001E4270" w:rsidRPr="00E019DA" w:rsidRDefault="001E4270" w:rsidP="00771278">
      <w:pPr>
        <w:pStyle w:val="739"/>
        <w:rPr>
          <w:rtl/>
        </w:rPr>
      </w:pPr>
    </w:p>
    <w:p w:rsidR="001E4270" w:rsidRPr="00E019DA" w:rsidRDefault="001E4270" w:rsidP="00771278">
      <w:pPr>
        <w:pStyle w:val="739"/>
        <w:rPr>
          <w:rtl/>
        </w:rPr>
      </w:pPr>
    </w:p>
    <w:tbl>
      <w:tblPr>
        <w:tblStyle w:val="110"/>
        <w:bidiVisual/>
        <w:tblW w:w="8367" w:type="dxa"/>
        <w:jc w:val="center"/>
        <w:tblLook w:val="04A0" w:firstRow="1" w:lastRow="0" w:firstColumn="1" w:lastColumn="0" w:noHBand="0" w:noVBand="1"/>
      </w:tblPr>
      <w:tblGrid>
        <w:gridCol w:w="2091"/>
        <w:gridCol w:w="2092"/>
        <w:gridCol w:w="2092"/>
        <w:gridCol w:w="2092"/>
      </w:tblGrid>
      <w:tr w:rsidR="001E4270" w:rsidRPr="00E019DA" w:rsidTr="00AD44B9">
        <w:trPr>
          <w:trHeight w:val="326"/>
          <w:jc w:val="center"/>
        </w:trPr>
        <w:tc>
          <w:tcPr>
            <w:tcW w:w="2091" w:type="dxa"/>
            <w:shd w:val="clear" w:color="auto" w:fill="BF2644"/>
          </w:tcPr>
          <w:p w:rsidR="001E4270" w:rsidRPr="00E019DA" w:rsidRDefault="001E4270" w:rsidP="00E019DA">
            <w:pPr>
              <w:spacing w:before="60" w:after="20" w:line="288" w:lineRule="auto"/>
              <w:jc w:val="center"/>
              <w:rPr>
                <w:rFonts w:eastAsia="Calibri"/>
                <w:b/>
                <w:bCs/>
                <w:sz w:val="19"/>
                <w:szCs w:val="19"/>
                <w:rtl/>
              </w:rPr>
            </w:pPr>
            <w:r w:rsidRPr="00E019DA">
              <w:rPr>
                <w:rFonts w:eastAsia="Calibri"/>
                <w:b/>
                <w:bCs/>
                <w:sz w:val="19"/>
                <w:szCs w:val="19"/>
                <w:rtl/>
              </w:rPr>
              <w:t>"אינו מוגן"</w:t>
            </w:r>
          </w:p>
        </w:tc>
        <w:tc>
          <w:tcPr>
            <w:tcW w:w="2092" w:type="dxa"/>
            <w:shd w:val="clear" w:color="auto" w:fill="C6C438"/>
          </w:tcPr>
          <w:p w:rsidR="001E4270" w:rsidRPr="00E019DA" w:rsidRDefault="001E4270" w:rsidP="00E019DA">
            <w:pPr>
              <w:spacing w:before="60" w:after="20" w:line="288" w:lineRule="auto"/>
              <w:jc w:val="center"/>
              <w:rPr>
                <w:rFonts w:eastAsia="Calibri"/>
                <w:b/>
                <w:bCs/>
                <w:sz w:val="19"/>
                <w:szCs w:val="19"/>
                <w:rtl/>
              </w:rPr>
            </w:pPr>
            <w:r w:rsidRPr="00E019DA">
              <w:rPr>
                <w:rFonts w:eastAsia="Calibri"/>
                <w:b/>
                <w:bCs/>
                <w:sz w:val="19"/>
                <w:szCs w:val="19"/>
                <w:rtl/>
              </w:rPr>
              <w:t>"הכי מוגן שיש"</w:t>
            </w:r>
          </w:p>
        </w:tc>
        <w:tc>
          <w:tcPr>
            <w:tcW w:w="2092" w:type="dxa"/>
            <w:shd w:val="clear" w:color="auto" w:fill="13A0D9"/>
          </w:tcPr>
          <w:p w:rsidR="001E4270" w:rsidRPr="00E019DA" w:rsidRDefault="001E4270" w:rsidP="00E019DA">
            <w:pPr>
              <w:spacing w:before="60" w:after="20" w:line="288" w:lineRule="auto"/>
              <w:jc w:val="center"/>
              <w:rPr>
                <w:rFonts w:eastAsia="Calibri"/>
                <w:b/>
                <w:bCs/>
                <w:sz w:val="19"/>
                <w:szCs w:val="19"/>
                <w:rtl/>
              </w:rPr>
            </w:pPr>
            <w:r w:rsidRPr="00E019DA">
              <w:rPr>
                <w:rFonts w:eastAsia="Calibri"/>
                <w:b/>
                <w:bCs/>
                <w:sz w:val="19"/>
                <w:szCs w:val="19"/>
                <w:rtl/>
              </w:rPr>
              <w:t>"מוגן"</w:t>
            </w:r>
          </w:p>
        </w:tc>
        <w:tc>
          <w:tcPr>
            <w:tcW w:w="2092" w:type="dxa"/>
            <w:shd w:val="clear" w:color="auto" w:fill="279C96"/>
          </w:tcPr>
          <w:p w:rsidR="001E4270" w:rsidRPr="00E019DA" w:rsidRDefault="001E4270" w:rsidP="00E019DA">
            <w:pPr>
              <w:spacing w:before="60" w:after="20" w:line="288" w:lineRule="auto"/>
              <w:jc w:val="center"/>
              <w:rPr>
                <w:rFonts w:eastAsia="Calibri"/>
                <w:b/>
                <w:bCs/>
                <w:sz w:val="19"/>
                <w:szCs w:val="19"/>
                <w:rtl/>
              </w:rPr>
            </w:pPr>
            <w:r w:rsidRPr="00E019DA">
              <w:rPr>
                <w:rFonts w:eastAsia="Calibri"/>
                <w:b/>
                <w:bCs/>
                <w:sz w:val="19"/>
                <w:szCs w:val="19"/>
                <w:rtl/>
              </w:rPr>
              <w:t>"מוגן תקני"</w:t>
            </w:r>
          </w:p>
        </w:tc>
      </w:tr>
      <w:tr w:rsidR="001E4270" w:rsidRPr="00E019DA" w:rsidTr="00AD44B9">
        <w:trPr>
          <w:trHeight w:val="3860"/>
          <w:jc w:val="center"/>
        </w:trPr>
        <w:tc>
          <w:tcPr>
            <w:tcW w:w="2091" w:type="dxa"/>
            <w:shd w:val="clear" w:color="auto" w:fill="BF2644"/>
          </w:tcPr>
          <w:p w:rsidR="001E4270" w:rsidRPr="00E019DA" w:rsidRDefault="001E4270" w:rsidP="001E4270">
            <w:pPr>
              <w:spacing w:line="288" w:lineRule="auto"/>
              <w:contextualSpacing/>
              <w:jc w:val="center"/>
              <w:rPr>
                <w:rFonts w:eastAsia="Calibri"/>
                <w:sz w:val="19"/>
                <w:szCs w:val="19"/>
                <w:rtl/>
              </w:rPr>
            </w:pPr>
            <w:r w:rsidRPr="00E019DA">
              <w:rPr>
                <w:rFonts w:eastAsia="Calibri"/>
                <w:sz w:val="19"/>
                <w:szCs w:val="19"/>
                <w:rtl/>
              </w:rPr>
              <w:t>אזור בבית החולים שרמת המיגון שלו היא הנמוכה ביותר (דוגמת מבנים קלים וקומות עליונות)</w:t>
            </w:r>
          </w:p>
          <w:p w:rsidR="001E4270" w:rsidRPr="00E019DA" w:rsidRDefault="001E4270" w:rsidP="001E4270">
            <w:pPr>
              <w:spacing w:line="288" w:lineRule="auto"/>
              <w:jc w:val="center"/>
              <w:rPr>
                <w:rFonts w:eastAsia="Calibri"/>
                <w:sz w:val="19"/>
                <w:szCs w:val="19"/>
                <w:rtl/>
              </w:rPr>
            </w:pPr>
          </w:p>
          <w:p w:rsidR="001E4270" w:rsidRPr="00E019DA" w:rsidRDefault="001E4270" w:rsidP="001E4270">
            <w:pPr>
              <w:spacing w:line="288" w:lineRule="auto"/>
              <w:rPr>
                <w:rFonts w:eastAsia="Calibri"/>
                <w:sz w:val="19"/>
                <w:szCs w:val="19"/>
                <w:rtl/>
              </w:rPr>
            </w:pPr>
          </w:p>
          <w:p w:rsidR="001E4270" w:rsidRPr="00E019DA" w:rsidRDefault="001E4270" w:rsidP="001E4270">
            <w:pPr>
              <w:spacing w:line="288" w:lineRule="auto"/>
              <w:rPr>
                <w:rFonts w:eastAsia="Calibri"/>
                <w:sz w:val="19"/>
                <w:szCs w:val="19"/>
                <w:rtl/>
              </w:rPr>
            </w:pPr>
          </w:p>
          <w:p w:rsidR="001E4270" w:rsidRPr="00E019DA" w:rsidRDefault="001E4270" w:rsidP="00CA37DE">
            <w:pPr>
              <w:numPr>
                <w:ilvl w:val="0"/>
                <w:numId w:val="28"/>
              </w:numPr>
              <w:spacing w:line="288" w:lineRule="auto"/>
              <w:ind w:left="312"/>
              <w:contextualSpacing/>
              <w:jc w:val="center"/>
              <w:rPr>
                <w:rFonts w:eastAsia="Calibri"/>
                <w:sz w:val="19"/>
                <w:szCs w:val="19"/>
                <w:rtl/>
              </w:rPr>
            </w:pPr>
            <w:r w:rsidRPr="00E019DA">
              <w:rPr>
                <w:rFonts w:eastAsia="Calibri"/>
                <w:sz w:val="19"/>
                <w:szCs w:val="19"/>
                <w:rtl/>
              </w:rPr>
              <w:t>מבנים אלו אינם מוגנים ואינם מומלצים לשימוש או לאשפוז בעת חירום</w:t>
            </w:r>
          </w:p>
        </w:tc>
        <w:tc>
          <w:tcPr>
            <w:tcW w:w="2092" w:type="dxa"/>
            <w:shd w:val="clear" w:color="auto" w:fill="C6C438"/>
          </w:tcPr>
          <w:p w:rsidR="001E4270" w:rsidRPr="00E019DA" w:rsidRDefault="001E4270" w:rsidP="001E4270">
            <w:pPr>
              <w:tabs>
                <w:tab w:val="left" w:pos="381"/>
              </w:tabs>
              <w:spacing w:line="288" w:lineRule="auto"/>
              <w:ind w:left="97"/>
              <w:contextualSpacing/>
              <w:jc w:val="center"/>
              <w:rPr>
                <w:rFonts w:eastAsia="Calibri"/>
                <w:sz w:val="19"/>
                <w:szCs w:val="19"/>
                <w:rtl/>
              </w:rPr>
            </w:pPr>
            <w:r w:rsidRPr="00E019DA">
              <w:rPr>
                <w:rFonts w:eastAsia="Calibri"/>
                <w:sz w:val="19"/>
                <w:szCs w:val="19"/>
                <w:rtl/>
              </w:rPr>
              <w:t>אזור פנימי בתוך מבנה או אזור עם קירות חיצוניים ללא פתחים - הכולל שתי תקרות או יותר, שלפחות אחת מהן עשויה מבטון</w:t>
            </w:r>
          </w:p>
          <w:p w:rsidR="001E4270" w:rsidRPr="00E019DA" w:rsidRDefault="001E4270" w:rsidP="001E4270">
            <w:pPr>
              <w:tabs>
                <w:tab w:val="left" w:pos="381"/>
              </w:tabs>
              <w:spacing w:line="288" w:lineRule="auto"/>
              <w:ind w:left="97"/>
              <w:contextualSpacing/>
              <w:jc w:val="center"/>
              <w:rPr>
                <w:rFonts w:eastAsia="Calibri"/>
                <w:sz w:val="19"/>
                <w:szCs w:val="19"/>
                <w:rtl/>
              </w:rPr>
            </w:pPr>
          </w:p>
          <w:p w:rsidR="001E4270" w:rsidRPr="00E019DA" w:rsidRDefault="001E4270" w:rsidP="00CA37DE">
            <w:pPr>
              <w:numPr>
                <w:ilvl w:val="0"/>
                <w:numId w:val="28"/>
              </w:numPr>
              <w:spacing w:line="288" w:lineRule="auto"/>
              <w:ind w:left="312"/>
              <w:contextualSpacing/>
              <w:jc w:val="center"/>
              <w:rPr>
                <w:rFonts w:eastAsia="Calibri"/>
                <w:sz w:val="19"/>
                <w:szCs w:val="19"/>
                <w:rtl/>
              </w:rPr>
            </w:pPr>
            <w:r w:rsidRPr="00E019DA">
              <w:rPr>
                <w:rFonts w:eastAsia="Calibri"/>
                <w:sz w:val="19"/>
                <w:szCs w:val="19"/>
                <w:rtl/>
              </w:rPr>
              <w:t>מבנה שאינו מוגן תקנית אולם מותר להשתמש בו בעת חירום אם אין בנמצא מבנה מוגן תקנית או מבנה מוגן, וזאת בכפוף למגבלות המפורטות בתיק החירום של</w:t>
            </w:r>
            <w:r w:rsidRPr="00E019DA">
              <w:rPr>
                <w:rFonts w:eastAsia="Calibri"/>
                <w:sz w:val="19"/>
                <w:szCs w:val="19"/>
              </w:rPr>
              <w:t xml:space="preserve"> </w:t>
            </w:r>
            <w:r w:rsidRPr="00E019DA">
              <w:rPr>
                <w:rFonts w:eastAsia="Calibri"/>
                <w:sz w:val="19"/>
                <w:szCs w:val="19"/>
                <w:rtl/>
              </w:rPr>
              <w:t>בית החולים</w:t>
            </w:r>
          </w:p>
        </w:tc>
        <w:tc>
          <w:tcPr>
            <w:tcW w:w="2092" w:type="dxa"/>
            <w:shd w:val="clear" w:color="auto" w:fill="13A0D9"/>
          </w:tcPr>
          <w:p w:rsidR="001E4270" w:rsidRPr="00E019DA" w:rsidRDefault="001E4270" w:rsidP="001E4270">
            <w:pPr>
              <w:spacing w:line="288" w:lineRule="auto"/>
              <w:contextualSpacing/>
              <w:jc w:val="center"/>
              <w:rPr>
                <w:rFonts w:eastAsia="Calibri"/>
                <w:sz w:val="19"/>
                <w:szCs w:val="19"/>
                <w:rtl/>
              </w:rPr>
            </w:pPr>
            <w:r w:rsidRPr="00E019DA">
              <w:rPr>
                <w:rFonts w:eastAsia="Calibri"/>
                <w:sz w:val="19"/>
                <w:szCs w:val="19"/>
                <w:rtl/>
              </w:rPr>
              <w:t>אזור במבנה בית החולים המוקף קירות בטון אך אינו נחשב מרחב מוגן תקני</w:t>
            </w:r>
            <w:r w:rsidRPr="00E019DA">
              <w:rPr>
                <w:rFonts w:eastAsia="Calibri"/>
                <w:sz w:val="19"/>
                <w:szCs w:val="19"/>
                <w:vertAlign w:val="superscript"/>
                <w:rtl/>
              </w:rPr>
              <w:footnoteReference w:id="1"/>
            </w:r>
            <w:r w:rsidRPr="00E019DA">
              <w:rPr>
                <w:rFonts w:eastAsia="Calibri"/>
                <w:sz w:val="19"/>
                <w:szCs w:val="19"/>
                <w:rtl/>
              </w:rPr>
              <w:t xml:space="preserve"> (דוגמת מרתף, חדר מדרגות או פיר המעלית)</w:t>
            </w:r>
          </w:p>
          <w:p w:rsidR="001E4270" w:rsidRPr="00E019DA" w:rsidRDefault="001E4270" w:rsidP="001E4270">
            <w:pPr>
              <w:spacing w:line="288" w:lineRule="auto"/>
              <w:ind w:left="312"/>
              <w:contextualSpacing/>
              <w:jc w:val="center"/>
              <w:rPr>
                <w:rFonts w:eastAsia="Calibri"/>
                <w:sz w:val="19"/>
                <w:szCs w:val="19"/>
                <w:rtl/>
              </w:rPr>
            </w:pPr>
          </w:p>
          <w:p w:rsidR="001E4270" w:rsidRPr="00E019DA" w:rsidRDefault="001E4270" w:rsidP="001E4270">
            <w:pPr>
              <w:numPr>
                <w:ilvl w:val="0"/>
                <w:numId w:val="28"/>
              </w:numPr>
              <w:spacing w:line="288" w:lineRule="auto"/>
              <w:ind w:left="312"/>
              <w:contextualSpacing/>
              <w:jc w:val="center"/>
              <w:rPr>
                <w:rFonts w:eastAsia="Calibri"/>
                <w:sz w:val="19"/>
                <w:szCs w:val="19"/>
                <w:rtl/>
              </w:rPr>
            </w:pPr>
            <w:r w:rsidRPr="00E019DA">
              <w:rPr>
                <w:rFonts w:eastAsia="Calibri"/>
                <w:sz w:val="19"/>
                <w:szCs w:val="19"/>
                <w:rtl/>
              </w:rPr>
              <w:t>מבנה שמומלץ להשתמש בו בעת חירום, אם אין בנמצא מבנה מוגן תקני</w:t>
            </w:r>
          </w:p>
        </w:tc>
        <w:tc>
          <w:tcPr>
            <w:tcW w:w="2092" w:type="dxa"/>
            <w:tcBorders>
              <w:bottom w:val="single" w:sz="4" w:space="0" w:color="auto"/>
            </w:tcBorders>
            <w:shd w:val="clear" w:color="auto" w:fill="279C96"/>
          </w:tcPr>
          <w:p w:rsidR="001E4270" w:rsidRPr="00E019DA" w:rsidRDefault="001E4270" w:rsidP="001E4270">
            <w:pPr>
              <w:spacing w:line="288" w:lineRule="auto"/>
              <w:contextualSpacing/>
              <w:jc w:val="center"/>
              <w:rPr>
                <w:rFonts w:eastAsia="Calibri"/>
                <w:sz w:val="19"/>
                <w:szCs w:val="19"/>
                <w:rtl/>
              </w:rPr>
            </w:pPr>
            <w:r w:rsidRPr="00E019DA">
              <w:rPr>
                <w:rFonts w:eastAsia="Calibri"/>
                <w:sz w:val="19"/>
                <w:szCs w:val="19"/>
                <w:rtl/>
              </w:rPr>
              <w:t>אזור במבנה בית החולים שהמיגון שלו תקני (כדוגמת מקלט, מרחב מוגן קומתי/מוסדי)</w:t>
            </w:r>
          </w:p>
          <w:p w:rsidR="00CA37DE" w:rsidRPr="00E019DA" w:rsidRDefault="00CA37DE" w:rsidP="001E4270">
            <w:pPr>
              <w:spacing w:line="288" w:lineRule="auto"/>
              <w:contextualSpacing/>
              <w:jc w:val="center"/>
              <w:rPr>
                <w:rFonts w:eastAsia="Calibri"/>
                <w:sz w:val="19"/>
                <w:szCs w:val="19"/>
                <w:rtl/>
              </w:rPr>
            </w:pPr>
          </w:p>
          <w:p w:rsidR="001E4270" w:rsidRPr="00E019DA" w:rsidRDefault="001E4270" w:rsidP="001E4270">
            <w:pPr>
              <w:spacing w:line="288" w:lineRule="auto"/>
              <w:rPr>
                <w:rFonts w:eastAsia="Calibri"/>
                <w:sz w:val="19"/>
                <w:szCs w:val="19"/>
                <w:rtl/>
              </w:rPr>
            </w:pPr>
          </w:p>
          <w:p w:rsidR="001E4270" w:rsidRPr="00E019DA" w:rsidRDefault="001E4270" w:rsidP="001E4270">
            <w:pPr>
              <w:spacing w:line="288" w:lineRule="auto"/>
              <w:rPr>
                <w:rFonts w:eastAsia="Calibri"/>
                <w:sz w:val="19"/>
                <w:szCs w:val="19"/>
                <w:rtl/>
              </w:rPr>
            </w:pPr>
          </w:p>
          <w:p w:rsidR="001E4270" w:rsidRPr="00E019DA" w:rsidRDefault="001E4270" w:rsidP="001E4270">
            <w:pPr>
              <w:numPr>
                <w:ilvl w:val="0"/>
                <w:numId w:val="28"/>
              </w:numPr>
              <w:spacing w:line="288" w:lineRule="auto"/>
              <w:ind w:left="312"/>
              <w:contextualSpacing/>
              <w:jc w:val="center"/>
              <w:rPr>
                <w:rFonts w:eastAsia="Calibri"/>
                <w:sz w:val="19"/>
                <w:szCs w:val="19"/>
              </w:rPr>
            </w:pPr>
            <w:r w:rsidRPr="00E019DA">
              <w:rPr>
                <w:rFonts w:eastAsia="Calibri"/>
                <w:sz w:val="19"/>
                <w:szCs w:val="19"/>
                <w:rtl/>
              </w:rPr>
              <w:t>מבנה שמומלץ להשתמש בו בעת חירום</w:t>
            </w:r>
          </w:p>
          <w:p w:rsidR="001E4270" w:rsidRPr="00E019DA" w:rsidRDefault="001E4270" w:rsidP="001E4270">
            <w:pPr>
              <w:spacing w:line="288" w:lineRule="auto"/>
              <w:ind w:left="360"/>
              <w:jc w:val="center"/>
              <w:rPr>
                <w:rFonts w:eastAsia="Calibri"/>
                <w:sz w:val="19"/>
                <w:szCs w:val="19"/>
                <w:rtl/>
              </w:rPr>
            </w:pPr>
          </w:p>
        </w:tc>
      </w:tr>
    </w:tbl>
    <w:p w:rsidR="001E4270" w:rsidRPr="00E019DA" w:rsidRDefault="001E4270" w:rsidP="00AA6A41">
      <w:pPr>
        <w:spacing w:before="60" w:line="288" w:lineRule="auto"/>
        <w:ind w:left="-142"/>
        <w:rPr>
          <w:rFonts w:ascii="Tahoma" w:eastAsia="Calibri" w:hAnsi="Tahoma" w:cs="Tahoma"/>
          <w:sz w:val="16"/>
          <w:szCs w:val="16"/>
          <w:rtl/>
        </w:rPr>
      </w:pPr>
      <w:r w:rsidRPr="00E019DA">
        <w:rPr>
          <w:rFonts w:ascii="Tahoma" w:eastAsia="Calibri" w:hAnsi="Tahoma" w:cs="Tahoma"/>
          <w:sz w:val="16"/>
          <w:szCs w:val="16"/>
          <w:rtl/>
        </w:rPr>
        <w:t>על פי הנחיות פקע"ר לביצוע סקרי המיגון והכנת תוכנית ההתגוננות בבתי חולים, בעיבוד משרד מבקר המדינה.</w:t>
      </w:r>
    </w:p>
    <w:p w:rsidR="001E4270" w:rsidRPr="00E019DA" w:rsidRDefault="001E4270" w:rsidP="00771278">
      <w:pPr>
        <w:pStyle w:val="739"/>
        <w:rPr>
          <w:rtl/>
        </w:rPr>
      </w:pPr>
    </w:p>
    <w:p w:rsidR="001D3DA9" w:rsidRPr="00E019DA" w:rsidRDefault="009961E8" w:rsidP="00771278">
      <w:pPr>
        <w:pStyle w:val="739"/>
        <w:rPr>
          <w:rtl/>
        </w:rPr>
      </w:pPr>
      <w:r w:rsidRPr="00E019DA">
        <w:rPr>
          <w:rtl/>
        </w:rPr>
        <w:br w:type="page"/>
      </w:r>
    </w:p>
    <w:p w:rsidR="001D3DA9" w:rsidRPr="00E019DA" w:rsidRDefault="009961E8" w:rsidP="001D3DA9">
      <w:pPr>
        <w:spacing w:line="288" w:lineRule="auto"/>
        <w:ind w:left="-284"/>
        <w:rPr>
          <w:rFonts w:ascii="Tahoma" w:hAnsi="Tahoma" w:cs="Tahoma"/>
          <w:sz w:val="12"/>
          <w:szCs w:val="16"/>
          <w:rtl/>
        </w:rPr>
      </w:pPr>
      <w:r w:rsidRPr="00E019DA">
        <w:rPr>
          <w:rFonts w:ascii="Tahoma" w:hAnsi="Tahoma" w:cs="Tahoma"/>
          <w:noProof/>
          <w:rtl/>
        </w:rPr>
        <w:lastRenderedPageBreak/>
        <w:drawing>
          <wp:inline distT="0" distB="0" distL="0" distR="0">
            <wp:extent cx="1674111" cy="381000"/>
            <wp:effectExtent l="0" t="0" r="254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קציר-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5228" cy="381254"/>
                    </a:xfrm>
                    <a:prstGeom prst="rect">
                      <a:avLst/>
                    </a:prstGeom>
                  </pic:spPr>
                </pic:pic>
              </a:graphicData>
            </a:graphic>
          </wp:inline>
        </w:drawing>
      </w:r>
    </w:p>
    <w:tbl>
      <w:tblPr>
        <w:tblStyle w:val="45"/>
        <w:tblpPr w:leftFromText="180" w:rightFromText="180" w:vertAnchor="text" w:tblpXSpec="center" w:tblpY="1"/>
        <w:tblOverlap w:val="never"/>
        <w:bidiVisual/>
        <w:tblW w:w="8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5"/>
        <w:gridCol w:w="271"/>
        <w:gridCol w:w="2268"/>
        <w:gridCol w:w="283"/>
        <w:gridCol w:w="1985"/>
        <w:gridCol w:w="283"/>
        <w:gridCol w:w="1851"/>
      </w:tblGrid>
      <w:tr w:rsidR="00AD44B9" w:rsidRPr="00E019DA" w:rsidTr="00327FCC">
        <w:trPr>
          <w:trHeight w:val="1276"/>
        </w:trPr>
        <w:tc>
          <w:tcPr>
            <w:tcW w:w="1995" w:type="dxa"/>
            <w:tcBorders>
              <w:bottom w:val="single" w:sz="4" w:space="0" w:color="auto"/>
            </w:tcBorders>
            <w:shd w:val="clear" w:color="auto" w:fill="auto"/>
            <w:vAlign w:val="bottom"/>
          </w:tcPr>
          <w:p w:rsidR="00CA37DE" w:rsidRPr="00E019DA" w:rsidRDefault="001E4270" w:rsidP="00B55E70">
            <w:pPr>
              <w:spacing w:line="240" w:lineRule="auto"/>
              <w:rPr>
                <w:rFonts w:ascii="Tahoma" w:eastAsia="Calibri" w:hAnsi="Tahoma" w:cs="Tahoma"/>
                <w:spacing w:val="-10"/>
                <w:sz w:val="26"/>
                <w:szCs w:val="26"/>
                <w:rtl/>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tl/>
              </w:rPr>
              <w:t xml:space="preserve">25,000 </w:t>
            </w:r>
            <w:r w:rsidRPr="00E019DA">
              <w:rPr>
                <w:rFonts w:ascii="Tahoma" w:eastAsia="Calibri" w:hAnsi="Tahoma" w:cs="Tahoma"/>
                <w:spacing w:val="-10"/>
                <w:sz w:val="26"/>
                <w:szCs w:val="26"/>
                <w:rtl/>
              </w:rPr>
              <w:t xml:space="preserve">מיטות אשפוז </w:t>
            </w:r>
          </w:p>
          <w:p w:rsidR="001E4270" w:rsidRPr="00E019DA" w:rsidRDefault="001E4270" w:rsidP="001E4270">
            <w:pPr>
              <w:spacing w:after="60" w:line="240" w:lineRule="auto"/>
              <w:rPr>
                <w:rFonts w:ascii="Tahoma" w:eastAsia="Calibri" w:hAnsi="Tahoma" w:cs="Tahoma"/>
                <w:spacing w:val="-10"/>
                <w:sz w:val="26"/>
                <w:szCs w:val="26"/>
                <w:rtl/>
              </w:rPr>
            </w:pPr>
            <w:r w:rsidRPr="00E019DA">
              <w:rPr>
                <w:rFonts w:ascii="Tahoma" w:eastAsia="Calibri" w:hAnsi="Tahoma" w:cs="Tahoma"/>
                <w:spacing w:val="-10"/>
                <w:sz w:val="26"/>
                <w:szCs w:val="26"/>
                <w:rtl/>
              </w:rPr>
              <w:t xml:space="preserve">ב-52 בתי חולים </w:t>
            </w:r>
          </w:p>
        </w:tc>
        <w:tc>
          <w:tcPr>
            <w:tcW w:w="271" w:type="dxa"/>
            <w:vAlign w:val="center"/>
          </w:tcPr>
          <w:p w:rsidR="001E4270" w:rsidRPr="00E019DA" w:rsidRDefault="001E4270" w:rsidP="001E4270">
            <w:pPr>
              <w:spacing w:line="240" w:lineRule="auto"/>
              <w:rPr>
                <w:rFonts w:ascii="Tahoma" w:eastAsia="Calibri" w:hAnsi="Tahoma" w:cs="Tahoma"/>
                <w:spacing w:val="-10"/>
                <w:sz w:val="26"/>
                <w:szCs w:val="26"/>
              </w:rPr>
            </w:pPr>
          </w:p>
        </w:tc>
        <w:tc>
          <w:tcPr>
            <w:tcW w:w="2268" w:type="dxa"/>
            <w:tcBorders>
              <w:bottom w:val="single" w:sz="4" w:space="0" w:color="auto"/>
            </w:tcBorders>
            <w:vAlign w:val="bottom"/>
          </w:tcPr>
          <w:p w:rsidR="001E4270" w:rsidRPr="00E019DA" w:rsidRDefault="001E4270" w:rsidP="001E4270">
            <w:pPr>
              <w:spacing w:after="60" w:line="240" w:lineRule="auto"/>
              <w:rPr>
                <w:rFonts w:ascii="Tahoma" w:eastAsia="Calibri" w:hAnsi="Tahoma" w:cs="Tahoma"/>
                <w:spacing w:val="-10"/>
                <w:sz w:val="26"/>
                <w:szCs w:val="26"/>
                <w:rtl/>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tl/>
              </w:rPr>
              <w:t>4.8</w:t>
            </w:r>
            <w:r w:rsidRPr="00E019DA">
              <w:rPr>
                <w:rFonts w:ascii="Tahoma" w:eastAsia="Calibri" w:hAnsi="Tahoma" w:cs="Tahoma"/>
                <w:spacing w:val="-10"/>
                <w:sz w:val="26"/>
                <w:szCs w:val="26"/>
                <w:rtl/>
              </w:rPr>
              <w:t xml:space="preserve"> מיליארד ש"ח</w:t>
            </w:r>
          </w:p>
        </w:tc>
        <w:tc>
          <w:tcPr>
            <w:tcW w:w="283" w:type="dxa"/>
            <w:vAlign w:val="center"/>
          </w:tcPr>
          <w:p w:rsidR="001E4270" w:rsidRPr="00E019DA" w:rsidRDefault="001E4270" w:rsidP="001E4270">
            <w:pPr>
              <w:spacing w:line="240" w:lineRule="auto"/>
              <w:rPr>
                <w:rFonts w:ascii="Tahoma" w:eastAsia="Calibri" w:hAnsi="Tahoma" w:cs="Tahoma"/>
                <w:spacing w:val="-10"/>
                <w:sz w:val="26"/>
                <w:szCs w:val="26"/>
              </w:rPr>
            </w:pPr>
          </w:p>
        </w:tc>
        <w:tc>
          <w:tcPr>
            <w:tcW w:w="1985" w:type="dxa"/>
            <w:tcBorders>
              <w:bottom w:val="single" w:sz="4" w:space="0" w:color="auto"/>
            </w:tcBorders>
            <w:vAlign w:val="bottom"/>
          </w:tcPr>
          <w:p w:rsidR="001E4270" w:rsidRPr="00E019DA" w:rsidRDefault="001E4270" w:rsidP="001E4270">
            <w:pPr>
              <w:spacing w:after="60" w:line="240" w:lineRule="auto"/>
              <w:rPr>
                <w:rFonts w:ascii="Tahoma" w:eastAsia="Calibri" w:hAnsi="Tahoma" w:cs="Tahoma"/>
                <w:spacing w:val="-10"/>
                <w:sz w:val="26"/>
                <w:szCs w:val="26"/>
              </w:rPr>
            </w:pPr>
            <w:r w:rsidRPr="00E019DA">
              <w:rPr>
                <w:rFonts w:ascii="Tahoma" w:eastAsia="Calibri" w:hAnsi="Tahoma" w:cs="Tahoma"/>
                <w:spacing w:val="-10"/>
                <w:sz w:val="36"/>
                <w:szCs w:val="36"/>
                <w:rtl/>
              </w:rPr>
              <w:t xml:space="preserve">כחצי </w:t>
            </w:r>
            <w:r w:rsidRPr="00E019DA">
              <w:rPr>
                <w:rFonts w:ascii="Tahoma" w:eastAsia="Calibri" w:hAnsi="Tahoma" w:cs="Tahoma"/>
                <w:spacing w:val="-10"/>
                <w:sz w:val="26"/>
                <w:szCs w:val="26"/>
                <w:rtl/>
              </w:rPr>
              <w:t>מיליארד</w:t>
            </w:r>
            <w:r w:rsidRPr="00E019DA">
              <w:rPr>
                <w:rFonts w:ascii="Tahoma" w:eastAsia="Calibri" w:hAnsi="Tahoma" w:cs="Tahoma"/>
                <w:spacing w:val="-10"/>
                <w:sz w:val="36"/>
                <w:szCs w:val="36"/>
                <w:rtl/>
              </w:rPr>
              <w:t xml:space="preserve"> </w:t>
            </w:r>
            <w:r w:rsidRPr="00E019DA">
              <w:rPr>
                <w:rFonts w:ascii="Tahoma" w:eastAsia="Calibri" w:hAnsi="Tahoma" w:cs="Tahoma"/>
                <w:spacing w:val="-10"/>
                <w:sz w:val="26"/>
                <w:szCs w:val="26"/>
                <w:rtl/>
              </w:rPr>
              <w:t xml:space="preserve">ש"ח בלבד </w:t>
            </w:r>
          </w:p>
        </w:tc>
        <w:tc>
          <w:tcPr>
            <w:tcW w:w="283" w:type="dxa"/>
            <w:vAlign w:val="center"/>
          </w:tcPr>
          <w:p w:rsidR="001E4270" w:rsidRPr="00E019DA" w:rsidRDefault="001E4270" w:rsidP="001E4270">
            <w:pPr>
              <w:spacing w:line="240" w:lineRule="auto"/>
              <w:rPr>
                <w:rFonts w:ascii="Tahoma" w:eastAsia="Calibri" w:hAnsi="Tahoma" w:cs="Tahoma"/>
                <w:spacing w:val="-10"/>
                <w:sz w:val="26"/>
                <w:szCs w:val="26"/>
              </w:rPr>
            </w:pPr>
          </w:p>
        </w:tc>
        <w:tc>
          <w:tcPr>
            <w:tcW w:w="1851" w:type="dxa"/>
            <w:tcBorders>
              <w:bottom w:val="single" w:sz="4" w:space="0" w:color="auto"/>
            </w:tcBorders>
            <w:vAlign w:val="bottom"/>
          </w:tcPr>
          <w:p w:rsidR="001E4270" w:rsidRPr="00E019DA" w:rsidRDefault="001E4270" w:rsidP="001E4270">
            <w:pPr>
              <w:spacing w:after="60" w:line="240" w:lineRule="auto"/>
              <w:rPr>
                <w:rFonts w:ascii="Tahoma" w:eastAsia="Calibri" w:hAnsi="Tahoma" w:cs="Tahoma"/>
                <w:spacing w:val="-10"/>
                <w:sz w:val="26"/>
                <w:szCs w:val="26"/>
                <w:rtl/>
              </w:rPr>
            </w:pPr>
            <w:r w:rsidRPr="00E019DA">
              <w:rPr>
                <w:rFonts w:ascii="Tahoma" w:eastAsia="Calibri" w:hAnsi="Tahoma" w:cs="Tahoma"/>
                <w:spacing w:val="-10"/>
                <w:sz w:val="26"/>
                <w:szCs w:val="26"/>
                <w:rtl/>
              </w:rPr>
              <w:t xml:space="preserve">פרויקט </w:t>
            </w:r>
            <w:r w:rsidRPr="00E019DA">
              <w:rPr>
                <w:rFonts w:ascii="Tahoma" w:eastAsia="Calibri" w:hAnsi="Tahoma" w:cs="Tahoma"/>
                <w:spacing w:val="-10"/>
                <w:sz w:val="36"/>
                <w:szCs w:val="36"/>
                <w:rtl/>
              </w:rPr>
              <w:t>אחד</w:t>
            </w:r>
            <w:r w:rsidRPr="00E019DA">
              <w:rPr>
                <w:rFonts w:ascii="Tahoma" w:eastAsia="Calibri" w:hAnsi="Tahoma" w:cs="Tahoma"/>
                <w:spacing w:val="-10"/>
                <w:sz w:val="26"/>
                <w:szCs w:val="26"/>
                <w:rtl/>
              </w:rPr>
              <w:t xml:space="preserve"> בלבד</w:t>
            </w:r>
          </w:p>
        </w:tc>
      </w:tr>
      <w:tr w:rsidR="001E4270" w:rsidRPr="00E019DA" w:rsidTr="00AD44B9">
        <w:trPr>
          <w:trHeight w:val="128"/>
        </w:trPr>
        <w:tc>
          <w:tcPr>
            <w:tcW w:w="8936" w:type="dxa"/>
            <w:gridSpan w:val="7"/>
            <w:shd w:val="clear" w:color="auto" w:fill="auto"/>
            <w:vAlign w:val="center"/>
          </w:tcPr>
          <w:p w:rsidR="001E4270" w:rsidRPr="00E019DA" w:rsidRDefault="001E4270" w:rsidP="001E4270">
            <w:pPr>
              <w:spacing w:line="240" w:lineRule="auto"/>
              <w:rPr>
                <w:rFonts w:ascii="Tahoma" w:eastAsia="Calibri" w:hAnsi="Tahoma" w:cs="Tahoma"/>
                <w:spacing w:val="-10"/>
                <w:sz w:val="12"/>
                <w:szCs w:val="12"/>
                <w:rtl/>
              </w:rPr>
            </w:pPr>
          </w:p>
        </w:tc>
      </w:tr>
      <w:tr w:rsidR="00327FCC" w:rsidRPr="00E019DA" w:rsidTr="00327FCC">
        <w:trPr>
          <w:trHeight w:val="1155"/>
        </w:trPr>
        <w:tc>
          <w:tcPr>
            <w:tcW w:w="1995" w:type="dxa"/>
          </w:tcPr>
          <w:p w:rsidR="00B55E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מהן כ-17,500 מיטות אשפוז כלליות ב-27 בתי חולים כלליים</w:t>
            </w:r>
            <w:r w:rsidRPr="00E019DA">
              <w:rPr>
                <w:rFonts w:ascii="Tahoma" w:eastAsia="Calibri" w:hAnsi="Tahoma" w:cs="Tahoma"/>
                <w:sz w:val="19"/>
                <w:szCs w:val="19"/>
                <w:vertAlign w:val="superscript"/>
                <w:rtl/>
              </w:rPr>
              <w:footnoteReference w:id="2"/>
            </w:r>
            <w:r w:rsidRPr="00E019DA">
              <w:rPr>
                <w:rFonts w:ascii="Tahoma" w:eastAsia="Calibri" w:hAnsi="Tahoma" w:cs="Tahoma"/>
                <w:sz w:val="19"/>
                <w:szCs w:val="19"/>
                <w:rtl/>
              </w:rPr>
              <w:t xml:space="preserve"> (70%), כ-3,900 מיטות אשפוז ב-13 בתי חולים גריאטריים (16%), </w:t>
            </w:r>
          </w:p>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כ-3,000 מיטות אשפוז ב-10 בתי חולים פסיכיאטריים (12%), ו-420 מיטות אשפוז בשני בתי חולים שיקומיים (2%), נכון ליוני 2025</w:t>
            </w:r>
          </w:p>
        </w:tc>
        <w:tc>
          <w:tcPr>
            <w:tcW w:w="271" w:type="dxa"/>
          </w:tcPr>
          <w:p w:rsidR="001E4270" w:rsidRPr="00E019DA" w:rsidRDefault="001E4270" w:rsidP="001E4270">
            <w:pPr>
              <w:spacing w:line="240" w:lineRule="auto"/>
              <w:rPr>
                <w:rFonts w:ascii="Tahoma" w:eastAsia="Calibri" w:hAnsi="Tahoma" w:cs="Tahoma"/>
                <w:sz w:val="19"/>
                <w:szCs w:val="19"/>
                <w:rtl/>
              </w:rPr>
            </w:pPr>
          </w:p>
        </w:tc>
        <w:tc>
          <w:tcPr>
            <w:tcW w:w="2268" w:type="dxa"/>
          </w:tcPr>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אומדן עלות סגירת פערי המיגון במערך האשפוז - בתי החולים הכלליים וההמשכיים (גריאטריים, פסיכיאטריים ושיקומיים), נכון לדצמבר 2023</w:t>
            </w:r>
          </w:p>
        </w:tc>
        <w:tc>
          <w:tcPr>
            <w:tcW w:w="283" w:type="dxa"/>
          </w:tcPr>
          <w:p w:rsidR="001E4270" w:rsidRPr="00E019DA" w:rsidRDefault="001E4270" w:rsidP="001E4270">
            <w:pPr>
              <w:spacing w:line="240" w:lineRule="auto"/>
              <w:rPr>
                <w:rFonts w:ascii="Tahoma" w:eastAsia="Calibri" w:hAnsi="Tahoma" w:cs="Tahoma"/>
                <w:sz w:val="19"/>
                <w:szCs w:val="19"/>
                <w:rtl/>
              </w:rPr>
            </w:pPr>
          </w:p>
        </w:tc>
        <w:tc>
          <w:tcPr>
            <w:tcW w:w="1985" w:type="dxa"/>
          </w:tcPr>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 xml:space="preserve">תקציב ייעודי שהוקצה במסגרת חרבות ברזל למיגון בתי חולים, ששיעורו כ-10% מאומדן התקציב הנדרש לסגירת פערי המיגון </w:t>
            </w:r>
          </w:p>
        </w:tc>
        <w:tc>
          <w:tcPr>
            <w:tcW w:w="283" w:type="dxa"/>
          </w:tcPr>
          <w:p w:rsidR="001E4270" w:rsidRPr="00E019DA" w:rsidRDefault="001E4270" w:rsidP="001E4270">
            <w:pPr>
              <w:spacing w:line="240" w:lineRule="auto"/>
              <w:rPr>
                <w:rFonts w:ascii="Tahoma" w:eastAsia="Calibri" w:hAnsi="Tahoma" w:cs="Tahoma"/>
                <w:sz w:val="19"/>
                <w:szCs w:val="19"/>
                <w:rtl/>
              </w:rPr>
            </w:pPr>
          </w:p>
        </w:tc>
        <w:tc>
          <w:tcPr>
            <w:tcW w:w="1851" w:type="dxa"/>
          </w:tcPr>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ייעודי של מיגון</w:t>
            </w:r>
            <w:r w:rsidR="00280723" w:rsidRPr="00E019DA">
              <w:rPr>
                <w:rFonts w:ascii="Tahoma" w:eastAsia="Calibri" w:hAnsi="Tahoma" w:cs="Tahoma"/>
                <w:sz w:val="19"/>
                <w:szCs w:val="19"/>
                <w:rtl/>
              </w:rPr>
              <w:t>,</w:t>
            </w:r>
            <w:r w:rsidRPr="00E019DA">
              <w:rPr>
                <w:rFonts w:ascii="Tahoma" w:eastAsia="Calibri" w:hAnsi="Tahoma" w:cs="Tahoma"/>
                <w:sz w:val="19"/>
                <w:szCs w:val="19"/>
                <w:rtl/>
              </w:rPr>
              <w:t xml:space="preserve"> שתוקצב בסך כ-16 מיליון ש"ח, ש</w:t>
            </w:r>
            <w:r w:rsidR="00280723" w:rsidRPr="00E019DA">
              <w:rPr>
                <w:rFonts w:ascii="Tahoma" w:eastAsia="Calibri" w:hAnsi="Tahoma" w:cs="Tahoma"/>
                <w:sz w:val="19"/>
                <w:szCs w:val="19"/>
                <w:rtl/>
              </w:rPr>
              <w:t>הם</w:t>
            </w:r>
            <w:r w:rsidRPr="00E019DA">
              <w:rPr>
                <w:rFonts w:ascii="Tahoma" w:eastAsia="Calibri" w:hAnsi="Tahoma" w:cs="Tahoma"/>
                <w:sz w:val="19"/>
                <w:szCs w:val="19"/>
                <w:rtl/>
              </w:rPr>
              <w:t xml:space="preserve"> כ-2% מתקציב הפיתוח הממוצע השנתי של משרד הבריאות בשנים 2015 - 2023 </w:t>
            </w:r>
            <w:r w:rsidR="00280723" w:rsidRPr="00E019DA">
              <w:rPr>
                <w:rFonts w:ascii="Tahoma" w:eastAsia="Calibri" w:hAnsi="Tahoma" w:cs="Tahoma"/>
                <w:sz w:val="19"/>
                <w:szCs w:val="19"/>
                <w:rtl/>
              </w:rPr>
              <w:t xml:space="preserve">- </w:t>
            </w:r>
            <w:r w:rsidRPr="00E019DA">
              <w:rPr>
                <w:rFonts w:ascii="Tahoma" w:eastAsia="Calibri" w:hAnsi="Tahoma" w:cs="Tahoma"/>
                <w:sz w:val="19"/>
                <w:szCs w:val="19"/>
                <w:rtl/>
              </w:rPr>
              <w:t>שעמד על כ-940 מיליון ש"ח; למעט בנייה חדשה המחויבת במיגון.</w:t>
            </w:r>
            <w:r w:rsidRPr="00E019DA" w:rsidDel="006678F3">
              <w:rPr>
                <w:rFonts w:ascii="Tahoma" w:eastAsia="Calibri" w:hAnsi="Tahoma" w:cs="Tahoma"/>
                <w:sz w:val="19"/>
                <w:szCs w:val="19"/>
                <w:rtl/>
              </w:rPr>
              <w:t xml:space="preserve"> </w:t>
            </w:r>
            <w:r w:rsidRPr="00E019DA">
              <w:rPr>
                <w:rFonts w:ascii="Tahoma" w:eastAsia="Calibri" w:hAnsi="Tahoma" w:cs="Tahoma"/>
                <w:sz w:val="19"/>
                <w:szCs w:val="19"/>
                <w:rtl/>
              </w:rPr>
              <w:t xml:space="preserve">זאת בשל עלותם הגבוהה של פרויקטים למיגון בבנייה קיימת </w:t>
            </w:r>
          </w:p>
          <w:p w:rsidR="00AD44B9" w:rsidRPr="00E019DA" w:rsidRDefault="00AD44B9" w:rsidP="001E4270">
            <w:pPr>
              <w:spacing w:line="240" w:lineRule="auto"/>
              <w:ind w:right="23"/>
              <w:rPr>
                <w:rFonts w:ascii="Tahoma" w:eastAsia="Calibri" w:hAnsi="Tahoma" w:cs="Tahoma"/>
                <w:sz w:val="19"/>
                <w:szCs w:val="19"/>
                <w:rtl/>
              </w:rPr>
            </w:pPr>
          </w:p>
        </w:tc>
      </w:tr>
      <w:tr w:rsidR="001E4270" w:rsidRPr="00E019DA" w:rsidTr="00AD44B9">
        <w:trPr>
          <w:trHeight w:val="89"/>
        </w:trPr>
        <w:tc>
          <w:tcPr>
            <w:tcW w:w="8936" w:type="dxa"/>
            <w:gridSpan w:val="7"/>
          </w:tcPr>
          <w:p w:rsidR="001E4270" w:rsidRPr="00E019DA" w:rsidRDefault="001E4270" w:rsidP="001E4270">
            <w:pPr>
              <w:spacing w:line="288" w:lineRule="auto"/>
              <w:jc w:val="center"/>
              <w:rPr>
                <w:rFonts w:ascii="Tahoma" w:eastAsia="Calibri" w:hAnsi="Tahoma" w:cs="Tahoma"/>
                <w:sz w:val="12"/>
                <w:szCs w:val="12"/>
                <w:rtl/>
              </w:rPr>
            </w:pPr>
          </w:p>
        </w:tc>
      </w:tr>
      <w:tr w:rsidR="00327FCC" w:rsidRPr="00E019DA" w:rsidTr="00327FCC">
        <w:trPr>
          <w:trHeight w:val="227"/>
        </w:trPr>
        <w:tc>
          <w:tcPr>
            <w:tcW w:w="1995"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26"/>
                <w:szCs w:val="26"/>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tl/>
              </w:rPr>
              <w:t>56%</w:t>
            </w:r>
            <w:r w:rsidRPr="00E019DA">
              <w:rPr>
                <w:rFonts w:ascii="Tahoma" w:eastAsia="Calibri" w:hAnsi="Tahoma" w:cs="Tahoma"/>
                <w:spacing w:val="-10"/>
                <w:sz w:val="26"/>
                <w:szCs w:val="26"/>
                <w:rtl/>
              </w:rPr>
              <w:t xml:space="preserve"> </w:t>
            </w:r>
          </w:p>
        </w:tc>
        <w:tc>
          <w:tcPr>
            <w:tcW w:w="271" w:type="dxa"/>
            <w:tcBorders>
              <w:bottom w:val="single" w:sz="4" w:space="0" w:color="auto"/>
            </w:tcBorders>
          </w:tcPr>
          <w:p w:rsidR="001E4270" w:rsidRPr="00E019DA" w:rsidRDefault="001E4270" w:rsidP="001E4270">
            <w:pPr>
              <w:spacing w:line="240" w:lineRule="auto"/>
              <w:rPr>
                <w:rFonts w:ascii="Tahoma" w:eastAsia="Calibri" w:hAnsi="Tahoma" w:cs="Tahoma"/>
                <w:spacing w:val="-10"/>
                <w:sz w:val="16"/>
                <w:szCs w:val="16"/>
              </w:rPr>
            </w:pPr>
          </w:p>
        </w:tc>
        <w:tc>
          <w:tcPr>
            <w:tcW w:w="2268"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26"/>
                <w:szCs w:val="26"/>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tl/>
              </w:rPr>
              <w:t>41%</w:t>
            </w:r>
            <w:r w:rsidRPr="00E019DA">
              <w:rPr>
                <w:rFonts w:ascii="Tahoma" w:eastAsia="Calibri" w:hAnsi="Tahoma" w:cs="Tahoma"/>
                <w:spacing w:val="-10"/>
                <w:sz w:val="26"/>
                <w:szCs w:val="26"/>
                <w:rtl/>
              </w:rPr>
              <w:t xml:space="preserve"> </w:t>
            </w:r>
          </w:p>
        </w:tc>
        <w:tc>
          <w:tcPr>
            <w:tcW w:w="283" w:type="dxa"/>
            <w:tcBorders>
              <w:bottom w:val="single" w:sz="4" w:space="0" w:color="auto"/>
            </w:tcBorders>
          </w:tcPr>
          <w:p w:rsidR="001E4270" w:rsidRPr="00E019DA" w:rsidRDefault="001E4270" w:rsidP="001E4270">
            <w:pPr>
              <w:spacing w:line="240" w:lineRule="auto"/>
              <w:rPr>
                <w:rFonts w:ascii="Tahoma" w:eastAsia="Calibri" w:hAnsi="Tahoma" w:cs="Tahoma"/>
                <w:spacing w:val="-10"/>
                <w:sz w:val="26"/>
                <w:szCs w:val="26"/>
              </w:rPr>
            </w:pPr>
          </w:p>
        </w:tc>
        <w:tc>
          <w:tcPr>
            <w:tcW w:w="1985"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26"/>
                <w:szCs w:val="26"/>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tl/>
              </w:rPr>
              <w:t>67%</w:t>
            </w:r>
            <w:r w:rsidRPr="00E019DA">
              <w:rPr>
                <w:rFonts w:ascii="Tahoma" w:eastAsia="Calibri" w:hAnsi="Tahoma" w:cs="Tahoma"/>
                <w:spacing w:val="-10"/>
                <w:sz w:val="26"/>
                <w:szCs w:val="26"/>
                <w:rtl/>
              </w:rPr>
              <w:t xml:space="preserve"> </w:t>
            </w:r>
          </w:p>
        </w:tc>
        <w:tc>
          <w:tcPr>
            <w:tcW w:w="283" w:type="dxa"/>
            <w:tcBorders>
              <w:bottom w:val="single" w:sz="4" w:space="0" w:color="auto"/>
            </w:tcBorders>
          </w:tcPr>
          <w:p w:rsidR="001E4270" w:rsidRPr="00E019DA" w:rsidRDefault="001E4270" w:rsidP="001E4270">
            <w:pPr>
              <w:spacing w:line="240" w:lineRule="auto"/>
              <w:rPr>
                <w:rFonts w:ascii="Tahoma" w:eastAsia="Calibri" w:hAnsi="Tahoma" w:cs="Tahoma"/>
                <w:spacing w:val="-10"/>
                <w:sz w:val="26"/>
                <w:szCs w:val="26"/>
              </w:rPr>
            </w:pPr>
          </w:p>
        </w:tc>
        <w:tc>
          <w:tcPr>
            <w:tcW w:w="1851"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26"/>
                <w:szCs w:val="26"/>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tl/>
              </w:rPr>
              <w:t>56%</w:t>
            </w:r>
            <w:r w:rsidRPr="00E019DA">
              <w:rPr>
                <w:rFonts w:ascii="Tahoma" w:eastAsia="Calibri" w:hAnsi="Tahoma" w:cs="Tahoma"/>
                <w:spacing w:val="-10"/>
                <w:sz w:val="26"/>
                <w:szCs w:val="26"/>
                <w:rtl/>
              </w:rPr>
              <w:t xml:space="preserve"> </w:t>
            </w:r>
          </w:p>
        </w:tc>
      </w:tr>
      <w:tr w:rsidR="001E4270" w:rsidRPr="00E019DA" w:rsidTr="00AD44B9">
        <w:trPr>
          <w:trHeight w:val="130"/>
        </w:trPr>
        <w:tc>
          <w:tcPr>
            <w:tcW w:w="8936" w:type="dxa"/>
            <w:gridSpan w:val="7"/>
            <w:tcBorders>
              <w:top w:val="single" w:sz="4" w:space="0" w:color="auto"/>
            </w:tcBorders>
            <w:vAlign w:val="center"/>
          </w:tcPr>
          <w:p w:rsidR="001E4270" w:rsidRPr="00E019DA" w:rsidRDefault="001E4270" w:rsidP="001E4270">
            <w:pPr>
              <w:spacing w:line="288" w:lineRule="auto"/>
              <w:rPr>
                <w:rFonts w:ascii="Tahoma" w:eastAsia="Calibri" w:hAnsi="Tahoma" w:cs="Tahoma"/>
                <w:spacing w:val="-10"/>
                <w:sz w:val="12"/>
                <w:szCs w:val="12"/>
                <w:rtl/>
              </w:rPr>
            </w:pPr>
          </w:p>
        </w:tc>
      </w:tr>
      <w:tr w:rsidR="00327FCC" w:rsidRPr="00E019DA" w:rsidTr="00327FCC">
        <w:trPr>
          <w:trHeight w:val="1153"/>
        </w:trPr>
        <w:tc>
          <w:tcPr>
            <w:tcW w:w="1995" w:type="dxa"/>
          </w:tcPr>
          <w:p w:rsidR="00280723" w:rsidRPr="00E019DA" w:rsidRDefault="001E4270" w:rsidP="00280723">
            <w:pPr>
              <w:spacing w:line="240" w:lineRule="auto"/>
              <w:ind w:right="23"/>
              <w:rPr>
                <w:rFonts w:ascii="Tahoma" w:eastAsia="Calibri" w:hAnsi="Tahoma" w:cs="Tahoma"/>
                <w:sz w:val="19"/>
                <w:szCs w:val="19"/>
                <w:rtl/>
              </w:rPr>
            </w:pPr>
            <w:r w:rsidRPr="00E019DA">
              <w:rPr>
                <w:rFonts w:ascii="Tahoma" w:eastAsia="Calibri" w:hAnsi="Tahoma" w:cs="Tahoma"/>
                <w:sz w:val="19"/>
                <w:szCs w:val="19"/>
                <w:rtl/>
              </w:rPr>
              <w:t xml:space="preserve">ממיטות האשפוז </w:t>
            </w:r>
          </w:p>
          <w:p w:rsidR="006B125A" w:rsidRPr="00E019DA" w:rsidRDefault="00280723" w:rsidP="00280723">
            <w:pPr>
              <w:spacing w:line="240" w:lineRule="auto"/>
              <w:ind w:right="23"/>
              <w:rPr>
                <w:rFonts w:ascii="Tahoma" w:eastAsia="Calibri" w:hAnsi="Tahoma" w:cs="Tahoma"/>
                <w:sz w:val="19"/>
                <w:szCs w:val="19"/>
                <w:rtl/>
              </w:rPr>
            </w:pPr>
            <w:r w:rsidRPr="00E019DA">
              <w:rPr>
                <w:rFonts w:ascii="Tahoma" w:eastAsia="Calibri" w:hAnsi="Tahoma" w:cs="Tahoma"/>
                <w:sz w:val="19"/>
                <w:szCs w:val="19"/>
                <w:rtl/>
              </w:rPr>
              <w:t xml:space="preserve">ב-27 בתי החולים </w:t>
            </w:r>
            <w:r w:rsidR="006B125A" w:rsidRPr="00E019DA">
              <w:rPr>
                <w:rFonts w:ascii="Tahoma" w:eastAsia="Calibri" w:hAnsi="Tahoma" w:cs="Tahoma"/>
                <w:sz w:val="19"/>
                <w:szCs w:val="19"/>
                <w:rtl/>
              </w:rPr>
              <w:t>ה</w:t>
            </w:r>
            <w:r w:rsidRPr="00E019DA">
              <w:rPr>
                <w:rFonts w:ascii="Tahoma" w:eastAsia="Calibri" w:hAnsi="Tahoma" w:cs="Tahoma"/>
                <w:sz w:val="19"/>
                <w:szCs w:val="19"/>
                <w:rtl/>
              </w:rPr>
              <w:t xml:space="preserve">כלליים שנבדקו בביקורת </w:t>
            </w:r>
            <w:r w:rsidR="001E4270" w:rsidRPr="00E019DA">
              <w:rPr>
                <w:rFonts w:ascii="Tahoma" w:eastAsia="Calibri" w:hAnsi="Tahoma" w:cs="Tahoma"/>
                <w:sz w:val="19"/>
                <w:szCs w:val="19"/>
                <w:rtl/>
              </w:rPr>
              <w:t xml:space="preserve">אינן מוגנות (כ-10,500 מתוך </w:t>
            </w:r>
          </w:p>
          <w:p w:rsidR="00B55E70" w:rsidRPr="00E019DA" w:rsidRDefault="001E4270" w:rsidP="00280723">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כ-18,900</w:t>
            </w:r>
            <w:r w:rsidRPr="00E019DA">
              <w:rPr>
                <w:rFonts w:ascii="Tahoma" w:eastAsia="Calibri" w:hAnsi="Tahoma" w:cs="Tahoma"/>
                <w:sz w:val="19"/>
                <w:szCs w:val="19"/>
                <w:vertAlign w:val="superscript"/>
                <w:rtl/>
              </w:rPr>
              <w:footnoteReference w:id="3"/>
            </w:r>
            <w:r w:rsidRPr="00E019DA">
              <w:rPr>
                <w:rFonts w:ascii="Tahoma" w:eastAsia="Calibri" w:hAnsi="Tahoma" w:cs="Tahoma"/>
                <w:sz w:val="19"/>
                <w:szCs w:val="19"/>
                <w:rtl/>
              </w:rPr>
              <w:t xml:space="preserve">) </w:t>
            </w:r>
          </w:p>
          <w:p w:rsidR="001E4270" w:rsidRPr="00E019DA" w:rsidRDefault="001E4270" w:rsidP="00280723">
            <w:pPr>
              <w:spacing w:line="240" w:lineRule="auto"/>
              <w:ind w:right="23"/>
              <w:rPr>
                <w:rFonts w:ascii="Tahoma" w:eastAsia="Calibri" w:hAnsi="Tahoma" w:cs="Tahoma"/>
                <w:sz w:val="19"/>
                <w:szCs w:val="19"/>
                <w:rtl/>
              </w:rPr>
            </w:pPr>
          </w:p>
        </w:tc>
        <w:tc>
          <w:tcPr>
            <w:tcW w:w="271" w:type="dxa"/>
          </w:tcPr>
          <w:p w:rsidR="001E4270" w:rsidRPr="00E019DA" w:rsidRDefault="001E4270" w:rsidP="001E4270">
            <w:pPr>
              <w:spacing w:line="240" w:lineRule="auto"/>
              <w:rPr>
                <w:rFonts w:ascii="Tahoma" w:eastAsia="Calibri" w:hAnsi="Tahoma" w:cs="Tahoma"/>
                <w:sz w:val="19"/>
                <w:szCs w:val="19"/>
                <w:rtl/>
              </w:rPr>
            </w:pPr>
          </w:p>
        </w:tc>
        <w:tc>
          <w:tcPr>
            <w:tcW w:w="2268" w:type="dxa"/>
          </w:tcPr>
          <w:p w:rsidR="001E4270" w:rsidRPr="00E019DA" w:rsidRDefault="001E4270" w:rsidP="001E4270">
            <w:pPr>
              <w:spacing w:line="240" w:lineRule="auto"/>
              <w:rPr>
                <w:rFonts w:ascii="Tahoma" w:eastAsia="Calibri" w:hAnsi="Tahoma" w:cs="Tahoma"/>
                <w:sz w:val="19"/>
                <w:szCs w:val="19"/>
                <w:rtl/>
              </w:rPr>
            </w:pPr>
            <w:r w:rsidRPr="00E019DA">
              <w:rPr>
                <w:rFonts w:ascii="Tahoma" w:eastAsia="Calibri" w:hAnsi="Tahoma" w:cs="Tahoma"/>
                <w:sz w:val="19"/>
                <w:szCs w:val="19"/>
                <w:rtl/>
              </w:rPr>
              <w:t>מחדרי הניתוח ב</w:t>
            </w:r>
            <w:r w:rsidR="006B125A" w:rsidRPr="00E019DA">
              <w:rPr>
                <w:rFonts w:ascii="Tahoma" w:eastAsia="Calibri" w:hAnsi="Tahoma" w:cs="Tahoma"/>
                <w:sz w:val="19"/>
                <w:szCs w:val="19"/>
                <w:rtl/>
              </w:rPr>
              <w:t xml:space="preserve">-27 </w:t>
            </w:r>
            <w:r w:rsidRPr="00E019DA">
              <w:rPr>
                <w:rFonts w:ascii="Tahoma" w:eastAsia="Calibri" w:hAnsi="Tahoma" w:cs="Tahoma"/>
                <w:sz w:val="19"/>
                <w:szCs w:val="19"/>
                <w:rtl/>
              </w:rPr>
              <w:t xml:space="preserve">בתי החולים הכלליים </w:t>
            </w:r>
            <w:r w:rsidR="006B125A" w:rsidRPr="00E019DA">
              <w:rPr>
                <w:rFonts w:ascii="Tahoma" w:eastAsia="Calibri" w:hAnsi="Tahoma" w:cs="Tahoma"/>
                <w:sz w:val="19"/>
                <w:szCs w:val="19"/>
                <w:rtl/>
              </w:rPr>
              <w:t xml:space="preserve">שנבדקו בביקורת אינם מוגנים </w:t>
            </w:r>
            <w:r w:rsidRPr="00E019DA">
              <w:rPr>
                <w:rFonts w:ascii="Tahoma" w:eastAsia="Calibri" w:hAnsi="Tahoma" w:cs="Tahoma"/>
                <w:sz w:val="19"/>
                <w:szCs w:val="19"/>
                <w:rtl/>
              </w:rPr>
              <w:t xml:space="preserve">(168 מתוך 406) </w:t>
            </w:r>
          </w:p>
        </w:tc>
        <w:tc>
          <w:tcPr>
            <w:tcW w:w="283" w:type="dxa"/>
          </w:tcPr>
          <w:p w:rsidR="001E4270" w:rsidRPr="00E019DA" w:rsidRDefault="001E4270" w:rsidP="001E4270">
            <w:pPr>
              <w:spacing w:line="240" w:lineRule="auto"/>
              <w:rPr>
                <w:rFonts w:ascii="Tahoma" w:eastAsia="Calibri" w:hAnsi="Tahoma" w:cs="Tahoma"/>
                <w:sz w:val="19"/>
                <w:szCs w:val="19"/>
                <w:rtl/>
              </w:rPr>
            </w:pPr>
          </w:p>
        </w:tc>
        <w:tc>
          <w:tcPr>
            <w:tcW w:w="1985" w:type="dxa"/>
          </w:tcPr>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 xml:space="preserve">ממכשירי הדימות בבתי החולים הכלליים הקרובים לגבול </w:t>
            </w:r>
            <w:r w:rsidR="006B125A" w:rsidRPr="00E019DA">
              <w:rPr>
                <w:rFonts w:ascii="Tahoma" w:eastAsia="Calibri" w:hAnsi="Tahoma" w:cs="Tahoma"/>
                <w:sz w:val="19"/>
                <w:szCs w:val="19"/>
                <w:rtl/>
              </w:rPr>
              <w:t xml:space="preserve">אינם מוגנים </w:t>
            </w:r>
            <w:r w:rsidRPr="00E019DA">
              <w:rPr>
                <w:rFonts w:ascii="Tahoma" w:eastAsia="Calibri" w:hAnsi="Tahoma" w:cs="Tahoma"/>
                <w:sz w:val="19"/>
                <w:szCs w:val="19"/>
                <w:rtl/>
              </w:rPr>
              <w:t xml:space="preserve">(10 מתוך 15) </w:t>
            </w:r>
          </w:p>
        </w:tc>
        <w:tc>
          <w:tcPr>
            <w:tcW w:w="283" w:type="dxa"/>
          </w:tcPr>
          <w:p w:rsidR="001E4270" w:rsidRPr="00E019DA" w:rsidRDefault="001E4270" w:rsidP="001E4270">
            <w:pPr>
              <w:spacing w:line="240" w:lineRule="auto"/>
              <w:rPr>
                <w:rFonts w:ascii="Tahoma" w:eastAsia="Calibri" w:hAnsi="Tahoma" w:cs="Tahoma"/>
                <w:sz w:val="19"/>
                <w:szCs w:val="19"/>
                <w:rtl/>
              </w:rPr>
            </w:pPr>
          </w:p>
        </w:tc>
        <w:tc>
          <w:tcPr>
            <w:tcW w:w="1851" w:type="dxa"/>
          </w:tcPr>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מחדרי הצנתורים והאנגיוגרפיה</w:t>
            </w:r>
            <w:r w:rsidRPr="00E019DA">
              <w:rPr>
                <w:rFonts w:ascii="Tahoma" w:eastAsia="Calibri" w:hAnsi="Tahoma" w:cs="Tahoma"/>
                <w:spacing w:val="-10"/>
                <w:sz w:val="18"/>
                <w:szCs w:val="18"/>
                <w:vertAlign w:val="superscript"/>
                <w:rtl/>
              </w:rPr>
              <w:footnoteReference w:id="4"/>
            </w:r>
            <w:r w:rsidR="006B125A" w:rsidRPr="00E019DA">
              <w:rPr>
                <w:rFonts w:ascii="Tahoma" w:eastAsia="Calibri" w:hAnsi="Tahoma" w:cs="Tahoma"/>
                <w:sz w:val="19"/>
                <w:szCs w:val="19"/>
                <w:rtl/>
              </w:rPr>
              <w:t xml:space="preserve"> במרכזי-העל הקרובים לגבול </w:t>
            </w:r>
            <w:r w:rsidRPr="00E019DA">
              <w:rPr>
                <w:rFonts w:ascii="Tahoma" w:eastAsia="Calibri" w:hAnsi="Tahoma" w:cs="Tahoma"/>
                <w:sz w:val="19"/>
                <w:szCs w:val="19"/>
                <w:rtl/>
              </w:rPr>
              <w:t xml:space="preserve">אינם מוגנים (5 מתוך 9) </w:t>
            </w:r>
          </w:p>
          <w:p w:rsidR="00AD44B9" w:rsidRPr="00E019DA" w:rsidRDefault="00AD44B9" w:rsidP="001E4270">
            <w:pPr>
              <w:spacing w:line="240" w:lineRule="auto"/>
              <w:ind w:right="23"/>
              <w:rPr>
                <w:rFonts w:ascii="Tahoma" w:eastAsia="Calibri" w:hAnsi="Tahoma" w:cs="Tahoma"/>
                <w:sz w:val="19"/>
                <w:szCs w:val="19"/>
                <w:rtl/>
              </w:rPr>
            </w:pPr>
          </w:p>
          <w:p w:rsidR="00AD44B9" w:rsidRPr="00E019DA" w:rsidRDefault="00AD44B9" w:rsidP="001E4270">
            <w:pPr>
              <w:spacing w:line="240" w:lineRule="auto"/>
              <w:ind w:right="23"/>
              <w:rPr>
                <w:rFonts w:ascii="Tahoma" w:eastAsia="Calibri" w:hAnsi="Tahoma" w:cs="Tahoma"/>
                <w:sz w:val="19"/>
                <w:szCs w:val="19"/>
                <w:rtl/>
              </w:rPr>
            </w:pPr>
          </w:p>
          <w:p w:rsidR="00AD44B9" w:rsidRPr="00E019DA" w:rsidRDefault="00AD44B9" w:rsidP="001E4270">
            <w:pPr>
              <w:spacing w:line="240" w:lineRule="auto"/>
              <w:ind w:right="23"/>
              <w:rPr>
                <w:rFonts w:ascii="Tahoma" w:eastAsia="Calibri" w:hAnsi="Tahoma" w:cs="Tahoma"/>
                <w:sz w:val="19"/>
                <w:szCs w:val="19"/>
                <w:rtl/>
              </w:rPr>
            </w:pPr>
          </w:p>
          <w:p w:rsidR="00AD44B9" w:rsidRPr="00E019DA" w:rsidRDefault="00AD44B9" w:rsidP="001E4270">
            <w:pPr>
              <w:spacing w:line="240" w:lineRule="auto"/>
              <w:ind w:right="23"/>
              <w:rPr>
                <w:rFonts w:ascii="Tahoma" w:eastAsia="Calibri" w:hAnsi="Tahoma" w:cs="Tahoma"/>
                <w:sz w:val="19"/>
                <w:szCs w:val="19"/>
                <w:rtl/>
              </w:rPr>
            </w:pPr>
          </w:p>
        </w:tc>
      </w:tr>
      <w:tr w:rsidR="00327FCC" w:rsidRPr="00E019DA" w:rsidTr="00327FCC">
        <w:trPr>
          <w:trHeight w:val="227"/>
        </w:trPr>
        <w:tc>
          <w:tcPr>
            <w:tcW w:w="1995"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26"/>
                <w:szCs w:val="26"/>
              </w:rPr>
            </w:pPr>
            <w:r w:rsidRPr="00E019DA">
              <w:rPr>
                <w:rFonts w:ascii="Tahoma" w:eastAsia="Calibri" w:hAnsi="Tahoma" w:cs="Tahoma"/>
                <w:spacing w:val="-10"/>
                <w:sz w:val="26"/>
                <w:szCs w:val="26"/>
                <w:rtl/>
              </w:rPr>
              <w:lastRenderedPageBreak/>
              <w:t>כ-</w:t>
            </w:r>
            <w:r w:rsidRPr="00E019DA">
              <w:rPr>
                <w:rFonts w:ascii="Tahoma" w:eastAsia="Calibri" w:hAnsi="Tahoma" w:cs="Tahoma"/>
                <w:spacing w:val="-10"/>
                <w:sz w:val="36"/>
                <w:szCs w:val="36"/>
                <w:rtl/>
              </w:rPr>
              <w:t>86%</w:t>
            </w:r>
            <w:r w:rsidRPr="00E019DA">
              <w:rPr>
                <w:rFonts w:ascii="Tahoma" w:eastAsia="Calibri" w:hAnsi="Tahoma" w:cs="Tahoma"/>
                <w:spacing w:val="-10"/>
                <w:sz w:val="26"/>
                <w:szCs w:val="26"/>
                <w:rtl/>
              </w:rPr>
              <w:t xml:space="preserve"> </w:t>
            </w:r>
          </w:p>
        </w:tc>
        <w:tc>
          <w:tcPr>
            <w:tcW w:w="271" w:type="dxa"/>
          </w:tcPr>
          <w:p w:rsidR="001E4270" w:rsidRPr="00E019DA" w:rsidRDefault="001E4270" w:rsidP="001E4270">
            <w:pPr>
              <w:spacing w:after="60" w:line="240" w:lineRule="auto"/>
              <w:rPr>
                <w:rFonts w:ascii="Tahoma" w:eastAsia="Calibri" w:hAnsi="Tahoma" w:cs="Tahoma"/>
                <w:spacing w:val="-10"/>
                <w:sz w:val="16"/>
                <w:szCs w:val="16"/>
              </w:rPr>
            </w:pPr>
          </w:p>
        </w:tc>
        <w:tc>
          <w:tcPr>
            <w:tcW w:w="2268"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36"/>
                <w:szCs w:val="36"/>
              </w:rPr>
            </w:pPr>
            <w:r w:rsidRPr="00E019DA">
              <w:rPr>
                <w:rFonts w:ascii="Tahoma" w:eastAsia="Calibri" w:hAnsi="Tahoma" w:cs="Tahoma"/>
                <w:spacing w:val="-10"/>
                <w:sz w:val="36"/>
                <w:szCs w:val="36"/>
                <w:rtl/>
              </w:rPr>
              <w:t>93%</w:t>
            </w:r>
          </w:p>
        </w:tc>
        <w:tc>
          <w:tcPr>
            <w:tcW w:w="283" w:type="dxa"/>
          </w:tcPr>
          <w:p w:rsidR="001E4270" w:rsidRPr="00E019DA" w:rsidRDefault="001E4270" w:rsidP="001E4270">
            <w:pPr>
              <w:spacing w:after="60" w:line="240" w:lineRule="auto"/>
              <w:rPr>
                <w:rFonts w:ascii="Tahoma" w:eastAsia="Calibri" w:hAnsi="Tahoma" w:cs="Tahoma"/>
                <w:spacing w:val="-10"/>
                <w:sz w:val="16"/>
                <w:szCs w:val="16"/>
              </w:rPr>
            </w:pPr>
          </w:p>
        </w:tc>
        <w:tc>
          <w:tcPr>
            <w:tcW w:w="1985"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26"/>
                <w:szCs w:val="26"/>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tl/>
              </w:rPr>
              <w:t>75%</w:t>
            </w:r>
          </w:p>
        </w:tc>
        <w:tc>
          <w:tcPr>
            <w:tcW w:w="283" w:type="dxa"/>
          </w:tcPr>
          <w:p w:rsidR="001E4270" w:rsidRPr="00E019DA" w:rsidRDefault="001E4270" w:rsidP="001E4270">
            <w:pPr>
              <w:spacing w:after="60" w:line="240" w:lineRule="auto"/>
              <w:rPr>
                <w:rFonts w:ascii="Tahoma" w:eastAsia="Calibri" w:hAnsi="Tahoma" w:cs="Tahoma"/>
                <w:spacing w:val="-10"/>
                <w:sz w:val="16"/>
                <w:szCs w:val="16"/>
              </w:rPr>
            </w:pPr>
          </w:p>
        </w:tc>
        <w:tc>
          <w:tcPr>
            <w:tcW w:w="1851" w:type="dxa"/>
            <w:tcBorders>
              <w:bottom w:val="single" w:sz="4" w:space="0" w:color="auto"/>
            </w:tcBorders>
            <w:vAlign w:val="center"/>
          </w:tcPr>
          <w:p w:rsidR="001E4270" w:rsidRPr="00E019DA" w:rsidRDefault="001E4270" w:rsidP="001E4270">
            <w:pPr>
              <w:spacing w:after="60" w:line="240" w:lineRule="auto"/>
              <w:rPr>
                <w:rFonts w:ascii="Tahoma" w:eastAsia="Calibri" w:hAnsi="Tahoma" w:cs="Tahoma"/>
                <w:spacing w:val="-10"/>
                <w:sz w:val="26"/>
                <w:szCs w:val="26"/>
                <w:rtl/>
              </w:rPr>
            </w:pPr>
            <w:r w:rsidRPr="00E019DA">
              <w:rPr>
                <w:rFonts w:ascii="Tahoma" w:eastAsia="Calibri" w:hAnsi="Tahoma" w:cs="Tahoma"/>
                <w:spacing w:val="-10"/>
                <w:sz w:val="26"/>
                <w:szCs w:val="26"/>
                <w:rtl/>
              </w:rPr>
              <w:t>כ-</w:t>
            </w:r>
            <w:r w:rsidRPr="00E019DA">
              <w:rPr>
                <w:rFonts w:ascii="Tahoma" w:eastAsia="Calibri" w:hAnsi="Tahoma" w:cs="Tahoma"/>
                <w:spacing w:val="-10"/>
                <w:sz w:val="36"/>
                <w:szCs w:val="36"/>
              </w:rPr>
              <w:t>63%</w:t>
            </w:r>
          </w:p>
        </w:tc>
      </w:tr>
      <w:tr w:rsidR="001E4270" w:rsidRPr="00E019DA" w:rsidTr="00AD44B9">
        <w:trPr>
          <w:trHeight w:val="70"/>
        </w:trPr>
        <w:tc>
          <w:tcPr>
            <w:tcW w:w="8936" w:type="dxa"/>
            <w:gridSpan w:val="7"/>
            <w:vAlign w:val="center"/>
          </w:tcPr>
          <w:p w:rsidR="001E4270" w:rsidRPr="00E019DA" w:rsidRDefault="001E4270" w:rsidP="001E4270">
            <w:pPr>
              <w:spacing w:line="240" w:lineRule="auto"/>
              <w:rPr>
                <w:rFonts w:ascii="Tahoma" w:eastAsia="Calibri" w:hAnsi="Tahoma" w:cs="Tahoma"/>
                <w:spacing w:val="-10"/>
                <w:sz w:val="12"/>
                <w:szCs w:val="12"/>
                <w:rtl/>
              </w:rPr>
            </w:pPr>
          </w:p>
        </w:tc>
      </w:tr>
      <w:tr w:rsidR="00327FCC" w:rsidRPr="00E019DA" w:rsidTr="00327FCC">
        <w:trPr>
          <w:trHeight w:val="1153"/>
        </w:trPr>
        <w:tc>
          <w:tcPr>
            <w:tcW w:w="1995" w:type="dxa"/>
          </w:tcPr>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 xml:space="preserve">ממיטות האשפוז הכלליות בבית חולים כ"ד (500 מתוך 581) אינן מוגנות. כ-200 מהן באתרים "הכי מוגנים שיש" </w:t>
            </w:r>
          </w:p>
        </w:tc>
        <w:tc>
          <w:tcPr>
            <w:tcW w:w="271" w:type="dxa"/>
          </w:tcPr>
          <w:p w:rsidR="001E4270" w:rsidRPr="00E019DA" w:rsidRDefault="001E4270" w:rsidP="001E4270">
            <w:pPr>
              <w:spacing w:line="240" w:lineRule="auto"/>
              <w:rPr>
                <w:rFonts w:ascii="Tahoma" w:eastAsia="Calibri" w:hAnsi="Tahoma" w:cs="Tahoma"/>
                <w:sz w:val="19"/>
                <w:szCs w:val="19"/>
                <w:rtl/>
              </w:rPr>
            </w:pPr>
          </w:p>
        </w:tc>
        <w:tc>
          <w:tcPr>
            <w:tcW w:w="2268" w:type="dxa"/>
          </w:tcPr>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מהמיטות של האשפוז ההמשכי - בתי חולים גריאטריים, פסיכיאטריים</w:t>
            </w:r>
            <w:r w:rsidRPr="00E019DA">
              <w:rPr>
                <w:rFonts w:ascii="Tahoma" w:eastAsia="Calibri" w:hAnsi="Tahoma" w:cs="Tahoma"/>
                <w:b/>
                <w:bCs/>
                <w:sz w:val="19"/>
                <w:szCs w:val="19"/>
                <w:rtl/>
              </w:rPr>
              <w:t xml:space="preserve"> </w:t>
            </w:r>
            <w:r w:rsidRPr="00E019DA">
              <w:rPr>
                <w:rFonts w:ascii="Tahoma" w:eastAsia="Calibri" w:hAnsi="Tahoma" w:cs="Tahoma"/>
                <w:sz w:val="19"/>
                <w:szCs w:val="19"/>
                <w:rtl/>
              </w:rPr>
              <w:t>ושיקומיים - במחוז דן של משרד הבריאות אינן מוגנות</w:t>
            </w:r>
            <w:r w:rsidR="006730B7" w:rsidRPr="00E019DA">
              <w:rPr>
                <w:rFonts w:ascii="Tahoma" w:eastAsia="Calibri" w:hAnsi="Tahoma" w:cs="Tahoma"/>
                <w:sz w:val="19"/>
                <w:szCs w:val="19"/>
                <w:rtl/>
              </w:rPr>
              <w:t>, כולל מיטות באזור "הכי מוגן שיש"</w:t>
            </w:r>
            <w:r w:rsidRPr="00E019DA">
              <w:rPr>
                <w:rFonts w:ascii="Tahoma" w:eastAsia="Calibri" w:hAnsi="Tahoma" w:cs="Tahoma"/>
                <w:b/>
                <w:bCs/>
                <w:sz w:val="19"/>
                <w:szCs w:val="19"/>
                <w:rtl/>
              </w:rPr>
              <w:t xml:space="preserve"> </w:t>
            </w:r>
            <w:r w:rsidRPr="00E019DA">
              <w:rPr>
                <w:rFonts w:ascii="Tahoma" w:eastAsia="Calibri" w:hAnsi="Tahoma" w:cs="Tahoma"/>
                <w:sz w:val="19"/>
                <w:szCs w:val="19"/>
                <w:rtl/>
              </w:rPr>
              <w:t>(1,860 מיטות אשפוז מתוך 2,000)</w:t>
            </w:r>
          </w:p>
          <w:p w:rsidR="001E4270" w:rsidRPr="00E019DA" w:rsidRDefault="001E4270" w:rsidP="001E4270">
            <w:pPr>
              <w:spacing w:line="240" w:lineRule="auto"/>
              <w:ind w:right="23"/>
              <w:rPr>
                <w:rFonts w:ascii="Tahoma" w:eastAsia="Calibri" w:hAnsi="Tahoma" w:cs="Tahoma"/>
                <w:sz w:val="19"/>
                <w:szCs w:val="19"/>
                <w:rtl/>
              </w:rPr>
            </w:pPr>
          </w:p>
          <w:p w:rsidR="001E4270" w:rsidRPr="00E019DA" w:rsidRDefault="001E4270" w:rsidP="001E4270">
            <w:pPr>
              <w:spacing w:line="240" w:lineRule="auto"/>
              <w:rPr>
                <w:rFonts w:ascii="Tahoma" w:eastAsia="Calibri" w:hAnsi="Tahoma" w:cs="Tahoma"/>
                <w:sz w:val="19"/>
                <w:szCs w:val="19"/>
                <w:rtl/>
              </w:rPr>
            </w:pPr>
          </w:p>
        </w:tc>
        <w:tc>
          <w:tcPr>
            <w:tcW w:w="283" w:type="dxa"/>
          </w:tcPr>
          <w:p w:rsidR="001E4270" w:rsidRPr="00E019DA" w:rsidRDefault="001E4270" w:rsidP="001E4270">
            <w:pPr>
              <w:spacing w:line="240" w:lineRule="auto"/>
              <w:rPr>
                <w:rFonts w:ascii="Tahoma" w:eastAsia="Calibri" w:hAnsi="Tahoma" w:cs="Tahoma"/>
                <w:sz w:val="19"/>
                <w:szCs w:val="19"/>
                <w:rtl/>
              </w:rPr>
            </w:pPr>
          </w:p>
        </w:tc>
        <w:tc>
          <w:tcPr>
            <w:tcW w:w="1985" w:type="dxa"/>
          </w:tcPr>
          <w:p w:rsidR="00ED7266"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ממיטות האשפוז בבתי החולים הפסיכיאטריים אינן מוגנות</w:t>
            </w:r>
            <w:r w:rsidR="006730B7" w:rsidRPr="00E019DA">
              <w:rPr>
                <w:rFonts w:ascii="Tahoma" w:eastAsia="Calibri" w:hAnsi="Tahoma" w:cs="Tahoma"/>
                <w:sz w:val="19"/>
                <w:szCs w:val="19"/>
                <w:rtl/>
              </w:rPr>
              <w:t>, כולל מיטות באזור "הכי מוגן שיש"</w:t>
            </w:r>
            <w:r w:rsidRPr="00E019DA">
              <w:rPr>
                <w:rFonts w:ascii="Tahoma" w:eastAsia="Calibri" w:hAnsi="Tahoma" w:cs="Tahoma"/>
                <w:sz w:val="19"/>
                <w:szCs w:val="19"/>
                <w:rtl/>
              </w:rPr>
              <w:t xml:space="preserve"> (כ-2,230 מיטות מתוך </w:t>
            </w:r>
          </w:p>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כ-3,000)</w:t>
            </w:r>
          </w:p>
        </w:tc>
        <w:tc>
          <w:tcPr>
            <w:tcW w:w="283" w:type="dxa"/>
          </w:tcPr>
          <w:p w:rsidR="001E4270" w:rsidRPr="00E019DA" w:rsidRDefault="001E4270" w:rsidP="001E4270">
            <w:pPr>
              <w:spacing w:line="240" w:lineRule="auto"/>
              <w:rPr>
                <w:rFonts w:ascii="Tahoma" w:eastAsia="Calibri" w:hAnsi="Tahoma" w:cs="Tahoma"/>
                <w:sz w:val="19"/>
                <w:szCs w:val="19"/>
                <w:rtl/>
              </w:rPr>
            </w:pPr>
          </w:p>
        </w:tc>
        <w:tc>
          <w:tcPr>
            <w:tcW w:w="1851" w:type="dxa"/>
          </w:tcPr>
          <w:p w:rsidR="00E019DA"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ממיטות האשפוז בבתי החולים הגריאטריים אינן מוגנות</w:t>
            </w:r>
            <w:r w:rsidR="006730B7" w:rsidRPr="00E019DA">
              <w:rPr>
                <w:rFonts w:ascii="Tahoma" w:eastAsia="Calibri" w:hAnsi="Tahoma" w:cs="Tahoma"/>
                <w:sz w:val="19"/>
                <w:szCs w:val="19"/>
                <w:rtl/>
              </w:rPr>
              <w:t>, כולל מיטות באזור "הכי מוגן שיש"</w:t>
            </w:r>
            <w:r w:rsidRPr="00E019DA">
              <w:rPr>
                <w:rFonts w:ascii="Tahoma" w:eastAsia="Calibri" w:hAnsi="Tahoma" w:cs="Tahoma"/>
                <w:sz w:val="19"/>
                <w:szCs w:val="19"/>
                <w:rtl/>
              </w:rPr>
              <w:t xml:space="preserve"> (2,453 מיטות מתוך </w:t>
            </w:r>
          </w:p>
          <w:p w:rsidR="001E4270" w:rsidRPr="00E019DA" w:rsidRDefault="001E4270" w:rsidP="001E4270">
            <w:pPr>
              <w:spacing w:line="240" w:lineRule="auto"/>
              <w:ind w:right="23"/>
              <w:rPr>
                <w:rFonts w:ascii="Tahoma" w:eastAsia="Calibri" w:hAnsi="Tahoma" w:cs="Tahoma"/>
                <w:sz w:val="19"/>
                <w:szCs w:val="19"/>
                <w:rtl/>
              </w:rPr>
            </w:pPr>
            <w:r w:rsidRPr="00E019DA">
              <w:rPr>
                <w:rFonts w:ascii="Tahoma" w:eastAsia="Calibri" w:hAnsi="Tahoma" w:cs="Tahoma"/>
                <w:sz w:val="19"/>
                <w:szCs w:val="19"/>
                <w:rtl/>
              </w:rPr>
              <w:t>כ-3,900)</w:t>
            </w:r>
          </w:p>
          <w:p w:rsidR="001E4270" w:rsidRPr="00E019DA" w:rsidRDefault="001E4270" w:rsidP="001E4270">
            <w:pPr>
              <w:spacing w:line="240" w:lineRule="auto"/>
              <w:ind w:right="23"/>
              <w:rPr>
                <w:rFonts w:ascii="Tahoma" w:eastAsia="Calibri" w:hAnsi="Tahoma" w:cs="Tahoma"/>
                <w:sz w:val="19"/>
                <w:szCs w:val="19"/>
                <w:rtl/>
              </w:rPr>
            </w:pPr>
          </w:p>
          <w:p w:rsidR="001E4270" w:rsidRPr="00E019DA" w:rsidRDefault="001E4270" w:rsidP="001E4270">
            <w:pPr>
              <w:spacing w:line="240" w:lineRule="auto"/>
              <w:ind w:right="23"/>
              <w:rPr>
                <w:rFonts w:ascii="Tahoma" w:eastAsia="Calibri" w:hAnsi="Tahoma" w:cs="Tahoma"/>
                <w:sz w:val="19"/>
                <w:szCs w:val="19"/>
                <w:rtl/>
              </w:rPr>
            </w:pPr>
          </w:p>
        </w:tc>
      </w:tr>
    </w:tbl>
    <w:p w:rsidR="001D3DA9" w:rsidRPr="00E019DA" w:rsidRDefault="001D3DA9" w:rsidP="001D3DA9">
      <w:pPr>
        <w:spacing w:line="288" w:lineRule="auto"/>
        <w:ind w:left="-1"/>
        <w:rPr>
          <w:rFonts w:ascii="Tahoma" w:hAnsi="Tahoma" w:cs="Tahoma"/>
          <w:sz w:val="10"/>
          <w:szCs w:val="14"/>
          <w:rtl/>
        </w:rPr>
      </w:pPr>
    </w:p>
    <w:p w:rsidR="001D3DA9" w:rsidRPr="00E019DA" w:rsidRDefault="001D3DA9" w:rsidP="00AD44B9">
      <w:pPr>
        <w:ind w:left="-1"/>
        <w:rPr>
          <w:rFonts w:ascii="Tahoma" w:hAnsi="Tahoma" w:cs="Tahoma"/>
          <w:rtl/>
        </w:rPr>
      </w:pPr>
    </w:p>
    <w:p w:rsidR="006B125A" w:rsidRPr="00E019DA" w:rsidRDefault="007A21BC" w:rsidP="00E019DA">
      <w:pPr>
        <w:spacing w:line="480" w:lineRule="auto"/>
        <w:ind w:left="-1"/>
        <w:rPr>
          <w:rFonts w:ascii="Tahoma" w:hAnsi="Tahoma" w:cs="Tahoma"/>
        </w:rPr>
      </w:pPr>
      <w:r w:rsidRPr="00E019DA">
        <w:rPr>
          <w:rFonts w:ascii="Tahoma" w:hAnsi="Tahoma" w:cs="Tahoma"/>
          <w:noProof/>
        </w:rPr>
        <w:drawing>
          <wp:inline distT="0" distB="0" distL="0" distR="0" wp14:anchorId="2EBAE648" wp14:editId="53212961">
            <wp:extent cx="5708435" cy="474345"/>
            <wp:effectExtent l="0" t="0" r="6985"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קציר תמונה 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0340" cy="474503"/>
                    </a:xfrm>
                    <a:prstGeom prst="rect">
                      <a:avLst/>
                    </a:prstGeom>
                  </pic:spPr>
                </pic:pic>
              </a:graphicData>
            </a:graphic>
          </wp:inline>
        </w:drawing>
      </w:r>
    </w:p>
    <w:p w:rsidR="00087064" w:rsidRPr="00E019DA" w:rsidRDefault="007A21BC" w:rsidP="007A21BC">
      <w:pPr>
        <w:pStyle w:val="73"/>
        <w:spacing w:after="120"/>
        <w:ind w:left="851"/>
        <w:rPr>
          <w:sz w:val="19"/>
          <w:szCs w:val="19"/>
          <w:rtl/>
        </w:rPr>
      </w:pPr>
      <w:r w:rsidRPr="00E019DA">
        <w:rPr>
          <w:noProof/>
          <w:sz w:val="19"/>
          <w:szCs w:val="19"/>
        </w:rPr>
        <w:drawing>
          <wp:anchor distT="0" distB="0" distL="71755" distR="71755" simplePos="0" relativeHeight="251658240" behindDoc="0" locked="0" layoutInCell="1" allowOverlap="1">
            <wp:simplePos x="0" y="0"/>
            <wp:positionH relativeFrom="column">
              <wp:posOffset>5284470</wp:posOffset>
            </wp:positionH>
            <wp:positionV relativeFrom="paragraph">
              <wp:posOffset>95250</wp:posOffset>
            </wp:positionV>
            <wp:extent cx="384175" cy="384175"/>
            <wp:effectExtent l="0" t="0" r="0" b="0"/>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417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064" w:rsidRPr="00E019DA">
        <w:rPr>
          <w:sz w:val="19"/>
          <w:szCs w:val="19"/>
          <w:rtl/>
        </w:rPr>
        <w:t>בחודשים ינואר עד ספטמבר 2024 בדק משרד מבקר המדינה את מצב המיגון של בתי חולים במערך האשפוז הכללי וההמשכי (בתי חולים כלליים, גריאטריים, פסיכיאטריים ושיקומיים) ואת מוכנות מערכת הבריאות לעיתות חירום. הנושאים שנבדקו הם היקף פערי המיגון במערך האשפוז והשפעותיהם, ובכלל זה על רציפות הטיפול והתפקוד של בתי החולים, תוכניות ממשלתיות לסגירת פערי המיגון וכן הסדרת ביצוע המיגון, פיקוח על כך ואכיפה בנושא. הבדיקה נעשתה במשרד הבריאות, בבתי חולים כלליים מסוימים ובבתי חולים לאשפוז המשכי (גריאטריים, פסיכיאטריים ושיקומיים) מסוימים; באגף התקציבים במשרד האוצר; ובפיקוד העורף בצה"ל. נוסף על כך, במסגרת הביקורת שלח צוות הביקורת שאלון בנושאים הללו (שאלון מיגון בתי חולים) ל-52 בתי חולים, ועליו השיבו כולם.</w:t>
      </w:r>
    </w:p>
    <w:p w:rsidR="001D3DA9" w:rsidRPr="00E019DA" w:rsidRDefault="00087064" w:rsidP="00087064">
      <w:pPr>
        <w:pStyle w:val="73"/>
        <w:ind w:left="851"/>
        <w:rPr>
          <w:sz w:val="19"/>
          <w:szCs w:val="19"/>
          <w:rtl/>
        </w:rPr>
      </w:pPr>
      <w:r w:rsidRPr="00E019DA">
        <w:rPr>
          <w:sz w:val="19"/>
          <w:szCs w:val="19"/>
          <w:rtl/>
        </w:rPr>
        <w:t xml:space="preserve">יודגש כי הביקורת נעשתה לפני המערכה מול איראן - מבצע עם כלביא ביוני 2025. חשיבותה של ביקורת זו וחומרתם של הליקויים המפורטים בה מתחזקים נוכח פוטנציאל הנזק, </w:t>
      </w:r>
      <w:r w:rsidR="007A21BC" w:rsidRPr="00E019DA">
        <w:rPr>
          <w:sz w:val="19"/>
          <w:szCs w:val="19"/>
          <w:rtl/>
        </w:rPr>
        <w:t>ל</w:t>
      </w:r>
      <w:r w:rsidRPr="00E019DA">
        <w:rPr>
          <w:sz w:val="19"/>
          <w:szCs w:val="19"/>
          <w:rtl/>
        </w:rPr>
        <w:t>חיי אדם ו</w:t>
      </w:r>
      <w:r w:rsidR="007A21BC" w:rsidRPr="00E019DA">
        <w:rPr>
          <w:sz w:val="19"/>
          <w:szCs w:val="19"/>
          <w:rtl/>
        </w:rPr>
        <w:t>ל</w:t>
      </w:r>
      <w:r w:rsidRPr="00E019DA">
        <w:rPr>
          <w:sz w:val="19"/>
          <w:szCs w:val="19"/>
          <w:rtl/>
        </w:rPr>
        <w:t>רכוש, שעלול להיגרם בקרות אירוע בבתי החולים (כגון בעת פגיעת טילים ורעידת אדמה), כפי שאכן אירע בפגיעה בבית החולים סורוקה במהלך מבצע עם כלביא. השלמות בוצעו ביוני 2025</w:t>
      </w:r>
      <w:r w:rsidR="007A21BC" w:rsidRPr="00E019DA">
        <w:rPr>
          <w:sz w:val="19"/>
          <w:szCs w:val="19"/>
          <w:rtl/>
        </w:rPr>
        <w:t>,</w:t>
      </w:r>
      <w:r w:rsidRPr="00E019DA">
        <w:rPr>
          <w:sz w:val="19"/>
          <w:szCs w:val="19"/>
          <w:rtl/>
        </w:rPr>
        <w:t xml:space="preserve"> לאחר מבצע עם כלביא</w:t>
      </w:r>
      <w:r w:rsidR="009961E8" w:rsidRPr="00E019DA">
        <w:rPr>
          <w:sz w:val="19"/>
          <w:szCs w:val="19"/>
          <w:rtl/>
        </w:rPr>
        <w:t xml:space="preserve">. </w:t>
      </w:r>
    </w:p>
    <w:p w:rsidR="00087064" w:rsidRPr="00E019DA" w:rsidRDefault="00087064" w:rsidP="0032268D">
      <w:pPr>
        <w:pStyle w:val="73"/>
        <w:ind w:left="851"/>
        <w:rPr>
          <w:sz w:val="19"/>
          <w:szCs w:val="19"/>
          <w:rtl/>
        </w:rPr>
      </w:pPr>
    </w:p>
    <w:p w:rsidR="00AD44B9" w:rsidRPr="00E019DA" w:rsidRDefault="00AD44B9" w:rsidP="0032268D">
      <w:pPr>
        <w:pStyle w:val="73"/>
        <w:ind w:left="851"/>
        <w:rPr>
          <w:sz w:val="19"/>
          <w:szCs w:val="19"/>
          <w:rtl/>
        </w:rPr>
      </w:pPr>
    </w:p>
    <w:p w:rsidR="001D3DA9" w:rsidRPr="00E019DA" w:rsidRDefault="009961E8" w:rsidP="00CA346E">
      <w:pPr>
        <w:spacing w:before="120" w:line="288" w:lineRule="auto"/>
        <w:rPr>
          <w:rFonts w:ascii="Tahoma" w:hAnsi="Tahoma" w:cs="Tahoma"/>
          <w:noProof/>
          <w:rtl/>
        </w:rPr>
      </w:pPr>
      <w:r w:rsidRPr="00E019DA">
        <w:rPr>
          <w:rFonts w:ascii="Tahoma" w:hAnsi="Tahoma" w:cs="Tahoma"/>
          <w:noProof/>
        </w:rPr>
        <w:lastRenderedPageBreak/>
        <w:drawing>
          <wp:inline distT="0" distB="0" distL="0" distR="0">
            <wp:extent cx="5685790" cy="5334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קציר תמונה 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06362" cy="619761"/>
                    </a:xfrm>
                    <a:prstGeom prst="rect">
                      <a:avLst/>
                    </a:prstGeom>
                  </pic:spPr>
                </pic:pic>
              </a:graphicData>
            </a:graphic>
          </wp:inline>
        </w:drawing>
      </w:r>
    </w:p>
    <w:p w:rsidR="001D3DA9" w:rsidRPr="00E019DA" w:rsidRDefault="009961E8" w:rsidP="00CA346E">
      <w:pPr>
        <w:spacing w:before="240" w:after="160"/>
        <w:rPr>
          <w:rFonts w:ascii="Tahoma" w:hAnsi="Tahoma" w:cs="Tahoma"/>
          <w:rtl/>
        </w:rPr>
      </w:pPr>
      <w:r w:rsidRPr="00E019DA">
        <w:rPr>
          <w:rFonts w:ascii="Tahoma" w:hAnsi="Tahoma" w:cs="Tahoma"/>
          <w:noProof/>
          <w:rtl/>
          <w:lang w:val="he-IL"/>
        </w:rPr>
        <w:drawing>
          <wp:inline distT="0" distB="0" distL="0" distR="0">
            <wp:extent cx="1981200" cy="190500"/>
            <wp:effectExtent l="0" t="0" r="0" b="0"/>
            <wp:docPr id="1310143038" name="תמונה 4" descr="ליקו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BD5B24" w:rsidRPr="00E019DA" w:rsidRDefault="00BD5B24" w:rsidP="00CA346E">
      <w:pPr>
        <w:numPr>
          <w:ilvl w:val="0"/>
          <w:numId w:val="11"/>
        </w:numPr>
        <w:spacing w:after="120" w:line="288" w:lineRule="auto"/>
        <w:ind w:left="567" w:hanging="595"/>
        <w:rPr>
          <w:rFonts w:ascii="Tahoma" w:eastAsia="Calibri" w:hAnsi="Tahoma" w:cs="Tahoma"/>
          <w:sz w:val="19"/>
          <w:szCs w:val="19"/>
        </w:rPr>
      </w:pPr>
      <w:bookmarkStart w:id="2" w:name="_Hlk216596127"/>
      <w:r w:rsidRPr="00E019DA">
        <w:rPr>
          <w:rFonts w:ascii="Tahoma" w:eastAsia="Calibri" w:hAnsi="Tahoma" w:cs="Tahoma"/>
          <w:b/>
          <w:bCs/>
          <w:sz w:val="19"/>
          <w:szCs w:val="19"/>
          <w:rtl/>
        </w:rPr>
        <w:t>פערי המיגון בבתי החולים הכלליים הקרובים לגבול</w:t>
      </w:r>
      <w:r w:rsidRPr="00E019DA">
        <w:rPr>
          <w:rFonts w:ascii="Tahoma" w:eastAsia="Calibri" w:hAnsi="Tahoma" w:cs="Tahoma"/>
          <w:sz w:val="19"/>
          <w:szCs w:val="19"/>
          <w:rtl/>
        </w:rPr>
        <w:t xml:space="preserve"> - המיגון, כמרכיב במסגרת ההיערכות למלחמה וכמקנה עמידות מסוימת בפני רעידת אדמה</w:t>
      </w:r>
      <w:r w:rsidR="007A21BC" w:rsidRPr="00E019DA">
        <w:rPr>
          <w:rFonts w:ascii="Tahoma" w:eastAsia="Calibri" w:hAnsi="Tahoma" w:cs="Tahoma"/>
          <w:sz w:val="19"/>
          <w:szCs w:val="19"/>
          <w:rtl/>
        </w:rPr>
        <w:t>,</w:t>
      </w:r>
      <w:r w:rsidRPr="00E019DA">
        <w:rPr>
          <w:rFonts w:ascii="Tahoma" w:eastAsia="Calibri" w:hAnsi="Tahoma" w:cs="Tahoma"/>
          <w:sz w:val="19"/>
          <w:szCs w:val="19"/>
          <w:rtl/>
        </w:rPr>
        <w:t xml:space="preserve"> הוא תנאי בסיסי להבטחת רציפות התפקוד של מערכת הבריאות בעיתות חירום</w:t>
      </w:r>
      <w:r w:rsidR="001135D8" w:rsidRPr="00E019DA">
        <w:rPr>
          <w:rFonts w:ascii="Tahoma" w:eastAsia="Calibri" w:hAnsi="Tahoma" w:cs="Tahoma"/>
          <w:sz w:val="19"/>
          <w:szCs w:val="19"/>
          <w:rtl/>
        </w:rPr>
        <w:t xml:space="preserve"> </w:t>
      </w:r>
      <w:r w:rsidRPr="00E019DA">
        <w:rPr>
          <w:rFonts w:ascii="Tahoma" w:eastAsia="Calibri" w:hAnsi="Tahoma" w:cs="Tahoma"/>
          <w:sz w:val="19"/>
          <w:szCs w:val="19"/>
          <w:rtl/>
        </w:rPr>
        <w:t xml:space="preserve">ולהבטחת יכולתם להעניק סיוע רפואי לנפגעים בעיתות חירום. בביקורת נמצא כי בבתי החולים הקרובים לגבול קיימים פערי מיגון באתרים לפעילויות חיוניות ובמיטות האשפוז הכלליות. כך, 67% ממכשירי הדימות (10 מתוך 15), 48% ממיטות האשפוז (851 מתוך 1,762), 25% ממיטות הטיפול הנמרץ (41 מתוך 162), 22% מחדרי הניתוח (8 מתוך 36), 18% מעמדות הדיאליזה (14 מתוך 79) ו-17% מעריסות הפגייה (12 מתוך 70) </w:t>
      </w:r>
      <w:r w:rsidR="007A21BC" w:rsidRPr="00E019DA">
        <w:rPr>
          <w:rFonts w:ascii="Tahoma" w:eastAsia="Calibri" w:hAnsi="Tahoma" w:cs="Tahoma"/>
          <w:sz w:val="19"/>
          <w:szCs w:val="19"/>
          <w:rtl/>
        </w:rPr>
        <w:t>אינם</w:t>
      </w:r>
      <w:r w:rsidRPr="00E019DA">
        <w:rPr>
          <w:rFonts w:ascii="Tahoma" w:eastAsia="Calibri" w:hAnsi="Tahoma" w:cs="Tahoma"/>
          <w:sz w:val="19"/>
          <w:szCs w:val="19"/>
          <w:rtl/>
        </w:rPr>
        <w:t xml:space="preserve"> מוגנים. עוד עולה כי חלק ממתחמי בתי החולים מוגדרים "הכי מוגן שיש", כמו 17% מחדרי הצנתורים והאנגיוגרפיה (1 מתוך 6), 14% מחדרי הניתוח (5 מתוך 36) ו-7% ממיטות הטיפול הנמרץ (12 מתוך 162) וממכשירי הדימות (1 מתוך 15); </w:t>
      </w:r>
      <w:bookmarkStart w:id="3" w:name="_Hlk216365815"/>
      <w:r w:rsidR="00B94CC2" w:rsidRPr="00E019DA">
        <w:rPr>
          <w:rFonts w:ascii="Tahoma" w:eastAsia="Calibri" w:hAnsi="Tahoma" w:cs="Tahoma"/>
          <w:sz w:val="19"/>
          <w:szCs w:val="19"/>
          <w:rtl/>
        </w:rPr>
        <w:br/>
      </w:r>
      <w:r w:rsidRPr="00E019DA">
        <w:rPr>
          <w:rFonts w:ascii="Tahoma" w:eastAsia="Calibri" w:hAnsi="Tahoma" w:cs="Tahoma"/>
          <w:sz w:val="19"/>
          <w:szCs w:val="19"/>
          <w:rtl/>
        </w:rPr>
        <w:t>ו-41% ממיטות האשפוז הכלליות מועברות לאתר חלופי מוגן בעת חירום (722 מתוך 1,762).</w:t>
      </w:r>
      <w:bookmarkEnd w:id="3"/>
      <w:r w:rsidRPr="00E019DA">
        <w:rPr>
          <w:rFonts w:ascii="Tahoma" w:eastAsia="Calibri" w:hAnsi="Tahoma" w:cs="Tahoma"/>
          <w:sz w:val="19"/>
          <w:szCs w:val="19"/>
          <w:rtl/>
        </w:rPr>
        <w:t xml:space="preserve"> יש להדגיש כי האתרים המוגדרים "הכי מוגן שיש", שבהם פועלים בתי החולים כאשר ניתנת הנחיה לעבור למרחבים מוגנים אם אין בנמצא מבנה מוגן תקנית או מבנה מוגן, אינם מוגנים תקנית למעשה, אולם מותר להשתמש בהם בכפוף למגבלות המפורטות בתיקי החירום של בתי החולים. אתרים אלה נמצאים באזורים פנימיים בתוך מבנים או באזורים עם קירות חיצוניים ללא פתחים במבנה בית החולים ומתחת לשתי תקרות או יותר, שלפחות אחת מהן מבטון.</w:t>
      </w:r>
    </w:p>
    <w:bookmarkEnd w:id="2"/>
    <w:p w:rsidR="00BD5B24" w:rsidRPr="00E019DA" w:rsidRDefault="00BD5B24" w:rsidP="00CA346E">
      <w:pPr>
        <w:spacing w:after="160" w:line="288" w:lineRule="auto"/>
        <w:ind w:left="567"/>
        <w:rPr>
          <w:rFonts w:ascii="Tahoma" w:eastAsia="Calibri" w:hAnsi="Tahoma" w:cs="Tahoma"/>
          <w:sz w:val="19"/>
          <w:szCs w:val="19"/>
          <w:rtl/>
        </w:rPr>
      </w:pPr>
      <w:r w:rsidRPr="00E019DA">
        <w:rPr>
          <w:rFonts w:ascii="Tahoma" w:eastAsia="Calibri" w:hAnsi="Tahoma" w:cs="Tahoma"/>
          <w:sz w:val="19"/>
          <w:szCs w:val="19"/>
          <w:rtl/>
        </w:rPr>
        <w:t xml:space="preserve">המשמעות של פערי המיגון בבתי החולים ב', ג' ו-ד' הקרובים לגבול היא, בין היתר, שבעת הסלמה ביטחונית, ובכפוף למדיניות ההתגוננות של פקע"ר ולרמות הכוננות של משרד הבריאות, בתי החולים נאלצים לצמצם פעילות כללית הכרוכה באשפוז, וכן פעילות אלקטיבית (מוזמנת). למשל, </w:t>
      </w:r>
      <w:r w:rsidRPr="00E019DA">
        <w:rPr>
          <w:rFonts w:ascii="Tahoma" w:eastAsia="Calibri" w:hAnsi="Tahoma" w:cs="Tahoma"/>
          <w:b/>
          <w:bCs/>
          <w:sz w:val="19"/>
          <w:szCs w:val="19"/>
          <w:rtl/>
        </w:rPr>
        <w:t>בבית החולים ג'</w:t>
      </w:r>
      <w:r w:rsidRPr="00E019DA">
        <w:rPr>
          <w:rFonts w:ascii="Tahoma" w:eastAsia="Calibri" w:hAnsi="Tahoma" w:cs="Tahoma"/>
          <w:sz w:val="19"/>
          <w:szCs w:val="19"/>
          <w:rtl/>
        </w:rPr>
        <w:t xml:space="preserve"> נסגרה באוקטובר 2023 מחלקה מסוימת, כיוון שהיא נמצאת במתחם שאינו מוגן, ורק ביולי 2024, לאחר שבית החולים איתר מתחם מוגן, הוא החל להפעיל שם חלק מהמיטות במחלקה. </w:t>
      </w:r>
    </w:p>
    <w:p w:rsidR="00BD5B24" w:rsidRPr="00E019DA" w:rsidRDefault="00BD5B24" w:rsidP="00BD5B24">
      <w:pPr>
        <w:numPr>
          <w:ilvl w:val="0"/>
          <w:numId w:val="11"/>
        </w:numPr>
        <w:spacing w:after="120" w:line="288" w:lineRule="auto"/>
        <w:ind w:left="566" w:hanging="595"/>
        <w:rPr>
          <w:rFonts w:ascii="Tahoma" w:eastAsia="Calibri" w:hAnsi="Tahoma" w:cs="Tahoma"/>
          <w:sz w:val="19"/>
          <w:szCs w:val="19"/>
        </w:rPr>
      </w:pPr>
      <w:bookmarkStart w:id="4" w:name="_Hlk216596121"/>
      <w:r w:rsidRPr="00E019DA">
        <w:rPr>
          <w:rFonts w:ascii="Tahoma" w:eastAsia="Calibri" w:hAnsi="Tahoma" w:cs="Tahoma"/>
          <w:b/>
          <w:bCs/>
          <w:sz w:val="19"/>
          <w:szCs w:val="19"/>
          <w:rtl/>
        </w:rPr>
        <w:t>פערי מיגון בשבע</w:t>
      </w:r>
      <w:r w:rsidR="00483ED4" w:rsidRPr="00E019DA">
        <w:rPr>
          <w:rFonts w:ascii="Tahoma" w:eastAsia="Calibri" w:hAnsi="Tahoma" w:cs="Tahoma"/>
          <w:b/>
          <w:bCs/>
          <w:sz w:val="19"/>
          <w:szCs w:val="19"/>
          <w:rtl/>
        </w:rPr>
        <w:t>ת</w:t>
      </w:r>
      <w:r w:rsidRPr="00E019DA">
        <w:rPr>
          <w:rFonts w:ascii="Tahoma" w:eastAsia="Calibri" w:hAnsi="Tahoma" w:cs="Tahoma"/>
          <w:b/>
          <w:bCs/>
          <w:sz w:val="19"/>
          <w:szCs w:val="19"/>
          <w:rtl/>
        </w:rPr>
        <w:t xml:space="preserve"> "מרכזי-העל" בישראל</w:t>
      </w:r>
      <w:r w:rsidRPr="00E019DA">
        <w:rPr>
          <w:rFonts w:ascii="Tahoma" w:eastAsia="Calibri" w:hAnsi="Tahoma" w:cs="Tahoma"/>
          <w:sz w:val="19"/>
          <w:szCs w:val="19"/>
          <w:rtl/>
        </w:rPr>
        <w:t xml:space="preserve"> - משרד הבריאות מסווג את בתי החולים לשלוש רמות: מרכז טראומה על-אזורי ("מרכז-על"), מרכז טראומה אזורי ובית חולים מקומיים; זאת לפי יכולותיהם ולפי גישה אזורית, שעיקרה שילוב בין בתי חולים בעלי יכולות שונות והעברת פצועים קש</w:t>
      </w:r>
      <w:r w:rsidR="00483ED4" w:rsidRPr="00E019DA">
        <w:rPr>
          <w:rFonts w:ascii="Tahoma" w:eastAsia="Calibri" w:hAnsi="Tahoma" w:cs="Tahoma"/>
          <w:sz w:val="19"/>
          <w:szCs w:val="19"/>
          <w:rtl/>
        </w:rPr>
        <w:t>ה</w:t>
      </w:r>
      <w:r w:rsidRPr="00E019DA">
        <w:rPr>
          <w:rFonts w:ascii="Tahoma" w:eastAsia="Calibri" w:hAnsi="Tahoma" w:cs="Tahoma"/>
          <w:sz w:val="19"/>
          <w:szCs w:val="19"/>
          <w:rtl/>
        </w:rPr>
        <w:t xml:space="preserve"> לבתי חולים בעלי יכולות טיפול גבוהות יותר. בביקורת נמצא </w:t>
      </w:r>
      <w:r w:rsidR="00483ED4" w:rsidRPr="00E019DA">
        <w:rPr>
          <w:rFonts w:ascii="Tahoma" w:eastAsia="Calibri" w:hAnsi="Tahoma" w:cs="Tahoma"/>
          <w:sz w:val="19"/>
          <w:szCs w:val="19"/>
          <w:rtl/>
        </w:rPr>
        <w:t>כדלהלן</w:t>
      </w:r>
      <w:r w:rsidRPr="00E019DA">
        <w:rPr>
          <w:rFonts w:ascii="Tahoma" w:eastAsia="Calibri" w:hAnsi="Tahoma" w:cs="Tahoma"/>
          <w:sz w:val="19"/>
          <w:szCs w:val="19"/>
          <w:rtl/>
        </w:rPr>
        <w:t xml:space="preserve">: </w:t>
      </w:r>
    </w:p>
    <w:p w:rsidR="00BD5B24" w:rsidRPr="00E019DA" w:rsidRDefault="00BD5B24" w:rsidP="00BD5B24">
      <w:pPr>
        <w:numPr>
          <w:ilvl w:val="1"/>
          <w:numId w:val="11"/>
        </w:numPr>
        <w:spacing w:after="120" w:line="288" w:lineRule="auto"/>
        <w:ind w:left="992"/>
        <w:rPr>
          <w:rFonts w:ascii="Tahoma" w:eastAsia="Calibri" w:hAnsi="Tahoma" w:cs="Tahoma"/>
          <w:sz w:val="19"/>
          <w:szCs w:val="19"/>
        </w:rPr>
      </w:pPr>
      <w:r w:rsidRPr="00E019DA">
        <w:rPr>
          <w:rFonts w:ascii="Tahoma" w:eastAsia="Calibri" w:hAnsi="Tahoma" w:cs="Tahoma"/>
          <w:sz w:val="19"/>
          <w:szCs w:val="19"/>
          <w:rtl/>
        </w:rPr>
        <w:t xml:space="preserve">במרכזי-העל הקרובים לגבול קיימים פערי מיגון במתחמים </w:t>
      </w:r>
      <w:r w:rsidR="00483ED4" w:rsidRPr="00E019DA">
        <w:rPr>
          <w:rFonts w:ascii="Tahoma" w:eastAsia="Calibri" w:hAnsi="Tahoma" w:cs="Tahoma"/>
          <w:sz w:val="19"/>
          <w:szCs w:val="19"/>
          <w:rtl/>
        </w:rPr>
        <w:t>ש</w:t>
      </w:r>
      <w:r w:rsidRPr="00E019DA">
        <w:rPr>
          <w:rFonts w:ascii="Tahoma" w:eastAsia="Calibri" w:hAnsi="Tahoma" w:cs="Tahoma"/>
          <w:sz w:val="19"/>
          <w:szCs w:val="19"/>
          <w:rtl/>
        </w:rPr>
        <w:t>בהם מתבצעות פעילויות חיוניות</w:t>
      </w:r>
      <w:r w:rsidRPr="00E019DA">
        <w:rPr>
          <w:rFonts w:ascii="Tahoma" w:eastAsia="Calibri" w:hAnsi="Tahoma" w:cs="Tahoma"/>
          <w:sz w:val="18"/>
          <w:rtl/>
        </w:rPr>
        <w:t xml:space="preserve"> </w:t>
      </w:r>
      <w:r w:rsidRPr="00E019DA">
        <w:rPr>
          <w:rFonts w:ascii="Tahoma" w:eastAsia="Calibri" w:hAnsi="Tahoma" w:cs="Tahoma"/>
          <w:sz w:val="19"/>
          <w:szCs w:val="19"/>
          <w:rtl/>
        </w:rPr>
        <w:t xml:space="preserve">ובמיטות האשפוז. כך, 56% מחדרי הצנתורים והאנגיוגרפיה (5 מתוך 9), 30% ממכשירי הדימות (3 מתוך 10), 27% ממיטות הטיפול הנמרץ (59 מתוך 218), 18% ממיטות האשפוז הכלליות (593 מתוך 3,298) ו-16% מחדרי הניתוח (8 מתוך 50) </w:t>
      </w:r>
      <w:r w:rsidR="00483ED4" w:rsidRPr="00E019DA">
        <w:rPr>
          <w:rFonts w:ascii="Tahoma" w:eastAsia="Calibri" w:hAnsi="Tahoma" w:cs="Tahoma"/>
          <w:sz w:val="19"/>
          <w:szCs w:val="19"/>
          <w:rtl/>
        </w:rPr>
        <w:t>אינם</w:t>
      </w:r>
      <w:r w:rsidRPr="00E019DA">
        <w:rPr>
          <w:rFonts w:ascii="Tahoma" w:eastAsia="Calibri" w:hAnsi="Tahoma" w:cs="Tahoma"/>
          <w:sz w:val="19"/>
          <w:szCs w:val="19"/>
          <w:rtl/>
        </w:rPr>
        <w:t xml:space="preserve"> מוגנים.</w:t>
      </w:r>
      <w:r w:rsidRPr="00E019DA">
        <w:rPr>
          <w:rFonts w:ascii="Tahoma" w:eastAsia="Calibri" w:hAnsi="Tahoma" w:cs="Tahoma"/>
          <w:sz w:val="18"/>
          <w:rtl/>
        </w:rPr>
        <w:t xml:space="preserve"> </w:t>
      </w:r>
      <w:r w:rsidRPr="00E019DA">
        <w:rPr>
          <w:rFonts w:ascii="Tahoma" w:eastAsia="Calibri" w:hAnsi="Tahoma" w:cs="Tahoma"/>
          <w:sz w:val="19"/>
          <w:szCs w:val="19"/>
          <w:rtl/>
        </w:rPr>
        <w:t>עוד עולה כי חלק</w:t>
      </w:r>
      <w:bookmarkStart w:id="5" w:name="_Hlk216869105"/>
      <w:r w:rsidRPr="00E019DA">
        <w:rPr>
          <w:rFonts w:ascii="Tahoma" w:eastAsia="Calibri" w:hAnsi="Tahoma" w:cs="Tahoma"/>
          <w:sz w:val="19"/>
          <w:szCs w:val="19"/>
          <w:rtl/>
        </w:rPr>
        <w:t xml:space="preserve"> מהמתחמים </w:t>
      </w:r>
      <w:r w:rsidRPr="00E019DA">
        <w:rPr>
          <w:rFonts w:ascii="Tahoma" w:eastAsia="Calibri" w:hAnsi="Tahoma" w:cs="Tahoma"/>
          <w:sz w:val="19"/>
          <w:szCs w:val="19"/>
          <w:rtl/>
        </w:rPr>
        <w:lastRenderedPageBreak/>
        <w:t xml:space="preserve">במרכזי העל </w:t>
      </w:r>
      <w:bookmarkEnd w:id="5"/>
      <w:r w:rsidRPr="00E019DA">
        <w:rPr>
          <w:rFonts w:ascii="Tahoma" w:eastAsia="Calibri" w:hAnsi="Tahoma" w:cs="Tahoma"/>
          <w:sz w:val="19"/>
          <w:szCs w:val="19"/>
          <w:rtl/>
        </w:rPr>
        <w:t xml:space="preserve">מוגדרים "הכי מוגן שיש", כמו 30% ממכשירי הדימות (3 מתוך 10), 8% ממיטות האשפוז הכלליות (251 מתוך 3,298) ו-6% מעמדות המלר"ד </w:t>
      </w:r>
      <w:bookmarkStart w:id="6" w:name="_Hlk216597087"/>
      <w:r w:rsidRPr="00E019DA">
        <w:rPr>
          <w:rFonts w:ascii="Tahoma" w:eastAsia="Calibri" w:hAnsi="Tahoma" w:cs="Tahoma"/>
          <w:sz w:val="19"/>
          <w:szCs w:val="19"/>
          <w:rtl/>
        </w:rPr>
        <w:t>(מחלקה לרפואה דחופה)</w:t>
      </w:r>
      <w:r w:rsidRPr="00E019DA">
        <w:rPr>
          <w:rFonts w:ascii="Tahoma" w:eastAsia="Calibri" w:hAnsi="Tahoma" w:cs="Tahoma"/>
          <w:sz w:val="18"/>
          <w:rtl/>
        </w:rPr>
        <w:t xml:space="preserve"> </w:t>
      </w:r>
      <w:r w:rsidRPr="00E019DA">
        <w:rPr>
          <w:rFonts w:ascii="Tahoma" w:eastAsia="Calibri" w:hAnsi="Tahoma" w:cs="Tahoma"/>
          <w:sz w:val="19"/>
          <w:szCs w:val="19"/>
          <w:rtl/>
        </w:rPr>
        <w:t>(13 מתוך 220);</w:t>
      </w:r>
      <w:r w:rsidRPr="00E019DA">
        <w:rPr>
          <w:rFonts w:ascii="Tahoma" w:eastAsia="Calibri" w:hAnsi="Tahoma" w:cs="Tahoma"/>
          <w:sz w:val="18"/>
          <w:rtl/>
        </w:rPr>
        <w:t xml:space="preserve"> </w:t>
      </w:r>
      <w:r w:rsidRPr="00E019DA">
        <w:rPr>
          <w:rFonts w:ascii="Tahoma" w:eastAsia="Calibri" w:hAnsi="Tahoma" w:cs="Tahoma"/>
          <w:sz w:val="19"/>
          <w:szCs w:val="19"/>
          <w:rtl/>
        </w:rPr>
        <w:t xml:space="preserve">ו-86% מעמדות הדיאליזה מועברות לאתר חלופי מוגן בעת חירום (102 מתוך 118). </w:t>
      </w:r>
      <w:bookmarkEnd w:id="6"/>
    </w:p>
    <w:bookmarkEnd w:id="4"/>
    <w:p w:rsidR="00BD5B24" w:rsidRPr="00E019DA" w:rsidRDefault="00BD5B24" w:rsidP="00BD5B24">
      <w:pPr>
        <w:numPr>
          <w:ilvl w:val="1"/>
          <w:numId w:val="11"/>
        </w:numPr>
        <w:spacing w:after="120" w:line="288" w:lineRule="auto"/>
        <w:ind w:left="992"/>
        <w:rPr>
          <w:rFonts w:ascii="Tahoma" w:eastAsia="Calibri" w:hAnsi="Tahoma" w:cs="Tahoma"/>
          <w:sz w:val="19"/>
          <w:szCs w:val="19"/>
        </w:rPr>
      </w:pPr>
      <w:r w:rsidRPr="00E019DA">
        <w:rPr>
          <w:rFonts w:ascii="Tahoma" w:eastAsia="Calibri" w:hAnsi="Tahoma" w:cs="Tahoma"/>
          <w:sz w:val="19"/>
          <w:szCs w:val="19"/>
          <w:rtl/>
        </w:rPr>
        <w:t xml:space="preserve">במרכזי-העל שאינם קרובים לגבול קיימים פערי מיגון במתחמים </w:t>
      </w:r>
      <w:r w:rsidR="00483ED4" w:rsidRPr="00E019DA">
        <w:rPr>
          <w:rFonts w:ascii="Tahoma" w:eastAsia="Calibri" w:hAnsi="Tahoma" w:cs="Tahoma"/>
          <w:sz w:val="19"/>
          <w:szCs w:val="19"/>
          <w:rtl/>
        </w:rPr>
        <w:t>ש</w:t>
      </w:r>
      <w:r w:rsidRPr="00E019DA">
        <w:rPr>
          <w:rFonts w:ascii="Tahoma" w:eastAsia="Calibri" w:hAnsi="Tahoma" w:cs="Tahoma"/>
          <w:sz w:val="19"/>
          <w:szCs w:val="19"/>
          <w:rtl/>
        </w:rPr>
        <w:t xml:space="preserve">בהם מתבצעות פעילויות חיוניות ובמיטות האשפוז הכלליות. כך, 69% ממכשירי הדימות (29 מתוך 42), 61% ממיטות האשפוז (3,632 מתוך 5,929), 64% ממיטות הטיפול הנמרץ (224 מתוך 348), 38% מחדרי הניתוח (54 מתוך 144), 56% מחדרי הצנתורים והאנגיוגרפיה (15 מתוך 27) ו-43% מעמדות הדיאליזה (96 מתוך 224) </w:t>
      </w:r>
      <w:r w:rsidR="00483ED4" w:rsidRPr="00E019DA">
        <w:rPr>
          <w:rFonts w:ascii="Tahoma" w:eastAsia="Calibri" w:hAnsi="Tahoma" w:cs="Tahoma"/>
          <w:sz w:val="19"/>
          <w:szCs w:val="19"/>
          <w:rtl/>
        </w:rPr>
        <w:t>אינם</w:t>
      </w:r>
      <w:r w:rsidRPr="00E019DA">
        <w:rPr>
          <w:rFonts w:ascii="Tahoma" w:eastAsia="Calibri" w:hAnsi="Tahoma" w:cs="Tahoma"/>
          <w:sz w:val="19"/>
          <w:szCs w:val="19"/>
          <w:rtl/>
        </w:rPr>
        <w:t xml:space="preserve"> מוגנים. </w:t>
      </w:r>
    </w:p>
    <w:p w:rsidR="00BD5B24" w:rsidRPr="00E019DA" w:rsidRDefault="00BD5B24" w:rsidP="00BD5B24">
      <w:pPr>
        <w:numPr>
          <w:ilvl w:val="1"/>
          <w:numId w:val="11"/>
        </w:numPr>
        <w:spacing w:after="120" w:line="288" w:lineRule="auto"/>
        <w:ind w:left="992"/>
        <w:rPr>
          <w:rFonts w:ascii="Tahoma" w:eastAsia="Calibri" w:hAnsi="Tahoma" w:cs="Tahoma"/>
          <w:sz w:val="19"/>
          <w:szCs w:val="19"/>
        </w:rPr>
      </w:pPr>
      <w:r w:rsidRPr="00E019DA">
        <w:rPr>
          <w:rFonts w:ascii="Tahoma" w:eastAsia="Calibri" w:hAnsi="Tahoma" w:cs="Tahoma"/>
          <w:sz w:val="19"/>
          <w:szCs w:val="19"/>
          <w:rtl/>
        </w:rPr>
        <w:t xml:space="preserve">עוד עולה כי שיעור לא מבוטל מהמתחמים במרכזי-העל שאינם קרובים לגבול מוגדרים כ"הכי מוגן שיש", משמע מיגון שאינו תקני כאמור, כמו 21% מעמדות המלר"ד (100 מתוך 484), 14% מחדרי הניתוח (20 מתוך 144), 10% ממכשירי הדימות (4 מתוך 42) ו-11% מחדרי הצנתורים והאנגיוגרפיה (3 מתוך 27); עולה חשש שיכולתם של מרכזי-העל לטפל בפצועים רבים ולהמשיך לתת שירותים רפואיים לכלל האוכלוסייה בעת מלחמה ממושכת תהיה מוגבלת. </w:t>
      </w:r>
    </w:p>
    <w:p w:rsidR="00BD5B24" w:rsidRPr="00E019DA" w:rsidRDefault="00BD5B24" w:rsidP="00CA346E">
      <w:pPr>
        <w:spacing w:after="160" w:line="288" w:lineRule="auto"/>
        <w:ind w:left="567"/>
        <w:rPr>
          <w:rFonts w:ascii="Tahoma" w:eastAsia="Calibri" w:hAnsi="Tahoma" w:cs="Tahoma"/>
          <w:sz w:val="19"/>
          <w:szCs w:val="19"/>
          <w:rtl/>
        </w:rPr>
      </w:pPr>
      <w:r w:rsidRPr="00E019DA">
        <w:rPr>
          <w:rFonts w:ascii="Tahoma" w:eastAsia="Calibri" w:hAnsi="Tahoma" w:cs="Tahoma"/>
          <w:sz w:val="19"/>
          <w:szCs w:val="19"/>
          <w:rtl/>
        </w:rPr>
        <w:t>המשמעויות של פערי המיגון במרכזי העל</w:t>
      </w:r>
      <w:r w:rsidRPr="00E019DA">
        <w:rPr>
          <w:rFonts w:ascii="Tahoma" w:eastAsia="Calibri" w:hAnsi="Tahoma" w:cs="Tahoma"/>
          <w:sz w:val="16"/>
          <w:szCs w:val="16"/>
          <w:rtl/>
        </w:rPr>
        <w:t xml:space="preserve"> </w:t>
      </w:r>
      <w:r w:rsidRPr="00E019DA">
        <w:rPr>
          <w:rFonts w:ascii="Tahoma" w:eastAsia="Calibri" w:hAnsi="Tahoma" w:cs="Tahoma"/>
          <w:sz w:val="19"/>
          <w:szCs w:val="19"/>
          <w:rtl/>
        </w:rPr>
        <w:t xml:space="preserve">הן, בין היתר, שבמהלך המלחמה, במסגרת מילוי ההנחיה להעביר את כלל הפעילות למתחמים מוגנים בלבד (מדרג פעילות "מצומצמת" או "הכרחית"), בית החולים נאלץ להפסיק לפרקי זמן ממושכים את הפעילות באתרים חיוניים שאינם מוגנים, והצוות הרפואי נאלץ לבצע חלק מהפעילויות הרפואיות באתרים שאינם מותאמים לצרכים. </w:t>
      </w:r>
      <w:bookmarkStart w:id="7" w:name="_Hlk217915767"/>
      <w:r w:rsidRPr="00E019DA">
        <w:rPr>
          <w:rFonts w:ascii="Tahoma" w:eastAsia="Calibri" w:hAnsi="Tahoma" w:cs="Tahoma"/>
          <w:sz w:val="19"/>
          <w:szCs w:val="19"/>
          <w:rtl/>
        </w:rPr>
        <w:t>כמו כן, באתרים המוגדרים "הכי מוגן שיש" הצוות והמטופלים נותרו חשופים לפגיעה אפשרית שכן אין מדובר במיגון תקני;</w:t>
      </w:r>
      <w:r w:rsidRPr="00E019DA" w:rsidDel="00D538FB">
        <w:rPr>
          <w:rFonts w:ascii="Tahoma" w:eastAsia="Calibri" w:hAnsi="Tahoma" w:cs="Tahoma"/>
          <w:sz w:val="19"/>
          <w:szCs w:val="19"/>
          <w:rtl/>
        </w:rPr>
        <w:t xml:space="preserve"> </w:t>
      </w:r>
      <w:r w:rsidRPr="00E019DA">
        <w:rPr>
          <w:rFonts w:ascii="Tahoma" w:eastAsia="Calibri" w:hAnsi="Tahoma" w:cs="Tahoma"/>
          <w:sz w:val="19"/>
          <w:szCs w:val="19"/>
          <w:rtl/>
        </w:rPr>
        <w:t xml:space="preserve">במסגרת מילוי ההנחיה להיכנס למרחב מוגן רק בעת התרעה (מדרג פעילות "מלאה" או "חלקית") הצוותים הרפואיים שעובדים באתרים חיוניים לא-מוגנים כגון חדרי ניתוח, דיאליזה והדמיה הונחו </w:t>
      </w:r>
      <w:r w:rsidR="00E92DB1" w:rsidRPr="00E019DA">
        <w:rPr>
          <w:rFonts w:ascii="Tahoma" w:eastAsia="Calibri" w:hAnsi="Tahoma" w:cs="Tahoma"/>
          <w:sz w:val="19"/>
          <w:szCs w:val="19"/>
          <w:rtl/>
        </w:rPr>
        <w:t xml:space="preserve">לצאת </w:t>
      </w:r>
      <w:r w:rsidRPr="00E019DA">
        <w:rPr>
          <w:rFonts w:ascii="Tahoma" w:eastAsia="Calibri" w:hAnsi="Tahoma" w:cs="Tahoma"/>
          <w:sz w:val="19"/>
          <w:szCs w:val="19"/>
          <w:rtl/>
        </w:rPr>
        <w:t>בזמן אזעקה מהחדר ולעבור למרחב מוגן קרוב כדי למנוע סכנת חיים. אולם בפועל במקרים רבים המטופלים ושיעור ניכר מהצוות לא יכלו לעזוב את האתר, שכן הם היו בעיצומו של ניתוח או של טיפול דיאליזה.</w:t>
      </w:r>
    </w:p>
    <w:bookmarkEnd w:id="7"/>
    <w:p w:rsidR="00BD5B24" w:rsidRPr="00E019DA" w:rsidRDefault="00BD5B24" w:rsidP="00BD5B24">
      <w:pPr>
        <w:numPr>
          <w:ilvl w:val="0"/>
          <w:numId w:val="11"/>
        </w:numPr>
        <w:spacing w:after="120" w:line="288" w:lineRule="auto"/>
        <w:ind w:left="566" w:hanging="595"/>
        <w:rPr>
          <w:rFonts w:ascii="Tahoma" w:eastAsia="Calibri" w:hAnsi="Tahoma" w:cs="Tahoma"/>
          <w:sz w:val="19"/>
          <w:szCs w:val="19"/>
        </w:rPr>
      </w:pPr>
      <w:r w:rsidRPr="00E019DA">
        <w:rPr>
          <w:rFonts w:ascii="Tahoma" w:eastAsia="Calibri" w:hAnsi="Tahoma" w:cs="Tahoma"/>
          <w:b/>
          <w:bCs/>
          <w:sz w:val="19"/>
          <w:szCs w:val="19"/>
          <w:rtl/>
        </w:rPr>
        <w:t>פערי המיגון ב-27 בתי חולים כלליים</w:t>
      </w:r>
      <w:r w:rsidRPr="00E019DA">
        <w:rPr>
          <w:rFonts w:ascii="Tahoma" w:eastAsia="Calibri" w:hAnsi="Tahoma" w:cs="Tahoma"/>
          <w:sz w:val="19"/>
          <w:szCs w:val="19"/>
          <w:rtl/>
        </w:rPr>
        <w:t xml:space="preserve"> - קיימים פערי מיגון משמעותיים במתחמי בתי החולים </w:t>
      </w:r>
      <w:r w:rsidR="00E92DB1" w:rsidRPr="00E019DA">
        <w:rPr>
          <w:rFonts w:ascii="Tahoma" w:eastAsia="Calibri" w:hAnsi="Tahoma" w:cs="Tahoma"/>
          <w:sz w:val="19"/>
          <w:szCs w:val="19"/>
          <w:rtl/>
        </w:rPr>
        <w:t>ש</w:t>
      </w:r>
      <w:r w:rsidRPr="00E019DA">
        <w:rPr>
          <w:rFonts w:ascii="Tahoma" w:eastAsia="Calibri" w:hAnsi="Tahoma" w:cs="Tahoma"/>
          <w:sz w:val="19"/>
          <w:szCs w:val="19"/>
          <w:rtl/>
        </w:rPr>
        <w:t xml:space="preserve">בהם מתבצעות פעילויות חיוניות ובמיטות אשפוז כלליות ב-27 בתי החולים. המתחמים שאינם מוגנים הם 56% ממיטות האשפוז הכלליות (10,493 מתוך 18,637), 61% ממכשירי הדימות (78 מתוך 129), 41% מחדרי הניתוח (168 מתוך 406), 50% מחדרי הצנתורים והאנגיוגרפיה (42 מתוך 83), 43% ממיטות הטיפול </w:t>
      </w:r>
      <w:r w:rsidR="00E92DB1" w:rsidRPr="00E019DA">
        <w:rPr>
          <w:rFonts w:ascii="Tahoma" w:eastAsia="Calibri" w:hAnsi="Tahoma" w:cs="Tahoma"/>
          <w:sz w:val="19"/>
          <w:szCs w:val="19"/>
          <w:rtl/>
        </w:rPr>
        <w:t>ה</w:t>
      </w:r>
      <w:r w:rsidRPr="00E019DA">
        <w:rPr>
          <w:rFonts w:ascii="Tahoma" w:eastAsia="Calibri" w:hAnsi="Tahoma" w:cs="Tahoma"/>
          <w:sz w:val="19"/>
          <w:szCs w:val="19"/>
          <w:rtl/>
        </w:rPr>
        <w:t xml:space="preserve">נמרץ (491 מתוך 1,147), 33% מעמדות הדיאליזה (284 מתוך 867), 28% מעמדות המלר"ד (440 מתוך 1,578) ו-18% מעריסות הפגייה (124 מתוך 702). עוד עולה כי שיעור לא מבוטל מהמתחמים בבתי החולים מוגדרים "הכי מוגן שיש", משמע מיגון שאינו תקני, כמו 10% מעמדות המלר"ד (164 מתוך 1,578), 10% מחדרי הצנתורים והאנגיוגרפיה (8 מתוך 83), 10% ממכשירי הדימות (13 מתוך 129) ו-6% ממיטות הטיפול הנמרץ (72 מתוך 1,147). </w:t>
      </w:r>
    </w:p>
    <w:p w:rsidR="00BD5B24" w:rsidRPr="00E019DA" w:rsidRDefault="00BD5B24" w:rsidP="00BD5B24">
      <w:pPr>
        <w:spacing w:after="120" w:line="288" w:lineRule="auto"/>
        <w:ind w:left="567"/>
        <w:rPr>
          <w:rFonts w:ascii="Tahoma" w:eastAsia="Calibri" w:hAnsi="Tahoma" w:cs="Tahoma"/>
          <w:sz w:val="19"/>
          <w:szCs w:val="19"/>
          <w:rtl/>
        </w:rPr>
      </w:pPr>
      <w:r w:rsidRPr="00E019DA">
        <w:rPr>
          <w:rFonts w:ascii="Tahoma" w:eastAsia="Calibri" w:hAnsi="Tahoma" w:cs="Tahoma"/>
          <w:sz w:val="19"/>
          <w:szCs w:val="19"/>
          <w:rtl/>
        </w:rPr>
        <w:t xml:space="preserve">מהאמור עולה חשש שיכולתם של בתי חולים רבים להמשיך לתת שירותים רפואיים לכלל האוכלוסייה בעת מלחמה כוללת וממושכת תהיה מוגבלת. </w:t>
      </w:r>
    </w:p>
    <w:p w:rsidR="00BD5B24" w:rsidRPr="00E019DA" w:rsidRDefault="00BD5B24" w:rsidP="00CA346E">
      <w:pPr>
        <w:spacing w:after="160" w:line="288" w:lineRule="auto"/>
        <w:ind w:left="567"/>
        <w:rPr>
          <w:rFonts w:ascii="Tahoma" w:eastAsia="Calibri" w:hAnsi="Tahoma" w:cs="Tahoma"/>
          <w:sz w:val="19"/>
          <w:szCs w:val="19"/>
          <w:rtl/>
        </w:rPr>
      </w:pPr>
      <w:r w:rsidRPr="00E019DA">
        <w:rPr>
          <w:rFonts w:ascii="Tahoma" w:eastAsia="Calibri" w:hAnsi="Tahoma" w:cs="Tahoma"/>
          <w:sz w:val="19"/>
          <w:szCs w:val="19"/>
          <w:rtl/>
        </w:rPr>
        <w:lastRenderedPageBreak/>
        <w:t>כמו כן, מלחמת חרבות ברזל ומבצע עם כלביא בפרט לימדו כי המדינה כולה</w:t>
      </w:r>
      <w:r w:rsidR="00E92DB1" w:rsidRPr="00E019DA">
        <w:rPr>
          <w:rFonts w:ascii="Tahoma" w:eastAsia="Calibri" w:hAnsi="Tahoma" w:cs="Tahoma"/>
          <w:sz w:val="19"/>
          <w:szCs w:val="19"/>
          <w:rtl/>
        </w:rPr>
        <w:t>,</w:t>
      </w:r>
      <w:r w:rsidRPr="00E019DA">
        <w:rPr>
          <w:rFonts w:ascii="Tahoma" w:eastAsia="Calibri" w:hAnsi="Tahoma" w:cs="Tahoma"/>
          <w:sz w:val="19"/>
          <w:szCs w:val="19"/>
          <w:rtl/>
        </w:rPr>
        <w:t xml:space="preserve"> ולא רק בתי החולים הקרובים לגבולות, </w:t>
      </w:r>
      <w:r w:rsidR="00E92DB1" w:rsidRPr="00E019DA">
        <w:rPr>
          <w:rFonts w:ascii="Tahoma" w:eastAsia="Calibri" w:hAnsi="Tahoma" w:cs="Tahoma"/>
          <w:sz w:val="19"/>
          <w:szCs w:val="19"/>
          <w:rtl/>
        </w:rPr>
        <w:t xml:space="preserve">נתונה לאיום של רקטות וטילים </w:t>
      </w:r>
      <w:r w:rsidRPr="00E019DA">
        <w:rPr>
          <w:rFonts w:ascii="Tahoma" w:eastAsia="Calibri" w:hAnsi="Tahoma" w:cs="Tahoma"/>
          <w:sz w:val="19"/>
          <w:szCs w:val="19"/>
          <w:rtl/>
        </w:rPr>
        <w:t xml:space="preserve">ולכן עולה חשיבות המיגון בכלל בתי החולים. </w:t>
      </w:r>
    </w:p>
    <w:p w:rsidR="00BD5B24" w:rsidRPr="00E019DA" w:rsidRDefault="00BD5B24" w:rsidP="00CA346E">
      <w:pPr>
        <w:numPr>
          <w:ilvl w:val="0"/>
          <w:numId w:val="11"/>
        </w:numPr>
        <w:spacing w:after="160" w:line="288" w:lineRule="auto"/>
        <w:ind w:left="567" w:hanging="595"/>
        <w:rPr>
          <w:rFonts w:ascii="Tahoma" w:eastAsia="Calibri" w:hAnsi="Tahoma" w:cs="Tahoma"/>
          <w:sz w:val="19"/>
          <w:szCs w:val="19"/>
        </w:rPr>
      </w:pPr>
      <w:r w:rsidRPr="00E019DA">
        <w:rPr>
          <w:rFonts w:ascii="Tahoma" w:eastAsia="Calibri" w:hAnsi="Tahoma" w:cs="Tahoma"/>
          <w:b/>
          <w:bCs/>
          <w:sz w:val="19"/>
          <w:szCs w:val="19"/>
          <w:rtl/>
        </w:rPr>
        <w:t>שילוב בתי חולים פרטיים במערך הלאומי בעיתות חירום</w:t>
      </w:r>
      <w:r w:rsidRPr="00E019DA">
        <w:rPr>
          <w:rFonts w:ascii="Tahoma" w:eastAsia="Calibri" w:hAnsi="Tahoma" w:cs="Tahoma"/>
          <w:sz w:val="19"/>
          <w:szCs w:val="19"/>
          <w:rtl/>
        </w:rPr>
        <w:t xml:space="preserve"> - בבתי חולים פרטיים יש 253 מיטות אשפוז מוגנות וכן חדרי ניתוח ומכשירי דימות מוגנים; </w:t>
      </w:r>
      <w:r w:rsidR="00E92DB1" w:rsidRPr="00E019DA">
        <w:rPr>
          <w:rFonts w:ascii="Tahoma" w:eastAsia="Calibri" w:hAnsi="Tahoma" w:cs="Tahoma"/>
          <w:sz w:val="19"/>
          <w:szCs w:val="19"/>
          <w:rtl/>
        </w:rPr>
        <w:t xml:space="preserve">לכן </w:t>
      </w:r>
      <w:r w:rsidRPr="00E019DA">
        <w:rPr>
          <w:rFonts w:ascii="Tahoma" w:eastAsia="Calibri" w:hAnsi="Tahoma" w:cs="Tahoma"/>
          <w:sz w:val="19"/>
          <w:szCs w:val="19"/>
          <w:rtl/>
        </w:rPr>
        <w:t>שילובם במערך הלאומי בעיתות חירום יאפשר לדעת משרד הבריאות להגדיל את פוטנציאל האשפוז המוגן בעת חירום. אולם נמצא כי במועד סיום הביקורת משרד הבריאות עדיין לא הסדיר את מודל שילוב בתי החולים הפרטיים במאמץ המלחמתי בעיתות חירום.</w:t>
      </w:r>
    </w:p>
    <w:p w:rsidR="00BD5B24" w:rsidRPr="00E019DA" w:rsidRDefault="00BD5B24" w:rsidP="00CA346E">
      <w:pPr>
        <w:numPr>
          <w:ilvl w:val="0"/>
          <w:numId w:val="11"/>
        </w:numPr>
        <w:spacing w:after="160" w:line="288" w:lineRule="auto"/>
        <w:ind w:left="567" w:hanging="595"/>
        <w:rPr>
          <w:rFonts w:ascii="Tahoma" w:eastAsia="Calibri" w:hAnsi="Tahoma" w:cs="Tahoma"/>
          <w:sz w:val="19"/>
          <w:szCs w:val="19"/>
        </w:rPr>
      </w:pPr>
      <w:r w:rsidRPr="00E019DA">
        <w:rPr>
          <w:rFonts w:ascii="Tahoma" w:eastAsia="Calibri" w:hAnsi="Tahoma" w:cs="Tahoma"/>
          <w:b/>
          <w:bCs/>
          <w:sz w:val="19"/>
          <w:szCs w:val="19"/>
          <w:rtl/>
        </w:rPr>
        <w:t>היקף מיטות האשפוז המוגנות בבתי החולים ההמשכיים (גריאטריים, פסיכיאטריים ושיקומיים)</w:t>
      </w:r>
      <w:r w:rsidRPr="00E019DA">
        <w:rPr>
          <w:rFonts w:ascii="Tahoma" w:eastAsia="Calibri" w:hAnsi="Tahoma" w:cs="Tahoma"/>
          <w:sz w:val="19"/>
          <w:szCs w:val="19"/>
          <w:rtl/>
        </w:rPr>
        <w:t xml:space="preserve"> </w:t>
      </w:r>
      <w:r w:rsidRPr="00E019DA">
        <w:rPr>
          <w:rFonts w:ascii="Tahoma" w:eastAsia="Times New Roman" w:hAnsi="Tahoma" w:cs="Tahoma"/>
          <w:b/>
          <w:sz w:val="19"/>
          <w:szCs w:val="19"/>
          <w:rtl/>
        </w:rPr>
        <w:t>- בבתי חולים פסיכיאטריים שוהים מטופלים רגישים ופגיעים, מקצתם מאושפזים במחלקות סגורות, מהם מאושפזים בכפייה. לאוכלוסייה זו יש יכולת מוגבלת להתמודד עם מצבי חירום, להבין מצבים כאלה ועקב כך להתפנות למרחבים מוגנים צפופים. גם בבתי החולים הגריאטריים שוהה אוכלוסייה פגיעה ורגישה, שבדרך כלל אינה ניידת או שניידותה מוגבלת, כך שהעברתה למרחבים מוגנים בזמן חירום היא מאתגרת</w:t>
      </w:r>
      <w:r w:rsidRPr="00E019DA">
        <w:rPr>
          <w:rFonts w:ascii="Tahoma" w:eastAsia="Calibri" w:hAnsi="Tahoma" w:cs="Tahoma"/>
          <w:sz w:val="19"/>
          <w:szCs w:val="19"/>
          <w:rtl/>
        </w:rPr>
        <w:t xml:space="preserve">. אולם, בביקורת נמצא כי במחוז דרום - שבו בתי חולים </w:t>
      </w:r>
      <w:r w:rsidR="00E92DB1" w:rsidRPr="00E019DA">
        <w:rPr>
          <w:rFonts w:ascii="Tahoma" w:eastAsia="Calibri" w:hAnsi="Tahoma" w:cs="Tahoma"/>
          <w:sz w:val="19"/>
          <w:szCs w:val="19"/>
          <w:rtl/>
        </w:rPr>
        <w:t>ה</w:t>
      </w:r>
      <w:r w:rsidRPr="00E019DA">
        <w:rPr>
          <w:rFonts w:ascii="Tahoma" w:eastAsia="Calibri" w:hAnsi="Tahoma" w:cs="Tahoma"/>
          <w:sz w:val="19"/>
          <w:szCs w:val="19"/>
          <w:rtl/>
        </w:rPr>
        <w:t>קרובים לגבול - רק פחות משליש מהמיטות בבתי החולים ההמשכיים מוגנות (29%). בולט בחומרתו מחוז דן, שבו שיעור ממוצע של מיטות מוגנות נמוך במיוחד - 7% בלבד.</w:t>
      </w:r>
    </w:p>
    <w:p w:rsidR="00BD5B24" w:rsidRPr="00E019DA" w:rsidRDefault="00BD5B24" w:rsidP="00CA346E">
      <w:pPr>
        <w:numPr>
          <w:ilvl w:val="0"/>
          <w:numId w:val="11"/>
        </w:numPr>
        <w:spacing w:after="160" w:line="288" w:lineRule="auto"/>
        <w:ind w:left="567" w:hanging="595"/>
        <w:rPr>
          <w:rFonts w:ascii="Tahoma" w:eastAsia="Calibri" w:hAnsi="Tahoma" w:cs="Tahoma"/>
          <w:sz w:val="19"/>
          <w:szCs w:val="19"/>
        </w:rPr>
      </w:pPr>
      <w:bookmarkStart w:id="8" w:name="_Hlk200551857"/>
      <w:r w:rsidRPr="00E019DA">
        <w:rPr>
          <w:rFonts w:ascii="Tahoma" w:eastAsia="Calibri" w:hAnsi="Tahoma" w:cs="Tahoma"/>
          <w:b/>
          <w:bCs/>
          <w:sz w:val="19"/>
          <w:szCs w:val="19"/>
          <w:rtl/>
        </w:rPr>
        <w:t>הפחתת תפוסות ומעבר לעבודה במרחבים מוגנים בבתי החולים ההמשכיים</w:t>
      </w:r>
      <w:r w:rsidRPr="00E019DA">
        <w:rPr>
          <w:rFonts w:ascii="Tahoma" w:eastAsia="Calibri" w:hAnsi="Tahoma" w:cs="Tahoma"/>
          <w:sz w:val="19"/>
          <w:szCs w:val="19"/>
          <w:rtl/>
        </w:rPr>
        <w:t xml:space="preserve"> - יכולת בתי החולים הגריאטריים להפחית תפוסות בעיתות חירום היא בפועל 20% בממוצע, ועקב כך למרות מצב המיגון הירוד, ועל אף מדיניות הפחתת תפוסות המאושפזים בבתי חולים אלה, בפועל הם נשארים בתפוסה כמעט מלאה, וחלק ניכר מהמאושפזים בהם, ובכלל זה </w:t>
      </w:r>
      <w:r w:rsidR="00A6765F" w:rsidRPr="00E019DA">
        <w:rPr>
          <w:rFonts w:ascii="Tahoma" w:eastAsia="Calibri" w:hAnsi="Tahoma" w:cs="Tahoma"/>
          <w:sz w:val="19"/>
          <w:szCs w:val="19"/>
          <w:rtl/>
        </w:rPr>
        <w:t xml:space="preserve">מטופלים </w:t>
      </w:r>
      <w:r w:rsidRPr="00E019DA">
        <w:rPr>
          <w:rFonts w:ascii="Tahoma" w:eastAsia="Calibri" w:hAnsi="Tahoma" w:cs="Tahoma"/>
          <w:sz w:val="19"/>
          <w:szCs w:val="19"/>
          <w:rtl/>
        </w:rPr>
        <w:t xml:space="preserve">סיעודיים חסרי ישע, שוהים במקומות שאינם מוגנים. נוכח מצב המיגון החלקי ואופי הבנייה בחלק ניכר מבתי החולים לאשפוז המשכי (כ-50%), לא כל המאושפזים, </w:t>
      </w:r>
      <w:bookmarkStart w:id="9" w:name="_Hlk200611901"/>
      <w:r w:rsidRPr="00E019DA">
        <w:rPr>
          <w:rFonts w:ascii="Tahoma" w:eastAsia="Calibri" w:hAnsi="Tahoma" w:cs="Tahoma"/>
          <w:sz w:val="19"/>
          <w:szCs w:val="19"/>
          <w:rtl/>
        </w:rPr>
        <w:t xml:space="preserve">ובמקרים רבים גם הצוות, מתפנים לאזורים המוגנים בעת אזעקה בשל הקושי בנגישות </w:t>
      </w:r>
      <w:r w:rsidR="00A6765F" w:rsidRPr="00E019DA">
        <w:rPr>
          <w:rFonts w:ascii="Tahoma" w:eastAsia="Calibri" w:hAnsi="Tahoma" w:cs="Tahoma"/>
          <w:sz w:val="19"/>
          <w:szCs w:val="19"/>
          <w:rtl/>
        </w:rPr>
        <w:t>ש</w:t>
      </w:r>
      <w:r w:rsidRPr="00E019DA">
        <w:rPr>
          <w:rFonts w:ascii="Tahoma" w:eastAsia="Calibri" w:hAnsi="Tahoma" w:cs="Tahoma"/>
          <w:sz w:val="19"/>
          <w:szCs w:val="19"/>
          <w:rtl/>
        </w:rPr>
        <w:t>ל</w:t>
      </w:r>
      <w:r w:rsidR="00A6765F" w:rsidRPr="00E019DA">
        <w:rPr>
          <w:rFonts w:ascii="Tahoma" w:eastAsia="Calibri" w:hAnsi="Tahoma" w:cs="Tahoma"/>
          <w:sz w:val="19"/>
          <w:szCs w:val="19"/>
          <w:rtl/>
        </w:rPr>
        <w:t xml:space="preserve"> </w:t>
      </w:r>
      <w:r w:rsidRPr="00E019DA">
        <w:rPr>
          <w:rFonts w:ascii="Tahoma" w:eastAsia="Calibri" w:hAnsi="Tahoma" w:cs="Tahoma"/>
          <w:sz w:val="19"/>
          <w:szCs w:val="19"/>
          <w:rtl/>
        </w:rPr>
        <w:t xml:space="preserve">אזורים אלו. </w:t>
      </w:r>
      <w:bookmarkStart w:id="10" w:name="_Hlk200621285"/>
      <w:bookmarkStart w:id="11" w:name="_Hlk200613263"/>
      <w:r w:rsidRPr="00E019DA">
        <w:rPr>
          <w:rFonts w:ascii="Tahoma" w:eastAsia="Calibri" w:hAnsi="Tahoma" w:cs="Tahoma"/>
          <w:sz w:val="19"/>
          <w:szCs w:val="19"/>
          <w:rtl/>
        </w:rPr>
        <w:t xml:space="preserve">למשל, </w:t>
      </w:r>
      <w:r w:rsidRPr="00E019DA">
        <w:rPr>
          <w:rFonts w:ascii="Tahoma" w:eastAsia="Calibri" w:hAnsi="Tahoma" w:cs="Tahoma"/>
          <w:b/>
          <w:bCs/>
          <w:sz w:val="19"/>
          <w:szCs w:val="19"/>
          <w:rtl/>
        </w:rPr>
        <w:t>בבית החולים הגריאטרי כ"ג,</w:t>
      </w:r>
      <w:r w:rsidRPr="00E019DA">
        <w:rPr>
          <w:rFonts w:ascii="Tahoma" w:eastAsia="Calibri" w:hAnsi="Tahoma" w:cs="Tahoma"/>
          <w:sz w:val="19"/>
          <w:szCs w:val="19"/>
          <w:rtl/>
        </w:rPr>
        <w:t xml:space="preserve"> שאינו מוגן כלל ואין בו מרחב מוגן למרבית המאושפזים - בעת פינוי חלקי, על פי פק"ל החירום, המאושפזים מועברים למרחב "הכי מוגן שיש",</w:t>
      </w:r>
      <w:bookmarkEnd w:id="10"/>
      <w:r w:rsidRPr="00E019DA">
        <w:rPr>
          <w:rFonts w:ascii="Tahoma" w:eastAsia="Calibri" w:hAnsi="Tahoma" w:cs="Tahoma"/>
          <w:sz w:val="19"/>
          <w:szCs w:val="19"/>
          <w:rtl/>
        </w:rPr>
        <w:t xml:space="preserve"> ובכך נחשפים הן החולים והן הצוותים הרפואיים והאחרים לסיכון להיפגעות פיזית.</w:t>
      </w:r>
      <w:bookmarkEnd w:id="8"/>
      <w:bookmarkEnd w:id="9"/>
      <w:r w:rsidRPr="00E019DA">
        <w:rPr>
          <w:rFonts w:ascii="Tahoma" w:eastAsia="Calibri" w:hAnsi="Tahoma" w:cs="Tahoma"/>
          <w:sz w:val="19"/>
          <w:szCs w:val="19"/>
          <w:rtl/>
        </w:rPr>
        <w:t xml:space="preserve"> עם זאת, </w:t>
      </w:r>
      <w:r w:rsidR="00A6765F" w:rsidRPr="00E019DA">
        <w:rPr>
          <w:rFonts w:ascii="Tahoma" w:eastAsia="Calibri" w:hAnsi="Tahoma" w:cs="Tahoma"/>
          <w:sz w:val="19"/>
          <w:szCs w:val="19"/>
          <w:rtl/>
        </w:rPr>
        <w:t xml:space="preserve">פעילות </w:t>
      </w:r>
      <w:r w:rsidRPr="00E019DA">
        <w:rPr>
          <w:rFonts w:ascii="Tahoma" w:eastAsia="Calibri" w:hAnsi="Tahoma" w:cs="Tahoma"/>
          <w:sz w:val="19"/>
          <w:szCs w:val="19"/>
          <w:rtl/>
        </w:rPr>
        <w:t>בית החולים הועבר</w:t>
      </w:r>
      <w:r w:rsidR="00A6765F" w:rsidRPr="00E019DA">
        <w:rPr>
          <w:rFonts w:ascii="Tahoma" w:eastAsia="Calibri" w:hAnsi="Tahoma" w:cs="Tahoma"/>
          <w:sz w:val="19"/>
          <w:szCs w:val="19"/>
          <w:rtl/>
        </w:rPr>
        <w:t>ה</w:t>
      </w:r>
      <w:r w:rsidRPr="00E019DA">
        <w:rPr>
          <w:rFonts w:ascii="Tahoma" w:eastAsia="Calibri" w:hAnsi="Tahoma" w:cs="Tahoma"/>
          <w:sz w:val="19"/>
          <w:szCs w:val="19"/>
          <w:rtl/>
        </w:rPr>
        <w:t xml:space="preserve"> לתקופות מסוימות במהלך מלחמות חרבות ברזל ומבצע עם כלביא לבית חולים אחר. </w:t>
      </w:r>
    </w:p>
    <w:bookmarkEnd w:id="11"/>
    <w:p w:rsidR="00BD5B24" w:rsidRPr="00E019DA" w:rsidRDefault="00BD5B24" w:rsidP="00BD5B24">
      <w:pPr>
        <w:numPr>
          <w:ilvl w:val="0"/>
          <w:numId w:val="11"/>
        </w:numPr>
        <w:spacing w:after="120" w:line="288" w:lineRule="auto"/>
        <w:ind w:left="567" w:hanging="595"/>
        <w:rPr>
          <w:rFonts w:ascii="Tahoma" w:eastAsia="Calibri" w:hAnsi="Tahoma" w:cs="Tahoma"/>
          <w:sz w:val="19"/>
          <w:szCs w:val="19"/>
        </w:rPr>
      </w:pPr>
      <w:r w:rsidRPr="00E019DA">
        <w:rPr>
          <w:rFonts w:ascii="Tahoma" w:eastAsia="Calibri" w:hAnsi="Tahoma" w:cs="Tahoma"/>
          <w:b/>
          <w:bCs/>
          <w:sz w:val="19"/>
          <w:szCs w:val="19"/>
          <w:rtl/>
        </w:rPr>
        <w:t>מיגון בבית החולים הפסיכיאטרי ט"ז</w:t>
      </w:r>
      <w:r w:rsidRPr="00E019DA">
        <w:rPr>
          <w:rFonts w:ascii="Tahoma" w:eastAsia="Calibri" w:hAnsi="Tahoma" w:cs="Tahoma"/>
          <w:sz w:val="19"/>
          <w:szCs w:val="19"/>
          <w:rtl/>
        </w:rPr>
        <w:t xml:space="preserve"> - בית החולים נבנה לפני עשרות שנים, וכיום יש בו 300 מיטות אשפוז בתקן וכ-900 חולים ואנשי צוות. עם פרוץ מלחמת חרבות ברזל, ונוכח מצב המיגון בבית החולים ט"ז, הנחיות פקע"ר ומדיניות ההתגוננות שחייבו לעבור לעבוד במתחמים מוגנים, העביר בית החולים שלוש מחלקות לבתי חולים אחרים עם הצוות המטפל. יתר המחלקות הועברו למבנה אשפוז מוגן לשעת חירום, ובו אושפזו כ-200 מטופלים בחללים פתוחים משותפים, בצפיפות גדולה ועם מרכיב של סיכון הנובע ממצבם הנפשי ומשהייה ממושכת בחלל אחד גדול. עוד יצוין כי המבנה המוגן היחיד הזה אינו </w:t>
      </w:r>
      <w:r w:rsidRPr="00E019DA">
        <w:rPr>
          <w:rFonts w:ascii="Tahoma" w:eastAsia="Calibri" w:hAnsi="Tahoma" w:cs="Tahoma"/>
          <w:sz w:val="19"/>
          <w:szCs w:val="19"/>
          <w:rtl/>
        </w:rPr>
        <w:lastRenderedPageBreak/>
        <w:t xml:space="preserve">נותן פתרון לכל המאושפזים שם - </w:t>
      </w:r>
      <w:r w:rsidR="00A6765F" w:rsidRPr="00E019DA">
        <w:rPr>
          <w:rFonts w:ascii="Tahoma" w:eastAsia="Calibri" w:hAnsi="Tahoma" w:cs="Tahoma"/>
          <w:sz w:val="19"/>
          <w:szCs w:val="19"/>
          <w:rtl/>
        </w:rPr>
        <w:t xml:space="preserve">הוא </w:t>
      </w:r>
      <w:r w:rsidRPr="00E019DA">
        <w:rPr>
          <w:rFonts w:ascii="Tahoma" w:eastAsia="Calibri" w:hAnsi="Tahoma" w:cs="Tahoma"/>
          <w:sz w:val="19"/>
          <w:szCs w:val="19"/>
          <w:rtl/>
        </w:rPr>
        <w:t>יכול להכיל כ-200 מטופלים (כשני שליש</w:t>
      </w:r>
      <w:r w:rsidR="00A6765F" w:rsidRPr="00E019DA">
        <w:rPr>
          <w:rFonts w:ascii="Tahoma" w:eastAsia="Calibri" w:hAnsi="Tahoma" w:cs="Tahoma"/>
          <w:sz w:val="19"/>
          <w:szCs w:val="19"/>
          <w:rtl/>
        </w:rPr>
        <w:t>ים</w:t>
      </w:r>
      <w:r w:rsidRPr="00E019DA">
        <w:rPr>
          <w:rFonts w:ascii="Tahoma" w:eastAsia="Calibri" w:hAnsi="Tahoma" w:cs="Tahoma"/>
          <w:sz w:val="19"/>
          <w:szCs w:val="19"/>
          <w:rtl/>
        </w:rPr>
        <w:t xml:space="preserve"> ממספר המאושפזים) - ולצוותים המטפלים, ויש לה</w:t>
      </w:r>
      <w:r w:rsidR="00A6765F" w:rsidRPr="00E019DA">
        <w:rPr>
          <w:rFonts w:ascii="Tahoma" w:eastAsia="Calibri" w:hAnsi="Tahoma" w:cs="Tahoma"/>
          <w:sz w:val="19"/>
          <w:szCs w:val="19"/>
          <w:rtl/>
        </w:rPr>
        <w:t>ו</w:t>
      </w:r>
      <w:r w:rsidRPr="00E019DA">
        <w:rPr>
          <w:rFonts w:ascii="Tahoma" w:eastAsia="Calibri" w:hAnsi="Tahoma" w:cs="Tahoma"/>
          <w:sz w:val="19"/>
          <w:szCs w:val="19"/>
          <w:rtl/>
        </w:rPr>
        <w:t xml:space="preserve">רסו על פי היתר הבנייה שניתן למבנה האשפוז לפני </w:t>
      </w:r>
      <w:r w:rsidR="00A6765F" w:rsidRPr="00E019DA">
        <w:rPr>
          <w:rFonts w:ascii="Tahoma" w:eastAsia="Calibri" w:hAnsi="Tahoma" w:cs="Tahoma"/>
          <w:sz w:val="19"/>
          <w:szCs w:val="19"/>
          <w:rtl/>
        </w:rPr>
        <w:t xml:space="preserve">שנים </w:t>
      </w:r>
      <w:r w:rsidRPr="00E019DA">
        <w:rPr>
          <w:rFonts w:ascii="Tahoma" w:eastAsia="Calibri" w:hAnsi="Tahoma" w:cs="Tahoma"/>
          <w:sz w:val="19"/>
          <w:szCs w:val="19"/>
          <w:rtl/>
        </w:rPr>
        <w:t xml:space="preserve">מספר. </w:t>
      </w:r>
      <w:r w:rsidR="00A6765F" w:rsidRPr="00E019DA">
        <w:rPr>
          <w:rFonts w:ascii="Tahoma" w:eastAsia="Calibri" w:hAnsi="Tahoma" w:cs="Tahoma"/>
          <w:sz w:val="19"/>
          <w:szCs w:val="19"/>
          <w:rtl/>
        </w:rPr>
        <w:t>מכאן</w:t>
      </w:r>
      <w:r w:rsidRPr="00E019DA">
        <w:rPr>
          <w:rFonts w:ascii="Tahoma" w:eastAsia="Calibri" w:hAnsi="Tahoma" w:cs="Tahoma"/>
          <w:sz w:val="19"/>
          <w:szCs w:val="19"/>
          <w:rtl/>
        </w:rPr>
        <w:t xml:space="preserve"> שלמעשה אין בבית החולים פתרון מיגון חלופי לכל המאושפזים ולצוותים המטפלים. </w:t>
      </w:r>
    </w:p>
    <w:p w:rsidR="00BD5B24" w:rsidRPr="00E019DA" w:rsidRDefault="00BD5B24" w:rsidP="00CA346E">
      <w:pPr>
        <w:spacing w:after="160" w:line="288" w:lineRule="auto"/>
        <w:ind w:left="567"/>
        <w:rPr>
          <w:rFonts w:ascii="Tahoma" w:eastAsia="Calibri" w:hAnsi="Tahoma" w:cs="Tahoma"/>
          <w:sz w:val="19"/>
          <w:szCs w:val="19"/>
          <w:rtl/>
        </w:rPr>
      </w:pPr>
      <w:r w:rsidRPr="00E019DA">
        <w:rPr>
          <w:rFonts w:ascii="Tahoma" w:eastAsia="Calibri" w:hAnsi="Tahoma" w:cs="Tahoma"/>
          <w:sz w:val="19"/>
          <w:szCs w:val="19"/>
          <w:rtl/>
        </w:rPr>
        <w:t xml:space="preserve">אשר לשאר מבני בית החולים - עלה כי רוב המבנים הם מבני בטון ישנים. פיקוד העורף הנחה לגבי המחלקה הפסיכו-גריאטרית בבית החולים כי נדרש לאתר מקום שהוא מוגן יותר משאר המבנה "בהתחשב ביכולת המטופלים להגיע למקום זה". לפיכך, עקב מגבלות תנועה של המאושפזים, ובייחוד בשעות הלילה, בהתאם להנחיות פיקוד העורף הם הונחו לרדת מהמיטות ולשכב על הרצפה בעת אזעקה. </w:t>
      </w:r>
    </w:p>
    <w:p w:rsidR="00BD5B24" w:rsidRPr="00E019DA" w:rsidRDefault="00BD5B24" w:rsidP="00CA346E">
      <w:pPr>
        <w:numPr>
          <w:ilvl w:val="0"/>
          <w:numId w:val="11"/>
        </w:numPr>
        <w:spacing w:after="160" w:line="288" w:lineRule="auto"/>
        <w:ind w:left="567" w:hanging="595"/>
        <w:rPr>
          <w:rFonts w:ascii="Tahoma" w:eastAsia="Calibri" w:hAnsi="Tahoma" w:cs="Tahoma"/>
          <w:sz w:val="19"/>
          <w:szCs w:val="19"/>
        </w:rPr>
      </w:pPr>
      <w:r w:rsidRPr="00E019DA">
        <w:rPr>
          <w:rFonts w:ascii="Tahoma" w:eastAsia="Calibri" w:hAnsi="Tahoma" w:cs="Tahoma"/>
          <w:b/>
          <w:bCs/>
          <w:sz w:val="19"/>
          <w:szCs w:val="19"/>
          <w:rtl/>
        </w:rPr>
        <w:t>תוכנית משרד הבריאות לסגירת פערי המיגון בבתי החולים</w:t>
      </w:r>
      <w:r w:rsidRPr="00E019DA">
        <w:rPr>
          <w:rFonts w:ascii="Tahoma" w:eastAsia="Calibri" w:hAnsi="Tahoma" w:cs="Tahoma"/>
          <w:sz w:val="19"/>
          <w:szCs w:val="19"/>
          <w:rtl/>
        </w:rPr>
        <w:t xml:space="preserve"> - טיפול ממשלות ישראל בנושא סגירת פערי המיגון בבתי החולים אינו מבוסס על תוכנית ארוכת טווח המתכללת את כלל צורכי המיגון בבתי החולים ברמה הלאומית, הקובעת מסגרת תקציבית, לוחות זמנים ואת סדרי העדיפויות לביצוע; אלא מדובר בתוכניות חלקיות ונקודתיות לבתי חולים בקו העימות בצפון ובדרום בעיקר, בתקציב כולל של 900 מיליון ש"ח מאז שנת 2007, שאינן נותנות מענה מספק על פערי המיגון המשמעותיים הקיימים. בדצמבר 2023, במסגרת תוכנית לסגירת פערי המיגון במערכת הבריאות, אמד משרד הבריאות את עלות סגירת פערי המיגון ב-4.8 מיליארד ש"ח; התוכנית קבעה סדרי עדיפויות על פי טווחי זמן מוגדרים (קצר, בינוני וארוך). משרד הבריאות ומשרד האוצר תקצבו את הפרויקטים לביצוע בטווח הקצר והבינוני בלבד. יתר עלות השלמת פערי המיגון המיועדת לביצוע בטווח הארוך, והמוערכת בכ-4.3 מיליארד ש"ח, לא תוקצבה.</w:t>
      </w:r>
    </w:p>
    <w:p w:rsidR="00BD5B24" w:rsidRPr="00E019DA" w:rsidRDefault="00BD5B24" w:rsidP="00CA346E">
      <w:pPr>
        <w:numPr>
          <w:ilvl w:val="0"/>
          <w:numId w:val="11"/>
        </w:numPr>
        <w:spacing w:after="160" w:line="288" w:lineRule="auto"/>
        <w:ind w:left="567" w:hanging="595"/>
        <w:rPr>
          <w:rFonts w:ascii="Tahoma" w:eastAsia="Calibri" w:hAnsi="Tahoma" w:cs="Tahoma"/>
          <w:sz w:val="19"/>
          <w:szCs w:val="19"/>
          <w:rtl/>
        </w:rPr>
      </w:pPr>
      <w:r w:rsidRPr="00E019DA">
        <w:rPr>
          <w:rFonts w:ascii="Tahoma" w:eastAsia="Calibri" w:hAnsi="Tahoma" w:cs="Tahoma"/>
          <w:b/>
          <w:bCs/>
          <w:sz w:val="19"/>
          <w:szCs w:val="19"/>
          <w:rtl/>
        </w:rPr>
        <w:t>תוכנית מפורטת ולוחות זמנים להעברת מחלקות ופעילויות רפואיות לאתרים מוגנים ו"הכי מוגנים שיש"</w:t>
      </w:r>
      <w:bookmarkStart w:id="12" w:name="_Hlk217282636"/>
      <w:r w:rsidRPr="00E019DA">
        <w:rPr>
          <w:rFonts w:ascii="Tahoma" w:eastAsia="Calibri" w:hAnsi="Tahoma" w:cs="Tahoma"/>
          <w:b/>
          <w:bCs/>
          <w:sz w:val="19"/>
          <w:szCs w:val="19"/>
          <w:rtl/>
        </w:rPr>
        <w:t xml:space="preserve"> </w:t>
      </w:r>
      <w:r w:rsidRPr="00E019DA">
        <w:rPr>
          <w:rFonts w:ascii="Tahoma" w:eastAsia="Calibri" w:hAnsi="Tahoma" w:cs="Tahoma"/>
          <w:sz w:val="19"/>
          <w:szCs w:val="19"/>
          <w:rtl/>
        </w:rPr>
        <w:t xml:space="preserve">- בתי החולים אינם נדרשים לקבוע זמני תקן עבור משכו של כל שלב במעבר משגרה לחירום. </w:t>
      </w:r>
      <w:bookmarkEnd w:id="12"/>
      <w:r w:rsidRPr="00E019DA">
        <w:rPr>
          <w:rFonts w:ascii="Tahoma" w:eastAsia="Calibri" w:hAnsi="Tahoma" w:cs="Tahoma"/>
          <w:sz w:val="19"/>
          <w:szCs w:val="19"/>
          <w:rtl/>
        </w:rPr>
        <w:t xml:space="preserve">בביקורת עלה כי כל בתי החולים הכינו תוכניות לפריסת מיטות בעת חירום כפי שנדרשו; ואולם 6 בתי חולים (26% - מתוך 23) לא הכינו נהלים מפורטים בנושא; 13 בתי חולים (57% - מתוך 23) לא קבעו זמן תקן לכל הליך פריסת המיטות בעיתות חירום - לרבות הכשרת המתחם המוגן, העברת הציוד והמטופלים; 4 בתי חולים (17% - מתוך 23) קבעו זמני תקן לחלק מהליך ההעברה בלבד - לדוגמה נקבע זמן תקן להעברת מטופלים אולם לא נקבע משך הזמן הנדרש להכשרת המתחם המוגן. </w:t>
      </w:r>
    </w:p>
    <w:p w:rsidR="00BD5B24" w:rsidRPr="00E019DA" w:rsidRDefault="00BD5B24" w:rsidP="00CA346E">
      <w:pPr>
        <w:numPr>
          <w:ilvl w:val="0"/>
          <w:numId w:val="11"/>
        </w:numPr>
        <w:spacing w:after="160" w:line="288" w:lineRule="auto"/>
        <w:ind w:left="567" w:hanging="595"/>
        <w:rPr>
          <w:rFonts w:ascii="Tahoma" w:eastAsia="Calibri" w:hAnsi="Tahoma" w:cs="Tahoma"/>
          <w:b/>
          <w:bCs/>
          <w:sz w:val="19"/>
          <w:szCs w:val="19"/>
        </w:rPr>
      </w:pPr>
      <w:r w:rsidRPr="00E019DA">
        <w:rPr>
          <w:rFonts w:ascii="Tahoma" w:eastAsia="Calibri" w:hAnsi="Tahoma" w:cs="Tahoma"/>
          <w:b/>
          <w:bCs/>
          <w:sz w:val="19"/>
          <w:szCs w:val="19"/>
          <w:rtl/>
        </w:rPr>
        <w:t>תרגול עיתי ומותאם למאפייני המיגון של בית החולים</w:t>
      </w:r>
      <w:r w:rsidRPr="00E019DA">
        <w:rPr>
          <w:rFonts w:ascii="Tahoma" w:eastAsia="Calibri" w:hAnsi="Tahoma" w:cs="Tahoma"/>
          <w:sz w:val="19"/>
          <w:szCs w:val="19"/>
          <w:rtl/>
        </w:rPr>
        <w:t xml:space="preserve"> - האגף לשעת חירום במשרד הבריאות אינו מנהל מסד נתונים לגבי קיומם של נהלים ופק"לים למעבר מעת שגרה לעת חירום בבתי החולים, לרבות תוכניות לפריסת מיטות בעת חירום והתנהלות בתי החולים במתארי חירום שונים. כמו כן, האגף אינו מנהל מסד נתונים המתכלל את הליקויים שעלו בבקרות ובתרגילים בבתי החולים או מקיים הליך סדור של מעקב אחר תיקון הליקויים.</w:t>
      </w:r>
    </w:p>
    <w:p w:rsidR="00CA346E" w:rsidRPr="00E019DA" w:rsidRDefault="00CA346E" w:rsidP="00CA346E">
      <w:pPr>
        <w:spacing w:after="160" w:line="288" w:lineRule="auto"/>
        <w:ind w:left="567"/>
        <w:rPr>
          <w:rFonts w:ascii="Tahoma" w:eastAsia="Calibri" w:hAnsi="Tahoma" w:cs="Tahoma"/>
          <w:b/>
          <w:bCs/>
          <w:sz w:val="19"/>
          <w:szCs w:val="19"/>
        </w:rPr>
      </w:pPr>
    </w:p>
    <w:p w:rsidR="00BD5B24" w:rsidRPr="00E019DA" w:rsidRDefault="00BD5B24" w:rsidP="00CA346E">
      <w:pPr>
        <w:numPr>
          <w:ilvl w:val="0"/>
          <w:numId w:val="11"/>
        </w:numPr>
        <w:spacing w:after="160" w:line="288" w:lineRule="auto"/>
        <w:ind w:left="567" w:hanging="595"/>
        <w:rPr>
          <w:rFonts w:ascii="Tahoma" w:eastAsia="Calibri" w:hAnsi="Tahoma" w:cs="Tahoma"/>
          <w:sz w:val="19"/>
          <w:szCs w:val="19"/>
        </w:rPr>
      </w:pPr>
      <w:bookmarkStart w:id="13" w:name="_Hlk202966931"/>
      <w:r w:rsidRPr="00E019DA">
        <w:rPr>
          <w:rFonts w:ascii="Tahoma" w:eastAsia="Calibri" w:hAnsi="Tahoma" w:cs="Tahoma"/>
          <w:b/>
          <w:bCs/>
          <w:sz w:val="19"/>
          <w:szCs w:val="19"/>
          <w:rtl/>
        </w:rPr>
        <w:lastRenderedPageBreak/>
        <w:t>הפחתת תפוסות וצמצום אשפוז בבתי החולים הכלליים</w:t>
      </w:r>
      <w:r w:rsidRPr="00E019DA">
        <w:rPr>
          <w:rFonts w:ascii="Tahoma" w:eastAsia="Calibri" w:hAnsi="Tahoma" w:cs="Tahoma"/>
          <w:sz w:val="19"/>
          <w:szCs w:val="19"/>
          <w:rtl/>
        </w:rPr>
        <w:t xml:space="preserve"> - בשלושת החודשים הראשונים למלחמה </w:t>
      </w:r>
      <w:bookmarkStart w:id="14" w:name="_Hlk214262634"/>
      <w:r w:rsidRPr="00E019DA">
        <w:rPr>
          <w:rFonts w:ascii="Tahoma" w:eastAsia="Calibri" w:hAnsi="Tahoma" w:cs="Tahoma"/>
          <w:sz w:val="19"/>
          <w:szCs w:val="19"/>
          <w:rtl/>
        </w:rPr>
        <w:t>פחת</w:t>
      </w:r>
      <w:r w:rsidR="006C0492" w:rsidRPr="00E019DA">
        <w:rPr>
          <w:rFonts w:ascii="Tahoma" w:eastAsia="Calibri" w:hAnsi="Tahoma" w:cs="Tahoma"/>
          <w:sz w:val="19"/>
          <w:szCs w:val="19"/>
          <w:rtl/>
        </w:rPr>
        <w:t>ה</w:t>
      </w:r>
      <w:r w:rsidRPr="00E019DA">
        <w:rPr>
          <w:rFonts w:ascii="Tahoma" w:eastAsia="Calibri" w:hAnsi="Tahoma" w:cs="Tahoma"/>
          <w:sz w:val="19"/>
          <w:szCs w:val="19"/>
          <w:rtl/>
        </w:rPr>
        <w:t xml:space="preserve"> התפוסה של מיטות האשפוז</w:t>
      </w:r>
      <w:bookmarkEnd w:id="14"/>
      <w:r w:rsidRPr="00E019DA">
        <w:rPr>
          <w:rFonts w:ascii="Tahoma" w:eastAsia="Calibri" w:hAnsi="Tahoma" w:cs="Tahoma"/>
          <w:sz w:val="19"/>
          <w:szCs w:val="19"/>
          <w:rtl/>
        </w:rPr>
        <w:t xml:space="preserve"> בכלל בתי החולים לעומת התקופה המקבילה בשנת 2022, </w:t>
      </w:r>
      <w:r w:rsidR="005426A1" w:rsidRPr="00E019DA">
        <w:rPr>
          <w:rFonts w:ascii="Tahoma" w:eastAsia="Calibri" w:hAnsi="Tahoma" w:cs="Tahoma"/>
          <w:sz w:val="19"/>
          <w:szCs w:val="19"/>
          <w:rtl/>
        </w:rPr>
        <w:t>ו</w:t>
      </w:r>
      <w:r w:rsidRPr="00E019DA">
        <w:rPr>
          <w:rFonts w:ascii="Tahoma" w:eastAsia="Calibri" w:hAnsi="Tahoma" w:cs="Tahoma"/>
          <w:sz w:val="19"/>
          <w:szCs w:val="19"/>
          <w:rtl/>
        </w:rPr>
        <w:t>שיעור הירידה היה בין 13% בחודשים אוקטובר ונובמבר ל-6% בדצמבר. כמו כן, בכלל המחוזות נרשמה ירידה בתפוסות בשלושת חודשי הלחימה הראשונים, פרט לבית החולים י"א. שיעור הירידה המשמעותי ביותר היה במחוזות צפון ודרום</w:t>
      </w:r>
      <w:r w:rsidR="005426A1" w:rsidRPr="00E019DA">
        <w:rPr>
          <w:rFonts w:ascii="Tahoma" w:eastAsia="Calibri" w:hAnsi="Tahoma" w:cs="Tahoma"/>
          <w:sz w:val="19"/>
          <w:szCs w:val="19"/>
          <w:rtl/>
        </w:rPr>
        <w:t>,</w:t>
      </w:r>
      <w:r w:rsidRPr="00E019DA">
        <w:rPr>
          <w:rFonts w:ascii="Tahoma" w:eastAsia="Calibri" w:hAnsi="Tahoma" w:cs="Tahoma"/>
          <w:sz w:val="19"/>
          <w:szCs w:val="19"/>
          <w:rtl/>
        </w:rPr>
        <w:t xml:space="preserve"> והוא נע בין 24% בדרום באוקטובר ל-21% בדרום ו-20% בצפון בנובמבר. </w:t>
      </w:r>
      <w:bookmarkStart w:id="15" w:name="_Hlk214262603"/>
      <w:r w:rsidRPr="00E019DA">
        <w:rPr>
          <w:rFonts w:ascii="Tahoma" w:eastAsia="Calibri" w:hAnsi="Tahoma" w:cs="Tahoma"/>
          <w:sz w:val="19"/>
          <w:szCs w:val="19"/>
          <w:rtl/>
        </w:rPr>
        <w:t xml:space="preserve">ההסבר לכך נעוץ בין השאר בצמצום האשפוז </w:t>
      </w:r>
      <w:r w:rsidR="005426A1" w:rsidRPr="00E019DA">
        <w:rPr>
          <w:rFonts w:ascii="Tahoma" w:eastAsia="Calibri" w:hAnsi="Tahoma" w:cs="Tahoma"/>
          <w:sz w:val="19"/>
          <w:szCs w:val="19"/>
          <w:rtl/>
        </w:rPr>
        <w:t>לשם</w:t>
      </w:r>
      <w:r w:rsidRPr="00E019DA">
        <w:rPr>
          <w:rFonts w:ascii="Tahoma" w:eastAsia="Calibri" w:hAnsi="Tahoma" w:cs="Tahoma"/>
          <w:sz w:val="19"/>
          <w:szCs w:val="19"/>
          <w:rtl/>
        </w:rPr>
        <w:t xml:space="preserve"> הגדלת יכולת קליטת פצועים, בפערי המיגון ובפינוי חלק מהאוכלוסייה הן בצפון הן בדרום</w:t>
      </w:r>
      <w:bookmarkEnd w:id="15"/>
      <w:r w:rsidRPr="00E019DA">
        <w:rPr>
          <w:rFonts w:ascii="Tahoma" w:eastAsia="Calibri" w:hAnsi="Tahoma" w:cs="Tahoma"/>
          <w:sz w:val="19"/>
          <w:szCs w:val="19"/>
          <w:rtl/>
        </w:rPr>
        <w:t>. צמצום באשפוזים בבתי החולים הכלליים משמעו דחיית פעילויות רפואיות, דבר הכרוך באי-נוחות למטופלים וייתכן שאף בפגיעה בבריאותם.</w:t>
      </w:r>
    </w:p>
    <w:bookmarkEnd w:id="13"/>
    <w:p w:rsidR="00BD5B24" w:rsidRPr="00E019DA" w:rsidRDefault="00BD5B24" w:rsidP="00CA346E">
      <w:pPr>
        <w:numPr>
          <w:ilvl w:val="0"/>
          <w:numId w:val="11"/>
        </w:numPr>
        <w:spacing w:after="160" w:line="288" w:lineRule="auto"/>
        <w:ind w:left="567" w:hanging="595"/>
        <w:rPr>
          <w:rFonts w:ascii="Tahoma" w:eastAsia="Calibri" w:hAnsi="Tahoma" w:cs="Tahoma"/>
          <w:sz w:val="19"/>
          <w:szCs w:val="19"/>
        </w:rPr>
      </w:pPr>
      <w:r w:rsidRPr="00E019DA">
        <w:rPr>
          <w:rFonts w:ascii="Tahoma" w:eastAsia="Calibri" w:hAnsi="Tahoma" w:cs="Tahoma"/>
          <w:b/>
          <w:bCs/>
          <w:sz w:val="19"/>
          <w:szCs w:val="19"/>
          <w:rtl/>
        </w:rPr>
        <w:t>צמצום השירותים האמבולטוריים</w:t>
      </w:r>
      <w:r w:rsidRPr="00E019DA">
        <w:rPr>
          <w:rFonts w:ascii="Tahoma" w:eastAsia="Calibri" w:hAnsi="Tahoma" w:cs="Tahoma"/>
          <w:b/>
          <w:bCs/>
          <w:sz w:val="19"/>
          <w:szCs w:val="19"/>
          <w:vertAlign w:val="superscript"/>
          <w:rtl/>
        </w:rPr>
        <w:footnoteReference w:id="5"/>
      </w:r>
      <w:r w:rsidRPr="00E019DA">
        <w:rPr>
          <w:rFonts w:ascii="Tahoma" w:eastAsia="Calibri" w:hAnsi="Tahoma" w:cs="Tahoma"/>
          <w:b/>
          <w:bCs/>
          <w:sz w:val="19"/>
          <w:szCs w:val="19"/>
          <w:rtl/>
        </w:rPr>
        <w:t xml:space="preserve"> בבתי החולים הכלליים הקרובים לגבול</w:t>
      </w:r>
      <w:r w:rsidRPr="00E019DA">
        <w:rPr>
          <w:rFonts w:ascii="Tahoma" w:eastAsia="Calibri" w:hAnsi="Tahoma" w:cs="Tahoma"/>
          <w:sz w:val="19"/>
          <w:szCs w:val="19"/>
          <w:rtl/>
        </w:rPr>
        <w:t xml:space="preserve"> - בתי החולים הסמוכים לגבול - </w:t>
      </w:r>
      <w:r w:rsidRPr="00E019DA">
        <w:rPr>
          <w:rFonts w:ascii="Tahoma" w:eastAsia="Calibri" w:hAnsi="Tahoma" w:cs="Tahoma"/>
          <w:b/>
          <w:bCs/>
          <w:sz w:val="19"/>
          <w:szCs w:val="19"/>
          <w:rtl/>
        </w:rPr>
        <w:t xml:space="preserve">ב', ג' ו-ד' </w:t>
      </w:r>
      <w:r w:rsidRPr="00E019DA">
        <w:rPr>
          <w:rFonts w:ascii="Tahoma" w:eastAsia="Calibri" w:hAnsi="Tahoma" w:cs="Tahoma"/>
          <w:sz w:val="19"/>
          <w:szCs w:val="19"/>
          <w:rtl/>
        </w:rPr>
        <w:t>- נמצאים בקו העימות בכל אירוע ביטחוני שבו מדינת ישראל מותקפת באמצעות טילים ורקטות. בששת חודשי הלחימה הראשונים - אוקטובר 2023 עד מרץ 2024 - נרשמו שיעורי ירידה גדולים במספר הביקורים במערך האמבולטורי בבתי החולים הקרובים לגבול יחסית לתקופה המקבילה בשנים 2022 - 2023. שיעור ירידה גדול במיוחד בולט בבית החולים ד' - 72% באוקטובר 2023 (מכ-12,900 ביקורים באוקטובר 2022 לכ-3,600 ביקורים באוקטובר 2023). צמצום השירותים האמבולטוריים בוצע, בין היתר, בשל פערי מיגון והקצאת משאבים לפעילות אשפוזית דחופה. עקב כך בתי החולים הפנו מטופלים לבתי חולים אחרים המרוחקים ממקום מגוריהם של המטופלים ומשפחותיהם, דבר הפוגע לעיתים ברצף הטיפולי ומקשה את קבלת הטיפול הרפואי הנדרש.</w:t>
      </w:r>
    </w:p>
    <w:p w:rsidR="00BD5B24" w:rsidRPr="00E019DA" w:rsidRDefault="00BD5B24" w:rsidP="00DA6C44">
      <w:pPr>
        <w:numPr>
          <w:ilvl w:val="0"/>
          <w:numId w:val="11"/>
        </w:numPr>
        <w:spacing w:after="120" w:line="288" w:lineRule="auto"/>
        <w:ind w:left="567" w:hanging="595"/>
        <w:rPr>
          <w:rFonts w:ascii="Tahoma" w:eastAsia="Calibri" w:hAnsi="Tahoma" w:cs="Tahoma"/>
          <w:sz w:val="19"/>
          <w:szCs w:val="19"/>
        </w:rPr>
      </w:pPr>
      <w:r w:rsidRPr="00E019DA">
        <w:rPr>
          <w:rFonts w:ascii="Tahoma" w:eastAsia="Calibri" w:hAnsi="Tahoma" w:cs="Tahoma"/>
          <w:b/>
          <w:bCs/>
          <w:sz w:val="19"/>
          <w:szCs w:val="19"/>
          <w:rtl/>
        </w:rPr>
        <w:t>השפעות פערי המיגון על תפקוד מערך האשפוז בעיתות חירום</w:t>
      </w:r>
      <w:r w:rsidRPr="00E019DA">
        <w:rPr>
          <w:rFonts w:ascii="Tahoma" w:eastAsia="Calibri" w:hAnsi="Tahoma" w:cs="Tahoma"/>
          <w:sz w:val="19"/>
          <w:szCs w:val="19"/>
          <w:rtl/>
        </w:rPr>
        <w:t xml:space="preserve"> - הפערים הגדולים בין הרצוי למצוי בתחום המיגון בבתי החולים הכלליים ובאשפוז ההמשכי פוגעים ברציפות הטיפול והתפקוד שלהם: לעיתים פעילות מושבתת לפרקי זמן ממושכים, ומחלקות שלמות מועברות למתחמים מוגנים. למשל</w:t>
      </w:r>
      <w:r w:rsidR="005426A1" w:rsidRPr="00E019DA">
        <w:rPr>
          <w:rFonts w:ascii="Tahoma" w:eastAsia="Calibri" w:hAnsi="Tahoma" w:cs="Tahoma"/>
          <w:sz w:val="19"/>
          <w:szCs w:val="19"/>
          <w:rtl/>
        </w:rPr>
        <w:t>,</w:t>
      </w:r>
      <w:r w:rsidRPr="00E019DA">
        <w:rPr>
          <w:rFonts w:ascii="Tahoma" w:eastAsia="Calibri" w:hAnsi="Tahoma" w:cs="Tahoma"/>
          <w:sz w:val="19"/>
          <w:szCs w:val="19"/>
          <w:rtl/>
        </w:rPr>
        <w:t xml:space="preserve"> </w:t>
      </w:r>
      <w:r w:rsidRPr="00E019DA">
        <w:rPr>
          <w:rFonts w:ascii="Tahoma" w:eastAsia="Calibri" w:hAnsi="Tahoma" w:cs="Tahoma"/>
          <w:b/>
          <w:bCs/>
          <w:sz w:val="19"/>
          <w:szCs w:val="19"/>
          <w:rtl/>
        </w:rPr>
        <w:t>בית החולים ד'</w:t>
      </w:r>
      <w:r w:rsidRPr="00E019DA">
        <w:rPr>
          <w:rFonts w:ascii="Tahoma" w:eastAsia="Calibri" w:hAnsi="Tahoma" w:cs="Tahoma"/>
          <w:sz w:val="19"/>
          <w:szCs w:val="19"/>
          <w:rtl/>
        </w:rPr>
        <w:t xml:space="preserve"> העביר את פעילותו למתחמים מוגנים בלבד (פעילות "מצומצמת") </w:t>
      </w:r>
      <w:r w:rsidR="005426A1" w:rsidRPr="00E019DA">
        <w:rPr>
          <w:rFonts w:ascii="Tahoma" w:eastAsia="Calibri" w:hAnsi="Tahoma" w:cs="Tahoma"/>
          <w:sz w:val="19"/>
          <w:szCs w:val="19"/>
          <w:rtl/>
        </w:rPr>
        <w:t>מ</w:t>
      </w:r>
      <w:r w:rsidRPr="00E019DA">
        <w:rPr>
          <w:rFonts w:ascii="Tahoma" w:eastAsia="Calibri" w:hAnsi="Tahoma" w:cs="Tahoma"/>
          <w:sz w:val="19"/>
          <w:szCs w:val="19"/>
          <w:rtl/>
        </w:rPr>
        <w:t>-7.10.23 ועד ה-15.2.24. בעת הסלמה ביטחונית בתי החולים אף ייאלצו לעבוד באתרים שאינם מוגנים, ובהם מלר"דים, חדרי ניתוח ומכוני הדמיה. יש לכך שתי תוצאות הכרוכות זו בזו: האחת, חשיפת המטופלים ועובדי בתי החולים - צוותים רפואיים, סיעודיים, פרה-רפואיים ואחרים - לאיום ממשי על חייהם בעת התקפות טילים ורקטות על העורף; והשנייה, פגיעה ברציפות הטיפול והתפקוד של בתי החולים, בשירותים הרפואיים הניתנים לאוכלוסייה, ובכלל זה פצועים המובאים משדה הקרב. כמו כן, הצורך לעבוד במתחמים מוגנים החסרים בבתי החולים מחייבים ציפוף של מטופלים, לעיתים לפרקי זמן ממושכים, דבר החושף אותם לסיכונים בריאותיים כגון חשיפה לזיהומים והידבקות במחלות. בכך עלולה להיגרם פגיעה באיכות הטיפול הרפואי במאושפזים, ובייחוד בקרב אוכלוסיות רגישות במערך האשפוז ההמשכי.</w:t>
      </w:r>
    </w:p>
    <w:p w:rsidR="00BD5B24" w:rsidRPr="00E019DA" w:rsidRDefault="00BD5B24" w:rsidP="00CA346E">
      <w:pPr>
        <w:spacing w:after="160" w:line="288" w:lineRule="auto"/>
        <w:ind w:left="567"/>
        <w:rPr>
          <w:rFonts w:ascii="Tahoma" w:eastAsia="Calibri" w:hAnsi="Tahoma" w:cs="Tahoma"/>
          <w:sz w:val="19"/>
          <w:szCs w:val="19"/>
          <w:rtl/>
        </w:rPr>
      </w:pPr>
      <w:r w:rsidRPr="00E019DA">
        <w:rPr>
          <w:rFonts w:ascii="Tahoma" w:eastAsia="Calibri" w:hAnsi="Tahoma" w:cs="Tahoma"/>
          <w:sz w:val="19"/>
          <w:szCs w:val="19"/>
          <w:rtl/>
        </w:rPr>
        <w:t>במהלך מבצע עם כלביא חלק מבתי חולים הועברו למתחמים תת-קרקעיים המשמשים לאשפוז בעיתות חירום, בהתאם למצאי המתחמים אשר בבית החולים. לדוגמה, מי</w:t>
      </w:r>
      <w:r w:rsidR="00DA3D0E" w:rsidRPr="00E019DA">
        <w:rPr>
          <w:rFonts w:ascii="Tahoma" w:eastAsia="Calibri" w:hAnsi="Tahoma" w:cs="Tahoma"/>
          <w:sz w:val="19"/>
          <w:szCs w:val="19"/>
          <w:rtl/>
        </w:rPr>
        <w:t>י</w:t>
      </w:r>
      <w:r w:rsidRPr="00E019DA">
        <w:rPr>
          <w:rFonts w:ascii="Tahoma" w:eastAsia="Calibri" w:hAnsi="Tahoma" w:cs="Tahoma"/>
          <w:sz w:val="19"/>
          <w:szCs w:val="19"/>
          <w:rtl/>
        </w:rPr>
        <w:t xml:space="preserve">ד בתחילת המבצע העביר בית </w:t>
      </w:r>
      <w:r w:rsidRPr="00E019DA">
        <w:rPr>
          <w:rFonts w:ascii="Tahoma" w:eastAsia="Calibri" w:hAnsi="Tahoma" w:cs="Tahoma"/>
          <w:sz w:val="19"/>
          <w:szCs w:val="19"/>
          <w:rtl/>
        </w:rPr>
        <w:lastRenderedPageBreak/>
        <w:t>החולים ו', בתוך שבע שעות, מיטות אשפוז רבות לשטח האשפוז התת-קרקעי המשמש בעת שגרה חניון בית החולים. מנגד יש בתי חולים שאין להם מתחמים תת-קרקעיים לאשפוז בחירום, כמו בית החולים כ"ד</w:t>
      </w:r>
      <w:r w:rsidR="00DA3D0E" w:rsidRPr="00E019DA">
        <w:rPr>
          <w:rFonts w:ascii="Tahoma" w:eastAsia="Calibri" w:hAnsi="Tahoma" w:cs="Tahoma"/>
          <w:sz w:val="19"/>
          <w:szCs w:val="19"/>
          <w:rtl/>
        </w:rPr>
        <w:t>,</w:t>
      </w:r>
      <w:r w:rsidRPr="00E019DA">
        <w:rPr>
          <w:rFonts w:ascii="Tahoma" w:eastAsia="Calibri" w:hAnsi="Tahoma" w:cs="Tahoma"/>
          <w:sz w:val="19"/>
          <w:szCs w:val="19"/>
          <w:rtl/>
        </w:rPr>
        <w:t xml:space="preserve"> שיש </w:t>
      </w:r>
      <w:r w:rsidR="00DA3D0E" w:rsidRPr="00E019DA">
        <w:rPr>
          <w:rFonts w:ascii="Tahoma" w:eastAsia="Calibri" w:hAnsi="Tahoma" w:cs="Tahoma"/>
          <w:sz w:val="19"/>
          <w:szCs w:val="19"/>
          <w:rtl/>
        </w:rPr>
        <w:t>ב</w:t>
      </w:r>
      <w:r w:rsidRPr="00E019DA">
        <w:rPr>
          <w:rFonts w:ascii="Tahoma" w:eastAsia="Calibri" w:hAnsi="Tahoma" w:cs="Tahoma"/>
          <w:sz w:val="19"/>
          <w:szCs w:val="19"/>
          <w:rtl/>
        </w:rPr>
        <w:t>ו כ-500 מיטות אשפוז ללא מיגון, 200 מהן באתרים "הכי מוגנים שיש".</w:t>
      </w:r>
    </w:p>
    <w:p w:rsidR="00BD5B24" w:rsidRPr="00E019DA" w:rsidRDefault="00BD5B24" w:rsidP="00CA346E">
      <w:pPr>
        <w:numPr>
          <w:ilvl w:val="0"/>
          <w:numId w:val="11"/>
        </w:numPr>
        <w:spacing w:after="160" w:line="288" w:lineRule="auto"/>
        <w:ind w:left="567" w:hanging="595"/>
        <w:rPr>
          <w:rFonts w:ascii="Tahoma" w:eastAsia="Calibri" w:hAnsi="Tahoma" w:cs="Tahoma"/>
          <w:sz w:val="19"/>
          <w:szCs w:val="19"/>
          <w:rtl/>
        </w:rPr>
      </w:pPr>
      <w:r w:rsidRPr="00E019DA">
        <w:rPr>
          <w:rFonts w:ascii="Tahoma" w:eastAsia="Calibri" w:hAnsi="Tahoma" w:cs="Tahoma"/>
          <w:b/>
          <w:bCs/>
          <w:sz w:val="19"/>
          <w:szCs w:val="19"/>
          <w:rtl/>
        </w:rPr>
        <w:t xml:space="preserve">פיקוח ועדת הפרויקטים של משרד הבריאות על בנייה בבתי חולים ממשלתיים - </w:t>
      </w:r>
      <w:r w:rsidRPr="00E019DA">
        <w:rPr>
          <w:rFonts w:ascii="Tahoma" w:eastAsia="Calibri" w:hAnsi="Tahoma" w:cs="Tahoma"/>
          <w:sz w:val="19"/>
          <w:szCs w:val="19"/>
          <w:rtl/>
        </w:rPr>
        <w:t xml:space="preserve">ועדת הפרויקטים ממונה על ידי מנכ"ל משרד הבריאות כוועדה מייעצת </w:t>
      </w:r>
      <w:r w:rsidR="00DA3D0E" w:rsidRPr="00E019DA">
        <w:rPr>
          <w:rFonts w:ascii="Tahoma" w:eastAsia="Calibri" w:hAnsi="Tahoma" w:cs="Tahoma"/>
          <w:sz w:val="19"/>
          <w:szCs w:val="19"/>
          <w:rtl/>
        </w:rPr>
        <w:t xml:space="preserve">בפרויקטי </w:t>
      </w:r>
      <w:r w:rsidRPr="00E019DA">
        <w:rPr>
          <w:rFonts w:ascii="Tahoma" w:eastAsia="Calibri" w:hAnsi="Tahoma" w:cs="Tahoma"/>
          <w:sz w:val="19"/>
          <w:szCs w:val="19"/>
          <w:rtl/>
        </w:rPr>
        <w:t xml:space="preserve">הקמה ובינוי במערכת הבריאות ובכלל זה בנייה ומיגון בהתאם לנדרש בתקנות הג"א. אף שבכתב המינוי של הוועדה צוין במפורש כי היא אמורה לדון בכל הפרויקטים הנוגעים למערכת הבריאות בישראל, בפועל נמצא כי היא </w:t>
      </w:r>
      <w:r w:rsidR="00DA3D0E" w:rsidRPr="00E019DA">
        <w:rPr>
          <w:rFonts w:ascii="Tahoma" w:eastAsia="Calibri" w:hAnsi="Tahoma" w:cs="Tahoma"/>
          <w:sz w:val="19"/>
          <w:szCs w:val="19"/>
          <w:rtl/>
        </w:rPr>
        <w:t xml:space="preserve">אינה </w:t>
      </w:r>
      <w:r w:rsidRPr="00E019DA">
        <w:rPr>
          <w:rFonts w:ascii="Tahoma" w:eastAsia="Calibri" w:hAnsi="Tahoma" w:cs="Tahoma"/>
          <w:sz w:val="19"/>
          <w:szCs w:val="19"/>
          <w:rtl/>
        </w:rPr>
        <w:t>דנה כלל בפרויקטים הנבנים ב-11 בתי החולים הממשלתיים, אלא רק בפרויקטי בינוי המבוצעים שלא במגזר הממשלתי.</w:t>
      </w:r>
      <w:r w:rsidRPr="00E019DA">
        <w:rPr>
          <w:rFonts w:ascii="Tahoma" w:eastAsia="Calibri" w:hAnsi="Tahoma" w:cs="Tahoma"/>
          <w:b/>
          <w:bCs/>
          <w:sz w:val="19"/>
          <w:szCs w:val="19"/>
          <w:rtl/>
        </w:rPr>
        <w:t xml:space="preserve"> </w:t>
      </w:r>
      <w:r w:rsidRPr="00E019DA">
        <w:rPr>
          <w:rFonts w:ascii="Tahoma" w:eastAsia="Calibri" w:hAnsi="Tahoma" w:cs="Tahoma"/>
          <w:sz w:val="19"/>
          <w:szCs w:val="19"/>
          <w:rtl/>
        </w:rPr>
        <w:t xml:space="preserve">למשל, הוועדה לא דנה בתוספת שלושה חדרי ניתוח לבית החולים ה', והיא לא הייתה ערה </w:t>
      </w:r>
      <w:r w:rsidR="00DA3D0E" w:rsidRPr="00E019DA">
        <w:rPr>
          <w:rFonts w:ascii="Tahoma" w:eastAsia="Calibri" w:hAnsi="Tahoma" w:cs="Tahoma"/>
          <w:sz w:val="19"/>
          <w:szCs w:val="19"/>
          <w:rtl/>
        </w:rPr>
        <w:t xml:space="preserve">כלל </w:t>
      </w:r>
      <w:r w:rsidRPr="00E019DA">
        <w:rPr>
          <w:rFonts w:ascii="Tahoma" w:eastAsia="Calibri" w:hAnsi="Tahoma" w:cs="Tahoma"/>
          <w:sz w:val="19"/>
          <w:szCs w:val="19"/>
          <w:rtl/>
        </w:rPr>
        <w:t>לבנייתם ולא כל שכן לבנייתם ללא מיגון כנדרש בתקנות הג"א.</w:t>
      </w:r>
    </w:p>
    <w:p w:rsidR="00BD5B24" w:rsidRPr="00E019DA" w:rsidRDefault="00BD5B24" w:rsidP="00CA346E">
      <w:pPr>
        <w:numPr>
          <w:ilvl w:val="0"/>
          <w:numId w:val="11"/>
        </w:numPr>
        <w:spacing w:after="160" w:line="288" w:lineRule="auto"/>
        <w:ind w:left="567" w:hanging="595"/>
        <w:rPr>
          <w:rFonts w:ascii="Tahoma" w:eastAsia="Calibri" w:hAnsi="Tahoma" w:cs="Tahoma"/>
          <w:b/>
          <w:bCs/>
          <w:sz w:val="19"/>
          <w:szCs w:val="19"/>
        </w:rPr>
      </w:pPr>
      <w:r w:rsidRPr="00E019DA">
        <w:rPr>
          <w:rFonts w:ascii="Tahoma" w:eastAsia="Calibri" w:hAnsi="Tahoma" w:cs="Tahoma"/>
          <w:b/>
          <w:bCs/>
          <w:sz w:val="19"/>
          <w:szCs w:val="19"/>
          <w:rtl/>
        </w:rPr>
        <w:t xml:space="preserve">בניית מבני אשפוז </w:t>
      </w:r>
      <w:r w:rsidR="00CD0287" w:rsidRPr="00E019DA">
        <w:rPr>
          <w:rFonts w:ascii="Tahoma" w:eastAsia="Calibri" w:hAnsi="Tahoma" w:cs="Tahoma"/>
          <w:b/>
          <w:bCs/>
          <w:sz w:val="19"/>
          <w:szCs w:val="19"/>
          <w:rtl/>
        </w:rPr>
        <w:t>בעלי</w:t>
      </w:r>
      <w:r w:rsidRPr="00E019DA">
        <w:rPr>
          <w:rFonts w:ascii="Tahoma" w:eastAsia="Calibri" w:hAnsi="Tahoma" w:cs="Tahoma"/>
          <w:b/>
          <w:bCs/>
          <w:sz w:val="19"/>
          <w:szCs w:val="19"/>
          <w:rtl/>
        </w:rPr>
        <w:t xml:space="preserve"> קירות מסך מזכוכית בבתי החולים הכלליים</w:t>
      </w:r>
      <w:r w:rsidRPr="00E019DA">
        <w:rPr>
          <w:rFonts w:ascii="Tahoma" w:eastAsia="Calibri" w:hAnsi="Tahoma" w:cs="Tahoma"/>
          <w:sz w:val="19"/>
          <w:szCs w:val="19"/>
          <w:rtl/>
        </w:rPr>
        <w:t xml:space="preserve"> - אף שבעשור האחרון נבנו בבתי החולים מבני אשפוז רבים עם קירות מסך מזכוכית, משרד הבריאות ופקע"ר לא בחנו את הסיכונים הנובעים מבנייה ייחודית כזו במקרים של מלחמה או טרור, ולנוכח הצורך ברציפות טיפול במחלקות האשפוז, אל מול היתרונות הסביבתיים והבריאותיים שקירות זכוכית אלו מספקים. הדף או פיצוץ בקרבת חלונות מסך מזכוכית, כפי שאירע במבצע עם כלביא בפגיעה בבית חולים סורוקה, עלולים לגרום לנפגעים רבים, להותיר מחלקות אשפוז ללא קירות וכן לפגיעה בתפקוד בית החולים עקב ריבוי זכוכיות הנושרות משך ימים רבים מגבהים, למרחב בית החולים. יודגש כי מבקר המדינה כבר התייחס בדוח שפורסם בשנת 2019 בנושא "מוכנות כוחות פיקוד העורף לחילוץ ולהצלה בחירום" לסוגיית החילוץ וההצלה בחירום לנוכח אתגרי הבנייה המודרנית, ובפרט בניית מבנים עם קירות מסך מזכוכית.</w:t>
      </w:r>
    </w:p>
    <w:p w:rsidR="00BD5B24" w:rsidRPr="00E019DA" w:rsidRDefault="00BD5B24" w:rsidP="00CA346E">
      <w:pPr>
        <w:numPr>
          <w:ilvl w:val="0"/>
          <w:numId w:val="11"/>
        </w:numPr>
        <w:spacing w:after="120" w:line="288" w:lineRule="auto"/>
        <w:ind w:left="567" w:hanging="595"/>
        <w:rPr>
          <w:rFonts w:ascii="Tahoma" w:eastAsia="Calibri" w:hAnsi="Tahoma" w:cs="Tahoma"/>
          <w:b/>
          <w:bCs/>
          <w:sz w:val="19"/>
          <w:szCs w:val="19"/>
        </w:rPr>
      </w:pPr>
      <w:r w:rsidRPr="00E019DA">
        <w:rPr>
          <w:rFonts w:ascii="Tahoma" w:eastAsia="Calibri" w:hAnsi="Tahoma" w:cs="Tahoma"/>
          <w:b/>
          <w:bCs/>
          <w:sz w:val="19"/>
          <w:szCs w:val="19"/>
          <w:rtl/>
        </w:rPr>
        <w:t xml:space="preserve">בנייה חדשה לא מוגנת בבית החולים ה' </w:t>
      </w:r>
      <w:r w:rsidRPr="00E019DA">
        <w:rPr>
          <w:rFonts w:ascii="Tahoma" w:eastAsia="Calibri" w:hAnsi="Tahoma" w:cs="Tahoma"/>
          <w:sz w:val="19"/>
          <w:szCs w:val="19"/>
          <w:rtl/>
        </w:rPr>
        <w:t>- במסגרת צו שהותקן במסגרת התמודדות מערכת הבריאות עם נגיף הקורונה, שהתיר הקמת מבנים בבתי החולים בפטור מהיתר בנייה קודם להתחלת הבנייה (צו הקורונה), בית החולים ה' בנה שלושה חדרי ניתוח בתוך מבנה קיים ללא המיגון הנדרש בתקנות הג"א, הדורשות מיגון מלא של חדרי ניתוח בבתי חולים. בית החולים ה' גם לא ביקש מפקע"ר, כרשות המוסמכת, אישור לבנייה או פטור מהחובה להקמתם כמרחב מוגן, כפי שנדרש בחוק הג"א ובצו הקורונה, בכך בית חולים ה' עלול לסכן את חיי השוהים באזור זה בבית החולים. עוד עלה כי מינהל תכנון ובינוי וועדת הפרויקטים במשרד הבריאות למדו על הבנייה של חדרי הניתוח בבית החולים ה' רק בדיעבד, כאשר הפרויקט כבר היה בשלבי עבודות הגמר.</w:t>
      </w:r>
    </w:p>
    <w:p w:rsidR="00CA346E" w:rsidRPr="00E019DA" w:rsidRDefault="00CA346E" w:rsidP="00CA346E">
      <w:pPr>
        <w:spacing w:after="120" w:line="288" w:lineRule="auto"/>
        <w:rPr>
          <w:rFonts w:ascii="Tahoma" w:eastAsia="Calibri" w:hAnsi="Tahoma" w:cs="Tahoma"/>
          <w:b/>
          <w:bCs/>
          <w:sz w:val="19"/>
          <w:szCs w:val="19"/>
          <w:rtl/>
        </w:rPr>
      </w:pPr>
    </w:p>
    <w:p w:rsidR="00CA346E" w:rsidRPr="00E019DA" w:rsidRDefault="00CA346E" w:rsidP="00CA346E">
      <w:pPr>
        <w:spacing w:after="120" w:line="288" w:lineRule="auto"/>
        <w:rPr>
          <w:rFonts w:ascii="Tahoma" w:eastAsia="Calibri" w:hAnsi="Tahoma" w:cs="Tahoma"/>
          <w:b/>
          <w:bCs/>
          <w:sz w:val="19"/>
          <w:szCs w:val="19"/>
          <w:rtl/>
        </w:rPr>
      </w:pPr>
    </w:p>
    <w:p w:rsidR="00CA346E" w:rsidRPr="00E019DA" w:rsidRDefault="00CA346E" w:rsidP="00CA346E">
      <w:pPr>
        <w:spacing w:after="120" w:line="288" w:lineRule="auto"/>
        <w:rPr>
          <w:rFonts w:ascii="Tahoma" w:eastAsia="Calibri" w:hAnsi="Tahoma" w:cs="Tahoma"/>
          <w:b/>
          <w:bCs/>
          <w:sz w:val="19"/>
          <w:szCs w:val="19"/>
        </w:rPr>
      </w:pPr>
    </w:p>
    <w:p w:rsidR="001D3DA9" w:rsidRPr="00E019DA" w:rsidRDefault="009961E8" w:rsidP="00CD0287">
      <w:pPr>
        <w:keepNext/>
        <w:keepLines/>
        <w:spacing w:before="240" w:after="240"/>
        <w:rPr>
          <w:rFonts w:ascii="Tahoma" w:hAnsi="Tahoma" w:cs="Tahoma"/>
        </w:rPr>
      </w:pPr>
      <w:r w:rsidRPr="00E019DA">
        <w:rPr>
          <w:rFonts w:ascii="Tahoma" w:hAnsi="Tahoma" w:cs="Tahoma"/>
          <w:noProof/>
        </w:rPr>
        <w:lastRenderedPageBreak/>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DA6C44" w:rsidRPr="00E019DA" w:rsidRDefault="00DA6C44" w:rsidP="00DA6C44">
      <w:pPr>
        <w:spacing w:after="120" w:line="288" w:lineRule="auto"/>
        <w:ind w:left="567"/>
        <w:rPr>
          <w:rFonts w:ascii="Tahoma" w:eastAsia="Calibri" w:hAnsi="Tahoma" w:cs="Tahoma"/>
          <w:rtl/>
        </w:rPr>
      </w:pPr>
      <w:r w:rsidRPr="00E019DA">
        <w:rPr>
          <w:rFonts w:ascii="Tahoma" w:eastAsia="Calibri" w:hAnsi="Tahoma" w:cs="Tahoma"/>
          <w:b/>
          <w:bCs/>
          <w:sz w:val="19"/>
          <w:szCs w:val="19"/>
          <w:rtl/>
        </w:rPr>
        <w:t xml:space="preserve">מעבר לפעילות במרחבים מוגנים בבית חולים סורוקה בעת מבצע עם כלביא - </w:t>
      </w:r>
      <w:r w:rsidRPr="00E019DA">
        <w:rPr>
          <w:rFonts w:ascii="Tahoma" w:eastAsia="Calibri" w:hAnsi="Tahoma" w:cs="Tahoma"/>
          <w:sz w:val="19"/>
          <w:szCs w:val="19"/>
          <w:rtl/>
        </w:rPr>
        <w:t xml:space="preserve">משרד הבריאות הנחה את כלל בתי החולים עם תחילת המתקפה באירן, ב-13.6.25, להעביר את כלל המאושפזים למרחבים מוגנים; </w:t>
      </w:r>
      <w:r w:rsidR="000F780F" w:rsidRPr="00E019DA">
        <w:rPr>
          <w:rFonts w:ascii="Tahoma" w:eastAsia="Calibri" w:hAnsi="Tahoma" w:cs="Tahoma"/>
          <w:sz w:val="19"/>
          <w:szCs w:val="19"/>
          <w:rtl/>
        </w:rPr>
        <w:t>בעקבות זאת</w:t>
      </w:r>
      <w:r w:rsidRPr="00E019DA">
        <w:rPr>
          <w:rFonts w:ascii="Tahoma" w:eastAsia="Calibri" w:hAnsi="Tahoma" w:cs="Tahoma"/>
          <w:sz w:val="19"/>
          <w:szCs w:val="19"/>
          <w:rtl/>
        </w:rPr>
        <w:t xml:space="preserve"> החליטה הנהלת בית החולים סורוקה, </w:t>
      </w:r>
      <w:r w:rsidR="000F780F" w:rsidRPr="00E019DA">
        <w:rPr>
          <w:rFonts w:ascii="Tahoma" w:eastAsia="Calibri" w:hAnsi="Tahoma" w:cs="Tahoma"/>
          <w:sz w:val="19"/>
          <w:szCs w:val="19"/>
          <w:rtl/>
        </w:rPr>
        <w:t>ב</w:t>
      </w:r>
      <w:r w:rsidRPr="00E019DA">
        <w:rPr>
          <w:rFonts w:ascii="Tahoma" w:eastAsia="Calibri" w:hAnsi="Tahoma" w:cs="Tahoma"/>
          <w:sz w:val="19"/>
          <w:szCs w:val="19"/>
          <w:rtl/>
        </w:rPr>
        <w:t xml:space="preserve">ערב </w:t>
      </w:r>
      <w:r w:rsidR="000F780F" w:rsidRPr="00E019DA">
        <w:rPr>
          <w:rFonts w:ascii="Tahoma" w:eastAsia="Calibri" w:hAnsi="Tahoma" w:cs="Tahoma"/>
          <w:sz w:val="19"/>
          <w:szCs w:val="19"/>
          <w:rtl/>
        </w:rPr>
        <w:t>ש</w:t>
      </w:r>
      <w:r w:rsidRPr="00E019DA">
        <w:rPr>
          <w:rFonts w:ascii="Tahoma" w:eastAsia="Calibri" w:hAnsi="Tahoma" w:cs="Tahoma"/>
          <w:sz w:val="19"/>
          <w:szCs w:val="19"/>
          <w:rtl/>
        </w:rPr>
        <w:t>לפני פגיעת הטיל בבניין האשפוז בבית החולים, ב-18.6.25, לפנות מחלקה בבניין למקום מוגן יותר בבניין אחר - החלטה שהצילה חיים.</w:t>
      </w:r>
      <w:r w:rsidRPr="00E019DA">
        <w:rPr>
          <w:rFonts w:ascii="Tahoma" w:eastAsia="Calibri" w:hAnsi="Tahoma" w:cs="Tahoma"/>
          <w:b/>
          <w:bCs/>
          <w:sz w:val="19"/>
          <w:szCs w:val="19"/>
          <w:rtl/>
        </w:rPr>
        <w:t xml:space="preserve"> </w:t>
      </w:r>
    </w:p>
    <w:p w:rsidR="001D3DA9" w:rsidRPr="00E019DA" w:rsidRDefault="001D3DA9" w:rsidP="00CA346E">
      <w:pPr>
        <w:pStyle w:val="73"/>
        <w:spacing w:line="240" w:lineRule="auto"/>
        <w:rPr>
          <w:sz w:val="2"/>
          <w:szCs w:val="2"/>
        </w:rPr>
      </w:pPr>
    </w:p>
    <w:tbl>
      <w:tblPr>
        <w:tblStyle w:val="af4"/>
        <w:tblpPr w:leftFromText="180" w:rightFromText="180" w:vertAnchor="text" w:tblpXSpec="center" w:tblpY="1"/>
        <w:tblOverlap w:val="never"/>
        <w:bidiVisual/>
        <w:tblW w:w="9074" w:type="dxa"/>
        <w:tblLayout w:type="fixed"/>
        <w:tblLook w:val="04A0" w:firstRow="1" w:lastRow="0" w:firstColumn="1" w:lastColumn="0" w:noHBand="0" w:noVBand="1"/>
      </w:tblPr>
      <w:tblGrid>
        <w:gridCol w:w="9074"/>
      </w:tblGrid>
      <w:tr w:rsidR="00BD2291" w:rsidRPr="00E019DA" w:rsidTr="000314B9">
        <w:trPr>
          <w:trHeight w:val="851"/>
        </w:trPr>
        <w:tc>
          <w:tcPr>
            <w:tcW w:w="9074" w:type="dxa"/>
            <w:tcBorders>
              <w:top w:val="nil"/>
              <w:left w:val="nil"/>
              <w:bottom w:val="nil"/>
              <w:right w:val="nil"/>
            </w:tcBorders>
          </w:tcPr>
          <w:p w:rsidR="001D3DA9" w:rsidRPr="00E019DA" w:rsidRDefault="009961E8" w:rsidP="00CA346E">
            <w:pPr>
              <w:spacing w:before="120" w:after="180" w:line="288" w:lineRule="auto"/>
              <w:rPr>
                <w:rFonts w:ascii="Tahoma" w:hAnsi="Tahoma" w:cs="Tahoma"/>
                <w:sz w:val="19"/>
                <w:szCs w:val="19"/>
                <w:rtl/>
              </w:rPr>
            </w:pPr>
            <w:r w:rsidRPr="00E019DA">
              <w:rPr>
                <w:rFonts w:ascii="Tahoma" w:hAnsi="Tahoma" w:cs="Tahoma"/>
                <w:noProof/>
                <w:sz w:val="19"/>
                <w:szCs w:val="19"/>
                <w:rtl/>
              </w:rPr>
              <w:drawing>
                <wp:inline distT="0" distB="0" distL="0" distR="0">
                  <wp:extent cx="5574030" cy="438784"/>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קציר תמונה 3.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9160" cy="450209"/>
                          </a:xfrm>
                          <a:prstGeom prst="rect">
                            <a:avLst/>
                          </a:prstGeom>
                        </pic:spPr>
                      </pic:pic>
                    </a:graphicData>
                  </a:graphic>
                </wp:inline>
              </w:drawing>
            </w:r>
          </w:p>
        </w:tc>
      </w:tr>
      <w:tr w:rsidR="00BD2291" w:rsidRPr="00E019DA" w:rsidTr="000314B9">
        <w:trPr>
          <w:trHeight w:val="2156"/>
        </w:trPr>
        <w:tc>
          <w:tcPr>
            <w:tcW w:w="9074" w:type="dxa"/>
            <w:tcBorders>
              <w:top w:val="nil"/>
              <w:left w:val="nil"/>
              <w:bottom w:val="nil"/>
              <w:right w:val="nil"/>
            </w:tcBorders>
            <w:shd w:val="clear" w:color="auto" w:fill="F1F5F9"/>
          </w:tcPr>
          <w:p w:rsidR="00DA6C44" w:rsidRPr="00E019DA" w:rsidRDefault="00DA6C44" w:rsidP="000F780F">
            <w:pPr>
              <w:numPr>
                <w:ilvl w:val="0"/>
                <w:numId w:val="12"/>
              </w:numPr>
              <w:spacing w:before="120" w:after="200" w:line="288" w:lineRule="auto"/>
              <w:ind w:left="516" w:right="176" w:hanging="516"/>
              <w:rPr>
                <w:rFonts w:ascii="Tahoma" w:eastAsia="Calibri" w:hAnsi="Tahoma" w:cs="Tahoma"/>
                <w:sz w:val="19"/>
                <w:szCs w:val="19"/>
                <w:rtl/>
              </w:rPr>
            </w:pPr>
            <w:r w:rsidRPr="00E019DA">
              <w:rPr>
                <w:rFonts w:ascii="Tahoma" w:eastAsia="Calibri" w:hAnsi="Tahoma" w:cs="Tahoma"/>
                <w:sz w:val="19"/>
                <w:szCs w:val="19"/>
                <w:rtl/>
              </w:rPr>
              <w:t xml:space="preserve">עקב התרחבות השימוש באתרים מוגנים חלופיים שאינם משמשים לאשפוז בעת שגרה ולנוכח הקשיים הייחודיים הנלווים להעברת האשפוז מהמחלקות לאתרים אלו, מומלץ </w:t>
            </w:r>
            <w:r w:rsidR="000F780F" w:rsidRPr="00E019DA">
              <w:rPr>
                <w:rFonts w:ascii="Tahoma" w:eastAsia="Calibri" w:hAnsi="Tahoma" w:cs="Tahoma"/>
                <w:sz w:val="19"/>
                <w:szCs w:val="19"/>
                <w:rtl/>
              </w:rPr>
              <w:t>כדלהלן</w:t>
            </w:r>
            <w:r w:rsidRPr="00E019DA">
              <w:rPr>
                <w:rFonts w:ascii="Tahoma" w:eastAsia="Calibri" w:hAnsi="Tahoma" w:cs="Tahoma"/>
                <w:sz w:val="19"/>
                <w:szCs w:val="19"/>
                <w:rtl/>
              </w:rPr>
              <w:t>: (א) הרשות העליונה לאשפוז ובריאות תנחה את האגף לשע"ח לעדכן את דרישות הת</w:t>
            </w:r>
            <w:r w:rsidR="001C28E3" w:rsidRPr="00E019DA">
              <w:rPr>
                <w:rFonts w:ascii="Tahoma" w:eastAsia="Calibri" w:hAnsi="Tahoma" w:cs="Tahoma"/>
                <w:sz w:val="19"/>
                <w:szCs w:val="19"/>
                <w:rtl/>
              </w:rPr>
              <w:t>ו</w:t>
            </w:r>
            <w:r w:rsidRPr="00E019DA">
              <w:rPr>
                <w:rFonts w:ascii="Tahoma" w:eastAsia="Calibri" w:hAnsi="Tahoma" w:cs="Tahoma"/>
                <w:sz w:val="19"/>
                <w:szCs w:val="19"/>
                <w:rtl/>
              </w:rPr>
              <w:t>כן של תוכניות פריסת המיטות בעת חירום, ובכלל זה לעדכן את הדרישות בדבר קביעת זמני תקן לשלבי העברת החולים; (ב) בתי החולים שטרם כתבו נהלים מפורטים או קבעו זמני תקן ב</w:t>
            </w:r>
            <w:r w:rsidR="00ED7266" w:rsidRPr="00E019DA">
              <w:rPr>
                <w:rFonts w:ascii="Tahoma" w:eastAsia="Calibri" w:hAnsi="Tahoma" w:cs="Tahoma"/>
                <w:sz w:val="19"/>
                <w:szCs w:val="19"/>
                <w:rtl/>
              </w:rPr>
              <w:t>נו</w:t>
            </w:r>
            <w:r w:rsidRPr="00E019DA">
              <w:rPr>
                <w:rFonts w:ascii="Tahoma" w:eastAsia="Calibri" w:hAnsi="Tahoma" w:cs="Tahoma"/>
                <w:sz w:val="19"/>
                <w:szCs w:val="19"/>
                <w:rtl/>
              </w:rPr>
              <w:t>הליהם יכינו תוכניות מפורטות למעבר, כדי לייעל ולשפר את המעבר ממצב שגרה למצב חירום ולצמצם את פוטנציאל הפגיעה במטופלים ובצוותים הרפואיים והאחרים; (ג) האגף לשע"ח ומחלקת הרפואה בפקע"ר יבחנו אם בתי החולים הפיקו לקחים</w:t>
            </w:r>
            <w:r w:rsidRPr="00E019DA">
              <w:rPr>
                <w:rFonts w:ascii="Tahoma" w:eastAsia="Calibri" w:hAnsi="Tahoma" w:cs="Tahoma"/>
                <w:sz w:val="22"/>
                <w:rtl/>
              </w:rPr>
              <w:t xml:space="preserve"> </w:t>
            </w:r>
            <w:r w:rsidRPr="00E019DA">
              <w:rPr>
                <w:rFonts w:ascii="Tahoma" w:eastAsia="Calibri" w:hAnsi="Tahoma" w:cs="Tahoma"/>
                <w:sz w:val="19"/>
                <w:szCs w:val="19"/>
                <w:rtl/>
              </w:rPr>
              <w:t xml:space="preserve">מהליכי </w:t>
            </w:r>
            <w:r w:rsidR="00E03093" w:rsidRPr="00E019DA">
              <w:rPr>
                <w:rFonts w:ascii="Tahoma" w:eastAsia="Calibri" w:hAnsi="Tahoma" w:cs="Tahoma"/>
                <w:sz w:val="19"/>
                <w:szCs w:val="19"/>
                <w:rtl/>
              </w:rPr>
              <w:t>ה</w:t>
            </w:r>
            <w:r w:rsidRPr="00E019DA">
              <w:rPr>
                <w:rFonts w:ascii="Tahoma" w:eastAsia="Calibri" w:hAnsi="Tahoma" w:cs="Tahoma"/>
                <w:sz w:val="19"/>
                <w:szCs w:val="19"/>
                <w:rtl/>
              </w:rPr>
              <w:t xml:space="preserve">העברה למתחמים מוגנים בימי הלחימה הראשונים וחל בהם שיפור בהעברות בתחילת מבצע עם כלביא. כמו כן, מומלץ שהאגף לשעת חירום ופקע"ר יעדכנו על פי הצורך את תוכנית התרגילים השנתית המכינה את בתי החולים לעיתות חירום באופן שתכלול תרגול עיתי של המעבר לבית החולים בחירום, לרבות שינוע ציוד ותשתיות הנדרשות לתפעול. </w:t>
            </w:r>
          </w:p>
          <w:p w:rsidR="00DA6C44" w:rsidRPr="00E019DA" w:rsidRDefault="00DA6C44" w:rsidP="00CA346E">
            <w:pPr>
              <w:numPr>
                <w:ilvl w:val="0"/>
                <w:numId w:val="12"/>
              </w:numPr>
              <w:spacing w:after="200" w:line="288" w:lineRule="auto"/>
              <w:ind w:left="516" w:right="176" w:hanging="516"/>
              <w:rPr>
                <w:rFonts w:ascii="Tahoma" w:eastAsia="Calibri" w:hAnsi="Tahoma" w:cs="Tahoma"/>
                <w:sz w:val="19"/>
                <w:szCs w:val="19"/>
                <w:rtl/>
              </w:rPr>
            </w:pPr>
            <w:r w:rsidRPr="00E019DA">
              <w:rPr>
                <w:rFonts w:ascii="Tahoma" w:eastAsia="Calibri" w:hAnsi="Tahoma" w:cs="Tahoma"/>
                <w:sz w:val="19"/>
                <w:szCs w:val="19"/>
                <w:rtl/>
              </w:rPr>
              <w:t xml:space="preserve">נוכח הגידול הניכר במתחמים תת-קרקעיים שהוסבו לאשפוז בחירום במלחמת חרבות ברזל </w:t>
            </w:r>
            <w:r w:rsidR="00FD3AB1" w:rsidRPr="00E019DA">
              <w:rPr>
                <w:rFonts w:ascii="Tahoma" w:eastAsia="Calibri" w:hAnsi="Tahoma" w:cs="Tahoma"/>
                <w:sz w:val="19"/>
                <w:szCs w:val="19"/>
                <w:rtl/>
              </w:rPr>
              <w:t>ובייחוד</w:t>
            </w:r>
            <w:r w:rsidRPr="00E019DA">
              <w:rPr>
                <w:rFonts w:ascii="Tahoma" w:eastAsia="Calibri" w:hAnsi="Tahoma" w:cs="Tahoma"/>
                <w:sz w:val="19"/>
                <w:szCs w:val="19"/>
                <w:rtl/>
              </w:rPr>
              <w:t xml:space="preserve"> במבצע עם כלביא, והתכנון העתידי לבנות מתחמים תת</w:t>
            </w:r>
            <w:r w:rsidR="00E03093" w:rsidRPr="00E019DA">
              <w:rPr>
                <w:rFonts w:ascii="Tahoma" w:eastAsia="Calibri" w:hAnsi="Tahoma" w:cs="Tahoma"/>
                <w:sz w:val="19"/>
                <w:szCs w:val="19"/>
                <w:rtl/>
              </w:rPr>
              <w:t>-</w:t>
            </w:r>
            <w:r w:rsidRPr="00E019DA">
              <w:rPr>
                <w:rFonts w:ascii="Tahoma" w:eastAsia="Calibri" w:hAnsi="Tahoma" w:cs="Tahoma"/>
                <w:sz w:val="19"/>
                <w:szCs w:val="19"/>
                <w:rtl/>
              </w:rPr>
              <w:t>קרקעיים דו-שימושיים בבתי חולים אחרים, מומלץ שמשרד הבריאות ופקע"ר, בשיתוף בתי החולים, יבטיחו כי חלופת המיגון שנקבעה</w:t>
            </w:r>
            <w:r w:rsidR="00E24125" w:rsidRPr="00E019DA">
              <w:rPr>
                <w:rFonts w:ascii="Tahoma" w:eastAsia="Calibri" w:hAnsi="Tahoma" w:cs="Tahoma"/>
                <w:sz w:val="19"/>
                <w:szCs w:val="19"/>
                <w:rtl/>
              </w:rPr>
              <w:t>,</w:t>
            </w:r>
            <w:r w:rsidRPr="00E019DA">
              <w:rPr>
                <w:rFonts w:ascii="Tahoma" w:eastAsia="Calibri" w:hAnsi="Tahoma" w:cs="Tahoma"/>
                <w:sz w:val="19"/>
                <w:szCs w:val="19"/>
                <w:rtl/>
              </w:rPr>
              <w:t xml:space="preserve"> בדגש על מתחמים תת</w:t>
            </w:r>
            <w:r w:rsidR="00FD3AB1" w:rsidRPr="00E019DA">
              <w:rPr>
                <w:rFonts w:ascii="Tahoma" w:eastAsia="Calibri" w:hAnsi="Tahoma" w:cs="Tahoma"/>
                <w:sz w:val="19"/>
                <w:szCs w:val="19"/>
                <w:rtl/>
              </w:rPr>
              <w:t>-</w:t>
            </w:r>
            <w:r w:rsidRPr="00E019DA">
              <w:rPr>
                <w:rFonts w:ascii="Tahoma" w:eastAsia="Calibri" w:hAnsi="Tahoma" w:cs="Tahoma"/>
                <w:sz w:val="19"/>
                <w:szCs w:val="19"/>
                <w:rtl/>
              </w:rPr>
              <w:t>קרקעיים, ראויה ונותנת מענה. כן מומלץ להוסיף לתקנות הג"א התייחסות מפורשת למתחמים תת</w:t>
            </w:r>
            <w:r w:rsidR="00FD3AB1" w:rsidRPr="00E019DA">
              <w:rPr>
                <w:rFonts w:ascii="Tahoma" w:eastAsia="Calibri" w:hAnsi="Tahoma" w:cs="Tahoma"/>
                <w:sz w:val="19"/>
                <w:szCs w:val="19"/>
                <w:rtl/>
              </w:rPr>
              <w:t>-</w:t>
            </w:r>
            <w:r w:rsidRPr="00E019DA">
              <w:rPr>
                <w:rFonts w:ascii="Tahoma" w:eastAsia="Calibri" w:hAnsi="Tahoma" w:cs="Tahoma"/>
                <w:sz w:val="19"/>
                <w:szCs w:val="19"/>
                <w:rtl/>
              </w:rPr>
              <w:t xml:space="preserve">קרקעיים מוגנים, לצורך הבטחת רציפות הטיפול והתפקוד בבתי החולים, </w:t>
            </w:r>
            <w:r w:rsidR="00FD3AB1" w:rsidRPr="00E019DA">
              <w:rPr>
                <w:rFonts w:ascii="Tahoma" w:eastAsia="Calibri" w:hAnsi="Tahoma" w:cs="Tahoma"/>
                <w:sz w:val="19"/>
                <w:szCs w:val="19"/>
                <w:rtl/>
              </w:rPr>
              <w:t>ובייחוד</w:t>
            </w:r>
            <w:r w:rsidRPr="00E019DA">
              <w:rPr>
                <w:rFonts w:ascii="Tahoma" w:eastAsia="Calibri" w:hAnsi="Tahoma" w:cs="Tahoma"/>
                <w:sz w:val="19"/>
                <w:szCs w:val="19"/>
                <w:rtl/>
              </w:rPr>
              <w:t xml:space="preserve"> בבתי החולים הסמוכים לגבול.</w:t>
            </w:r>
          </w:p>
          <w:p w:rsidR="00DA6C44" w:rsidRPr="00E019DA" w:rsidRDefault="00DA6C44" w:rsidP="00DA6C44">
            <w:pPr>
              <w:numPr>
                <w:ilvl w:val="0"/>
                <w:numId w:val="12"/>
              </w:numPr>
              <w:spacing w:after="240" w:line="288" w:lineRule="auto"/>
              <w:ind w:left="515" w:right="173" w:hanging="515"/>
              <w:rPr>
                <w:rFonts w:ascii="Tahoma" w:eastAsia="Calibri" w:hAnsi="Tahoma" w:cs="Tahoma"/>
                <w:sz w:val="19"/>
                <w:szCs w:val="19"/>
              </w:rPr>
            </w:pPr>
            <w:bookmarkStart w:id="16" w:name="_Hlk216944100"/>
            <w:r w:rsidRPr="00E019DA">
              <w:rPr>
                <w:rFonts w:ascii="Tahoma" w:eastAsia="Calibri" w:hAnsi="Tahoma" w:cs="Tahoma"/>
                <w:sz w:val="19"/>
                <w:szCs w:val="19"/>
                <w:rtl/>
              </w:rPr>
              <w:t xml:space="preserve">נוכח התמשכות מלחמת חרבות ברזל והסכנות הנשקפות מנפילת טילים בכל רחבי הארץ, כפי שאכן התממש בזמן מלחמת חרבות ברזל ומבצע עם כלביא, על משרד הבריאות ופקע"ר לבחון אם יש צורך לקבוע תבחינים לאישור בנייה של קירות מסך מזכוכית בבתי חולים, כך שהמבנים שיאושרו יבטיחו את שלומם של המאושפזים בחדרים </w:t>
            </w:r>
            <w:r w:rsidR="00FD3AB1" w:rsidRPr="00E019DA">
              <w:rPr>
                <w:rFonts w:ascii="Tahoma" w:eastAsia="Calibri" w:hAnsi="Tahoma" w:cs="Tahoma"/>
                <w:sz w:val="19"/>
                <w:szCs w:val="19"/>
                <w:rtl/>
              </w:rPr>
              <w:t>בעלי</w:t>
            </w:r>
            <w:r w:rsidRPr="00E019DA">
              <w:rPr>
                <w:rFonts w:ascii="Tahoma" w:eastAsia="Calibri" w:hAnsi="Tahoma" w:cs="Tahoma"/>
                <w:sz w:val="19"/>
                <w:szCs w:val="19"/>
                <w:rtl/>
              </w:rPr>
              <w:t xml:space="preserve"> קירות מסך מזכוכית אשר אינם מוגנים ואינם יכולים להתפנות במהירות בהינתן התרעה.</w:t>
            </w:r>
          </w:p>
          <w:bookmarkEnd w:id="16"/>
          <w:p w:rsidR="002665C8" w:rsidRPr="00E019DA" w:rsidRDefault="002665C8" w:rsidP="002665C8">
            <w:pPr>
              <w:spacing w:after="240" w:line="240" w:lineRule="auto"/>
              <w:ind w:left="515" w:right="173"/>
              <w:rPr>
                <w:rFonts w:ascii="Tahoma" w:eastAsia="Calibri" w:hAnsi="Tahoma" w:cs="Tahoma"/>
                <w:sz w:val="2"/>
                <w:szCs w:val="2"/>
              </w:rPr>
            </w:pPr>
          </w:p>
          <w:p w:rsidR="00DA6C44" w:rsidRPr="00E019DA" w:rsidRDefault="00DA6C44" w:rsidP="00DA6C44">
            <w:pPr>
              <w:numPr>
                <w:ilvl w:val="0"/>
                <w:numId w:val="12"/>
              </w:numPr>
              <w:spacing w:after="240" w:line="288" w:lineRule="auto"/>
              <w:ind w:left="515" w:right="173" w:hanging="515"/>
              <w:rPr>
                <w:rFonts w:ascii="Tahoma" w:eastAsia="Calibri" w:hAnsi="Tahoma" w:cs="Tahoma"/>
                <w:sz w:val="19"/>
                <w:szCs w:val="19"/>
              </w:rPr>
            </w:pPr>
            <w:r w:rsidRPr="00E019DA">
              <w:rPr>
                <w:rFonts w:ascii="Tahoma" w:eastAsia="Calibri" w:hAnsi="Tahoma" w:cs="Tahoma"/>
                <w:sz w:val="19"/>
                <w:szCs w:val="19"/>
                <w:rtl/>
              </w:rPr>
              <w:t xml:space="preserve">כדי למנוע פגיעה בבריאות הציבור והידרדרות במצב הרפואי של חולים יש להבטיח שגם בעיתות חירום מתמשכות, דוגמת מלחמת חרבות ברזל, יוענקו לאוכלוסייה שירותים רפואיים אמבולטוריים במסגרת בתי החולים. מומלץ שמשרד הבריאות ובתי החולים בשיתוף פקע"ר יבחנו אפשרות של הרחבת המיגון באתרי טיפול אמבולטורי או אפשרות של הרחבת האתרים שבהם יהיה אפשר לתת טיפולים אמבולטוריים בעיתות חירום. </w:t>
            </w:r>
          </w:p>
          <w:p w:rsidR="00DA6C44" w:rsidRPr="00E019DA" w:rsidRDefault="00DA6C44" w:rsidP="00DA6C44">
            <w:pPr>
              <w:numPr>
                <w:ilvl w:val="0"/>
                <w:numId w:val="12"/>
              </w:numPr>
              <w:spacing w:after="240" w:line="288" w:lineRule="auto"/>
              <w:ind w:left="515" w:right="173" w:hanging="515"/>
              <w:rPr>
                <w:rFonts w:ascii="Tahoma" w:eastAsia="Calibri" w:hAnsi="Tahoma" w:cs="Tahoma"/>
                <w:sz w:val="19"/>
                <w:szCs w:val="19"/>
              </w:rPr>
            </w:pPr>
            <w:r w:rsidRPr="00E019DA">
              <w:rPr>
                <w:rFonts w:ascii="Tahoma" w:eastAsia="Calibri" w:hAnsi="Tahoma" w:cs="Tahoma"/>
                <w:sz w:val="19"/>
                <w:szCs w:val="19"/>
                <w:rtl/>
              </w:rPr>
              <w:t>בשל הצורך לשמור על הרציפות התפקודית של בתי החולים במצבי חירום, על משרד הבריאות בתיאום עם משרד האוצר ובתי החולים לגבש ת</w:t>
            </w:r>
            <w:r w:rsidR="00ED7266" w:rsidRPr="00E019DA">
              <w:rPr>
                <w:rFonts w:ascii="Tahoma" w:eastAsia="Calibri" w:hAnsi="Tahoma" w:cs="Tahoma"/>
                <w:sz w:val="19"/>
                <w:szCs w:val="19"/>
                <w:rtl/>
              </w:rPr>
              <w:t>ו</w:t>
            </w:r>
            <w:r w:rsidRPr="00E019DA">
              <w:rPr>
                <w:rFonts w:ascii="Tahoma" w:eastAsia="Calibri" w:hAnsi="Tahoma" w:cs="Tahoma"/>
                <w:sz w:val="19"/>
                <w:szCs w:val="19"/>
                <w:rtl/>
              </w:rPr>
              <w:t xml:space="preserve">כנית ארוכת טווח, שתקבע סדרי עדיפויות לביצוע הפרויקטים להשלמת פערי המיגון בבתי החולים, שלפי הערכת משרד הבריאות עומדים על היקף תקציבי של יותר מ-4 מיליארד ש"ח. היקף תקציבי כזה מחייב גיבוש תוכנית לאומית רב-שנתית נוכח לקחי המלחמה הרב-זירתית, ובפרט נוכח לקחי מבצע עם כלביא. מוצע כי תוכנית זו תהיה חלק מהחלטת ממשלה ייעודית שתכלול תקצוב ייעודי והגדרת סדרי עדיפויות, תוך איזון </w:t>
            </w:r>
            <w:r w:rsidR="002665C8" w:rsidRPr="00E019DA">
              <w:rPr>
                <w:rFonts w:ascii="Tahoma" w:eastAsia="Calibri" w:hAnsi="Tahoma" w:cs="Tahoma"/>
                <w:sz w:val="19"/>
                <w:szCs w:val="19"/>
                <w:rtl/>
              </w:rPr>
              <w:t>עם</w:t>
            </w:r>
            <w:r w:rsidRPr="00E019DA">
              <w:rPr>
                <w:rFonts w:ascii="Tahoma" w:eastAsia="Calibri" w:hAnsi="Tahoma" w:cs="Tahoma"/>
                <w:sz w:val="19"/>
                <w:szCs w:val="19"/>
                <w:rtl/>
              </w:rPr>
              <w:t xml:space="preserve"> יתר צורכי התקציב הלאומי. </w:t>
            </w:r>
          </w:p>
          <w:p w:rsidR="00DA6C44" w:rsidRPr="00E019DA" w:rsidRDefault="00DA6C44" w:rsidP="00DA6C44">
            <w:pPr>
              <w:numPr>
                <w:ilvl w:val="0"/>
                <w:numId w:val="12"/>
              </w:numPr>
              <w:spacing w:after="240" w:line="288" w:lineRule="auto"/>
              <w:ind w:left="515" w:right="173" w:hanging="515"/>
              <w:rPr>
                <w:rFonts w:ascii="Tahoma" w:eastAsia="Calibri" w:hAnsi="Tahoma" w:cs="Tahoma"/>
                <w:sz w:val="19"/>
                <w:szCs w:val="19"/>
              </w:rPr>
            </w:pPr>
            <w:r w:rsidRPr="00E019DA">
              <w:rPr>
                <w:rFonts w:ascii="Tahoma" w:eastAsia="Calibri" w:hAnsi="Tahoma" w:cs="Tahoma"/>
                <w:sz w:val="19"/>
                <w:szCs w:val="19"/>
                <w:rtl/>
              </w:rPr>
              <w:t xml:space="preserve">נוכח עמדת פקע"ר שהוא </w:t>
            </w:r>
            <w:r w:rsidR="002665C8" w:rsidRPr="00E019DA">
              <w:rPr>
                <w:rFonts w:ascii="Tahoma" w:eastAsia="Calibri" w:hAnsi="Tahoma" w:cs="Tahoma"/>
                <w:sz w:val="19"/>
                <w:szCs w:val="19"/>
                <w:rtl/>
              </w:rPr>
              <w:t>"</w:t>
            </w:r>
            <w:r w:rsidRPr="00E019DA">
              <w:rPr>
                <w:rFonts w:ascii="Tahoma" w:eastAsia="Calibri" w:hAnsi="Tahoma" w:cs="Tahoma"/>
                <w:sz w:val="19"/>
                <w:szCs w:val="19"/>
                <w:rtl/>
              </w:rPr>
              <w:t xml:space="preserve">הרשות המוסמכת" בהתאם לדין להיות המאסדר בתחום המיגון הפיזי, על בית החולים ה' ומשרד הבריאות לגבש עם פקע"ר את המענה המיגוני הנדרש לפערי המיגון שנוצרו בבניית שלושת חדרי הניתוח שנבנו ללא מיגון כנדרש ולבצע אותו; נוסף על כך, על בית החולים ה' להשלים את החסרים במיגון עד לסוף שנת 2028 כפי שסיכם עם פקע"ר ולעמוד בדרישות חוק הג"א בכל בנייה עתידית בשטח בית החולים. </w:t>
            </w:r>
          </w:p>
          <w:p w:rsidR="00DA6C44" w:rsidRPr="00E019DA" w:rsidRDefault="00DA6C44" w:rsidP="00DA6C44">
            <w:pPr>
              <w:numPr>
                <w:ilvl w:val="0"/>
                <w:numId w:val="12"/>
              </w:numPr>
              <w:spacing w:after="240" w:line="288" w:lineRule="auto"/>
              <w:ind w:left="515" w:right="173" w:hanging="515"/>
              <w:rPr>
                <w:rFonts w:ascii="Tahoma" w:eastAsia="Calibri" w:hAnsi="Tahoma" w:cs="Tahoma"/>
                <w:sz w:val="19"/>
                <w:szCs w:val="19"/>
              </w:rPr>
            </w:pPr>
            <w:r w:rsidRPr="00E019DA">
              <w:rPr>
                <w:rFonts w:ascii="Tahoma" w:eastAsia="Calibri" w:hAnsi="Tahoma" w:cs="Tahoma"/>
                <w:sz w:val="19"/>
                <w:szCs w:val="19"/>
                <w:rtl/>
              </w:rPr>
              <w:t>על משרד הבריאות בסיוע פקע"ר לבחון אם בוצעה בנייה ללא מיגון בכלל בתי החולים. כמו כן, מומלץ שמשרד הבריאות יגבש דרכי פעולה לפיקוח שלו כמאסדר בנוגע לביצוע פרויקטים בבתי החולים הממשלתיים, וזאת כדי לוודא שהבנייה בבתי חולים אלה מתבצעת בהתאם לחוקים ולתקנות כנדרש.</w:t>
            </w:r>
          </w:p>
          <w:p w:rsidR="001D3DA9" w:rsidRPr="00E019DA" w:rsidRDefault="00DA6C44" w:rsidP="00DA6C44">
            <w:pPr>
              <w:numPr>
                <w:ilvl w:val="0"/>
                <w:numId w:val="12"/>
              </w:numPr>
              <w:spacing w:after="240" w:line="288" w:lineRule="auto"/>
              <w:ind w:left="515" w:right="173" w:hanging="515"/>
              <w:rPr>
                <w:rFonts w:ascii="Tahoma" w:hAnsi="Tahoma" w:cs="Tahoma"/>
                <w:rtl/>
              </w:rPr>
            </w:pPr>
            <w:r w:rsidRPr="00E019DA">
              <w:rPr>
                <w:rFonts w:ascii="Tahoma" w:eastAsia="Calibri" w:hAnsi="Tahoma" w:cs="Tahoma"/>
                <w:sz w:val="19"/>
                <w:szCs w:val="19"/>
                <w:rtl/>
              </w:rPr>
              <w:t>נוכח התמשכות מלחמת חרבות ברזל, מומלץ כי משרד הבריאות, פקע"ר, כל בתי החולים בארץ, משרד האוצר וגופים נוספים במערכת הבריאות המפעילים בתי חולים יקיימו הליך סדור ומשותף של הפקת לקחים בנושאי מיגון בתי החולים, על כל המשתמע מכך, וכי הם יפעלו כדי להבטיח את המשך הפעילות בעיתות חירום מתמשכות.</w:t>
            </w:r>
          </w:p>
        </w:tc>
      </w:tr>
    </w:tbl>
    <w:p w:rsidR="001D3DA9" w:rsidRPr="00E019DA" w:rsidRDefault="001D3DA9" w:rsidP="001D3DA9">
      <w:pPr>
        <w:bidi w:val="0"/>
        <w:spacing w:after="160" w:line="259" w:lineRule="auto"/>
        <w:ind w:left="-1"/>
        <w:jc w:val="left"/>
        <w:rPr>
          <w:rFonts w:ascii="Tahoma" w:hAnsi="Tahoma" w:cs="Tahoma"/>
          <w:sz w:val="2"/>
          <w:szCs w:val="2"/>
          <w:rtl/>
        </w:rPr>
      </w:pPr>
    </w:p>
    <w:p w:rsidR="001D3DA9" w:rsidRPr="00E019DA" w:rsidRDefault="009961E8" w:rsidP="001D3DA9">
      <w:pPr>
        <w:bidi w:val="0"/>
        <w:spacing w:after="200" w:line="276" w:lineRule="auto"/>
        <w:ind w:left="-1"/>
        <w:rPr>
          <w:rFonts w:ascii="Tahoma" w:hAnsi="Tahoma" w:cs="Tahoma"/>
          <w:rtl/>
        </w:rPr>
      </w:pPr>
      <w:r w:rsidRPr="00E019DA">
        <w:rPr>
          <w:rFonts w:ascii="Tahoma" w:hAnsi="Tahoma" w:cs="Tahoma"/>
          <w:rtl/>
        </w:rPr>
        <w:br w:type="page"/>
      </w:r>
    </w:p>
    <w:p w:rsidR="001D3DA9" w:rsidRPr="00E019DA" w:rsidRDefault="00DA6C44" w:rsidP="001D3DA9">
      <w:pPr>
        <w:rPr>
          <w:rFonts w:ascii="Tahoma" w:hAnsi="Tahoma" w:cs="Tahoma"/>
          <w:rtl/>
        </w:rPr>
      </w:pPr>
      <w:r w:rsidRPr="00E019DA">
        <w:rPr>
          <w:rFonts w:ascii="Tahoma" w:hAnsi="Tahoma" w:cs="Tahoma"/>
          <w:noProof/>
          <w:szCs w:val="20"/>
          <w:rtl/>
        </w:rPr>
        <w:lastRenderedPageBreak/>
        <mc:AlternateContent>
          <mc:Choice Requires="wps">
            <w:drawing>
              <wp:anchor distT="0" distB="0" distL="114300" distR="114300" simplePos="0" relativeHeight="251660288" behindDoc="0" locked="0" layoutInCell="1" allowOverlap="1">
                <wp:simplePos x="0" y="0"/>
                <wp:positionH relativeFrom="column">
                  <wp:posOffset>11982</wp:posOffset>
                </wp:positionH>
                <wp:positionV relativeFrom="paragraph">
                  <wp:posOffset>102235</wp:posOffset>
                </wp:positionV>
                <wp:extent cx="5783580" cy="434975"/>
                <wp:effectExtent l="0" t="0" r="7620" b="3175"/>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34975"/>
                        </a:xfrm>
                        <a:prstGeom prst="rect">
                          <a:avLst/>
                        </a:prstGeom>
                        <a:solidFill>
                          <a:srgbClr val="F05260"/>
                        </a:solidFill>
                        <a:ln w="9525">
                          <a:noFill/>
                          <a:miter lim="800000"/>
                          <a:headEnd/>
                          <a:tailEnd/>
                        </a:ln>
                      </wps:spPr>
                      <wps:txbx>
                        <w:txbxContent>
                          <w:p w:rsidR="001D3DA9" w:rsidRPr="005C7ABF" w:rsidRDefault="00DA6C44" w:rsidP="00CA346E">
                            <w:pPr>
                              <w:pStyle w:val="733"/>
                              <w:ind w:left="14"/>
                              <w:rPr>
                                <w:rtl/>
                              </w:rPr>
                            </w:pPr>
                            <w:r w:rsidRPr="00DA6C44">
                              <w:rPr>
                                <w:rtl/>
                              </w:rPr>
                              <w:t>פערי המיגון בעיתות חירום באתרים לפעילויות חיוניות נבחרות ומיטות האשפוז הכלליות ב-27 בתי חולים כלליים, 2024</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5pt;margin-top:8.05pt;width:455.4pt;height: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" fillcolor="#f05260" stroked="f">
                <v:textbox>
                  <w:txbxContent>
                    <w:p w:rsidR="001D3DA9" w:rsidRPr="005C7ABF" w:rsidRDefault="00DA6C44" w:rsidP="00CA346E">
                      <w:pPr>
                        <w:pStyle w:val="733"/>
                        <w:ind w:left="14"/>
                        <w:rPr>
                          <w:rtl/>
                        </w:rPr>
                      </w:pPr>
                      <w:r w:rsidRPr="00DA6C44">
                        <w:rPr>
                          <w:rtl/>
                        </w:rPr>
                        <w:t>פערי המיגון בעיתות חירום באתרים לפעילויות חיוניות נבחרות ומיטות האשפוז הכלליות ב-27 בתי חולים כלליים, 2024</w:t>
                      </w:r>
                    </w:p>
                  </w:txbxContent>
                </v:textbox>
              </v:shape>
            </w:pict>
          </mc:Fallback>
        </mc:AlternateContent>
      </w:r>
      <w:r w:rsidR="009961E8" w:rsidRPr="00E019DA">
        <w:rPr>
          <w:rFonts w:ascii="Tahoma" w:hAnsi="Tahoma" w:cs="Tahoma"/>
          <w:noProof/>
          <w:szCs w:val="20"/>
          <w:rtl/>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-1905</wp:posOffset>
            </wp:positionV>
            <wp:extent cx="6015355" cy="76136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5355" cy="761365"/>
                    </a:xfrm>
                    <a:prstGeom prst="rect">
                      <a:avLst/>
                    </a:prstGeom>
                  </pic:spPr>
                </pic:pic>
              </a:graphicData>
            </a:graphic>
            <wp14:sizeRelH relativeFrom="margin">
              <wp14:pctWidth>0</wp14:pctWidth>
            </wp14:sizeRelH>
            <wp14:sizeRelV relativeFrom="margin">
              <wp14:pctHeight>0</wp14:pctHeight>
            </wp14:sizeRelV>
          </wp:anchor>
        </w:drawing>
      </w:r>
    </w:p>
    <w:p w:rsidR="001D3DA9" w:rsidRPr="00E019DA" w:rsidRDefault="00DA6C44" w:rsidP="00CA346E">
      <w:pPr>
        <w:spacing w:before="840"/>
        <w:jc w:val="center"/>
        <w:rPr>
          <w:rFonts w:ascii="Tahoma" w:hAnsi="Tahoma" w:cs="Tahoma"/>
          <w:rtl/>
        </w:rPr>
      </w:pPr>
      <w:r w:rsidRPr="00E019DA">
        <w:rPr>
          <w:rFonts w:ascii="Tahoma" w:eastAsia="Calibri" w:hAnsi="Tahoma" w:cs="Tahoma"/>
          <w:noProof/>
          <w:sz w:val="18"/>
        </w:rPr>
        <w:drawing>
          <wp:inline distT="0" distB="0" distL="0" distR="0" wp14:anchorId="41735689" wp14:editId="00CB9F8A">
            <wp:extent cx="4918783" cy="3629917"/>
            <wp:effectExtent l="0" t="0" r="0" b="8890"/>
            <wp:docPr id="36" name="תמונה 36" descr="מנתוני התרשים עולה כי קיימים פערי מיגון משמעותיים באתרים בהם מתבצעות פעילויות חיוניות ובמיטות אשפוז כלליות ב-27 בתיה&quot;ח: 56% ממיטות האשפוז הכלליות (10,493 מתוך 18,637) , 61% ממכשירי הדימות (78 מתוך 129), 41% מחדרי הניתוח (168 מתוך 406), 50% מחדרי הצנתורים והאנגיוגרפיה (42 מתוך 83), 43% ממיטות הטיפול נמרץ (491 מתוך 1,147), 33% מעמדות הדיאליזה (284 מתוך 867), 28% מעמדות המלר&quot;ד (440 מתוך 1,578), ו-18% מעריסות הפגייה (124 מתוך 702) אינם מוגנים. &#10; &#10;עוד עולה כי שיעור לא מבוטל מהמתחמים בבתי החולים מוגדרים כ&quot;הכי מוגן שיש&quot;, כמו 10% מעמדות המלר&quot;ד (164 מתוך 1,578), 10% מחדרי הצנתורים והאנגיוגרפיה (8 מתוך 83), 10% ממכשירי הדימות (13 מתוך 129) ו-6% ממיטות הטיפול הנמרץ (72 מתוך 1,147). משמעות הדבר, כי הלכה למעשה בכל הנוגע לנפילת טילים בעלי משקל של מאות ק&quot;ג - כפי ששוגרו לישראל במהלך מבצע עם כלביא, חלקם לפחות אינם מוגנים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583" cy="3634197"/>
                    </a:xfrm>
                    <a:prstGeom prst="rect">
                      <a:avLst/>
                    </a:prstGeom>
                    <a:noFill/>
                  </pic:spPr>
                </pic:pic>
              </a:graphicData>
            </a:graphic>
          </wp:inline>
        </w:drawing>
      </w:r>
    </w:p>
    <w:p w:rsidR="001D3DA9" w:rsidRPr="00E019DA" w:rsidRDefault="00DA6C44" w:rsidP="001D3DA9">
      <w:pPr>
        <w:ind w:left="-1"/>
        <w:jc w:val="left"/>
        <w:rPr>
          <w:rFonts w:ascii="Tahoma" w:hAnsi="Tahoma" w:cs="Tahoma"/>
          <w:rtl/>
        </w:rPr>
      </w:pPr>
      <w:r w:rsidRPr="00E019DA">
        <w:rPr>
          <w:rFonts w:ascii="Tahoma" w:hAnsi="Tahoma" w:cs="Tahoma"/>
          <w:color w:val="0D0D0D" w:themeColor="text1" w:themeTint="F2"/>
          <w:sz w:val="16"/>
          <w:szCs w:val="16"/>
          <w:rtl/>
        </w:rPr>
        <w:t>על פי נתוני בתיה"ח, פקע"ר ומשרד הבריאות, בעיבוד משרד מבקר המדינה. </w:t>
      </w:r>
    </w:p>
    <w:p w:rsidR="00DA6C44" w:rsidRPr="00E019DA" w:rsidRDefault="00DA6C44" w:rsidP="001D3DA9">
      <w:pPr>
        <w:ind w:left="-1"/>
        <w:jc w:val="left"/>
        <w:rPr>
          <w:rFonts w:ascii="Tahoma" w:hAnsi="Tahoma" w:cs="Tahoma"/>
          <w:rtl/>
        </w:rPr>
      </w:pPr>
    </w:p>
    <w:p w:rsidR="00DA6C44" w:rsidRPr="00E019DA" w:rsidRDefault="00DA6C44" w:rsidP="001D3DA9">
      <w:pPr>
        <w:ind w:left="-1"/>
        <w:jc w:val="left"/>
        <w:rPr>
          <w:rFonts w:ascii="Tahoma" w:hAnsi="Tahoma" w:cs="Tahoma"/>
          <w:rtl/>
        </w:rPr>
      </w:pPr>
    </w:p>
    <w:p w:rsidR="00DA6C44" w:rsidRPr="00E019DA" w:rsidRDefault="00DA6C44" w:rsidP="001D3DA9">
      <w:pPr>
        <w:ind w:left="-1"/>
        <w:jc w:val="left"/>
        <w:rPr>
          <w:rFonts w:ascii="Tahoma" w:hAnsi="Tahoma" w:cs="Tahoma"/>
          <w:rtl/>
        </w:rPr>
      </w:pPr>
    </w:p>
    <w:p w:rsidR="00DA6C44" w:rsidRPr="00E019DA" w:rsidRDefault="00DA6C44" w:rsidP="001D3DA9">
      <w:pPr>
        <w:ind w:left="-1"/>
        <w:jc w:val="left"/>
        <w:rPr>
          <w:rFonts w:ascii="Tahoma" w:hAnsi="Tahoma" w:cs="Tahoma"/>
          <w:rtl/>
        </w:rPr>
      </w:pPr>
    </w:p>
    <w:p w:rsidR="00DA6C44" w:rsidRPr="00E019DA" w:rsidRDefault="00DA6C44" w:rsidP="001D3DA9">
      <w:pPr>
        <w:ind w:left="-1"/>
        <w:jc w:val="left"/>
        <w:rPr>
          <w:rFonts w:ascii="Tahoma" w:hAnsi="Tahoma" w:cs="Tahoma"/>
          <w:rtl/>
        </w:rPr>
      </w:pPr>
    </w:p>
    <w:p w:rsidR="00DA6C44" w:rsidRPr="00E019DA" w:rsidRDefault="00DA6C44" w:rsidP="001D3DA9">
      <w:pPr>
        <w:ind w:left="-1"/>
        <w:jc w:val="left"/>
        <w:rPr>
          <w:rFonts w:ascii="Tahoma" w:hAnsi="Tahoma" w:cs="Tahoma"/>
          <w:rtl/>
        </w:rPr>
      </w:pPr>
    </w:p>
    <w:p w:rsidR="00DA6C44" w:rsidRPr="00E019DA" w:rsidRDefault="00DA6C44" w:rsidP="001D3DA9">
      <w:pPr>
        <w:ind w:left="-1"/>
        <w:jc w:val="left"/>
        <w:rPr>
          <w:rFonts w:ascii="Tahoma" w:hAnsi="Tahoma" w:cs="Tahoma"/>
          <w:rtl/>
        </w:rPr>
      </w:pPr>
    </w:p>
    <w:p w:rsidR="00DA6C44" w:rsidRPr="00E019DA" w:rsidRDefault="00DA6C44" w:rsidP="001D3DA9">
      <w:pPr>
        <w:ind w:left="-1"/>
        <w:jc w:val="left"/>
        <w:rPr>
          <w:rFonts w:ascii="Tahoma" w:hAnsi="Tahoma" w:cs="Tahoma"/>
          <w:rtl/>
        </w:rPr>
      </w:pPr>
    </w:p>
    <w:p w:rsidR="00DA6C44" w:rsidRPr="00E019DA" w:rsidRDefault="00632687" w:rsidP="001D3DA9">
      <w:pPr>
        <w:ind w:left="-1"/>
        <w:jc w:val="left"/>
        <w:rPr>
          <w:rFonts w:ascii="Tahoma" w:hAnsi="Tahoma" w:cs="Tahoma"/>
          <w:rtl/>
        </w:rPr>
      </w:pPr>
      <w:r w:rsidRPr="00E019DA">
        <w:rPr>
          <w:rFonts w:ascii="Tahoma" w:hAnsi="Tahoma" w:cs="Tahoma"/>
          <w:noProof/>
          <w:szCs w:val="20"/>
          <w:rtl/>
        </w:rPr>
        <w:lastRenderedPageBreak/>
        <mc:AlternateContent>
          <mc:Choice Requires="wps">
            <w:drawing>
              <wp:anchor distT="0" distB="0" distL="114300" distR="114300" simplePos="0" relativeHeight="251666432" behindDoc="0" locked="0" layoutInCell="1" allowOverlap="1" wp14:anchorId="5ED7454B" wp14:editId="038A3713">
                <wp:simplePos x="0" y="0"/>
                <wp:positionH relativeFrom="column">
                  <wp:posOffset>328930</wp:posOffset>
                </wp:positionH>
                <wp:positionV relativeFrom="paragraph">
                  <wp:posOffset>-9221</wp:posOffset>
                </wp:positionV>
                <wp:extent cx="5457190" cy="355462"/>
                <wp:effectExtent l="0" t="0" r="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355462"/>
                        </a:xfrm>
                        <a:prstGeom prst="rect">
                          <a:avLst/>
                        </a:prstGeom>
                        <a:solidFill>
                          <a:srgbClr val="F05260"/>
                        </a:solidFill>
                        <a:ln w="9525">
                          <a:noFill/>
                          <a:miter lim="800000"/>
                          <a:headEnd/>
                          <a:tailEnd/>
                        </a:ln>
                      </wps:spPr>
                      <wps:txbx>
                        <w:txbxContent>
                          <w:p w:rsidR="00DA6C44" w:rsidRPr="005C7ABF" w:rsidRDefault="00DA6C44" w:rsidP="00CA346E">
                            <w:pPr>
                              <w:pStyle w:val="733"/>
                              <w:ind w:left="14"/>
                              <w:rPr>
                                <w:rtl/>
                              </w:rPr>
                            </w:pPr>
                            <w:r w:rsidRPr="00DA6C44">
                              <w:rPr>
                                <w:rtl/>
                              </w:rPr>
                              <w:t>הרס במבנה האשפוז בסורוקה לאחר פגיעה ישירה של טיל מאירן (19.6.25)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D7454B" id="_x0000_s1028" type="#_x0000_t202" style="position:absolute;left:0;text-align:left;margin-left:25.9pt;margin-top:-.75pt;width:429.7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" fillcolor="#f05260" stroked="f">
                <v:textbox>
                  <w:txbxContent>
                    <w:p w:rsidR="00DA6C44" w:rsidRPr="005C7ABF" w:rsidRDefault="00DA6C44" w:rsidP="00CA346E">
                      <w:pPr>
                        <w:pStyle w:val="733"/>
                        <w:ind w:left="14"/>
                        <w:rPr>
                          <w:rtl/>
                        </w:rPr>
                      </w:pPr>
                      <w:r w:rsidRPr="00DA6C44">
                        <w:rPr>
                          <w:rtl/>
                        </w:rPr>
                        <w:t>הרס במבנה האשפוז בסורוקה לאחר פגיעה ישירה של טיל מאירן (19.6.25)</w:t>
                      </w:r>
                    </w:p>
                  </w:txbxContent>
                </v:textbox>
              </v:shape>
            </w:pict>
          </mc:Fallback>
        </mc:AlternateContent>
      </w:r>
      <w:r w:rsidRPr="00E019DA">
        <w:rPr>
          <w:rFonts w:ascii="Tahoma" w:hAnsi="Tahoma" w:cs="Tahoma"/>
          <w:noProof/>
          <w:szCs w:val="20"/>
          <w:rtl/>
        </w:rPr>
        <w:drawing>
          <wp:anchor distT="0" distB="0" distL="114300" distR="114300" simplePos="0" relativeHeight="251668480" behindDoc="1" locked="0" layoutInCell="1" allowOverlap="1" wp14:anchorId="511AB13B" wp14:editId="080DF609">
            <wp:simplePos x="0" y="0"/>
            <wp:positionH relativeFrom="column">
              <wp:posOffset>194310</wp:posOffset>
            </wp:positionH>
            <wp:positionV relativeFrom="paragraph">
              <wp:posOffset>-88458</wp:posOffset>
            </wp:positionV>
            <wp:extent cx="5697220" cy="620201"/>
            <wp:effectExtent l="0" t="0" r="0" b="8890"/>
            <wp:wrapNone/>
            <wp:docPr id="1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9154" cy="622589"/>
                    </a:xfrm>
                    <a:prstGeom prst="rect">
                      <a:avLst/>
                    </a:prstGeom>
                  </pic:spPr>
                </pic:pic>
              </a:graphicData>
            </a:graphic>
            <wp14:sizeRelH relativeFrom="margin">
              <wp14:pctWidth>0</wp14:pctWidth>
            </wp14:sizeRelH>
            <wp14:sizeRelV relativeFrom="margin">
              <wp14:pctHeight>0</wp14:pctHeight>
            </wp14:sizeRelV>
          </wp:anchor>
        </w:drawing>
      </w:r>
    </w:p>
    <w:p w:rsidR="00DA6C44" w:rsidRPr="00E019DA" w:rsidRDefault="00DA6C44" w:rsidP="001D3DA9">
      <w:pPr>
        <w:bidi w:val="0"/>
        <w:spacing w:after="200" w:line="276" w:lineRule="auto"/>
        <w:rPr>
          <w:rFonts w:ascii="Tahoma" w:hAnsi="Tahoma" w:cs="Tahoma"/>
          <w:rtl/>
        </w:rPr>
      </w:pPr>
    </w:p>
    <w:p w:rsidR="00F87D2D" w:rsidRPr="00E019DA" w:rsidRDefault="0089467C" w:rsidP="000A3E17">
      <w:pPr>
        <w:bidi w:val="0"/>
        <w:spacing w:after="200" w:line="276" w:lineRule="auto"/>
        <w:ind w:right="-709"/>
        <w:jc w:val="center"/>
        <w:rPr>
          <w:rFonts w:ascii="Tahoma" w:hAnsi="Tahoma" w:cs="Tahoma"/>
          <w:rtl/>
        </w:rPr>
      </w:pPr>
      <w:r>
        <w:rPr>
          <w:noProof/>
        </w:rPr>
        <w:drawing>
          <wp:inline distT="0" distB="0" distL="0" distR="0" wp14:anchorId="0D907275" wp14:editId="7983AA2C">
            <wp:extent cx="4068160" cy="5427023"/>
            <wp:effectExtent l="0" t="0" r="8890" b="2540"/>
            <wp:docPr id="17" name="תמונה 17" descr="התמונה מתוארת ב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6409" cy="5438027"/>
                    </a:xfrm>
                    <a:prstGeom prst="rect">
                      <a:avLst/>
                    </a:prstGeom>
                    <a:noFill/>
                    <a:ln>
                      <a:noFill/>
                    </a:ln>
                  </pic:spPr>
                </pic:pic>
              </a:graphicData>
            </a:graphic>
          </wp:inline>
        </w:drawing>
      </w:r>
    </w:p>
    <w:p w:rsidR="00CA346E" w:rsidRPr="00E019DA" w:rsidRDefault="00F87D2D" w:rsidP="00CA346E">
      <w:pPr>
        <w:spacing w:line="288" w:lineRule="auto"/>
        <w:ind w:left="-1"/>
        <w:rPr>
          <w:rFonts w:ascii="Tahoma" w:eastAsia="Calibri" w:hAnsi="Tahoma" w:cs="Tahoma"/>
          <w:sz w:val="16"/>
          <w:szCs w:val="16"/>
          <w:rtl/>
        </w:rPr>
      </w:pPr>
      <w:r w:rsidRPr="00E019DA">
        <w:rPr>
          <w:rFonts w:ascii="Tahoma" w:eastAsia="Calibri" w:hAnsi="Tahoma" w:cs="Tahoma"/>
          <w:sz w:val="16"/>
          <w:szCs w:val="16"/>
          <w:rtl/>
        </w:rPr>
        <w:t>צולם על ידי משרד מבקר המדינה ב-19.6.25.</w:t>
      </w:r>
    </w:p>
    <w:p w:rsidR="00632687" w:rsidRPr="00E019DA" w:rsidRDefault="00632687" w:rsidP="00CA346E">
      <w:pPr>
        <w:spacing w:line="288" w:lineRule="auto"/>
        <w:ind w:left="-1"/>
        <w:rPr>
          <w:rFonts w:ascii="Tahoma" w:eastAsia="Calibri" w:hAnsi="Tahoma" w:cs="Tahoma"/>
          <w:sz w:val="16"/>
          <w:szCs w:val="16"/>
          <w:rtl/>
        </w:rPr>
      </w:pPr>
    </w:p>
    <w:p w:rsidR="00F87D2D" w:rsidRPr="00E019DA" w:rsidRDefault="0089467C" w:rsidP="00AD1DE1">
      <w:pPr>
        <w:bidi w:val="0"/>
        <w:spacing w:line="240" w:lineRule="auto"/>
        <w:rPr>
          <w:rFonts w:ascii="Tahoma" w:hAnsi="Tahoma" w:cs="Tahoma"/>
        </w:rPr>
      </w:pPr>
      <w:r w:rsidRPr="00E019DA">
        <w:rPr>
          <w:rFonts w:ascii="Tahoma" w:hAnsi="Tahoma" w:cs="Tahoma"/>
          <w:noProof/>
          <w:szCs w:val="20"/>
          <w:rtl/>
        </w:rPr>
        <w:lastRenderedPageBreak/>
        <w:drawing>
          <wp:anchor distT="0" distB="0" distL="114300" distR="114300" simplePos="0" relativeHeight="251670528" behindDoc="0" locked="0" layoutInCell="1" allowOverlap="1" wp14:anchorId="511AB13B" wp14:editId="080DF609">
            <wp:simplePos x="0" y="0"/>
            <wp:positionH relativeFrom="margin">
              <wp:align>left</wp:align>
            </wp:positionH>
            <wp:positionV relativeFrom="paragraph">
              <wp:posOffset>1270</wp:posOffset>
            </wp:positionV>
            <wp:extent cx="6015355" cy="761365"/>
            <wp:effectExtent l="0" t="0" r="4445" b="635"/>
            <wp:wrapNone/>
            <wp:docPr id="15"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5355" cy="761365"/>
                    </a:xfrm>
                    <a:prstGeom prst="rect">
                      <a:avLst/>
                    </a:prstGeom>
                  </pic:spPr>
                </pic:pic>
              </a:graphicData>
            </a:graphic>
            <wp14:sizeRelH relativeFrom="margin">
              <wp14:pctWidth>0</wp14:pctWidth>
            </wp14:sizeRelH>
            <wp14:sizeRelV relativeFrom="margin">
              <wp14:pctHeight>0</wp14:pctHeight>
            </wp14:sizeRelV>
          </wp:anchor>
        </w:drawing>
      </w:r>
      <w:r w:rsidR="00F87D2D" w:rsidRPr="00E019DA">
        <w:rPr>
          <w:rFonts w:ascii="Tahoma" w:hAnsi="Tahoma" w:cs="Tahoma"/>
          <w:noProof/>
          <w:szCs w:val="20"/>
          <w:rtl/>
        </w:rPr>
        <mc:AlternateContent>
          <mc:Choice Requires="wps">
            <w:drawing>
              <wp:anchor distT="0" distB="0" distL="114300" distR="114300" simplePos="0" relativeHeight="251672576" behindDoc="0" locked="0" layoutInCell="1" allowOverlap="1" wp14:anchorId="4D0777B5" wp14:editId="32884168">
                <wp:simplePos x="0" y="0"/>
                <wp:positionH relativeFrom="column">
                  <wp:posOffset>130479</wp:posOffset>
                </wp:positionH>
                <wp:positionV relativeFrom="paragraph">
                  <wp:posOffset>78740</wp:posOffset>
                </wp:positionV>
                <wp:extent cx="5783580" cy="434975"/>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34975"/>
                        </a:xfrm>
                        <a:prstGeom prst="rect">
                          <a:avLst/>
                        </a:prstGeom>
                        <a:solidFill>
                          <a:srgbClr val="F05260"/>
                        </a:solidFill>
                        <a:ln w="9525">
                          <a:noFill/>
                          <a:miter lim="800000"/>
                          <a:headEnd/>
                          <a:tailEnd/>
                        </a:ln>
                      </wps:spPr>
                      <wps:txbx>
                        <w:txbxContent>
                          <w:p w:rsidR="00F87D2D" w:rsidRPr="005C7ABF" w:rsidRDefault="00F87D2D" w:rsidP="00CA346E">
                            <w:pPr>
                              <w:pStyle w:val="733"/>
                              <w:rPr>
                                <w:rtl/>
                              </w:rPr>
                            </w:pPr>
                            <w:r w:rsidRPr="00F87D2D">
                              <w:rPr>
                                <w:rtl/>
                              </w:rPr>
                              <w:t>הצבת עמודי בטון בגובה 7 מטרים אל מול המחלקות השוכנות בקומה הראשונה בביה"ח הגריאטרי כ"ב</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4D0777B5" id="_x0000_t202" coordsize="21600,21600" o:spt="202" path="m,l,21600r21600,l21600,xe">
                <v:stroke joinstyle="miter"/>
                <v:path gradientshapeok="t" o:connecttype="rect"/>
              </v:shapetype>
              <v:shape id="_x0000_s1029" type="#_x0000_t202" style="position:absolute;left:0;text-align:left;margin-left:10.25pt;margin-top:6.2pt;width:455.4pt;height: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" fillcolor="#f05260" stroked="f">
                <v:textbox>
                  <w:txbxContent>
                    <w:p w:rsidR="00F87D2D" w:rsidRPr="005C7ABF" w:rsidRDefault="00F87D2D" w:rsidP="00CA346E">
                      <w:pPr>
                        <w:pStyle w:val="733"/>
                        <w:rPr>
                          <w:rtl/>
                        </w:rPr>
                      </w:pPr>
                      <w:r w:rsidRPr="00F87D2D">
                        <w:rPr>
                          <w:rtl/>
                        </w:rPr>
                        <w:t>הצבת עמודי בטון בגובה 7 מטרים אל מול המחלקות השוכנות בקומה הראשונה בביה"ח הגריאטרי כ"ב</w:t>
                      </w:r>
                    </w:p>
                  </w:txbxContent>
                </v:textbox>
              </v:shape>
            </w:pict>
          </mc:Fallback>
        </mc:AlternateContent>
      </w:r>
    </w:p>
    <w:p w:rsidR="00AD1DE1" w:rsidRPr="00E019DA" w:rsidRDefault="00AD1DE1" w:rsidP="00F87D2D">
      <w:pPr>
        <w:spacing w:line="288" w:lineRule="auto"/>
        <w:ind w:left="-851"/>
        <w:rPr>
          <w:rFonts w:ascii="Tahoma" w:eastAsia="Calibri" w:hAnsi="Tahoma" w:cs="Tahoma"/>
          <w:sz w:val="16"/>
          <w:szCs w:val="16"/>
          <w:rtl/>
        </w:rPr>
      </w:pPr>
    </w:p>
    <w:p w:rsidR="00AD1DE1" w:rsidRPr="00E019DA" w:rsidRDefault="00AD1DE1" w:rsidP="00F87D2D">
      <w:pPr>
        <w:spacing w:line="288" w:lineRule="auto"/>
        <w:ind w:left="-851"/>
        <w:rPr>
          <w:rFonts w:ascii="Tahoma" w:eastAsia="Calibri" w:hAnsi="Tahoma" w:cs="Tahoma"/>
          <w:sz w:val="16"/>
          <w:szCs w:val="16"/>
          <w:rtl/>
        </w:rPr>
      </w:pPr>
    </w:p>
    <w:p w:rsidR="00AD1DE1" w:rsidRPr="00E019DA" w:rsidRDefault="00AD1DE1" w:rsidP="00F87D2D">
      <w:pPr>
        <w:spacing w:line="288" w:lineRule="auto"/>
        <w:ind w:left="-851"/>
        <w:rPr>
          <w:rFonts w:ascii="Tahoma" w:eastAsia="Calibri" w:hAnsi="Tahoma" w:cs="Tahoma"/>
          <w:sz w:val="16"/>
          <w:szCs w:val="16"/>
          <w:rtl/>
        </w:rPr>
      </w:pPr>
    </w:p>
    <w:p w:rsidR="00AD1DE1" w:rsidRDefault="00AD1DE1" w:rsidP="00F87D2D">
      <w:pPr>
        <w:spacing w:line="288" w:lineRule="auto"/>
        <w:ind w:left="-851"/>
        <w:rPr>
          <w:rFonts w:ascii="Tahoma" w:eastAsia="Calibri" w:hAnsi="Tahoma" w:cs="Tahoma"/>
          <w:sz w:val="16"/>
          <w:szCs w:val="16"/>
          <w:rtl/>
        </w:rPr>
      </w:pPr>
    </w:p>
    <w:p w:rsidR="0089467C" w:rsidRPr="00E019DA" w:rsidRDefault="0089467C" w:rsidP="0089467C">
      <w:pPr>
        <w:spacing w:line="288" w:lineRule="auto"/>
        <w:ind w:left="-1"/>
        <w:rPr>
          <w:rFonts w:ascii="Tahoma" w:eastAsia="Calibri" w:hAnsi="Tahoma" w:cs="Tahoma"/>
          <w:sz w:val="16"/>
          <w:szCs w:val="16"/>
          <w:rtl/>
        </w:rPr>
      </w:pPr>
      <w:bookmarkStart w:id="17" w:name="_GoBack"/>
      <w:r>
        <w:rPr>
          <w:rFonts w:ascii="Tahoma" w:eastAsia="Calibri" w:hAnsi="Tahoma" w:cs="Tahoma"/>
          <w:noProof/>
          <w:sz w:val="16"/>
          <w:szCs w:val="16"/>
        </w:rPr>
        <w:drawing>
          <wp:inline distT="0" distB="0" distL="0" distR="0" wp14:anchorId="21FBC22F" wp14:editId="52555BC4">
            <wp:extent cx="5142136" cy="3848100"/>
            <wp:effectExtent l="0" t="0" r="1905" b="0"/>
            <wp:docPr id="21" name="תמונה 21" descr="התמונה מתוארת ב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2095" cy="3855553"/>
                    </a:xfrm>
                    <a:prstGeom prst="rect">
                      <a:avLst/>
                    </a:prstGeom>
                    <a:noFill/>
                    <a:ln>
                      <a:noFill/>
                    </a:ln>
                  </pic:spPr>
                </pic:pic>
              </a:graphicData>
            </a:graphic>
          </wp:inline>
        </w:drawing>
      </w:r>
      <w:bookmarkEnd w:id="17"/>
    </w:p>
    <w:p w:rsidR="00AD1DE1" w:rsidRPr="00E019DA" w:rsidRDefault="00AD1DE1" w:rsidP="00F87D2D">
      <w:pPr>
        <w:spacing w:line="288" w:lineRule="auto"/>
        <w:ind w:left="-851"/>
        <w:rPr>
          <w:rFonts w:ascii="Tahoma" w:eastAsia="Calibri" w:hAnsi="Tahoma" w:cs="Tahoma"/>
          <w:sz w:val="16"/>
          <w:szCs w:val="16"/>
          <w:rtl/>
        </w:rPr>
      </w:pPr>
    </w:p>
    <w:p w:rsidR="00F87D2D" w:rsidRDefault="00F87D2D" w:rsidP="00AD1DE1">
      <w:pPr>
        <w:spacing w:line="288" w:lineRule="auto"/>
        <w:ind w:left="-1"/>
        <w:rPr>
          <w:rFonts w:ascii="Tahoma" w:eastAsia="Calibri" w:hAnsi="Tahoma" w:cs="Tahoma"/>
          <w:sz w:val="16"/>
          <w:szCs w:val="16"/>
          <w:rtl/>
        </w:rPr>
      </w:pPr>
      <w:r w:rsidRPr="00E019DA">
        <w:rPr>
          <w:rFonts w:ascii="Tahoma" w:eastAsia="Calibri" w:hAnsi="Tahoma" w:cs="Tahoma"/>
          <w:sz w:val="16"/>
          <w:szCs w:val="16"/>
          <w:rtl/>
        </w:rPr>
        <w:t>צולם על ידי משרד מבקר המדינה ב-5.5.24.</w:t>
      </w:r>
    </w:p>
    <w:p w:rsidR="0089467C" w:rsidRDefault="0089467C" w:rsidP="00AD1DE1">
      <w:pPr>
        <w:spacing w:line="288" w:lineRule="auto"/>
        <w:ind w:left="-1"/>
        <w:rPr>
          <w:rFonts w:ascii="Tahoma" w:eastAsia="Calibri" w:hAnsi="Tahoma" w:cs="Tahoma"/>
          <w:sz w:val="16"/>
          <w:szCs w:val="16"/>
          <w:rtl/>
        </w:rPr>
      </w:pPr>
    </w:p>
    <w:p w:rsidR="0089467C" w:rsidRPr="00E019DA" w:rsidRDefault="0089467C" w:rsidP="00AD1DE1">
      <w:pPr>
        <w:spacing w:line="288" w:lineRule="auto"/>
        <w:ind w:left="-1"/>
        <w:rPr>
          <w:rFonts w:ascii="Tahoma" w:eastAsia="Calibri" w:hAnsi="Tahoma" w:cs="Tahoma"/>
          <w:sz w:val="16"/>
          <w:szCs w:val="16"/>
          <w:rtl/>
        </w:rPr>
      </w:pPr>
    </w:p>
    <w:p w:rsidR="001D3DA9" w:rsidRPr="00E019DA" w:rsidRDefault="009961E8" w:rsidP="00632687">
      <w:pPr>
        <w:spacing w:after="160" w:line="288" w:lineRule="auto"/>
        <w:rPr>
          <w:rFonts w:ascii="Tahoma" w:hAnsi="Tahoma" w:cs="Tahoma"/>
          <w:rtl/>
        </w:rPr>
      </w:pPr>
      <w:r w:rsidRPr="00E019DA">
        <w:rPr>
          <w:rFonts w:ascii="Tahoma" w:hAnsi="Tahoma" w:cs="Tahoma"/>
          <w:noProof/>
        </w:rPr>
        <w:drawing>
          <wp:inline distT="0" distB="0" distL="0" distR="0">
            <wp:extent cx="5689600" cy="303530"/>
            <wp:effectExtent l="0" t="0" r="6350" b="127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06621" cy="304438"/>
                    </a:xfrm>
                    <a:prstGeom prst="rect">
                      <a:avLst/>
                    </a:prstGeom>
                    <a:noFill/>
                    <a:ln>
                      <a:noFill/>
                    </a:ln>
                  </pic:spPr>
                </pic:pic>
              </a:graphicData>
            </a:graphic>
          </wp:inline>
        </w:drawing>
      </w:r>
    </w:p>
    <w:p w:rsidR="00F87D2D" w:rsidRPr="00E019DA" w:rsidRDefault="00F87D2D" w:rsidP="00F87D2D">
      <w:pPr>
        <w:pStyle w:val="739"/>
        <w:rPr>
          <w:sz w:val="19"/>
          <w:szCs w:val="19"/>
          <w:rtl/>
        </w:rPr>
      </w:pPr>
      <w:r w:rsidRPr="00E019DA">
        <w:rPr>
          <w:sz w:val="19"/>
          <w:szCs w:val="19"/>
          <w:rtl/>
        </w:rPr>
        <w:t>מערכת הבריאות משרתת בעיתות חירום הן את האוכלוסייה האזרחית והן את צה"ל. היעדר מיגון ראוי במערך האשפוז עלול להביא לפגיעה בחוסן וביכולת ההתמודדות של העורף עם עיתות החירום, אך גם לפגיעה ביכולת הלחימה בחזית. מלחמת חרבות ברזל ומבצע עם כלביא, שבמהלכם (עד יוני 2025) נורו יותר מ-37,500 טילים לעבר שטח מדינת ישראל, ובפרט לדרום</w:t>
      </w:r>
      <w:r w:rsidR="00882327" w:rsidRPr="00E019DA">
        <w:rPr>
          <w:sz w:val="19"/>
          <w:szCs w:val="19"/>
          <w:rtl/>
        </w:rPr>
        <w:t xml:space="preserve"> הארץ</w:t>
      </w:r>
      <w:r w:rsidRPr="00E019DA">
        <w:rPr>
          <w:sz w:val="19"/>
          <w:szCs w:val="19"/>
          <w:rtl/>
        </w:rPr>
        <w:t xml:space="preserve"> ולצפו</w:t>
      </w:r>
      <w:r w:rsidR="00882327" w:rsidRPr="00E019DA">
        <w:rPr>
          <w:sz w:val="19"/>
          <w:szCs w:val="19"/>
          <w:rtl/>
        </w:rPr>
        <w:t>נה</w:t>
      </w:r>
      <w:r w:rsidRPr="00E019DA">
        <w:rPr>
          <w:sz w:val="19"/>
          <w:szCs w:val="19"/>
          <w:rtl/>
        </w:rPr>
        <w:t>, הציבה אתגר חדש, בין השאר לפני מערכת הבריאות - משך מצב החירום והיקפו הגיאוגרפי.</w:t>
      </w:r>
    </w:p>
    <w:p w:rsidR="00F87D2D" w:rsidRPr="00E019DA" w:rsidRDefault="00F87D2D" w:rsidP="00F87D2D">
      <w:pPr>
        <w:pStyle w:val="739"/>
        <w:rPr>
          <w:sz w:val="19"/>
          <w:szCs w:val="19"/>
          <w:rtl/>
        </w:rPr>
      </w:pPr>
      <w:r w:rsidRPr="00E019DA">
        <w:rPr>
          <w:sz w:val="19"/>
          <w:szCs w:val="19"/>
          <w:rtl/>
        </w:rPr>
        <w:lastRenderedPageBreak/>
        <w:t>מבקר המדינה הצביע כבר כמה פעמים בעבר על חוסר במיגון בבתי החולים השונים. בדוח זה הודגמו הנזקים של פערי המיגון הקיימים, הן בבתי החולים הכלליים והן בבתי החולים ההמשכיים (גריאטריים, פסיכיאטריים ושיקומיים)</w:t>
      </w:r>
      <w:r w:rsidR="00734948" w:rsidRPr="00E019DA">
        <w:rPr>
          <w:sz w:val="19"/>
          <w:szCs w:val="19"/>
          <w:rtl/>
        </w:rPr>
        <w:t xml:space="preserve"> -</w:t>
      </w:r>
      <w:r w:rsidRPr="00E019DA">
        <w:rPr>
          <w:sz w:val="19"/>
          <w:szCs w:val="19"/>
          <w:rtl/>
        </w:rPr>
        <w:t xml:space="preserve"> בייחוד בבית </w:t>
      </w:r>
      <w:r w:rsidR="00882327" w:rsidRPr="00E019DA">
        <w:rPr>
          <w:sz w:val="19"/>
          <w:szCs w:val="19"/>
          <w:rtl/>
        </w:rPr>
        <w:t>ה</w:t>
      </w:r>
      <w:r w:rsidRPr="00E019DA">
        <w:rPr>
          <w:sz w:val="19"/>
          <w:szCs w:val="19"/>
          <w:rtl/>
        </w:rPr>
        <w:t>חולים סורוקה</w:t>
      </w:r>
      <w:r w:rsidR="00882327" w:rsidRPr="00E019DA">
        <w:rPr>
          <w:sz w:val="19"/>
          <w:szCs w:val="19"/>
          <w:rtl/>
        </w:rPr>
        <w:t>,</w:t>
      </w:r>
      <w:r w:rsidRPr="00E019DA">
        <w:rPr>
          <w:sz w:val="19"/>
          <w:szCs w:val="19"/>
          <w:rtl/>
        </w:rPr>
        <w:t xml:space="preserve"> שנפגע פגיעה ישירה במהלך מבצע עם כלביא</w:t>
      </w:r>
      <w:r w:rsidR="00734948" w:rsidRPr="00E019DA">
        <w:rPr>
          <w:sz w:val="19"/>
          <w:szCs w:val="19"/>
          <w:rtl/>
        </w:rPr>
        <w:t xml:space="preserve"> -</w:t>
      </w:r>
      <w:r w:rsidRPr="00E019DA">
        <w:rPr>
          <w:sz w:val="19"/>
          <w:szCs w:val="19"/>
          <w:rtl/>
        </w:rPr>
        <w:t xml:space="preserve"> המשפיעים על יכולתם לשמור על רציפות </w:t>
      </w:r>
      <w:r w:rsidR="00734948" w:rsidRPr="00E019DA">
        <w:rPr>
          <w:sz w:val="19"/>
          <w:szCs w:val="19"/>
          <w:rtl/>
        </w:rPr>
        <w:t>ה</w:t>
      </w:r>
      <w:r w:rsidRPr="00E019DA">
        <w:rPr>
          <w:sz w:val="19"/>
          <w:szCs w:val="19"/>
          <w:rtl/>
        </w:rPr>
        <w:t>טיפול ו</w:t>
      </w:r>
      <w:r w:rsidR="00734948" w:rsidRPr="00E019DA">
        <w:rPr>
          <w:sz w:val="19"/>
          <w:szCs w:val="19"/>
          <w:rtl/>
        </w:rPr>
        <w:t>ה</w:t>
      </w:r>
      <w:r w:rsidRPr="00E019DA">
        <w:rPr>
          <w:sz w:val="19"/>
          <w:szCs w:val="19"/>
          <w:rtl/>
        </w:rPr>
        <w:t xml:space="preserve">תפקוד לאורך זמן. </w:t>
      </w:r>
    </w:p>
    <w:p w:rsidR="00F87D2D" w:rsidRPr="00E019DA" w:rsidRDefault="00F87D2D" w:rsidP="00F87D2D">
      <w:pPr>
        <w:pStyle w:val="739"/>
        <w:rPr>
          <w:sz w:val="19"/>
          <w:szCs w:val="19"/>
          <w:rtl/>
        </w:rPr>
      </w:pPr>
      <w:r w:rsidRPr="00E019DA">
        <w:rPr>
          <w:sz w:val="19"/>
          <w:szCs w:val="19"/>
          <w:rtl/>
        </w:rPr>
        <w:t>עקב פערי המיגון, בין היתר בבתי החולים הכלליים, פעילות באתרים חיוניים מושבתת לעיתים לפרקי זמן ממושכים, ובתי החולים נאלצים לעבוד באתרים שאינם מוגנים; תפוסת בתי החולים ירדה, גם נוכח פינוי האוכלוסייה בצפון ובדרום, והם אף צמצמו שירותי רפואה אמבולטוריים - דבר הפוגע לעיתים ברצף הטיפול ומקשה את קבלתו של הטיפול הרפואי הנדרש. דחיית שירותי הרפואה ואף ויתור עליהם עלולים לגרום לפגיעה בבריאות הציבור.</w:t>
      </w:r>
    </w:p>
    <w:p w:rsidR="00F87D2D" w:rsidRPr="00E019DA" w:rsidRDefault="00F87D2D" w:rsidP="00F87D2D">
      <w:pPr>
        <w:pStyle w:val="739"/>
        <w:rPr>
          <w:sz w:val="19"/>
          <w:szCs w:val="19"/>
          <w:rtl/>
        </w:rPr>
      </w:pPr>
      <w:r w:rsidRPr="00E019DA">
        <w:rPr>
          <w:sz w:val="19"/>
          <w:szCs w:val="19"/>
          <w:rtl/>
        </w:rPr>
        <w:t>אשר לבתי החולים ההמשכיים (גריאטריים, פסיכיאטריים ושיקומיים), אשר מאושפזת בהם אוכלוסייה רגישה ופגיעה</w:t>
      </w:r>
      <w:r w:rsidR="00734948" w:rsidRPr="00E019DA">
        <w:rPr>
          <w:sz w:val="19"/>
          <w:szCs w:val="19"/>
          <w:rtl/>
        </w:rPr>
        <w:t>,</w:t>
      </w:r>
      <w:r w:rsidRPr="00E019DA">
        <w:rPr>
          <w:sz w:val="19"/>
          <w:szCs w:val="19"/>
          <w:rtl/>
        </w:rPr>
        <w:t xml:space="preserve"> ויש להם תפקיד חשוב בתמיכה בהפחתת </w:t>
      </w:r>
      <w:r w:rsidR="00734948" w:rsidRPr="00E019DA">
        <w:rPr>
          <w:sz w:val="19"/>
          <w:szCs w:val="19"/>
          <w:rtl/>
        </w:rPr>
        <w:t>ה</w:t>
      </w:r>
      <w:r w:rsidRPr="00E019DA">
        <w:rPr>
          <w:sz w:val="19"/>
          <w:szCs w:val="19"/>
          <w:rtl/>
        </w:rPr>
        <w:t xml:space="preserve">תפוסות </w:t>
      </w:r>
      <w:r w:rsidR="00734948" w:rsidRPr="00E019DA">
        <w:rPr>
          <w:sz w:val="19"/>
          <w:szCs w:val="19"/>
          <w:rtl/>
        </w:rPr>
        <w:t>ב</w:t>
      </w:r>
      <w:r w:rsidRPr="00E019DA">
        <w:rPr>
          <w:sz w:val="19"/>
          <w:szCs w:val="19"/>
          <w:rtl/>
        </w:rPr>
        <w:t xml:space="preserve">מערך האשפוז הכללי בעיתות חירום - פחות משליש מהמיטות מוגנות או שניתן להעבירן לאתר חלופי מוגן, בעוד כמחצית מהמיטות מוצבות באתרים שאינם מוגנים והשאר באתרים </w:t>
      </w:r>
      <w:r w:rsidR="00734948" w:rsidRPr="00E019DA">
        <w:rPr>
          <w:sz w:val="19"/>
          <w:szCs w:val="19"/>
          <w:rtl/>
        </w:rPr>
        <w:t xml:space="preserve">ברמת </w:t>
      </w:r>
      <w:r w:rsidRPr="00E019DA">
        <w:rPr>
          <w:sz w:val="19"/>
          <w:szCs w:val="19"/>
          <w:rtl/>
        </w:rPr>
        <w:t xml:space="preserve">"הכי מוגן שיש". כמו כן, יכולת בתי החולים הגריאטריים להפחית תפוסות על פי הנחיות פקע"ר והרשות העליונה לאשפוז </w:t>
      </w:r>
      <w:r w:rsidR="00734948" w:rsidRPr="00E019DA">
        <w:rPr>
          <w:sz w:val="19"/>
          <w:szCs w:val="19"/>
          <w:rtl/>
        </w:rPr>
        <w:t>היא</w:t>
      </w:r>
      <w:r w:rsidRPr="00E019DA">
        <w:rPr>
          <w:sz w:val="19"/>
          <w:szCs w:val="19"/>
          <w:rtl/>
        </w:rPr>
        <w:t xml:space="preserve"> מועטה, ולמרות מצב המיגון הירוד הם נשארים בתפוסה כמעט מלאה, ולפיכך חלק ניכר מהמאושפזים בהם שוהים במקומות שאינם מוגנים. עניין זה קיבל משנה תוקף במבצע עם כלביא ביוני 2025, בשל התמודדות מדינת ישראל עם טילים בליסטיים ששוגרו מאירן, המסוגלים לשאת ראשי נפץ של מאות קילוגרמים ולהביא להרס רב גם מהדף ורסיסים. </w:t>
      </w:r>
    </w:p>
    <w:p w:rsidR="00F87D2D" w:rsidRPr="00E019DA" w:rsidRDefault="00F87D2D" w:rsidP="00F87D2D">
      <w:pPr>
        <w:pStyle w:val="739"/>
        <w:rPr>
          <w:sz w:val="19"/>
          <w:szCs w:val="19"/>
          <w:rtl/>
        </w:rPr>
      </w:pPr>
      <w:r w:rsidRPr="00E019DA">
        <w:rPr>
          <w:sz w:val="19"/>
          <w:szCs w:val="19"/>
          <w:rtl/>
        </w:rPr>
        <w:t>מאז שנת 2007 קיבלה הממשלה שלוש החלטות העוסקות, בין היתר, במיגון בתי חולים בצפון ובדרום בהיקף כספי של כ-900 מיליון ש"ח. אולם הממשלה לא קיבלה החלטה על ביצוע תוכנית מתוקצבת רב-שנתית לסגירת פערי המיגון בבתי החולים הכלליים. כדי להבטיח רציפות טיפול ותפקוד לאורך זמן, ובפרט בעת מלחמה מתמשכת, ולנוכח הפגיעה בבית החולים סורוקה ביוני 2025, חשוב לסגור את פערי המיגון בבתי החולים השונים כדי להבטיח שלא נשקפת סכנה לחייהם של המטופלים והמטפלים. משרד הבריאות אמד את העלויות הנדרשות לכך בכמעט 5 מיליארד ש"ח. תקציב בסדר גודל זה מחייב הכנת תוכנית לאומית ארוכת טווח ומוצע שתהיה חלק מהחלטת ממשלה ייעודית שתתקצב אותה ותקבע את סדרי העדיפויות.</w:t>
      </w:r>
    </w:p>
    <w:p w:rsidR="001D3DA9" w:rsidRPr="00E019DA" w:rsidRDefault="00F87D2D" w:rsidP="00F87D2D">
      <w:pPr>
        <w:pStyle w:val="739"/>
        <w:rPr>
          <w:sz w:val="19"/>
          <w:szCs w:val="19"/>
          <w:rtl/>
        </w:rPr>
      </w:pPr>
      <w:r w:rsidRPr="00E019DA">
        <w:rPr>
          <w:sz w:val="19"/>
          <w:szCs w:val="19"/>
          <w:rtl/>
        </w:rPr>
        <w:t>כדי להיערך באופן המיטבי לעיתות חירום בעתיד מומלץ שמשרד הבריאות ופקע"ר ימשיכו לעדכן את תקנות המיגון שכבר החלו בעדכונן בהתאם לצרכים העולים מהשטח, וכן מומלץ שמשרד הבריאות יגבש דרכי פעולה לפיקוח על ביצוע כלל הפרויקטים בבתי החולים, וזאת כדי לוודא שהבנייה תתבצע בהתאם לחוקים ולתקנות כנדרש בתקנות המיגון. כמו כן מומלץ שבעקבות התמשכות מלחמת חרבות ברזל משרד הבריאות, פקע"ר, משרד האוצר ומגוון הגופים במערכת הבריאות המפעילים בתי חולים יקיימו הליך סדור ומשותף של הפקת לקחים בנושאים הרבים שעלו בתחום רציפות הטיפול והתפקוד עקב אי-מיגון בתי החולים</w:t>
      </w:r>
      <w:r w:rsidR="009961E8" w:rsidRPr="00E019DA">
        <w:rPr>
          <w:sz w:val="19"/>
          <w:szCs w:val="19"/>
          <w:rtl/>
        </w:rPr>
        <w:t>.</w:t>
      </w:r>
    </w:p>
    <w:p w:rsidR="001D3DA9" w:rsidRPr="00E019DA" w:rsidRDefault="001D3DA9" w:rsidP="001D3DA9">
      <w:pPr>
        <w:pStyle w:val="739"/>
        <w:rPr>
          <w:rtl/>
        </w:rPr>
      </w:pPr>
    </w:p>
    <w:p w:rsidR="001D3DA9" w:rsidRPr="00E019DA" w:rsidRDefault="001D3DA9" w:rsidP="001D3DA9">
      <w:pPr>
        <w:spacing w:before="120" w:line="288" w:lineRule="auto"/>
        <w:ind w:left="-1"/>
        <w:rPr>
          <w:rFonts w:ascii="Tahoma" w:hAnsi="Tahoma" w:cs="Tahoma"/>
          <w:sz w:val="19"/>
          <w:szCs w:val="19"/>
          <w:rtl/>
        </w:rPr>
      </w:pPr>
    </w:p>
    <w:p w:rsidR="009A6817" w:rsidRPr="00E019DA" w:rsidRDefault="009A6817" w:rsidP="001D3DA9">
      <w:pPr>
        <w:spacing w:after="160" w:line="259" w:lineRule="auto"/>
        <w:jc w:val="left"/>
        <w:rPr>
          <w:rFonts w:ascii="Tahoma" w:hAnsi="Tahoma" w:cs="Tahoma"/>
          <w:noProof/>
          <w:rtl/>
        </w:rPr>
      </w:pPr>
    </w:p>
    <w:sectPr w:rsidR="009A6817" w:rsidRPr="00E019DA" w:rsidSect="00030DCF">
      <w:headerReference w:type="first" r:id="rId28"/>
      <w:type w:val="continuous"/>
      <w:pgSz w:w="11340" w:h="14175" w:code="9"/>
      <w:pgMar w:top="2268" w:right="1276" w:bottom="1588"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35D" w:rsidRDefault="009961E8">
      <w:pPr>
        <w:spacing w:line="240" w:lineRule="auto"/>
      </w:pPr>
      <w:r>
        <w:separator/>
      </w:r>
    </w:p>
  </w:endnote>
  <w:endnote w:type="continuationSeparator" w:id="0">
    <w:p w:rsidR="005D135D" w:rsidRDefault="009961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2E2" w:rsidRDefault="009961E8">
    <w:pPr>
      <w:pStyle w:val="ab"/>
      <w:rPr>
        <w:rtl/>
      </w:rPr>
    </w:pPr>
    <w:r>
      <w:rPr>
        <w:noProof/>
      </w:rPr>
      <mc:AlternateContent>
        <mc:Choice Requires="wpg">
          <w:drawing>
            <wp:anchor distT="0" distB="0" distL="114300" distR="114300" simplePos="0" relativeHeight="251655168"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rsidR="0062451B" w:rsidRPr="0062451B" w:rsidRDefault="009961E8"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9912C8">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sidR="009912C8">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sidR="009912C8">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sidR="009912C8">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1036" style="position:absolute;left:0;text-align:left;margin-left:125.3pt;margin-top:-30.85pt;width:197.8pt;height:186.25pt;z-index:251655168"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7"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9961E8"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9912C8">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sidR="009912C8">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sidR="009912C8">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sidR="009912C8">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8"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9"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CE4" w:rsidRDefault="009961E8">
    <w:pPr>
      <w:pStyle w:val="ab"/>
    </w:pPr>
    <w:r>
      <w:rPr>
        <w:noProof/>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F56CE4" w:rsidRPr="00A222E2" w:rsidRDefault="009961E8"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50" type="#_x0000_t202" style="position:absolute;left:0;text-align:left;margin-left:0;margin-top:-87.15pt;width:233pt;height:21.5pt;z-index:251657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" filled="f" stroked="f" strokeweight=".5pt">
              <v:textbox>
                <w:txbxContent>
                  <w:p w:rsidR="00F56CE4" w:rsidRPr="00A222E2" w:rsidRDefault="009961E8"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35D" w:rsidRDefault="009961E8">
      <w:pPr>
        <w:spacing w:line="240" w:lineRule="auto"/>
      </w:pPr>
      <w:r>
        <w:separator/>
      </w:r>
    </w:p>
  </w:footnote>
  <w:footnote w:type="continuationSeparator" w:id="0">
    <w:p w:rsidR="005D135D" w:rsidRDefault="009961E8">
      <w:pPr>
        <w:spacing w:line="240" w:lineRule="auto"/>
      </w:pPr>
      <w:r>
        <w:continuationSeparator/>
      </w:r>
    </w:p>
  </w:footnote>
  <w:footnote w:id="1">
    <w:p w:rsidR="001E4270" w:rsidRPr="00E019DA" w:rsidRDefault="001E4270" w:rsidP="00327FCC">
      <w:pPr>
        <w:pStyle w:val="af"/>
        <w:ind w:left="708" w:right="142" w:hanging="708"/>
        <w:rPr>
          <w:rFonts w:ascii="Tahoma" w:hAnsi="Tahoma" w:cs="Tahoma"/>
          <w:sz w:val="16"/>
          <w:szCs w:val="16"/>
          <w:rtl/>
        </w:rPr>
      </w:pPr>
      <w:r w:rsidRPr="00E019DA">
        <w:rPr>
          <w:rStyle w:val="af1"/>
          <w:rFonts w:ascii="Tahoma" w:hAnsi="Tahoma" w:cs="Tahoma"/>
          <w:sz w:val="16"/>
          <w:szCs w:val="16"/>
        </w:rPr>
        <w:footnoteRef/>
      </w:r>
      <w:r w:rsidRPr="00E019DA">
        <w:rPr>
          <w:rFonts w:ascii="Tahoma" w:hAnsi="Tahoma" w:cs="Tahoma"/>
          <w:sz w:val="16"/>
          <w:szCs w:val="16"/>
          <w:rtl/>
        </w:rPr>
        <w:t xml:space="preserve"> </w:t>
      </w:r>
      <w:r w:rsidRPr="00E019DA">
        <w:rPr>
          <w:rFonts w:ascii="Tahoma" w:hAnsi="Tahoma" w:cs="Tahoma"/>
          <w:sz w:val="16"/>
          <w:szCs w:val="16"/>
          <w:rtl/>
        </w:rPr>
        <w:tab/>
        <w:t>אזורים אלו אינם נחשבים למרחב מוגן תקני כיוון שלא נבנו בהתאם לתקנות הג"א המגדירות מהו מרחב מוגן תקני בבתי חולים.</w:t>
      </w:r>
    </w:p>
  </w:footnote>
  <w:footnote w:id="2">
    <w:p w:rsidR="001E4270" w:rsidRPr="00E019DA" w:rsidRDefault="001E4270" w:rsidP="00327FCC">
      <w:pPr>
        <w:pStyle w:val="af"/>
        <w:ind w:left="708" w:hanging="708"/>
        <w:rPr>
          <w:rFonts w:ascii="Tahoma" w:hAnsi="Tahoma" w:cs="Tahoma"/>
        </w:rPr>
      </w:pPr>
      <w:r w:rsidRPr="00E019DA">
        <w:rPr>
          <w:rStyle w:val="af1"/>
          <w:rFonts w:ascii="Tahoma" w:hAnsi="Tahoma" w:cs="Tahoma"/>
        </w:rPr>
        <w:footnoteRef/>
      </w:r>
      <w:r w:rsidRPr="00E019DA">
        <w:rPr>
          <w:rFonts w:ascii="Tahoma" w:hAnsi="Tahoma" w:cs="Tahoma"/>
          <w:sz w:val="16"/>
          <w:szCs w:val="16"/>
          <w:rtl/>
        </w:rPr>
        <w:t xml:space="preserve"> </w:t>
      </w:r>
      <w:r w:rsidRPr="00E019DA">
        <w:rPr>
          <w:rFonts w:ascii="Tahoma" w:hAnsi="Tahoma" w:cs="Tahoma"/>
          <w:sz w:val="16"/>
          <w:szCs w:val="16"/>
          <w:rtl/>
        </w:rPr>
        <w:tab/>
      </w:r>
      <w:r w:rsidRPr="00E019DA">
        <w:rPr>
          <w:rFonts w:ascii="Tahoma" w:hAnsi="Tahoma" w:cs="Tahoma"/>
          <w:sz w:val="16"/>
          <w:szCs w:val="16"/>
          <w:rtl/>
        </w:rPr>
        <w:t>נוסף על כך יש ארבעה בתי חולים כלליים, שלושה מהם במזרח ירושלים, שאינם גופים מבוקרים כמשמעותם בחוק מבקר המדינה, התשי"ח-1958 [נוסח משולב].</w:t>
      </w:r>
    </w:p>
  </w:footnote>
  <w:footnote w:id="3">
    <w:p w:rsidR="001E4270" w:rsidRPr="00E019DA" w:rsidRDefault="001E4270" w:rsidP="001E4270">
      <w:pPr>
        <w:pStyle w:val="af"/>
        <w:ind w:left="708" w:right="-709" w:hanging="708"/>
        <w:rPr>
          <w:rFonts w:ascii="Tahoma" w:hAnsi="Tahoma" w:cs="Tahoma"/>
        </w:rPr>
      </w:pPr>
      <w:r w:rsidRPr="00E019DA">
        <w:rPr>
          <w:rStyle w:val="af1"/>
          <w:rFonts w:ascii="Tahoma" w:hAnsi="Tahoma" w:cs="Tahoma"/>
        </w:rPr>
        <w:footnoteRef/>
      </w:r>
      <w:r w:rsidRPr="00E019DA">
        <w:rPr>
          <w:rFonts w:ascii="Tahoma" w:hAnsi="Tahoma" w:cs="Tahoma"/>
          <w:rtl/>
        </w:rPr>
        <w:t xml:space="preserve"> </w:t>
      </w:r>
      <w:r w:rsidRPr="00E019DA">
        <w:rPr>
          <w:rFonts w:ascii="Tahoma" w:hAnsi="Tahoma" w:cs="Tahoma"/>
          <w:rtl/>
        </w:rPr>
        <w:tab/>
      </w:r>
      <w:r w:rsidRPr="00E019DA">
        <w:rPr>
          <w:rFonts w:ascii="Tahoma" w:hAnsi="Tahoma" w:cs="Tahoma"/>
          <w:sz w:val="16"/>
          <w:szCs w:val="16"/>
          <w:rtl/>
        </w:rPr>
        <w:t>כולל כ-1,000 מיטות אשפוז נוספות הפועלות רק בעת חירום במתחמים תת-קרקעיים לאשפוז בחירום ברמב"ם.</w:t>
      </w:r>
    </w:p>
  </w:footnote>
  <w:footnote w:id="4">
    <w:p w:rsidR="001E4270" w:rsidRPr="00E019DA" w:rsidRDefault="001E4270" w:rsidP="001E4270">
      <w:pPr>
        <w:pStyle w:val="af"/>
        <w:ind w:right="-709"/>
        <w:rPr>
          <w:rFonts w:ascii="Tahoma" w:hAnsi="Tahoma" w:cs="Tahoma"/>
        </w:rPr>
      </w:pPr>
      <w:r w:rsidRPr="00E019DA">
        <w:rPr>
          <w:rStyle w:val="af1"/>
          <w:rFonts w:ascii="Tahoma" w:hAnsi="Tahoma" w:cs="Tahoma"/>
        </w:rPr>
        <w:footnoteRef/>
      </w:r>
      <w:r w:rsidRPr="00E019DA">
        <w:rPr>
          <w:rFonts w:ascii="Tahoma" w:hAnsi="Tahoma" w:cs="Tahoma"/>
          <w:rtl/>
        </w:rPr>
        <w:t xml:space="preserve"> </w:t>
      </w:r>
      <w:r w:rsidRPr="00E019DA">
        <w:rPr>
          <w:rFonts w:ascii="Tahoma" w:hAnsi="Tahoma" w:cs="Tahoma"/>
          <w:rtl/>
        </w:rPr>
        <w:tab/>
      </w:r>
      <w:r w:rsidRPr="00E019DA">
        <w:rPr>
          <w:rFonts w:ascii="Tahoma" w:hAnsi="Tahoma" w:cs="Tahoma"/>
          <w:sz w:val="16"/>
          <w:szCs w:val="16"/>
          <w:rtl/>
        </w:rPr>
        <w:t>דימות כלי דם.</w:t>
      </w:r>
    </w:p>
  </w:footnote>
  <w:footnote w:id="5">
    <w:p w:rsidR="00BD5B24" w:rsidRPr="00E019DA" w:rsidRDefault="00BD5B24" w:rsidP="00BD5B24">
      <w:pPr>
        <w:pStyle w:val="af"/>
        <w:ind w:right="-709"/>
        <w:rPr>
          <w:rFonts w:ascii="Tahoma" w:hAnsi="Tahoma" w:cs="Tahoma"/>
          <w:sz w:val="16"/>
          <w:szCs w:val="16"/>
        </w:rPr>
      </w:pPr>
      <w:r w:rsidRPr="00E019DA">
        <w:rPr>
          <w:rStyle w:val="af1"/>
          <w:rFonts w:ascii="Tahoma" w:hAnsi="Tahoma" w:cs="Tahoma"/>
          <w:sz w:val="16"/>
          <w:szCs w:val="16"/>
        </w:rPr>
        <w:footnoteRef/>
      </w:r>
      <w:r w:rsidRPr="00E019DA">
        <w:rPr>
          <w:rFonts w:ascii="Tahoma" w:hAnsi="Tahoma" w:cs="Tahoma"/>
          <w:sz w:val="16"/>
          <w:szCs w:val="16"/>
          <w:rtl/>
        </w:rPr>
        <w:t xml:space="preserve"> </w:t>
      </w:r>
      <w:r w:rsidRPr="00E019DA">
        <w:rPr>
          <w:rFonts w:ascii="Tahoma" w:hAnsi="Tahoma" w:cs="Tahoma"/>
          <w:sz w:val="16"/>
          <w:szCs w:val="16"/>
          <w:rtl/>
        </w:rPr>
        <w:tab/>
      </w:r>
      <w:r w:rsidRPr="00E019DA">
        <w:rPr>
          <w:rFonts w:ascii="Tahoma" w:eastAsia="Calibri" w:hAnsi="Tahoma" w:cs="Tahoma"/>
          <w:sz w:val="16"/>
          <w:szCs w:val="16"/>
          <w:rtl/>
        </w:rPr>
        <w:t>שירותים הניתנים בשירות חוץ-אשפוזי, בעיקר במרפאות החוץ של בתי החולים</w:t>
      </w:r>
      <w:r w:rsidRPr="00E019DA">
        <w:rPr>
          <w:rFonts w:ascii="Tahoma" w:hAnsi="Tahoma" w:cs="Tahoma"/>
          <w:sz w:val="16"/>
          <w:szCs w:val="16"/>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Pr="0062451B" w:rsidRDefault="009961E8" w:rsidP="00DA67CB">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6192"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62451B" w:rsidRPr="0062451B" w:rsidRDefault="009961E8">
                            <w:pPr>
                              <w:rPr>
                                <w:rFonts w:ascii="Calibri" w:hAnsi="Calibri" w:cs="Calibri"/>
                                <w:color w:val="002060"/>
                                <w:sz w:val="22"/>
                                <w:szCs w:val="22"/>
                                <w:rtl/>
                              </w:rPr>
                            </w:pPr>
                            <w:r w:rsidRPr="0062451B">
                              <w:rPr>
                                <w:rFonts w:ascii="Calibri" w:hAnsi="Calibri" w:cs="Calibri"/>
                                <w:color w:val="002060"/>
                                <w:sz w:val="22"/>
                                <w:szCs w:val="22"/>
                                <w:rtl/>
                              </w:rPr>
                              <w:t>מבקר המדינה</w:t>
                            </w:r>
                            <w:r w:rsidR="00001576">
                              <w:rPr>
                                <w:rFonts w:ascii="Calibri" w:hAnsi="Calibri" w:cs="Calibri" w:hint="cs"/>
                                <w:color w:val="002060"/>
                                <w:sz w:val="22"/>
                                <w:szCs w:val="22"/>
                                <w:rtl/>
                              </w:rPr>
                              <w:t xml:space="preserve"> | דוח מיוחד</w:t>
                            </w:r>
                            <w:r w:rsidR="00A222E2">
                              <w:rPr>
                                <w:rFonts w:ascii="Calibri" w:hAnsi="Calibri" w:cs="Calibri" w:hint="cs"/>
                                <w:color w:val="002060"/>
                                <w:sz w:val="22"/>
                                <w:szCs w:val="22"/>
                                <w:rtl/>
                              </w:rPr>
                              <w:t xml:space="preserve">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62451B" w:rsidRPr="0062451B" w:rsidRDefault="009961E8" w:rsidP="00276705">
                            <w:pPr>
                              <w:spacing w:line="240" w:lineRule="auto"/>
                              <w:jc w:val="right"/>
                              <w:rPr>
                                <w:rFonts w:ascii="Calibri" w:hAnsi="Calibri" w:cs="Calibri"/>
                                <w:color w:val="002060"/>
                                <w:szCs w:val="20"/>
                                <w:rtl/>
                              </w:rPr>
                            </w:pPr>
                            <w:r>
                              <w:rPr>
                                <w:rFonts w:ascii="Calibri" w:hAnsi="Calibri" w:cs="Calibri" w:hint="cs"/>
                                <w:color w:val="002060"/>
                                <w:szCs w:val="20"/>
                                <w:rtl/>
                              </w:rPr>
                              <w:t>אלול</w:t>
                            </w:r>
                            <w:r w:rsidR="00B4321D">
                              <w:rPr>
                                <w:rFonts w:ascii="Calibri" w:hAnsi="Calibri" w:cs="Calibri" w:hint="cs"/>
                                <w:color w:val="002060"/>
                                <w:szCs w:val="20"/>
                                <w:rtl/>
                              </w:rPr>
                              <w:t xml:space="preserve"> התשפ"ה</w:t>
                            </w:r>
                            <w:r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 xml:space="preserve">ספטמבר </w:t>
                            </w:r>
                            <w:r w:rsidR="0039415D">
                              <w:rPr>
                                <w:rFonts w:ascii="Calibri" w:hAnsi="Calibri" w:cs="Calibri" w:hint="cs"/>
                                <w:color w:val="002060"/>
                                <w:szCs w:val="20"/>
                                <w:rtl/>
                              </w:rPr>
                              <w:t xml:space="preserve">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E204F" w:rsidRPr="001E204F" w:rsidRDefault="009961E8"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30" style="position:absolute;margin-left:-15.2pt;margin-top:-7.45pt;width:484.3pt;height:47.6pt;z-index:25165619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31"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32"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62451B" w:rsidRPr="0062451B" w:rsidRDefault="009961E8">
                      <w:pPr>
                        <w:rPr>
                          <w:rFonts w:ascii="Calibri" w:hAnsi="Calibri" w:cs="Calibri"/>
                          <w:color w:val="002060"/>
                          <w:sz w:val="22"/>
                          <w:szCs w:val="22"/>
                          <w:rtl/>
                        </w:rPr>
                      </w:pPr>
                      <w:r w:rsidRPr="0062451B">
                        <w:rPr>
                          <w:rFonts w:ascii="Calibri" w:hAnsi="Calibri" w:cs="Calibri"/>
                          <w:color w:val="002060"/>
                          <w:sz w:val="22"/>
                          <w:szCs w:val="22"/>
                          <w:rtl/>
                        </w:rPr>
                        <w:t>מבקר המדינה</w:t>
                      </w:r>
                      <w:r w:rsidR="00001576">
                        <w:rPr>
                          <w:rFonts w:ascii="Calibri" w:hAnsi="Calibri" w:cs="Calibri" w:hint="cs"/>
                          <w:color w:val="002060"/>
                          <w:sz w:val="22"/>
                          <w:szCs w:val="22"/>
                          <w:rtl/>
                        </w:rPr>
                        <w:t xml:space="preserve"> | דוח מיוחד</w:t>
                      </w:r>
                      <w:r w:rsidR="00A222E2">
                        <w:rPr>
                          <w:rFonts w:ascii="Calibri" w:hAnsi="Calibri" w:cs="Calibri" w:hint="cs"/>
                          <w:color w:val="002060"/>
                          <w:sz w:val="22"/>
                          <w:szCs w:val="22"/>
                          <w:rtl/>
                        </w:rPr>
                        <w:t xml:space="preserve"> </w:t>
                      </w:r>
                    </w:p>
                  </w:txbxContent>
                </v:textbox>
              </v:shape>
              <v:shape id="תיבת טקסט 2" o:spid="_x0000_s1033"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62451B" w:rsidRPr="0062451B" w:rsidRDefault="009961E8" w:rsidP="00276705">
                      <w:pPr>
                        <w:spacing w:line="240" w:lineRule="auto"/>
                        <w:jc w:val="right"/>
                        <w:rPr>
                          <w:rFonts w:ascii="Calibri" w:hAnsi="Calibri" w:cs="Calibri"/>
                          <w:color w:val="002060"/>
                          <w:szCs w:val="20"/>
                          <w:rtl/>
                        </w:rPr>
                      </w:pPr>
                      <w:r>
                        <w:rPr>
                          <w:rFonts w:ascii="Calibri" w:hAnsi="Calibri" w:cs="Calibri" w:hint="cs"/>
                          <w:color w:val="002060"/>
                          <w:szCs w:val="20"/>
                          <w:rtl/>
                        </w:rPr>
                        <w:t>אלול</w:t>
                      </w:r>
                      <w:r w:rsidR="00B4321D">
                        <w:rPr>
                          <w:rFonts w:ascii="Calibri" w:hAnsi="Calibri" w:cs="Calibri" w:hint="cs"/>
                          <w:color w:val="002060"/>
                          <w:szCs w:val="20"/>
                          <w:rtl/>
                        </w:rPr>
                        <w:t xml:space="preserve"> התשפ"ה</w:t>
                      </w:r>
                      <w:r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 xml:space="preserve">ספטמבר </w:t>
                      </w:r>
                      <w:r w:rsidR="0039415D">
                        <w:rPr>
                          <w:rFonts w:ascii="Calibri" w:hAnsi="Calibri" w:cs="Calibri" w:hint="cs"/>
                          <w:color w:val="002060"/>
                          <w:szCs w:val="20"/>
                          <w:rtl/>
                        </w:rPr>
                        <w:t xml:space="preserve"> 2025</w:t>
                      </w:r>
                      <w:r w:rsidRPr="0062451B">
                        <w:rPr>
                          <w:rFonts w:ascii="Calibri" w:hAnsi="Calibri" w:cs="Calibri" w:hint="cs"/>
                          <w:color w:val="002060"/>
                          <w:szCs w:val="20"/>
                          <w:rtl/>
                        </w:rPr>
                        <w:t xml:space="preserve"> </w:t>
                      </w:r>
                    </w:p>
                  </w:txbxContent>
                </v:textbox>
              </v:shape>
              <v:shape id="תיבת טקסט 2" o:spid="_x0000_s1034"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1E204F" w:rsidRPr="001E204F" w:rsidRDefault="009961E8"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0062451B" w:rsidRPr="0062451B">
      <w:rPr>
        <w:rFonts w:asciiTheme="minorHAnsi" w:hAnsiTheme="minorHAnsi" w:cstheme="minorHAnsi"/>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Default="0019747C" w:rsidP="005E62A6">
    <w:pPr>
      <w:pStyle w:val="a9"/>
      <w:tabs>
        <w:tab w:val="clear" w:pos="8306"/>
      </w:tabs>
    </w:pPr>
    <w:r>
      <w:rPr>
        <w:noProof/>
      </w:rPr>
      <w:drawing>
        <wp:anchor distT="0" distB="0" distL="114300" distR="114300" simplePos="0" relativeHeight="251663360" behindDoc="0" locked="0" layoutInCell="1" allowOverlap="1" wp14:anchorId="32491AD6" wp14:editId="399756B0">
          <wp:simplePos x="0" y="0"/>
          <wp:positionH relativeFrom="margin">
            <wp:align>center</wp:align>
          </wp:positionH>
          <wp:positionV relativeFrom="paragraph">
            <wp:posOffset>984885</wp:posOffset>
          </wp:positionV>
          <wp:extent cx="871220" cy="570865"/>
          <wp:effectExtent l="0" t="0" r="5080" b="635"/>
          <wp:wrapNone/>
          <wp:docPr id="2" name="גרפיק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4144"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592A9D" id="קבוצה 53" o:spid="_x0000_s1026" style="position:absolute;left:0;text-align:left;margin-left:153.3pt;margin-top:-36.45pt;width:133.5pt;height:237pt;z-index:251654144"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sidR="009961E8">
      <w:rPr>
        <w:noProof/>
      </w:rPr>
      <mc:AlternateContent>
        <mc:Choice Requires="wps">
          <w:drawing>
            <wp:anchor distT="0" distB="0" distL="114300" distR="114300" simplePos="0" relativeHeight="251658240"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rsidR="006A646E" w:rsidRPr="0019747C" w:rsidRDefault="009961E8" w:rsidP="006A646E">
                          <w:pPr>
                            <w:jc w:val="center"/>
                            <w:rPr>
                              <w:rFonts w:ascii="Calibri" w:hAnsi="Calibri" w:cs="Calibri"/>
                              <w:color w:val="002060"/>
                              <w:spacing w:val="80"/>
                              <w:sz w:val="28"/>
                              <w:szCs w:val="36"/>
                            </w:rPr>
                          </w:pPr>
                          <w:r w:rsidRPr="0019747C">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5" type="#_x0000_t202" style="position:absolute;left:0;text-align:left;margin-left:102.75pt;margin-top:164.6pt;width:233pt;height:3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6A646E" w:rsidRPr="0019747C" w:rsidRDefault="009961E8" w:rsidP="006A646E">
                    <w:pPr>
                      <w:jc w:val="center"/>
                      <w:rPr>
                        <w:rFonts w:ascii="Calibri" w:hAnsi="Calibri" w:cs="Calibri"/>
                        <w:color w:val="002060"/>
                        <w:spacing w:val="80"/>
                        <w:sz w:val="28"/>
                        <w:szCs w:val="36"/>
                      </w:rPr>
                    </w:pPr>
                    <w:r w:rsidRPr="0019747C">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49" w:rsidRPr="005C3049" w:rsidRDefault="009961E8" w:rsidP="005C3049">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5C3049" w:rsidRPr="0062451B" w:rsidRDefault="009961E8"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5C3049" w:rsidRPr="0062451B" w:rsidRDefault="009961E8"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5C3049" w:rsidRPr="001E204F" w:rsidRDefault="005C3049"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40" style="position:absolute;margin-left:-15.2pt;margin-top:-7.45pt;width:484.3pt;height:47.6pt;z-index:251660288;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BS&#10;O7OlnwMAAH4MAAAOAAAAAAAAAAAAAAAAAC4CAABkcnMvZTJvRG9jLnhtbFBLAQItABQABgAIAAAA&#10;IQBvXoIP4QAAAAoBAAAPAAAAAAAAAAAAAAAAAPkFAABkcnMvZG93bnJldi54bWxQSwUGAAAAAAQA&#10;BADzAAAABwcAAAAA&#10;">
              <v:line id="מחבר ישר 1834351669" o:spid="_x0000_s1041"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42"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5C3049" w:rsidRPr="0062451B" w:rsidRDefault="009961E8"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3"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5C3049" w:rsidRPr="0062451B" w:rsidRDefault="009961E8"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4"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5C3049" w:rsidRPr="001E204F" w:rsidRDefault="005C3049"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8C7" w:rsidRPr="0062451B" w:rsidRDefault="009961E8" w:rsidP="00DA67CB">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9264" behindDoc="0" locked="0" layoutInCell="1" allowOverlap="1">
              <wp:simplePos x="0" y="0"/>
              <wp:positionH relativeFrom="column">
                <wp:posOffset>-193040</wp:posOffset>
              </wp:positionH>
              <wp:positionV relativeFrom="paragraph">
                <wp:posOffset>-94615</wp:posOffset>
              </wp:positionV>
              <wp:extent cx="6150310" cy="604586"/>
              <wp:effectExtent l="0" t="0" r="0" b="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E678C7" w:rsidRPr="0062451B" w:rsidRDefault="009961E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E678C7" w:rsidRPr="0062451B" w:rsidRDefault="009912C8" w:rsidP="00276705">
                            <w:pPr>
                              <w:spacing w:line="240" w:lineRule="auto"/>
                              <w:jc w:val="right"/>
                              <w:rPr>
                                <w:rFonts w:ascii="Calibri" w:hAnsi="Calibri" w:cs="Calibri"/>
                                <w:color w:val="002060"/>
                                <w:szCs w:val="20"/>
                                <w:rtl/>
                              </w:rPr>
                            </w:pPr>
                            <w:r>
                              <w:rPr>
                                <w:rFonts w:ascii="Calibri" w:hAnsi="Calibri" w:cs="Calibri" w:hint="cs"/>
                                <w:color w:val="002060"/>
                                <w:szCs w:val="20"/>
                                <w:rtl/>
                              </w:rPr>
                              <w:t>טבת</w:t>
                            </w:r>
                            <w:r w:rsidR="0019747C">
                              <w:rPr>
                                <w:rFonts w:ascii="Calibri" w:hAnsi="Calibri" w:cs="Calibri" w:hint="cs"/>
                                <w:color w:val="002060"/>
                                <w:szCs w:val="20"/>
                                <w:rtl/>
                              </w:rPr>
                              <w:t xml:space="preserve"> </w:t>
                            </w:r>
                            <w:r w:rsidR="009961E8">
                              <w:rPr>
                                <w:rFonts w:ascii="Calibri" w:hAnsi="Calibri" w:cs="Calibri" w:hint="cs"/>
                                <w:color w:val="002060"/>
                                <w:szCs w:val="20"/>
                                <w:rtl/>
                              </w:rPr>
                              <w:t xml:space="preserve"> התשפ"</w:t>
                            </w:r>
                            <w:r w:rsidR="0019747C">
                              <w:rPr>
                                <w:rFonts w:ascii="Calibri" w:hAnsi="Calibri" w:cs="Calibri" w:hint="cs"/>
                                <w:color w:val="002060"/>
                                <w:szCs w:val="20"/>
                                <w:rtl/>
                              </w:rPr>
                              <w:t>ו</w:t>
                            </w:r>
                            <w:r w:rsidR="009961E8" w:rsidRPr="0062451B">
                              <w:rPr>
                                <w:rFonts w:ascii="Calibri" w:hAnsi="Calibri" w:cs="Calibri" w:hint="cs"/>
                                <w:color w:val="002060"/>
                                <w:szCs w:val="20"/>
                                <w:rtl/>
                              </w:rPr>
                              <w:t xml:space="preserve"> </w:t>
                            </w:r>
                            <w:r w:rsidR="009961E8" w:rsidRPr="0062451B">
                              <w:rPr>
                                <w:rFonts w:asciiTheme="minorHAnsi" w:hAnsiTheme="minorHAnsi" w:cstheme="minorHAnsi"/>
                                <w:color w:val="002060"/>
                                <w:spacing w:val="20"/>
                                <w:sz w:val="22"/>
                                <w:szCs w:val="22"/>
                              </w:rPr>
                              <w:t xml:space="preserve"> </w:t>
                            </w:r>
                            <w:r w:rsidR="009961E8"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w:t>
                            </w:r>
                            <w:r w:rsidR="009961E8">
                              <w:rPr>
                                <w:rFonts w:ascii="Calibri" w:hAnsi="Calibri" w:cs="Calibri" w:hint="cs"/>
                                <w:color w:val="002060"/>
                                <w:szCs w:val="20"/>
                                <w:rtl/>
                              </w:rPr>
                              <w:t xml:space="preserve"> </w:t>
                            </w:r>
                            <w:r>
                              <w:rPr>
                                <w:rFonts w:ascii="Calibri" w:hAnsi="Calibri" w:cs="Calibri" w:hint="cs"/>
                                <w:color w:val="002060"/>
                                <w:szCs w:val="20"/>
                                <w:rtl/>
                              </w:rPr>
                              <w:t>2026</w:t>
                            </w:r>
                          </w:p>
                        </w:txbxContent>
                      </wps:txbx>
                      <wps:bodyPr rot="0" vert="horz" wrap="square" lIns="91440" tIns="45720" rIns="91440" bIns="45720" anchor="t" anchorCtr="0"/>
                    </wps:wsp>
                    <wps:wsp>
                      <wps:cNvPr id="41"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E678C7" w:rsidRPr="001E204F" w:rsidRDefault="00771278" w:rsidP="00B4321D">
                            <w:pPr>
                              <w:rPr>
                                <w:rFonts w:ascii="Calibri" w:hAnsi="Calibri" w:cs="Calibri"/>
                                <w:color w:val="002060"/>
                                <w:szCs w:val="20"/>
                                <w:rtl/>
                              </w:rPr>
                            </w:pPr>
                            <w:r>
                              <w:rPr>
                                <w:rFonts w:ascii="Calibri" w:hAnsi="Calibri" w:cs="Calibri" w:hint="cs"/>
                                <w:color w:val="002060"/>
                                <w:szCs w:val="20"/>
                                <w:rtl/>
                              </w:rPr>
                              <w:t>מיגון בתי חולים</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45" style="position:absolute;margin-left:-15.2pt;margin-top:-7.45pt;width:484.3pt;height:47.6pt;z-index:25165926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">
              <v:line id="מחבר ישר 38" o:spid="_x0000_s1046"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47"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E678C7" w:rsidRPr="0062451B" w:rsidRDefault="009961E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8"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E678C7" w:rsidRPr="0062451B" w:rsidRDefault="009912C8" w:rsidP="00276705">
                      <w:pPr>
                        <w:spacing w:line="240" w:lineRule="auto"/>
                        <w:jc w:val="right"/>
                        <w:rPr>
                          <w:rFonts w:ascii="Calibri" w:hAnsi="Calibri" w:cs="Calibri"/>
                          <w:color w:val="002060"/>
                          <w:szCs w:val="20"/>
                          <w:rtl/>
                        </w:rPr>
                      </w:pPr>
                      <w:r>
                        <w:rPr>
                          <w:rFonts w:ascii="Calibri" w:hAnsi="Calibri" w:cs="Calibri" w:hint="cs"/>
                          <w:color w:val="002060"/>
                          <w:szCs w:val="20"/>
                          <w:rtl/>
                        </w:rPr>
                        <w:t>טבת</w:t>
                      </w:r>
                      <w:r w:rsidR="0019747C">
                        <w:rPr>
                          <w:rFonts w:ascii="Calibri" w:hAnsi="Calibri" w:cs="Calibri" w:hint="cs"/>
                          <w:color w:val="002060"/>
                          <w:szCs w:val="20"/>
                          <w:rtl/>
                        </w:rPr>
                        <w:t xml:space="preserve"> </w:t>
                      </w:r>
                      <w:r w:rsidR="009961E8">
                        <w:rPr>
                          <w:rFonts w:ascii="Calibri" w:hAnsi="Calibri" w:cs="Calibri" w:hint="cs"/>
                          <w:color w:val="002060"/>
                          <w:szCs w:val="20"/>
                          <w:rtl/>
                        </w:rPr>
                        <w:t xml:space="preserve"> התשפ"</w:t>
                      </w:r>
                      <w:r w:rsidR="0019747C">
                        <w:rPr>
                          <w:rFonts w:ascii="Calibri" w:hAnsi="Calibri" w:cs="Calibri" w:hint="cs"/>
                          <w:color w:val="002060"/>
                          <w:szCs w:val="20"/>
                          <w:rtl/>
                        </w:rPr>
                        <w:t>ו</w:t>
                      </w:r>
                      <w:r w:rsidR="009961E8" w:rsidRPr="0062451B">
                        <w:rPr>
                          <w:rFonts w:ascii="Calibri" w:hAnsi="Calibri" w:cs="Calibri" w:hint="cs"/>
                          <w:color w:val="002060"/>
                          <w:szCs w:val="20"/>
                          <w:rtl/>
                        </w:rPr>
                        <w:t xml:space="preserve"> </w:t>
                      </w:r>
                      <w:r w:rsidR="009961E8" w:rsidRPr="0062451B">
                        <w:rPr>
                          <w:rFonts w:asciiTheme="minorHAnsi" w:hAnsiTheme="minorHAnsi" w:cstheme="minorHAnsi"/>
                          <w:color w:val="002060"/>
                          <w:spacing w:val="20"/>
                          <w:sz w:val="22"/>
                          <w:szCs w:val="22"/>
                        </w:rPr>
                        <w:t xml:space="preserve"> </w:t>
                      </w:r>
                      <w:r w:rsidR="009961E8"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w:t>
                      </w:r>
                      <w:r w:rsidR="009961E8">
                        <w:rPr>
                          <w:rFonts w:ascii="Calibri" w:hAnsi="Calibri" w:cs="Calibri" w:hint="cs"/>
                          <w:color w:val="002060"/>
                          <w:szCs w:val="20"/>
                          <w:rtl/>
                        </w:rPr>
                        <w:t xml:space="preserve"> </w:t>
                      </w:r>
                      <w:r>
                        <w:rPr>
                          <w:rFonts w:ascii="Calibri" w:hAnsi="Calibri" w:cs="Calibri" w:hint="cs"/>
                          <w:color w:val="002060"/>
                          <w:szCs w:val="20"/>
                          <w:rtl/>
                        </w:rPr>
                        <w:t>2026</w:t>
                      </w:r>
                    </w:p>
                  </w:txbxContent>
                </v:textbox>
              </v:shape>
              <v:shape id="תיבת טקסט 2" o:spid="_x0000_s1049"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E678C7" w:rsidRPr="001E204F" w:rsidRDefault="00771278" w:rsidP="00B4321D">
                      <w:pPr>
                        <w:rPr>
                          <w:rFonts w:ascii="Calibri" w:hAnsi="Calibri" w:cs="Calibri"/>
                          <w:color w:val="002060"/>
                          <w:szCs w:val="20"/>
                          <w:rtl/>
                        </w:rPr>
                      </w:pPr>
                      <w:r>
                        <w:rPr>
                          <w:rFonts w:ascii="Calibri" w:hAnsi="Calibri" w:cs="Calibri" w:hint="cs"/>
                          <w:color w:val="002060"/>
                          <w:szCs w:val="20"/>
                          <w:rtl/>
                        </w:rPr>
                        <w:t>מיגון בתי חולים</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CE4" w:rsidRPr="00FB414E" w:rsidRDefault="00F56CE4" w:rsidP="00FB414E">
    <w:pPr>
      <w:pStyle w:val="a9"/>
      <w:tabs>
        <w:tab w:val="clear" w:pos="8306"/>
      </w:tabs>
      <w:ind w:right="-142"/>
      <w:jc w:val="right"/>
      <w:rPr>
        <w:rFonts w:asciiTheme="minorHAnsi" w:hAnsiTheme="minorHAnsi" w:cstheme="minorHAnsi"/>
        <w:color w:val="00206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89A" w:rsidRPr="00FB414E" w:rsidRDefault="009961E8" w:rsidP="00FB414E">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312"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701308960" name="קבוצה 701308960"/>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166979208" name="מחבר ישר 116697920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6116240"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4789A" w:rsidRPr="0062451B" w:rsidRDefault="009961E8"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059587155"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4789A" w:rsidRPr="0062451B" w:rsidRDefault="009961E8" w:rsidP="00FB414E">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60023683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4789A" w:rsidRPr="001E204F" w:rsidRDefault="009961E8" w:rsidP="00C4789A">
                            <w:pPr>
                              <w:rPr>
                                <w:rFonts w:ascii="Calibri" w:hAnsi="Calibri" w:cs="Calibri"/>
                                <w:color w:val="002060"/>
                                <w:szCs w:val="20"/>
                                <w:rtl/>
                              </w:rPr>
                            </w:pPr>
                            <w:r w:rsidRPr="00001576">
                              <w:rPr>
                                <w:rFonts w:ascii="Calibri" w:hAnsi="Calibri" w:cs="Calibri"/>
                                <w:color w:val="002060"/>
                                <w:szCs w:val="20"/>
                                <w:rtl/>
                              </w:rPr>
                              <w:t>ענף החקלאות ב</w:t>
                            </w:r>
                            <w:r>
                              <w:rPr>
                                <w:rFonts w:ascii="Calibri" w:hAnsi="Calibri" w:cs="Calibri" w:hint="cs"/>
                                <w:color w:val="002060"/>
                                <w:szCs w:val="20"/>
                                <w:rtl/>
                              </w:rPr>
                              <w:t>מ</w:t>
                            </w:r>
                            <w:r w:rsidRPr="00001576">
                              <w:rPr>
                                <w:rFonts w:ascii="Calibri" w:hAnsi="Calibri" w:cs="Calibri"/>
                                <w:color w:val="002060"/>
                                <w:szCs w:val="20"/>
                                <w:rtl/>
                              </w:rPr>
                              <w:t>לחמת חרבות ברזל</w:t>
                            </w:r>
                            <w:r>
                              <w:rPr>
                                <w:rFonts w:ascii="Calibri" w:hAnsi="Calibri" w:cs="Calibri" w:hint="cs"/>
                                <w:color w:val="002060"/>
                                <w:szCs w:val="20"/>
                                <w:rtl/>
                              </w:rPr>
                              <w:t xml:space="preserve"> </w:t>
                            </w:r>
                            <w:r w:rsidR="003E6853">
                              <w:rPr>
                                <w:rFonts w:ascii="Calibri" w:hAnsi="Calibri" w:cs="Calibri" w:hint="cs"/>
                                <w:color w:val="002060"/>
                                <w:szCs w:val="20"/>
                                <w:rtl/>
                              </w:rPr>
                              <w:t>222</w:t>
                            </w:r>
                            <w:r>
                              <w:rPr>
                                <w:rFonts w:ascii="Calibri" w:hAnsi="Calibri" w:cs="Calibri" w:hint="cs"/>
                                <w:color w:val="002060"/>
                                <w:szCs w:val="20"/>
                                <w:rtl/>
                              </w:rPr>
                              <w:t xml:space="preserve"> </w:t>
                            </w:r>
                          </w:p>
                          <w:p w:rsidR="00C4789A" w:rsidRPr="001E204F" w:rsidRDefault="00C4789A"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701308960" o:spid="_x0000_s1051" style="position:absolute;margin-left:-15.2pt;margin-top:-7.45pt;width:484.3pt;height:47.6pt;z-index:25166131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Dg&#10;NYrDnwMAAIAMAAAOAAAAAAAAAAAAAAAAAC4CAABkcnMvZTJvRG9jLnhtbFBLAQItABQABgAIAAAA&#10;IQBvXoIP4QAAAAoBAAAPAAAAAAAAAAAAAAAAAPkFAABkcnMvZG93bnJldi54bWxQSwUGAAAAAAQA&#10;BADzAAAABwcAAAAA&#10;">
              <v:line id="מחבר ישר 1166979208" o:spid="_x0000_s105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" strokecolor="#4579b8 [3044]"/>
              <v:shapetype id="_x0000_t202" coordsize="21600,21600" o:spt="202" path="m,l,21600r21600,l21600,xe">
                <v:stroke joinstyle="miter"/>
                <v:path gradientshapeok="t" o:connecttype="rect"/>
              </v:shapetype>
              <v:shape id="תיבת טקסט 2" o:spid="_x0000_s105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" filled="f" stroked="f">
                <v:textbox>
                  <w:txbxContent>
                    <w:p w:rsidR="00C4789A" w:rsidRPr="0062451B" w:rsidRDefault="009961E8"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" filled="f" stroked="f">
                <v:textbox>
                  <w:txbxContent>
                    <w:p w:rsidR="00C4789A" w:rsidRPr="0062451B" w:rsidRDefault="009961E8" w:rsidP="00FB414E">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" filled="f" stroked="f">
                <v:textbox>
                  <w:txbxContent>
                    <w:p w:rsidR="00C4789A" w:rsidRPr="001E204F" w:rsidRDefault="009961E8" w:rsidP="00C4789A">
                      <w:pPr>
                        <w:rPr>
                          <w:rFonts w:ascii="Calibri" w:hAnsi="Calibri" w:cs="Calibri"/>
                          <w:color w:val="002060"/>
                          <w:szCs w:val="20"/>
                          <w:rtl/>
                        </w:rPr>
                      </w:pPr>
                      <w:r w:rsidRPr="00001576">
                        <w:rPr>
                          <w:rFonts w:ascii="Calibri" w:hAnsi="Calibri" w:cs="Calibri"/>
                          <w:color w:val="002060"/>
                          <w:szCs w:val="20"/>
                          <w:rtl/>
                        </w:rPr>
                        <w:t>ענף החקלאות ב</w:t>
                      </w:r>
                      <w:r>
                        <w:rPr>
                          <w:rFonts w:ascii="Calibri" w:hAnsi="Calibri" w:cs="Calibri" w:hint="cs"/>
                          <w:color w:val="002060"/>
                          <w:szCs w:val="20"/>
                          <w:rtl/>
                        </w:rPr>
                        <w:t>מ</w:t>
                      </w:r>
                      <w:r w:rsidRPr="00001576">
                        <w:rPr>
                          <w:rFonts w:ascii="Calibri" w:hAnsi="Calibri" w:cs="Calibri"/>
                          <w:color w:val="002060"/>
                          <w:szCs w:val="20"/>
                          <w:rtl/>
                        </w:rPr>
                        <w:t>לחמת חרבות ברזל</w:t>
                      </w:r>
                      <w:r>
                        <w:rPr>
                          <w:rFonts w:ascii="Calibri" w:hAnsi="Calibri" w:cs="Calibri" w:hint="cs"/>
                          <w:color w:val="002060"/>
                          <w:szCs w:val="20"/>
                          <w:rtl/>
                        </w:rPr>
                        <w:t xml:space="preserve"> </w:t>
                      </w:r>
                      <w:r w:rsidR="003E6853">
                        <w:rPr>
                          <w:rFonts w:ascii="Calibri" w:hAnsi="Calibri" w:cs="Calibri" w:hint="cs"/>
                          <w:color w:val="002060"/>
                          <w:szCs w:val="20"/>
                          <w:rtl/>
                        </w:rPr>
                        <w:t>222</w:t>
                      </w:r>
                      <w:r>
                        <w:rPr>
                          <w:rFonts w:ascii="Calibri" w:hAnsi="Calibri" w:cs="Calibri" w:hint="cs"/>
                          <w:color w:val="002060"/>
                          <w:szCs w:val="20"/>
                          <w:rtl/>
                        </w:rPr>
                        <w:t xml:space="preserve"> </w:t>
                      </w:r>
                    </w:p>
                    <w:p w:rsidR="00C4789A" w:rsidRPr="001E204F" w:rsidRDefault="00C4789A" w:rsidP="00FB414E">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hand-red"/>
      </v:shape>
    </w:pict>
  </w:numPicBullet>
  <w:numPicBullet w:numPicBulletId="1">
    <w:pict>
      <v:shape id="_x0000_i1027" type="#_x0000_t75" style="width:252pt;height:252pt" o:bullet="t">
        <v:imagedata r:id="rId2" o:title=""/>
      </v:shape>
    </w:pict>
  </w:numPicBullet>
  <w:abstractNum w:abstractNumId="0" w15:restartNumberingAfterBreak="0">
    <w:nsid w:val="088216AB"/>
    <w:multiLevelType w:val="hybridMultilevel"/>
    <w:tmpl w:val="BB7ADECA"/>
    <w:lvl w:ilvl="0" w:tplc="3A38C5B0">
      <w:start w:val="1"/>
      <w:numFmt w:val="hebrew1"/>
      <w:pStyle w:val="1"/>
      <w:lvlText w:val="%1."/>
      <w:lvlJc w:val="center"/>
      <w:pPr>
        <w:ind w:left="1915" w:hanging="360"/>
      </w:pPr>
    </w:lvl>
    <w:lvl w:ilvl="1" w:tplc="A9EEA3BA" w:tentative="1">
      <w:start w:val="1"/>
      <w:numFmt w:val="lowerLetter"/>
      <w:lvlText w:val="%2."/>
      <w:lvlJc w:val="left"/>
      <w:pPr>
        <w:ind w:left="2635" w:hanging="360"/>
      </w:pPr>
    </w:lvl>
    <w:lvl w:ilvl="2" w:tplc="9CC25F30" w:tentative="1">
      <w:start w:val="1"/>
      <w:numFmt w:val="lowerRoman"/>
      <w:lvlText w:val="%3."/>
      <w:lvlJc w:val="right"/>
      <w:pPr>
        <w:ind w:left="3355" w:hanging="180"/>
      </w:pPr>
    </w:lvl>
    <w:lvl w:ilvl="3" w:tplc="1D4C38E0" w:tentative="1">
      <w:start w:val="1"/>
      <w:numFmt w:val="decimal"/>
      <w:lvlText w:val="%4."/>
      <w:lvlJc w:val="left"/>
      <w:pPr>
        <w:ind w:left="4075" w:hanging="360"/>
      </w:pPr>
    </w:lvl>
    <w:lvl w:ilvl="4" w:tplc="54FE2B0E" w:tentative="1">
      <w:start w:val="1"/>
      <w:numFmt w:val="lowerLetter"/>
      <w:lvlText w:val="%5."/>
      <w:lvlJc w:val="left"/>
      <w:pPr>
        <w:ind w:left="4795" w:hanging="360"/>
      </w:pPr>
    </w:lvl>
    <w:lvl w:ilvl="5" w:tplc="142A03FE" w:tentative="1">
      <w:start w:val="1"/>
      <w:numFmt w:val="lowerRoman"/>
      <w:lvlText w:val="%6."/>
      <w:lvlJc w:val="right"/>
      <w:pPr>
        <w:ind w:left="5515" w:hanging="180"/>
      </w:pPr>
    </w:lvl>
    <w:lvl w:ilvl="6" w:tplc="AB48969C" w:tentative="1">
      <w:start w:val="1"/>
      <w:numFmt w:val="decimal"/>
      <w:lvlText w:val="%7."/>
      <w:lvlJc w:val="left"/>
      <w:pPr>
        <w:ind w:left="6235" w:hanging="360"/>
      </w:pPr>
    </w:lvl>
    <w:lvl w:ilvl="7" w:tplc="5BF07B4C" w:tentative="1">
      <w:start w:val="1"/>
      <w:numFmt w:val="lowerLetter"/>
      <w:lvlText w:val="%8."/>
      <w:lvlJc w:val="left"/>
      <w:pPr>
        <w:ind w:left="6955" w:hanging="360"/>
      </w:pPr>
    </w:lvl>
    <w:lvl w:ilvl="8" w:tplc="9D682F6E" w:tentative="1">
      <w:start w:val="1"/>
      <w:numFmt w:val="lowerRoman"/>
      <w:lvlText w:val="%9."/>
      <w:lvlJc w:val="right"/>
      <w:pPr>
        <w:ind w:left="7675" w:hanging="180"/>
      </w:pPr>
    </w:lvl>
  </w:abstractNum>
  <w:abstractNum w:abstractNumId="1" w15:restartNumberingAfterBreak="0">
    <w:nsid w:val="0CBD5F52"/>
    <w:multiLevelType w:val="hybridMultilevel"/>
    <w:tmpl w:val="D94CDEE4"/>
    <w:lvl w:ilvl="0" w:tplc="F01860D2">
      <w:start w:val="1"/>
      <w:numFmt w:val="decimal"/>
      <w:lvlText w:val="%1."/>
      <w:lvlJc w:val="left"/>
      <w:pPr>
        <w:ind w:left="397" w:hanging="397"/>
      </w:pPr>
      <w:rPr>
        <w:rFonts w:hint="default"/>
      </w:rPr>
    </w:lvl>
    <w:lvl w:ilvl="1" w:tplc="DF48574C" w:tentative="1">
      <w:start w:val="1"/>
      <w:numFmt w:val="lowerLetter"/>
      <w:lvlText w:val="%2."/>
      <w:lvlJc w:val="left"/>
      <w:pPr>
        <w:ind w:left="1440" w:hanging="360"/>
      </w:pPr>
    </w:lvl>
    <w:lvl w:ilvl="2" w:tplc="95E4D03A" w:tentative="1">
      <w:start w:val="1"/>
      <w:numFmt w:val="lowerRoman"/>
      <w:lvlText w:val="%3."/>
      <w:lvlJc w:val="right"/>
      <w:pPr>
        <w:ind w:left="2160" w:hanging="180"/>
      </w:pPr>
    </w:lvl>
    <w:lvl w:ilvl="3" w:tplc="D2E6577E" w:tentative="1">
      <w:start w:val="1"/>
      <w:numFmt w:val="decimal"/>
      <w:lvlText w:val="%4."/>
      <w:lvlJc w:val="left"/>
      <w:pPr>
        <w:ind w:left="2880" w:hanging="360"/>
      </w:pPr>
    </w:lvl>
    <w:lvl w:ilvl="4" w:tplc="164A9528" w:tentative="1">
      <w:start w:val="1"/>
      <w:numFmt w:val="lowerLetter"/>
      <w:lvlText w:val="%5."/>
      <w:lvlJc w:val="left"/>
      <w:pPr>
        <w:ind w:left="3600" w:hanging="360"/>
      </w:pPr>
    </w:lvl>
    <w:lvl w:ilvl="5" w:tplc="AE2675E6" w:tentative="1">
      <w:start w:val="1"/>
      <w:numFmt w:val="lowerRoman"/>
      <w:lvlText w:val="%6."/>
      <w:lvlJc w:val="right"/>
      <w:pPr>
        <w:ind w:left="4320" w:hanging="180"/>
      </w:pPr>
    </w:lvl>
    <w:lvl w:ilvl="6" w:tplc="96B65B04" w:tentative="1">
      <w:start w:val="1"/>
      <w:numFmt w:val="decimal"/>
      <w:lvlText w:val="%7."/>
      <w:lvlJc w:val="left"/>
      <w:pPr>
        <w:ind w:left="5040" w:hanging="360"/>
      </w:pPr>
    </w:lvl>
    <w:lvl w:ilvl="7" w:tplc="23E2F8F0" w:tentative="1">
      <w:start w:val="1"/>
      <w:numFmt w:val="lowerLetter"/>
      <w:lvlText w:val="%8."/>
      <w:lvlJc w:val="left"/>
      <w:pPr>
        <w:ind w:left="5760" w:hanging="360"/>
      </w:pPr>
    </w:lvl>
    <w:lvl w:ilvl="8" w:tplc="D352B236" w:tentative="1">
      <w:start w:val="1"/>
      <w:numFmt w:val="lowerRoman"/>
      <w:lvlText w:val="%9."/>
      <w:lvlJc w:val="right"/>
      <w:pPr>
        <w:ind w:left="6480" w:hanging="180"/>
      </w:pPr>
    </w:lvl>
  </w:abstractNum>
  <w:abstractNum w:abstractNumId="2" w15:restartNumberingAfterBreak="0">
    <w:nsid w:val="0E697B12"/>
    <w:multiLevelType w:val="hybridMultilevel"/>
    <w:tmpl w:val="30EA0890"/>
    <w:lvl w:ilvl="0" w:tplc="98FEDA48">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8992058E" w:tentative="1">
      <w:start w:val="1"/>
      <w:numFmt w:val="bullet"/>
      <w:lvlText w:val="o"/>
      <w:lvlJc w:val="left"/>
      <w:pPr>
        <w:ind w:left="1440" w:hanging="360"/>
      </w:pPr>
      <w:rPr>
        <w:rFonts w:ascii="Courier New" w:hAnsi="Courier New" w:cs="Courier New" w:hint="default"/>
      </w:rPr>
    </w:lvl>
    <w:lvl w:ilvl="2" w:tplc="5510C730" w:tentative="1">
      <w:start w:val="1"/>
      <w:numFmt w:val="bullet"/>
      <w:lvlText w:val=""/>
      <w:lvlJc w:val="left"/>
      <w:pPr>
        <w:ind w:left="2160" w:hanging="360"/>
      </w:pPr>
      <w:rPr>
        <w:rFonts w:ascii="Wingdings" w:hAnsi="Wingdings" w:hint="default"/>
      </w:rPr>
    </w:lvl>
    <w:lvl w:ilvl="3" w:tplc="0B226DD8" w:tentative="1">
      <w:start w:val="1"/>
      <w:numFmt w:val="bullet"/>
      <w:lvlText w:val=""/>
      <w:lvlJc w:val="left"/>
      <w:pPr>
        <w:ind w:left="2880" w:hanging="360"/>
      </w:pPr>
      <w:rPr>
        <w:rFonts w:ascii="Symbol" w:hAnsi="Symbol" w:hint="default"/>
      </w:rPr>
    </w:lvl>
    <w:lvl w:ilvl="4" w:tplc="81BEF50C" w:tentative="1">
      <w:start w:val="1"/>
      <w:numFmt w:val="bullet"/>
      <w:lvlText w:val="o"/>
      <w:lvlJc w:val="left"/>
      <w:pPr>
        <w:ind w:left="3600" w:hanging="360"/>
      </w:pPr>
      <w:rPr>
        <w:rFonts w:ascii="Courier New" w:hAnsi="Courier New" w:cs="Courier New" w:hint="default"/>
      </w:rPr>
    </w:lvl>
    <w:lvl w:ilvl="5" w:tplc="5A12E166" w:tentative="1">
      <w:start w:val="1"/>
      <w:numFmt w:val="bullet"/>
      <w:lvlText w:val=""/>
      <w:lvlJc w:val="left"/>
      <w:pPr>
        <w:ind w:left="4320" w:hanging="360"/>
      </w:pPr>
      <w:rPr>
        <w:rFonts w:ascii="Wingdings" w:hAnsi="Wingdings" w:hint="default"/>
      </w:rPr>
    </w:lvl>
    <w:lvl w:ilvl="6" w:tplc="93664AB4" w:tentative="1">
      <w:start w:val="1"/>
      <w:numFmt w:val="bullet"/>
      <w:lvlText w:val=""/>
      <w:lvlJc w:val="left"/>
      <w:pPr>
        <w:ind w:left="5040" w:hanging="360"/>
      </w:pPr>
      <w:rPr>
        <w:rFonts w:ascii="Symbol" w:hAnsi="Symbol" w:hint="default"/>
      </w:rPr>
    </w:lvl>
    <w:lvl w:ilvl="7" w:tplc="4DDA35FE" w:tentative="1">
      <w:start w:val="1"/>
      <w:numFmt w:val="bullet"/>
      <w:lvlText w:val="o"/>
      <w:lvlJc w:val="left"/>
      <w:pPr>
        <w:ind w:left="5760" w:hanging="360"/>
      </w:pPr>
      <w:rPr>
        <w:rFonts w:ascii="Courier New" w:hAnsi="Courier New" w:cs="Courier New" w:hint="default"/>
      </w:rPr>
    </w:lvl>
    <w:lvl w:ilvl="8" w:tplc="B81C7A88" w:tentative="1">
      <w:start w:val="1"/>
      <w:numFmt w:val="bullet"/>
      <w:lvlText w:val=""/>
      <w:lvlJc w:val="left"/>
      <w:pPr>
        <w:ind w:left="6480" w:hanging="360"/>
      </w:pPr>
      <w:rPr>
        <w:rFonts w:ascii="Wingdings" w:hAnsi="Wingdings" w:hint="default"/>
      </w:rPr>
    </w:lvl>
  </w:abstractNum>
  <w:abstractNum w:abstractNumId="3" w15:restartNumberingAfterBreak="0">
    <w:nsid w:val="12806966"/>
    <w:multiLevelType w:val="hybridMultilevel"/>
    <w:tmpl w:val="FC6ED52C"/>
    <w:lvl w:ilvl="0" w:tplc="4868114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1A1C0A16" w:tentative="1">
      <w:start w:val="1"/>
      <w:numFmt w:val="bullet"/>
      <w:lvlText w:val="o"/>
      <w:lvlJc w:val="left"/>
      <w:pPr>
        <w:ind w:left="1440" w:hanging="360"/>
      </w:pPr>
      <w:rPr>
        <w:rFonts w:ascii="Courier New" w:hAnsi="Courier New" w:cs="Courier New" w:hint="default"/>
      </w:rPr>
    </w:lvl>
    <w:lvl w:ilvl="2" w:tplc="29FC0FAA" w:tentative="1">
      <w:start w:val="1"/>
      <w:numFmt w:val="bullet"/>
      <w:lvlText w:val=""/>
      <w:lvlJc w:val="left"/>
      <w:pPr>
        <w:ind w:left="2160" w:hanging="360"/>
      </w:pPr>
      <w:rPr>
        <w:rFonts w:ascii="Wingdings" w:hAnsi="Wingdings" w:hint="default"/>
      </w:rPr>
    </w:lvl>
    <w:lvl w:ilvl="3" w:tplc="6E66C352" w:tentative="1">
      <w:start w:val="1"/>
      <w:numFmt w:val="bullet"/>
      <w:lvlText w:val=""/>
      <w:lvlJc w:val="left"/>
      <w:pPr>
        <w:ind w:left="2880" w:hanging="360"/>
      </w:pPr>
      <w:rPr>
        <w:rFonts w:ascii="Symbol" w:hAnsi="Symbol" w:hint="default"/>
      </w:rPr>
    </w:lvl>
    <w:lvl w:ilvl="4" w:tplc="969EC8C2" w:tentative="1">
      <w:start w:val="1"/>
      <w:numFmt w:val="bullet"/>
      <w:lvlText w:val="o"/>
      <w:lvlJc w:val="left"/>
      <w:pPr>
        <w:ind w:left="3600" w:hanging="360"/>
      </w:pPr>
      <w:rPr>
        <w:rFonts w:ascii="Courier New" w:hAnsi="Courier New" w:cs="Courier New" w:hint="default"/>
      </w:rPr>
    </w:lvl>
    <w:lvl w:ilvl="5" w:tplc="749E3A52" w:tentative="1">
      <w:start w:val="1"/>
      <w:numFmt w:val="bullet"/>
      <w:lvlText w:val=""/>
      <w:lvlJc w:val="left"/>
      <w:pPr>
        <w:ind w:left="4320" w:hanging="360"/>
      </w:pPr>
      <w:rPr>
        <w:rFonts w:ascii="Wingdings" w:hAnsi="Wingdings" w:hint="default"/>
      </w:rPr>
    </w:lvl>
    <w:lvl w:ilvl="6" w:tplc="BBE84E80" w:tentative="1">
      <w:start w:val="1"/>
      <w:numFmt w:val="bullet"/>
      <w:lvlText w:val=""/>
      <w:lvlJc w:val="left"/>
      <w:pPr>
        <w:ind w:left="5040" w:hanging="360"/>
      </w:pPr>
      <w:rPr>
        <w:rFonts w:ascii="Symbol" w:hAnsi="Symbol" w:hint="default"/>
      </w:rPr>
    </w:lvl>
    <w:lvl w:ilvl="7" w:tplc="F8C2DFB4" w:tentative="1">
      <w:start w:val="1"/>
      <w:numFmt w:val="bullet"/>
      <w:lvlText w:val="o"/>
      <w:lvlJc w:val="left"/>
      <w:pPr>
        <w:ind w:left="5760" w:hanging="360"/>
      </w:pPr>
      <w:rPr>
        <w:rFonts w:ascii="Courier New" w:hAnsi="Courier New" w:cs="Courier New" w:hint="default"/>
      </w:rPr>
    </w:lvl>
    <w:lvl w:ilvl="8" w:tplc="9AC603B6" w:tentative="1">
      <w:start w:val="1"/>
      <w:numFmt w:val="bullet"/>
      <w:lvlText w:val=""/>
      <w:lvlJc w:val="left"/>
      <w:pPr>
        <w:ind w:left="6480" w:hanging="360"/>
      </w:pPr>
      <w:rPr>
        <w:rFonts w:ascii="Wingdings" w:hAnsi="Wingdings" w:hint="default"/>
      </w:rPr>
    </w:lvl>
  </w:abstractNum>
  <w:abstractNum w:abstractNumId="4" w15:restartNumberingAfterBreak="0">
    <w:nsid w:val="1CF648D2"/>
    <w:multiLevelType w:val="hybridMultilevel"/>
    <w:tmpl w:val="E2B6F6AA"/>
    <w:lvl w:ilvl="0" w:tplc="97FABDBA">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1F58ECD6" w:tentative="1">
      <w:start w:val="1"/>
      <w:numFmt w:val="bullet"/>
      <w:lvlText w:val="o"/>
      <w:lvlJc w:val="left"/>
      <w:pPr>
        <w:ind w:left="1837" w:hanging="360"/>
      </w:pPr>
      <w:rPr>
        <w:rFonts w:ascii="Courier New" w:hAnsi="Courier New" w:cs="Courier New" w:hint="default"/>
      </w:rPr>
    </w:lvl>
    <w:lvl w:ilvl="2" w:tplc="59F2F6B6" w:tentative="1">
      <w:start w:val="1"/>
      <w:numFmt w:val="bullet"/>
      <w:lvlText w:val=""/>
      <w:lvlJc w:val="left"/>
      <w:pPr>
        <w:ind w:left="2557" w:hanging="360"/>
      </w:pPr>
      <w:rPr>
        <w:rFonts w:ascii="Wingdings" w:hAnsi="Wingdings" w:hint="default"/>
      </w:rPr>
    </w:lvl>
    <w:lvl w:ilvl="3" w:tplc="62720D1C" w:tentative="1">
      <w:start w:val="1"/>
      <w:numFmt w:val="bullet"/>
      <w:lvlText w:val=""/>
      <w:lvlJc w:val="left"/>
      <w:pPr>
        <w:ind w:left="3277" w:hanging="360"/>
      </w:pPr>
      <w:rPr>
        <w:rFonts w:ascii="Symbol" w:hAnsi="Symbol" w:hint="default"/>
      </w:rPr>
    </w:lvl>
    <w:lvl w:ilvl="4" w:tplc="679A1012" w:tentative="1">
      <w:start w:val="1"/>
      <w:numFmt w:val="bullet"/>
      <w:lvlText w:val="o"/>
      <w:lvlJc w:val="left"/>
      <w:pPr>
        <w:ind w:left="3997" w:hanging="360"/>
      </w:pPr>
      <w:rPr>
        <w:rFonts w:ascii="Courier New" w:hAnsi="Courier New" w:cs="Courier New" w:hint="default"/>
      </w:rPr>
    </w:lvl>
    <w:lvl w:ilvl="5" w:tplc="CE26FBDA" w:tentative="1">
      <w:start w:val="1"/>
      <w:numFmt w:val="bullet"/>
      <w:lvlText w:val=""/>
      <w:lvlJc w:val="left"/>
      <w:pPr>
        <w:ind w:left="4717" w:hanging="360"/>
      </w:pPr>
      <w:rPr>
        <w:rFonts w:ascii="Wingdings" w:hAnsi="Wingdings" w:hint="default"/>
      </w:rPr>
    </w:lvl>
    <w:lvl w:ilvl="6" w:tplc="7DF0CE40" w:tentative="1">
      <w:start w:val="1"/>
      <w:numFmt w:val="bullet"/>
      <w:lvlText w:val=""/>
      <w:lvlJc w:val="left"/>
      <w:pPr>
        <w:ind w:left="5437" w:hanging="360"/>
      </w:pPr>
      <w:rPr>
        <w:rFonts w:ascii="Symbol" w:hAnsi="Symbol" w:hint="default"/>
      </w:rPr>
    </w:lvl>
    <w:lvl w:ilvl="7" w:tplc="0BC850FC" w:tentative="1">
      <w:start w:val="1"/>
      <w:numFmt w:val="bullet"/>
      <w:lvlText w:val="o"/>
      <w:lvlJc w:val="left"/>
      <w:pPr>
        <w:ind w:left="6157" w:hanging="360"/>
      </w:pPr>
      <w:rPr>
        <w:rFonts w:ascii="Courier New" w:hAnsi="Courier New" w:cs="Courier New" w:hint="default"/>
      </w:rPr>
    </w:lvl>
    <w:lvl w:ilvl="8" w:tplc="35124644" w:tentative="1">
      <w:start w:val="1"/>
      <w:numFmt w:val="bullet"/>
      <w:lvlText w:val=""/>
      <w:lvlJc w:val="left"/>
      <w:pPr>
        <w:ind w:left="6877" w:hanging="360"/>
      </w:pPr>
      <w:rPr>
        <w:rFonts w:ascii="Wingdings" w:hAnsi="Wingdings" w:hint="default"/>
      </w:rPr>
    </w:lvl>
  </w:abstractNum>
  <w:abstractNum w:abstractNumId="5" w15:restartNumberingAfterBreak="0">
    <w:nsid w:val="1D587F94"/>
    <w:multiLevelType w:val="hybridMultilevel"/>
    <w:tmpl w:val="FF2AB340"/>
    <w:lvl w:ilvl="0" w:tplc="7EF883A4">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9F3C496A" w:tentative="1">
      <w:start w:val="1"/>
      <w:numFmt w:val="bullet"/>
      <w:lvlText w:val="o"/>
      <w:lvlJc w:val="left"/>
      <w:pPr>
        <w:ind w:left="1440" w:hanging="360"/>
      </w:pPr>
      <w:rPr>
        <w:rFonts w:ascii="Courier New" w:hAnsi="Courier New" w:cs="Courier New" w:hint="default"/>
      </w:rPr>
    </w:lvl>
    <w:lvl w:ilvl="2" w:tplc="DDD26712" w:tentative="1">
      <w:start w:val="1"/>
      <w:numFmt w:val="bullet"/>
      <w:lvlText w:val=""/>
      <w:lvlJc w:val="left"/>
      <w:pPr>
        <w:ind w:left="2160" w:hanging="360"/>
      </w:pPr>
      <w:rPr>
        <w:rFonts w:ascii="Wingdings" w:hAnsi="Wingdings" w:hint="default"/>
      </w:rPr>
    </w:lvl>
    <w:lvl w:ilvl="3" w:tplc="A1E41774" w:tentative="1">
      <w:start w:val="1"/>
      <w:numFmt w:val="bullet"/>
      <w:lvlText w:val=""/>
      <w:lvlJc w:val="left"/>
      <w:pPr>
        <w:ind w:left="2880" w:hanging="360"/>
      </w:pPr>
      <w:rPr>
        <w:rFonts w:ascii="Symbol" w:hAnsi="Symbol" w:hint="default"/>
      </w:rPr>
    </w:lvl>
    <w:lvl w:ilvl="4" w:tplc="0666EAC8" w:tentative="1">
      <w:start w:val="1"/>
      <w:numFmt w:val="bullet"/>
      <w:lvlText w:val="o"/>
      <w:lvlJc w:val="left"/>
      <w:pPr>
        <w:ind w:left="3600" w:hanging="360"/>
      </w:pPr>
      <w:rPr>
        <w:rFonts w:ascii="Courier New" w:hAnsi="Courier New" w:cs="Courier New" w:hint="default"/>
      </w:rPr>
    </w:lvl>
    <w:lvl w:ilvl="5" w:tplc="973ED118" w:tentative="1">
      <w:start w:val="1"/>
      <w:numFmt w:val="bullet"/>
      <w:lvlText w:val=""/>
      <w:lvlJc w:val="left"/>
      <w:pPr>
        <w:ind w:left="4320" w:hanging="360"/>
      </w:pPr>
      <w:rPr>
        <w:rFonts w:ascii="Wingdings" w:hAnsi="Wingdings" w:hint="default"/>
      </w:rPr>
    </w:lvl>
    <w:lvl w:ilvl="6" w:tplc="2B56CE7C" w:tentative="1">
      <w:start w:val="1"/>
      <w:numFmt w:val="bullet"/>
      <w:lvlText w:val=""/>
      <w:lvlJc w:val="left"/>
      <w:pPr>
        <w:ind w:left="5040" w:hanging="360"/>
      </w:pPr>
      <w:rPr>
        <w:rFonts w:ascii="Symbol" w:hAnsi="Symbol" w:hint="default"/>
      </w:rPr>
    </w:lvl>
    <w:lvl w:ilvl="7" w:tplc="F808DC1C" w:tentative="1">
      <w:start w:val="1"/>
      <w:numFmt w:val="bullet"/>
      <w:lvlText w:val="o"/>
      <w:lvlJc w:val="left"/>
      <w:pPr>
        <w:ind w:left="5760" w:hanging="360"/>
      </w:pPr>
      <w:rPr>
        <w:rFonts w:ascii="Courier New" w:hAnsi="Courier New" w:cs="Courier New" w:hint="default"/>
      </w:rPr>
    </w:lvl>
    <w:lvl w:ilvl="8" w:tplc="BF4086AC" w:tentative="1">
      <w:start w:val="1"/>
      <w:numFmt w:val="bullet"/>
      <w:lvlText w:val=""/>
      <w:lvlJc w:val="left"/>
      <w:pPr>
        <w:ind w:left="6480" w:hanging="360"/>
      </w:pPr>
      <w:rPr>
        <w:rFonts w:ascii="Wingdings" w:hAnsi="Wingdings" w:hint="default"/>
      </w:rPr>
    </w:lvl>
  </w:abstractNum>
  <w:abstractNum w:abstractNumId="6" w15:restartNumberingAfterBreak="0">
    <w:nsid w:val="2DB951A8"/>
    <w:multiLevelType w:val="hybridMultilevel"/>
    <w:tmpl w:val="477266D6"/>
    <w:lvl w:ilvl="0" w:tplc="5ACCC4C6">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92CAFB02" w:tentative="1">
      <w:start w:val="1"/>
      <w:numFmt w:val="bullet"/>
      <w:lvlText w:val="o"/>
      <w:lvlJc w:val="left"/>
      <w:pPr>
        <w:ind w:left="1837" w:hanging="360"/>
      </w:pPr>
      <w:rPr>
        <w:rFonts w:ascii="Courier New" w:hAnsi="Courier New" w:cs="Courier New" w:hint="default"/>
      </w:rPr>
    </w:lvl>
    <w:lvl w:ilvl="2" w:tplc="158CFFC2" w:tentative="1">
      <w:start w:val="1"/>
      <w:numFmt w:val="bullet"/>
      <w:lvlText w:val=""/>
      <w:lvlJc w:val="left"/>
      <w:pPr>
        <w:ind w:left="2557" w:hanging="360"/>
      </w:pPr>
      <w:rPr>
        <w:rFonts w:ascii="Wingdings" w:hAnsi="Wingdings" w:hint="default"/>
      </w:rPr>
    </w:lvl>
    <w:lvl w:ilvl="3" w:tplc="5D02ADC2" w:tentative="1">
      <w:start w:val="1"/>
      <w:numFmt w:val="bullet"/>
      <w:lvlText w:val=""/>
      <w:lvlJc w:val="left"/>
      <w:pPr>
        <w:ind w:left="3277" w:hanging="360"/>
      </w:pPr>
      <w:rPr>
        <w:rFonts w:ascii="Symbol" w:hAnsi="Symbol" w:hint="default"/>
      </w:rPr>
    </w:lvl>
    <w:lvl w:ilvl="4" w:tplc="86063D80" w:tentative="1">
      <w:start w:val="1"/>
      <w:numFmt w:val="bullet"/>
      <w:lvlText w:val="o"/>
      <w:lvlJc w:val="left"/>
      <w:pPr>
        <w:ind w:left="3997" w:hanging="360"/>
      </w:pPr>
      <w:rPr>
        <w:rFonts w:ascii="Courier New" w:hAnsi="Courier New" w:cs="Courier New" w:hint="default"/>
      </w:rPr>
    </w:lvl>
    <w:lvl w:ilvl="5" w:tplc="DC2AC304" w:tentative="1">
      <w:start w:val="1"/>
      <w:numFmt w:val="bullet"/>
      <w:lvlText w:val=""/>
      <w:lvlJc w:val="left"/>
      <w:pPr>
        <w:ind w:left="4717" w:hanging="360"/>
      </w:pPr>
      <w:rPr>
        <w:rFonts w:ascii="Wingdings" w:hAnsi="Wingdings" w:hint="default"/>
      </w:rPr>
    </w:lvl>
    <w:lvl w:ilvl="6" w:tplc="EF96DC64" w:tentative="1">
      <w:start w:val="1"/>
      <w:numFmt w:val="bullet"/>
      <w:lvlText w:val=""/>
      <w:lvlJc w:val="left"/>
      <w:pPr>
        <w:ind w:left="5437" w:hanging="360"/>
      </w:pPr>
      <w:rPr>
        <w:rFonts w:ascii="Symbol" w:hAnsi="Symbol" w:hint="default"/>
      </w:rPr>
    </w:lvl>
    <w:lvl w:ilvl="7" w:tplc="9258E0B0" w:tentative="1">
      <w:start w:val="1"/>
      <w:numFmt w:val="bullet"/>
      <w:lvlText w:val="o"/>
      <w:lvlJc w:val="left"/>
      <w:pPr>
        <w:ind w:left="6157" w:hanging="360"/>
      </w:pPr>
      <w:rPr>
        <w:rFonts w:ascii="Courier New" w:hAnsi="Courier New" w:cs="Courier New" w:hint="default"/>
      </w:rPr>
    </w:lvl>
    <w:lvl w:ilvl="8" w:tplc="68202F4A" w:tentative="1">
      <w:start w:val="1"/>
      <w:numFmt w:val="bullet"/>
      <w:lvlText w:val=""/>
      <w:lvlJc w:val="left"/>
      <w:pPr>
        <w:ind w:left="6877" w:hanging="360"/>
      </w:pPr>
      <w:rPr>
        <w:rFonts w:ascii="Wingdings" w:hAnsi="Wingdings" w:hint="default"/>
      </w:rPr>
    </w:lvl>
  </w:abstractNum>
  <w:abstractNum w:abstractNumId="7" w15:restartNumberingAfterBreak="0">
    <w:nsid w:val="2EC744C3"/>
    <w:multiLevelType w:val="hybridMultilevel"/>
    <w:tmpl w:val="4A68CCE0"/>
    <w:lvl w:ilvl="0" w:tplc="D0D88004">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A524F886" w:tentative="1">
      <w:start w:val="1"/>
      <w:numFmt w:val="bullet"/>
      <w:lvlText w:val="o"/>
      <w:lvlJc w:val="left"/>
      <w:pPr>
        <w:ind w:left="1440" w:hanging="360"/>
      </w:pPr>
      <w:rPr>
        <w:rFonts w:ascii="Courier New" w:hAnsi="Courier New" w:cs="Courier New" w:hint="default"/>
      </w:rPr>
    </w:lvl>
    <w:lvl w:ilvl="2" w:tplc="B12C6784" w:tentative="1">
      <w:start w:val="1"/>
      <w:numFmt w:val="bullet"/>
      <w:lvlText w:val=""/>
      <w:lvlJc w:val="left"/>
      <w:pPr>
        <w:ind w:left="2160" w:hanging="360"/>
      </w:pPr>
      <w:rPr>
        <w:rFonts w:ascii="Wingdings" w:hAnsi="Wingdings" w:hint="default"/>
      </w:rPr>
    </w:lvl>
    <w:lvl w:ilvl="3" w:tplc="BFDAA40A" w:tentative="1">
      <w:start w:val="1"/>
      <w:numFmt w:val="bullet"/>
      <w:lvlText w:val=""/>
      <w:lvlJc w:val="left"/>
      <w:pPr>
        <w:ind w:left="2880" w:hanging="360"/>
      </w:pPr>
      <w:rPr>
        <w:rFonts w:ascii="Symbol" w:hAnsi="Symbol" w:hint="default"/>
      </w:rPr>
    </w:lvl>
    <w:lvl w:ilvl="4" w:tplc="ABA0A2B2" w:tentative="1">
      <w:start w:val="1"/>
      <w:numFmt w:val="bullet"/>
      <w:lvlText w:val="o"/>
      <w:lvlJc w:val="left"/>
      <w:pPr>
        <w:ind w:left="3600" w:hanging="360"/>
      </w:pPr>
      <w:rPr>
        <w:rFonts w:ascii="Courier New" w:hAnsi="Courier New" w:cs="Courier New" w:hint="default"/>
      </w:rPr>
    </w:lvl>
    <w:lvl w:ilvl="5" w:tplc="27506C20" w:tentative="1">
      <w:start w:val="1"/>
      <w:numFmt w:val="bullet"/>
      <w:lvlText w:val=""/>
      <w:lvlJc w:val="left"/>
      <w:pPr>
        <w:ind w:left="4320" w:hanging="360"/>
      </w:pPr>
      <w:rPr>
        <w:rFonts w:ascii="Wingdings" w:hAnsi="Wingdings" w:hint="default"/>
      </w:rPr>
    </w:lvl>
    <w:lvl w:ilvl="6" w:tplc="A16C437E" w:tentative="1">
      <w:start w:val="1"/>
      <w:numFmt w:val="bullet"/>
      <w:lvlText w:val=""/>
      <w:lvlJc w:val="left"/>
      <w:pPr>
        <w:ind w:left="5040" w:hanging="360"/>
      </w:pPr>
      <w:rPr>
        <w:rFonts w:ascii="Symbol" w:hAnsi="Symbol" w:hint="default"/>
      </w:rPr>
    </w:lvl>
    <w:lvl w:ilvl="7" w:tplc="B2120F30" w:tentative="1">
      <w:start w:val="1"/>
      <w:numFmt w:val="bullet"/>
      <w:lvlText w:val="o"/>
      <w:lvlJc w:val="left"/>
      <w:pPr>
        <w:ind w:left="5760" w:hanging="360"/>
      </w:pPr>
      <w:rPr>
        <w:rFonts w:ascii="Courier New" w:hAnsi="Courier New" w:cs="Courier New" w:hint="default"/>
      </w:rPr>
    </w:lvl>
    <w:lvl w:ilvl="8" w:tplc="E612D94C" w:tentative="1">
      <w:start w:val="1"/>
      <w:numFmt w:val="bullet"/>
      <w:lvlText w:val=""/>
      <w:lvlJc w:val="left"/>
      <w:pPr>
        <w:ind w:left="6480" w:hanging="360"/>
      </w:pPr>
      <w:rPr>
        <w:rFonts w:ascii="Wingdings" w:hAnsi="Wingdings" w:hint="default"/>
      </w:rPr>
    </w:lvl>
  </w:abstractNum>
  <w:abstractNum w:abstractNumId="8" w15:restartNumberingAfterBreak="0">
    <w:nsid w:val="2FAB0075"/>
    <w:multiLevelType w:val="hybridMultilevel"/>
    <w:tmpl w:val="39AE1AFA"/>
    <w:lvl w:ilvl="0" w:tplc="5FD042BC">
      <w:start w:val="1"/>
      <w:numFmt w:val="bullet"/>
      <w:lvlText w:val="!"/>
      <w:lvlJc w:val="left"/>
      <w:pPr>
        <w:ind w:left="720" w:hanging="360"/>
      </w:pPr>
      <w:rPr>
        <w:rFonts w:ascii="Sitka Text" w:hAnsi="Sitka Text" w:cs="Symbol"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7255"/>
    <w:multiLevelType w:val="hybridMultilevel"/>
    <w:tmpl w:val="F1AE1FFC"/>
    <w:lvl w:ilvl="0" w:tplc="7CD6B5E2">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54A47290" w:tentative="1">
      <w:start w:val="1"/>
      <w:numFmt w:val="lowerLetter"/>
      <w:lvlText w:val="%2."/>
      <w:lvlJc w:val="left"/>
      <w:pPr>
        <w:ind w:left="2574" w:hanging="360"/>
      </w:pPr>
    </w:lvl>
    <w:lvl w:ilvl="2" w:tplc="92321110" w:tentative="1">
      <w:start w:val="1"/>
      <w:numFmt w:val="lowerRoman"/>
      <w:lvlText w:val="%3."/>
      <w:lvlJc w:val="right"/>
      <w:pPr>
        <w:ind w:left="3294" w:hanging="180"/>
      </w:pPr>
    </w:lvl>
    <w:lvl w:ilvl="3" w:tplc="F1608DDE" w:tentative="1">
      <w:start w:val="1"/>
      <w:numFmt w:val="decimal"/>
      <w:lvlText w:val="%4."/>
      <w:lvlJc w:val="left"/>
      <w:pPr>
        <w:ind w:left="4014" w:hanging="360"/>
      </w:pPr>
    </w:lvl>
    <w:lvl w:ilvl="4" w:tplc="EB0E27A6" w:tentative="1">
      <w:start w:val="1"/>
      <w:numFmt w:val="lowerLetter"/>
      <w:lvlText w:val="%5."/>
      <w:lvlJc w:val="left"/>
      <w:pPr>
        <w:ind w:left="4734" w:hanging="360"/>
      </w:pPr>
    </w:lvl>
    <w:lvl w:ilvl="5" w:tplc="6C56B332" w:tentative="1">
      <w:start w:val="1"/>
      <w:numFmt w:val="lowerRoman"/>
      <w:lvlText w:val="%6."/>
      <w:lvlJc w:val="right"/>
      <w:pPr>
        <w:ind w:left="5454" w:hanging="180"/>
      </w:pPr>
    </w:lvl>
    <w:lvl w:ilvl="6" w:tplc="3A6803F0" w:tentative="1">
      <w:start w:val="1"/>
      <w:numFmt w:val="decimal"/>
      <w:lvlText w:val="%7."/>
      <w:lvlJc w:val="left"/>
      <w:pPr>
        <w:ind w:left="6174" w:hanging="360"/>
      </w:pPr>
    </w:lvl>
    <w:lvl w:ilvl="7" w:tplc="507C1F72" w:tentative="1">
      <w:start w:val="1"/>
      <w:numFmt w:val="lowerLetter"/>
      <w:lvlText w:val="%8."/>
      <w:lvlJc w:val="left"/>
      <w:pPr>
        <w:ind w:left="6894" w:hanging="360"/>
      </w:pPr>
    </w:lvl>
    <w:lvl w:ilvl="8" w:tplc="CBB69EF2" w:tentative="1">
      <w:start w:val="1"/>
      <w:numFmt w:val="lowerRoman"/>
      <w:lvlText w:val="%9."/>
      <w:lvlJc w:val="right"/>
      <w:pPr>
        <w:ind w:left="7614" w:hanging="180"/>
      </w:pPr>
    </w:lvl>
  </w:abstractNum>
  <w:abstractNum w:abstractNumId="10" w15:restartNumberingAfterBreak="0">
    <w:nsid w:val="316B14B9"/>
    <w:multiLevelType w:val="hybridMultilevel"/>
    <w:tmpl w:val="378E9214"/>
    <w:lvl w:ilvl="0" w:tplc="28D8300C">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CD0AAEC2" w:tentative="1">
      <w:start w:val="1"/>
      <w:numFmt w:val="lowerLetter"/>
      <w:lvlText w:val="%2."/>
      <w:lvlJc w:val="left"/>
      <w:pPr>
        <w:ind w:left="2578" w:hanging="360"/>
      </w:pPr>
    </w:lvl>
    <w:lvl w:ilvl="2" w:tplc="D8304FAC" w:tentative="1">
      <w:start w:val="1"/>
      <w:numFmt w:val="lowerRoman"/>
      <w:lvlText w:val="%3."/>
      <w:lvlJc w:val="right"/>
      <w:pPr>
        <w:ind w:left="3298" w:hanging="180"/>
      </w:pPr>
    </w:lvl>
    <w:lvl w:ilvl="3" w:tplc="133E9A4C" w:tentative="1">
      <w:start w:val="1"/>
      <w:numFmt w:val="decimal"/>
      <w:lvlText w:val="%4."/>
      <w:lvlJc w:val="left"/>
      <w:pPr>
        <w:ind w:left="4018" w:hanging="360"/>
      </w:pPr>
    </w:lvl>
    <w:lvl w:ilvl="4" w:tplc="BF9EA782" w:tentative="1">
      <w:start w:val="1"/>
      <w:numFmt w:val="lowerLetter"/>
      <w:lvlText w:val="%5."/>
      <w:lvlJc w:val="left"/>
      <w:pPr>
        <w:ind w:left="4738" w:hanging="360"/>
      </w:pPr>
    </w:lvl>
    <w:lvl w:ilvl="5" w:tplc="8F8C7C52" w:tentative="1">
      <w:start w:val="1"/>
      <w:numFmt w:val="lowerRoman"/>
      <w:lvlText w:val="%6."/>
      <w:lvlJc w:val="right"/>
      <w:pPr>
        <w:ind w:left="5458" w:hanging="180"/>
      </w:pPr>
    </w:lvl>
    <w:lvl w:ilvl="6" w:tplc="B23C2082" w:tentative="1">
      <w:start w:val="1"/>
      <w:numFmt w:val="decimal"/>
      <w:lvlText w:val="%7."/>
      <w:lvlJc w:val="left"/>
      <w:pPr>
        <w:ind w:left="6178" w:hanging="360"/>
      </w:pPr>
    </w:lvl>
    <w:lvl w:ilvl="7" w:tplc="5F166C10" w:tentative="1">
      <w:start w:val="1"/>
      <w:numFmt w:val="lowerLetter"/>
      <w:lvlText w:val="%8."/>
      <w:lvlJc w:val="left"/>
      <w:pPr>
        <w:ind w:left="6898" w:hanging="360"/>
      </w:pPr>
    </w:lvl>
    <w:lvl w:ilvl="8" w:tplc="16BA2384" w:tentative="1">
      <w:start w:val="1"/>
      <w:numFmt w:val="lowerRoman"/>
      <w:lvlText w:val="%9."/>
      <w:lvlJc w:val="right"/>
      <w:pPr>
        <w:ind w:left="7618" w:hanging="180"/>
      </w:pPr>
    </w:lvl>
  </w:abstractNum>
  <w:abstractNum w:abstractNumId="11" w15:restartNumberingAfterBreak="0">
    <w:nsid w:val="33A86F96"/>
    <w:multiLevelType w:val="hybridMultilevel"/>
    <w:tmpl w:val="220A2AB2"/>
    <w:lvl w:ilvl="0" w:tplc="DB26D242">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D8E0949C" w:tentative="1">
      <w:start w:val="1"/>
      <w:numFmt w:val="lowerLetter"/>
      <w:lvlText w:val="%2."/>
      <w:lvlJc w:val="left"/>
      <w:pPr>
        <w:ind w:left="2934" w:hanging="360"/>
      </w:pPr>
    </w:lvl>
    <w:lvl w:ilvl="2" w:tplc="D30A9EDC" w:tentative="1">
      <w:start w:val="1"/>
      <w:numFmt w:val="lowerRoman"/>
      <w:lvlText w:val="%3."/>
      <w:lvlJc w:val="right"/>
      <w:pPr>
        <w:ind w:left="3654" w:hanging="180"/>
      </w:pPr>
    </w:lvl>
    <w:lvl w:ilvl="3" w:tplc="EC808DC6" w:tentative="1">
      <w:start w:val="1"/>
      <w:numFmt w:val="decimal"/>
      <w:lvlText w:val="%4."/>
      <w:lvlJc w:val="left"/>
      <w:pPr>
        <w:ind w:left="4374" w:hanging="360"/>
      </w:pPr>
    </w:lvl>
    <w:lvl w:ilvl="4" w:tplc="6882D456" w:tentative="1">
      <w:start w:val="1"/>
      <w:numFmt w:val="lowerLetter"/>
      <w:lvlText w:val="%5."/>
      <w:lvlJc w:val="left"/>
      <w:pPr>
        <w:ind w:left="5094" w:hanging="360"/>
      </w:pPr>
    </w:lvl>
    <w:lvl w:ilvl="5" w:tplc="86700D02" w:tentative="1">
      <w:start w:val="1"/>
      <w:numFmt w:val="lowerRoman"/>
      <w:lvlText w:val="%6."/>
      <w:lvlJc w:val="right"/>
      <w:pPr>
        <w:ind w:left="5814" w:hanging="180"/>
      </w:pPr>
    </w:lvl>
    <w:lvl w:ilvl="6" w:tplc="6A92EBD6" w:tentative="1">
      <w:start w:val="1"/>
      <w:numFmt w:val="decimal"/>
      <w:lvlText w:val="%7."/>
      <w:lvlJc w:val="left"/>
      <w:pPr>
        <w:ind w:left="6534" w:hanging="360"/>
      </w:pPr>
    </w:lvl>
    <w:lvl w:ilvl="7" w:tplc="FCF4D092" w:tentative="1">
      <w:start w:val="1"/>
      <w:numFmt w:val="lowerLetter"/>
      <w:lvlText w:val="%8."/>
      <w:lvlJc w:val="left"/>
      <w:pPr>
        <w:ind w:left="7254" w:hanging="360"/>
      </w:pPr>
    </w:lvl>
    <w:lvl w:ilvl="8" w:tplc="22D217C2" w:tentative="1">
      <w:start w:val="1"/>
      <w:numFmt w:val="lowerRoman"/>
      <w:lvlText w:val="%9."/>
      <w:lvlJc w:val="right"/>
      <w:pPr>
        <w:ind w:left="7974" w:hanging="180"/>
      </w:pPr>
    </w:lvl>
  </w:abstractNum>
  <w:abstractNum w:abstractNumId="12" w15:restartNumberingAfterBreak="0">
    <w:nsid w:val="355B1DDE"/>
    <w:multiLevelType w:val="hybridMultilevel"/>
    <w:tmpl w:val="0382FD12"/>
    <w:lvl w:ilvl="0" w:tplc="160E9BD0">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FF728216" w:tentative="1">
      <w:start w:val="1"/>
      <w:numFmt w:val="bullet"/>
      <w:lvlText w:val="o"/>
      <w:lvlJc w:val="left"/>
      <w:pPr>
        <w:ind w:left="1080" w:hanging="360"/>
      </w:pPr>
      <w:rPr>
        <w:rFonts w:ascii="Courier New" w:hAnsi="Courier New" w:cs="Courier New" w:hint="default"/>
      </w:rPr>
    </w:lvl>
    <w:lvl w:ilvl="2" w:tplc="2DBC06AC" w:tentative="1">
      <w:start w:val="1"/>
      <w:numFmt w:val="bullet"/>
      <w:lvlText w:val=""/>
      <w:lvlJc w:val="left"/>
      <w:pPr>
        <w:ind w:left="1800" w:hanging="360"/>
      </w:pPr>
      <w:rPr>
        <w:rFonts w:ascii="Wingdings" w:hAnsi="Wingdings" w:hint="default"/>
      </w:rPr>
    </w:lvl>
    <w:lvl w:ilvl="3" w:tplc="44CC9D74" w:tentative="1">
      <w:start w:val="1"/>
      <w:numFmt w:val="bullet"/>
      <w:lvlText w:val=""/>
      <w:lvlJc w:val="left"/>
      <w:pPr>
        <w:ind w:left="2520" w:hanging="360"/>
      </w:pPr>
      <w:rPr>
        <w:rFonts w:ascii="Symbol" w:hAnsi="Symbol" w:hint="default"/>
      </w:rPr>
    </w:lvl>
    <w:lvl w:ilvl="4" w:tplc="D3284F14" w:tentative="1">
      <w:start w:val="1"/>
      <w:numFmt w:val="bullet"/>
      <w:lvlText w:val="o"/>
      <w:lvlJc w:val="left"/>
      <w:pPr>
        <w:ind w:left="3240" w:hanging="360"/>
      </w:pPr>
      <w:rPr>
        <w:rFonts w:ascii="Courier New" w:hAnsi="Courier New" w:cs="Courier New" w:hint="default"/>
      </w:rPr>
    </w:lvl>
    <w:lvl w:ilvl="5" w:tplc="2C02C66E" w:tentative="1">
      <w:start w:val="1"/>
      <w:numFmt w:val="bullet"/>
      <w:lvlText w:val=""/>
      <w:lvlJc w:val="left"/>
      <w:pPr>
        <w:ind w:left="3960" w:hanging="360"/>
      </w:pPr>
      <w:rPr>
        <w:rFonts w:ascii="Wingdings" w:hAnsi="Wingdings" w:hint="default"/>
      </w:rPr>
    </w:lvl>
    <w:lvl w:ilvl="6" w:tplc="0674D49E" w:tentative="1">
      <w:start w:val="1"/>
      <w:numFmt w:val="bullet"/>
      <w:lvlText w:val=""/>
      <w:lvlJc w:val="left"/>
      <w:pPr>
        <w:ind w:left="4680" w:hanging="360"/>
      </w:pPr>
      <w:rPr>
        <w:rFonts w:ascii="Symbol" w:hAnsi="Symbol" w:hint="default"/>
      </w:rPr>
    </w:lvl>
    <w:lvl w:ilvl="7" w:tplc="3F52BD7A" w:tentative="1">
      <w:start w:val="1"/>
      <w:numFmt w:val="bullet"/>
      <w:lvlText w:val="o"/>
      <w:lvlJc w:val="left"/>
      <w:pPr>
        <w:ind w:left="5400" w:hanging="360"/>
      </w:pPr>
      <w:rPr>
        <w:rFonts w:ascii="Courier New" w:hAnsi="Courier New" w:cs="Courier New" w:hint="default"/>
      </w:rPr>
    </w:lvl>
    <w:lvl w:ilvl="8" w:tplc="876E1FD2" w:tentative="1">
      <w:start w:val="1"/>
      <w:numFmt w:val="bullet"/>
      <w:lvlText w:val=""/>
      <w:lvlJc w:val="left"/>
      <w:pPr>
        <w:ind w:left="6120" w:hanging="360"/>
      </w:pPr>
      <w:rPr>
        <w:rFonts w:ascii="Wingdings" w:hAnsi="Wingdings" w:hint="default"/>
      </w:rPr>
    </w:lvl>
  </w:abstractNum>
  <w:abstractNum w:abstractNumId="13" w15:restartNumberingAfterBreak="0">
    <w:nsid w:val="392E622D"/>
    <w:multiLevelType w:val="hybridMultilevel"/>
    <w:tmpl w:val="7D5E01EA"/>
    <w:lvl w:ilvl="0" w:tplc="1EC23A9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D9C27C78" w:tentative="1">
      <w:start w:val="1"/>
      <w:numFmt w:val="bullet"/>
      <w:lvlText w:val="o"/>
      <w:lvlJc w:val="left"/>
      <w:pPr>
        <w:ind w:left="1837" w:hanging="360"/>
      </w:pPr>
      <w:rPr>
        <w:rFonts w:ascii="Courier New" w:hAnsi="Courier New" w:cs="Courier New" w:hint="default"/>
      </w:rPr>
    </w:lvl>
    <w:lvl w:ilvl="2" w:tplc="662283E8" w:tentative="1">
      <w:start w:val="1"/>
      <w:numFmt w:val="bullet"/>
      <w:lvlText w:val=""/>
      <w:lvlJc w:val="left"/>
      <w:pPr>
        <w:ind w:left="2557" w:hanging="360"/>
      </w:pPr>
      <w:rPr>
        <w:rFonts w:ascii="Wingdings" w:hAnsi="Wingdings" w:hint="default"/>
      </w:rPr>
    </w:lvl>
    <w:lvl w:ilvl="3" w:tplc="EF3EA802" w:tentative="1">
      <w:start w:val="1"/>
      <w:numFmt w:val="bullet"/>
      <w:lvlText w:val=""/>
      <w:lvlJc w:val="left"/>
      <w:pPr>
        <w:ind w:left="3277" w:hanging="360"/>
      </w:pPr>
      <w:rPr>
        <w:rFonts w:ascii="Symbol" w:hAnsi="Symbol" w:hint="default"/>
      </w:rPr>
    </w:lvl>
    <w:lvl w:ilvl="4" w:tplc="061848C6" w:tentative="1">
      <w:start w:val="1"/>
      <w:numFmt w:val="bullet"/>
      <w:lvlText w:val="o"/>
      <w:lvlJc w:val="left"/>
      <w:pPr>
        <w:ind w:left="3997" w:hanging="360"/>
      </w:pPr>
      <w:rPr>
        <w:rFonts w:ascii="Courier New" w:hAnsi="Courier New" w:cs="Courier New" w:hint="default"/>
      </w:rPr>
    </w:lvl>
    <w:lvl w:ilvl="5" w:tplc="3BE88EEC" w:tentative="1">
      <w:start w:val="1"/>
      <w:numFmt w:val="bullet"/>
      <w:lvlText w:val=""/>
      <w:lvlJc w:val="left"/>
      <w:pPr>
        <w:ind w:left="4717" w:hanging="360"/>
      </w:pPr>
      <w:rPr>
        <w:rFonts w:ascii="Wingdings" w:hAnsi="Wingdings" w:hint="default"/>
      </w:rPr>
    </w:lvl>
    <w:lvl w:ilvl="6" w:tplc="91B69234" w:tentative="1">
      <w:start w:val="1"/>
      <w:numFmt w:val="bullet"/>
      <w:lvlText w:val=""/>
      <w:lvlJc w:val="left"/>
      <w:pPr>
        <w:ind w:left="5437" w:hanging="360"/>
      </w:pPr>
      <w:rPr>
        <w:rFonts w:ascii="Symbol" w:hAnsi="Symbol" w:hint="default"/>
      </w:rPr>
    </w:lvl>
    <w:lvl w:ilvl="7" w:tplc="8150720E" w:tentative="1">
      <w:start w:val="1"/>
      <w:numFmt w:val="bullet"/>
      <w:lvlText w:val="o"/>
      <w:lvlJc w:val="left"/>
      <w:pPr>
        <w:ind w:left="6157" w:hanging="360"/>
      </w:pPr>
      <w:rPr>
        <w:rFonts w:ascii="Courier New" w:hAnsi="Courier New" w:cs="Courier New" w:hint="default"/>
      </w:rPr>
    </w:lvl>
    <w:lvl w:ilvl="8" w:tplc="0C8CDAEC" w:tentative="1">
      <w:start w:val="1"/>
      <w:numFmt w:val="bullet"/>
      <w:lvlText w:val=""/>
      <w:lvlJc w:val="left"/>
      <w:pPr>
        <w:ind w:left="6877" w:hanging="360"/>
      </w:pPr>
      <w:rPr>
        <w:rFonts w:ascii="Wingdings" w:hAnsi="Wingdings" w:hint="default"/>
      </w:rPr>
    </w:lvl>
  </w:abstractNum>
  <w:abstractNum w:abstractNumId="14" w15:restartNumberingAfterBreak="0">
    <w:nsid w:val="3A923526"/>
    <w:multiLevelType w:val="hybridMultilevel"/>
    <w:tmpl w:val="4E74417E"/>
    <w:lvl w:ilvl="0" w:tplc="EB54A402">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59988DA6" w:tentative="1">
      <w:start w:val="1"/>
      <w:numFmt w:val="lowerLetter"/>
      <w:lvlText w:val="%2."/>
      <w:lvlJc w:val="left"/>
      <w:pPr>
        <w:ind w:left="2578" w:hanging="360"/>
      </w:pPr>
    </w:lvl>
    <w:lvl w:ilvl="2" w:tplc="82FA166E" w:tentative="1">
      <w:start w:val="1"/>
      <w:numFmt w:val="lowerRoman"/>
      <w:lvlText w:val="%3."/>
      <w:lvlJc w:val="right"/>
      <w:pPr>
        <w:ind w:left="3298" w:hanging="180"/>
      </w:pPr>
    </w:lvl>
    <w:lvl w:ilvl="3" w:tplc="E9842300" w:tentative="1">
      <w:start w:val="1"/>
      <w:numFmt w:val="decimal"/>
      <w:lvlText w:val="%4."/>
      <w:lvlJc w:val="left"/>
      <w:pPr>
        <w:ind w:left="4018" w:hanging="360"/>
      </w:pPr>
    </w:lvl>
    <w:lvl w:ilvl="4" w:tplc="3AF8C768" w:tentative="1">
      <w:start w:val="1"/>
      <w:numFmt w:val="lowerLetter"/>
      <w:lvlText w:val="%5."/>
      <w:lvlJc w:val="left"/>
      <w:pPr>
        <w:ind w:left="4738" w:hanging="360"/>
      </w:pPr>
    </w:lvl>
    <w:lvl w:ilvl="5" w:tplc="99583DFA" w:tentative="1">
      <w:start w:val="1"/>
      <w:numFmt w:val="lowerRoman"/>
      <w:lvlText w:val="%6."/>
      <w:lvlJc w:val="right"/>
      <w:pPr>
        <w:ind w:left="5458" w:hanging="180"/>
      </w:pPr>
    </w:lvl>
    <w:lvl w:ilvl="6" w:tplc="F95AAF56" w:tentative="1">
      <w:start w:val="1"/>
      <w:numFmt w:val="decimal"/>
      <w:lvlText w:val="%7."/>
      <w:lvlJc w:val="left"/>
      <w:pPr>
        <w:ind w:left="6178" w:hanging="360"/>
      </w:pPr>
    </w:lvl>
    <w:lvl w:ilvl="7" w:tplc="2CD8BB24" w:tentative="1">
      <w:start w:val="1"/>
      <w:numFmt w:val="lowerLetter"/>
      <w:lvlText w:val="%8."/>
      <w:lvlJc w:val="left"/>
      <w:pPr>
        <w:ind w:left="6898" w:hanging="360"/>
      </w:pPr>
    </w:lvl>
    <w:lvl w:ilvl="8" w:tplc="FC087994" w:tentative="1">
      <w:start w:val="1"/>
      <w:numFmt w:val="lowerRoman"/>
      <w:lvlText w:val="%9."/>
      <w:lvlJc w:val="right"/>
      <w:pPr>
        <w:ind w:left="7618" w:hanging="180"/>
      </w:pPr>
    </w:lvl>
  </w:abstractNum>
  <w:abstractNum w:abstractNumId="15" w15:restartNumberingAfterBreak="0">
    <w:nsid w:val="3B0B597E"/>
    <w:multiLevelType w:val="hybridMultilevel"/>
    <w:tmpl w:val="C582C6B2"/>
    <w:lvl w:ilvl="0" w:tplc="00341AC4">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1494B1E4">
      <w:numFmt w:val="bullet"/>
      <w:lvlText w:val="•"/>
      <w:lvlJc w:val="left"/>
      <w:pPr>
        <w:ind w:left="1528" w:hanging="165"/>
      </w:pPr>
      <w:rPr>
        <w:rFonts w:ascii="Tahoma" w:eastAsiaTheme="minorHAnsi" w:hAnsi="Tahoma" w:cs="Tahoma" w:hint="default"/>
        <w:b/>
        <w:color w:val="FF0000"/>
        <w:sz w:val="21"/>
      </w:rPr>
    </w:lvl>
    <w:lvl w:ilvl="2" w:tplc="F8E87C48" w:tentative="1">
      <w:start w:val="1"/>
      <w:numFmt w:val="bullet"/>
      <w:lvlText w:val=""/>
      <w:lvlJc w:val="left"/>
      <w:pPr>
        <w:ind w:left="2443" w:hanging="360"/>
      </w:pPr>
      <w:rPr>
        <w:rFonts w:ascii="Wingdings" w:hAnsi="Wingdings" w:hint="default"/>
      </w:rPr>
    </w:lvl>
    <w:lvl w:ilvl="3" w:tplc="468CF052" w:tentative="1">
      <w:start w:val="1"/>
      <w:numFmt w:val="bullet"/>
      <w:lvlText w:val=""/>
      <w:lvlJc w:val="left"/>
      <w:pPr>
        <w:ind w:left="3163" w:hanging="360"/>
      </w:pPr>
      <w:rPr>
        <w:rFonts w:ascii="Symbol" w:hAnsi="Symbol" w:hint="default"/>
      </w:rPr>
    </w:lvl>
    <w:lvl w:ilvl="4" w:tplc="2D0EC768" w:tentative="1">
      <w:start w:val="1"/>
      <w:numFmt w:val="bullet"/>
      <w:lvlText w:val="o"/>
      <w:lvlJc w:val="left"/>
      <w:pPr>
        <w:ind w:left="3883" w:hanging="360"/>
      </w:pPr>
      <w:rPr>
        <w:rFonts w:ascii="Courier New" w:hAnsi="Courier New" w:cs="Courier New" w:hint="default"/>
      </w:rPr>
    </w:lvl>
    <w:lvl w:ilvl="5" w:tplc="62D274AC" w:tentative="1">
      <w:start w:val="1"/>
      <w:numFmt w:val="bullet"/>
      <w:lvlText w:val=""/>
      <w:lvlJc w:val="left"/>
      <w:pPr>
        <w:ind w:left="4603" w:hanging="360"/>
      </w:pPr>
      <w:rPr>
        <w:rFonts w:ascii="Wingdings" w:hAnsi="Wingdings" w:hint="default"/>
      </w:rPr>
    </w:lvl>
    <w:lvl w:ilvl="6" w:tplc="85A212DE" w:tentative="1">
      <w:start w:val="1"/>
      <w:numFmt w:val="bullet"/>
      <w:lvlText w:val=""/>
      <w:lvlJc w:val="left"/>
      <w:pPr>
        <w:ind w:left="5323" w:hanging="360"/>
      </w:pPr>
      <w:rPr>
        <w:rFonts w:ascii="Symbol" w:hAnsi="Symbol" w:hint="default"/>
      </w:rPr>
    </w:lvl>
    <w:lvl w:ilvl="7" w:tplc="1158BF2A" w:tentative="1">
      <w:start w:val="1"/>
      <w:numFmt w:val="bullet"/>
      <w:lvlText w:val="o"/>
      <w:lvlJc w:val="left"/>
      <w:pPr>
        <w:ind w:left="6043" w:hanging="360"/>
      </w:pPr>
      <w:rPr>
        <w:rFonts w:ascii="Courier New" w:hAnsi="Courier New" w:cs="Courier New" w:hint="default"/>
      </w:rPr>
    </w:lvl>
    <w:lvl w:ilvl="8" w:tplc="3FC27B4C" w:tentative="1">
      <w:start w:val="1"/>
      <w:numFmt w:val="bullet"/>
      <w:lvlText w:val=""/>
      <w:lvlJc w:val="left"/>
      <w:pPr>
        <w:ind w:left="6763" w:hanging="360"/>
      </w:pPr>
      <w:rPr>
        <w:rFonts w:ascii="Wingdings" w:hAnsi="Wingdings" w:hint="default"/>
      </w:rPr>
    </w:lvl>
  </w:abstractNum>
  <w:abstractNum w:abstractNumId="16" w15:restartNumberingAfterBreak="0">
    <w:nsid w:val="3DFC3F2B"/>
    <w:multiLevelType w:val="hybridMultilevel"/>
    <w:tmpl w:val="27902D54"/>
    <w:lvl w:ilvl="0" w:tplc="2DBCCB8C">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531E28B6" w:tentative="1">
      <w:start w:val="1"/>
      <w:numFmt w:val="bullet"/>
      <w:lvlText w:val="o"/>
      <w:lvlJc w:val="left"/>
      <w:pPr>
        <w:ind w:left="1440" w:hanging="360"/>
      </w:pPr>
      <w:rPr>
        <w:rFonts w:ascii="Courier New" w:hAnsi="Courier New" w:cs="Courier New" w:hint="default"/>
      </w:rPr>
    </w:lvl>
    <w:lvl w:ilvl="2" w:tplc="252EA49E" w:tentative="1">
      <w:start w:val="1"/>
      <w:numFmt w:val="bullet"/>
      <w:lvlText w:val=""/>
      <w:lvlJc w:val="left"/>
      <w:pPr>
        <w:ind w:left="2160" w:hanging="360"/>
      </w:pPr>
      <w:rPr>
        <w:rFonts w:ascii="Wingdings" w:hAnsi="Wingdings" w:hint="default"/>
      </w:rPr>
    </w:lvl>
    <w:lvl w:ilvl="3" w:tplc="ADA05E64" w:tentative="1">
      <w:start w:val="1"/>
      <w:numFmt w:val="bullet"/>
      <w:lvlText w:val=""/>
      <w:lvlJc w:val="left"/>
      <w:pPr>
        <w:ind w:left="2880" w:hanging="360"/>
      </w:pPr>
      <w:rPr>
        <w:rFonts w:ascii="Symbol" w:hAnsi="Symbol" w:hint="default"/>
      </w:rPr>
    </w:lvl>
    <w:lvl w:ilvl="4" w:tplc="754ED1F0" w:tentative="1">
      <w:start w:val="1"/>
      <w:numFmt w:val="bullet"/>
      <w:lvlText w:val="o"/>
      <w:lvlJc w:val="left"/>
      <w:pPr>
        <w:ind w:left="3600" w:hanging="360"/>
      </w:pPr>
      <w:rPr>
        <w:rFonts w:ascii="Courier New" w:hAnsi="Courier New" w:cs="Courier New" w:hint="default"/>
      </w:rPr>
    </w:lvl>
    <w:lvl w:ilvl="5" w:tplc="6BDC6DA8" w:tentative="1">
      <w:start w:val="1"/>
      <w:numFmt w:val="bullet"/>
      <w:lvlText w:val=""/>
      <w:lvlJc w:val="left"/>
      <w:pPr>
        <w:ind w:left="4320" w:hanging="360"/>
      </w:pPr>
      <w:rPr>
        <w:rFonts w:ascii="Wingdings" w:hAnsi="Wingdings" w:hint="default"/>
      </w:rPr>
    </w:lvl>
    <w:lvl w:ilvl="6" w:tplc="57F4984C" w:tentative="1">
      <w:start w:val="1"/>
      <w:numFmt w:val="bullet"/>
      <w:lvlText w:val=""/>
      <w:lvlJc w:val="left"/>
      <w:pPr>
        <w:ind w:left="5040" w:hanging="360"/>
      </w:pPr>
      <w:rPr>
        <w:rFonts w:ascii="Symbol" w:hAnsi="Symbol" w:hint="default"/>
      </w:rPr>
    </w:lvl>
    <w:lvl w:ilvl="7" w:tplc="3C2A67A8" w:tentative="1">
      <w:start w:val="1"/>
      <w:numFmt w:val="bullet"/>
      <w:lvlText w:val="o"/>
      <w:lvlJc w:val="left"/>
      <w:pPr>
        <w:ind w:left="5760" w:hanging="360"/>
      </w:pPr>
      <w:rPr>
        <w:rFonts w:ascii="Courier New" w:hAnsi="Courier New" w:cs="Courier New" w:hint="default"/>
      </w:rPr>
    </w:lvl>
    <w:lvl w:ilvl="8" w:tplc="19A07C06" w:tentative="1">
      <w:start w:val="1"/>
      <w:numFmt w:val="bullet"/>
      <w:lvlText w:val=""/>
      <w:lvlJc w:val="left"/>
      <w:pPr>
        <w:ind w:left="6480" w:hanging="360"/>
      </w:pPr>
      <w:rPr>
        <w:rFonts w:ascii="Wingdings" w:hAnsi="Wingdings" w:hint="default"/>
      </w:rPr>
    </w:lvl>
  </w:abstractNum>
  <w:abstractNum w:abstractNumId="17" w15:restartNumberingAfterBreak="0">
    <w:nsid w:val="40DC7E01"/>
    <w:multiLevelType w:val="hybridMultilevel"/>
    <w:tmpl w:val="5D24C320"/>
    <w:lvl w:ilvl="0" w:tplc="0832B974">
      <w:start w:val="1"/>
      <w:numFmt w:val="decimal"/>
      <w:pStyle w:val="3"/>
      <w:lvlText w:val="%1.1.1"/>
      <w:lvlJc w:val="left"/>
      <w:pPr>
        <w:ind w:left="1854" w:hanging="360"/>
      </w:pPr>
      <w:rPr>
        <w:rFonts w:hint="default"/>
      </w:rPr>
    </w:lvl>
    <w:lvl w:ilvl="1" w:tplc="19D08F5A" w:tentative="1">
      <w:start w:val="1"/>
      <w:numFmt w:val="lowerLetter"/>
      <w:lvlText w:val="%2."/>
      <w:lvlJc w:val="left"/>
      <w:pPr>
        <w:ind w:left="2574" w:hanging="360"/>
      </w:pPr>
    </w:lvl>
    <w:lvl w:ilvl="2" w:tplc="EEDABCE0" w:tentative="1">
      <w:start w:val="1"/>
      <w:numFmt w:val="lowerRoman"/>
      <w:lvlText w:val="%3."/>
      <w:lvlJc w:val="right"/>
      <w:pPr>
        <w:ind w:left="3294" w:hanging="180"/>
      </w:pPr>
    </w:lvl>
    <w:lvl w:ilvl="3" w:tplc="93A21126" w:tentative="1">
      <w:start w:val="1"/>
      <w:numFmt w:val="decimal"/>
      <w:lvlText w:val="%4."/>
      <w:lvlJc w:val="left"/>
      <w:pPr>
        <w:ind w:left="4014" w:hanging="360"/>
      </w:pPr>
    </w:lvl>
    <w:lvl w:ilvl="4" w:tplc="1E089406" w:tentative="1">
      <w:start w:val="1"/>
      <w:numFmt w:val="lowerLetter"/>
      <w:lvlText w:val="%5."/>
      <w:lvlJc w:val="left"/>
      <w:pPr>
        <w:ind w:left="4734" w:hanging="360"/>
      </w:pPr>
    </w:lvl>
    <w:lvl w:ilvl="5" w:tplc="0E24C566" w:tentative="1">
      <w:start w:val="1"/>
      <w:numFmt w:val="lowerRoman"/>
      <w:lvlText w:val="%6."/>
      <w:lvlJc w:val="right"/>
      <w:pPr>
        <w:ind w:left="5454" w:hanging="180"/>
      </w:pPr>
    </w:lvl>
    <w:lvl w:ilvl="6" w:tplc="4EB62EA4" w:tentative="1">
      <w:start w:val="1"/>
      <w:numFmt w:val="decimal"/>
      <w:lvlText w:val="%7."/>
      <w:lvlJc w:val="left"/>
      <w:pPr>
        <w:ind w:left="6174" w:hanging="360"/>
      </w:pPr>
    </w:lvl>
    <w:lvl w:ilvl="7" w:tplc="A5368160" w:tentative="1">
      <w:start w:val="1"/>
      <w:numFmt w:val="lowerLetter"/>
      <w:lvlText w:val="%8."/>
      <w:lvlJc w:val="left"/>
      <w:pPr>
        <w:ind w:left="6894" w:hanging="360"/>
      </w:pPr>
    </w:lvl>
    <w:lvl w:ilvl="8" w:tplc="D0A293B2" w:tentative="1">
      <w:start w:val="1"/>
      <w:numFmt w:val="lowerRoman"/>
      <w:lvlText w:val="%9."/>
      <w:lvlJc w:val="right"/>
      <w:pPr>
        <w:ind w:left="7614" w:hanging="180"/>
      </w:pPr>
    </w:lvl>
  </w:abstractNum>
  <w:abstractNum w:abstractNumId="18" w15:restartNumberingAfterBreak="0">
    <w:nsid w:val="441A6670"/>
    <w:multiLevelType w:val="hybridMultilevel"/>
    <w:tmpl w:val="369C82D6"/>
    <w:lvl w:ilvl="0" w:tplc="C5C6EA24">
      <w:start w:val="1"/>
      <w:numFmt w:val="hebrew1"/>
      <w:pStyle w:val="30"/>
      <w:lvlText w:val="%1."/>
      <w:lvlJc w:val="center"/>
      <w:pPr>
        <w:ind w:left="2705" w:hanging="360"/>
      </w:pPr>
    </w:lvl>
    <w:lvl w:ilvl="1" w:tplc="043A797C" w:tentative="1">
      <w:start w:val="1"/>
      <w:numFmt w:val="lowerLetter"/>
      <w:lvlText w:val="%2."/>
      <w:lvlJc w:val="left"/>
      <w:pPr>
        <w:ind w:left="3425" w:hanging="360"/>
      </w:pPr>
    </w:lvl>
    <w:lvl w:ilvl="2" w:tplc="FDBE140C" w:tentative="1">
      <w:start w:val="1"/>
      <w:numFmt w:val="lowerRoman"/>
      <w:lvlText w:val="%3."/>
      <w:lvlJc w:val="right"/>
      <w:pPr>
        <w:ind w:left="4145" w:hanging="180"/>
      </w:pPr>
    </w:lvl>
    <w:lvl w:ilvl="3" w:tplc="9678E576" w:tentative="1">
      <w:start w:val="1"/>
      <w:numFmt w:val="decimal"/>
      <w:lvlText w:val="%4."/>
      <w:lvlJc w:val="left"/>
      <w:pPr>
        <w:ind w:left="4865" w:hanging="360"/>
      </w:pPr>
    </w:lvl>
    <w:lvl w:ilvl="4" w:tplc="618EF346" w:tentative="1">
      <w:start w:val="1"/>
      <w:numFmt w:val="lowerLetter"/>
      <w:lvlText w:val="%5."/>
      <w:lvlJc w:val="left"/>
      <w:pPr>
        <w:ind w:left="5585" w:hanging="360"/>
      </w:pPr>
    </w:lvl>
    <w:lvl w:ilvl="5" w:tplc="7428B7F6" w:tentative="1">
      <w:start w:val="1"/>
      <w:numFmt w:val="lowerRoman"/>
      <w:lvlText w:val="%6."/>
      <w:lvlJc w:val="right"/>
      <w:pPr>
        <w:ind w:left="6305" w:hanging="180"/>
      </w:pPr>
    </w:lvl>
    <w:lvl w:ilvl="6" w:tplc="053E9288" w:tentative="1">
      <w:start w:val="1"/>
      <w:numFmt w:val="decimal"/>
      <w:lvlText w:val="%7."/>
      <w:lvlJc w:val="left"/>
      <w:pPr>
        <w:ind w:left="7025" w:hanging="360"/>
      </w:pPr>
    </w:lvl>
    <w:lvl w:ilvl="7" w:tplc="EBFCD4CC" w:tentative="1">
      <w:start w:val="1"/>
      <w:numFmt w:val="lowerLetter"/>
      <w:lvlText w:val="%8."/>
      <w:lvlJc w:val="left"/>
      <w:pPr>
        <w:ind w:left="7745" w:hanging="360"/>
      </w:pPr>
    </w:lvl>
    <w:lvl w:ilvl="8" w:tplc="0F12A3F6" w:tentative="1">
      <w:start w:val="1"/>
      <w:numFmt w:val="lowerRoman"/>
      <w:lvlText w:val="%9."/>
      <w:lvlJc w:val="right"/>
      <w:pPr>
        <w:ind w:left="8465" w:hanging="180"/>
      </w:pPr>
    </w:lvl>
  </w:abstractNum>
  <w:abstractNum w:abstractNumId="19" w15:restartNumberingAfterBreak="0">
    <w:nsid w:val="4DD35436"/>
    <w:multiLevelType w:val="hybridMultilevel"/>
    <w:tmpl w:val="EC1EC164"/>
    <w:lvl w:ilvl="0" w:tplc="7A4E6818">
      <w:start w:val="1"/>
      <w:numFmt w:val="decimal"/>
      <w:pStyle w:val="2"/>
      <w:lvlText w:val="%1.1"/>
      <w:lvlJc w:val="left"/>
      <w:pPr>
        <w:ind w:left="1860" w:hanging="360"/>
      </w:pPr>
      <w:rPr>
        <w:rFonts w:hint="default"/>
      </w:rPr>
    </w:lvl>
    <w:lvl w:ilvl="1" w:tplc="C1EAE648" w:tentative="1">
      <w:start w:val="1"/>
      <w:numFmt w:val="lowerLetter"/>
      <w:lvlText w:val="%2."/>
      <w:lvlJc w:val="left"/>
      <w:pPr>
        <w:ind w:left="2580" w:hanging="360"/>
      </w:pPr>
    </w:lvl>
    <w:lvl w:ilvl="2" w:tplc="1BC0DFA2" w:tentative="1">
      <w:start w:val="1"/>
      <w:numFmt w:val="lowerRoman"/>
      <w:lvlText w:val="%3."/>
      <w:lvlJc w:val="right"/>
      <w:pPr>
        <w:ind w:left="3300" w:hanging="180"/>
      </w:pPr>
    </w:lvl>
    <w:lvl w:ilvl="3" w:tplc="D7BE3C76" w:tentative="1">
      <w:start w:val="1"/>
      <w:numFmt w:val="decimal"/>
      <w:lvlText w:val="%4."/>
      <w:lvlJc w:val="left"/>
      <w:pPr>
        <w:ind w:left="4020" w:hanging="360"/>
      </w:pPr>
    </w:lvl>
    <w:lvl w:ilvl="4" w:tplc="E35E12E0" w:tentative="1">
      <w:start w:val="1"/>
      <w:numFmt w:val="lowerLetter"/>
      <w:lvlText w:val="%5."/>
      <w:lvlJc w:val="left"/>
      <w:pPr>
        <w:ind w:left="4740" w:hanging="360"/>
      </w:pPr>
    </w:lvl>
    <w:lvl w:ilvl="5" w:tplc="72245E1E" w:tentative="1">
      <w:start w:val="1"/>
      <w:numFmt w:val="lowerRoman"/>
      <w:lvlText w:val="%6."/>
      <w:lvlJc w:val="right"/>
      <w:pPr>
        <w:ind w:left="5460" w:hanging="180"/>
      </w:pPr>
    </w:lvl>
    <w:lvl w:ilvl="6" w:tplc="12ACC07C" w:tentative="1">
      <w:start w:val="1"/>
      <w:numFmt w:val="decimal"/>
      <w:lvlText w:val="%7."/>
      <w:lvlJc w:val="left"/>
      <w:pPr>
        <w:ind w:left="6180" w:hanging="360"/>
      </w:pPr>
    </w:lvl>
    <w:lvl w:ilvl="7" w:tplc="E0E41D94" w:tentative="1">
      <w:start w:val="1"/>
      <w:numFmt w:val="lowerLetter"/>
      <w:lvlText w:val="%8."/>
      <w:lvlJc w:val="left"/>
      <w:pPr>
        <w:ind w:left="6900" w:hanging="360"/>
      </w:pPr>
    </w:lvl>
    <w:lvl w:ilvl="8" w:tplc="24E0FA28" w:tentative="1">
      <w:start w:val="1"/>
      <w:numFmt w:val="lowerRoman"/>
      <w:lvlText w:val="%9."/>
      <w:lvlJc w:val="right"/>
      <w:pPr>
        <w:ind w:left="7620" w:hanging="180"/>
      </w:pPr>
    </w:lvl>
  </w:abstractNum>
  <w:abstractNum w:abstractNumId="20" w15:restartNumberingAfterBreak="0">
    <w:nsid w:val="59F011FB"/>
    <w:multiLevelType w:val="hybridMultilevel"/>
    <w:tmpl w:val="FBB8779C"/>
    <w:lvl w:ilvl="0" w:tplc="02467CF8">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C2560EBA" w:tentative="1">
      <w:start w:val="1"/>
      <w:numFmt w:val="bullet"/>
      <w:lvlText w:val="o"/>
      <w:lvlJc w:val="left"/>
      <w:pPr>
        <w:ind w:left="1440" w:hanging="360"/>
      </w:pPr>
      <w:rPr>
        <w:rFonts w:ascii="Courier New" w:hAnsi="Courier New" w:cs="Courier New" w:hint="default"/>
      </w:rPr>
    </w:lvl>
    <w:lvl w:ilvl="2" w:tplc="39B086C2" w:tentative="1">
      <w:start w:val="1"/>
      <w:numFmt w:val="bullet"/>
      <w:lvlText w:val=""/>
      <w:lvlJc w:val="left"/>
      <w:pPr>
        <w:ind w:left="2160" w:hanging="360"/>
      </w:pPr>
      <w:rPr>
        <w:rFonts w:ascii="Wingdings" w:hAnsi="Wingdings" w:hint="default"/>
      </w:rPr>
    </w:lvl>
    <w:lvl w:ilvl="3" w:tplc="49B8A30C" w:tentative="1">
      <w:start w:val="1"/>
      <w:numFmt w:val="bullet"/>
      <w:lvlText w:val=""/>
      <w:lvlJc w:val="left"/>
      <w:pPr>
        <w:ind w:left="2880" w:hanging="360"/>
      </w:pPr>
      <w:rPr>
        <w:rFonts w:ascii="Symbol" w:hAnsi="Symbol" w:hint="default"/>
      </w:rPr>
    </w:lvl>
    <w:lvl w:ilvl="4" w:tplc="6BCE3440" w:tentative="1">
      <w:start w:val="1"/>
      <w:numFmt w:val="bullet"/>
      <w:lvlText w:val="o"/>
      <w:lvlJc w:val="left"/>
      <w:pPr>
        <w:ind w:left="3600" w:hanging="360"/>
      </w:pPr>
      <w:rPr>
        <w:rFonts w:ascii="Courier New" w:hAnsi="Courier New" w:cs="Courier New" w:hint="default"/>
      </w:rPr>
    </w:lvl>
    <w:lvl w:ilvl="5" w:tplc="DF8CAB42" w:tentative="1">
      <w:start w:val="1"/>
      <w:numFmt w:val="bullet"/>
      <w:lvlText w:val=""/>
      <w:lvlJc w:val="left"/>
      <w:pPr>
        <w:ind w:left="4320" w:hanging="360"/>
      </w:pPr>
      <w:rPr>
        <w:rFonts w:ascii="Wingdings" w:hAnsi="Wingdings" w:hint="default"/>
      </w:rPr>
    </w:lvl>
    <w:lvl w:ilvl="6" w:tplc="B544743C" w:tentative="1">
      <w:start w:val="1"/>
      <w:numFmt w:val="bullet"/>
      <w:lvlText w:val=""/>
      <w:lvlJc w:val="left"/>
      <w:pPr>
        <w:ind w:left="5040" w:hanging="360"/>
      </w:pPr>
      <w:rPr>
        <w:rFonts w:ascii="Symbol" w:hAnsi="Symbol" w:hint="default"/>
      </w:rPr>
    </w:lvl>
    <w:lvl w:ilvl="7" w:tplc="7C1A751E" w:tentative="1">
      <w:start w:val="1"/>
      <w:numFmt w:val="bullet"/>
      <w:lvlText w:val="o"/>
      <w:lvlJc w:val="left"/>
      <w:pPr>
        <w:ind w:left="5760" w:hanging="360"/>
      </w:pPr>
      <w:rPr>
        <w:rFonts w:ascii="Courier New" w:hAnsi="Courier New" w:cs="Courier New" w:hint="default"/>
      </w:rPr>
    </w:lvl>
    <w:lvl w:ilvl="8" w:tplc="9DFC61DC" w:tentative="1">
      <w:start w:val="1"/>
      <w:numFmt w:val="bullet"/>
      <w:lvlText w:val=""/>
      <w:lvlJc w:val="left"/>
      <w:pPr>
        <w:ind w:left="6480" w:hanging="360"/>
      </w:pPr>
      <w:rPr>
        <w:rFonts w:ascii="Wingdings" w:hAnsi="Wingdings" w:hint="default"/>
      </w:rPr>
    </w:lvl>
  </w:abstractNum>
  <w:abstractNum w:abstractNumId="21" w15:restartNumberingAfterBreak="0">
    <w:nsid w:val="6079445E"/>
    <w:multiLevelType w:val="hybridMultilevel"/>
    <w:tmpl w:val="CDCA638E"/>
    <w:lvl w:ilvl="0" w:tplc="429CB01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FD1EF0D8" w:tentative="1">
      <w:start w:val="1"/>
      <w:numFmt w:val="bullet"/>
      <w:lvlText w:val="o"/>
      <w:lvlJc w:val="left"/>
      <w:pPr>
        <w:ind w:left="1080" w:hanging="360"/>
      </w:pPr>
      <w:rPr>
        <w:rFonts w:ascii="Courier New" w:hAnsi="Courier New" w:cs="Courier New" w:hint="default"/>
      </w:rPr>
    </w:lvl>
    <w:lvl w:ilvl="2" w:tplc="50BC8F94" w:tentative="1">
      <w:start w:val="1"/>
      <w:numFmt w:val="bullet"/>
      <w:lvlText w:val=""/>
      <w:lvlJc w:val="left"/>
      <w:pPr>
        <w:ind w:left="1800" w:hanging="360"/>
      </w:pPr>
      <w:rPr>
        <w:rFonts w:ascii="Wingdings" w:hAnsi="Wingdings" w:hint="default"/>
      </w:rPr>
    </w:lvl>
    <w:lvl w:ilvl="3" w:tplc="C052BE52" w:tentative="1">
      <w:start w:val="1"/>
      <w:numFmt w:val="bullet"/>
      <w:lvlText w:val=""/>
      <w:lvlJc w:val="left"/>
      <w:pPr>
        <w:ind w:left="2520" w:hanging="360"/>
      </w:pPr>
      <w:rPr>
        <w:rFonts w:ascii="Symbol" w:hAnsi="Symbol" w:hint="default"/>
      </w:rPr>
    </w:lvl>
    <w:lvl w:ilvl="4" w:tplc="CB9EF022" w:tentative="1">
      <w:start w:val="1"/>
      <w:numFmt w:val="bullet"/>
      <w:lvlText w:val="o"/>
      <w:lvlJc w:val="left"/>
      <w:pPr>
        <w:ind w:left="3240" w:hanging="360"/>
      </w:pPr>
      <w:rPr>
        <w:rFonts w:ascii="Courier New" w:hAnsi="Courier New" w:cs="Courier New" w:hint="default"/>
      </w:rPr>
    </w:lvl>
    <w:lvl w:ilvl="5" w:tplc="036A7524" w:tentative="1">
      <w:start w:val="1"/>
      <w:numFmt w:val="bullet"/>
      <w:lvlText w:val=""/>
      <w:lvlJc w:val="left"/>
      <w:pPr>
        <w:ind w:left="3960" w:hanging="360"/>
      </w:pPr>
      <w:rPr>
        <w:rFonts w:ascii="Wingdings" w:hAnsi="Wingdings" w:hint="default"/>
      </w:rPr>
    </w:lvl>
    <w:lvl w:ilvl="6" w:tplc="3F783808" w:tentative="1">
      <w:start w:val="1"/>
      <w:numFmt w:val="bullet"/>
      <w:lvlText w:val=""/>
      <w:lvlJc w:val="left"/>
      <w:pPr>
        <w:ind w:left="4680" w:hanging="360"/>
      </w:pPr>
      <w:rPr>
        <w:rFonts w:ascii="Symbol" w:hAnsi="Symbol" w:hint="default"/>
      </w:rPr>
    </w:lvl>
    <w:lvl w:ilvl="7" w:tplc="1DFC937C" w:tentative="1">
      <w:start w:val="1"/>
      <w:numFmt w:val="bullet"/>
      <w:lvlText w:val="o"/>
      <w:lvlJc w:val="left"/>
      <w:pPr>
        <w:ind w:left="5400" w:hanging="360"/>
      </w:pPr>
      <w:rPr>
        <w:rFonts w:ascii="Courier New" w:hAnsi="Courier New" w:cs="Courier New" w:hint="default"/>
      </w:rPr>
    </w:lvl>
    <w:lvl w:ilvl="8" w:tplc="6512EBE8" w:tentative="1">
      <w:start w:val="1"/>
      <w:numFmt w:val="bullet"/>
      <w:lvlText w:val=""/>
      <w:lvlJc w:val="left"/>
      <w:pPr>
        <w:ind w:left="6120" w:hanging="360"/>
      </w:pPr>
      <w:rPr>
        <w:rFonts w:ascii="Wingdings" w:hAnsi="Wingdings" w:hint="default"/>
      </w:rPr>
    </w:lvl>
  </w:abstractNum>
  <w:abstractNum w:abstractNumId="22" w15:restartNumberingAfterBreak="0">
    <w:nsid w:val="64D20E7C"/>
    <w:multiLevelType w:val="hybridMultilevel"/>
    <w:tmpl w:val="65723190"/>
    <w:lvl w:ilvl="0" w:tplc="7ECCBE98">
      <w:start w:val="1"/>
      <w:numFmt w:val="bullet"/>
      <w:lvlText w:val="!"/>
      <w:lvlJc w:val="left"/>
      <w:pPr>
        <w:ind w:left="720" w:hanging="360"/>
      </w:pPr>
      <w:rPr>
        <w:rFonts w:ascii="Sitka Text" w:hAnsi="Sitka Text" w:cs="Symbol"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5678F"/>
    <w:multiLevelType w:val="hybridMultilevel"/>
    <w:tmpl w:val="8844FB18"/>
    <w:lvl w:ilvl="0" w:tplc="4AF60F5A">
      <w:start w:val="1"/>
      <w:numFmt w:val="bullet"/>
      <w:lvlText w:val=""/>
      <w:lvlJc w:val="left"/>
      <w:pPr>
        <w:ind w:left="1080" w:hanging="360"/>
      </w:pPr>
      <w:rPr>
        <w:rFonts w:ascii="Symbol" w:hAnsi="Symbol" w:hint="default"/>
        <w:color w:val="FF0000"/>
        <w:lang w:val="en-US"/>
      </w:rPr>
    </w:lvl>
    <w:lvl w:ilvl="1" w:tplc="5776A818" w:tentative="1">
      <w:start w:val="1"/>
      <w:numFmt w:val="lowerLetter"/>
      <w:lvlText w:val="%2."/>
      <w:lvlJc w:val="left"/>
      <w:pPr>
        <w:ind w:left="1800" w:hanging="360"/>
      </w:pPr>
    </w:lvl>
    <w:lvl w:ilvl="2" w:tplc="44C0D0AE" w:tentative="1">
      <w:start w:val="1"/>
      <w:numFmt w:val="lowerRoman"/>
      <w:lvlText w:val="%3."/>
      <w:lvlJc w:val="right"/>
      <w:pPr>
        <w:ind w:left="2520" w:hanging="180"/>
      </w:pPr>
    </w:lvl>
    <w:lvl w:ilvl="3" w:tplc="2780DA22" w:tentative="1">
      <w:start w:val="1"/>
      <w:numFmt w:val="decimal"/>
      <w:lvlText w:val="%4."/>
      <w:lvlJc w:val="left"/>
      <w:pPr>
        <w:ind w:left="3240" w:hanging="360"/>
      </w:pPr>
    </w:lvl>
    <w:lvl w:ilvl="4" w:tplc="F75C2932" w:tentative="1">
      <w:start w:val="1"/>
      <w:numFmt w:val="lowerLetter"/>
      <w:lvlText w:val="%5."/>
      <w:lvlJc w:val="left"/>
      <w:pPr>
        <w:ind w:left="3960" w:hanging="360"/>
      </w:pPr>
    </w:lvl>
    <w:lvl w:ilvl="5" w:tplc="C74C3B3E" w:tentative="1">
      <w:start w:val="1"/>
      <w:numFmt w:val="lowerRoman"/>
      <w:lvlText w:val="%6."/>
      <w:lvlJc w:val="right"/>
      <w:pPr>
        <w:ind w:left="4680" w:hanging="180"/>
      </w:pPr>
    </w:lvl>
    <w:lvl w:ilvl="6" w:tplc="1DCC7D52" w:tentative="1">
      <w:start w:val="1"/>
      <w:numFmt w:val="decimal"/>
      <w:lvlText w:val="%7."/>
      <w:lvlJc w:val="left"/>
      <w:pPr>
        <w:ind w:left="5400" w:hanging="360"/>
      </w:pPr>
    </w:lvl>
    <w:lvl w:ilvl="7" w:tplc="47E2FC74" w:tentative="1">
      <w:start w:val="1"/>
      <w:numFmt w:val="lowerLetter"/>
      <w:lvlText w:val="%8."/>
      <w:lvlJc w:val="left"/>
      <w:pPr>
        <w:ind w:left="6120" w:hanging="360"/>
      </w:pPr>
    </w:lvl>
    <w:lvl w:ilvl="8" w:tplc="9D462710" w:tentative="1">
      <w:start w:val="1"/>
      <w:numFmt w:val="lowerRoman"/>
      <w:lvlText w:val="%9."/>
      <w:lvlJc w:val="right"/>
      <w:pPr>
        <w:ind w:left="6840" w:hanging="180"/>
      </w:pPr>
    </w:lvl>
  </w:abstractNum>
  <w:abstractNum w:abstractNumId="24" w15:restartNumberingAfterBreak="0">
    <w:nsid w:val="665B09CB"/>
    <w:multiLevelType w:val="hybridMultilevel"/>
    <w:tmpl w:val="F98283A0"/>
    <w:lvl w:ilvl="0" w:tplc="DD102DDE">
      <w:start w:val="1"/>
      <w:numFmt w:val="bullet"/>
      <w:pStyle w:val="5"/>
      <w:lvlText w:val=""/>
      <w:lvlJc w:val="left"/>
      <w:pPr>
        <w:ind w:left="1854" w:hanging="360"/>
      </w:pPr>
      <w:rPr>
        <w:rFonts w:ascii="Wingdings" w:hAnsi="Wingdings" w:hint="default"/>
        <w:color w:val="FFF400"/>
      </w:rPr>
    </w:lvl>
    <w:lvl w:ilvl="1" w:tplc="FBC666D6" w:tentative="1">
      <w:start w:val="1"/>
      <w:numFmt w:val="lowerLetter"/>
      <w:lvlText w:val="%2."/>
      <w:lvlJc w:val="left"/>
      <w:pPr>
        <w:ind w:left="2574" w:hanging="360"/>
      </w:pPr>
    </w:lvl>
    <w:lvl w:ilvl="2" w:tplc="885EED60" w:tentative="1">
      <w:start w:val="1"/>
      <w:numFmt w:val="lowerRoman"/>
      <w:lvlText w:val="%3."/>
      <w:lvlJc w:val="right"/>
      <w:pPr>
        <w:ind w:left="3294" w:hanging="180"/>
      </w:pPr>
    </w:lvl>
    <w:lvl w:ilvl="3" w:tplc="16F050CC" w:tentative="1">
      <w:start w:val="1"/>
      <w:numFmt w:val="decimal"/>
      <w:lvlText w:val="%4."/>
      <w:lvlJc w:val="left"/>
      <w:pPr>
        <w:ind w:left="4014" w:hanging="360"/>
      </w:pPr>
    </w:lvl>
    <w:lvl w:ilvl="4" w:tplc="FD2C2C4A" w:tentative="1">
      <w:start w:val="1"/>
      <w:numFmt w:val="lowerLetter"/>
      <w:lvlText w:val="%5."/>
      <w:lvlJc w:val="left"/>
      <w:pPr>
        <w:ind w:left="4734" w:hanging="360"/>
      </w:pPr>
    </w:lvl>
    <w:lvl w:ilvl="5" w:tplc="A28A1B94" w:tentative="1">
      <w:start w:val="1"/>
      <w:numFmt w:val="lowerRoman"/>
      <w:lvlText w:val="%6."/>
      <w:lvlJc w:val="right"/>
      <w:pPr>
        <w:ind w:left="5454" w:hanging="180"/>
      </w:pPr>
    </w:lvl>
    <w:lvl w:ilvl="6" w:tplc="7A1C02A0" w:tentative="1">
      <w:start w:val="1"/>
      <w:numFmt w:val="decimal"/>
      <w:lvlText w:val="%7."/>
      <w:lvlJc w:val="left"/>
      <w:pPr>
        <w:ind w:left="6174" w:hanging="360"/>
      </w:pPr>
    </w:lvl>
    <w:lvl w:ilvl="7" w:tplc="2E0A939A" w:tentative="1">
      <w:start w:val="1"/>
      <w:numFmt w:val="lowerLetter"/>
      <w:lvlText w:val="%8."/>
      <w:lvlJc w:val="left"/>
      <w:pPr>
        <w:ind w:left="6894" w:hanging="360"/>
      </w:pPr>
    </w:lvl>
    <w:lvl w:ilvl="8" w:tplc="03A41422" w:tentative="1">
      <w:start w:val="1"/>
      <w:numFmt w:val="lowerRoman"/>
      <w:lvlText w:val="%9."/>
      <w:lvlJc w:val="right"/>
      <w:pPr>
        <w:ind w:left="7614" w:hanging="180"/>
      </w:pPr>
    </w:lvl>
  </w:abstractNum>
  <w:abstractNum w:abstractNumId="25" w15:restartNumberingAfterBreak="0">
    <w:nsid w:val="6699458C"/>
    <w:multiLevelType w:val="hybridMultilevel"/>
    <w:tmpl w:val="55725EA0"/>
    <w:lvl w:ilvl="0" w:tplc="B056409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1">
      <w:start w:val="1"/>
      <w:numFmt w:val="bullet"/>
      <w:lvlText w:val=""/>
      <w:lvlJc w:val="left"/>
      <w:pPr>
        <w:ind w:left="1080" w:hanging="360"/>
      </w:pPr>
      <w:rPr>
        <w:rFonts w:ascii="Symbol" w:hAnsi="Symbol" w:hint="default"/>
        <w:color w:val="FF0000"/>
      </w:rPr>
    </w:lvl>
    <w:lvl w:ilvl="2" w:tplc="034607C4">
      <w:start w:val="1"/>
      <w:numFmt w:val="bullet"/>
      <w:lvlText w:val=""/>
      <w:lvlJc w:val="left"/>
      <w:pPr>
        <w:ind w:left="1800" w:hanging="360"/>
      </w:pPr>
      <w:rPr>
        <w:rFonts w:ascii="Wingdings" w:hAnsi="Wingdings" w:hint="default"/>
      </w:rPr>
    </w:lvl>
    <w:lvl w:ilvl="3" w:tplc="66369092" w:tentative="1">
      <w:start w:val="1"/>
      <w:numFmt w:val="bullet"/>
      <w:lvlText w:val=""/>
      <w:lvlJc w:val="left"/>
      <w:pPr>
        <w:ind w:left="2520" w:hanging="360"/>
      </w:pPr>
      <w:rPr>
        <w:rFonts w:ascii="Symbol" w:hAnsi="Symbol" w:hint="default"/>
      </w:rPr>
    </w:lvl>
    <w:lvl w:ilvl="4" w:tplc="AB3CCE0E" w:tentative="1">
      <w:start w:val="1"/>
      <w:numFmt w:val="bullet"/>
      <w:lvlText w:val="o"/>
      <w:lvlJc w:val="left"/>
      <w:pPr>
        <w:ind w:left="3240" w:hanging="360"/>
      </w:pPr>
      <w:rPr>
        <w:rFonts w:ascii="Courier New" w:hAnsi="Courier New" w:cs="Courier New" w:hint="default"/>
      </w:rPr>
    </w:lvl>
    <w:lvl w:ilvl="5" w:tplc="856C2816" w:tentative="1">
      <w:start w:val="1"/>
      <w:numFmt w:val="bullet"/>
      <w:lvlText w:val=""/>
      <w:lvlJc w:val="left"/>
      <w:pPr>
        <w:ind w:left="3960" w:hanging="360"/>
      </w:pPr>
      <w:rPr>
        <w:rFonts w:ascii="Wingdings" w:hAnsi="Wingdings" w:hint="default"/>
      </w:rPr>
    </w:lvl>
    <w:lvl w:ilvl="6" w:tplc="5652F9D2" w:tentative="1">
      <w:start w:val="1"/>
      <w:numFmt w:val="bullet"/>
      <w:lvlText w:val=""/>
      <w:lvlJc w:val="left"/>
      <w:pPr>
        <w:ind w:left="4680" w:hanging="360"/>
      </w:pPr>
      <w:rPr>
        <w:rFonts w:ascii="Symbol" w:hAnsi="Symbol" w:hint="default"/>
      </w:rPr>
    </w:lvl>
    <w:lvl w:ilvl="7" w:tplc="81A03430" w:tentative="1">
      <w:start w:val="1"/>
      <w:numFmt w:val="bullet"/>
      <w:lvlText w:val="o"/>
      <w:lvlJc w:val="left"/>
      <w:pPr>
        <w:ind w:left="5400" w:hanging="360"/>
      </w:pPr>
      <w:rPr>
        <w:rFonts w:ascii="Courier New" w:hAnsi="Courier New" w:cs="Courier New" w:hint="default"/>
      </w:rPr>
    </w:lvl>
    <w:lvl w:ilvl="8" w:tplc="9AA40BD4" w:tentative="1">
      <w:start w:val="1"/>
      <w:numFmt w:val="bullet"/>
      <w:lvlText w:val=""/>
      <w:lvlJc w:val="left"/>
      <w:pPr>
        <w:ind w:left="6120" w:hanging="360"/>
      </w:pPr>
      <w:rPr>
        <w:rFonts w:ascii="Wingdings" w:hAnsi="Wingdings" w:hint="default"/>
      </w:rPr>
    </w:lvl>
  </w:abstractNum>
  <w:abstractNum w:abstractNumId="26" w15:restartNumberingAfterBreak="0">
    <w:nsid w:val="778F7677"/>
    <w:multiLevelType w:val="hybridMultilevel"/>
    <w:tmpl w:val="257EC434"/>
    <w:lvl w:ilvl="0" w:tplc="5992A22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180E49DE" w:tentative="1">
      <w:start w:val="1"/>
      <w:numFmt w:val="bullet"/>
      <w:lvlText w:val="o"/>
      <w:lvlJc w:val="left"/>
      <w:pPr>
        <w:ind w:left="1440" w:hanging="360"/>
      </w:pPr>
      <w:rPr>
        <w:rFonts w:ascii="Courier New" w:hAnsi="Courier New" w:cs="Courier New" w:hint="default"/>
      </w:rPr>
    </w:lvl>
    <w:lvl w:ilvl="2" w:tplc="5AD88EF4" w:tentative="1">
      <w:start w:val="1"/>
      <w:numFmt w:val="bullet"/>
      <w:lvlText w:val=""/>
      <w:lvlJc w:val="left"/>
      <w:pPr>
        <w:ind w:left="2160" w:hanging="360"/>
      </w:pPr>
      <w:rPr>
        <w:rFonts w:ascii="Wingdings" w:hAnsi="Wingdings" w:hint="default"/>
      </w:rPr>
    </w:lvl>
    <w:lvl w:ilvl="3" w:tplc="BCF240EA" w:tentative="1">
      <w:start w:val="1"/>
      <w:numFmt w:val="bullet"/>
      <w:lvlText w:val=""/>
      <w:lvlJc w:val="left"/>
      <w:pPr>
        <w:ind w:left="2880" w:hanging="360"/>
      </w:pPr>
      <w:rPr>
        <w:rFonts w:ascii="Symbol" w:hAnsi="Symbol" w:hint="default"/>
      </w:rPr>
    </w:lvl>
    <w:lvl w:ilvl="4" w:tplc="D8F25C9C" w:tentative="1">
      <w:start w:val="1"/>
      <w:numFmt w:val="bullet"/>
      <w:lvlText w:val="o"/>
      <w:lvlJc w:val="left"/>
      <w:pPr>
        <w:ind w:left="3600" w:hanging="360"/>
      </w:pPr>
      <w:rPr>
        <w:rFonts w:ascii="Courier New" w:hAnsi="Courier New" w:cs="Courier New" w:hint="default"/>
      </w:rPr>
    </w:lvl>
    <w:lvl w:ilvl="5" w:tplc="65A859D6" w:tentative="1">
      <w:start w:val="1"/>
      <w:numFmt w:val="bullet"/>
      <w:lvlText w:val=""/>
      <w:lvlJc w:val="left"/>
      <w:pPr>
        <w:ind w:left="4320" w:hanging="360"/>
      </w:pPr>
      <w:rPr>
        <w:rFonts w:ascii="Wingdings" w:hAnsi="Wingdings" w:hint="default"/>
      </w:rPr>
    </w:lvl>
    <w:lvl w:ilvl="6" w:tplc="CC904CC2" w:tentative="1">
      <w:start w:val="1"/>
      <w:numFmt w:val="bullet"/>
      <w:lvlText w:val=""/>
      <w:lvlJc w:val="left"/>
      <w:pPr>
        <w:ind w:left="5040" w:hanging="360"/>
      </w:pPr>
      <w:rPr>
        <w:rFonts w:ascii="Symbol" w:hAnsi="Symbol" w:hint="default"/>
      </w:rPr>
    </w:lvl>
    <w:lvl w:ilvl="7" w:tplc="3F30906A" w:tentative="1">
      <w:start w:val="1"/>
      <w:numFmt w:val="bullet"/>
      <w:lvlText w:val="o"/>
      <w:lvlJc w:val="left"/>
      <w:pPr>
        <w:ind w:left="5760" w:hanging="360"/>
      </w:pPr>
      <w:rPr>
        <w:rFonts w:ascii="Courier New" w:hAnsi="Courier New" w:cs="Courier New" w:hint="default"/>
      </w:rPr>
    </w:lvl>
    <w:lvl w:ilvl="8" w:tplc="B1466458" w:tentative="1">
      <w:start w:val="1"/>
      <w:numFmt w:val="bullet"/>
      <w:lvlText w:val=""/>
      <w:lvlJc w:val="left"/>
      <w:pPr>
        <w:ind w:left="6480" w:hanging="360"/>
      </w:pPr>
      <w:rPr>
        <w:rFonts w:ascii="Wingdings" w:hAnsi="Wingdings" w:hint="default"/>
      </w:rPr>
    </w:lvl>
  </w:abstractNum>
  <w:abstractNum w:abstractNumId="27" w15:restartNumberingAfterBreak="0">
    <w:nsid w:val="7E431D00"/>
    <w:multiLevelType w:val="hybridMultilevel"/>
    <w:tmpl w:val="7576C230"/>
    <w:lvl w:ilvl="0" w:tplc="B9BCF9F4">
      <w:start w:val="1"/>
      <w:numFmt w:val="decimal"/>
      <w:pStyle w:val="10"/>
      <w:lvlText w:val="%1."/>
      <w:lvlJc w:val="left"/>
      <w:pPr>
        <w:ind w:left="1858" w:hanging="360"/>
      </w:pPr>
      <w:rPr>
        <w:rFonts w:ascii="Calibri" w:hAnsi="Calibri" w:cs="Calibri" w:hint="default"/>
        <w:b/>
        <w:bCs/>
        <w:i w:val="0"/>
        <w:iCs w:val="0"/>
        <w:color w:val="002060"/>
        <w:sz w:val="40"/>
        <w:szCs w:val="40"/>
      </w:rPr>
    </w:lvl>
    <w:lvl w:ilvl="1" w:tplc="A788AC88" w:tentative="1">
      <w:start w:val="1"/>
      <w:numFmt w:val="lowerLetter"/>
      <w:lvlText w:val="%2."/>
      <w:lvlJc w:val="left"/>
      <w:pPr>
        <w:ind w:left="2578" w:hanging="360"/>
      </w:pPr>
    </w:lvl>
    <w:lvl w:ilvl="2" w:tplc="807EDF1E" w:tentative="1">
      <w:start w:val="1"/>
      <w:numFmt w:val="lowerRoman"/>
      <w:lvlText w:val="%3."/>
      <w:lvlJc w:val="right"/>
      <w:pPr>
        <w:ind w:left="3298" w:hanging="180"/>
      </w:pPr>
    </w:lvl>
    <w:lvl w:ilvl="3" w:tplc="17F09038" w:tentative="1">
      <w:start w:val="1"/>
      <w:numFmt w:val="decimal"/>
      <w:lvlText w:val="%4."/>
      <w:lvlJc w:val="left"/>
      <w:pPr>
        <w:ind w:left="4018" w:hanging="360"/>
      </w:pPr>
    </w:lvl>
    <w:lvl w:ilvl="4" w:tplc="2AB260C6" w:tentative="1">
      <w:start w:val="1"/>
      <w:numFmt w:val="lowerLetter"/>
      <w:lvlText w:val="%5."/>
      <w:lvlJc w:val="left"/>
      <w:pPr>
        <w:ind w:left="4738" w:hanging="360"/>
      </w:pPr>
    </w:lvl>
    <w:lvl w:ilvl="5" w:tplc="FF96A898" w:tentative="1">
      <w:start w:val="1"/>
      <w:numFmt w:val="lowerRoman"/>
      <w:lvlText w:val="%6."/>
      <w:lvlJc w:val="right"/>
      <w:pPr>
        <w:ind w:left="5458" w:hanging="180"/>
      </w:pPr>
    </w:lvl>
    <w:lvl w:ilvl="6" w:tplc="75362FEC" w:tentative="1">
      <w:start w:val="1"/>
      <w:numFmt w:val="decimal"/>
      <w:lvlText w:val="%7."/>
      <w:lvlJc w:val="left"/>
      <w:pPr>
        <w:ind w:left="6178" w:hanging="360"/>
      </w:pPr>
    </w:lvl>
    <w:lvl w:ilvl="7" w:tplc="B7CE04BA" w:tentative="1">
      <w:start w:val="1"/>
      <w:numFmt w:val="lowerLetter"/>
      <w:lvlText w:val="%8."/>
      <w:lvlJc w:val="left"/>
      <w:pPr>
        <w:ind w:left="6898" w:hanging="360"/>
      </w:pPr>
    </w:lvl>
    <w:lvl w:ilvl="8" w:tplc="A658FC16" w:tentative="1">
      <w:start w:val="1"/>
      <w:numFmt w:val="lowerRoman"/>
      <w:lvlText w:val="%9."/>
      <w:lvlJc w:val="right"/>
      <w:pPr>
        <w:ind w:left="7618" w:hanging="180"/>
      </w:pPr>
    </w:lvl>
  </w:abstractNum>
  <w:num w:numId="1">
    <w:abstractNumId w:val="27"/>
  </w:num>
  <w:num w:numId="2">
    <w:abstractNumId w:val="19"/>
  </w:num>
  <w:num w:numId="3">
    <w:abstractNumId w:val="17"/>
  </w:num>
  <w:num w:numId="4">
    <w:abstractNumId w:val="0"/>
  </w:num>
  <w:num w:numId="5">
    <w:abstractNumId w:val="18"/>
  </w:num>
  <w:num w:numId="6">
    <w:abstractNumId w:val="24"/>
  </w:num>
  <w:num w:numId="7">
    <w:abstractNumId w:val="14"/>
  </w:num>
  <w:num w:numId="8">
    <w:abstractNumId w:val="10"/>
  </w:num>
  <w:num w:numId="9">
    <w:abstractNumId w:val="9"/>
  </w:num>
  <w:num w:numId="10">
    <w:abstractNumId w:val="11"/>
  </w:num>
  <w:num w:numId="11">
    <w:abstractNumId w:val="25"/>
  </w:num>
  <w:num w:numId="12">
    <w:abstractNumId w:val="21"/>
  </w:num>
  <w:num w:numId="13">
    <w:abstractNumId w:val="20"/>
  </w:num>
  <w:num w:numId="14">
    <w:abstractNumId w:val="23"/>
  </w:num>
  <w:num w:numId="15">
    <w:abstractNumId w:val="1"/>
  </w:num>
  <w:num w:numId="16">
    <w:abstractNumId w:val="6"/>
  </w:num>
  <w:num w:numId="17">
    <w:abstractNumId w:val="7"/>
  </w:num>
  <w:num w:numId="18">
    <w:abstractNumId w:val="2"/>
  </w:num>
  <w:num w:numId="19">
    <w:abstractNumId w:val="12"/>
  </w:num>
  <w:num w:numId="20">
    <w:abstractNumId w:val="16"/>
  </w:num>
  <w:num w:numId="21">
    <w:abstractNumId w:val="5"/>
  </w:num>
  <w:num w:numId="22">
    <w:abstractNumId w:val="3"/>
  </w:num>
  <w:num w:numId="23">
    <w:abstractNumId w:val="26"/>
  </w:num>
  <w:num w:numId="24">
    <w:abstractNumId w:val="4"/>
  </w:num>
  <w:num w:numId="25">
    <w:abstractNumId w:val="13"/>
  </w:num>
  <w:num w:numId="26">
    <w:abstractNumId w:val="15"/>
  </w:num>
  <w:num w:numId="27">
    <w:abstractNumId w:val="8"/>
  </w:num>
  <w:num w:numId="28">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30DCF"/>
    <w:rsid w:val="000314B9"/>
    <w:rsid w:val="00042837"/>
    <w:rsid w:val="00043627"/>
    <w:rsid w:val="000501A4"/>
    <w:rsid w:val="000532AA"/>
    <w:rsid w:val="00084768"/>
    <w:rsid w:val="00087064"/>
    <w:rsid w:val="00092F16"/>
    <w:rsid w:val="000A3E17"/>
    <w:rsid w:val="000B1102"/>
    <w:rsid w:val="000B463F"/>
    <w:rsid w:val="000C6528"/>
    <w:rsid w:val="000C7459"/>
    <w:rsid w:val="000D221E"/>
    <w:rsid w:val="000E013E"/>
    <w:rsid w:val="000F7725"/>
    <w:rsid w:val="000F780F"/>
    <w:rsid w:val="00101D0F"/>
    <w:rsid w:val="001135D8"/>
    <w:rsid w:val="00113E28"/>
    <w:rsid w:val="00114325"/>
    <w:rsid w:val="00164D9B"/>
    <w:rsid w:val="00166477"/>
    <w:rsid w:val="001730B0"/>
    <w:rsid w:val="001960B4"/>
    <w:rsid w:val="0019747C"/>
    <w:rsid w:val="001A3BBC"/>
    <w:rsid w:val="001A613C"/>
    <w:rsid w:val="001B2821"/>
    <w:rsid w:val="001C057E"/>
    <w:rsid w:val="001C28E3"/>
    <w:rsid w:val="001C6185"/>
    <w:rsid w:val="001D3DA9"/>
    <w:rsid w:val="001E204F"/>
    <w:rsid w:val="001E4270"/>
    <w:rsid w:val="001F0CD9"/>
    <w:rsid w:val="00203604"/>
    <w:rsid w:val="002064F7"/>
    <w:rsid w:val="00212D9D"/>
    <w:rsid w:val="00240887"/>
    <w:rsid w:val="002518F4"/>
    <w:rsid w:val="002602F0"/>
    <w:rsid w:val="00263521"/>
    <w:rsid w:val="002665C8"/>
    <w:rsid w:val="00276705"/>
    <w:rsid w:val="00280723"/>
    <w:rsid w:val="00291629"/>
    <w:rsid w:val="002A7D21"/>
    <w:rsid w:val="002C0C75"/>
    <w:rsid w:val="002C0FD0"/>
    <w:rsid w:val="002C1EE0"/>
    <w:rsid w:val="002C4139"/>
    <w:rsid w:val="00301153"/>
    <w:rsid w:val="00304119"/>
    <w:rsid w:val="0030602D"/>
    <w:rsid w:val="00310345"/>
    <w:rsid w:val="00313DEA"/>
    <w:rsid w:val="0032268D"/>
    <w:rsid w:val="00323027"/>
    <w:rsid w:val="00327FCC"/>
    <w:rsid w:val="00330009"/>
    <w:rsid w:val="00340353"/>
    <w:rsid w:val="0036735A"/>
    <w:rsid w:val="0037370B"/>
    <w:rsid w:val="0037752E"/>
    <w:rsid w:val="0037780B"/>
    <w:rsid w:val="00380052"/>
    <w:rsid w:val="00386E9B"/>
    <w:rsid w:val="0039415D"/>
    <w:rsid w:val="003D61C6"/>
    <w:rsid w:val="003E58C2"/>
    <w:rsid w:val="003E6853"/>
    <w:rsid w:val="00411396"/>
    <w:rsid w:val="0042177E"/>
    <w:rsid w:val="00450C77"/>
    <w:rsid w:val="004562F8"/>
    <w:rsid w:val="004672FB"/>
    <w:rsid w:val="004779AA"/>
    <w:rsid w:val="00483ED4"/>
    <w:rsid w:val="00493AB8"/>
    <w:rsid w:val="004A0385"/>
    <w:rsid w:val="004C7D9F"/>
    <w:rsid w:val="004E2733"/>
    <w:rsid w:val="004E488A"/>
    <w:rsid w:val="004F0AB4"/>
    <w:rsid w:val="005006C5"/>
    <w:rsid w:val="00524C99"/>
    <w:rsid w:val="005426A1"/>
    <w:rsid w:val="00551B42"/>
    <w:rsid w:val="00551FF7"/>
    <w:rsid w:val="00574579"/>
    <w:rsid w:val="00577CAE"/>
    <w:rsid w:val="00580C5C"/>
    <w:rsid w:val="005A021D"/>
    <w:rsid w:val="005A09B4"/>
    <w:rsid w:val="005B2688"/>
    <w:rsid w:val="005C3049"/>
    <w:rsid w:val="005C7ABF"/>
    <w:rsid w:val="005D135D"/>
    <w:rsid w:val="005D2CBD"/>
    <w:rsid w:val="005E62A6"/>
    <w:rsid w:val="005F4A6D"/>
    <w:rsid w:val="00602674"/>
    <w:rsid w:val="0062451B"/>
    <w:rsid w:val="0062456C"/>
    <w:rsid w:val="00632687"/>
    <w:rsid w:val="00634DAD"/>
    <w:rsid w:val="0063556C"/>
    <w:rsid w:val="00640B60"/>
    <w:rsid w:val="006457EB"/>
    <w:rsid w:val="006531CB"/>
    <w:rsid w:val="006569CD"/>
    <w:rsid w:val="006615C6"/>
    <w:rsid w:val="006730B7"/>
    <w:rsid w:val="006A0446"/>
    <w:rsid w:val="006A646E"/>
    <w:rsid w:val="006B125A"/>
    <w:rsid w:val="006B1593"/>
    <w:rsid w:val="006B7706"/>
    <w:rsid w:val="006C0492"/>
    <w:rsid w:val="006C4033"/>
    <w:rsid w:val="006D4161"/>
    <w:rsid w:val="006D786C"/>
    <w:rsid w:val="006E1414"/>
    <w:rsid w:val="006F285F"/>
    <w:rsid w:val="00706321"/>
    <w:rsid w:val="00716AFD"/>
    <w:rsid w:val="0072219B"/>
    <w:rsid w:val="00734948"/>
    <w:rsid w:val="007353C4"/>
    <w:rsid w:val="007474F0"/>
    <w:rsid w:val="00753ADE"/>
    <w:rsid w:val="00771278"/>
    <w:rsid w:val="00773F61"/>
    <w:rsid w:val="00785736"/>
    <w:rsid w:val="007A21BC"/>
    <w:rsid w:val="007A4EBD"/>
    <w:rsid w:val="007B112B"/>
    <w:rsid w:val="007B2BA2"/>
    <w:rsid w:val="007B5B26"/>
    <w:rsid w:val="007B691A"/>
    <w:rsid w:val="007C1FF6"/>
    <w:rsid w:val="007D61B8"/>
    <w:rsid w:val="007E24BD"/>
    <w:rsid w:val="007F7FF2"/>
    <w:rsid w:val="00805B42"/>
    <w:rsid w:val="008102AD"/>
    <w:rsid w:val="00824AB2"/>
    <w:rsid w:val="00837997"/>
    <w:rsid w:val="008654CB"/>
    <w:rsid w:val="00867FC5"/>
    <w:rsid w:val="00882327"/>
    <w:rsid w:val="0088743F"/>
    <w:rsid w:val="00892F80"/>
    <w:rsid w:val="0089467C"/>
    <w:rsid w:val="00897698"/>
    <w:rsid w:val="008A2E0E"/>
    <w:rsid w:val="008B4F41"/>
    <w:rsid w:val="008B5B82"/>
    <w:rsid w:val="008C1428"/>
    <w:rsid w:val="008C6F75"/>
    <w:rsid w:val="008D750B"/>
    <w:rsid w:val="009015B2"/>
    <w:rsid w:val="00906E90"/>
    <w:rsid w:val="0091051D"/>
    <w:rsid w:val="00936F84"/>
    <w:rsid w:val="00940851"/>
    <w:rsid w:val="009679D9"/>
    <w:rsid w:val="009912C8"/>
    <w:rsid w:val="009961E8"/>
    <w:rsid w:val="009A6817"/>
    <w:rsid w:val="009B0AEC"/>
    <w:rsid w:val="009B497A"/>
    <w:rsid w:val="009C3E62"/>
    <w:rsid w:val="009C6066"/>
    <w:rsid w:val="009D45C5"/>
    <w:rsid w:val="009D73F5"/>
    <w:rsid w:val="009E1A3F"/>
    <w:rsid w:val="009E53CF"/>
    <w:rsid w:val="009F0BD3"/>
    <w:rsid w:val="00A055D0"/>
    <w:rsid w:val="00A222E2"/>
    <w:rsid w:val="00A30B00"/>
    <w:rsid w:val="00A61AD5"/>
    <w:rsid w:val="00A6765F"/>
    <w:rsid w:val="00A73038"/>
    <w:rsid w:val="00A76C99"/>
    <w:rsid w:val="00A81EBE"/>
    <w:rsid w:val="00AA6A41"/>
    <w:rsid w:val="00AB465B"/>
    <w:rsid w:val="00AB66C8"/>
    <w:rsid w:val="00AC6B95"/>
    <w:rsid w:val="00AD1000"/>
    <w:rsid w:val="00AD1DE1"/>
    <w:rsid w:val="00AD44B9"/>
    <w:rsid w:val="00AE741B"/>
    <w:rsid w:val="00AF3B73"/>
    <w:rsid w:val="00B00E5C"/>
    <w:rsid w:val="00B04068"/>
    <w:rsid w:val="00B14FC8"/>
    <w:rsid w:val="00B4321D"/>
    <w:rsid w:val="00B55E70"/>
    <w:rsid w:val="00B666B9"/>
    <w:rsid w:val="00B75E06"/>
    <w:rsid w:val="00B76DC1"/>
    <w:rsid w:val="00B862C0"/>
    <w:rsid w:val="00B94CC2"/>
    <w:rsid w:val="00BC05CA"/>
    <w:rsid w:val="00BD2291"/>
    <w:rsid w:val="00BD291C"/>
    <w:rsid w:val="00BD5B24"/>
    <w:rsid w:val="00BE22D7"/>
    <w:rsid w:val="00BE2DD8"/>
    <w:rsid w:val="00C2305A"/>
    <w:rsid w:val="00C23CC9"/>
    <w:rsid w:val="00C30B3D"/>
    <w:rsid w:val="00C33AE2"/>
    <w:rsid w:val="00C36C5E"/>
    <w:rsid w:val="00C4493E"/>
    <w:rsid w:val="00C4664C"/>
    <w:rsid w:val="00C4789A"/>
    <w:rsid w:val="00C75A49"/>
    <w:rsid w:val="00C8096C"/>
    <w:rsid w:val="00C8100B"/>
    <w:rsid w:val="00C92141"/>
    <w:rsid w:val="00CA346E"/>
    <w:rsid w:val="00CA37DE"/>
    <w:rsid w:val="00CA38DE"/>
    <w:rsid w:val="00CA41D2"/>
    <w:rsid w:val="00CA4EB1"/>
    <w:rsid w:val="00CA4F20"/>
    <w:rsid w:val="00CD0287"/>
    <w:rsid w:val="00CD5320"/>
    <w:rsid w:val="00CD6EEC"/>
    <w:rsid w:val="00CF6518"/>
    <w:rsid w:val="00D22748"/>
    <w:rsid w:val="00D26918"/>
    <w:rsid w:val="00D37121"/>
    <w:rsid w:val="00D57BE9"/>
    <w:rsid w:val="00D71966"/>
    <w:rsid w:val="00D779F7"/>
    <w:rsid w:val="00D87542"/>
    <w:rsid w:val="00D95C20"/>
    <w:rsid w:val="00D97C16"/>
    <w:rsid w:val="00DA3406"/>
    <w:rsid w:val="00DA3D0E"/>
    <w:rsid w:val="00DA67CB"/>
    <w:rsid w:val="00DA6C44"/>
    <w:rsid w:val="00DB2E3A"/>
    <w:rsid w:val="00DB6E18"/>
    <w:rsid w:val="00DE1DAB"/>
    <w:rsid w:val="00DE20A2"/>
    <w:rsid w:val="00DF0B89"/>
    <w:rsid w:val="00E019DA"/>
    <w:rsid w:val="00E03093"/>
    <w:rsid w:val="00E24125"/>
    <w:rsid w:val="00E35682"/>
    <w:rsid w:val="00E46EA3"/>
    <w:rsid w:val="00E51C1B"/>
    <w:rsid w:val="00E52143"/>
    <w:rsid w:val="00E53DA7"/>
    <w:rsid w:val="00E678C7"/>
    <w:rsid w:val="00E725B9"/>
    <w:rsid w:val="00E92DB1"/>
    <w:rsid w:val="00EC6B44"/>
    <w:rsid w:val="00ED7266"/>
    <w:rsid w:val="00EE37A3"/>
    <w:rsid w:val="00EE407E"/>
    <w:rsid w:val="00F30558"/>
    <w:rsid w:val="00F4385E"/>
    <w:rsid w:val="00F56CE4"/>
    <w:rsid w:val="00F627EB"/>
    <w:rsid w:val="00F66FC8"/>
    <w:rsid w:val="00F75A10"/>
    <w:rsid w:val="00F77276"/>
    <w:rsid w:val="00F87D2D"/>
    <w:rsid w:val="00F92629"/>
    <w:rsid w:val="00F95853"/>
    <w:rsid w:val="00FA48C8"/>
    <w:rsid w:val="00FB3F26"/>
    <w:rsid w:val="00FB414E"/>
    <w:rsid w:val="00FC3213"/>
    <w:rsid w:val="00FC48C6"/>
    <w:rsid w:val="00FD3AB1"/>
    <w:rsid w:val="00FE3035"/>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9"/>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9"/>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9"/>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9"/>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9"/>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9"/>
    <w:rsid w:val="006D786C"/>
    <w:rPr>
      <w:rFonts w:eastAsiaTheme="majorEastAsia"/>
      <w:bCs/>
      <w:szCs w:val="28"/>
      <w:u w:val="single"/>
    </w:rPr>
  </w:style>
  <w:style w:type="character" w:customStyle="1" w:styleId="40">
    <w:name w:val="כותרת 4 תו"/>
    <w:basedOn w:val="a4"/>
    <w:link w:val="4"/>
    <w:uiPriority w:val="9"/>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1,FOOTNOTES,Footnote Text - Sharp,Footnote Text - Sharp Char,Footnote Text - Sharp Char Char,Footnote Text Char Char Char Char Char,Footnote reference,Sharp - Footnote Text,Sharp - Footnote Text1 Char,fn,footnote text"/>
    <w:basedOn w:val="a3"/>
    <w:link w:val="af0"/>
    <w:uiPriority w:val="99"/>
    <w:qFormat/>
    <w:rsid w:val="00574579"/>
    <w:pPr>
      <w:spacing w:line="240" w:lineRule="auto"/>
      <w:ind w:left="720" w:hanging="720"/>
    </w:pPr>
    <w:rPr>
      <w:szCs w:val="20"/>
    </w:rPr>
  </w:style>
  <w:style w:type="character" w:customStyle="1" w:styleId="af0">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32268D"/>
    <w:pPr>
      <w:spacing w:after="180" w:line="288" w:lineRule="auto"/>
    </w:pPr>
    <w:rPr>
      <w:rFonts w:ascii="Tahoma" w:hAnsi="Tahoma" w:cs="Tahoma"/>
      <w:color w:val="0D0D0D" w:themeColor="text1" w:themeTint="F2"/>
      <w:sz w:val="18"/>
      <w:szCs w:val="18"/>
    </w:rPr>
  </w:style>
  <w:style w:type="character" w:customStyle="1" w:styleId="7390">
    <w:name w:val="73א טקסט רץ 9 תו"/>
    <w:basedOn w:val="a4"/>
    <w:link w:val="739"/>
    <w:rsid w:val="0032268D"/>
    <w:rPr>
      <w:rFonts w:ascii="Tahoma" w:hAnsi="Tahoma" w:cs="Tahoma"/>
      <w:color w:val="0D0D0D" w:themeColor="text1" w:themeTint="F2"/>
      <w:sz w:val="18"/>
      <w:szCs w:val="18"/>
    </w:rPr>
  </w:style>
  <w:style w:type="paragraph" w:customStyle="1" w:styleId="71">
    <w:name w:val="71ג הערות שוליים"/>
    <w:basedOn w:val="af"/>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3"/>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4"/>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3"/>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4"/>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3"/>
    <w:qFormat/>
    <w:rsid w:val="0032268D"/>
    <w:pPr>
      <w:spacing w:after="240" w:line="288" w:lineRule="auto"/>
      <w:ind w:left="397"/>
    </w:pPr>
    <w:rPr>
      <w:rFonts w:ascii="Tahoma" w:hAnsi="Tahoma" w:cs="Tahoma"/>
      <w:color w:val="0D0D0D" w:themeColor="text1" w:themeTint="F2"/>
      <w:sz w:val="18"/>
      <w:szCs w:val="18"/>
    </w:rPr>
  </w:style>
  <w:style w:type="paragraph" w:customStyle="1" w:styleId="730">
    <w:name w:val="73א פעולות ביקורת"/>
    <w:basedOn w:val="a3"/>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4"/>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3"/>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4"/>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3"/>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4"/>
    <w:link w:val="733"/>
    <w:rsid w:val="00BE22D7"/>
    <w:rPr>
      <w:rFonts w:ascii="Tahoma" w:hAnsi="Tahoma" w:cs="Tahoma"/>
      <w:b/>
      <w:bCs/>
      <w:color w:val="FFFFFF" w:themeColor="background1"/>
      <w:sz w:val="22"/>
      <w:szCs w:val="22"/>
    </w:rPr>
  </w:style>
  <w:style w:type="character" w:styleId="affff3">
    <w:name w:val="page number"/>
    <w:basedOn w:val="a4"/>
    <w:uiPriority w:val="99"/>
    <w:semiHidden/>
    <w:unhideWhenUsed/>
    <w:rsid w:val="005C3049"/>
  </w:style>
  <w:style w:type="table" w:customStyle="1" w:styleId="110">
    <w:name w:val="רשת טבלה11"/>
    <w:basedOn w:val="a5"/>
    <w:next w:val="af4"/>
    <w:uiPriority w:val="59"/>
    <w:rsid w:val="001E4270"/>
    <w:pPr>
      <w:spacing w:after="0" w:line="240" w:lineRule="auto"/>
    </w:pPr>
    <w:rPr>
      <w:rFonts w:ascii="Tahoma" w:hAnsi="Tahoma"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רשת טבלה4"/>
    <w:basedOn w:val="a5"/>
    <w:next w:val="af4"/>
    <w:uiPriority w:val="59"/>
    <w:rsid w:val="001E4270"/>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4A15B6-7377-44D1-81BC-09AB3A16102F}">
  <ds:schemaRefs>
    <ds:schemaRef ds:uri="http://schemas.openxmlformats.org/officeDocument/2006/bibliography"/>
  </ds:schemaRefs>
</ds:datastoreItem>
</file>

<file path=customXml/itemProps2.xml><?xml version="1.0" encoding="utf-8"?>
<ds:datastoreItem xmlns:ds="http://schemas.openxmlformats.org/officeDocument/2006/customXml" ds:itemID="{4BFC9A4B-E20C-439A-AE37-768B09B44D4C}"/>
</file>

<file path=customXml/itemProps3.xml><?xml version="1.0" encoding="utf-8"?>
<ds:datastoreItem xmlns:ds="http://schemas.openxmlformats.org/officeDocument/2006/customXml" ds:itemID="{DDAADD2C-FF50-4014-B275-8EC5B1E6EEBC}"/>
</file>

<file path=customXml/itemProps4.xml><?xml version="1.0" encoding="utf-8"?>
<ds:datastoreItem xmlns:ds="http://schemas.openxmlformats.org/officeDocument/2006/customXml" ds:itemID="{BF16744A-0F98-422F-9CAF-8F56796CCD24}"/>
</file>

<file path=docProps/app.xml><?xml version="1.0" encoding="utf-8"?>
<Properties xmlns="http://schemas.openxmlformats.org/officeDocument/2006/extended-properties" xmlns:vt="http://schemas.openxmlformats.org/officeDocument/2006/docPropsVTypes">
  <Template>Normal.dotm</Template>
  <TotalTime>132</TotalTime>
  <Pages>19</Pages>
  <Words>4957</Words>
  <Characters>24787</Characters>
  <Application>Microsoft Office Word</Application>
  <DocSecurity>0</DocSecurity>
  <Lines>206</Lines>
  <Paragraphs>59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הילה מסקלצ'י</cp:lastModifiedBy>
  <cp:revision>22</cp:revision>
  <cp:lastPrinted>2025-10-15T10:06:00Z</cp:lastPrinted>
  <dcterms:created xsi:type="dcterms:W3CDTF">2025-12-30T09:25:00Z</dcterms:created>
  <dcterms:modified xsi:type="dcterms:W3CDTF">2026-01-01T08:55:00Z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