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F238DF" w:rsidP="006E1414">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F238DF">
        <w:rPr>
          <w:rFonts w:ascii="Calibri" w:hAnsi="Calibri" w:cs="Calibri"/>
          <w:b/>
          <w:bCs/>
          <w:color w:val="002060"/>
          <w:sz w:val="80"/>
          <w:szCs w:val="80"/>
          <w:rtl/>
        </w:rPr>
        <w:t>מיגון ומקלוט ברשויות המקומיות</w:t>
      </w:r>
    </w:p>
    <w:p w:rsidR="00291629" w:rsidRDefault="009961E8" w:rsidP="00A30B00">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lastRenderedPageBreak/>
        <w:br w:type="page"/>
      </w:r>
    </w:p>
    <w:p w:rsidR="00C4789A" w:rsidRDefault="00C4789A" w:rsidP="00A30B00">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A56113" w:rsidRDefault="00A56113" w:rsidP="00493AB8">
            <w:pPr>
              <w:spacing w:before="120" w:line="288" w:lineRule="auto"/>
              <w:jc w:val="left"/>
              <w:rPr>
                <w:rFonts w:ascii="Tahoma" w:hAnsi="Tahoma" w:cs="Tahoma"/>
                <w:b/>
                <w:bCs/>
                <w:sz w:val="40"/>
                <w:szCs w:val="40"/>
                <w:rtl/>
              </w:rPr>
            </w:pPr>
            <w:r w:rsidRPr="00A56113">
              <w:rPr>
                <w:rFonts w:ascii="Tahoma" w:hAnsi="Tahoma" w:cs="Tahoma"/>
                <w:b/>
                <w:bCs/>
                <w:sz w:val="40"/>
                <w:szCs w:val="40"/>
                <w:rtl/>
              </w:rPr>
              <w:t>מיגון ומקלוט ברשויות המקומיות</w:t>
            </w:r>
          </w:p>
          <w:p w:rsidR="00C4789A" w:rsidRDefault="009961E8" w:rsidP="00493AB8">
            <w:pPr>
              <w:spacing w:before="120" w:line="288" w:lineRule="auto"/>
              <w:jc w:val="left"/>
            </w:pPr>
            <w:r>
              <w:rPr>
                <w:rFonts w:ascii="Tahoma" w:hAnsi="Tahoma" w:cs="Tahoma"/>
                <w:sz w:val="36"/>
                <w:szCs w:val="36"/>
                <w:rtl/>
              </w:rPr>
              <w:t>תקציר</w:t>
            </w:r>
          </w:p>
          <w:p w:rsidR="00C4789A" w:rsidRPr="006C4033" w:rsidRDefault="00C4789A" w:rsidP="00493AB8">
            <w:pPr>
              <w:spacing w:line="288" w:lineRule="auto"/>
              <w:ind w:left="-851"/>
              <w:jc w:val="left"/>
              <w:rPr>
                <w:rtl/>
              </w:rPr>
            </w:pPr>
          </w:p>
        </w:tc>
      </w:tr>
    </w:tbl>
    <w:p w:rsidR="00C4789A" w:rsidRPr="006C4033" w:rsidRDefault="009961E8"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535D8F" w:rsidRPr="00535D8F" w:rsidRDefault="00535D8F" w:rsidP="00F04231">
      <w:pPr>
        <w:pStyle w:val="739"/>
        <w:spacing w:after="120"/>
        <w:rPr>
          <w:sz w:val="19"/>
          <w:szCs w:val="19"/>
          <w:rtl/>
        </w:rPr>
      </w:pPr>
      <w:r w:rsidRPr="00535D8F">
        <w:rPr>
          <w:sz w:val="19"/>
          <w:szCs w:val="19"/>
          <w:rtl/>
        </w:rPr>
        <w:t xml:space="preserve">מאז מתקפת הפתע של ארגון חמאס ב-7.10.23 ועד נובמבר 2024 שוגרו לעבר שטחי מדינת ישראל יותר </w:t>
      </w:r>
      <w:r>
        <w:rPr>
          <w:sz w:val="19"/>
          <w:szCs w:val="19"/>
          <w:rtl/>
        </w:rPr>
        <w:br/>
      </w:r>
      <w:r w:rsidRPr="00535D8F">
        <w:rPr>
          <w:sz w:val="19"/>
          <w:szCs w:val="19"/>
          <w:rtl/>
        </w:rPr>
        <w:t xml:space="preserve">מ-27,000 טילים, רקטות וכלי טיס בלתי מאוישים (כטב"מים) קטלניים, והם גרמו לאובדן חיי אדם ולפגיעה במבנים ובתשתיות. נכון לסוף נובמבר 2024 לפחות 63 אזרחים ישראלים וזרים נהרגו מירי טילים, רקטות. המיגון הפיזי - המציב חיץ בין איום זה ובין האוכלוסייה - נועד למזער את הפגיעות הפיזיות בבני אדם ואת מספר הנפגעים, וכפועל יוצא - להציל חיים. קיומם של אמצעי מיגון פיזי להגנה על כלל אוכלוסיית מדינת ישראל הוא תנאי הכרחי להתמודדות עם איום הטילים והרקטות, ולבד מהגנה על האוכלוסייה הוא מאפשר לקיים שגרת חירום ולתת שירותים חיוניים לתושבים. מיגון זה כולל, בין היתר, את האמצעים האלה: מרחב מוגן דירתי (ממ"ד) או קומתי (ממ"ק); מקלט בבית פרטי; מקלט משותף הבנוי בקומת הקרקע או במרתף של בניין מגורים משותף; מקלט ציבורי (המוני) הבנוי באזור מגורים ונועד לשמש את התושבים המתגוררים בסמוך לו ואת המזדמנים למקום בעת חירום; ומחסה ציבורי. </w:t>
      </w:r>
    </w:p>
    <w:p w:rsidR="00C4789A" w:rsidRDefault="00535D8F" w:rsidP="00535D8F">
      <w:pPr>
        <w:pStyle w:val="739"/>
        <w:rPr>
          <w:rtl/>
        </w:rPr>
      </w:pPr>
      <w:r w:rsidRPr="00535D8F">
        <w:rPr>
          <w:sz w:val="19"/>
          <w:szCs w:val="19"/>
          <w:rtl/>
        </w:rPr>
        <w:t>פיקוד העורף (פקע"ר) הוא בעל הסמכויות העיקרי להכין ולבצע את תוכניות ההתגוננות האזרחית של המדינה, והוא משמש רשות מוסמכת כמשמעותה בחוק ההתגוננות האזרחית, התשי"א-1951 (חוק הג"א), בנושא המקלוט הוא אמון על הדרישות ההנדסיות שלפיהן יתוכננו וייבנו המקלטים - בין הציבוריים ובין הפרטיים. כמו כן, לפקע"ר סמכות להורות לכל רשות מקומית להבטיח את התקנתם של מקלטים פרטיים והחזקתם התקינה על ידי בעלי בתים ובעלי מפעלים</w:t>
      </w:r>
      <w:r w:rsidR="009961E8">
        <w:t>.</w:t>
      </w:r>
    </w:p>
    <w:p w:rsidR="001D3DA9" w:rsidRPr="00C4789A" w:rsidRDefault="009961E8" w:rsidP="00C4789A">
      <w:pPr>
        <w:bidi w:val="0"/>
        <w:spacing w:after="200" w:line="276" w:lineRule="auto"/>
        <w:rPr>
          <w:rFonts w:ascii="Tahoma" w:hAnsi="Tahoma" w:cs="Tahoma"/>
          <w:color w:val="0D0D0D" w:themeColor="text1" w:themeTint="F2"/>
          <w:sz w:val="18"/>
          <w:szCs w:val="18"/>
          <w:rtl/>
        </w:rPr>
      </w:pPr>
      <w:r>
        <w:rPr>
          <w:rtl/>
        </w:rPr>
        <w:br w:type="page"/>
      </w:r>
    </w:p>
    <w:p w:rsidR="001D3DA9" w:rsidRPr="007E24BD" w:rsidRDefault="009961E8" w:rsidP="00A34461">
      <w:pPr>
        <w:spacing w:line="288" w:lineRule="auto"/>
        <w:ind w:left="-426"/>
        <w:rPr>
          <w:sz w:val="12"/>
          <w:szCs w:val="16"/>
          <w:rtl/>
        </w:rPr>
      </w:pPr>
      <w:r w:rsidRPr="006C4033">
        <w:rPr>
          <w:rFonts w:ascii="Tahoma" w:hAnsi="Tahoma" w:cs="Tahoma"/>
          <w:noProof/>
          <w:rtl/>
        </w:rPr>
        <w:lastRenderedPageBreak/>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RDefault="001D3DA9" w:rsidP="001D3DA9">
      <w:pPr>
        <w:spacing w:line="288" w:lineRule="auto"/>
        <w:ind w:left="-1"/>
        <w:rPr>
          <w:sz w:val="10"/>
          <w:szCs w:val="14"/>
          <w:rtl/>
        </w:rPr>
      </w:pPr>
    </w:p>
    <w:tbl>
      <w:tblPr>
        <w:tblStyle w:val="27"/>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77"/>
        <w:gridCol w:w="2274"/>
        <w:gridCol w:w="278"/>
        <w:gridCol w:w="2274"/>
        <w:gridCol w:w="277"/>
        <w:gridCol w:w="2130"/>
      </w:tblGrid>
      <w:tr w:rsidR="00003BAE" w:rsidRPr="00003BAE" w:rsidTr="00A34461">
        <w:trPr>
          <w:trHeight w:val="283"/>
        </w:trPr>
        <w:tc>
          <w:tcPr>
            <w:tcW w:w="2132" w:type="dxa"/>
            <w:tcBorders>
              <w:bottom w:val="single" w:sz="12" w:space="0" w:color="auto"/>
            </w:tcBorders>
            <w:shd w:val="clear" w:color="auto" w:fill="auto"/>
            <w:vAlign w:val="bottom"/>
          </w:tcPr>
          <w:p w:rsidR="00003BAE" w:rsidRPr="00003BAE" w:rsidRDefault="00003BAE" w:rsidP="00623AB0">
            <w:pPr>
              <w:spacing w:after="60" w:line="240" w:lineRule="auto"/>
              <w:rPr>
                <w:rFonts w:ascii="Tahoma" w:eastAsia="Calibri" w:hAnsi="Tahoma" w:cs="Tahoma"/>
                <w:spacing w:val="-10"/>
                <w:sz w:val="36"/>
                <w:szCs w:val="36"/>
                <w:rtl/>
              </w:rPr>
            </w:pPr>
            <w:r w:rsidRPr="00003BAE">
              <w:rPr>
                <w:rFonts w:ascii="Tahoma" w:eastAsia="Calibri" w:hAnsi="Tahoma" w:cs="Tahoma" w:hint="cs"/>
                <w:spacing w:val="-10"/>
                <w:sz w:val="26"/>
                <w:szCs w:val="26"/>
                <w:rtl/>
              </w:rPr>
              <w:t>לכ-</w:t>
            </w:r>
            <w:r w:rsidRPr="00003BAE">
              <w:rPr>
                <w:rFonts w:ascii="Tahoma" w:eastAsia="Calibri" w:hAnsi="Tahoma" w:cs="Tahoma" w:hint="cs"/>
                <w:spacing w:val="-10"/>
                <w:sz w:val="36"/>
                <w:szCs w:val="36"/>
                <w:rtl/>
              </w:rPr>
              <w:t xml:space="preserve">3.2 </w:t>
            </w:r>
            <w:r w:rsidRPr="00003BAE">
              <w:rPr>
                <w:rFonts w:ascii="Tahoma" w:eastAsia="Calibri" w:hAnsi="Tahoma" w:cs="Tahoma" w:hint="cs"/>
                <w:spacing w:val="-10"/>
                <w:sz w:val="26"/>
                <w:szCs w:val="26"/>
                <w:rtl/>
              </w:rPr>
              <w:t>מיליון תושבי</w:t>
            </w:r>
            <w:r w:rsidRPr="00003BAE">
              <w:rPr>
                <w:rFonts w:ascii="Tahoma" w:eastAsia="Calibri" w:hAnsi="Tahoma" w:cs="Tahoma" w:hint="cs"/>
                <w:spacing w:val="-10"/>
                <w:sz w:val="36"/>
                <w:szCs w:val="36"/>
                <w:rtl/>
              </w:rPr>
              <w:t xml:space="preserve"> </w:t>
            </w:r>
            <w:r w:rsidRPr="00003BAE">
              <w:rPr>
                <w:rFonts w:ascii="Tahoma" w:eastAsia="Calibri" w:hAnsi="Tahoma" w:cs="Tahoma" w:hint="cs"/>
                <w:spacing w:val="-10"/>
                <w:sz w:val="26"/>
                <w:szCs w:val="26"/>
                <w:rtl/>
              </w:rPr>
              <w:t>ישראל</w:t>
            </w:r>
          </w:p>
        </w:tc>
        <w:tc>
          <w:tcPr>
            <w:tcW w:w="277" w:type="dxa"/>
          </w:tcPr>
          <w:p w:rsidR="00003BAE" w:rsidRPr="00003BAE" w:rsidRDefault="00003BAE" w:rsidP="00003BAE">
            <w:pPr>
              <w:spacing w:line="240" w:lineRule="auto"/>
              <w:rPr>
                <w:rFonts w:ascii="Tahoma" w:eastAsia="Calibri" w:hAnsi="Tahoma" w:cs="Tahoma"/>
                <w:spacing w:val="-10"/>
              </w:rPr>
            </w:pPr>
          </w:p>
        </w:tc>
        <w:tc>
          <w:tcPr>
            <w:tcW w:w="2274" w:type="dxa"/>
            <w:tcBorders>
              <w:bottom w:val="single" w:sz="12" w:space="0" w:color="auto"/>
            </w:tcBorders>
            <w:vAlign w:val="bottom"/>
          </w:tcPr>
          <w:p w:rsidR="00003BAE" w:rsidRPr="00003BAE" w:rsidRDefault="00003BAE" w:rsidP="00003BAE">
            <w:pPr>
              <w:spacing w:after="60" w:line="240" w:lineRule="auto"/>
              <w:rPr>
                <w:rFonts w:ascii="Tahoma" w:eastAsia="Calibri" w:hAnsi="Tahoma" w:cs="Tahoma"/>
                <w:spacing w:val="-10"/>
                <w:sz w:val="36"/>
                <w:szCs w:val="36"/>
                <w:rtl/>
              </w:rPr>
            </w:pPr>
            <w:r w:rsidRPr="00003BAE">
              <w:rPr>
                <w:rFonts w:ascii="Tahoma" w:eastAsia="Calibri" w:hAnsi="Tahoma" w:cs="Tahoma"/>
                <w:spacing w:val="-10"/>
                <w:sz w:val="26"/>
                <w:szCs w:val="26"/>
                <w:rtl/>
              </w:rPr>
              <w:t>לכ-</w:t>
            </w:r>
            <w:r w:rsidRPr="00003BAE">
              <w:rPr>
                <w:rFonts w:ascii="Tahoma" w:eastAsia="Calibri" w:hAnsi="Tahoma" w:cs="Tahoma"/>
                <w:spacing w:val="-10"/>
                <w:sz w:val="36"/>
                <w:szCs w:val="36"/>
                <w:rtl/>
              </w:rPr>
              <w:t>42,0</w:t>
            </w:r>
            <w:r w:rsidRPr="00003BAE">
              <w:rPr>
                <w:rFonts w:ascii="Tahoma" w:eastAsia="Calibri" w:hAnsi="Tahoma" w:cs="Tahoma" w:hint="cs"/>
                <w:spacing w:val="-10"/>
                <w:sz w:val="36"/>
                <w:szCs w:val="36"/>
                <w:rtl/>
              </w:rPr>
              <w:t>00</w:t>
            </w:r>
            <w:r w:rsidRPr="00003BAE">
              <w:rPr>
                <w:rFonts w:ascii="Tahoma" w:eastAsia="Calibri" w:hAnsi="Tahoma" w:cs="Tahoma"/>
                <w:spacing w:val="-10"/>
                <w:sz w:val="36"/>
                <w:szCs w:val="36"/>
                <w:rtl/>
              </w:rPr>
              <w:t xml:space="preserve"> </w:t>
            </w:r>
            <w:r w:rsidRPr="00003BAE">
              <w:rPr>
                <w:rFonts w:ascii="Tahoma" w:eastAsia="Calibri" w:hAnsi="Tahoma" w:cs="Tahoma"/>
                <w:spacing w:val="-10"/>
                <w:sz w:val="26"/>
                <w:szCs w:val="26"/>
                <w:rtl/>
              </w:rPr>
              <w:t>תושבים</w:t>
            </w:r>
            <w:r w:rsidRPr="00003BAE">
              <w:rPr>
                <w:rFonts w:ascii="Tahoma" w:eastAsia="Calibri" w:hAnsi="Tahoma" w:cs="Tahoma" w:hint="cs"/>
                <w:sz w:val="19"/>
                <w:szCs w:val="19"/>
                <w:rtl/>
              </w:rPr>
              <w:t xml:space="preserve"> </w:t>
            </w:r>
            <w:r w:rsidRPr="00003BAE">
              <w:rPr>
                <w:rFonts w:ascii="Tahoma" w:eastAsia="Calibri" w:hAnsi="Tahoma" w:cs="Tahoma"/>
                <w:sz w:val="26"/>
                <w:szCs w:val="26"/>
                <w:rtl/>
              </w:rPr>
              <w:t>(18%)</w:t>
            </w:r>
          </w:p>
        </w:tc>
        <w:tc>
          <w:tcPr>
            <w:tcW w:w="278" w:type="dxa"/>
          </w:tcPr>
          <w:p w:rsidR="00003BAE" w:rsidRPr="00003BAE" w:rsidRDefault="00003BAE" w:rsidP="00003BAE">
            <w:pPr>
              <w:spacing w:line="240" w:lineRule="auto"/>
              <w:rPr>
                <w:rFonts w:ascii="Tahoma" w:eastAsia="Calibri" w:hAnsi="Tahoma" w:cs="Tahoma"/>
                <w:spacing w:val="-10"/>
              </w:rPr>
            </w:pPr>
          </w:p>
        </w:tc>
        <w:tc>
          <w:tcPr>
            <w:tcW w:w="2274" w:type="dxa"/>
            <w:tcBorders>
              <w:bottom w:val="single" w:sz="12" w:space="0" w:color="auto"/>
            </w:tcBorders>
          </w:tcPr>
          <w:p w:rsidR="00003BAE" w:rsidRPr="00003BAE" w:rsidRDefault="00003BAE" w:rsidP="00003BAE">
            <w:pPr>
              <w:spacing w:after="60" w:line="240" w:lineRule="auto"/>
              <w:rPr>
                <w:rFonts w:ascii="Tahoma" w:eastAsia="Calibri" w:hAnsi="Tahoma" w:cs="Tahoma"/>
                <w:spacing w:val="-10"/>
                <w:sz w:val="36"/>
                <w:szCs w:val="36"/>
                <w:rtl/>
              </w:rPr>
            </w:pPr>
            <w:r w:rsidRPr="00003BAE">
              <w:rPr>
                <w:rFonts w:ascii="Tahoma" w:eastAsia="Calibri" w:hAnsi="Tahoma" w:cs="Tahoma" w:hint="cs"/>
                <w:spacing w:val="-10"/>
                <w:sz w:val="26"/>
                <w:szCs w:val="26"/>
                <w:rtl/>
              </w:rPr>
              <w:t>ב-</w:t>
            </w:r>
            <w:r w:rsidRPr="00003BAE">
              <w:rPr>
                <w:rFonts w:ascii="Tahoma" w:eastAsia="Calibri" w:hAnsi="Tahoma" w:cs="Tahoma" w:hint="cs"/>
                <w:spacing w:val="-10"/>
                <w:sz w:val="36"/>
                <w:szCs w:val="36"/>
                <w:rtl/>
              </w:rPr>
              <w:t xml:space="preserve">1,378 </w:t>
            </w:r>
          </w:p>
          <w:p w:rsidR="00003BAE" w:rsidRPr="00003BAE" w:rsidRDefault="00003BAE" w:rsidP="00003BAE">
            <w:pPr>
              <w:spacing w:after="60" w:line="240" w:lineRule="auto"/>
              <w:rPr>
                <w:rFonts w:ascii="Tahoma" w:eastAsia="Calibri" w:hAnsi="Tahoma" w:cs="Tahoma"/>
                <w:spacing w:val="-10"/>
                <w:sz w:val="36"/>
                <w:szCs w:val="36"/>
              </w:rPr>
            </w:pPr>
            <w:r w:rsidRPr="00003BAE">
              <w:rPr>
                <w:rFonts w:ascii="Tahoma" w:eastAsia="Calibri" w:hAnsi="Tahoma" w:cs="Tahoma" w:hint="cs"/>
                <w:spacing w:val="-10"/>
                <w:sz w:val="26"/>
                <w:szCs w:val="26"/>
                <w:rtl/>
              </w:rPr>
              <w:t>(</w:t>
            </w:r>
            <w:r w:rsidRPr="00003BAE">
              <w:rPr>
                <w:rFonts w:ascii="Tahoma" w:eastAsia="Calibri" w:hAnsi="Tahoma" w:cs="Tahoma"/>
                <w:spacing w:val="-10"/>
                <w:sz w:val="26"/>
                <w:szCs w:val="26"/>
                <w:rtl/>
              </w:rPr>
              <w:t>כ-</w:t>
            </w:r>
            <w:r w:rsidRPr="00003BAE">
              <w:rPr>
                <w:rFonts w:ascii="Tahoma" w:eastAsia="Calibri" w:hAnsi="Tahoma" w:cs="Tahoma" w:hint="cs"/>
                <w:spacing w:val="-10"/>
                <w:sz w:val="26"/>
                <w:szCs w:val="26"/>
                <w:rtl/>
              </w:rPr>
              <w:t>11.7</w:t>
            </w:r>
            <w:r w:rsidRPr="00003BAE">
              <w:rPr>
                <w:rFonts w:ascii="Tahoma" w:eastAsia="Calibri" w:hAnsi="Tahoma" w:cs="Tahoma"/>
                <w:spacing w:val="-10"/>
                <w:sz w:val="26"/>
                <w:szCs w:val="26"/>
                <w:rtl/>
              </w:rPr>
              <w:t>%)</w:t>
            </w:r>
          </w:p>
        </w:tc>
        <w:tc>
          <w:tcPr>
            <w:tcW w:w="277" w:type="dxa"/>
          </w:tcPr>
          <w:p w:rsidR="00003BAE" w:rsidRPr="00003BAE" w:rsidRDefault="00003BAE" w:rsidP="00003BAE">
            <w:pPr>
              <w:spacing w:line="240" w:lineRule="auto"/>
              <w:rPr>
                <w:rFonts w:ascii="Tahoma" w:eastAsia="Calibri" w:hAnsi="Tahoma" w:cs="Tahoma"/>
                <w:spacing w:val="-10"/>
              </w:rPr>
            </w:pPr>
          </w:p>
        </w:tc>
        <w:tc>
          <w:tcPr>
            <w:tcW w:w="2130" w:type="dxa"/>
            <w:tcBorders>
              <w:bottom w:val="single" w:sz="12" w:space="0" w:color="auto"/>
            </w:tcBorders>
            <w:vAlign w:val="bottom"/>
          </w:tcPr>
          <w:p w:rsidR="00003BAE" w:rsidRPr="00003BAE" w:rsidRDefault="00003BAE" w:rsidP="00003BAE">
            <w:pPr>
              <w:spacing w:after="60" w:line="240" w:lineRule="auto"/>
              <w:rPr>
                <w:rFonts w:ascii="Tahoma" w:eastAsia="Calibri" w:hAnsi="Tahoma" w:cs="Tahoma"/>
                <w:spacing w:val="-10"/>
                <w:sz w:val="36"/>
                <w:szCs w:val="36"/>
                <w:rtl/>
              </w:rPr>
            </w:pPr>
            <w:r w:rsidRPr="00003BAE">
              <w:rPr>
                <w:rFonts w:ascii="Tahoma" w:eastAsia="Calibri" w:hAnsi="Tahoma" w:cs="Tahoma"/>
                <w:spacing w:val="-10"/>
                <w:sz w:val="26"/>
                <w:szCs w:val="26"/>
                <w:rtl/>
              </w:rPr>
              <w:t>רק</w:t>
            </w:r>
            <w:r w:rsidRPr="00003BAE">
              <w:rPr>
                <w:rFonts w:ascii="Tahoma" w:eastAsia="Calibri" w:hAnsi="Tahoma" w:cs="Tahoma"/>
                <w:spacing w:val="-10"/>
                <w:sz w:val="36"/>
                <w:szCs w:val="36"/>
                <w:rtl/>
              </w:rPr>
              <w:t xml:space="preserve"> 37</w:t>
            </w:r>
          </w:p>
        </w:tc>
      </w:tr>
      <w:tr w:rsidR="00003BAE" w:rsidRPr="00003BAE" w:rsidTr="00A34461">
        <w:trPr>
          <w:trHeight w:val="85"/>
        </w:trPr>
        <w:tc>
          <w:tcPr>
            <w:tcW w:w="9642" w:type="dxa"/>
            <w:gridSpan w:val="7"/>
            <w:shd w:val="clear" w:color="auto" w:fill="auto"/>
            <w:vAlign w:val="center"/>
          </w:tcPr>
          <w:p w:rsidR="00003BAE" w:rsidRPr="00003BAE" w:rsidRDefault="00003BAE" w:rsidP="00003BAE">
            <w:pPr>
              <w:spacing w:line="288" w:lineRule="auto"/>
              <w:rPr>
                <w:rFonts w:ascii="Tahoma" w:eastAsia="Calibri" w:hAnsi="Tahoma" w:cs="Tahoma"/>
                <w:spacing w:val="-10"/>
                <w:sz w:val="6"/>
                <w:szCs w:val="6"/>
                <w:rtl/>
              </w:rPr>
            </w:pPr>
          </w:p>
        </w:tc>
      </w:tr>
      <w:tr w:rsidR="00003BAE" w:rsidRPr="00003BAE" w:rsidTr="00A34461">
        <w:trPr>
          <w:trHeight w:val="1155"/>
        </w:trPr>
        <w:tc>
          <w:tcPr>
            <w:tcW w:w="2132" w:type="dxa"/>
          </w:tcPr>
          <w:p w:rsidR="00003BAE" w:rsidRPr="00003BAE" w:rsidRDefault="00003BAE" w:rsidP="00003BAE">
            <w:pPr>
              <w:spacing w:line="240" w:lineRule="auto"/>
              <w:ind w:right="23"/>
              <w:rPr>
                <w:rFonts w:ascii="Tahoma" w:eastAsia="Calibri" w:hAnsi="Tahoma" w:cs="Tahoma"/>
                <w:sz w:val="19"/>
                <w:szCs w:val="19"/>
                <w:rtl/>
              </w:rPr>
            </w:pPr>
            <w:r w:rsidRPr="00003BAE">
              <w:rPr>
                <w:rFonts w:ascii="Tahoma" w:eastAsia="Calibri" w:hAnsi="Tahoma" w:cs="Tahoma"/>
                <w:sz w:val="19"/>
                <w:szCs w:val="19"/>
                <w:rtl/>
              </w:rPr>
              <w:t>(</w:t>
            </w:r>
            <w:r w:rsidRPr="00003BAE">
              <w:rPr>
                <w:rFonts w:ascii="Tahoma" w:eastAsia="Calibri" w:hAnsi="Tahoma" w:cs="Tahoma" w:hint="cs"/>
                <w:sz w:val="19"/>
                <w:szCs w:val="19"/>
                <w:rtl/>
              </w:rPr>
              <w:t>33.6</w:t>
            </w:r>
            <w:r w:rsidRPr="00003BAE">
              <w:rPr>
                <w:rFonts w:ascii="Tahoma" w:eastAsia="Calibri" w:hAnsi="Tahoma" w:cs="Tahoma"/>
                <w:sz w:val="19"/>
                <w:szCs w:val="19"/>
                <w:rtl/>
              </w:rPr>
              <w:t>%) אין מיגון תקני</w:t>
            </w:r>
            <w:r w:rsidRPr="00003BAE">
              <w:rPr>
                <w:rFonts w:eastAsia="Calibri" w:hint="cs"/>
                <w:szCs w:val="24"/>
                <w:rtl/>
              </w:rPr>
              <w:t>,</w:t>
            </w:r>
            <w:r w:rsidRPr="00003BAE">
              <w:rPr>
                <w:rFonts w:eastAsia="Calibri"/>
                <w:szCs w:val="24"/>
                <w:rtl/>
              </w:rPr>
              <w:t xml:space="preserve"> </w:t>
            </w:r>
            <w:r w:rsidRPr="00003BAE">
              <w:rPr>
                <w:rFonts w:ascii="Tahoma" w:eastAsia="Calibri" w:hAnsi="Tahoma" w:cs="Tahoma"/>
                <w:sz w:val="19"/>
                <w:szCs w:val="19"/>
                <w:rtl/>
              </w:rPr>
              <w:t>נכון לינואר 2025</w:t>
            </w:r>
          </w:p>
        </w:tc>
        <w:tc>
          <w:tcPr>
            <w:tcW w:w="277" w:type="dxa"/>
          </w:tcPr>
          <w:p w:rsidR="00003BAE" w:rsidRPr="00003BAE" w:rsidRDefault="00003BAE" w:rsidP="00003BAE">
            <w:pPr>
              <w:spacing w:line="240" w:lineRule="auto"/>
              <w:rPr>
                <w:rFonts w:ascii="Tahoma" w:eastAsia="Calibri" w:hAnsi="Tahoma" w:cs="Tahoma"/>
                <w:szCs w:val="24"/>
                <w:rtl/>
              </w:rPr>
            </w:pPr>
          </w:p>
        </w:tc>
        <w:tc>
          <w:tcPr>
            <w:tcW w:w="2274" w:type="dxa"/>
          </w:tcPr>
          <w:p w:rsidR="00003BAE" w:rsidRPr="00003BAE" w:rsidRDefault="00003BAE" w:rsidP="00003BAE">
            <w:pPr>
              <w:spacing w:line="240" w:lineRule="auto"/>
              <w:ind w:right="23"/>
              <w:rPr>
                <w:rFonts w:ascii="Tahoma" w:eastAsia="Calibri" w:hAnsi="Tahoma" w:cs="Tahoma"/>
                <w:sz w:val="19"/>
                <w:szCs w:val="19"/>
                <w:rtl/>
              </w:rPr>
            </w:pPr>
            <w:r w:rsidRPr="00003BAE">
              <w:rPr>
                <w:rFonts w:ascii="Tahoma" w:eastAsia="Calibri" w:hAnsi="Tahoma" w:cs="Tahoma"/>
                <w:sz w:val="19"/>
                <w:szCs w:val="19"/>
                <w:rtl/>
              </w:rPr>
              <w:t>ביישובים הנמצאים במרחק של עד 9 ק"מ מהגבול עם סוריה ולבנון, אין מיגון תקני</w:t>
            </w:r>
            <w:r w:rsidRPr="00003BAE">
              <w:rPr>
                <w:rFonts w:ascii="Tahoma" w:eastAsia="Calibri" w:hAnsi="Tahoma" w:cs="Tahoma" w:hint="cs"/>
                <w:sz w:val="19"/>
                <w:szCs w:val="19"/>
                <w:rtl/>
              </w:rPr>
              <w:t>, נכון לינואר 2025</w:t>
            </w:r>
          </w:p>
        </w:tc>
        <w:tc>
          <w:tcPr>
            <w:tcW w:w="278" w:type="dxa"/>
          </w:tcPr>
          <w:p w:rsidR="00003BAE" w:rsidRPr="00003BAE" w:rsidRDefault="00003BAE" w:rsidP="00003BAE">
            <w:pPr>
              <w:spacing w:line="240" w:lineRule="auto"/>
              <w:rPr>
                <w:rFonts w:ascii="Tahoma" w:eastAsia="Calibri" w:hAnsi="Tahoma" w:cs="Tahoma"/>
                <w:sz w:val="19"/>
                <w:szCs w:val="19"/>
                <w:rtl/>
              </w:rPr>
            </w:pPr>
          </w:p>
        </w:tc>
        <w:tc>
          <w:tcPr>
            <w:tcW w:w="2274" w:type="dxa"/>
          </w:tcPr>
          <w:p w:rsidR="00003BAE" w:rsidRPr="00003BAE" w:rsidRDefault="00003BAE" w:rsidP="00003BAE">
            <w:pPr>
              <w:spacing w:line="240" w:lineRule="auto"/>
              <w:ind w:right="23"/>
              <w:rPr>
                <w:rFonts w:ascii="Tahoma" w:eastAsia="Calibri" w:hAnsi="Tahoma" w:cs="Tahoma"/>
                <w:sz w:val="19"/>
                <w:szCs w:val="19"/>
                <w:rtl/>
              </w:rPr>
            </w:pPr>
            <w:r w:rsidRPr="00003BAE">
              <w:rPr>
                <w:rFonts w:ascii="Tahoma" w:eastAsia="Calibri" w:hAnsi="Tahoma" w:cs="Tahoma"/>
                <w:sz w:val="19"/>
                <w:szCs w:val="19"/>
                <w:rtl/>
              </w:rPr>
              <w:t>מהמקלטים הציבוריים בישראל לא ניתן לשהות</w:t>
            </w:r>
            <w:r w:rsidRPr="00003BAE">
              <w:rPr>
                <w:rFonts w:ascii="Tahoma" w:eastAsia="Calibri" w:hAnsi="Tahoma" w:cs="Tahoma" w:hint="cs"/>
                <w:sz w:val="19"/>
                <w:szCs w:val="19"/>
                <w:rtl/>
              </w:rPr>
              <w:t xml:space="preserve">, על פי נתוני פקע"ר נכון לינואר 2025 </w:t>
            </w:r>
          </w:p>
        </w:tc>
        <w:tc>
          <w:tcPr>
            <w:tcW w:w="277" w:type="dxa"/>
          </w:tcPr>
          <w:p w:rsidR="00003BAE" w:rsidRPr="00003BAE" w:rsidRDefault="00003BAE" w:rsidP="00003BAE">
            <w:pPr>
              <w:spacing w:line="240" w:lineRule="auto"/>
              <w:rPr>
                <w:rFonts w:ascii="Tahoma" w:eastAsia="Calibri" w:hAnsi="Tahoma" w:cs="Tahoma"/>
                <w:sz w:val="19"/>
                <w:szCs w:val="19"/>
                <w:rtl/>
              </w:rPr>
            </w:pPr>
          </w:p>
        </w:tc>
        <w:tc>
          <w:tcPr>
            <w:tcW w:w="2130" w:type="dxa"/>
          </w:tcPr>
          <w:p w:rsidR="00003BAE" w:rsidRPr="00003BAE" w:rsidRDefault="00003BAE" w:rsidP="00003BAE">
            <w:pPr>
              <w:spacing w:line="240" w:lineRule="auto"/>
              <w:ind w:right="23"/>
              <w:rPr>
                <w:rFonts w:ascii="Tahoma" w:eastAsia="Calibri" w:hAnsi="Tahoma" w:cs="Tahoma"/>
                <w:sz w:val="19"/>
                <w:szCs w:val="19"/>
                <w:rtl/>
              </w:rPr>
            </w:pPr>
            <w:r w:rsidRPr="00003BAE">
              <w:rPr>
                <w:rFonts w:ascii="Tahoma" w:eastAsia="Calibri" w:hAnsi="Tahoma" w:cs="Tahoma"/>
                <w:sz w:val="19"/>
                <w:szCs w:val="19"/>
                <w:rtl/>
              </w:rPr>
              <w:t xml:space="preserve">מתוך 11,776 המקלטים הציבוריים בישראל (0.3%) נמצאים בשטחן של רשויות מקומיות </w:t>
            </w:r>
            <w:r w:rsidRPr="00003BAE">
              <w:rPr>
                <w:rFonts w:ascii="Tahoma" w:eastAsia="Calibri" w:hAnsi="Tahoma" w:cs="Tahoma" w:hint="cs"/>
                <w:sz w:val="19"/>
                <w:szCs w:val="19"/>
                <w:rtl/>
              </w:rPr>
              <w:t xml:space="preserve">של החברה </w:t>
            </w:r>
            <w:r w:rsidRPr="00003BAE">
              <w:rPr>
                <w:rFonts w:ascii="Tahoma" w:eastAsia="Calibri" w:hAnsi="Tahoma" w:cs="Tahoma"/>
                <w:sz w:val="19"/>
                <w:szCs w:val="19"/>
                <w:rtl/>
              </w:rPr>
              <w:t>הערבי</w:t>
            </w:r>
            <w:r w:rsidRPr="00003BAE">
              <w:rPr>
                <w:rFonts w:ascii="Tahoma" w:eastAsia="Calibri" w:hAnsi="Tahoma" w:cs="Tahoma" w:hint="cs"/>
                <w:sz w:val="19"/>
                <w:szCs w:val="19"/>
                <w:rtl/>
              </w:rPr>
              <w:t>ת.</w:t>
            </w:r>
            <w:r w:rsidRPr="00003BAE">
              <w:rPr>
                <w:rFonts w:eastAsia="Calibri"/>
                <w:szCs w:val="24"/>
                <w:rtl/>
              </w:rPr>
              <w:t xml:space="preserve"> </w:t>
            </w:r>
            <w:r w:rsidRPr="00003BAE">
              <w:rPr>
                <w:rFonts w:ascii="Tahoma" w:eastAsia="Calibri" w:hAnsi="Tahoma" w:cs="Tahoma" w:hint="cs"/>
                <w:sz w:val="19"/>
                <w:szCs w:val="19"/>
                <w:rtl/>
              </w:rPr>
              <w:t>8</w:t>
            </w:r>
            <w:r w:rsidRPr="00003BAE">
              <w:rPr>
                <w:rFonts w:ascii="Tahoma" w:eastAsia="Calibri" w:hAnsi="Tahoma" w:cs="Tahoma"/>
                <w:sz w:val="19"/>
                <w:szCs w:val="19"/>
                <w:rtl/>
              </w:rPr>
              <w:t xml:space="preserve"> </w:t>
            </w:r>
            <w:r w:rsidRPr="00003BAE">
              <w:rPr>
                <w:rFonts w:ascii="Tahoma" w:eastAsia="Calibri" w:hAnsi="Tahoma" w:cs="Tahoma" w:hint="cs"/>
                <w:sz w:val="19"/>
                <w:szCs w:val="19"/>
                <w:rtl/>
              </w:rPr>
              <w:t>מהם אף</w:t>
            </w:r>
            <w:r w:rsidRPr="00003BAE">
              <w:rPr>
                <w:rFonts w:ascii="Tahoma" w:eastAsia="Calibri" w:hAnsi="Tahoma" w:cs="Tahoma"/>
                <w:sz w:val="19"/>
                <w:szCs w:val="19"/>
                <w:rtl/>
              </w:rPr>
              <w:t xml:space="preserve"> אינם כשירים</w:t>
            </w:r>
          </w:p>
        </w:tc>
      </w:tr>
      <w:tr w:rsidR="00003BAE" w:rsidRPr="00003BAE" w:rsidTr="00A34461">
        <w:trPr>
          <w:trHeight w:val="363"/>
        </w:trPr>
        <w:tc>
          <w:tcPr>
            <w:tcW w:w="9642" w:type="dxa"/>
            <w:gridSpan w:val="7"/>
          </w:tcPr>
          <w:p w:rsidR="00003BAE" w:rsidRPr="00003BAE" w:rsidRDefault="00003BAE" w:rsidP="00003BAE">
            <w:pPr>
              <w:spacing w:line="288" w:lineRule="auto"/>
              <w:jc w:val="center"/>
              <w:rPr>
                <w:rFonts w:ascii="Tahoma" w:eastAsia="Calibri" w:hAnsi="Tahoma" w:cs="Tahoma"/>
                <w:sz w:val="6"/>
                <w:szCs w:val="6"/>
                <w:rtl/>
              </w:rPr>
            </w:pPr>
          </w:p>
        </w:tc>
      </w:tr>
      <w:tr w:rsidR="00003BAE" w:rsidRPr="00003BAE" w:rsidTr="00A34461">
        <w:trPr>
          <w:trHeight w:val="227"/>
        </w:trPr>
        <w:tc>
          <w:tcPr>
            <w:tcW w:w="2132" w:type="dxa"/>
            <w:tcBorders>
              <w:bottom w:val="single" w:sz="12" w:space="0" w:color="auto"/>
            </w:tcBorders>
          </w:tcPr>
          <w:p w:rsidR="00003BAE" w:rsidRPr="00003BAE" w:rsidRDefault="00003BAE" w:rsidP="00003BAE">
            <w:pPr>
              <w:spacing w:after="60" w:line="240" w:lineRule="auto"/>
              <w:rPr>
                <w:rFonts w:ascii="Tahoma" w:eastAsia="Calibri" w:hAnsi="Tahoma" w:cs="Tahoma"/>
                <w:spacing w:val="-10"/>
                <w:sz w:val="36"/>
                <w:szCs w:val="36"/>
              </w:rPr>
            </w:pPr>
            <w:r w:rsidRPr="00003BAE">
              <w:rPr>
                <w:rFonts w:ascii="Tahoma" w:eastAsia="Calibri" w:hAnsi="Tahoma" w:cs="Tahoma"/>
                <w:spacing w:val="-10"/>
                <w:sz w:val="26"/>
                <w:szCs w:val="26"/>
                <w:rtl/>
              </w:rPr>
              <w:t>יותר</w:t>
            </w:r>
            <w:r w:rsidRPr="00003BAE">
              <w:rPr>
                <w:rFonts w:ascii="Tahoma" w:eastAsia="Calibri" w:hAnsi="Tahoma" w:cs="Tahoma" w:hint="cs"/>
                <w:spacing w:val="-10"/>
                <w:sz w:val="26"/>
                <w:szCs w:val="26"/>
                <w:rtl/>
              </w:rPr>
              <w:t xml:space="preserve"> </w:t>
            </w:r>
            <w:r w:rsidRPr="00003BAE">
              <w:rPr>
                <w:rFonts w:ascii="Tahoma" w:eastAsia="Calibri" w:hAnsi="Tahoma" w:cs="Tahoma"/>
                <w:spacing w:val="-10"/>
                <w:sz w:val="26"/>
                <w:szCs w:val="26"/>
                <w:rtl/>
              </w:rPr>
              <w:t>מ-</w:t>
            </w:r>
            <w:r w:rsidRPr="00003BAE">
              <w:rPr>
                <w:rFonts w:ascii="Tahoma" w:eastAsia="Calibri" w:hAnsi="Tahoma" w:cs="Tahoma"/>
                <w:spacing w:val="-10"/>
                <w:sz w:val="36"/>
                <w:szCs w:val="36"/>
                <w:rtl/>
              </w:rPr>
              <w:t xml:space="preserve">466,000 </w:t>
            </w:r>
            <w:r w:rsidRPr="00003BAE">
              <w:rPr>
                <w:rFonts w:ascii="Tahoma" w:eastAsia="Calibri" w:hAnsi="Tahoma" w:cs="Tahoma"/>
                <w:spacing w:val="-10"/>
                <w:sz w:val="26"/>
                <w:szCs w:val="26"/>
                <w:rtl/>
              </w:rPr>
              <w:t>תלמידים</w:t>
            </w:r>
            <w:r w:rsidRPr="00003BAE">
              <w:rPr>
                <w:rFonts w:ascii="Tahoma" w:eastAsia="Calibri" w:hAnsi="Tahoma" w:cs="Tahoma" w:hint="cs"/>
                <w:spacing w:val="-10"/>
                <w:sz w:val="36"/>
                <w:szCs w:val="36"/>
                <w:rtl/>
              </w:rPr>
              <w:t xml:space="preserve"> </w:t>
            </w:r>
            <w:r w:rsidRPr="00003BAE">
              <w:rPr>
                <w:rFonts w:ascii="Tahoma" w:eastAsia="Calibri" w:hAnsi="Tahoma" w:cs="Tahoma" w:hint="cs"/>
                <w:spacing w:val="-10"/>
                <w:sz w:val="26"/>
                <w:szCs w:val="26"/>
                <w:rtl/>
              </w:rPr>
              <w:t>(25%)</w:t>
            </w:r>
          </w:p>
        </w:tc>
        <w:tc>
          <w:tcPr>
            <w:tcW w:w="277" w:type="dxa"/>
          </w:tcPr>
          <w:p w:rsidR="00003BAE" w:rsidRPr="00003BAE" w:rsidRDefault="00003BAE" w:rsidP="00003BAE">
            <w:pPr>
              <w:spacing w:line="240" w:lineRule="auto"/>
              <w:rPr>
                <w:rFonts w:ascii="Tahoma" w:eastAsia="Calibri" w:hAnsi="Tahoma" w:cs="Tahoma"/>
                <w:spacing w:val="-10"/>
              </w:rPr>
            </w:pPr>
          </w:p>
        </w:tc>
        <w:tc>
          <w:tcPr>
            <w:tcW w:w="2274" w:type="dxa"/>
            <w:tcBorders>
              <w:bottom w:val="single" w:sz="12" w:space="0" w:color="auto"/>
            </w:tcBorders>
            <w:vAlign w:val="bottom"/>
          </w:tcPr>
          <w:p w:rsidR="00003BAE" w:rsidRPr="00003BAE" w:rsidRDefault="00003BAE" w:rsidP="00003BAE">
            <w:pPr>
              <w:spacing w:after="60" w:line="240" w:lineRule="auto"/>
              <w:rPr>
                <w:rFonts w:ascii="Tahoma" w:eastAsia="Calibri" w:hAnsi="Tahoma" w:cs="Tahoma"/>
                <w:spacing w:val="-10"/>
                <w:sz w:val="36"/>
                <w:szCs w:val="36"/>
              </w:rPr>
            </w:pPr>
            <w:r w:rsidRPr="00003BAE">
              <w:rPr>
                <w:rFonts w:ascii="Tahoma" w:eastAsia="Calibri" w:hAnsi="Tahoma" w:cs="Tahoma" w:hint="cs"/>
                <w:spacing w:val="-10"/>
                <w:sz w:val="26"/>
                <w:szCs w:val="26"/>
                <w:rtl/>
              </w:rPr>
              <w:t>בסך</w:t>
            </w:r>
            <w:r w:rsidRPr="00003BAE">
              <w:rPr>
                <w:rFonts w:ascii="Tahoma" w:eastAsia="Calibri" w:hAnsi="Tahoma" w:cs="Tahoma" w:hint="cs"/>
                <w:spacing w:val="-10"/>
                <w:sz w:val="36"/>
                <w:szCs w:val="36"/>
                <w:rtl/>
              </w:rPr>
              <w:t xml:space="preserve"> </w:t>
            </w:r>
            <w:r w:rsidRPr="00003BAE">
              <w:rPr>
                <w:rFonts w:ascii="Tahoma" w:eastAsia="Calibri" w:hAnsi="Tahoma" w:cs="Tahoma"/>
                <w:spacing w:val="-10"/>
                <w:sz w:val="36"/>
                <w:szCs w:val="36"/>
                <w:rtl/>
              </w:rPr>
              <w:t xml:space="preserve">1.406 </w:t>
            </w:r>
            <w:r w:rsidRPr="00003BAE">
              <w:rPr>
                <w:rFonts w:ascii="Tahoma" w:eastAsia="Calibri" w:hAnsi="Tahoma" w:cs="Tahoma"/>
                <w:spacing w:val="-10"/>
                <w:sz w:val="26"/>
                <w:szCs w:val="26"/>
                <w:rtl/>
              </w:rPr>
              <w:t>מיליארד ש"ח</w:t>
            </w:r>
          </w:p>
        </w:tc>
        <w:tc>
          <w:tcPr>
            <w:tcW w:w="278" w:type="dxa"/>
          </w:tcPr>
          <w:p w:rsidR="00003BAE" w:rsidRPr="00003BAE" w:rsidRDefault="00003BAE" w:rsidP="00003BAE">
            <w:pPr>
              <w:spacing w:line="240" w:lineRule="auto"/>
              <w:rPr>
                <w:rFonts w:ascii="Tahoma" w:eastAsia="Calibri" w:hAnsi="Tahoma" w:cs="Tahoma"/>
                <w:spacing w:val="-10"/>
              </w:rPr>
            </w:pPr>
          </w:p>
        </w:tc>
        <w:tc>
          <w:tcPr>
            <w:tcW w:w="2274" w:type="dxa"/>
            <w:tcBorders>
              <w:bottom w:val="single" w:sz="12" w:space="0" w:color="auto"/>
            </w:tcBorders>
            <w:vAlign w:val="bottom"/>
          </w:tcPr>
          <w:p w:rsidR="00003BAE" w:rsidRPr="00003BAE" w:rsidRDefault="00003BAE" w:rsidP="00623AB0">
            <w:pPr>
              <w:spacing w:after="60" w:line="240" w:lineRule="auto"/>
              <w:rPr>
                <w:rFonts w:ascii="Tahoma" w:eastAsia="Calibri" w:hAnsi="Tahoma" w:cs="Tahoma"/>
                <w:spacing w:val="-10"/>
                <w:sz w:val="36"/>
                <w:szCs w:val="36"/>
              </w:rPr>
            </w:pPr>
            <w:r w:rsidRPr="00003BAE">
              <w:rPr>
                <w:rFonts w:ascii="Tahoma" w:eastAsia="Calibri" w:hAnsi="Tahoma" w:cs="Tahoma" w:hint="cs"/>
                <w:spacing w:val="-10"/>
                <w:sz w:val="26"/>
                <w:szCs w:val="26"/>
                <w:rtl/>
              </w:rPr>
              <w:t xml:space="preserve">רק </w:t>
            </w:r>
            <w:r w:rsidRPr="00003BAE">
              <w:rPr>
                <w:rFonts w:ascii="Tahoma" w:eastAsia="Calibri" w:hAnsi="Tahoma" w:cs="Tahoma" w:hint="cs"/>
                <w:spacing w:val="-10"/>
                <w:sz w:val="36"/>
                <w:szCs w:val="36"/>
                <w:rtl/>
              </w:rPr>
              <w:t>2.7</w:t>
            </w:r>
            <w:r w:rsidRPr="00003BAE">
              <w:rPr>
                <w:rFonts w:ascii="Tahoma" w:eastAsia="Calibri" w:hAnsi="Tahoma" w:cs="Tahoma" w:hint="cs"/>
                <w:spacing w:val="-10"/>
                <w:sz w:val="26"/>
                <w:szCs w:val="26"/>
                <w:rtl/>
              </w:rPr>
              <w:t xml:space="preserve"> מיליון ש"ח</w:t>
            </w:r>
            <w:r w:rsidRPr="00003BAE">
              <w:rPr>
                <w:rFonts w:ascii="Tahoma" w:eastAsia="Calibri" w:hAnsi="Tahoma" w:cs="Tahoma" w:hint="cs"/>
                <w:spacing w:val="-10"/>
                <w:sz w:val="36"/>
                <w:szCs w:val="36"/>
                <w:rtl/>
              </w:rPr>
              <w:t xml:space="preserve"> </w:t>
            </w:r>
            <w:r w:rsidRPr="00003BAE">
              <w:rPr>
                <w:rFonts w:ascii="Tahoma" w:eastAsia="Calibri" w:hAnsi="Tahoma" w:cs="Tahoma" w:hint="cs"/>
                <w:spacing w:val="-10"/>
                <w:sz w:val="26"/>
                <w:szCs w:val="26"/>
                <w:rtl/>
              </w:rPr>
              <w:t>(21%)</w:t>
            </w:r>
          </w:p>
        </w:tc>
        <w:tc>
          <w:tcPr>
            <w:tcW w:w="277" w:type="dxa"/>
          </w:tcPr>
          <w:p w:rsidR="00003BAE" w:rsidRPr="00003BAE" w:rsidRDefault="00003BAE" w:rsidP="00003BAE">
            <w:pPr>
              <w:spacing w:line="240" w:lineRule="auto"/>
              <w:rPr>
                <w:rFonts w:ascii="Tahoma" w:eastAsia="Calibri" w:hAnsi="Tahoma" w:cs="Tahoma"/>
                <w:spacing w:val="-10"/>
              </w:rPr>
            </w:pPr>
          </w:p>
        </w:tc>
        <w:tc>
          <w:tcPr>
            <w:tcW w:w="2130" w:type="dxa"/>
            <w:tcBorders>
              <w:bottom w:val="single" w:sz="12" w:space="0" w:color="auto"/>
            </w:tcBorders>
            <w:vAlign w:val="bottom"/>
          </w:tcPr>
          <w:p w:rsidR="00003BAE" w:rsidRPr="00003BAE" w:rsidRDefault="00003BAE" w:rsidP="00414D33">
            <w:pPr>
              <w:spacing w:after="60" w:line="240" w:lineRule="auto"/>
              <w:rPr>
                <w:rFonts w:ascii="Tahoma" w:eastAsia="Calibri" w:hAnsi="Tahoma" w:cs="Tahoma"/>
                <w:spacing w:val="-10"/>
                <w:sz w:val="36"/>
                <w:szCs w:val="36"/>
              </w:rPr>
            </w:pPr>
            <w:r w:rsidRPr="00003BAE">
              <w:rPr>
                <w:rFonts w:ascii="Tahoma" w:eastAsia="Calibri" w:hAnsi="Tahoma" w:cs="Tahoma" w:hint="cs"/>
                <w:spacing w:val="-10"/>
                <w:sz w:val="36"/>
                <w:szCs w:val="36"/>
                <w:rtl/>
              </w:rPr>
              <w:t xml:space="preserve">56 </w:t>
            </w:r>
            <w:r w:rsidRPr="00003BAE">
              <w:rPr>
                <w:rFonts w:ascii="Tahoma" w:eastAsia="Calibri" w:hAnsi="Tahoma" w:cs="Tahoma" w:hint="cs"/>
                <w:spacing w:val="-10"/>
                <w:sz w:val="26"/>
                <w:szCs w:val="26"/>
                <w:rtl/>
              </w:rPr>
              <w:t xml:space="preserve">מיליון ש"ח </w:t>
            </w:r>
            <w:r w:rsidR="00414D33">
              <w:rPr>
                <w:rFonts w:ascii="Tahoma" w:eastAsia="Calibri" w:hAnsi="Tahoma" w:cs="Tahoma"/>
                <w:spacing w:val="-10"/>
                <w:sz w:val="26"/>
                <w:szCs w:val="26"/>
                <w:rtl/>
              </w:rPr>
              <w:br/>
            </w:r>
            <w:r w:rsidRPr="00003BAE">
              <w:rPr>
                <w:rFonts w:ascii="Tahoma" w:eastAsia="Calibri" w:hAnsi="Tahoma" w:cs="Tahoma" w:hint="cs"/>
                <w:spacing w:val="-10"/>
                <w:sz w:val="26"/>
                <w:szCs w:val="26"/>
                <w:rtl/>
              </w:rPr>
              <w:t>ו-</w:t>
            </w:r>
            <w:r w:rsidRPr="00003BAE">
              <w:rPr>
                <w:rFonts w:ascii="Tahoma" w:eastAsia="Calibri" w:hAnsi="Tahoma" w:cs="Tahoma" w:hint="cs"/>
                <w:spacing w:val="-10"/>
                <w:sz w:val="36"/>
                <w:szCs w:val="36"/>
                <w:rtl/>
              </w:rPr>
              <w:t xml:space="preserve">50 </w:t>
            </w:r>
            <w:r w:rsidRPr="00003BAE">
              <w:rPr>
                <w:rFonts w:ascii="Tahoma" w:eastAsia="Calibri" w:hAnsi="Tahoma" w:cs="Tahoma" w:hint="cs"/>
                <w:spacing w:val="-10"/>
                <w:sz w:val="26"/>
                <w:szCs w:val="26"/>
                <w:rtl/>
              </w:rPr>
              <w:t>מיליון ש"ח</w:t>
            </w:r>
          </w:p>
        </w:tc>
      </w:tr>
      <w:tr w:rsidR="00003BAE" w:rsidRPr="00003BAE" w:rsidTr="00A34461">
        <w:trPr>
          <w:trHeight w:val="70"/>
        </w:trPr>
        <w:tc>
          <w:tcPr>
            <w:tcW w:w="9642" w:type="dxa"/>
            <w:gridSpan w:val="7"/>
            <w:vAlign w:val="center"/>
          </w:tcPr>
          <w:p w:rsidR="00003BAE" w:rsidRPr="00003BAE" w:rsidRDefault="00003BAE" w:rsidP="00003BAE">
            <w:pPr>
              <w:spacing w:line="288" w:lineRule="auto"/>
              <w:rPr>
                <w:rFonts w:ascii="Tahoma" w:eastAsia="Calibri" w:hAnsi="Tahoma" w:cs="Tahoma"/>
                <w:spacing w:val="-10"/>
                <w:sz w:val="6"/>
                <w:szCs w:val="6"/>
                <w:rtl/>
              </w:rPr>
            </w:pPr>
          </w:p>
        </w:tc>
      </w:tr>
      <w:tr w:rsidR="00003BAE" w:rsidRPr="00003BAE" w:rsidTr="00A34461">
        <w:trPr>
          <w:trHeight w:val="1153"/>
        </w:trPr>
        <w:tc>
          <w:tcPr>
            <w:tcW w:w="2132" w:type="dxa"/>
          </w:tcPr>
          <w:p w:rsidR="00003BAE" w:rsidRPr="00003BAE" w:rsidRDefault="00003BAE" w:rsidP="00003BAE">
            <w:pPr>
              <w:spacing w:line="240" w:lineRule="auto"/>
              <w:ind w:right="23"/>
              <w:rPr>
                <w:rFonts w:ascii="Tahoma" w:eastAsia="Calibri" w:hAnsi="Tahoma" w:cs="Tahoma"/>
                <w:sz w:val="19"/>
                <w:szCs w:val="19"/>
                <w:rtl/>
              </w:rPr>
            </w:pPr>
            <w:r w:rsidRPr="00003BAE">
              <w:rPr>
                <w:rFonts w:ascii="Tahoma" w:eastAsia="Calibri" w:hAnsi="Tahoma" w:cs="Tahoma" w:hint="cs"/>
                <w:sz w:val="19"/>
                <w:szCs w:val="19"/>
                <w:rtl/>
              </w:rPr>
              <w:t>ש</w:t>
            </w:r>
            <w:r w:rsidRPr="00003BAE">
              <w:rPr>
                <w:rFonts w:ascii="Tahoma" w:eastAsia="Calibri" w:hAnsi="Tahoma" w:cs="Tahoma"/>
                <w:sz w:val="19"/>
                <w:szCs w:val="19"/>
                <w:rtl/>
              </w:rPr>
              <w:t>הו בבית הספר באופן יומיומי</w:t>
            </w:r>
            <w:r w:rsidRPr="00003BAE">
              <w:rPr>
                <w:rFonts w:ascii="Tahoma" w:eastAsia="Calibri" w:hAnsi="Tahoma" w:cs="Tahoma" w:hint="cs"/>
                <w:sz w:val="19"/>
                <w:szCs w:val="19"/>
                <w:rtl/>
              </w:rPr>
              <w:t xml:space="preserve"> </w:t>
            </w:r>
            <w:r w:rsidRPr="00003BAE">
              <w:rPr>
                <w:rFonts w:ascii="Tahoma" w:eastAsia="Calibri" w:hAnsi="Tahoma" w:cs="Tahoma"/>
                <w:sz w:val="19"/>
                <w:szCs w:val="19"/>
                <w:rtl/>
              </w:rPr>
              <w:t>בלא מיגון תקני</w:t>
            </w:r>
            <w:r w:rsidRPr="00003BAE">
              <w:rPr>
                <w:rFonts w:ascii="Tahoma" w:eastAsia="Calibri" w:hAnsi="Tahoma" w:cs="Tahoma" w:hint="cs"/>
                <w:sz w:val="19"/>
                <w:szCs w:val="19"/>
                <w:rtl/>
              </w:rPr>
              <w:t>, נכון למרץ 2024</w:t>
            </w:r>
          </w:p>
        </w:tc>
        <w:tc>
          <w:tcPr>
            <w:tcW w:w="277" w:type="dxa"/>
          </w:tcPr>
          <w:p w:rsidR="00003BAE" w:rsidRPr="00003BAE" w:rsidRDefault="00003BAE" w:rsidP="00003BAE">
            <w:pPr>
              <w:spacing w:line="240" w:lineRule="auto"/>
              <w:rPr>
                <w:rFonts w:ascii="Tahoma" w:eastAsia="Calibri" w:hAnsi="Tahoma" w:cs="Tahoma"/>
                <w:sz w:val="19"/>
                <w:szCs w:val="19"/>
                <w:rtl/>
              </w:rPr>
            </w:pPr>
          </w:p>
        </w:tc>
        <w:tc>
          <w:tcPr>
            <w:tcW w:w="2274" w:type="dxa"/>
          </w:tcPr>
          <w:p w:rsidR="00003BAE" w:rsidRPr="00003BAE" w:rsidRDefault="00003BAE" w:rsidP="00623AB0">
            <w:pPr>
              <w:spacing w:line="240" w:lineRule="auto"/>
              <w:ind w:right="23"/>
              <w:rPr>
                <w:rFonts w:ascii="Tahoma" w:eastAsia="Calibri" w:hAnsi="Tahoma" w:cs="Tahoma"/>
                <w:sz w:val="19"/>
                <w:szCs w:val="19"/>
                <w:rtl/>
              </w:rPr>
            </w:pPr>
            <w:r w:rsidRPr="00003BAE">
              <w:rPr>
                <w:rFonts w:ascii="Tahoma" w:eastAsia="Calibri" w:hAnsi="Tahoma" w:cs="Tahoma" w:hint="cs"/>
                <w:sz w:val="19"/>
                <w:szCs w:val="19"/>
                <w:rtl/>
              </w:rPr>
              <w:t xml:space="preserve">תוקצב פקע"ר </w:t>
            </w:r>
            <w:r w:rsidRPr="00003BAE">
              <w:rPr>
                <w:rFonts w:ascii="Tahoma" w:eastAsia="Calibri" w:hAnsi="Tahoma" w:cs="Tahoma"/>
                <w:sz w:val="19"/>
                <w:szCs w:val="19"/>
                <w:rtl/>
              </w:rPr>
              <w:t xml:space="preserve">לצורך מימוש תוכנית "מגן הצפון" בשנים 2019 - 2024, </w:t>
            </w:r>
            <w:r w:rsidRPr="00003BAE">
              <w:rPr>
                <w:rFonts w:ascii="Tahoma" w:eastAsia="Calibri" w:hAnsi="Tahoma" w:cs="Tahoma" w:hint="cs"/>
                <w:sz w:val="19"/>
                <w:szCs w:val="19"/>
                <w:rtl/>
              </w:rPr>
              <w:t>אף</w:t>
            </w:r>
            <w:r w:rsidRPr="00003BAE">
              <w:rPr>
                <w:rFonts w:ascii="Tahoma" w:eastAsia="Calibri" w:hAnsi="Tahoma" w:cs="Tahoma"/>
                <w:sz w:val="19"/>
                <w:szCs w:val="19"/>
                <w:rtl/>
              </w:rPr>
              <w:t xml:space="preserve"> שלצורך מימוש </w:t>
            </w:r>
            <w:r w:rsidRPr="00003BAE">
              <w:rPr>
                <w:rFonts w:ascii="Tahoma" w:eastAsia="Calibri" w:hAnsi="Tahoma" w:cs="Tahoma" w:hint="cs"/>
                <w:sz w:val="19"/>
                <w:szCs w:val="19"/>
                <w:rtl/>
              </w:rPr>
              <w:t xml:space="preserve">מלא של </w:t>
            </w:r>
            <w:r w:rsidRPr="00003BAE">
              <w:rPr>
                <w:rFonts w:ascii="Tahoma" w:eastAsia="Calibri" w:hAnsi="Tahoma" w:cs="Tahoma"/>
                <w:sz w:val="19"/>
                <w:szCs w:val="19"/>
                <w:rtl/>
              </w:rPr>
              <w:t xml:space="preserve">התוכנית היה צורך להקצות 3 מיליארד ש"ח </w:t>
            </w:r>
            <w:r w:rsidRPr="00003BAE">
              <w:rPr>
                <w:rFonts w:ascii="Tahoma" w:eastAsia="Calibri" w:hAnsi="Tahoma" w:cs="Tahoma" w:hint="cs"/>
                <w:sz w:val="19"/>
                <w:szCs w:val="19"/>
                <w:rtl/>
              </w:rPr>
              <w:t>בשנים אלה.</w:t>
            </w:r>
            <w:r w:rsidRPr="00003BAE">
              <w:rPr>
                <w:rFonts w:ascii="Tahoma" w:eastAsia="Calibri" w:hAnsi="Tahoma" w:cs="Tahoma"/>
                <w:sz w:val="19"/>
                <w:szCs w:val="19"/>
                <w:rtl/>
              </w:rPr>
              <w:t xml:space="preserve"> גם מימוש התקציבים היה חלקי ו</w:t>
            </w:r>
            <w:r w:rsidRPr="00003BAE">
              <w:rPr>
                <w:rFonts w:ascii="Tahoma" w:eastAsia="Calibri" w:hAnsi="Tahoma" w:cs="Tahoma" w:hint="cs"/>
                <w:sz w:val="19"/>
                <w:szCs w:val="19"/>
                <w:rtl/>
              </w:rPr>
              <w:t xml:space="preserve">עד </w:t>
            </w:r>
            <w:r w:rsidR="00194D62">
              <w:rPr>
                <w:rFonts w:ascii="Tahoma" w:eastAsia="Calibri" w:hAnsi="Tahoma" w:cs="Tahoma" w:hint="cs"/>
                <w:sz w:val="19"/>
                <w:szCs w:val="19"/>
                <w:rtl/>
              </w:rPr>
              <w:t>סוף</w:t>
            </w:r>
            <w:r w:rsidRPr="00003BAE">
              <w:rPr>
                <w:rFonts w:ascii="Tahoma" w:eastAsia="Calibri" w:hAnsi="Tahoma" w:cs="Tahoma" w:hint="cs"/>
                <w:sz w:val="19"/>
                <w:szCs w:val="19"/>
                <w:rtl/>
              </w:rPr>
              <w:t xml:space="preserve"> 2024 </w:t>
            </w:r>
            <w:r w:rsidRPr="00003BAE">
              <w:rPr>
                <w:rFonts w:ascii="Tahoma" w:eastAsia="Calibri" w:hAnsi="Tahoma" w:cs="Tahoma"/>
                <w:sz w:val="19"/>
                <w:szCs w:val="19"/>
                <w:rtl/>
              </w:rPr>
              <w:t>עמד על כמחצית מהסכום שהוקצה</w:t>
            </w:r>
          </w:p>
          <w:p w:rsidR="00003BAE" w:rsidRPr="00003BAE" w:rsidRDefault="00003BAE" w:rsidP="00003BAE">
            <w:pPr>
              <w:spacing w:line="240" w:lineRule="auto"/>
              <w:rPr>
                <w:rFonts w:ascii="Tahoma" w:eastAsia="Calibri" w:hAnsi="Tahoma" w:cs="Tahoma"/>
                <w:sz w:val="19"/>
                <w:szCs w:val="19"/>
                <w:rtl/>
              </w:rPr>
            </w:pPr>
          </w:p>
        </w:tc>
        <w:tc>
          <w:tcPr>
            <w:tcW w:w="278" w:type="dxa"/>
          </w:tcPr>
          <w:p w:rsidR="00003BAE" w:rsidRPr="00003BAE" w:rsidRDefault="00003BAE" w:rsidP="00003BAE">
            <w:pPr>
              <w:spacing w:line="240" w:lineRule="auto"/>
              <w:rPr>
                <w:rFonts w:ascii="Tahoma" w:eastAsia="Calibri" w:hAnsi="Tahoma" w:cs="Tahoma"/>
                <w:sz w:val="19"/>
                <w:szCs w:val="19"/>
                <w:rtl/>
              </w:rPr>
            </w:pPr>
          </w:p>
        </w:tc>
        <w:tc>
          <w:tcPr>
            <w:tcW w:w="2274" w:type="dxa"/>
          </w:tcPr>
          <w:p w:rsidR="00003BAE" w:rsidRPr="00003BAE" w:rsidRDefault="00003BAE" w:rsidP="00003BAE">
            <w:pPr>
              <w:spacing w:line="240" w:lineRule="auto"/>
              <w:ind w:right="23"/>
              <w:rPr>
                <w:rFonts w:ascii="Tahoma" w:eastAsia="Calibri" w:hAnsi="Tahoma" w:cs="Tahoma"/>
                <w:sz w:val="19"/>
                <w:szCs w:val="19"/>
                <w:rtl/>
              </w:rPr>
            </w:pPr>
            <w:r w:rsidRPr="00003BAE">
              <w:rPr>
                <w:rFonts w:ascii="Tahoma" w:eastAsia="Calibri" w:hAnsi="Tahoma" w:cs="Tahoma"/>
                <w:sz w:val="19"/>
                <w:szCs w:val="19"/>
                <w:rtl/>
              </w:rPr>
              <w:t>מהסכום ש</w:t>
            </w:r>
            <w:r w:rsidRPr="00003BAE">
              <w:rPr>
                <w:rFonts w:ascii="Tahoma" w:eastAsia="Calibri" w:hAnsi="Tahoma" w:cs="Tahoma" w:hint="cs"/>
                <w:sz w:val="19"/>
                <w:szCs w:val="19"/>
                <w:rtl/>
              </w:rPr>
              <w:t xml:space="preserve">נקבע בהחלטת הממשלה, </w:t>
            </w:r>
            <w:r w:rsidRPr="00003BAE">
              <w:rPr>
                <w:rFonts w:ascii="Tahoma" w:eastAsia="Calibri" w:hAnsi="Tahoma" w:cs="Tahoma"/>
                <w:sz w:val="19"/>
                <w:szCs w:val="19"/>
                <w:rtl/>
              </w:rPr>
              <w:t>בסך 12.63 מיליון ש"ח</w:t>
            </w:r>
            <w:r w:rsidRPr="00003BAE">
              <w:rPr>
                <w:rFonts w:ascii="Tahoma" w:eastAsia="Calibri" w:hAnsi="Tahoma" w:cs="Tahoma" w:hint="cs"/>
                <w:sz w:val="19"/>
                <w:szCs w:val="19"/>
                <w:rtl/>
              </w:rPr>
              <w:t>,</w:t>
            </w:r>
            <w:r w:rsidRPr="00003BAE">
              <w:rPr>
                <w:rFonts w:ascii="Tahoma" w:eastAsia="Calibri" w:hAnsi="Tahoma" w:cs="Tahoma"/>
                <w:sz w:val="19"/>
                <w:szCs w:val="19"/>
                <w:rtl/>
              </w:rPr>
              <w:t xml:space="preserve"> העבירו</w:t>
            </w:r>
            <w:r w:rsidRPr="00003BAE">
              <w:rPr>
                <w:rFonts w:ascii="Tahoma" w:eastAsia="Calibri" w:hAnsi="Tahoma" w:cs="Tahoma" w:hint="cs"/>
                <w:sz w:val="19"/>
                <w:szCs w:val="19"/>
                <w:rtl/>
              </w:rPr>
              <w:t xml:space="preserve"> משרדי הממשלה </w:t>
            </w:r>
            <w:r w:rsidRPr="00003BAE">
              <w:rPr>
                <w:rFonts w:ascii="Tahoma" w:eastAsia="Calibri" w:hAnsi="Tahoma" w:cs="Tahoma"/>
                <w:sz w:val="19"/>
                <w:szCs w:val="19"/>
                <w:rtl/>
              </w:rPr>
              <w:t>לידי</w:t>
            </w:r>
            <w:r w:rsidRPr="00003BAE">
              <w:rPr>
                <w:rFonts w:ascii="Tahoma" w:eastAsia="Calibri" w:hAnsi="Tahoma" w:cs="Tahoma" w:hint="cs"/>
                <w:sz w:val="19"/>
                <w:szCs w:val="19"/>
                <w:rtl/>
              </w:rPr>
              <w:t xml:space="preserve"> עיריית אשקלון בשנים 2022 - 2023</w:t>
            </w:r>
            <w:r w:rsidRPr="00003BAE">
              <w:rPr>
                <w:rFonts w:ascii="Tahoma" w:eastAsia="Calibri" w:hAnsi="Tahoma" w:cs="Tahoma"/>
                <w:sz w:val="19"/>
                <w:szCs w:val="19"/>
                <w:rtl/>
              </w:rPr>
              <w:t xml:space="preserve"> </w:t>
            </w:r>
          </w:p>
        </w:tc>
        <w:tc>
          <w:tcPr>
            <w:tcW w:w="277" w:type="dxa"/>
          </w:tcPr>
          <w:p w:rsidR="00003BAE" w:rsidRPr="00003BAE" w:rsidRDefault="00003BAE" w:rsidP="00003BAE">
            <w:pPr>
              <w:spacing w:line="240" w:lineRule="auto"/>
              <w:rPr>
                <w:rFonts w:ascii="Tahoma" w:eastAsia="Calibri" w:hAnsi="Tahoma" w:cs="Tahoma"/>
                <w:sz w:val="19"/>
                <w:szCs w:val="19"/>
                <w:rtl/>
              </w:rPr>
            </w:pPr>
          </w:p>
        </w:tc>
        <w:tc>
          <w:tcPr>
            <w:tcW w:w="2130" w:type="dxa"/>
          </w:tcPr>
          <w:p w:rsidR="00003BAE" w:rsidRPr="00003BAE" w:rsidRDefault="00003BAE" w:rsidP="00003BAE">
            <w:pPr>
              <w:spacing w:line="240" w:lineRule="auto"/>
              <w:ind w:right="23"/>
              <w:rPr>
                <w:rFonts w:ascii="Tahoma" w:eastAsia="Calibri" w:hAnsi="Tahoma" w:cs="Tahoma"/>
                <w:sz w:val="19"/>
                <w:szCs w:val="19"/>
                <w:rtl/>
              </w:rPr>
            </w:pPr>
            <w:r w:rsidRPr="00003BAE">
              <w:rPr>
                <w:rFonts w:ascii="Tahoma" w:eastAsia="Calibri" w:hAnsi="Tahoma" w:cs="Tahoma" w:hint="cs"/>
                <w:sz w:val="19"/>
                <w:szCs w:val="19"/>
                <w:rtl/>
              </w:rPr>
              <w:t>שהקצה משרד הבינוי והשיכון למענקים והלוואות ל"סיוע בפתרונות מיגון דירתיים באשקלון" לשנים 2022 ו-2023, בהתאמה, לא נוצלו עד אמצע שנת 2023 בשל עיכוב בפרסום הנוהל לקבלתם</w:t>
            </w:r>
          </w:p>
        </w:tc>
      </w:tr>
    </w:tbl>
    <w:p w:rsidR="001D3DA9" w:rsidRPr="00003BAE" w:rsidRDefault="001D3DA9" w:rsidP="001D3DA9">
      <w:pPr>
        <w:spacing w:line="288" w:lineRule="auto"/>
        <w:ind w:left="-1"/>
        <w:rPr>
          <w:sz w:val="18"/>
          <w:szCs w:val="22"/>
          <w:rtl/>
        </w:rPr>
      </w:pPr>
    </w:p>
    <w:p w:rsidR="001D3DA9" w:rsidRDefault="009961E8" w:rsidP="001D3DA9">
      <w:pPr>
        <w:ind w:left="-1"/>
      </w:pPr>
      <w:r>
        <w:br w:type="page"/>
      </w: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0314B9">
            <w:pPr>
              <w:spacing w:line="288" w:lineRule="auto"/>
              <w:ind w:left="-1"/>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1D3DA9" w:rsidRPr="00084768" w:rsidRDefault="009961E8" w:rsidP="00623AB0">
      <w:pPr>
        <w:pStyle w:val="73"/>
        <w:ind w:left="851"/>
        <w:rPr>
          <w:sz w:val="19"/>
          <w:szCs w:val="19"/>
        </w:rPr>
      </w:pPr>
      <w:r w:rsidRPr="00084768">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4297" w:rsidRPr="00764297">
        <w:rPr>
          <w:noProof/>
          <w:sz w:val="19"/>
          <w:szCs w:val="19"/>
          <w:rtl/>
        </w:rPr>
        <w:t xml:space="preserve">בחודשים מרץ-נובמבר 2024 בדק משרד מבקר המדינה את נושא המיגון והמקלוט בחמש רשויות מקומיות: עיריות אשקלון, גבעתיים וחולון, המועצה המקומית ביענה והמועצה האזורית הגלבוע (הרשויות שנבדקו) וכן בפזורה הבדואית בנגב. בדיקות השלמה נעשו </w:t>
      </w:r>
      <w:r w:rsidR="00037B15">
        <w:rPr>
          <w:rFonts w:hint="cs"/>
          <w:noProof/>
          <w:sz w:val="19"/>
          <w:szCs w:val="19"/>
          <w:rtl/>
        </w:rPr>
        <w:t xml:space="preserve">בפקע"ר, </w:t>
      </w:r>
      <w:r w:rsidR="00764297" w:rsidRPr="00764297">
        <w:rPr>
          <w:noProof/>
          <w:sz w:val="19"/>
          <w:szCs w:val="19"/>
          <w:rtl/>
        </w:rPr>
        <w:t>במשרד החינוך, במשרד הבינוי והשיכון וברשות לפיתוח והתיישבות הבדואים בנגב. נוסף על כך, לפי בקשת הוועדה לענייני ביקורת המדינה מיום 4.6.24 ממבקר המדינה להכין חוות דעת בהתאם לסעיף 21 לחוק מבקר המדינה, התשי"ח-1958 [נוסח משולב], בדק משרד מבקר המדינה את החלטת המשרד לשוויון חברתי וקידום מעמד האישה לסגור את חדר המצב (מוקד החירום) לתמיכה בחברה הערבית.</w:t>
      </w:r>
      <w:r w:rsidRPr="00084768">
        <w:rPr>
          <w:rFonts w:hint="cs"/>
          <w:sz w:val="19"/>
          <w:szCs w:val="19"/>
          <w:rtl/>
        </w:rPr>
        <w:t xml:space="preserve"> </w:t>
      </w:r>
    </w:p>
    <w:p w:rsidR="001D3DA9" w:rsidRPr="006C4033" w:rsidRDefault="009961E8" w:rsidP="00732487">
      <w:pPr>
        <w:spacing w:before="600" w:line="480"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0B5F64">
      <w:pPr>
        <w:spacing w:before="240" w:after="16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764297" w:rsidRPr="00764297" w:rsidRDefault="00764297" w:rsidP="00F04231">
      <w:pPr>
        <w:pStyle w:val="73"/>
        <w:numPr>
          <w:ilvl w:val="0"/>
          <w:numId w:val="25"/>
        </w:numPr>
        <w:spacing w:after="120"/>
        <w:rPr>
          <w:sz w:val="19"/>
          <w:szCs w:val="19"/>
          <w:rtl/>
        </w:rPr>
      </w:pPr>
      <w:r w:rsidRPr="00764297">
        <w:rPr>
          <w:b/>
          <w:bCs/>
          <w:sz w:val="19"/>
          <w:szCs w:val="19"/>
          <w:rtl/>
        </w:rPr>
        <w:t>מיפוי פערי המיגון ופעילות פקע"ר לבחינת המענים של הרשויות</w:t>
      </w:r>
      <w:r w:rsidRPr="00764297">
        <w:rPr>
          <w:sz w:val="19"/>
          <w:szCs w:val="19"/>
          <w:rtl/>
        </w:rPr>
        <w:t xml:space="preserve"> - תמונת המצב העולה מהביקורת מעידה על מציאות שבה כשליש מאזרחי ישראל אינם מוגנים מפני טילים כראוי: נכון לינואר 2025 לכ-3.2 מיליון תושבים (33.6%) אין מיגון תקני, ובכללם 42,575 תושבים המתגוררים ביישובים הנמצאים במרחק של 7 - 20 ק"מ מגדר המערכת הגובלת ברצועת עזה. פער זה מתחדד לאור המציאות הביטחונית המשתנה שבה יש איומים בלתי פוסקים של ירי טילים מחזיתות שונות. במקום להתמודד עם הכשלים בגיבוש המענה לפערי המיגון שעלו כבר בשנת 2018, בחר פקע"ר להקפיא את ביצועו של השלב השני בתוכנית המיגון הרשותית (תמי"ר) (גיבוש המענה על ידי הרשויות המקומיות), ולא להמשיך להטמיעו באופן רחב ויזום ברשויות המקומיות, זאת מבלי לדאוג לתוכנית חלופית למימוש אחריותו להסדרה ולקידום של ביטחון התושבים. בביקורת עלה כי אף אחת מהרשויות המקומיות שנבדקו אינה יודעת על החלטת פקע"ר על הקפאת שלב ב' בתוכנית המיגון. בנוסף על הקפאת התוכנית קבע פקע"ר בשנת 2018 כי לא יאושרו תוכניות תמי״ר של הרשויות המקומיות.</w:t>
      </w:r>
    </w:p>
    <w:p w:rsidR="00764297" w:rsidRPr="00764297" w:rsidRDefault="00194D62" w:rsidP="00194D62">
      <w:pPr>
        <w:pStyle w:val="73"/>
        <w:spacing w:after="160"/>
        <w:rPr>
          <w:sz w:val="19"/>
          <w:szCs w:val="19"/>
          <w:rtl/>
        </w:rPr>
      </w:pPr>
      <w:bookmarkStart w:id="1" w:name="_Hlk218151179"/>
      <w:r w:rsidRPr="00194D62">
        <w:rPr>
          <w:sz w:val="19"/>
          <w:szCs w:val="19"/>
          <w:rtl/>
        </w:rPr>
        <w:t xml:space="preserve">משרד מבקר המדינה מעיר לפקע"ר כי אין זה ראוי שבמשך כשבע שנים הוא נמנע מאישור </w:t>
      </w:r>
      <w:proofErr w:type="spellStart"/>
      <w:r w:rsidRPr="00194D62">
        <w:rPr>
          <w:sz w:val="19"/>
          <w:szCs w:val="19"/>
          <w:rtl/>
        </w:rPr>
        <w:t>התמי"ר</w:t>
      </w:r>
      <w:proofErr w:type="spellEnd"/>
      <w:r w:rsidRPr="00194D62">
        <w:rPr>
          <w:sz w:val="19"/>
          <w:szCs w:val="19"/>
          <w:rtl/>
        </w:rPr>
        <w:t xml:space="preserve"> של הרשויות המקומיות והותיר את נושא ההיערכות למיגון התושבים להחלטה וולונטרית של הרשויות המקומיות וללא הנחיות ברורות לרשויות בתחום שעליו הוא מופקד.</w:t>
      </w:r>
      <w:bookmarkEnd w:id="1"/>
    </w:p>
    <w:p w:rsidR="00542832" w:rsidRPr="004268B6" w:rsidRDefault="00542832" w:rsidP="00623AB0">
      <w:pPr>
        <w:pStyle w:val="73"/>
        <w:numPr>
          <w:ilvl w:val="0"/>
          <w:numId w:val="25"/>
        </w:numPr>
        <w:spacing w:after="120"/>
        <w:rPr>
          <w:sz w:val="19"/>
          <w:szCs w:val="19"/>
        </w:rPr>
      </w:pPr>
      <w:r w:rsidRPr="00E74C02">
        <w:rPr>
          <w:rFonts w:hint="eastAsia"/>
          <w:b/>
          <w:bCs/>
          <w:sz w:val="19"/>
          <w:szCs w:val="19"/>
          <w:rtl/>
        </w:rPr>
        <w:lastRenderedPageBreak/>
        <w:t>פעולות</w:t>
      </w:r>
      <w:r w:rsidRPr="00E74C02">
        <w:rPr>
          <w:b/>
          <w:bCs/>
          <w:sz w:val="19"/>
          <w:szCs w:val="19"/>
          <w:rtl/>
        </w:rPr>
        <w:t xml:space="preserve"> הרשויות </w:t>
      </w:r>
      <w:r w:rsidRPr="00E74C02">
        <w:rPr>
          <w:rFonts w:hint="cs"/>
          <w:b/>
          <w:bCs/>
          <w:sz w:val="19"/>
          <w:szCs w:val="19"/>
          <w:rtl/>
        </w:rPr>
        <w:t xml:space="preserve">שנבדקו </w:t>
      </w:r>
      <w:r w:rsidRPr="00E74C02">
        <w:rPr>
          <w:b/>
          <w:bCs/>
          <w:sz w:val="19"/>
          <w:szCs w:val="19"/>
          <w:rtl/>
        </w:rPr>
        <w:t xml:space="preserve">למיפוי </w:t>
      </w:r>
      <w:r w:rsidRPr="00E74C02">
        <w:rPr>
          <w:rFonts w:hint="cs"/>
          <w:b/>
          <w:bCs/>
          <w:sz w:val="19"/>
          <w:szCs w:val="19"/>
          <w:rtl/>
        </w:rPr>
        <w:t xml:space="preserve">פערי מיגון </w:t>
      </w:r>
      <w:r w:rsidRPr="00E74C02">
        <w:rPr>
          <w:b/>
          <w:bCs/>
          <w:sz w:val="19"/>
          <w:szCs w:val="19"/>
          <w:rtl/>
        </w:rPr>
        <w:t>וקידום פתרונות מיגון</w:t>
      </w:r>
      <w:r w:rsidRPr="00E74C02">
        <w:rPr>
          <w:rFonts w:hint="cs"/>
          <w:sz w:val="19"/>
          <w:szCs w:val="19"/>
          <w:rtl/>
        </w:rPr>
        <w:t xml:space="preserve"> - </w:t>
      </w:r>
      <w:r w:rsidRPr="00E74C02">
        <w:rPr>
          <w:sz w:val="19"/>
          <w:szCs w:val="19"/>
          <w:rtl/>
        </w:rPr>
        <w:t xml:space="preserve">בעיריות </w:t>
      </w:r>
      <w:r w:rsidRPr="00E74C02">
        <w:rPr>
          <w:b/>
          <w:bCs/>
          <w:sz w:val="19"/>
          <w:szCs w:val="19"/>
          <w:rtl/>
        </w:rPr>
        <w:t>גבעתיים</w:t>
      </w:r>
      <w:r w:rsidRPr="00E74C02">
        <w:rPr>
          <w:sz w:val="19"/>
          <w:szCs w:val="19"/>
          <w:rtl/>
        </w:rPr>
        <w:t xml:space="preserve"> ו</w:t>
      </w:r>
      <w:r w:rsidRPr="00E74C02">
        <w:rPr>
          <w:b/>
          <w:bCs/>
          <w:sz w:val="19"/>
          <w:szCs w:val="19"/>
          <w:rtl/>
        </w:rPr>
        <w:t>חולון</w:t>
      </w:r>
      <w:r w:rsidRPr="00E74C02">
        <w:rPr>
          <w:sz w:val="19"/>
          <w:szCs w:val="19"/>
          <w:rtl/>
        </w:rPr>
        <w:t xml:space="preserve"> ובמועצה המקומית </w:t>
      </w:r>
      <w:r w:rsidRPr="00E74C02">
        <w:rPr>
          <w:b/>
          <w:bCs/>
          <w:sz w:val="19"/>
          <w:szCs w:val="19"/>
          <w:rtl/>
        </w:rPr>
        <w:t>ביענה</w:t>
      </w:r>
      <w:r w:rsidRPr="00E74C02">
        <w:rPr>
          <w:sz w:val="19"/>
          <w:szCs w:val="19"/>
          <w:rtl/>
        </w:rPr>
        <w:t xml:space="preserve"> מספר התושבים ללא מיגון תקני (חלקם </w:t>
      </w:r>
      <w:r>
        <w:rPr>
          <w:rFonts w:hint="cs"/>
          <w:sz w:val="19"/>
          <w:szCs w:val="19"/>
          <w:rtl/>
        </w:rPr>
        <w:t xml:space="preserve">מהנתונים </w:t>
      </w:r>
      <w:r w:rsidRPr="00E74C02">
        <w:rPr>
          <w:sz w:val="19"/>
          <w:szCs w:val="19"/>
          <w:rtl/>
        </w:rPr>
        <w:t>מבוסס על</w:t>
      </w:r>
      <w:r w:rsidRPr="007A4271">
        <w:rPr>
          <w:sz w:val="19"/>
          <w:szCs w:val="19"/>
          <w:rtl/>
        </w:rPr>
        <w:t xml:space="preserve"> </w:t>
      </w:r>
      <w:r>
        <w:rPr>
          <w:rFonts w:hint="cs"/>
          <w:sz w:val="19"/>
          <w:szCs w:val="19"/>
          <w:rtl/>
        </w:rPr>
        <w:t xml:space="preserve">נתוני </w:t>
      </w:r>
      <w:r w:rsidRPr="007A4271">
        <w:rPr>
          <w:sz w:val="19"/>
          <w:szCs w:val="19"/>
          <w:rtl/>
        </w:rPr>
        <w:t>היתרי בנ</w:t>
      </w:r>
      <w:r>
        <w:rPr>
          <w:rFonts w:hint="cs"/>
          <w:sz w:val="19"/>
          <w:szCs w:val="19"/>
          <w:rtl/>
        </w:rPr>
        <w:t>י</w:t>
      </w:r>
      <w:r w:rsidRPr="007A4271">
        <w:rPr>
          <w:sz w:val="19"/>
          <w:szCs w:val="19"/>
          <w:rtl/>
        </w:rPr>
        <w:t xml:space="preserve">יה ולא על </w:t>
      </w:r>
      <w:r w:rsidRPr="004268B6">
        <w:rPr>
          <w:sz w:val="19"/>
          <w:szCs w:val="19"/>
          <w:rtl/>
        </w:rPr>
        <w:t>בני</w:t>
      </w:r>
      <w:r>
        <w:rPr>
          <w:rFonts w:hint="cs"/>
          <w:sz w:val="19"/>
          <w:szCs w:val="19"/>
          <w:rtl/>
        </w:rPr>
        <w:t>י</w:t>
      </w:r>
      <w:r w:rsidRPr="004268B6">
        <w:rPr>
          <w:sz w:val="19"/>
          <w:szCs w:val="19"/>
          <w:rtl/>
        </w:rPr>
        <w:t xml:space="preserve">ה בפועל) היה: 10,163 (16%) </w:t>
      </w:r>
      <w:r w:rsidRPr="004268B6">
        <w:rPr>
          <w:rFonts w:hint="eastAsia"/>
          <w:sz w:val="19"/>
          <w:szCs w:val="19"/>
          <w:rtl/>
        </w:rPr>
        <w:t>ב</w:t>
      </w:r>
      <w:r w:rsidRPr="004268B6">
        <w:rPr>
          <w:rFonts w:hint="eastAsia"/>
          <w:b/>
          <w:bCs/>
          <w:sz w:val="19"/>
          <w:szCs w:val="19"/>
          <w:rtl/>
        </w:rPr>
        <w:t>גבעתיים</w:t>
      </w:r>
      <w:r w:rsidRPr="004268B6">
        <w:rPr>
          <w:sz w:val="19"/>
          <w:szCs w:val="19"/>
          <w:rtl/>
        </w:rPr>
        <w:t xml:space="preserve">, 26,895 (14%) </w:t>
      </w:r>
      <w:r w:rsidRPr="004268B6">
        <w:rPr>
          <w:rFonts w:hint="eastAsia"/>
          <w:sz w:val="19"/>
          <w:szCs w:val="19"/>
          <w:rtl/>
        </w:rPr>
        <w:t>ב</w:t>
      </w:r>
      <w:r w:rsidRPr="004268B6">
        <w:rPr>
          <w:rFonts w:hint="eastAsia"/>
          <w:b/>
          <w:bCs/>
          <w:sz w:val="19"/>
          <w:szCs w:val="19"/>
          <w:rtl/>
        </w:rPr>
        <w:t>חולון</w:t>
      </w:r>
      <w:r w:rsidRPr="004268B6">
        <w:rPr>
          <w:sz w:val="19"/>
          <w:szCs w:val="19"/>
          <w:rtl/>
        </w:rPr>
        <w:t xml:space="preserve"> ו-6,167 (77%) </w:t>
      </w:r>
      <w:proofErr w:type="spellStart"/>
      <w:r w:rsidRPr="004268B6">
        <w:rPr>
          <w:rFonts w:hint="eastAsia"/>
          <w:sz w:val="19"/>
          <w:szCs w:val="19"/>
          <w:rtl/>
        </w:rPr>
        <w:t>ב</w:t>
      </w:r>
      <w:r w:rsidRPr="004268B6">
        <w:rPr>
          <w:rFonts w:hint="eastAsia"/>
          <w:b/>
          <w:bCs/>
          <w:sz w:val="19"/>
          <w:szCs w:val="19"/>
          <w:rtl/>
        </w:rPr>
        <w:t>ביענה</w:t>
      </w:r>
      <w:proofErr w:type="spellEnd"/>
      <w:r w:rsidRPr="004268B6">
        <w:rPr>
          <w:sz w:val="19"/>
          <w:szCs w:val="19"/>
          <w:rtl/>
        </w:rPr>
        <w:t>.</w:t>
      </w:r>
      <w:r>
        <w:rPr>
          <w:rFonts w:hint="cs"/>
          <w:sz w:val="19"/>
          <w:szCs w:val="19"/>
          <w:rtl/>
        </w:rPr>
        <w:t xml:space="preserve"> </w:t>
      </w:r>
      <w:r w:rsidRPr="004268B6">
        <w:rPr>
          <w:sz w:val="19"/>
          <w:szCs w:val="19"/>
          <w:rtl/>
        </w:rPr>
        <w:t xml:space="preserve">לעיריית </w:t>
      </w:r>
      <w:r w:rsidRPr="004268B6">
        <w:rPr>
          <w:b/>
          <w:bCs/>
          <w:sz w:val="19"/>
          <w:szCs w:val="19"/>
          <w:rtl/>
        </w:rPr>
        <w:t>אשקלון</w:t>
      </w:r>
      <w:r w:rsidRPr="004268B6">
        <w:rPr>
          <w:sz w:val="19"/>
          <w:szCs w:val="19"/>
          <w:rtl/>
        </w:rPr>
        <w:t xml:space="preserve"> ולמועצה האזורית </w:t>
      </w:r>
      <w:r w:rsidRPr="004268B6">
        <w:rPr>
          <w:b/>
          <w:bCs/>
          <w:sz w:val="19"/>
          <w:szCs w:val="19"/>
          <w:rtl/>
        </w:rPr>
        <w:t>הגלבוע</w:t>
      </w:r>
      <w:r w:rsidRPr="004268B6">
        <w:rPr>
          <w:sz w:val="19"/>
          <w:szCs w:val="19"/>
          <w:rtl/>
        </w:rPr>
        <w:t xml:space="preserve"> אין נתונים על מספר התושבים ללא מיגון תקני, כנדרש בתיק האב</w:t>
      </w:r>
      <w:r w:rsidRPr="00C9223F">
        <w:rPr>
          <w:rFonts w:hint="cs"/>
          <w:sz w:val="19"/>
          <w:szCs w:val="19"/>
          <w:rtl/>
        </w:rPr>
        <w:t xml:space="preserve"> להיערכות העירייה והמועצה המקומית לחירום</w:t>
      </w:r>
      <w:r>
        <w:rPr>
          <w:rStyle w:val="af1"/>
          <w:sz w:val="19"/>
          <w:szCs w:val="19"/>
          <w:rtl/>
        </w:rPr>
        <w:footnoteReference w:id="1"/>
      </w:r>
      <w:r w:rsidRPr="004268B6">
        <w:rPr>
          <w:sz w:val="19"/>
          <w:szCs w:val="19"/>
          <w:rtl/>
        </w:rPr>
        <w:t>.</w:t>
      </w:r>
      <w:r w:rsidRPr="00C017F7">
        <w:rPr>
          <w:sz w:val="19"/>
          <w:szCs w:val="19"/>
          <w:rtl/>
        </w:rPr>
        <w:t xml:space="preserve"> </w:t>
      </w:r>
      <w:r w:rsidRPr="004268B6">
        <w:rPr>
          <w:sz w:val="19"/>
          <w:szCs w:val="19"/>
          <w:rtl/>
        </w:rPr>
        <w:t xml:space="preserve">במועצה המקומית </w:t>
      </w:r>
      <w:r w:rsidRPr="004268B6">
        <w:rPr>
          <w:b/>
          <w:bCs/>
          <w:sz w:val="19"/>
          <w:szCs w:val="19"/>
          <w:rtl/>
        </w:rPr>
        <w:t>ביענה</w:t>
      </w:r>
      <w:r w:rsidRPr="004268B6">
        <w:rPr>
          <w:sz w:val="19"/>
          <w:szCs w:val="19"/>
          <w:rtl/>
        </w:rPr>
        <w:t xml:space="preserve"> ובמועצה האזורית </w:t>
      </w:r>
      <w:r w:rsidRPr="004268B6">
        <w:rPr>
          <w:b/>
          <w:bCs/>
          <w:sz w:val="19"/>
          <w:szCs w:val="19"/>
          <w:rtl/>
        </w:rPr>
        <w:t>הגלבוע</w:t>
      </w:r>
      <w:r w:rsidRPr="004268B6">
        <w:rPr>
          <w:sz w:val="19"/>
          <w:szCs w:val="19"/>
          <w:rtl/>
        </w:rPr>
        <w:t xml:space="preserve"> לא הוקמו מסדי נתונים שמבוססים על הבנייה בפועל בנוגע לפערי המיגון ולא מופו כל המרחבים המוגנים שבתחומן, כנדרש בתיקי האב</w:t>
      </w:r>
      <w:r>
        <w:rPr>
          <w:rStyle w:val="af1"/>
          <w:sz w:val="19"/>
          <w:szCs w:val="19"/>
          <w:rtl/>
        </w:rPr>
        <w:footnoteReference w:id="2"/>
      </w:r>
      <w:r w:rsidRPr="004268B6">
        <w:rPr>
          <w:sz w:val="19"/>
          <w:szCs w:val="19"/>
          <w:rtl/>
        </w:rPr>
        <w:t xml:space="preserve">. הרשויות המקומיות </w:t>
      </w:r>
      <w:r w:rsidRPr="004268B6">
        <w:rPr>
          <w:b/>
          <w:bCs/>
          <w:sz w:val="19"/>
          <w:szCs w:val="19"/>
          <w:rtl/>
        </w:rPr>
        <w:t>אשקלון</w:t>
      </w:r>
      <w:r w:rsidRPr="004268B6">
        <w:rPr>
          <w:sz w:val="19"/>
          <w:szCs w:val="19"/>
          <w:rtl/>
        </w:rPr>
        <w:t xml:space="preserve">, </w:t>
      </w:r>
      <w:r w:rsidRPr="004268B6">
        <w:rPr>
          <w:b/>
          <w:bCs/>
          <w:sz w:val="19"/>
          <w:szCs w:val="19"/>
          <w:rtl/>
        </w:rPr>
        <w:t>ביענה</w:t>
      </w:r>
      <w:r w:rsidRPr="004268B6">
        <w:rPr>
          <w:sz w:val="19"/>
          <w:szCs w:val="19"/>
          <w:rtl/>
        </w:rPr>
        <w:t xml:space="preserve"> ו</w:t>
      </w:r>
      <w:r w:rsidRPr="004268B6">
        <w:rPr>
          <w:b/>
          <w:bCs/>
          <w:sz w:val="19"/>
          <w:szCs w:val="19"/>
          <w:rtl/>
        </w:rPr>
        <w:t>הגלבוע</w:t>
      </w:r>
      <w:r w:rsidRPr="004268B6">
        <w:rPr>
          <w:sz w:val="19"/>
          <w:szCs w:val="19"/>
          <w:rtl/>
        </w:rPr>
        <w:t xml:space="preserve"> לא תכננו פתרונות מיגון לאוכלוסייה בשעת חירום, כנדרש בתיקי האב. בפתרונות המוצעים לתושבים חסרי המיגון שנתנו הרשויות המקומיות </w:t>
      </w:r>
      <w:r w:rsidRPr="004268B6">
        <w:rPr>
          <w:b/>
          <w:bCs/>
          <w:sz w:val="19"/>
          <w:szCs w:val="19"/>
          <w:rtl/>
        </w:rPr>
        <w:t>גבעתיים</w:t>
      </w:r>
      <w:r w:rsidRPr="004268B6">
        <w:rPr>
          <w:sz w:val="19"/>
          <w:szCs w:val="19"/>
          <w:rtl/>
        </w:rPr>
        <w:t xml:space="preserve"> ו</w:t>
      </w:r>
      <w:r w:rsidRPr="004268B6">
        <w:rPr>
          <w:b/>
          <w:bCs/>
          <w:sz w:val="19"/>
          <w:szCs w:val="19"/>
          <w:rtl/>
        </w:rPr>
        <w:t>חולון</w:t>
      </w:r>
      <w:r w:rsidRPr="004268B6">
        <w:rPr>
          <w:sz w:val="19"/>
          <w:szCs w:val="19"/>
          <w:rtl/>
        </w:rPr>
        <w:t xml:space="preserve"> לא ניתן לדעת אם המקלטים הציבוריים שלהן נמצאים במרחק מבתי התושבים </w:t>
      </w:r>
      <w:r>
        <w:rPr>
          <w:rFonts w:hint="cs"/>
          <w:sz w:val="19"/>
          <w:szCs w:val="19"/>
          <w:rtl/>
        </w:rPr>
        <w:t>שמאפשר</w:t>
      </w:r>
      <w:r w:rsidRPr="004268B6">
        <w:rPr>
          <w:sz w:val="19"/>
          <w:szCs w:val="19"/>
          <w:rtl/>
        </w:rPr>
        <w:t xml:space="preserve"> להגיע אליהם בשעת הצורך </w:t>
      </w:r>
      <w:r>
        <w:rPr>
          <w:rFonts w:hint="cs"/>
          <w:sz w:val="19"/>
          <w:szCs w:val="19"/>
          <w:rtl/>
        </w:rPr>
        <w:t>במשך זמן ההתרעה</w:t>
      </w:r>
      <w:r w:rsidRPr="004268B6">
        <w:rPr>
          <w:sz w:val="19"/>
          <w:szCs w:val="19"/>
          <w:rtl/>
        </w:rPr>
        <w:t>.</w:t>
      </w:r>
      <w:r w:rsidRPr="00C017F7">
        <w:rPr>
          <w:sz w:val="19"/>
          <w:szCs w:val="19"/>
          <w:rtl/>
        </w:rPr>
        <w:t xml:space="preserve"> </w:t>
      </w:r>
      <w:r w:rsidRPr="00C017F7">
        <w:rPr>
          <w:rFonts w:hint="eastAsia"/>
          <w:sz w:val="19"/>
          <w:szCs w:val="19"/>
          <w:rtl/>
        </w:rPr>
        <w:t>עוד</w:t>
      </w:r>
      <w:r w:rsidRPr="00C017F7">
        <w:rPr>
          <w:sz w:val="19"/>
          <w:szCs w:val="19"/>
          <w:rtl/>
        </w:rPr>
        <w:t xml:space="preserve"> נמצא</w:t>
      </w:r>
      <w:r>
        <w:rPr>
          <w:rFonts w:hint="cs"/>
          <w:sz w:val="19"/>
          <w:szCs w:val="19"/>
          <w:rtl/>
        </w:rPr>
        <w:t xml:space="preserve"> כי</w:t>
      </w:r>
      <w:r w:rsidRPr="00C017F7">
        <w:rPr>
          <w:sz w:val="19"/>
          <w:szCs w:val="19"/>
          <w:rtl/>
        </w:rPr>
        <w:t xml:space="preserve"> </w:t>
      </w:r>
      <w:r w:rsidRPr="004268B6">
        <w:rPr>
          <w:sz w:val="19"/>
          <w:szCs w:val="19"/>
          <w:rtl/>
        </w:rPr>
        <w:t>פקע"ר לא פיקח על יישום הנחיותיו בהתאם לתיקי האב ולא וידא שהרשויות המקומיות תכננו פתרונות מיגון שיתאימו לצ</w:t>
      </w:r>
      <w:r>
        <w:rPr>
          <w:rFonts w:hint="cs"/>
          <w:sz w:val="19"/>
          <w:szCs w:val="19"/>
          <w:rtl/>
        </w:rPr>
        <w:t>ו</w:t>
      </w:r>
      <w:r w:rsidRPr="004268B6">
        <w:rPr>
          <w:sz w:val="19"/>
          <w:szCs w:val="19"/>
          <w:rtl/>
        </w:rPr>
        <w:t>רכי האוכלוסייה בשעת חירום.</w:t>
      </w:r>
      <w:r w:rsidRPr="009D2006">
        <w:rPr>
          <w:rtl/>
        </w:rPr>
        <w:t xml:space="preserve"> </w:t>
      </w:r>
      <w:r w:rsidRPr="009D2006">
        <w:rPr>
          <w:sz w:val="19"/>
          <w:szCs w:val="19"/>
          <w:rtl/>
        </w:rPr>
        <w:t xml:space="preserve">הרשויות המקומיות </w:t>
      </w:r>
      <w:r w:rsidRPr="00C017F7">
        <w:rPr>
          <w:b/>
          <w:bCs/>
          <w:sz w:val="19"/>
          <w:szCs w:val="19"/>
          <w:rtl/>
        </w:rPr>
        <w:t>אשקלון</w:t>
      </w:r>
      <w:r w:rsidRPr="009D2006">
        <w:rPr>
          <w:sz w:val="19"/>
          <w:szCs w:val="19"/>
          <w:rtl/>
        </w:rPr>
        <w:t xml:space="preserve">, </w:t>
      </w:r>
      <w:r w:rsidRPr="00C017F7">
        <w:rPr>
          <w:b/>
          <w:bCs/>
          <w:sz w:val="19"/>
          <w:szCs w:val="19"/>
          <w:rtl/>
        </w:rPr>
        <w:t>ביענה</w:t>
      </w:r>
      <w:r w:rsidRPr="009D2006">
        <w:rPr>
          <w:sz w:val="19"/>
          <w:szCs w:val="19"/>
          <w:rtl/>
        </w:rPr>
        <w:t xml:space="preserve"> ו</w:t>
      </w:r>
      <w:r w:rsidRPr="00C017F7">
        <w:rPr>
          <w:b/>
          <w:bCs/>
          <w:sz w:val="19"/>
          <w:szCs w:val="19"/>
          <w:rtl/>
        </w:rPr>
        <w:t>הגלבוע</w:t>
      </w:r>
      <w:r w:rsidRPr="009D2006">
        <w:rPr>
          <w:sz w:val="19"/>
          <w:szCs w:val="19"/>
          <w:rtl/>
        </w:rPr>
        <w:t xml:space="preserve"> לא הכשירו מחסות המוניים בחניונים תת-קרקעיים או במבני ציבור לשהיית תושבים שאין להם מיגון תקני, כנדרש במנחה למיגון ובהנחיות פקע"ר ל"הכנת תיק מחסה המוני".</w:t>
      </w:r>
      <w:r w:rsidRPr="00DE3D87">
        <w:rPr>
          <w:rtl/>
        </w:rPr>
        <w:t xml:space="preserve"> </w:t>
      </w:r>
      <w:r w:rsidRPr="00DE3D87">
        <w:rPr>
          <w:sz w:val="19"/>
          <w:szCs w:val="19"/>
          <w:rtl/>
        </w:rPr>
        <w:t xml:space="preserve">הרשויות המקומיות </w:t>
      </w:r>
      <w:r w:rsidRPr="00C017F7">
        <w:rPr>
          <w:b/>
          <w:bCs/>
          <w:sz w:val="19"/>
          <w:szCs w:val="19"/>
          <w:rtl/>
        </w:rPr>
        <w:t>אשקלון</w:t>
      </w:r>
      <w:r w:rsidRPr="00DE3D87">
        <w:rPr>
          <w:sz w:val="19"/>
          <w:szCs w:val="19"/>
          <w:rtl/>
        </w:rPr>
        <w:t xml:space="preserve">, </w:t>
      </w:r>
      <w:r w:rsidRPr="00C017F7">
        <w:rPr>
          <w:b/>
          <w:bCs/>
          <w:sz w:val="19"/>
          <w:szCs w:val="19"/>
          <w:rtl/>
        </w:rPr>
        <w:t>גבעתיים</w:t>
      </w:r>
      <w:r w:rsidRPr="00DE3D87">
        <w:rPr>
          <w:sz w:val="19"/>
          <w:szCs w:val="19"/>
          <w:rtl/>
        </w:rPr>
        <w:t xml:space="preserve"> ו</w:t>
      </w:r>
      <w:r w:rsidRPr="00C017F7">
        <w:rPr>
          <w:b/>
          <w:bCs/>
          <w:sz w:val="19"/>
          <w:szCs w:val="19"/>
          <w:rtl/>
        </w:rPr>
        <w:t>הגלבוע</w:t>
      </w:r>
      <w:r w:rsidRPr="00DE3D87">
        <w:rPr>
          <w:sz w:val="19"/>
          <w:szCs w:val="19"/>
          <w:rtl/>
        </w:rPr>
        <w:t xml:space="preserve"> לא ציינו באתר המרשתת שלהן אילו מקלטים ציבוריים הם תת</w:t>
      </w:r>
      <w:r>
        <w:rPr>
          <w:rFonts w:hint="cs"/>
          <w:sz w:val="19"/>
          <w:szCs w:val="19"/>
          <w:rtl/>
        </w:rPr>
        <w:t>-</w:t>
      </w:r>
      <w:r w:rsidRPr="00DE3D87">
        <w:rPr>
          <w:sz w:val="19"/>
          <w:szCs w:val="19"/>
          <w:rtl/>
        </w:rPr>
        <w:t xml:space="preserve">קרקעיים ואילו עיליים; עיריית אשקלון לא פרסמה אילו מהם נגישים לאנשים עם מוגבלות; עיריות </w:t>
      </w:r>
      <w:r w:rsidRPr="00C017F7">
        <w:rPr>
          <w:b/>
          <w:bCs/>
          <w:sz w:val="19"/>
          <w:szCs w:val="19"/>
          <w:rtl/>
        </w:rPr>
        <w:t>גבעתיים</w:t>
      </w:r>
      <w:r w:rsidRPr="00DE3D87">
        <w:rPr>
          <w:sz w:val="19"/>
          <w:szCs w:val="19"/>
          <w:rtl/>
        </w:rPr>
        <w:t xml:space="preserve"> ו</w:t>
      </w:r>
      <w:r w:rsidRPr="00C017F7">
        <w:rPr>
          <w:b/>
          <w:bCs/>
          <w:sz w:val="19"/>
          <w:szCs w:val="19"/>
          <w:rtl/>
        </w:rPr>
        <w:t>חולון</w:t>
      </w:r>
      <w:r w:rsidRPr="00DE3D87">
        <w:rPr>
          <w:sz w:val="19"/>
          <w:szCs w:val="19"/>
          <w:rtl/>
        </w:rPr>
        <w:t xml:space="preserve"> לא פרסמו את רשימת החניונים הציבוריים התת-קרקעיים המשמשים מחסות ציבוריים בשעת חירום.</w:t>
      </w:r>
      <w:r>
        <w:rPr>
          <w:rFonts w:hint="cs"/>
          <w:sz w:val="19"/>
          <w:szCs w:val="19"/>
          <w:rtl/>
        </w:rPr>
        <w:t xml:space="preserve"> </w:t>
      </w:r>
      <w:r w:rsidRPr="004268B6">
        <w:rPr>
          <w:sz w:val="19"/>
          <w:szCs w:val="19"/>
          <w:rtl/>
        </w:rPr>
        <w:t xml:space="preserve">בפזורה הבדואית בנגב, שבה מתגוררים כ-165,000 תושבים במבנים בלתי מוסדרים, לא היה מיגון כלל עד לפרוץ מלחמת חרבות ברזל. </w:t>
      </w:r>
      <w:r>
        <w:rPr>
          <w:rFonts w:hint="cs"/>
          <w:sz w:val="19"/>
          <w:szCs w:val="19"/>
          <w:rtl/>
        </w:rPr>
        <w:t>מ</w:t>
      </w:r>
      <w:r w:rsidRPr="004268B6">
        <w:rPr>
          <w:rFonts w:hint="eastAsia"/>
          <w:sz w:val="19"/>
          <w:szCs w:val="19"/>
          <w:rtl/>
        </w:rPr>
        <w:t>פרוץ</w:t>
      </w:r>
      <w:r w:rsidRPr="004268B6">
        <w:rPr>
          <w:sz w:val="19"/>
          <w:szCs w:val="19"/>
          <w:rtl/>
        </w:rPr>
        <w:t xml:space="preserve"> </w:t>
      </w:r>
      <w:r w:rsidRPr="004268B6">
        <w:rPr>
          <w:rFonts w:hint="eastAsia"/>
          <w:sz w:val="19"/>
          <w:szCs w:val="19"/>
          <w:rtl/>
        </w:rPr>
        <w:t>המלחמה</w:t>
      </w:r>
      <w:r w:rsidRPr="004268B6">
        <w:rPr>
          <w:sz w:val="19"/>
          <w:szCs w:val="19"/>
          <w:rtl/>
        </w:rPr>
        <w:t xml:space="preserve"> </w:t>
      </w:r>
      <w:r>
        <w:rPr>
          <w:rFonts w:hint="cs"/>
          <w:sz w:val="19"/>
          <w:szCs w:val="19"/>
          <w:rtl/>
        </w:rPr>
        <w:t xml:space="preserve">עד ינואר 2025 </w:t>
      </w:r>
      <w:r w:rsidRPr="004268B6">
        <w:rPr>
          <w:rFonts w:hint="eastAsia"/>
          <w:sz w:val="19"/>
          <w:szCs w:val="19"/>
          <w:rtl/>
        </w:rPr>
        <w:t>הוצבו</w:t>
      </w:r>
      <w:r w:rsidRPr="004268B6">
        <w:rPr>
          <w:sz w:val="19"/>
          <w:szCs w:val="19"/>
          <w:rtl/>
        </w:rPr>
        <w:t xml:space="preserve"> </w:t>
      </w:r>
      <w:r>
        <w:rPr>
          <w:rFonts w:hint="cs"/>
          <w:sz w:val="19"/>
          <w:szCs w:val="19"/>
          <w:rtl/>
        </w:rPr>
        <w:t xml:space="preserve">ברחבי הפזורה </w:t>
      </w:r>
      <w:r w:rsidRPr="004268B6">
        <w:rPr>
          <w:sz w:val="19"/>
          <w:szCs w:val="19"/>
          <w:rtl/>
        </w:rPr>
        <w:t>כ-135 מיגוניות ו-64 מגנני "הסקו"</w:t>
      </w:r>
      <w:r>
        <w:rPr>
          <w:rFonts w:hint="cs"/>
          <w:sz w:val="19"/>
          <w:szCs w:val="19"/>
          <w:rtl/>
        </w:rPr>
        <w:t>.</w:t>
      </w:r>
    </w:p>
    <w:p w:rsidR="00542832" w:rsidRPr="006C4033" w:rsidRDefault="00542832" w:rsidP="00F04231">
      <w:pPr>
        <w:pStyle w:val="73"/>
        <w:numPr>
          <w:ilvl w:val="0"/>
          <w:numId w:val="25"/>
        </w:numPr>
        <w:spacing w:after="160"/>
        <w:rPr>
          <w:sz w:val="19"/>
          <w:szCs w:val="19"/>
        </w:rPr>
      </w:pPr>
      <w:r w:rsidRPr="00912F5C">
        <w:rPr>
          <w:b/>
          <w:bCs/>
          <w:sz w:val="19"/>
          <w:szCs w:val="19"/>
          <w:rtl/>
        </w:rPr>
        <w:t>תוכנית מיגון רשותית (תמי"ר)</w:t>
      </w:r>
      <w:r w:rsidRPr="007A4CFB">
        <w:rPr>
          <w:rFonts w:hint="cs"/>
          <w:b/>
          <w:bCs/>
          <w:sz w:val="19"/>
          <w:szCs w:val="19"/>
          <w:rtl/>
        </w:rPr>
        <w:t xml:space="preserve"> </w:t>
      </w:r>
      <w:r>
        <w:rPr>
          <w:rFonts w:hint="cs"/>
          <w:sz w:val="19"/>
          <w:szCs w:val="19"/>
          <w:rtl/>
        </w:rPr>
        <w:t>-</w:t>
      </w:r>
      <w:r w:rsidRPr="006C4033">
        <w:rPr>
          <w:sz w:val="19"/>
          <w:szCs w:val="19"/>
          <w:rtl/>
        </w:rPr>
        <w:t xml:space="preserve"> </w:t>
      </w:r>
      <w:r w:rsidRPr="00912F5C">
        <w:rPr>
          <w:sz w:val="19"/>
          <w:szCs w:val="19"/>
          <w:rtl/>
        </w:rPr>
        <w:t xml:space="preserve">אף </w:t>
      </w:r>
      <w:r>
        <w:rPr>
          <w:rFonts w:hint="cs"/>
          <w:sz w:val="19"/>
          <w:szCs w:val="19"/>
          <w:rtl/>
        </w:rPr>
        <w:t xml:space="preserve">על פי </w:t>
      </w:r>
      <w:r w:rsidRPr="00912F5C">
        <w:rPr>
          <w:sz w:val="19"/>
          <w:szCs w:val="19"/>
          <w:rtl/>
        </w:rPr>
        <w:t xml:space="preserve">שבתיקי האב </w:t>
      </w:r>
      <w:r>
        <w:rPr>
          <w:rFonts w:hint="cs"/>
          <w:sz w:val="19"/>
          <w:szCs w:val="19"/>
          <w:rtl/>
        </w:rPr>
        <w:t xml:space="preserve">להיערכות הרשויות המקומיות לחירום </w:t>
      </w:r>
      <w:r w:rsidRPr="00912F5C">
        <w:rPr>
          <w:sz w:val="19"/>
          <w:szCs w:val="19"/>
          <w:rtl/>
        </w:rPr>
        <w:t>נקבע כי הרשות המקומית אחראית על הכנת ת</w:t>
      </w:r>
      <w:r>
        <w:rPr>
          <w:rFonts w:hint="cs"/>
          <w:sz w:val="19"/>
          <w:szCs w:val="19"/>
          <w:rtl/>
        </w:rPr>
        <w:t>ו</w:t>
      </w:r>
      <w:r w:rsidRPr="00912F5C">
        <w:rPr>
          <w:sz w:val="19"/>
          <w:szCs w:val="19"/>
          <w:rtl/>
        </w:rPr>
        <w:t xml:space="preserve">כנית המיגון הרשותית, בביקורת נמצא כי המועצה המקומית </w:t>
      </w:r>
      <w:r w:rsidRPr="00F015D8">
        <w:rPr>
          <w:b/>
          <w:bCs/>
          <w:sz w:val="19"/>
          <w:szCs w:val="19"/>
          <w:rtl/>
        </w:rPr>
        <w:t>ביענה</w:t>
      </w:r>
      <w:r w:rsidRPr="00912F5C">
        <w:rPr>
          <w:sz w:val="19"/>
          <w:szCs w:val="19"/>
          <w:rtl/>
        </w:rPr>
        <w:t xml:space="preserve"> והמועצה האזורית </w:t>
      </w:r>
      <w:r w:rsidRPr="00F015D8">
        <w:rPr>
          <w:b/>
          <w:bCs/>
          <w:sz w:val="19"/>
          <w:szCs w:val="19"/>
          <w:rtl/>
        </w:rPr>
        <w:t>הגלבוע</w:t>
      </w:r>
      <w:r w:rsidRPr="00912F5C">
        <w:rPr>
          <w:sz w:val="19"/>
          <w:szCs w:val="19"/>
          <w:rtl/>
        </w:rPr>
        <w:t xml:space="preserve"> לא הכינו תוכנית מיגון רשותית; עיריית </w:t>
      </w:r>
      <w:r w:rsidRPr="00F015D8">
        <w:rPr>
          <w:b/>
          <w:bCs/>
          <w:sz w:val="19"/>
          <w:szCs w:val="19"/>
          <w:rtl/>
        </w:rPr>
        <w:t>אשקלון</w:t>
      </w:r>
      <w:r w:rsidRPr="00912F5C">
        <w:rPr>
          <w:sz w:val="19"/>
          <w:szCs w:val="19"/>
          <w:rtl/>
        </w:rPr>
        <w:t xml:space="preserve"> הכינה תוכנית מיגון חלקית; עיריות </w:t>
      </w:r>
      <w:r w:rsidRPr="00F015D8">
        <w:rPr>
          <w:b/>
          <w:bCs/>
          <w:sz w:val="19"/>
          <w:szCs w:val="19"/>
          <w:rtl/>
        </w:rPr>
        <w:t>גבעתיים</w:t>
      </w:r>
      <w:r w:rsidRPr="00912F5C">
        <w:rPr>
          <w:sz w:val="19"/>
          <w:szCs w:val="19"/>
          <w:rtl/>
        </w:rPr>
        <w:t xml:space="preserve"> ו</w:t>
      </w:r>
      <w:r w:rsidRPr="00F015D8">
        <w:rPr>
          <w:b/>
          <w:bCs/>
          <w:sz w:val="19"/>
          <w:szCs w:val="19"/>
          <w:rtl/>
        </w:rPr>
        <w:t>חולון</w:t>
      </w:r>
      <w:r w:rsidRPr="00912F5C">
        <w:rPr>
          <w:sz w:val="19"/>
          <w:szCs w:val="19"/>
          <w:rtl/>
        </w:rPr>
        <w:t xml:space="preserve"> הכינו תוכנית מיגון, אולם תוכנית המיגון של עיריית </w:t>
      </w:r>
      <w:r w:rsidRPr="006420BE">
        <w:rPr>
          <w:b/>
          <w:bCs/>
          <w:sz w:val="19"/>
          <w:szCs w:val="19"/>
          <w:rtl/>
        </w:rPr>
        <w:t>חולון</w:t>
      </w:r>
      <w:r w:rsidRPr="00912F5C">
        <w:rPr>
          <w:sz w:val="19"/>
          <w:szCs w:val="19"/>
          <w:rtl/>
        </w:rPr>
        <w:t xml:space="preserve"> לא אושרה על ידי פקע"ר</w:t>
      </w:r>
      <w:r>
        <w:rPr>
          <w:rFonts w:hint="cs"/>
          <w:sz w:val="19"/>
          <w:szCs w:val="19"/>
          <w:rtl/>
        </w:rPr>
        <w:t>.</w:t>
      </w:r>
      <w:r w:rsidRPr="00DE3D87">
        <w:rPr>
          <w:sz w:val="19"/>
          <w:szCs w:val="19"/>
          <w:rtl/>
        </w:rPr>
        <w:t xml:space="preserve"> </w:t>
      </w:r>
      <w:r w:rsidRPr="002C5BBF">
        <w:rPr>
          <w:sz w:val="19"/>
          <w:szCs w:val="19"/>
          <w:rtl/>
        </w:rPr>
        <w:t xml:space="preserve">המועצה האזורית </w:t>
      </w:r>
      <w:r w:rsidRPr="004234A0">
        <w:rPr>
          <w:b/>
          <w:bCs/>
          <w:sz w:val="19"/>
          <w:szCs w:val="19"/>
          <w:rtl/>
        </w:rPr>
        <w:t>הגלבוע</w:t>
      </w:r>
      <w:r w:rsidRPr="002C5BBF">
        <w:rPr>
          <w:sz w:val="19"/>
          <w:szCs w:val="19"/>
          <w:rtl/>
        </w:rPr>
        <w:t xml:space="preserve"> לא הזינה למערכות המידע הגיאוגרפיות שלה שכבות מידע בנושא ביטחון וחירום, ולפיכך אין במערכת מידע על מקומם של המקלטים הציבוריים, המיגוניות והמרחבים המוגנים במוסדות החינוך.</w:t>
      </w:r>
      <w:r w:rsidRPr="002C5BBF">
        <w:rPr>
          <w:rtl/>
        </w:rPr>
        <w:t xml:space="preserve"> </w:t>
      </w:r>
      <w:r w:rsidRPr="002C5BBF">
        <w:rPr>
          <w:sz w:val="19"/>
          <w:szCs w:val="19"/>
          <w:rtl/>
        </w:rPr>
        <w:t xml:space="preserve">למועצה המקומית </w:t>
      </w:r>
      <w:r w:rsidRPr="004234A0">
        <w:rPr>
          <w:b/>
          <w:bCs/>
          <w:sz w:val="19"/>
          <w:szCs w:val="19"/>
          <w:rtl/>
        </w:rPr>
        <w:t>ביענה</w:t>
      </w:r>
      <w:r w:rsidRPr="002C5BBF">
        <w:rPr>
          <w:sz w:val="19"/>
          <w:szCs w:val="19"/>
          <w:rtl/>
        </w:rPr>
        <w:t xml:space="preserve"> אין מערכת מידע גיאוגרפית עירונית</w:t>
      </w:r>
      <w:r>
        <w:rPr>
          <w:rFonts w:hint="cs"/>
          <w:sz w:val="19"/>
          <w:szCs w:val="19"/>
          <w:rtl/>
        </w:rPr>
        <w:t>.</w:t>
      </w:r>
      <w:r w:rsidRPr="002C5BBF">
        <w:rPr>
          <w:rtl/>
        </w:rPr>
        <w:t xml:space="preserve"> </w:t>
      </w:r>
      <w:r w:rsidRPr="002C5BBF">
        <w:rPr>
          <w:sz w:val="19"/>
          <w:szCs w:val="19"/>
          <w:rtl/>
        </w:rPr>
        <w:t xml:space="preserve">גם במערכת המידע הגיאוגרפית של הוועדה </w:t>
      </w:r>
      <w:r>
        <w:rPr>
          <w:rFonts w:hint="cs"/>
          <w:sz w:val="19"/>
          <w:szCs w:val="19"/>
          <w:rtl/>
        </w:rPr>
        <w:t>המקומית</w:t>
      </w:r>
      <w:r w:rsidRPr="002C5BBF">
        <w:rPr>
          <w:sz w:val="19"/>
          <w:szCs w:val="19"/>
          <w:rtl/>
        </w:rPr>
        <w:t xml:space="preserve"> לתכנון ו</w:t>
      </w:r>
      <w:r>
        <w:rPr>
          <w:rFonts w:hint="cs"/>
          <w:sz w:val="19"/>
          <w:szCs w:val="19"/>
          <w:rtl/>
        </w:rPr>
        <w:t>ל</w:t>
      </w:r>
      <w:r w:rsidRPr="002C5BBF">
        <w:rPr>
          <w:sz w:val="19"/>
          <w:szCs w:val="19"/>
          <w:rtl/>
        </w:rPr>
        <w:t xml:space="preserve">בנייה בקעת בית הכרם, שאליה שייכת ביענה, לא נמצאו שכבות מידע בנושא ביטחון וחירום לרבות מקומם של המרחבים המוגנים השייכים למועצה המקומית </w:t>
      </w:r>
      <w:r w:rsidRPr="004234A0">
        <w:rPr>
          <w:b/>
          <w:bCs/>
          <w:sz w:val="19"/>
          <w:szCs w:val="19"/>
          <w:rtl/>
        </w:rPr>
        <w:t>ביענה</w:t>
      </w:r>
      <w:r w:rsidRPr="002C5BBF">
        <w:rPr>
          <w:sz w:val="19"/>
          <w:szCs w:val="19"/>
          <w:rtl/>
        </w:rPr>
        <w:t xml:space="preserve">, כנדרש במנחה </w:t>
      </w:r>
      <w:r>
        <w:rPr>
          <w:rFonts w:hint="cs"/>
          <w:sz w:val="19"/>
          <w:szCs w:val="19"/>
          <w:rtl/>
        </w:rPr>
        <w:t>להכנת תוכנית מיגון רשותית שפרסם פקע"ר במרץ 2010</w:t>
      </w:r>
      <w:r w:rsidRPr="002C5BBF">
        <w:rPr>
          <w:sz w:val="19"/>
          <w:szCs w:val="19"/>
          <w:rtl/>
        </w:rPr>
        <w:t>.</w:t>
      </w:r>
    </w:p>
    <w:p w:rsidR="00542832" w:rsidRPr="007C21C8" w:rsidRDefault="00542832" w:rsidP="00542832">
      <w:pPr>
        <w:pStyle w:val="73"/>
        <w:numPr>
          <w:ilvl w:val="0"/>
          <w:numId w:val="25"/>
        </w:numPr>
        <w:rPr>
          <w:sz w:val="19"/>
          <w:szCs w:val="19"/>
        </w:rPr>
      </w:pPr>
      <w:r w:rsidRPr="007C21C8">
        <w:rPr>
          <w:b/>
          <w:bCs/>
          <w:sz w:val="19"/>
          <w:szCs w:val="19"/>
          <w:rtl/>
        </w:rPr>
        <w:t>בקרה על מקלטים בבתים משותפים</w:t>
      </w:r>
      <w:r w:rsidRPr="007C21C8">
        <w:rPr>
          <w:sz w:val="19"/>
          <w:szCs w:val="19"/>
          <w:rtl/>
        </w:rPr>
        <w:t xml:space="preserve"> </w:t>
      </w:r>
      <w:r w:rsidRPr="007C21C8">
        <w:rPr>
          <w:rFonts w:hint="cs"/>
          <w:sz w:val="19"/>
          <w:szCs w:val="19"/>
          <w:rtl/>
        </w:rPr>
        <w:t xml:space="preserve">- </w:t>
      </w:r>
      <w:r w:rsidRPr="007C21C8">
        <w:rPr>
          <w:sz w:val="19"/>
          <w:szCs w:val="19"/>
          <w:rtl/>
        </w:rPr>
        <w:t xml:space="preserve">במפרט במנחה לתחזוקת מקלטים </w:t>
      </w:r>
      <w:r w:rsidRPr="007C21C8">
        <w:rPr>
          <w:rFonts w:hint="cs"/>
          <w:sz w:val="19"/>
          <w:szCs w:val="19"/>
          <w:rtl/>
        </w:rPr>
        <w:t xml:space="preserve">שפרסם פקע"ר ביולי 2019 ועודכן ביוני 2024 </w:t>
      </w:r>
      <w:r w:rsidRPr="007C21C8">
        <w:rPr>
          <w:sz w:val="19"/>
          <w:szCs w:val="19"/>
          <w:rtl/>
        </w:rPr>
        <w:t>נקבע כי תדירות הביקורת של רובם המכריע של רכיבי המקלטים תהיה בין תלת-</w:t>
      </w:r>
      <w:r w:rsidRPr="007C21C8">
        <w:rPr>
          <w:sz w:val="19"/>
          <w:szCs w:val="19"/>
          <w:rtl/>
        </w:rPr>
        <w:lastRenderedPageBreak/>
        <w:t>חודשית לשנתית</w:t>
      </w:r>
      <w:r>
        <w:rPr>
          <w:rFonts w:hint="cs"/>
          <w:sz w:val="19"/>
          <w:szCs w:val="19"/>
          <w:rtl/>
        </w:rPr>
        <w:t>. ואולם</w:t>
      </w:r>
      <w:r w:rsidRPr="007C21C8">
        <w:rPr>
          <w:sz w:val="19"/>
          <w:szCs w:val="19"/>
          <w:rtl/>
        </w:rPr>
        <w:t xml:space="preserve"> נמצא כי </w:t>
      </w:r>
      <w:r w:rsidRPr="007C21C8">
        <w:rPr>
          <w:rFonts w:hint="cs"/>
          <w:sz w:val="19"/>
          <w:szCs w:val="19"/>
          <w:rtl/>
        </w:rPr>
        <w:t>בשנים 2021 - 2023</w:t>
      </w:r>
      <w:r>
        <w:rPr>
          <w:rFonts w:hint="cs"/>
          <w:sz w:val="19"/>
          <w:szCs w:val="19"/>
          <w:rtl/>
        </w:rPr>
        <w:t xml:space="preserve"> לא ערכו </w:t>
      </w:r>
      <w:r w:rsidRPr="007C21C8">
        <w:rPr>
          <w:sz w:val="19"/>
          <w:szCs w:val="19"/>
          <w:rtl/>
        </w:rPr>
        <w:t xml:space="preserve">עיריות </w:t>
      </w:r>
      <w:r w:rsidRPr="007C21C8">
        <w:rPr>
          <w:b/>
          <w:bCs/>
          <w:sz w:val="19"/>
          <w:szCs w:val="19"/>
          <w:rtl/>
        </w:rPr>
        <w:t>אשקלון</w:t>
      </w:r>
      <w:r w:rsidRPr="007C21C8">
        <w:rPr>
          <w:sz w:val="19"/>
          <w:szCs w:val="19"/>
          <w:rtl/>
        </w:rPr>
        <w:t xml:space="preserve">, </w:t>
      </w:r>
      <w:r w:rsidRPr="007C21C8">
        <w:rPr>
          <w:b/>
          <w:bCs/>
          <w:sz w:val="19"/>
          <w:szCs w:val="19"/>
          <w:rtl/>
        </w:rPr>
        <w:t>גבעתיים</w:t>
      </w:r>
      <w:r w:rsidRPr="007C21C8">
        <w:rPr>
          <w:sz w:val="19"/>
          <w:szCs w:val="19"/>
          <w:rtl/>
        </w:rPr>
        <w:t xml:space="preserve"> ו</w:t>
      </w:r>
      <w:r w:rsidRPr="007C21C8">
        <w:rPr>
          <w:b/>
          <w:bCs/>
          <w:sz w:val="19"/>
          <w:szCs w:val="19"/>
          <w:rtl/>
        </w:rPr>
        <w:t>חולון</w:t>
      </w:r>
      <w:r w:rsidRPr="007C21C8">
        <w:rPr>
          <w:sz w:val="19"/>
          <w:szCs w:val="19"/>
          <w:rtl/>
        </w:rPr>
        <w:t xml:space="preserve"> </w:t>
      </w:r>
      <w:r>
        <w:rPr>
          <w:rFonts w:hint="cs"/>
          <w:sz w:val="19"/>
          <w:szCs w:val="19"/>
          <w:rtl/>
        </w:rPr>
        <w:t xml:space="preserve">בתדירות הנדרשת </w:t>
      </w:r>
      <w:r w:rsidRPr="007C21C8">
        <w:rPr>
          <w:sz w:val="19"/>
          <w:szCs w:val="19"/>
          <w:rtl/>
        </w:rPr>
        <w:t xml:space="preserve">ביקורות </w:t>
      </w:r>
      <w:r w:rsidRPr="007C21C8">
        <w:rPr>
          <w:rFonts w:hint="cs"/>
          <w:sz w:val="19"/>
          <w:szCs w:val="19"/>
          <w:rtl/>
        </w:rPr>
        <w:t xml:space="preserve">יזומות </w:t>
      </w:r>
      <w:r w:rsidRPr="007C21C8">
        <w:rPr>
          <w:sz w:val="19"/>
          <w:szCs w:val="19"/>
          <w:rtl/>
        </w:rPr>
        <w:t>בבתים המשותפים</w:t>
      </w:r>
      <w:r w:rsidRPr="007C21C8">
        <w:rPr>
          <w:rFonts w:hint="cs"/>
          <w:sz w:val="19"/>
          <w:szCs w:val="19"/>
          <w:rtl/>
        </w:rPr>
        <w:t xml:space="preserve"> </w:t>
      </w:r>
      <w:r w:rsidRPr="007C21C8">
        <w:rPr>
          <w:sz w:val="19"/>
          <w:szCs w:val="19"/>
          <w:rtl/>
        </w:rPr>
        <w:t>בכל הנוגע לתחזוקת המקלטים</w:t>
      </w:r>
      <w:r w:rsidRPr="007C21C8">
        <w:rPr>
          <w:rFonts w:hint="cs"/>
          <w:sz w:val="19"/>
          <w:szCs w:val="19"/>
          <w:rtl/>
        </w:rPr>
        <w:t xml:space="preserve">. </w:t>
      </w:r>
      <w:r w:rsidRPr="007C21C8">
        <w:rPr>
          <w:sz w:val="19"/>
          <w:szCs w:val="19"/>
          <w:rtl/>
        </w:rPr>
        <w:t xml:space="preserve">לצד זאת, פקע"ר </w:t>
      </w:r>
      <w:r>
        <w:rPr>
          <w:rFonts w:hint="cs"/>
          <w:sz w:val="19"/>
          <w:szCs w:val="19"/>
          <w:rtl/>
        </w:rPr>
        <w:t xml:space="preserve">אינו משתמש </w:t>
      </w:r>
      <w:r w:rsidRPr="007C21C8">
        <w:rPr>
          <w:sz w:val="19"/>
          <w:szCs w:val="19"/>
          <w:rtl/>
        </w:rPr>
        <w:t xml:space="preserve">בסמכויותיו </w:t>
      </w:r>
      <w:r>
        <w:rPr>
          <w:rFonts w:hint="cs"/>
          <w:sz w:val="19"/>
          <w:szCs w:val="19"/>
          <w:rtl/>
        </w:rPr>
        <w:t xml:space="preserve">ואינו מקיים </w:t>
      </w:r>
      <w:r w:rsidRPr="007C21C8">
        <w:rPr>
          <w:sz w:val="19"/>
          <w:szCs w:val="19"/>
          <w:rtl/>
        </w:rPr>
        <w:t xml:space="preserve">בקרה </w:t>
      </w:r>
      <w:r>
        <w:rPr>
          <w:rFonts w:hint="cs"/>
          <w:sz w:val="19"/>
          <w:szCs w:val="19"/>
          <w:rtl/>
        </w:rPr>
        <w:t>על</w:t>
      </w:r>
      <w:r w:rsidRPr="007C21C8">
        <w:rPr>
          <w:sz w:val="19"/>
          <w:szCs w:val="19"/>
          <w:rtl/>
        </w:rPr>
        <w:t xml:space="preserve"> פעולות הרשויות המקומיות.</w:t>
      </w:r>
      <w:r w:rsidRPr="007C21C8">
        <w:rPr>
          <w:rFonts w:hint="cs"/>
          <w:sz w:val="19"/>
          <w:szCs w:val="19"/>
          <w:rtl/>
        </w:rPr>
        <w:t xml:space="preserve"> </w:t>
      </w:r>
    </w:p>
    <w:p w:rsidR="00542832" w:rsidRPr="006C4033" w:rsidRDefault="00542832" w:rsidP="000B5F64">
      <w:pPr>
        <w:pStyle w:val="73"/>
        <w:numPr>
          <w:ilvl w:val="0"/>
          <w:numId w:val="25"/>
        </w:numPr>
        <w:spacing w:after="160"/>
        <w:rPr>
          <w:sz w:val="19"/>
          <w:szCs w:val="19"/>
          <w:rtl/>
        </w:rPr>
      </w:pPr>
      <w:r w:rsidRPr="006358C1">
        <w:rPr>
          <w:b/>
          <w:bCs/>
          <w:sz w:val="19"/>
          <w:szCs w:val="19"/>
          <w:rtl/>
        </w:rPr>
        <w:t xml:space="preserve">ביקורות </w:t>
      </w:r>
      <w:r>
        <w:rPr>
          <w:rFonts w:hint="cs"/>
          <w:b/>
          <w:bCs/>
          <w:sz w:val="19"/>
          <w:szCs w:val="19"/>
          <w:rtl/>
        </w:rPr>
        <w:t xml:space="preserve">הרשויות המקומיות </w:t>
      </w:r>
      <w:r w:rsidRPr="006358C1">
        <w:rPr>
          <w:b/>
          <w:bCs/>
          <w:sz w:val="19"/>
          <w:szCs w:val="19"/>
          <w:rtl/>
        </w:rPr>
        <w:t xml:space="preserve">במקלטים הציבוריים </w:t>
      </w:r>
      <w:r>
        <w:rPr>
          <w:rFonts w:hint="cs"/>
          <w:sz w:val="19"/>
          <w:szCs w:val="19"/>
          <w:rtl/>
        </w:rPr>
        <w:t xml:space="preserve">- </w:t>
      </w:r>
      <w:r w:rsidRPr="0043090F">
        <w:rPr>
          <w:sz w:val="19"/>
          <w:szCs w:val="19"/>
          <w:rtl/>
        </w:rPr>
        <w:t xml:space="preserve">בידי עיריית </w:t>
      </w:r>
      <w:r w:rsidRPr="004234A0">
        <w:rPr>
          <w:b/>
          <w:bCs/>
          <w:sz w:val="19"/>
          <w:szCs w:val="19"/>
          <w:rtl/>
        </w:rPr>
        <w:t>אשקלון</w:t>
      </w:r>
      <w:r w:rsidRPr="0043090F">
        <w:rPr>
          <w:sz w:val="19"/>
          <w:szCs w:val="19"/>
          <w:rtl/>
        </w:rPr>
        <w:t xml:space="preserve"> אין דוחות על ביקורת שעשתה על תחזוקת מקלטים ציבוריים בשנים 2021 - 2023.</w:t>
      </w:r>
      <w:r w:rsidRPr="0043090F">
        <w:rPr>
          <w:rtl/>
        </w:rPr>
        <w:t xml:space="preserve"> </w:t>
      </w:r>
      <w:r w:rsidRPr="0043090F">
        <w:rPr>
          <w:sz w:val="19"/>
          <w:szCs w:val="19"/>
          <w:rtl/>
        </w:rPr>
        <w:t xml:space="preserve">במועצה האזורית </w:t>
      </w:r>
      <w:r>
        <w:rPr>
          <w:rFonts w:hint="cs"/>
          <w:b/>
          <w:bCs/>
          <w:sz w:val="19"/>
          <w:szCs w:val="19"/>
          <w:rtl/>
        </w:rPr>
        <w:t>ה</w:t>
      </w:r>
      <w:r w:rsidRPr="004234A0">
        <w:rPr>
          <w:b/>
          <w:bCs/>
          <w:sz w:val="19"/>
          <w:szCs w:val="19"/>
          <w:rtl/>
        </w:rPr>
        <w:t>גלבוע</w:t>
      </w:r>
      <w:r w:rsidRPr="0043090F">
        <w:rPr>
          <w:sz w:val="19"/>
          <w:szCs w:val="19"/>
          <w:rtl/>
        </w:rPr>
        <w:t xml:space="preserve"> לא נמצאו מסמכים המעידים על ביקורות שעשתה המועצה על מצב תחזוקת המקלטים שבתחומה לאחר הביקורת של פקע"ר בשנת 2021, ולכן גם לא ניתן לדעת אם הליקויים תוקנו.</w:t>
      </w:r>
      <w:r>
        <w:rPr>
          <w:rFonts w:hint="cs"/>
          <w:sz w:val="19"/>
          <w:szCs w:val="19"/>
          <w:rtl/>
        </w:rPr>
        <w:t xml:space="preserve"> </w:t>
      </w:r>
      <w:r w:rsidRPr="0043090F">
        <w:rPr>
          <w:sz w:val="19"/>
          <w:szCs w:val="19"/>
          <w:rtl/>
        </w:rPr>
        <w:t xml:space="preserve">עיריית </w:t>
      </w:r>
      <w:r w:rsidRPr="004234A0">
        <w:rPr>
          <w:b/>
          <w:bCs/>
          <w:sz w:val="19"/>
          <w:szCs w:val="19"/>
          <w:rtl/>
        </w:rPr>
        <w:t>חולון</w:t>
      </w:r>
      <w:r w:rsidRPr="0043090F">
        <w:rPr>
          <w:sz w:val="19"/>
          <w:szCs w:val="19"/>
          <w:rtl/>
        </w:rPr>
        <w:t xml:space="preserve"> לא ביצעה ביקורות על תחזוקת מקלטים ציבוריים מינואר 2021 עד נובמבר 2022. בשנת 2023 עשתה העירייה ביקורת בכל 64 המקלטים הציבוריים שבתחומה.</w:t>
      </w:r>
    </w:p>
    <w:p w:rsidR="00542832" w:rsidRPr="00F654A5" w:rsidRDefault="00542832" w:rsidP="000B5F64">
      <w:pPr>
        <w:pStyle w:val="73"/>
        <w:numPr>
          <w:ilvl w:val="0"/>
          <w:numId w:val="25"/>
        </w:numPr>
        <w:spacing w:after="160"/>
        <w:rPr>
          <w:b/>
          <w:sz w:val="19"/>
          <w:szCs w:val="19"/>
          <w:rtl/>
        </w:rPr>
      </w:pPr>
      <w:r w:rsidRPr="006831E5">
        <w:rPr>
          <w:rFonts w:hint="eastAsia"/>
          <w:bCs/>
          <w:sz w:val="19"/>
          <w:szCs w:val="19"/>
          <w:rtl/>
        </w:rPr>
        <w:t>ביקורת</w:t>
      </w:r>
      <w:r w:rsidRPr="006831E5">
        <w:rPr>
          <w:bCs/>
          <w:sz w:val="19"/>
          <w:szCs w:val="19"/>
          <w:rtl/>
        </w:rPr>
        <w:t xml:space="preserve"> של </w:t>
      </w:r>
      <w:r w:rsidRPr="006831E5">
        <w:rPr>
          <w:rFonts w:hint="eastAsia"/>
          <w:bCs/>
          <w:sz w:val="19"/>
          <w:szCs w:val="19"/>
          <w:rtl/>
        </w:rPr>
        <w:t>פקע</w:t>
      </w:r>
      <w:r w:rsidRPr="006831E5">
        <w:rPr>
          <w:bCs/>
          <w:sz w:val="19"/>
          <w:szCs w:val="19"/>
          <w:rtl/>
        </w:rPr>
        <w:t>"</w:t>
      </w:r>
      <w:r w:rsidRPr="006831E5">
        <w:rPr>
          <w:rFonts w:hint="eastAsia"/>
          <w:bCs/>
          <w:sz w:val="19"/>
          <w:szCs w:val="19"/>
          <w:rtl/>
        </w:rPr>
        <w:t>ר</w:t>
      </w:r>
      <w:r w:rsidRPr="006831E5">
        <w:rPr>
          <w:rFonts w:hint="cs"/>
          <w:bCs/>
          <w:sz w:val="19"/>
          <w:szCs w:val="19"/>
          <w:rtl/>
        </w:rPr>
        <w:t xml:space="preserve"> על מקלטים ציבוריים </w:t>
      </w:r>
      <w:r w:rsidRPr="00BA137B">
        <w:rPr>
          <w:rFonts w:hint="cs"/>
          <w:b/>
          <w:sz w:val="19"/>
          <w:szCs w:val="19"/>
          <w:rtl/>
        </w:rPr>
        <w:t>-</w:t>
      </w:r>
      <w:r>
        <w:rPr>
          <w:rFonts w:hint="cs"/>
          <w:bCs/>
          <w:sz w:val="19"/>
          <w:szCs w:val="19"/>
          <w:rtl/>
        </w:rPr>
        <w:t xml:space="preserve"> </w:t>
      </w:r>
      <w:r>
        <w:rPr>
          <w:rFonts w:hint="cs"/>
          <w:sz w:val="19"/>
          <w:szCs w:val="19"/>
          <w:rtl/>
        </w:rPr>
        <w:t>נמצא</w:t>
      </w:r>
      <w:r w:rsidRPr="00483C1D">
        <w:rPr>
          <w:sz w:val="19"/>
          <w:szCs w:val="19"/>
          <w:rtl/>
        </w:rPr>
        <w:t xml:space="preserve"> כי בכ-</w:t>
      </w:r>
      <w:r>
        <w:rPr>
          <w:rFonts w:hint="cs"/>
          <w:sz w:val="19"/>
          <w:szCs w:val="19"/>
          <w:rtl/>
        </w:rPr>
        <w:t>11.7</w:t>
      </w:r>
      <w:r w:rsidRPr="00483C1D">
        <w:rPr>
          <w:sz w:val="19"/>
          <w:szCs w:val="19"/>
          <w:rtl/>
        </w:rPr>
        <w:t>% מהמקלטים הציבוריים בישראל לא ניתן לשהות</w:t>
      </w:r>
      <w:r w:rsidRPr="00E74C02">
        <w:rPr>
          <w:sz w:val="19"/>
          <w:szCs w:val="19"/>
          <w:rtl/>
        </w:rPr>
        <w:t xml:space="preserve">. </w:t>
      </w:r>
      <w:r w:rsidRPr="00E74C02">
        <w:rPr>
          <w:rFonts w:hint="eastAsia"/>
          <w:sz w:val="19"/>
          <w:szCs w:val="19"/>
          <w:rtl/>
        </w:rPr>
        <w:t>עוד</w:t>
      </w:r>
      <w:r w:rsidRPr="00E74C02">
        <w:rPr>
          <w:sz w:val="19"/>
          <w:szCs w:val="19"/>
          <w:rtl/>
        </w:rPr>
        <w:t xml:space="preserve"> נמצא כי על</w:t>
      </w:r>
      <w:r w:rsidRPr="00483C1D">
        <w:rPr>
          <w:sz w:val="19"/>
          <w:szCs w:val="19"/>
          <w:rtl/>
        </w:rPr>
        <w:t xml:space="preserve"> פי נתוני </w:t>
      </w:r>
      <w:r>
        <w:rPr>
          <w:rFonts w:hint="cs"/>
          <w:sz w:val="19"/>
          <w:szCs w:val="19"/>
          <w:rtl/>
        </w:rPr>
        <w:t>פקע"ר</w:t>
      </w:r>
      <w:r w:rsidRPr="00483C1D">
        <w:rPr>
          <w:sz w:val="19"/>
          <w:szCs w:val="19"/>
          <w:rtl/>
        </w:rPr>
        <w:t xml:space="preserve">, רק 37 מתוך </w:t>
      </w:r>
      <w:r>
        <w:rPr>
          <w:rFonts w:hint="cs"/>
          <w:sz w:val="19"/>
          <w:szCs w:val="19"/>
          <w:rtl/>
        </w:rPr>
        <w:t xml:space="preserve">11,775 </w:t>
      </w:r>
      <w:r w:rsidRPr="00483C1D">
        <w:rPr>
          <w:sz w:val="19"/>
          <w:szCs w:val="19"/>
          <w:rtl/>
        </w:rPr>
        <w:t xml:space="preserve">(0.3%) המקלטים הציבוריים בישראל נמצאים בשטחן של רשויות מקומיות </w:t>
      </w:r>
      <w:r>
        <w:rPr>
          <w:rFonts w:hint="cs"/>
          <w:sz w:val="19"/>
          <w:szCs w:val="19"/>
          <w:rtl/>
        </w:rPr>
        <w:t>של החברה</w:t>
      </w:r>
      <w:r w:rsidRPr="00483C1D">
        <w:rPr>
          <w:sz w:val="19"/>
          <w:szCs w:val="19"/>
          <w:rtl/>
        </w:rPr>
        <w:t xml:space="preserve"> הערבי</w:t>
      </w:r>
      <w:r>
        <w:rPr>
          <w:rFonts w:hint="cs"/>
          <w:sz w:val="19"/>
          <w:szCs w:val="19"/>
          <w:rtl/>
        </w:rPr>
        <w:t>ת</w:t>
      </w:r>
      <w:r w:rsidRPr="00483C1D">
        <w:rPr>
          <w:sz w:val="19"/>
          <w:szCs w:val="19"/>
          <w:rtl/>
        </w:rPr>
        <w:t xml:space="preserve"> </w:t>
      </w:r>
      <w:r>
        <w:rPr>
          <w:rFonts w:hint="cs"/>
          <w:sz w:val="19"/>
          <w:szCs w:val="19"/>
          <w:rtl/>
        </w:rPr>
        <w:t xml:space="preserve">וכי </w:t>
      </w:r>
      <w:r w:rsidRPr="00483C1D">
        <w:rPr>
          <w:sz w:val="19"/>
          <w:szCs w:val="19"/>
          <w:rtl/>
        </w:rPr>
        <w:t xml:space="preserve">מתוך 37 מקלטים אלה, </w:t>
      </w:r>
      <w:r>
        <w:rPr>
          <w:rFonts w:hint="cs"/>
          <w:sz w:val="19"/>
          <w:szCs w:val="19"/>
          <w:rtl/>
        </w:rPr>
        <w:t xml:space="preserve">8 </w:t>
      </w:r>
      <w:r w:rsidRPr="00483C1D">
        <w:rPr>
          <w:sz w:val="19"/>
          <w:szCs w:val="19"/>
          <w:rtl/>
        </w:rPr>
        <w:t>מקלטים אינם כשירים</w:t>
      </w:r>
      <w:r w:rsidRPr="00F654A5">
        <w:rPr>
          <w:sz w:val="19"/>
          <w:szCs w:val="19"/>
          <w:rtl/>
        </w:rPr>
        <w:t>.</w:t>
      </w:r>
      <w:r w:rsidRPr="00F654A5">
        <w:rPr>
          <w:rtl/>
        </w:rPr>
        <w:t xml:space="preserve"> </w:t>
      </w:r>
      <w:r w:rsidRPr="00F654A5">
        <w:rPr>
          <w:b/>
          <w:sz w:val="19"/>
          <w:szCs w:val="19"/>
          <w:rtl/>
        </w:rPr>
        <w:t>ב</w:t>
      </w:r>
      <w:r w:rsidRPr="00F654A5">
        <w:rPr>
          <w:bCs/>
          <w:sz w:val="19"/>
          <w:szCs w:val="19"/>
          <w:rtl/>
        </w:rPr>
        <w:t>אשקלון</w:t>
      </w:r>
      <w:r w:rsidRPr="00F654A5">
        <w:rPr>
          <w:b/>
          <w:sz w:val="19"/>
          <w:szCs w:val="19"/>
          <w:rtl/>
        </w:rPr>
        <w:t xml:space="preserve"> ערך פקע"ר בשנים 2021 ו-2022 ביקורות רק ב-2 ו-9</w:t>
      </w:r>
      <w:r>
        <w:rPr>
          <w:rFonts w:hint="cs"/>
          <w:b/>
          <w:sz w:val="19"/>
          <w:szCs w:val="19"/>
          <w:rtl/>
        </w:rPr>
        <w:t>,</w:t>
      </w:r>
      <w:r w:rsidRPr="00F654A5">
        <w:rPr>
          <w:b/>
          <w:sz w:val="19"/>
          <w:szCs w:val="19"/>
          <w:rtl/>
        </w:rPr>
        <w:t xml:space="preserve"> בהתאמה</w:t>
      </w:r>
      <w:r>
        <w:rPr>
          <w:rFonts w:hint="cs"/>
          <w:b/>
          <w:sz w:val="19"/>
          <w:szCs w:val="19"/>
          <w:rtl/>
        </w:rPr>
        <w:t>,</w:t>
      </w:r>
      <w:r w:rsidRPr="00F654A5">
        <w:rPr>
          <w:b/>
          <w:sz w:val="19"/>
          <w:szCs w:val="19"/>
          <w:rtl/>
        </w:rPr>
        <w:t xml:space="preserve"> מתוך 142 </w:t>
      </w:r>
      <w:r>
        <w:rPr>
          <w:rFonts w:hint="cs"/>
          <w:b/>
          <w:sz w:val="19"/>
          <w:szCs w:val="19"/>
          <w:rtl/>
        </w:rPr>
        <w:t>ה</w:t>
      </w:r>
      <w:r w:rsidRPr="00F654A5">
        <w:rPr>
          <w:b/>
          <w:sz w:val="19"/>
          <w:szCs w:val="19"/>
          <w:rtl/>
        </w:rPr>
        <w:t>מקלטים; הוא לא ערך כלל ביקורות ב</w:t>
      </w:r>
      <w:r w:rsidRPr="00F654A5">
        <w:rPr>
          <w:bCs/>
          <w:sz w:val="19"/>
          <w:szCs w:val="19"/>
          <w:rtl/>
        </w:rPr>
        <w:t>גבעתיים</w:t>
      </w:r>
      <w:r w:rsidRPr="00F654A5">
        <w:rPr>
          <w:b/>
          <w:sz w:val="19"/>
          <w:szCs w:val="19"/>
          <w:rtl/>
        </w:rPr>
        <w:t xml:space="preserve"> בשנים 2021 ו-2023, ב</w:t>
      </w:r>
      <w:r w:rsidRPr="00F654A5">
        <w:rPr>
          <w:bCs/>
          <w:sz w:val="19"/>
          <w:szCs w:val="19"/>
          <w:rtl/>
        </w:rPr>
        <w:t>גלבוע</w:t>
      </w:r>
      <w:r w:rsidRPr="00F654A5">
        <w:rPr>
          <w:b/>
          <w:sz w:val="19"/>
          <w:szCs w:val="19"/>
          <w:rtl/>
        </w:rPr>
        <w:t xml:space="preserve"> בשנים 2022 ו-</w:t>
      </w:r>
      <w:r w:rsidRPr="00F654A5">
        <w:rPr>
          <w:rFonts w:hint="cs"/>
          <w:b/>
          <w:sz w:val="19"/>
          <w:szCs w:val="19"/>
          <w:rtl/>
        </w:rPr>
        <w:t>2</w:t>
      </w:r>
      <w:r w:rsidRPr="00F654A5">
        <w:rPr>
          <w:b/>
          <w:sz w:val="19"/>
          <w:szCs w:val="19"/>
          <w:rtl/>
        </w:rPr>
        <w:t>023 וב</w:t>
      </w:r>
      <w:r w:rsidRPr="00F654A5">
        <w:rPr>
          <w:bCs/>
          <w:sz w:val="19"/>
          <w:szCs w:val="19"/>
          <w:rtl/>
        </w:rPr>
        <w:t>חולון</w:t>
      </w:r>
      <w:r w:rsidRPr="00F654A5">
        <w:rPr>
          <w:b/>
          <w:sz w:val="19"/>
          <w:szCs w:val="19"/>
          <w:rtl/>
        </w:rPr>
        <w:t xml:space="preserve"> בשנת 2022.</w:t>
      </w:r>
    </w:p>
    <w:p w:rsidR="00542832" w:rsidRPr="00E74C02" w:rsidRDefault="00542832" w:rsidP="000B5F64">
      <w:pPr>
        <w:pStyle w:val="73"/>
        <w:numPr>
          <w:ilvl w:val="0"/>
          <w:numId w:val="25"/>
        </w:numPr>
        <w:spacing w:after="160"/>
        <w:rPr>
          <w:sz w:val="19"/>
          <w:szCs w:val="19"/>
        </w:rPr>
      </w:pPr>
      <w:r w:rsidRPr="003545F1">
        <w:rPr>
          <w:b/>
          <w:bCs/>
          <w:sz w:val="19"/>
          <w:szCs w:val="19"/>
          <w:rtl/>
        </w:rPr>
        <w:t>הוצאות הרשויות המקומיות שנבדקו על תחזוקת מקלטים ציבוריים ושיפוצם</w:t>
      </w:r>
      <w:r>
        <w:rPr>
          <w:rFonts w:hint="cs"/>
          <w:sz w:val="19"/>
          <w:szCs w:val="19"/>
          <w:rtl/>
        </w:rPr>
        <w:t xml:space="preserve"> - </w:t>
      </w:r>
      <w:r w:rsidRPr="00E3267A">
        <w:rPr>
          <w:sz w:val="19"/>
          <w:szCs w:val="19"/>
          <w:rtl/>
        </w:rPr>
        <w:t xml:space="preserve">עיריית </w:t>
      </w:r>
      <w:r w:rsidRPr="003545F1">
        <w:rPr>
          <w:b/>
          <w:bCs/>
          <w:sz w:val="19"/>
          <w:szCs w:val="19"/>
          <w:rtl/>
        </w:rPr>
        <w:t>אשקלון</w:t>
      </w:r>
      <w:r w:rsidRPr="00E3267A">
        <w:rPr>
          <w:sz w:val="19"/>
          <w:szCs w:val="19"/>
          <w:rtl/>
        </w:rPr>
        <w:t xml:space="preserve"> והמועצה האזורית </w:t>
      </w:r>
      <w:r w:rsidRPr="003545F1">
        <w:rPr>
          <w:b/>
          <w:bCs/>
          <w:sz w:val="19"/>
          <w:szCs w:val="19"/>
          <w:rtl/>
        </w:rPr>
        <w:t>הגלבוע</w:t>
      </w:r>
      <w:r w:rsidRPr="00E3267A">
        <w:rPr>
          <w:sz w:val="19"/>
          <w:szCs w:val="19"/>
          <w:rtl/>
        </w:rPr>
        <w:t xml:space="preserve"> השקיעו, מתחילת 2021 עד תחילת המלחמה באוקטובר 2023, בתחזוקה ובשיפוץ של מקלטים ציבורים ומקלטים במוסדות חינוך סכומים נמוכים</w:t>
      </w:r>
      <w:r>
        <w:rPr>
          <w:rFonts w:hint="cs"/>
          <w:sz w:val="19"/>
          <w:szCs w:val="19"/>
          <w:rtl/>
        </w:rPr>
        <w:t>,</w:t>
      </w:r>
      <w:r w:rsidRPr="00E3267A">
        <w:rPr>
          <w:sz w:val="19"/>
          <w:szCs w:val="19"/>
          <w:rtl/>
        </w:rPr>
        <w:t xml:space="preserve"> שהסתכמו ב-417,000 ו-176,000 ש"ח בממוצע לשנה בהתאמה, ורק לאחר תחילת המלחמה הגדילו את ההשקעות - ל-1.947 ו-1.793 מיליון ש"ח, שהם פי 4.6 ופי 10 בהתאמה; </w:t>
      </w:r>
      <w:r>
        <w:rPr>
          <w:rFonts w:hint="cs"/>
          <w:sz w:val="19"/>
          <w:szCs w:val="19"/>
          <w:rtl/>
        </w:rPr>
        <w:t xml:space="preserve">גם </w:t>
      </w:r>
      <w:r w:rsidRPr="00E3267A">
        <w:rPr>
          <w:sz w:val="19"/>
          <w:szCs w:val="19"/>
          <w:rtl/>
        </w:rPr>
        <w:t xml:space="preserve">עיריית </w:t>
      </w:r>
      <w:r w:rsidRPr="003545F1">
        <w:rPr>
          <w:b/>
          <w:bCs/>
          <w:sz w:val="19"/>
          <w:szCs w:val="19"/>
          <w:rtl/>
        </w:rPr>
        <w:t>גבעתיים</w:t>
      </w:r>
      <w:r w:rsidRPr="00E3267A">
        <w:rPr>
          <w:sz w:val="19"/>
          <w:szCs w:val="19"/>
          <w:rtl/>
        </w:rPr>
        <w:t xml:space="preserve"> השקיעה מתחילת 2021 עד תחילת המלחמה באוקטובר 2023 סכומים</w:t>
      </w:r>
      <w:r>
        <w:rPr>
          <w:rFonts w:hint="cs"/>
          <w:sz w:val="19"/>
          <w:szCs w:val="19"/>
          <w:rtl/>
        </w:rPr>
        <w:t xml:space="preserve"> נמוכים</w:t>
      </w:r>
      <w:r w:rsidRPr="00E3267A">
        <w:rPr>
          <w:sz w:val="19"/>
          <w:szCs w:val="19"/>
          <w:rtl/>
        </w:rPr>
        <w:t xml:space="preserve">; עיריית </w:t>
      </w:r>
      <w:r w:rsidRPr="003545F1">
        <w:rPr>
          <w:b/>
          <w:bCs/>
          <w:sz w:val="19"/>
          <w:szCs w:val="19"/>
          <w:rtl/>
        </w:rPr>
        <w:t>חולון</w:t>
      </w:r>
      <w:r w:rsidRPr="00E3267A">
        <w:rPr>
          <w:sz w:val="19"/>
          <w:szCs w:val="19"/>
          <w:rtl/>
        </w:rPr>
        <w:t xml:space="preserve"> לא השקיעה בתקופה זו בשיפוץ מרחבי מיגון בבתי ספר ובגני ילדים אלא בתחזוק</w:t>
      </w:r>
      <w:r>
        <w:rPr>
          <w:rFonts w:hint="cs"/>
          <w:sz w:val="19"/>
          <w:szCs w:val="19"/>
          <w:rtl/>
        </w:rPr>
        <w:t>תם</w:t>
      </w:r>
      <w:r w:rsidRPr="00E3267A">
        <w:rPr>
          <w:sz w:val="19"/>
          <w:szCs w:val="19"/>
          <w:rtl/>
        </w:rPr>
        <w:t xml:space="preserve"> בלבד. רק לאחר תחילת המלחמה השקיעו עיריות </w:t>
      </w:r>
      <w:r w:rsidRPr="003545F1">
        <w:rPr>
          <w:b/>
          <w:bCs/>
          <w:sz w:val="19"/>
          <w:szCs w:val="19"/>
          <w:rtl/>
        </w:rPr>
        <w:t>גבעתיים</w:t>
      </w:r>
      <w:r w:rsidRPr="00E3267A">
        <w:rPr>
          <w:sz w:val="19"/>
          <w:szCs w:val="19"/>
          <w:rtl/>
        </w:rPr>
        <w:t xml:space="preserve"> ו</w:t>
      </w:r>
      <w:r w:rsidRPr="003545F1">
        <w:rPr>
          <w:b/>
          <w:bCs/>
          <w:sz w:val="19"/>
          <w:szCs w:val="19"/>
          <w:rtl/>
        </w:rPr>
        <w:t>חולון</w:t>
      </w:r>
      <w:r w:rsidRPr="00E3267A">
        <w:rPr>
          <w:sz w:val="19"/>
          <w:szCs w:val="19"/>
          <w:rtl/>
        </w:rPr>
        <w:t xml:space="preserve"> 59.4 ו-12.284 מיליון ש"ח </w:t>
      </w:r>
      <w:r w:rsidRPr="00E74C02">
        <w:rPr>
          <w:sz w:val="19"/>
          <w:szCs w:val="19"/>
          <w:rtl/>
        </w:rPr>
        <w:t xml:space="preserve">בהתאמה בבניית </w:t>
      </w:r>
      <w:r>
        <w:rPr>
          <w:rFonts w:hint="cs"/>
          <w:sz w:val="19"/>
          <w:szCs w:val="19"/>
          <w:rtl/>
        </w:rPr>
        <w:t xml:space="preserve">ושדרוג </w:t>
      </w:r>
      <w:r w:rsidRPr="00E74C02">
        <w:rPr>
          <w:sz w:val="19"/>
          <w:szCs w:val="19"/>
          <w:rtl/>
        </w:rPr>
        <w:t>מרחבי מיגון בגני ילדים ובתי ספר.</w:t>
      </w:r>
    </w:p>
    <w:p w:rsidR="00542832" w:rsidRPr="006C4033" w:rsidRDefault="00542832" w:rsidP="000B5F64">
      <w:pPr>
        <w:pStyle w:val="73"/>
        <w:numPr>
          <w:ilvl w:val="0"/>
          <w:numId w:val="25"/>
        </w:numPr>
        <w:spacing w:after="160"/>
        <w:rPr>
          <w:sz w:val="19"/>
          <w:szCs w:val="19"/>
        </w:rPr>
      </w:pPr>
      <w:r w:rsidRPr="00E74C02">
        <w:rPr>
          <w:rFonts w:hint="eastAsia"/>
          <w:b/>
          <w:bCs/>
          <w:sz w:val="19"/>
          <w:szCs w:val="19"/>
          <w:rtl/>
        </w:rPr>
        <w:t>ממצאי</w:t>
      </w:r>
      <w:r w:rsidRPr="00E74C02">
        <w:rPr>
          <w:b/>
          <w:bCs/>
          <w:sz w:val="19"/>
          <w:szCs w:val="19"/>
          <w:rtl/>
        </w:rPr>
        <w:t xml:space="preserve"> </w:t>
      </w:r>
      <w:r w:rsidRPr="00E74C02">
        <w:rPr>
          <w:rFonts w:hint="eastAsia"/>
          <w:b/>
          <w:bCs/>
          <w:sz w:val="19"/>
          <w:szCs w:val="19"/>
          <w:rtl/>
        </w:rPr>
        <w:t>ביקורת</w:t>
      </w:r>
      <w:r w:rsidRPr="00E74C02">
        <w:rPr>
          <w:b/>
          <w:bCs/>
          <w:sz w:val="19"/>
          <w:szCs w:val="19"/>
          <w:rtl/>
        </w:rPr>
        <w:t xml:space="preserve"> משרד מבקר המדינה</w:t>
      </w:r>
      <w:r w:rsidRPr="00E74C02">
        <w:rPr>
          <w:sz w:val="19"/>
          <w:szCs w:val="19"/>
          <w:rtl/>
        </w:rPr>
        <w:t xml:space="preserve"> </w:t>
      </w:r>
      <w:r w:rsidRPr="00E74C02">
        <w:rPr>
          <w:rFonts w:hint="eastAsia"/>
          <w:b/>
          <w:bCs/>
          <w:sz w:val="19"/>
          <w:szCs w:val="19"/>
          <w:rtl/>
        </w:rPr>
        <w:t>בבדיקה</w:t>
      </w:r>
      <w:r w:rsidRPr="00E74C02">
        <w:rPr>
          <w:b/>
          <w:bCs/>
          <w:sz w:val="19"/>
          <w:szCs w:val="19"/>
          <w:rtl/>
        </w:rPr>
        <w:t xml:space="preserve"> </w:t>
      </w:r>
      <w:r>
        <w:rPr>
          <w:rFonts w:hint="cs"/>
          <w:b/>
          <w:bCs/>
          <w:sz w:val="19"/>
          <w:szCs w:val="19"/>
          <w:rtl/>
        </w:rPr>
        <w:t xml:space="preserve">של </w:t>
      </w:r>
      <w:r w:rsidRPr="00E74C02">
        <w:rPr>
          <w:rFonts w:hint="eastAsia"/>
          <w:b/>
          <w:bCs/>
          <w:sz w:val="19"/>
          <w:szCs w:val="19"/>
          <w:rtl/>
        </w:rPr>
        <w:t>מקלטים</w:t>
      </w:r>
      <w:r w:rsidRPr="00E74C02">
        <w:rPr>
          <w:b/>
          <w:bCs/>
          <w:sz w:val="19"/>
          <w:szCs w:val="19"/>
          <w:rtl/>
        </w:rPr>
        <w:t xml:space="preserve"> </w:t>
      </w:r>
      <w:r w:rsidRPr="00E74C02">
        <w:rPr>
          <w:rFonts w:hint="eastAsia"/>
          <w:b/>
          <w:bCs/>
          <w:sz w:val="19"/>
          <w:szCs w:val="19"/>
          <w:rtl/>
        </w:rPr>
        <w:t>ציבוריים</w:t>
      </w:r>
      <w:r w:rsidRPr="00E74C02">
        <w:rPr>
          <w:sz w:val="19"/>
          <w:szCs w:val="19"/>
          <w:rtl/>
        </w:rPr>
        <w:t xml:space="preserve"> -</w:t>
      </w:r>
      <w:r w:rsidRPr="00E74C02">
        <w:rPr>
          <w:rFonts w:hint="cs"/>
          <w:sz w:val="19"/>
          <w:szCs w:val="19"/>
          <w:rtl/>
        </w:rPr>
        <w:t xml:space="preserve"> </w:t>
      </w:r>
      <w:r w:rsidRPr="00E74C02">
        <w:rPr>
          <w:sz w:val="19"/>
          <w:szCs w:val="19"/>
          <w:rtl/>
        </w:rPr>
        <w:t xml:space="preserve">בבדיקה של 26 מקלטים ציבוריים ברשויות המקומיות </w:t>
      </w:r>
      <w:r w:rsidRPr="00E74C02">
        <w:rPr>
          <w:b/>
          <w:bCs/>
          <w:sz w:val="19"/>
          <w:szCs w:val="19"/>
          <w:rtl/>
        </w:rPr>
        <w:t>אשקלון</w:t>
      </w:r>
      <w:r w:rsidRPr="00E74C02">
        <w:rPr>
          <w:sz w:val="19"/>
          <w:szCs w:val="19"/>
          <w:rtl/>
        </w:rPr>
        <w:t xml:space="preserve">, </w:t>
      </w:r>
      <w:r w:rsidRPr="00E74C02">
        <w:rPr>
          <w:b/>
          <w:bCs/>
          <w:sz w:val="19"/>
          <w:szCs w:val="19"/>
          <w:rtl/>
        </w:rPr>
        <w:t>גבעתיים</w:t>
      </w:r>
      <w:r w:rsidRPr="00E74C02">
        <w:rPr>
          <w:sz w:val="19"/>
          <w:szCs w:val="19"/>
          <w:rtl/>
        </w:rPr>
        <w:t xml:space="preserve">, </w:t>
      </w:r>
      <w:r w:rsidRPr="00E74C02">
        <w:rPr>
          <w:b/>
          <w:bCs/>
          <w:sz w:val="19"/>
          <w:szCs w:val="19"/>
          <w:rtl/>
        </w:rPr>
        <w:t>חולון</w:t>
      </w:r>
      <w:r w:rsidRPr="00E74C02">
        <w:rPr>
          <w:sz w:val="19"/>
          <w:szCs w:val="19"/>
          <w:rtl/>
        </w:rPr>
        <w:t xml:space="preserve"> ו</w:t>
      </w:r>
      <w:r w:rsidRPr="00E74C02">
        <w:rPr>
          <w:b/>
          <w:bCs/>
          <w:sz w:val="19"/>
          <w:szCs w:val="19"/>
          <w:rtl/>
        </w:rPr>
        <w:t>הגלבוע</w:t>
      </w:r>
      <w:r w:rsidRPr="00E74C02">
        <w:rPr>
          <w:sz w:val="19"/>
          <w:szCs w:val="19"/>
          <w:rtl/>
        </w:rPr>
        <w:t xml:space="preserve"> נמצאו ליקויים שונים בתחזוקתם: פתחי מילוט חסומים; אי-התקנת סולמות יציאה סמוך לפתחי המילוט; היעדר חשמל במקלט; רטיבות על הקירות ועל התקרה; חוטי חשמל גלויים; היעדר שילוט </w:t>
      </w:r>
      <w:r>
        <w:rPr>
          <w:rFonts w:hint="cs"/>
          <w:sz w:val="19"/>
          <w:szCs w:val="19"/>
          <w:rtl/>
        </w:rPr>
        <w:t>ש</w:t>
      </w:r>
      <w:r w:rsidRPr="00E74C02">
        <w:rPr>
          <w:sz w:val="19"/>
          <w:szCs w:val="19"/>
          <w:rtl/>
        </w:rPr>
        <w:t>ל</w:t>
      </w:r>
      <w:r>
        <w:rPr>
          <w:rFonts w:hint="cs"/>
          <w:sz w:val="19"/>
          <w:szCs w:val="19"/>
          <w:rtl/>
        </w:rPr>
        <w:t xml:space="preserve"> </w:t>
      </w:r>
      <w:r w:rsidRPr="00E74C02">
        <w:rPr>
          <w:sz w:val="19"/>
          <w:szCs w:val="19"/>
          <w:rtl/>
        </w:rPr>
        <w:t>יציאות חירום; מקלט מוצף מים ולא ראוי</w:t>
      </w:r>
      <w:r w:rsidRPr="00142477">
        <w:rPr>
          <w:sz w:val="19"/>
          <w:szCs w:val="19"/>
          <w:rtl/>
        </w:rPr>
        <w:t xml:space="preserve"> לשימוש; לכלוך; דלתות יציאת חירום שאינן נסגרות וחלודה בדלתות; היעדר חיבור לתשתית המים ולמערכת הביוב; היעדר תאורת חירום; מחסור בשילוט בצבע זרחני של הכניסה למקלט ושל יציאות החירום.</w:t>
      </w:r>
    </w:p>
    <w:p w:rsidR="00542832" w:rsidRDefault="00542832" w:rsidP="000B5F64">
      <w:pPr>
        <w:pStyle w:val="73"/>
        <w:numPr>
          <w:ilvl w:val="0"/>
          <w:numId w:val="25"/>
        </w:numPr>
        <w:spacing w:after="0"/>
        <w:rPr>
          <w:sz w:val="19"/>
          <w:szCs w:val="19"/>
        </w:rPr>
      </w:pPr>
      <w:r w:rsidRPr="00BB3FE6">
        <w:rPr>
          <w:b/>
          <w:bCs/>
          <w:sz w:val="19"/>
          <w:szCs w:val="19"/>
          <w:rtl/>
        </w:rPr>
        <w:lastRenderedPageBreak/>
        <w:t>פערי המיגון במוסדות החינוך בישראל</w:t>
      </w:r>
      <w:r w:rsidRPr="00BB3FE6">
        <w:rPr>
          <w:sz w:val="19"/>
          <w:szCs w:val="19"/>
          <w:rtl/>
        </w:rPr>
        <w:t xml:space="preserve"> </w:t>
      </w:r>
      <w:r>
        <w:rPr>
          <w:rFonts w:hint="cs"/>
          <w:sz w:val="19"/>
          <w:szCs w:val="19"/>
          <w:rtl/>
        </w:rPr>
        <w:t xml:space="preserve">- </w:t>
      </w:r>
      <w:r w:rsidRPr="00BB3FE6">
        <w:rPr>
          <w:sz w:val="19"/>
          <w:szCs w:val="19"/>
          <w:rtl/>
        </w:rPr>
        <w:t>נכון למרץ 2024, לפי הנתונים שבידי משרד החינוך, שיעור התלמידים ללא מיגון תקני ב-94% מבתי הספר בישראל היה 25%. משמעות הדבר היא שיותר מ-466,000 תלמידים שהו בבית הספר באופן יומיומי בלא מיגון תקני</w:t>
      </w:r>
      <w:r>
        <w:rPr>
          <w:rFonts w:hint="cs"/>
          <w:sz w:val="19"/>
          <w:szCs w:val="19"/>
          <w:rtl/>
        </w:rPr>
        <w:t xml:space="preserve">. נמצא כי </w:t>
      </w:r>
      <w:r w:rsidRPr="00BB3FE6">
        <w:rPr>
          <w:sz w:val="19"/>
          <w:szCs w:val="19"/>
          <w:rtl/>
        </w:rPr>
        <w:t>במועד הביקורת, באוגוסט 2024, לא היו למשרד החינוך נתונים על המיגון התקני ב-10,975 מתוך 21,419 כיתות גני הילדים</w:t>
      </w:r>
      <w:r>
        <w:rPr>
          <w:rFonts w:hint="cs"/>
          <w:sz w:val="19"/>
          <w:szCs w:val="19"/>
          <w:rtl/>
        </w:rPr>
        <w:t xml:space="preserve"> </w:t>
      </w:r>
      <w:r w:rsidRPr="00BB3FE6">
        <w:rPr>
          <w:sz w:val="19"/>
          <w:szCs w:val="19"/>
          <w:rtl/>
        </w:rPr>
        <w:t xml:space="preserve">(כ-51%), וכי </w:t>
      </w:r>
      <w:r w:rsidR="00732487">
        <w:rPr>
          <w:sz w:val="19"/>
          <w:szCs w:val="19"/>
          <w:rtl/>
        </w:rPr>
        <w:br/>
      </w:r>
      <w:r w:rsidRPr="00BB3FE6">
        <w:rPr>
          <w:sz w:val="19"/>
          <w:szCs w:val="19"/>
          <w:rtl/>
        </w:rPr>
        <w:t>ל-2,548 מתוך 5,530 מעונות היום (46%) לא היה מיגון תקני</w:t>
      </w:r>
      <w:r>
        <w:rPr>
          <w:rFonts w:hint="cs"/>
          <w:sz w:val="19"/>
          <w:szCs w:val="19"/>
          <w:rtl/>
        </w:rPr>
        <w:t xml:space="preserve"> </w:t>
      </w:r>
      <w:r w:rsidRPr="00BB3FE6">
        <w:rPr>
          <w:sz w:val="19"/>
          <w:szCs w:val="19"/>
          <w:rtl/>
        </w:rPr>
        <w:t>בשנת התשפ"ד.</w:t>
      </w:r>
    </w:p>
    <w:p w:rsidR="00542832" w:rsidRDefault="00542832" w:rsidP="000B5F64">
      <w:pPr>
        <w:pStyle w:val="73"/>
        <w:numPr>
          <w:ilvl w:val="0"/>
          <w:numId w:val="25"/>
        </w:numPr>
        <w:spacing w:after="160"/>
        <w:rPr>
          <w:sz w:val="19"/>
          <w:szCs w:val="19"/>
        </w:rPr>
      </w:pPr>
      <w:r w:rsidRPr="00BB3FE6">
        <w:rPr>
          <w:b/>
          <w:bCs/>
          <w:sz w:val="19"/>
          <w:szCs w:val="19"/>
          <w:rtl/>
        </w:rPr>
        <w:t>פערי המיגון במוסדות החינוך ברשויות שנבדקו</w:t>
      </w:r>
      <w:r w:rsidRPr="00BB3FE6">
        <w:rPr>
          <w:sz w:val="19"/>
          <w:szCs w:val="19"/>
          <w:rtl/>
        </w:rPr>
        <w:t xml:space="preserve"> </w:t>
      </w:r>
      <w:r>
        <w:rPr>
          <w:rFonts w:hint="cs"/>
          <w:sz w:val="19"/>
          <w:szCs w:val="19"/>
          <w:rtl/>
        </w:rPr>
        <w:t xml:space="preserve">- </w:t>
      </w:r>
      <w:r w:rsidRPr="00BB3FE6">
        <w:rPr>
          <w:sz w:val="19"/>
          <w:szCs w:val="19"/>
          <w:rtl/>
        </w:rPr>
        <w:t xml:space="preserve">נמצא כי ליותר מ-66% מהתלמידים במועצה המקומית </w:t>
      </w:r>
      <w:r w:rsidRPr="004234A0">
        <w:rPr>
          <w:b/>
          <w:bCs/>
          <w:sz w:val="19"/>
          <w:szCs w:val="19"/>
          <w:rtl/>
        </w:rPr>
        <w:t>ביענה</w:t>
      </w:r>
      <w:r w:rsidRPr="00BB3FE6">
        <w:rPr>
          <w:sz w:val="19"/>
          <w:szCs w:val="19"/>
          <w:rtl/>
        </w:rPr>
        <w:t xml:space="preserve"> אין מיגון תקני - בשני בתי ספר יסודיים ובבית ספר על-יסודי אחד אין כלל מרחב מוגן תקני. בשאר הרשויות המקומיות שנבדקו (</w:t>
      </w:r>
      <w:r w:rsidRPr="004234A0">
        <w:rPr>
          <w:b/>
          <w:bCs/>
          <w:sz w:val="19"/>
          <w:szCs w:val="19"/>
          <w:rtl/>
        </w:rPr>
        <w:t xml:space="preserve">אשקלון, גבעתיים, </w:t>
      </w:r>
      <w:r>
        <w:rPr>
          <w:rFonts w:hint="cs"/>
          <w:b/>
          <w:bCs/>
          <w:sz w:val="19"/>
          <w:szCs w:val="19"/>
          <w:rtl/>
        </w:rPr>
        <w:t>ה</w:t>
      </w:r>
      <w:r w:rsidRPr="004234A0">
        <w:rPr>
          <w:b/>
          <w:bCs/>
          <w:sz w:val="19"/>
          <w:szCs w:val="19"/>
          <w:rtl/>
        </w:rPr>
        <w:t>גלבוע וחולון</w:t>
      </w:r>
      <w:r w:rsidRPr="00BB3FE6">
        <w:rPr>
          <w:sz w:val="19"/>
          <w:szCs w:val="19"/>
          <w:rtl/>
        </w:rPr>
        <w:t xml:space="preserve">) נמצא כי סך </w:t>
      </w:r>
      <w:r>
        <w:rPr>
          <w:rFonts w:hint="cs"/>
          <w:sz w:val="19"/>
          <w:szCs w:val="19"/>
          <w:rtl/>
        </w:rPr>
        <w:t xml:space="preserve">כל </w:t>
      </w:r>
      <w:r w:rsidRPr="00BB3FE6">
        <w:rPr>
          <w:sz w:val="19"/>
          <w:szCs w:val="19"/>
          <w:rtl/>
        </w:rPr>
        <w:t xml:space="preserve">פערי המיגון בבתי הספר </w:t>
      </w:r>
      <w:r>
        <w:rPr>
          <w:rFonts w:hint="cs"/>
          <w:sz w:val="19"/>
          <w:szCs w:val="19"/>
          <w:rtl/>
        </w:rPr>
        <w:t xml:space="preserve">היה </w:t>
      </w:r>
      <w:r w:rsidRPr="00BB3FE6">
        <w:rPr>
          <w:sz w:val="19"/>
          <w:szCs w:val="19"/>
          <w:rtl/>
        </w:rPr>
        <w:t xml:space="preserve">בין 11% </w:t>
      </w:r>
      <w:r>
        <w:rPr>
          <w:rFonts w:hint="cs"/>
          <w:sz w:val="19"/>
          <w:szCs w:val="19"/>
          <w:rtl/>
        </w:rPr>
        <w:t>ב</w:t>
      </w:r>
      <w:r w:rsidRPr="00B10617">
        <w:rPr>
          <w:rFonts w:hint="cs"/>
          <w:b/>
          <w:bCs/>
          <w:sz w:val="19"/>
          <w:szCs w:val="19"/>
          <w:rtl/>
        </w:rPr>
        <w:t>אשקלון</w:t>
      </w:r>
      <w:r>
        <w:rPr>
          <w:rFonts w:hint="cs"/>
          <w:sz w:val="19"/>
          <w:szCs w:val="19"/>
          <w:rtl/>
        </w:rPr>
        <w:t xml:space="preserve"> </w:t>
      </w:r>
      <w:r w:rsidRPr="00BB3FE6">
        <w:rPr>
          <w:sz w:val="19"/>
          <w:szCs w:val="19"/>
          <w:rtl/>
        </w:rPr>
        <w:t>ל</w:t>
      </w:r>
      <w:r>
        <w:rPr>
          <w:rFonts w:hint="cs"/>
          <w:sz w:val="19"/>
          <w:szCs w:val="19"/>
          <w:rtl/>
        </w:rPr>
        <w:t>-</w:t>
      </w:r>
      <w:r w:rsidRPr="00BB3FE6">
        <w:rPr>
          <w:sz w:val="19"/>
          <w:szCs w:val="19"/>
          <w:rtl/>
        </w:rPr>
        <w:t>41%</w:t>
      </w:r>
      <w:r>
        <w:rPr>
          <w:rFonts w:hint="cs"/>
          <w:sz w:val="19"/>
          <w:szCs w:val="19"/>
          <w:rtl/>
        </w:rPr>
        <w:t xml:space="preserve"> ב</w:t>
      </w:r>
      <w:r w:rsidRPr="00B10617">
        <w:rPr>
          <w:rFonts w:hint="cs"/>
          <w:b/>
          <w:bCs/>
          <w:sz w:val="19"/>
          <w:szCs w:val="19"/>
          <w:rtl/>
        </w:rPr>
        <w:t>גלבוע</w:t>
      </w:r>
      <w:r w:rsidRPr="00BB3FE6">
        <w:rPr>
          <w:sz w:val="19"/>
          <w:szCs w:val="19"/>
          <w:rtl/>
        </w:rPr>
        <w:t xml:space="preserve"> </w:t>
      </w:r>
      <w:r>
        <w:rPr>
          <w:rFonts w:hint="cs"/>
          <w:sz w:val="19"/>
          <w:szCs w:val="19"/>
          <w:rtl/>
        </w:rPr>
        <w:t>(מספר ה</w:t>
      </w:r>
      <w:r w:rsidRPr="00BB3FE6">
        <w:rPr>
          <w:sz w:val="19"/>
          <w:szCs w:val="19"/>
          <w:rtl/>
        </w:rPr>
        <w:t>תלמידי</w:t>
      </w:r>
      <w:r>
        <w:rPr>
          <w:rFonts w:hint="cs"/>
          <w:sz w:val="19"/>
          <w:szCs w:val="19"/>
          <w:rtl/>
        </w:rPr>
        <w:t>ם</w:t>
      </w:r>
      <w:r w:rsidRPr="00BB3FE6">
        <w:rPr>
          <w:sz w:val="19"/>
          <w:szCs w:val="19"/>
          <w:rtl/>
        </w:rPr>
        <w:t xml:space="preserve"> </w:t>
      </w:r>
      <w:r>
        <w:rPr>
          <w:rFonts w:hint="cs"/>
          <w:sz w:val="19"/>
          <w:szCs w:val="19"/>
          <w:rtl/>
        </w:rPr>
        <w:t>ה</w:t>
      </w:r>
      <w:r w:rsidRPr="00BB3FE6">
        <w:rPr>
          <w:sz w:val="19"/>
          <w:szCs w:val="19"/>
          <w:rtl/>
        </w:rPr>
        <w:t xml:space="preserve">שוהים בבתי הספר </w:t>
      </w:r>
      <w:r>
        <w:rPr>
          <w:rFonts w:hint="cs"/>
          <w:sz w:val="19"/>
          <w:szCs w:val="19"/>
          <w:rtl/>
        </w:rPr>
        <w:t xml:space="preserve">ברשויות אלו </w:t>
      </w:r>
      <w:r w:rsidRPr="00BB3FE6">
        <w:rPr>
          <w:sz w:val="19"/>
          <w:szCs w:val="19"/>
          <w:rtl/>
        </w:rPr>
        <w:t xml:space="preserve">באופן יומיומי ללא מיגון </w:t>
      </w:r>
      <w:r>
        <w:rPr>
          <w:rFonts w:hint="cs"/>
          <w:sz w:val="19"/>
          <w:szCs w:val="19"/>
          <w:rtl/>
        </w:rPr>
        <w:t xml:space="preserve">תקני היה בין </w:t>
      </w:r>
      <w:r w:rsidRPr="00BB3FE6">
        <w:rPr>
          <w:sz w:val="19"/>
          <w:szCs w:val="19"/>
          <w:rtl/>
        </w:rPr>
        <w:t>3,294</w:t>
      </w:r>
      <w:r>
        <w:rPr>
          <w:rFonts w:hint="cs"/>
          <w:sz w:val="19"/>
          <w:szCs w:val="19"/>
          <w:rtl/>
        </w:rPr>
        <w:t xml:space="preserve"> ב</w:t>
      </w:r>
      <w:r w:rsidRPr="00945A97">
        <w:rPr>
          <w:rFonts w:hint="cs"/>
          <w:b/>
          <w:bCs/>
          <w:sz w:val="19"/>
          <w:szCs w:val="19"/>
          <w:rtl/>
        </w:rPr>
        <w:t>אשקלון</w:t>
      </w:r>
      <w:r w:rsidRPr="00BB3FE6">
        <w:rPr>
          <w:sz w:val="19"/>
          <w:szCs w:val="19"/>
          <w:rtl/>
        </w:rPr>
        <w:t xml:space="preserve"> ל-6,393 </w:t>
      </w:r>
      <w:r>
        <w:rPr>
          <w:rFonts w:hint="cs"/>
          <w:sz w:val="19"/>
          <w:szCs w:val="19"/>
          <w:rtl/>
        </w:rPr>
        <w:t>ב</w:t>
      </w:r>
      <w:r w:rsidRPr="00945A97">
        <w:rPr>
          <w:rFonts w:hint="cs"/>
          <w:b/>
          <w:bCs/>
          <w:sz w:val="19"/>
          <w:szCs w:val="19"/>
          <w:rtl/>
        </w:rPr>
        <w:t>חולון</w:t>
      </w:r>
      <w:r>
        <w:rPr>
          <w:rFonts w:hint="cs"/>
          <w:sz w:val="19"/>
          <w:szCs w:val="19"/>
          <w:rtl/>
        </w:rPr>
        <w:t>)</w:t>
      </w:r>
      <w:r w:rsidRPr="00BB3FE6">
        <w:rPr>
          <w:sz w:val="19"/>
          <w:szCs w:val="19"/>
          <w:rtl/>
        </w:rPr>
        <w:t>.</w:t>
      </w:r>
      <w:r w:rsidRPr="00BB3FE6">
        <w:rPr>
          <w:rtl/>
        </w:rPr>
        <w:t xml:space="preserve"> </w:t>
      </w:r>
      <w:r w:rsidRPr="00BB3FE6">
        <w:rPr>
          <w:sz w:val="19"/>
          <w:szCs w:val="19"/>
          <w:rtl/>
        </w:rPr>
        <w:t xml:space="preserve">שיעור התלמידים </w:t>
      </w:r>
      <w:r>
        <w:rPr>
          <w:rFonts w:hint="cs"/>
          <w:sz w:val="19"/>
          <w:szCs w:val="19"/>
          <w:rtl/>
        </w:rPr>
        <w:t>ללא מיגון תקני בגני הילדים</w:t>
      </w:r>
      <w:r w:rsidRPr="00BB3FE6">
        <w:rPr>
          <w:sz w:val="19"/>
          <w:szCs w:val="19"/>
          <w:rtl/>
        </w:rPr>
        <w:t xml:space="preserve"> </w:t>
      </w:r>
      <w:r w:rsidRPr="00F5601B">
        <w:rPr>
          <w:b/>
          <w:bCs/>
          <w:sz w:val="19"/>
          <w:szCs w:val="19"/>
          <w:rtl/>
        </w:rPr>
        <w:t xml:space="preserve">באשקלון, ביענה, גבעתיים, </w:t>
      </w:r>
      <w:r>
        <w:rPr>
          <w:rFonts w:hint="cs"/>
          <w:b/>
          <w:bCs/>
          <w:sz w:val="19"/>
          <w:szCs w:val="19"/>
          <w:rtl/>
        </w:rPr>
        <w:t>ה</w:t>
      </w:r>
      <w:r w:rsidRPr="00F5601B">
        <w:rPr>
          <w:b/>
          <w:bCs/>
          <w:sz w:val="19"/>
          <w:szCs w:val="19"/>
          <w:rtl/>
        </w:rPr>
        <w:t xml:space="preserve">גלבוע וחולון </w:t>
      </w:r>
      <w:r>
        <w:rPr>
          <w:rFonts w:hint="cs"/>
          <w:sz w:val="19"/>
          <w:szCs w:val="19"/>
          <w:rtl/>
        </w:rPr>
        <w:t>היה</w:t>
      </w:r>
      <w:r w:rsidRPr="00BB3FE6">
        <w:rPr>
          <w:sz w:val="19"/>
          <w:szCs w:val="19"/>
          <w:rtl/>
        </w:rPr>
        <w:t xml:space="preserve"> בין 17% </w:t>
      </w:r>
      <w:r>
        <w:rPr>
          <w:rFonts w:hint="cs"/>
          <w:sz w:val="19"/>
          <w:szCs w:val="19"/>
          <w:rtl/>
        </w:rPr>
        <w:t>ב</w:t>
      </w:r>
      <w:r w:rsidRPr="00B35492">
        <w:rPr>
          <w:rFonts w:hint="cs"/>
          <w:b/>
          <w:bCs/>
          <w:sz w:val="19"/>
          <w:szCs w:val="19"/>
          <w:rtl/>
        </w:rPr>
        <w:t>גבעתיים</w:t>
      </w:r>
      <w:r>
        <w:rPr>
          <w:rFonts w:hint="cs"/>
          <w:sz w:val="19"/>
          <w:szCs w:val="19"/>
          <w:rtl/>
        </w:rPr>
        <w:t xml:space="preserve"> </w:t>
      </w:r>
      <w:r w:rsidRPr="00BB3FE6">
        <w:rPr>
          <w:sz w:val="19"/>
          <w:szCs w:val="19"/>
          <w:rtl/>
        </w:rPr>
        <w:t>ל</w:t>
      </w:r>
      <w:r>
        <w:rPr>
          <w:rFonts w:hint="cs"/>
          <w:sz w:val="19"/>
          <w:szCs w:val="19"/>
          <w:rtl/>
        </w:rPr>
        <w:t>-</w:t>
      </w:r>
      <w:r w:rsidRPr="00BB3FE6">
        <w:rPr>
          <w:sz w:val="19"/>
          <w:szCs w:val="19"/>
          <w:rtl/>
        </w:rPr>
        <w:t>52%</w:t>
      </w:r>
      <w:r>
        <w:rPr>
          <w:rFonts w:hint="cs"/>
          <w:sz w:val="19"/>
          <w:szCs w:val="19"/>
          <w:rtl/>
        </w:rPr>
        <w:t xml:space="preserve"> ב</w:t>
      </w:r>
      <w:r w:rsidRPr="00B35492">
        <w:rPr>
          <w:rFonts w:hint="cs"/>
          <w:b/>
          <w:bCs/>
          <w:sz w:val="19"/>
          <w:szCs w:val="19"/>
          <w:rtl/>
        </w:rPr>
        <w:t>גלבוע</w:t>
      </w:r>
      <w:r>
        <w:rPr>
          <w:rFonts w:hint="cs"/>
          <w:sz w:val="19"/>
          <w:szCs w:val="19"/>
          <w:rtl/>
        </w:rPr>
        <w:t xml:space="preserve"> (מספר התלמידים השוהים בגני הילדים ברשויות אלו ללא מיגון תקני היה </w:t>
      </w:r>
      <w:r w:rsidRPr="00BB3FE6">
        <w:rPr>
          <w:sz w:val="19"/>
          <w:szCs w:val="19"/>
          <w:rtl/>
        </w:rPr>
        <w:t xml:space="preserve">בין 98 </w:t>
      </w:r>
      <w:r>
        <w:rPr>
          <w:rFonts w:hint="cs"/>
          <w:sz w:val="19"/>
          <w:szCs w:val="19"/>
          <w:rtl/>
        </w:rPr>
        <w:t>ב</w:t>
      </w:r>
      <w:r w:rsidRPr="00B35492">
        <w:rPr>
          <w:rFonts w:hint="cs"/>
          <w:b/>
          <w:bCs/>
          <w:sz w:val="19"/>
          <w:szCs w:val="19"/>
          <w:rtl/>
        </w:rPr>
        <w:t>ביענה</w:t>
      </w:r>
      <w:r>
        <w:rPr>
          <w:rFonts w:hint="cs"/>
          <w:sz w:val="19"/>
          <w:szCs w:val="19"/>
          <w:rtl/>
        </w:rPr>
        <w:t xml:space="preserve"> </w:t>
      </w:r>
      <w:r w:rsidRPr="00BB3FE6">
        <w:rPr>
          <w:sz w:val="19"/>
          <w:szCs w:val="19"/>
          <w:rtl/>
        </w:rPr>
        <w:t>ל</w:t>
      </w:r>
      <w:r>
        <w:rPr>
          <w:rFonts w:hint="cs"/>
          <w:sz w:val="19"/>
          <w:szCs w:val="19"/>
          <w:rtl/>
        </w:rPr>
        <w:t>-</w:t>
      </w:r>
      <w:r w:rsidRPr="00BB3FE6">
        <w:rPr>
          <w:sz w:val="19"/>
          <w:szCs w:val="19"/>
          <w:rtl/>
        </w:rPr>
        <w:t xml:space="preserve">3,206 </w:t>
      </w:r>
      <w:r>
        <w:rPr>
          <w:rFonts w:hint="cs"/>
          <w:sz w:val="19"/>
          <w:szCs w:val="19"/>
          <w:rtl/>
        </w:rPr>
        <w:t>ב</w:t>
      </w:r>
      <w:r w:rsidRPr="00B35492">
        <w:rPr>
          <w:rFonts w:hint="cs"/>
          <w:b/>
          <w:bCs/>
          <w:sz w:val="19"/>
          <w:szCs w:val="19"/>
          <w:rtl/>
        </w:rPr>
        <w:t>חולון</w:t>
      </w:r>
      <w:r>
        <w:rPr>
          <w:rFonts w:hint="cs"/>
          <w:sz w:val="19"/>
          <w:szCs w:val="19"/>
          <w:rtl/>
        </w:rPr>
        <w:t>)</w:t>
      </w:r>
      <w:r w:rsidRPr="00BB3FE6">
        <w:rPr>
          <w:sz w:val="19"/>
          <w:szCs w:val="19"/>
          <w:rtl/>
        </w:rPr>
        <w:t>.</w:t>
      </w:r>
    </w:p>
    <w:p w:rsidR="00542832" w:rsidRDefault="00542832" w:rsidP="000B5F64">
      <w:pPr>
        <w:pStyle w:val="73"/>
        <w:numPr>
          <w:ilvl w:val="0"/>
          <w:numId w:val="25"/>
        </w:numPr>
        <w:spacing w:after="160"/>
        <w:rPr>
          <w:sz w:val="19"/>
          <w:szCs w:val="19"/>
        </w:rPr>
      </w:pPr>
      <w:r w:rsidRPr="00F72DA2">
        <w:rPr>
          <w:b/>
          <w:bCs/>
          <w:sz w:val="19"/>
          <w:szCs w:val="19"/>
          <w:rtl/>
        </w:rPr>
        <w:t>לימודים במוסדות החינוך ברשויות שנבדקו בעת המלחמה</w:t>
      </w:r>
      <w:r>
        <w:rPr>
          <w:rFonts w:hint="cs"/>
          <w:sz w:val="19"/>
          <w:szCs w:val="19"/>
          <w:rtl/>
        </w:rPr>
        <w:t xml:space="preserve"> -</w:t>
      </w:r>
      <w:r w:rsidRPr="00E3267A">
        <w:rPr>
          <w:sz w:val="19"/>
          <w:szCs w:val="19"/>
          <w:rtl/>
        </w:rPr>
        <w:t xml:space="preserve"> בהיעדר מיגון תקני נפגעה הרציפות התפקודית של מוסדות החינוך ברשויות שנבדקו. חלק מהתלמידים בבתי הספר ב</w:t>
      </w:r>
      <w:r w:rsidRPr="00F72DA2">
        <w:rPr>
          <w:b/>
          <w:bCs/>
          <w:sz w:val="19"/>
          <w:szCs w:val="19"/>
          <w:rtl/>
        </w:rPr>
        <w:t>אשקלון</w:t>
      </w:r>
      <w:r w:rsidRPr="00E3267A">
        <w:rPr>
          <w:sz w:val="19"/>
          <w:szCs w:val="19"/>
          <w:rtl/>
        </w:rPr>
        <w:t xml:space="preserve">, </w:t>
      </w:r>
      <w:r w:rsidRPr="00F72DA2">
        <w:rPr>
          <w:b/>
          <w:bCs/>
          <w:sz w:val="19"/>
          <w:szCs w:val="19"/>
          <w:rtl/>
        </w:rPr>
        <w:t>ביענה</w:t>
      </w:r>
      <w:r w:rsidRPr="00E3267A">
        <w:rPr>
          <w:sz w:val="19"/>
          <w:szCs w:val="19"/>
          <w:rtl/>
        </w:rPr>
        <w:t xml:space="preserve">, </w:t>
      </w:r>
      <w:r w:rsidRPr="00F72DA2">
        <w:rPr>
          <w:b/>
          <w:bCs/>
          <w:sz w:val="19"/>
          <w:szCs w:val="19"/>
          <w:rtl/>
        </w:rPr>
        <w:t>גבעתיים</w:t>
      </w:r>
      <w:r w:rsidRPr="00E3267A">
        <w:rPr>
          <w:sz w:val="19"/>
          <w:szCs w:val="19"/>
          <w:rtl/>
        </w:rPr>
        <w:t xml:space="preserve"> ו</w:t>
      </w:r>
      <w:r w:rsidRPr="00F72DA2">
        <w:rPr>
          <w:b/>
          <w:bCs/>
          <w:sz w:val="19"/>
          <w:szCs w:val="19"/>
          <w:rtl/>
        </w:rPr>
        <w:t>חולון</w:t>
      </w:r>
      <w:r w:rsidRPr="00E3267A">
        <w:rPr>
          <w:sz w:val="19"/>
          <w:szCs w:val="19"/>
          <w:rtl/>
        </w:rPr>
        <w:t xml:space="preserve"> נאלץ ללמוד במבני מוסדות החינוך רק בחלק מימות השבוע במשך תקופה שבין כשלושה שבועות לחודש ואף לחודשיים (בבתי הספר בביענה). ב</w:t>
      </w:r>
      <w:r w:rsidRPr="00F72DA2">
        <w:rPr>
          <w:b/>
          <w:bCs/>
          <w:sz w:val="19"/>
          <w:szCs w:val="19"/>
          <w:rtl/>
        </w:rPr>
        <w:t>אשקלון</w:t>
      </w:r>
      <w:r w:rsidRPr="00E3267A">
        <w:rPr>
          <w:sz w:val="19"/>
          <w:szCs w:val="19"/>
          <w:rtl/>
        </w:rPr>
        <w:t xml:space="preserve"> גני הילדים, כיתות ד'-ו' וכל כיתות בתי הספר העל-יסודיים לא למדו במבני המוסדות גם ב</w:t>
      </w:r>
      <w:r>
        <w:rPr>
          <w:rFonts w:hint="cs"/>
          <w:sz w:val="19"/>
          <w:szCs w:val="19"/>
          <w:rtl/>
        </w:rPr>
        <w:t>-</w:t>
      </w:r>
      <w:r w:rsidRPr="00E3267A">
        <w:rPr>
          <w:sz w:val="19"/>
          <w:szCs w:val="19"/>
          <w:rtl/>
        </w:rPr>
        <w:t>22 הימים הראשונים מאז הוגדרה העירייה אזור צהוב.</w:t>
      </w:r>
    </w:p>
    <w:p w:rsidR="00542832" w:rsidRDefault="00542832" w:rsidP="000B5F64">
      <w:pPr>
        <w:pStyle w:val="73"/>
        <w:numPr>
          <w:ilvl w:val="0"/>
          <w:numId w:val="25"/>
        </w:numPr>
        <w:spacing w:after="160"/>
        <w:rPr>
          <w:sz w:val="19"/>
          <w:szCs w:val="19"/>
        </w:rPr>
      </w:pPr>
      <w:r w:rsidRPr="00F579D5">
        <w:rPr>
          <w:b/>
          <w:bCs/>
          <w:sz w:val="19"/>
          <w:szCs w:val="19"/>
          <w:rtl/>
        </w:rPr>
        <w:t>תחזוקת מקלטים במוסדות חינוך ברשויות שנבדקו</w:t>
      </w:r>
      <w:r w:rsidRPr="00F72DA2">
        <w:rPr>
          <w:b/>
          <w:bCs/>
          <w:sz w:val="19"/>
          <w:szCs w:val="19"/>
          <w:rtl/>
        </w:rPr>
        <w:t xml:space="preserve"> </w:t>
      </w:r>
      <w:r>
        <w:rPr>
          <w:rFonts w:hint="cs"/>
          <w:sz w:val="19"/>
          <w:szCs w:val="19"/>
          <w:rtl/>
        </w:rPr>
        <w:t xml:space="preserve">- </w:t>
      </w:r>
      <w:r w:rsidRPr="00F579D5">
        <w:rPr>
          <w:sz w:val="19"/>
          <w:szCs w:val="19"/>
          <w:rtl/>
        </w:rPr>
        <w:t xml:space="preserve">עיריות </w:t>
      </w:r>
      <w:r w:rsidRPr="004234A0">
        <w:rPr>
          <w:b/>
          <w:bCs/>
          <w:sz w:val="19"/>
          <w:szCs w:val="19"/>
          <w:rtl/>
        </w:rPr>
        <w:t>אשקלון</w:t>
      </w:r>
      <w:r w:rsidRPr="00F579D5">
        <w:rPr>
          <w:sz w:val="19"/>
          <w:szCs w:val="19"/>
          <w:rtl/>
        </w:rPr>
        <w:t xml:space="preserve"> ו</w:t>
      </w:r>
      <w:r w:rsidRPr="008F4A31">
        <w:rPr>
          <w:b/>
          <w:bCs/>
          <w:sz w:val="19"/>
          <w:szCs w:val="19"/>
          <w:rtl/>
        </w:rPr>
        <w:t>גבעתיים</w:t>
      </w:r>
      <w:r w:rsidRPr="00F579D5">
        <w:rPr>
          <w:sz w:val="19"/>
          <w:szCs w:val="19"/>
          <w:rtl/>
        </w:rPr>
        <w:t xml:space="preserve"> והמועצה האזורית </w:t>
      </w:r>
      <w:r w:rsidRPr="004234A0">
        <w:rPr>
          <w:b/>
          <w:bCs/>
          <w:sz w:val="19"/>
          <w:szCs w:val="19"/>
          <w:rtl/>
        </w:rPr>
        <w:t>הגלבוע</w:t>
      </w:r>
      <w:r w:rsidRPr="00F579D5">
        <w:rPr>
          <w:sz w:val="19"/>
          <w:szCs w:val="19"/>
          <w:rtl/>
        </w:rPr>
        <w:t xml:space="preserve"> לא הקפידו על תקינות המקלטים והמרחבים המוגנים במוסדות החינוך שבתחומן כנדרש בנוהל החירום של משרד החינוך; נמצאו ליקויים בתחזוקתם כמו אי-סימון החלונות בצבע פולט אור, מחסור בשלטים, חוטי חשמל גלויים, מחסור בתאורת חירום, מחסור בערכת עזרה ראשונה, המקלט משמש מחסן, יציאת החירום חסומה בציוד, מטפה לא תקין, רטיבות במקלט.</w:t>
      </w:r>
      <w:r w:rsidRPr="00F579D5">
        <w:rPr>
          <w:rtl/>
        </w:rPr>
        <w:t xml:space="preserve"> </w:t>
      </w:r>
      <w:r w:rsidRPr="00526107">
        <w:rPr>
          <w:sz w:val="19"/>
          <w:szCs w:val="19"/>
          <w:rtl/>
        </w:rPr>
        <w:t xml:space="preserve">בשנים 2021 - 2023 לא עשתה עיריית </w:t>
      </w:r>
      <w:r w:rsidRPr="00F72DA2">
        <w:rPr>
          <w:b/>
          <w:bCs/>
          <w:sz w:val="19"/>
          <w:szCs w:val="19"/>
          <w:rtl/>
        </w:rPr>
        <w:t>אשקלון</w:t>
      </w:r>
      <w:r w:rsidRPr="00526107">
        <w:rPr>
          <w:sz w:val="19"/>
          <w:szCs w:val="19"/>
          <w:rtl/>
        </w:rPr>
        <w:t xml:space="preserve"> ביקורת על תחזוקת המקלטים וציוד החירום בבתי הספר ובגני הילדים שבתחומה כנדרש בנוהל החירום של משרד החינוך. </w:t>
      </w:r>
      <w:r>
        <w:rPr>
          <w:rFonts w:hint="cs"/>
          <w:sz w:val="19"/>
          <w:szCs w:val="19"/>
          <w:rtl/>
        </w:rPr>
        <w:t xml:space="preserve">עיריית </w:t>
      </w:r>
      <w:r w:rsidRPr="00FB4F89">
        <w:rPr>
          <w:rFonts w:hint="eastAsia"/>
          <w:b/>
          <w:bCs/>
          <w:sz w:val="19"/>
          <w:szCs w:val="19"/>
          <w:rtl/>
        </w:rPr>
        <w:t>גבעתיים</w:t>
      </w:r>
      <w:r>
        <w:rPr>
          <w:rFonts w:hint="cs"/>
          <w:sz w:val="19"/>
          <w:szCs w:val="19"/>
          <w:rtl/>
        </w:rPr>
        <w:t xml:space="preserve"> לא עשתה ביקורות אלה </w:t>
      </w:r>
      <w:r w:rsidRPr="00526107">
        <w:rPr>
          <w:sz w:val="19"/>
          <w:szCs w:val="19"/>
          <w:rtl/>
        </w:rPr>
        <w:t>בשנים 2022 - 2023.</w:t>
      </w:r>
    </w:p>
    <w:p w:rsidR="00542832" w:rsidRPr="00AF3F56" w:rsidRDefault="00542832" w:rsidP="00542832">
      <w:pPr>
        <w:pStyle w:val="73"/>
        <w:numPr>
          <w:ilvl w:val="0"/>
          <w:numId w:val="25"/>
        </w:numPr>
        <w:rPr>
          <w:sz w:val="19"/>
          <w:szCs w:val="19"/>
        </w:rPr>
      </w:pPr>
      <w:r w:rsidRPr="00AF3F56">
        <w:rPr>
          <w:rFonts w:hint="eastAsia"/>
          <w:sz w:val="19"/>
          <w:szCs w:val="19"/>
          <w:rtl/>
        </w:rPr>
        <w:t>עוד</w:t>
      </w:r>
      <w:r w:rsidRPr="00AF3F56">
        <w:rPr>
          <w:sz w:val="19"/>
          <w:szCs w:val="19"/>
          <w:rtl/>
        </w:rPr>
        <w:t xml:space="preserve"> נמצא כי רק לאחר 7.10.23 </w:t>
      </w:r>
      <w:r w:rsidRPr="00AF3F56">
        <w:rPr>
          <w:rFonts w:hint="cs"/>
          <w:sz w:val="19"/>
          <w:szCs w:val="19"/>
          <w:rtl/>
        </w:rPr>
        <w:t>ערך פקע"ר</w:t>
      </w:r>
      <w:r w:rsidRPr="00AF3F56">
        <w:rPr>
          <w:sz w:val="19"/>
          <w:szCs w:val="19"/>
          <w:rtl/>
        </w:rPr>
        <w:t xml:space="preserve"> ביקורת בבתי הספר ובגני הילדים שב</w:t>
      </w:r>
      <w:r w:rsidRPr="00AF3F56">
        <w:rPr>
          <w:b/>
          <w:bCs/>
          <w:sz w:val="19"/>
          <w:szCs w:val="19"/>
          <w:rtl/>
        </w:rPr>
        <w:t>אשקלון</w:t>
      </w:r>
      <w:r w:rsidRPr="00AF3F56">
        <w:rPr>
          <w:rFonts w:hint="cs"/>
          <w:b/>
          <w:bCs/>
          <w:sz w:val="19"/>
          <w:szCs w:val="19"/>
          <w:rtl/>
        </w:rPr>
        <w:t>,</w:t>
      </w:r>
      <w:r w:rsidRPr="00AF3F56">
        <w:rPr>
          <w:sz w:val="19"/>
          <w:szCs w:val="19"/>
          <w:rtl/>
        </w:rPr>
        <w:t xml:space="preserve"> ב</w:t>
      </w:r>
      <w:r w:rsidRPr="00AF3F56">
        <w:rPr>
          <w:b/>
          <w:bCs/>
          <w:sz w:val="19"/>
          <w:szCs w:val="19"/>
          <w:rtl/>
        </w:rPr>
        <w:t>גבעתיים</w:t>
      </w:r>
      <w:r w:rsidRPr="00AF3F56">
        <w:rPr>
          <w:sz w:val="19"/>
          <w:szCs w:val="19"/>
          <w:rtl/>
        </w:rPr>
        <w:t xml:space="preserve"> ו</w:t>
      </w:r>
      <w:r w:rsidRPr="00AF3F56">
        <w:rPr>
          <w:b/>
          <w:bCs/>
          <w:sz w:val="19"/>
          <w:szCs w:val="19"/>
          <w:rtl/>
        </w:rPr>
        <w:t>בחולון</w:t>
      </w:r>
      <w:r w:rsidRPr="00AF3F56">
        <w:rPr>
          <w:sz w:val="19"/>
          <w:szCs w:val="19"/>
          <w:rtl/>
        </w:rPr>
        <w:t xml:space="preserve"> בלבד</w:t>
      </w:r>
      <w:r w:rsidRPr="00AF3F56">
        <w:rPr>
          <w:rFonts w:hint="cs"/>
          <w:sz w:val="19"/>
          <w:szCs w:val="19"/>
          <w:rtl/>
        </w:rPr>
        <w:t>,</w:t>
      </w:r>
      <w:r w:rsidRPr="00AF3F56">
        <w:rPr>
          <w:sz w:val="19"/>
          <w:szCs w:val="19"/>
          <w:rtl/>
        </w:rPr>
        <w:t xml:space="preserve"> ו</w:t>
      </w:r>
      <w:r w:rsidRPr="00AF3F56">
        <w:rPr>
          <w:rFonts w:hint="cs"/>
          <w:sz w:val="19"/>
          <w:szCs w:val="19"/>
          <w:rtl/>
        </w:rPr>
        <w:t>כי בשנים 2021 - 2023</w:t>
      </w:r>
      <w:r w:rsidRPr="00AF3F56">
        <w:rPr>
          <w:sz w:val="19"/>
          <w:szCs w:val="19"/>
          <w:rtl/>
        </w:rPr>
        <w:t xml:space="preserve"> הוא לא עשה ביקורת ב</w:t>
      </w:r>
      <w:r w:rsidRPr="00AF3F56">
        <w:rPr>
          <w:b/>
          <w:bCs/>
          <w:sz w:val="19"/>
          <w:szCs w:val="19"/>
          <w:rtl/>
        </w:rPr>
        <w:t xml:space="preserve">גלבוע </w:t>
      </w:r>
      <w:r w:rsidRPr="00AF3F56">
        <w:rPr>
          <w:sz w:val="19"/>
          <w:szCs w:val="19"/>
          <w:rtl/>
        </w:rPr>
        <w:t>וב</w:t>
      </w:r>
      <w:r w:rsidRPr="00AF3F56">
        <w:rPr>
          <w:b/>
          <w:bCs/>
          <w:sz w:val="19"/>
          <w:szCs w:val="19"/>
          <w:rtl/>
        </w:rPr>
        <w:t>ב</w:t>
      </w:r>
      <w:r w:rsidRPr="00AF3F56">
        <w:rPr>
          <w:rFonts w:hint="cs"/>
          <w:b/>
          <w:bCs/>
          <w:sz w:val="19"/>
          <w:szCs w:val="19"/>
          <w:rtl/>
        </w:rPr>
        <w:t>י</w:t>
      </w:r>
      <w:r w:rsidRPr="00AF3F56">
        <w:rPr>
          <w:b/>
          <w:bCs/>
          <w:sz w:val="19"/>
          <w:szCs w:val="19"/>
          <w:rtl/>
        </w:rPr>
        <w:t>ענה</w:t>
      </w:r>
      <w:r w:rsidRPr="00AF3F56">
        <w:rPr>
          <w:sz w:val="19"/>
          <w:szCs w:val="19"/>
          <w:rtl/>
        </w:rPr>
        <w:t>.</w:t>
      </w:r>
    </w:p>
    <w:p w:rsidR="00542832" w:rsidRPr="00194D62" w:rsidRDefault="00194D62" w:rsidP="00194D62">
      <w:pPr>
        <w:pStyle w:val="73"/>
        <w:numPr>
          <w:ilvl w:val="0"/>
          <w:numId w:val="25"/>
        </w:numPr>
        <w:rPr>
          <w:sz w:val="19"/>
          <w:szCs w:val="19"/>
        </w:rPr>
      </w:pPr>
      <w:r w:rsidRPr="00F35A40">
        <w:rPr>
          <w:b/>
          <w:bCs/>
          <w:sz w:val="19"/>
          <w:szCs w:val="19"/>
          <w:rtl/>
        </w:rPr>
        <w:lastRenderedPageBreak/>
        <w:t>תוכנית</w:t>
      </w:r>
      <w:r w:rsidRPr="00F579D5">
        <w:rPr>
          <w:b/>
          <w:bCs/>
          <w:sz w:val="19"/>
          <w:szCs w:val="19"/>
          <w:rtl/>
        </w:rPr>
        <w:t xml:space="preserve"> רב-שנתית לטיפול במוכנות העורף בחירום</w:t>
      </w:r>
      <w:r w:rsidRPr="00F579D5">
        <w:rPr>
          <w:sz w:val="19"/>
          <w:szCs w:val="19"/>
          <w:rtl/>
        </w:rPr>
        <w:t xml:space="preserve"> </w:t>
      </w:r>
      <w:r>
        <w:rPr>
          <w:rFonts w:hint="cs"/>
          <w:sz w:val="19"/>
          <w:szCs w:val="19"/>
          <w:rtl/>
        </w:rPr>
        <w:t xml:space="preserve">- </w:t>
      </w:r>
      <w:r w:rsidRPr="00F579D5">
        <w:rPr>
          <w:sz w:val="19"/>
          <w:szCs w:val="19"/>
          <w:rtl/>
        </w:rPr>
        <w:t>לצורך מימוש תוכנית "מגן הצפון"</w:t>
      </w:r>
      <w:r>
        <w:rPr>
          <w:rStyle w:val="af1"/>
          <w:sz w:val="19"/>
          <w:szCs w:val="19"/>
          <w:rtl/>
        </w:rPr>
        <w:footnoteReference w:id="3"/>
      </w:r>
      <w:r w:rsidRPr="00F579D5">
        <w:rPr>
          <w:sz w:val="19"/>
          <w:szCs w:val="19"/>
          <w:rtl/>
        </w:rPr>
        <w:t xml:space="preserve"> </w:t>
      </w:r>
      <w:r>
        <w:rPr>
          <w:rFonts w:hint="cs"/>
          <w:sz w:val="19"/>
          <w:szCs w:val="19"/>
          <w:rtl/>
        </w:rPr>
        <w:t>תוקצב</w:t>
      </w:r>
      <w:r w:rsidRPr="00F579D5">
        <w:rPr>
          <w:sz w:val="19"/>
          <w:szCs w:val="19"/>
          <w:rtl/>
        </w:rPr>
        <w:t xml:space="preserve"> פקע"ר בפועל בשנים 2019 - 2024 </w:t>
      </w:r>
      <w:r>
        <w:rPr>
          <w:rFonts w:hint="cs"/>
          <w:sz w:val="19"/>
          <w:szCs w:val="19"/>
          <w:rtl/>
        </w:rPr>
        <w:t>ב</w:t>
      </w:r>
      <w:r w:rsidRPr="00F579D5">
        <w:rPr>
          <w:sz w:val="19"/>
          <w:szCs w:val="19"/>
          <w:rtl/>
        </w:rPr>
        <w:t xml:space="preserve">סך של 1.406 מיליארד ש"ח, </w:t>
      </w:r>
      <w:r w:rsidRPr="00F35A40">
        <w:rPr>
          <w:sz w:val="19"/>
          <w:szCs w:val="19"/>
          <w:rtl/>
        </w:rPr>
        <w:t>מתוכם 869 מ</w:t>
      </w:r>
      <w:r>
        <w:rPr>
          <w:rFonts w:hint="cs"/>
          <w:sz w:val="19"/>
          <w:szCs w:val="19"/>
          <w:rtl/>
        </w:rPr>
        <w:t xml:space="preserve">יליון </w:t>
      </w:r>
      <w:r w:rsidRPr="00F35A40">
        <w:rPr>
          <w:sz w:val="19"/>
          <w:szCs w:val="19"/>
          <w:rtl/>
        </w:rPr>
        <w:t>ש"ח בשנת 2024</w:t>
      </w:r>
      <w:r>
        <w:rPr>
          <w:rFonts w:hint="cs"/>
          <w:sz w:val="19"/>
          <w:szCs w:val="19"/>
          <w:rtl/>
        </w:rPr>
        <w:t>,</w:t>
      </w:r>
      <w:r w:rsidRPr="00F35A40">
        <w:rPr>
          <w:sz w:val="19"/>
          <w:szCs w:val="19"/>
          <w:rtl/>
        </w:rPr>
        <w:t xml:space="preserve"> לאחר פרוץ מלחמת חרבות ברזל</w:t>
      </w:r>
      <w:r>
        <w:rPr>
          <w:rFonts w:hint="cs"/>
          <w:sz w:val="19"/>
          <w:szCs w:val="19"/>
          <w:rtl/>
        </w:rPr>
        <w:t xml:space="preserve"> (</w:t>
      </w:r>
      <w:r w:rsidRPr="00F35A40">
        <w:rPr>
          <w:sz w:val="19"/>
          <w:szCs w:val="19"/>
          <w:rtl/>
        </w:rPr>
        <w:t xml:space="preserve">עד פרוץ המלחמה </w:t>
      </w:r>
      <w:r>
        <w:rPr>
          <w:rFonts w:hint="cs"/>
          <w:sz w:val="19"/>
          <w:szCs w:val="19"/>
          <w:rtl/>
        </w:rPr>
        <w:t>התקצוב</w:t>
      </w:r>
      <w:r w:rsidRPr="00F35A40">
        <w:rPr>
          <w:sz w:val="19"/>
          <w:szCs w:val="19"/>
          <w:rtl/>
        </w:rPr>
        <w:t xml:space="preserve"> עמד על 21% בלבד</w:t>
      </w:r>
      <w:r>
        <w:rPr>
          <w:rFonts w:hint="cs"/>
          <w:sz w:val="19"/>
          <w:szCs w:val="19"/>
          <w:rtl/>
        </w:rPr>
        <w:t>).</w:t>
      </w:r>
      <w:r w:rsidRPr="00F35A40">
        <w:rPr>
          <w:sz w:val="19"/>
          <w:szCs w:val="19"/>
          <w:rtl/>
        </w:rPr>
        <w:t xml:space="preserve"> </w:t>
      </w:r>
      <w:r>
        <w:rPr>
          <w:rFonts w:hint="cs"/>
          <w:sz w:val="19"/>
          <w:szCs w:val="19"/>
          <w:rtl/>
        </w:rPr>
        <w:t>זאת אף</w:t>
      </w:r>
      <w:r w:rsidRPr="00F579D5">
        <w:rPr>
          <w:sz w:val="19"/>
          <w:szCs w:val="19"/>
          <w:rtl/>
        </w:rPr>
        <w:t xml:space="preserve"> של</w:t>
      </w:r>
      <w:r>
        <w:rPr>
          <w:rFonts w:hint="cs"/>
          <w:sz w:val="19"/>
          <w:szCs w:val="19"/>
          <w:rtl/>
        </w:rPr>
        <w:t>שם</w:t>
      </w:r>
      <w:r w:rsidRPr="00F579D5">
        <w:rPr>
          <w:sz w:val="19"/>
          <w:szCs w:val="19"/>
          <w:rtl/>
        </w:rPr>
        <w:t xml:space="preserve"> מימוש התוכנית על פי החלטת </w:t>
      </w:r>
      <w:r>
        <w:rPr>
          <w:rFonts w:hint="cs"/>
          <w:sz w:val="19"/>
          <w:szCs w:val="19"/>
          <w:rtl/>
        </w:rPr>
        <w:t>הקבינט המדיני-ביטחוני ב/</w:t>
      </w:r>
      <w:r w:rsidRPr="00F579D5">
        <w:rPr>
          <w:sz w:val="19"/>
          <w:szCs w:val="19"/>
          <w:rtl/>
        </w:rPr>
        <w:t>302</w:t>
      </w:r>
      <w:r w:rsidRPr="00EE70DD">
        <w:rPr>
          <w:sz w:val="19"/>
          <w:szCs w:val="19"/>
          <w:rtl/>
        </w:rPr>
        <w:t xml:space="preserve"> </w:t>
      </w:r>
      <w:r w:rsidRPr="00F579D5">
        <w:rPr>
          <w:sz w:val="19"/>
          <w:szCs w:val="19"/>
          <w:rtl/>
        </w:rPr>
        <w:t>היה צורך להקצות</w:t>
      </w:r>
      <w:r>
        <w:rPr>
          <w:rFonts w:hint="cs"/>
          <w:sz w:val="19"/>
          <w:szCs w:val="19"/>
          <w:rtl/>
        </w:rPr>
        <w:t xml:space="preserve"> בתקופה זו</w:t>
      </w:r>
      <w:r w:rsidRPr="00F579D5">
        <w:rPr>
          <w:sz w:val="19"/>
          <w:szCs w:val="19"/>
          <w:rtl/>
        </w:rPr>
        <w:t xml:space="preserve"> 3 מיליארד ש"ח (500 מיליון ש"ח בכל שנה)</w:t>
      </w:r>
      <w:r>
        <w:rPr>
          <w:rFonts w:hint="cs"/>
          <w:sz w:val="19"/>
          <w:szCs w:val="19"/>
          <w:rtl/>
        </w:rPr>
        <w:t xml:space="preserve">. </w:t>
      </w:r>
      <w:r w:rsidRPr="00693AA7">
        <w:rPr>
          <w:sz w:val="19"/>
          <w:szCs w:val="19"/>
          <w:rtl/>
        </w:rPr>
        <w:t>עוד עולה כי מימוש התקציבים שהוקצו עד סוף שנת 2024 הסתכם בכ-733.69 מיליון ש״ח בלבד, שהם כ-52% מסך התקציב שהוקצה בפועל. יצוין כי סכום זה משקף תשלומים שבוצעו בפועל עד יולי 2025, ואינו כולל התחייבויות תקציביות נוספות שטרם מומשו בתשלום.</w:t>
      </w:r>
      <w:r>
        <w:rPr>
          <w:rFonts w:hint="cs"/>
          <w:sz w:val="19"/>
          <w:szCs w:val="19"/>
          <w:rtl/>
        </w:rPr>
        <w:t xml:space="preserve"> </w:t>
      </w:r>
      <w:r w:rsidRPr="008960DE">
        <w:rPr>
          <w:sz w:val="19"/>
          <w:szCs w:val="19"/>
          <w:rtl/>
        </w:rPr>
        <w:t xml:space="preserve">יודגש כי </w:t>
      </w:r>
      <w:r>
        <w:rPr>
          <w:rFonts w:hint="cs"/>
          <w:sz w:val="19"/>
          <w:szCs w:val="19"/>
          <w:rtl/>
        </w:rPr>
        <w:t>ב</w:t>
      </w:r>
      <w:r w:rsidRPr="008960DE">
        <w:rPr>
          <w:sz w:val="19"/>
          <w:szCs w:val="19"/>
          <w:rtl/>
        </w:rPr>
        <w:t xml:space="preserve">דוח קודם מ-2020 כבר העיר </w:t>
      </w:r>
      <w:r>
        <w:rPr>
          <w:rFonts w:hint="cs"/>
          <w:sz w:val="19"/>
          <w:szCs w:val="19"/>
          <w:rtl/>
        </w:rPr>
        <w:t xml:space="preserve">מבקר המדינה </w:t>
      </w:r>
      <w:r w:rsidRPr="008960DE">
        <w:rPr>
          <w:sz w:val="19"/>
          <w:szCs w:val="19"/>
          <w:rtl/>
        </w:rPr>
        <w:t xml:space="preserve">כי </w:t>
      </w:r>
      <w:r w:rsidRPr="001F5D84">
        <w:rPr>
          <w:sz w:val="19"/>
          <w:szCs w:val="19"/>
          <w:rtl/>
        </w:rPr>
        <w:t>החלט</w:t>
      </w:r>
      <w:r w:rsidRPr="001F5D84">
        <w:rPr>
          <w:rFonts w:hint="eastAsia"/>
          <w:sz w:val="19"/>
          <w:szCs w:val="19"/>
          <w:rtl/>
        </w:rPr>
        <w:t>ת</w:t>
      </w:r>
      <w:r w:rsidRPr="001F5D84">
        <w:rPr>
          <w:sz w:val="19"/>
          <w:szCs w:val="19"/>
          <w:rtl/>
        </w:rPr>
        <w:t xml:space="preserve"> הקבינט ב/302 התקבלה</w:t>
      </w:r>
      <w:r w:rsidRPr="008960DE">
        <w:rPr>
          <w:sz w:val="19"/>
          <w:szCs w:val="19"/>
          <w:rtl/>
        </w:rPr>
        <w:t xml:space="preserve"> ללא הקצאה של מקורות תקציביים בהתאם לחוק יסודות התקציב, התשמ"ה-1985, ועל כן מימושה היה מוטל בספק.</w:t>
      </w:r>
      <w:r>
        <w:rPr>
          <w:rFonts w:hint="cs"/>
          <w:sz w:val="19"/>
          <w:szCs w:val="19"/>
          <w:rtl/>
        </w:rPr>
        <w:t xml:space="preserve"> </w:t>
      </w:r>
    </w:p>
    <w:p w:rsidR="00542832" w:rsidRDefault="00542832" w:rsidP="00542832">
      <w:pPr>
        <w:pStyle w:val="73"/>
        <w:numPr>
          <w:ilvl w:val="0"/>
          <w:numId w:val="25"/>
        </w:numPr>
        <w:rPr>
          <w:sz w:val="19"/>
          <w:szCs w:val="19"/>
        </w:rPr>
      </w:pPr>
      <w:r w:rsidRPr="002953D9">
        <w:rPr>
          <w:b/>
          <w:bCs/>
          <w:sz w:val="19"/>
          <w:szCs w:val="19"/>
          <w:rtl/>
        </w:rPr>
        <w:t>החלטות הממשלה לסיוע במיגון העיר אשקלון</w:t>
      </w:r>
      <w:r w:rsidRPr="002953D9">
        <w:rPr>
          <w:sz w:val="19"/>
          <w:szCs w:val="19"/>
          <w:rtl/>
        </w:rPr>
        <w:t xml:space="preserve"> </w:t>
      </w:r>
      <w:r>
        <w:rPr>
          <w:rFonts w:hint="cs"/>
          <w:sz w:val="19"/>
          <w:szCs w:val="19"/>
          <w:rtl/>
        </w:rPr>
        <w:t xml:space="preserve">- </w:t>
      </w:r>
      <w:r w:rsidRPr="00004C27">
        <w:rPr>
          <w:sz w:val="19"/>
          <w:szCs w:val="19"/>
          <w:rtl/>
        </w:rPr>
        <w:t xml:space="preserve">בשנים 2022 ו-2023 הקצו משרדי הממשלה לעיריית </w:t>
      </w:r>
      <w:r w:rsidRPr="006420BE">
        <w:rPr>
          <w:b/>
          <w:bCs/>
          <w:sz w:val="19"/>
          <w:szCs w:val="19"/>
          <w:rtl/>
        </w:rPr>
        <w:t>אשקלון</w:t>
      </w:r>
      <w:r w:rsidRPr="00004C27">
        <w:rPr>
          <w:sz w:val="19"/>
          <w:szCs w:val="19"/>
          <w:rtl/>
        </w:rPr>
        <w:t xml:space="preserve"> על פי החלטת הממשלה 1278 סך 12.63 מיליון ש"ח מהתקציב שנקבע בהחלטת הממשלה בסך 21 מיליון ש"ח (60%), והעבירו לידיה רק 2.7 מיליון ש"ח מהסכום שהקצו (21%). זאת בשל אי-ניצול תקציב בסך 4 מיליון ש"ח לשיפוץ מקלטים ציבוריים מיולי 2023 עד יוני 2024 ובשל התנהלות איטית וסחבת בניהול פרויקטי המיגון של העירייה.</w:t>
      </w:r>
    </w:p>
    <w:p w:rsidR="00542832" w:rsidRPr="00351DC2" w:rsidRDefault="00542832" w:rsidP="00140D50">
      <w:pPr>
        <w:pStyle w:val="73"/>
        <w:numPr>
          <w:ilvl w:val="0"/>
          <w:numId w:val="25"/>
        </w:numPr>
        <w:rPr>
          <w:sz w:val="19"/>
          <w:szCs w:val="19"/>
        </w:rPr>
      </w:pPr>
      <w:r w:rsidRPr="00351DC2">
        <w:rPr>
          <w:b/>
          <w:bCs/>
          <w:sz w:val="19"/>
          <w:szCs w:val="19"/>
          <w:rtl/>
        </w:rPr>
        <w:t>סיוע משרד הבינוי והשיכון לתושבי אשקלון לבניית ממ"דים</w:t>
      </w:r>
      <w:r w:rsidRPr="00351DC2">
        <w:rPr>
          <w:rFonts w:hint="cs"/>
          <w:sz w:val="19"/>
          <w:szCs w:val="19"/>
          <w:rtl/>
        </w:rPr>
        <w:t xml:space="preserve"> - רק ביוני 2023, כשנה ושלושה חודשים לאחר פרסום החלטת הממשלה</w:t>
      </w:r>
      <w:r>
        <w:rPr>
          <w:rFonts w:hint="cs"/>
          <w:sz w:val="19"/>
          <w:szCs w:val="19"/>
          <w:rtl/>
        </w:rPr>
        <w:t xml:space="preserve"> 1278</w:t>
      </w:r>
      <w:r w:rsidRPr="00351DC2">
        <w:rPr>
          <w:rFonts w:hint="cs"/>
          <w:sz w:val="19"/>
          <w:szCs w:val="19"/>
          <w:rtl/>
        </w:rPr>
        <w:t>, פרסם משרד השיכון נוהל המאפשר את קבלת המענקים וההלוואות</w:t>
      </w:r>
      <w:r>
        <w:rPr>
          <w:rFonts w:hint="cs"/>
          <w:sz w:val="19"/>
          <w:szCs w:val="19"/>
          <w:rtl/>
        </w:rPr>
        <w:t xml:space="preserve"> לפי ההחלטה</w:t>
      </w:r>
      <w:r w:rsidRPr="00351DC2">
        <w:rPr>
          <w:rFonts w:hint="cs"/>
          <w:sz w:val="19"/>
          <w:szCs w:val="19"/>
          <w:rtl/>
        </w:rPr>
        <w:t xml:space="preserve">. כתוצאה מכך לא ניתן היה לנצל </w:t>
      </w:r>
      <w:r>
        <w:rPr>
          <w:rFonts w:hint="cs"/>
          <w:sz w:val="19"/>
          <w:szCs w:val="19"/>
          <w:rtl/>
        </w:rPr>
        <w:t xml:space="preserve">עד אמצע שנת 2023 </w:t>
      </w:r>
      <w:r w:rsidRPr="00351DC2">
        <w:rPr>
          <w:rFonts w:hint="cs"/>
          <w:sz w:val="19"/>
          <w:szCs w:val="19"/>
          <w:rtl/>
        </w:rPr>
        <w:t xml:space="preserve">את התקציב של 56 מיליון ש"ח לשנת 2022 ואת התקציב של 50 מיליון ש"ח לשנת 2023, כפי שנקבע בהחלטת הממשלה. </w:t>
      </w:r>
      <w:r>
        <w:rPr>
          <w:rFonts w:hint="cs"/>
          <w:sz w:val="19"/>
          <w:szCs w:val="19"/>
          <w:rtl/>
        </w:rPr>
        <w:t xml:space="preserve">עקב </w:t>
      </w:r>
      <w:r w:rsidRPr="00351DC2">
        <w:rPr>
          <w:sz w:val="19"/>
          <w:szCs w:val="19"/>
          <w:rtl/>
        </w:rPr>
        <w:t>התמשכות ההליכים המטרה שלשמה ניתן הסיוע הוחטאה, ובפועל מיולי 2023 ועד ספטמבר 2024 זכאי אחד בלבד מימש את זכותו לסיוע וקיבל מענק בסך 158,000 ש"ח, מתוך 50 מיליון ש"ח שנקבעו בהחלטת הממשלה ל</w:t>
      </w:r>
      <w:r>
        <w:rPr>
          <w:rFonts w:hint="cs"/>
          <w:sz w:val="19"/>
          <w:szCs w:val="19"/>
          <w:rtl/>
        </w:rPr>
        <w:t xml:space="preserve">אותה </w:t>
      </w:r>
      <w:r w:rsidRPr="00351DC2">
        <w:rPr>
          <w:sz w:val="19"/>
          <w:szCs w:val="19"/>
          <w:rtl/>
        </w:rPr>
        <w:t>שנה</w:t>
      </w:r>
      <w:r w:rsidRPr="00351DC2">
        <w:rPr>
          <w:rFonts w:hint="cs"/>
          <w:sz w:val="19"/>
          <w:szCs w:val="19"/>
          <w:rtl/>
        </w:rPr>
        <w:t>.</w:t>
      </w:r>
    </w:p>
    <w:p w:rsidR="00542832" w:rsidRDefault="00542832" w:rsidP="00542832">
      <w:pPr>
        <w:pStyle w:val="73"/>
        <w:numPr>
          <w:ilvl w:val="0"/>
          <w:numId w:val="25"/>
        </w:numPr>
        <w:rPr>
          <w:sz w:val="19"/>
          <w:szCs w:val="19"/>
        </w:rPr>
      </w:pPr>
      <w:r w:rsidRPr="002A3EE3">
        <w:rPr>
          <w:rFonts w:hint="cs"/>
          <w:b/>
          <w:bCs/>
          <w:sz w:val="19"/>
          <w:szCs w:val="19"/>
          <w:rtl/>
        </w:rPr>
        <w:t>הליך הפסקת פעילותו של</w:t>
      </w:r>
      <w:r w:rsidRPr="002A3EE3">
        <w:rPr>
          <w:b/>
          <w:bCs/>
          <w:sz w:val="19"/>
          <w:szCs w:val="19"/>
          <w:rtl/>
        </w:rPr>
        <w:t xml:space="preserve"> חדר מצב ייעודי</w:t>
      </w:r>
      <w:r w:rsidRPr="002A3EE3">
        <w:rPr>
          <w:rFonts w:hint="cs"/>
          <w:b/>
          <w:bCs/>
          <w:sz w:val="19"/>
          <w:szCs w:val="19"/>
          <w:rtl/>
        </w:rPr>
        <w:t xml:space="preserve"> לחברה הערבית</w:t>
      </w:r>
      <w:r w:rsidRPr="002A3EE3">
        <w:rPr>
          <w:rFonts w:hint="cs"/>
          <w:sz w:val="19"/>
          <w:szCs w:val="19"/>
          <w:rtl/>
        </w:rPr>
        <w:t xml:space="preserve"> - כעשרה ימים לאחר פרוץ מלחמת חרבות ברזל הקים </w:t>
      </w:r>
      <w:r w:rsidRPr="002A3EE3">
        <w:rPr>
          <w:sz w:val="19"/>
          <w:szCs w:val="19"/>
          <w:rtl/>
        </w:rPr>
        <w:t>המשרד לשוויון חברתי</w:t>
      </w:r>
      <w:r w:rsidRPr="002A3EE3">
        <w:rPr>
          <w:rFonts w:hint="cs"/>
          <w:sz w:val="19"/>
          <w:szCs w:val="19"/>
          <w:rtl/>
        </w:rPr>
        <w:t xml:space="preserve">, באמצעות הרשות לפיתוח כלכלי של מגזר המיעוטים, חדר מצב </w:t>
      </w:r>
      <w:r w:rsidRPr="002A3EE3">
        <w:rPr>
          <w:sz w:val="19"/>
          <w:szCs w:val="19"/>
          <w:rtl/>
        </w:rPr>
        <w:t xml:space="preserve">במטרה לסייע </w:t>
      </w:r>
      <w:r w:rsidRPr="002A3EE3">
        <w:rPr>
          <w:rFonts w:hint="cs"/>
          <w:sz w:val="19"/>
          <w:szCs w:val="19"/>
          <w:rtl/>
        </w:rPr>
        <w:t xml:space="preserve">לחברה הערבית ולתת מענה </w:t>
      </w:r>
      <w:r w:rsidRPr="002A3EE3">
        <w:rPr>
          <w:sz w:val="19"/>
          <w:szCs w:val="19"/>
          <w:rtl/>
        </w:rPr>
        <w:t>לצרכים החברתיים והקהילתיים המ</w:t>
      </w:r>
      <w:r w:rsidRPr="002A3EE3">
        <w:rPr>
          <w:rFonts w:hint="cs"/>
          <w:sz w:val="19"/>
          <w:szCs w:val="19"/>
          <w:rtl/>
        </w:rPr>
        <w:t>י</w:t>
      </w:r>
      <w:r w:rsidRPr="002A3EE3">
        <w:rPr>
          <w:sz w:val="19"/>
          <w:szCs w:val="19"/>
          <w:rtl/>
        </w:rPr>
        <w:t xml:space="preserve">ידיים שהתעוררו בעקבות פרוץ </w:t>
      </w:r>
      <w:r w:rsidRPr="002A3EE3">
        <w:rPr>
          <w:rFonts w:hint="cs"/>
          <w:sz w:val="19"/>
          <w:szCs w:val="19"/>
          <w:rtl/>
        </w:rPr>
        <w:t>ה</w:t>
      </w:r>
      <w:r w:rsidRPr="002A3EE3">
        <w:rPr>
          <w:sz w:val="19"/>
          <w:szCs w:val="19"/>
          <w:rtl/>
        </w:rPr>
        <w:t>מלחמ</w:t>
      </w:r>
      <w:r w:rsidRPr="002A3EE3">
        <w:rPr>
          <w:rFonts w:hint="cs"/>
          <w:sz w:val="19"/>
          <w:szCs w:val="19"/>
          <w:rtl/>
        </w:rPr>
        <w:t>ה. במאי 2024 החליטה השרה לשוויון חברתי שלא להאריך את ההתקשרות להפעלת חדר המצב. הביקורת העלתה כי במצב החירום שנוצר עם פרוץ מלחמת חרבות ברזל,</w:t>
      </w:r>
      <w:r w:rsidRPr="002A3EE3">
        <w:rPr>
          <w:sz w:val="19"/>
          <w:szCs w:val="19"/>
          <w:rtl/>
        </w:rPr>
        <w:t xml:space="preserve"> לא נמצא גורם שיבצע את המשימות </w:t>
      </w:r>
      <w:r w:rsidRPr="002A3EE3">
        <w:rPr>
          <w:rFonts w:hint="eastAsia"/>
          <w:sz w:val="19"/>
          <w:szCs w:val="19"/>
          <w:rtl/>
        </w:rPr>
        <w:t>שביצע</w:t>
      </w:r>
      <w:r w:rsidRPr="002A3EE3">
        <w:rPr>
          <w:sz w:val="19"/>
          <w:szCs w:val="19"/>
          <w:rtl/>
        </w:rPr>
        <w:t xml:space="preserve"> </w:t>
      </w:r>
      <w:r w:rsidRPr="002A3EE3">
        <w:rPr>
          <w:rFonts w:hint="eastAsia"/>
          <w:sz w:val="19"/>
          <w:szCs w:val="19"/>
          <w:rtl/>
        </w:rPr>
        <w:t>חדר</w:t>
      </w:r>
      <w:r w:rsidRPr="002A3EE3">
        <w:rPr>
          <w:sz w:val="19"/>
          <w:szCs w:val="19"/>
          <w:rtl/>
        </w:rPr>
        <w:t xml:space="preserve"> </w:t>
      </w:r>
      <w:r w:rsidRPr="002A3EE3">
        <w:rPr>
          <w:rFonts w:hint="eastAsia"/>
          <w:sz w:val="19"/>
          <w:szCs w:val="19"/>
          <w:rtl/>
        </w:rPr>
        <w:t>המצב</w:t>
      </w:r>
      <w:r w:rsidRPr="002A3EE3">
        <w:rPr>
          <w:sz w:val="19"/>
          <w:szCs w:val="19"/>
          <w:rtl/>
        </w:rPr>
        <w:t xml:space="preserve"> לחברה הערבית וייתן לה מענה ראוי </w:t>
      </w:r>
      <w:r w:rsidRPr="002A3EE3">
        <w:rPr>
          <w:rFonts w:hint="eastAsia"/>
          <w:sz w:val="19"/>
          <w:szCs w:val="19"/>
          <w:rtl/>
        </w:rPr>
        <w:t>באופן</w:t>
      </w:r>
      <w:r w:rsidRPr="002A3EE3">
        <w:rPr>
          <w:sz w:val="19"/>
          <w:szCs w:val="19"/>
          <w:rtl/>
        </w:rPr>
        <w:t xml:space="preserve"> </w:t>
      </w:r>
      <w:r w:rsidRPr="002A3EE3">
        <w:rPr>
          <w:rFonts w:hint="eastAsia"/>
          <w:sz w:val="19"/>
          <w:szCs w:val="19"/>
          <w:rtl/>
        </w:rPr>
        <w:t>מיידי</w:t>
      </w:r>
      <w:r w:rsidRPr="002A3EE3">
        <w:rPr>
          <w:sz w:val="19"/>
          <w:szCs w:val="19"/>
          <w:rtl/>
        </w:rPr>
        <w:t>.</w:t>
      </w:r>
      <w:r w:rsidRPr="00305E49">
        <w:rPr>
          <w:sz w:val="19"/>
          <w:szCs w:val="19"/>
          <w:rtl/>
        </w:rPr>
        <w:t xml:space="preserve"> </w:t>
      </w:r>
      <w:r w:rsidRPr="00305E49">
        <w:rPr>
          <w:rFonts w:hint="cs"/>
          <w:sz w:val="19"/>
          <w:szCs w:val="19"/>
          <w:rtl/>
        </w:rPr>
        <w:t xml:space="preserve">ואולם, מאחר שמטרת הקמת חדר המצב הייתה לשמש "מרכז מידע, דיווח, הנחייה וסיוע לחברה הערבית בהתאמה מלאה לתנאים המשתנים ולהוראות פקע"ר ויתר הרשויות המוסמכות בעת חירום" - עם </w:t>
      </w:r>
      <w:r w:rsidRPr="00305E49">
        <w:rPr>
          <w:rFonts w:hint="cs"/>
          <w:sz w:val="19"/>
          <w:szCs w:val="19"/>
          <w:rtl/>
        </w:rPr>
        <w:lastRenderedPageBreak/>
        <w:t xml:space="preserve">התמשכות המלחמה והיווצרות של שגרת מלחמה ושל מענים נוספים בנושא, לא היה הכרח בהמשך פעילותו של חדר המצב. עם זאת, ראוי היה כי קודם קבלת ההחלטה על סגירת חדר המצב תפנה </w:t>
      </w:r>
      <w:r w:rsidRPr="00305E49">
        <w:rPr>
          <w:sz w:val="19"/>
          <w:szCs w:val="19"/>
          <w:rtl/>
        </w:rPr>
        <w:t xml:space="preserve">הנהלת המשרד </w:t>
      </w:r>
      <w:r w:rsidRPr="00305E49">
        <w:rPr>
          <w:rFonts w:hint="cs"/>
          <w:sz w:val="19"/>
          <w:szCs w:val="19"/>
          <w:rtl/>
        </w:rPr>
        <w:t xml:space="preserve">לשוויון חברתי </w:t>
      </w:r>
      <w:r w:rsidRPr="00305E49">
        <w:rPr>
          <w:sz w:val="19"/>
          <w:szCs w:val="19"/>
          <w:rtl/>
        </w:rPr>
        <w:t xml:space="preserve">לגופים השונים שלדעתה נותנים את המענה </w:t>
      </w:r>
      <w:r w:rsidRPr="00305E49">
        <w:rPr>
          <w:rFonts w:hint="cs"/>
          <w:sz w:val="19"/>
          <w:szCs w:val="19"/>
          <w:rtl/>
        </w:rPr>
        <w:t>הנדרש לחברה הערבית בשעת חירום ותבקש לדעת מה עמדתם בנושא.</w:t>
      </w:r>
    </w:p>
    <w:p w:rsidR="001D3DA9" w:rsidRPr="000B463F" w:rsidRDefault="009961E8" w:rsidP="001D3DA9">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542832" w:rsidRPr="00542832" w:rsidRDefault="00542832" w:rsidP="00542832">
      <w:pPr>
        <w:pStyle w:val="73"/>
        <w:rPr>
          <w:rFonts w:eastAsia="Calibri"/>
          <w:sz w:val="19"/>
          <w:szCs w:val="19"/>
          <w:rtl/>
        </w:rPr>
      </w:pPr>
      <w:r w:rsidRPr="00542832">
        <w:rPr>
          <w:rFonts w:eastAsia="Calibri"/>
          <w:b/>
          <w:bCs/>
          <w:sz w:val="19"/>
          <w:szCs w:val="19"/>
          <w:rtl/>
        </w:rPr>
        <w:t>מחסות ציבוריים (המוניים)</w:t>
      </w:r>
      <w:r w:rsidRPr="00542832">
        <w:rPr>
          <w:rFonts w:eastAsia="Calibri" w:hint="cs"/>
          <w:sz w:val="19"/>
          <w:szCs w:val="19"/>
          <w:rtl/>
        </w:rPr>
        <w:t xml:space="preserve"> - </w:t>
      </w:r>
      <w:r w:rsidRPr="00542832">
        <w:rPr>
          <w:rFonts w:eastAsia="Calibri"/>
          <w:sz w:val="19"/>
          <w:szCs w:val="19"/>
          <w:rtl/>
        </w:rPr>
        <w:t xml:space="preserve">יצוין לחיוב שהרשויות </w:t>
      </w:r>
      <w:r w:rsidRPr="00542832">
        <w:rPr>
          <w:sz w:val="19"/>
          <w:szCs w:val="19"/>
          <w:rtl/>
        </w:rPr>
        <w:t>המקומיות</w:t>
      </w:r>
      <w:r w:rsidRPr="00542832">
        <w:rPr>
          <w:rFonts w:eastAsia="Calibri"/>
          <w:sz w:val="19"/>
          <w:szCs w:val="19"/>
          <w:rtl/>
        </w:rPr>
        <w:t xml:space="preserve"> </w:t>
      </w:r>
      <w:r w:rsidRPr="00542832">
        <w:rPr>
          <w:rFonts w:eastAsia="Calibri"/>
          <w:b/>
          <w:bCs/>
          <w:sz w:val="19"/>
          <w:szCs w:val="19"/>
          <w:rtl/>
        </w:rPr>
        <w:t>גבעתיים וחולון</w:t>
      </w:r>
      <w:r w:rsidRPr="00542832">
        <w:rPr>
          <w:rFonts w:eastAsia="Calibri"/>
          <w:sz w:val="19"/>
          <w:szCs w:val="19"/>
          <w:rtl/>
        </w:rPr>
        <w:t xml:space="preserve"> הכשירו מחסות המוניים והכינו עבורם "תיק מחסה המוני"</w:t>
      </w:r>
      <w:r w:rsidRPr="00542832">
        <w:rPr>
          <w:rFonts w:eastAsia="Calibri" w:hint="cs"/>
          <w:sz w:val="19"/>
          <w:szCs w:val="19"/>
          <w:rtl/>
        </w:rPr>
        <w:t>.</w:t>
      </w:r>
    </w:p>
    <w:p w:rsidR="00542832" w:rsidRPr="00542832" w:rsidRDefault="00542832" w:rsidP="00542832">
      <w:pPr>
        <w:pStyle w:val="73"/>
        <w:rPr>
          <w:rFonts w:eastAsia="Calibri"/>
          <w:sz w:val="19"/>
          <w:szCs w:val="19"/>
          <w:rtl/>
        </w:rPr>
      </w:pPr>
      <w:r w:rsidRPr="00542832">
        <w:rPr>
          <w:rFonts w:eastAsia="Calibri" w:hint="cs"/>
          <w:b/>
          <w:bCs/>
          <w:sz w:val="19"/>
          <w:szCs w:val="19"/>
          <w:rtl/>
        </w:rPr>
        <w:t xml:space="preserve">עריכת </w:t>
      </w:r>
      <w:r w:rsidRPr="00542832">
        <w:rPr>
          <w:rFonts w:eastAsia="Calibri"/>
          <w:b/>
          <w:bCs/>
          <w:sz w:val="19"/>
          <w:szCs w:val="19"/>
          <w:rtl/>
        </w:rPr>
        <w:t xml:space="preserve">ביקורות במקלטים הציבוריים </w:t>
      </w:r>
      <w:r w:rsidRPr="00542832">
        <w:rPr>
          <w:rFonts w:eastAsia="Calibri" w:hint="cs"/>
          <w:b/>
          <w:bCs/>
          <w:sz w:val="19"/>
          <w:szCs w:val="19"/>
          <w:rtl/>
        </w:rPr>
        <w:t xml:space="preserve">על ידי </w:t>
      </w:r>
      <w:r w:rsidRPr="00542832">
        <w:rPr>
          <w:rFonts w:eastAsia="Calibri"/>
          <w:b/>
          <w:bCs/>
          <w:sz w:val="19"/>
          <w:szCs w:val="19"/>
          <w:rtl/>
        </w:rPr>
        <w:t>הרשויות המקומיות</w:t>
      </w:r>
      <w:r w:rsidRPr="00542832">
        <w:rPr>
          <w:rFonts w:eastAsia="Calibri"/>
          <w:sz w:val="19"/>
          <w:szCs w:val="19"/>
          <w:rtl/>
        </w:rPr>
        <w:t xml:space="preserve"> </w:t>
      </w:r>
      <w:r w:rsidRPr="00542832">
        <w:rPr>
          <w:rFonts w:eastAsia="Calibri" w:hint="cs"/>
          <w:sz w:val="19"/>
          <w:szCs w:val="19"/>
          <w:rtl/>
        </w:rPr>
        <w:t xml:space="preserve">- </w:t>
      </w:r>
      <w:r w:rsidRPr="00542832">
        <w:rPr>
          <w:rFonts w:eastAsia="Calibri"/>
          <w:sz w:val="19"/>
          <w:szCs w:val="19"/>
          <w:rtl/>
        </w:rPr>
        <w:t xml:space="preserve">עיריית </w:t>
      </w:r>
      <w:r w:rsidRPr="00542832">
        <w:rPr>
          <w:rFonts w:eastAsia="Calibri"/>
          <w:b/>
          <w:bCs/>
          <w:sz w:val="19"/>
          <w:szCs w:val="19"/>
          <w:rtl/>
        </w:rPr>
        <w:t>גבעתיים</w:t>
      </w:r>
      <w:r w:rsidRPr="00542832">
        <w:rPr>
          <w:rFonts w:eastAsia="Calibri"/>
          <w:sz w:val="19"/>
          <w:szCs w:val="19"/>
          <w:rtl/>
        </w:rPr>
        <w:t xml:space="preserve"> עורכת ביקורת על תחזוקת המקלטים הציבוריים שבתחו</w:t>
      </w:r>
      <w:r w:rsidRPr="00542832">
        <w:rPr>
          <w:rFonts w:eastAsia="Calibri" w:hint="cs"/>
          <w:sz w:val="19"/>
          <w:szCs w:val="19"/>
          <w:rtl/>
        </w:rPr>
        <w:t>ם שיפוטה בכל</w:t>
      </w:r>
      <w:r w:rsidRPr="00542832">
        <w:rPr>
          <w:rFonts w:eastAsia="Calibri"/>
          <w:sz w:val="19"/>
          <w:szCs w:val="19"/>
          <w:rtl/>
        </w:rPr>
        <w:t xml:space="preserve"> רבעון.</w:t>
      </w:r>
    </w:p>
    <w:p w:rsidR="00542832" w:rsidRPr="00542832" w:rsidRDefault="00542832" w:rsidP="00542832">
      <w:pPr>
        <w:pStyle w:val="73"/>
        <w:rPr>
          <w:rFonts w:eastAsia="Calibri"/>
          <w:szCs w:val="24"/>
          <w:rtl/>
        </w:rPr>
      </w:pPr>
      <w:r w:rsidRPr="00542832">
        <w:rPr>
          <w:rFonts w:eastAsia="Calibri"/>
          <w:b/>
          <w:bCs/>
          <w:sz w:val="19"/>
          <w:szCs w:val="19"/>
          <w:rtl/>
        </w:rPr>
        <w:t xml:space="preserve">הקצאת </w:t>
      </w:r>
      <w:r w:rsidRPr="00542832">
        <w:rPr>
          <w:rFonts w:eastAsia="Calibri" w:hint="cs"/>
          <w:b/>
          <w:bCs/>
          <w:sz w:val="19"/>
          <w:szCs w:val="19"/>
          <w:rtl/>
        </w:rPr>
        <w:t>מענקי מיגון לתושבי יישובי קו העימות בצפון</w:t>
      </w:r>
      <w:r w:rsidRPr="00542832">
        <w:rPr>
          <w:rFonts w:eastAsia="Calibri"/>
          <w:b/>
          <w:bCs/>
          <w:sz w:val="19"/>
          <w:szCs w:val="19"/>
          <w:rtl/>
        </w:rPr>
        <w:t xml:space="preserve"> </w:t>
      </w:r>
      <w:r w:rsidRPr="00542832">
        <w:rPr>
          <w:rFonts w:eastAsia="Calibri" w:hint="cs"/>
          <w:b/>
          <w:bCs/>
          <w:sz w:val="19"/>
          <w:szCs w:val="19"/>
          <w:rtl/>
        </w:rPr>
        <w:t xml:space="preserve">על ידי </w:t>
      </w:r>
      <w:r w:rsidRPr="00542832">
        <w:rPr>
          <w:rFonts w:eastAsia="Calibri"/>
          <w:b/>
          <w:bCs/>
          <w:sz w:val="19"/>
          <w:szCs w:val="19"/>
          <w:rtl/>
        </w:rPr>
        <w:t>משרד הבינוי והשיכון</w:t>
      </w:r>
      <w:r w:rsidRPr="00542832">
        <w:rPr>
          <w:rFonts w:eastAsia="Calibri"/>
          <w:sz w:val="19"/>
          <w:szCs w:val="19"/>
          <w:rtl/>
        </w:rPr>
        <w:t xml:space="preserve"> </w:t>
      </w:r>
      <w:r w:rsidRPr="00542832">
        <w:rPr>
          <w:rFonts w:eastAsia="Calibri" w:hint="cs"/>
          <w:sz w:val="19"/>
          <w:szCs w:val="19"/>
          <w:rtl/>
        </w:rPr>
        <w:t xml:space="preserve">- </w:t>
      </w:r>
      <w:r w:rsidRPr="00542832">
        <w:rPr>
          <w:rFonts w:eastAsia="Calibri"/>
          <w:sz w:val="19"/>
          <w:szCs w:val="19"/>
          <w:rtl/>
        </w:rPr>
        <w:t xml:space="preserve">היקף מענקי המיגון של משרד השיכון לתושבי קו העימות בצפון עלה מ-8.2 ל-11.1 מיליון ש"ח </w:t>
      </w:r>
      <w:r w:rsidRPr="00542832">
        <w:rPr>
          <w:rFonts w:eastAsia="Calibri" w:hint="cs"/>
          <w:sz w:val="19"/>
          <w:szCs w:val="19"/>
          <w:rtl/>
        </w:rPr>
        <w:t xml:space="preserve">(עלייה של </w:t>
      </w:r>
      <w:r w:rsidRPr="00542832">
        <w:rPr>
          <w:rFonts w:eastAsia="Calibri"/>
          <w:sz w:val="19"/>
          <w:szCs w:val="19"/>
          <w:rtl/>
        </w:rPr>
        <w:t>35%) בשנים 2021 - 2022 ול-11.4 בשנת 2023</w:t>
      </w:r>
      <w:r w:rsidRPr="00542832">
        <w:rPr>
          <w:rFonts w:eastAsia="Calibri" w:hint="cs"/>
          <w:sz w:val="19"/>
          <w:szCs w:val="19"/>
          <w:rtl/>
        </w:rPr>
        <w:t>,</w:t>
      </w:r>
      <w:r w:rsidRPr="00542832">
        <w:rPr>
          <w:rFonts w:eastAsia="Calibri"/>
          <w:sz w:val="19"/>
          <w:szCs w:val="19"/>
          <w:rtl/>
        </w:rPr>
        <w:t xml:space="preserve"> </w:t>
      </w:r>
      <w:r w:rsidRPr="00542832">
        <w:rPr>
          <w:rFonts w:eastAsia="Calibri" w:hint="cs"/>
          <w:sz w:val="19"/>
          <w:szCs w:val="19"/>
          <w:rtl/>
        </w:rPr>
        <w:t>ו</w:t>
      </w:r>
      <w:r w:rsidRPr="00542832">
        <w:rPr>
          <w:rFonts w:eastAsia="Calibri"/>
          <w:sz w:val="19"/>
          <w:szCs w:val="19"/>
          <w:rtl/>
        </w:rPr>
        <w:t>נמצא כי תקציב הסיוע נוצל במלואו.</w:t>
      </w: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9961E8" w:rsidP="00140D50">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732487" w:rsidRPr="00194D62" w:rsidRDefault="00732487" w:rsidP="00732487">
            <w:pPr>
              <w:pStyle w:val="73"/>
              <w:spacing w:after="120" w:line="240" w:lineRule="auto"/>
              <w:ind w:right="318"/>
              <w:rPr>
                <w:sz w:val="8"/>
                <w:szCs w:val="8"/>
              </w:rPr>
            </w:pPr>
          </w:p>
          <w:p w:rsidR="00542832" w:rsidRPr="00542832" w:rsidRDefault="00542832" w:rsidP="00194D62">
            <w:pPr>
              <w:pStyle w:val="73"/>
              <w:numPr>
                <w:ilvl w:val="0"/>
                <w:numId w:val="19"/>
              </w:numPr>
              <w:spacing w:before="120"/>
              <w:ind w:left="607" w:right="318" w:hanging="454"/>
              <w:rPr>
                <w:sz w:val="19"/>
                <w:szCs w:val="19"/>
                <w:rtl/>
              </w:rPr>
            </w:pPr>
            <w:r w:rsidRPr="00542832">
              <w:rPr>
                <w:sz w:val="19"/>
                <w:szCs w:val="19"/>
                <w:rtl/>
              </w:rPr>
              <w:t>מומלץ כי לאחר גיבוש תפיסת המיגון המעודכנת והפצת ההנחיות המעודכנות לרשויות המקומיות, ישוב פקע"ר לבדוק ולאשר את תוכניות המיגון הרשותיות (תמי"ר), וזאת על מנת להבטיח כי הרשויות המקומיות נערכות למיגון אוכלוסייתן בהתאם להנחיות. על המועצה המקומית ביענה והמועצה האזורית הגלבוע להכין תוכנית מיגון רשותית כנדרש בתיק האב לרשויות המקומיות ובתיק האב למועצות האזוריות; על עיריית אשקלון למפות את אוכלוסייתה ולתת מענה לפערי המיגון שבתחומה.</w:t>
            </w:r>
          </w:p>
          <w:p w:rsidR="00542832" w:rsidRPr="00542832" w:rsidRDefault="00542832" w:rsidP="00732487">
            <w:pPr>
              <w:pStyle w:val="73"/>
              <w:numPr>
                <w:ilvl w:val="0"/>
                <w:numId w:val="19"/>
              </w:numPr>
              <w:ind w:left="606" w:right="318" w:hanging="455"/>
              <w:rPr>
                <w:sz w:val="19"/>
                <w:szCs w:val="19"/>
                <w:rtl/>
              </w:rPr>
            </w:pPr>
            <w:r w:rsidRPr="00542832">
              <w:rPr>
                <w:sz w:val="19"/>
                <w:szCs w:val="19"/>
                <w:rtl/>
              </w:rPr>
              <w:t>נוכח היעדר אמצעי מיגון בפזורה הבדואית בנגב והחשיפה של אוכלוסייה זו לפגיעה מטילים, מומלץ כי הרשות להתיישבות הבדואים, בשיתוף פקע"ר, תגבש תוכנית מקיפה למיגון הפזורה הבדואית הכוללת מיפוי עדכני של היישובים הלא-מוכרים ופתרונות מיגון מתאימים. תוכנית זו תסייע למקבלי ההחלטות בנוגע לתקצוב אמצעי מיגון שונים בהתאם לשיקולים מבצעיים ולצרכים ביטחוניים. לצד זאת, יש להמשיך לפעול לקידום מעבר התושבים ליישובים המוסדרים, שבהם ניתן לבנות מרחבים מוגנים.</w:t>
            </w:r>
          </w:p>
          <w:p w:rsidR="00194D62" w:rsidRPr="00194D62" w:rsidRDefault="00194D62" w:rsidP="00194D62">
            <w:pPr>
              <w:pStyle w:val="73"/>
              <w:spacing w:line="240" w:lineRule="auto"/>
              <w:ind w:left="606" w:right="318"/>
              <w:rPr>
                <w:rFonts w:hint="cs"/>
                <w:sz w:val="9"/>
                <w:szCs w:val="9"/>
              </w:rPr>
            </w:pPr>
          </w:p>
          <w:p w:rsidR="00542832" w:rsidRPr="00542832" w:rsidRDefault="00542832" w:rsidP="00732487">
            <w:pPr>
              <w:pStyle w:val="73"/>
              <w:numPr>
                <w:ilvl w:val="0"/>
                <w:numId w:val="19"/>
              </w:numPr>
              <w:ind w:left="606" w:right="318" w:hanging="455"/>
              <w:rPr>
                <w:sz w:val="19"/>
                <w:szCs w:val="19"/>
                <w:rtl/>
              </w:rPr>
            </w:pPr>
            <w:r w:rsidRPr="00542832">
              <w:rPr>
                <w:sz w:val="19"/>
                <w:szCs w:val="19"/>
                <w:rtl/>
              </w:rPr>
              <w:t xml:space="preserve">כדי להבטיח את תקינותם של המקלטים בבתים משותפים ואת כשירותם לשימוש בעת חירום, על עיריות אשקלון, גבעתיים וחולון להגביר, בעת שגרה ובשעת חירום, את הביקורות היזומות ואת האכיפה בכל הנוגע לתחזוקת המקלטים המשותפים. נוכח מספר הביקורות המועט שעשו הרשויות המקומיות בנוגע לתחזוקת המקלטים המשותפים מומלץ לפקע"ר להגביר את פעילותו מול הרשויות המקומיות כדי שייערכו ביקורות עיתיות במקלטים בבתים המשותפים באופן שוטף בהתאם לתוכנית עבודה. בנוסף, מומלץ שפקע"ר יבצע בקרה ופיקוח אחר פעולות הרשויות המקומיות בנוגע ליישום הנחיותיו בתחום זה. </w:t>
            </w:r>
          </w:p>
          <w:p w:rsidR="00542832" w:rsidRPr="00542832" w:rsidRDefault="00542832" w:rsidP="00732487">
            <w:pPr>
              <w:pStyle w:val="73"/>
              <w:numPr>
                <w:ilvl w:val="0"/>
                <w:numId w:val="19"/>
              </w:numPr>
              <w:ind w:left="606" w:right="318" w:hanging="455"/>
              <w:rPr>
                <w:sz w:val="19"/>
                <w:szCs w:val="19"/>
                <w:rtl/>
              </w:rPr>
            </w:pPr>
            <w:r w:rsidRPr="00542832">
              <w:rPr>
                <w:sz w:val="19"/>
                <w:szCs w:val="19"/>
                <w:rtl/>
              </w:rPr>
              <w:t>לנוכח מצב הכשירות הנמוך של המקלטים הציבוריים בישראל (כחמישית מהם מוגדרים כבעלי כשירות נמוכה או כלא כשירים) והצורך להבטיח את כשירותם ונגישותם בשעת חירום, מומלץ שפקע"ר יפעל לחיזוק הפיקוח והבקרה על הרשויות המקומיות בהיבט של תחזוקת המקלטים הציבוריים, תוך קביעת מנגנוני אכיפה ברורים להבטחת כשירות המקלטים.</w:t>
            </w:r>
          </w:p>
          <w:p w:rsidR="00542832" w:rsidRPr="00542832" w:rsidRDefault="00542832" w:rsidP="00732487">
            <w:pPr>
              <w:pStyle w:val="73"/>
              <w:numPr>
                <w:ilvl w:val="0"/>
                <w:numId w:val="19"/>
              </w:numPr>
              <w:ind w:left="606" w:right="318" w:hanging="455"/>
              <w:rPr>
                <w:sz w:val="19"/>
                <w:szCs w:val="19"/>
                <w:rtl/>
              </w:rPr>
            </w:pPr>
            <w:r w:rsidRPr="00542832">
              <w:rPr>
                <w:sz w:val="19"/>
                <w:szCs w:val="19"/>
                <w:rtl/>
              </w:rPr>
              <w:t>על עיריות אשקלון והמועצה האזורית הגלבוע לערוך ביקורות תקופתיות על מצב תחזוקת המקלטים הציבוריים שבתחומן ולתעד את תוצאות הביקורות; על עיריות אשקלון וגבעתיים והמועצה האזורית הגלבוע לתקן את הליקויים במקלטים ובמרחבים המוגנים במוסדות החינוך בתחומן. על פקע"ר לפעול כדי לוודא שייערכו ביקורות כשירות של המקלטים במוסדות החינוך ברשויות המקומיות באופן שוטף.</w:t>
            </w:r>
          </w:p>
          <w:p w:rsidR="00542832" w:rsidRPr="00542832" w:rsidRDefault="00542832" w:rsidP="00732487">
            <w:pPr>
              <w:pStyle w:val="73"/>
              <w:numPr>
                <w:ilvl w:val="0"/>
                <w:numId w:val="19"/>
              </w:numPr>
              <w:ind w:left="606" w:right="318" w:hanging="455"/>
              <w:rPr>
                <w:sz w:val="19"/>
                <w:szCs w:val="19"/>
                <w:rtl/>
              </w:rPr>
            </w:pPr>
            <w:r w:rsidRPr="00542832">
              <w:rPr>
                <w:sz w:val="19"/>
                <w:szCs w:val="19"/>
                <w:rtl/>
              </w:rPr>
              <w:t>החלטת הקבינט המדיני-ביטחוני ב/302 ("מגן הצפון") התקבלה ללא הקצאה של מקורות תקציביים בהתאם לחוק יסודות התקציב, התשמ"ה-1985, ועד פרוץ המלחמה הוקצו 21% בלבד מהסכום שנקבע בהחלטה. על ראש אגף התקציבים במשרד האוצר ומנכ"ל משרד הביטחון להסדיר את המקור התקציבי למימוש המלא של התוכנית לשם השלמת פערי המיגון, בפרט ביישובים סמוכי הגדר.</w:t>
            </w:r>
          </w:p>
          <w:p w:rsidR="001D3DA9" w:rsidRPr="00BE22D7" w:rsidRDefault="00542832" w:rsidP="00732487">
            <w:pPr>
              <w:pStyle w:val="73"/>
              <w:numPr>
                <w:ilvl w:val="0"/>
                <w:numId w:val="19"/>
              </w:numPr>
              <w:ind w:left="606" w:right="318" w:hanging="455"/>
              <w:rPr>
                <w:rtl/>
              </w:rPr>
            </w:pPr>
            <w:r w:rsidRPr="00542832">
              <w:rPr>
                <w:sz w:val="19"/>
                <w:szCs w:val="19"/>
                <w:rtl/>
              </w:rPr>
              <w:t>כדי לקצר את ההליכים השונים לגיבוש תנאים לקבלת הלוואות ומענקים לסיוע בפתרונות מיגון דירתיים במקרים דומים בעתיד, ככל שיידרש, מומלץ כי משרדי השיכון והאוצר יבצעו הפקת לקחים לגבי הליך קבלת המענקים וההלוואות, וכי הנוהל הנדרש לביצוע החלטת הממשלה יפורסם סמוך למועד פרסום החלטת הממשלה.</w:t>
            </w:r>
          </w:p>
        </w:tc>
      </w:tr>
    </w:tbl>
    <w:p w:rsidR="001D3DA9" w:rsidRPr="00DA3406" w:rsidRDefault="001D3DA9" w:rsidP="001D3DA9">
      <w:pPr>
        <w:bidi w:val="0"/>
        <w:spacing w:after="160" w:line="259" w:lineRule="auto"/>
        <w:ind w:left="-1"/>
        <w:jc w:val="left"/>
        <w:rPr>
          <w:sz w:val="2"/>
          <w:szCs w:val="2"/>
          <w:rtl/>
        </w:rPr>
      </w:pPr>
    </w:p>
    <w:p w:rsidR="001D3DA9" w:rsidRDefault="009961E8" w:rsidP="001D3DA9">
      <w:pPr>
        <w:bidi w:val="0"/>
        <w:spacing w:after="200" w:line="276" w:lineRule="auto"/>
        <w:ind w:left="-1"/>
        <w:rPr>
          <w:rtl/>
        </w:rPr>
      </w:pPr>
      <w:r>
        <w:rPr>
          <w:rtl/>
        </w:rPr>
        <w:br w:type="page"/>
      </w:r>
    </w:p>
    <w:p w:rsidR="001D3DA9" w:rsidRPr="00D57BE9" w:rsidRDefault="00542832" w:rsidP="001D3DA9">
      <w:pPr>
        <w:rPr>
          <w:rtl/>
        </w:rPr>
      </w:pPr>
      <w:r w:rsidRPr="00D527BD">
        <w:rPr>
          <w:noProof/>
          <w:szCs w:val="20"/>
          <w:rtl/>
        </w:rPr>
        <w:lastRenderedPageBreak/>
        <mc:AlternateContent>
          <mc:Choice Requires="wps">
            <w:drawing>
              <wp:anchor distT="0" distB="0" distL="114300" distR="114300" simplePos="0" relativeHeight="251660288" behindDoc="0" locked="0" layoutInCell="1" allowOverlap="1">
                <wp:simplePos x="0" y="0"/>
                <wp:positionH relativeFrom="column">
                  <wp:posOffset>701722</wp:posOffset>
                </wp:positionH>
                <wp:positionV relativeFrom="paragraph">
                  <wp:posOffset>103200</wp:posOffset>
                </wp:positionV>
                <wp:extent cx="4957977" cy="434975"/>
                <wp:effectExtent l="0" t="0" r="0" b="3175"/>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7977" cy="434975"/>
                        </a:xfrm>
                        <a:prstGeom prst="rect">
                          <a:avLst/>
                        </a:prstGeom>
                        <a:solidFill>
                          <a:srgbClr val="F05260"/>
                        </a:solidFill>
                        <a:ln w="9525">
                          <a:noFill/>
                          <a:miter lim="800000"/>
                          <a:headEnd/>
                          <a:tailEnd/>
                        </a:ln>
                      </wps:spPr>
                      <wps:txbx>
                        <w:txbxContent>
                          <w:p w:rsidR="001D3DA9" w:rsidRPr="005C7ABF" w:rsidRDefault="00542832" w:rsidP="00A0127F">
                            <w:pPr>
                              <w:pStyle w:val="733"/>
                              <w:ind w:left="-13"/>
                              <w:rPr>
                                <w:rtl/>
                              </w:rPr>
                            </w:pPr>
                            <w:r w:rsidRPr="00542832">
                              <w:rPr>
                                <w:rtl/>
                              </w:rPr>
                              <w:t>תמונת המצב של מיגון תושבי ישראל, לפי אמצעי המיגון, ינואר 2025 (במספרים באחוזים)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25pt;margin-top:8.15pt;width:390.4pt;height: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5yIQIAAAwEAAAOAAAAZHJzL2Uyb0RvYy54bWysU9uO0zAQfUfiHyy/06QhaTdR0xV0KUJa&#10;LtIuH+A4TmNhe4LtNlm+nrHTLQXeEH6wPJ6ZMzPHx5vbSStyEtZJMDVdLlJKhOHQSnOo6dfH/asb&#10;SpxnpmUKjKjpk3D0dvvyxWYcKpFBD6oVliCIcdU41LT3fqiSxPFeaOYWMAiDzg6sZh5Ne0hay0ZE&#10;1yrJ0nSVjGDbwQIXzuHt3eyk24jfdYL7z13nhCeqptibj7uNexP2ZLth1cGyoZf83Ab7hy40kwaL&#10;XqDumGfkaOVfUFpyCw46v+CgE+g6yUWcAadZpn9M89CzQcRZkBw3XGhy/w+Wfzp9sUS2+HZ5sUxX&#10;q1VWUmKYxrd6FJMnb2EiWaBpHFyF0Q8DxvsJrzEljuyGe+DfHDGw65k5iDfWwtgL1mKby5CZXKXO&#10;OC6ANONHaLEMO3qIQFNndeAQWSGIjs/1dHmi0ArHy7ws1uV6TQlHX/46L9dFLMGq5+zBOv9egCbh&#10;UFOLEojo7HTvfOiGVc8hoZgDJdu9VCoa9tDslCUnhnLZp0W2igrBlN/ClCFjTcsiKyKygZAflaSl&#10;RzkrqWt6k4Y1Cyyw8c60McQzqeYzwipzpicwMnPjp2bCwMBZA+0TEmVhli1+Mzz0YH9QMqJka+q+&#10;H5kVlKgPBskul3keNB6NvFhnaNhrT3PtYYYjVE25t5TMxs7HnxFICuVRcpGu8/cImr62Y9SvT7z9&#10;CQAA//8DAFBLAwQUAAYACAAAACEA2I4tXt4AAAAJAQAADwAAAGRycy9kb3ducmV2LnhtbEyPwU7D&#10;MBBE70j8g7VIXBC1Q6ENIU6VIuilB0SLOG9ik0TE6yh228DXs5zgNqMdzb7JV5PrxdGOofOkIZkp&#10;EJZqbzpqNLztn69TECEiGew9WQ1fNsCqOD/LMTP+RK/2uIuN4BIKGWpoYxwyKUPdWodh5gdLfPvw&#10;o8PIdmykGfHE5a6XN0otpMOO+EOLg31sbf25OzgNLyV2m8pfqe38e9k9rdfvm3LrtL68mMoHENFO&#10;8S8Mv/iMDgUzVf5AJoiefaLuOMpiMQfBgfQ+YVGxuE1BFrn8v6D4AQAA//8DAFBLAQItABQABgAI&#10;AAAAIQC2gziS/gAAAOEBAAATAAAAAAAAAAAAAAAAAAAAAABbQ29udGVudF9UeXBlc10ueG1sUEsB&#10;Ai0AFAAGAAgAAAAhADj9If/WAAAAlAEAAAsAAAAAAAAAAAAAAAAALwEAAF9yZWxzLy5yZWxzUEsB&#10;Ai0AFAAGAAgAAAAhAD1f7nIhAgAADAQAAA4AAAAAAAAAAAAAAAAALgIAAGRycy9lMm9Eb2MueG1s&#10;UEsBAi0AFAAGAAgAAAAhANiOLV7eAAAACQEAAA8AAAAAAAAAAAAAAAAAewQAAGRycy9kb3ducmV2&#10;LnhtbFBLBQYAAAAABAAEAPMAAACGBQAAAAA=&#10;" fillcolor="#f05260" stroked="f">
                <v:textbox>
                  <w:txbxContent>
                    <w:p w:rsidR="001D3DA9" w:rsidRPr="005C7ABF" w:rsidRDefault="00542832" w:rsidP="00A0127F">
                      <w:pPr>
                        <w:pStyle w:val="733"/>
                        <w:ind w:left="-13"/>
                        <w:rPr>
                          <w:rtl/>
                        </w:rPr>
                      </w:pPr>
                      <w:r w:rsidRPr="00542832">
                        <w:rPr>
                          <w:rtl/>
                        </w:rPr>
                        <w:t>תמונת המצב של מיגון תושבי ישראל, לפי אמצעי המיגון, ינואר 2025 (במספרים באחוזים)</w:t>
                      </w:r>
                    </w:p>
                  </w:txbxContent>
                </v:textbox>
              </v:shape>
            </w:pict>
          </mc:Fallback>
        </mc:AlternateContent>
      </w:r>
      <w:r w:rsidR="009961E8" w:rsidRPr="00D527BD">
        <w:rPr>
          <w:noProof/>
          <w:szCs w:val="20"/>
          <w:rtl/>
        </w:rPr>
        <w:drawing>
          <wp:anchor distT="0" distB="0" distL="114300" distR="114300" simplePos="0" relativeHeight="251659264" behindDoc="0" locked="0" layoutInCell="1" allowOverlap="1">
            <wp:simplePos x="0" y="0"/>
            <wp:positionH relativeFrom="column">
              <wp:posOffset>564298</wp:posOffset>
            </wp:positionH>
            <wp:positionV relativeFrom="paragraph">
              <wp:posOffset>-2511</wp:posOffset>
            </wp:positionV>
            <wp:extent cx="5322949" cy="761365"/>
            <wp:effectExtent l="0" t="0" r="0" b="635"/>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32966" cy="762798"/>
                    </a:xfrm>
                    <a:prstGeom prst="rect">
                      <a:avLst/>
                    </a:prstGeom>
                  </pic:spPr>
                </pic:pic>
              </a:graphicData>
            </a:graphic>
            <wp14:sizeRelH relativeFrom="margin">
              <wp14:pctWidth>0</wp14:pctWidth>
            </wp14:sizeRelH>
            <wp14:sizeRelV relativeFrom="margin">
              <wp14:pctHeight>0</wp14:pctHeight>
            </wp14:sizeRelV>
          </wp:anchor>
        </w:drawing>
      </w:r>
    </w:p>
    <w:p w:rsidR="001D3DA9" w:rsidRPr="00D57BE9" w:rsidRDefault="00542832" w:rsidP="00623AB0">
      <w:pPr>
        <w:spacing w:before="840"/>
        <w:jc w:val="center"/>
        <w:rPr>
          <w:rtl/>
        </w:rPr>
      </w:pPr>
      <w:r>
        <w:rPr>
          <w:noProof/>
        </w:rPr>
        <w:drawing>
          <wp:inline distT="0" distB="0" distL="0" distR="0" wp14:anchorId="107D7E6F">
            <wp:extent cx="5657161" cy="4071068"/>
            <wp:effectExtent l="0" t="0" r="1270" b="5715"/>
            <wp:docPr id="3" name="תמונה 3" descr="ל- 3,187,721 תושבים אין מיגון תק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9266" cy="4079779"/>
                    </a:xfrm>
                    <a:prstGeom prst="rect">
                      <a:avLst/>
                    </a:prstGeom>
                    <a:noFill/>
                  </pic:spPr>
                </pic:pic>
              </a:graphicData>
            </a:graphic>
          </wp:inline>
        </w:drawing>
      </w:r>
    </w:p>
    <w:p w:rsidR="001D3DA9" w:rsidRDefault="00542832" w:rsidP="001D3DA9">
      <w:pPr>
        <w:pStyle w:val="731"/>
        <w:rPr>
          <w:rtl/>
        </w:rPr>
      </w:pPr>
      <w:r w:rsidRPr="00542832">
        <w:rPr>
          <w:rtl/>
        </w:rPr>
        <w:t>על פי נתוני פקע"ר, בעיבוד משרד מבקר המדינה.</w:t>
      </w:r>
    </w:p>
    <w:p w:rsidR="001D3DA9" w:rsidRDefault="001D3DA9" w:rsidP="001D3DA9">
      <w:pPr>
        <w:ind w:left="-1"/>
        <w:jc w:val="left"/>
        <w:rPr>
          <w:rtl/>
        </w:rPr>
      </w:pPr>
    </w:p>
    <w:p w:rsidR="001D3DA9" w:rsidRDefault="009961E8" w:rsidP="001D3DA9">
      <w:pPr>
        <w:bidi w:val="0"/>
        <w:spacing w:after="200" w:line="276" w:lineRule="auto"/>
        <w:rPr>
          <w:rtl/>
        </w:rPr>
      </w:pPr>
      <w:r>
        <w:rPr>
          <w:rtl/>
        </w:rPr>
        <w:br w:type="page"/>
      </w:r>
    </w:p>
    <w:p w:rsidR="001D3DA9" w:rsidRPr="006B7706" w:rsidRDefault="009961E8" w:rsidP="00194D62">
      <w:pPr>
        <w:spacing w:after="160" w:line="288" w:lineRule="auto"/>
        <w:ind w:left="-15"/>
        <w:rPr>
          <w:rFonts w:ascii="Tahoma" w:hAnsi="Tahoma" w:cs="Tahoma"/>
          <w:rtl/>
        </w:rPr>
      </w:pPr>
      <w:r w:rsidRPr="006C4033">
        <w:rPr>
          <w:rFonts w:ascii="Tahoma" w:hAnsi="Tahoma" w:cs="Tahoma"/>
          <w:noProof/>
        </w:rPr>
        <w:lastRenderedPageBreak/>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2A185D" w:rsidRPr="002A185D" w:rsidRDefault="002A185D" w:rsidP="006D6F15">
      <w:pPr>
        <w:pStyle w:val="739"/>
        <w:spacing w:after="60"/>
        <w:rPr>
          <w:sz w:val="19"/>
          <w:szCs w:val="19"/>
          <w:rtl/>
        </w:rPr>
      </w:pPr>
      <w:r w:rsidRPr="002A185D">
        <w:rPr>
          <w:sz w:val="19"/>
          <w:szCs w:val="19"/>
          <w:rtl/>
        </w:rPr>
        <w:t>קיומם של אמצעי מיגון פיזי להגנה על כלל אוכלוסיית מדינת ישראל הוא תנאי הכרחי להתמודדות עם איום טילים ורקטות, ולבד מהגנה על האוכלוסייה הוא מאפשר לקיים שגרת חירום ולתת שירותים חיוניים לתושבים. בדוח עלו פערים משמעותיים בין דרישות המיגון לבין המציאות בשטח, הנובעים ממחסור במרחבים מוגנים ומתחזוקה לקויה של מקלטים ציבוריים ופר</w:t>
      </w:r>
      <w:bookmarkStart w:id="2" w:name="_GoBack"/>
      <w:bookmarkEnd w:id="2"/>
      <w:r w:rsidRPr="002A185D">
        <w:rPr>
          <w:sz w:val="19"/>
          <w:szCs w:val="19"/>
          <w:rtl/>
        </w:rPr>
        <w:t xml:space="preserve">טיים. נכון לינואר 2025 לכ-3.2 מיליון תושבים (33.6%) אין מיגון תקני. מחסור משמעותי במיוחד באמצעי מיגון קיים בפזורה הבדואית בנגב, שבה אין כלל מקלטים תקניים או אמצעי מיגון זמינים לשעת חירום. </w:t>
      </w:r>
    </w:p>
    <w:p w:rsidR="002A185D" w:rsidRPr="002A185D" w:rsidRDefault="002A185D" w:rsidP="006D6F15">
      <w:pPr>
        <w:pStyle w:val="739"/>
        <w:spacing w:after="60"/>
        <w:rPr>
          <w:sz w:val="19"/>
          <w:szCs w:val="19"/>
          <w:rtl/>
        </w:rPr>
      </w:pPr>
      <w:r w:rsidRPr="002A185D">
        <w:rPr>
          <w:sz w:val="19"/>
          <w:szCs w:val="19"/>
          <w:rtl/>
        </w:rPr>
        <w:t>הדוח מצביע על כך שעיריות אשקלון, גבעתיים וחולון לא ערכו ביקורות במקלטים בבתים המשותפים בתדירות הנדרשת, ובמסגרת הביקורות שעשו הן לא ערכו את כל הבדיקות שנדרשו במנחה לתחזוקת מקלטים. כתוצאה מכך מקלטים רבים לא היו ראויים לשימוש במועד תחילת המלחמה, ומשרד השיכון יזם הקצאת סכומים גדולים לרשויות המקומיות להשמשת מקלטים בבתים משותפים.</w:t>
      </w:r>
    </w:p>
    <w:p w:rsidR="002A185D" w:rsidRPr="002A185D" w:rsidRDefault="002A185D" w:rsidP="006D6F15">
      <w:pPr>
        <w:pStyle w:val="739"/>
        <w:spacing w:after="60"/>
        <w:rPr>
          <w:sz w:val="19"/>
          <w:szCs w:val="19"/>
          <w:rtl/>
        </w:rPr>
      </w:pPr>
      <w:r w:rsidRPr="002A185D">
        <w:rPr>
          <w:sz w:val="19"/>
          <w:szCs w:val="19"/>
          <w:rtl/>
        </w:rPr>
        <w:t xml:space="preserve">על הרשויות המקומיות שנבדקו (עיריות אשקלון, גבעתיים וחולון, המועצה המקומית ביענה והמועצה האזורית הגלבוע) להשלים את מיפוי המרחבים המוגנים, לעדכן את תוכנית המיגון הרשותית בהתאם לפערי המיגון, להשתמש במערכת מידע גיאוגרפי למיפוי המידע ולניהולו ולשפר את התחזוקה של המקלטים הקיימים. על הרשויות המקומיות לקיים פיקוח הדוק על מצבם של המקלטים המשותפים בבנייני המגורים ולחייב את הדיירים לתחזקם כראוי. </w:t>
      </w:r>
    </w:p>
    <w:p w:rsidR="002A185D" w:rsidRPr="002A185D" w:rsidRDefault="002A185D" w:rsidP="00467200">
      <w:pPr>
        <w:pStyle w:val="739"/>
        <w:spacing w:after="80"/>
        <w:rPr>
          <w:sz w:val="19"/>
          <w:szCs w:val="19"/>
          <w:rtl/>
        </w:rPr>
      </w:pPr>
      <w:r w:rsidRPr="002A185D">
        <w:rPr>
          <w:sz w:val="19"/>
          <w:szCs w:val="19"/>
          <w:rtl/>
        </w:rPr>
        <w:t>נוכח הממצאים שנמצאו בביקורת המקלטים הציבוריים ברשויות שנבדקו, מומלץ לפקע"ר להגדיל את מספר הביקורות שלו כדי לוודא שהרשויות המקומיות עומדות בהנחיות ובדרישות שקבע.</w:t>
      </w:r>
    </w:p>
    <w:p w:rsidR="002A185D" w:rsidRPr="002A185D" w:rsidRDefault="002A185D" w:rsidP="006D6F15">
      <w:pPr>
        <w:pStyle w:val="739"/>
        <w:spacing w:after="60"/>
        <w:rPr>
          <w:sz w:val="19"/>
          <w:szCs w:val="19"/>
          <w:rtl/>
        </w:rPr>
      </w:pPr>
      <w:r w:rsidRPr="002A185D">
        <w:rPr>
          <w:sz w:val="19"/>
          <w:szCs w:val="19"/>
          <w:rtl/>
        </w:rPr>
        <w:t>כדי שתהיה בידו תמונת מצב נכונה של פערי המיגון במוסדות החינוך, על משרד החינוך לעדכן את הנתונים על שטחי המיגון במוסדות החינוך באופן שוטף. על משרד החינוך ופקע"ר בשיתוף משרד האוצר לפעול להטמיע בתקנות מפתח מיגון מעודכן למוסדות חינוך לאור לקחי מלחמת חרבות ברזל.</w:t>
      </w:r>
    </w:p>
    <w:p w:rsidR="002A185D" w:rsidRPr="002A185D" w:rsidRDefault="002A185D" w:rsidP="006D6F15">
      <w:pPr>
        <w:pStyle w:val="739"/>
        <w:spacing w:after="60"/>
        <w:rPr>
          <w:sz w:val="19"/>
          <w:szCs w:val="19"/>
          <w:rtl/>
        </w:rPr>
      </w:pPr>
      <w:r w:rsidRPr="002A185D">
        <w:rPr>
          <w:sz w:val="19"/>
          <w:szCs w:val="19"/>
          <w:rtl/>
        </w:rPr>
        <w:t xml:space="preserve">הפערים במענים ממשלתיים הניתנים לצורכי החירום של החברה הערבית מדגישים את הצורך שמשרד ראש הממשלה בשיתוף המשרד לשוויון חברתי, יפעלו להקמת גוף מתכלל שיוכל לרתום את משרדי הממשלה, השלטון המקומי והגופים הציבוריים הרלוונטיים לסגירת הפערים במוכנות האזרחית לחירום כדי לצמצם את הפגיעה האפשרית באזרחים עקב המלחמה. </w:t>
      </w:r>
    </w:p>
    <w:p w:rsidR="00194D62" w:rsidRPr="00194D62" w:rsidRDefault="00194D62" w:rsidP="00194D62">
      <w:pPr>
        <w:pStyle w:val="739"/>
        <w:spacing w:after="60"/>
        <w:rPr>
          <w:sz w:val="19"/>
          <w:szCs w:val="19"/>
          <w:rtl/>
        </w:rPr>
      </w:pPr>
      <w:r w:rsidRPr="00194D62">
        <w:rPr>
          <w:sz w:val="19"/>
          <w:szCs w:val="19"/>
          <w:rtl/>
        </w:rPr>
        <w:t xml:space="preserve">לצורך מימוש תוכנית "מגן הצפון" </w:t>
      </w:r>
      <w:r w:rsidRPr="00194D62">
        <w:rPr>
          <w:rFonts w:hint="cs"/>
          <w:sz w:val="19"/>
          <w:szCs w:val="19"/>
          <w:rtl/>
        </w:rPr>
        <w:t xml:space="preserve">תוקצב </w:t>
      </w:r>
      <w:r w:rsidRPr="00194D62">
        <w:rPr>
          <w:sz w:val="19"/>
          <w:szCs w:val="19"/>
          <w:rtl/>
        </w:rPr>
        <w:t xml:space="preserve">פקע"ר בפועל בשנים 2019 - 2024 </w:t>
      </w:r>
      <w:r w:rsidRPr="00194D62">
        <w:rPr>
          <w:rFonts w:hint="cs"/>
          <w:sz w:val="19"/>
          <w:szCs w:val="19"/>
          <w:rtl/>
        </w:rPr>
        <w:t>ב</w:t>
      </w:r>
      <w:r w:rsidRPr="00194D62">
        <w:rPr>
          <w:sz w:val="19"/>
          <w:szCs w:val="19"/>
          <w:rtl/>
        </w:rPr>
        <w:t>סך של 1.406 מיליארד ש"ח, מתוכם 869 מ</w:t>
      </w:r>
      <w:r w:rsidRPr="00194D62">
        <w:rPr>
          <w:rFonts w:hint="cs"/>
          <w:sz w:val="19"/>
          <w:szCs w:val="19"/>
          <w:rtl/>
        </w:rPr>
        <w:t xml:space="preserve">יליון </w:t>
      </w:r>
      <w:r w:rsidRPr="00194D62">
        <w:rPr>
          <w:sz w:val="19"/>
          <w:szCs w:val="19"/>
          <w:rtl/>
        </w:rPr>
        <w:t xml:space="preserve">ש"ח בשנת 2024 (לאחר פרוץ מלחמת חרבות ברזל), </w:t>
      </w:r>
      <w:r w:rsidRPr="00194D62">
        <w:rPr>
          <w:rFonts w:hint="cs"/>
          <w:sz w:val="19"/>
          <w:szCs w:val="19"/>
          <w:rtl/>
        </w:rPr>
        <w:t>אף</w:t>
      </w:r>
      <w:r w:rsidRPr="00194D62">
        <w:rPr>
          <w:sz w:val="19"/>
          <w:szCs w:val="19"/>
          <w:rtl/>
        </w:rPr>
        <w:t xml:space="preserve"> שעל פי החלטה</w:t>
      </w:r>
      <w:r w:rsidRPr="00194D62">
        <w:rPr>
          <w:rFonts w:hint="cs"/>
          <w:sz w:val="19"/>
          <w:szCs w:val="19"/>
          <w:rtl/>
        </w:rPr>
        <w:t xml:space="preserve"> ב/</w:t>
      </w:r>
      <w:r w:rsidRPr="00194D62">
        <w:rPr>
          <w:sz w:val="19"/>
          <w:szCs w:val="19"/>
          <w:rtl/>
        </w:rPr>
        <w:t xml:space="preserve">302 לצורך מימוש התוכנית </w:t>
      </w:r>
      <w:r w:rsidRPr="00194D62">
        <w:rPr>
          <w:rFonts w:hint="cs"/>
          <w:sz w:val="19"/>
          <w:szCs w:val="19"/>
          <w:rtl/>
        </w:rPr>
        <w:t>נדרש</w:t>
      </w:r>
      <w:r w:rsidRPr="00194D62">
        <w:rPr>
          <w:sz w:val="19"/>
          <w:szCs w:val="19"/>
          <w:rtl/>
        </w:rPr>
        <w:t xml:space="preserve"> להקצות בתקופה זו 3 מיליארד ש"ח. עוד עולה כי מימוש התקציבים שהוקצו עד סוף שנת 2024 הסתכם בכ-733.69 מיליון ש״ח בלבד, שהם כ-52% מסך התקציב שהוקצה בפועל. יצוין כי סכום זה משקף תשלומים שבוצעו בפועל עד יולי 2025, ואינו כולל התחייבויות תקציביות נוספות שטרם מומשו בתשלום.</w:t>
      </w:r>
    </w:p>
    <w:p w:rsidR="002A185D" w:rsidRDefault="002A185D" w:rsidP="006D6F15">
      <w:pPr>
        <w:pStyle w:val="739"/>
        <w:spacing w:after="60"/>
        <w:rPr>
          <w:sz w:val="19"/>
          <w:szCs w:val="19"/>
          <w:rtl/>
        </w:rPr>
      </w:pPr>
      <w:r w:rsidRPr="002A185D">
        <w:rPr>
          <w:sz w:val="19"/>
          <w:szCs w:val="19"/>
          <w:rtl/>
        </w:rPr>
        <w:t>על הצוות הבין-משרדי בראשות המל"ל להשלים את בחינת הפערים וגיבוש של תוכנית רב-שנתית מתוקצבת, בתיאום עם ראש אגף התקציבים במשרד האוצר ועם מנכ"ל משרד הביטחון, במיקוד על פערי מיגון ביישובים בקווי העימות בצפון ובדרום, לשם הבאתה לפני הקבינט.</w:t>
      </w:r>
    </w:p>
    <w:p w:rsidR="001D3DA9" w:rsidRPr="006D6F15" w:rsidRDefault="002A185D" w:rsidP="00A56113">
      <w:pPr>
        <w:pStyle w:val="739"/>
        <w:rPr>
          <w:sz w:val="19"/>
          <w:szCs w:val="19"/>
          <w:rtl/>
        </w:rPr>
      </w:pPr>
      <w:r w:rsidRPr="006D6F15">
        <w:rPr>
          <w:sz w:val="19"/>
          <w:szCs w:val="19"/>
          <w:rtl/>
        </w:rPr>
        <w:lastRenderedPageBreak/>
        <w:t>מומלץ כי ראש הממשלה יביא לדיון מחודש בקבינט את סוגיית פערי המיגון ויפעל לגיבוש תוכנית לאומית מתוקצבת למתן המענה הנדרש וכן יפעל למיסוד מנגנוני בקרה ומעקב אחר יישומה של התוכנית.</w:t>
      </w:r>
    </w:p>
    <w:sectPr w:rsidR="001D3DA9" w:rsidRPr="006D6F15" w:rsidSect="00030DCF">
      <w:headerReference w:type="first" r:id="rId26"/>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5D" w:rsidRDefault="009961E8">
      <w:pPr>
        <w:spacing w:line="240" w:lineRule="auto"/>
      </w:pPr>
      <w:r>
        <w:separator/>
      </w:r>
    </w:p>
  </w:endnote>
  <w:endnote w:type="continuationSeparator" w:id="0">
    <w:p w:rsidR="005D135D" w:rsidRDefault="009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003BAE">
                              <w:rPr>
                                <w:rFonts w:asciiTheme="minorHAnsi" w:hAnsiTheme="minorHAnsi" w:cstheme="minorHAnsi" w:hint="cs"/>
                                <w:color w:val="002060"/>
                                <w:spacing w:val="20"/>
                                <w:sz w:val="22"/>
                                <w:szCs w:val="22"/>
                                <w:rtl/>
                              </w:rPr>
                              <w:t>כסלו</w:t>
                            </w:r>
                            <w:r w:rsidRPr="0062451B">
                              <w:rPr>
                                <w:rFonts w:asciiTheme="minorHAnsi" w:hAnsiTheme="minorHAnsi" w:cstheme="minorHAnsi"/>
                                <w:color w:val="002060"/>
                                <w:spacing w:val="20"/>
                                <w:sz w:val="22"/>
                                <w:szCs w:val="22"/>
                                <w:rtl/>
                              </w:rPr>
                              <w:t xml:space="preserve"> התשפ"</w:t>
                            </w:r>
                            <w:r w:rsidR="00003BAE">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003BAE">
                              <w:rPr>
                                <w:rFonts w:asciiTheme="minorHAnsi" w:hAnsiTheme="minorHAnsi" w:cstheme="minorHAnsi" w:hint="cs"/>
                                <w:color w:val="002060"/>
                                <w:spacing w:val="20"/>
                                <w:sz w:val="22"/>
                                <w:szCs w:val="22"/>
                                <w:rtl/>
                              </w:rPr>
                              <w:t>דצמ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3"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4"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003BAE">
                        <w:rPr>
                          <w:rFonts w:asciiTheme="minorHAnsi" w:hAnsiTheme="minorHAnsi" w:cstheme="minorHAnsi" w:hint="cs"/>
                          <w:color w:val="002060"/>
                          <w:spacing w:val="20"/>
                          <w:sz w:val="22"/>
                          <w:szCs w:val="22"/>
                          <w:rtl/>
                        </w:rPr>
                        <w:t>כסלו</w:t>
                      </w:r>
                      <w:r w:rsidRPr="0062451B">
                        <w:rPr>
                          <w:rFonts w:asciiTheme="minorHAnsi" w:hAnsiTheme="minorHAnsi" w:cstheme="minorHAnsi"/>
                          <w:color w:val="002060"/>
                          <w:spacing w:val="20"/>
                          <w:sz w:val="22"/>
                          <w:szCs w:val="22"/>
                          <w:rtl/>
                        </w:rPr>
                        <w:t xml:space="preserve"> התשפ"</w:t>
                      </w:r>
                      <w:r w:rsidR="00003BAE">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003BAE">
                        <w:rPr>
                          <w:rFonts w:asciiTheme="minorHAnsi" w:hAnsiTheme="minorHAnsi" w:cstheme="minorHAnsi" w:hint="cs"/>
                          <w:color w:val="002060"/>
                          <w:spacing w:val="20"/>
                          <w:sz w:val="22"/>
                          <w:szCs w:val="22"/>
                          <w:rtl/>
                        </w:rPr>
                        <w:t>דצמ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5"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6"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47"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5D" w:rsidRDefault="009961E8">
      <w:pPr>
        <w:spacing w:line="240" w:lineRule="auto"/>
      </w:pPr>
      <w:r>
        <w:separator/>
      </w:r>
    </w:p>
  </w:footnote>
  <w:footnote w:type="continuationSeparator" w:id="0">
    <w:p w:rsidR="005D135D" w:rsidRDefault="009961E8">
      <w:pPr>
        <w:spacing w:line="240" w:lineRule="auto"/>
      </w:pPr>
      <w:r>
        <w:continuationSeparator/>
      </w:r>
    </w:p>
  </w:footnote>
  <w:footnote w:id="1">
    <w:p w:rsidR="00542832" w:rsidRPr="0034731D" w:rsidRDefault="00542832" w:rsidP="00194D62">
      <w:pPr>
        <w:pStyle w:val="af"/>
        <w:ind w:left="718" w:hanging="719"/>
        <w:rPr>
          <w:rFonts w:ascii="Tahoma" w:hAnsi="Tahoma" w:cs="Tahoma"/>
          <w:sz w:val="16"/>
          <w:szCs w:val="16"/>
          <w:rtl/>
        </w:rPr>
      </w:pPr>
      <w:r w:rsidRPr="0034731D">
        <w:rPr>
          <w:rStyle w:val="af1"/>
          <w:rFonts w:ascii="Tahoma" w:hAnsi="Tahoma" w:cs="Tahoma"/>
          <w:sz w:val="16"/>
          <w:szCs w:val="16"/>
        </w:rPr>
        <w:footnoteRef/>
      </w:r>
      <w:r w:rsidRPr="0034731D">
        <w:rPr>
          <w:rFonts w:ascii="Tahoma" w:hAnsi="Tahoma" w:cs="Tahoma"/>
          <w:sz w:val="16"/>
          <w:szCs w:val="16"/>
          <w:rtl/>
        </w:rPr>
        <w:t xml:space="preserve"> </w:t>
      </w:r>
      <w:r w:rsidRPr="0034731D">
        <w:rPr>
          <w:rFonts w:ascii="Tahoma" w:hAnsi="Tahoma" w:cs="Tahoma"/>
          <w:sz w:val="16"/>
          <w:szCs w:val="16"/>
          <w:rtl/>
        </w:rPr>
        <w:tab/>
        <w:t>שהוציאו משרד הפנים, רשות החירום הלאומית שבמשרד הביטחון, פקע"ר, מרכז השלטון המקומי בישראל ומרכז השלטון האזורי בישראל.</w:t>
      </w:r>
    </w:p>
  </w:footnote>
  <w:footnote w:id="2">
    <w:p w:rsidR="00542832" w:rsidRPr="0034731D" w:rsidRDefault="00542832" w:rsidP="00194D62">
      <w:pPr>
        <w:pStyle w:val="af"/>
        <w:ind w:left="718" w:hanging="719"/>
        <w:rPr>
          <w:rFonts w:ascii="Tahoma" w:hAnsi="Tahoma" w:cs="Tahoma"/>
          <w:sz w:val="16"/>
          <w:szCs w:val="16"/>
        </w:rPr>
      </w:pPr>
      <w:r w:rsidRPr="0034731D">
        <w:rPr>
          <w:rStyle w:val="af1"/>
          <w:rFonts w:ascii="Tahoma" w:hAnsi="Tahoma" w:cs="Tahoma"/>
          <w:sz w:val="16"/>
          <w:szCs w:val="16"/>
        </w:rPr>
        <w:footnoteRef/>
      </w:r>
      <w:r w:rsidRPr="0034731D">
        <w:rPr>
          <w:rFonts w:ascii="Tahoma" w:hAnsi="Tahoma" w:cs="Tahoma"/>
          <w:sz w:val="16"/>
          <w:szCs w:val="16"/>
          <w:rtl/>
        </w:rPr>
        <w:t xml:space="preserve"> </w:t>
      </w:r>
      <w:r w:rsidRPr="0034731D">
        <w:rPr>
          <w:rFonts w:ascii="Tahoma" w:hAnsi="Tahoma" w:cs="Tahoma"/>
          <w:sz w:val="16"/>
          <w:szCs w:val="16"/>
          <w:rtl/>
        </w:rPr>
        <w:tab/>
        <w:t xml:space="preserve">הוצא גם תיק אב למועצות האזוריות. </w:t>
      </w:r>
    </w:p>
  </w:footnote>
  <w:footnote w:id="3">
    <w:p w:rsidR="00194D62" w:rsidRPr="000325C7" w:rsidRDefault="00194D62" w:rsidP="00194D62">
      <w:pPr>
        <w:pStyle w:val="af"/>
        <w:ind w:left="718" w:hanging="719"/>
        <w:rPr>
          <w:rFonts w:ascii="Tahoma" w:hAnsi="Tahoma" w:cs="Tahoma"/>
          <w:sz w:val="16"/>
          <w:szCs w:val="16"/>
          <w:rtl/>
        </w:rPr>
      </w:pPr>
      <w:r>
        <w:rPr>
          <w:rStyle w:val="af1"/>
        </w:rPr>
        <w:footnoteRef/>
      </w:r>
      <w:r>
        <w:rPr>
          <w:rtl/>
        </w:rPr>
        <w:t xml:space="preserve"> </w:t>
      </w:r>
      <w:r>
        <w:rPr>
          <w:rtl/>
        </w:rPr>
        <w:tab/>
      </w:r>
      <w:r w:rsidRPr="000325C7">
        <w:rPr>
          <w:rFonts w:ascii="Tahoma" w:hAnsi="Tahoma" w:cs="Tahoma" w:hint="cs"/>
          <w:sz w:val="16"/>
          <w:szCs w:val="16"/>
          <w:rtl/>
        </w:rPr>
        <w:t xml:space="preserve">החלטה ב/302 של ועדת השרים לענייני ביטחון לאומי "מוכנות העורף למצבי חירום" מ-16.7.18 להקים צוות בין-משרדי שיגבש </w:t>
      </w:r>
      <w:r w:rsidRPr="000325C7">
        <w:rPr>
          <w:rFonts w:ascii="Tahoma" w:hAnsi="Tahoma" w:cs="Tahoma"/>
          <w:sz w:val="16"/>
          <w:szCs w:val="16"/>
          <w:rtl/>
        </w:rPr>
        <w:t xml:space="preserve">תוכנית רב-שנתית לשנים </w:t>
      </w:r>
      <w:r w:rsidRPr="000325C7">
        <w:rPr>
          <w:rFonts w:ascii="Tahoma" w:hAnsi="Tahoma" w:cs="Tahoma" w:hint="cs"/>
          <w:sz w:val="16"/>
          <w:szCs w:val="16"/>
          <w:rtl/>
        </w:rPr>
        <w:t>2019 - 2030 למיגון</w:t>
      </w:r>
      <w:r w:rsidRPr="000325C7">
        <w:rPr>
          <w:rFonts w:ascii="Tahoma" w:hAnsi="Tahoma" w:cs="Tahoma"/>
          <w:sz w:val="16"/>
          <w:szCs w:val="16"/>
          <w:rtl/>
        </w:rPr>
        <w:t xml:space="preserve"> </w:t>
      </w:r>
      <w:r w:rsidRPr="000325C7">
        <w:rPr>
          <w:rFonts w:ascii="Tahoma" w:hAnsi="Tahoma" w:cs="Tahoma" w:hint="cs"/>
          <w:sz w:val="16"/>
          <w:szCs w:val="16"/>
          <w:rtl/>
        </w:rPr>
        <w:t>העורף</w:t>
      </w:r>
      <w:r w:rsidRPr="000325C7">
        <w:rPr>
          <w:rFonts w:ascii="Tahoma" w:hAnsi="Tahoma" w:cs="Tahoma"/>
          <w:sz w:val="16"/>
          <w:szCs w:val="16"/>
          <w:rtl/>
        </w:rPr>
        <w:t xml:space="preserve"> </w:t>
      </w:r>
      <w:r w:rsidRPr="000325C7">
        <w:rPr>
          <w:rFonts w:ascii="Tahoma" w:hAnsi="Tahoma" w:cs="Tahoma" w:hint="cs"/>
          <w:sz w:val="16"/>
          <w:szCs w:val="16"/>
          <w:rtl/>
        </w:rPr>
        <w:t>ולשיפור</w:t>
      </w:r>
      <w:r w:rsidRPr="000325C7">
        <w:rPr>
          <w:rFonts w:ascii="Tahoma" w:hAnsi="Tahoma" w:cs="Tahoma"/>
          <w:sz w:val="16"/>
          <w:szCs w:val="16"/>
          <w:rtl/>
        </w:rPr>
        <w:t xml:space="preserve"> </w:t>
      </w:r>
      <w:r w:rsidRPr="000325C7">
        <w:rPr>
          <w:rFonts w:ascii="Tahoma" w:hAnsi="Tahoma" w:cs="Tahoma" w:hint="cs"/>
          <w:sz w:val="16"/>
          <w:szCs w:val="16"/>
          <w:rtl/>
        </w:rPr>
        <w:t>המוכנות</w:t>
      </w:r>
      <w:r w:rsidRPr="000325C7">
        <w:rPr>
          <w:rFonts w:ascii="Tahoma" w:hAnsi="Tahoma" w:cs="Tahoma"/>
          <w:sz w:val="16"/>
          <w:szCs w:val="16"/>
          <w:rtl/>
        </w:rPr>
        <w:t xml:space="preserve"> </w:t>
      </w:r>
      <w:r w:rsidRPr="000325C7">
        <w:rPr>
          <w:rFonts w:ascii="Tahoma" w:hAnsi="Tahoma" w:cs="Tahoma" w:hint="cs"/>
          <w:sz w:val="16"/>
          <w:szCs w:val="16"/>
          <w:rtl/>
        </w:rPr>
        <w:t>לרעידות</w:t>
      </w:r>
      <w:r w:rsidRPr="000325C7">
        <w:rPr>
          <w:rFonts w:ascii="Tahoma" w:hAnsi="Tahoma" w:cs="Tahoma"/>
          <w:sz w:val="16"/>
          <w:szCs w:val="16"/>
          <w:rtl/>
        </w:rPr>
        <w:t xml:space="preserve"> </w:t>
      </w:r>
      <w:r w:rsidRPr="000325C7">
        <w:rPr>
          <w:rFonts w:ascii="Tahoma" w:hAnsi="Tahoma" w:cs="Tahoma" w:hint="cs"/>
          <w:sz w:val="16"/>
          <w:szCs w:val="16"/>
          <w:rtl/>
        </w:rPr>
        <w:t xml:space="preserve">אדמה </w:t>
      </w:r>
      <w:r w:rsidRPr="000325C7">
        <w:rPr>
          <w:rFonts w:ascii="Tahoma" w:hAnsi="Tahoma" w:cs="Tahoma"/>
          <w:sz w:val="16"/>
          <w:szCs w:val="16"/>
          <w:rtl/>
        </w:rPr>
        <w:t xml:space="preserve">בהיקף של </w:t>
      </w:r>
      <w:r w:rsidRPr="000325C7">
        <w:rPr>
          <w:rFonts w:ascii="Tahoma" w:hAnsi="Tahoma" w:cs="Tahoma" w:hint="cs"/>
          <w:sz w:val="16"/>
          <w:szCs w:val="16"/>
          <w:rtl/>
        </w:rPr>
        <w:t>5</w:t>
      </w:r>
      <w:r w:rsidRPr="000325C7">
        <w:rPr>
          <w:rFonts w:ascii="Tahoma" w:hAnsi="Tahoma" w:cs="Tahoma"/>
          <w:sz w:val="16"/>
          <w:szCs w:val="16"/>
          <w:rtl/>
        </w:rPr>
        <w:t xml:space="preserve"> מיליארד ש"ח</w:t>
      </w:r>
      <w:r w:rsidRPr="000325C7">
        <w:rPr>
          <w:rFonts w:ascii="Tahoma" w:hAnsi="Tahoma" w:cs="Tahoma" w:hint="cs"/>
          <w:sz w:val="16"/>
          <w:szCs w:val="16"/>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7"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3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592A9D"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2"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7"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0" b="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003BAE" w:rsidP="00276705">
                            <w:pPr>
                              <w:spacing w:line="240" w:lineRule="auto"/>
                              <w:jc w:val="right"/>
                              <w:rPr>
                                <w:rFonts w:ascii="Calibri" w:hAnsi="Calibri" w:cs="Calibri"/>
                                <w:color w:val="002060"/>
                                <w:szCs w:val="20"/>
                                <w:rtl/>
                              </w:rPr>
                            </w:pPr>
                            <w:r>
                              <w:rPr>
                                <w:rFonts w:ascii="Calibri" w:hAnsi="Calibri" w:cs="Calibri" w:hint="cs"/>
                                <w:color w:val="002060"/>
                                <w:szCs w:val="20"/>
                                <w:rtl/>
                              </w:rPr>
                              <w:t>כסלו</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דצמב</w:t>
                            </w:r>
                            <w:r w:rsidR="0019747C">
                              <w:rPr>
                                <w:rFonts w:ascii="Calibri" w:hAnsi="Calibri" w:cs="Calibri" w:hint="cs"/>
                                <w:color w:val="002060"/>
                                <w:szCs w:val="20"/>
                                <w:rtl/>
                              </w:rPr>
                              <w:t>ר</w:t>
                            </w:r>
                            <w:r w:rsidR="009961E8">
                              <w:rPr>
                                <w:rFonts w:ascii="Calibri" w:hAnsi="Calibri" w:cs="Calibri" w:hint="cs"/>
                                <w:color w:val="002060"/>
                                <w:szCs w:val="20"/>
                                <w:rtl/>
                              </w:rPr>
                              <w:t xml:space="preserve"> 2025</w:t>
                            </w:r>
                          </w:p>
                        </w:txbxContent>
                      </wps:txbx>
                      <wps:bodyPr rot="0" vert="horz" wrap="square" lIns="91440" tIns="45720" rIns="91440" bIns="45720" anchor="t" anchorCtr="0"/>
                    </wps:wsp>
                    <wps:wsp>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678C7" w:rsidRPr="001E204F" w:rsidRDefault="00003BAE" w:rsidP="00B4321D">
                            <w:pPr>
                              <w:rPr>
                                <w:rFonts w:ascii="Calibri" w:hAnsi="Calibri" w:cs="Calibri"/>
                                <w:color w:val="002060"/>
                                <w:szCs w:val="20"/>
                                <w:rtl/>
                              </w:rPr>
                            </w:pPr>
                            <w:r w:rsidRPr="00003BAE">
                              <w:rPr>
                                <w:rFonts w:ascii="Calibri" w:hAnsi="Calibri" w:cs="Calibri"/>
                                <w:color w:val="002060"/>
                                <w:szCs w:val="20"/>
                                <w:rtl/>
                              </w:rPr>
                              <w:t>מיגון ומקלוט ברשויות המקומיות</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2" style="position:absolute;margin-left:-15.2pt;margin-top:-7.45pt;width:484.3pt;height:47.6pt;z-index:25165926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MWggMAAEkMAAAOAAAAZHJzL2Uyb0RvYy54bWzkV9tu1DAQfUfiHyy/09w2292oaQW9gVSg&#10;ovABXsfZRCR2sN1my19UAlFekHjh0h/K7zB2LrsqFYgilQJ9yPo245kzZ2bcja1FWaATJlUueIy9&#10;NRcjxqlIcj6P8Yvne/cmGClNeEIKwVmMT5nCW5t372zUVcR8kYkiYRKBEq6iuopxpnUVOY6iGSuJ&#10;WhMV47CZClkSDVM5dxJJatBeFo7vumOnFjKppKBMKVjdaTfxptWfpozqp2mqmEZFjME2bb/Sfmfm&#10;62xukGguSZXltDODXMOKkuQcLh1U7RBN0LHMv1NV5lQKJVK9RkXpiDTNKbM+gDeee8mbfSmOK+vL&#10;PKrn1QATQHsJp2urpU9ODiXKkxgH6xhxUkKMms/NWfO2+dS8QbAICNXVPIKD+7I6qg5ltzBvZ8bp&#10;RSpL8wvuoIXF9nTAli00orA49kI38CAEFPbG7iicjFvwaQYRMmKBtx7C/lKUZrs/Fnb6qx1j4WBQ&#10;XQGX1BIu9XtwHWWkYjYKyqDQwwXE7uD60LwDwL6g5n3zFX6CSYuZPb3NO8BUpAC7K9DyXHc0Cazf&#10;AYzcjpMDbq43NYsWN7s3eE2iSiq9z0SJzCDGRc6NoSQiJwdKQ5zgaH8EJgaX1gg70qcFM4cL/oyl&#10;QAEIgWelbfKx7UKiEwJpQyhlXHvGKdBnTxuxNC+KQdD9uWB33ogym5i/IjxI2JsF14NwmXMhr7pd&#10;L3qT0/Z8j0Drt4FgJpJTGx4LDVDGUP0muDMduHMBpDlrLlBzDln3sTlH/gp5TLYhvXgglqGpDgR9&#10;qRAX2xnhc3ZfSlFnjCTA8dZd4wCw1Ii23piIo1n9WCSQ2uRYCwuWSVmUFnn1sI96l7yB661PwnA1&#10;D3sqBt545LuwZVLYn4QmXVtS9AWgJ1vHRwnl1952JR9JxMUekAhUGFqhOsbT0A+twMpOmWvoEEVe&#10;xhjyAP7MnSQyTu/yxI41yYt2bAnaB3qAQC9mC1vjhsxsI4+kaBsCNDAYZEK+xqiGZhBj9eqYSIZR&#10;8YgDtFNvNDLdw05G4boPE7m6M1vdIZyCqhhrjNrhtrYdx2DV8euGiGaM7orU7SPaUO4DbzIJum7w&#10;73Bt2ify/8I17/ZyzR8H/ngMHRsKF7ANOmpbRAa2haPw765s8LKC8rJsan+ytNnXGLxX7Xuhe1ub&#10;B/Hq3JbC5X8Am98AAAD//wMAUEsDBBQABgAIAAAAIQBvXoIP4QAAAAoBAAAPAAAAZHJzL2Rvd25y&#10;ZXYueG1sTI/BSsNAEIbvgu+wjOCt3aSpksZsSinqqQhtBfG2zU6T0OxsyG6T9O0dT3qbYT7++f58&#10;PdlWDNj7xpGCeB6BQCqdaahS8Hl8m6UgfNBkdOsIFdzQw7q4v8t1ZtxIexwOoRIcQj7TCuoQukxK&#10;X9ZotZ+7DolvZ9dbHXjtK2l6PXK4beUiip6l1Q3xh1p3uK2xvByuVsH7qMdNEr8Ou8t5e/s+Pn18&#10;7WJU6vFh2ryACDiFPxh+9VkdCnY6uSsZL1oFsyRaMspDvFyBYGKVpAsQJwVplIAscvm/QvEDAAD/&#10;/wMAUEsBAi0AFAAGAAgAAAAhALaDOJL+AAAA4QEAABMAAAAAAAAAAAAAAAAAAAAAAFtDb250ZW50&#10;X1R5cGVzXS54bWxQSwECLQAUAAYACAAAACEAOP0h/9YAAACUAQAACwAAAAAAAAAAAAAAAAAvAQAA&#10;X3JlbHMvLnJlbHNQSwECLQAUAAYACAAAACEA7bMDFoIDAABJDAAADgAAAAAAAAAAAAAAAAAuAgAA&#10;ZHJzL2Uyb0RvYy54bWxQSwECLQAUAAYACAAAACEAb16CD+EAAAAKAQAADwAAAAAAAAAAAAAAAADc&#10;BQAAZHJzL2Rvd25yZXYueG1sUEsFBgAAAAAEAAQA8wAAAOoGAAAAAA==&#10;">
              <v:line id="מחבר ישר 38" o:spid="_x0000_s1043"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4"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5"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003BAE" w:rsidP="00276705">
                      <w:pPr>
                        <w:spacing w:line="240" w:lineRule="auto"/>
                        <w:jc w:val="right"/>
                        <w:rPr>
                          <w:rFonts w:ascii="Calibri" w:hAnsi="Calibri" w:cs="Calibri"/>
                          <w:color w:val="002060"/>
                          <w:szCs w:val="20"/>
                          <w:rtl/>
                        </w:rPr>
                      </w:pPr>
                      <w:r>
                        <w:rPr>
                          <w:rFonts w:ascii="Calibri" w:hAnsi="Calibri" w:cs="Calibri" w:hint="cs"/>
                          <w:color w:val="002060"/>
                          <w:szCs w:val="20"/>
                          <w:rtl/>
                        </w:rPr>
                        <w:t>כסלו</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דצמב</w:t>
                      </w:r>
                      <w:r w:rsidR="0019747C">
                        <w:rPr>
                          <w:rFonts w:ascii="Calibri" w:hAnsi="Calibri" w:cs="Calibri" w:hint="cs"/>
                          <w:color w:val="002060"/>
                          <w:szCs w:val="20"/>
                          <w:rtl/>
                        </w:rPr>
                        <w:t>ר</w:t>
                      </w:r>
                      <w:r w:rsidR="009961E8">
                        <w:rPr>
                          <w:rFonts w:ascii="Calibri" w:hAnsi="Calibri" w:cs="Calibri" w:hint="cs"/>
                          <w:color w:val="002060"/>
                          <w:szCs w:val="20"/>
                          <w:rtl/>
                        </w:rPr>
                        <w:t xml:space="preserve"> 2025</w:t>
                      </w:r>
                    </w:p>
                  </w:txbxContent>
                </v:textbox>
              </v:shape>
              <v:shape id="תיבת טקסט 2" o:spid="_x0000_s1046"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003BAE" w:rsidP="00B4321D">
                      <w:pPr>
                        <w:rPr>
                          <w:rFonts w:ascii="Calibri" w:hAnsi="Calibri" w:cs="Calibri"/>
                          <w:color w:val="002060"/>
                          <w:szCs w:val="20"/>
                          <w:rtl/>
                        </w:rPr>
                      </w:pPr>
                      <w:r w:rsidRPr="00003BAE">
                        <w:rPr>
                          <w:rFonts w:ascii="Calibri" w:hAnsi="Calibri" w:cs="Calibri"/>
                          <w:color w:val="002060"/>
                          <w:szCs w:val="20"/>
                          <w:rtl/>
                        </w:rPr>
                        <w:t>מיגון ומקלוט ברשויות המקומיות</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48"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49"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50"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1"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2"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35pt;height:17.35pt" o:bullet="t">
        <v:imagedata r:id="rId1" o:title="hand-red"/>
      </v:shape>
    </w:pict>
  </w:numPicBullet>
  <w:numPicBullet w:numPicBulletId="1">
    <w:pict>
      <v:shape id="_x0000_i1045" type="#_x0000_t75" style="width:254pt;height:254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7"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8"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9"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0"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1"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2" w15:restartNumberingAfterBreak="0">
    <w:nsid w:val="392E622D"/>
    <w:multiLevelType w:val="hybridMultilevel"/>
    <w:tmpl w:val="7D5E01EA"/>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D9C27C78" w:tentative="1">
      <w:start w:val="1"/>
      <w:numFmt w:val="bullet"/>
      <w:lvlText w:val="o"/>
      <w:lvlJc w:val="left"/>
      <w:pPr>
        <w:ind w:left="1837" w:hanging="360"/>
      </w:pPr>
      <w:rPr>
        <w:rFonts w:ascii="Courier New" w:hAnsi="Courier New" w:cs="Courier New" w:hint="default"/>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3"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4"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5"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6"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7"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18"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19"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0"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1"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2"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3" w15:restartNumberingAfterBreak="0">
    <w:nsid w:val="6699458C"/>
    <w:multiLevelType w:val="hybridMultilevel"/>
    <w:tmpl w:val="B9E2BA98"/>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tentative="1">
      <w:start w:val="1"/>
      <w:numFmt w:val="bullet"/>
      <w:lvlText w:val="o"/>
      <w:lvlJc w:val="left"/>
      <w:pPr>
        <w:ind w:left="1080" w:hanging="360"/>
      </w:pPr>
      <w:rPr>
        <w:rFonts w:ascii="Courier New" w:hAnsi="Courier New" w:cs="Courier New" w:hint="default"/>
      </w:rPr>
    </w:lvl>
    <w:lvl w:ilvl="2" w:tplc="034607C4" w:tentative="1">
      <w:start w:val="1"/>
      <w:numFmt w:val="bullet"/>
      <w:lvlText w:val=""/>
      <w:lvlJc w:val="left"/>
      <w:pPr>
        <w:ind w:left="1800" w:hanging="360"/>
      </w:pPr>
      <w:rPr>
        <w:rFonts w:ascii="Wingdings" w:hAnsi="Wingdings" w:hint="default"/>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4"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5"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5"/>
  </w:num>
  <w:num w:numId="2">
    <w:abstractNumId w:val="18"/>
  </w:num>
  <w:num w:numId="3">
    <w:abstractNumId w:val="16"/>
  </w:num>
  <w:num w:numId="4">
    <w:abstractNumId w:val="0"/>
  </w:num>
  <w:num w:numId="5">
    <w:abstractNumId w:val="17"/>
  </w:num>
  <w:num w:numId="6">
    <w:abstractNumId w:val="22"/>
  </w:num>
  <w:num w:numId="7">
    <w:abstractNumId w:val="13"/>
  </w:num>
  <w:num w:numId="8">
    <w:abstractNumId w:val="9"/>
  </w:num>
  <w:num w:numId="9">
    <w:abstractNumId w:val="8"/>
  </w:num>
  <w:num w:numId="10">
    <w:abstractNumId w:val="10"/>
  </w:num>
  <w:num w:numId="11">
    <w:abstractNumId w:val="23"/>
  </w:num>
  <w:num w:numId="12">
    <w:abstractNumId w:val="20"/>
  </w:num>
  <w:num w:numId="13">
    <w:abstractNumId w:val="19"/>
  </w:num>
  <w:num w:numId="14">
    <w:abstractNumId w:val="21"/>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4"/>
  </w:num>
  <w:num w:numId="24">
    <w:abstractNumId w:val="4"/>
  </w:num>
  <w:num w:numId="25">
    <w:abstractNumId w:val="12"/>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03BAE"/>
    <w:rsid w:val="0001735B"/>
    <w:rsid w:val="00030DCF"/>
    <w:rsid w:val="000314B9"/>
    <w:rsid w:val="00037B15"/>
    <w:rsid w:val="00042837"/>
    <w:rsid w:val="000501A4"/>
    <w:rsid w:val="000532AA"/>
    <w:rsid w:val="00084768"/>
    <w:rsid w:val="00092F16"/>
    <w:rsid w:val="000B1102"/>
    <w:rsid w:val="000B463F"/>
    <w:rsid w:val="000B5F64"/>
    <w:rsid w:val="000C6528"/>
    <w:rsid w:val="000C7459"/>
    <w:rsid w:val="000D221E"/>
    <w:rsid w:val="000E013E"/>
    <w:rsid w:val="000F7725"/>
    <w:rsid w:val="00101D0F"/>
    <w:rsid w:val="00113E28"/>
    <w:rsid w:val="00114325"/>
    <w:rsid w:val="00140D50"/>
    <w:rsid w:val="00164D9B"/>
    <w:rsid w:val="00166477"/>
    <w:rsid w:val="001730B0"/>
    <w:rsid w:val="00174954"/>
    <w:rsid w:val="00194D62"/>
    <w:rsid w:val="001960B4"/>
    <w:rsid w:val="0019747C"/>
    <w:rsid w:val="001A3BBC"/>
    <w:rsid w:val="001A613C"/>
    <w:rsid w:val="001B2821"/>
    <w:rsid w:val="001C057E"/>
    <w:rsid w:val="001C6185"/>
    <w:rsid w:val="001D3DA9"/>
    <w:rsid w:val="001E204F"/>
    <w:rsid w:val="001F0CD9"/>
    <w:rsid w:val="00203604"/>
    <w:rsid w:val="002064F7"/>
    <w:rsid w:val="00212D9D"/>
    <w:rsid w:val="00240887"/>
    <w:rsid w:val="00252AED"/>
    <w:rsid w:val="002602F0"/>
    <w:rsid w:val="00263521"/>
    <w:rsid w:val="00276705"/>
    <w:rsid w:val="00291629"/>
    <w:rsid w:val="002A185D"/>
    <w:rsid w:val="002A7D21"/>
    <w:rsid w:val="002C0C75"/>
    <w:rsid w:val="002C0FD0"/>
    <w:rsid w:val="002C1EE0"/>
    <w:rsid w:val="002C4139"/>
    <w:rsid w:val="002C501F"/>
    <w:rsid w:val="00301153"/>
    <w:rsid w:val="0030602D"/>
    <w:rsid w:val="0030723D"/>
    <w:rsid w:val="00310345"/>
    <w:rsid w:val="00313DEA"/>
    <w:rsid w:val="0032268D"/>
    <w:rsid w:val="00323027"/>
    <w:rsid w:val="00340353"/>
    <w:rsid w:val="0036735A"/>
    <w:rsid w:val="0037370B"/>
    <w:rsid w:val="0037752E"/>
    <w:rsid w:val="0037780B"/>
    <w:rsid w:val="00380052"/>
    <w:rsid w:val="00386E9B"/>
    <w:rsid w:val="0039415D"/>
    <w:rsid w:val="003D61C6"/>
    <w:rsid w:val="003E58C2"/>
    <w:rsid w:val="003E6853"/>
    <w:rsid w:val="00411396"/>
    <w:rsid w:val="00414D33"/>
    <w:rsid w:val="0042177E"/>
    <w:rsid w:val="00450C77"/>
    <w:rsid w:val="004562F8"/>
    <w:rsid w:val="00467200"/>
    <w:rsid w:val="004672FB"/>
    <w:rsid w:val="004779AA"/>
    <w:rsid w:val="00493AB8"/>
    <w:rsid w:val="004A0385"/>
    <w:rsid w:val="004C7D9F"/>
    <w:rsid w:val="004E2733"/>
    <w:rsid w:val="004E488A"/>
    <w:rsid w:val="004F0AB4"/>
    <w:rsid w:val="005006C5"/>
    <w:rsid w:val="00524C99"/>
    <w:rsid w:val="00535D8F"/>
    <w:rsid w:val="00542832"/>
    <w:rsid w:val="00551B42"/>
    <w:rsid w:val="00551FF7"/>
    <w:rsid w:val="00574579"/>
    <w:rsid w:val="00577CAE"/>
    <w:rsid w:val="00580C5C"/>
    <w:rsid w:val="005A021D"/>
    <w:rsid w:val="005A09B4"/>
    <w:rsid w:val="005B2688"/>
    <w:rsid w:val="005C3049"/>
    <w:rsid w:val="005C7ABF"/>
    <w:rsid w:val="005D135D"/>
    <w:rsid w:val="005D2CBD"/>
    <w:rsid w:val="005E62A6"/>
    <w:rsid w:val="005F4A6D"/>
    <w:rsid w:val="00602674"/>
    <w:rsid w:val="00623AB0"/>
    <w:rsid w:val="0062451B"/>
    <w:rsid w:val="0062456C"/>
    <w:rsid w:val="00634DAD"/>
    <w:rsid w:val="0063556C"/>
    <w:rsid w:val="00640B60"/>
    <w:rsid w:val="006457EB"/>
    <w:rsid w:val="006531CB"/>
    <w:rsid w:val="006569CD"/>
    <w:rsid w:val="006615C6"/>
    <w:rsid w:val="006A0446"/>
    <w:rsid w:val="006A4C7E"/>
    <w:rsid w:val="006A646E"/>
    <w:rsid w:val="006B1593"/>
    <w:rsid w:val="006B7706"/>
    <w:rsid w:val="006C4033"/>
    <w:rsid w:val="006D4161"/>
    <w:rsid w:val="006D6F15"/>
    <w:rsid w:val="006D786C"/>
    <w:rsid w:val="006E1414"/>
    <w:rsid w:val="006F285F"/>
    <w:rsid w:val="00716AFD"/>
    <w:rsid w:val="0072219B"/>
    <w:rsid w:val="00732487"/>
    <w:rsid w:val="007474F0"/>
    <w:rsid w:val="00753ADE"/>
    <w:rsid w:val="00764297"/>
    <w:rsid w:val="00773F61"/>
    <w:rsid w:val="007A4EBD"/>
    <w:rsid w:val="007B112B"/>
    <w:rsid w:val="007B5B26"/>
    <w:rsid w:val="007B691A"/>
    <w:rsid w:val="007C1FF6"/>
    <w:rsid w:val="007D61B8"/>
    <w:rsid w:val="007E24BD"/>
    <w:rsid w:val="007F7FF2"/>
    <w:rsid w:val="00805B42"/>
    <w:rsid w:val="008102AD"/>
    <w:rsid w:val="00824AB2"/>
    <w:rsid w:val="00837997"/>
    <w:rsid w:val="008654CB"/>
    <w:rsid w:val="00867FC5"/>
    <w:rsid w:val="0088743F"/>
    <w:rsid w:val="00892F80"/>
    <w:rsid w:val="00897698"/>
    <w:rsid w:val="008A2E0E"/>
    <w:rsid w:val="008B4F41"/>
    <w:rsid w:val="008B5B82"/>
    <w:rsid w:val="008C1428"/>
    <w:rsid w:val="008C3790"/>
    <w:rsid w:val="008C6F75"/>
    <w:rsid w:val="008D750B"/>
    <w:rsid w:val="009015B2"/>
    <w:rsid w:val="00906E90"/>
    <w:rsid w:val="0091051D"/>
    <w:rsid w:val="00936F84"/>
    <w:rsid w:val="00940851"/>
    <w:rsid w:val="009679D9"/>
    <w:rsid w:val="009961E8"/>
    <w:rsid w:val="009A6817"/>
    <w:rsid w:val="009B0AEC"/>
    <w:rsid w:val="009B497A"/>
    <w:rsid w:val="009C6066"/>
    <w:rsid w:val="009D45C5"/>
    <w:rsid w:val="009D73F5"/>
    <w:rsid w:val="009E1A3F"/>
    <w:rsid w:val="009E53CF"/>
    <w:rsid w:val="009F0BD3"/>
    <w:rsid w:val="00A0127F"/>
    <w:rsid w:val="00A055D0"/>
    <w:rsid w:val="00A222E2"/>
    <w:rsid w:val="00A30B00"/>
    <w:rsid w:val="00A34461"/>
    <w:rsid w:val="00A56113"/>
    <w:rsid w:val="00A57131"/>
    <w:rsid w:val="00A61AD5"/>
    <w:rsid w:val="00A73038"/>
    <w:rsid w:val="00A76C99"/>
    <w:rsid w:val="00A81EBE"/>
    <w:rsid w:val="00AB465B"/>
    <w:rsid w:val="00AB66C8"/>
    <w:rsid w:val="00AC6B95"/>
    <w:rsid w:val="00AD1000"/>
    <w:rsid w:val="00AE741B"/>
    <w:rsid w:val="00AF3B73"/>
    <w:rsid w:val="00B00E5C"/>
    <w:rsid w:val="00B04068"/>
    <w:rsid w:val="00B14FC8"/>
    <w:rsid w:val="00B4321D"/>
    <w:rsid w:val="00B666B9"/>
    <w:rsid w:val="00B75E06"/>
    <w:rsid w:val="00B76DC1"/>
    <w:rsid w:val="00B862C0"/>
    <w:rsid w:val="00BD2291"/>
    <w:rsid w:val="00BD291C"/>
    <w:rsid w:val="00BE22D7"/>
    <w:rsid w:val="00BE2DD8"/>
    <w:rsid w:val="00C2305A"/>
    <w:rsid w:val="00C23CC9"/>
    <w:rsid w:val="00C30B3D"/>
    <w:rsid w:val="00C33AE2"/>
    <w:rsid w:val="00C36C5E"/>
    <w:rsid w:val="00C4664C"/>
    <w:rsid w:val="00C4789A"/>
    <w:rsid w:val="00C56527"/>
    <w:rsid w:val="00C75A49"/>
    <w:rsid w:val="00C8096C"/>
    <w:rsid w:val="00C8100B"/>
    <w:rsid w:val="00C92141"/>
    <w:rsid w:val="00CA38DE"/>
    <w:rsid w:val="00CA41D2"/>
    <w:rsid w:val="00CA4EB1"/>
    <w:rsid w:val="00CA4F20"/>
    <w:rsid w:val="00CD5320"/>
    <w:rsid w:val="00CD6EEC"/>
    <w:rsid w:val="00CF6518"/>
    <w:rsid w:val="00D22748"/>
    <w:rsid w:val="00D26918"/>
    <w:rsid w:val="00D37121"/>
    <w:rsid w:val="00D57BE9"/>
    <w:rsid w:val="00D71966"/>
    <w:rsid w:val="00D779F7"/>
    <w:rsid w:val="00D87542"/>
    <w:rsid w:val="00D95C20"/>
    <w:rsid w:val="00D97C16"/>
    <w:rsid w:val="00DA3406"/>
    <w:rsid w:val="00DA67CB"/>
    <w:rsid w:val="00DB2E3A"/>
    <w:rsid w:val="00DB6E18"/>
    <w:rsid w:val="00DE1DAB"/>
    <w:rsid w:val="00DE20A2"/>
    <w:rsid w:val="00DF0B89"/>
    <w:rsid w:val="00E1576F"/>
    <w:rsid w:val="00E35682"/>
    <w:rsid w:val="00E46EA3"/>
    <w:rsid w:val="00E51C1B"/>
    <w:rsid w:val="00E52143"/>
    <w:rsid w:val="00E53DA7"/>
    <w:rsid w:val="00E678C7"/>
    <w:rsid w:val="00E725B9"/>
    <w:rsid w:val="00EC6B44"/>
    <w:rsid w:val="00EE37A3"/>
    <w:rsid w:val="00EE407E"/>
    <w:rsid w:val="00F04231"/>
    <w:rsid w:val="00F238DF"/>
    <w:rsid w:val="00F30558"/>
    <w:rsid w:val="00F4385E"/>
    <w:rsid w:val="00F56CE4"/>
    <w:rsid w:val="00F627EB"/>
    <w:rsid w:val="00F66FC8"/>
    <w:rsid w:val="00F75A10"/>
    <w:rsid w:val="00F77276"/>
    <w:rsid w:val="00F92629"/>
    <w:rsid w:val="00F95853"/>
    <w:rsid w:val="00FA48C8"/>
    <w:rsid w:val="00FB3F26"/>
    <w:rsid w:val="00FB414E"/>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E678C"/>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 w:type="table" w:customStyle="1" w:styleId="27">
    <w:name w:val="רשת טבלה2"/>
    <w:basedOn w:val="a5"/>
    <w:next w:val="af4"/>
    <w:uiPriority w:val="59"/>
    <w:rsid w:val="00003BAE"/>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0FFF64-6028-47A8-BACC-72DFD2084848}">
  <ds:schemaRefs>
    <ds:schemaRef ds:uri="http://schemas.openxmlformats.org/officeDocument/2006/bibliography"/>
  </ds:schemaRefs>
</ds:datastoreItem>
</file>

<file path=customXml/itemProps2.xml><?xml version="1.0" encoding="utf-8"?>
<ds:datastoreItem xmlns:ds="http://schemas.openxmlformats.org/officeDocument/2006/customXml" ds:itemID="{D029A9D4-9583-45D3-97F8-E5413C309620}"/>
</file>

<file path=customXml/itemProps3.xml><?xml version="1.0" encoding="utf-8"?>
<ds:datastoreItem xmlns:ds="http://schemas.openxmlformats.org/officeDocument/2006/customXml" ds:itemID="{97E70AD9-D230-4D1E-A5EE-B216621A48CF}"/>
</file>

<file path=customXml/itemProps4.xml><?xml version="1.0" encoding="utf-8"?>
<ds:datastoreItem xmlns:ds="http://schemas.openxmlformats.org/officeDocument/2006/customXml" ds:itemID="{7DADBE9D-EA5D-4753-A6C6-2F25515AD3C3}"/>
</file>

<file path=docProps/app.xml><?xml version="1.0" encoding="utf-8"?>
<Properties xmlns="http://schemas.openxmlformats.org/officeDocument/2006/extended-properties" xmlns:vt="http://schemas.openxmlformats.org/officeDocument/2006/docPropsVTypes">
  <Template>Normal</Template>
  <TotalTime>10</TotalTime>
  <Pages>14</Pages>
  <Words>3355</Words>
  <Characters>16778</Characters>
  <Application>Microsoft Office Word</Application>
  <DocSecurity>0</DocSecurity>
  <Lines>139</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שלומית סבן</cp:lastModifiedBy>
  <cp:revision>5</cp:revision>
  <cp:lastPrinted>2025-10-15T10:06:00Z</cp:lastPrinted>
  <dcterms:created xsi:type="dcterms:W3CDTF">2025-12-30T12:00:00Z</dcterms:created>
  <dcterms:modified xsi:type="dcterms:W3CDTF">2026-01-01T07:16:00Z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