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diagrams/colors1.xml" ContentType="application/vnd.openxmlformats-officedocument.drawingml.diagramColors+xml"/>
  <Override PartName="/word/theme/theme1.xml" ContentType="application/vnd.openxmlformats-officedocument.theme+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414E" w:rsidRDefault="00E657C5" w:rsidP="006E1414">
      <w:pPr>
        <w:spacing w:before="3480" w:after="2040" w:line="800" w:lineRule="exact"/>
        <w:jc w:val="center"/>
        <w:rPr>
          <w:rFonts w:ascii="Calibri" w:hAnsi="Calibri" w:cs="Calibri"/>
          <w:b/>
          <w:bCs/>
          <w:color w:val="002060"/>
          <w:sz w:val="80"/>
          <w:szCs w:val="80"/>
          <w:rtl/>
        </w:rPr>
        <w:sectPr w:rsidR="00FB414E" w:rsidSect="00FB414E">
          <w:headerReference w:type="default" r:id="rId8"/>
          <w:headerReference w:type="first" r:id="rId9"/>
          <w:footerReference w:type="first" r:id="rId10"/>
          <w:pgSz w:w="11340" w:h="14175" w:code="9"/>
          <w:pgMar w:top="2268" w:right="1276" w:bottom="1588" w:left="1134" w:header="709" w:footer="709" w:gutter="0"/>
          <w:cols w:space="708"/>
          <w:titlePg/>
          <w:bidi/>
          <w:rtlGutter/>
          <w:docGrid w:linePitch="360"/>
        </w:sectPr>
      </w:pPr>
      <w:r w:rsidRPr="00E657C5">
        <w:rPr>
          <w:rFonts w:ascii="Calibri" w:hAnsi="Calibri" w:cs="Calibri"/>
          <w:b/>
          <w:bCs/>
          <w:color w:val="002060"/>
          <w:sz w:val="80"/>
          <w:szCs w:val="80"/>
          <w:rtl/>
        </w:rPr>
        <w:t>מיגון ומקלוט ברשויות המקומיות</w:t>
      </w:r>
    </w:p>
    <w:p w:rsidR="00014C4D" w:rsidRPr="00014C4D" w:rsidRDefault="00014C4D" w:rsidP="00014C4D">
      <w:pPr>
        <w:keepNext/>
        <w:keepLines/>
        <w:spacing w:line="269" w:lineRule="auto"/>
        <w:jc w:val="center"/>
        <w:outlineLvl w:val="0"/>
        <w:rPr>
          <w:rFonts w:eastAsiaTheme="majorEastAsia"/>
          <w:bCs/>
          <w:szCs w:val="36"/>
          <w:u w:val="single"/>
          <w:rtl/>
        </w:rPr>
      </w:pPr>
      <w:bookmarkStart w:id="0" w:name="_Hlk175216646"/>
      <w:bookmarkStart w:id="1" w:name="_Hlk217977495"/>
      <w:bookmarkStart w:id="2" w:name="_Hlk217977538"/>
      <w:bookmarkStart w:id="3" w:name="_Hlk192594390"/>
      <w:r w:rsidRPr="00014C4D">
        <w:rPr>
          <w:rFonts w:eastAsiaTheme="majorEastAsia"/>
          <w:bCs/>
          <w:szCs w:val="36"/>
          <w:u w:val="single"/>
          <w:rtl/>
        </w:rPr>
        <w:lastRenderedPageBreak/>
        <w:t>מיגון ומקלוט</w:t>
      </w:r>
      <w:r w:rsidRPr="00014C4D">
        <w:rPr>
          <w:rFonts w:eastAsiaTheme="majorEastAsia" w:hint="cs"/>
          <w:bCs/>
          <w:szCs w:val="36"/>
          <w:u w:val="single"/>
          <w:rtl/>
        </w:rPr>
        <w:t xml:space="preserve"> ברשויות המקומיות</w:t>
      </w:r>
      <w:r w:rsidRPr="00014C4D">
        <w:rPr>
          <w:rFonts w:eastAsiaTheme="majorEastAsia"/>
          <w:bCs/>
          <w:szCs w:val="36"/>
          <w:u w:val="single"/>
          <w:rtl/>
        </w:rPr>
        <w:t xml:space="preserve"> </w:t>
      </w:r>
    </w:p>
    <w:p w:rsidR="00014C4D" w:rsidRPr="00014C4D" w:rsidRDefault="00014C4D" w:rsidP="00014C4D">
      <w:pPr>
        <w:spacing w:line="269" w:lineRule="auto"/>
      </w:pPr>
    </w:p>
    <w:bookmarkEnd w:id="0"/>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bCs/>
          <w:szCs w:val="28"/>
          <w:u w:val="single"/>
          <w:rtl/>
        </w:rPr>
        <w:t>מבוא</w:t>
      </w:r>
    </w:p>
    <w:p w:rsidR="00014C4D" w:rsidRPr="00014C4D" w:rsidRDefault="00014C4D" w:rsidP="00014C4D">
      <w:pPr>
        <w:spacing w:line="269" w:lineRule="auto"/>
        <w:ind w:left="-567"/>
        <w:rPr>
          <w:szCs w:val="20"/>
        </w:rPr>
      </w:pPr>
    </w:p>
    <w:p w:rsidR="00014C4D" w:rsidRPr="00014C4D" w:rsidRDefault="00014C4D" w:rsidP="00014C4D">
      <w:pPr>
        <w:spacing w:line="269" w:lineRule="auto"/>
        <w:rPr>
          <w:rFonts w:ascii="David" w:hAnsi="David"/>
          <w:sz w:val="24"/>
          <w:rtl/>
        </w:rPr>
      </w:pPr>
      <w:r w:rsidRPr="00014C4D">
        <w:rPr>
          <w:rFonts w:ascii="David" w:hAnsi="David"/>
          <w:sz w:val="24"/>
          <w:rtl/>
        </w:rPr>
        <w:t xml:space="preserve">מאז מתקפת </w:t>
      </w:r>
      <w:r w:rsidRPr="00014C4D">
        <w:rPr>
          <w:rFonts w:ascii="David" w:hAnsi="David" w:hint="cs"/>
          <w:sz w:val="24"/>
          <w:rtl/>
        </w:rPr>
        <w:t>הפתע</w:t>
      </w:r>
      <w:r w:rsidRPr="00014C4D">
        <w:rPr>
          <w:rFonts w:ascii="David" w:hAnsi="David"/>
          <w:sz w:val="24"/>
          <w:rtl/>
        </w:rPr>
        <w:t xml:space="preserve"> של ארגון חמאס ב-7.10.23 </w:t>
      </w:r>
      <w:r w:rsidRPr="00014C4D">
        <w:rPr>
          <w:rFonts w:ascii="David" w:hAnsi="David" w:hint="eastAsia"/>
          <w:sz w:val="24"/>
          <w:rtl/>
        </w:rPr>
        <w:t>ועד</w:t>
      </w:r>
      <w:r w:rsidRPr="00014C4D">
        <w:rPr>
          <w:rFonts w:ascii="David" w:hAnsi="David"/>
          <w:sz w:val="24"/>
          <w:rtl/>
        </w:rPr>
        <w:t xml:space="preserve"> נובמבר 2024 שוגרו לעבר שטחי מדינת ישראל </w:t>
      </w:r>
      <w:r w:rsidRPr="00014C4D">
        <w:rPr>
          <w:rFonts w:ascii="David" w:hAnsi="David" w:hint="eastAsia"/>
          <w:sz w:val="24"/>
          <w:rtl/>
        </w:rPr>
        <w:t>יותר</w:t>
      </w:r>
      <w:r w:rsidRPr="00014C4D">
        <w:rPr>
          <w:rFonts w:ascii="David" w:hAnsi="David"/>
          <w:sz w:val="24"/>
          <w:rtl/>
        </w:rPr>
        <w:t xml:space="preserve"> מ-27,000 טילים</w:t>
      </w:r>
      <w:r w:rsidRPr="00014C4D">
        <w:rPr>
          <w:rFonts w:ascii="David" w:hAnsi="David" w:hint="cs"/>
          <w:sz w:val="24"/>
          <w:rtl/>
        </w:rPr>
        <w:t>,</w:t>
      </w:r>
      <w:r w:rsidRPr="00014C4D">
        <w:rPr>
          <w:rFonts w:ascii="David" w:hAnsi="David"/>
          <w:sz w:val="24"/>
          <w:rtl/>
        </w:rPr>
        <w:t xml:space="preserve"> רקטות</w:t>
      </w:r>
      <w:r w:rsidRPr="00014C4D">
        <w:rPr>
          <w:rFonts w:ascii="David" w:hAnsi="David" w:hint="cs"/>
          <w:sz w:val="24"/>
          <w:rtl/>
        </w:rPr>
        <w:t xml:space="preserve"> וכלי טייס בלתי מאוישים (להלן - כטב"מים) קטלניים</w:t>
      </w:r>
      <w:r w:rsidRPr="00014C4D">
        <w:rPr>
          <w:rFonts w:ascii="David" w:hAnsi="David"/>
          <w:sz w:val="24"/>
          <w:rtl/>
        </w:rPr>
        <w:t xml:space="preserve">, </w:t>
      </w:r>
      <w:r w:rsidRPr="00014C4D">
        <w:rPr>
          <w:rFonts w:ascii="David" w:hAnsi="David" w:hint="eastAsia"/>
          <w:sz w:val="24"/>
          <w:rtl/>
        </w:rPr>
        <w:t>והם</w:t>
      </w:r>
      <w:r w:rsidRPr="00014C4D">
        <w:rPr>
          <w:rFonts w:ascii="David" w:hAnsi="David"/>
          <w:sz w:val="24"/>
          <w:rtl/>
        </w:rPr>
        <w:t xml:space="preserve"> ג</w:t>
      </w:r>
      <w:r w:rsidRPr="00014C4D">
        <w:rPr>
          <w:rFonts w:ascii="David" w:hAnsi="David" w:hint="eastAsia"/>
          <w:sz w:val="24"/>
          <w:rtl/>
        </w:rPr>
        <w:t>רמו</w:t>
      </w:r>
      <w:r w:rsidRPr="00014C4D">
        <w:rPr>
          <w:rFonts w:ascii="David" w:hAnsi="David"/>
          <w:sz w:val="24"/>
          <w:rtl/>
        </w:rPr>
        <w:t xml:space="preserve"> לאובדן חיי אדם </w:t>
      </w:r>
      <w:r w:rsidRPr="00014C4D">
        <w:rPr>
          <w:rFonts w:ascii="David" w:hAnsi="David" w:hint="eastAsia"/>
          <w:sz w:val="24"/>
          <w:rtl/>
        </w:rPr>
        <w:t>ו</w:t>
      </w:r>
      <w:r w:rsidRPr="00014C4D">
        <w:rPr>
          <w:rFonts w:ascii="David" w:hAnsi="David"/>
          <w:sz w:val="24"/>
          <w:rtl/>
        </w:rPr>
        <w:t>לפגיעה במבנים ובתשתיות</w:t>
      </w:r>
      <w:r w:rsidRPr="00014C4D">
        <w:rPr>
          <w:rFonts w:ascii="David" w:hAnsi="David"/>
          <w:sz w:val="24"/>
          <w:vertAlign w:val="superscript"/>
          <w:rtl/>
        </w:rPr>
        <w:footnoteReference w:id="1"/>
      </w:r>
      <w:r w:rsidRPr="00014C4D">
        <w:rPr>
          <w:rFonts w:ascii="David" w:hAnsi="David"/>
          <w:sz w:val="24"/>
          <w:rtl/>
        </w:rPr>
        <w:t xml:space="preserve">. נכון לסוף נובמבר 2024 לפחות 63 </w:t>
      </w:r>
      <w:r w:rsidRPr="00014C4D">
        <w:rPr>
          <w:rFonts w:ascii="David" w:hAnsi="David" w:hint="eastAsia"/>
          <w:sz w:val="24"/>
          <w:rtl/>
        </w:rPr>
        <w:t>אזרחים</w:t>
      </w:r>
      <w:r w:rsidRPr="00014C4D">
        <w:rPr>
          <w:rFonts w:ascii="David" w:hAnsi="David"/>
          <w:sz w:val="24"/>
          <w:rtl/>
        </w:rPr>
        <w:t xml:space="preserve"> ישראלים וזרים נ</w:t>
      </w:r>
      <w:r w:rsidRPr="00014C4D">
        <w:rPr>
          <w:rFonts w:ascii="David" w:hAnsi="David" w:hint="eastAsia"/>
          <w:sz w:val="24"/>
          <w:rtl/>
        </w:rPr>
        <w:t>הרג</w:t>
      </w:r>
      <w:r w:rsidRPr="00014C4D">
        <w:rPr>
          <w:rFonts w:ascii="David" w:hAnsi="David"/>
          <w:sz w:val="24"/>
          <w:rtl/>
        </w:rPr>
        <w:t>ו מירי טילים ורקטות</w:t>
      </w:r>
      <w:r w:rsidRPr="00014C4D">
        <w:rPr>
          <w:rFonts w:ascii="David" w:hAnsi="David"/>
          <w:sz w:val="24"/>
          <w:vertAlign w:val="superscript"/>
          <w:rtl/>
        </w:rPr>
        <w:footnoteReference w:id="2"/>
      </w:r>
      <w:r w:rsidRPr="00014C4D">
        <w:rPr>
          <w:rFonts w:ascii="David" w:hAnsi="David"/>
          <w:sz w:val="24"/>
          <w:rtl/>
        </w:rPr>
        <w:t>, מתוכם לפחות 43 נהרגו בעקבות שיגורים מהצפון</w:t>
      </w:r>
      <w:r w:rsidRPr="00014C4D">
        <w:rPr>
          <w:rFonts w:ascii="David" w:hAnsi="David"/>
          <w:sz w:val="24"/>
          <w:vertAlign w:val="superscript"/>
          <w:rtl/>
        </w:rPr>
        <w:footnoteReference w:id="3"/>
      </w:r>
      <w:r w:rsidRPr="00014C4D">
        <w:rPr>
          <w:rFonts w:ascii="David" w:hAnsi="David"/>
          <w:sz w:val="24"/>
          <w:rtl/>
        </w:rPr>
        <w:t xml:space="preserve"> ולפחות 20 נהרגו בעקבות שיגורים מהדרום</w:t>
      </w:r>
      <w:r w:rsidRPr="00014C4D">
        <w:rPr>
          <w:rFonts w:ascii="David" w:hAnsi="David"/>
          <w:sz w:val="24"/>
          <w:vertAlign w:val="superscript"/>
          <w:rtl/>
        </w:rPr>
        <w:footnoteReference w:id="4"/>
      </w:r>
      <w:r w:rsidRPr="00014C4D">
        <w:rPr>
          <w:rFonts w:ascii="David" w:hAns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rFonts w:ascii="David" w:eastAsia="Times New Roman" w:hAnsi="David"/>
          <w:b/>
          <w:bCs/>
          <w:color w:val="FF0000"/>
          <w:sz w:val="24"/>
        </w:rPr>
      </w:pPr>
      <w:r w:rsidRPr="00014C4D">
        <w:rPr>
          <w:rFonts w:ascii="David" w:hAnsi="David"/>
          <w:sz w:val="24"/>
          <w:rtl/>
        </w:rPr>
        <w:t xml:space="preserve">המיגון הפיזי - המציב חיץ בין איום זה ובין האוכלוסייה - נועד למזער את הפגיעות הפיזיות בבני אדם ואת מספר הנפגעים, וכפועל יוצא - להציל חיים. קיומם של אמצעי מיגון פיזי להגנה על כלל אוכלוסיית מדינת ישראל הוא תנאי הכרחי להתמודדות עם איום </w:t>
      </w:r>
      <w:r w:rsidRPr="00014C4D">
        <w:rPr>
          <w:rFonts w:ascii="David" w:hAnsi="David" w:hint="cs"/>
          <w:sz w:val="24"/>
          <w:rtl/>
        </w:rPr>
        <w:t>ה</w:t>
      </w:r>
      <w:r w:rsidRPr="00014C4D">
        <w:rPr>
          <w:rFonts w:ascii="David" w:hAnsi="David"/>
          <w:sz w:val="24"/>
          <w:rtl/>
        </w:rPr>
        <w:t>טילים</w:t>
      </w:r>
      <w:r w:rsidRPr="00014C4D">
        <w:rPr>
          <w:rFonts w:ascii="David" w:hAnsi="David" w:hint="cs"/>
          <w:sz w:val="24"/>
          <w:rtl/>
        </w:rPr>
        <w:t>,</w:t>
      </w:r>
      <w:r w:rsidRPr="00014C4D">
        <w:rPr>
          <w:rFonts w:ascii="David" w:hAnsi="David"/>
          <w:sz w:val="24"/>
          <w:rtl/>
        </w:rPr>
        <w:t xml:space="preserve"> </w:t>
      </w:r>
      <w:r w:rsidRPr="00014C4D">
        <w:rPr>
          <w:rFonts w:ascii="David" w:hAnsi="David" w:hint="cs"/>
          <w:sz w:val="24"/>
          <w:rtl/>
        </w:rPr>
        <w:t>ה</w:t>
      </w:r>
      <w:r w:rsidRPr="00014C4D">
        <w:rPr>
          <w:rFonts w:ascii="David" w:hAnsi="David"/>
          <w:sz w:val="24"/>
          <w:rtl/>
        </w:rPr>
        <w:t>רקטות</w:t>
      </w:r>
      <w:r w:rsidRPr="00014C4D">
        <w:rPr>
          <w:rFonts w:ascii="David" w:hAnsi="David" w:hint="cs"/>
          <w:sz w:val="24"/>
          <w:rtl/>
        </w:rPr>
        <w:t xml:space="preserve"> והכטב"מים</w:t>
      </w:r>
      <w:r w:rsidRPr="00014C4D">
        <w:rPr>
          <w:rFonts w:ascii="David" w:hAnsi="David"/>
          <w:sz w:val="24"/>
          <w:rtl/>
        </w:rPr>
        <w:t xml:space="preserve">, ולבד מהגנה על האוכלוסייה הוא מאפשר לקיים שגרת חירום ולתת שירותים חיוניים לתושבים. </w:t>
      </w:r>
      <w:r w:rsidRPr="00014C4D">
        <w:rPr>
          <w:rFonts w:ascii="David" w:eastAsia="Times New Roman" w:hAnsi="David" w:hint="cs"/>
          <w:sz w:val="24"/>
          <w:rtl/>
        </w:rPr>
        <w:t xml:space="preserve">מיגון זה </w:t>
      </w:r>
      <w:r w:rsidRPr="00014C4D">
        <w:rPr>
          <w:rFonts w:ascii="David" w:eastAsia="Times New Roman" w:hAnsi="David"/>
          <w:sz w:val="24"/>
          <w:rtl/>
        </w:rPr>
        <w:t xml:space="preserve">כולל, בין היתר, </w:t>
      </w:r>
      <w:r w:rsidRPr="00014C4D">
        <w:rPr>
          <w:rFonts w:ascii="David" w:eastAsia="Times New Roman" w:hAnsi="David" w:hint="cs"/>
          <w:sz w:val="24"/>
          <w:rtl/>
        </w:rPr>
        <w:t>את ה</w:t>
      </w:r>
      <w:r w:rsidRPr="00014C4D">
        <w:rPr>
          <w:rFonts w:ascii="David" w:eastAsia="Times New Roman" w:hAnsi="David"/>
          <w:sz w:val="24"/>
          <w:rtl/>
        </w:rPr>
        <w:t>אמצעי</w:t>
      </w:r>
      <w:r w:rsidRPr="00014C4D">
        <w:rPr>
          <w:rFonts w:ascii="David" w:eastAsia="Times New Roman" w:hAnsi="David" w:hint="cs"/>
          <w:sz w:val="24"/>
          <w:rtl/>
        </w:rPr>
        <w:t>ם האלה</w:t>
      </w:r>
      <w:r w:rsidRPr="00014C4D">
        <w:rPr>
          <w:rFonts w:ascii="David" w:eastAsia="Times New Roman" w:hAnsi="David"/>
          <w:sz w:val="24"/>
          <w:rtl/>
        </w:rPr>
        <w:t xml:space="preserve">: </w:t>
      </w:r>
      <w:r w:rsidRPr="00014C4D">
        <w:rPr>
          <w:rFonts w:ascii="David" w:hAnsi="David"/>
          <w:sz w:val="24"/>
          <w:rtl/>
        </w:rPr>
        <w:t>מרחב מוגן</w:t>
      </w:r>
      <w:r w:rsidRPr="00014C4D">
        <w:rPr>
          <w:rFonts w:ascii="David" w:hAnsi="David"/>
          <w:sz w:val="24"/>
          <w:vertAlign w:val="superscript"/>
          <w:rtl/>
        </w:rPr>
        <w:footnoteReference w:id="5"/>
      </w:r>
      <w:r w:rsidRPr="00014C4D">
        <w:rPr>
          <w:rFonts w:ascii="David" w:hAnsi="David"/>
          <w:sz w:val="24"/>
          <w:rtl/>
        </w:rPr>
        <w:t xml:space="preserve"> דירתי (ממ"ד) או קומתי (ממ"ק)</w:t>
      </w:r>
      <w:r w:rsidRPr="00014C4D">
        <w:rPr>
          <w:rFonts w:ascii="David" w:hAnsi="David" w:hint="cs"/>
          <w:sz w:val="24"/>
          <w:rtl/>
        </w:rPr>
        <w:t>;</w:t>
      </w:r>
      <w:r w:rsidRPr="00014C4D">
        <w:rPr>
          <w:rFonts w:ascii="David" w:hAnsi="David"/>
          <w:sz w:val="24"/>
          <w:rtl/>
        </w:rPr>
        <w:t xml:space="preserve"> </w:t>
      </w:r>
      <w:bookmarkStart w:id="4" w:name="_Hlk182221506"/>
      <w:r w:rsidRPr="00014C4D">
        <w:rPr>
          <w:rFonts w:ascii="David" w:eastAsia="Times New Roman" w:hAnsi="David"/>
          <w:sz w:val="24"/>
          <w:rtl/>
        </w:rPr>
        <w:t xml:space="preserve">מקלט </w:t>
      </w:r>
      <w:r w:rsidRPr="00014C4D">
        <w:rPr>
          <w:rFonts w:ascii="David" w:eastAsia="Times New Roman" w:hAnsi="David" w:hint="cs"/>
          <w:sz w:val="24"/>
          <w:rtl/>
        </w:rPr>
        <w:t xml:space="preserve">בבית פרטי; </w:t>
      </w:r>
      <w:r w:rsidRPr="00014C4D">
        <w:rPr>
          <w:rFonts w:ascii="David" w:eastAsia="Times New Roman" w:hAnsi="David"/>
          <w:sz w:val="24"/>
          <w:rtl/>
        </w:rPr>
        <w:t xml:space="preserve">מקלט </w:t>
      </w:r>
      <w:bookmarkEnd w:id="4"/>
      <w:r w:rsidRPr="00014C4D">
        <w:rPr>
          <w:rFonts w:ascii="David" w:eastAsia="Times New Roman" w:hAnsi="David"/>
          <w:sz w:val="24"/>
          <w:rtl/>
        </w:rPr>
        <w:t>משות</w:t>
      </w:r>
      <w:r w:rsidRPr="00014C4D">
        <w:rPr>
          <w:rFonts w:ascii="David" w:eastAsia="Times New Roman" w:hAnsi="David" w:hint="cs"/>
          <w:sz w:val="24"/>
          <w:rtl/>
        </w:rPr>
        <w:t>ף</w:t>
      </w:r>
      <w:r w:rsidRPr="00014C4D">
        <w:rPr>
          <w:rFonts w:ascii="David" w:eastAsia="Times New Roman" w:hAnsi="David"/>
          <w:sz w:val="24"/>
          <w:rtl/>
        </w:rPr>
        <w:t xml:space="preserve"> הבנוי בקומת הקרקע או במרתף של בניי</w:t>
      </w:r>
      <w:r w:rsidRPr="00014C4D">
        <w:rPr>
          <w:rFonts w:ascii="David" w:eastAsia="Times New Roman" w:hAnsi="David" w:hint="cs"/>
          <w:sz w:val="24"/>
          <w:rtl/>
        </w:rPr>
        <w:t>ן</w:t>
      </w:r>
      <w:r w:rsidRPr="00014C4D">
        <w:rPr>
          <w:rFonts w:ascii="David" w:eastAsia="Times New Roman" w:hAnsi="David"/>
          <w:sz w:val="24"/>
          <w:rtl/>
        </w:rPr>
        <w:t xml:space="preserve"> מגורים משות</w:t>
      </w:r>
      <w:r w:rsidRPr="00014C4D">
        <w:rPr>
          <w:rFonts w:ascii="David" w:eastAsia="Times New Roman" w:hAnsi="David" w:hint="cs"/>
          <w:sz w:val="24"/>
          <w:rtl/>
        </w:rPr>
        <w:t>ף</w:t>
      </w:r>
      <w:r w:rsidRPr="00014C4D">
        <w:rPr>
          <w:rFonts w:ascii="David" w:eastAsia="Times New Roman" w:hAnsi="David"/>
          <w:sz w:val="24"/>
          <w:rtl/>
        </w:rPr>
        <w:t xml:space="preserve"> ונועד לשמש את תושבי הבניין; מקלט ציבורי </w:t>
      </w:r>
      <w:r w:rsidRPr="00014C4D">
        <w:rPr>
          <w:rFonts w:ascii="David" w:eastAsia="Times New Roman" w:hAnsi="David" w:hint="cs"/>
          <w:sz w:val="24"/>
          <w:rtl/>
        </w:rPr>
        <w:t xml:space="preserve">(המוני) </w:t>
      </w:r>
      <w:r w:rsidRPr="00014C4D">
        <w:rPr>
          <w:rFonts w:ascii="David" w:eastAsia="Times New Roman" w:hAnsi="David"/>
          <w:sz w:val="24"/>
          <w:rtl/>
        </w:rPr>
        <w:t xml:space="preserve">הבנוי באזור מגורים </w:t>
      </w:r>
      <w:r w:rsidRPr="00014C4D">
        <w:rPr>
          <w:rFonts w:ascii="David" w:eastAsia="Times New Roman" w:hAnsi="David" w:hint="cs"/>
          <w:sz w:val="24"/>
          <w:rtl/>
        </w:rPr>
        <w:t>ונועד לשמש את</w:t>
      </w:r>
      <w:r w:rsidRPr="00014C4D">
        <w:rPr>
          <w:rFonts w:ascii="David" w:eastAsia="Times New Roman" w:hAnsi="David"/>
          <w:sz w:val="24"/>
          <w:rtl/>
        </w:rPr>
        <w:t xml:space="preserve"> </w:t>
      </w:r>
      <w:r w:rsidRPr="00014C4D">
        <w:rPr>
          <w:rFonts w:ascii="David" w:eastAsia="Times New Roman" w:hAnsi="David" w:hint="cs"/>
          <w:sz w:val="24"/>
          <w:rtl/>
        </w:rPr>
        <w:t>ה</w:t>
      </w:r>
      <w:r w:rsidRPr="00014C4D">
        <w:rPr>
          <w:rFonts w:ascii="David" w:eastAsia="Times New Roman" w:hAnsi="David"/>
          <w:sz w:val="24"/>
          <w:rtl/>
        </w:rPr>
        <w:t>תושבים המתגוררים בסמוך ל</w:t>
      </w:r>
      <w:r w:rsidRPr="00014C4D">
        <w:rPr>
          <w:rFonts w:ascii="David" w:eastAsia="Times New Roman" w:hAnsi="David" w:hint="cs"/>
          <w:sz w:val="24"/>
          <w:rtl/>
        </w:rPr>
        <w:t>ו ואת המזדמנים למקום בעת חירום</w:t>
      </w:r>
      <w:r w:rsidRPr="00014C4D">
        <w:rPr>
          <w:rFonts w:ascii="David" w:eastAsia="Times New Roman" w:hAnsi="David"/>
          <w:sz w:val="24"/>
          <w:rtl/>
        </w:rPr>
        <w:t>; ומחס</w:t>
      </w:r>
      <w:r w:rsidRPr="00014C4D">
        <w:rPr>
          <w:rFonts w:ascii="David" w:eastAsia="Times New Roman" w:hAnsi="David" w:hint="cs"/>
          <w:sz w:val="24"/>
          <w:rtl/>
        </w:rPr>
        <w:t>ה</w:t>
      </w:r>
      <w:r w:rsidRPr="00014C4D">
        <w:rPr>
          <w:rFonts w:ascii="David" w:eastAsia="Times New Roman" w:hAnsi="David"/>
          <w:sz w:val="24"/>
          <w:rtl/>
        </w:rPr>
        <w:t xml:space="preserve"> </w:t>
      </w:r>
      <w:r w:rsidRPr="00014C4D">
        <w:rPr>
          <w:rFonts w:ascii="David" w:eastAsia="Times New Roman" w:hAnsi="David" w:hint="cs"/>
          <w:sz w:val="24"/>
          <w:rtl/>
        </w:rPr>
        <w:t>ציבורי</w:t>
      </w:r>
      <w:r w:rsidRPr="00014C4D">
        <w:rPr>
          <w:rFonts w:ascii="David" w:eastAsia="Times New Roman" w:hAnsi="David"/>
          <w:sz w:val="24"/>
          <w:vertAlign w:val="superscript"/>
          <w:rtl/>
        </w:rPr>
        <w:footnoteReference w:id="6"/>
      </w:r>
      <w:r w:rsidRPr="00014C4D">
        <w:rPr>
          <w:rFonts w:ascii="David" w:eastAsia="Times New Roman" w:hAnsi="David" w:hint="cs"/>
          <w:sz w:val="24"/>
          <w:rtl/>
        </w:rPr>
        <w:t xml:space="preserve"> (להלן יכונו כל אמצעי המיגון האלה - מיגון תקני)</w:t>
      </w:r>
      <w:r w:rsidRPr="00014C4D">
        <w:rPr>
          <w:rFonts w:ascii="David" w:eastAsia="Times New Roman" w:hAnsi="David"/>
          <w:sz w:val="24"/>
          <w:vertAlign w:val="superscript"/>
          <w:rtl/>
        </w:rPr>
        <w:footnoteReference w:id="7"/>
      </w:r>
      <w:r w:rsidRPr="00014C4D">
        <w:rPr>
          <w:rFonts w:ascii="David" w:eastAsia="Times New Roman" w:hAnsi="David" w:hint="cs"/>
          <w:sz w:val="24"/>
          <w:rtl/>
        </w:rPr>
        <w:t>.</w:t>
      </w:r>
      <w:r w:rsidRPr="00014C4D">
        <w:rPr>
          <w:rFonts w:ascii="David" w:eastAsia="Times New Roman" w:hAnsi="David" w:hint="cs"/>
          <w:sz w:val="24"/>
          <w:highlight w:val="yellow"/>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t>בפרק השלישי ל</w:t>
      </w:r>
      <w:r w:rsidRPr="00014C4D">
        <w:rPr>
          <w:rFonts w:ascii="David" w:hAnsi="David"/>
          <w:sz w:val="24"/>
          <w:rtl/>
        </w:rPr>
        <w:t xml:space="preserve">חוק ההתגוננות האזרחית, </w:t>
      </w:r>
      <w:r w:rsidRPr="00014C4D">
        <w:rPr>
          <w:rFonts w:ascii="David" w:hAnsi="David" w:hint="cs"/>
          <w:sz w:val="24"/>
          <w:rtl/>
        </w:rPr>
        <w:t>ה</w:t>
      </w:r>
      <w:r w:rsidRPr="00014C4D">
        <w:rPr>
          <w:rFonts w:ascii="David" w:hAnsi="David"/>
          <w:sz w:val="24"/>
          <w:rtl/>
        </w:rPr>
        <w:t>תשי"א-1951</w:t>
      </w:r>
      <w:r w:rsidRPr="00014C4D">
        <w:rPr>
          <w:rFonts w:ascii="David" w:hAnsi="David" w:hint="cs"/>
          <w:sz w:val="24"/>
          <w:rtl/>
        </w:rPr>
        <w:t xml:space="preserve"> (להלן - חוק הג"א), נקבע כי בכל בית או מפעל יהיה מקלט אשר ישמש את דיירי הבית, עובדי המפעל ובני אדם המבקרים בהם</w:t>
      </w:r>
      <w:r w:rsidRPr="00014C4D">
        <w:rPr>
          <w:rFonts w:hint="cs"/>
          <w:rtl/>
        </w:rPr>
        <w:t>.</w:t>
      </w:r>
      <w:r w:rsidRPr="00014C4D">
        <w:rPr>
          <w:rtl/>
        </w:rPr>
        <w:t xml:space="preserve"> </w:t>
      </w:r>
      <w:r w:rsidRPr="00014C4D">
        <w:rPr>
          <w:rFonts w:ascii="David" w:hAnsi="David"/>
          <w:sz w:val="24"/>
          <w:rtl/>
        </w:rPr>
        <w:t>האחריות להקמת מרחבים מוגנים בנכסים פרטיים מוטלת על בעלי הנכסים (והמחזיקים) עצמם</w:t>
      </w:r>
      <w:r w:rsidRPr="00014C4D">
        <w:rPr>
          <w:rFonts w:ascii="David" w:hAnsi="David"/>
          <w:sz w:val="24"/>
          <w:vertAlign w:val="superscript"/>
          <w:rtl/>
        </w:rPr>
        <w:footnoteReference w:id="8"/>
      </w:r>
      <w:r w:rsidRPr="00014C4D">
        <w:rPr>
          <w:rFonts w:ascii="David" w:hAnsi="David"/>
          <w:sz w:val="24"/>
          <w:rtl/>
        </w:rPr>
        <w:t>.</w:t>
      </w:r>
      <w:r w:rsidRPr="00014C4D">
        <w:rPr>
          <w:rFonts w:ascii="David" w:hAnsi="David" w:hint="cs"/>
          <w:sz w:val="24"/>
          <w:rtl/>
        </w:rPr>
        <w:t xml:space="preserve"> מכוח חוק הג"א הותקנו תקנות הקובעות את סוגי המקלטים ושטחיהם ואת הציוד הנדרש בהם, ובין היתר: </w:t>
      </w:r>
      <w:r w:rsidRPr="00014C4D">
        <w:rPr>
          <w:rtl/>
        </w:rPr>
        <w:t xml:space="preserve">תקנות ההתגוננות האזרחית (השתתפות רשויות מקומיות), התשט"ז-1955; תקנות ההתגוננות האזרחית (ציוד ושילוט </w:t>
      </w:r>
      <w:bookmarkEnd w:id="1"/>
      <w:r w:rsidRPr="00014C4D">
        <w:rPr>
          <w:rtl/>
        </w:rPr>
        <w:lastRenderedPageBreak/>
        <w:t>במקלטים ובמחסים ציבוריים), התשמ"א-1981</w:t>
      </w:r>
      <w:r w:rsidRPr="00014C4D">
        <w:rPr>
          <w:rFonts w:hint="cs"/>
          <w:rtl/>
        </w:rPr>
        <w:t>;</w:t>
      </w:r>
      <w:r w:rsidRPr="00014C4D">
        <w:rPr>
          <w:rtl/>
        </w:rPr>
        <w:t xml:space="preserve"> תקנות ההתגוננות האזרחית (מפרטים לבניית מקלטים), התש"ן-1990.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rFonts w:ascii="David" w:eastAsia="Times New Roman" w:hAnsi="David"/>
          <w:sz w:val="24"/>
          <w:rtl/>
        </w:rPr>
      </w:pPr>
      <w:r w:rsidRPr="00014C4D">
        <w:rPr>
          <w:rFonts w:hint="cs"/>
          <w:rtl/>
        </w:rPr>
        <w:t xml:space="preserve">פיקוד העורף (להלן - פקע"ר) </w:t>
      </w:r>
      <w:r w:rsidRPr="00014C4D">
        <w:rPr>
          <w:rtl/>
        </w:rPr>
        <w:t>הוא בעל הסמכויות העיקרי להכין ולבצע את ת</w:t>
      </w:r>
      <w:r w:rsidRPr="00014C4D">
        <w:rPr>
          <w:rFonts w:hint="cs"/>
          <w:rtl/>
        </w:rPr>
        <w:t>ו</w:t>
      </w:r>
      <w:r w:rsidRPr="00014C4D">
        <w:rPr>
          <w:rtl/>
        </w:rPr>
        <w:t>כניות ההתגוננות האזרחית של המדינה</w:t>
      </w:r>
      <w:r w:rsidRPr="00014C4D">
        <w:rPr>
          <w:vertAlign w:val="superscript"/>
          <w:rtl/>
        </w:rPr>
        <w:footnoteReference w:id="9"/>
      </w:r>
      <w:r w:rsidRPr="00014C4D">
        <w:rPr>
          <w:rFonts w:hint="cs"/>
          <w:rtl/>
        </w:rPr>
        <w:t>, והוא</w:t>
      </w:r>
      <w:r w:rsidRPr="00014C4D">
        <w:rPr>
          <w:rtl/>
        </w:rPr>
        <w:t xml:space="preserve"> </w:t>
      </w:r>
      <w:r w:rsidRPr="00014C4D">
        <w:rPr>
          <w:rFonts w:hint="cs"/>
          <w:rtl/>
        </w:rPr>
        <w:t xml:space="preserve">משמש </w:t>
      </w:r>
      <w:r w:rsidRPr="00014C4D">
        <w:rPr>
          <w:rtl/>
        </w:rPr>
        <w:t>רשות מוסמכת</w:t>
      </w:r>
      <w:r w:rsidRPr="00014C4D">
        <w:rPr>
          <w:vertAlign w:val="superscript"/>
          <w:rtl/>
        </w:rPr>
        <w:footnoteReference w:id="10"/>
      </w:r>
      <w:r w:rsidRPr="00014C4D">
        <w:rPr>
          <w:rtl/>
        </w:rPr>
        <w:t xml:space="preserve"> כמשמעותה בחוק הג"א בנושא המקלוט</w:t>
      </w:r>
      <w:r w:rsidRPr="00014C4D">
        <w:rPr>
          <w:rFonts w:hint="cs"/>
          <w:rtl/>
        </w:rPr>
        <w:t>: ה</w:t>
      </w:r>
      <w:r w:rsidRPr="00014C4D">
        <w:rPr>
          <w:rtl/>
        </w:rPr>
        <w:t xml:space="preserve">וא </w:t>
      </w:r>
      <w:r w:rsidRPr="00014C4D">
        <w:rPr>
          <w:rFonts w:hint="cs"/>
          <w:rtl/>
        </w:rPr>
        <w:t>א</w:t>
      </w:r>
      <w:r w:rsidRPr="00014C4D">
        <w:rPr>
          <w:rtl/>
        </w:rPr>
        <w:t>מון על הדרישות ההנדסיות שלפיהן יתוכננו וייבנו המקלטים</w:t>
      </w:r>
      <w:r w:rsidRPr="00014C4D">
        <w:rPr>
          <w:rFonts w:hint="cs"/>
          <w:rtl/>
        </w:rPr>
        <w:t xml:space="preserve"> - בין הציבוריים ובין הפרטיים. </w:t>
      </w:r>
      <w:r w:rsidRPr="00014C4D">
        <w:rPr>
          <w:rFonts w:ascii="David" w:eastAsia="Times New Roman" w:hAnsi="David"/>
          <w:sz w:val="24"/>
          <w:rtl/>
        </w:rPr>
        <w:t>על פי חוק הג"א, הרשות המוסמכת לא תאשר ת</w:t>
      </w:r>
      <w:r w:rsidRPr="00014C4D">
        <w:rPr>
          <w:rFonts w:ascii="David" w:eastAsia="Times New Roman" w:hAnsi="David" w:hint="cs"/>
          <w:sz w:val="24"/>
          <w:rtl/>
        </w:rPr>
        <w:t>ו</w:t>
      </w:r>
      <w:r w:rsidRPr="00014C4D">
        <w:rPr>
          <w:rFonts w:ascii="David" w:eastAsia="Times New Roman" w:hAnsi="David"/>
          <w:sz w:val="24"/>
          <w:rtl/>
        </w:rPr>
        <w:t xml:space="preserve">כנית להתקנת מקלט או להגדלתו, אלא אם כן היא מתאימה למפרטים הטכניים ולמפרטים אחרים שנקבעו בתקנות בדרך כלל, לסוג מקלטים </w:t>
      </w:r>
      <w:r w:rsidRPr="00014C4D">
        <w:rPr>
          <w:rFonts w:ascii="David" w:eastAsia="Times New Roman" w:hAnsi="David" w:hint="cs"/>
          <w:sz w:val="24"/>
          <w:rtl/>
        </w:rPr>
        <w:t xml:space="preserve">מסוים </w:t>
      </w:r>
      <w:r w:rsidRPr="00014C4D">
        <w:rPr>
          <w:rFonts w:ascii="David" w:eastAsia="Times New Roman" w:hAnsi="David"/>
          <w:sz w:val="24"/>
          <w:rtl/>
        </w:rPr>
        <w:t>או למקלט מסוים.</w:t>
      </w:r>
      <w:r w:rsidRPr="00014C4D">
        <w:rPr>
          <w:rFonts w:ascii="David" w:eastAsia="Times New Roman" w:hAnsi="David" w:hint="cs"/>
          <w:b/>
          <w:bCs/>
          <w:sz w:val="24"/>
          <w:rtl/>
        </w:rPr>
        <w:t xml:space="preserve"> </w:t>
      </w:r>
      <w:r w:rsidRPr="00014C4D">
        <w:rPr>
          <w:rFonts w:ascii="Calibri" w:eastAsia="Calibri" w:hAnsi="Calibri" w:hint="cs"/>
          <w:rtl/>
        </w:rPr>
        <w:t>פקע"ר</w:t>
      </w:r>
      <w:r w:rsidRPr="00014C4D">
        <w:rPr>
          <w:rFonts w:ascii="Calibri" w:eastAsia="Calibri" w:hAnsi="Calibri"/>
          <w:rtl/>
        </w:rPr>
        <w:t xml:space="preserve"> </w:t>
      </w:r>
      <w:r w:rsidRPr="00014C4D">
        <w:rPr>
          <w:rFonts w:ascii="Calibri" w:eastAsia="Calibri" w:hAnsi="Calibri" w:hint="cs"/>
          <w:rtl/>
        </w:rPr>
        <w:t>משמש</w:t>
      </w:r>
      <w:r w:rsidRPr="00014C4D">
        <w:rPr>
          <w:rFonts w:ascii="Calibri" w:eastAsia="Calibri" w:hAnsi="Calibri"/>
          <w:rtl/>
        </w:rPr>
        <w:t xml:space="preserve"> גורם מפקח על הרשות המקומית לעניין תחזוקת המקלטים הציבוריים ושמירה על תקינותם.</w:t>
      </w:r>
      <w:r w:rsidRPr="00014C4D">
        <w:rPr>
          <w:rFonts w:ascii="David" w:eastAsia="Times New Roman" w:hAnsi="David" w:hint="cs"/>
          <w:b/>
          <w:bCs/>
          <w:sz w:val="24"/>
          <w:rtl/>
        </w:rPr>
        <w:t xml:space="preserve"> </w:t>
      </w:r>
      <w:r w:rsidRPr="00014C4D">
        <w:rPr>
          <w:rFonts w:ascii="David" w:eastAsia="Times New Roman" w:hAnsi="David" w:hint="cs"/>
          <w:sz w:val="24"/>
          <w:rtl/>
        </w:rPr>
        <w:t>כמו כן, לפקע"ר סמכות להורות לכל רשות מקומית להבטיח את התקנתם של מקלטים פרטיים והחזקתם התקינה על ידי בעלי בתים ובעלי מפעלים.</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rFonts w:ascii="David" w:hAnsi="David"/>
          <w:sz w:val="24"/>
          <w:rtl/>
        </w:rPr>
      </w:pPr>
      <w:r w:rsidRPr="00014C4D">
        <w:rPr>
          <w:rFonts w:ascii="David" w:hAnsi="David" w:hint="eastAsia"/>
          <w:sz w:val="24"/>
          <w:rtl/>
        </w:rPr>
        <w:t>משרד</w:t>
      </w:r>
      <w:r w:rsidRPr="00014C4D">
        <w:rPr>
          <w:rFonts w:ascii="David" w:hAnsi="David"/>
          <w:sz w:val="24"/>
          <w:rtl/>
        </w:rPr>
        <w:t xml:space="preserve"> </w:t>
      </w:r>
      <w:r w:rsidRPr="00014C4D">
        <w:rPr>
          <w:rFonts w:ascii="David" w:hAnsi="David" w:hint="eastAsia"/>
          <w:sz w:val="24"/>
          <w:rtl/>
        </w:rPr>
        <w:t>מבקר</w:t>
      </w:r>
      <w:r w:rsidRPr="00014C4D">
        <w:rPr>
          <w:rFonts w:ascii="David" w:hAnsi="David"/>
          <w:sz w:val="24"/>
          <w:rtl/>
        </w:rPr>
        <w:t xml:space="preserve"> </w:t>
      </w:r>
      <w:r w:rsidRPr="00014C4D">
        <w:rPr>
          <w:rFonts w:ascii="David" w:hAnsi="David" w:hint="eastAsia"/>
          <w:sz w:val="24"/>
          <w:rtl/>
        </w:rPr>
        <w:t>המדינה</w:t>
      </w:r>
      <w:r w:rsidRPr="00014C4D">
        <w:rPr>
          <w:rFonts w:ascii="David" w:hAnsi="David"/>
          <w:sz w:val="24"/>
          <w:rtl/>
        </w:rPr>
        <w:t xml:space="preserve"> </w:t>
      </w:r>
      <w:r w:rsidRPr="00014C4D">
        <w:rPr>
          <w:rFonts w:ascii="David" w:hAnsi="David" w:hint="eastAsia"/>
          <w:sz w:val="24"/>
          <w:rtl/>
        </w:rPr>
        <w:t>בדק</w:t>
      </w:r>
      <w:r w:rsidRPr="00014C4D">
        <w:rPr>
          <w:rFonts w:ascii="David" w:hAnsi="David"/>
          <w:sz w:val="24"/>
          <w:rtl/>
        </w:rPr>
        <w:t xml:space="preserve"> </w:t>
      </w:r>
      <w:r w:rsidRPr="00014C4D">
        <w:rPr>
          <w:rFonts w:ascii="David" w:hAnsi="David" w:hint="eastAsia"/>
          <w:sz w:val="24"/>
          <w:rtl/>
        </w:rPr>
        <w:t>לאורך</w:t>
      </w:r>
      <w:r w:rsidRPr="00014C4D">
        <w:rPr>
          <w:rFonts w:ascii="David" w:hAnsi="David"/>
          <w:sz w:val="24"/>
          <w:rtl/>
        </w:rPr>
        <w:t xml:space="preserve"> </w:t>
      </w:r>
      <w:r w:rsidRPr="00014C4D">
        <w:rPr>
          <w:rFonts w:ascii="David" w:hAnsi="David" w:hint="eastAsia"/>
          <w:sz w:val="24"/>
          <w:rtl/>
        </w:rPr>
        <w:t>השנים</w:t>
      </w:r>
      <w:r w:rsidRPr="00014C4D">
        <w:rPr>
          <w:rFonts w:ascii="David" w:hAnsi="David"/>
          <w:sz w:val="24"/>
          <w:vertAlign w:val="superscript"/>
          <w:rtl/>
        </w:rPr>
        <w:footnoteReference w:id="11"/>
      </w:r>
      <w:r w:rsidRPr="00014C4D">
        <w:rPr>
          <w:rFonts w:ascii="David" w:hAnsi="David"/>
          <w:sz w:val="24"/>
          <w:rtl/>
        </w:rPr>
        <w:t xml:space="preserve"> כמה פעמים את נושא המיגון והמקלוט ברשויות המקומיות והתריע על פערי מיגון במגורים ובמוסדות חינוך ועל הצורך בשיפור המיגון של העורף מפני טילים. </w:t>
      </w:r>
    </w:p>
    <w:p w:rsidR="00014C4D" w:rsidRPr="00014C4D" w:rsidRDefault="00014C4D" w:rsidP="00014C4D">
      <w:pPr>
        <w:spacing w:line="269" w:lineRule="auto"/>
        <w:ind w:left="-567"/>
        <w:rPr>
          <w:szCs w:val="20"/>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פעולות הביקורת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sz w:val="24"/>
          <w:rtl/>
        </w:rPr>
      </w:pPr>
      <w:r w:rsidRPr="00014C4D">
        <w:rPr>
          <w:rFonts w:hint="cs"/>
          <w:sz w:val="24"/>
          <w:rtl/>
        </w:rPr>
        <w:t xml:space="preserve">בחודשים מרץ-נובמבר 2024 בדק משרד מבקר המדינה את נושא המיגון </w:t>
      </w:r>
      <w:r w:rsidRPr="00014C4D">
        <w:rPr>
          <w:sz w:val="24"/>
          <w:rtl/>
        </w:rPr>
        <w:t>ו</w:t>
      </w:r>
      <w:r w:rsidRPr="00014C4D">
        <w:rPr>
          <w:rFonts w:hint="cs"/>
          <w:sz w:val="24"/>
          <w:rtl/>
        </w:rPr>
        <w:t>ה</w:t>
      </w:r>
      <w:r w:rsidRPr="00014C4D">
        <w:rPr>
          <w:sz w:val="24"/>
          <w:rtl/>
        </w:rPr>
        <w:t>מקלוט</w:t>
      </w:r>
      <w:r w:rsidRPr="00014C4D">
        <w:rPr>
          <w:rFonts w:hint="cs"/>
          <w:sz w:val="24"/>
          <w:rtl/>
        </w:rPr>
        <w:t xml:space="preserve"> בחמש רשויות מקומיות: עיריות </w:t>
      </w:r>
      <w:r w:rsidRPr="00014C4D">
        <w:rPr>
          <w:rFonts w:hint="cs"/>
          <w:b/>
          <w:bCs/>
          <w:sz w:val="24"/>
          <w:rtl/>
        </w:rPr>
        <w:t>אשקלון</w:t>
      </w:r>
      <w:r w:rsidRPr="00014C4D">
        <w:rPr>
          <w:rFonts w:hint="cs"/>
          <w:sz w:val="24"/>
          <w:rtl/>
        </w:rPr>
        <w:t xml:space="preserve">, </w:t>
      </w:r>
      <w:r w:rsidRPr="00014C4D">
        <w:rPr>
          <w:rFonts w:hint="cs"/>
          <w:b/>
          <w:bCs/>
          <w:sz w:val="24"/>
          <w:rtl/>
        </w:rPr>
        <w:t>גבעתיים</w:t>
      </w:r>
      <w:r w:rsidRPr="00014C4D">
        <w:rPr>
          <w:rFonts w:hint="cs"/>
          <w:sz w:val="24"/>
          <w:rtl/>
        </w:rPr>
        <w:t xml:space="preserve"> ו</w:t>
      </w:r>
      <w:r w:rsidRPr="00014C4D">
        <w:rPr>
          <w:rFonts w:hint="cs"/>
          <w:b/>
          <w:bCs/>
          <w:sz w:val="24"/>
          <w:rtl/>
        </w:rPr>
        <w:t>חולון</w:t>
      </w:r>
      <w:r w:rsidRPr="00014C4D">
        <w:rPr>
          <w:rFonts w:hint="cs"/>
          <w:sz w:val="24"/>
          <w:rtl/>
        </w:rPr>
        <w:t xml:space="preserve">, המועצה המקומית </w:t>
      </w:r>
      <w:r w:rsidRPr="00014C4D">
        <w:rPr>
          <w:rFonts w:hint="cs"/>
          <w:b/>
          <w:bCs/>
          <w:sz w:val="24"/>
          <w:rtl/>
        </w:rPr>
        <w:t>ביענה</w:t>
      </w:r>
      <w:r w:rsidRPr="00014C4D">
        <w:rPr>
          <w:rFonts w:hint="cs"/>
          <w:sz w:val="24"/>
          <w:rtl/>
        </w:rPr>
        <w:t xml:space="preserve"> והמועצה האזורית </w:t>
      </w:r>
      <w:r w:rsidRPr="00014C4D">
        <w:rPr>
          <w:rFonts w:hint="cs"/>
          <w:b/>
          <w:bCs/>
          <w:sz w:val="24"/>
          <w:rtl/>
        </w:rPr>
        <w:t xml:space="preserve">הגלבוע </w:t>
      </w:r>
      <w:r w:rsidRPr="00014C4D">
        <w:rPr>
          <w:rFonts w:hint="cs"/>
          <w:sz w:val="24"/>
          <w:rtl/>
        </w:rPr>
        <w:t>(להלן גם - הרשויות שנבדקו) וכן ב</w:t>
      </w:r>
      <w:r w:rsidRPr="00014C4D">
        <w:rPr>
          <w:rFonts w:hint="cs"/>
          <w:b/>
          <w:bCs/>
          <w:sz w:val="24"/>
          <w:rtl/>
        </w:rPr>
        <w:t>פזורה הבדואית בנגב</w:t>
      </w:r>
      <w:r w:rsidRPr="00014C4D">
        <w:rPr>
          <w:rFonts w:hint="cs"/>
          <w:sz w:val="24"/>
          <w:rtl/>
        </w:rPr>
        <w:t xml:space="preserve">. בדיקות השלמה נעשו </w:t>
      </w:r>
      <w:r w:rsidR="0025200C">
        <w:rPr>
          <w:rFonts w:hint="cs"/>
          <w:sz w:val="24"/>
          <w:rtl/>
        </w:rPr>
        <w:t xml:space="preserve">בפקע"ר, </w:t>
      </w:r>
      <w:r w:rsidRPr="00014C4D">
        <w:rPr>
          <w:rFonts w:hint="cs"/>
          <w:sz w:val="24"/>
          <w:rtl/>
        </w:rPr>
        <w:t>במשרד החינוך, במשרד הבינוי והשיכון וברשות</w:t>
      </w:r>
      <w:r w:rsidRPr="00014C4D">
        <w:rPr>
          <w:sz w:val="24"/>
          <w:rtl/>
        </w:rPr>
        <w:t xml:space="preserve"> לפיתוח והתיישבות הבדואים בנגב</w:t>
      </w:r>
      <w:r w:rsidRPr="00014C4D">
        <w:rPr>
          <w:rFonts w:hint="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נוסף על כך, לפי בקשת</w:t>
      </w:r>
      <w:r w:rsidR="00E15680">
        <w:rPr>
          <w:rFonts w:hint="cs"/>
          <w:rtl/>
        </w:rPr>
        <w:t xml:space="preserve"> </w:t>
      </w:r>
      <w:r w:rsidRPr="00014C4D">
        <w:rPr>
          <w:rFonts w:hint="cs"/>
          <w:rtl/>
        </w:rPr>
        <w:t xml:space="preserve">הוועדה לענייני ביקורת המדינה מיום 4.6.24 ממבקר המדינה להכין חוות דעת בהתאם </w:t>
      </w:r>
      <w:r w:rsidRPr="00014C4D">
        <w:rPr>
          <w:rtl/>
        </w:rPr>
        <w:t>לסעיף 21 לחוק מבקר המדינה</w:t>
      </w:r>
      <w:r w:rsidRPr="00014C4D">
        <w:rPr>
          <w:rFonts w:hint="cs"/>
          <w:rtl/>
        </w:rPr>
        <w:t>, התשי"ח-1958 [נוסח משולב], בדק משרד מבקר המדינה את החלטת המשרד לשוויון חברתי וקידום מעמד האישה (להלן - המשרד לשוויון חברתי) לסגור את חדר המצב (מוקד החירום) לתמיכה בחברה הערבית.</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eastAsia"/>
          <w:bCs/>
          <w:szCs w:val="28"/>
          <w:u w:val="single"/>
          <w:rtl/>
        </w:rPr>
        <w:lastRenderedPageBreak/>
        <w:t>הרשויות</w:t>
      </w:r>
      <w:r w:rsidRPr="00014C4D">
        <w:rPr>
          <w:rFonts w:eastAsia="Times New Roman"/>
          <w:bCs/>
          <w:szCs w:val="28"/>
          <w:u w:val="single"/>
          <w:rtl/>
        </w:rPr>
        <w:t xml:space="preserve"> </w:t>
      </w:r>
      <w:r w:rsidRPr="00014C4D">
        <w:rPr>
          <w:rFonts w:eastAsia="Times New Roman" w:hint="eastAsia"/>
          <w:bCs/>
          <w:szCs w:val="28"/>
          <w:u w:val="single"/>
          <w:rtl/>
        </w:rPr>
        <w:t>המקומיות</w:t>
      </w:r>
      <w:r w:rsidRPr="00014C4D">
        <w:rPr>
          <w:rFonts w:eastAsia="Times New Roman"/>
          <w:bCs/>
          <w:szCs w:val="28"/>
          <w:u w:val="single"/>
          <w:rtl/>
        </w:rPr>
        <w:t xml:space="preserve"> </w:t>
      </w:r>
      <w:r w:rsidRPr="00014C4D">
        <w:rPr>
          <w:rFonts w:eastAsia="Times New Roman" w:hint="eastAsia"/>
          <w:bCs/>
          <w:szCs w:val="28"/>
          <w:u w:val="single"/>
          <w:rtl/>
        </w:rPr>
        <w:t>שנבדקו</w:t>
      </w:r>
      <w:r w:rsidRPr="00014C4D">
        <w:rPr>
          <w:rFonts w:eastAsia="Times New Roman"/>
          <w:bCs/>
          <w:szCs w:val="28"/>
          <w:u w:val="single"/>
          <w:rtl/>
        </w:rPr>
        <w:t xml:space="preserve"> - </w:t>
      </w:r>
      <w:r w:rsidRPr="00014C4D">
        <w:rPr>
          <w:rFonts w:eastAsia="Times New Roman" w:hint="eastAsia"/>
          <w:bCs/>
          <w:szCs w:val="28"/>
          <w:u w:val="single"/>
          <w:rtl/>
        </w:rPr>
        <w:t>סקירה</w:t>
      </w:r>
      <w:r w:rsidRPr="00014C4D">
        <w:rPr>
          <w:rFonts w:eastAsia="Times New Roman"/>
          <w:bCs/>
          <w:szCs w:val="28"/>
          <w:u w:val="single"/>
          <w:rtl/>
        </w:rPr>
        <w:t xml:space="preserve"> </w:t>
      </w:r>
      <w:r w:rsidRPr="00014C4D">
        <w:rPr>
          <w:rFonts w:eastAsia="Times New Roman" w:hint="eastAsia"/>
          <w:bCs/>
          <w:szCs w:val="28"/>
          <w:u w:val="single"/>
          <w:rtl/>
        </w:rPr>
        <w:t>כללית</w:t>
      </w:r>
    </w:p>
    <w:p w:rsidR="00014C4D" w:rsidRPr="00014C4D" w:rsidRDefault="00014C4D" w:rsidP="00014C4D">
      <w:pPr>
        <w:spacing w:line="269" w:lineRule="auto"/>
        <w:ind w:left="-567"/>
        <w:rPr>
          <w:szCs w:val="20"/>
        </w:rPr>
      </w:pPr>
    </w:p>
    <w:p w:rsidR="00014C4D" w:rsidRPr="00014C4D" w:rsidRDefault="00014C4D" w:rsidP="00014C4D">
      <w:pPr>
        <w:spacing w:line="269" w:lineRule="auto"/>
        <w:contextualSpacing/>
        <w:rPr>
          <w:rtl/>
        </w:rPr>
      </w:pPr>
      <w:r w:rsidRPr="00014C4D">
        <w:rPr>
          <w:rFonts w:hint="cs"/>
          <w:rtl/>
        </w:rPr>
        <w:t xml:space="preserve">להלן נתונים כלליים מעודכנים לנובמבר 2024 (להלן גם - מועד סיום הביקורת) בנוגע לרשויות המקומיות שנבדקו: </w:t>
      </w:r>
    </w:p>
    <w:p w:rsidR="00014C4D" w:rsidRPr="00014C4D" w:rsidRDefault="00014C4D" w:rsidP="00014C4D">
      <w:pPr>
        <w:keepNext/>
        <w:keepLines/>
        <w:spacing w:line="269" w:lineRule="auto"/>
        <w:jc w:val="center"/>
        <w:rPr>
          <w:rtl/>
        </w:rPr>
      </w:pPr>
    </w:p>
    <w:p w:rsidR="00014C4D" w:rsidRPr="00014C4D" w:rsidRDefault="00014C4D" w:rsidP="00014C4D">
      <w:pPr>
        <w:keepNext/>
        <w:keepLines/>
        <w:spacing w:line="269" w:lineRule="auto"/>
        <w:jc w:val="center"/>
        <w:rPr>
          <w:b/>
          <w:bCs/>
          <w:rtl/>
        </w:rPr>
      </w:pPr>
      <w:r w:rsidRPr="00014C4D">
        <w:rPr>
          <w:rFonts w:hint="cs"/>
          <w:rtl/>
        </w:rPr>
        <w:t>לוח</w:t>
      </w:r>
      <w:r w:rsidRPr="00014C4D">
        <w:rPr>
          <w:rtl/>
        </w:rPr>
        <w:t xml:space="preserve"> 1:</w:t>
      </w:r>
      <w:r w:rsidRPr="00014C4D">
        <w:rPr>
          <w:rFonts w:hint="cs"/>
          <w:b/>
          <w:bCs/>
          <w:rtl/>
        </w:rPr>
        <w:t xml:space="preserve"> הרשויות המקומיות שנבדקו - נתונים כלליים, נכון לנובמבר 2024</w:t>
      </w:r>
    </w:p>
    <w:tbl>
      <w:tblPr>
        <w:bidiVisual/>
        <w:tblW w:w="0" w:type="auto"/>
        <w:tblBorders>
          <w:insideH w:val="single" w:sz="12" w:space="0" w:color="F8F8F8"/>
        </w:tblBorders>
        <w:shd w:val="clear" w:color="auto" w:fill="FFFFFF" w:themeFill="background1"/>
        <w:tblCellMar>
          <w:left w:w="0" w:type="dxa"/>
          <w:right w:w="0" w:type="dxa"/>
        </w:tblCellMar>
        <w:tblLook w:val="04A0" w:firstRow="1" w:lastRow="0" w:firstColumn="1" w:lastColumn="0" w:noHBand="0" w:noVBand="1"/>
      </w:tblPr>
      <w:tblGrid>
        <w:gridCol w:w="7"/>
        <w:gridCol w:w="2179"/>
        <w:gridCol w:w="1167"/>
        <w:gridCol w:w="1190"/>
        <w:gridCol w:w="1064"/>
        <w:gridCol w:w="1650"/>
        <w:gridCol w:w="1673"/>
      </w:tblGrid>
      <w:tr w:rsidR="00014C4D" w:rsidRPr="00014C4D" w:rsidTr="00014C4D">
        <w:trPr>
          <w:trHeight w:hRule="exact" w:val="680"/>
        </w:trPr>
        <w:tc>
          <w:tcPr>
            <w:tcW w:w="0" w:type="auto"/>
            <w:tcBorders>
              <w:top w:val="nil"/>
              <w:left w:val="nil"/>
              <w:bottom w:val="single" w:sz="12" w:space="0" w:color="EEECE1" w:themeColor="background2"/>
              <w:right w:val="nil"/>
            </w:tcBorders>
            <w:shd w:val="clear" w:color="auto" w:fill="FFFFFF" w:themeFill="background1"/>
          </w:tcPr>
          <w:p w:rsidR="00014C4D" w:rsidRPr="00014C4D" w:rsidRDefault="00014C4D" w:rsidP="00014C4D">
            <w:pPr>
              <w:spacing w:line="269" w:lineRule="auto"/>
              <w:jc w:val="center"/>
              <w:rPr>
                <w:rFonts w:ascii="Tahoma" w:eastAsia="Times New Roman" w:hAnsi="Tahoma" w:cs="Tahoma"/>
                <w:color w:val="222222"/>
                <w:sz w:val="16"/>
                <w:szCs w:val="16"/>
                <w:lang w:eastAsia=""/>
              </w:rPr>
            </w:pPr>
          </w:p>
        </w:tc>
        <w:tc>
          <w:tcPr>
            <w:tcW w:w="0" w:type="auto"/>
            <w:tcBorders>
              <w:left w:val="nil"/>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014C4D" w:rsidRPr="00014C4D" w:rsidRDefault="00014C4D" w:rsidP="00014C4D">
            <w:pPr>
              <w:spacing w:line="269" w:lineRule="auto"/>
              <w:jc w:val="center"/>
              <w:rPr>
                <w:rFonts w:ascii="Tahoma" w:eastAsia="Times New Roman" w:hAnsi="Tahoma" w:cs="Tahoma"/>
                <w:color w:val="222222"/>
                <w:sz w:val="16"/>
                <w:szCs w:val="16"/>
                <w:lang w:eastAsia=""/>
              </w:rPr>
            </w:pP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014C4D" w:rsidRPr="00014C4D" w:rsidRDefault="00014C4D" w:rsidP="00014C4D">
            <w:pPr>
              <w:spacing w:line="269" w:lineRule="auto"/>
              <w:jc w:val="center"/>
              <w:rPr>
                <w:rFonts w:ascii="Tahoma" w:eastAsia="Times New Roman" w:hAnsi="Tahoma" w:cs="Tahoma"/>
                <w:b/>
                <w:bCs/>
                <w:color w:val="4F81BD" w:themeColor="accent1"/>
                <w:sz w:val="16"/>
                <w:szCs w:val="16"/>
                <w:rtl/>
                <w:lang w:eastAsia=""/>
              </w:rPr>
            </w:pPr>
            <w:r w:rsidRPr="00014C4D">
              <w:rPr>
                <w:rFonts w:ascii="Tahoma" w:eastAsia="Times New Roman" w:hAnsi="Tahoma" w:cs="Tahoma" w:hint="cs"/>
                <w:b/>
                <w:bCs/>
                <w:color w:val="4F81BD" w:themeColor="accent1"/>
                <w:sz w:val="16"/>
                <w:szCs w:val="16"/>
                <w:rtl/>
                <w:lang w:eastAsia=""/>
              </w:rPr>
              <w:t>עיריית אשקלון</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014C4D" w:rsidRPr="00014C4D" w:rsidRDefault="00014C4D" w:rsidP="00014C4D">
            <w:pPr>
              <w:spacing w:line="269" w:lineRule="auto"/>
              <w:jc w:val="center"/>
              <w:rPr>
                <w:rFonts w:ascii="Tahoma" w:eastAsia="Times New Roman" w:hAnsi="Tahoma" w:cs="Tahoma"/>
                <w:b/>
                <w:bCs/>
                <w:color w:val="4F81BD" w:themeColor="accent1"/>
                <w:sz w:val="16"/>
                <w:szCs w:val="16"/>
                <w:lang w:eastAsia=""/>
              </w:rPr>
            </w:pPr>
            <w:r w:rsidRPr="00014C4D">
              <w:rPr>
                <w:rFonts w:ascii="Tahoma" w:eastAsia="Times New Roman" w:hAnsi="Tahoma" w:cs="Tahoma" w:hint="cs"/>
                <w:b/>
                <w:bCs/>
                <w:color w:val="4F81BD" w:themeColor="accent1"/>
                <w:sz w:val="16"/>
                <w:szCs w:val="16"/>
                <w:rtl/>
                <w:lang w:eastAsia=""/>
              </w:rPr>
              <w:t>עיריית גבעתיים</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014C4D" w:rsidRPr="00014C4D" w:rsidRDefault="00014C4D" w:rsidP="00014C4D">
            <w:pPr>
              <w:spacing w:line="269" w:lineRule="auto"/>
              <w:jc w:val="center"/>
              <w:rPr>
                <w:rFonts w:ascii="Tahoma" w:eastAsia="Times New Roman" w:hAnsi="Tahoma" w:cs="Tahoma"/>
                <w:b/>
                <w:bCs/>
                <w:color w:val="4F81BD" w:themeColor="accent1"/>
                <w:sz w:val="16"/>
                <w:szCs w:val="16"/>
                <w:lang w:eastAsia=""/>
              </w:rPr>
            </w:pPr>
            <w:r w:rsidRPr="00014C4D">
              <w:rPr>
                <w:rFonts w:ascii="Tahoma" w:eastAsia="Times New Roman" w:hAnsi="Tahoma" w:cs="Tahoma" w:hint="cs"/>
                <w:b/>
                <w:bCs/>
                <w:color w:val="4F81BD" w:themeColor="accent1"/>
                <w:sz w:val="16"/>
                <w:szCs w:val="16"/>
                <w:rtl/>
                <w:lang w:eastAsia=""/>
              </w:rPr>
              <w:t>עיריית חולון</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014C4D" w:rsidRPr="00014C4D" w:rsidRDefault="00014C4D" w:rsidP="00014C4D">
            <w:pPr>
              <w:spacing w:line="269" w:lineRule="auto"/>
              <w:jc w:val="center"/>
              <w:rPr>
                <w:rFonts w:ascii="Tahoma" w:eastAsia="Times New Roman" w:hAnsi="Tahoma" w:cs="Tahoma"/>
                <w:b/>
                <w:bCs/>
                <w:color w:val="4F81BD" w:themeColor="accent1"/>
                <w:sz w:val="16"/>
                <w:szCs w:val="16"/>
                <w:lang w:eastAsia=""/>
              </w:rPr>
            </w:pPr>
            <w:r w:rsidRPr="00014C4D">
              <w:rPr>
                <w:rFonts w:ascii="Tahoma" w:eastAsia="Times New Roman" w:hAnsi="Tahoma" w:cs="Tahoma" w:hint="cs"/>
                <w:b/>
                <w:bCs/>
                <w:color w:val="4F81BD" w:themeColor="accent1"/>
                <w:sz w:val="16"/>
                <w:szCs w:val="16"/>
                <w:rtl/>
                <w:lang w:eastAsia=""/>
              </w:rPr>
              <w:t>המועצה המקומית ביענה</w:t>
            </w:r>
          </w:p>
        </w:tc>
        <w:tc>
          <w:tcPr>
            <w:tcW w:w="0" w:type="auto"/>
            <w:tcBorders>
              <w:bottom w:val="single" w:sz="12" w:space="0" w:color="EEECE1" w:themeColor="background2"/>
            </w:tcBorders>
            <w:shd w:val="clear" w:color="auto" w:fill="FFFFFF" w:themeFill="background1"/>
            <w:tcMar>
              <w:top w:w="0" w:type="dxa"/>
              <w:left w:w="108" w:type="dxa"/>
              <w:bottom w:w="0" w:type="dxa"/>
              <w:right w:w="108" w:type="dxa"/>
            </w:tcMar>
            <w:vAlign w:val="center"/>
            <w:hideMark/>
          </w:tcPr>
          <w:p w:rsidR="00014C4D" w:rsidRPr="00014C4D" w:rsidRDefault="00014C4D" w:rsidP="00014C4D">
            <w:pPr>
              <w:spacing w:line="269" w:lineRule="auto"/>
              <w:jc w:val="center"/>
              <w:rPr>
                <w:rFonts w:ascii="Tahoma" w:eastAsia="Times New Roman" w:hAnsi="Tahoma" w:cs="Tahoma"/>
                <w:b/>
                <w:bCs/>
                <w:color w:val="4F81BD" w:themeColor="accent1"/>
                <w:sz w:val="16"/>
                <w:szCs w:val="16"/>
                <w:lang w:eastAsia=""/>
              </w:rPr>
            </w:pPr>
            <w:r w:rsidRPr="00014C4D">
              <w:rPr>
                <w:rFonts w:ascii="Tahoma" w:eastAsia="Times New Roman" w:hAnsi="Tahoma" w:cs="Tahoma" w:hint="cs"/>
                <w:b/>
                <w:bCs/>
                <w:color w:val="4F81BD" w:themeColor="accent1"/>
                <w:sz w:val="16"/>
                <w:szCs w:val="16"/>
                <w:rtl/>
                <w:lang w:eastAsia=""/>
              </w:rPr>
              <w:t>המועצה האזורית הגלבוע</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0528" behindDoc="0" locked="0" layoutInCell="1" allowOverlap="1" wp14:anchorId="630911AA" wp14:editId="6DF7A263">
                  <wp:simplePos x="0" y="0"/>
                  <wp:positionH relativeFrom="column">
                    <wp:posOffset>40640</wp:posOffset>
                  </wp:positionH>
                  <wp:positionV relativeFrom="paragraph">
                    <wp:posOffset>80010</wp:posOffset>
                  </wp:positionV>
                  <wp:extent cx="259080" cy="259080"/>
                  <wp:effectExtent l="0" t="0" r="7620" b="7620"/>
                  <wp:wrapNone/>
                  <wp:docPr id="1834351629" name="תמונה 183435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64"/>
                          <pic:cNvPicPr>
                            <a:picLocks noChangeAspect="1" noChangeArrowheads="1"/>
                          </pic:cNvPicPr>
                        </pic:nvPicPr>
                        <pic:blipFill>
                          <a:blip r:embed="rId11"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 xml:space="preserve">מספר </w:t>
            </w:r>
            <w:r w:rsidRPr="00014C4D">
              <w:rPr>
                <w:rFonts w:ascii="Tahoma" w:eastAsia="Times New Roman" w:hAnsi="Tahoma" w:cs="Tahoma"/>
                <w:color w:val="808080" w:themeColor="background1" w:themeShade="80"/>
                <w:sz w:val="16"/>
                <w:szCs w:val="16"/>
                <w:rtl/>
                <w:lang w:eastAsia=""/>
              </w:rPr>
              <w:br/>
            </w:r>
            <w:r w:rsidRPr="00014C4D">
              <w:rPr>
                <w:rFonts w:ascii="Tahoma" w:eastAsia="Times New Roman" w:hAnsi="Tahoma" w:cs="Tahoma" w:hint="cs"/>
                <w:color w:val="808080" w:themeColor="background1" w:themeShade="80"/>
                <w:sz w:val="16"/>
                <w:szCs w:val="16"/>
                <w:rtl/>
                <w:lang w:eastAsia=""/>
              </w:rPr>
              <w:t>התושבים</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153,138</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61,924</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197,957</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8,629</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32,488</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4624" behindDoc="0" locked="0" layoutInCell="1" allowOverlap="1" wp14:anchorId="501DA4ED" wp14:editId="1C4D06C5">
                  <wp:simplePos x="0" y="0"/>
                  <wp:positionH relativeFrom="column">
                    <wp:posOffset>41910</wp:posOffset>
                  </wp:positionH>
                  <wp:positionV relativeFrom="paragraph">
                    <wp:posOffset>81280</wp:posOffset>
                  </wp:positionV>
                  <wp:extent cx="259080" cy="259080"/>
                  <wp:effectExtent l="0" t="0" r="7620" b="7620"/>
                  <wp:wrapNone/>
                  <wp:docPr id="1834351630" name="תמונה 183435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60"/>
                          <pic:cNvPicPr>
                            <a:picLocks noChangeAspect="1" noChangeArrowheads="1"/>
                          </pic:cNvPicPr>
                        </pic:nvPicPr>
                        <pic:blipFill>
                          <a:blip r:embed="rId12"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 xml:space="preserve">אשכול </w:t>
            </w:r>
            <w:r w:rsidRPr="00014C4D">
              <w:rPr>
                <w:rFonts w:ascii="Tahoma" w:eastAsia="Times New Roman" w:hAnsi="Tahoma" w:cs="Tahoma"/>
                <w:color w:val="808080" w:themeColor="background1" w:themeShade="80"/>
                <w:sz w:val="16"/>
                <w:szCs w:val="16"/>
                <w:rtl/>
                <w:lang w:eastAsia=""/>
              </w:rPr>
              <w:br/>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חברתי-כלכלי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5</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(בינוני)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9</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(גבוה)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7</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(בינוני)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3</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(נמוך)</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5</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(בינוני)</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lang w:eastAsia=""/>
              </w:rPr>
            </w:pPr>
            <w:r w:rsidRPr="00014C4D">
              <w:rPr>
                <w:noProof/>
              </w:rPr>
              <w:drawing>
                <wp:anchor distT="0" distB="0" distL="114300" distR="114300" simplePos="0" relativeHeight="251669504" behindDoc="0" locked="0" layoutInCell="1" allowOverlap="1" wp14:anchorId="520971E8" wp14:editId="4F63AFEA">
                  <wp:simplePos x="0" y="0"/>
                  <wp:positionH relativeFrom="column">
                    <wp:posOffset>38100</wp:posOffset>
                  </wp:positionH>
                  <wp:positionV relativeFrom="paragraph">
                    <wp:posOffset>85090</wp:posOffset>
                  </wp:positionV>
                  <wp:extent cx="259080" cy="259080"/>
                  <wp:effectExtent l="0" t="0" r="7620" b="7620"/>
                  <wp:wrapNone/>
                  <wp:docPr id="1834351631" name="תמונה 183435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65"/>
                          <pic:cNvPicPr>
                            <a:picLocks noChangeAspect="1" noChangeArrowheads="1"/>
                          </pic:cNvPicPr>
                        </pic:nvPicPr>
                        <pic:blipFill>
                          <a:blip r:embed="rId13"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color w:val="808080" w:themeColor="background1" w:themeShade="80"/>
                <w:sz w:val="16"/>
                <w:szCs w:val="16"/>
                <w:rtl/>
                <w:lang w:eastAsia=""/>
              </w:rPr>
              <w:t xml:space="preserve">אשכול </w:t>
            </w:r>
            <w:r w:rsidRPr="00014C4D">
              <w:rPr>
                <w:rFonts w:ascii="Tahoma" w:eastAsia="Times New Roman" w:hAnsi="Tahoma" w:cs="Tahoma"/>
                <w:color w:val="808080" w:themeColor="background1" w:themeShade="80"/>
                <w:sz w:val="16"/>
                <w:szCs w:val="16"/>
                <w:rtl/>
                <w:lang w:eastAsia=""/>
              </w:rPr>
              <w:br/>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פריפריאליות</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6</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(מרכזי)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10</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(מרכזי)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9</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(מרכזי)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4</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(פריפריאלי)</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3</w:t>
            </w:r>
          </w:p>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(פריפריאלי)</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6672" behindDoc="0" locked="0" layoutInCell="1" allowOverlap="1" wp14:anchorId="3E608DA8" wp14:editId="19274438">
                  <wp:simplePos x="0" y="0"/>
                  <wp:positionH relativeFrom="column">
                    <wp:posOffset>36195</wp:posOffset>
                  </wp:positionH>
                  <wp:positionV relativeFrom="paragraph">
                    <wp:posOffset>88265</wp:posOffset>
                  </wp:positionV>
                  <wp:extent cx="260985" cy="259080"/>
                  <wp:effectExtent l="0" t="0" r="5715" b="7620"/>
                  <wp:wrapNone/>
                  <wp:docPr id="1834351632" name="תמונה 183435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58"/>
                          <pic:cNvPicPr>
                            <a:picLocks noChangeAspect="1" noChangeArrowheads="1"/>
                          </pic:cNvPicPr>
                        </pic:nvPicPr>
                        <pic:blipFill>
                          <a:blip r:embed="rId14"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color w:val="808080" w:themeColor="background1" w:themeShade="80"/>
                <w:sz w:val="16"/>
                <w:szCs w:val="16"/>
                <w:rtl/>
                <w:lang w:eastAsia=""/>
              </w:rPr>
              <w:t>סיווג הרשות המקומית</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איתנה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יציבה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איתנה</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ביניים</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יציבה</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2576" behindDoc="0" locked="0" layoutInCell="1" allowOverlap="1" wp14:anchorId="1270D830" wp14:editId="0E2253A0">
                  <wp:simplePos x="0" y="0"/>
                  <wp:positionH relativeFrom="column">
                    <wp:posOffset>37465</wp:posOffset>
                  </wp:positionH>
                  <wp:positionV relativeFrom="paragraph">
                    <wp:posOffset>91440</wp:posOffset>
                  </wp:positionV>
                  <wp:extent cx="259080" cy="259080"/>
                  <wp:effectExtent l="0" t="0" r="7620" b="7620"/>
                  <wp:wrapNone/>
                  <wp:docPr id="1834351633" name="תמונה 183435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62"/>
                          <pic:cNvPicPr>
                            <a:picLocks noChangeAspect="1" noChangeArrowheads="1"/>
                          </pic:cNvPicPr>
                        </pic:nvPicPr>
                        <pic:blipFill>
                          <a:blip r:embed="rId15"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 xml:space="preserve">ביצוע </w:t>
            </w:r>
            <w:r w:rsidRPr="00014C4D">
              <w:rPr>
                <w:rFonts w:ascii="Tahoma" w:eastAsia="Times New Roman" w:hAnsi="Tahoma" w:cs="Tahoma"/>
                <w:color w:val="808080" w:themeColor="background1" w:themeShade="80"/>
                <w:sz w:val="16"/>
                <w:szCs w:val="16"/>
                <w:rtl/>
                <w:lang w:eastAsia=""/>
              </w:rPr>
              <w:t>ה</w:t>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כנסות</w:t>
            </w:r>
          </w:p>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1,196,883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506,031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1,698,676</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52,578</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232,809</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3600" behindDoc="0" locked="0" layoutInCell="1" allowOverlap="1" wp14:anchorId="55EEDEB7" wp14:editId="47E2F828">
                  <wp:simplePos x="0" y="0"/>
                  <wp:positionH relativeFrom="column">
                    <wp:posOffset>38735</wp:posOffset>
                  </wp:positionH>
                  <wp:positionV relativeFrom="paragraph">
                    <wp:posOffset>95250</wp:posOffset>
                  </wp:positionV>
                  <wp:extent cx="259080" cy="259080"/>
                  <wp:effectExtent l="0" t="0" r="7620" b="7620"/>
                  <wp:wrapNone/>
                  <wp:docPr id="1834351634" name="תמונה 183435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61"/>
                          <pic:cNvPicPr>
                            <a:picLocks noChangeAspect="1" noChangeArrowheads="1"/>
                          </pic:cNvPicPr>
                        </pic:nvPicPr>
                        <pic:blipFill>
                          <a:blip r:embed="rId16"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ביצוע ה</w:t>
            </w:r>
            <w:r w:rsidRPr="00014C4D">
              <w:rPr>
                <w:rFonts w:ascii="Tahoma" w:eastAsia="Times New Roman" w:hAnsi="Tahoma" w:cs="Tahoma"/>
                <w:color w:val="808080" w:themeColor="background1" w:themeShade="80"/>
                <w:sz w:val="16"/>
                <w:szCs w:val="16"/>
                <w:rtl/>
                <w:lang w:eastAsia=""/>
              </w:rPr>
              <w:t>הוצאות</w:t>
            </w:r>
            <w:r w:rsidRPr="00014C4D">
              <w:rPr>
                <w:rFonts w:ascii="Tahoma" w:eastAsia="Times New Roman" w:hAnsi="Tahoma" w:cs="Tahoma" w:hint="cs"/>
                <w:color w:val="808080" w:themeColor="background1" w:themeShade="80"/>
                <w:sz w:val="16"/>
                <w:szCs w:val="16"/>
                <w:rtl/>
                <w:lang w:eastAsia=""/>
              </w:rPr>
              <w:t xml:space="preserve"> </w:t>
            </w:r>
            <w:r w:rsidRPr="00014C4D">
              <w:rPr>
                <w:rFonts w:ascii="Tahoma" w:eastAsia="Times New Roman" w:hAnsi="Tahoma" w:cs="Tahoma"/>
                <w:color w:val="808080" w:themeColor="background1" w:themeShade="80"/>
                <w:sz w:val="16"/>
                <w:szCs w:val="16"/>
                <w:rtl/>
                <w:lang w:eastAsia=""/>
              </w:rPr>
              <w:br/>
            </w:r>
            <w:r w:rsidRPr="00014C4D">
              <w:rPr>
                <w:rFonts w:ascii="Tahoma" w:eastAsia="Times New Roman" w:hAnsi="Tahoma" w:cs="Tahoma" w:hint="cs"/>
                <w:color w:val="808080" w:themeColor="background1" w:themeShade="80"/>
                <w:sz w:val="16"/>
                <w:szCs w:val="16"/>
                <w:rtl/>
                <w:lang w:eastAsia=""/>
              </w:rPr>
              <w:t>(באלפי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1,196,872</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500,683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1,634,182</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52,533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232,734</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5648" behindDoc="0" locked="0" layoutInCell="1" allowOverlap="1" wp14:anchorId="69570306" wp14:editId="4A1BFDFB">
                  <wp:simplePos x="0" y="0"/>
                  <wp:positionH relativeFrom="column">
                    <wp:posOffset>38100</wp:posOffset>
                  </wp:positionH>
                  <wp:positionV relativeFrom="paragraph">
                    <wp:posOffset>98425</wp:posOffset>
                  </wp:positionV>
                  <wp:extent cx="259080" cy="259080"/>
                  <wp:effectExtent l="0" t="0" r="7620" b="7620"/>
                  <wp:wrapNone/>
                  <wp:docPr id="1834351635" name="תמונה 183435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59"/>
                          <pic:cNvPicPr>
                            <a:picLocks noChangeAspect="1" noChangeArrowheads="1"/>
                          </pic:cNvPicPr>
                        </pic:nvPicPr>
                        <pic:blipFill>
                          <a:blip r:embed="rId17"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 xml:space="preserve">עודף </w:t>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שוטף</w:t>
            </w:r>
            <w:r w:rsidRPr="00014C4D">
              <w:rPr>
                <w:rFonts w:ascii="Tahoma" w:eastAsia="Times New Roman" w:hAnsi="Tahoma" w:cs="Tahoma" w:hint="cs"/>
                <w:color w:val="808080" w:themeColor="background1" w:themeShade="80"/>
                <w:sz w:val="16"/>
                <w:szCs w:val="16"/>
                <w:rtl/>
                <w:lang w:eastAsia=""/>
              </w:rPr>
              <w:t xml:space="preserve"> (באלפי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11</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5,348</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64,494</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45</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75</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r w:rsidRPr="00014C4D">
              <w:rPr>
                <w:noProof/>
              </w:rPr>
              <w:drawing>
                <wp:anchor distT="0" distB="0" distL="114300" distR="114300" simplePos="0" relativeHeight="251677696" behindDoc="0" locked="0" layoutInCell="1" allowOverlap="1" wp14:anchorId="2EEB693D" wp14:editId="183127F2">
                  <wp:simplePos x="0" y="0"/>
                  <wp:positionH relativeFrom="column">
                    <wp:posOffset>36830</wp:posOffset>
                  </wp:positionH>
                  <wp:positionV relativeFrom="paragraph">
                    <wp:posOffset>101600</wp:posOffset>
                  </wp:positionV>
                  <wp:extent cx="260985" cy="259080"/>
                  <wp:effectExtent l="0" t="0" r="5715" b="7620"/>
                  <wp:wrapNone/>
                  <wp:docPr id="1834351636" name="תמונה 183435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57"/>
                          <pic:cNvPicPr>
                            <a:picLocks noChangeAspect="1" noChangeArrowheads="1"/>
                          </pic:cNvPicPr>
                        </pic:nvPicPr>
                        <pic:blipFill>
                          <a:blip r:embed="rId18"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60985" cy="259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0" w:type="auto"/>
            <w:tcBorders>
              <w:top w:val="single" w:sz="12" w:space="0" w:color="EEECE1" w:themeColor="background2"/>
              <w:left w:val="nil"/>
              <w:bottom w:val="single" w:sz="12" w:space="0" w:color="EEECE1" w:themeColor="background2"/>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עודף (</w:t>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ג</w:t>
            </w:r>
            <w:r w:rsidRPr="00014C4D">
              <w:rPr>
                <w:rFonts w:ascii="Tahoma" w:eastAsia="Times New Roman" w:hAnsi="Tahoma" w:cs="Tahoma" w:hint="cs"/>
                <w:color w:val="808080" w:themeColor="background1" w:themeShade="80"/>
                <w:sz w:val="16"/>
                <w:szCs w:val="16"/>
                <w:rtl/>
                <w:lang w:eastAsia=""/>
              </w:rPr>
              <w:t>י</w:t>
            </w:r>
            <w:r w:rsidRPr="00014C4D">
              <w:rPr>
                <w:rFonts w:ascii="Tahoma" w:eastAsia="Times New Roman" w:hAnsi="Tahoma" w:cs="Tahoma"/>
                <w:color w:val="808080" w:themeColor="background1" w:themeShade="80"/>
                <w:sz w:val="16"/>
                <w:szCs w:val="16"/>
                <w:rtl/>
                <w:lang w:eastAsia=""/>
              </w:rPr>
              <w:t xml:space="preserve">רעון) </w:t>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מצטבר</w:t>
            </w:r>
            <w:r w:rsidRPr="00014C4D">
              <w:rPr>
                <w:rFonts w:ascii="Tahoma" w:eastAsia="Times New Roman" w:hAnsi="Tahoma" w:cs="Tahoma" w:hint="cs"/>
                <w:color w:val="808080" w:themeColor="background1" w:themeShade="80"/>
                <w:sz w:val="16"/>
                <w:szCs w:val="16"/>
                <w:rtl/>
                <w:lang w:eastAsia=""/>
              </w:rPr>
              <w:t xml:space="preserve"> (באלפי ש"ח)</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(6,779)</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(90,412)</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155,452</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000000" w:themeColor="text1"/>
                <w:sz w:val="16"/>
                <w:szCs w:val="16"/>
                <w:rtl/>
                <w:lang w:eastAsia=""/>
              </w:rPr>
            </w:pPr>
            <w:r w:rsidRPr="00014C4D">
              <w:rPr>
                <w:rFonts w:ascii="Tahoma" w:eastAsia="Times New Roman" w:hAnsi="Tahoma" w:cs="Tahoma" w:hint="cs"/>
                <w:color w:val="000000" w:themeColor="text1"/>
                <w:sz w:val="16"/>
                <w:szCs w:val="16"/>
                <w:rtl/>
                <w:lang w:eastAsia=""/>
              </w:rPr>
              <w:t>(2,297)</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hAnsi="Tahoma" w:cs="Tahoma"/>
                <w:color w:val="000000" w:themeColor="text1"/>
                <w:sz w:val="16"/>
                <w:szCs w:val="16"/>
                <w:rtl/>
                <w:lang w:eastAsia=""/>
              </w:rPr>
            </w:pPr>
            <w:r w:rsidRPr="00014C4D">
              <w:rPr>
                <w:rFonts w:ascii="Tahoma" w:hAnsi="Tahoma" w:cs="Tahoma" w:hint="cs"/>
                <w:color w:val="000000" w:themeColor="text1"/>
                <w:sz w:val="16"/>
                <w:szCs w:val="16"/>
                <w:rtl/>
                <w:lang w:eastAsia=""/>
              </w:rPr>
              <w:t>(17,843)</w:t>
            </w:r>
          </w:p>
        </w:tc>
      </w:tr>
      <w:tr w:rsidR="00014C4D" w:rsidRPr="00014C4D" w:rsidTr="00014C4D">
        <w:trPr>
          <w:trHeight w:hRule="exact" w:val="680"/>
        </w:trPr>
        <w:tc>
          <w:tcPr>
            <w:tcW w:w="0" w:type="auto"/>
            <w:tcBorders>
              <w:top w:val="single" w:sz="12" w:space="0" w:color="EEECE1" w:themeColor="background2"/>
              <w:left w:val="nil"/>
              <w:bottom w:val="single" w:sz="12" w:space="0" w:color="EEECE1" w:themeColor="background2"/>
              <w:right w:val="nil"/>
            </w:tcBorders>
            <w:shd w:val="clear" w:color="auto" w:fill="F0F6FE"/>
          </w:tcPr>
          <w:p w:rsidR="00014C4D" w:rsidRPr="00014C4D" w:rsidRDefault="00014C4D" w:rsidP="00014C4D">
            <w:pPr>
              <w:spacing w:line="269" w:lineRule="auto"/>
              <w:ind w:left="-567"/>
              <w:rPr>
                <w:noProof/>
                <w:szCs w:val="20"/>
                <w:rtl/>
              </w:rPr>
            </w:pPr>
            <w:r w:rsidRPr="00014C4D">
              <w:rPr>
                <w:noProof/>
                <w:szCs w:val="20"/>
                <w:rtl/>
              </w:rPr>
              <w:fldChar w:fldCharType="begin"/>
            </w:r>
            <w:r w:rsidRPr="00014C4D">
              <w:rPr>
                <w:noProof/>
                <w:szCs w:val="20"/>
                <w:rtl/>
              </w:rPr>
              <w:instrText xml:space="preserve"> </w:instrText>
            </w:r>
            <w:r w:rsidRPr="00014C4D">
              <w:rPr>
                <w:noProof/>
                <w:szCs w:val="20"/>
              </w:rPr>
              <w:instrText>AUTONUMLGL \e  \* MERGEFORMAT</w:instrText>
            </w:r>
            <w:r w:rsidRPr="00014C4D">
              <w:rPr>
                <w:noProof/>
                <w:szCs w:val="20"/>
                <w:rtl/>
              </w:rPr>
              <w:instrText xml:space="preserve"> </w:instrText>
            </w:r>
            <w:r w:rsidRPr="00014C4D">
              <w:rPr>
                <w:noProof/>
                <w:szCs w:val="20"/>
                <w:rtl/>
              </w:rPr>
              <w:fldChar w:fldCharType="end"/>
            </w:r>
            <w:r w:rsidRPr="00014C4D">
              <w:rPr>
                <w:noProof/>
                <w:szCs w:val="20"/>
              </w:rPr>
              <w:drawing>
                <wp:anchor distT="0" distB="0" distL="114300" distR="114300" simplePos="0" relativeHeight="251671552" behindDoc="0" locked="0" layoutInCell="1" allowOverlap="1" wp14:anchorId="30D64023" wp14:editId="266754A9">
                  <wp:simplePos x="0" y="0"/>
                  <wp:positionH relativeFrom="column">
                    <wp:posOffset>37465</wp:posOffset>
                  </wp:positionH>
                  <wp:positionV relativeFrom="paragraph">
                    <wp:posOffset>103505</wp:posOffset>
                  </wp:positionV>
                  <wp:extent cx="259080" cy="259080"/>
                  <wp:effectExtent l="0" t="0" r="7620" b="7620"/>
                  <wp:wrapNone/>
                  <wp:docPr id="1834351637" name="תמונה 183435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63"/>
                          <pic:cNvPicPr>
                            <a:picLocks noChangeAspect="1" noChangeArrowheads="1"/>
                          </pic:cNvPicPr>
                        </pic:nvPicPr>
                        <pic:blipFill>
                          <a:blip r:embed="rId19" cstate="print">
                            <a:clrChange>
                              <a:clrFrom>
                                <a:srgbClr val="F4F8FD"/>
                              </a:clrFrom>
                              <a:clrTo>
                                <a:srgbClr val="F4F8FD">
                                  <a:alpha val="0"/>
                                </a:srgbClr>
                              </a:clrTo>
                            </a:clrChange>
                            <a:extLst>
                              <a:ext uri="{28A0092B-C50C-407E-A947-70E740481C1C}">
                                <a14:useLocalDpi xmlns:a14="http://schemas.microsoft.com/office/drawing/2010/main" val="0"/>
                              </a:ext>
                            </a:extLst>
                          </a:blip>
                          <a:stretch>
                            <a:fillRect/>
                          </a:stretch>
                        </pic:blipFill>
                        <pic:spPr bwMode="auto">
                          <a:xfrm>
                            <a:off x="0" y="0"/>
                            <a:ext cx="259080"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p w:rsidR="00014C4D" w:rsidRPr="00014C4D" w:rsidRDefault="00014C4D" w:rsidP="00014C4D">
            <w:pPr>
              <w:spacing w:line="269" w:lineRule="auto"/>
              <w:rPr>
                <w:rFonts w:ascii="Tahoma" w:eastAsia="Times New Roman" w:hAnsi="Tahoma" w:cs="Tahoma"/>
                <w:color w:val="A6A6A6" w:themeColor="background1" w:themeShade="A6"/>
                <w:sz w:val="16"/>
                <w:szCs w:val="16"/>
                <w:rtl/>
                <w:lang w:eastAsia=""/>
              </w:rPr>
            </w:pPr>
          </w:p>
        </w:tc>
        <w:tc>
          <w:tcPr>
            <w:tcW w:w="0" w:type="auto"/>
            <w:tcBorders>
              <w:top w:val="single" w:sz="12" w:space="0" w:color="EEECE1" w:themeColor="background2"/>
              <w:left w:val="nil"/>
              <w:bottom w:val="single" w:sz="12" w:space="0" w:color="EAEAEA"/>
            </w:tcBorders>
            <w:shd w:val="clear" w:color="auto" w:fill="F0F6FE"/>
            <w:tcMar>
              <w:top w:w="0" w:type="dxa"/>
              <w:left w:w="108" w:type="dxa"/>
              <w:bottom w:w="0" w:type="dxa"/>
              <w:right w:w="108" w:type="dxa"/>
            </w:tcMar>
            <w:vAlign w:val="center"/>
            <w:hideMark/>
          </w:tcPr>
          <w:p w:rsidR="00014C4D" w:rsidRPr="00014C4D" w:rsidRDefault="00014C4D" w:rsidP="00014C4D">
            <w:pPr>
              <w:spacing w:line="269" w:lineRule="auto"/>
              <w:jc w:val="left"/>
              <w:rPr>
                <w:rFonts w:ascii="Tahoma" w:eastAsia="Times New Roman" w:hAnsi="Tahoma" w:cs="Tahoma"/>
                <w:color w:val="808080" w:themeColor="background1" w:themeShade="80"/>
                <w:sz w:val="16"/>
                <w:szCs w:val="16"/>
                <w:rtl/>
                <w:lang w:eastAsia=""/>
              </w:rPr>
            </w:pPr>
            <w:r w:rsidRPr="00014C4D">
              <w:rPr>
                <w:rFonts w:ascii="Tahoma" w:eastAsia="Times New Roman" w:hAnsi="Tahoma" w:cs="Tahoma"/>
                <w:color w:val="808080" w:themeColor="background1" w:themeShade="80"/>
                <w:sz w:val="16"/>
                <w:szCs w:val="16"/>
                <w:rtl/>
                <w:lang w:eastAsia=""/>
              </w:rPr>
              <w:t xml:space="preserve">שיעור </w:t>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גירעון</w:t>
            </w:r>
            <w:r w:rsidRPr="00014C4D">
              <w:rPr>
                <w:rFonts w:ascii="Tahoma" w:eastAsia="Times New Roman" w:hAnsi="Tahoma" w:cs="Tahoma"/>
                <w:color w:val="808080" w:themeColor="background1" w:themeShade="80"/>
                <w:sz w:val="16"/>
                <w:szCs w:val="16"/>
                <w:rtl/>
                <w:lang w:eastAsia=""/>
              </w:rPr>
              <w:br/>
            </w:r>
            <w:r w:rsidRPr="00014C4D">
              <w:rPr>
                <w:rFonts w:ascii="Tahoma" w:eastAsia="Times New Roman" w:hAnsi="Tahoma" w:cs="Tahoma" w:hint="cs"/>
                <w:color w:val="808080" w:themeColor="background1" w:themeShade="80"/>
                <w:sz w:val="16"/>
                <w:szCs w:val="16"/>
                <w:rtl/>
                <w:lang w:eastAsia=""/>
              </w:rPr>
              <w:t>ה</w:t>
            </w:r>
            <w:r w:rsidRPr="00014C4D">
              <w:rPr>
                <w:rFonts w:ascii="Tahoma" w:eastAsia="Times New Roman" w:hAnsi="Tahoma" w:cs="Tahoma"/>
                <w:color w:val="808080" w:themeColor="background1" w:themeShade="80"/>
                <w:sz w:val="16"/>
                <w:szCs w:val="16"/>
                <w:rtl/>
                <w:lang w:eastAsia=""/>
              </w:rPr>
              <w:t>מצטבר</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0.6%</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19.3%</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4.6%</w:t>
            </w:r>
          </w:p>
        </w:tc>
        <w:tc>
          <w:tcPr>
            <w:tcW w:w="0" w:type="auto"/>
            <w:tcBorders>
              <w:top w:val="single" w:sz="12" w:space="0" w:color="EEECE1" w:themeColor="background2"/>
              <w:bottom w:val="single" w:sz="12" w:space="0" w:color="EEECE1" w:themeColor="background2"/>
            </w:tcBorders>
            <w:shd w:val="clear" w:color="auto" w:fill="FFFFFF" w:themeFill="background1"/>
            <w:tcMar>
              <w:top w:w="0" w:type="dxa"/>
              <w:left w:w="108" w:type="dxa"/>
              <w:bottom w:w="0" w:type="dxa"/>
              <w:right w:w="108" w:type="dxa"/>
            </w:tcMar>
            <w:vAlign w:val="center"/>
          </w:tcPr>
          <w:p w:rsidR="00014C4D" w:rsidRPr="00014C4D" w:rsidRDefault="00014C4D" w:rsidP="00014C4D">
            <w:pPr>
              <w:spacing w:line="269" w:lineRule="auto"/>
              <w:jc w:val="center"/>
              <w:rPr>
                <w:rFonts w:ascii="Tahoma" w:eastAsia="Times New Roman" w:hAnsi="Tahoma" w:cs="Tahoma"/>
                <w:color w:val="222222"/>
                <w:sz w:val="16"/>
                <w:szCs w:val="16"/>
                <w:rtl/>
                <w:lang w:eastAsia=""/>
              </w:rPr>
            </w:pPr>
            <w:r w:rsidRPr="00014C4D">
              <w:rPr>
                <w:rFonts w:ascii="Tahoma" w:eastAsia="Times New Roman" w:hAnsi="Tahoma" w:cs="Tahoma" w:hint="cs"/>
                <w:color w:val="222222"/>
                <w:sz w:val="16"/>
                <w:szCs w:val="16"/>
                <w:rtl/>
                <w:lang w:eastAsia=""/>
              </w:rPr>
              <w:t>8.1%</w:t>
            </w:r>
          </w:p>
        </w:tc>
      </w:tr>
    </w:tbl>
    <w:p w:rsidR="00014C4D" w:rsidRPr="00014C4D" w:rsidRDefault="00014C4D" w:rsidP="00014C4D">
      <w:pPr>
        <w:spacing w:line="269" w:lineRule="auto"/>
        <w:rPr>
          <w:rtl/>
        </w:rPr>
      </w:pPr>
      <w:r w:rsidRPr="00014C4D">
        <w:rPr>
          <w:rFonts w:hint="cs"/>
          <w:sz w:val="16"/>
          <w:szCs w:val="20"/>
          <w:rtl/>
        </w:rPr>
        <w:t>על פי נתוני הלשכה המרכזית לסטטיסטיקה (להלן - הלמ"ס) והדוחות הכספיים המבוקרים של הרשויות המקומיות לסוף שנת 2022, בעיבוד משרד מבקר המדינה.</w:t>
      </w:r>
    </w:p>
    <w:p w:rsidR="00014C4D" w:rsidRPr="00014C4D" w:rsidRDefault="00014C4D" w:rsidP="00014C4D">
      <w:pPr>
        <w:spacing w:line="269" w:lineRule="auto"/>
        <w:ind w:left="-567"/>
        <w:rPr>
          <w:szCs w:val="20"/>
          <w:rtl/>
        </w:rPr>
      </w:pPr>
    </w:p>
    <w:p w:rsidR="00014C4D" w:rsidRPr="00014C4D" w:rsidRDefault="00014C4D" w:rsidP="00014C4D">
      <w:pPr>
        <w:spacing w:after="40" w:line="269" w:lineRule="auto"/>
        <w:rPr>
          <w:sz w:val="16"/>
          <w:szCs w:val="20"/>
          <w:rtl/>
        </w:rPr>
      </w:pPr>
      <w:r w:rsidRPr="00014C4D">
        <w:rPr>
          <w:rFonts w:hint="cs"/>
          <w:b/>
          <w:bCs/>
          <w:sz w:val="16"/>
          <w:szCs w:val="20"/>
          <w:rtl/>
        </w:rPr>
        <w:t>מספר התושבים</w:t>
      </w:r>
      <w:r w:rsidRPr="00014C4D">
        <w:rPr>
          <w:sz w:val="16"/>
          <w:szCs w:val="20"/>
          <w:rtl/>
        </w:rPr>
        <w:t xml:space="preserve"> - </w:t>
      </w:r>
      <w:r w:rsidRPr="00014C4D">
        <w:rPr>
          <w:rFonts w:hint="cs"/>
          <w:sz w:val="16"/>
          <w:szCs w:val="20"/>
          <w:rtl/>
        </w:rPr>
        <w:t xml:space="preserve">הנתון </w:t>
      </w:r>
      <w:r w:rsidRPr="00014C4D">
        <w:rPr>
          <w:rFonts w:hint="cs"/>
          <w:szCs w:val="20"/>
          <w:rtl/>
        </w:rPr>
        <w:t xml:space="preserve">לקוח מתוך </w:t>
      </w:r>
      <w:r w:rsidRPr="00014C4D">
        <w:rPr>
          <w:rFonts w:hint="cs"/>
          <w:sz w:val="16"/>
          <w:szCs w:val="20"/>
          <w:rtl/>
        </w:rPr>
        <w:t>"הרשויות המקומיות - קובץ נתונים לעיבוד - 2022" שהכינה הלמ"ס</w:t>
      </w:r>
      <w:r w:rsidRPr="00014C4D">
        <w:rPr>
          <w:sz w:val="16"/>
          <w:szCs w:val="20"/>
          <w:rtl/>
        </w:rPr>
        <w:t>.</w:t>
      </w:r>
    </w:p>
    <w:p w:rsidR="00014C4D" w:rsidRPr="00014C4D" w:rsidRDefault="00014C4D" w:rsidP="00014C4D">
      <w:pPr>
        <w:spacing w:after="40" w:line="269" w:lineRule="auto"/>
        <w:rPr>
          <w:sz w:val="16"/>
          <w:szCs w:val="20"/>
          <w:rtl/>
        </w:rPr>
      </w:pPr>
      <w:r w:rsidRPr="00014C4D">
        <w:rPr>
          <w:rFonts w:hint="cs"/>
          <w:b/>
          <w:bCs/>
          <w:sz w:val="16"/>
          <w:szCs w:val="20"/>
          <w:rtl/>
        </w:rPr>
        <w:t>ה</w:t>
      </w:r>
      <w:r w:rsidRPr="00014C4D">
        <w:rPr>
          <w:b/>
          <w:bCs/>
          <w:sz w:val="16"/>
          <w:szCs w:val="20"/>
          <w:rtl/>
        </w:rPr>
        <w:t xml:space="preserve">אשכול </w:t>
      </w:r>
      <w:r w:rsidRPr="00014C4D">
        <w:rPr>
          <w:rFonts w:hint="cs"/>
          <w:b/>
          <w:bCs/>
          <w:sz w:val="16"/>
          <w:szCs w:val="20"/>
          <w:rtl/>
        </w:rPr>
        <w:t>ה</w:t>
      </w:r>
      <w:r w:rsidRPr="00014C4D">
        <w:rPr>
          <w:b/>
          <w:bCs/>
          <w:sz w:val="16"/>
          <w:szCs w:val="20"/>
          <w:rtl/>
        </w:rPr>
        <w:t>חברתי-כלכלי</w:t>
      </w:r>
      <w:r w:rsidRPr="00014C4D">
        <w:rPr>
          <w:sz w:val="16"/>
          <w:szCs w:val="20"/>
          <w:rtl/>
        </w:rPr>
        <w:t xml:space="preserve"> - הלמ"ס מדרגת את הרשויות המקומיות בסולם של עשר דרגות (אשכולות), לפי המצב החברתי-כלכלי של האוכלוסייה המתגוררת בתחום שיפוטן. אשכול 10 מעיד על הרמה החברתית-כלכלית הגבוהה ביותר</w:t>
      </w:r>
      <w:r w:rsidRPr="00014C4D">
        <w:rPr>
          <w:rFonts w:hint="cs"/>
          <w:sz w:val="16"/>
          <w:szCs w:val="20"/>
          <w:rtl/>
        </w:rPr>
        <w:t>, ואשכול 1 - על הרמה החברתית-כלכלית הנמוכה ביותר</w:t>
      </w:r>
      <w:r w:rsidRPr="00014C4D">
        <w:rPr>
          <w:sz w:val="16"/>
          <w:szCs w:val="20"/>
          <w:rtl/>
        </w:rPr>
        <w:t xml:space="preserve">. מוצג הנתון </w:t>
      </w:r>
      <w:r w:rsidRPr="00014C4D">
        <w:rPr>
          <w:rFonts w:hint="cs"/>
          <w:sz w:val="16"/>
          <w:szCs w:val="20"/>
          <w:rtl/>
        </w:rPr>
        <w:t>שהיה מעודכן ב</w:t>
      </w:r>
      <w:r w:rsidRPr="00014C4D">
        <w:rPr>
          <w:sz w:val="16"/>
          <w:szCs w:val="20"/>
          <w:rtl/>
        </w:rPr>
        <w:t>מועד סיום הביקורת המתייחס לשנת 20</w:t>
      </w:r>
      <w:r w:rsidRPr="00014C4D">
        <w:rPr>
          <w:rFonts w:hint="cs"/>
          <w:sz w:val="16"/>
          <w:szCs w:val="20"/>
          <w:rtl/>
        </w:rPr>
        <w:t>21</w:t>
      </w:r>
      <w:r w:rsidRPr="00014C4D">
        <w:rPr>
          <w:sz w:val="16"/>
          <w:szCs w:val="20"/>
          <w:rtl/>
        </w:rPr>
        <w:t>.</w:t>
      </w:r>
    </w:p>
    <w:p w:rsidR="00014C4D" w:rsidRPr="00014C4D" w:rsidRDefault="00014C4D" w:rsidP="00014C4D">
      <w:pPr>
        <w:spacing w:after="40" w:line="269" w:lineRule="auto"/>
        <w:rPr>
          <w:sz w:val="16"/>
          <w:szCs w:val="20"/>
          <w:rtl/>
        </w:rPr>
      </w:pPr>
      <w:r w:rsidRPr="00014C4D">
        <w:rPr>
          <w:b/>
          <w:bCs/>
          <w:sz w:val="16"/>
          <w:szCs w:val="20"/>
          <w:rtl/>
        </w:rPr>
        <w:lastRenderedPageBreak/>
        <w:t xml:space="preserve">אשכול </w:t>
      </w:r>
      <w:r w:rsidRPr="00014C4D">
        <w:rPr>
          <w:rFonts w:hint="cs"/>
          <w:b/>
          <w:bCs/>
          <w:sz w:val="16"/>
          <w:szCs w:val="20"/>
          <w:rtl/>
        </w:rPr>
        <w:t>ה</w:t>
      </w:r>
      <w:r w:rsidRPr="00014C4D">
        <w:rPr>
          <w:b/>
          <w:bCs/>
          <w:sz w:val="16"/>
          <w:szCs w:val="20"/>
          <w:rtl/>
        </w:rPr>
        <w:t>פריפריאליות</w:t>
      </w:r>
      <w:r w:rsidRPr="00014C4D">
        <w:rPr>
          <w:sz w:val="16"/>
          <w:szCs w:val="20"/>
          <w:rtl/>
        </w:rPr>
        <w:t xml:space="preserve"> -</w:t>
      </w:r>
      <w:r w:rsidRPr="00014C4D">
        <w:rPr>
          <w:rFonts w:hint="cs"/>
          <w:sz w:val="16"/>
          <w:szCs w:val="20"/>
          <w:rtl/>
        </w:rPr>
        <w:t xml:space="preserve"> </w:t>
      </w:r>
      <w:r w:rsidRPr="00014C4D">
        <w:rPr>
          <w:sz w:val="16"/>
          <w:szCs w:val="20"/>
          <w:rtl/>
        </w:rPr>
        <w:t xml:space="preserve">הלמ"ס מדרגת את הרשויות המקומיות בסולם של עשר דרגות (אשכולות), לפי מקומן הגיאוגרפי ביחס לריכוזי האוכלוסייה, על פי שקלול של שני מרכיבים: </w:t>
      </w:r>
      <w:r w:rsidRPr="00014C4D">
        <w:rPr>
          <w:rFonts w:hint="cs"/>
          <w:sz w:val="16"/>
          <w:szCs w:val="20"/>
          <w:rtl/>
        </w:rPr>
        <w:t>ה</w:t>
      </w:r>
      <w:r w:rsidRPr="00014C4D">
        <w:rPr>
          <w:sz w:val="16"/>
          <w:szCs w:val="20"/>
          <w:rtl/>
        </w:rPr>
        <w:t xml:space="preserve">נגישות </w:t>
      </w:r>
      <w:r w:rsidRPr="00014C4D">
        <w:rPr>
          <w:rFonts w:hint="cs"/>
          <w:sz w:val="16"/>
          <w:szCs w:val="20"/>
          <w:rtl/>
        </w:rPr>
        <w:t>ה</w:t>
      </w:r>
      <w:r w:rsidRPr="00014C4D">
        <w:rPr>
          <w:sz w:val="16"/>
          <w:szCs w:val="20"/>
          <w:rtl/>
        </w:rPr>
        <w:t xml:space="preserve">פוטנציאלית לכלל </w:t>
      </w:r>
      <w:r w:rsidRPr="00014C4D">
        <w:rPr>
          <w:rFonts w:hint="cs"/>
          <w:sz w:val="16"/>
          <w:szCs w:val="20"/>
          <w:rtl/>
        </w:rPr>
        <w:t>הרשויות המקומיות</w:t>
      </w:r>
      <w:r w:rsidRPr="00014C4D">
        <w:rPr>
          <w:sz w:val="16"/>
          <w:szCs w:val="20"/>
          <w:rtl/>
        </w:rPr>
        <w:t xml:space="preserve"> ו</w:t>
      </w:r>
      <w:r w:rsidRPr="00014C4D">
        <w:rPr>
          <w:rFonts w:hint="cs"/>
          <w:sz w:val="16"/>
          <w:szCs w:val="20"/>
          <w:rtl/>
        </w:rPr>
        <w:t>ה</w:t>
      </w:r>
      <w:r w:rsidRPr="00014C4D">
        <w:rPr>
          <w:sz w:val="16"/>
          <w:szCs w:val="20"/>
          <w:rtl/>
        </w:rPr>
        <w:t xml:space="preserve">קרבה לגבול מחוז תל אביב. אשכול 10 מעיד על </w:t>
      </w:r>
      <w:r w:rsidRPr="00014C4D">
        <w:rPr>
          <w:rFonts w:hint="cs"/>
          <w:sz w:val="16"/>
          <w:szCs w:val="20"/>
          <w:rtl/>
        </w:rPr>
        <w:t>הרשות המקומית</w:t>
      </w:r>
      <w:r w:rsidRPr="00014C4D">
        <w:rPr>
          <w:sz w:val="16"/>
          <w:szCs w:val="20"/>
          <w:rtl/>
        </w:rPr>
        <w:t xml:space="preserve"> המרכזי</w:t>
      </w:r>
      <w:r w:rsidRPr="00014C4D">
        <w:rPr>
          <w:rFonts w:hint="cs"/>
          <w:sz w:val="16"/>
          <w:szCs w:val="20"/>
          <w:rtl/>
        </w:rPr>
        <w:t>ת</w:t>
      </w:r>
      <w:r w:rsidRPr="00014C4D">
        <w:rPr>
          <w:sz w:val="16"/>
          <w:szCs w:val="20"/>
          <w:rtl/>
        </w:rPr>
        <w:t xml:space="preserve"> ביותר, ואשכול 1 - על </w:t>
      </w:r>
      <w:r w:rsidRPr="00014C4D">
        <w:rPr>
          <w:rFonts w:hint="cs"/>
          <w:sz w:val="16"/>
          <w:szCs w:val="20"/>
          <w:rtl/>
        </w:rPr>
        <w:t>הרשות המקומית</w:t>
      </w:r>
      <w:r w:rsidRPr="00014C4D">
        <w:rPr>
          <w:sz w:val="16"/>
          <w:szCs w:val="20"/>
          <w:rtl/>
        </w:rPr>
        <w:t xml:space="preserve"> הפריפריאלי</w:t>
      </w:r>
      <w:r w:rsidRPr="00014C4D">
        <w:rPr>
          <w:rFonts w:hint="cs"/>
          <w:sz w:val="16"/>
          <w:szCs w:val="20"/>
          <w:rtl/>
        </w:rPr>
        <w:t>ת</w:t>
      </w:r>
      <w:r w:rsidRPr="00014C4D">
        <w:rPr>
          <w:sz w:val="16"/>
          <w:szCs w:val="20"/>
          <w:rtl/>
        </w:rPr>
        <w:t xml:space="preserve"> ביותר. מוצג הנתון </w:t>
      </w:r>
      <w:r w:rsidRPr="00014C4D">
        <w:rPr>
          <w:rFonts w:hint="cs"/>
          <w:sz w:val="16"/>
          <w:szCs w:val="20"/>
          <w:rtl/>
        </w:rPr>
        <w:t xml:space="preserve">שהיה </w:t>
      </w:r>
      <w:r w:rsidRPr="00014C4D">
        <w:rPr>
          <w:sz w:val="16"/>
          <w:szCs w:val="20"/>
          <w:rtl/>
        </w:rPr>
        <w:t xml:space="preserve">מעודכן </w:t>
      </w:r>
      <w:r w:rsidRPr="00014C4D">
        <w:rPr>
          <w:rFonts w:hint="cs"/>
          <w:sz w:val="16"/>
          <w:szCs w:val="20"/>
          <w:rtl/>
        </w:rPr>
        <w:t>ב</w:t>
      </w:r>
      <w:r w:rsidRPr="00014C4D">
        <w:rPr>
          <w:sz w:val="16"/>
          <w:szCs w:val="20"/>
          <w:rtl/>
        </w:rPr>
        <w:t>מועד סיום הביקורת המתייחס לשנת 2020.</w:t>
      </w:r>
    </w:p>
    <w:p w:rsidR="00014C4D" w:rsidRPr="00014C4D" w:rsidRDefault="00014C4D" w:rsidP="00014C4D">
      <w:pPr>
        <w:spacing w:after="40" w:line="269" w:lineRule="auto"/>
        <w:rPr>
          <w:sz w:val="16"/>
          <w:szCs w:val="20"/>
          <w:rtl/>
        </w:rPr>
      </w:pPr>
      <w:r w:rsidRPr="00014C4D">
        <w:rPr>
          <w:b/>
          <w:bCs/>
          <w:sz w:val="16"/>
          <w:szCs w:val="20"/>
          <w:rtl/>
        </w:rPr>
        <w:t>סיווג הרשות המקומית</w:t>
      </w:r>
      <w:r w:rsidRPr="00014C4D">
        <w:rPr>
          <w:sz w:val="16"/>
          <w:szCs w:val="20"/>
          <w:rtl/>
        </w:rPr>
        <w:t xml:space="preserve"> - משרד הפנים מסווג את הרשויות המקומיות על פי קריטריונים המשקפים את מצבן הכספי ופעולותיהן הכלכליות והמשקיות</w:t>
      </w:r>
      <w:r w:rsidRPr="00014C4D">
        <w:rPr>
          <w:rFonts w:hint="cs"/>
          <w:sz w:val="16"/>
          <w:szCs w:val="20"/>
          <w:rtl/>
        </w:rPr>
        <w:t>,</w:t>
      </w:r>
      <w:r w:rsidRPr="00014C4D">
        <w:rPr>
          <w:sz w:val="16"/>
          <w:szCs w:val="20"/>
          <w:rtl/>
        </w:rPr>
        <w:t xml:space="preserve"> כגון שיעור </w:t>
      </w:r>
      <w:r w:rsidRPr="00014C4D">
        <w:rPr>
          <w:rFonts w:hint="cs"/>
          <w:sz w:val="16"/>
          <w:szCs w:val="20"/>
          <w:rtl/>
        </w:rPr>
        <w:t>ה</w:t>
      </w:r>
      <w:r w:rsidRPr="00014C4D">
        <w:rPr>
          <w:sz w:val="16"/>
          <w:szCs w:val="20"/>
          <w:rtl/>
        </w:rPr>
        <w:t xml:space="preserve">גירעון </w:t>
      </w:r>
      <w:r w:rsidRPr="00014C4D">
        <w:rPr>
          <w:rFonts w:hint="cs"/>
          <w:sz w:val="16"/>
          <w:szCs w:val="20"/>
          <w:rtl/>
        </w:rPr>
        <w:t>ה</w:t>
      </w:r>
      <w:r w:rsidRPr="00014C4D">
        <w:rPr>
          <w:sz w:val="16"/>
          <w:szCs w:val="20"/>
          <w:rtl/>
        </w:rPr>
        <w:t xml:space="preserve">שוטף או </w:t>
      </w:r>
      <w:r w:rsidRPr="00014C4D">
        <w:rPr>
          <w:rFonts w:hint="cs"/>
          <w:sz w:val="16"/>
          <w:szCs w:val="20"/>
          <w:rtl/>
        </w:rPr>
        <w:t>ה</w:t>
      </w:r>
      <w:r w:rsidRPr="00014C4D">
        <w:rPr>
          <w:sz w:val="16"/>
          <w:szCs w:val="20"/>
          <w:rtl/>
        </w:rPr>
        <w:t xml:space="preserve">מצטבר, </w:t>
      </w:r>
      <w:r w:rsidRPr="00014C4D">
        <w:rPr>
          <w:rFonts w:hint="cs"/>
          <w:sz w:val="16"/>
          <w:szCs w:val="20"/>
          <w:rtl/>
        </w:rPr>
        <w:t>ה</w:t>
      </w:r>
      <w:r w:rsidRPr="00014C4D">
        <w:rPr>
          <w:sz w:val="16"/>
          <w:szCs w:val="20"/>
          <w:rtl/>
        </w:rPr>
        <w:t>זכאות למענק איזון, מתן הנחות ומחיקת חובות</w:t>
      </w:r>
      <w:r w:rsidRPr="00014C4D">
        <w:rPr>
          <w:rFonts w:hint="cs"/>
          <w:sz w:val="16"/>
          <w:szCs w:val="20"/>
          <w:rtl/>
        </w:rPr>
        <w:t>.</w:t>
      </w:r>
      <w:r w:rsidRPr="00014C4D">
        <w:rPr>
          <w:sz w:val="16"/>
          <w:szCs w:val="20"/>
          <w:rtl/>
        </w:rPr>
        <w:t xml:space="preserve"> </w:t>
      </w:r>
      <w:r w:rsidRPr="00014C4D">
        <w:rPr>
          <w:rFonts w:hint="cs"/>
          <w:sz w:val="16"/>
          <w:szCs w:val="20"/>
          <w:rtl/>
        </w:rPr>
        <w:t>על פי הקריטריונים הללו מחולקות</w:t>
      </w:r>
      <w:r w:rsidRPr="00014C4D">
        <w:rPr>
          <w:sz w:val="16"/>
          <w:szCs w:val="20"/>
          <w:rtl/>
        </w:rPr>
        <w:t xml:space="preserve"> הרשויות ל</w:t>
      </w:r>
      <w:r w:rsidRPr="00014C4D">
        <w:rPr>
          <w:rFonts w:hint="cs"/>
          <w:sz w:val="16"/>
          <w:szCs w:val="20"/>
          <w:rtl/>
        </w:rPr>
        <w:t xml:space="preserve">שש </w:t>
      </w:r>
      <w:r w:rsidRPr="00014C4D">
        <w:rPr>
          <w:sz w:val="16"/>
          <w:szCs w:val="20"/>
          <w:rtl/>
        </w:rPr>
        <w:t>קבוצות</w:t>
      </w:r>
      <w:r w:rsidRPr="00014C4D">
        <w:rPr>
          <w:rFonts w:hint="cs"/>
          <w:sz w:val="16"/>
          <w:szCs w:val="20"/>
          <w:rtl/>
        </w:rPr>
        <w:t>:</w:t>
      </w:r>
      <w:r w:rsidRPr="00014C4D">
        <w:rPr>
          <w:sz w:val="16"/>
          <w:szCs w:val="20"/>
          <w:rtl/>
        </w:rPr>
        <w:t xml:space="preserve"> </w:t>
      </w:r>
      <w:r w:rsidRPr="00014C4D">
        <w:rPr>
          <w:rFonts w:hint="cs"/>
          <w:sz w:val="16"/>
          <w:szCs w:val="20"/>
          <w:rtl/>
        </w:rPr>
        <w:t xml:space="preserve">(1) </w:t>
      </w:r>
      <w:r w:rsidRPr="00014C4D">
        <w:rPr>
          <w:sz w:val="16"/>
          <w:szCs w:val="20"/>
          <w:rtl/>
        </w:rPr>
        <w:t>איתנו</w:t>
      </w:r>
      <w:r w:rsidRPr="00014C4D">
        <w:rPr>
          <w:rFonts w:hint="cs"/>
          <w:sz w:val="16"/>
          <w:szCs w:val="20"/>
          <w:rtl/>
        </w:rPr>
        <w:t>ֹ</w:t>
      </w:r>
      <w:r w:rsidRPr="00014C4D">
        <w:rPr>
          <w:sz w:val="16"/>
          <w:szCs w:val="20"/>
          <w:rtl/>
        </w:rPr>
        <w:t xml:space="preserve">ת </w:t>
      </w:r>
      <w:r w:rsidRPr="00014C4D">
        <w:rPr>
          <w:rFonts w:hint="cs"/>
          <w:sz w:val="16"/>
          <w:szCs w:val="20"/>
          <w:rtl/>
        </w:rPr>
        <w:t xml:space="preserve">(2) </w:t>
      </w:r>
      <w:r w:rsidRPr="00014C4D">
        <w:rPr>
          <w:sz w:val="16"/>
          <w:szCs w:val="20"/>
          <w:rtl/>
        </w:rPr>
        <w:t>יציבו</w:t>
      </w:r>
      <w:r w:rsidRPr="00014C4D">
        <w:rPr>
          <w:rFonts w:hint="cs"/>
          <w:sz w:val="16"/>
          <w:szCs w:val="20"/>
          <w:rtl/>
        </w:rPr>
        <w:t>ֹ</w:t>
      </w:r>
      <w:r w:rsidRPr="00014C4D">
        <w:rPr>
          <w:sz w:val="16"/>
          <w:szCs w:val="20"/>
          <w:rtl/>
        </w:rPr>
        <w:t xml:space="preserve">ת </w:t>
      </w:r>
      <w:r w:rsidRPr="00014C4D">
        <w:rPr>
          <w:rFonts w:hint="cs"/>
          <w:sz w:val="16"/>
          <w:szCs w:val="20"/>
          <w:rtl/>
        </w:rPr>
        <w:t xml:space="preserve">(3) </w:t>
      </w:r>
      <w:r w:rsidRPr="00014C4D">
        <w:rPr>
          <w:sz w:val="16"/>
          <w:szCs w:val="20"/>
          <w:rtl/>
        </w:rPr>
        <w:t xml:space="preserve">בהמראה </w:t>
      </w:r>
      <w:r w:rsidRPr="00014C4D">
        <w:rPr>
          <w:rFonts w:hint="cs"/>
          <w:sz w:val="16"/>
          <w:szCs w:val="20"/>
          <w:rtl/>
        </w:rPr>
        <w:t xml:space="preserve">(4) </w:t>
      </w:r>
      <w:r w:rsidRPr="00014C4D">
        <w:rPr>
          <w:sz w:val="16"/>
          <w:szCs w:val="20"/>
          <w:rtl/>
        </w:rPr>
        <w:t>בת</w:t>
      </w:r>
      <w:r w:rsidRPr="00014C4D">
        <w:rPr>
          <w:rFonts w:hint="cs"/>
          <w:sz w:val="16"/>
          <w:szCs w:val="20"/>
          <w:rtl/>
        </w:rPr>
        <w:t>ו</w:t>
      </w:r>
      <w:r w:rsidRPr="00014C4D">
        <w:rPr>
          <w:sz w:val="16"/>
          <w:szCs w:val="20"/>
          <w:rtl/>
        </w:rPr>
        <w:t xml:space="preserve">כנית הבראה </w:t>
      </w:r>
      <w:r w:rsidRPr="00014C4D">
        <w:rPr>
          <w:rFonts w:hint="cs"/>
          <w:sz w:val="16"/>
          <w:szCs w:val="20"/>
          <w:rtl/>
        </w:rPr>
        <w:t xml:space="preserve">(5) </w:t>
      </w:r>
      <w:r w:rsidRPr="00014C4D">
        <w:rPr>
          <w:sz w:val="16"/>
          <w:szCs w:val="20"/>
          <w:rtl/>
        </w:rPr>
        <w:t>בת</w:t>
      </w:r>
      <w:r w:rsidRPr="00014C4D">
        <w:rPr>
          <w:rFonts w:hint="cs"/>
          <w:sz w:val="16"/>
          <w:szCs w:val="20"/>
          <w:rtl/>
        </w:rPr>
        <w:t>ו</w:t>
      </w:r>
      <w:r w:rsidRPr="00014C4D">
        <w:rPr>
          <w:sz w:val="16"/>
          <w:szCs w:val="20"/>
          <w:rtl/>
        </w:rPr>
        <w:t xml:space="preserve">כנית התייעלות </w:t>
      </w:r>
      <w:r w:rsidRPr="00014C4D">
        <w:rPr>
          <w:rFonts w:hint="cs"/>
          <w:sz w:val="16"/>
          <w:szCs w:val="20"/>
          <w:rtl/>
        </w:rPr>
        <w:t xml:space="preserve">(6) </w:t>
      </w:r>
      <w:r w:rsidRPr="00014C4D">
        <w:rPr>
          <w:sz w:val="16"/>
          <w:szCs w:val="20"/>
          <w:rtl/>
        </w:rPr>
        <w:t xml:space="preserve">במצב ביניים. </w:t>
      </w:r>
      <w:r w:rsidRPr="00014C4D">
        <w:rPr>
          <w:rFonts w:hint="cs"/>
          <w:sz w:val="16"/>
          <w:szCs w:val="20"/>
          <w:rtl/>
        </w:rPr>
        <w:t>מוצג ה</w:t>
      </w:r>
      <w:r w:rsidRPr="00014C4D">
        <w:rPr>
          <w:sz w:val="16"/>
          <w:szCs w:val="20"/>
          <w:rtl/>
        </w:rPr>
        <w:t xml:space="preserve">נתון </w:t>
      </w:r>
      <w:r w:rsidRPr="00014C4D">
        <w:rPr>
          <w:rFonts w:hint="cs"/>
          <w:sz w:val="16"/>
          <w:szCs w:val="20"/>
          <w:rtl/>
        </w:rPr>
        <w:t>שהיה מעודכן ב</w:t>
      </w:r>
      <w:r w:rsidRPr="00014C4D">
        <w:rPr>
          <w:sz w:val="16"/>
          <w:szCs w:val="20"/>
          <w:rtl/>
        </w:rPr>
        <w:t>מועד סיום הביקורת.</w:t>
      </w:r>
    </w:p>
    <w:p w:rsidR="00014C4D" w:rsidRPr="00014C4D" w:rsidRDefault="00014C4D" w:rsidP="00014C4D">
      <w:pPr>
        <w:spacing w:after="40" w:line="269" w:lineRule="auto"/>
        <w:rPr>
          <w:sz w:val="16"/>
          <w:szCs w:val="20"/>
          <w:rtl/>
        </w:rPr>
      </w:pPr>
      <w:r w:rsidRPr="00014C4D">
        <w:rPr>
          <w:rFonts w:hint="cs"/>
          <w:b/>
          <w:bCs/>
          <w:sz w:val="16"/>
          <w:szCs w:val="20"/>
          <w:rtl/>
        </w:rPr>
        <w:t>ביצוע ה</w:t>
      </w:r>
      <w:r w:rsidRPr="00014C4D">
        <w:rPr>
          <w:b/>
          <w:bCs/>
          <w:sz w:val="16"/>
          <w:szCs w:val="20"/>
          <w:rtl/>
        </w:rPr>
        <w:t>הכנסו</w:t>
      </w:r>
      <w:r w:rsidRPr="00014C4D">
        <w:rPr>
          <w:rFonts w:hint="cs"/>
          <w:b/>
          <w:bCs/>
          <w:sz w:val="16"/>
          <w:szCs w:val="20"/>
          <w:rtl/>
        </w:rPr>
        <w:t xml:space="preserve">ת </w:t>
      </w:r>
      <w:r w:rsidRPr="00014C4D">
        <w:rPr>
          <w:rFonts w:hint="cs"/>
          <w:sz w:val="16"/>
          <w:szCs w:val="20"/>
          <w:rtl/>
        </w:rPr>
        <w:t>או</w:t>
      </w:r>
      <w:r w:rsidRPr="00014C4D">
        <w:rPr>
          <w:rFonts w:hint="cs"/>
          <w:b/>
          <w:bCs/>
          <w:sz w:val="16"/>
          <w:szCs w:val="20"/>
          <w:rtl/>
        </w:rPr>
        <w:t xml:space="preserve"> ביצוע ההוצאות </w:t>
      </w:r>
      <w:r w:rsidRPr="00014C4D">
        <w:rPr>
          <w:sz w:val="16"/>
          <w:szCs w:val="20"/>
          <w:rtl/>
        </w:rPr>
        <w:t xml:space="preserve">- ביצוע </w:t>
      </w:r>
      <w:r w:rsidRPr="00014C4D">
        <w:rPr>
          <w:rFonts w:hint="cs"/>
          <w:sz w:val="16"/>
          <w:szCs w:val="20"/>
          <w:rtl/>
        </w:rPr>
        <w:t>ה</w:t>
      </w:r>
      <w:r w:rsidRPr="00014C4D">
        <w:rPr>
          <w:sz w:val="16"/>
          <w:szCs w:val="20"/>
          <w:rtl/>
        </w:rPr>
        <w:t xml:space="preserve">הכנסות </w:t>
      </w:r>
      <w:r w:rsidRPr="00014C4D">
        <w:rPr>
          <w:rFonts w:hint="cs"/>
          <w:sz w:val="16"/>
          <w:szCs w:val="20"/>
          <w:rtl/>
        </w:rPr>
        <w:t xml:space="preserve">או ההוצאות </w:t>
      </w:r>
      <w:r w:rsidRPr="00014C4D">
        <w:rPr>
          <w:sz w:val="16"/>
          <w:szCs w:val="20"/>
          <w:rtl/>
        </w:rPr>
        <w:t>בתקציב הרגיל. הנתון לקוח מתוך הדוחות הכספיים המבוקרים של הרשויות המקומיו</w:t>
      </w:r>
      <w:r w:rsidRPr="00014C4D">
        <w:rPr>
          <w:rFonts w:hint="cs"/>
          <w:sz w:val="16"/>
          <w:szCs w:val="20"/>
          <w:rtl/>
        </w:rPr>
        <w:t>ת לסוף שנת 2022</w:t>
      </w:r>
      <w:r w:rsidRPr="00014C4D">
        <w:rPr>
          <w:sz w:val="16"/>
          <w:szCs w:val="20"/>
          <w:rtl/>
        </w:rPr>
        <w:t>.</w:t>
      </w:r>
    </w:p>
    <w:p w:rsidR="00014C4D" w:rsidRPr="00014C4D" w:rsidRDefault="00014C4D" w:rsidP="00014C4D">
      <w:pPr>
        <w:spacing w:after="40" w:line="269" w:lineRule="auto"/>
        <w:rPr>
          <w:sz w:val="16"/>
          <w:szCs w:val="20"/>
          <w:rtl/>
        </w:rPr>
      </w:pPr>
      <w:r w:rsidRPr="00014C4D">
        <w:rPr>
          <w:rFonts w:hint="cs"/>
          <w:b/>
          <w:bCs/>
          <w:sz w:val="16"/>
          <w:szCs w:val="20"/>
          <w:rtl/>
        </w:rPr>
        <w:t>ה</w:t>
      </w:r>
      <w:r w:rsidRPr="00014C4D">
        <w:rPr>
          <w:b/>
          <w:bCs/>
          <w:sz w:val="16"/>
          <w:szCs w:val="20"/>
          <w:rtl/>
        </w:rPr>
        <w:t>עודף (</w:t>
      </w:r>
      <w:r w:rsidRPr="00014C4D">
        <w:rPr>
          <w:rFonts w:hint="cs"/>
          <w:b/>
          <w:bCs/>
          <w:sz w:val="16"/>
          <w:szCs w:val="20"/>
          <w:rtl/>
        </w:rPr>
        <w:t>או ה</w:t>
      </w:r>
      <w:r w:rsidRPr="00014C4D">
        <w:rPr>
          <w:b/>
          <w:bCs/>
          <w:sz w:val="16"/>
          <w:szCs w:val="20"/>
          <w:rtl/>
        </w:rPr>
        <w:t xml:space="preserve">גירעון) </w:t>
      </w:r>
      <w:r w:rsidRPr="00014C4D">
        <w:rPr>
          <w:rFonts w:hint="cs"/>
          <w:b/>
          <w:bCs/>
          <w:sz w:val="16"/>
          <w:szCs w:val="20"/>
          <w:rtl/>
        </w:rPr>
        <w:t>ה</w:t>
      </w:r>
      <w:r w:rsidRPr="00014C4D">
        <w:rPr>
          <w:b/>
          <w:bCs/>
          <w:sz w:val="16"/>
          <w:szCs w:val="20"/>
          <w:rtl/>
        </w:rPr>
        <w:t>שוטף</w:t>
      </w:r>
      <w:r w:rsidRPr="00014C4D">
        <w:rPr>
          <w:rFonts w:hint="cs"/>
          <w:sz w:val="16"/>
          <w:szCs w:val="20"/>
          <w:rtl/>
        </w:rPr>
        <w:t xml:space="preserve"> </w:t>
      </w:r>
      <w:r w:rsidRPr="00014C4D">
        <w:rPr>
          <w:rFonts w:hint="cs"/>
          <w:b/>
          <w:bCs/>
          <w:sz w:val="16"/>
          <w:szCs w:val="20"/>
          <w:rtl/>
        </w:rPr>
        <w:t>וה</w:t>
      </w:r>
      <w:r w:rsidRPr="00014C4D">
        <w:rPr>
          <w:b/>
          <w:bCs/>
          <w:sz w:val="16"/>
          <w:szCs w:val="20"/>
          <w:rtl/>
        </w:rPr>
        <w:t>מצטב</w:t>
      </w:r>
      <w:r w:rsidRPr="00014C4D">
        <w:rPr>
          <w:rFonts w:hint="cs"/>
          <w:b/>
          <w:bCs/>
          <w:sz w:val="16"/>
          <w:szCs w:val="20"/>
          <w:rtl/>
        </w:rPr>
        <w:t>ר</w:t>
      </w:r>
      <w:r w:rsidRPr="00014C4D">
        <w:rPr>
          <w:rFonts w:hint="cs"/>
          <w:sz w:val="16"/>
          <w:szCs w:val="20"/>
          <w:rtl/>
        </w:rPr>
        <w:t xml:space="preserve"> </w:t>
      </w:r>
      <w:r w:rsidRPr="00014C4D">
        <w:rPr>
          <w:sz w:val="16"/>
          <w:szCs w:val="20"/>
          <w:rtl/>
        </w:rPr>
        <w:t xml:space="preserve">- בתקציב הרגיל. הנתון לקוח מתוך </w:t>
      </w:r>
      <w:r w:rsidRPr="00014C4D">
        <w:rPr>
          <w:rFonts w:hint="cs"/>
          <w:sz w:val="16"/>
          <w:szCs w:val="20"/>
          <w:rtl/>
        </w:rPr>
        <w:t>ה</w:t>
      </w:r>
      <w:r w:rsidRPr="00014C4D">
        <w:rPr>
          <w:sz w:val="16"/>
          <w:szCs w:val="20"/>
          <w:rtl/>
        </w:rPr>
        <w:t>דוחות הכספיים המבוקרים של הרשויות המקומיו</w:t>
      </w:r>
      <w:r w:rsidRPr="00014C4D">
        <w:rPr>
          <w:rFonts w:hint="cs"/>
          <w:sz w:val="16"/>
          <w:szCs w:val="20"/>
          <w:rtl/>
        </w:rPr>
        <w:t>ת לסוף שנת 2022</w:t>
      </w:r>
      <w:r w:rsidRPr="00014C4D">
        <w:rPr>
          <w:sz w:val="16"/>
          <w:szCs w:val="20"/>
          <w:rtl/>
        </w:rPr>
        <w:t>.</w:t>
      </w:r>
    </w:p>
    <w:p w:rsidR="00014C4D" w:rsidRPr="00014C4D" w:rsidRDefault="00014C4D" w:rsidP="00014C4D">
      <w:pPr>
        <w:spacing w:line="269" w:lineRule="auto"/>
        <w:rPr>
          <w:sz w:val="16"/>
          <w:szCs w:val="20"/>
          <w:rtl/>
        </w:rPr>
      </w:pPr>
      <w:r w:rsidRPr="00014C4D">
        <w:rPr>
          <w:b/>
          <w:bCs/>
          <w:sz w:val="16"/>
          <w:szCs w:val="20"/>
          <w:rtl/>
        </w:rPr>
        <w:t xml:space="preserve">שיעור </w:t>
      </w:r>
      <w:r w:rsidRPr="00014C4D">
        <w:rPr>
          <w:rFonts w:hint="cs"/>
          <w:b/>
          <w:bCs/>
          <w:sz w:val="16"/>
          <w:szCs w:val="20"/>
          <w:rtl/>
        </w:rPr>
        <w:t>ה</w:t>
      </w:r>
      <w:r w:rsidRPr="00014C4D">
        <w:rPr>
          <w:b/>
          <w:bCs/>
          <w:sz w:val="16"/>
          <w:szCs w:val="20"/>
          <w:rtl/>
        </w:rPr>
        <w:t xml:space="preserve">גירעון </w:t>
      </w:r>
      <w:r w:rsidRPr="00014C4D">
        <w:rPr>
          <w:rFonts w:hint="cs"/>
          <w:b/>
          <w:bCs/>
          <w:sz w:val="16"/>
          <w:szCs w:val="20"/>
          <w:rtl/>
        </w:rPr>
        <w:t>ה</w:t>
      </w:r>
      <w:r w:rsidRPr="00014C4D">
        <w:rPr>
          <w:b/>
          <w:bCs/>
          <w:sz w:val="16"/>
          <w:szCs w:val="20"/>
          <w:rtl/>
        </w:rPr>
        <w:t xml:space="preserve">מצטבר </w:t>
      </w:r>
      <w:r w:rsidRPr="00014C4D">
        <w:rPr>
          <w:sz w:val="16"/>
          <w:szCs w:val="20"/>
          <w:rtl/>
        </w:rPr>
        <w:t>-</w:t>
      </w:r>
      <w:r w:rsidRPr="00014C4D">
        <w:rPr>
          <w:rFonts w:hint="cs"/>
          <w:sz w:val="16"/>
          <w:szCs w:val="20"/>
          <w:rtl/>
        </w:rPr>
        <w:t xml:space="preserve"> כהגדרתו ב</w:t>
      </w:r>
      <w:r w:rsidRPr="00014C4D">
        <w:rPr>
          <w:sz w:val="16"/>
          <w:szCs w:val="20"/>
          <w:rtl/>
        </w:rPr>
        <w:t>סעי</w:t>
      </w:r>
      <w:r w:rsidRPr="00014C4D">
        <w:rPr>
          <w:rFonts w:hint="cs"/>
          <w:sz w:val="16"/>
          <w:szCs w:val="20"/>
          <w:rtl/>
        </w:rPr>
        <w:t>ף</w:t>
      </w:r>
      <w:r w:rsidRPr="00014C4D">
        <w:rPr>
          <w:sz w:val="16"/>
          <w:szCs w:val="20"/>
          <w:rtl/>
        </w:rPr>
        <w:t xml:space="preserve"> 140ג לפקודת העיריות [נוסח חדש] ו</w:t>
      </w:r>
      <w:r w:rsidRPr="00014C4D">
        <w:rPr>
          <w:rFonts w:hint="cs"/>
          <w:sz w:val="16"/>
          <w:szCs w:val="20"/>
          <w:rtl/>
        </w:rPr>
        <w:t xml:space="preserve">בסעיף </w:t>
      </w:r>
      <w:r w:rsidRPr="00014C4D">
        <w:rPr>
          <w:sz w:val="16"/>
          <w:szCs w:val="20"/>
          <w:rtl/>
        </w:rPr>
        <w:t>35ג לפקודת המועצות המקומיות [נוסח חדש]). הנתון לקוח מתוך הדוחות הכספיים המבוקרים של הרשויות המקומיו</w:t>
      </w:r>
      <w:r w:rsidRPr="00014C4D">
        <w:rPr>
          <w:rFonts w:hint="cs"/>
          <w:sz w:val="16"/>
          <w:szCs w:val="20"/>
          <w:rtl/>
        </w:rPr>
        <w:t>ת לסוף שנת 2022.</w:t>
      </w:r>
    </w:p>
    <w:p w:rsidR="00014C4D" w:rsidRPr="00014C4D" w:rsidRDefault="00014C4D" w:rsidP="00014C4D">
      <w:pPr>
        <w:spacing w:line="269" w:lineRule="auto"/>
        <w:rPr>
          <w:rtl/>
        </w:rPr>
      </w:pPr>
    </w:p>
    <w:p w:rsidR="00014C4D" w:rsidRPr="00014C4D" w:rsidRDefault="00014C4D" w:rsidP="00014C4D">
      <w:pPr>
        <w:keepNext/>
        <w:keepLines/>
        <w:spacing w:line="269" w:lineRule="auto"/>
        <w:jc w:val="center"/>
        <w:outlineLvl w:val="1"/>
        <w:rPr>
          <w:rFonts w:eastAsiaTheme="majorEastAsia"/>
          <w:bCs/>
          <w:szCs w:val="32"/>
          <w:rtl/>
        </w:rPr>
      </w:pPr>
      <w:r w:rsidRPr="00014C4D">
        <w:rPr>
          <w:rFonts w:eastAsiaTheme="majorEastAsia" w:hint="cs"/>
          <w:bCs/>
          <w:szCs w:val="32"/>
          <w:rtl/>
        </w:rPr>
        <w:t xml:space="preserve">מיפוי פערי המיגון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פער מיגון </w:t>
      </w:r>
      <w:r w:rsidRPr="00014C4D">
        <w:rPr>
          <w:rFonts w:hint="cs"/>
          <w:rtl/>
        </w:rPr>
        <w:t>לעניין פרק זה</w:t>
      </w:r>
      <w:r w:rsidRPr="00014C4D">
        <w:rPr>
          <w:rFonts w:hint="cs"/>
        </w:rPr>
        <w:t xml:space="preserve"> </w:t>
      </w:r>
      <w:r w:rsidRPr="00014C4D">
        <w:rPr>
          <w:rtl/>
        </w:rPr>
        <w:t xml:space="preserve">הוא הפער שבין שטחי המיגון הדרושים ובין שטחי המיגון הקיימים בפועל, והוא משקף את ההפרש שבין מספר התושבים שיש להם </w:t>
      </w:r>
      <w:r w:rsidRPr="00014C4D">
        <w:rPr>
          <w:rFonts w:hint="cs"/>
          <w:rtl/>
        </w:rPr>
        <w:t xml:space="preserve">מרחב מוגן </w:t>
      </w:r>
      <w:r w:rsidRPr="00014C4D">
        <w:rPr>
          <w:rtl/>
        </w:rPr>
        <w:t xml:space="preserve">(ציבורי, משותף, ממ"ק או ממ"ד) </w:t>
      </w:r>
      <w:r w:rsidRPr="00014C4D">
        <w:rPr>
          <w:rFonts w:hint="cs"/>
          <w:rtl/>
        </w:rPr>
        <w:t xml:space="preserve">זמין </w:t>
      </w:r>
      <w:r w:rsidRPr="00014C4D">
        <w:rPr>
          <w:rtl/>
        </w:rPr>
        <w:t>בעת ירי פגזים או טילים ובין מספר התושבים שאין להם פתרון כזה.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color w:val="FF0000"/>
          <w:sz w:val="24"/>
        </w:rPr>
      </w:pPr>
      <w:r w:rsidRPr="00014C4D">
        <w:rPr>
          <w:rFonts w:ascii="David" w:eastAsia="Times New Roman" w:hAnsi="David"/>
          <w:sz w:val="24"/>
          <w:rtl/>
        </w:rPr>
        <w:t>פקע"ר מכין</w:t>
      </w:r>
      <w:r w:rsidRPr="00014C4D">
        <w:rPr>
          <w:rFonts w:ascii="David" w:eastAsia="Times New Roman" w:hAnsi="David" w:hint="cs"/>
          <w:sz w:val="24"/>
          <w:rtl/>
        </w:rPr>
        <w:t xml:space="preserve"> מפעם לפעם </w:t>
      </w:r>
      <w:r w:rsidRPr="00014C4D">
        <w:rPr>
          <w:rFonts w:ascii="David" w:eastAsia="Times New Roman" w:hAnsi="David"/>
          <w:sz w:val="24"/>
          <w:rtl/>
        </w:rPr>
        <w:t xml:space="preserve">תמונת מצב </w:t>
      </w:r>
      <w:r w:rsidRPr="00014C4D">
        <w:rPr>
          <w:rFonts w:ascii="David" w:eastAsia="Times New Roman" w:hAnsi="David" w:hint="cs"/>
          <w:sz w:val="24"/>
          <w:rtl/>
        </w:rPr>
        <w:t>ש</w:t>
      </w:r>
      <w:r w:rsidRPr="00014C4D">
        <w:rPr>
          <w:rFonts w:ascii="David" w:eastAsia="Times New Roman" w:hAnsi="David"/>
          <w:sz w:val="24"/>
          <w:rtl/>
        </w:rPr>
        <w:t>ל</w:t>
      </w:r>
      <w:r w:rsidRPr="00014C4D">
        <w:rPr>
          <w:rFonts w:ascii="David" w:eastAsia="Times New Roman" w:hAnsi="David" w:hint="cs"/>
          <w:sz w:val="24"/>
          <w:rtl/>
        </w:rPr>
        <w:t xml:space="preserve"> </w:t>
      </w:r>
      <w:r w:rsidRPr="00014C4D">
        <w:rPr>
          <w:rFonts w:ascii="David" w:eastAsia="Times New Roman" w:hAnsi="David"/>
          <w:sz w:val="24"/>
          <w:rtl/>
        </w:rPr>
        <w:t>אמצעי המיגון הקיימים בישראל ו</w:t>
      </w:r>
      <w:r w:rsidRPr="00014C4D">
        <w:rPr>
          <w:rFonts w:ascii="David" w:eastAsia="Times New Roman" w:hAnsi="David" w:hint="cs"/>
          <w:sz w:val="24"/>
          <w:rtl/>
        </w:rPr>
        <w:t xml:space="preserve">של </w:t>
      </w:r>
      <w:r w:rsidRPr="00014C4D">
        <w:rPr>
          <w:rFonts w:ascii="David" w:eastAsia="Times New Roman" w:hAnsi="David"/>
          <w:sz w:val="24"/>
          <w:rtl/>
        </w:rPr>
        <w:t xml:space="preserve">מספר </w:t>
      </w:r>
      <w:r w:rsidRPr="00014C4D">
        <w:rPr>
          <w:rFonts w:ascii="David" w:eastAsia="Times New Roman" w:hAnsi="David" w:hint="cs"/>
          <w:sz w:val="24"/>
          <w:rtl/>
        </w:rPr>
        <w:t>הממוגנים</w:t>
      </w:r>
      <w:r w:rsidRPr="00014C4D">
        <w:rPr>
          <w:rFonts w:ascii="David" w:eastAsia="Times New Roman" w:hAnsi="David"/>
          <w:sz w:val="24"/>
          <w:rtl/>
        </w:rPr>
        <w:t>. במסמכי פקע"ר נקבע כי פער</w:t>
      </w:r>
      <w:r w:rsidRPr="00014C4D">
        <w:rPr>
          <w:rFonts w:ascii="David" w:eastAsia="Times New Roman" w:hAnsi="David" w:hint="cs"/>
          <w:sz w:val="24"/>
          <w:rtl/>
        </w:rPr>
        <w:t>י</w:t>
      </w:r>
      <w:r w:rsidRPr="00014C4D">
        <w:rPr>
          <w:rFonts w:ascii="David" w:eastAsia="Times New Roman" w:hAnsi="David"/>
          <w:sz w:val="24"/>
          <w:rtl/>
        </w:rPr>
        <w:t xml:space="preserve"> המיגון </w:t>
      </w:r>
      <w:r w:rsidRPr="00014C4D">
        <w:rPr>
          <w:rFonts w:ascii="David" w:eastAsia="Times New Roman" w:hAnsi="David" w:hint="cs"/>
          <w:sz w:val="24"/>
          <w:rtl/>
        </w:rPr>
        <w:t>מובאים בחשבון בעת קביעת</w:t>
      </w:r>
      <w:r w:rsidRPr="00014C4D">
        <w:rPr>
          <w:rFonts w:ascii="David" w:eastAsia="Times New Roman" w:hAnsi="David"/>
          <w:sz w:val="24"/>
          <w:rtl/>
        </w:rPr>
        <w:t xml:space="preserve"> מדיניות ההתגוננות הכוללת, אשר משפיעה על החלטות הגורמים המדיניים והצבאיים לפני פתיחה במבצעי לחימה ובמהלכם, </w:t>
      </w:r>
      <w:r w:rsidRPr="00014C4D">
        <w:rPr>
          <w:rFonts w:ascii="David" w:eastAsia="Times New Roman" w:hAnsi="David" w:hint="cs"/>
          <w:sz w:val="24"/>
          <w:rtl/>
        </w:rPr>
        <w:t xml:space="preserve">ומובאים </w:t>
      </w:r>
      <w:r w:rsidRPr="00014C4D">
        <w:rPr>
          <w:rFonts w:ascii="David" w:eastAsia="Times New Roman" w:hAnsi="David"/>
          <w:sz w:val="24"/>
          <w:rtl/>
        </w:rPr>
        <w:t xml:space="preserve">בחשבון </w:t>
      </w:r>
      <w:r w:rsidRPr="00014C4D">
        <w:rPr>
          <w:rFonts w:ascii="David" w:eastAsia="Times New Roman" w:hAnsi="David" w:hint="cs"/>
          <w:sz w:val="24"/>
          <w:rtl/>
        </w:rPr>
        <w:t xml:space="preserve">גם </w:t>
      </w:r>
      <w:r w:rsidRPr="00014C4D">
        <w:rPr>
          <w:rFonts w:ascii="David" w:eastAsia="Times New Roman" w:hAnsi="David"/>
          <w:sz w:val="24"/>
          <w:rtl/>
        </w:rPr>
        <w:t>ב</w:t>
      </w:r>
      <w:r w:rsidRPr="00014C4D">
        <w:rPr>
          <w:rFonts w:ascii="David" w:eastAsia="Times New Roman" w:hAnsi="David" w:hint="cs"/>
          <w:sz w:val="24"/>
          <w:rtl/>
        </w:rPr>
        <w:t xml:space="preserve">עת </w:t>
      </w:r>
      <w:r w:rsidRPr="00014C4D">
        <w:rPr>
          <w:rFonts w:ascii="David" w:eastAsia="Times New Roman" w:hAnsi="David"/>
          <w:sz w:val="24"/>
          <w:rtl/>
        </w:rPr>
        <w:t xml:space="preserve">תכנון הפעלת הכוח הצבאי. כמו כן </w:t>
      </w:r>
      <w:r w:rsidRPr="00014C4D">
        <w:rPr>
          <w:rFonts w:ascii="David" w:eastAsia="Times New Roman" w:hAnsi="David" w:hint="cs"/>
          <w:sz w:val="24"/>
          <w:rtl/>
        </w:rPr>
        <w:t>פערי המיגון</w:t>
      </w:r>
      <w:r w:rsidRPr="00014C4D">
        <w:rPr>
          <w:rFonts w:ascii="David" w:eastAsia="Times New Roman" w:hAnsi="David"/>
          <w:sz w:val="24"/>
          <w:rtl/>
        </w:rPr>
        <w:t xml:space="preserve"> משפיע</w:t>
      </w:r>
      <w:r w:rsidRPr="00014C4D">
        <w:rPr>
          <w:rFonts w:ascii="David" w:eastAsia="Times New Roman" w:hAnsi="David" w:hint="cs"/>
          <w:sz w:val="24"/>
          <w:rtl/>
        </w:rPr>
        <w:t>ים</w:t>
      </w:r>
      <w:r w:rsidRPr="00014C4D">
        <w:rPr>
          <w:rFonts w:ascii="David" w:eastAsia="Times New Roman" w:hAnsi="David"/>
          <w:sz w:val="24"/>
          <w:rtl/>
        </w:rPr>
        <w:t xml:space="preserve"> על הצורך בהפעלת אמצעים נוספים כגון פינוי אוכלוסייה ועל ההיערכות הנדרשת של הרשויות המקומיות לחירום</w:t>
      </w:r>
      <w:r w:rsidRPr="00014C4D">
        <w:rPr>
          <w:rFonts w:ascii="David" w:eastAsia="Times New Roman" w:hAnsi="David"/>
          <w:sz w:val="24"/>
          <w:vertAlign w:val="superscript"/>
          <w:rtl/>
        </w:rPr>
        <w:footnoteReference w:id="12"/>
      </w:r>
      <w:r w:rsidRPr="00014C4D">
        <w:rPr>
          <w:rFonts w:ascii="David" w:eastAsia="Times New Roman" w:hAnsi="David"/>
          <w:sz w:val="24"/>
          <w:rtl/>
        </w:rPr>
        <w:t>.</w:t>
      </w:r>
      <w:r w:rsidRPr="00014C4D">
        <w:rPr>
          <w:rFonts w:ascii="David" w:eastAsia="Times New Roman" w:hAnsi="David" w:hint="cs"/>
          <w:color w:val="FF0000"/>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tabs>
          <w:tab w:val="left" w:pos="7937"/>
        </w:tabs>
        <w:spacing w:line="269" w:lineRule="auto"/>
        <w:rPr>
          <w:rFonts w:ascii="David" w:hAnsi="David"/>
          <w:sz w:val="24"/>
          <w:rtl/>
        </w:rPr>
      </w:pPr>
      <w:r w:rsidRPr="00014C4D">
        <w:rPr>
          <w:rFonts w:ascii="David" w:eastAsia="Times New Roman" w:hAnsi="David" w:hint="cs"/>
          <w:sz w:val="24"/>
          <w:rtl/>
        </w:rPr>
        <w:t xml:space="preserve">בהנחיות תורת המיגון הפיזי - מיגון משפחתי, מיגון מוסדי ומיגון ציבורי שפרסם פקע"ר באוגוסט 2010 ועודכנו בדצמבר 2022 </w:t>
      </w:r>
      <w:r w:rsidRPr="00014C4D">
        <w:rPr>
          <w:rFonts w:ascii="David" w:hAnsi="David" w:hint="cs"/>
          <w:sz w:val="24"/>
          <w:rtl/>
        </w:rPr>
        <w:t xml:space="preserve">(להלן - תורת המיגון של פקע"ר) צוין כי במלחמת המפרץ הראשונה גובשה תפיסת מיגון שבה זמן ההתרעה - משך הזמן שבו יש להגיע למרחב מוגן - נקבע לפי המיקום הגיאוגרפי. זמן השהייה במרחב המוגן, על פי תפיסה זו, הוא בין עשר דקות לשעות מספר, וההנחיות בעניינו ניתנות אד הוק באמצעי התקשורת. </w:t>
      </w:r>
    </w:p>
    <w:p w:rsidR="00014C4D" w:rsidRPr="00014C4D" w:rsidRDefault="00014C4D" w:rsidP="00014C4D">
      <w:pPr>
        <w:spacing w:line="269" w:lineRule="auto"/>
        <w:ind w:left="-567"/>
        <w:rPr>
          <w:szCs w:val="20"/>
          <w:rtl/>
        </w:rPr>
      </w:pPr>
    </w:p>
    <w:p w:rsidR="00014C4D" w:rsidRPr="00014C4D" w:rsidRDefault="00014C4D" w:rsidP="00014C4D">
      <w:pPr>
        <w:tabs>
          <w:tab w:val="left" w:pos="7937"/>
        </w:tabs>
        <w:spacing w:line="269" w:lineRule="auto"/>
        <w:rPr>
          <w:rFonts w:ascii="David" w:hAnsi="David"/>
          <w:sz w:val="24"/>
          <w:rtl/>
        </w:rPr>
      </w:pPr>
      <w:r w:rsidRPr="00014C4D">
        <w:rPr>
          <w:rFonts w:ascii="David" w:hAnsi="David" w:hint="cs"/>
          <w:sz w:val="24"/>
          <w:rtl/>
        </w:rPr>
        <w:t xml:space="preserve">ממענה </w:t>
      </w:r>
      <w:r w:rsidRPr="00014C4D">
        <w:rPr>
          <w:rFonts w:ascii="David" w:hAnsi="David"/>
          <w:sz w:val="24"/>
          <w:rtl/>
        </w:rPr>
        <w:t xml:space="preserve">פקע"ר למשרד מבקר המדינה </w:t>
      </w:r>
      <w:r w:rsidRPr="00014C4D">
        <w:rPr>
          <w:rFonts w:ascii="David" w:hAnsi="David" w:hint="cs"/>
          <w:sz w:val="24"/>
          <w:rtl/>
        </w:rPr>
        <w:t>מ</w:t>
      </w:r>
      <w:r w:rsidRPr="00014C4D">
        <w:rPr>
          <w:rFonts w:ascii="David" w:hAnsi="David"/>
          <w:sz w:val="24"/>
          <w:rtl/>
        </w:rPr>
        <w:t xml:space="preserve">ינואר 2025 </w:t>
      </w:r>
      <w:r w:rsidRPr="00014C4D">
        <w:rPr>
          <w:rFonts w:ascii="David" w:hAnsi="David" w:hint="cs"/>
          <w:sz w:val="24"/>
          <w:rtl/>
        </w:rPr>
        <w:t xml:space="preserve">(להלן - תשובת פקע"ר) עולה </w:t>
      </w:r>
      <w:r w:rsidRPr="00014C4D">
        <w:rPr>
          <w:rFonts w:ascii="David" w:hAnsi="David"/>
          <w:sz w:val="24"/>
          <w:rtl/>
        </w:rPr>
        <w:t xml:space="preserve">כי תמונת מצב פערי המיגון </w:t>
      </w:r>
      <w:r w:rsidRPr="00014C4D">
        <w:rPr>
          <w:rFonts w:ascii="David" w:hAnsi="David" w:hint="cs"/>
          <w:sz w:val="24"/>
          <w:rtl/>
        </w:rPr>
        <w:t xml:space="preserve">שבידי פקע"ר </w:t>
      </w:r>
      <w:r w:rsidRPr="00014C4D">
        <w:rPr>
          <w:rFonts w:ascii="David" w:hAnsi="David"/>
          <w:sz w:val="24"/>
          <w:rtl/>
        </w:rPr>
        <w:t>מבוסס</w:t>
      </w:r>
      <w:r w:rsidRPr="00014C4D">
        <w:rPr>
          <w:rFonts w:ascii="David" w:hAnsi="David" w:hint="cs"/>
          <w:sz w:val="24"/>
          <w:rtl/>
        </w:rPr>
        <w:t>ת</w:t>
      </w:r>
      <w:r w:rsidRPr="00014C4D">
        <w:rPr>
          <w:rFonts w:ascii="David" w:hAnsi="David"/>
          <w:sz w:val="24"/>
          <w:rtl/>
        </w:rPr>
        <w:t xml:space="preserve"> על פרויקט שהובילו מחוזות פקע"ר בין השנים 2020 - 2022 למיפוי המיגון הפרטי, בתיאום ושילוב הרשויות המקומיות. מסד הנתונים שגובש בשנים אלו מהווה את הבסיס להמשך תהליך עדכון ותיקוף עיתי של תמונת מצב המיגון מול הרשויות המקומיות. המערכת שמשקפת את תמונת מצב המיגון היא מערכת דינמית והנתונים בה מתעדכנים באופן שוטף, כ</w:t>
      </w:r>
      <w:r w:rsidRPr="00014C4D">
        <w:rPr>
          <w:rFonts w:ascii="David" w:hAnsi="David" w:hint="cs"/>
          <w:sz w:val="24"/>
          <w:rtl/>
        </w:rPr>
        <w:t>ך</w:t>
      </w:r>
      <w:r w:rsidRPr="00014C4D">
        <w:rPr>
          <w:rFonts w:ascii="David" w:hAnsi="David"/>
          <w:sz w:val="24"/>
          <w:rtl/>
        </w:rPr>
        <w:t xml:space="preserve"> שלא ניתן להתחקות אחר נתונים </w:t>
      </w:r>
      <w:r w:rsidRPr="00014C4D">
        <w:rPr>
          <w:rFonts w:ascii="David" w:hAnsi="David"/>
          <w:sz w:val="24"/>
          <w:rtl/>
        </w:rPr>
        <w:lastRenderedPageBreak/>
        <w:t>שהוזנו בה בעבר, אלא אך ורק להציג את הנתונים הקיימים. בשנ</w:t>
      </w:r>
      <w:r w:rsidRPr="00014C4D">
        <w:rPr>
          <w:rFonts w:ascii="David" w:hAnsi="David" w:hint="cs"/>
          <w:sz w:val="24"/>
          <w:rtl/>
        </w:rPr>
        <w:t xml:space="preserve">ת 2024 </w:t>
      </w:r>
      <w:r w:rsidRPr="00014C4D">
        <w:rPr>
          <w:rFonts w:ascii="David" w:hAnsi="David"/>
          <w:sz w:val="24"/>
          <w:rtl/>
        </w:rPr>
        <w:t>זוהו פערים בנתוני המיגון ברשויות ה</w:t>
      </w:r>
      <w:r w:rsidRPr="00014C4D">
        <w:rPr>
          <w:rFonts w:ascii="David" w:hAnsi="David" w:hint="cs"/>
          <w:sz w:val="24"/>
          <w:rtl/>
        </w:rPr>
        <w:t>חברה</w:t>
      </w:r>
      <w:r w:rsidRPr="00014C4D">
        <w:rPr>
          <w:rFonts w:ascii="David" w:hAnsi="David"/>
          <w:sz w:val="24"/>
          <w:rtl/>
        </w:rPr>
        <w:t xml:space="preserve"> הערבי</w:t>
      </w:r>
      <w:r w:rsidRPr="00014C4D">
        <w:rPr>
          <w:rFonts w:ascii="David" w:hAnsi="David" w:hint="cs"/>
          <w:sz w:val="24"/>
          <w:rtl/>
        </w:rPr>
        <w:t>ת</w:t>
      </w:r>
      <w:r w:rsidRPr="00014C4D">
        <w:rPr>
          <w:rFonts w:ascii="David" w:hAnsi="David"/>
          <w:sz w:val="24"/>
          <w:rtl/>
        </w:rPr>
        <w:t>. לאור זאת הוחלט על ביצוע מיפוי מחודש ברשויות אלו במהלך שנת 2025, בשיתוף הרשויות המקומיות.</w:t>
      </w:r>
    </w:p>
    <w:p w:rsidR="00014C4D" w:rsidRPr="00014C4D" w:rsidRDefault="00014C4D" w:rsidP="00014C4D">
      <w:pPr>
        <w:spacing w:line="269" w:lineRule="auto"/>
        <w:ind w:left="-567"/>
        <w:rPr>
          <w:szCs w:val="20"/>
          <w:rtl/>
        </w:rPr>
      </w:pPr>
    </w:p>
    <w:p w:rsidR="00014C4D" w:rsidRPr="00014C4D" w:rsidRDefault="00014C4D" w:rsidP="00014C4D">
      <w:pPr>
        <w:tabs>
          <w:tab w:val="left" w:pos="7937"/>
        </w:tabs>
        <w:spacing w:line="269" w:lineRule="auto"/>
        <w:rPr>
          <w:rFonts w:ascii="David" w:hAnsi="David"/>
          <w:sz w:val="24"/>
          <w:rtl/>
        </w:rPr>
      </w:pPr>
      <w:r w:rsidRPr="00014C4D">
        <w:rPr>
          <w:rFonts w:ascii="David" w:hAnsi="David" w:hint="cs"/>
          <w:sz w:val="24"/>
          <w:rtl/>
        </w:rPr>
        <w:t xml:space="preserve">להלן נתונים על פערי המיגון </w:t>
      </w:r>
      <w:r w:rsidRPr="00014C4D">
        <w:rPr>
          <w:rFonts w:ascii="David" w:hAnsi="David"/>
          <w:sz w:val="24"/>
          <w:rtl/>
        </w:rPr>
        <w:t xml:space="preserve">בישראל </w:t>
      </w:r>
      <w:r w:rsidRPr="00014C4D">
        <w:rPr>
          <w:rFonts w:ascii="David" w:hAnsi="David" w:hint="cs"/>
          <w:sz w:val="24"/>
          <w:rtl/>
        </w:rPr>
        <w:t xml:space="preserve">על פי נתוני פקע"ר, נכון </w:t>
      </w:r>
      <w:r w:rsidRPr="00014C4D">
        <w:rPr>
          <w:rFonts w:ascii="David" w:hAnsi="David"/>
          <w:sz w:val="24"/>
          <w:rtl/>
        </w:rPr>
        <w:t>ל</w:t>
      </w:r>
      <w:r w:rsidRPr="00014C4D">
        <w:rPr>
          <w:rFonts w:ascii="David" w:hAnsi="David" w:hint="cs"/>
          <w:sz w:val="24"/>
          <w:rtl/>
        </w:rPr>
        <w:t>ינואר 2025</w:t>
      </w:r>
      <w:r w:rsidRPr="00014C4D">
        <w:rPr>
          <w:rFonts w:ascii="David" w:hAnsi="David"/>
          <w:sz w:val="24"/>
          <w:rtl/>
        </w:rPr>
        <w:t>:</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b/>
          <w:bCs/>
          <w:rtl/>
        </w:rPr>
      </w:pPr>
      <w:r w:rsidRPr="00014C4D">
        <w:rPr>
          <w:rFonts w:hint="eastAsia"/>
          <w:rtl/>
        </w:rPr>
        <w:t>תרשים</w:t>
      </w:r>
      <w:r w:rsidRPr="00014C4D">
        <w:rPr>
          <w:rtl/>
        </w:rPr>
        <w:t xml:space="preserve"> </w:t>
      </w:r>
      <w:r w:rsidRPr="00014C4D">
        <w:rPr>
          <w:rFonts w:hint="cs"/>
          <w:rtl/>
        </w:rPr>
        <w:t>1</w:t>
      </w:r>
      <w:r w:rsidRPr="00014C4D">
        <w:rPr>
          <w:rtl/>
        </w:rPr>
        <w:t>:</w:t>
      </w:r>
      <w:r w:rsidRPr="00014C4D">
        <w:rPr>
          <w:rFonts w:hint="cs"/>
          <w:b/>
          <w:bCs/>
          <w:rtl/>
        </w:rPr>
        <w:t xml:space="preserve"> </w:t>
      </w:r>
      <w:r w:rsidRPr="00014C4D">
        <w:rPr>
          <w:b/>
          <w:bCs/>
          <w:rtl/>
        </w:rPr>
        <w:t xml:space="preserve">תמונת </w:t>
      </w:r>
      <w:r w:rsidRPr="00014C4D">
        <w:rPr>
          <w:rFonts w:hint="eastAsia"/>
          <w:b/>
          <w:bCs/>
          <w:rtl/>
        </w:rPr>
        <w:t>מצב</w:t>
      </w:r>
      <w:r w:rsidRPr="00014C4D">
        <w:rPr>
          <w:b/>
          <w:bCs/>
          <w:rtl/>
        </w:rPr>
        <w:t xml:space="preserve"> של מיגון תושבי ישראל, לפי אמצעי המיג</w:t>
      </w:r>
      <w:r w:rsidRPr="00014C4D">
        <w:rPr>
          <w:rFonts w:hint="eastAsia"/>
          <w:b/>
          <w:bCs/>
          <w:rtl/>
        </w:rPr>
        <w:t>ון</w:t>
      </w:r>
      <w:r w:rsidRPr="00014C4D">
        <w:rPr>
          <w:b/>
          <w:bCs/>
          <w:rtl/>
        </w:rPr>
        <w:t xml:space="preserve">, </w:t>
      </w:r>
      <w:r w:rsidRPr="00014C4D">
        <w:rPr>
          <w:rFonts w:hint="cs"/>
          <w:b/>
          <w:bCs/>
          <w:rtl/>
        </w:rPr>
        <w:t>ינואר 2025</w:t>
      </w:r>
    </w:p>
    <w:p w:rsidR="00014C4D" w:rsidRPr="00014C4D" w:rsidRDefault="00014C4D" w:rsidP="00014C4D">
      <w:pPr>
        <w:keepNext/>
        <w:keepLines/>
        <w:spacing w:line="269" w:lineRule="auto"/>
        <w:jc w:val="center"/>
        <w:rPr>
          <w:b/>
          <w:bCs/>
          <w:rtl/>
        </w:rPr>
      </w:pPr>
      <w:r w:rsidRPr="00014C4D">
        <w:rPr>
          <w:b/>
          <w:bCs/>
          <w:rtl/>
        </w:rPr>
        <w:t xml:space="preserve">(במספרים </w:t>
      </w:r>
      <w:r w:rsidRPr="00014C4D">
        <w:rPr>
          <w:rFonts w:hint="eastAsia"/>
          <w:b/>
          <w:bCs/>
          <w:rtl/>
        </w:rPr>
        <w:t>ובאחוזים</w:t>
      </w:r>
      <w:r w:rsidRPr="00014C4D">
        <w:rPr>
          <w:b/>
          <w:bCs/>
          <w:rtl/>
        </w:rPr>
        <w:t>)</w:t>
      </w:r>
    </w:p>
    <w:p w:rsidR="00014C4D" w:rsidRPr="00014C4D" w:rsidRDefault="00014C4D" w:rsidP="00014C4D">
      <w:pPr>
        <w:spacing w:line="269" w:lineRule="auto"/>
        <w:jc w:val="center"/>
        <w:rPr>
          <w:rtl/>
        </w:rPr>
      </w:pPr>
      <w:r w:rsidRPr="00014C4D">
        <w:rPr>
          <w:noProof/>
        </w:rPr>
        <w:drawing>
          <wp:inline distT="0" distB="0" distL="0" distR="0" wp14:anchorId="652797FB" wp14:editId="3AFE680D">
            <wp:extent cx="4647184" cy="3346470"/>
            <wp:effectExtent l="0" t="0" r="1270" b="6350"/>
            <wp:docPr id="1834351638" name="תמונה 1834351638" descr="ל- 3,187,721 תושבים אין מיגון תק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7469" cy="3361077"/>
                    </a:xfrm>
                    <a:prstGeom prst="rect">
                      <a:avLst/>
                    </a:prstGeom>
                  </pic:spPr>
                </pic:pic>
              </a:graphicData>
            </a:graphic>
          </wp:inline>
        </w:drawing>
      </w:r>
    </w:p>
    <w:p w:rsidR="00014C4D" w:rsidRPr="00014C4D" w:rsidRDefault="00014C4D" w:rsidP="00014C4D">
      <w:pPr>
        <w:spacing w:after="40" w:line="269" w:lineRule="auto"/>
        <w:rPr>
          <w:szCs w:val="20"/>
          <w:rtl/>
        </w:rPr>
      </w:pPr>
      <w:r w:rsidRPr="00014C4D">
        <w:rPr>
          <w:rFonts w:hint="eastAsia"/>
          <w:szCs w:val="20"/>
          <w:rtl/>
        </w:rPr>
        <w:t>על</w:t>
      </w:r>
      <w:r w:rsidRPr="00014C4D">
        <w:rPr>
          <w:szCs w:val="20"/>
          <w:rtl/>
        </w:rPr>
        <w:t xml:space="preserve"> </w:t>
      </w:r>
      <w:r w:rsidRPr="00014C4D">
        <w:rPr>
          <w:rFonts w:hint="eastAsia"/>
          <w:szCs w:val="20"/>
          <w:rtl/>
        </w:rPr>
        <w:t>פי</w:t>
      </w:r>
      <w:r w:rsidRPr="00014C4D">
        <w:rPr>
          <w:szCs w:val="20"/>
          <w:rtl/>
        </w:rPr>
        <w:t xml:space="preserve"> </w:t>
      </w:r>
      <w:r w:rsidRPr="00014C4D">
        <w:rPr>
          <w:rFonts w:hint="eastAsia"/>
          <w:szCs w:val="20"/>
          <w:rtl/>
        </w:rPr>
        <w:t>נתוני</w:t>
      </w:r>
      <w:r w:rsidRPr="00014C4D">
        <w:rPr>
          <w:szCs w:val="20"/>
          <w:rtl/>
        </w:rPr>
        <w:t xml:space="preserve"> </w:t>
      </w:r>
      <w:r w:rsidRPr="00014C4D">
        <w:rPr>
          <w:rFonts w:hint="eastAsia"/>
          <w:szCs w:val="20"/>
          <w:rtl/>
        </w:rPr>
        <w:t>פקע</w:t>
      </w:r>
      <w:r w:rsidRPr="00014C4D">
        <w:rPr>
          <w:szCs w:val="20"/>
          <w:rtl/>
        </w:rPr>
        <w:t xml:space="preserve">"ר, </w:t>
      </w:r>
      <w:r w:rsidRPr="00014C4D">
        <w:rPr>
          <w:rFonts w:hint="eastAsia"/>
          <w:szCs w:val="20"/>
          <w:rtl/>
        </w:rPr>
        <w:t>בעיבוד</w:t>
      </w:r>
      <w:r w:rsidRPr="00014C4D">
        <w:rPr>
          <w:szCs w:val="20"/>
          <w:rtl/>
        </w:rPr>
        <w:t xml:space="preserve"> </w:t>
      </w:r>
      <w:r w:rsidRPr="00014C4D">
        <w:rPr>
          <w:rFonts w:hint="eastAsia"/>
          <w:szCs w:val="20"/>
          <w:rtl/>
        </w:rPr>
        <w:t>משרד</w:t>
      </w:r>
      <w:r w:rsidRPr="00014C4D">
        <w:rPr>
          <w:szCs w:val="20"/>
          <w:rtl/>
        </w:rPr>
        <w:t xml:space="preserve"> </w:t>
      </w:r>
      <w:r w:rsidRPr="00014C4D">
        <w:rPr>
          <w:rFonts w:hint="eastAsia"/>
          <w:szCs w:val="20"/>
          <w:rtl/>
        </w:rPr>
        <w:t>מבקר</w:t>
      </w:r>
      <w:r w:rsidRPr="00014C4D">
        <w:rPr>
          <w:szCs w:val="20"/>
          <w:rtl/>
        </w:rPr>
        <w:t xml:space="preserve"> </w:t>
      </w:r>
      <w:r w:rsidRPr="00014C4D">
        <w:rPr>
          <w:rFonts w:hint="eastAsia"/>
          <w:szCs w:val="20"/>
          <w:rtl/>
        </w:rPr>
        <w:t>המדינה</w:t>
      </w:r>
      <w:r w:rsidRPr="00014C4D">
        <w:rPr>
          <w:szCs w:val="20"/>
          <w:rtl/>
        </w:rPr>
        <w:t>.</w:t>
      </w:r>
    </w:p>
    <w:p w:rsidR="00014C4D" w:rsidRPr="00014C4D" w:rsidRDefault="00014C4D" w:rsidP="00014C4D">
      <w:pPr>
        <w:spacing w:line="269" w:lineRule="auto"/>
        <w:rPr>
          <w:sz w:val="18"/>
          <w:szCs w:val="22"/>
          <w:rtl/>
        </w:rPr>
      </w:pPr>
      <w:r w:rsidRPr="00014C4D">
        <w:rPr>
          <w:rFonts w:hint="cs"/>
          <w:szCs w:val="20"/>
          <w:rtl/>
        </w:rPr>
        <w:t xml:space="preserve">מתמגנים במקלטים ציבוריים: </w:t>
      </w:r>
      <w:r w:rsidRPr="00014C4D">
        <w:rPr>
          <w:rFonts w:hint="eastAsia"/>
          <w:szCs w:val="20"/>
          <w:rtl/>
        </w:rPr>
        <w:t>פקע</w:t>
      </w:r>
      <w:r w:rsidRPr="00014C4D">
        <w:rPr>
          <w:szCs w:val="20"/>
          <w:rtl/>
        </w:rPr>
        <w:t xml:space="preserve">"ר מסר </w:t>
      </w:r>
      <w:r w:rsidRPr="00014C4D">
        <w:rPr>
          <w:rFonts w:hint="eastAsia"/>
          <w:szCs w:val="20"/>
          <w:rtl/>
        </w:rPr>
        <w:t>למשרד</w:t>
      </w:r>
      <w:r w:rsidRPr="00014C4D">
        <w:rPr>
          <w:szCs w:val="20"/>
          <w:rtl/>
        </w:rPr>
        <w:t xml:space="preserve"> מבקר המדינה </w:t>
      </w:r>
      <w:r w:rsidRPr="00014C4D">
        <w:rPr>
          <w:rFonts w:hint="eastAsia"/>
          <w:szCs w:val="20"/>
          <w:rtl/>
        </w:rPr>
        <w:t>בינואר</w:t>
      </w:r>
      <w:r w:rsidRPr="00014C4D">
        <w:rPr>
          <w:szCs w:val="20"/>
          <w:rtl/>
        </w:rPr>
        <w:t xml:space="preserve"> 2025 כי </w:t>
      </w:r>
      <w:r w:rsidRPr="00014C4D">
        <w:rPr>
          <w:rFonts w:hint="eastAsia"/>
          <w:szCs w:val="20"/>
          <w:rtl/>
        </w:rPr>
        <w:t>המקלוט</w:t>
      </w:r>
      <w:r w:rsidRPr="00014C4D">
        <w:rPr>
          <w:szCs w:val="20"/>
          <w:rtl/>
        </w:rPr>
        <w:t xml:space="preserve"> הציבורי מ</w:t>
      </w:r>
      <w:r w:rsidRPr="00014C4D">
        <w:rPr>
          <w:rFonts w:hint="cs"/>
          <w:szCs w:val="20"/>
          <w:rtl/>
        </w:rPr>
        <w:t>ה</w:t>
      </w:r>
      <w:r w:rsidRPr="00014C4D">
        <w:rPr>
          <w:szCs w:val="20"/>
          <w:rtl/>
        </w:rPr>
        <w:t>ווה שטח מיגו</w:t>
      </w:r>
      <w:r w:rsidR="00B30966">
        <w:rPr>
          <w:rFonts w:hint="cs"/>
          <w:szCs w:val="20"/>
          <w:rtl/>
        </w:rPr>
        <w:t>ן</w:t>
      </w:r>
      <w:r w:rsidRPr="00014C4D">
        <w:rPr>
          <w:szCs w:val="20"/>
          <w:rtl/>
        </w:rPr>
        <w:t xml:space="preserve"> פוטנציאלי לשימוש הרשות המ</w:t>
      </w:r>
      <w:r w:rsidRPr="00014C4D">
        <w:rPr>
          <w:rFonts w:hint="eastAsia"/>
          <w:szCs w:val="20"/>
          <w:rtl/>
        </w:rPr>
        <w:t>קומית</w:t>
      </w:r>
      <w:r w:rsidRPr="00014C4D">
        <w:rPr>
          <w:szCs w:val="20"/>
          <w:rtl/>
        </w:rPr>
        <w:t xml:space="preserve"> בהתאם לצרכיה ו</w:t>
      </w:r>
      <w:r w:rsidR="00B30966">
        <w:rPr>
          <w:rFonts w:hint="cs"/>
          <w:szCs w:val="20"/>
          <w:rtl/>
        </w:rPr>
        <w:t xml:space="preserve">לצורכי </w:t>
      </w:r>
      <w:r w:rsidRPr="00014C4D">
        <w:rPr>
          <w:szCs w:val="20"/>
          <w:rtl/>
        </w:rPr>
        <w:t xml:space="preserve">תושביה. על פי נתוני המיגון התקני שטח מיגון </w:t>
      </w:r>
      <w:r w:rsidRPr="00014C4D">
        <w:rPr>
          <w:rFonts w:hint="eastAsia"/>
          <w:szCs w:val="20"/>
          <w:rtl/>
        </w:rPr>
        <w:t>זה</w:t>
      </w:r>
      <w:r w:rsidRPr="00014C4D">
        <w:rPr>
          <w:szCs w:val="20"/>
          <w:rtl/>
        </w:rPr>
        <w:t xml:space="preserve"> אינו נלקח בחשבון סגירת פערי המיגון בחישוב נתוני המיגון הפרטי, אלא מהווה </w:t>
      </w:r>
      <w:r w:rsidRPr="00014C4D">
        <w:rPr>
          <w:rFonts w:hint="eastAsia"/>
          <w:szCs w:val="20"/>
          <w:rtl/>
        </w:rPr>
        <w:t>קיב</w:t>
      </w:r>
      <w:r w:rsidRPr="00014C4D">
        <w:rPr>
          <w:rFonts w:hint="cs"/>
          <w:szCs w:val="20"/>
          <w:rtl/>
        </w:rPr>
        <w:t>ולת מיגונית</w:t>
      </w:r>
      <w:r w:rsidRPr="00014C4D">
        <w:rPr>
          <w:szCs w:val="20"/>
          <w:rtl/>
        </w:rPr>
        <w:t xml:space="preserve"> אפשרית לשימוש הרשות המקומית ברמה המוניציפאלית. במידה וניתן להגיע למקלט ב</w:t>
      </w:r>
      <w:r w:rsidRPr="00014C4D">
        <w:rPr>
          <w:rFonts w:hint="eastAsia"/>
          <w:szCs w:val="20"/>
          <w:rtl/>
        </w:rPr>
        <w:t>זמן</w:t>
      </w:r>
      <w:r w:rsidRPr="00014C4D">
        <w:rPr>
          <w:szCs w:val="20"/>
          <w:rtl/>
        </w:rPr>
        <w:t xml:space="preserve"> </w:t>
      </w:r>
      <w:r w:rsidRPr="00014C4D">
        <w:rPr>
          <w:rFonts w:hint="eastAsia"/>
          <w:szCs w:val="20"/>
          <w:rtl/>
        </w:rPr>
        <w:t>ההתרעה</w:t>
      </w:r>
      <w:r w:rsidRPr="00014C4D">
        <w:rPr>
          <w:szCs w:val="20"/>
          <w:rtl/>
        </w:rPr>
        <w:t xml:space="preserve"> </w:t>
      </w:r>
      <w:r w:rsidRPr="00014C4D">
        <w:rPr>
          <w:rFonts w:hint="eastAsia"/>
          <w:szCs w:val="20"/>
          <w:rtl/>
        </w:rPr>
        <w:t>או</w:t>
      </w:r>
      <w:r w:rsidRPr="00014C4D">
        <w:rPr>
          <w:szCs w:val="20"/>
          <w:rtl/>
        </w:rPr>
        <w:t xml:space="preserve"> </w:t>
      </w:r>
      <w:r w:rsidRPr="00014C4D">
        <w:rPr>
          <w:rFonts w:hint="eastAsia"/>
          <w:szCs w:val="20"/>
          <w:rtl/>
        </w:rPr>
        <w:t>במקרה</w:t>
      </w:r>
      <w:r w:rsidRPr="00014C4D">
        <w:rPr>
          <w:szCs w:val="20"/>
          <w:rtl/>
        </w:rPr>
        <w:t xml:space="preserve"> </w:t>
      </w:r>
      <w:r w:rsidRPr="00014C4D">
        <w:rPr>
          <w:rFonts w:hint="eastAsia"/>
          <w:szCs w:val="20"/>
          <w:rtl/>
        </w:rPr>
        <w:t>של</w:t>
      </w:r>
      <w:r w:rsidRPr="00014C4D">
        <w:rPr>
          <w:szCs w:val="20"/>
          <w:rtl/>
        </w:rPr>
        <w:t xml:space="preserve"> </w:t>
      </w:r>
      <w:r w:rsidRPr="00014C4D">
        <w:rPr>
          <w:rFonts w:hint="eastAsia"/>
          <w:szCs w:val="20"/>
          <w:rtl/>
        </w:rPr>
        <w:t>שהייה</w:t>
      </w:r>
      <w:r w:rsidRPr="00014C4D">
        <w:rPr>
          <w:szCs w:val="20"/>
          <w:rtl/>
        </w:rPr>
        <w:t xml:space="preserve"> </w:t>
      </w:r>
      <w:r w:rsidRPr="00014C4D">
        <w:rPr>
          <w:rFonts w:hint="eastAsia"/>
          <w:szCs w:val="20"/>
          <w:rtl/>
        </w:rPr>
        <w:t>רציפה</w:t>
      </w:r>
      <w:r w:rsidRPr="00014C4D">
        <w:rPr>
          <w:szCs w:val="20"/>
          <w:rtl/>
        </w:rPr>
        <w:t xml:space="preserve"> </w:t>
      </w:r>
      <w:r w:rsidRPr="00014C4D">
        <w:rPr>
          <w:rFonts w:hint="eastAsia"/>
          <w:szCs w:val="20"/>
          <w:rtl/>
        </w:rPr>
        <w:t>במיגון</w:t>
      </w:r>
      <w:r w:rsidRPr="00014C4D">
        <w:rPr>
          <w:szCs w:val="20"/>
          <w:rtl/>
        </w:rPr>
        <w:t xml:space="preserve">, </w:t>
      </w:r>
      <w:r w:rsidRPr="00014C4D">
        <w:rPr>
          <w:rFonts w:hint="eastAsia"/>
          <w:szCs w:val="20"/>
          <w:rtl/>
        </w:rPr>
        <w:t>המקלט</w:t>
      </w:r>
      <w:r w:rsidRPr="00014C4D">
        <w:rPr>
          <w:szCs w:val="20"/>
          <w:rtl/>
        </w:rPr>
        <w:t xml:space="preserve"> </w:t>
      </w:r>
      <w:r w:rsidRPr="00014C4D">
        <w:rPr>
          <w:rFonts w:hint="eastAsia"/>
          <w:szCs w:val="20"/>
          <w:rtl/>
        </w:rPr>
        <w:t>הציבורי</w:t>
      </w:r>
      <w:r w:rsidRPr="00014C4D">
        <w:rPr>
          <w:szCs w:val="20"/>
          <w:rtl/>
        </w:rPr>
        <w:t xml:space="preserve"> </w:t>
      </w:r>
      <w:r w:rsidRPr="00014C4D">
        <w:rPr>
          <w:rFonts w:hint="eastAsia"/>
          <w:szCs w:val="20"/>
          <w:rtl/>
        </w:rPr>
        <w:t>מהווה</w:t>
      </w:r>
      <w:r w:rsidRPr="00014C4D">
        <w:rPr>
          <w:szCs w:val="20"/>
          <w:rtl/>
        </w:rPr>
        <w:t xml:space="preserve"> </w:t>
      </w:r>
      <w:r w:rsidRPr="00014C4D">
        <w:rPr>
          <w:rFonts w:hint="eastAsia"/>
          <w:szCs w:val="20"/>
          <w:rtl/>
        </w:rPr>
        <w:t>פוטנציאל</w:t>
      </w:r>
      <w:r w:rsidRPr="00014C4D">
        <w:rPr>
          <w:szCs w:val="20"/>
          <w:rtl/>
        </w:rPr>
        <w:t xml:space="preserve"> </w:t>
      </w:r>
      <w:r w:rsidRPr="00014C4D">
        <w:rPr>
          <w:rFonts w:hint="eastAsia"/>
          <w:szCs w:val="20"/>
          <w:rtl/>
        </w:rPr>
        <w:t>מיגון</w:t>
      </w:r>
      <w:r w:rsidRPr="00014C4D">
        <w:rPr>
          <w:szCs w:val="20"/>
          <w:rtl/>
        </w:rPr>
        <w:t xml:space="preserve"> </w:t>
      </w:r>
      <w:r w:rsidRPr="00014C4D">
        <w:rPr>
          <w:rFonts w:hint="eastAsia"/>
          <w:szCs w:val="20"/>
          <w:rtl/>
        </w:rPr>
        <w:t>שניתן</w:t>
      </w:r>
      <w:r w:rsidRPr="00014C4D">
        <w:rPr>
          <w:szCs w:val="20"/>
          <w:rtl/>
        </w:rPr>
        <w:t xml:space="preserve"> </w:t>
      </w:r>
      <w:r w:rsidRPr="00014C4D">
        <w:rPr>
          <w:rFonts w:hint="eastAsia"/>
          <w:szCs w:val="20"/>
          <w:rtl/>
        </w:rPr>
        <w:t>להתחשב</w:t>
      </w:r>
      <w:r w:rsidRPr="00014C4D">
        <w:rPr>
          <w:szCs w:val="20"/>
          <w:rtl/>
        </w:rPr>
        <w:t xml:space="preserve"> </w:t>
      </w:r>
      <w:r w:rsidRPr="00014C4D">
        <w:rPr>
          <w:rFonts w:hint="eastAsia"/>
          <w:szCs w:val="20"/>
          <w:rtl/>
        </w:rPr>
        <w:t>בו</w:t>
      </w:r>
      <w:r w:rsidRPr="00014C4D">
        <w:rPr>
          <w:szCs w:val="20"/>
          <w:rtl/>
        </w:rPr>
        <w:t>.</w:t>
      </w:r>
      <w:r w:rsidRPr="00014C4D">
        <w:rPr>
          <w:sz w:val="18"/>
          <w:szCs w:val="22"/>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lastRenderedPageBreak/>
        <w:t>נמצא כי למול פערי המיגון לשנת 2018, שהוצגו בדוח מבקר המדינה</w:t>
      </w:r>
      <w:r w:rsidRPr="00014C4D">
        <w:rPr>
          <w:b/>
          <w:bCs/>
          <w:vertAlign w:val="superscript"/>
          <w:rtl/>
        </w:rPr>
        <w:footnoteReference w:id="13"/>
      </w:r>
      <w:r w:rsidRPr="00014C4D">
        <w:rPr>
          <w:rFonts w:hint="cs"/>
          <w:b/>
          <w:bCs/>
          <w:rtl/>
        </w:rPr>
        <w:t xml:space="preserve"> משנת 2020, פערי המיגון לא צומצמו ואף גדלו (בכ-5.6%) - נכון לינואר 2025 לכ-3.2 מיליון תושבים (33.6%) אין מיגון תקני, לעומת לכ-2.6 מיליון תושבים ללא מיגון תקני בשנת 2018 (28%).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פקע"ר מסר בתשובתו למשרד מבקר המדינה ביולי 2025 (להלן - תשובת פקע"ר) כי השינוי נובע משינוי בשיטת ההערכה של הפערים. נתוני פערי המיגון שהוצגו בשנת 2018 התבססו על סקר ידני </w:t>
      </w:r>
      <w:r w:rsidRPr="00014C4D">
        <w:rPr>
          <w:rFonts w:hint="cs"/>
          <w:rtl/>
        </w:rPr>
        <w:t>שביצע</w:t>
      </w:r>
      <w:r w:rsidRPr="00014C4D">
        <w:rPr>
          <w:rtl/>
        </w:rPr>
        <w:t xml:space="preserve"> פקע׳׳ר בשיתוף הרשויות המקומיות</w:t>
      </w:r>
      <w:r w:rsidRPr="00014C4D">
        <w:rPr>
          <w:rFonts w:hint="cs"/>
          <w:rtl/>
        </w:rPr>
        <w:t>.</w:t>
      </w:r>
      <w:r w:rsidRPr="00014C4D">
        <w:rPr>
          <w:rtl/>
        </w:rPr>
        <w:t xml:space="preserve"> כיום ניתוח פערי המיגון </w:t>
      </w:r>
      <w:r w:rsidRPr="00014C4D">
        <w:rPr>
          <w:rFonts w:hint="cs"/>
          <w:rtl/>
        </w:rPr>
        <w:t>ש</w:t>
      </w:r>
      <w:r w:rsidRPr="00014C4D">
        <w:rPr>
          <w:rtl/>
        </w:rPr>
        <w:t>ל</w:t>
      </w:r>
      <w:r w:rsidRPr="00014C4D">
        <w:rPr>
          <w:rFonts w:hint="cs"/>
          <w:rtl/>
        </w:rPr>
        <w:t xml:space="preserve"> ה</w:t>
      </w:r>
      <w:r w:rsidRPr="00014C4D">
        <w:rPr>
          <w:rtl/>
        </w:rPr>
        <w:t xml:space="preserve">אוכלוסייה מבוצע באופן ממוחשב </w:t>
      </w:r>
      <w:r w:rsidRPr="00014C4D">
        <w:rPr>
          <w:rFonts w:hint="cs"/>
          <w:rtl/>
        </w:rPr>
        <w:t xml:space="preserve">באמצעות </w:t>
      </w:r>
      <w:r w:rsidRPr="00014C4D">
        <w:rPr>
          <w:rtl/>
        </w:rPr>
        <w:t>מגוון רחב של כלים לאיסוף, עיבוד וחישוב</w:t>
      </w:r>
      <w:r w:rsidRPr="00014C4D">
        <w:rPr>
          <w:rFonts w:hint="cs"/>
          <w:rtl/>
        </w:rPr>
        <w:t xml:space="preserve"> של</w:t>
      </w:r>
      <w:r w:rsidRPr="00014C4D">
        <w:rPr>
          <w:rtl/>
        </w:rPr>
        <w:t xml:space="preserve"> נתונים להערכת היקף האוכלוסייה המתגוררת במבנה מסוים</w:t>
      </w:r>
      <w:r w:rsidRPr="00014C4D">
        <w:rPr>
          <w:rFonts w:hint="cs"/>
          <w:rtl/>
        </w:rPr>
        <w:t>.</w:t>
      </w:r>
      <w:r w:rsidRPr="00014C4D">
        <w:rPr>
          <w:rtl/>
        </w:rPr>
        <w:t xml:space="preserve"> </w:t>
      </w:r>
      <w:r w:rsidRPr="00014C4D">
        <w:rPr>
          <w:rFonts w:hint="cs"/>
          <w:rtl/>
        </w:rPr>
        <w:t xml:space="preserve">הנתונים נאספים ממקורות שונים, </w:t>
      </w:r>
      <w:r w:rsidRPr="00014C4D">
        <w:rPr>
          <w:rtl/>
        </w:rPr>
        <w:t xml:space="preserve">לרבות נתוני </w:t>
      </w:r>
      <w:r w:rsidRPr="00014C4D">
        <w:rPr>
          <w:rFonts w:hint="cs"/>
          <w:rtl/>
        </w:rPr>
        <w:t>המרכז למיפוי ישראל (מפ"י)</w:t>
      </w:r>
      <w:r w:rsidRPr="00014C4D">
        <w:rPr>
          <w:rtl/>
        </w:rPr>
        <w:t xml:space="preserve">, נתוני הלמ״ס לגבי </w:t>
      </w:r>
      <w:r w:rsidRPr="00014C4D">
        <w:rPr>
          <w:rFonts w:hint="cs"/>
          <w:rtl/>
        </w:rPr>
        <w:t>מספר ה</w:t>
      </w:r>
      <w:r w:rsidRPr="00014C4D">
        <w:rPr>
          <w:rtl/>
        </w:rPr>
        <w:t>נפשות במשפחה באזורים ג</w:t>
      </w:r>
      <w:r w:rsidRPr="00014C4D">
        <w:rPr>
          <w:rFonts w:hint="cs"/>
          <w:rtl/>
        </w:rPr>
        <w:t>י</w:t>
      </w:r>
      <w:r w:rsidRPr="00014C4D">
        <w:rPr>
          <w:rtl/>
        </w:rPr>
        <w:t xml:space="preserve">אוגרפיים סטטיסטיים שונים (אג״סים), נתוני רישום </w:t>
      </w:r>
      <w:r w:rsidRPr="00014C4D">
        <w:rPr>
          <w:rFonts w:hint="cs"/>
          <w:rtl/>
        </w:rPr>
        <w:t>ה</w:t>
      </w:r>
      <w:r w:rsidRPr="00014C4D">
        <w:rPr>
          <w:rtl/>
        </w:rPr>
        <w:t xml:space="preserve">אוכלוסין במשרד הפנים, נתוני הרשויות המקומיות ועוד. במסגרת החישובים </w:t>
      </w:r>
      <w:r w:rsidRPr="00014C4D">
        <w:rPr>
          <w:rFonts w:hint="cs"/>
          <w:rtl/>
        </w:rPr>
        <w:t xml:space="preserve">גם </w:t>
      </w:r>
      <w:r w:rsidRPr="00014C4D">
        <w:rPr>
          <w:rtl/>
        </w:rPr>
        <w:t xml:space="preserve">מיושמות שיטות סטטיסטיות שונות, כגון הערכת מספר הקומות בבניין דירות </w:t>
      </w:r>
      <w:r w:rsidRPr="00014C4D">
        <w:rPr>
          <w:rFonts w:hint="cs"/>
          <w:rtl/>
        </w:rPr>
        <w:t>לפי</w:t>
      </w:r>
      <w:r w:rsidRPr="00014C4D">
        <w:rPr>
          <w:rtl/>
        </w:rPr>
        <w:t xml:space="preserve"> גובה </w:t>
      </w:r>
      <w:r w:rsidRPr="00014C4D">
        <w:rPr>
          <w:rFonts w:hint="cs"/>
          <w:rtl/>
        </w:rPr>
        <w:t>ה</w:t>
      </w:r>
      <w:r w:rsidRPr="00014C4D">
        <w:rPr>
          <w:rtl/>
        </w:rPr>
        <w:t>מבנה ועוד. שכלול שיטת החישוב הביא לטיוב ולדיוק של תמ</w:t>
      </w:r>
      <w:r w:rsidRPr="00014C4D">
        <w:rPr>
          <w:rFonts w:hint="cs"/>
          <w:rtl/>
        </w:rPr>
        <w:t>ונת מצב</w:t>
      </w:r>
      <w:r w:rsidRPr="00014C4D">
        <w:rPr>
          <w:rtl/>
        </w:rPr>
        <w:t xml:space="preserve"> המיגון</w:t>
      </w:r>
      <w:r w:rsidRPr="00014C4D">
        <w:rPr>
          <w:rFonts w:hint="cs"/>
          <w:rtl/>
        </w:rPr>
        <w:t>,</w:t>
      </w:r>
      <w:r w:rsidRPr="00014C4D">
        <w:rPr>
          <w:rtl/>
        </w:rPr>
        <w:t xml:space="preserve"> </w:t>
      </w:r>
      <w:r w:rsidRPr="00014C4D">
        <w:rPr>
          <w:rFonts w:hint="cs"/>
          <w:rtl/>
        </w:rPr>
        <w:t>ו</w:t>
      </w:r>
      <w:r w:rsidRPr="00014C4D">
        <w:rPr>
          <w:rtl/>
        </w:rPr>
        <w:t xml:space="preserve">נמצא כי בעבר בוצעה הערכת יתר של </w:t>
      </w:r>
      <w:r w:rsidRPr="00014C4D">
        <w:rPr>
          <w:rFonts w:hint="cs"/>
          <w:rtl/>
        </w:rPr>
        <w:t>מספר</w:t>
      </w:r>
      <w:r w:rsidRPr="00014C4D">
        <w:rPr>
          <w:rtl/>
        </w:rPr>
        <w:t xml:space="preserve"> התושבים המתבססים על מקלוט פרטי משותף לצורך מיגון.</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jc w:val="center"/>
        <w:rPr>
          <w:rFonts w:eastAsia="Times New Roman"/>
          <w:b/>
          <w:bCs/>
          <w:rtl/>
          <w:lang w:eastAsia="he-IL"/>
        </w:rPr>
      </w:pPr>
      <w:r w:rsidRPr="00014C4D">
        <w:rPr>
          <w:rFonts w:eastAsia="Times New Roman" w:hint="cs"/>
          <w:rtl/>
          <w:lang w:eastAsia="he-IL"/>
        </w:rPr>
        <w:t>תרשים 2:</w:t>
      </w:r>
      <w:r w:rsidRPr="00014C4D">
        <w:rPr>
          <w:rFonts w:eastAsia="Times New Roman" w:hint="cs"/>
          <w:b/>
          <w:bCs/>
          <w:rtl/>
          <w:lang w:eastAsia="he-IL"/>
        </w:rPr>
        <w:t xml:space="preserve"> התפלגות האוכלוסייה ללא מיגון תקני בצפון הארץ לפי המרחק מהגבול, ינואר 2025 (במספרים ובאחוזים)</w:t>
      </w:r>
    </w:p>
    <w:p w:rsidR="00014C4D" w:rsidRPr="00014C4D" w:rsidRDefault="00014C4D" w:rsidP="00014C4D">
      <w:pPr>
        <w:spacing w:line="269" w:lineRule="auto"/>
        <w:jc w:val="center"/>
        <w:rPr>
          <w:rtl/>
        </w:rPr>
      </w:pPr>
      <w:r w:rsidRPr="00014C4D">
        <w:rPr>
          <w:noProof/>
        </w:rPr>
        <w:drawing>
          <wp:inline distT="0" distB="0" distL="0" distR="0" wp14:anchorId="4CEA9BD4" wp14:editId="5F68FD70">
            <wp:extent cx="3550174" cy="2988780"/>
            <wp:effectExtent l="0" t="0" r="0" b="2540"/>
            <wp:docPr id="1834351639" name="תמונה 1834351639"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91536" cy="3023601"/>
                    </a:xfrm>
                    <a:prstGeom prst="rect">
                      <a:avLst/>
                    </a:prstGeom>
                  </pic:spPr>
                </pic:pic>
              </a:graphicData>
            </a:graphic>
          </wp:inline>
        </w:drawing>
      </w:r>
    </w:p>
    <w:p w:rsidR="00014C4D" w:rsidRPr="00014C4D" w:rsidRDefault="00014C4D" w:rsidP="00014C4D">
      <w:pPr>
        <w:spacing w:line="269" w:lineRule="auto"/>
        <w:rPr>
          <w:szCs w:val="20"/>
          <w:rtl/>
        </w:rPr>
      </w:pPr>
      <w:r w:rsidRPr="00014C4D">
        <w:rPr>
          <w:rFonts w:hint="eastAsia"/>
          <w:szCs w:val="20"/>
          <w:rtl/>
        </w:rPr>
        <w:t>על</w:t>
      </w:r>
      <w:r w:rsidRPr="00014C4D">
        <w:rPr>
          <w:szCs w:val="20"/>
          <w:rtl/>
        </w:rPr>
        <w:t xml:space="preserve"> </w:t>
      </w:r>
      <w:r w:rsidRPr="00014C4D">
        <w:rPr>
          <w:rFonts w:hint="eastAsia"/>
          <w:szCs w:val="20"/>
          <w:rtl/>
        </w:rPr>
        <w:t>פי</w:t>
      </w:r>
      <w:r w:rsidRPr="00014C4D">
        <w:rPr>
          <w:szCs w:val="20"/>
          <w:rtl/>
        </w:rPr>
        <w:t xml:space="preserve"> </w:t>
      </w:r>
      <w:r w:rsidRPr="00014C4D">
        <w:rPr>
          <w:rFonts w:hint="eastAsia"/>
          <w:szCs w:val="20"/>
          <w:rtl/>
        </w:rPr>
        <w:t>נתוני</w:t>
      </w:r>
      <w:r w:rsidRPr="00014C4D">
        <w:rPr>
          <w:szCs w:val="20"/>
          <w:rtl/>
        </w:rPr>
        <w:t xml:space="preserve"> </w:t>
      </w:r>
      <w:r w:rsidRPr="00014C4D">
        <w:rPr>
          <w:rFonts w:hint="eastAsia"/>
          <w:szCs w:val="20"/>
          <w:rtl/>
        </w:rPr>
        <w:t>פקע</w:t>
      </w:r>
      <w:r w:rsidRPr="00014C4D">
        <w:rPr>
          <w:szCs w:val="20"/>
          <w:rtl/>
        </w:rPr>
        <w:t xml:space="preserve">"ר, </w:t>
      </w:r>
      <w:r w:rsidRPr="00014C4D">
        <w:rPr>
          <w:rFonts w:hint="eastAsia"/>
          <w:szCs w:val="20"/>
          <w:rtl/>
        </w:rPr>
        <w:t>בעיבוד</w:t>
      </w:r>
      <w:r w:rsidRPr="00014C4D">
        <w:rPr>
          <w:szCs w:val="20"/>
          <w:rtl/>
        </w:rPr>
        <w:t xml:space="preserve"> </w:t>
      </w:r>
      <w:r w:rsidRPr="00014C4D">
        <w:rPr>
          <w:rFonts w:hint="eastAsia"/>
          <w:szCs w:val="20"/>
          <w:rtl/>
        </w:rPr>
        <w:t>משרד</w:t>
      </w:r>
      <w:r w:rsidRPr="00014C4D">
        <w:rPr>
          <w:szCs w:val="20"/>
          <w:rtl/>
        </w:rPr>
        <w:t xml:space="preserve"> </w:t>
      </w:r>
      <w:r w:rsidRPr="00014C4D">
        <w:rPr>
          <w:rFonts w:hint="eastAsia"/>
          <w:szCs w:val="20"/>
          <w:rtl/>
        </w:rPr>
        <w:t>מבקר</w:t>
      </w:r>
      <w:r w:rsidRPr="00014C4D">
        <w:rPr>
          <w:szCs w:val="20"/>
          <w:rtl/>
        </w:rPr>
        <w:t xml:space="preserve"> </w:t>
      </w:r>
      <w:r w:rsidRPr="00014C4D">
        <w:rPr>
          <w:rFonts w:hint="eastAsia"/>
          <w:szCs w:val="20"/>
          <w:rtl/>
        </w:rPr>
        <w:t>המדינה</w:t>
      </w:r>
      <w:r w:rsidRPr="00014C4D">
        <w:rPr>
          <w:szCs w:val="20"/>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lastRenderedPageBreak/>
        <w:t xml:space="preserve">מתרשים 2 עולה כי ביישובים הנמצאים במרחק של עד 9 ק"מ </w:t>
      </w:r>
      <w:r w:rsidRPr="00014C4D">
        <w:rPr>
          <w:rFonts w:hint="cs"/>
          <w:b/>
          <w:bCs/>
          <w:rtl/>
        </w:rPr>
        <w:t>מה</w:t>
      </w:r>
      <w:r w:rsidRPr="00014C4D">
        <w:rPr>
          <w:b/>
          <w:bCs/>
          <w:rtl/>
        </w:rPr>
        <w:t>גבול עם סוריה ולבנון</w:t>
      </w:r>
      <w:r w:rsidRPr="00014C4D">
        <w:rPr>
          <w:rFonts w:hint="cs"/>
          <w:b/>
          <w:bCs/>
          <w:rtl/>
        </w:rPr>
        <w:t>,</w:t>
      </w:r>
      <w:r w:rsidRPr="00014C4D">
        <w:rPr>
          <w:b/>
          <w:bCs/>
          <w:rtl/>
        </w:rPr>
        <w:t xml:space="preserve"> לכ-</w:t>
      </w:r>
      <w:r w:rsidRPr="00014C4D">
        <w:rPr>
          <w:rFonts w:hint="cs"/>
          <w:b/>
          <w:bCs/>
          <w:rtl/>
        </w:rPr>
        <w:t xml:space="preserve">42,000 </w:t>
      </w:r>
      <w:r w:rsidRPr="00014C4D">
        <w:rPr>
          <w:b/>
          <w:bCs/>
          <w:rtl/>
        </w:rPr>
        <w:t>תושבים</w:t>
      </w:r>
      <w:r w:rsidRPr="00014C4D">
        <w:rPr>
          <w:rFonts w:hint="cs"/>
          <w:b/>
          <w:bCs/>
          <w:rtl/>
        </w:rPr>
        <w:t xml:space="preserve"> (שהם כחמישית</w:t>
      </w:r>
      <w:r w:rsidRPr="00014C4D">
        <w:rPr>
          <w:b/>
          <w:bCs/>
          <w:rtl/>
        </w:rPr>
        <w:t xml:space="preserve"> </w:t>
      </w:r>
      <w:r w:rsidRPr="00014C4D">
        <w:rPr>
          <w:rFonts w:hint="cs"/>
          <w:b/>
          <w:bCs/>
          <w:rtl/>
        </w:rPr>
        <w:t xml:space="preserve">מכלל האוכלוסייה </w:t>
      </w:r>
      <w:r w:rsidRPr="00014C4D">
        <w:rPr>
          <w:b/>
          <w:bCs/>
          <w:rtl/>
        </w:rPr>
        <w:t>באותם יישובים</w:t>
      </w:r>
      <w:r w:rsidRPr="00014C4D">
        <w:rPr>
          <w:rFonts w:hint="cs"/>
          <w:b/>
          <w:bCs/>
          <w:rtl/>
        </w:rPr>
        <w:t>)</w:t>
      </w:r>
      <w:r w:rsidRPr="00014C4D">
        <w:rPr>
          <w:b/>
          <w:bCs/>
          <w:rtl/>
        </w:rPr>
        <w:t xml:space="preserve"> אין מיגון תקני.</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eastAsia="Times New Roman" w:hint="cs"/>
          <w:rtl/>
          <w:lang w:eastAsia="he-IL"/>
        </w:rPr>
        <w:t>תרשים 3:</w:t>
      </w:r>
      <w:r w:rsidRPr="00014C4D">
        <w:rPr>
          <w:rFonts w:eastAsia="Times New Roman" w:hint="cs"/>
          <w:b/>
          <w:bCs/>
          <w:rtl/>
          <w:lang w:eastAsia="he-IL"/>
        </w:rPr>
        <w:t xml:space="preserve"> התפלגות האוכלוסייה ללא מיגון תקני בדרום הארץ, לפי המרחק מהגבול, ינואר 2025 (במספרים ובאחוזים)</w:t>
      </w:r>
    </w:p>
    <w:p w:rsidR="00014C4D" w:rsidRPr="00014C4D" w:rsidRDefault="00014C4D" w:rsidP="00014C4D">
      <w:pPr>
        <w:spacing w:line="269" w:lineRule="auto"/>
        <w:jc w:val="center"/>
        <w:rPr>
          <w:rtl/>
        </w:rPr>
      </w:pPr>
      <w:r w:rsidRPr="00014C4D">
        <w:rPr>
          <w:noProof/>
        </w:rPr>
        <w:drawing>
          <wp:inline distT="0" distB="0" distL="0" distR="0" wp14:anchorId="59CFA154" wp14:editId="0D6D0616">
            <wp:extent cx="3080764" cy="2860790"/>
            <wp:effectExtent l="0" t="0" r="5715" b="0"/>
            <wp:docPr id="1834351640" name="תמונה 1834351640"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6220" cy="2875142"/>
                    </a:xfrm>
                    <a:prstGeom prst="rect">
                      <a:avLst/>
                    </a:prstGeom>
                  </pic:spPr>
                </pic:pic>
              </a:graphicData>
            </a:graphic>
          </wp:inline>
        </w:drawing>
      </w:r>
    </w:p>
    <w:p w:rsidR="00014C4D" w:rsidRPr="00014C4D" w:rsidRDefault="00014C4D" w:rsidP="00014C4D">
      <w:pPr>
        <w:spacing w:line="269" w:lineRule="auto"/>
        <w:rPr>
          <w:szCs w:val="20"/>
          <w:rtl/>
        </w:rPr>
      </w:pPr>
      <w:r w:rsidRPr="00014C4D">
        <w:rPr>
          <w:szCs w:val="20"/>
          <w:rtl/>
        </w:rPr>
        <w:t>על פי נתוני פקע"ר, בעיבוד משרד מבקר המדינה.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מתרשים 3 עולה כי ביישובים הנמצאים במרחק של 7 </w:t>
      </w:r>
      <w:r w:rsidRPr="00014C4D">
        <w:rPr>
          <w:rFonts w:hint="cs"/>
          <w:b/>
          <w:bCs/>
          <w:rtl/>
        </w:rPr>
        <w:t xml:space="preserve">- 20 </w:t>
      </w:r>
      <w:r w:rsidRPr="00014C4D">
        <w:rPr>
          <w:b/>
          <w:bCs/>
          <w:rtl/>
        </w:rPr>
        <w:t>ק"מ מגדר המערכת הגובלת</w:t>
      </w:r>
      <w:r w:rsidRPr="00014C4D">
        <w:rPr>
          <w:rFonts w:hint="cs"/>
          <w:b/>
          <w:bCs/>
          <w:rtl/>
        </w:rPr>
        <w:t xml:space="preserve"> </w:t>
      </w:r>
      <w:r w:rsidRPr="00014C4D">
        <w:rPr>
          <w:b/>
          <w:bCs/>
          <w:rtl/>
        </w:rPr>
        <w:t>ברצועת עזה</w:t>
      </w:r>
      <w:r w:rsidRPr="00014C4D">
        <w:rPr>
          <w:rFonts w:hint="cs"/>
          <w:b/>
          <w:bCs/>
          <w:rtl/>
        </w:rPr>
        <w:t xml:space="preserve">, </w:t>
      </w:r>
      <w:r w:rsidR="006049F8">
        <w:rPr>
          <w:b/>
          <w:bCs/>
          <w:rtl/>
        </w:rPr>
        <w:br/>
      </w:r>
      <w:r w:rsidRPr="00014C4D">
        <w:rPr>
          <w:rFonts w:hint="cs"/>
          <w:b/>
          <w:bCs/>
          <w:rtl/>
        </w:rPr>
        <w:t>לכ-42,575 תושבים אין מיגון תקני.</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תמונת המצב העולה מהתרשימים מעידה על מציאות שבה כשליש מאזרחי ישראל אינם מוגנים מפני טילים כראוי (נכון לינואר 2025 לכ-3.2 מיליון תושבים [33.6%] אין מיגון תקני), זאת בנסיבות של מציאות ביטחונית </w:t>
      </w:r>
      <w:r w:rsidRPr="00014C4D">
        <w:rPr>
          <w:b/>
          <w:bCs/>
          <w:rtl/>
        </w:rPr>
        <w:t>משתנה</w:t>
      </w:r>
      <w:r w:rsidRPr="00014C4D">
        <w:rPr>
          <w:rFonts w:hint="cs"/>
          <w:b/>
          <w:bCs/>
          <w:rtl/>
        </w:rPr>
        <w:t>,</w:t>
      </w:r>
      <w:r w:rsidRPr="00014C4D">
        <w:rPr>
          <w:b/>
          <w:bCs/>
          <w:rtl/>
        </w:rPr>
        <w:t xml:space="preserve"> </w:t>
      </w:r>
      <w:r w:rsidRPr="00014C4D">
        <w:rPr>
          <w:rFonts w:hint="cs"/>
          <w:b/>
          <w:bCs/>
          <w:rtl/>
        </w:rPr>
        <w:t>ש</w:t>
      </w:r>
      <w:r w:rsidRPr="00014C4D">
        <w:rPr>
          <w:b/>
          <w:bCs/>
          <w:rtl/>
        </w:rPr>
        <w:t xml:space="preserve">בה </w:t>
      </w:r>
      <w:r w:rsidRPr="00014C4D">
        <w:rPr>
          <w:rFonts w:hint="cs"/>
          <w:b/>
          <w:bCs/>
          <w:rtl/>
        </w:rPr>
        <w:t xml:space="preserve">יש </w:t>
      </w:r>
      <w:r w:rsidRPr="00014C4D">
        <w:rPr>
          <w:b/>
          <w:bCs/>
          <w:rtl/>
        </w:rPr>
        <w:t>איומי</w:t>
      </w:r>
      <w:r w:rsidRPr="00014C4D">
        <w:rPr>
          <w:rFonts w:hint="cs"/>
          <w:b/>
          <w:bCs/>
          <w:rtl/>
        </w:rPr>
        <w:t>ם בלתי פוסקים של</w:t>
      </w:r>
      <w:r w:rsidRPr="00014C4D">
        <w:rPr>
          <w:b/>
          <w:bCs/>
          <w:rtl/>
        </w:rPr>
        <w:t xml:space="preserve"> ירי טילים מחזיתות </w:t>
      </w:r>
      <w:r w:rsidRPr="00014C4D">
        <w:rPr>
          <w:rFonts w:hint="cs"/>
          <w:b/>
          <w:bCs/>
          <w:rtl/>
        </w:rPr>
        <w:t>שונות. על ראש הממשלה להידרש לנושא ולהורות על מיפוי פערים מעודכן וגיבוש תוכנית רב-שנתית למיגון</w:t>
      </w:r>
      <w:r w:rsidRPr="00014C4D">
        <w:rPr>
          <w:b/>
          <w:bCs/>
          <w:rtl/>
        </w:rPr>
        <w:t xml:space="preserve">, תוך </w:t>
      </w:r>
      <w:r w:rsidRPr="00014C4D">
        <w:rPr>
          <w:rFonts w:hint="cs"/>
          <w:b/>
          <w:bCs/>
          <w:rtl/>
        </w:rPr>
        <w:t>קביעת</w:t>
      </w:r>
      <w:r w:rsidRPr="00014C4D">
        <w:rPr>
          <w:b/>
          <w:bCs/>
          <w:rtl/>
        </w:rPr>
        <w:t xml:space="preserve"> סדרי עדיפויות למיגון, במיוחד באזורים שבהם קיים סיכון </w:t>
      </w:r>
      <w:r w:rsidRPr="00014C4D">
        <w:rPr>
          <w:rFonts w:hint="cs"/>
          <w:b/>
          <w:bCs/>
          <w:rtl/>
        </w:rPr>
        <w:t>גבוה יותר.</w:t>
      </w:r>
    </w:p>
    <w:p w:rsidR="00014C4D" w:rsidRPr="00014C4D" w:rsidRDefault="00014C4D" w:rsidP="00014C4D">
      <w:pPr>
        <w:spacing w:line="269" w:lineRule="auto"/>
        <w:rPr>
          <w:b/>
          <w:bCs/>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bCs/>
          <w:szCs w:val="28"/>
          <w:u w:val="single"/>
          <w:rtl/>
        </w:rPr>
        <w:lastRenderedPageBreak/>
        <w:t>ת</w:t>
      </w:r>
      <w:r w:rsidRPr="00014C4D">
        <w:rPr>
          <w:rFonts w:eastAsia="Times New Roman" w:hint="cs"/>
          <w:bCs/>
          <w:szCs w:val="28"/>
          <w:u w:val="single"/>
          <w:rtl/>
        </w:rPr>
        <w:t>ו</w:t>
      </w:r>
      <w:r w:rsidRPr="00014C4D">
        <w:rPr>
          <w:rFonts w:eastAsia="Times New Roman"/>
          <w:bCs/>
          <w:szCs w:val="28"/>
          <w:u w:val="single"/>
          <w:rtl/>
        </w:rPr>
        <w:t>כנית מיגון רשותית (תמי"ר)</w:t>
      </w:r>
    </w:p>
    <w:p w:rsidR="00014C4D" w:rsidRPr="00014C4D" w:rsidRDefault="00014C4D" w:rsidP="00014C4D">
      <w:pPr>
        <w:keepNext/>
        <w:keepLines/>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בתיק אב להיערכות העירייה והמועצה המקומית לחירום</w:t>
      </w:r>
      <w:r w:rsidRPr="00014C4D">
        <w:rPr>
          <w:rFonts w:ascii="David" w:eastAsia="Times New Roman" w:hAnsi="David"/>
          <w:sz w:val="24"/>
          <w:vertAlign w:val="superscript"/>
          <w:rtl/>
        </w:rPr>
        <w:footnoteReference w:id="14"/>
      </w:r>
      <w:r w:rsidRPr="00014C4D">
        <w:rPr>
          <w:rFonts w:ascii="David" w:eastAsia="Times New Roman" w:hAnsi="David" w:hint="cs"/>
          <w:sz w:val="24"/>
          <w:rtl/>
        </w:rPr>
        <w:t xml:space="preserve"> (להלן - תיק האב לרשויות המקומיות) נקבע כי על הרשות המקומית להכין ולהפעיל תוכנית מיגון רשותית לצורך המשך התפקוד הרצוף של הרשות במרחבים מוגנים, וכי פקע"ר אחראי על </w:t>
      </w:r>
      <w:r w:rsidRPr="00014C4D">
        <w:rPr>
          <w:rFonts w:ascii="David" w:eastAsia="Times New Roman" w:hAnsi="David"/>
          <w:sz w:val="24"/>
          <w:rtl/>
        </w:rPr>
        <w:t>כתיבת התורה וההנחיות להכנת ת</w:t>
      </w:r>
      <w:r w:rsidRPr="00014C4D">
        <w:rPr>
          <w:rFonts w:ascii="David" w:eastAsia="Times New Roman" w:hAnsi="David" w:hint="cs"/>
          <w:sz w:val="24"/>
          <w:rtl/>
        </w:rPr>
        <w:t>ו</w:t>
      </w:r>
      <w:r w:rsidRPr="00014C4D">
        <w:rPr>
          <w:rFonts w:ascii="David" w:eastAsia="Times New Roman" w:hAnsi="David"/>
          <w:sz w:val="24"/>
          <w:rtl/>
        </w:rPr>
        <w:t xml:space="preserve">כנית המיגון, הדרכה ובקרה על </w:t>
      </w:r>
      <w:r w:rsidRPr="00014C4D">
        <w:rPr>
          <w:rFonts w:ascii="David" w:eastAsia="Times New Roman" w:hAnsi="David" w:hint="cs"/>
          <w:sz w:val="24"/>
          <w:rtl/>
        </w:rPr>
        <w:t>הכנת</w:t>
      </w:r>
      <w:r w:rsidRPr="00014C4D">
        <w:rPr>
          <w:rFonts w:ascii="David" w:eastAsia="Times New Roman" w:hAnsi="David"/>
          <w:sz w:val="24"/>
          <w:rtl/>
        </w:rPr>
        <w:t xml:space="preserve"> התוכניות במחוזות.</w:t>
      </w:r>
      <w:r w:rsidRPr="00014C4D">
        <w:rPr>
          <w:rFonts w:ascii="David" w:eastAsia="Times New Roman" w:hAnsi="David" w:hint="cs"/>
          <w:sz w:val="24"/>
          <w:rtl/>
        </w:rPr>
        <w:t xml:space="preserve"> בתיק אב להפעלת הרשות המקומית בחירום (מועצה אזורית) ממאי 2008</w:t>
      </w:r>
      <w:r w:rsidRPr="00014C4D">
        <w:rPr>
          <w:rFonts w:ascii="David" w:eastAsia="Times New Roman" w:hAnsi="David"/>
          <w:sz w:val="24"/>
          <w:vertAlign w:val="superscript"/>
          <w:rtl/>
        </w:rPr>
        <w:footnoteReference w:id="15"/>
      </w:r>
      <w:r w:rsidRPr="00014C4D">
        <w:rPr>
          <w:rFonts w:ascii="David" w:eastAsia="Times New Roman" w:hAnsi="David" w:hint="cs"/>
          <w:sz w:val="24"/>
          <w:rtl/>
        </w:rPr>
        <w:t xml:space="preserve"> (להלן - תיק האב למועצות האזוריות) נקבע כי תפקיד המועצה האזורית, בין היתר, הוא למפות את אמצעי המיגון, לקבוע את פערי המיגון ולתת פתרונות אפשריים לפערים</w:t>
      </w:r>
      <w:r w:rsidRPr="00014C4D">
        <w:rPr>
          <w:rFonts w:ascii="David" w:eastAsia="Times New Roman" w:hAnsi="David"/>
          <w:sz w:val="24"/>
          <w:vertAlign w:val="superscript"/>
          <w:rtl/>
        </w:rPr>
        <w:footnoteReference w:id="16"/>
      </w:r>
      <w:r w:rsidRPr="00014C4D">
        <w:rPr>
          <w:rFonts w:ascii="David" w:eastAsia="Times New Roman" w:hAns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ב"</w:t>
      </w:r>
      <w:r w:rsidRPr="00014C4D">
        <w:rPr>
          <w:rFonts w:ascii="David" w:eastAsia="Times New Roman" w:hAnsi="David"/>
          <w:sz w:val="24"/>
          <w:rtl/>
        </w:rPr>
        <w:t>מנחה להכנת ת</w:t>
      </w:r>
      <w:r w:rsidRPr="00014C4D">
        <w:rPr>
          <w:rFonts w:ascii="David" w:eastAsia="Times New Roman" w:hAnsi="David" w:hint="cs"/>
          <w:sz w:val="24"/>
          <w:rtl/>
        </w:rPr>
        <w:t>ו</w:t>
      </w:r>
      <w:r w:rsidRPr="00014C4D">
        <w:rPr>
          <w:rFonts w:ascii="David" w:eastAsia="Times New Roman" w:hAnsi="David"/>
          <w:sz w:val="24"/>
          <w:rtl/>
        </w:rPr>
        <w:t>כנית מיגון רשותית</w:t>
      </w:r>
      <w:r w:rsidRPr="00014C4D">
        <w:rPr>
          <w:rFonts w:ascii="David" w:eastAsia="Times New Roman" w:hAnsi="David" w:hint="cs"/>
          <w:sz w:val="24"/>
          <w:rtl/>
        </w:rPr>
        <w:t>" שפרסם פקע</w:t>
      </w:r>
      <w:r w:rsidRPr="00014C4D">
        <w:rPr>
          <w:rFonts w:ascii="David" w:eastAsia="Times New Roman" w:hAnsi="David"/>
          <w:sz w:val="24"/>
          <w:rtl/>
        </w:rPr>
        <w:t>"</w:t>
      </w:r>
      <w:r w:rsidRPr="00014C4D">
        <w:rPr>
          <w:rFonts w:ascii="David" w:eastAsia="Times New Roman" w:hAnsi="David" w:hint="cs"/>
          <w:sz w:val="24"/>
          <w:rtl/>
        </w:rPr>
        <w:t>ר במרץ 2010 (להלן - המנחה למיגון)</w:t>
      </w:r>
      <w:r w:rsidRPr="00014C4D">
        <w:rPr>
          <w:rFonts w:ascii="David" w:eastAsia="Times New Roman" w:hAnsi="David"/>
          <w:sz w:val="24"/>
          <w:rtl/>
        </w:rPr>
        <w:t xml:space="preserve"> </w:t>
      </w:r>
      <w:r w:rsidRPr="00014C4D">
        <w:rPr>
          <w:rFonts w:ascii="David" w:eastAsia="Times New Roman" w:hAnsi="David" w:hint="cs"/>
          <w:sz w:val="24"/>
          <w:rtl/>
        </w:rPr>
        <w:t>הוסבר כי בכל רשות מקומית נוצרו במהלך השנים פערי מיגון, וכי תוכנית המיגון הרשותית נועדה להבטיח שיהיו אזורים מוגנים לאוכלוסייה שבתיה נפגעו או שתרצה לשפר את רמת המיגון שלה, וכן כאמור לאפשר את המשך מתן השירותים החיוניים של הרשות לתושביה. במנחה למיגון צוין עוד כי הכנת התוכנית תחזק את חוסנה של הרשות המקומית ותאפשר לקיים "שגרת חירום" בזמן מלחמה. יצוין כי פקע"ר מסר בתשובתו כי הגרסה העדכנית ביותר שהפיץ לרשויות המקומיות היא משנת 2015, ואולם הוא לא המציא גרסה זו למשרד מבקר המדינה אף שהתבקש.</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על פי תחומי האחריות והתפקידים שנקבעו במנחה למיגון - הרשות המקומית אחראית על הכנת תוכנית המיגון הרשותית והפעלתה, ומחוזות פקע"ר אחראים על סיוע לרשויות בהכנת התוכנית ועל אישור התוכניות של הרשויות המקומיות בתחומם.</w:t>
      </w:r>
    </w:p>
    <w:p w:rsidR="00014C4D" w:rsidRPr="00014C4D" w:rsidRDefault="00014C4D" w:rsidP="00014C4D">
      <w:pPr>
        <w:spacing w:line="269" w:lineRule="auto"/>
        <w:ind w:left="-567"/>
        <w:rPr>
          <w:szCs w:val="20"/>
          <w:rtl/>
        </w:rPr>
      </w:pPr>
    </w:p>
    <w:p w:rsidR="00014C4D" w:rsidRPr="00014C4D" w:rsidRDefault="00014C4D" w:rsidP="00014C4D">
      <w:pPr>
        <w:spacing w:after="120" w:line="269" w:lineRule="auto"/>
        <w:rPr>
          <w:rFonts w:ascii="David" w:eastAsia="Times New Roman" w:hAnsi="David"/>
          <w:sz w:val="24"/>
          <w:rtl/>
        </w:rPr>
      </w:pPr>
      <w:r w:rsidRPr="00014C4D">
        <w:rPr>
          <w:rFonts w:ascii="David" w:eastAsia="Times New Roman" w:hAnsi="David" w:hint="cs"/>
          <w:sz w:val="24"/>
          <w:rtl/>
        </w:rPr>
        <w:t>על פי תיק האב לרשויות המקומיות, בניית תוכנית מיגון רשותית תיעשה בשלושה שלבים:</w:t>
      </w:r>
    </w:p>
    <w:p w:rsidR="00014C4D" w:rsidRPr="00014C4D" w:rsidRDefault="00014C4D" w:rsidP="00014C4D">
      <w:pPr>
        <w:numPr>
          <w:ilvl w:val="0"/>
          <w:numId w:val="34"/>
        </w:numPr>
        <w:spacing w:after="120" w:line="269" w:lineRule="auto"/>
        <w:rPr>
          <w:rFonts w:ascii="David" w:eastAsia="Times New Roman" w:hAnsi="David"/>
          <w:sz w:val="24"/>
          <w:rtl/>
        </w:rPr>
      </w:pPr>
      <w:r w:rsidRPr="00014C4D">
        <w:rPr>
          <w:rFonts w:eastAsiaTheme="majorEastAsia" w:hint="eastAsia"/>
          <w:bCs/>
          <w:spacing w:val="40"/>
          <w:rtl/>
        </w:rPr>
        <w:t>מיפוי</w:t>
      </w:r>
      <w:r w:rsidRPr="00014C4D">
        <w:rPr>
          <w:rFonts w:eastAsiaTheme="majorEastAsia"/>
          <w:bCs/>
          <w:spacing w:val="40"/>
          <w:rtl/>
        </w:rPr>
        <w:t xml:space="preserve"> </w:t>
      </w:r>
      <w:r w:rsidRPr="00014C4D">
        <w:rPr>
          <w:rFonts w:eastAsiaTheme="majorEastAsia" w:hint="eastAsia"/>
          <w:bCs/>
          <w:spacing w:val="40"/>
          <w:rtl/>
        </w:rPr>
        <w:t>פיזי</w:t>
      </w:r>
      <w:r w:rsidRPr="00014C4D">
        <w:rPr>
          <w:rFonts w:eastAsiaTheme="majorEastAsia" w:hint="cs"/>
          <w:bCs/>
          <w:spacing w:val="40"/>
          <w:rtl/>
        </w:rPr>
        <w:t xml:space="preserve">: </w:t>
      </w:r>
      <w:r w:rsidRPr="00014C4D">
        <w:rPr>
          <w:rFonts w:ascii="David" w:eastAsia="Times New Roman" w:hAnsi="David" w:hint="eastAsia"/>
          <w:sz w:val="24"/>
          <w:rtl/>
        </w:rPr>
        <w:t>מיפוי</w:t>
      </w:r>
      <w:r w:rsidRPr="00014C4D">
        <w:rPr>
          <w:rFonts w:ascii="David" w:eastAsia="Times New Roman" w:hAnsi="David"/>
          <w:sz w:val="24"/>
          <w:rtl/>
        </w:rPr>
        <w:t xml:space="preserve"> </w:t>
      </w:r>
      <w:r w:rsidRPr="00014C4D">
        <w:rPr>
          <w:rFonts w:ascii="David" w:eastAsia="Times New Roman" w:hAnsi="David" w:hint="eastAsia"/>
          <w:sz w:val="24"/>
          <w:rtl/>
        </w:rPr>
        <w:t>השטחים</w:t>
      </w:r>
      <w:r w:rsidRPr="00014C4D">
        <w:rPr>
          <w:rFonts w:ascii="David" w:eastAsia="Times New Roman" w:hAnsi="David"/>
          <w:sz w:val="24"/>
          <w:rtl/>
        </w:rPr>
        <w:t xml:space="preserve"> </w:t>
      </w:r>
      <w:r w:rsidRPr="00014C4D">
        <w:rPr>
          <w:rFonts w:ascii="David" w:eastAsia="Times New Roman" w:hAnsi="David" w:hint="eastAsia"/>
          <w:sz w:val="24"/>
          <w:rtl/>
        </w:rPr>
        <w:t>המוגנים</w:t>
      </w:r>
      <w:r w:rsidRPr="00014C4D">
        <w:rPr>
          <w:rFonts w:ascii="David" w:eastAsia="Times New Roman" w:hAnsi="David"/>
          <w:sz w:val="24"/>
          <w:rtl/>
        </w:rPr>
        <w:t xml:space="preserve"> </w:t>
      </w:r>
      <w:r w:rsidRPr="00014C4D">
        <w:rPr>
          <w:rFonts w:ascii="David" w:eastAsia="Times New Roman" w:hAnsi="David" w:hint="eastAsia"/>
          <w:sz w:val="24"/>
          <w:rtl/>
        </w:rPr>
        <w:t>המצויים</w:t>
      </w:r>
      <w:r w:rsidRPr="00014C4D">
        <w:rPr>
          <w:rFonts w:ascii="David" w:eastAsia="Times New Roman" w:hAnsi="David"/>
          <w:sz w:val="24"/>
          <w:rtl/>
        </w:rPr>
        <w:t xml:space="preserve"> </w:t>
      </w:r>
      <w:r w:rsidRPr="00014C4D">
        <w:rPr>
          <w:rFonts w:ascii="David" w:eastAsia="Times New Roman" w:hAnsi="David" w:hint="eastAsia"/>
          <w:sz w:val="24"/>
          <w:rtl/>
        </w:rPr>
        <w:t>בשטחי</w:t>
      </w:r>
      <w:r w:rsidRPr="00014C4D">
        <w:rPr>
          <w:rFonts w:ascii="David" w:eastAsia="Times New Roman" w:hAnsi="David"/>
          <w:sz w:val="24"/>
          <w:rtl/>
        </w:rPr>
        <w:t xml:space="preserve"> </w:t>
      </w:r>
      <w:r w:rsidRPr="00014C4D">
        <w:rPr>
          <w:rFonts w:ascii="David" w:eastAsia="Times New Roman" w:hAnsi="David" w:hint="eastAsia"/>
          <w:sz w:val="24"/>
          <w:rtl/>
        </w:rPr>
        <w:t>העיר</w:t>
      </w:r>
      <w:r w:rsidRPr="00014C4D">
        <w:rPr>
          <w:rFonts w:ascii="David" w:eastAsia="Times New Roman" w:hAnsi="David"/>
          <w:sz w:val="24"/>
          <w:rtl/>
        </w:rPr>
        <w:t xml:space="preserve">, </w:t>
      </w:r>
      <w:r w:rsidRPr="00014C4D">
        <w:rPr>
          <w:rFonts w:ascii="David" w:eastAsia="Times New Roman" w:hAnsi="David" w:hint="eastAsia"/>
          <w:sz w:val="24"/>
          <w:rtl/>
        </w:rPr>
        <w:t>לרבות</w:t>
      </w:r>
      <w:r w:rsidRPr="00014C4D">
        <w:rPr>
          <w:rFonts w:ascii="David" w:eastAsia="Times New Roman" w:hAnsi="David"/>
          <w:sz w:val="24"/>
          <w:rtl/>
        </w:rPr>
        <w:t xml:space="preserve"> </w:t>
      </w:r>
      <w:r w:rsidRPr="00014C4D">
        <w:rPr>
          <w:rFonts w:ascii="David" w:eastAsia="Times New Roman" w:hAnsi="David" w:hint="eastAsia"/>
          <w:sz w:val="24"/>
          <w:rtl/>
        </w:rPr>
        <w:t>בבתי</w:t>
      </w:r>
      <w:r w:rsidRPr="00014C4D">
        <w:rPr>
          <w:rFonts w:ascii="David" w:eastAsia="Times New Roman" w:hAnsi="David"/>
          <w:sz w:val="24"/>
          <w:rtl/>
        </w:rPr>
        <w:t xml:space="preserve"> </w:t>
      </w:r>
      <w:r w:rsidRPr="00014C4D">
        <w:rPr>
          <w:rFonts w:ascii="David" w:eastAsia="Times New Roman" w:hAnsi="David" w:hint="eastAsia"/>
          <w:sz w:val="24"/>
          <w:rtl/>
        </w:rPr>
        <w:t>ספר</w:t>
      </w:r>
      <w:r w:rsidRPr="00014C4D">
        <w:rPr>
          <w:rFonts w:ascii="David" w:eastAsia="Times New Roman" w:hAnsi="David"/>
          <w:sz w:val="24"/>
          <w:rtl/>
        </w:rPr>
        <w:t xml:space="preserve">, </w:t>
      </w:r>
      <w:r w:rsidRPr="00014C4D">
        <w:rPr>
          <w:rFonts w:ascii="David" w:eastAsia="Times New Roman" w:hAnsi="David" w:hint="eastAsia"/>
          <w:sz w:val="24"/>
          <w:rtl/>
        </w:rPr>
        <w:t>במבני</w:t>
      </w:r>
      <w:r w:rsidRPr="00014C4D">
        <w:rPr>
          <w:rFonts w:ascii="David" w:eastAsia="Times New Roman" w:hAnsi="David"/>
          <w:sz w:val="24"/>
          <w:rtl/>
        </w:rPr>
        <w:t xml:space="preserve"> </w:t>
      </w:r>
      <w:r w:rsidRPr="00014C4D">
        <w:rPr>
          <w:rFonts w:ascii="David" w:eastAsia="Times New Roman" w:hAnsi="David" w:hint="eastAsia"/>
          <w:sz w:val="24"/>
          <w:rtl/>
        </w:rPr>
        <w:t>ציבור</w:t>
      </w:r>
      <w:r w:rsidRPr="00014C4D">
        <w:rPr>
          <w:rFonts w:ascii="David" w:eastAsia="Times New Roman" w:hAnsi="David"/>
          <w:sz w:val="24"/>
          <w:rtl/>
        </w:rPr>
        <w:t xml:space="preserve">, </w:t>
      </w:r>
      <w:r w:rsidRPr="00014C4D">
        <w:rPr>
          <w:rFonts w:ascii="David" w:eastAsia="Times New Roman" w:hAnsi="David" w:hint="eastAsia"/>
          <w:sz w:val="24"/>
          <w:rtl/>
        </w:rPr>
        <w:t>במבני</w:t>
      </w:r>
      <w:r w:rsidRPr="00014C4D">
        <w:rPr>
          <w:rFonts w:ascii="David" w:eastAsia="Times New Roman" w:hAnsi="David"/>
          <w:sz w:val="24"/>
          <w:rtl/>
        </w:rPr>
        <w:t xml:space="preserve"> </w:t>
      </w:r>
      <w:r w:rsidRPr="00014C4D">
        <w:rPr>
          <w:rFonts w:ascii="David" w:eastAsia="Times New Roman" w:hAnsi="David" w:hint="eastAsia"/>
          <w:sz w:val="24"/>
          <w:rtl/>
        </w:rPr>
        <w:t>מסחר</w:t>
      </w:r>
      <w:r w:rsidRPr="00014C4D">
        <w:rPr>
          <w:rFonts w:ascii="David" w:eastAsia="Times New Roman" w:hAnsi="David"/>
          <w:sz w:val="24"/>
          <w:rtl/>
        </w:rPr>
        <w:t xml:space="preserve"> </w:t>
      </w:r>
      <w:r w:rsidRPr="00014C4D">
        <w:rPr>
          <w:rFonts w:ascii="David" w:eastAsia="Times New Roman" w:hAnsi="David" w:hint="eastAsia"/>
          <w:sz w:val="24"/>
          <w:rtl/>
        </w:rPr>
        <w:t>ושירותים</w:t>
      </w:r>
      <w:r w:rsidRPr="00014C4D">
        <w:rPr>
          <w:rFonts w:ascii="David" w:eastAsia="Times New Roman" w:hAnsi="David"/>
          <w:sz w:val="24"/>
          <w:rtl/>
        </w:rPr>
        <w:t xml:space="preserve"> </w:t>
      </w:r>
      <w:r w:rsidRPr="00014C4D">
        <w:rPr>
          <w:rFonts w:ascii="David" w:eastAsia="Times New Roman" w:hAnsi="David" w:hint="eastAsia"/>
          <w:sz w:val="24"/>
          <w:rtl/>
        </w:rPr>
        <w:t>שבבעלות</w:t>
      </w:r>
      <w:r w:rsidRPr="00014C4D">
        <w:rPr>
          <w:rFonts w:ascii="David" w:eastAsia="Times New Roman" w:hAnsi="David"/>
          <w:sz w:val="24"/>
          <w:rtl/>
        </w:rPr>
        <w:t xml:space="preserve"> </w:t>
      </w:r>
      <w:r w:rsidRPr="00014C4D">
        <w:rPr>
          <w:rFonts w:ascii="David" w:eastAsia="Times New Roman" w:hAnsi="David" w:hint="eastAsia"/>
          <w:sz w:val="24"/>
          <w:rtl/>
        </w:rPr>
        <w:t>פרטית</w:t>
      </w:r>
      <w:r w:rsidRPr="00014C4D">
        <w:rPr>
          <w:rFonts w:ascii="David" w:eastAsia="Times New Roman" w:hAnsi="David"/>
          <w:sz w:val="24"/>
          <w:rtl/>
        </w:rPr>
        <w:t xml:space="preserve"> </w:t>
      </w:r>
      <w:r w:rsidRPr="00014C4D">
        <w:rPr>
          <w:rFonts w:ascii="David" w:eastAsia="Times New Roman" w:hAnsi="David" w:hint="eastAsia"/>
          <w:sz w:val="24"/>
          <w:rtl/>
        </w:rPr>
        <w:t>וכן</w:t>
      </w:r>
      <w:r w:rsidRPr="00014C4D">
        <w:rPr>
          <w:rFonts w:ascii="David" w:eastAsia="Times New Roman" w:hAnsi="David"/>
          <w:sz w:val="24"/>
          <w:rtl/>
        </w:rPr>
        <w:t xml:space="preserve"> </w:t>
      </w:r>
      <w:r w:rsidRPr="00014C4D">
        <w:rPr>
          <w:rFonts w:ascii="David" w:eastAsia="Times New Roman" w:hAnsi="David" w:hint="eastAsia"/>
          <w:sz w:val="24"/>
          <w:rtl/>
        </w:rPr>
        <w:t>בתווך</w:t>
      </w:r>
      <w:r w:rsidRPr="00014C4D">
        <w:rPr>
          <w:rFonts w:ascii="David" w:eastAsia="Times New Roman" w:hAnsi="David"/>
          <w:sz w:val="24"/>
          <w:rtl/>
        </w:rPr>
        <w:t xml:space="preserve"> </w:t>
      </w:r>
      <w:r w:rsidRPr="00014C4D">
        <w:rPr>
          <w:rFonts w:ascii="David" w:eastAsia="Times New Roman" w:hAnsi="David" w:hint="eastAsia"/>
          <w:sz w:val="24"/>
          <w:rtl/>
        </w:rPr>
        <w:t>התת</w:t>
      </w:r>
      <w:r w:rsidRPr="00014C4D">
        <w:rPr>
          <w:rFonts w:ascii="David" w:eastAsia="Times New Roman" w:hAnsi="David"/>
          <w:sz w:val="24"/>
          <w:rtl/>
        </w:rPr>
        <w:t>-קרקעי;</w:t>
      </w:r>
    </w:p>
    <w:p w:rsidR="00014C4D" w:rsidRPr="00014C4D" w:rsidRDefault="00014C4D" w:rsidP="00014C4D">
      <w:pPr>
        <w:numPr>
          <w:ilvl w:val="0"/>
          <w:numId w:val="34"/>
        </w:numPr>
        <w:spacing w:after="120" w:line="269" w:lineRule="auto"/>
        <w:rPr>
          <w:rFonts w:ascii="David" w:eastAsia="Times New Roman" w:hAnsi="David"/>
          <w:sz w:val="24"/>
          <w:rtl/>
        </w:rPr>
      </w:pPr>
      <w:r w:rsidRPr="00014C4D">
        <w:rPr>
          <w:rFonts w:eastAsiaTheme="majorEastAsia" w:hint="eastAsia"/>
          <w:bCs/>
          <w:spacing w:val="40"/>
          <w:rtl/>
        </w:rPr>
        <w:t>מיפוי</w:t>
      </w:r>
      <w:r w:rsidRPr="00014C4D">
        <w:rPr>
          <w:rFonts w:eastAsiaTheme="majorEastAsia"/>
          <w:bCs/>
          <w:spacing w:val="40"/>
          <w:rtl/>
        </w:rPr>
        <w:t xml:space="preserve"> </w:t>
      </w:r>
      <w:r w:rsidRPr="00014C4D">
        <w:rPr>
          <w:rFonts w:eastAsiaTheme="majorEastAsia" w:hint="eastAsia"/>
          <w:bCs/>
          <w:spacing w:val="40"/>
          <w:rtl/>
        </w:rPr>
        <w:t>האוכלוסייה</w:t>
      </w:r>
      <w:r w:rsidRPr="00014C4D">
        <w:rPr>
          <w:rFonts w:eastAsiaTheme="majorEastAsia"/>
          <w:bCs/>
          <w:spacing w:val="40"/>
          <w:rtl/>
        </w:rPr>
        <w:t xml:space="preserve"> </w:t>
      </w:r>
      <w:r w:rsidRPr="00014C4D">
        <w:rPr>
          <w:rFonts w:eastAsiaTheme="majorEastAsia" w:hint="eastAsia"/>
          <w:bCs/>
          <w:spacing w:val="40"/>
          <w:rtl/>
        </w:rPr>
        <w:t>וניתוח</w:t>
      </w:r>
      <w:r w:rsidRPr="00014C4D">
        <w:rPr>
          <w:rFonts w:eastAsiaTheme="majorEastAsia"/>
          <w:bCs/>
          <w:spacing w:val="40"/>
          <w:rtl/>
        </w:rPr>
        <w:t xml:space="preserve"> </w:t>
      </w:r>
      <w:r w:rsidRPr="00014C4D">
        <w:rPr>
          <w:rFonts w:eastAsiaTheme="majorEastAsia" w:hint="eastAsia"/>
          <w:bCs/>
          <w:spacing w:val="40"/>
          <w:rtl/>
        </w:rPr>
        <w:t>פערי</w:t>
      </w:r>
      <w:r w:rsidRPr="00014C4D">
        <w:rPr>
          <w:rFonts w:eastAsiaTheme="majorEastAsia"/>
          <w:bCs/>
          <w:spacing w:val="40"/>
          <w:rtl/>
        </w:rPr>
        <w:t xml:space="preserve"> </w:t>
      </w:r>
      <w:r w:rsidRPr="00014C4D">
        <w:rPr>
          <w:rFonts w:eastAsiaTheme="majorEastAsia" w:hint="eastAsia"/>
          <w:bCs/>
          <w:spacing w:val="40"/>
          <w:rtl/>
        </w:rPr>
        <w:t>המיגון</w:t>
      </w:r>
      <w:r w:rsidRPr="00014C4D">
        <w:rPr>
          <w:rFonts w:ascii="David" w:eastAsia="Times New Roman" w:hAnsi="David" w:hint="cs"/>
          <w:sz w:val="24"/>
          <w:rtl/>
        </w:rPr>
        <w:t>;</w:t>
      </w:r>
    </w:p>
    <w:p w:rsidR="00014C4D" w:rsidRPr="00014C4D" w:rsidRDefault="00014C4D" w:rsidP="00014C4D">
      <w:pPr>
        <w:numPr>
          <w:ilvl w:val="0"/>
          <w:numId w:val="34"/>
        </w:numPr>
        <w:spacing w:after="120" w:line="269" w:lineRule="auto"/>
        <w:rPr>
          <w:rFonts w:ascii="David" w:eastAsia="Times New Roman" w:hAnsi="David"/>
          <w:sz w:val="24"/>
          <w:rtl/>
        </w:rPr>
      </w:pPr>
      <w:r w:rsidRPr="00014C4D">
        <w:rPr>
          <w:rFonts w:eastAsiaTheme="majorEastAsia" w:hint="eastAsia"/>
          <w:bCs/>
          <w:spacing w:val="40"/>
          <w:rtl/>
        </w:rPr>
        <w:t>תכנון</w:t>
      </w:r>
      <w:r w:rsidRPr="00014C4D">
        <w:rPr>
          <w:rFonts w:eastAsiaTheme="majorEastAsia"/>
          <w:bCs/>
          <w:spacing w:val="40"/>
          <w:rtl/>
        </w:rPr>
        <w:t xml:space="preserve"> </w:t>
      </w:r>
      <w:r w:rsidRPr="00014C4D">
        <w:rPr>
          <w:rFonts w:eastAsiaTheme="majorEastAsia" w:hint="eastAsia"/>
          <w:bCs/>
          <w:spacing w:val="40"/>
          <w:rtl/>
        </w:rPr>
        <w:t>המענה</w:t>
      </w:r>
      <w:r w:rsidRPr="00014C4D">
        <w:rPr>
          <w:rFonts w:eastAsiaTheme="majorEastAsia" w:hint="cs"/>
          <w:bCs/>
          <w:spacing w:val="40"/>
          <w:rtl/>
        </w:rPr>
        <w:t>:</w:t>
      </w:r>
      <w:r w:rsidRPr="00014C4D">
        <w:rPr>
          <w:rFonts w:ascii="David" w:eastAsia="Times New Roman" w:hAnsi="David" w:hint="cs"/>
          <w:sz w:val="24"/>
          <w:rtl/>
        </w:rPr>
        <w:t xml:space="preserve"> </w:t>
      </w:r>
      <w:r w:rsidRPr="00014C4D">
        <w:rPr>
          <w:rFonts w:ascii="David" w:eastAsia="Times New Roman" w:hAnsi="David" w:hint="eastAsia"/>
          <w:sz w:val="24"/>
          <w:rtl/>
        </w:rPr>
        <w:t>הכנת</w:t>
      </w:r>
      <w:r w:rsidRPr="00014C4D">
        <w:rPr>
          <w:rFonts w:ascii="David" w:eastAsia="Times New Roman" w:hAnsi="David"/>
          <w:sz w:val="24"/>
          <w:rtl/>
        </w:rPr>
        <w:t xml:space="preserve"> </w:t>
      </w:r>
      <w:r w:rsidRPr="00014C4D">
        <w:rPr>
          <w:rFonts w:ascii="David" w:eastAsia="Times New Roman" w:hAnsi="David" w:hint="eastAsia"/>
          <w:sz w:val="24"/>
          <w:rtl/>
        </w:rPr>
        <w:t>ת</w:t>
      </w:r>
      <w:r w:rsidRPr="00014C4D">
        <w:rPr>
          <w:rFonts w:ascii="David" w:eastAsia="Times New Roman" w:hAnsi="David" w:hint="cs"/>
          <w:sz w:val="24"/>
          <w:rtl/>
        </w:rPr>
        <w:t>ו</w:t>
      </w:r>
      <w:r w:rsidRPr="00014C4D">
        <w:rPr>
          <w:rFonts w:ascii="David" w:eastAsia="Times New Roman" w:hAnsi="David" w:hint="eastAsia"/>
          <w:sz w:val="24"/>
          <w:rtl/>
        </w:rPr>
        <w:t>כנית</w:t>
      </w:r>
      <w:r w:rsidRPr="00014C4D">
        <w:rPr>
          <w:rFonts w:ascii="David" w:eastAsia="Times New Roman" w:hAnsi="David"/>
          <w:sz w:val="24"/>
          <w:rtl/>
        </w:rPr>
        <w:t xml:space="preserve"> </w:t>
      </w:r>
      <w:r w:rsidRPr="00014C4D">
        <w:rPr>
          <w:rFonts w:ascii="David" w:eastAsia="Times New Roman" w:hAnsi="David" w:hint="eastAsia"/>
          <w:sz w:val="24"/>
          <w:rtl/>
        </w:rPr>
        <w:t>לקיום</w:t>
      </w:r>
      <w:r w:rsidRPr="00014C4D">
        <w:rPr>
          <w:rFonts w:ascii="David" w:eastAsia="Times New Roman" w:hAnsi="David"/>
          <w:sz w:val="24"/>
          <w:rtl/>
        </w:rPr>
        <w:t xml:space="preserve"> </w:t>
      </w:r>
      <w:r w:rsidRPr="00014C4D">
        <w:rPr>
          <w:rFonts w:ascii="David" w:eastAsia="Times New Roman" w:hAnsi="David" w:hint="eastAsia"/>
          <w:sz w:val="24"/>
          <w:rtl/>
        </w:rPr>
        <w:t>הפעילות</w:t>
      </w:r>
      <w:r w:rsidRPr="00014C4D">
        <w:rPr>
          <w:rFonts w:ascii="David" w:eastAsia="Times New Roman" w:hAnsi="David"/>
          <w:sz w:val="24"/>
          <w:rtl/>
        </w:rPr>
        <w:t xml:space="preserve"> </w:t>
      </w:r>
      <w:r w:rsidRPr="00014C4D">
        <w:rPr>
          <w:rFonts w:ascii="David" w:eastAsia="Times New Roman" w:hAnsi="David" w:hint="eastAsia"/>
          <w:sz w:val="24"/>
          <w:rtl/>
        </w:rPr>
        <w:t>החיונית</w:t>
      </w:r>
      <w:r w:rsidRPr="00014C4D">
        <w:rPr>
          <w:rFonts w:ascii="David" w:eastAsia="Times New Roman" w:hAnsi="David"/>
          <w:sz w:val="24"/>
          <w:rtl/>
        </w:rPr>
        <w:t xml:space="preserve"> </w:t>
      </w:r>
      <w:r w:rsidRPr="00014C4D">
        <w:rPr>
          <w:rFonts w:ascii="David" w:eastAsia="Times New Roman" w:hAnsi="David" w:hint="eastAsia"/>
          <w:sz w:val="24"/>
          <w:rtl/>
        </w:rPr>
        <w:t>ולמיגון</w:t>
      </w:r>
      <w:r w:rsidRPr="00014C4D">
        <w:rPr>
          <w:rFonts w:ascii="David" w:eastAsia="Times New Roman" w:hAnsi="David"/>
          <w:sz w:val="24"/>
          <w:rtl/>
        </w:rPr>
        <w:t xml:space="preserve"> </w:t>
      </w:r>
      <w:r w:rsidRPr="00014C4D">
        <w:rPr>
          <w:rFonts w:ascii="David" w:eastAsia="Times New Roman" w:hAnsi="David" w:hint="eastAsia"/>
          <w:sz w:val="24"/>
          <w:rtl/>
        </w:rPr>
        <w:t>האוכלוסייה</w:t>
      </w:r>
      <w:r w:rsidRPr="00014C4D">
        <w:rPr>
          <w:rFonts w:ascii="David" w:eastAsia="Times New Roman" w:hAnsi="David" w:hint="cs"/>
          <w:sz w:val="24"/>
          <w:rtl/>
        </w:rPr>
        <w:t xml:space="preserve"> בשעת חירום</w:t>
      </w:r>
      <w:r w:rsidRPr="00014C4D">
        <w:rPr>
          <w:rFonts w:ascii="David" w:eastAsia="Times New Roman" w:hAnsi="David"/>
          <w:sz w:val="24"/>
          <w:rtl/>
        </w:rPr>
        <w:t xml:space="preserve">, </w:t>
      </w:r>
      <w:r w:rsidRPr="00014C4D">
        <w:rPr>
          <w:rFonts w:ascii="David" w:eastAsia="Times New Roman" w:hAnsi="David" w:hint="eastAsia"/>
          <w:sz w:val="24"/>
          <w:rtl/>
        </w:rPr>
        <w:t>תוך</w:t>
      </w:r>
      <w:r w:rsidRPr="00014C4D">
        <w:rPr>
          <w:rFonts w:ascii="David" w:eastAsia="Times New Roman" w:hAnsi="David"/>
          <w:sz w:val="24"/>
          <w:rtl/>
        </w:rPr>
        <w:t xml:space="preserve"> </w:t>
      </w:r>
      <w:r w:rsidRPr="00014C4D">
        <w:rPr>
          <w:rFonts w:ascii="David" w:eastAsia="Times New Roman" w:hAnsi="David" w:hint="eastAsia"/>
          <w:sz w:val="24"/>
          <w:rtl/>
        </w:rPr>
        <w:t>מיצוי</w:t>
      </w:r>
      <w:r w:rsidRPr="00014C4D">
        <w:rPr>
          <w:rFonts w:ascii="David" w:eastAsia="Times New Roman" w:hAnsi="David"/>
          <w:sz w:val="24"/>
          <w:rtl/>
        </w:rPr>
        <w:t xml:space="preserve"> </w:t>
      </w:r>
      <w:r w:rsidRPr="00014C4D">
        <w:rPr>
          <w:rFonts w:ascii="David" w:eastAsia="Times New Roman" w:hAnsi="David" w:hint="eastAsia"/>
          <w:sz w:val="24"/>
          <w:rtl/>
        </w:rPr>
        <w:t>השטחים</w:t>
      </w:r>
      <w:r w:rsidRPr="00014C4D">
        <w:rPr>
          <w:rFonts w:ascii="David" w:eastAsia="Times New Roman" w:hAnsi="David"/>
          <w:sz w:val="24"/>
          <w:rtl/>
        </w:rPr>
        <w:t xml:space="preserve"> </w:t>
      </w:r>
      <w:r w:rsidRPr="00014C4D">
        <w:rPr>
          <w:rFonts w:ascii="David" w:eastAsia="Times New Roman" w:hAnsi="David" w:hint="eastAsia"/>
          <w:sz w:val="24"/>
          <w:rtl/>
        </w:rPr>
        <w:t>הממוגנים</w:t>
      </w:r>
      <w:r w:rsidRPr="00014C4D">
        <w:rPr>
          <w:rFonts w:ascii="David" w:eastAsia="Times New Roman" w:hAnsi="David"/>
          <w:sz w:val="24"/>
          <w:rtl/>
        </w:rPr>
        <w:t xml:space="preserve"> </w:t>
      </w:r>
      <w:r w:rsidRPr="00014C4D">
        <w:rPr>
          <w:rFonts w:ascii="David" w:eastAsia="Times New Roman" w:hAnsi="David" w:hint="eastAsia"/>
          <w:sz w:val="24"/>
          <w:rtl/>
        </w:rPr>
        <w:t>הכוללים</w:t>
      </w:r>
      <w:r w:rsidRPr="00014C4D">
        <w:rPr>
          <w:rFonts w:ascii="David" w:eastAsia="Times New Roman" w:hAnsi="David"/>
          <w:sz w:val="24"/>
          <w:rtl/>
        </w:rPr>
        <w:t xml:space="preserve"> </w:t>
      </w:r>
      <w:r w:rsidRPr="00014C4D">
        <w:rPr>
          <w:rFonts w:ascii="David" w:eastAsia="Times New Roman" w:hAnsi="David" w:hint="eastAsia"/>
          <w:sz w:val="24"/>
          <w:rtl/>
        </w:rPr>
        <w:t>מקלטים</w:t>
      </w:r>
      <w:r w:rsidRPr="00014C4D">
        <w:rPr>
          <w:rFonts w:ascii="David" w:eastAsia="Times New Roman" w:hAnsi="David"/>
          <w:sz w:val="24"/>
          <w:rtl/>
        </w:rPr>
        <w:t xml:space="preserve"> </w:t>
      </w:r>
      <w:r w:rsidRPr="00014C4D">
        <w:rPr>
          <w:rFonts w:ascii="David" w:eastAsia="Times New Roman" w:hAnsi="David" w:hint="eastAsia"/>
          <w:sz w:val="24"/>
          <w:rtl/>
        </w:rPr>
        <w:t>ציבוריים</w:t>
      </w:r>
      <w:r w:rsidRPr="00014C4D">
        <w:rPr>
          <w:rFonts w:ascii="David" w:eastAsia="Times New Roman" w:hAnsi="David"/>
          <w:sz w:val="24"/>
          <w:rtl/>
        </w:rPr>
        <w:t xml:space="preserve">, </w:t>
      </w:r>
      <w:r w:rsidRPr="00014C4D">
        <w:rPr>
          <w:rFonts w:ascii="David" w:eastAsia="Times New Roman" w:hAnsi="David" w:hint="eastAsia"/>
          <w:sz w:val="24"/>
          <w:rtl/>
        </w:rPr>
        <w:t>מקלטים</w:t>
      </w:r>
      <w:r w:rsidRPr="00014C4D">
        <w:rPr>
          <w:rFonts w:ascii="David" w:eastAsia="Times New Roman" w:hAnsi="David"/>
          <w:sz w:val="24"/>
          <w:rtl/>
        </w:rPr>
        <w:t xml:space="preserve"> </w:t>
      </w:r>
      <w:r w:rsidRPr="00014C4D">
        <w:rPr>
          <w:rFonts w:ascii="David" w:eastAsia="Times New Roman" w:hAnsi="David" w:hint="eastAsia"/>
          <w:sz w:val="24"/>
          <w:rtl/>
        </w:rPr>
        <w:t>משותפים</w:t>
      </w:r>
      <w:r w:rsidRPr="00014C4D">
        <w:rPr>
          <w:rFonts w:ascii="David" w:eastAsia="Times New Roman" w:hAnsi="David"/>
          <w:sz w:val="24"/>
          <w:rtl/>
        </w:rPr>
        <w:t xml:space="preserve">, </w:t>
      </w:r>
      <w:r w:rsidRPr="00014C4D">
        <w:rPr>
          <w:rFonts w:ascii="David" w:eastAsia="Times New Roman" w:hAnsi="David" w:hint="eastAsia"/>
          <w:sz w:val="24"/>
          <w:rtl/>
        </w:rPr>
        <w:t>ממ</w:t>
      </w:r>
      <w:r w:rsidRPr="00014C4D">
        <w:rPr>
          <w:rFonts w:ascii="David" w:eastAsia="Times New Roman" w:hAnsi="David"/>
          <w:sz w:val="24"/>
          <w:rtl/>
        </w:rPr>
        <w:t xml:space="preserve">"דים </w:t>
      </w:r>
      <w:r w:rsidRPr="00014C4D">
        <w:rPr>
          <w:rFonts w:ascii="David" w:eastAsia="Times New Roman" w:hAnsi="David" w:hint="eastAsia"/>
          <w:sz w:val="24"/>
          <w:rtl/>
        </w:rPr>
        <w:t>וחניונים</w:t>
      </w:r>
      <w:r w:rsidRPr="00014C4D">
        <w:rPr>
          <w:rFonts w:ascii="David" w:eastAsia="Times New Roman" w:hAnsi="David"/>
          <w:sz w:val="24"/>
          <w:rtl/>
        </w:rPr>
        <w:t xml:space="preserve"> </w:t>
      </w:r>
      <w:r w:rsidRPr="00014C4D">
        <w:rPr>
          <w:rFonts w:ascii="David" w:eastAsia="Times New Roman" w:hAnsi="David" w:hint="eastAsia"/>
          <w:sz w:val="24"/>
          <w:rtl/>
        </w:rPr>
        <w:t>תת</w:t>
      </w:r>
      <w:r w:rsidRPr="00014C4D">
        <w:rPr>
          <w:rFonts w:ascii="David" w:eastAsia="Times New Roman" w:hAnsi="David"/>
          <w:sz w:val="24"/>
          <w:rtl/>
        </w:rPr>
        <w:t xml:space="preserve">-קרקעיים, </w:t>
      </w:r>
      <w:r w:rsidRPr="00014C4D">
        <w:rPr>
          <w:rFonts w:ascii="David" w:eastAsia="Times New Roman" w:hAnsi="David" w:hint="cs"/>
          <w:sz w:val="24"/>
          <w:rtl/>
        </w:rPr>
        <w:t xml:space="preserve">שאישר </w:t>
      </w:r>
      <w:r w:rsidRPr="00014C4D">
        <w:rPr>
          <w:rFonts w:ascii="David" w:eastAsia="Times New Roman" w:hAnsi="David" w:hint="eastAsia"/>
          <w:sz w:val="24"/>
          <w:rtl/>
        </w:rPr>
        <w:t>ידי</w:t>
      </w:r>
      <w:r w:rsidRPr="00014C4D">
        <w:rPr>
          <w:rFonts w:ascii="David" w:eastAsia="Times New Roman" w:hAnsi="David"/>
          <w:sz w:val="24"/>
          <w:rtl/>
        </w:rPr>
        <w:t xml:space="preserve"> </w:t>
      </w:r>
      <w:r w:rsidRPr="00014C4D">
        <w:rPr>
          <w:rFonts w:ascii="David" w:eastAsia="Times New Roman" w:hAnsi="David" w:hint="cs"/>
          <w:sz w:val="24"/>
          <w:rtl/>
        </w:rPr>
        <w:t>פקע"ר</w:t>
      </w:r>
      <w:r w:rsidRPr="00014C4D">
        <w:rPr>
          <w:rFonts w:ascii="David" w:eastAsia="Times New Roman" w:hAnsi="David"/>
          <w:sz w:val="24"/>
          <w:rtl/>
        </w:rPr>
        <w:t>.</w:t>
      </w:r>
    </w:p>
    <w:p w:rsidR="00014C4D" w:rsidRPr="00014C4D" w:rsidRDefault="00014C4D" w:rsidP="00014C4D">
      <w:pPr>
        <w:spacing w:line="269" w:lineRule="auto"/>
        <w:ind w:left="-567"/>
        <w:rPr>
          <w:szCs w:val="20"/>
          <w:rtl/>
        </w:rPr>
      </w:pPr>
      <w:r w:rsidRPr="00014C4D">
        <w:rPr>
          <w:rFonts w:ascii="David" w:eastAsia="Times New Roman" w:hAnsi="David" w:hint="cs"/>
          <w:sz w:val="24"/>
          <w:szCs w:val="20"/>
          <w:rtl/>
        </w:rPr>
        <w:t xml:space="preserve"> </w:t>
      </w:r>
    </w:p>
    <w:p w:rsidR="00014C4D" w:rsidRPr="00014C4D" w:rsidRDefault="00014C4D" w:rsidP="00014C4D">
      <w:pPr>
        <w:spacing w:line="269" w:lineRule="auto"/>
        <w:rPr>
          <w:b/>
          <w:bCs/>
          <w:rtl/>
        </w:rPr>
      </w:pPr>
      <w:r w:rsidRPr="00014C4D">
        <w:rPr>
          <w:rFonts w:hint="eastAsia"/>
          <w:b/>
          <w:bCs/>
          <w:rtl/>
        </w:rPr>
        <w:t>נמצא</w:t>
      </w:r>
      <w:r w:rsidRPr="00014C4D">
        <w:rPr>
          <w:b/>
          <w:bCs/>
          <w:rtl/>
        </w:rPr>
        <w:t xml:space="preserve"> כי המועצה המקומית </w:t>
      </w:r>
      <w:r w:rsidRPr="00014C4D">
        <w:rPr>
          <w:rFonts w:hint="eastAsia"/>
          <w:b/>
          <w:bCs/>
          <w:rtl/>
        </w:rPr>
        <w:t>ב</w:t>
      </w:r>
      <w:r w:rsidRPr="00014C4D">
        <w:rPr>
          <w:rFonts w:hint="cs"/>
          <w:b/>
          <w:bCs/>
          <w:rtl/>
        </w:rPr>
        <w:t>י</w:t>
      </w:r>
      <w:r w:rsidRPr="00014C4D">
        <w:rPr>
          <w:rFonts w:hint="eastAsia"/>
          <w:b/>
          <w:bCs/>
          <w:rtl/>
        </w:rPr>
        <w:t>ענה</w:t>
      </w:r>
      <w:r w:rsidRPr="00014C4D">
        <w:rPr>
          <w:b/>
          <w:bCs/>
          <w:rtl/>
        </w:rPr>
        <w:t xml:space="preserve"> והמועצה האזורית </w:t>
      </w:r>
      <w:r w:rsidRPr="00014C4D">
        <w:rPr>
          <w:rFonts w:hint="eastAsia"/>
          <w:b/>
          <w:bCs/>
          <w:rtl/>
        </w:rPr>
        <w:t>הגלבוע</w:t>
      </w:r>
      <w:r w:rsidRPr="00014C4D">
        <w:rPr>
          <w:b/>
          <w:bCs/>
          <w:rtl/>
        </w:rPr>
        <w:t xml:space="preserve"> לא הכינו </w:t>
      </w:r>
      <w:r w:rsidRPr="00014C4D">
        <w:rPr>
          <w:rFonts w:hint="eastAsia"/>
          <w:b/>
          <w:bCs/>
          <w:rtl/>
        </w:rPr>
        <w:t>תוכנית</w:t>
      </w:r>
      <w:r w:rsidRPr="00014C4D">
        <w:rPr>
          <w:b/>
          <w:bCs/>
          <w:rtl/>
        </w:rPr>
        <w:t xml:space="preserve"> מיגון </w:t>
      </w:r>
      <w:r w:rsidRPr="00014C4D">
        <w:rPr>
          <w:rFonts w:hint="eastAsia"/>
          <w:b/>
          <w:bCs/>
          <w:rtl/>
        </w:rPr>
        <w:t>רשותית</w:t>
      </w:r>
      <w:r w:rsidRPr="00014C4D">
        <w:rPr>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lastRenderedPageBreak/>
        <w:t xml:space="preserve">תוכנית המיגון של עיריית </w:t>
      </w:r>
      <w:r w:rsidRPr="00014C4D">
        <w:rPr>
          <w:rFonts w:hint="eastAsia"/>
          <w:b/>
          <w:bCs/>
          <w:rtl/>
        </w:rPr>
        <w:t>אשקלון</w:t>
      </w:r>
      <w:r w:rsidRPr="00014C4D">
        <w:rPr>
          <w:rFonts w:hint="cs"/>
          <w:rtl/>
        </w:rPr>
        <w:t xml:space="preserve"> עודכנה באמצע שנת 2022 אולם היא לא אושרה על ידי פקע"ר. העירייה אומנם כללה בתוכנית את מיפוי בתי המגורים שבתחום השיפוט שלה, אולם לא כללה מיפוי של האוכלוסייה, ניתוח של פערי המיגון בתחומה ותוכנית למענה לפערי המיגון, כנדרש בתיק האב לרשויות המקומיות.</w:t>
      </w:r>
    </w:p>
    <w:p w:rsidR="00014C4D" w:rsidRPr="00014C4D" w:rsidRDefault="00014C4D" w:rsidP="00014C4D">
      <w:pPr>
        <w:spacing w:line="269" w:lineRule="auto"/>
        <w:ind w:left="-567"/>
        <w:rPr>
          <w:szCs w:val="20"/>
          <w:rtl/>
        </w:rPr>
      </w:pPr>
    </w:p>
    <w:p w:rsidR="00014C4D" w:rsidRPr="00014C4D" w:rsidDel="0029319F" w:rsidRDefault="00014C4D" w:rsidP="00014C4D">
      <w:pPr>
        <w:spacing w:line="269" w:lineRule="auto"/>
        <w:rPr>
          <w:rFonts w:ascii="David" w:eastAsia="Times New Roman" w:hAnsi="David"/>
          <w:sz w:val="24"/>
          <w:rtl/>
        </w:rPr>
      </w:pPr>
      <w:r w:rsidRPr="00014C4D" w:rsidDel="0029319F">
        <w:rPr>
          <w:rFonts w:ascii="David" w:eastAsia="Times New Roman" w:hAnsi="David" w:hint="cs"/>
          <w:sz w:val="24"/>
          <w:rtl/>
        </w:rPr>
        <w:t>ת</w:t>
      </w:r>
      <w:r w:rsidRPr="00014C4D">
        <w:rPr>
          <w:rFonts w:ascii="David" w:eastAsia="Times New Roman" w:hAnsi="David" w:hint="cs"/>
          <w:sz w:val="24"/>
          <w:rtl/>
        </w:rPr>
        <w:t>ו</w:t>
      </w:r>
      <w:r w:rsidRPr="00014C4D" w:rsidDel="0029319F">
        <w:rPr>
          <w:rFonts w:ascii="David" w:eastAsia="Times New Roman" w:hAnsi="David" w:hint="cs"/>
          <w:sz w:val="24"/>
          <w:rtl/>
        </w:rPr>
        <w:t xml:space="preserve">כנית המיגון של עיריית </w:t>
      </w:r>
      <w:r w:rsidRPr="00014C4D" w:rsidDel="0029319F">
        <w:rPr>
          <w:rFonts w:ascii="David" w:eastAsia="Times New Roman" w:hAnsi="David" w:hint="eastAsia"/>
          <w:b/>
          <w:bCs/>
          <w:sz w:val="24"/>
          <w:rtl/>
        </w:rPr>
        <w:t>גבעתיים</w:t>
      </w:r>
      <w:r w:rsidRPr="00014C4D" w:rsidDel="0029319F">
        <w:rPr>
          <w:rFonts w:ascii="David" w:eastAsia="Times New Roman" w:hAnsi="David" w:hint="cs"/>
          <w:sz w:val="24"/>
          <w:rtl/>
        </w:rPr>
        <w:t xml:space="preserve"> עודכנה באפריל 2022 ואושרה על ידי </w:t>
      </w:r>
      <w:r w:rsidRPr="00014C4D">
        <w:rPr>
          <w:rFonts w:ascii="David" w:eastAsia="Times New Roman" w:hAnsi="David" w:hint="cs"/>
          <w:sz w:val="24"/>
          <w:rtl/>
        </w:rPr>
        <w:t>פקע"ר</w:t>
      </w:r>
      <w:r w:rsidRPr="00014C4D" w:rsidDel="0029319F">
        <w:rPr>
          <w:rFonts w:ascii="David" w:eastAsia="Times New Roman" w:hAnsi="David" w:hint="cs"/>
          <w:sz w:val="24"/>
          <w:rtl/>
        </w:rPr>
        <w:t xml:space="preserve"> בחודש יוני 2023.</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תוכנית המיגון של עיריית </w:t>
      </w:r>
      <w:r w:rsidRPr="00014C4D">
        <w:rPr>
          <w:rFonts w:ascii="David" w:eastAsia="Times New Roman" w:hAnsi="David" w:hint="eastAsia"/>
          <w:b/>
          <w:bCs/>
          <w:sz w:val="24"/>
          <w:rtl/>
        </w:rPr>
        <w:t>חולון</w:t>
      </w:r>
      <w:r w:rsidRPr="00014C4D">
        <w:rPr>
          <w:rFonts w:ascii="David" w:eastAsia="Times New Roman" w:hAnsi="David" w:hint="cs"/>
          <w:sz w:val="24"/>
          <w:rtl/>
        </w:rPr>
        <w:t xml:space="preserve"> עודכנה רק בפברואר 2024 ובמועד סיום הביקורת בנובמבר 2024 טרם אושרה על ידי פקע</w:t>
      </w:r>
      <w:r w:rsidRPr="00014C4D">
        <w:rPr>
          <w:rFonts w:ascii="David" w:eastAsia="Times New Roman" w:hAnsi="David"/>
          <w:sz w:val="24"/>
          <w:rtl/>
        </w:rPr>
        <w:t>"</w:t>
      </w:r>
      <w:r w:rsidRPr="00014C4D">
        <w:rPr>
          <w:rFonts w:ascii="David" w:eastAsia="Times New Roman" w:hAnsi="David" w:hint="cs"/>
          <w:sz w:val="24"/>
          <w:rtl/>
        </w:rPr>
        <w:t>ר.</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מהאמור עולה כי </w:t>
      </w:r>
      <w:r w:rsidRPr="00014C4D">
        <w:rPr>
          <w:rFonts w:ascii="David" w:eastAsia="Times New Roman" w:hAnsi="David"/>
          <w:b/>
          <w:bCs/>
          <w:sz w:val="24"/>
          <w:rtl/>
        </w:rPr>
        <w:t>על אף ש</w:t>
      </w:r>
      <w:r w:rsidRPr="00014C4D">
        <w:rPr>
          <w:rFonts w:ascii="David" w:eastAsia="Times New Roman" w:hAnsi="David" w:hint="eastAsia"/>
          <w:b/>
          <w:bCs/>
          <w:sz w:val="24"/>
          <w:rtl/>
        </w:rPr>
        <w:t>בתיקי</w:t>
      </w:r>
      <w:r w:rsidRPr="00014C4D">
        <w:rPr>
          <w:rFonts w:ascii="David" w:eastAsia="Times New Roman" w:hAnsi="David"/>
          <w:b/>
          <w:bCs/>
          <w:sz w:val="24"/>
          <w:rtl/>
        </w:rPr>
        <w:t xml:space="preserve"> האב נקבע כי הרשות המקומית אחראית על הכנת ת</w:t>
      </w:r>
      <w:r w:rsidRPr="00014C4D">
        <w:rPr>
          <w:rFonts w:ascii="David" w:eastAsia="Times New Roman" w:hAnsi="David" w:hint="cs"/>
          <w:b/>
          <w:bCs/>
          <w:sz w:val="24"/>
          <w:rtl/>
        </w:rPr>
        <w:t>ו</w:t>
      </w:r>
      <w:r w:rsidRPr="00014C4D">
        <w:rPr>
          <w:rFonts w:ascii="David" w:eastAsia="Times New Roman" w:hAnsi="David"/>
          <w:b/>
          <w:bCs/>
          <w:sz w:val="24"/>
          <w:rtl/>
        </w:rPr>
        <w:t>כנית המיגון הרשותית, בביקורת נמצא כי</w:t>
      </w:r>
      <w:r w:rsidRPr="00014C4D">
        <w:rPr>
          <w:rFonts w:ascii="David" w:eastAsia="Times New Roman" w:hAnsi="David" w:hint="cs"/>
          <w:b/>
          <w:bCs/>
          <w:sz w:val="24"/>
          <w:rtl/>
        </w:rPr>
        <w:t xml:space="preserve"> המועצה המקומית ביענה והמועצה האזורית הגלבוע לא הכינו תוכנית מיגון רשותית; עיריית אשקלון הכינה </w:t>
      </w:r>
      <w:r w:rsidRPr="00014C4D">
        <w:rPr>
          <w:rFonts w:hint="cs"/>
          <w:b/>
          <w:bCs/>
          <w:rtl/>
        </w:rPr>
        <w:t xml:space="preserve">תוכנית מיגון חלקית; </w:t>
      </w:r>
      <w:r w:rsidRPr="00014C4D">
        <w:rPr>
          <w:rFonts w:ascii="David" w:eastAsia="Times New Roman" w:hAnsi="David" w:hint="cs"/>
          <w:b/>
          <w:bCs/>
          <w:sz w:val="24"/>
          <w:rtl/>
        </w:rPr>
        <w:t>עיריות גבעתיים וחולון הכינו תוכנית מיגון</w:t>
      </w:r>
      <w:r w:rsidRPr="00014C4D">
        <w:rPr>
          <w:rFonts w:ascii="David" w:eastAsia="Times New Roman" w:hAnsi="David"/>
          <w:b/>
          <w:bCs/>
          <w:sz w:val="24"/>
          <w:rtl/>
        </w:rPr>
        <w:t xml:space="preserve">, </w:t>
      </w:r>
      <w:r w:rsidRPr="00014C4D">
        <w:rPr>
          <w:rFonts w:ascii="David" w:eastAsia="Times New Roman" w:hAnsi="David" w:hint="eastAsia"/>
          <w:b/>
          <w:bCs/>
          <w:sz w:val="24"/>
          <w:rtl/>
        </w:rPr>
        <w:t>אולם</w:t>
      </w:r>
      <w:r w:rsidRPr="00014C4D">
        <w:rPr>
          <w:rFonts w:ascii="David" w:eastAsia="Times New Roman" w:hAnsi="David"/>
          <w:b/>
          <w:bCs/>
          <w:sz w:val="24"/>
          <w:rtl/>
        </w:rPr>
        <w:t xml:space="preserve"> </w:t>
      </w:r>
      <w:r w:rsidRPr="00014C4D">
        <w:rPr>
          <w:rFonts w:ascii="David" w:eastAsia="Times New Roman" w:hAnsi="David" w:hint="eastAsia"/>
          <w:b/>
          <w:bCs/>
          <w:sz w:val="24"/>
          <w:rtl/>
        </w:rPr>
        <w:t>תוכנית</w:t>
      </w:r>
      <w:r w:rsidRPr="00014C4D">
        <w:rPr>
          <w:rFonts w:ascii="David" w:eastAsia="Times New Roman" w:hAnsi="David"/>
          <w:b/>
          <w:bCs/>
          <w:sz w:val="24"/>
          <w:rtl/>
        </w:rPr>
        <w:t xml:space="preserve"> </w:t>
      </w:r>
      <w:r w:rsidRPr="00014C4D">
        <w:rPr>
          <w:rFonts w:ascii="David" w:eastAsia="Times New Roman" w:hAnsi="David" w:hint="eastAsia"/>
          <w:b/>
          <w:bCs/>
          <w:sz w:val="24"/>
          <w:rtl/>
        </w:rPr>
        <w:t>המיגון</w:t>
      </w:r>
      <w:r w:rsidRPr="00014C4D">
        <w:rPr>
          <w:rFonts w:ascii="David" w:eastAsia="Times New Roman" w:hAnsi="David"/>
          <w:b/>
          <w:bCs/>
          <w:sz w:val="24"/>
          <w:rtl/>
        </w:rPr>
        <w:t xml:space="preserve"> </w:t>
      </w:r>
      <w:r w:rsidRPr="00014C4D">
        <w:rPr>
          <w:rFonts w:ascii="David" w:eastAsia="Times New Roman" w:hAnsi="David" w:hint="eastAsia"/>
          <w:b/>
          <w:bCs/>
          <w:sz w:val="24"/>
          <w:rtl/>
        </w:rPr>
        <w:t>של</w:t>
      </w:r>
      <w:r w:rsidRPr="00014C4D">
        <w:rPr>
          <w:rFonts w:ascii="David" w:eastAsia="Times New Roman" w:hAnsi="David"/>
          <w:b/>
          <w:bCs/>
          <w:sz w:val="24"/>
          <w:rtl/>
        </w:rPr>
        <w:t xml:space="preserve"> </w:t>
      </w:r>
      <w:r w:rsidRPr="00014C4D">
        <w:rPr>
          <w:rFonts w:ascii="David" w:eastAsia="Times New Roman" w:hAnsi="David" w:hint="eastAsia"/>
          <w:b/>
          <w:bCs/>
          <w:sz w:val="24"/>
          <w:rtl/>
        </w:rPr>
        <w:t>עיריית</w:t>
      </w:r>
      <w:r w:rsidRPr="00014C4D">
        <w:rPr>
          <w:rFonts w:ascii="David" w:eastAsia="Times New Roman" w:hAnsi="David"/>
          <w:b/>
          <w:bCs/>
          <w:sz w:val="24"/>
          <w:rtl/>
        </w:rPr>
        <w:t xml:space="preserve"> </w:t>
      </w:r>
      <w:r w:rsidRPr="00014C4D">
        <w:rPr>
          <w:rFonts w:ascii="David" w:eastAsia="Times New Roman" w:hAnsi="David" w:hint="eastAsia"/>
          <w:b/>
          <w:bCs/>
          <w:sz w:val="24"/>
          <w:rtl/>
        </w:rPr>
        <w:t>חולון</w:t>
      </w:r>
      <w:r w:rsidRPr="00014C4D">
        <w:rPr>
          <w:rFonts w:ascii="David" w:eastAsia="Times New Roman" w:hAnsi="David"/>
          <w:b/>
          <w:bCs/>
          <w:sz w:val="24"/>
          <w:rtl/>
        </w:rPr>
        <w:t xml:space="preserve"> </w:t>
      </w:r>
      <w:r w:rsidRPr="00014C4D">
        <w:rPr>
          <w:rFonts w:ascii="David" w:eastAsia="Times New Roman" w:hAnsi="David" w:hint="eastAsia"/>
          <w:b/>
          <w:bCs/>
          <w:sz w:val="24"/>
          <w:rtl/>
        </w:rPr>
        <w:t>לא</w:t>
      </w:r>
      <w:r w:rsidRPr="00014C4D">
        <w:rPr>
          <w:rFonts w:ascii="David" w:eastAsia="Times New Roman" w:hAnsi="David"/>
          <w:b/>
          <w:bCs/>
          <w:sz w:val="24"/>
          <w:rtl/>
        </w:rPr>
        <w:t xml:space="preserve"> </w:t>
      </w:r>
      <w:r w:rsidRPr="00014C4D">
        <w:rPr>
          <w:rFonts w:ascii="David" w:eastAsia="Times New Roman" w:hAnsi="David" w:hint="eastAsia"/>
          <w:b/>
          <w:bCs/>
          <w:sz w:val="24"/>
          <w:rtl/>
        </w:rPr>
        <w:t>אושרה</w:t>
      </w:r>
      <w:r w:rsidRPr="00014C4D">
        <w:rPr>
          <w:rFonts w:ascii="David" w:eastAsia="Times New Roman" w:hAnsi="David"/>
          <w:b/>
          <w:bCs/>
          <w:sz w:val="24"/>
          <w:rtl/>
        </w:rPr>
        <w:t xml:space="preserve"> </w:t>
      </w:r>
      <w:r w:rsidRPr="00014C4D">
        <w:rPr>
          <w:rFonts w:ascii="David" w:eastAsia="Times New Roman" w:hAnsi="David" w:hint="eastAsia"/>
          <w:b/>
          <w:bCs/>
          <w:sz w:val="24"/>
          <w:rtl/>
        </w:rPr>
        <w:t>על</w:t>
      </w:r>
      <w:r w:rsidRPr="00014C4D">
        <w:rPr>
          <w:rFonts w:ascii="David" w:eastAsia="Times New Roman" w:hAnsi="David"/>
          <w:b/>
          <w:bCs/>
          <w:sz w:val="24"/>
          <w:rtl/>
        </w:rPr>
        <w:t xml:space="preserve"> </w:t>
      </w:r>
      <w:r w:rsidRPr="00014C4D">
        <w:rPr>
          <w:rFonts w:ascii="David" w:eastAsia="Times New Roman" w:hAnsi="David" w:hint="eastAsia"/>
          <w:b/>
          <w:bCs/>
          <w:sz w:val="24"/>
          <w:rtl/>
        </w:rPr>
        <w:t>ידי</w:t>
      </w:r>
      <w:r w:rsidRPr="00014C4D">
        <w:rPr>
          <w:rFonts w:ascii="David" w:eastAsia="Times New Roman" w:hAnsi="David"/>
          <w:b/>
          <w:bCs/>
          <w:sz w:val="24"/>
          <w:rtl/>
        </w:rPr>
        <w:t xml:space="preserve"> </w:t>
      </w:r>
      <w:r w:rsidRPr="00014C4D">
        <w:rPr>
          <w:rFonts w:ascii="David" w:eastAsia="Times New Roman" w:hAnsi="David" w:hint="eastAsia"/>
          <w:b/>
          <w:bCs/>
          <w:sz w:val="24"/>
          <w:rtl/>
        </w:rPr>
        <w:t>פקע</w:t>
      </w:r>
      <w:r w:rsidRPr="00014C4D">
        <w:rPr>
          <w:rFonts w:ascii="David" w:eastAsia="Times New Roman" w:hAnsi="David"/>
          <w:b/>
          <w:bCs/>
          <w:sz w:val="24"/>
          <w:rtl/>
        </w:rPr>
        <w:t>"</w:t>
      </w:r>
      <w:r w:rsidRPr="00014C4D">
        <w:rPr>
          <w:rFonts w:ascii="David" w:eastAsia="Times New Roman" w:hAnsi="David" w:hint="eastAsia"/>
          <w:b/>
          <w:bCs/>
          <w:sz w:val="24"/>
          <w:rtl/>
        </w:rPr>
        <w:t>ר</w:t>
      </w:r>
      <w:r w:rsidRPr="00014C4D">
        <w:rPr>
          <w:rFonts w:hint="cs"/>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עיריית </w:t>
      </w:r>
      <w:r w:rsidRPr="00014C4D">
        <w:rPr>
          <w:rFonts w:ascii="David" w:eastAsia="Times New Roman" w:hAnsi="David" w:hint="cs"/>
          <w:b/>
          <w:bCs/>
          <w:sz w:val="24"/>
          <w:rtl/>
        </w:rPr>
        <w:t>אשקלון</w:t>
      </w:r>
      <w:r w:rsidRPr="00014C4D">
        <w:rPr>
          <w:rFonts w:ascii="David" w:eastAsia="Times New Roman" w:hAnsi="David" w:hint="cs"/>
          <w:sz w:val="24"/>
          <w:rtl/>
        </w:rPr>
        <w:t xml:space="preserve"> מסרה בתשובתה למשרד מבקר המדינה מיוני 2025 (להלן - תשובת עיריית </w:t>
      </w:r>
      <w:r w:rsidRPr="00014C4D">
        <w:rPr>
          <w:rFonts w:ascii="David" w:eastAsia="Times New Roman" w:hAnsi="David" w:hint="cs"/>
          <w:b/>
          <w:bCs/>
          <w:sz w:val="24"/>
          <w:rtl/>
        </w:rPr>
        <w:t>אשקלון</w:t>
      </w:r>
      <w:r w:rsidRPr="00014C4D">
        <w:rPr>
          <w:rFonts w:ascii="David" w:eastAsia="Times New Roman" w:hAnsi="David" w:hint="cs"/>
          <w:sz w:val="24"/>
          <w:rtl/>
        </w:rPr>
        <w:t xml:space="preserve">) </w:t>
      </w:r>
      <w:r w:rsidRPr="00014C4D">
        <w:rPr>
          <w:rFonts w:ascii="David" w:eastAsia="Times New Roman" w:hAnsi="David"/>
          <w:sz w:val="24"/>
          <w:rtl/>
        </w:rPr>
        <w:t xml:space="preserve">כי בתיאום עם פקע״ר היא תקדם את השלמת תוכנית </w:t>
      </w:r>
      <w:r w:rsidRPr="00014C4D">
        <w:rPr>
          <w:rFonts w:ascii="David" w:eastAsia="Times New Roman" w:hAnsi="David" w:hint="cs"/>
          <w:sz w:val="24"/>
          <w:rtl/>
        </w:rPr>
        <w:t>ה</w:t>
      </w:r>
      <w:r w:rsidRPr="00014C4D">
        <w:rPr>
          <w:rFonts w:ascii="David" w:eastAsia="Times New Roman" w:hAnsi="David"/>
          <w:sz w:val="24"/>
          <w:rtl/>
        </w:rPr>
        <w:t xml:space="preserve">מיגון הרשותית (תמי״ר) </w:t>
      </w:r>
      <w:r w:rsidRPr="00014C4D">
        <w:rPr>
          <w:rFonts w:ascii="David" w:eastAsia="Times New Roman" w:hAnsi="David" w:hint="cs"/>
          <w:sz w:val="24"/>
          <w:rtl/>
        </w:rPr>
        <w:t>ותשלב בה</w:t>
      </w:r>
      <w:r w:rsidRPr="00014C4D">
        <w:rPr>
          <w:rFonts w:ascii="David" w:eastAsia="Times New Roman" w:hAnsi="David"/>
          <w:sz w:val="24"/>
          <w:rtl/>
        </w:rPr>
        <w:t xml:space="preserve"> מידע נוסף על רמות המיגון בבתים, בהתאם להמלצות הביקורת.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לתשובת עיריית </w:t>
      </w:r>
      <w:r w:rsidRPr="00014C4D">
        <w:rPr>
          <w:rFonts w:ascii="David" w:eastAsia="Times New Roman" w:hAnsi="David" w:hint="cs"/>
          <w:b/>
          <w:bCs/>
          <w:sz w:val="24"/>
          <w:rtl/>
        </w:rPr>
        <w:t>חולון</w:t>
      </w:r>
      <w:r w:rsidRPr="00014C4D">
        <w:rPr>
          <w:rFonts w:ascii="David" w:eastAsia="Times New Roman" w:hAnsi="David"/>
          <w:sz w:val="24"/>
          <w:rtl/>
        </w:rPr>
        <w:t xml:space="preserve"> </w:t>
      </w:r>
      <w:r w:rsidRPr="00014C4D">
        <w:rPr>
          <w:rFonts w:ascii="David" w:eastAsia="Times New Roman" w:hAnsi="David" w:hint="cs"/>
          <w:sz w:val="24"/>
          <w:rtl/>
        </w:rPr>
        <w:t xml:space="preserve">למשרד מבקר המדינה מיולי 2025 (להלן - תשובת עיריית </w:t>
      </w:r>
      <w:r w:rsidRPr="00014C4D">
        <w:rPr>
          <w:rFonts w:ascii="David" w:eastAsia="Times New Roman" w:hAnsi="David" w:hint="eastAsia"/>
          <w:b/>
          <w:bCs/>
          <w:sz w:val="24"/>
          <w:rtl/>
        </w:rPr>
        <w:t>חולון</w:t>
      </w:r>
      <w:r w:rsidRPr="00014C4D">
        <w:rPr>
          <w:rFonts w:ascii="David" w:eastAsia="Times New Roman" w:hAnsi="David" w:hint="cs"/>
          <w:sz w:val="24"/>
          <w:rtl/>
        </w:rPr>
        <w:t xml:space="preserve">) צורפה </w:t>
      </w:r>
      <w:r w:rsidRPr="00014C4D">
        <w:rPr>
          <w:rFonts w:ascii="David" w:eastAsia="Times New Roman" w:hAnsi="David"/>
          <w:sz w:val="24"/>
          <w:rtl/>
        </w:rPr>
        <w:t xml:space="preserve">תוכנית תמי"ר מעודכנת </w:t>
      </w:r>
      <w:r w:rsidRPr="00014C4D">
        <w:rPr>
          <w:rFonts w:ascii="David" w:eastAsia="Times New Roman" w:hAnsi="David" w:hint="cs"/>
          <w:sz w:val="24"/>
          <w:rtl/>
        </w:rPr>
        <w:t>מ</w:t>
      </w:r>
      <w:r w:rsidRPr="00014C4D">
        <w:rPr>
          <w:rFonts w:ascii="David" w:eastAsia="Times New Roman" w:hAnsi="David"/>
          <w:sz w:val="24"/>
          <w:rtl/>
        </w:rPr>
        <w:t>יולי 2024</w:t>
      </w:r>
      <w:r w:rsidRPr="00014C4D">
        <w:rPr>
          <w:rFonts w:ascii="David" w:eastAsia="Times New Roman" w:hAnsi="David" w:hint="cs"/>
          <w:sz w:val="24"/>
          <w:rtl/>
        </w:rPr>
        <w:t xml:space="preserve"> שהוכנה לדברי העירייה בשיתוף פעולה עם מפקד יחידת הקישור מפקע"ר לעיריית חולון (יקל"ר), ואולם על התוכנית לא נמצא אישור של פקע"ר.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ascii="David" w:eastAsia="Times New Roman" w:hAnsi="David"/>
          <w:b/>
          <w:bCs/>
          <w:sz w:val="24"/>
          <w:rtl/>
        </w:rPr>
        <w:t xml:space="preserve">על </w:t>
      </w:r>
      <w:r w:rsidRPr="00014C4D">
        <w:rPr>
          <w:rFonts w:ascii="David" w:eastAsia="Times New Roman" w:hAnsi="David" w:hint="eastAsia"/>
          <w:b/>
          <w:bCs/>
          <w:sz w:val="24"/>
          <w:rtl/>
        </w:rPr>
        <w:t>המועצה</w:t>
      </w:r>
      <w:r w:rsidRPr="00014C4D">
        <w:rPr>
          <w:rFonts w:ascii="David" w:eastAsia="Times New Roman" w:hAnsi="David"/>
          <w:b/>
          <w:bCs/>
          <w:sz w:val="24"/>
          <w:rtl/>
        </w:rPr>
        <w:t xml:space="preserve"> המקומית ביענה והמועצה האזורית הגלבוע להכין ת</w:t>
      </w:r>
      <w:r w:rsidRPr="00014C4D">
        <w:rPr>
          <w:rFonts w:ascii="David" w:eastAsia="Times New Roman" w:hAnsi="David" w:hint="eastAsia"/>
          <w:b/>
          <w:bCs/>
          <w:sz w:val="24"/>
          <w:rtl/>
        </w:rPr>
        <w:t>ו</w:t>
      </w:r>
      <w:r w:rsidRPr="00014C4D">
        <w:rPr>
          <w:rFonts w:ascii="David" w:eastAsia="Times New Roman" w:hAnsi="David"/>
          <w:b/>
          <w:bCs/>
          <w:sz w:val="24"/>
          <w:rtl/>
        </w:rPr>
        <w:t xml:space="preserve">כנית מיגון רשותית כנדרש בתיק האב לרשויות המקומיות ובתיק </w:t>
      </w:r>
      <w:r w:rsidRPr="00014C4D">
        <w:rPr>
          <w:rFonts w:ascii="David" w:eastAsia="Times New Roman" w:hAnsi="David" w:hint="eastAsia"/>
          <w:b/>
          <w:bCs/>
          <w:sz w:val="24"/>
          <w:rtl/>
        </w:rPr>
        <w:t>ה</w:t>
      </w:r>
      <w:r w:rsidRPr="00014C4D">
        <w:rPr>
          <w:rFonts w:ascii="David" w:eastAsia="Times New Roman" w:hAnsi="David"/>
          <w:b/>
          <w:bCs/>
          <w:sz w:val="24"/>
          <w:rtl/>
        </w:rPr>
        <w:t>אב למועצ</w:t>
      </w:r>
      <w:r w:rsidRPr="00014C4D">
        <w:rPr>
          <w:rFonts w:ascii="David" w:eastAsia="Times New Roman" w:hAnsi="David" w:hint="eastAsia"/>
          <w:b/>
          <w:bCs/>
          <w:sz w:val="24"/>
          <w:rtl/>
        </w:rPr>
        <w:t>ות</w:t>
      </w:r>
      <w:r w:rsidRPr="00014C4D">
        <w:rPr>
          <w:rFonts w:ascii="David" w:eastAsia="Times New Roman" w:hAnsi="David"/>
          <w:b/>
          <w:bCs/>
          <w:sz w:val="24"/>
          <w:rtl/>
        </w:rPr>
        <w:t xml:space="preserve"> </w:t>
      </w:r>
      <w:r w:rsidRPr="00014C4D">
        <w:rPr>
          <w:rFonts w:ascii="David" w:eastAsia="Times New Roman" w:hAnsi="David" w:hint="eastAsia"/>
          <w:b/>
          <w:bCs/>
          <w:sz w:val="24"/>
          <w:rtl/>
        </w:rPr>
        <w:t>ה</w:t>
      </w:r>
      <w:r w:rsidRPr="00014C4D">
        <w:rPr>
          <w:rFonts w:ascii="David" w:eastAsia="Times New Roman" w:hAnsi="David"/>
          <w:b/>
          <w:bCs/>
          <w:sz w:val="24"/>
          <w:rtl/>
        </w:rPr>
        <w:t>אזורי</w:t>
      </w:r>
      <w:r w:rsidRPr="00014C4D">
        <w:rPr>
          <w:rFonts w:ascii="David" w:eastAsia="Times New Roman" w:hAnsi="David" w:hint="eastAsia"/>
          <w:b/>
          <w:bCs/>
          <w:sz w:val="24"/>
          <w:rtl/>
        </w:rPr>
        <w:t>ו</w:t>
      </w:r>
      <w:r w:rsidRPr="00014C4D">
        <w:rPr>
          <w:rFonts w:ascii="David" w:eastAsia="Times New Roman" w:hAnsi="David"/>
          <w:b/>
          <w:bCs/>
          <w:sz w:val="24"/>
          <w:rtl/>
        </w:rPr>
        <w:t>ת; על עיריית אשקלון למפות את אוכלוסייתה ולתת מענה לפערי המיגון שבתחומה</w:t>
      </w:r>
      <w:r w:rsidRPr="00014C4D">
        <w:rPr>
          <w:rFonts w:ascii="David" w:eastAsia="Times New Roman" w:hAnsi="David" w:hint="cs"/>
          <w:b/>
          <w:b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sz w:val="24"/>
          <w:rtl/>
        </w:rPr>
        <w:t>פקע"ר מסר בתשובתו כי הגרסה של תמי"ר</w:t>
      </w:r>
      <w:r w:rsidRPr="00014C4D">
        <w:rPr>
          <w:rFonts w:ascii="David" w:eastAsia="Times New Roman" w:hAnsi="David" w:hint="cs"/>
          <w:sz w:val="24"/>
          <w:rtl/>
        </w:rPr>
        <w:t xml:space="preserve"> מ-</w:t>
      </w:r>
      <w:r w:rsidRPr="00014C4D">
        <w:rPr>
          <w:rFonts w:ascii="David" w:eastAsia="Times New Roman" w:hAnsi="David"/>
          <w:sz w:val="24"/>
          <w:rtl/>
        </w:rPr>
        <w:t>2015 כוללת שני שלבים - מיפוי המיגון (שלב א') וגיבוש מענה לפערי המיגון (שלב ב'). שלב א' הושלם בכלל הרשויות ו</w:t>
      </w:r>
      <w:r w:rsidRPr="00014C4D">
        <w:rPr>
          <w:rFonts w:ascii="David" w:eastAsia="Times New Roman" w:hAnsi="David" w:hint="cs"/>
          <w:sz w:val="24"/>
          <w:rtl/>
        </w:rPr>
        <w:t xml:space="preserve">המיפוי </w:t>
      </w:r>
      <w:r w:rsidRPr="00014C4D">
        <w:rPr>
          <w:rFonts w:ascii="David" w:eastAsia="Times New Roman" w:hAnsi="David"/>
          <w:sz w:val="24"/>
          <w:rtl/>
        </w:rPr>
        <w:t xml:space="preserve">מעודכן באופן תדיר על ידי מחוזות פקע"ר בשיתוף הרשויות המקומיות. שלב ב' - </w:t>
      </w:r>
      <w:r w:rsidRPr="00014C4D">
        <w:rPr>
          <w:rFonts w:ascii="David" w:eastAsia="Times New Roman" w:hAnsi="David" w:hint="cs"/>
          <w:sz w:val="24"/>
          <w:rtl/>
        </w:rPr>
        <w:t>לעת עתה</w:t>
      </w:r>
      <w:r w:rsidRPr="00014C4D">
        <w:rPr>
          <w:rFonts w:ascii="David" w:eastAsia="Times New Roman" w:hAnsi="David"/>
          <w:sz w:val="24"/>
          <w:rtl/>
        </w:rPr>
        <w:t xml:space="preserve"> נדרשו הרשויות לבנות ת</w:t>
      </w:r>
      <w:r w:rsidRPr="00014C4D">
        <w:rPr>
          <w:rFonts w:ascii="David" w:eastAsia="Times New Roman" w:hAnsi="David" w:hint="cs"/>
          <w:sz w:val="24"/>
          <w:rtl/>
        </w:rPr>
        <w:t>ו</w:t>
      </w:r>
      <w:r w:rsidRPr="00014C4D">
        <w:rPr>
          <w:rFonts w:ascii="David" w:eastAsia="Times New Roman" w:hAnsi="David"/>
          <w:sz w:val="24"/>
          <w:rtl/>
        </w:rPr>
        <w:t xml:space="preserve">כנית </w:t>
      </w:r>
      <w:r w:rsidRPr="00014C4D">
        <w:rPr>
          <w:rFonts w:ascii="David" w:eastAsia="Times New Roman" w:hAnsi="David" w:hint="cs"/>
          <w:sz w:val="24"/>
          <w:rtl/>
        </w:rPr>
        <w:t>ל</w:t>
      </w:r>
      <w:r w:rsidRPr="00014C4D">
        <w:rPr>
          <w:rFonts w:ascii="David" w:eastAsia="Times New Roman" w:hAnsi="David"/>
          <w:sz w:val="24"/>
          <w:rtl/>
        </w:rPr>
        <w:t>שיבוץ האוכלוס</w:t>
      </w:r>
      <w:r w:rsidRPr="00014C4D">
        <w:rPr>
          <w:rFonts w:ascii="David" w:eastAsia="Times New Roman" w:hAnsi="David" w:hint="cs"/>
          <w:sz w:val="24"/>
          <w:rtl/>
        </w:rPr>
        <w:t>י</w:t>
      </w:r>
      <w:r w:rsidRPr="00014C4D">
        <w:rPr>
          <w:rFonts w:ascii="David" w:eastAsia="Times New Roman" w:hAnsi="David"/>
          <w:sz w:val="24"/>
          <w:rtl/>
        </w:rPr>
        <w:t>יה שהוגדרה בשלב א׳</w:t>
      </w:r>
      <w:r w:rsidRPr="00014C4D">
        <w:rPr>
          <w:rFonts w:ascii="David" w:eastAsia="Times New Roman" w:hAnsi="David" w:hint="cs"/>
          <w:sz w:val="24"/>
          <w:rtl/>
        </w:rPr>
        <w:t xml:space="preserve"> - </w:t>
      </w:r>
      <w:r w:rsidRPr="00014C4D">
        <w:rPr>
          <w:rFonts w:ascii="David" w:eastAsia="Times New Roman" w:hAnsi="David"/>
          <w:sz w:val="24"/>
          <w:rtl/>
        </w:rPr>
        <w:t>שלב המיפוי</w:t>
      </w:r>
      <w:r w:rsidRPr="00014C4D">
        <w:rPr>
          <w:rFonts w:ascii="David" w:eastAsia="Times New Roman" w:hAnsi="David" w:hint="cs"/>
          <w:sz w:val="24"/>
          <w:rtl/>
        </w:rPr>
        <w:t xml:space="preserve"> -</w:t>
      </w:r>
      <w:r w:rsidRPr="00014C4D">
        <w:rPr>
          <w:rFonts w:ascii="David" w:eastAsia="Times New Roman" w:hAnsi="David"/>
          <w:sz w:val="24"/>
          <w:rtl/>
        </w:rPr>
        <w:t xml:space="preserve"> כחסרת מענה מיגוני, </w:t>
      </w:r>
      <w:r w:rsidRPr="00014C4D">
        <w:rPr>
          <w:rFonts w:ascii="David" w:eastAsia="Times New Roman" w:hAnsi="David" w:hint="cs"/>
          <w:sz w:val="24"/>
          <w:rtl/>
        </w:rPr>
        <w:t xml:space="preserve">באתרי מיגון </w:t>
      </w:r>
      <w:r w:rsidRPr="00014C4D">
        <w:rPr>
          <w:rFonts w:ascii="David" w:eastAsia="Times New Roman" w:hAnsi="David"/>
          <w:sz w:val="24"/>
          <w:rtl/>
        </w:rPr>
        <w:t xml:space="preserve">ציבוריים </w:t>
      </w:r>
      <w:r w:rsidRPr="00014C4D">
        <w:rPr>
          <w:rFonts w:ascii="David" w:eastAsia="Times New Roman" w:hAnsi="David" w:hint="cs"/>
          <w:sz w:val="24"/>
          <w:rtl/>
        </w:rPr>
        <w:t xml:space="preserve">בשטח השיפוט של </w:t>
      </w:r>
      <w:r w:rsidRPr="00014C4D">
        <w:rPr>
          <w:rFonts w:ascii="David" w:eastAsia="Times New Roman" w:hAnsi="David"/>
          <w:sz w:val="24"/>
          <w:rtl/>
        </w:rPr>
        <w:t>הרשות.</w:t>
      </w:r>
      <w:r w:rsidRPr="00014C4D">
        <w:rPr>
          <w:rFonts w:ascii="David" w:eastAsia="Times New Roman" w:hAnsi="David" w:hint="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עוד מסר פקע"ר בתשובתו כי </w:t>
      </w:r>
      <w:r w:rsidRPr="00014C4D">
        <w:rPr>
          <w:rFonts w:ascii="David" w:eastAsia="Times New Roman" w:hAnsi="David"/>
          <w:sz w:val="24"/>
          <w:rtl/>
        </w:rPr>
        <w:t>בשנת 2018 החל</w:t>
      </w:r>
      <w:r w:rsidRPr="00014C4D">
        <w:rPr>
          <w:rFonts w:ascii="David" w:eastAsia="Times New Roman" w:hAnsi="David" w:hint="cs"/>
          <w:sz w:val="24"/>
          <w:rtl/>
        </w:rPr>
        <w:t>י</w:t>
      </w:r>
      <w:r w:rsidRPr="00014C4D">
        <w:rPr>
          <w:rFonts w:ascii="David" w:eastAsia="Times New Roman" w:hAnsi="David"/>
          <w:sz w:val="24"/>
          <w:rtl/>
        </w:rPr>
        <w:t xml:space="preserve">ט </w:t>
      </w:r>
      <w:r w:rsidRPr="00014C4D">
        <w:rPr>
          <w:rFonts w:ascii="David" w:eastAsia="Times New Roman" w:hAnsi="David" w:hint="cs"/>
          <w:sz w:val="24"/>
          <w:rtl/>
        </w:rPr>
        <w:t>פקע"ר</w:t>
      </w:r>
      <w:r w:rsidRPr="00014C4D">
        <w:rPr>
          <w:rFonts w:ascii="David" w:eastAsia="Times New Roman" w:hAnsi="David"/>
          <w:sz w:val="24"/>
          <w:rtl/>
        </w:rPr>
        <w:t xml:space="preserve"> להקפיא את ביצועו של שלב ב׳ (גיבוש המענה </w:t>
      </w:r>
      <w:r w:rsidRPr="00014C4D">
        <w:rPr>
          <w:rFonts w:ascii="David" w:eastAsia="Times New Roman" w:hAnsi="David" w:hint="cs"/>
          <w:sz w:val="24"/>
          <w:rtl/>
        </w:rPr>
        <w:t>על ידי</w:t>
      </w:r>
      <w:r w:rsidRPr="00014C4D">
        <w:rPr>
          <w:rFonts w:ascii="David" w:eastAsia="Times New Roman" w:hAnsi="David"/>
          <w:sz w:val="24"/>
          <w:rtl/>
        </w:rPr>
        <w:t xml:space="preserve"> הרשויות המקומיות), ולא להמשיך להטמיע</w:t>
      </w:r>
      <w:r w:rsidRPr="00014C4D">
        <w:rPr>
          <w:rFonts w:ascii="David" w:eastAsia="Times New Roman" w:hAnsi="David" w:hint="cs"/>
          <w:sz w:val="24"/>
          <w:rtl/>
        </w:rPr>
        <w:t>ו</w:t>
      </w:r>
      <w:r w:rsidRPr="00014C4D">
        <w:rPr>
          <w:rFonts w:ascii="David" w:eastAsia="Times New Roman" w:hAnsi="David"/>
          <w:sz w:val="24"/>
          <w:rtl/>
        </w:rPr>
        <w:t xml:space="preserve"> באופן רחב ויזום ברשויות המקומיות, כפי שבוצע בשנים שקדמו. החלטה זו נבעה מ</w:t>
      </w:r>
      <w:r w:rsidRPr="00014C4D">
        <w:rPr>
          <w:rFonts w:ascii="David" w:eastAsia="Times New Roman" w:hAnsi="David" w:hint="cs"/>
          <w:sz w:val="24"/>
          <w:rtl/>
        </w:rPr>
        <w:t>קשיים</w:t>
      </w:r>
      <w:r w:rsidRPr="00014C4D">
        <w:rPr>
          <w:rFonts w:ascii="David" w:eastAsia="Times New Roman" w:hAnsi="David"/>
          <w:sz w:val="24"/>
          <w:rtl/>
        </w:rPr>
        <w:t xml:space="preserve"> בתהליך גיבוש ת</w:t>
      </w:r>
      <w:r w:rsidRPr="00014C4D">
        <w:rPr>
          <w:rFonts w:ascii="David" w:eastAsia="Times New Roman" w:hAnsi="David" w:hint="cs"/>
          <w:sz w:val="24"/>
          <w:rtl/>
        </w:rPr>
        <w:t>ו</w:t>
      </w:r>
      <w:r w:rsidRPr="00014C4D">
        <w:rPr>
          <w:rFonts w:ascii="David" w:eastAsia="Times New Roman" w:hAnsi="David"/>
          <w:sz w:val="24"/>
          <w:rtl/>
        </w:rPr>
        <w:t>כנית המענה</w:t>
      </w:r>
      <w:r w:rsidRPr="00014C4D">
        <w:rPr>
          <w:rFonts w:ascii="David" w:eastAsia="Times New Roman" w:hAnsi="David" w:hint="cs"/>
          <w:sz w:val="24"/>
          <w:rtl/>
        </w:rPr>
        <w:t xml:space="preserve"> של הרשויות</w:t>
      </w:r>
      <w:r w:rsidRPr="00014C4D">
        <w:rPr>
          <w:rFonts w:ascii="David" w:eastAsia="Times New Roman" w:hAnsi="David"/>
          <w:sz w:val="24"/>
          <w:rtl/>
        </w:rPr>
        <w:t xml:space="preserve"> ו</w:t>
      </w:r>
      <w:r w:rsidRPr="00014C4D">
        <w:rPr>
          <w:rFonts w:ascii="David" w:eastAsia="Times New Roman" w:hAnsi="David" w:hint="cs"/>
          <w:sz w:val="24"/>
          <w:rtl/>
        </w:rPr>
        <w:t>מ</w:t>
      </w:r>
      <w:r w:rsidRPr="00014C4D">
        <w:rPr>
          <w:rFonts w:ascii="David" w:eastAsia="Times New Roman" w:hAnsi="David"/>
          <w:sz w:val="24"/>
          <w:rtl/>
        </w:rPr>
        <w:t>פערים ש</w:t>
      </w:r>
      <w:r w:rsidRPr="00014C4D">
        <w:rPr>
          <w:rFonts w:ascii="David" w:eastAsia="Times New Roman" w:hAnsi="David" w:hint="cs"/>
          <w:sz w:val="24"/>
          <w:rtl/>
        </w:rPr>
        <w:t>ה</w:t>
      </w:r>
      <w:r w:rsidRPr="00014C4D">
        <w:rPr>
          <w:rFonts w:ascii="David" w:eastAsia="Times New Roman" w:hAnsi="David"/>
          <w:sz w:val="24"/>
          <w:rtl/>
        </w:rPr>
        <w:t>עלו הרשויות</w:t>
      </w:r>
      <w:r w:rsidRPr="00014C4D">
        <w:rPr>
          <w:rFonts w:ascii="David" w:eastAsia="Times New Roman" w:hAnsi="David" w:hint="cs"/>
          <w:sz w:val="24"/>
          <w:rtl/>
        </w:rPr>
        <w:t>,</w:t>
      </w:r>
      <w:r w:rsidRPr="00014C4D">
        <w:rPr>
          <w:rFonts w:ascii="David" w:eastAsia="Times New Roman" w:hAnsi="David"/>
          <w:sz w:val="24"/>
          <w:rtl/>
        </w:rPr>
        <w:t xml:space="preserve"> שבא</w:t>
      </w:r>
      <w:r w:rsidRPr="00014C4D">
        <w:rPr>
          <w:rFonts w:ascii="David" w:eastAsia="Times New Roman" w:hAnsi="David" w:hint="cs"/>
          <w:sz w:val="24"/>
          <w:rtl/>
        </w:rPr>
        <w:t>ו</w:t>
      </w:r>
      <w:r w:rsidRPr="00014C4D">
        <w:rPr>
          <w:rFonts w:ascii="David" w:eastAsia="Times New Roman" w:hAnsi="David"/>
          <w:sz w:val="24"/>
          <w:rtl/>
        </w:rPr>
        <w:t xml:space="preserve"> לידי ביטוי בכמה אופנים. </w:t>
      </w:r>
      <w:r w:rsidRPr="00014C4D">
        <w:rPr>
          <w:rFonts w:ascii="David" w:eastAsia="Times New Roman" w:hAnsi="David" w:hint="cs"/>
          <w:sz w:val="24"/>
          <w:rtl/>
        </w:rPr>
        <w:t>ראשית</w:t>
      </w:r>
      <w:r w:rsidRPr="00014C4D">
        <w:rPr>
          <w:rFonts w:ascii="David" w:eastAsia="Times New Roman" w:hAnsi="David"/>
          <w:sz w:val="24"/>
          <w:rtl/>
        </w:rPr>
        <w:t xml:space="preserve">, </w:t>
      </w:r>
      <w:r w:rsidRPr="00014C4D">
        <w:rPr>
          <w:rFonts w:ascii="David" w:eastAsia="Times New Roman" w:hAnsi="David" w:hint="cs"/>
          <w:sz w:val="24"/>
          <w:rtl/>
        </w:rPr>
        <w:t>ה</w:t>
      </w:r>
      <w:r w:rsidRPr="00014C4D">
        <w:rPr>
          <w:rFonts w:ascii="David" w:eastAsia="Times New Roman" w:hAnsi="David"/>
          <w:sz w:val="24"/>
          <w:rtl/>
        </w:rPr>
        <w:t xml:space="preserve">שונות </w:t>
      </w:r>
      <w:r w:rsidRPr="00014C4D">
        <w:rPr>
          <w:rFonts w:ascii="David" w:eastAsia="Times New Roman" w:hAnsi="David" w:hint="cs"/>
          <w:sz w:val="24"/>
          <w:rtl/>
        </w:rPr>
        <w:t>ה</w:t>
      </w:r>
      <w:r w:rsidRPr="00014C4D">
        <w:rPr>
          <w:rFonts w:ascii="David" w:eastAsia="Times New Roman" w:hAnsi="David"/>
          <w:sz w:val="24"/>
          <w:rtl/>
        </w:rPr>
        <w:t>גדולה בין הרשויות השפיעה על אפקטיביות המנחה</w:t>
      </w:r>
      <w:r w:rsidRPr="00014C4D">
        <w:rPr>
          <w:rFonts w:ascii="David" w:eastAsia="Times New Roman" w:hAnsi="David" w:hint="cs"/>
          <w:sz w:val="24"/>
          <w:rtl/>
        </w:rPr>
        <w:t xml:space="preserve"> למיגון</w:t>
      </w:r>
      <w:r w:rsidRPr="00014C4D">
        <w:rPr>
          <w:rFonts w:ascii="David" w:eastAsia="Times New Roman" w:hAnsi="David"/>
          <w:sz w:val="24"/>
          <w:rtl/>
        </w:rPr>
        <w:t>. שנית, התברר כי מרבית הרשויות התקשו בגיבוש מענה</w:t>
      </w:r>
      <w:r w:rsidRPr="00014C4D">
        <w:rPr>
          <w:rFonts w:ascii="David" w:eastAsia="Times New Roman" w:hAnsi="David" w:hint="cs"/>
          <w:sz w:val="24"/>
          <w:rtl/>
          <w:lang w:bidi="ar-SA"/>
        </w:rPr>
        <w:t xml:space="preserve"> </w:t>
      </w:r>
      <w:r w:rsidRPr="00014C4D">
        <w:rPr>
          <w:rFonts w:ascii="David" w:eastAsia="Times New Roman" w:hAnsi="David"/>
          <w:sz w:val="24"/>
          <w:rtl/>
        </w:rPr>
        <w:t xml:space="preserve">באופן שהוגדר במנחה </w:t>
      </w:r>
      <w:r w:rsidRPr="00014C4D">
        <w:rPr>
          <w:rFonts w:ascii="David" w:eastAsia="Times New Roman" w:hAnsi="David" w:hint="cs"/>
          <w:sz w:val="24"/>
          <w:rtl/>
        </w:rPr>
        <w:t xml:space="preserve">למיגון </w:t>
      </w:r>
      <w:r w:rsidRPr="00014C4D">
        <w:rPr>
          <w:rFonts w:ascii="David" w:eastAsia="Times New Roman" w:hAnsi="David"/>
          <w:sz w:val="24"/>
          <w:rtl/>
        </w:rPr>
        <w:t xml:space="preserve">וברמת </w:t>
      </w:r>
      <w:r w:rsidRPr="00014C4D">
        <w:rPr>
          <w:rFonts w:ascii="David" w:eastAsia="Times New Roman" w:hAnsi="David" w:hint="cs"/>
          <w:sz w:val="24"/>
          <w:rtl/>
        </w:rPr>
        <w:t>הפירוט</w:t>
      </w:r>
      <w:r w:rsidRPr="00014C4D">
        <w:rPr>
          <w:rFonts w:ascii="David" w:eastAsia="Times New Roman" w:hAnsi="David"/>
          <w:sz w:val="24"/>
          <w:rtl/>
        </w:rPr>
        <w:t xml:space="preserve"> הנדרשת, </w:t>
      </w:r>
      <w:r w:rsidRPr="00014C4D">
        <w:rPr>
          <w:rFonts w:ascii="David" w:eastAsia="Times New Roman" w:hAnsi="David" w:hint="cs"/>
          <w:sz w:val="24"/>
          <w:rtl/>
        </w:rPr>
        <w:t xml:space="preserve">והדבר </w:t>
      </w:r>
      <w:r w:rsidRPr="00014C4D">
        <w:rPr>
          <w:rFonts w:ascii="David" w:eastAsia="Times New Roman" w:hAnsi="David"/>
          <w:sz w:val="24"/>
          <w:rtl/>
        </w:rPr>
        <w:t>הפך את הת</w:t>
      </w:r>
      <w:r w:rsidRPr="00014C4D">
        <w:rPr>
          <w:rFonts w:ascii="David" w:eastAsia="Times New Roman" w:hAnsi="David" w:hint="cs"/>
          <w:sz w:val="24"/>
          <w:rtl/>
        </w:rPr>
        <w:t>ו</w:t>
      </w:r>
      <w:r w:rsidRPr="00014C4D">
        <w:rPr>
          <w:rFonts w:ascii="David" w:eastAsia="Times New Roman" w:hAnsi="David"/>
          <w:sz w:val="24"/>
          <w:rtl/>
        </w:rPr>
        <w:t>כנית ללא</w:t>
      </w:r>
      <w:r w:rsidRPr="00014C4D">
        <w:rPr>
          <w:rFonts w:ascii="David" w:eastAsia="Times New Roman" w:hAnsi="David" w:hint="cs"/>
          <w:sz w:val="24"/>
          <w:rtl/>
        </w:rPr>
        <w:t>-</w:t>
      </w:r>
      <w:r w:rsidRPr="00014C4D">
        <w:rPr>
          <w:rFonts w:ascii="David" w:eastAsia="Times New Roman" w:hAnsi="David"/>
          <w:sz w:val="24"/>
          <w:rtl/>
        </w:rPr>
        <w:t>ישימה.</w:t>
      </w:r>
      <w:r w:rsidRPr="00014C4D">
        <w:rPr>
          <w:rFonts w:ascii="David" w:eastAsia="Times New Roman" w:hAnsi="David" w:hint="cs"/>
          <w:sz w:val="24"/>
          <w:rtl/>
        </w:rPr>
        <w:t xml:space="preserve"> </w:t>
      </w:r>
      <w:r w:rsidRPr="00014C4D">
        <w:rPr>
          <w:rFonts w:ascii="David" w:eastAsia="Times New Roman" w:hAnsi="David"/>
          <w:sz w:val="24"/>
          <w:rtl/>
        </w:rPr>
        <w:t>לאחר הקפאת שלב ב׳, כתיבת ת</w:t>
      </w:r>
      <w:r w:rsidRPr="00014C4D">
        <w:rPr>
          <w:rFonts w:ascii="David" w:eastAsia="Times New Roman" w:hAnsi="David" w:hint="cs"/>
          <w:sz w:val="24"/>
          <w:rtl/>
        </w:rPr>
        <w:t>ו</w:t>
      </w:r>
      <w:r w:rsidRPr="00014C4D">
        <w:rPr>
          <w:rFonts w:ascii="David" w:eastAsia="Times New Roman" w:hAnsi="David"/>
          <w:sz w:val="24"/>
          <w:rtl/>
        </w:rPr>
        <w:t>כנית מיגון רשותית הוגדרה וולונטרית</w:t>
      </w:r>
      <w:r w:rsidRPr="00014C4D">
        <w:rPr>
          <w:rFonts w:ascii="David" w:eastAsia="Times New Roman" w:hAnsi="David" w:hint="cs"/>
          <w:sz w:val="24"/>
          <w:rtl/>
        </w:rPr>
        <w:t>,</w:t>
      </w:r>
      <w:r w:rsidRPr="00014C4D">
        <w:rPr>
          <w:rFonts w:ascii="David" w:eastAsia="Times New Roman" w:hAnsi="David"/>
          <w:sz w:val="24"/>
          <w:rtl/>
        </w:rPr>
        <w:t xml:space="preserve"> </w:t>
      </w:r>
      <w:r w:rsidRPr="00014C4D">
        <w:rPr>
          <w:rFonts w:ascii="David" w:eastAsia="Times New Roman" w:hAnsi="David" w:hint="cs"/>
          <w:sz w:val="24"/>
          <w:rtl/>
        </w:rPr>
        <w:t>ופקע"ר</w:t>
      </w:r>
      <w:r w:rsidRPr="00014C4D">
        <w:rPr>
          <w:rFonts w:ascii="David" w:eastAsia="Times New Roman" w:hAnsi="David"/>
          <w:sz w:val="24"/>
          <w:rtl/>
        </w:rPr>
        <w:t xml:space="preserve"> קבע כי לא </w:t>
      </w:r>
      <w:r w:rsidRPr="00014C4D">
        <w:rPr>
          <w:rFonts w:ascii="David" w:eastAsia="Times New Roman" w:hAnsi="David" w:hint="cs"/>
          <w:sz w:val="24"/>
          <w:rtl/>
        </w:rPr>
        <w:t xml:space="preserve">יאושרו </w:t>
      </w:r>
      <w:r w:rsidRPr="00014C4D">
        <w:rPr>
          <w:rFonts w:ascii="David" w:eastAsia="Times New Roman" w:hAnsi="David"/>
          <w:sz w:val="24"/>
          <w:rtl/>
        </w:rPr>
        <w:t>ת</w:t>
      </w:r>
      <w:r w:rsidRPr="00014C4D">
        <w:rPr>
          <w:rFonts w:ascii="David" w:eastAsia="Times New Roman" w:hAnsi="David" w:hint="cs"/>
          <w:sz w:val="24"/>
          <w:rtl/>
        </w:rPr>
        <w:t>ו</w:t>
      </w:r>
      <w:r w:rsidRPr="00014C4D">
        <w:rPr>
          <w:rFonts w:ascii="David" w:eastAsia="Times New Roman" w:hAnsi="David"/>
          <w:sz w:val="24"/>
          <w:rtl/>
        </w:rPr>
        <w:t xml:space="preserve">כניות תמי״ר של הרשויות המקומיות. רשות </w:t>
      </w:r>
      <w:r w:rsidRPr="00014C4D">
        <w:rPr>
          <w:rFonts w:ascii="David" w:eastAsia="Times New Roman" w:hAnsi="David"/>
          <w:sz w:val="24"/>
          <w:rtl/>
        </w:rPr>
        <w:lastRenderedPageBreak/>
        <w:t xml:space="preserve">מקומית שהחליטה לאמץ את תפיסת המיגון הרשותית כחלק מתפיסת ההפעלה בחירום, </w:t>
      </w:r>
      <w:r w:rsidRPr="00014C4D">
        <w:rPr>
          <w:rFonts w:ascii="David" w:eastAsia="Times New Roman" w:hAnsi="David" w:hint="cs"/>
          <w:sz w:val="24"/>
          <w:rtl/>
        </w:rPr>
        <w:t>יכלה להיעזר ב</w:t>
      </w:r>
      <w:r w:rsidRPr="00014C4D">
        <w:rPr>
          <w:rFonts w:ascii="David" w:eastAsia="Times New Roman" w:hAnsi="David"/>
          <w:sz w:val="24"/>
          <w:rtl/>
        </w:rPr>
        <w:t xml:space="preserve">עקרונות </w:t>
      </w:r>
      <w:r w:rsidRPr="00014C4D">
        <w:rPr>
          <w:rFonts w:ascii="David" w:eastAsia="Times New Roman" w:hAnsi="David" w:hint="cs"/>
          <w:sz w:val="24"/>
          <w:rtl/>
        </w:rPr>
        <w:t>ה</w:t>
      </w:r>
      <w:r w:rsidRPr="00014C4D">
        <w:rPr>
          <w:rFonts w:ascii="David" w:eastAsia="Times New Roman" w:hAnsi="David"/>
          <w:sz w:val="24"/>
          <w:rtl/>
        </w:rPr>
        <w:t xml:space="preserve">מנחה </w:t>
      </w:r>
      <w:r w:rsidRPr="00014C4D">
        <w:rPr>
          <w:rFonts w:ascii="David" w:eastAsia="Times New Roman" w:hAnsi="David" w:hint="cs"/>
          <w:sz w:val="24"/>
          <w:rtl/>
        </w:rPr>
        <w:t xml:space="preserve">למיגון </w:t>
      </w:r>
      <w:r w:rsidRPr="00014C4D">
        <w:rPr>
          <w:rFonts w:ascii="David" w:eastAsia="Times New Roman" w:hAnsi="David"/>
          <w:sz w:val="24"/>
          <w:rtl/>
        </w:rPr>
        <w:t>המקצועי ו</w:t>
      </w:r>
      <w:r w:rsidRPr="00014C4D">
        <w:rPr>
          <w:rFonts w:ascii="David" w:eastAsia="Times New Roman" w:hAnsi="David" w:hint="cs"/>
          <w:sz w:val="24"/>
          <w:rtl/>
        </w:rPr>
        <w:t xml:space="preserve">לקבל </w:t>
      </w:r>
      <w:r w:rsidRPr="00014C4D">
        <w:rPr>
          <w:rFonts w:ascii="David" w:eastAsia="Times New Roman" w:hAnsi="David"/>
          <w:sz w:val="24"/>
          <w:rtl/>
        </w:rPr>
        <w:t xml:space="preserve">סיוע </w:t>
      </w:r>
      <w:r w:rsidRPr="00014C4D">
        <w:rPr>
          <w:rFonts w:ascii="David" w:eastAsia="Times New Roman" w:hAnsi="David" w:hint="cs"/>
          <w:sz w:val="24"/>
          <w:rtl/>
        </w:rPr>
        <w:t>מ</w:t>
      </w:r>
      <w:r w:rsidRPr="00014C4D">
        <w:rPr>
          <w:rFonts w:ascii="David" w:eastAsia="Times New Roman" w:hAnsi="David"/>
          <w:sz w:val="24"/>
          <w:rtl/>
        </w:rPr>
        <w:t>המחוז הרלוונטי ב</w:t>
      </w:r>
      <w:r w:rsidRPr="00014C4D">
        <w:rPr>
          <w:rFonts w:ascii="David" w:eastAsia="Times New Roman" w:hAnsi="David" w:hint="cs"/>
          <w:sz w:val="24"/>
          <w:rtl/>
        </w:rPr>
        <w:t>פקע"ר.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יצוין כי פקע"ר לא העביר למשרד מבקר המדינה אסמכתאות המבססות את תשובתו אף שהתבקש, וכי הוא השיב כי "לאור תחלופת בעלי תפקידים לא נמצא התיעוד הרלוונטי". מכל מקום, על פי תיק האב לרשויות המקומיות שעודכן כאמור לאחרונה ביוני 2021, עדיין נדרשות הרשויות המקומיות לפרט בתמי"ר את תכנון המענה </w:t>
      </w:r>
      <w:r w:rsidRPr="00014C4D">
        <w:rPr>
          <w:rFonts w:ascii="David" w:eastAsia="Times New Roman" w:hAnsi="David"/>
          <w:sz w:val="24"/>
          <w:rtl/>
        </w:rPr>
        <w:t>למיגון האוכלוסייה בשעת חירום</w:t>
      </w:r>
      <w:r w:rsidRPr="00014C4D">
        <w:rPr>
          <w:rFonts w:ascii="David" w:eastAsia="Times New Roman" w:hAnsi="David" w:hint="cs"/>
          <w:sz w:val="24"/>
          <w:rtl/>
        </w:rPr>
        <w:t xml:space="preserve">. יתרה מזאת, בביקורת עלה כי אף אחת מהרשויות המקומיות שנבדקו אינה מכירה את העדכון למנחה למיגון מ-2015 ואינה יודעת על החלטת פקע"ר על הקפאת שלב ב' בתוכנית המיגון.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b/>
          <w:bCs/>
          <w:sz w:val="24"/>
          <w:rtl/>
        </w:rPr>
        <w:t xml:space="preserve">הטענה </w:t>
      </w:r>
      <w:r w:rsidRPr="00014C4D">
        <w:rPr>
          <w:rFonts w:ascii="David" w:eastAsia="Times New Roman" w:hAnsi="David" w:hint="eastAsia"/>
          <w:b/>
          <w:bCs/>
          <w:sz w:val="24"/>
          <w:rtl/>
        </w:rPr>
        <w:t>של</w:t>
      </w:r>
      <w:r w:rsidRPr="00014C4D">
        <w:rPr>
          <w:rFonts w:ascii="David" w:eastAsia="Times New Roman" w:hAnsi="David"/>
          <w:b/>
          <w:bCs/>
          <w:sz w:val="24"/>
          <w:rtl/>
        </w:rPr>
        <w:t xml:space="preserve"> פקע"ר כי לא נמצא תיעוד רלוונטי עקב תחלופת בעלי תפקידים מעידה על כשל ארגוני בהעברת ידע ובשמירת </w:t>
      </w:r>
      <w:r w:rsidRPr="00014C4D">
        <w:rPr>
          <w:rFonts w:ascii="David" w:eastAsia="Times New Roman" w:hAnsi="David" w:hint="cs"/>
          <w:b/>
          <w:bCs/>
          <w:sz w:val="24"/>
          <w:rtl/>
        </w:rPr>
        <w:t>מסמכים ואינה יכולה להתקבל</w:t>
      </w:r>
      <w:r w:rsidRPr="00014C4D">
        <w:rPr>
          <w:rFonts w:ascii="David" w:eastAsia="Times New Roman" w:hAnsi="David" w:hint="cs"/>
          <w:sz w:val="24"/>
          <w:rtl/>
        </w:rPr>
        <w:t xml:space="preserve">. </w:t>
      </w:r>
      <w:r w:rsidRPr="00014C4D">
        <w:rPr>
          <w:rFonts w:ascii="David" w:eastAsia="Times New Roman" w:hAnsi="David" w:hint="cs"/>
          <w:b/>
          <w:bCs/>
          <w:sz w:val="24"/>
          <w:rtl/>
        </w:rPr>
        <w:t xml:space="preserve">על פקע"ר </w:t>
      </w:r>
      <w:r w:rsidRPr="00014C4D">
        <w:rPr>
          <w:rFonts w:ascii="David" w:eastAsia="Times New Roman" w:hAnsi="David"/>
          <w:b/>
          <w:bCs/>
          <w:sz w:val="24"/>
          <w:rtl/>
        </w:rPr>
        <w:t>להקפיד על הליכי העברת ידע מסודרים ולהטמיע שיטות לשמירת מסמכים ורשומות קבועה, שאינן תלויות ב</w:t>
      </w:r>
      <w:r w:rsidRPr="00014C4D">
        <w:rPr>
          <w:rFonts w:ascii="David" w:eastAsia="Times New Roman" w:hAnsi="David" w:hint="cs"/>
          <w:b/>
          <w:bCs/>
          <w:sz w:val="24"/>
          <w:rtl/>
        </w:rPr>
        <w:t>בעלי תפקידים</w:t>
      </w:r>
      <w:r w:rsidRPr="00014C4D">
        <w:rPr>
          <w:rFonts w:ascii="David" w:eastAsia="Times New Roman" w:hAnsi="David"/>
          <w:b/>
          <w:bCs/>
          <w:sz w:val="24"/>
          <w:rtl/>
        </w:rPr>
        <w:t xml:space="preserve"> ספציפיים.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Pr>
      </w:pPr>
      <w:r w:rsidRPr="00014C4D">
        <w:rPr>
          <w:rFonts w:ascii="David" w:eastAsia="Times New Roman" w:hAnsi="David" w:hint="cs"/>
          <w:b/>
          <w:bCs/>
          <w:sz w:val="24"/>
          <w:rtl/>
        </w:rPr>
        <w:t>במקום להתמודד עם הכשלים ב</w:t>
      </w:r>
      <w:r w:rsidRPr="00014C4D">
        <w:rPr>
          <w:rFonts w:ascii="David" w:eastAsia="Times New Roman" w:hAnsi="David"/>
          <w:b/>
          <w:bCs/>
          <w:sz w:val="24"/>
          <w:rtl/>
        </w:rPr>
        <w:t xml:space="preserve">גיבוש </w:t>
      </w:r>
      <w:r w:rsidRPr="00014C4D">
        <w:rPr>
          <w:rFonts w:ascii="David" w:eastAsia="Times New Roman" w:hAnsi="David" w:hint="cs"/>
          <w:b/>
          <w:bCs/>
          <w:sz w:val="24"/>
          <w:rtl/>
        </w:rPr>
        <w:t>ה</w:t>
      </w:r>
      <w:r w:rsidRPr="00014C4D">
        <w:rPr>
          <w:rFonts w:ascii="David" w:eastAsia="Times New Roman" w:hAnsi="David"/>
          <w:b/>
          <w:bCs/>
          <w:sz w:val="24"/>
          <w:rtl/>
        </w:rPr>
        <w:t>מענה לפערי המיגון</w:t>
      </w:r>
      <w:r w:rsidRPr="00014C4D">
        <w:rPr>
          <w:rFonts w:ascii="David" w:eastAsia="Times New Roman" w:hAnsi="David" w:hint="cs"/>
          <w:b/>
          <w:bCs/>
          <w:sz w:val="24"/>
          <w:rtl/>
        </w:rPr>
        <w:t xml:space="preserve"> שעלו כבר בשנת 2018, בחר פקע"ר להקפיא את התוכנית </w:t>
      </w:r>
      <w:r w:rsidRPr="00014C4D">
        <w:rPr>
          <w:rFonts w:ascii="David" w:eastAsia="Times New Roman" w:hAnsi="David" w:hint="eastAsia"/>
          <w:b/>
          <w:bCs/>
          <w:sz w:val="24"/>
          <w:rtl/>
        </w:rPr>
        <w:t>בלי</w:t>
      </w:r>
      <w:r w:rsidRPr="00014C4D">
        <w:rPr>
          <w:rFonts w:ascii="David" w:eastAsia="Times New Roman" w:hAnsi="David"/>
          <w:b/>
          <w:bCs/>
          <w:sz w:val="24"/>
          <w:rtl/>
        </w:rPr>
        <w:t xml:space="preserve"> </w:t>
      </w:r>
      <w:r w:rsidRPr="00014C4D">
        <w:rPr>
          <w:rFonts w:ascii="David" w:eastAsia="Times New Roman" w:hAnsi="David" w:hint="eastAsia"/>
          <w:b/>
          <w:bCs/>
          <w:sz w:val="24"/>
          <w:rtl/>
        </w:rPr>
        <w:t>לדאוג</w:t>
      </w:r>
      <w:r w:rsidRPr="00014C4D">
        <w:rPr>
          <w:rFonts w:ascii="David" w:eastAsia="Times New Roman" w:hAnsi="David"/>
          <w:b/>
          <w:bCs/>
          <w:sz w:val="24"/>
          <w:rtl/>
        </w:rPr>
        <w:t xml:space="preserve"> </w:t>
      </w:r>
      <w:r w:rsidRPr="00014C4D">
        <w:rPr>
          <w:rFonts w:ascii="David" w:eastAsia="Times New Roman" w:hAnsi="David" w:hint="eastAsia"/>
          <w:b/>
          <w:bCs/>
          <w:sz w:val="24"/>
          <w:rtl/>
        </w:rPr>
        <w:t>לתוכנית</w:t>
      </w:r>
      <w:r w:rsidRPr="00014C4D">
        <w:rPr>
          <w:rFonts w:ascii="David" w:eastAsia="Times New Roman" w:hAnsi="David"/>
          <w:b/>
          <w:bCs/>
          <w:sz w:val="24"/>
          <w:rtl/>
        </w:rPr>
        <w:t xml:space="preserve"> </w:t>
      </w:r>
      <w:r w:rsidRPr="00014C4D">
        <w:rPr>
          <w:rFonts w:ascii="David" w:eastAsia="Times New Roman" w:hAnsi="David" w:hint="eastAsia"/>
          <w:b/>
          <w:bCs/>
          <w:sz w:val="24"/>
          <w:rtl/>
        </w:rPr>
        <w:t>חלופית</w:t>
      </w:r>
      <w:r w:rsidRPr="00014C4D">
        <w:rPr>
          <w:rFonts w:ascii="David" w:eastAsia="Times New Roman" w:hAnsi="David"/>
          <w:b/>
          <w:bCs/>
          <w:sz w:val="24"/>
          <w:rtl/>
        </w:rPr>
        <w:t xml:space="preserve"> </w:t>
      </w:r>
      <w:r w:rsidRPr="00014C4D">
        <w:rPr>
          <w:rFonts w:ascii="David" w:eastAsia="Times New Roman" w:hAnsi="David" w:hint="eastAsia"/>
          <w:b/>
          <w:bCs/>
          <w:sz w:val="24"/>
          <w:rtl/>
        </w:rPr>
        <w:t>למי</w:t>
      </w:r>
      <w:r w:rsidRPr="00014C4D">
        <w:rPr>
          <w:rFonts w:ascii="David" w:eastAsia="Times New Roman" w:hAnsi="David" w:hint="cs"/>
          <w:b/>
          <w:bCs/>
          <w:sz w:val="24"/>
          <w:rtl/>
        </w:rPr>
        <w:t xml:space="preserve">מוש </w:t>
      </w:r>
      <w:r w:rsidRPr="00014C4D">
        <w:rPr>
          <w:rFonts w:ascii="David" w:eastAsia="Times New Roman" w:hAnsi="David"/>
          <w:b/>
          <w:bCs/>
          <w:sz w:val="24"/>
          <w:rtl/>
        </w:rPr>
        <w:t>אחריות</w:t>
      </w:r>
      <w:r w:rsidRPr="00014C4D">
        <w:rPr>
          <w:rFonts w:ascii="David" w:eastAsia="Times New Roman" w:hAnsi="David" w:hint="cs"/>
          <w:b/>
          <w:bCs/>
          <w:sz w:val="24"/>
          <w:rtl/>
        </w:rPr>
        <w:t>ו</w:t>
      </w:r>
      <w:r w:rsidRPr="00014C4D">
        <w:rPr>
          <w:rFonts w:ascii="David" w:eastAsia="Times New Roman" w:hAnsi="David"/>
          <w:b/>
          <w:bCs/>
          <w:sz w:val="24"/>
          <w:rtl/>
        </w:rPr>
        <w:t xml:space="preserve"> ל</w:t>
      </w:r>
      <w:r w:rsidRPr="00014C4D">
        <w:rPr>
          <w:rFonts w:ascii="David" w:eastAsia="Times New Roman" w:hAnsi="David" w:hint="eastAsia"/>
          <w:b/>
          <w:bCs/>
          <w:sz w:val="24"/>
          <w:rtl/>
        </w:rPr>
        <w:t>הסדר</w:t>
      </w:r>
      <w:r w:rsidRPr="00014C4D">
        <w:rPr>
          <w:rFonts w:ascii="David" w:eastAsia="Times New Roman" w:hAnsi="David" w:hint="cs"/>
          <w:b/>
          <w:bCs/>
          <w:sz w:val="24"/>
          <w:rtl/>
        </w:rPr>
        <w:t>ה</w:t>
      </w:r>
      <w:r w:rsidRPr="00014C4D">
        <w:rPr>
          <w:rFonts w:ascii="David" w:eastAsia="Times New Roman" w:hAnsi="David"/>
          <w:b/>
          <w:bCs/>
          <w:sz w:val="24"/>
          <w:rtl/>
        </w:rPr>
        <w:t xml:space="preserve"> ולק</w:t>
      </w:r>
      <w:r w:rsidRPr="00014C4D">
        <w:rPr>
          <w:rFonts w:ascii="David" w:eastAsia="Times New Roman" w:hAnsi="David" w:hint="cs"/>
          <w:b/>
          <w:bCs/>
          <w:sz w:val="24"/>
          <w:rtl/>
        </w:rPr>
        <w:t>י</w:t>
      </w:r>
      <w:r w:rsidRPr="00014C4D">
        <w:rPr>
          <w:rFonts w:ascii="David" w:eastAsia="Times New Roman" w:hAnsi="David"/>
          <w:b/>
          <w:bCs/>
          <w:sz w:val="24"/>
          <w:rtl/>
        </w:rPr>
        <w:t>ד</w:t>
      </w:r>
      <w:r w:rsidRPr="00014C4D">
        <w:rPr>
          <w:rFonts w:ascii="David" w:eastAsia="Times New Roman" w:hAnsi="David" w:hint="cs"/>
          <w:b/>
          <w:bCs/>
          <w:sz w:val="24"/>
          <w:rtl/>
        </w:rPr>
        <w:t>ו</w:t>
      </w:r>
      <w:r w:rsidRPr="00014C4D">
        <w:rPr>
          <w:rFonts w:ascii="David" w:eastAsia="Times New Roman" w:hAnsi="David"/>
          <w:b/>
          <w:bCs/>
          <w:sz w:val="24"/>
          <w:rtl/>
        </w:rPr>
        <w:t xml:space="preserve">ם </w:t>
      </w:r>
      <w:r w:rsidRPr="00014C4D">
        <w:rPr>
          <w:rFonts w:ascii="David" w:eastAsia="Times New Roman" w:hAnsi="David" w:hint="cs"/>
          <w:b/>
          <w:bCs/>
          <w:sz w:val="24"/>
          <w:rtl/>
        </w:rPr>
        <w:t>של</w:t>
      </w:r>
      <w:r w:rsidRPr="00014C4D">
        <w:rPr>
          <w:rFonts w:ascii="David" w:eastAsia="Times New Roman" w:hAnsi="David"/>
          <w:b/>
          <w:bCs/>
          <w:sz w:val="24"/>
          <w:rtl/>
        </w:rPr>
        <w:t xml:space="preserve"> </w:t>
      </w:r>
      <w:r w:rsidRPr="00014C4D">
        <w:rPr>
          <w:rFonts w:ascii="David" w:eastAsia="Times New Roman" w:hAnsi="David" w:hint="eastAsia"/>
          <w:b/>
          <w:bCs/>
          <w:sz w:val="24"/>
          <w:rtl/>
        </w:rPr>
        <w:t>ביטחון</w:t>
      </w:r>
      <w:r w:rsidRPr="00014C4D">
        <w:rPr>
          <w:rFonts w:ascii="David" w:eastAsia="Times New Roman" w:hAnsi="David"/>
          <w:b/>
          <w:bCs/>
          <w:sz w:val="24"/>
          <w:rtl/>
        </w:rPr>
        <w:t xml:space="preserve"> התושבים</w:t>
      </w:r>
      <w:r w:rsidRPr="00014C4D">
        <w:rPr>
          <w:rFonts w:ascii="David" w:eastAsia="Times New Roman" w:hAnsi="David" w:hint="cs"/>
          <w:b/>
          <w:bCs/>
          <w:sz w:val="24"/>
          <w:rtl/>
        </w:rPr>
        <w:t xml:space="preserve">. </w:t>
      </w:r>
      <w:r w:rsidRPr="00014C4D">
        <w:rPr>
          <w:rFonts w:hint="cs"/>
          <w:b/>
          <w:bCs/>
          <w:rtl/>
        </w:rPr>
        <w:t>משרד מבקר המדינה מעיר לפקע"ר כי כגורם האמון על תחום המיגון האזרחי בשעת חירום הוא אינו יכול להתנער מאחריותו ולהותיר את ההיערכות בתחום זה להחלטה וולונטרית של הרשויות המקומיות.</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 xml:space="preserve">פעולות הרשויות שנבדקו למיפוי פערי מיגון וקידום פתרונות מיגון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yellow"/>
          <w:rtl/>
        </w:rPr>
      </w:pPr>
      <w:r w:rsidRPr="00014C4D">
        <w:rPr>
          <w:rFonts w:ascii="David" w:eastAsia="Times New Roman" w:hAnsi="David" w:hint="cs"/>
          <w:sz w:val="24"/>
          <w:rtl/>
        </w:rPr>
        <w:t xml:space="preserve">על פי המנחה למיגון, ניתוח פערי המיגון נועד לאתר את המחסור בשטחים מוגנים לאוכלוסייה על ידי השוואת הצרכים למצאי. </w:t>
      </w:r>
      <w:r w:rsidRPr="00014C4D">
        <w:rPr>
          <w:rFonts w:ascii="David" w:eastAsia="Times New Roman" w:hAnsi="David"/>
          <w:sz w:val="24"/>
          <w:rtl/>
        </w:rPr>
        <w:t>מטרת ניתוח פערי המיגון והמענה הי</w:t>
      </w:r>
      <w:r w:rsidRPr="00014C4D">
        <w:rPr>
          <w:rFonts w:ascii="David" w:eastAsia="Times New Roman" w:hAnsi="David" w:hint="cs"/>
          <w:sz w:val="24"/>
          <w:rtl/>
        </w:rPr>
        <w:t>א</w:t>
      </w:r>
      <w:r w:rsidRPr="00014C4D">
        <w:rPr>
          <w:rFonts w:ascii="David" w:eastAsia="Times New Roman" w:hAnsi="David"/>
          <w:sz w:val="24"/>
          <w:rtl/>
        </w:rPr>
        <w:t xml:space="preserve"> להנגיש ל</w:t>
      </w:r>
      <w:r w:rsidRPr="00014C4D">
        <w:rPr>
          <w:rFonts w:ascii="David" w:eastAsia="Times New Roman" w:hAnsi="David" w:hint="cs"/>
          <w:sz w:val="24"/>
          <w:rtl/>
        </w:rPr>
        <w:t>אוכלוסייה, ובייחוד לתושבים נטולי מיגון פרטי מספק,</w:t>
      </w:r>
      <w:r w:rsidRPr="00014C4D">
        <w:rPr>
          <w:rFonts w:ascii="David" w:eastAsia="Times New Roman" w:hAnsi="David"/>
          <w:sz w:val="24"/>
          <w:rtl/>
        </w:rPr>
        <w:t xml:space="preserve"> את מנעד אפשרויות המיגון העומדות לרשות</w:t>
      </w:r>
      <w:r w:rsidRPr="00014C4D">
        <w:rPr>
          <w:rFonts w:ascii="David" w:eastAsia="Times New Roman" w:hAnsi="David" w:hint="cs"/>
          <w:sz w:val="24"/>
          <w:rtl/>
        </w:rPr>
        <w:t>ה</w:t>
      </w:r>
      <w:r w:rsidRPr="00014C4D">
        <w:rPr>
          <w:rFonts w:ascii="David" w:eastAsia="Times New Roman" w:hAnsi="David"/>
          <w:sz w:val="24"/>
          <w:rtl/>
        </w:rPr>
        <w:t xml:space="preserve"> בסביבת</w:t>
      </w:r>
      <w:r w:rsidRPr="00014C4D">
        <w:rPr>
          <w:rFonts w:ascii="David" w:eastAsia="Times New Roman" w:hAnsi="David" w:hint="cs"/>
          <w:sz w:val="24"/>
          <w:rtl/>
        </w:rPr>
        <w:t>ה</w:t>
      </w:r>
      <w:r w:rsidRPr="00014C4D">
        <w:rPr>
          <w:rFonts w:ascii="David" w:eastAsia="Times New Roman" w:hAnsi="David"/>
          <w:sz w:val="24"/>
          <w:rtl/>
        </w:rPr>
        <w:t xml:space="preserve"> בעת התקפה.</w:t>
      </w:r>
      <w:r w:rsidRPr="00014C4D">
        <w:rPr>
          <w:rFonts w:ascii="David" w:eastAsia="Times New Roman" w:hAnsi="David" w:hint="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rtl/>
        </w:rPr>
        <w:t xml:space="preserve">פקע"ר מסר בתשובתו כי </w:t>
      </w:r>
      <w:r w:rsidRPr="00014C4D">
        <w:rPr>
          <w:rtl/>
        </w:rPr>
        <w:t>אוכלוסייה בבתים פרטיים ללא מקלט</w:t>
      </w:r>
      <w:r w:rsidRPr="00014C4D">
        <w:rPr>
          <w:rFonts w:hint="cs"/>
          <w:rtl/>
        </w:rPr>
        <w:t>,</w:t>
      </w:r>
      <w:r w:rsidRPr="00014C4D">
        <w:rPr>
          <w:rtl/>
        </w:rPr>
        <w:t xml:space="preserve"> שקיים בקרבתם מקלט ציבורי</w:t>
      </w:r>
      <w:r w:rsidRPr="00014C4D">
        <w:rPr>
          <w:rFonts w:hint="cs"/>
          <w:rtl/>
        </w:rPr>
        <w:t>,</w:t>
      </w:r>
      <w:r w:rsidRPr="00014C4D">
        <w:rPr>
          <w:rtl/>
        </w:rPr>
        <w:t xml:space="preserve"> לא ייחשבו מוגנים</w:t>
      </w:r>
      <w:r w:rsidRPr="00014C4D">
        <w:rPr>
          <w:rFonts w:hint="cs"/>
          <w:rtl/>
        </w:rPr>
        <w:t>,</w:t>
      </w:r>
      <w:r w:rsidRPr="00014C4D">
        <w:rPr>
          <w:rtl/>
        </w:rPr>
        <w:t xml:space="preserve"> </w:t>
      </w:r>
      <w:r w:rsidRPr="00014C4D">
        <w:rPr>
          <w:rFonts w:hint="cs"/>
          <w:rtl/>
        </w:rPr>
        <w:t>ו</w:t>
      </w:r>
      <w:r w:rsidRPr="00014C4D">
        <w:rPr>
          <w:rtl/>
        </w:rPr>
        <w:t>על פי נתוני המיגון התקני שטח מיגון זה אינו נלקח בחישוב נתוני המיגון הפרטי</w:t>
      </w:r>
      <w:r w:rsidRPr="00014C4D">
        <w:rPr>
          <w:rFonts w:hint="cs"/>
          <w:rtl/>
        </w:rPr>
        <w:t>.</w:t>
      </w:r>
      <w:r w:rsidRPr="00014C4D">
        <w:rPr>
          <w:rtl/>
        </w:rPr>
        <w:t xml:space="preserve"> ע</w:t>
      </w:r>
      <w:r w:rsidRPr="00014C4D">
        <w:rPr>
          <w:rFonts w:hint="cs"/>
          <w:rtl/>
        </w:rPr>
        <w:t>ל פי</w:t>
      </w:r>
      <w:r w:rsidRPr="00014C4D">
        <w:rPr>
          <w:rtl/>
        </w:rPr>
        <w:t xml:space="preserve"> תפיסת המיגון, המקלוט הציבורי </w:t>
      </w:r>
      <w:r w:rsidRPr="00014C4D">
        <w:rPr>
          <w:rFonts w:hint="cs"/>
          <w:rtl/>
        </w:rPr>
        <w:t xml:space="preserve">הוא </w:t>
      </w:r>
      <w:r w:rsidRPr="00014C4D">
        <w:rPr>
          <w:rtl/>
        </w:rPr>
        <w:t>שטח מיגו</w:t>
      </w:r>
      <w:r w:rsidRPr="00014C4D">
        <w:rPr>
          <w:rFonts w:hint="cs"/>
          <w:rtl/>
        </w:rPr>
        <w:t>ן</w:t>
      </w:r>
      <w:r w:rsidRPr="00014C4D">
        <w:rPr>
          <w:rtl/>
        </w:rPr>
        <w:t xml:space="preserve"> פוטנציאלי לשימוש הרשות המקומית בהתאם לצרכיה ותושביה</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להלן פירוט ממצאי הבדיקה של פערי המיגון ברשויות שנבדקו:</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 xml:space="preserve">אשקלון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ascii="David" w:eastAsia="Times New Roman" w:hAnsi="David" w:hint="cs"/>
          <w:sz w:val="24"/>
          <w:rtl/>
        </w:rPr>
        <w:t xml:space="preserve">על פי </w:t>
      </w:r>
      <w:r w:rsidRPr="00014C4D">
        <w:rPr>
          <w:rFonts w:ascii="David" w:eastAsia="Times New Roman" w:hAnsi="David" w:hint="eastAsia"/>
          <w:sz w:val="24"/>
          <w:rtl/>
        </w:rPr>
        <w:t>ת</w:t>
      </w:r>
      <w:r w:rsidRPr="00014C4D">
        <w:rPr>
          <w:rFonts w:ascii="David" w:eastAsia="Times New Roman" w:hAnsi="David" w:hint="cs"/>
          <w:sz w:val="24"/>
          <w:rtl/>
        </w:rPr>
        <w:t>ו</w:t>
      </w:r>
      <w:r w:rsidRPr="00014C4D">
        <w:rPr>
          <w:rFonts w:ascii="David" w:eastAsia="Times New Roman" w:hAnsi="David" w:hint="eastAsia"/>
          <w:sz w:val="24"/>
          <w:rtl/>
        </w:rPr>
        <w:t>כנית</w:t>
      </w:r>
      <w:r w:rsidRPr="00014C4D">
        <w:rPr>
          <w:rFonts w:ascii="David" w:eastAsia="Times New Roman" w:hAnsi="David"/>
          <w:sz w:val="24"/>
          <w:rtl/>
        </w:rPr>
        <w:t xml:space="preserve"> המיגון של </w:t>
      </w:r>
      <w:r w:rsidRPr="00014C4D">
        <w:rPr>
          <w:rFonts w:ascii="David" w:eastAsia="Times New Roman" w:hAnsi="David" w:hint="eastAsia"/>
          <w:sz w:val="24"/>
          <w:rtl/>
        </w:rPr>
        <w:t>עיריית</w:t>
      </w:r>
      <w:r w:rsidRPr="00014C4D">
        <w:rPr>
          <w:rFonts w:ascii="David" w:eastAsia="Times New Roman" w:hAnsi="David"/>
          <w:sz w:val="24"/>
          <w:rtl/>
        </w:rPr>
        <w:t xml:space="preserve"> </w:t>
      </w:r>
      <w:r w:rsidRPr="00014C4D">
        <w:rPr>
          <w:rFonts w:ascii="David" w:eastAsia="Times New Roman" w:hAnsi="David" w:hint="eastAsia"/>
          <w:b/>
          <w:bCs/>
          <w:sz w:val="24"/>
          <w:rtl/>
        </w:rPr>
        <w:t>אשקלון</w:t>
      </w:r>
      <w:r w:rsidRPr="00014C4D">
        <w:rPr>
          <w:rFonts w:ascii="David" w:eastAsia="Times New Roman" w:hAnsi="David"/>
          <w:sz w:val="24"/>
          <w:rtl/>
        </w:rPr>
        <w:t xml:space="preserve"> </w:t>
      </w:r>
      <w:r w:rsidRPr="00014C4D">
        <w:rPr>
          <w:rFonts w:ascii="David" w:eastAsia="Times New Roman" w:hAnsi="David" w:hint="eastAsia"/>
          <w:sz w:val="24"/>
          <w:rtl/>
        </w:rPr>
        <w:t>שעודכנה</w:t>
      </w:r>
      <w:r w:rsidRPr="00014C4D">
        <w:rPr>
          <w:rFonts w:ascii="David" w:eastAsia="Times New Roman" w:hAnsi="David"/>
          <w:sz w:val="24"/>
          <w:rtl/>
        </w:rPr>
        <w:t xml:space="preserve"> </w:t>
      </w:r>
      <w:r w:rsidRPr="00014C4D">
        <w:rPr>
          <w:rFonts w:ascii="David" w:eastAsia="Times New Roman" w:hAnsi="David" w:hint="eastAsia"/>
          <w:sz w:val="24"/>
          <w:rtl/>
        </w:rPr>
        <w:t>באמצע</w:t>
      </w:r>
      <w:r w:rsidRPr="00014C4D">
        <w:rPr>
          <w:rFonts w:ascii="David" w:eastAsia="Times New Roman" w:hAnsi="David"/>
          <w:sz w:val="24"/>
          <w:rtl/>
        </w:rPr>
        <w:t xml:space="preserve"> שנת 2022</w:t>
      </w:r>
      <w:r w:rsidRPr="00014C4D">
        <w:rPr>
          <w:rFonts w:ascii="David" w:eastAsia="Times New Roman" w:hAnsi="David" w:hint="cs"/>
          <w:sz w:val="24"/>
          <w:rtl/>
        </w:rPr>
        <w:t>,</w:t>
      </w:r>
      <w:r w:rsidRPr="00014C4D">
        <w:rPr>
          <w:rFonts w:ascii="David" w:eastAsia="Times New Roman" w:hAnsi="David"/>
          <w:sz w:val="24"/>
          <w:rtl/>
        </w:rPr>
        <w:t xml:space="preserve"> </w:t>
      </w:r>
      <w:r w:rsidRPr="00014C4D">
        <w:rPr>
          <w:rFonts w:hint="eastAsia"/>
          <w:rtl/>
        </w:rPr>
        <w:t>ל</w:t>
      </w:r>
      <w:r w:rsidRPr="00014C4D">
        <w:rPr>
          <w:rtl/>
        </w:rPr>
        <w:t>-5,074 מתוך 7,388 בתי מגורים יש פתרונות מיגון (</w:t>
      </w:r>
      <w:r w:rsidRPr="00014C4D">
        <w:rPr>
          <w:rFonts w:hint="eastAsia"/>
          <w:rtl/>
        </w:rPr>
        <w:t>ממ</w:t>
      </w:r>
      <w:r w:rsidRPr="00014C4D">
        <w:rPr>
          <w:rtl/>
        </w:rPr>
        <w:t xml:space="preserve">"ד, </w:t>
      </w:r>
      <w:r w:rsidRPr="00014C4D">
        <w:rPr>
          <w:rFonts w:hint="eastAsia"/>
          <w:rtl/>
        </w:rPr>
        <w:t>ממ</w:t>
      </w:r>
      <w:r w:rsidRPr="00014C4D">
        <w:rPr>
          <w:rtl/>
        </w:rPr>
        <w:t xml:space="preserve">"ק, </w:t>
      </w:r>
      <w:r w:rsidRPr="00014C4D">
        <w:rPr>
          <w:rFonts w:hint="eastAsia"/>
          <w:rtl/>
        </w:rPr>
        <w:t>מקלטים</w:t>
      </w:r>
      <w:r w:rsidRPr="00014C4D">
        <w:rPr>
          <w:rtl/>
        </w:rPr>
        <w:t xml:space="preserve"> </w:t>
      </w:r>
      <w:r w:rsidRPr="00014C4D">
        <w:rPr>
          <w:rFonts w:hint="eastAsia"/>
          <w:rtl/>
        </w:rPr>
        <w:t>משותפים</w:t>
      </w:r>
      <w:r w:rsidRPr="00014C4D">
        <w:rPr>
          <w:rtl/>
        </w:rPr>
        <w:t xml:space="preserve"> </w:t>
      </w:r>
      <w:r w:rsidRPr="00014C4D">
        <w:rPr>
          <w:rFonts w:hint="eastAsia"/>
          <w:rtl/>
        </w:rPr>
        <w:t>ופרטיים</w:t>
      </w:r>
      <w:r w:rsidRPr="00014C4D">
        <w:rPr>
          <w:rtl/>
        </w:rPr>
        <w:t xml:space="preserve">). </w:t>
      </w:r>
      <w:r w:rsidRPr="00014C4D">
        <w:rPr>
          <w:rFonts w:hint="eastAsia"/>
          <w:rtl/>
        </w:rPr>
        <w:t>לשאר</w:t>
      </w:r>
      <w:r w:rsidRPr="00014C4D">
        <w:rPr>
          <w:rtl/>
        </w:rPr>
        <w:t xml:space="preserve"> 2,314 </w:t>
      </w:r>
      <w:r w:rsidRPr="00014C4D">
        <w:rPr>
          <w:rFonts w:hint="cs"/>
          <w:rtl/>
        </w:rPr>
        <w:t xml:space="preserve">(31%) </w:t>
      </w:r>
      <w:r w:rsidRPr="00014C4D">
        <w:rPr>
          <w:rFonts w:hint="eastAsia"/>
          <w:rtl/>
        </w:rPr>
        <w:t>בתי</w:t>
      </w:r>
      <w:r w:rsidRPr="00014C4D">
        <w:rPr>
          <w:rtl/>
        </w:rPr>
        <w:t xml:space="preserve"> </w:t>
      </w:r>
      <w:r w:rsidRPr="00014C4D">
        <w:rPr>
          <w:rFonts w:hint="eastAsia"/>
          <w:rtl/>
        </w:rPr>
        <w:t>המגורים</w:t>
      </w:r>
      <w:r w:rsidRPr="00014C4D">
        <w:rPr>
          <w:rtl/>
        </w:rPr>
        <w:t xml:space="preserve"> </w:t>
      </w:r>
      <w:r w:rsidRPr="00014C4D">
        <w:rPr>
          <w:rFonts w:hint="eastAsia"/>
          <w:rtl/>
        </w:rPr>
        <w:t>אין</w:t>
      </w:r>
      <w:r w:rsidRPr="00014C4D">
        <w:rPr>
          <w:rtl/>
        </w:rPr>
        <w:t xml:space="preserve"> </w:t>
      </w:r>
      <w:r w:rsidRPr="00014C4D">
        <w:rPr>
          <w:rFonts w:hint="eastAsia"/>
          <w:rtl/>
        </w:rPr>
        <w:t>מיגון</w:t>
      </w:r>
      <w:r w:rsidRPr="00014C4D">
        <w:rPr>
          <w:rtl/>
        </w:rPr>
        <w:t xml:space="preserve"> </w:t>
      </w:r>
      <w:r w:rsidRPr="00014C4D">
        <w:rPr>
          <w:rFonts w:hint="eastAsia"/>
          <w:rtl/>
        </w:rPr>
        <w:t>תקני</w:t>
      </w:r>
      <w:r w:rsidRPr="00014C4D">
        <w:rPr>
          <w:rtl/>
        </w:rPr>
        <w:t>.</w:t>
      </w:r>
      <w:r w:rsidRPr="00014C4D">
        <w:rPr>
          <w:rFonts w:ascii="David" w:eastAsia="Times New Roman" w:hAnsi="David" w:hint="cs"/>
          <w:b/>
          <w:b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lastRenderedPageBreak/>
        <w:t>כאמור</w:t>
      </w:r>
      <w:r w:rsidRPr="00014C4D">
        <w:rPr>
          <w:rFonts w:hint="cs"/>
          <w:rtl/>
        </w:rPr>
        <w:t>,</w:t>
      </w:r>
      <w:r w:rsidRPr="00014C4D">
        <w:rPr>
          <w:rtl/>
        </w:rPr>
        <w:t xml:space="preserve"> </w:t>
      </w:r>
      <w:r w:rsidRPr="00014C4D">
        <w:rPr>
          <w:rFonts w:hint="eastAsia"/>
          <w:rtl/>
        </w:rPr>
        <w:t>בידי</w:t>
      </w:r>
      <w:r w:rsidRPr="00014C4D">
        <w:rPr>
          <w:rtl/>
        </w:rPr>
        <w:t xml:space="preserve"> </w:t>
      </w:r>
      <w:r w:rsidRPr="00014C4D">
        <w:rPr>
          <w:rFonts w:hint="eastAsia"/>
          <w:rtl/>
        </w:rPr>
        <w:t>עיריית</w:t>
      </w:r>
      <w:r w:rsidRPr="00014C4D">
        <w:rPr>
          <w:rtl/>
        </w:rPr>
        <w:t xml:space="preserve"> </w:t>
      </w:r>
      <w:r w:rsidRPr="00014C4D">
        <w:rPr>
          <w:rFonts w:hint="eastAsia"/>
          <w:rtl/>
        </w:rPr>
        <w:t>אשקלון</w:t>
      </w:r>
      <w:r w:rsidRPr="00014C4D">
        <w:rPr>
          <w:rtl/>
        </w:rPr>
        <w:t xml:space="preserve"> </w:t>
      </w:r>
      <w:r w:rsidRPr="00014C4D">
        <w:rPr>
          <w:rFonts w:hint="eastAsia"/>
          <w:rtl/>
        </w:rPr>
        <w:t>אין</w:t>
      </w:r>
      <w:r w:rsidRPr="00014C4D">
        <w:rPr>
          <w:rtl/>
        </w:rPr>
        <w:t xml:space="preserve"> </w:t>
      </w:r>
      <w:r w:rsidRPr="00014C4D">
        <w:rPr>
          <w:rFonts w:hint="eastAsia"/>
          <w:rtl/>
        </w:rPr>
        <w:t>נתונים</w:t>
      </w:r>
      <w:r w:rsidRPr="00014C4D">
        <w:rPr>
          <w:rtl/>
        </w:rPr>
        <w:t xml:space="preserve"> </w:t>
      </w:r>
      <w:r w:rsidRPr="00014C4D">
        <w:rPr>
          <w:rFonts w:hint="eastAsia"/>
          <w:rtl/>
        </w:rPr>
        <w:t>על</w:t>
      </w:r>
      <w:r w:rsidRPr="00014C4D">
        <w:rPr>
          <w:rtl/>
        </w:rPr>
        <w:t xml:space="preserve"> </w:t>
      </w:r>
      <w:r w:rsidRPr="00014C4D">
        <w:rPr>
          <w:rFonts w:hint="eastAsia"/>
          <w:rtl/>
        </w:rPr>
        <w:t>מספר</w:t>
      </w:r>
      <w:r w:rsidRPr="00014C4D">
        <w:rPr>
          <w:rtl/>
        </w:rPr>
        <w:t xml:space="preserve"> </w:t>
      </w:r>
      <w:r w:rsidRPr="00014C4D">
        <w:rPr>
          <w:rFonts w:hint="eastAsia"/>
          <w:rtl/>
        </w:rPr>
        <w:t>התושבים</w:t>
      </w:r>
      <w:r w:rsidRPr="00014C4D">
        <w:rPr>
          <w:rtl/>
        </w:rPr>
        <w:t xml:space="preserve"> ש</w:t>
      </w:r>
      <w:r w:rsidRPr="00014C4D">
        <w:rPr>
          <w:rFonts w:hint="eastAsia"/>
          <w:rtl/>
        </w:rPr>
        <w:t>אין</w:t>
      </w:r>
      <w:r w:rsidRPr="00014C4D">
        <w:rPr>
          <w:rtl/>
        </w:rPr>
        <w:t xml:space="preserve"> </w:t>
      </w:r>
      <w:r w:rsidRPr="00014C4D">
        <w:rPr>
          <w:rFonts w:hint="eastAsia"/>
          <w:rtl/>
        </w:rPr>
        <w:t>להם</w:t>
      </w:r>
      <w:r w:rsidRPr="00014C4D">
        <w:rPr>
          <w:rtl/>
        </w:rPr>
        <w:t xml:space="preserve"> </w:t>
      </w:r>
      <w:r w:rsidRPr="00014C4D">
        <w:rPr>
          <w:rFonts w:hint="eastAsia"/>
          <w:rtl/>
        </w:rPr>
        <w:t>מיגון</w:t>
      </w:r>
      <w:r w:rsidRPr="00014C4D">
        <w:rPr>
          <w:rtl/>
        </w:rPr>
        <w:t xml:space="preserve"> </w:t>
      </w:r>
      <w:r w:rsidRPr="00014C4D">
        <w:rPr>
          <w:rFonts w:hint="eastAsia"/>
          <w:rtl/>
        </w:rPr>
        <w:t>תקני</w:t>
      </w:r>
      <w:r w:rsidRPr="00014C4D">
        <w:rPr>
          <w:rtl/>
        </w:rPr>
        <w:t xml:space="preserve"> </w:t>
      </w:r>
      <w:r w:rsidRPr="00014C4D">
        <w:rPr>
          <w:rFonts w:hint="cs"/>
          <w:rtl/>
        </w:rPr>
        <w:t xml:space="preserve">(להבדיל ממספר מבני המגורים), </w:t>
      </w:r>
      <w:r w:rsidRPr="00014C4D">
        <w:rPr>
          <w:rFonts w:hint="eastAsia"/>
          <w:rtl/>
        </w:rPr>
        <w:t>ולכן</w:t>
      </w:r>
      <w:r w:rsidRPr="00014C4D">
        <w:rPr>
          <w:rtl/>
        </w:rPr>
        <w:t xml:space="preserve"> </w:t>
      </w:r>
      <w:r w:rsidRPr="00014C4D">
        <w:rPr>
          <w:rFonts w:hint="eastAsia"/>
          <w:rtl/>
        </w:rPr>
        <w:t>לא</w:t>
      </w:r>
      <w:r w:rsidRPr="00014C4D">
        <w:rPr>
          <w:rtl/>
        </w:rPr>
        <w:t xml:space="preserve"> </w:t>
      </w:r>
      <w:r w:rsidRPr="00014C4D">
        <w:rPr>
          <w:rFonts w:hint="eastAsia"/>
          <w:rtl/>
        </w:rPr>
        <w:t>ניתן</w:t>
      </w:r>
      <w:r w:rsidRPr="00014C4D">
        <w:rPr>
          <w:rtl/>
        </w:rPr>
        <w:t xml:space="preserve"> </w:t>
      </w:r>
      <w:r w:rsidRPr="00014C4D">
        <w:rPr>
          <w:rFonts w:hint="eastAsia"/>
          <w:rtl/>
        </w:rPr>
        <w:t>לדעת</w:t>
      </w:r>
      <w:r w:rsidRPr="00014C4D">
        <w:rPr>
          <w:rtl/>
        </w:rPr>
        <w:t xml:space="preserve"> </w:t>
      </w:r>
      <w:r w:rsidRPr="00014C4D">
        <w:rPr>
          <w:rFonts w:hint="eastAsia"/>
          <w:rtl/>
        </w:rPr>
        <w:t>מהו</w:t>
      </w:r>
      <w:r w:rsidRPr="00014C4D">
        <w:rPr>
          <w:rtl/>
        </w:rPr>
        <w:t xml:space="preserve"> </w:t>
      </w:r>
      <w:r w:rsidRPr="00014C4D">
        <w:rPr>
          <w:rFonts w:hint="eastAsia"/>
          <w:rtl/>
        </w:rPr>
        <w:t>היקף</w:t>
      </w:r>
      <w:r w:rsidRPr="00014C4D">
        <w:rPr>
          <w:rtl/>
        </w:rPr>
        <w:t xml:space="preserve"> </w:t>
      </w:r>
      <w:r w:rsidRPr="00014C4D">
        <w:rPr>
          <w:rFonts w:hint="eastAsia"/>
          <w:rtl/>
        </w:rPr>
        <w:t>האוכלוסייה</w:t>
      </w:r>
      <w:r w:rsidRPr="00014C4D">
        <w:rPr>
          <w:rtl/>
        </w:rPr>
        <w:t xml:space="preserve"> </w:t>
      </w:r>
      <w:r w:rsidRPr="00014C4D">
        <w:rPr>
          <w:rFonts w:hint="eastAsia"/>
          <w:rtl/>
        </w:rPr>
        <w:t>שיש</w:t>
      </w:r>
      <w:r w:rsidRPr="00014C4D">
        <w:rPr>
          <w:rtl/>
        </w:rPr>
        <w:t xml:space="preserve"> </w:t>
      </w:r>
      <w:r w:rsidRPr="00014C4D">
        <w:rPr>
          <w:rFonts w:hint="eastAsia"/>
          <w:rtl/>
        </w:rPr>
        <w:t>לתת</w:t>
      </w:r>
      <w:r w:rsidRPr="00014C4D">
        <w:rPr>
          <w:rtl/>
        </w:rPr>
        <w:t xml:space="preserve"> </w:t>
      </w:r>
      <w:r w:rsidRPr="00014C4D">
        <w:rPr>
          <w:rFonts w:hint="eastAsia"/>
          <w:rtl/>
        </w:rPr>
        <w:t>לה</w:t>
      </w:r>
      <w:r w:rsidRPr="00014C4D">
        <w:rPr>
          <w:rtl/>
        </w:rPr>
        <w:t xml:space="preserve"> </w:t>
      </w:r>
      <w:r w:rsidRPr="00014C4D">
        <w:rPr>
          <w:rFonts w:hint="eastAsia"/>
          <w:rtl/>
        </w:rPr>
        <w:t>פתרונות</w:t>
      </w:r>
      <w:r w:rsidRPr="00014C4D">
        <w:rPr>
          <w:rtl/>
        </w:rPr>
        <w:t xml:space="preserve"> </w:t>
      </w:r>
      <w:r w:rsidRPr="00014C4D">
        <w:rPr>
          <w:rFonts w:hint="eastAsia"/>
          <w:rtl/>
        </w:rPr>
        <w:t>מיגון</w:t>
      </w:r>
      <w:r w:rsidRPr="00014C4D">
        <w:rPr>
          <w:rtl/>
        </w:rPr>
        <w:t xml:space="preserve">, </w:t>
      </w:r>
      <w:r w:rsidRPr="00014C4D">
        <w:rPr>
          <w:rFonts w:hint="eastAsia"/>
          <w:rtl/>
        </w:rPr>
        <w:t>כנדרש</w:t>
      </w:r>
      <w:r w:rsidRPr="00014C4D">
        <w:rPr>
          <w:rtl/>
        </w:rPr>
        <w:t xml:space="preserve"> </w:t>
      </w:r>
      <w:r w:rsidRPr="00014C4D">
        <w:rPr>
          <w:rFonts w:hint="eastAsia"/>
          <w:rtl/>
        </w:rPr>
        <w:t>בתיק</w:t>
      </w:r>
      <w:r w:rsidRPr="00014C4D">
        <w:rPr>
          <w:rtl/>
        </w:rPr>
        <w:t xml:space="preserve"> </w:t>
      </w:r>
      <w:r w:rsidRPr="00014C4D">
        <w:rPr>
          <w:rFonts w:hint="eastAsia"/>
          <w:rtl/>
        </w:rPr>
        <w:t>האב</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על עיריית אשקלון לפעול לפי הנחיות תיק האב לרשויות המקומיות - למפות את האוכלוסייה, </w:t>
      </w:r>
      <w:r w:rsidRPr="00014C4D">
        <w:rPr>
          <w:rFonts w:hint="eastAsia"/>
          <w:b/>
          <w:bCs/>
          <w:rtl/>
        </w:rPr>
        <w:t>לרבות</w:t>
      </w:r>
      <w:r w:rsidRPr="00014C4D">
        <w:rPr>
          <w:b/>
          <w:bCs/>
          <w:rtl/>
        </w:rPr>
        <w:t xml:space="preserve"> </w:t>
      </w:r>
      <w:r w:rsidRPr="00014C4D">
        <w:rPr>
          <w:rFonts w:hint="eastAsia"/>
          <w:b/>
          <w:bCs/>
          <w:rtl/>
        </w:rPr>
        <w:t>התושבים</w:t>
      </w:r>
      <w:r w:rsidRPr="00014C4D">
        <w:rPr>
          <w:b/>
          <w:bCs/>
          <w:rtl/>
        </w:rPr>
        <w:t xml:space="preserve"> </w:t>
      </w:r>
      <w:r w:rsidRPr="00014C4D">
        <w:rPr>
          <w:rFonts w:hint="cs"/>
          <w:b/>
          <w:bCs/>
          <w:rtl/>
        </w:rPr>
        <w:t>ש</w:t>
      </w:r>
      <w:r w:rsidRPr="00014C4D">
        <w:rPr>
          <w:rFonts w:hint="eastAsia"/>
          <w:b/>
          <w:bCs/>
          <w:rtl/>
        </w:rPr>
        <w:t>אין</w:t>
      </w:r>
      <w:r w:rsidRPr="00014C4D">
        <w:rPr>
          <w:b/>
          <w:bCs/>
          <w:rtl/>
        </w:rPr>
        <w:t xml:space="preserve"> </w:t>
      </w:r>
      <w:r w:rsidRPr="00014C4D">
        <w:rPr>
          <w:rFonts w:hint="eastAsia"/>
          <w:b/>
          <w:bCs/>
          <w:rtl/>
        </w:rPr>
        <w:t>להן</w:t>
      </w:r>
      <w:r w:rsidRPr="00014C4D">
        <w:rPr>
          <w:b/>
          <w:bCs/>
          <w:rtl/>
        </w:rPr>
        <w:t xml:space="preserve"> </w:t>
      </w:r>
      <w:r w:rsidRPr="00014C4D">
        <w:rPr>
          <w:rFonts w:hint="eastAsia"/>
          <w:b/>
          <w:bCs/>
          <w:rtl/>
        </w:rPr>
        <w:t>מיגון</w:t>
      </w:r>
      <w:r w:rsidRPr="00014C4D">
        <w:rPr>
          <w:b/>
          <w:bCs/>
          <w:rtl/>
        </w:rPr>
        <w:t xml:space="preserve"> </w:t>
      </w:r>
      <w:r w:rsidRPr="00014C4D">
        <w:rPr>
          <w:rFonts w:hint="eastAsia"/>
          <w:b/>
          <w:bCs/>
          <w:rtl/>
        </w:rPr>
        <w:t>תקני</w:t>
      </w:r>
      <w:r w:rsidRPr="00014C4D">
        <w:rPr>
          <w:rFonts w:hint="cs"/>
          <w:b/>
          <w:bCs/>
          <w:rtl/>
        </w:rPr>
        <w:t>, כנדרש בתיק האב, כדי שתוכל</w:t>
      </w:r>
      <w:r w:rsidRPr="00014C4D">
        <w:rPr>
          <w:b/>
          <w:bCs/>
          <w:rtl/>
        </w:rPr>
        <w:t xml:space="preserve"> לתכנן</w:t>
      </w:r>
      <w:r w:rsidRPr="00014C4D">
        <w:rPr>
          <w:rFonts w:hint="cs"/>
          <w:b/>
          <w:bCs/>
          <w:rtl/>
        </w:rPr>
        <w:t xml:space="preserve"> פתרונות מיגון ל</w:t>
      </w:r>
      <w:r w:rsidRPr="00014C4D">
        <w:rPr>
          <w:b/>
          <w:bCs/>
          <w:rtl/>
        </w:rPr>
        <w:t>אוכלוסייה</w:t>
      </w:r>
      <w:r w:rsidRPr="00014C4D">
        <w:rPr>
          <w:rFonts w:hint="cs"/>
          <w:b/>
          <w:bCs/>
          <w:rtl/>
        </w:rPr>
        <w:t xml:space="preserve"> </w:t>
      </w:r>
      <w:r w:rsidRPr="00014C4D">
        <w:rPr>
          <w:b/>
          <w:bCs/>
          <w:rtl/>
        </w:rPr>
        <w:t>בשעת</w:t>
      </w:r>
      <w:r w:rsidRPr="00014C4D">
        <w:rPr>
          <w:rFonts w:hint="cs"/>
          <w:b/>
          <w:bCs/>
          <w:rtl/>
        </w:rPr>
        <w:t xml:space="preserve"> </w:t>
      </w:r>
      <w:r w:rsidRPr="00014C4D">
        <w:rPr>
          <w:b/>
          <w:bCs/>
          <w:rtl/>
        </w:rPr>
        <w:t>חירום</w:t>
      </w:r>
      <w:r w:rsidRPr="00014C4D">
        <w:rPr>
          <w:rtl/>
        </w:rPr>
        <w:t xml:space="preserve"> </w:t>
      </w:r>
      <w:r w:rsidRPr="00014C4D">
        <w:rPr>
          <w:rFonts w:hint="eastAsia"/>
          <w:b/>
          <w:bCs/>
          <w:rtl/>
        </w:rPr>
        <w:t>ולדאוג</w:t>
      </w:r>
      <w:r w:rsidRPr="00014C4D">
        <w:rPr>
          <w:b/>
          <w:bCs/>
          <w:rtl/>
        </w:rPr>
        <w:t xml:space="preserve"> </w:t>
      </w:r>
      <w:r w:rsidRPr="00014C4D">
        <w:rPr>
          <w:rFonts w:hint="eastAsia"/>
          <w:b/>
          <w:bCs/>
          <w:rtl/>
        </w:rPr>
        <w:t>למרחב</w:t>
      </w:r>
      <w:r w:rsidRPr="00014C4D">
        <w:rPr>
          <w:rFonts w:hint="cs"/>
          <w:b/>
          <w:bCs/>
          <w:rtl/>
        </w:rPr>
        <w:t xml:space="preserve"> מוגן</w:t>
      </w:r>
      <w:r w:rsidRPr="00014C4D">
        <w:rPr>
          <w:b/>
          <w:bCs/>
          <w:rtl/>
        </w:rPr>
        <w:t xml:space="preserve"> זמין </w:t>
      </w:r>
      <w:r w:rsidRPr="00014C4D">
        <w:rPr>
          <w:rFonts w:hint="eastAsia"/>
          <w:b/>
          <w:bCs/>
          <w:rtl/>
        </w:rPr>
        <w:t>ככל</w:t>
      </w:r>
      <w:r w:rsidRPr="00014C4D">
        <w:rPr>
          <w:b/>
          <w:bCs/>
          <w:rtl/>
        </w:rPr>
        <w:t xml:space="preserve"> </w:t>
      </w:r>
      <w:r w:rsidRPr="00014C4D">
        <w:rPr>
          <w:rFonts w:hint="eastAsia"/>
          <w:b/>
          <w:bCs/>
          <w:rtl/>
        </w:rPr>
        <w:t>הניתן</w:t>
      </w:r>
      <w:r w:rsidRPr="00014C4D">
        <w:rPr>
          <w:rFonts w:hint="cs"/>
          <w:b/>
          <w:bCs/>
          <w:rtl/>
        </w:rPr>
        <w:t>.</w:t>
      </w:r>
    </w:p>
    <w:p w:rsidR="00014C4D" w:rsidRPr="00014C4D" w:rsidRDefault="00014C4D" w:rsidP="00014C4D">
      <w:pPr>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ביענה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המועצה המקומית </w:t>
      </w:r>
      <w:r w:rsidRPr="00014C4D">
        <w:rPr>
          <w:rFonts w:hint="cs"/>
          <w:b/>
          <w:bCs/>
          <w:rtl/>
        </w:rPr>
        <w:t xml:space="preserve">ביענה </w:t>
      </w:r>
      <w:r w:rsidRPr="00014C4D">
        <w:rPr>
          <w:rFonts w:hint="cs"/>
          <w:rtl/>
        </w:rPr>
        <w:t>מסרה לידי עובדי משרד מבקר המדינה מסמך ובו נתונים שהכין פקע</w:t>
      </w:r>
      <w:r w:rsidRPr="00014C4D">
        <w:rPr>
          <w:rtl/>
        </w:rPr>
        <w:t>"</w:t>
      </w:r>
      <w:r w:rsidRPr="00014C4D">
        <w:rPr>
          <w:rFonts w:hint="cs"/>
          <w:rtl/>
        </w:rPr>
        <w:t xml:space="preserve">ר, ולפיו ל-1,833 מתוך 8,000 התושבים (23%) יש פתרונות מיגון - ממ"דים ומקלטים פרטיים. יצוין כי המסמך אינו נושא תאריך, אולם המועצה מסרה לעובדי משרד מבקר המדינה כי נתונים אלה מעודכנים לאוגוסט 2022. יצוין כי במועצה המקומית </w:t>
      </w:r>
      <w:r w:rsidRPr="00014C4D">
        <w:rPr>
          <w:rFonts w:hint="cs"/>
          <w:b/>
          <w:bCs/>
          <w:rtl/>
        </w:rPr>
        <w:t xml:space="preserve">ביענה </w:t>
      </w:r>
      <w:r w:rsidRPr="00014C4D">
        <w:rPr>
          <w:rFonts w:hint="cs"/>
          <w:rtl/>
        </w:rPr>
        <w:t>אין מקלטים 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נמצא</w:t>
      </w:r>
      <w:r w:rsidRPr="00014C4D">
        <w:rPr>
          <w:b/>
          <w:bCs/>
          <w:rtl/>
        </w:rPr>
        <w:t xml:space="preserve"> כי </w:t>
      </w:r>
      <w:r w:rsidRPr="00014C4D">
        <w:rPr>
          <w:rFonts w:hint="eastAsia"/>
          <w:b/>
          <w:bCs/>
          <w:rtl/>
        </w:rPr>
        <w:t>הנתונים</w:t>
      </w:r>
      <w:r w:rsidRPr="00014C4D">
        <w:rPr>
          <w:b/>
          <w:bCs/>
          <w:rtl/>
        </w:rPr>
        <w:t xml:space="preserve"> </w:t>
      </w:r>
      <w:r w:rsidRPr="00014C4D">
        <w:rPr>
          <w:rFonts w:hint="eastAsia"/>
          <w:b/>
          <w:bCs/>
          <w:rtl/>
        </w:rPr>
        <w:t>שבידי</w:t>
      </w:r>
      <w:r w:rsidRPr="00014C4D">
        <w:rPr>
          <w:b/>
          <w:bCs/>
          <w:rtl/>
        </w:rPr>
        <w:t xml:space="preserve"> פקע"ר</w:t>
      </w:r>
      <w:r w:rsidRPr="00014C4D">
        <w:rPr>
          <w:rFonts w:hint="cs"/>
          <w:b/>
          <w:bCs/>
          <w:rtl/>
        </w:rPr>
        <w:t>,</w:t>
      </w:r>
      <w:r w:rsidRPr="00014C4D">
        <w:rPr>
          <w:b/>
          <w:bCs/>
          <w:rtl/>
        </w:rPr>
        <w:t xml:space="preserve"> </w:t>
      </w:r>
      <w:r w:rsidRPr="00014C4D">
        <w:rPr>
          <w:rFonts w:hint="cs"/>
          <w:b/>
          <w:bCs/>
          <w:rtl/>
        </w:rPr>
        <w:t>ש</w:t>
      </w:r>
      <w:r w:rsidRPr="00014C4D">
        <w:rPr>
          <w:rFonts w:hint="eastAsia"/>
          <w:b/>
          <w:bCs/>
          <w:rtl/>
        </w:rPr>
        <w:t>לפיהם</w:t>
      </w:r>
      <w:r w:rsidRPr="00014C4D">
        <w:rPr>
          <w:b/>
          <w:bCs/>
          <w:rtl/>
        </w:rPr>
        <w:t xml:space="preserve"> </w:t>
      </w:r>
      <w:r w:rsidRPr="00014C4D">
        <w:rPr>
          <w:rFonts w:hint="eastAsia"/>
          <w:b/>
          <w:bCs/>
          <w:rtl/>
        </w:rPr>
        <w:t>ל</w:t>
      </w:r>
      <w:r w:rsidRPr="00014C4D">
        <w:rPr>
          <w:b/>
          <w:bCs/>
          <w:rtl/>
        </w:rPr>
        <w:t>-1,833 תושבים</w:t>
      </w:r>
      <w:r w:rsidRPr="00014C4D">
        <w:rPr>
          <w:rFonts w:hint="cs"/>
          <w:b/>
          <w:bCs/>
          <w:rtl/>
        </w:rPr>
        <w:t xml:space="preserve"> </w:t>
      </w:r>
      <w:r w:rsidRPr="00014C4D">
        <w:rPr>
          <w:rFonts w:hint="eastAsia"/>
          <w:b/>
          <w:bCs/>
          <w:rtl/>
        </w:rPr>
        <w:t>בב</w:t>
      </w:r>
      <w:r w:rsidRPr="00014C4D">
        <w:rPr>
          <w:rFonts w:hint="cs"/>
          <w:b/>
          <w:bCs/>
          <w:rtl/>
        </w:rPr>
        <w:t>י</w:t>
      </w:r>
      <w:r w:rsidRPr="00014C4D">
        <w:rPr>
          <w:rFonts w:hint="eastAsia"/>
          <w:b/>
          <w:bCs/>
          <w:rtl/>
        </w:rPr>
        <w:t>ענה</w:t>
      </w:r>
      <w:r w:rsidRPr="00014C4D">
        <w:rPr>
          <w:b/>
          <w:bCs/>
          <w:rtl/>
        </w:rPr>
        <w:t xml:space="preserve"> יש </w:t>
      </w:r>
      <w:r w:rsidRPr="00014C4D">
        <w:rPr>
          <w:rFonts w:hint="eastAsia"/>
          <w:b/>
          <w:bCs/>
          <w:rtl/>
        </w:rPr>
        <w:t>מיגון</w:t>
      </w:r>
      <w:r w:rsidRPr="00014C4D">
        <w:rPr>
          <w:b/>
          <w:bCs/>
          <w:rtl/>
        </w:rPr>
        <w:t xml:space="preserve"> </w:t>
      </w:r>
      <w:r w:rsidRPr="00014C4D">
        <w:rPr>
          <w:rFonts w:hint="eastAsia"/>
          <w:b/>
          <w:bCs/>
          <w:rtl/>
        </w:rPr>
        <w:t>תקני</w:t>
      </w:r>
      <w:r w:rsidRPr="00014C4D">
        <w:rPr>
          <w:b/>
          <w:bCs/>
          <w:rtl/>
        </w:rPr>
        <w:t xml:space="preserve"> (ממ"דים ומקלטים פרטיים במבמי מגורים), </w:t>
      </w:r>
      <w:r w:rsidRPr="00014C4D">
        <w:rPr>
          <w:rFonts w:hint="eastAsia"/>
          <w:b/>
          <w:bCs/>
          <w:rtl/>
        </w:rPr>
        <w:t>התבססו</w:t>
      </w:r>
      <w:r w:rsidRPr="00014C4D">
        <w:rPr>
          <w:b/>
          <w:bCs/>
          <w:rtl/>
        </w:rPr>
        <w:t xml:space="preserve"> על מידע </w:t>
      </w:r>
      <w:r w:rsidRPr="00014C4D">
        <w:rPr>
          <w:rFonts w:hint="cs"/>
          <w:b/>
          <w:bCs/>
          <w:rtl/>
        </w:rPr>
        <w:t>שמסרה לו</w:t>
      </w:r>
      <w:r w:rsidRPr="00014C4D">
        <w:rPr>
          <w:b/>
          <w:bCs/>
          <w:rtl/>
        </w:rPr>
        <w:t xml:space="preserve"> </w:t>
      </w:r>
      <w:r w:rsidRPr="00014C4D">
        <w:rPr>
          <w:rFonts w:hint="eastAsia"/>
          <w:b/>
          <w:bCs/>
          <w:rtl/>
        </w:rPr>
        <w:t>המועצה</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פי</w:t>
      </w:r>
      <w:r w:rsidRPr="00014C4D">
        <w:rPr>
          <w:b/>
          <w:bCs/>
          <w:rtl/>
        </w:rPr>
        <w:t xml:space="preserve"> </w:t>
      </w:r>
      <w:r w:rsidRPr="00014C4D">
        <w:rPr>
          <w:rFonts w:hint="eastAsia"/>
          <w:b/>
          <w:bCs/>
          <w:rtl/>
        </w:rPr>
        <w:t>היתרי</w:t>
      </w:r>
      <w:r w:rsidRPr="00014C4D">
        <w:rPr>
          <w:b/>
          <w:bCs/>
          <w:rtl/>
        </w:rPr>
        <w:t xml:space="preserve"> </w:t>
      </w:r>
      <w:r w:rsidRPr="00014C4D">
        <w:rPr>
          <w:rFonts w:hint="eastAsia"/>
          <w:b/>
          <w:bCs/>
          <w:rtl/>
        </w:rPr>
        <w:t>בנייה</w:t>
      </w:r>
      <w:r w:rsidRPr="00014C4D">
        <w:rPr>
          <w:b/>
          <w:bCs/>
          <w:rtl/>
        </w:rPr>
        <w:t xml:space="preserve"> </w:t>
      </w:r>
      <w:r w:rsidRPr="00014C4D">
        <w:rPr>
          <w:rFonts w:hint="eastAsia"/>
          <w:b/>
          <w:bCs/>
          <w:rtl/>
        </w:rPr>
        <w:t>בלבד</w:t>
      </w:r>
      <w:r w:rsidRPr="00014C4D">
        <w:rPr>
          <w:b/>
          <w:bCs/>
          <w:vertAlign w:val="superscript"/>
          <w:rtl/>
        </w:rPr>
        <w:footnoteReference w:id="17"/>
      </w:r>
      <w:r w:rsidRPr="00014C4D">
        <w:rPr>
          <w:b/>
          <w:bCs/>
          <w:rtl/>
        </w:rPr>
        <w:t xml:space="preserve"> ולא על </w:t>
      </w:r>
      <w:r w:rsidRPr="00014C4D">
        <w:rPr>
          <w:rFonts w:hint="eastAsia"/>
          <w:b/>
          <w:bCs/>
          <w:rtl/>
        </w:rPr>
        <w:t>פי</w:t>
      </w:r>
      <w:r w:rsidRPr="00014C4D">
        <w:rPr>
          <w:b/>
          <w:bCs/>
          <w:rtl/>
        </w:rPr>
        <w:t xml:space="preserve"> </w:t>
      </w:r>
      <w:r w:rsidRPr="00014C4D">
        <w:rPr>
          <w:rFonts w:hint="cs"/>
          <w:b/>
          <w:bCs/>
          <w:rtl/>
        </w:rPr>
        <w:t>ה</w:t>
      </w:r>
      <w:r w:rsidRPr="00014C4D">
        <w:rPr>
          <w:rFonts w:hint="eastAsia"/>
          <w:b/>
          <w:bCs/>
          <w:rtl/>
        </w:rPr>
        <w:t>בנייה</w:t>
      </w:r>
      <w:r w:rsidRPr="00014C4D">
        <w:rPr>
          <w:b/>
          <w:bCs/>
          <w:rtl/>
        </w:rPr>
        <w:t xml:space="preserve"> </w:t>
      </w:r>
      <w:r w:rsidRPr="00014C4D">
        <w:rPr>
          <w:rFonts w:hint="eastAsia"/>
          <w:b/>
          <w:bCs/>
          <w:rtl/>
        </w:rPr>
        <w:t>בפועל</w:t>
      </w:r>
      <w:r w:rsidRPr="00014C4D">
        <w:rPr>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עוד</w:t>
      </w:r>
      <w:r w:rsidRPr="00014C4D">
        <w:rPr>
          <w:rtl/>
        </w:rPr>
        <w:t xml:space="preserve"> נמצא כי לשאר 6,167 </w:t>
      </w:r>
      <w:r w:rsidRPr="00014C4D">
        <w:rPr>
          <w:rFonts w:hint="cs"/>
          <w:rtl/>
        </w:rPr>
        <w:t>ה</w:t>
      </w:r>
      <w:r w:rsidRPr="00014C4D">
        <w:rPr>
          <w:rtl/>
        </w:rPr>
        <w:t xml:space="preserve">תושבים (77%) </w:t>
      </w:r>
      <w:r w:rsidRPr="00014C4D">
        <w:rPr>
          <w:rFonts w:hint="eastAsia"/>
          <w:rtl/>
        </w:rPr>
        <w:t>אין</w:t>
      </w:r>
      <w:r w:rsidRPr="00014C4D">
        <w:rPr>
          <w:rtl/>
        </w:rPr>
        <w:t xml:space="preserve"> </w:t>
      </w:r>
      <w:r w:rsidRPr="00014C4D">
        <w:rPr>
          <w:rFonts w:hint="eastAsia"/>
          <w:rtl/>
        </w:rPr>
        <w:t>מיגון</w:t>
      </w:r>
      <w:r w:rsidRPr="00014C4D">
        <w:rPr>
          <w:rtl/>
        </w:rPr>
        <w:t xml:space="preserve"> </w:t>
      </w:r>
      <w:r w:rsidRPr="00014C4D">
        <w:rPr>
          <w:rFonts w:hint="eastAsia"/>
          <w:rtl/>
        </w:rPr>
        <w:t>תקני</w:t>
      </w:r>
      <w:r w:rsidRPr="00014C4D">
        <w:rPr>
          <w:rtl/>
        </w:rPr>
        <w:t xml:space="preserve">, </w:t>
      </w:r>
      <w:r w:rsidRPr="00014C4D">
        <w:rPr>
          <w:rFonts w:hint="eastAsia"/>
          <w:rtl/>
        </w:rPr>
        <w:t>והמועצה</w:t>
      </w:r>
      <w:r w:rsidRPr="00014C4D">
        <w:rPr>
          <w:rtl/>
        </w:rPr>
        <w:t xml:space="preserve"> </w:t>
      </w:r>
      <w:r w:rsidRPr="00014C4D">
        <w:rPr>
          <w:rFonts w:hint="eastAsia"/>
          <w:rtl/>
        </w:rPr>
        <w:t>לא</w:t>
      </w:r>
      <w:r w:rsidRPr="00014C4D">
        <w:rPr>
          <w:rtl/>
        </w:rPr>
        <w:t xml:space="preserve"> </w:t>
      </w:r>
      <w:r w:rsidRPr="00014C4D">
        <w:rPr>
          <w:rFonts w:hint="eastAsia"/>
          <w:rtl/>
        </w:rPr>
        <w:t>נתנה</w:t>
      </w:r>
      <w:r w:rsidRPr="00014C4D">
        <w:rPr>
          <w:rtl/>
        </w:rPr>
        <w:t xml:space="preserve"> </w:t>
      </w:r>
      <w:r w:rsidRPr="00014C4D">
        <w:rPr>
          <w:rFonts w:hint="eastAsia"/>
          <w:rtl/>
        </w:rPr>
        <w:t>מענה</w:t>
      </w:r>
      <w:r w:rsidRPr="00014C4D">
        <w:rPr>
          <w:rtl/>
        </w:rPr>
        <w:t xml:space="preserve"> </w:t>
      </w:r>
      <w:r w:rsidRPr="00014C4D">
        <w:rPr>
          <w:rFonts w:hint="eastAsia"/>
          <w:rtl/>
        </w:rPr>
        <w:t>להיעדר</w:t>
      </w:r>
      <w:r w:rsidRPr="00014C4D">
        <w:rPr>
          <w:rtl/>
        </w:rPr>
        <w:t xml:space="preserve"> </w:t>
      </w:r>
      <w:r w:rsidRPr="00014C4D">
        <w:rPr>
          <w:rFonts w:hint="eastAsia"/>
          <w:rtl/>
        </w:rPr>
        <w:t>המיגון</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b/>
          <w:bCs/>
          <w:rtl/>
        </w:rPr>
        <w:t xml:space="preserve">על המועצה המקומית ביענה לפעול לפי הנחיות תיק האב לרשויות המקומיות - </w:t>
      </w:r>
      <w:r w:rsidRPr="00014C4D">
        <w:rPr>
          <w:b/>
          <w:bCs/>
          <w:rtl/>
        </w:rPr>
        <w:t xml:space="preserve">לבנות מסד נתונים </w:t>
      </w:r>
      <w:r w:rsidRPr="00014C4D">
        <w:rPr>
          <w:rFonts w:hint="cs"/>
          <w:b/>
          <w:bCs/>
          <w:rtl/>
        </w:rPr>
        <w:t>שמבוסס על הבנייה בפועל של המרחבים המוגנים</w:t>
      </w:r>
      <w:r w:rsidRPr="00014C4D">
        <w:rPr>
          <w:b/>
          <w:bCs/>
          <w:rtl/>
        </w:rPr>
        <w:t xml:space="preserve"> הקיימים</w:t>
      </w:r>
      <w:r w:rsidRPr="00014C4D">
        <w:rPr>
          <w:rFonts w:hint="cs"/>
          <w:b/>
          <w:bCs/>
          <w:rtl/>
        </w:rPr>
        <w:t xml:space="preserve"> ולמפות את כל המרחבים המוגנים (לרבות מחסים ובתי ספר) שבתחומה, כדי</w:t>
      </w:r>
      <w:r w:rsidRPr="00014C4D">
        <w:rPr>
          <w:b/>
          <w:bCs/>
          <w:rtl/>
        </w:rPr>
        <w:t xml:space="preserve"> ש</w:t>
      </w:r>
      <w:r w:rsidRPr="00014C4D">
        <w:rPr>
          <w:rFonts w:hint="cs"/>
          <w:b/>
          <w:bCs/>
          <w:rtl/>
        </w:rPr>
        <w:t>תוכל</w:t>
      </w:r>
      <w:r w:rsidRPr="00014C4D">
        <w:rPr>
          <w:b/>
          <w:bCs/>
          <w:rtl/>
        </w:rPr>
        <w:t xml:space="preserve"> לתכנן</w:t>
      </w:r>
      <w:r w:rsidRPr="00014C4D">
        <w:rPr>
          <w:rFonts w:hint="cs"/>
          <w:b/>
          <w:bCs/>
          <w:rtl/>
        </w:rPr>
        <w:t xml:space="preserve"> פתרונות מיגון ל</w:t>
      </w:r>
      <w:r w:rsidRPr="00014C4D">
        <w:rPr>
          <w:b/>
          <w:bCs/>
          <w:rtl/>
        </w:rPr>
        <w:t>אוכלוסייה</w:t>
      </w:r>
      <w:r w:rsidRPr="00014C4D">
        <w:rPr>
          <w:rFonts w:hint="cs"/>
          <w:b/>
          <w:bCs/>
          <w:rtl/>
        </w:rPr>
        <w:t xml:space="preserve"> </w:t>
      </w:r>
      <w:r w:rsidRPr="00014C4D">
        <w:rPr>
          <w:b/>
          <w:bCs/>
          <w:rtl/>
        </w:rPr>
        <w:t>בשעת</w:t>
      </w:r>
      <w:r w:rsidRPr="00014C4D">
        <w:rPr>
          <w:rFonts w:hint="cs"/>
          <w:b/>
          <w:bCs/>
          <w:rtl/>
        </w:rPr>
        <w:t xml:space="preserve"> </w:t>
      </w:r>
      <w:r w:rsidRPr="00014C4D">
        <w:rPr>
          <w:b/>
          <w:bCs/>
          <w:rtl/>
        </w:rPr>
        <w:t>חירום</w:t>
      </w:r>
      <w:r w:rsidRPr="00014C4D">
        <w:rPr>
          <w:rFonts w:hint="cs"/>
          <w:b/>
          <w:bCs/>
          <w:rtl/>
        </w:rPr>
        <w:t xml:space="preserve"> המבוססים על המצב בפועל.</w:t>
      </w:r>
    </w:p>
    <w:p w:rsidR="00014C4D" w:rsidRPr="00014C4D" w:rsidRDefault="00014C4D" w:rsidP="00014C4D">
      <w:pPr>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 xml:space="preserve">גבעתיים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על פי נתוני תוכנית המיגון של עיריית </w:t>
      </w:r>
      <w:r w:rsidRPr="00014C4D">
        <w:rPr>
          <w:rFonts w:hint="cs"/>
          <w:b/>
          <w:bCs/>
          <w:rtl/>
        </w:rPr>
        <w:t>גבעתיים</w:t>
      </w:r>
      <w:r w:rsidRPr="00014C4D">
        <w:rPr>
          <w:rFonts w:hint="cs"/>
          <w:rtl/>
        </w:rPr>
        <w:t>,</w:t>
      </w:r>
      <w:r w:rsidRPr="00014C4D">
        <w:rPr>
          <w:rFonts w:hint="cs"/>
          <w:b/>
          <w:bCs/>
          <w:rtl/>
        </w:rPr>
        <w:t xml:space="preserve"> </w:t>
      </w:r>
      <w:r w:rsidRPr="00014C4D">
        <w:rPr>
          <w:rFonts w:hint="cs"/>
          <w:rtl/>
        </w:rPr>
        <w:t>ל-53,580 מתוך 63,743</w:t>
      </w:r>
      <w:r w:rsidRPr="00014C4D">
        <w:rPr>
          <w:vertAlign w:val="superscript"/>
          <w:rtl/>
        </w:rPr>
        <w:footnoteReference w:id="18"/>
      </w:r>
      <w:r w:rsidRPr="00014C4D">
        <w:rPr>
          <w:rFonts w:hint="cs"/>
          <w:rtl/>
        </w:rPr>
        <w:t xml:space="preserve"> התושבים (84%) יש פתרונות מיגון: ממ"ד, ממ"ק, מקלט משותף או מקלט פרטי.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אשר לשאר 10,163 התושבים חסרי המיגון (16%) - בתוכנית המיגון צוין כי </w:t>
      </w:r>
      <w:r w:rsidRPr="00014C4D">
        <w:rPr>
          <w:rtl/>
        </w:rPr>
        <w:t xml:space="preserve">בעיר יש </w:t>
      </w:r>
      <w:r w:rsidRPr="00014C4D">
        <w:rPr>
          <w:rFonts w:hint="cs"/>
          <w:rtl/>
        </w:rPr>
        <w:t xml:space="preserve">22 אתרים - 18 </w:t>
      </w:r>
      <w:r w:rsidRPr="00014C4D">
        <w:rPr>
          <w:rtl/>
        </w:rPr>
        <w:t>מקלטים ציבוריים</w:t>
      </w:r>
      <w:r w:rsidRPr="00014C4D">
        <w:rPr>
          <w:rFonts w:hint="cs"/>
          <w:rtl/>
        </w:rPr>
        <w:t xml:space="preserve"> ו-4 חניונים תת-קרקעיים - המשמשים למיגון ציבורי. על פי התוכנית, מיגון ציבורי זה יכול לספק הגנה לכ-10,500 תושבים, ולכן הוא אמור לפתור את בעיית המיגון בשעת חירום לכל התושבים חסרי המיגון התקני בגבעתיים.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b/>
          <w:bCs/>
          <w:rtl/>
        </w:rPr>
      </w:pPr>
      <w:r w:rsidRPr="00014C4D">
        <w:rPr>
          <w:rFonts w:hint="eastAsia"/>
          <w:b/>
          <w:bCs/>
          <w:rtl/>
        </w:rPr>
        <w:t>נמצא</w:t>
      </w:r>
      <w:r w:rsidRPr="00014C4D">
        <w:rPr>
          <w:b/>
          <w:bCs/>
          <w:rtl/>
        </w:rPr>
        <w:t xml:space="preserve"> כי </w:t>
      </w:r>
      <w:r w:rsidRPr="00014C4D">
        <w:rPr>
          <w:rFonts w:hint="eastAsia"/>
          <w:b/>
          <w:bCs/>
          <w:rtl/>
        </w:rPr>
        <w:t>מאחר</w:t>
      </w:r>
      <w:r w:rsidRPr="00014C4D">
        <w:rPr>
          <w:b/>
          <w:bCs/>
          <w:rtl/>
        </w:rPr>
        <w:t xml:space="preserve"> שעיריית גבעתיים לא חישבה את המרחקים שבין בתי המגורים למקלטים הציבוריים, על פי ת</w:t>
      </w:r>
      <w:r w:rsidRPr="00014C4D">
        <w:rPr>
          <w:rFonts w:hint="eastAsia"/>
          <w:b/>
          <w:bCs/>
          <w:rtl/>
        </w:rPr>
        <w:t>ו</w:t>
      </w:r>
      <w:r w:rsidRPr="00014C4D">
        <w:rPr>
          <w:b/>
          <w:bCs/>
          <w:rtl/>
        </w:rPr>
        <w:t xml:space="preserve">כנית המיגון של עיריית גבעתיים לא ניתן לדעת אם הפתרון המוצע לתושבים חסרי המיגון הוא </w:t>
      </w:r>
      <w:r w:rsidRPr="00014C4D">
        <w:rPr>
          <w:b/>
          <w:bCs/>
          <w:rtl/>
        </w:rPr>
        <w:lastRenderedPageBreak/>
        <w:t>מעשי, מאחר שעל פי הת</w:t>
      </w:r>
      <w:r w:rsidRPr="00014C4D">
        <w:rPr>
          <w:rFonts w:hint="eastAsia"/>
          <w:b/>
          <w:bCs/>
          <w:rtl/>
        </w:rPr>
        <w:t>ו</w:t>
      </w:r>
      <w:r w:rsidRPr="00014C4D">
        <w:rPr>
          <w:b/>
          <w:bCs/>
          <w:rtl/>
        </w:rPr>
        <w:t>כנית לא ניתן לדעת אם 22 אתרי המיגון הציבורי נמצאים במרחק מבתי</w:t>
      </w:r>
      <w:r w:rsidRPr="00014C4D">
        <w:rPr>
          <w:rtl/>
        </w:rPr>
        <w:t xml:space="preserve"> </w:t>
      </w:r>
      <w:r w:rsidRPr="00014C4D">
        <w:rPr>
          <w:b/>
          <w:bCs/>
          <w:rtl/>
        </w:rPr>
        <w:t xml:space="preserve">התושבים </w:t>
      </w:r>
      <w:r w:rsidRPr="00014C4D">
        <w:rPr>
          <w:rFonts w:hint="cs"/>
          <w:b/>
          <w:bCs/>
          <w:rtl/>
        </w:rPr>
        <w:t>שמאפשר</w:t>
      </w:r>
      <w:r w:rsidRPr="00014C4D">
        <w:rPr>
          <w:b/>
          <w:bCs/>
          <w:rtl/>
        </w:rPr>
        <w:t xml:space="preserve"> להגיע אליהם בשעת הצורך ב</w:t>
      </w:r>
      <w:r w:rsidRPr="00014C4D">
        <w:rPr>
          <w:rFonts w:hint="cs"/>
          <w:b/>
          <w:bCs/>
          <w:rtl/>
        </w:rPr>
        <w:t>התחשב ב</w:t>
      </w:r>
      <w:r w:rsidRPr="00014C4D">
        <w:rPr>
          <w:b/>
          <w:bCs/>
          <w:rtl/>
        </w:rPr>
        <w:t xml:space="preserve">זמן </w:t>
      </w:r>
      <w:r w:rsidRPr="00014C4D">
        <w:rPr>
          <w:rFonts w:hint="cs"/>
          <w:b/>
          <w:bCs/>
          <w:rtl/>
        </w:rPr>
        <w:t>ההתרעה</w:t>
      </w:r>
      <w:r w:rsidRPr="00014C4D">
        <w:rPr>
          <w:b/>
          <w:bCs/>
          <w:rtl/>
        </w:rPr>
        <w:t xml:space="preserve">, וממילא לא ניתן לדעת כמה תושבים צריכים לשהות במקלטים הציבוריים מראש </w:t>
      </w:r>
      <w:r w:rsidRPr="00014C4D">
        <w:rPr>
          <w:rFonts w:ascii="David" w:eastAsia="Times New Roman" w:hAnsi="David" w:hint="eastAsia"/>
          <w:b/>
          <w:bCs/>
          <w:sz w:val="24"/>
          <w:rtl/>
        </w:rPr>
        <w:t>או</w:t>
      </w:r>
      <w:r w:rsidRPr="00014C4D">
        <w:rPr>
          <w:rFonts w:ascii="David" w:eastAsia="Times New Roman" w:hAnsi="David"/>
          <w:b/>
          <w:bCs/>
          <w:sz w:val="24"/>
          <w:rtl/>
        </w:rPr>
        <w:t xml:space="preserve"> </w:t>
      </w:r>
      <w:r w:rsidRPr="00014C4D">
        <w:rPr>
          <w:rFonts w:ascii="David" w:eastAsia="Times New Roman" w:hAnsi="David" w:hint="eastAsia"/>
          <w:b/>
          <w:bCs/>
          <w:sz w:val="24"/>
          <w:rtl/>
        </w:rPr>
        <w:t>באזור</w:t>
      </w:r>
      <w:r w:rsidRPr="00014C4D">
        <w:rPr>
          <w:rFonts w:ascii="David" w:eastAsia="Times New Roman" w:hAnsi="David"/>
          <w:b/>
          <w:bCs/>
          <w:sz w:val="24"/>
          <w:rtl/>
        </w:rPr>
        <w:t xml:space="preserve"> </w:t>
      </w:r>
      <w:r w:rsidRPr="00014C4D">
        <w:rPr>
          <w:rFonts w:ascii="David" w:eastAsia="Times New Roman" w:hAnsi="David" w:hint="eastAsia"/>
          <w:b/>
          <w:bCs/>
          <w:sz w:val="24"/>
          <w:rtl/>
        </w:rPr>
        <w:t>המוגן</w:t>
      </w:r>
      <w:r w:rsidRPr="00014C4D">
        <w:rPr>
          <w:rFonts w:ascii="David" w:eastAsia="Times New Roman" w:hAnsi="David"/>
          <w:b/>
          <w:bCs/>
          <w:sz w:val="24"/>
          <w:rtl/>
        </w:rPr>
        <w:t xml:space="preserve"> </w:t>
      </w:r>
      <w:r w:rsidRPr="00014C4D">
        <w:rPr>
          <w:rFonts w:ascii="David" w:eastAsia="Times New Roman" w:hAnsi="David" w:hint="eastAsia"/>
          <w:b/>
          <w:bCs/>
          <w:sz w:val="24"/>
          <w:rtl/>
        </w:rPr>
        <w:t>שנקבע</w:t>
      </w:r>
      <w:r w:rsidRPr="00014C4D">
        <w:rPr>
          <w:rFonts w:ascii="David" w:eastAsia="Times New Roman" w:hAnsi="David"/>
          <w:b/>
          <w:bCs/>
          <w:sz w:val="24"/>
          <w:rtl/>
        </w:rPr>
        <w:t xml:space="preserve"> להם.</w:t>
      </w:r>
      <w:r w:rsidRPr="00014C4D">
        <w:rPr>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כדי</w:t>
      </w:r>
      <w:r w:rsidRPr="00014C4D">
        <w:rPr>
          <w:b/>
          <w:bCs/>
          <w:rtl/>
        </w:rPr>
        <w:t xml:space="preserve"> שפתרונות המיגון המוצעים בתוכנית המיגון של עיריית גבעתיים יהיו תקניים, </w:t>
      </w:r>
      <w:r w:rsidRPr="00014C4D">
        <w:rPr>
          <w:rFonts w:hint="eastAsia"/>
          <w:b/>
          <w:bCs/>
          <w:rtl/>
        </w:rPr>
        <w:t>על</w:t>
      </w:r>
      <w:r w:rsidRPr="00014C4D">
        <w:rPr>
          <w:b/>
          <w:bCs/>
          <w:rtl/>
        </w:rPr>
        <w:t xml:space="preserve"> </w:t>
      </w:r>
      <w:r w:rsidRPr="00014C4D">
        <w:rPr>
          <w:rFonts w:hint="eastAsia"/>
          <w:b/>
          <w:bCs/>
          <w:rtl/>
        </w:rPr>
        <w:t>עיריית</w:t>
      </w:r>
      <w:r w:rsidRPr="00014C4D">
        <w:rPr>
          <w:b/>
          <w:bCs/>
          <w:rtl/>
        </w:rPr>
        <w:t xml:space="preserve"> </w:t>
      </w:r>
      <w:r w:rsidRPr="00014C4D">
        <w:rPr>
          <w:rFonts w:hint="eastAsia"/>
          <w:b/>
          <w:bCs/>
          <w:rtl/>
        </w:rPr>
        <w:t>גבעתיים</w:t>
      </w:r>
      <w:r w:rsidRPr="00014C4D">
        <w:rPr>
          <w:b/>
          <w:bCs/>
          <w:rtl/>
        </w:rPr>
        <w:t xml:space="preserve"> </w:t>
      </w:r>
      <w:r w:rsidRPr="00014C4D">
        <w:rPr>
          <w:rFonts w:hint="eastAsia"/>
          <w:b/>
          <w:bCs/>
          <w:rtl/>
        </w:rPr>
        <w:t>לחשב</w:t>
      </w:r>
      <w:r w:rsidRPr="00014C4D">
        <w:rPr>
          <w:b/>
          <w:bCs/>
          <w:rtl/>
        </w:rPr>
        <w:t xml:space="preserve"> </w:t>
      </w:r>
      <w:r w:rsidRPr="00014C4D">
        <w:rPr>
          <w:rFonts w:hint="eastAsia"/>
          <w:b/>
          <w:bCs/>
          <w:rtl/>
        </w:rPr>
        <w:t>גם</w:t>
      </w:r>
      <w:r w:rsidRPr="00014C4D">
        <w:rPr>
          <w:b/>
          <w:bCs/>
          <w:rtl/>
        </w:rPr>
        <w:t xml:space="preserve"> </w:t>
      </w:r>
      <w:r w:rsidRPr="00014C4D">
        <w:rPr>
          <w:rFonts w:hint="eastAsia"/>
          <w:b/>
          <w:bCs/>
          <w:rtl/>
        </w:rPr>
        <w:t>את</w:t>
      </w:r>
      <w:r w:rsidRPr="00014C4D">
        <w:rPr>
          <w:b/>
          <w:bCs/>
          <w:rtl/>
        </w:rPr>
        <w:t xml:space="preserve"> </w:t>
      </w:r>
      <w:r w:rsidRPr="00014C4D">
        <w:rPr>
          <w:rFonts w:hint="eastAsia"/>
          <w:b/>
          <w:bCs/>
          <w:rtl/>
        </w:rPr>
        <w:t>המרחקים</w:t>
      </w:r>
      <w:r w:rsidRPr="00014C4D">
        <w:rPr>
          <w:b/>
          <w:bCs/>
          <w:rtl/>
        </w:rPr>
        <w:t xml:space="preserve"> </w:t>
      </w:r>
      <w:r w:rsidRPr="00014C4D">
        <w:rPr>
          <w:rFonts w:hint="eastAsia"/>
          <w:b/>
          <w:bCs/>
          <w:rtl/>
        </w:rPr>
        <w:t>שבין</w:t>
      </w:r>
      <w:r w:rsidRPr="00014C4D">
        <w:rPr>
          <w:b/>
          <w:bCs/>
          <w:rtl/>
        </w:rPr>
        <w:t xml:space="preserve"> </w:t>
      </w:r>
      <w:r w:rsidRPr="00014C4D">
        <w:rPr>
          <w:rFonts w:hint="eastAsia"/>
          <w:b/>
          <w:bCs/>
          <w:rtl/>
        </w:rPr>
        <w:t>בתי</w:t>
      </w:r>
      <w:r w:rsidRPr="00014C4D">
        <w:rPr>
          <w:b/>
          <w:bCs/>
          <w:rtl/>
        </w:rPr>
        <w:t xml:space="preserve"> </w:t>
      </w:r>
      <w:r w:rsidRPr="00014C4D">
        <w:rPr>
          <w:rFonts w:hint="eastAsia"/>
          <w:b/>
          <w:bCs/>
          <w:rtl/>
        </w:rPr>
        <w:t>המגורים</w:t>
      </w:r>
      <w:r w:rsidRPr="00014C4D">
        <w:rPr>
          <w:b/>
          <w:bCs/>
          <w:rtl/>
        </w:rPr>
        <w:t xml:space="preserve"> </w:t>
      </w:r>
      <w:r w:rsidRPr="00014C4D">
        <w:rPr>
          <w:rFonts w:hint="eastAsia"/>
          <w:b/>
          <w:bCs/>
          <w:rtl/>
        </w:rPr>
        <w:t>למקלטים</w:t>
      </w:r>
      <w:r w:rsidRPr="00014C4D">
        <w:rPr>
          <w:b/>
          <w:bCs/>
          <w:rtl/>
        </w:rPr>
        <w:t xml:space="preserve"> </w:t>
      </w:r>
      <w:r w:rsidRPr="00014C4D">
        <w:rPr>
          <w:rFonts w:hint="eastAsia"/>
          <w:b/>
          <w:bCs/>
          <w:rtl/>
        </w:rPr>
        <w:t>הציבוריים</w:t>
      </w:r>
      <w:r w:rsidRPr="00014C4D">
        <w:rPr>
          <w:b/>
          <w:bCs/>
          <w:rtl/>
        </w:rPr>
        <w:t xml:space="preserve">, </w:t>
      </w:r>
      <w:r w:rsidRPr="00014C4D">
        <w:rPr>
          <w:rFonts w:hint="eastAsia"/>
          <w:b/>
          <w:bCs/>
          <w:rtl/>
        </w:rPr>
        <w:t>למקלטים</w:t>
      </w:r>
      <w:r w:rsidRPr="00014C4D">
        <w:rPr>
          <w:b/>
          <w:bCs/>
          <w:rtl/>
        </w:rPr>
        <w:t xml:space="preserve"> </w:t>
      </w:r>
      <w:r w:rsidRPr="00014C4D">
        <w:rPr>
          <w:rFonts w:hint="eastAsia"/>
          <w:b/>
          <w:bCs/>
          <w:rtl/>
        </w:rPr>
        <w:t>בבתי</w:t>
      </w:r>
      <w:r w:rsidRPr="00014C4D">
        <w:rPr>
          <w:b/>
          <w:bCs/>
          <w:rtl/>
        </w:rPr>
        <w:t xml:space="preserve"> </w:t>
      </w:r>
      <w:r w:rsidRPr="00014C4D">
        <w:rPr>
          <w:rFonts w:hint="eastAsia"/>
          <w:b/>
          <w:bCs/>
          <w:rtl/>
        </w:rPr>
        <w:t>הספר</w:t>
      </w:r>
      <w:r w:rsidRPr="00014C4D">
        <w:rPr>
          <w:b/>
          <w:bCs/>
          <w:rtl/>
        </w:rPr>
        <w:t xml:space="preserve"> </w:t>
      </w:r>
      <w:r w:rsidRPr="00014C4D">
        <w:rPr>
          <w:rFonts w:hint="eastAsia"/>
          <w:b/>
          <w:bCs/>
          <w:rtl/>
        </w:rPr>
        <w:t>ולחניונים</w:t>
      </w:r>
      <w:r w:rsidRPr="00014C4D">
        <w:rPr>
          <w:b/>
          <w:bCs/>
          <w:rtl/>
        </w:rPr>
        <w:t xml:space="preserve"> </w:t>
      </w:r>
      <w:r w:rsidRPr="00014C4D">
        <w:rPr>
          <w:rFonts w:hint="eastAsia"/>
          <w:b/>
          <w:bCs/>
          <w:rtl/>
        </w:rPr>
        <w:t>התת</w:t>
      </w:r>
      <w:r w:rsidRPr="00014C4D">
        <w:rPr>
          <w:b/>
          <w:bCs/>
          <w:rtl/>
        </w:rPr>
        <w:t xml:space="preserve">-קרקעיים </w:t>
      </w:r>
      <w:r w:rsidRPr="00014C4D">
        <w:rPr>
          <w:rFonts w:hint="eastAsia"/>
          <w:b/>
          <w:bCs/>
          <w:rtl/>
        </w:rPr>
        <w:t>ולוודא</w:t>
      </w:r>
      <w:r w:rsidRPr="00014C4D">
        <w:rPr>
          <w:b/>
          <w:bCs/>
          <w:rtl/>
        </w:rPr>
        <w:t xml:space="preserve"> </w:t>
      </w:r>
      <w:r w:rsidRPr="00014C4D">
        <w:rPr>
          <w:rFonts w:hint="eastAsia"/>
          <w:b/>
          <w:bCs/>
          <w:rtl/>
        </w:rPr>
        <w:t>שהמרחקים</w:t>
      </w:r>
      <w:r w:rsidRPr="00014C4D">
        <w:rPr>
          <w:b/>
          <w:bCs/>
          <w:rtl/>
        </w:rPr>
        <w:t xml:space="preserve"> </w:t>
      </w:r>
      <w:r w:rsidRPr="00014C4D">
        <w:rPr>
          <w:rFonts w:hint="eastAsia"/>
          <w:b/>
          <w:bCs/>
          <w:rtl/>
        </w:rPr>
        <w:t>ביחס</w:t>
      </w:r>
      <w:r w:rsidRPr="00014C4D">
        <w:rPr>
          <w:b/>
          <w:bCs/>
          <w:rtl/>
        </w:rPr>
        <w:t xml:space="preserve"> </w:t>
      </w:r>
      <w:r w:rsidRPr="00014C4D">
        <w:rPr>
          <w:rFonts w:hint="eastAsia"/>
          <w:b/>
          <w:bCs/>
          <w:rtl/>
        </w:rPr>
        <w:t>לבתי</w:t>
      </w:r>
      <w:r w:rsidRPr="00014C4D">
        <w:rPr>
          <w:b/>
          <w:bCs/>
          <w:rtl/>
        </w:rPr>
        <w:t xml:space="preserve"> </w:t>
      </w:r>
      <w:r w:rsidRPr="00014C4D">
        <w:rPr>
          <w:rFonts w:hint="eastAsia"/>
          <w:b/>
          <w:bCs/>
          <w:rtl/>
        </w:rPr>
        <w:t>התושבים</w:t>
      </w:r>
      <w:r w:rsidRPr="00014C4D">
        <w:rPr>
          <w:b/>
          <w:bCs/>
          <w:rtl/>
        </w:rPr>
        <w:t xml:space="preserve"> </w:t>
      </w:r>
      <w:r w:rsidRPr="00014C4D">
        <w:rPr>
          <w:rFonts w:hint="eastAsia"/>
          <w:b/>
          <w:bCs/>
          <w:rtl/>
        </w:rPr>
        <w:t>חסרי</w:t>
      </w:r>
      <w:r w:rsidRPr="00014C4D">
        <w:rPr>
          <w:b/>
          <w:bCs/>
          <w:rtl/>
        </w:rPr>
        <w:t xml:space="preserve"> </w:t>
      </w:r>
      <w:r w:rsidRPr="00014C4D">
        <w:rPr>
          <w:rFonts w:hint="eastAsia"/>
          <w:b/>
          <w:bCs/>
          <w:rtl/>
        </w:rPr>
        <w:t>המיגון</w:t>
      </w:r>
      <w:r w:rsidRPr="00014C4D">
        <w:rPr>
          <w:rFonts w:hint="cs"/>
          <w:b/>
          <w:bCs/>
          <w:rtl/>
        </w:rPr>
        <w:t xml:space="preserve"> מאפשרים הגעה אליהם במשך זמן ההתרעה</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עיריית </w:t>
      </w:r>
      <w:r w:rsidRPr="00014C4D">
        <w:rPr>
          <w:rFonts w:hint="eastAsia"/>
          <w:b/>
          <w:bCs/>
          <w:rtl/>
        </w:rPr>
        <w:t>גבעתיים</w:t>
      </w:r>
      <w:r w:rsidRPr="00014C4D">
        <w:rPr>
          <w:rFonts w:hint="cs"/>
          <w:rtl/>
        </w:rPr>
        <w:t xml:space="preserve"> מסרה בתשובתה </w:t>
      </w:r>
      <w:r w:rsidRPr="00014C4D">
        <w:rPr>
          <w:rFonts w:ascii="David" w:eastAsia="Times New Roman" w:hAnsi="David" w:hint="cs"/>
          <w:sz w:val="24"/>
          <w:rtl/>
        </w:rPr>
        <w:t xml:space="preserve">למשרד מבקר המדינה מיוני 2025 (להלן - תשובת עיריית </w:t>
      </w:r>
      <w:r w:rsidRPr="00014C4D">
        <w:rPr>
          <w:rFonts w:hint="cs"/>
          <w:rtl/>
        </w:rPr>
        <w:t xml:space="preserve">גבעתיים) כי מספר התושבים ללא מיגון תקני נמצא בירידה מתמדת בהתאם להתקדמות ההתחדשות העירונית. בשנת 2011 היה שיעורם 26% וכיום הוא </w:t>
      </w:r>
      <w:r w:rsidRPr="00014C4D">
        <w:rPr>
          <w:rtl/>
        </w:rPr>
        <w:t>6.7%</w:t>
      </w:r>
      <w:r w:rsidRPr="00014C4D">
        <w:rPr>
          <w:rFonts w:hint="cs"/>
          <w:rtl/>
        </w:rPr>
        <w:t xml:space="preserve">. העירייה צופה כי השיעור ירד ל-2.5% בעקבות אישור בניית מאגר מים עירוני שבנייתו תחל ב-2026, ובעקבותיה יורחבו תוכניות ההתחדשות העירונית בעיר.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פקע</w:t>
      </w:r>
      <w:r w:rsidRPr="00014C4D">
        <w:rPr>
          <w:rtl/>
        </w:rPr>
        <w:t xml:space="preserve">"ר </w:t>
      </w:r>
      <w:r w:rsidRPr="00014C4D">
        <w:rPr>
          <w:rFonts w:hint="eastAsia"/>
          <w:rtl/>
        </w:rPr>
        <w:t>מסר</w:t>
      </w:r>
      <w:r w:rsidRPr="00014C4D">
        <w:rPr>
          <w:rtl/>
        </w:rPr>
        <w:t xml:space="preserve"> </w:t>
      </w:r>
      <w:r w:rsidRPr="00014C4D">
        <w:rPr>
          <w:rFonts w:hint="eastAsia"/>
          <w:rtl/>
        </w:rPr>
        <w:t>בתשובתו</w:t>
      </w:r>
      <w:r w:rsidRPr="00014C4D">
        <w:rPr>
          <w:rtl/>
        </w:rPr>
        <w:t xml:space="preserve"> </w:t>
      </w:r>
      <w:r w:rsidRPr="00014C4D">
        <w:rPr>
          <w:rFonts w:hint="eastAsia"/>
          <w:rtl/>
        </w:rPr>
        <w:t>כי</w:t>
      </w:r>
      <w:r w:rsidRPr="00014C4D">
        <w:rPr>
          <w:rtl/>
        </w:rPr>
        <w:t xml:space="preserve"> "תפיסת המיגון של פקע״ר היא שהמקלוט הציבורי מהווה שט</w:t>
      </w:r>
      <w:r w:rsidRPr="00014C4D">
        <w:rPr>
          <w:rFonts w:hint="cs"/>
          <w:rtl/>
        </w:rPr>
        <w:t>ח</w:t>
      </w:r>
      <w:r w:rsidRPr="00014C4D">
        <w:rPr>
          <w:rtl/>
        </w:rPr>
        <w:t xml:space="preserve"> מיגו</w:t>
      </w:r>
      <w:r w:rsidR="00B30966">
        <w:rPr>
          <w:rFonts w:hint="cs"/>
          <w:rtl/>
        </w:rPr>
        <w:t>ן</w:t>
      </w:r>
      <w:r w:rsidRPr="00014C4D">
        <w:rPr>
          <w:rtl/>
        </w:rPr>
        <w:t xml:space="preserve"> פוטנציאלי לשימוש הרשות המקומית בהתאם לצרכיה ותושביה, אך שטח מיגון זה אינו נלקח בחשבון סגירת פערי המיגון בחישוב נתוני המיגון הפרטי, אלא מהווה קיבולת מיגונית אפשרית לשימוש הרשות המקומית ברמה המוניציפאלית. זאת משום שהמיגון הציבורי איננו פרטי בהגדרה ועל כן, אינו מוצמד כקניין לפרט ואחזקתו, ניהולו בחירום ותפעולו אינו באחריות הפרט אלא בידי הרשות המקומית בצורה </w:t>
      </w:r>
      <w:r w:rsidRPr="00014C4D">
        <w:rPr>
          <w:rFonts w:hint="cs"/>
          <w:rtl/>
        </w:rPr>
        <w:t>קולקטיבי</w:t>
      </w:r>
      <w:r w:rsidRPr="00014C4D">
        <w:rPr>
          <w:rFonts w:hint="eastAsia"/>
          <w:rtl/>
        </w:rPr>
        <w:t>ת</w:t>
      </w:r>
      <w:r w:rsidRPr="00014C4D">
        <w:rPr>
          <w:rtl/>
        </w:rPr>
        <w:t xml:space="preserve"> לתושבי הרשות. לכן המרחק התקני אינו רלוונטי בהקשר זה".</w:t>
      </w:r>
    </w:p>
    <w:p w:rsidR="00014C4D" w:rsidRPr="00014C4D" w:rsidRDefault="00014C4D" w:rsidP="00014C4D">
      <w:pPr>
        <w:spacing w:line="269" w:lineRule="auto"/>
        <w:ind w:left="-567"/>
        <w:rPr>
          <w:szCs w:val="20"/>
          <w:rtl/>
        </w:rPr>
      </w:pPr>
    </w:p>
    <w:p w:rsidR="00014C4D" w:rsidRPr="00014C4D" w:rsidRDefault="00014C4D" w:rsidP="006049F8">
      <w:pPr>
        <w:spacing w:line="269" w:lineRule="auto"/>
        <w:ind w:left="-1"/>
        <w:rPr>
          <w:b/>
          <w:bCs/>
          <w:rtl/>
        </w:rPr>
      </w:pPr>
      <w:r w:rsidRPr="00014C4D">
        <w:rPr>
          <w:rFonts w:hint="cs"/>
          <w:b/>
          <w:bCs/>
          <w:rtl/>
        </w:rPr>
        <w:t xml:space="preserve">אף שהמקלוט הציבורי אינו נלקח </w:t>
      </w:r>
      <w:r w:rsidR="006049F8">
        <w:rPr>
          <w:rFonts w:hint="cs"/>
          <w:b/>
          <w:bCs/>
          <w:rtl/>
        </w:rPr>
        <w:t xml:space="preserve">בחשבון </w:t>
      </w:r>
      <w:r w:rsidRPr="00014C4D">
        <w:rPr>
          <w:rFonts w:hint="cs"/>
          <w:b/>
          <w:bCs/>
          <w:rtl/>
        </w:rPr>
        <w:t>בחישוב פערי המיגון, על מנת שתהיה לרשות המקומית תמונת מצב כוללת של אמצעי המיגון ברשות, מומלץ ל</w:t>
      </w:r>
      <w:r w:rsidRPr="00014C4D">
        <w:rPr>
          <w:rFonts w:hint="eastAsia"/>
          <w:b/>
          <w:bCs/>
          <w:rtl/>
        </w:rPr>
        <w:t>פקע</w:t>
      </w:r>
      <w:r w:rsidRPr="00014C4D">
        <w:rPr>
          <w:b/>
          <w:bCs/>
          <w:rtl/>
        </w:rPr>
        <w:t xml:space="preserve">"ר </w:t>
      </w:r>
      <w:r w:rsidRPr="00014C4D">
        <w:rPr>
          <w:rFonts w:hint="eastAsia"/>
          <w:b/>
          <w:bCs/>
          <w:rtl/>
        </w:rPr>
        <w:t>לאשר</w:t>
      </w:r>
      <w:r w:rsidRPr="00014C4D">
        <w:rPr>
          <w:b/>
          <w:bCs/>
          <w:rtl/>
        </w:rPr>
        <w:t xml:space="preserve"> </w:t>
      </w:r>
      <w:r w:rsidRPr="00014C4D">
        <w:rPr>
          <w:rFonts w:hint="eastAsia"/>
          <w:b/>
          <w:bCs/>
          <w:rtl/>
        </w:rPr>
        <w:t>תוכנית</w:t>
      </w:r>
      <w:r w:rsidRPr="00014C4D">
        <w:rPr>
          <w:b/>
          <w:bCs/>
          <w:rtl/>
        </w:rPr>
        <w:t xml:space="preserve"> </w:t>
      </w:r>
      <w:r w:rsidRPr="00014C4D">
        <w:rPr>
          <w:rFonts w:hint="eastAsia"/>
          <w:b/>
          <w:bCs/>
          <w:rtl/>
        </w:rPr>
        <w:t>מיגון</w:t>
      </w:r>
      <w:r w:rsidRPr="00014C4D">
        <w:rPr>
          <w:b/>
          <w:bCs/>
          <w:rtl/>
        </w:rPr>
        <w:t xml:space="preserve"> </w:t>
      </w:r>
      <w:r w:rsidRPr="00014C4D">
        <w:rPr>
          <w:rFonts w:hint="eastAsia"/>
          <w:b/>
          <w:bCs/>
          <w:rtl/>
        </w:rPr>
        <w:t>רשותית</w:t>
      </w:r>
      <w:r w:rsidRPr="00014C4D">
        <w:rPr>
          <w:b/>
          <w:bCs/>
          <w:rtl/>
        </w:rPr>
        <w:t xml:space="preserve"> </w:t>
      </w:r>
      <w:r w:rsidRPr="00014C4D">
        <w:rPr>
          <w:rFonts w:hint="eastAsia"/>
          <w:b/>
          <w:bCs/>
          <w:rtl/>
        </w:rPr>
        <w:t>רק</w:t>
      </w:r>
      <w:r w:rsidRPr="00014C4D">
        <w:rPr>
          <w:b/>
          <w:bCs/>
          <w:rtl/>
        </w:rPr>
        <w:t xml:space="preserve"> </w:t>
      </w:r>
      <w:r w:rsidRPr="00014C4D">
        <w:rPr>
          <w:rFonts w:hint="eastAsia"/>
          <w:b/>
          <w:bCs/>
          <w:rtl/>
        </w:rPr>
        <w:t>לאחר</w:t>
      </w:r>
      <w:r w:rsidRPr="00014C4D">
        <w:rPr>
          <w:b/>
          <w:bCs/>
          <w:rtl/>
        </w:rPr>
        <w:t xml:space="preserve"> </w:t>
      </w:r>
      <w:r w:rsidRPr="00014C4D">
        <w:rPr>
          <w:rFonts w:hint="eastAsia"/>
          <w:b/>
          <w:bCs/>
          <w:rtl/>
        </w:rPr>
        <w:t>שווידא</w:t>
      </w:r>
      <w:r w:rsidRPr="00014C4D">
        <w:rPr>
          <w:b/>
          <w:bCs/>
          <w:rtl/>
        </w:rPr>
        <w:t xml:space="preserve"> </w:t>
      </w:r>
      <w:r w:rsidRPr="00014C4D">
        <w:rPr>
          <w:rFonts w:hint="eastAsia"/>
          <w:b/>
          <w:bCs/>
          <w:rtl/>
        </w:rPr>
        <w:t>שהיא</w:t>
      </w:r>
      <w:r w:rsidRPr="00014C4D">
        <w:rPr>
          <w:b/>
          <w:bCs/>
          <w:rtl/>
        </w:rPr>
        <w:t xml:space="preserve"> </w:t>
      </w:r>
      <w:r w:rsidRPr="00014C4D">
        <w:rPr>
          <w:rFonts w:hint="eastAsia"/>
          <w:b/>
          <w:bCs/>
          <w:rtl/>
        </w:rPr>
        <w:t>כוללת</w:t>
      </w:r>
      <w:r w:rsidRPr="00014C4D">
        <w:rPr>
          <w:b/>
          <w:bCs/>
          <w:rtl/>
        </w:rPr>
        <w:t xml:space="preserve"> </w:t>
      </w:r>
      <w:r w:rsidRPr="00014C4D">
        <w:rPr>
          <w:rFonts w:hint="eastAsia"/>
          <w:b/>
          <w:bCs/>
          <w:rtl/>
        </w:rPr>
        <w:t>את</w:t>
      </w:r>
      <w:r w:rsidRPr="00014C4D">
        <w:rPr>
          <w:b/>
          <w:bCs/>
          <w:rtl/>
        </w:rPr>
        <w:t xml:space="preserve"> </w:t>
      </w:r>
      <w:r w:rsidRPr="00014C4D">
        <w:rPr>
          <w:rFonts w:hint="eastAsia"/>
          <w:b/>
          <w:bCs/>
          <w:rtl/>
        </w:rPr>
        <w:t>הנתונים</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המרחקים</w:t>
      </w:r>
      <w:r w:rsidRPr="00014C4D">
        <w:rPr>
          <w:b/>
          <w:bCs/>
          <w:rtl/>
        </w:rPr>
        <w:t xml:space="preserve"> </w:t>
      </w:r>
      <w:r w:rsidRPr="00014C4D">
        <w:rPr>
          <w:rFonts w:hint="eastAsia"/>
          <w:b/>
          <w:bCs/>
          <w:rtl/>
        </w:rPr>
        <w:t>שבין</w:t>
      </w:r>
      <w:r w:rsidRPr="00014C4D">
        <w:rPr>
          <w:b/>
          <w:bCs/>
          <w:rtl/>
        </w:rPr>
        <w:t xml:space="preserve"> </w:t>
      </w:r>
      <w:r w:rsidRPr="00014C4D">
        <w:rPr>
          <w:rFonts w:hint="eastAsia"/>
          <w:b/>
          <w:bCs/>
          <w:rtl/>
        </w:rPr>
        <w:t>בתי</w:t>
      </w:r>
      <w:r w:rsidRPr="00014C4D">
        <w:rPr>
          <w:b/>
          <w:bCs/>
          <w:rtl/>
        </w:rPr>
        <w:t xml:space="preserve"> </w:t>
      </w:r>
      <w:r w:rsidRPr="00014C4D">
        <w:rPr>
          <w:rFonts w:hint="eastAsia"/>
          <w:b/>
          <w:bCs/>
          <w:rtl/>
        </w:rPr>
        <w:t>המגורים</w:t>
      </w:r>
      <w:r w:rsidRPr="00014C4D">
        <w:rPr>
          <w:b/>
          <w:bCs/>
          <w:rtl/>
        </w:rPr>
        <w:t xml:space="preserve"> </w:t>
      </w:r>
      <w:r w:rsidRPr="00014C4D">
        <w:rPr>
          <w:rFonts w:hint="eastAsia"/>
          <w:b/>
          <w:bCs/>
          <w:rtl/>
        </w:rPr>
        <w:t>של</w:t>
      </w:r>
      <w:r w:rsidRPr="00014C4D">
        <w:rPr>
          <w:b/>
          <w:bCs/>
          <w:rtl/>
        </w:rPr>
        <w:t xml:space="preserve"> </w:t>
      </w:r>
      <w:r w:rsidRPr="00014C4D">
        <w:rPr>
          <w:rFonts w:hint="eastAsia"/>
          <w:b/>
          <w:bCs/>
          <w:rtl/>
        </w:rPr>
        <w:t>תושבים</w:t>
      </w:r>
      <w:r w:rsidRPr="00014C4D">
        <w:rPr>
          <w:b/>
          <w:bCs/>
          <w:rtl/>
        </w:rPr>
        <w:t xml:space="preserve"> </w:t>
      </w:r>
      <w:r w:rsidRPr="00014C4D">
        <w:rPr>
          <w:rFonts w:hint="eastAsia"/>
          <w:b/>
          <w:bCs/>
          <w:rtl/>
        </w:rPr>
        <w:t>חסרי</w:t>
      </w:r>
      <w:r w:rsidRPr="00014C4D">
        <w:rPr>
          <w:b/>
          <w:bCs/>
          <w:rtl/>
        </w:rPr>
        <w:t xml:space="preserve"> </w:t>
      </w:r>
      <w:r w:rsidRPr="00014C4D">
        <w:rPr>
          <w:rFonts w:hint="eastAsia"/>
          <w:b/>
          <w:bCs/>
          <w:rtl/>
        </w:rPr>
        <w:t>מיגון</w:t>
      </w:r>
      <w:r w:rsidRPr="00014C4D">
        <w:rPr>
          <w:b/>
          <w:bCs/>
          <w:rtl/>
        </w:rPr>
        <w:t xml:space="preserve"> </w:t>
      </w:r>
      <w:r w:rsidRPr="00014C4D">
        <w:rPr>
          <w:rFonts w:hint="eastAsia"/>
          <w:b/>
          <w:bCs/>
          <w:rtl/>
        </w:rPr>
        <w:t>למקלטים</w:t>
      </w:r>
      <w:r w:rsidRPr="00014C4D">
        <w:rPr>
          <w:b/>
          <w:bCs/>
          <w:rtl/>
        </w:rPr>
        <w:t xml:space="preserve"> </w:t>
      </w:r>
      <w:r w:rsidRPr="00014C4D">
        <w:rPr>
          <w:rFonts w:hint="eastAsia"/>
          <w:b/>
          <w:bCs/>
          <w:rtl/>
        </w:rPr>
        <w:t>הציבוריים</w:t>
      </w:r>
      <w:r w:rsidRPr="00014C4D">
        <w:rPr>
          <w:b/>
          <w:bCs/>
          <w:rtl/>
        </w:rPr>
        <w:t>.</w:t>
      </w:r>
      <w:r w:rsidR="006049F8">
        <w:rPr>
          <w:rFonts w:hint="cs"/>
          <w:b/>
          <w:bCs/>
          <w:rtl/>
        </w:rPr>
        <w:t xml:space="preserve"> </w:t>
      </w:r>
      <w:r w:rsidR="006049F8" w:rsidRPr="006049F8">
        <w:rPr>
          <w:b/>
          <w:bCs/>
          <w:rtl/>
        </w:rPr>
        <w:t xml:space="preserve">זאת, </w:t>
      </w:r>
      <w:r w:rsidR="006049F8">
        <w:rPr>
          <w:rFonts w:hint="cs"/>
          <w:b/>
          <w:bCs/>
          <w:rtl/>
        </w:rPr>
        <w:t xml:space="preserve">כדי </w:t>
      </w:r>
      <w:r w:rsidR="006049F8" w:rsidRPr="006049F8">
        <w:rPr>
          <w:b/>
          <w:bCs/>
          <w:rtl/>
        </w:rPr>
        <w:t xml:space="preserve">שתהיה לרשות המקומית תמונת מצב כוללת של אמצעי המיגון </w:t>
      </w:r>
      <w:r w:rsidR="006049F8">
        <w:rPr>
          <w:rFonts w:hint="cs"/>
          <w:b/>
          <w:bCs/>
          <w:rtl/>
        </w:rPr>
        <w:t>בשטח שיפוטה,</w:t>
      </w:r>
      <w:r w:rsidR="006049F8" w:rsidRPr="006049F8">
        <w:rPr>
          <w:b/>
          <w:bCs/>
          <w:rtl/>
        </w:rPr>
        <w:t xml:space="preserve"> </w:t>
      </w:r>
      <w:r w:rsidR="006049F8">
        <w:rPr>
          <w:rFonts w:hint="cs"/>
          <w:b/>
          <w:bCs/>
          <w:rtl/>
        </w:rPr>
        <w:t xml:space="preserve">וכדי </w:t>
      </w:r>
      <w:r w:rsidR="006049F8" w:rsidRPr="006049F8">
        <w:rPr>
          <w:b/>
          <w:bCs/>
          <w:rtl/>
        </w:rPr>
        <w:t xml:space="preserve">שהיא תוכל לוודא שהמקלוט הציבורי </w:t>
      </w:r>
      <w:r w:rsidR="006049F8">
        <w:rPr>
          <w:rFonts w:hint="cs"/>
          <w:b/>
          <w:bCs/>
          <w:rtl/>
        </w:rPr>
        <w:t xml:space="preserve">בשטחה </w:t>
      </w:r>
      <w:r w:rsidR="006049F8" w:rsidRPr="006049F8">
        <w:rPr>
          <w:b/>
          <w:bCs/>
          <w:rtl/>
        </w:rPr>
        <w:t>אכן עשוי לשמש הלכה למעשה שטח מיגו</w:t>
      </w:r>
      <w:r w:rsidR="00B30966">
        <w:rPr>
          <w:rFonts w:hint="cs"/>
          <w:b/>
          <w:bCs/>
          <w:rtl/>
        </w:rPr>
        <w:t>ן</w:t>
      </w:r>
      <w:r w:rsidR="006049F8" w:rsidRPr="006049F8">
        <w:rPr>
          <w:b/>
          <w:bCs/>
          <w:rtl/>
        </w:rPr>
        <w:t xml:space="preserve"> פוטנציאלי בהתאם לצרכי</w:t>
      </w:r>
      <w:r w:rsidR="006049F8">
        <w:rPr>
          <w:rFonts w:hint="cs"/>
          <w:b/>
          <w:bCs/>
          <w:rtl/>
        </w:rPr>
        <w:t>ה</w:t>
      </w:r>
      <w:r w:rsidR="006049F8" w:rsidRPr="006049F8">
        <w:rPr>
          <w:b/>
          <w:bCs/>
          <w:rtl/>
        </w:rPr>
        <w:t xml:space="preserve"> ו</w:t>
      </w:r>
      <w:r w:rsidR="006049F8">
        <w:rPr>
          <w:rFonts w:hint="cs"/>
          <w:b/>
          <w:bCs/>
          <w:rtl/>
        </w:rPr>
        <w:t xml:space="preserve">לצורכי </w:t>
      </w:r>
      <w:r w:rsidR="006049F8" w:rsidRPr="006049F8">
        <w:rPr>
          <w:b/>
          <w:bCs/>
          <w:rtl/>
        </w:rPr>
        <w:t>תושביה</w:t>
      </w:r>
      <w:r w:rsidR="00B30966">
        <w:rPr>
          <w:rFonts w:hint="cs"/>
          <w:b/>
          <w:bCs/>
          <w:rtl/>
        </w:rPr>
        <w:t>.</w:t>
      </w:r>
    </w:p>
    <w:p w:rsidR="00014C4D" w:rsidRPr="00014C4D" w:rsidRDefault="00014C4D" w:rsidP="00014C4D">
      <w:pPr>
        <w:spacing w:line="269" w:lineRule="auto"/>
        <w:ind w:left="-1"/>
        <w:rPr>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הגלבוע</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על פי נתונים שמסרה המועצה האזורית הגלבוע בספטמבר 2024 לעובדי משרד מבקר המדינה</w:t>
      </w:r>
      <w:r w:rsidRPr="00014C4D">
        <w:rPr>
          <w:rFonts w:hint="cs"/>
          <w:b/>
          <w:bCs/>
          <w:rtl/>
        </w:rPr>
        <w:t xml:space="preserve">, </w:t>
      </w:r>
      <w:r w:rsidRPr="00014C4D">
        <w:rPr>
          <w:rFonts w:hint="cs"/>
          <w:rtl/>
        </w:rPr>
        <w:t>ל-9,329 מתוך 14,747 בתי המגורים בתחומה (63%) יש פתרונות מיגון כגון ממ"דים ומקלטים פרטיים, ולשאר 5,418 בתי מגורים (37%) אין מיגון תקני.</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נמצא</w:t>
      </w:r>
      <w:r w:rsidRPr="00014C4D">
        <w:rPr>
          <w:b/>
          <w:bCs/>
          <w:rtl/>
        </w:rPr>
        <w:t xml:space="preserve"> </w:t>
      </w:r>
      <w:r w:rsidRPr="00014C4D">
        <w:rPr>
          <w:rFonts w:hint="eastAsia"/>
          <w:b/>
          <w:bCs/>
          <w:rtl/>
        </w:rPr>
        <w:t>כי</w:t>
      </w:r>
      <w:r w:rsidRPr="00014C4D">
        <w:rPr>
          <w:b/>
          <w:bCs/>
          <w:rtl/>
        </w:rPr>
        <w:t xml:space="preserve"> </w:t>
      </w:r>
      <w:r w:rsidRPr="00014C4D">
        <w:rPr>
          <w:rFonts w:hint="eastAsia"/>
          <w:b/>
          <w:bCs/>
          <w:rtl/>
        </w:rPr>
        <w:t>עד</w:t>
      </w:r>
      <w:r w:rsidRPr="00014C4D">
        <w:rPr>
          <w:b/>
          <w:bCs/>
          <w:rtl/>
        </w:rPr>
        <w:t xml:space="preserve"> </w:t>
      </w:r>
      <w:r w:rsidRPr="00014C4D">
        <w:rPr>
          <w:rFonts w:hint="eastAsia"/>
          <w:b/>
          <w:bCs/>
          <w:rtl/>
        </w:rPr>
        <w:t>אוגוסט</w:t>
      </w:r>
      <w:r w:rsidRPr="00014C4D">
        <w:rPr>
          <w:b/>
          <w:bCs/>
          <w:rtl/>
        </w:rPr>
        <w:t xml:space="preserve"> 2024 </w:t>
      </w:r>
      <w:r w:rsidRPr="00014C4D">
        <w:rPr>
          <w:rFonts w:hint="eastAsia"/>
          <w:b/>
          <w:bCs/>
          <w:rtl/>
        </w:rPr>
        <w:t>לא</w:t>
      </w:r>
      <w:r w:rsidRPr="00014C4D">
        <w:rPr>
          <w:b/>
          <w:bCs/>
          <w:rtl/>
        </w:rPr>
        <w:t xml:space="preserve"> </w:t>
      </w:r>
      <w:r w:rsidRPr="00014C4D">
        <w:rPr>
          <w:rFonts w:hint="eastAsia"/>
          <w:b/>
          <w:bCs/>
          <w:rtl/>
        </w:rPr>
        <w:t>ניהלה</w:t>
      </w:r>
      <w:r w:rsidRPr="00014C4D">
        <w:rPr>
          <w:b/>
          <w:bCs/>
          <w:rtl/>
        </w:rPr>
        <w:t xml:space="preserve"> </w:t>
      </w:r>
      <w:r w:rsidRPr="00014C4D">
        <w:rPr>
          <w:rFonts w:hint="eastAsia"/>
          <w:b/>
          <w:bCs/>
          <w:rtl/>
        </w:rPr>
        <w:t>המועצה</w:t>
      </w:r>
      <w:r w:rsidRPr="00014C4D">
        <w:rPr>
          <w:b/>
          <w:bCs/>
          <w:rtl/>
        </w:rPr>
        <w:t xml:space="preserve"> </w:t>
      </w:r>
      <w:r w:rsidRPr="00014C4D">
        <w:rPr>
          <w:rFonts w:hint="eastAsia"/>
          <w:b/>
          <w:bCs/>
          <w:rtl/>
        </w:rPr>
        <w:t>האזורית</w:t>
      </w:r>
      <w:r w:rsidRPr="00014C4D">
        <w:rPr>
          <w:b/>
          <w:bCs/>
          <w:rtl/>
        </w:rPr>
        <w:t xml:space="preserve"> </w:t>
      </w:r>
      <w:r w:rsidRPr="00014C4D">
        <w:rPr>
          <w:rFonts w:hint="eastAsia"/>
          <w:b/>
          <w:bCs/>
          <w:rtl/>
        </w:rPr>
        <w:t>הגלבוע</w:t>
      </w:r>
      <w:r w:rsidRPr="00014C4D">
        <w:rPr>
          <w:b/>
          <w:bCs/>
          <w:rtl/>
        </w:rPr>
        <w:t xml:space="preserve"> </w:t>
      </w:r>
      <w:r w:rsidRPr="00014C4D">
        <w:rPr>
          <w:rFonts w:hint="eastAsia"/>
          <w:b/>
          <w:bCs/>
          <w:rtl/>
        </w:rPr>
        <w:t>רישום</w:t>
      </w:r>
      <w:r w:rsidRPr="00014C4D">
        <w:rPr>
          <w:b/>
          <w:bCs/>
          <w:rtl/>
        </w:rPr>
        <w:t xml:space="preserve"> של פערי המיגון </w:t>
      </w:r>
      <w:r w:rsidRPr="00014C4D">
        <w:rPr>
          <w:rFonts w:hint="eastAsia"/>
          <w:b/>
          <w:bCs/>
          <w:rtl/>
        </w:rPr>
        <w:t>בתחומה</w:t>
      </w:r>
      <w:r w:rsidRPr="00014C4D">
        <w:rPr>
          <w:b/>
          <w:bCs/>
          <w:rtl/>
        </w:rPr>
        <w:t xml:space="preserve">, </w:t>
      </w:r>
      <w:r w:rsidRPr="00014C4D">
        <w:rPr>
          <w:rFonts w:hint="eastAsia"/>
          <w:b/>
          <w:bCs/>
          <w:rtl/>
        </w:rPr>
        <w:t>ורק</w:t>
      </w:r>
      <w:r w:rsidRPr="00014C4D">
        <w:rPr>
          <w:b/>
          <w:bCs/>
          <w:rtl/>
        </w:rPr>
        <w:t xml:space="preserve"> </w:t>
      </w:r>
      <w:r w:rsidRPr="00014C4D">
        <w:rPr>
          <w:rFonts w:hint="eastAsia"/>
          <w:b/>
          <w:bCs/>
          <w:rtl/>
        </w:rPr>
        <w:t>בעקבות</w:t>
      </w:r>
      <w:r w:rsidRPr="00014C4D">
        <w:rPr>
          <w:b/>
          <w:bCs/>
          <w:rtl/>
        </w:rPr>
        <w:t xml:space="preserve"> </w:t>
      </w:r>
      <w:r w:rsidRPr="00014C4D">
        <w:rPr>
          <w:rFonts w:hint="eastAsia"/>
          <w:b/>
          <w:bCs/>
          <w:rtl/>
        </w:rPr>
        <w:t>הביקורת</w:t>
      </w:r>
      <w:r w:rsidRPr="00014C4D">
        <w:rPr>
          <w:b/>
          <w:bCs/>
          <w:vertAlign w:val="superscript"/>
          <w:rtl/>
        </w:rPr>
        <w:footnoteReference w:id="19"/>
      </w:r>
      <w:r w:rsidRPr="00014C4D">
        <w:rPr>
          <w:b/>
          <w:bCs/>
          <w:rtl/>
        </w:rPr>
        <w:t xml:space="preserve"> </w:t>
      </w:r>
      <w:r w:rsidRPr="00014C4D">
        <w:rPr>
          <w:rFonts w:hint="eastAsia"/>
          <w:b/>
          <w:bCs/>
          <w:rtl/>
        </w:rPr>
        <w:t>היא</w:t>
      </w:r>
      <w:r w:rsidRPr="00014C4D">
        <w:rPr>
          <w:b/>
          <w:bCs/>
          <w:rtl/>
        </w:rPr>
        <w:t xml:space="preserve"> הפיקה</w:t>
      </w:r>
      <w:r w:rsidRPr="00014C4D">
        <w:rPr>
          <w:b/>
          <w:bCs/>
          <w:vertAlign w:val="superscript"/>
          <w:rtl/>
        </w:rPr>
        <w:footnoteReference w:id="20"/>
      </w:r>
      <w:r w:rsidRPr="00014C4D">
        <w:rPr>
          <w:b/>
          <w:bCs/>
          <w:rtl/>
        </w:rPr>
        <w:t xml:space="preserve"> לראשונה נתונים על פערי המיגון </w:t>
      </w:r>
      <w:r w:rsidRPr="00014C4D">
        <w:rPr>
          <w:rFonts w:hint="eastAsia"/>
          <w:b/>
          <w:bCs/>
          <w:rtl/>
        </w:rPr>
        <w:t>לגבי</w:t>
      </w:r>
      <w:r w:rsidRPr="00014C4D">
        <w:rPr>
          <w:b/>
          <w:bCs/>
          <w:rtl/>
        </w:rPr>
        <w:t xml:space="preserve"> </w:t>
      </w:r>
      <w:r w:rsidRPr="00014C4D">
        <w:rPr>
          <w:rFonts w:hint="eastAsia"/>
          <w:b/>
          <w:bCs/>
          <w:rtl/>
        </w:rPr>
        <w:t>בתי</w:t>
      </w:r>
      <w:r w:rsidRPr="00014C4D">
        <w:rPr>
          <w:b/>
          <w:bCs/>
          <w:rtl/>
        </w:rPr>
        <w:t xml:space="preserve"> </w:t>
      </w:r>
      <w:r w:rsidRPr="00014C4D">
        <w:rPr>
          <w:rFonts w:hint="eastAsia"/>
          <w:b/>
          <w:bCs/>
          <w:rtl/>
        </w:rPr>
        <w:t>המגורים</w:t>
      </w:r>
      <w:r w:rsidRPr="00014C4D">
        <w:rPr>
          <w:b/>
          <w:bCs/>
          <w:rtl/>
        </w:rPr>
        <w:t xml:space="preserve"> </w:t>
      </w:r>
      <w:r w:rsidRPr="00014C4D">
        <w:rPr>
          <w:rFonts w:hint="eastAsia"/>
          <w:b/>
          <w:bCs/>
          <w:rtl/>
        </w:rPr>
        <w:t>בתחומה</w:t>
      </w:r>
      <w:r w:rsidRPr="00014C4D">
        <w:rPr>
          <w:b/>
          <w:bCs/>
          <w:rtl/>
        </w:rPr>
        <w:t xml:space="preserve">. ואולם </w:t>
      </w:r>
      <w:r w:rsidRPr="00014C4D">
        <w:rPr>
          <w:rFonts w:hint="eastAsia"/>
          <w:b/>
          <w:bCs/>
          <w:rtl/>
        </w:rPr>
        <w:t>הנתונים</w:t>
      </w:r>
      <w:r w:rsidRPr="00014C4D">
        <w:rPr>
          <w:b/>
          <w:bCs/>
          <w:rtl/>
        </w:rPr>
        <w:t xml:space="preserve"> </w:t>
      </w:r>
      <w:r w:rsidRPr="00014C4D">
        <w:rPr>
          <w:rFonts w:hint="eastAsia"/>
          <w:b/>
          <w:bCs/>
          <w:rtl/>
        </w:rPr>
        <w:t>לגבי</w:t>
      </w:r>
      <w:r w:rsidRPr="00014C4D">
        <w:rPr>
          <w:b/>
          <w:bCs/>
          <w:rtl/>
        </w:rPr>
        <w:t xml:space="preserve"> 9,329 </w:t>
      </w:r>
      <w:r w:rsidRPr="00014C4D">
        <w:rPr>
          <w:rFonts w:hint="eastAsia"/>
          <w:b/>
          <w:bCs/>
          <w:rtl/>
        </w:rPr>
        <w:t>בתי</w:t>
      </w:r>
      <w:r w:rsidRPr="00014C4D">
        <w:rPr>
          <w:b/>
          <w:bCs/>
          <w:rtl/>
        </w:rPr>
        <w:t xml:space="preserve"> </w:t>
      </w:r>
      <w:r w:rsidRPr="00014C4D">
        <w:rPr>
          <w:rFonts w:hint="eastAsia"/>
          <w:b/>
          <w:bCs/>
          <w:rtl/>
        </w:rPr>
        <w:t>המגורים</w:t>
      </w:r>
      <w:r w:rsidRPr="00014C4D">
        <w:rPr>
          <w:b/>
          <w:bCs/>
          <w:rtl/>
        </w:rPr>
        <w:t xml:space="preserve"> </w:t>
      </w:r>
      <w:r w:rsidRPr="00014C4D">
        <w:rPr>
          <w:rFonts w:hint="eastAsia"/>
          <w:b/>
          <w:bCs/>
          <w:rtl/>
        </w:rPr>
        <w:t>שיש</w:t>
      </w:r>
      <w:r w:rsidRPr="00014C4D">
        <w:rPr>
          <w:b/>
          <w:bCs/>
          <w:rtl/>
        </w:rPr>
        <w:t xml:space="preserve"> </w:t>
      </w:r>
      <w:r w:rsidRPr="00014C4D">
        <w:rPr>
          <w:rFonts w:hint="eastAsia"/>
          <w:b/>
          <w:bCs/>
          <w:rtl/>
        </w:rPr>
        <w:t>להם</w:t>
      </w:r>
      <w:r w:rsidRPr="00014C4D">
        <w:rPr>
          <w:b/>
          <w:bCs/>
          <w:rtl/>
        </w:rPr>
        <w:t xml:space="preserve"> </w:t>
      </w:r>
      <w:r w:rsidRPr="00014C4D">
        <w:rPr>
          <w:rFonts w:hint="eastAsia"/>
          <w:b/>
          <w:bCs/>
          <w:rtl/>
        </w:rPr>
        <w:t>מיגון</w:t>
      </w:r>
      <w:r w:rsidRPr="00014C4D">
        <w:rPr>
          <w:b/>
          <w:bCs/>
          <w:rtl/>
        </w:rPr>
        <w:t xml:space="preserve"> </w:t>
      </w:r>
      <w:r w:rsidRPr="00014C4D">
        <w:rPr>
          <w:rFonts w:hint="eastAsia"/>
          <w:b/>
          <w:bCs/>
          <w:rtl/>
        </w:rPr>
        <w:t>התבססו</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היתרי</w:t>
      </w:r>
      <w:r w:rsidRPr="00014C4D">
        <w:rPr>
          <w:b/>
          <w:bCs/>
          <w:rtl/>
        </w:rPr>
        <w:t xml:space="preserve"> </w:t>
      </w:r>
      <w:r w:rsidRPr="00014C4D">
        <w:rPr>
          <w:rFonts w:hint="eastAsia"/>
          <w:b/>
          <w:bCs/>
          <w:rtl/>
        </w:rPr>
        <w:t>הבנייה</w:t>
      </w:r>
      <w:r w:rsidRPr="00014C4D">
        <w:rPr>
          <w:b/>
          <w:bCs/>
          <w:rtl/>
        </w:rPr>
        <w:t xml:space="preserve"> </w:t>
      </w:r>
      <w:r w:rsidRPr="00014C4D">
        <w:rPr>
          <w:rFonts w:hint="eastAsia"/>
          <w:b/>
          <w:bCs/>
          <w:rtl/>
        </w:rPr>
        <w:t>שנתנה</w:t>
      </w:r>
      <w:r w:rsidRPr="00014C4D">
        <w:rPr>
          <w:b/>
          <w:bCs/>
          <w:rtl/>
        </w:rPr>
        <w:t xml:space="preserve"> </w:t>
      </w:r>
      <w:r w:rsidRPr="00014C4D">
        <w:rPr>
          <w:rFonts w:hint="eastAsia"/>
          <w:b/>
          <w:bCs/>
          <w:rtl/>
        </w:rPr>
        <w:t>הוועדה</w:t>
      </w:r>
      <w:r w:rsidRPr="00014C4D">
        <w:rPr>
          <w:b/>
          <w:bCs/>
          <w:rtl/>
        </w:rPr>
        <w:t xml:space="preserve"> המקומית </w:t>
      </w:r>
      <w:r w:rsidRPr="00014C4D">
        <w:rPr>
          <w:b/>
          <w:bCs/>
          <w:rtl/>
        </w:rPr>
        <w:lastRenderedPageBreak/>
        <w:t xml:space="preserve">לתכנון ובנייה </w:t>
      </w:r>
      <w:r w:rsidRPr="00014C4D">
        <w:rPr>
          <w:rFonts w:hint="cs"/>
          <w:b/>
          <w:bCs/>
          <w:rtl/>
        </w:rPr>
        <w:t xml:space="preserve">גלבוע </w:t>
      </w:r>
      <w:r w:rsidRPr="00014C4D">
        <w:rPr>
          <w:rFonts w:hint="eastAsia"/>
          <w:b/>
          <w:bCs/>
          <w:rtl/>
        </w:rPr>
        <w:t>מאז</w:t>
      </w:r>
      <w:r w:rsidRPr="00014C4D">
        <w:rPr>
          <w:b/>
          <w:bCs/>
          <w:rtl/>
        </w:rPr>
        <w:t xml:space="preserve"> שנת 1990 ולא על </w:t>
      </w:r>
      <w:r w:rsidRPr="00014C4D">
        <w:rPr>
          <w:rFonts w:hint="eastAsia"/>
          <w:b/>
          <w:bCs/>
          <w:rtl/>
        </w:rPr>
        <w:t>הבנייה</w:t>
      </w:r>
      <w:r w:rsidRPr="00014C4D">
        <w:rPr>
          <w:b/>
          <w:bCs/>
          <w:rtl/>
        </w:rPr>
        <w:t xml:space="preserve"> </w:t>
      </w:r>
      <w:r w:rsidRPr="00014C4D">
        <w:rPr>
          <w:rFonts w:hint="eastAsia"/>
          <w:b/>
          <w:bCs/>
          <w:rtl/>
        </w:rPr>
        <w:t>בפועל</w:t>
      </w:r>
      <w:r w:rsidRPr="00014C4D">
        <w:rPr>
          <w:b/>
          <w:bCs/>
          <w:rtl/>
        </w:rPr>
        <w:t xml:space="preserve">. </w:t>
      </w:r>
      <w:r w:rsidRPr="00014C4D">
        <w:rPr>
          <w:rFonts w:hint="eastAsia"/>
          <w:b/>
          <w:bCs/>
          <w:rtl/>
        </w:rPr>
        <w:t>הנתונים</w:t>
      </w:r>
      <w:r w:rsidRPr="00014C4D">
        <w:rPr>
          <w:b/>
          <w:bCs/>
          <w:rtl/>
        </w:rPr>
        <w:t xml:space="preserve"> לגבי 5,418 בתי המגורים שאין להם מיגון התבססו על הערכה של המועצה </w:t>
      </w:r>
      <w:r w:rsidRPr="00014C4D">
        <w:rPr>
          <w:rFonts w:hint="eastAsia"/>
          <w:b/>
          <w:bCs/>
          <w:rtl/>
        </w:rPr>
        <w:t>בדבר</w:t>
      </w:r>
      <w:r w:rsidRPr="00014C4D">
        <w:rPr>
          <w:b/>
          <w:bCs/>
          <w:rtl/>
        </w:rPr>
        <w:t xml:space="preserve"> היקף הבתים הוותיקים </w:t>
      </w:r>
      <w:r w:rsidRPr="00014C4D">
        <w:rPr>
          <w:rFonts w:hint="eastAsia"/>
          <w:b/>
          <w:bCs/>
          <w:rtl/>
        </w:rPr>
        <w:t>שנבנו</w:t>
      </w:r>
      <w:r w:rsidRPr="00014C4D">
        <w:rPr>
          <w:b/>
          <w:bCs/>
          <w:rtl/>
        </w:rPr>
        <w:t xml:space="preserve"> ללא מיגון. לפיכך </w:t>
      </w:r>
      <w:r w:rsidRPr="00014C4D">
        <w:rPr>
          <w:rFonts w:hint="eastAsia"/>
          <w:b/>
          <w:bCs/>
          <w:rtl/>
        </w:rPr>
        <w:t>אין</w:t>
      </w:r>
      <w:r w:rsidRPr="00014C4D">
        <w:rPr>
          <w:b/>
          <w:bCs/>
          <w:rtl/>
        </w:rPr>
        <w:t xml:space="preserve"> </w:t>
      </w:r>
      <w:r w:rsidRPr="00014C4D">
        <w:rPr>
          <w:rFonts w:hint="eastAsia"/>
          <w:b/>
          <w:bCs/>
          <w:rtl/>
        </w:rPr>
        <w:t>למועצה</w:t>
      </w:r>
      <w:r w:rsidRPr="00014C4D">
        <w:rPr>
          <w:b/>
          <w:bCs/>
          <w:rtl/>
        </w:rPr>
        <w:t xml:space="preserve"> נתונים </w:t>
      </w:r>
      <w:r w:rsidRPr="00014C4D">
        <w:rPr>
          <w:rFonts w:hint="eastAsia"/>
          <w:b/>
          <w:bCs/>
          <w:rtl/>
        </w:rPr>
        <w:t>מאומתים</w:t>
      </w:r>
      <w:r w:rsidRPr="00014C4D">
        <w:rPr>
          <w:b/>
          <w:bCs/>
          <w:rtl/>
        </w:rPr>
        <w:t xml:space="preserve"> על פערי המיגון של בתי המגורים שבתחומה.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עוד</w:t>
      </w:r>
      <w:r w:rsidRPr="00014C4D">
        <w:rPr>
          <w:b/>
          <w:bCs/>
          <w:rtl/>
        </w:rPr>
        <w:t xml:space="preserve"> </w:t>
      </w:r>
      <w:r w:rsidRPr="00014C4D">
        <w:rPr>
          <w:rFonts w:hint="eastAsia"/>
          <w:b/>
          <w:bCs/>
          <w:rtl/>
        </w:rPr>
        <w:t>נמצא</w:t>
      </w:r>
      <w:r w:rsidRPr="00014C4D">
        <w:rPr>
          <w:b/>
          <w:bCs/>
          <w:rtl/>
        </w:rPr>
        <w:t xml:space="preserve"> </w:t>
      </w:r>
      <w:r w:rsidRPr="00014C4D">
        <w:rPr>
          <w:rFonts w:hint="eastAsia"/>
          <w:b/>
          <w:bCs/>
          <w:rtl/>
        </w:rPr>
        <w:t>כי</w:t>
      </w:r>
      <w:r w:rsidRPr="00014C4D">
        <w:rPr>
          <w:b/>
          <w:bCs/>
          <w:rtl/>
        </w:rPr>
        <w:t xml:space="preserve"> </w:t>
      </w:r>
      <w:r w:rsidRPr="00014C4D">
        <w:rPr>
          <w:rFonts w:hint="eastAsia"/>
          <w:b/>
          <w:bCs/>
          <w:rtl/>
        </w:rPr>
        <w:t>הנתונים</w:t>
      </w:r>
      <w:r w:rsidRPr="00014C4D">
        <w:rPr>
          <w:b/>
          <w:bCs/>
          <w:rtl/>
        </w:rPr>
        <w:t xml:space="preserve"> </w:t>
      </w:r>
      <w:r w:rsidRPr="00014C4D">
        <w:rPr>
          <w:rFonts w:hint="eastAsia"/>
          <w:b/>
          <w:bCs/>
          <w:rtl/>
        </w:rPr>
        <w:t>האמורים</w:t>
      </w:r>
      <w:r w:rsidRPr="00014C4D">
        <w:rPr>
          <w:b/>
          <w:bCs/>
          <w:rtl/>
        </w:rPr>
        <w:t xml:space="preserve"> </w:t>
      </w:r>
      <w:r w:rsidRPr="00014C4D">
        <w:rPr>
          <w:rFonts w:hint="eastAsia"/>
          <w:b/>
          <w:bCs/>
          <w:rtl/>
        </w:rPr>
        <w:t>נוגעים</w:t>
      </w:r>
      <w:r w:rsidRPr="00014C4D">
        <w:rPr>
          <w:b/>
          <w:bCs/>
          <w:rtl/>
        </w:rPr>
        <w:t xml:space="preserve"> </w:t>
      </w:r>
      <w:r w:rsidRPr="00014C4D">
        <w:rPr>
          <w:rFonts w:hint="eastAsia"/>
          <w:b/>
          <w:bCs/>
          <w:rtl/>
        </w:rPr>
        <w:t>למספר</w:t>
      </w:r>
      <w:r w:rsidRPr="00014C4D">
        <w:rPr>
          <w:b/>
          <w:bCs/>
          <w:rtl/>
        </w:rPr>
        <w:t xml:space="preserve"> </w:t>
      </w:r>
      <w:r w:rsidRPr="00014C4D">
        <w:rPr>
          <w:rFonts w:hint="eastAsia"/>
          <w:b/>
          <w:bCs/>
          <w:rtl/>
        </w:rPr>
        <w:t>בתי</w:t>
      </w:r>
      <w:r w:rsidRPr="00014C4D">
        <w:rPr>
          <w:b/>
          <w:bCs/>
          <w:rtl/>
        </w:rPr>
        <w:t xml:space="preserve"> </w:t>
      </w:r>
      <w:r w:rsidRPr="00014C4D">
        <w:rPr>
          <w:rFonts w:hint="eastAsia"/>
          <w:b/>
          <w:bCs/>
          <w:rtl/>
        </w:rPr>
        <w:t>המגורים</w:t>
      </w:r>
      <w:r w:rsidRPr="00014C4D">
        <w:rPr>
          <w:b/>
          <w:bCs/>
          <w:rtl/>
        </w:rPr>
        <w:t xml:space="preserve"> </w:t>
      </w:r>
      <w:r w:rsidRPr="00014C4D">
        <w:rPr>
          <w:rFonts w:hint="eastAsia"/>
          <w:b/>
          <w:bCs/>
          <w:rtl/>
        </w:rPr>
        <w:t>ולא</w:t>
      </w:r>
      <w:r w:rsidRPr="00014C4D">
        <w:rPr>
          <w:b/>
          <w:bCs/>
          <w:rtl/>
        </w:rPr>
        <w:t xml:space="preserve"> </w:t>
      </w:r>
      <w:r w:rsidRPr="00014C4D">
        <w:rPr>
          <w:rFonts w:hint="eastAsia"/>
          <w:b/>
          <w:bCs/>
          <w:rtl/>
        </w:rPr>
        <w:t>למספר</w:t>
      </w:r>
      <w:r w:rsidRPr="00014C4D">
        <w:rPr>
          <w:b/>
          <w:bCs/>
          <w:rtl/>
        </w:rPr>
        <w:t xml:space="preserve"> </w:t>
      </w:r>
      <w:r w:rsidRPr="00014C4D">
        <w:rPr>
          <w:rFonts w:hint="eastAsia"/>
          <w:b/>
          <w:bCs/>
          <w:rtl/>
        </w:rPr>
        <w:t>התושבים</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המועצה מסרה למשרד מבקר המדינה בספטמבר 2024 כי בימים אלה היא מתחילה לאסוף את הנתונים לגבי המרחבים המוגנים שנבנו בפועל.</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b/>
          <w:bCs/>
          <w:rtl/>
        </w:rPr>
        <w:t xml:space="preserve">על המועצה האזורית הגלבוע לפעול לפי הנחיות תיק האב למועצות האזוריות - למפות את כל המרחבים המוגנים שבתחומה </w:t>
      </w:r>
      <w:r w:rsidRPr="00014C4D">
        <w:rPr>
          <w:b/>
          <w:bCs/>
          <w:rtl/>
        </w:rPr>
        <w:t xml:space="preserve">ולבנות מסד נתונים </w:t>
      </w:r>
      <w:r w:rsidRPr="00014C4D">
        <w:rPr>
          <w:rFonts w:hint="cs"/>
          <w:b/>
          <w:bCs/>
          <w:rtl/>
        </w:rPr>
        <w:t>שמבוסס על הבנייה בפועל של מרחבים מוגנים, ובו גם מידע על מספר התושבים שאין להם מיגון תקני</w:t>
      </w:r>
      <w:r w:rsidRPr="00014C4D">
        <w:rPr>
          <w:b/>
          <w:bCs/>
          <w:rtl/>
        </w:rPr>
        <w:t xml:space="preserve">- </w:t>
      </w:r>
      <w:r w:rsidRPr="00014C4D">
        <w:rPr>
          <w:rFonts w:hint="eastAsia"/>
          <w:b/>
          <w:bCs/>
          <w:rtl/>
        </w:rPr>
        <w:t>זאת</w:t>
      </w:r>
      <w:r w:rsidRPr="00014C4D">
        <w:rPr>
          <w:b/>
          <w:bCs/>
          <w:rtl/>
        </w:rPr>
        <w:t xml:space="preserve"> כדי שתוכל לתכנן פתרונות מיגון לאוכלוסייה בשעת חירום ולדאוג למרחב מוגן זמין.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tl/>
        </w:rPr>
        <w:t xml:space="preserve">המועצה </w:t>
      </w:r>
      <w:r w:rsidRPr="00014C4D">
        <w:rPr>
          <w:rFonts w:hint="cs"/>
          <w:rtl/>
        </w:rPr>
        <w:t xml:space="preserve">האזורית </w:t>
      </w:r>
      <w:r w:rsidRPr="00014C4D">
        <w:rPr>
          <w:rFonts w:hint="cs"/>
          <w:b/>
          <w:bCs/>
          <w:rtl/>
        </w:rPr>
        <w:t>הגלבוע</w:t>
      </w:r>
      <w:r w:rsidRPr="00014C4D">
        <w:rPr>
          <w:rFonts w:hint="cs"/>
          <w:rtl/>
        </w:rPr>
        <w:t xml:space="preserve"> מסרה בתשובתה</w:t>
      </w:r>
      <w:r w:rsidRPr="00014C4D">
        <w:rPr>
          <w:rtl/>
        </w:rPr>
        <w:t xml:space="preserve"> למשרד מבקר המדינה ממאי 2025 (להלן - תש</w:t>
      </w:r>
      <w:r w:rsidRPr="00014C4D">
        <w:rPr>
          <w:rFonts w:hint="cs"/>
          <w:rtl/>
        </w:rPr>
        <w:t>ו</w:t>
      </w:r>
      <w:r w:rsidRPr="00014C4D">
        <w:rPr>
          <w:rtl/>
        </w:rPr>
        <w:t>בת המועצה האזרית הגלבוע)</w:t>
      </w:r>
      <w:r w:rsidRPr="00014C4D">
        <w:rPr>
          <w:rFonts w:hint="cs"/>
          <w:rtl/>
        </w:rPr>
        <w:t xml:space="preserve"> </w:t>
      </w:r>
      <w:r w:rsidRPr="00014C4D">
        <w:rPr>
          <w:rtl/>
        </w:rPr>
        <w:t>כי במסגרת תוכנית</w:t>
      </w:r>
      <w:r w:rsidRPr="00014C4D">
        <w:rPr>
          <w:rFonts w:hint="cs"/>
          <w:rtl/>
        </w:rPr>
        <w:t xml:space="preserve"> העבודה לשנת</w:t>
      </w:r>
      <w:r w:rsidRPr="00014C4D">
        <w:rPr>
          <w:rtl/>
        </w:rPr>
        <w:t xml:space="preserve"> 2025 תבצע </w:t>
      </w:r>
      <w:r w:rsidRPr="00014C4D">
        <w:rPr>
          <w:rFonts w:hint="cs"/>
          <w:rtl/>
        </w:rPr>
        <w:t xml:space="preserve">המועצה </w:t>
      </w:r>
      <w:r w:rsidRPr="00014C4D">
        <w:rPr>
          <w:rtl/>
        </w:rPr>
        <w:t xml:space="preserve">מיפוי משלים ומדויק של </w:t>
      </w:r>
      <w:r w:rsidRPr="00014C4D">
        <w:rPr>
          <w:rFonts w:hint="cs"/>
          <w:rtl/>
        </w:rPr>
        <w:t>פערי המיגון בשטח שיפוטה</w:t>
      </w:r>
      <w:r w:rsidRPr="00014C4D">
        <w:rPr>
          <w:rtl/>
        </w:rPr>
        <w:t xml:space="preserve">, בשיתוף עם צוותי </w:t>
      </w:r>
      <w:r w:rsidRPr="00014C4D">
        <w:rPr>
          <w:rFonts w:hint="cs"/>
          <w:rtl/>
        </w:rPr>
        <w:t>חוסן וחירום</w:t>
      </w:r>
      <w:r w:rsidRPr="00014C4D">
        <w:rPr>
          <w:rtl/>
        </w:rPr>
        <w:t xml:space="preserve"> </w:t>
      </w:r>
      <w:r w:rsidRPr="00014C4D">
        <w:rPr>
          <w:rFonts w:hint="cs"/>
          <w:rtl/>
        </w:rPr>
        <w:t xml:space="preserve">ביישובי המועצה </w:t>
      </w:r>
      <w:r w:rsidRPr="00014C4D">
        <w:rPr>
          <w:rtl/>
        </w:rPr>
        <w:t>והוועדים המקומיים</w:t>
      </w:r>
      <w:r w:rsidRPr="00014C4D">
        <w:rPr>
          <w:rFonts w:hint="cs"/>
          <w:rtl/>
        </w:rPr>
        <w:t xml:space="preserve">. המועצה ציינה בתשובתה כי במרבית היישובים ובעיקר בקיבוצים קיימות תוכניות אירוח משפחות ללא ממ"ד אצל משפחות בעלות ממ"ד. </w:t>
      </w:r>
    </w:p>
    <w:p w:rsidR="00014C4D" w:rsidRPr="00014C4D" w:rsidRDefault="00014C4D" w:rsidP="00014C4D">
      <w:pPr>
        <w:rPr>
          <w:highlight w:val="yellow"/>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חולון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תוכנית המיגון של עיריית </w:t>
      </w:r>
      <w:r w:rsidRPr="00014C4D">
        <w:rPr>
          <w:rFonts w:hint="cs"/>
          <w:b/>
          <w:bCs/>
          <w:rtl/>
        </w:rPr>
        <w:t xml:space="preserve">חולון </w:t>
      </w:r>
      <w:r w:rsidRPr="00014C4D">
        <w:rPr>
          <w:rFonts w:hint="cs"/>
          <w:rtl/>
        </w:rPr>
        <w:t>כוללת בתוכה שתי תוכניות: תוכנית לשהייה קצרה במרחב המוגן ותוכנית לשהייה ממושכת בו</w:t>
      </w:r>
      <w:r w:rsidRPr="00014C4D">
        <w:rPr>
          <w:vertAlign w:val="superscript"/>
          <w:rtl/>
        </w:rPr>
        <w:footnoteReference w:id="21"/>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על פי נתוני העירייה, ל-160,401 מתוך 187,296 תושביה (86%) יש פתרונות מיגון (ממ"ד, ממ"ק, מקלטים משותפים). אשר לשאר 26,895 התושבים (14%), על פי נתוני העירייה ניתנו להם פתרונות מיגון באמצעות מקלטים ציבוריים ומקלטים </w:t>
      </w:r>
      <w:r w:rsidRPr="00014C4D">
        <w:rPr>
          <w:rFonts w:ascii="David" w:eastAsia="Times New Roman" w:hAnsi="David" w:hint="cs"/>
          <w:sz w:val="24"/>
          <w:rtl/>
        </w:rPr>
        <w:t>בבתי הספר</w:t>
      </w:r>
      <w:r w:rsidRPr="00014C4D">
        <w:rPr>
          <w:rFonts w:ascii="David" w:eastAsia="Times New Roman" w:hAnsi="David"/>
          <w:sz w:val="24"/>
          <w:vertAlign w:val="superscript"/>
          <w:rtl/>
        </w:rPr>
        <w:footnoteReference w:id="22"/>
      </w:r>
      <w:r w:rsidRPr="00014C4D">
        <w:rPr>
          <w:rFonts w:ascii="David" w:eastAsia="Times New Roman" w:hAnsi="David" w:hint="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b/>
          <w:bCs/>
          <w:rtl/>
        </w:rPr>
      </w:pPr>
      <w:r w:rsidRPr="00014C4D">
        <w:rPr>
          <w:rFonts w:hint="eastAsia"/>
          <w:b/>
          <w:bCs/>
          <w:rtl/>
        </w:rPr>
        <w:t>נמצא</w:t>
      </w:r>
      <w:r w:rsidRPr="00014C4D">
        <w:rPr>
          <w:b/>
          <w:bCs/>
          <w:rtl/>
        </w:rPr>
        <w:t xml:space="preserve"> כי </w:t>
      </w:r>
      <w:r w:rsidRPr="00014C4D">
        <w:rPr>
          <w:rFonts w:hint="eastAsia"/>
          <w:b/>
          <w:bCs/>
          <w:rtl/>
        </w:rPr>
        <w:t>עיריית</w:t>
      </w:r>
      <w:r w:rsidRPr="00014C4D">
        <w:rPr>
          <w:b/>
          <w:bCs/>
          <w:rtl/>
        </w:rPr>
        <w:t xml:space="preserve"> חולון </w:t>
      </w:r>
      <w:r w:rsidRPr="00014C4D">
        <w:rPr>
          <w:rFonts w:hint="eastAsia"/>
          <w:b/>
          <w:bCs/>
          <w:rtl/>
        </w:rPr>
        <w:t>הכינה</w:t>
      </w:r>
      <w:r w:rsidRPr="00014C4D">
        <w:rPr>
          <w:b/>
          <w:bCs/>
          <w:rtl/>
        </w:rPr>
        <w:t xml:space="preserve"> </w:t>
      </w:r>
      <w:r w:rsidRPr="00014C4D">
        <w:rPr>
          <w:rFonts w:hint="eastAsia"/>
          <w:b/>
          <w:bCs/>
          <w:rtl/>
        </w:rPr>
        <w:t>בתוכנית</w:t>
      </w:r>
      <w:r w:rsidRPr="00014C4D">
        <w:rPr>
          <w:b/>
          <w:bCs/>
          <w:rtl/>
        </w:rPr>
        <w:t xml:space="preserve"> </w:t>
      </w:r>
      <w:r w:rsidRPr="00014C4D">
        <w:rPr>
          <w:rFonts w:hint="eastAsia"/>
          <w:b/>
          <w:bCs/>
          <w:rtl/>
        </w:rPr>
        <w:t>המיגון</w:t>
      </w:r>
      <w:r w:rsidRPr="00014C4D">
        <w:rPr>
          <w:b/>
          <w:bCs/>
          <w:rtl/>
        </w:rPr>
        <w:t xml:space="preserve"> </w:t>
      </w:r>
      <w:r w:rsidRPr="00014C4D">
        <w:rPr>
          <w:rFonts w:hint="eastAsia"/>
          <w:b/>
          <w:bCs/>
          <w:rtl/>
        </w:rPr>
        <w:t>הרשותית</w:t>
      </w:r>
      <w:r w:rsidRPr="00014C4D">
        <w:rPr>
          <w:b/>
          <w:bCs/>
          <w:rtl/>
        </w:rPr>
        <w:t xml:space="preserve"> רשימה של שטחי מקלטים ציבוריים ומקלטים בבתי הספר האמורים להוות פתרון מיגון ל-26,895 התושבים חסרי המיגון. אולם על פי ת</w:t>
      </w:r>
      <w:r w:rsidRPr="00014C4D">
        <w:rPr>
          <w:rFonts w:hint="eastAsia"/>
          <w:b/>
          <w:bCs/>
          <w:rtl/>
        </w:rPr>
        <w:t>ו</w:t>
      </w:r>
      <w:r w:rsidRPr="00014C4D">
        <w:rPr>
          <w:b/>
          <w:bCs/>
          <w:rtl/>
        </w:rPr>
        <w:t xml:space="preserve">כנית המיגון, </w:t>
      </w:r>
      <w:r w:rsidRPr="00014C4D">
        <w:rPr>
          <w:rFonts w:hint="eastAsia"/>
          <w:b/>
          <w:bCs/>
          <w:rtl/>
        </w:rPr>
        <w:t>לא</w:t>
      </w:r>
      <w:r w:rsidRPr="00014C4D">
        <w:rPr>
          <w:b/>
          <w:bCs/>
          <w:rtl/>
        </w:rPr>
        <w:t xml:space="preserve"> </w:t>
      </w:r>
      <w:r w:rsidRPr="00014C4D">
        <w:rPr>
          <w:rFonts w:hint="eastAsia"/>
          <w:b/>
          <w:bCs/>
          <w:rtl/>
        </w:rPr>
        <w:t>ניתן</w:t>
      </w:r>
      <w:r w:rsidRPr="00014C4D">
        <w:rPr>
          <w:b/>
          <w:bCs/>
          <w:rtl/>
        </w:rPr>
        <w:t xml:space="preserve"> לדעת </w:t>
      </w:r>
      <w:r w:rsidRPr="00014C4D">
        <w:rPr>
          <w:rFonts w:hint="eastAsia"/>
          <w:b/>
          <w:bCs/>
          <w:rtl/>
        </w:rPr>
        <w:t>מה</w:t>
      </w:r>
      <w:r w:rsidRPr="00014C4D">
        <w:rPr>
          <w:b/>
          <w:bCs/>
          <w:rtl/>
        </w:rPr>
        <w:t xml:space="preserve"> </w:t>
      </w:r>
      <w:r w:rsidRPr="00014C4D">
        <w:rPr>
          <w:rFonts w:hint="eastAsia"/>
          <w:b/>
          <w:bCs/>
          <w:rtl/>
        </w:rPr>
        <w:t>מספר</w:t>
      </w:r>
      <w:r w:rsidRPr="00014C4D">
        <w:rPr>
          <w:b/>
          <w:bCs/>
          <w:rtl/>
        </w:rPr>
        <w:t xml:space="preserve"> </w:t>
      </w:r>
      <w:r w:rsidRPr="00014C4D">
        <w:rPr>
          <w:rFonts w:hint="eastAsia"/>
          <w:b/>
          <w:bCs/>
          <w:rtl/>
        </w:rPr>
        <w:t>התושבים</w:t>
      </w:r>
      <w:r w:rsidRPr="00014C4D">
        <w:rPr>
          <w:b/>
          <w:bCs/>
          <w:rtl/>
        </w:rPr>
        <w:t xml:space="preserve"> </w:t>
      </w:r>
      <w:r w:rsidRPr="00014C4D">
        <w:rPr>
          <w:rFonts w:hint="eastAsia"/>
          <w:b/>
          <w:bCs/>
          <w:rtl/>
        </w:rPr>
        <w:t>שמקלטים</w:t>
      </w:r>
      <w:r w:rsidRPr="00014C4D">
        <w:rPr>
          <w:b/>
          <w:bCs/>
          <w:rtl/>
        </w:rPr>
        <w:t xml:space="preserve"> </w:t>
      </w:r>
      <w:r w:rsidRPr="00014C4D">
        <w:rPr>
          <w:rFonts w:hint="eastAsia"/>
          <w:b/>
          <w:bCs/>
          <w:rtl/>
        </w:rPr>
        <w:t>אלו</w:t>
      </w:r>
      <w:r w:rsidRPr="00014C4D">
        <w:rPr>
          <w:b/>
          <w:bCs/>
          <w:rtl/>
        </w:rPr>
        <w:t xml:space="preserve"> יכולים להכיל, וכן לא ניתן לדעת </w:t>
      </w:r>
      <w:r w:rsidRPr="00014C4D">
        <w:rPr>
          <w:rFonts w:hint="eastAsia"/>
          <w:b/>
          <w:bCs/>
          <w:rtl/>
        </w:rPr>
        <w:t>אם</w:t>
      </w:r>
      <w:r w:rsidRPr="00014C4D">
        <w:rPr>
          <w:b/>
          <w:bCs/>
          <w:rtl/>
        </w:rPr>
        <w:t xml:space="preserve"> </w:t>
      </w:r>
      <w:r w:rsidRPr="00014C4D">
        <w:rPr>
          <w:rFonts w:hint="eastAsia"/>
          <w:b/>
          <w:bCs/>
          <w:rtl/>
        </w:rPr>
        <w:t>מקלטים</w:t>
      </w:r>
      <w:r w:rsidRPr="00014C4D">
        <w:rPr>
          <w:b/>
          <w:bCs/>
          <w:rtl/>
        </w:rPr>
        <w:t xml:space="preserve"> </w:t>
      </w:r>
      <w:r w:rsidRPr="00014C4D">
        <w:rPr>
          <w:rFonts w:hint="eastAsia"/>
          <w:b/>
          <w:bCs/>
          <w:rtl/>
        </w:rPr>
        <w:t>אלו</w:t>
      </w:r>
      <w:r w:rsidRPr="00014C4D">
        <w:rPr>
          <w:b/>
          <w:bCs/>
          <w:rtl/>
        </w:rPr>
        <w:t xml:space="preserve"> </w:t>
      </w:r>
      <w:r w:rsidRPr="00014C4D">
        <w:rPr>
          <w:rFonts w:hint="eastAsia"/>
          <w:b/>
          <w:bCs/>
          <w:rtl/>
        </w:rPr>
        <w:t>נמצאים</w:t>
      </w:r>
      <w:r w:rsidRPr="00014C4D">
        <w:rPr>
          <w:b/>
          <w:bCs/>
          <w:rtl/>
        </w:rPr>
        <w:t xml:space="preserve"> </w:t>
      </w:r>
      <w:r w:rsidRPr="00014C4D">
        <w:rPr>
          <w:rFonts w:hint="eastAsia"/>
          <w:b/>
          <w:bCs/>
          <w:rtl/>
        </w:rPr>
        <w:t>במרחק</w:t>
      </w:r>
      <w:r w:rsidRPr="00014C4D">
        <w:rPr>
          <w:b/>
          <w:bCs/>
          <w:rtl/>
        </w:rPr>
        <w:t xml:space="preserve"> </w:t>
      </w:r>
      <w:r w:rsidRPr="00014C4D">
        <w:rPr>
          <w:rFonts w:hint="eastAsia"/>
          <w:b/>
          <w:bCs/>
          <w:rtl/>
        </w:rPr>
        <w:t>מבתי</w:t>
      </w:r>
      <w:r w:rsidRPr="00014C4D">
        <w:rPr>
          <w:b/>
          <w:bCs/>
          <w:rtl/>
        </w:rPr>
        <w:t xml:space="preserve"> </w:t>
      </w:r>
      <w:r w:rsidRPr="00014C4D">
        <w:rPr>
          <w:rFonts w:hint="eastAsia"/>
          <w:b/>
          <w:bCs/>
          <w:rtl/>
        </w:rPr>
        <w:t>התושבים</w:t>
      </w:r>
      <w:r w:rsidRPr="00014C4D">
        <w:rPr>
          <w:rFonts w:hint="cs"/>
          <w:b/>
          <w:bCs/>
          <w:rtl/>
        </w:rPr>
        <w:t xml:space="preserve"> שמאפשר הגעה אליהם במשך זמן ההתרעה</w:t>
      </w:r>
      <w:r w:rsidRPr="00014C4D">
        <w:rPr>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על עיריית חולון להוסיף לתוכנית המיגון הרשותית נתונים על המרחקים שבין בתי המגורים למקלטים הציבוריים ולמקלטים בבתי הספר ועל הקיבולת המרבית של כל מתקן ומתקן - מספר התושבים היכולים לשהות בהם בהתאם לתקן המיגון פר נפש שקבע פקע</w:t>
      </w:r>
      <w:r w:rsidRPr="00014C4D">
        <w:rPr>
          <w:b/>
          <w:bCs/>
          <w:rtl/>
        </w:rPr>
        <w:t>"</w:t>
      </w:r>
      <w:r w:rsidRPr="00014C4D">
        <w:rPr>
          <w:rFonts w:hint="cs"/>
          <w:b/>
          <w:bCs/>
          <w:rtl/>
        </w:rPr>
        <w:t>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חולון</w:t>
      </w:r>
      <w:r w:rsidRPr="00014C4D">
        <w:rPr>
          <w:rtl/>
        </w:rPr>
        <w:t xml:space="preserve"> </w:t>
      </w:r>
      <w:r w:rsidRPr="00014C4D">
        <w:rPr>
          <w:rFonts w:hint="cs"/>
          <w:rtl/>
        </w:rPr>
        <w:t>מסרה ב</w:t>
      </w:r>
      <w:r w:rsidRPr="00014C4D">
        <w:rPr>
          <w:rtl/>
        </w:rPr>
        <w:t xml:space="preserve">תשובתה </w:t>
      </w:r>
      <w:r w:rsidRPr="00014C4D">
        <w:rPr>
          <w:rFonts w:hint="cs"/>
          <w:rtl/>
        </w:rPr>
        <w:t>כי</w:t>
      </w:r>
      <w:r w:rsidRPr="00014C4D">
        <w:rPr>
          <w:rtl/>
        </w:rPr>
        <w:t xml:space="preserve"> ת</w:t>
      </w:r>
      <w:r w:rsidRPr="00014C4D">
        <w:rPr>
          <w:rFonts w:hint="cs"/>
          <w:rtl/>
        </w:rPr>
        <w:t>ו</w:t>
      </w:r>
      <w:r w:rsidRPr="00014C4D">
        <w:rPr>
          <w:rtl/>
        </w:rPr>
        <w:t xml:space="preserve">כנית </w:t>
      </w:r>
      <w:r w:rsidRPr="00014C4D">
        <w:rPr>
          <w:rFonts w:hint="cs"/>
          <w:rtl/>
        </w:rPr>
        <w:t>ה</w:t>
      </w:r>
      <w:r w:rsidRPr="00014C4D">
        <w:rPr>
          <w:rtl/>
        </w:rPr>
        <w:t xml:space="preserve">תמי"ר </w:t>
      </w:r>
      <w:r w:rsidRPr="00014C4D">
        <w:rPr>
          <w:rFonts w:hint="cs"/>
          <w:rtl/>
        </w:rPr>
        <w:t>ה</w:t>
      </w:r>
      <w:r w:rsidRPr="00014C4D">
        <w:rPr>
          <w:rtl/>
        </w:rPr>
        <w:t xml:space="preserve">מעודכנת </w:t>
      </w:r>
      <w:r w:rsidRPr="00014C4D">
        <w:rPr>
          <w:rFonts w:hint="cs"/>
          <w:rtl/>
        </w:rPr>
        <w:t>שצורפה לתשובה</w:t>
      </w:r>
      <w:r w:rsidRPr="00014C4D">
        <w:rPr>
          <w:rtl/>
        </w:rPr>
        <w:t xml:space="preserve"> כוללת ת</w:t>
      </w:r>
      <w:r w:rsidRPr="00014C4D">
        <w:rPr>
          <w:rFonts w:hint="cs"/>
          <w:rtl/>
        </w:rPr>
        <w:t>ו</w:t>
      </w:r>
      <w:r w:rsidRPr="00014C4D">
        <w:rPr>
          <w:rtl/>
        </w:rPr>
        <w:t>כנית</w:t>
      </w:r>
      <w:r w:rsidRPr="00014C4D">
        <w:rPr>
          <w:rFonts w:hint="cs"/>
          <w:rtl/>
        </w:rPr>
        <w:t xml:space="preserve"> </w:t>
      </w:r>
      <w:r w:rsidRPr="00014C4D">
        <w:rPr>
          <w:rtl/>
        </w:rPr>
        <w:t xml:space="preserve">לשהייה ממושכת בהתראה של </w:t>
      </w:r>
      <w:r w:rsidRPr="00014C4D">
        <w:rPr>
          <w:rFonts w:hint="cs"/>
          <w:rtl/>
        </w:rPr>
        <w:t>שלוש</w:t>
      </w:r>
      <w:r w:rsidRPr="00014C4D">
        <w:rPr>
          <w:rtl/>
        </w:rPr>
        <w:t xml:space="preserve"> דקות (בהתאם לזמן ההתראה שניתן בעקבות מתקפת הטילים האירנית)</w:t>
      </w:r>
      <w:r w:rsidRPr="00014C4D">
        <w:rPr>
          <w:rFonts w:hint="cs"/>
          <w:rtl/>
        </w:rPr>
        <w:t>. לפי תוכנית זו</w:t>
      </w:r>
      <w:r w:rsidRPr="00014C4D">
        <w:rPr>
          <w:rtl/>
        </w:rPr>
        <w:t xml:space="preserve"> </w:t>
      </w:r>
      <w:r w:rsidRPr="00014C4D">
        <w:rPr>
          <w:rFonts w:hint="cs"/>
          <w:rtl/>
        </w:rPr>
        <w:t>ה</w:t>
      </w:r>
      <w:r w:rsidRPr="00014C4D">
        <w:rPr>
          <w:rtl/>
        </w:rPr>
        <w:t xml:space="preserve">רוב </w:t>
      </w:r>
      <w:r w:rsidRPr="00014C4D">
        <w:rPr>
          <w:rFonts w:hint="cs"/>
          <w:rtl/>
        </w:rPr>
        <w:t>ה</w:t>
      </w:r>
      <w:r w:rsidRPr="00014C4D">
        <w:rPr>
          <w:rtl/>
        </w:rPr>
        <w:t>מכריע של חסרי המיגון</w:t>
      </w:r>
      <w:r w:rsidRPr="00014C4D">
        <w:rPr>
          <w:rFonts w:hint="cs"/>
          <w:rtl/>
        </w:rPr>
        <w:t xml:space="preserve"> </w:t>
      </w:r>
      <w:r w:rsidRPr="00014C4D">
        <w:rPr>
          <w:rtl/>
        </w:rPr>
        <w:t>(כ-22,000 מתוך כ</w:t>
      </w:r>
      <w:r w:rsidRPr="00014C4D">
        <w:rPr>
          <w:rFonts w:hint="cs"/>
          <w:rtl/>
        </w:rPr>
        <w:t>-</w:t>
      </w:r>
      <w:r w:rsidRPr="00014C4D">
        <w:rPr>
          <w:rtl/>
        </w:rPr>
        <w:t>27,000 תושבים)</w:t>
      </w:r>
      <w:r w:rsidRPr="00014C4D">
        <w:rPr>
          <w:rFonts w:hint="cs"/>
          <w:rtl/>
        </w:rPr>
        <w:t xml:space="preserve"> משויכים</w:t>
      </w:r>
      <w:r w:rsidRPr="00014C4D">
        <w:rPr>
          <w:rtl/>
        </w:rPr>
        <w:t>, לפי שכונה וב</w:t>
      </w:r>
      <w:r w:rsidRPr="00014C4D">
        <w:rPr>
          <w:rFonts w:hint="cs"/>
          <w:rtl/>
        </w:rPr>
        <w:t>נ</w:t>
      </w:r>
      <w:r w:rsidRPr="00014C4D">
        <w:rPr>
          <w:rtl/>
        </w:rPr>
        <w:t>יי</w:t>
      </w:r>
      <w:r w:rsidRPr="00014C4D">
        <w:rPr>
          <w:rFonts w:hint="cs"/>
          <w:rtl/>
        </w:rPr>
        <w:t>ן</w:t>
      </w:r>
      <w:r w:rsidRPr="00014C4D">
        <w:rPr>
          <w:rtl/>
        </w:rPr>
        <w:t xml:space="preserve"> מגורים</w:t>
      </w:r>
      <w:r w:rsidRPr="00014C4D">
        <w:rPr>
          <w:rFonts w:hint="cs"/>
          <w:rtl/>
        </w:rPr>
        <w:t>,</w:t>
      </w:r>
      <w:r w:rsidRPr="00014C4D">
        <w:rPr>
          <w:rtl/>
        </w:rPr>
        <w:t xml:space="preserve"> לבית ספר</w:t>
      </w:r>
      <w:r w:rsidRPr="00014C4D">
        <w:rPr>
          <w:rFonts w:hint="cs"/>
          <w:rtl/>
        </w:rPr>
        <w:t>,</w:t>
      </w:r>
      <w:r w:rsidRPr="00014C4D">
        <w:rPr>
          <w:rtl/>
        </w:rPr>
        <w:t xml:space="preserve"> מ</w:t>
      </w:r>
      <w:r w:rsidRPr="00014C4D">
        <w:rPr>
          <w:rFonts w:hint="cs"/>
          <w:rtl/>
        </w:rPr>
        <w:t>ק</w:t>
      </w:r>
      <w:r w:rsidRPr="00014C4D">
        <w:rPr>
          <w:rtl/>
        </w:rPr>
        <w:t xml:space="preserve">לט ציבורי או נכס עירוני </w:t>
      </w:r>
      <w:r w:rsidRPr="00014C4D">
        <w:rPr>
          <w:rFonts w:hint="cs"/>
          <w:rtl/>
        </w:rPr>
        <w:t>ק</w:t>
      </w:r>
      <w:r w:rsidRPr="00014C4D">
        <w:rPr>
          <w:rtl/>
        </w:rPr>
        <w:t xml:space="preserve">רוב </w:t>
      </w:r>
      <w:r w:rsidRPr="00014C4D">
        <w:rPr>
          <w:rFonts w:hint="cs"/>
          <w:rtl/>
        </w:rPr>
        <w:t>בעל ק</w:t>
      </w:r>
      <w:r w:rsidRPr="00014C4D">
        <w:rPr>
          <w:rtl/>
        </w:rPr>
        <w:t xml:space="preserve">יבולת המתאימה בהתאם לתקן המיגון </w:t>
      </w:r>
      <w:r w:rsidRPr="00014C4D">
        <w:rPr>
          <w:rFonts w:hint="cs"/>
          <w:rtl/>
        </w:rPr>
        <w:t>ל</w:t>
      </w:r>
      <w:r w:rsidRPr="00014C4D">
        <w:rPr>
          <w:rtl/>
        </w:rPr>
        <w:t>נפש שקבע פקע״ר</w:t>
      </w:r>
      <w:r w:rsidRPr="00014C4D">
        <w:rPr>
          <w:rFonts w:hint="cs"/>
          <w:rtl/>
        </w:rPr>
        <w:t>.</w:t>
      </w:r>
      <w:r w:rsidRPr="00014C4D">
        <w:rPr>
          <w:rtl/>
        </w:rPr>
        <w:t xml:space="preserve"> </w:t>
      </w:r>
      <w:r w:rsidRPr="00014C4D">
        <w:rPr>
          <w:rFonts w:hint="cs"/>
          <w:rtl/>
        </w:rPr>
        <w:t>ו</w:t>
      </w:r>
      <w:r w:rsidRPr="00014C4D">
        <w:rPr>
          <w:rtl/>
        </w:rPr>
        <w:t xml:space="preserve">יתר חסרי </w:t>
      </w:r>
      <w:r w:rsidRPr="00014C4D">
        <w:rPr>
          <w:rFonts w:hint="cs"/>
          <w:rtl/>
        </w:rPr>
        <w:t>ה</w:t>
      </w:r>
      <w:r w:rsidRPr="00014C4D">
        <w:rPr>
          <w:rtl/>
        </w:rPr>
        <w:t>מיגון</w:t>
      </w:r>
      <w:r w:rsidRPr="00014C4D">
        <w:rPr>
          <w:rFonts w:hint="cs"/>
          <w:rtl/>
        </w:rPr>
        <w:t xml:space="preserve"> </w:t>
      </w:r>
      <w:r w:rsidRPr="00014C4D">
        <w:rPr>
          <w:rtl/>
        </w:rPr>
        <w:t xml:space="preserve">(כ-5,000 תושבים) יועברו לחניונים מסודרים </w:t>
      </w:r>
      <w:r w:rsidRPr="00014C4D">
        <w:rPr>
          <w:rFonts w:hint="cs"/>
          <w:rtl/>
        </w:rPr>
        <w:t>שאישר פקע"ר</w:t>
      </w:r>
      <w:r w:rsidRPr="00014C4D">
        <w:rPr>
          <w:rtl/>
        </w:rPr>
        <w:t>.</w:t>
      </w:r>
      <w:r w:rsidRPr="00014C4D">
        <w:rPr>
          <w:rFonts w:hint="cs"/>
          <w:rtl/>
        </w:rPr>
        <w:t xml:space="preserve"> העירייה צירפה לתשובתה </w:t>
      </w:r>
      <w:r w:rsidRPr="00014C4D">
        <w:rPr>
          <w:rtl/>
        </w:rPr>
        <w:t xml:space="preserve">חוברת מידע שחולקה לתושבים ובה הנחיות להגעה מהירה למרחב מוגן, בהתאם למרחקים ולסדרי עדיפויות </w:t>
      </w:r>
      <w:r w:rsidRPr="00014C4D">
        <w:rPr>
          <w:rFonts w:hint="cs"/>
          <w:rtl/>
        </w:rPr>
        <w:t>שקבעה</w:t>
      </w:r>
      <w:r w:rsidRPr="00014C4D">
        <w:rPr>
          <w:rtl/>
        </w:rPr>
        <w:t xml:space="preserve"> העירייה, וכן מפת מידע דינמית המותאמת לכל כתובת מגורים.</w:t>
      </w:r>
    </w:p>
    <w:p w:rsidR="00014C4D" w:rsidRPr="00014C4D" w:rsidRDefault="00014C4D" w:rsidP="00014C4D">
      <w:pPr>
        <w:spacing w:line="269" w:lineRule="auto"/>
        <w:ind w:left="-1"/>
        <w:rPr>
          <w:b/>
          <w:bCs/>
          <w:rtl/>
        </w:rPr>
      </w:pPr>
    </w:p>
    <w:p w:rsidR="00014C4D" w:rsidRPr="00014C4D" w:rsidRDefault="00014C4D" w:rsidP="00014C4D">
      <w:pPr>
        <w:spacing w:line="269" w:lineRule="auto"/>
        <w:ind w:left="-1"/>
        <w:jc w:val="center"/>
        <w:rPr>
          <w:rFonts w:ascii="Arial" w:hAnsi="Arial" w:cs="Arial"/>
          <w:b/>
          <w:bCs/>
          <w:sz w:val="36"/>
          <w:rtl/>
        </w:rPr>
      </w:pPr>
      <w:r w:rsidRPr="00014C4D">
        <w:rPr>
          <w:rFonts w:ascii="Segoe UI Symbol" w:hAnsi="Segoe UI Symbol" w:cs="Segoe UI Symbol" w:hint="cs"/>
          <w:b/>
          <w:bCs/>
          <w:sz w:val="36"/>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b/>
          <w:bCs/>
          <w:rtl/>
        </w:rPr>
      </w:pPr>
      <w:r w:rsidRPr="00014C4D">
        <w:rPr>
          <w:rFonts w:hint="cs"/>
          <w:b/>
          <w:bCs/>
          <w:rtl/>
        </w:rPr>
        <w:t xml:space="preserve">מהאמור לעיל עולה כי בעיריות גבעתיים וחולון ובמועצה המקומית ביענה מספר התושבים ללא מיגון תקני (חלק מהנתונים מבוססים על היתרי בנייה ולא על בנייה בפועל) היה: </w:t>
      </w:r>
      <w:r w:rsidRPr="00014C4D">
        <w:rPr>
          <w:b/>
          <w:bCs/>
          <w:rtl/>
        </w:rPr>
        <w:t>10,163 (16%) בגבעתיים, 26,895 (14%) בחולון ו-6,167 (77%) בביענה</w:t>
      </w:r>
      <w:r w:rsidRPr="00014C4D">
        <w:rPr>
          <w:rFonts w:hint="cs"/>
          <w:b/>
          <w:bCs/>
          <w:rtl/>
        </w:rPr>
        <w:t xml:space="preserve">. לעיריית אשקלון ולמועצה האזורית הגלבוע אין נתונים על מספר התושבים ללא מיגון תקני, כנדרש בתיק האב. </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eastAsia"/>
          <w:rtl/>
        </w:rPr>
        <w:lastRenderedPageBreak/>
        <w:t>תרשים</w:t>
      </w:r>
      <w:r w:rsidRPr="00014C4D">
        <w:rPr>
          <w:rtl/>
        </w:rPr>
        <w:t xml:space="preserve"> </w:t>
      </w:r>
      <w:r w:rsidRPr="00014C4D">
        <w:rPr>
          <w:rFonts w:hint="cs"/>
          <w:rtl/>
        </w:rPr>
        <w:t>4</w:t>
      </w:r>
      <w:r w:rsidRPr="00014C4D">
        <w:rPr>
          <w:rtl/>
        </w:rPr>
        <w:t>:</w:t>
      </w:r>
      <w:r w:rsidRPr="00014C4D">
        <w:rPr>
          <w:rFonts w:hint="cs"/>
          <w:b/>
          <w:bCs/>
          <w:rtl/>
        </w:rPr>
        <w:t xml:space="preserve"> </w:t>
      </w:r>
      <w:r w:rsidRPr="00014C4D">
        <w:rPr>
          <w:rFonts w:hint="eastAsia"/>
          <w:b/>
          <w:bCs/>
          <w:rtl/>
        </w:rPr>
        <w:t>מספר</w:t>
      </w:r>
      <w:r w:rsidRPr="00014C4D">
        <w:rPr>
          <w:b/>
          <w:bCs/>
          <w:rtl/>
        </w:rPr>
        <w:t xml:space="preserve"> </w:t>
      </w:r>
      <w:r w:rsidRPr="00014C4D">
        <w:rPr>
          <w:rFonts w:hint="eastAsia"/>
          <w:b/>
          <w:bCs/>
          <w:rtl/>
        </w:rPr>
        <w:t>התושבים</w:t>
      </w:r>
      <w:r w:rsidRPr="00014C4D">
        <w:rPr>
          <w:b/>
          <w:bCs/>
          <w:rtl/>
        </w:rPr>
        <w:t xml:space="preserve"> </w:t>
      </w:r>
      <w:r w:rsidRPr="00014C4D">
        <w:rPr>
          <w:rFonts w:hint="eastAsia"/>
          <w:b/>
          <w:bCs/>
          <w:rtl/>
        </w:rPr>
        <w:t>ללא</w:t>
      </w:r>
      <w:r w:rsidRPr="00014C4D">
        <w:rPr>
          <w:b/>
          <w:bCs/>
          <w:rtl/>
        </w:rPr>
        <w:t xml:space="preserve"> </w:t>
      </w:r>
      <w:r w:rsidRPr="00014C4D">
        <w:rPr>
          <w:rFonts w:hint="eastAsia"/>
          <w:b/>
          <w:bCs/>
          <w:rtl/>
        </w:rPr>
        <w:t>מיגון</w:t>
      </w:r>
      <w:r w:rsidRPr="00014C4D">
        <w:rPr>
          <w:b/>
          <w:bCs/>
          <w:rtl/>
        </w:rPr>
        <w:t xml:space="preserve"> </w:t>
      </w:r>
      <w:r w:rsidRPr="00014C4D">
        <w:rPr>
          <w:rFonts w:hint="eastAsia"/>
          <w:b/>
          <w:bCs/>
          <w:rtl/>
        </w:rPr>
        <w:t>ושיעורם</w:t>
      </w:r>
      <w:r w:rsidRPr="00014C4D">
        <w:rPr>
          <w:b/>
          <w:bCs/>
          <w:rtl/>
        </w:rPr>
        <w:t xml:space="preserve"> </w:t>
      </w:r>
      <w:r w:rsidRPr="00014C4D">
        <w:rPr>
          <w:rFonts w:hint="cs"/>
          <w:b/>
          <w:bCs/>
          <w:rtl/>
        </w:rPr>
        <w:t>מ</w:t>
      </w:r>
      <w:r w:rsidRPr="00014C4D">
        <w:rPr>
          <w:rFonts w:hint="eastAsia"/>
          <w:b/>
          <w:bCs/>
          <w:rtl/>
        </w:rPr>
        <w:t>מספר</w:t>
      </w:r>
      <w:r w:rsidRPr="00014C4D">
        <w:rPr>
          <w:b/>
          <w:bCs/>
          <w:rtl/>
        </w:rPr>
        <w:t xml:space="preserve"> </w:t>
      </w:r>
      <w:r w:rsidRPr="00014C4D">
        <w:rPr>
          <w:rFonts w:hint="eastAsia"/>
          <w:b/>
          <w:bCs/>
          <w:rtl/>
        </w:rPr>
        <w:t>התושבים</w:t>
      </w:r>
      <w:r w:rsidRPr="00014C4D">
        <w:rPr>
          <w:b/>
          <w:bCs/>
          <w:rtl/>
        </w:rPr>
        <w:t xml:space="preserve"> </w:t>
      </w:r>
      <w:r w:rsidRPr="00014C4D">
        <w:rPr>
          <w:rFonts w:hint="eastAsia"/>
          <w:b/>
          <w:bCs/>
          <w:rtl/>
        </w:rPr>
        <w:t>ב</w:t>
      </w:r>
      <w:r w:rsidRPr="00014C4D">
        <w:rPr>
          <w:rFonts w:hint="cs"/>
          <w:b/>
          <w:bCs/>
          <w:rtl/>
        </w:rPr>
        <w:t>שלוש מה</w:t>
      </w:r>
      <w:r w:rsidRPr="00014C4D">
        <w:rPr>
          <w:rFonts w:hint="eastAsia"/>
          <w:b/>
          <w:bCs/>
          <w:rtl/>
        </w:rPr>
        <w:t>רשויות</w:t>
      </w:r>
      <w:r w:rsidRPr="00014C4D">
        <w:rPr>
          <w:b/>
          <w:bCs/>
          <w:rtl/>
        </w:rPr>
        <w:t xml:space="preserve"> </w:t>
      </w:r>
      <w:r w:rsidRPr="00014C4D">
        <w:rPr>
          <w:rFonts w:hint="eastAsia"/>
          <w:b/>
          <w:bCs/>
          <w:rtl/>
        </w:rPr>
        <w:t>שנבדקו</w:t>
      </w:r>
    </w:p>
    <w:p w:rsidR="00014C4D" w:rsidRPr="00014C4D" w:rsidRDefault="00014C4D" w:rsidP="00014C4D">
      <w:pPr>
        <w:keepNext/>
        <w:keepLines/>
        <w:spacing w:line="269" w:lineRule="auto"/>
        <w:jc w:val="center"/>
        <w:rPr>
          <w:noProof/>
          <w:rtl/>
        </w:rPr>
      </w:pPr>
    </w:p>
    <w:p w:rsidR="00014C4D" w:rsidRPr="00014C4D" w:rsidRDefault="00014C4D" w:rsidP="00014C4D">
      <w:pPr>
        <w:spacing w:line="269" w:lineRule="auto"/>
        <w:ind w:left="-1"/>
        <w:jc w:val="center"/>
        <w:rPr>
          <w:rtl/>
        </w:rPr>
      </w:pPr>
      <w:r w:rsidRPr="00014C4D">
        <w:rPr>
          <w:noProof/>
        </w:rPr>
        <w:drawing>
          <wp:inline distT="0" distB="0" distL="0" distR="0" wp14:anchorId="2A8F230E" wp14:editId="5040983E">
            <wp:extent cx="4041130" cy="3697605"/>
            <wp:effectExtent l="0" t="0" r="0" b="0"/>
            <wp:docPr id="1834351641" name="תמונה 1834351641" descr="ל-16% מתושבי גבעתיים, ל-14% מתושבי חולון ול-77% מתושבי בענה אין מיגון תק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3128" b="3817"/>
                    <a:stretch/>
                  </pic:blipFill>
                  <pic:spPr bwMode="auto">
                    <a:xfrm>
                      <a:off x="0" y="0"/>
                      <a:ext cx="4041130" cy="3697605"/>
                    </a:xfrm>
                    <a:prstGeom prst="rect">
                      <a:avLst/>
                    </a:prstGeom>
                    <a:ln>
                      <a:noFill/>
                    </a:ln>
                    <a:extLst>
                      <a:ext uri="{53640926-AAD7-44D8-BBD7-CCE9431645EC}">
                        <a14:shadowObscured xmlns:a14="http://schemas.microsoft.com/office/drawing/2010/main"/>
                      </a:ext>
                    </a:extLst>
                  </pic:spPr>
                </pic:pic>
              </a:graphicData>
            </a:graphic>
          </wp:inline>
        </w:drawing>
      </w:r>
    </w:p>
    <w:p w:rsidR="00014C4D" w:rsidRPr="00014C4D" w:rsidRDefault="00014C4D" w:rsidP="00014C4D">
      <w:pPr>
        <w:tabs>
          <w:tab w:val="left" w:pos="424"/>
        </w:tabs>
        <w:spacing w:line="269" w:lineRule="auto"/>
        <w:ind w:left="-1"/>
        <w:rPr>
          <w:szCs w:val="20"/>
          <w:rtl/>
        </w:rPr>
      </w:pPr>
      <w:r w:rsidRPr="00014C4D">
        <w:rPr>
          <w:rFonts w:hint="cs"/>
          <w:szCs w:val="20"/>
          <w:rtl/>
        </w:rPr>
        <w:t xml:space="preserve">על פי נתוני </w:t>
      </w:r>
      <w:r w:rsidRPr="00014C4D">
        <w:rPr>
          <w:szCs w:val="20"/>
          <w:rtl/>
        </w:rPr>
        <w:t>עיריות גבעתיים וחולון ומועצה מקומית ביענה</w:t>
      </w:r>
      <w:r w:rsidRPr="00014C4D">
        <w:rPr>
          <w:rFonts w:hint="cs"/>
          <w:szCs w:val="20"/>
          <w:rtl/>
        </w:rPr>
        <w:t>, בעיבוד משרד מבקר המדינה.</w:t>
      </w:r>
    </w:p>
    <w:p w:rsidR="00014C4D" w:rsidRPr="00014C4D" w:rsidRDefault="00014C4D" w:rsidP="00014C4D">
      <w:pPr>
        <w:tabs>
          <w:tab w:val="left" w:pos="424"/>
        </w:tabs>
        <w:spacing w:line="269" w:lineRule="auto"/>
        <w:ind w:left="-1"/>
        <w:rPr>
          <w:szCs w:val="20"/>
          <w:rtl/>
        </w:rPr>
      </w:pPr>
      <w:r w:rsidRPr="00014C4D">
        <w:rPr>
          <w:szCs w:val="20"/>
          <w:rtl/>
        </w:rPr>
        <w:t>כאמור לעיל, ל</w:t>
      </w:r>
      <w:r w:rsidRPr="00014C4D">
        <w:rPr>
          <w:rFonts w:hint="cs"/>
          <w:szCs w:val="20"/>
          <w:rtl/>
        </w:rPr>
        <w:t xml:space="preserve">עיריית </w:t>
      </w:r>
      <w:r w:rsidRPr="00014C4D">
        <w:rPr>
          <w:szCs w:val="20"/>
          <w:rtl/>
        </w:rPr>
        <w:t>אשקלון ו</w:t>
      </w:r>
      <w:r w:rsidRPr="00014C4D">
        <w:rPr>
          <w:rFonts w:hint="cs"/>
          <w:szCs w:val="20"/>
          <w:rtl/>
        </w:rPr>
        <w:t xml:space="preserve">למועצה האזורית </w:t>
      </w:r>
      <w:r w:rsidRPr="00014C4D">
        <w:rPr>
          <w:szCs w:val="20"/>
          <w:rtl/>
        </w:rPr>
        <w:t xml:space="preserve">הגלבוע אין נתונים על </w:t>
      </w:r>
      <w:r w:rsidRPr="00014C4D">
        <w:rPr>
          <w:rFonts w:hint="eastAsia"/>
          <w:szCs w:val="20"/>
          <w:rtl/>
        </w:rPr>
        <w:t>מספר</w:t>
      </w:r>
      <w:r w:rsidRPr="00014C4D">
        <w:rPr>
          <w:szCs w:val="20"/>
          <w:rtl/>
        </w:rPr>
        <w:t xml:space="preserve"> </w:t>
      </w:r>
      <w:r w:rsidRPr="00014C4D">
        <w:rPr>
          <w:rFonts w:hint="eastAsia"/>
          <w:szCs w:val="20"/>
          <w:rtl/>
        </w:rPr>
        <w:t>התושבים</w:t>
      </w:r>
      <w:r w:rsidRPr="00014C4D">
        <w:rPr>
          <w:szCs w:val="20"/>
          <w:rtl/>
        </w:rPr>
        <w:t xml:space="preserve"> </w:t>
      </w:r>
      <w:r w:rsidRPr="00014C4D">
        <w:rPr>
          <w:rFonts w:hint="eastAsia"/>
          <w:szCs w:val="20"/>
          <w:rtl/>
        </w:rPr>
        <w:t>ללא</w:t>
      </w:r>
      <w:r w:rsidRPr="00014C4D">
        <w:rPr>
          <w:szCs w:val="20"/>
          <w:rtl/>
        </w:rPr>
        <w:t xml:space="preserve"> </w:t>
      </w:r>
      <w:r w:rsidRPr="00014C4D">
        <w:rPr>
          <w:rFonts w:hint="eastAsia"/>
          <w:szCs w:val="20"/>
          <w:rtl/>
        </w:rPr>
        <w:t>מיגון</w:t>
      </w:r>
      <w:r w:rsidRPr="00014C4D">
        <w:rPr>
          <w:szCs w:val="20"/>
          <w:rtl/>
        </w:rPr>
        <w:t>.</w:t>
      </w:r>
    </w:p>
    <w:p w:rsidR="0089507B" w:rsidRDefault="0089507B" w:rsidP="00014C4D">
      <w:pPr>
        <w:spacing w:line="269" w:lineRule="auto"/>
        <w:rPr>
          <w:b/>
          <w:bCs/>
          <w:rtl/>
        </w:rPr>
      </w:pPr>
    </w:p>
    <w:p w:rsidR="00014C4D" w:rsidRPr="00014C4D" w:rsidRDefault="00014C4D" w:rsidP="00014C4D">
      <w:pPr>
        <w:spacing w:line="269" w:lineRule="auto"/>
        <w:rPr>
          <w:b/>
          <w:bCs/>
          <w:rtl/>
        </w:rPr>
      </w:pPr>
      <w:r w:rsidRPr="00014C4D">
        <w:rPr>
          <w:rFonts w:hint="cs"/>
          <w:b/>
          <w:bCs/>
          <w:rtl/>
        </w:rPr>
        <w:t>עוד עולה</w:t>
      </w:r>
      <w:r w:rsidRPr="00014C4D">
        <w:rPr>
          <w:b/>
          <w:bCs/>
          <w:rtl/>
        </w:rPr>
        <w:t xml:space="preserve"> </w:t>
      </w:r>
      <w:r w:rsidRPr="00014C4D">
        <w:rPr>
          <w:rFonts w:hint="cs"/>
          <w:b/>
          <w:bCs/>
          <w:rtl/>
        </w:rPr>
        <w:t xml:space="preserve">כי במועצה המקומית ביענה ובמועצה האזורית הגלבוע לא הוקמו </w:t>
      </w:r>
      <w:r w:rsidRPr="00014C4D">
        <w:rPr>
          <w:b/>
          <w:bCs/>
          <w:rtl/>
        </w:rPr>
        <w:t>מסד</w:t>
      </w:r>
      <w:r w:rsidRPr="00014C4D">
        <w:rPr>
          <w:rFonts w:hint="cs"/>
          <w:b/>
          <w:bCs/>
          <w:rtl/>
        </w:rPr>
        <w:t>י</w:t>
      </w:r>
      <w:r w:rsidRPr="00014C4D">
        <w:rPr>
          <w:b/>
          <w:bCs/>
          <w:rtl/>
        </w:rPr>
        <w:t xml:space="preserve"> נתונים </w:t>
      </w:r>
      <w:r w:rsidRPr="00014C4D">
        <w:rPr>
          <w:rFonts w:hint="cs"/>
          <w:b/>
          <w:bCs/>
          <w:rtl/>
        </w:rPr>
        <w:t xml:space="preserve">שמבוססים על הבנייה בפועל </w:t>
      </w:r>
      <w:r w:rsidRPr="00014C4D">
        <w:rPr>
          <w:b/>
          <w:bCs/>
          <w:rtl/>
        </w:rPr>
        <w:t>בנוגע לפערי המ</w:t>
      </w:r>
      <w:r w:rsidRPr="00014C4D">
        <w:rPr>
          <w:rFonts w:hint="cs"/>
          <w:b/>
          <w:bCs/>
          <w:rtl/>
        </w:rPr>
        <w:t>יגון</w:t>
      </w:r>
      <w:r w:rsidRPr="00014C4D">
        <w:rPr>
          <w:b/>
          <w:bCs/>
          <w:rtl/>
        </w:rPr>
        <w:t xml:space="preserve"> </w:t>
      </w:r>
      <w:r w:rsidRPr="00014C4D">
        <w:rPr>
          <w:rFonts w:hint="cs"/>
          <w:b/>
          <w:bCs/>
          <w:rtl/>
        </w:rPr>
        <w:t>ולא מופו כל המרחבים המוגנים שבתחומן, כנדרש בתיקי האב. הרשויות המקומיות אשקלון, ביענה והגלבוע לא תכננו פתרונות מיגון ל</w:t>
      </w:r>
      <w:r w:rsidRPr="00014C4D">
        <w:rPr>
          <w:b/>
          <w:bCs/>
          <w:rtl/>
        </w:rPr>
        <w:t>אוכלוסייה</w:t>
      </w:r>
      <w:r w:rsidRPr="00014C4D">
        <w:rPr>
          <w:rFonts w:hint="cs"/>
          <w:b/>
          <w:bCs/>
          <w:rtl/>
        </w:rPr>
        <w:t xml:space="preserve"> </w:t>
      </w:r>
      <w:r w:rsidRPr="00014C4D">
        <w:rPr>
          <w:b/>
          <w:bCs/>
          <w:rtl/>
        </w:rPr>
        <w:t>בשעת</w:t>
      </w:r>
      <w:r w:rsidRPr="00014C4D">
        <w:rPr>
          <w:rFonts w:hint="cs"/>
          <w:b/>
          <w:bCs/>
          <w:rtl/>
        </w:rPr>
        <w:t xml:space="preserve"> </w:t>
      </w:r>
      <w:r w:rsidRPr="00014C4D">
        <w:rPr>
          <w:b/>
          <w:bCs/>
          <w:rtl/>
        </w:rPr>
        <w:t>חירום</w:t>
      </w:r>
      <w:r w:rsidRPr="00014C4D">
        <w:rPr>
          <w:rFonts w:hint="cs"/>
          <w:b/>
          <w:bCs/>
          <w:rtl/>
        </w:rPr>
        <w:t xml:space="preserve">, כנדרש בתיקי האב. בפתרונות המוצעים לתושבים חסרי המיגון שנתנו הרשויות המקומיות גבעתיים וחולון לא ניתן לדעת אם המקלטים הציבוריים שלהן </w:t>
      </w:r>
      <w:r w:rsidRPr="00014C4D">
        <w:rPr>
          <w:rFonts w:hint="eastAsia"/>
          <w:b/>
          <w:bCs/>
          <w:rtl/>
        </w:rPr>
        <w:t>נמצאים</w:t>
      </w:r>
      <w:r w:rsidRPr="00014C4D">
        <w:rPr>
          <w:b/>
          <w:bCs/>
          <w:rtl/>
        </w:rPr>
        <w:t xml:space="preserve"> </w:t>
      </w:r>
      <w:r w:rsidRPr="00014C4D">
        <w:rPr>
          <w:rFonts w:hint="eastAsia"/>
          <w:b/>
          <w:bCs/>
          <w:rtl/>
        </w:rPr>
        <w:t>במרחק</w:t>
      </w:r>
      <w:r w:rsidRPr="00014C4D">
        <w:rPr>
          <w:b/>
          <w:bCs/>
          <w:rtl/>
        </w:rPr>
        <w:t xml:space="preserve"> </w:t>
      </w:r>
      <w:r w:rsidRPr="00014C4D">
        <w:rPr>
          <w:rFonts w:hint="eastAsia"/>
          <w:b/>
          <w:bCs/>
          <w:rtl/>
        </w:rPr>
        <w:t>מבתי</w:t>
      </w:r>
      <w:r w:rsidRPr="00014C4D">
        <w:rPr>
          <w:b/>
          <w:bCs/>
          <w:rtl/>
        </w:rPr>
        <w:t xml:space="preserve"> </w:t>
      </w:r>
      <w:r w:rsidRPr="00014C4D">
        <w:rPr>
          <w:rFonts w:hint="eastAsia"/>
          <w:b/>
          <w:bCs/>
          <w:rtl/>
        </w:rPr>
        <w:t>התושבים</w:t>
      </w:r>
      <w:r w:rsidRPr="00014C4D">
        <w:rPr>
          <w:rFonts w:hint="cs"/>
          <w:b/>
          <w:bCs/>
          <w:rtl/>
        </w:rPr>
        <w:t xml:space="preserve"> המאפשר להגיע אליהם בשעת הצורך במשך זמן ההתרעה.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מתשובת</w:t>
      </w:r>
      <w:r w:rsidRPr="00014C4D">
        <w:rPr>
          <w:rtl/>
        </w:rPr>
        <w:t xml:space="preserve"> </w:t>
      </w:r>
      <w:r w:rsidRPr="00014C4D">
        <w:rPr>
          <w:rFonts w:hint="eastAsia"/>
          <w:rtl/>
        </w:rPr>
        <w:t>פקע</w:t>
      </w:r>
      <w:r w:rsidRPr="00014C4D">
        <w:rPr>
          <w:rtl/>
        </w:rPr>
        <w:t xml:space="preserve">"ר </w:t>
      </w:r>
      <w:r w:rsidRPr="00014C4D">
        <w:rPr>
          <w:rFonts w:hint="eastAsia"/>
          <w:rtl/>
        </w:rPr>
        <w:t>למשרד</w:t>
      </w:r>
      <w:r w:rsidRPr="00014C4D">
        <w:rPr>
          <w:rtl/>
        </w:rPr>
        <w:t xml:space="preserve"> מבקר המדינה עולה כי בין השנים 2020 - 2022 הוקמו פלטפורמות דיגיטאליות מתאימות למיפוי המיגון ע</w:t>
      </w:r>
      <w:r w:rsidRPr="00014C4D">
        <w:rPr>
          <w:rFonts w:hint="eastAsia"/>
          <w:rtl/>
        </w:rPr>
        <w:t>ל</w:t>
      </w:r>
      <w:r w:rsidRPr="00014C4D">
        <w:rPr>
          <w:rtl/>
        </w:rPr>
        <w:t xml:space="preserve"> גבי מערכות ממוחשבות, ובשנת 2023 תמונת מצב המיגון הונגשה לכלל הרשויות המקומיות באמצעות יצירת ממשק בין מערכת המיגון שמתנהלת בפורטל אג״מים של פקע"ר למערכת שו"ב רשויות. בשנת 2023 ג</w:t>
      </w:r>
      <w:r w:rsidRPr="00014C4D">
        <w:rPr>
          <w:rFonts w:hint="eastAsia"/>
          <w:rtl/>
        </w:rPr>
        <w:t>יבש</w:t>
      </w:r>
      <w:r w:rsidRPr="00014C4D">
        <w:rPr>
          <w:rtl/>
        </w:rPr>
        <w:t xml:space="preserve"> </w:t>
      </w:r>
      <w:r w:rsidRPr="00014C4D">
        <w:rPr>
          <w:rFonts w:hint="eastAsia"/>
          <w:rtl/>
        </w:rPr>
        <w:t>פקע</w:t>
      </w:r>
      <w:r w:rsidRPr="00014C4D">
        <w:rPr>
          <w:rtl/>
        </w:rPr>
        <w:t>"ר מתכונת מענה עדכנית ורלוונטית במסגרת מנחה ת</w:t>
      </w:r>
      <w:r w:rsidRPr="00014C4D">
        <w:rPr>
          <w:rFonts w:hint="cs"/>
          <w:rtl/>
        </w:rPr>
        <w:t>ו</w:t>
      </w:r>
      <w:r w:rsidRPr="00014C4D">
        <w:rPr>
          <w:rtl/>
        </w:rPr>
        <w:t xml:space="preserve">כנית מענה רשותית לצמצום פערי המיגון והחל פיילוט כתיבת תוכניות מענה ב-166 רשויות מקומיות. </w:t>
      </w:r>
    </w:p>
    <w:p w:rsidR="00014C4D" w:rsidRPr="00014C4D" w:rsidRDefault="00014C4D" w:rsidP="00014C4D">
      <w:pPr>
        <w:spacing w:line="269" w:lineRule="auto"/>
        <w:rPr>
          <w:b/>
          <w:bCs/>
          <w:rtl/>
        </w:rPr>
      </w:pPr>
      <w:r w:rsidRPr="00014C4D">
        <w:rPr>
          <w:rFonts w:hint="eastAsia"/>
          <w:b/>
          <w:bCs/>
          <w:rtl/>
        </w:rPr>
        <w:lastRenderedPageBreak/>
        <w:t>מ</w:t>
      </w:r>
      <w:r w:rsidRPr="00014C4D">
        <w:rPr>
          <w:rFonts w:hint="cs"/>
          <w:b/>
          <w:bCs/>
          <w:rtl/>
        </w:rPr>
        <w:t>מ</w:t>
      </w:r>
      <w:r w:rsidRPr="00014C4D">
        <w:rPr>
          <w:rFonts w:hint="eastAsia"/>
          <w:b/>
          <w:bCs/>
          <w:rtl/>
        </w:rPr>
        <w:t>מצאי</w:t>
      </w:r>
      <w:r w:rsidRPr="00014C4D">
        <w:rPr>
          <w:b/>
          <w:bCs/>
          <w:rtl/>
        </w:rPr>
        <w:t xml:space="preserve"> ה</w:t>
      </w:r>
      <w:r w:rsidRPr="00014C4D">
        <w:rPr>
          <w:rFonts w:hint="cs"/>
          <w:b/>
          <w:bCs/>
          <w:rtl/>
        </w:rPr>
        <w:t>ביקורת</w:t>
      </w:r>
      <w:r w:rsidRPr="00014C4D">
        <w:rPr>
          <w:b/>
          <w:bCs/>
          <w:rtl/>
        </w:rPr>
        <w:t xml:space="preserve"> עולה כי עד למלחמת חרבות ברזל </w:t>
      </w:r>
      <w:r w:rsidRPr="00014C4D">
        <w:rPr>
          <w:rFonts w:hint="eastAsia"/>
          <w:b/>
          <w:bCs/>
          <w:rtl/>
        </w:rPr>
        <w:t>הרשויות</w:t>
      </w:r>
      <w:r w:rsidRPr="00014C4D">
        <w:rPr>
          <w:b/>
          <w:bCs/>
          <w:rtl/>
        </w:rPr>
        <w:t xml:space="preserve"> שנבדקו (עיריות אשקלון וחולון, המועצה המקומית ביענה והמועצה האזורית הגלבוע) לא גיבשו</w:t>
      </w:r>
      <w:r w:rsidRPr="00014C4D">
        <w:rPr>
          <w:rtl/>
        </w:rPr>
        <w:t xml:space="preserve"> </w:t>
      </w:r>
      <w:r w:rsidRPr="00014C4D">
        <w:rPr>
          <w:b/>
          <w:bCs/>
          <w:rtl/>
        </w:rPr>
        <w:t>תוכניות מיגון עדכניות ומדויקות המבוססות על נתוני הבנייה בפועל</w:t>
      </w:r>
      <w:r w:rsidRPr="00014C4D">
        <w:rPr>
          <w:rFonts w:hint="cs"/>
          <w:b/>
          <w:bCs/>
          <w:rtl/>
        </w:rPr>
        <w:t xml:space="preserve"> </w:t>
      </w:r>
      <w:r w:rsidRPr="00014C4D">
        <w:rPr>
          <w:b/>
          <w:bCs/>
          <w:rtl/>
        </w:rPr>
        <w:t xml:space="preserve">ופקע"ר לא פיקח על </w:t>
      </w:r>
      <w:r w:rsidRPr="00014C4D">
        <w:rPr>
          <w:rFonts w:hint="eastAsia"/>
          <w:b/>
          <w:bCs/>
          <w:rtl/>
        </w:rPr>
        <w:t>יישום</w:t>
      </w:r>
      <w:r w:rsidRPr="00014C4D">
        <w:rPr>
          <w:b/>
          <w:bCs/>
          <w:rtl/>
        </w:rPr>
        <w:t xml:space="preserve"> </w:t>
      </w:r>
      <w:r w:rsidRPr="00014C4D">
        <w:rPr>
          <w:rFonts w:hint="eastAsia"/>
          <w:b/>
          <w:bCs/>
          <w:rtl/>
        </w:rPr>
        <w:t>הנחיותיו</w:t>
      </w:r>
      <w:r w:rsidRPr="00014C4D">
        <w:rPr>
          <w:rFonts w:hint="cs"/>
          <w:b/>
          <w:bCs/>
          <w:rtl/>
        </w:rPr>
        <w:t xml:space="preserve"> בהתאם לתיקי האב </w:t>
      </w:r>
      <w:r w:rsidRPr="00014C4D">
        <w:rPr>
          <w:b/>
          <w:bCs/>
          <w:rtl/>
        </w:rPr>
        <w:t>ולא וידא שהרשויות המקומיות תכננו פתרונות מיגון שיתאימו לצ</w:t>
      </w:r>
      <w:r w:rsidRPr="00014C4D">
        <w:rPr>
          <w:rFonts w:hint="cs"/>
          <w:b/>
          <w:bCs/>
          <w:rtl/>
        </w:rPr>
        <w:t>ו</w:t>
      </w:r>
      <w:r w:rsidRPr="00014C4D">
        <w:rPr>
          <w:b/>
          <w:bCs/>
          <w:rtl/>
        </w:rPr>
        <w:t>רכי האוכלוסייה בשעת חירום.</w:t>
      </w:r>
      <w:r w:rsidRPr="00014C4D">
        <w:rPr>
          <w:rFonts w:hint="cs"/>
          <w:b/>
          <w:bCs/>
          <w:rtl/>
        </w:rPr>
        <w:t xml:space="preserve"> עיריית חולון עדכנה כאמור את תוכנית המיגון שלה במהלך המלחמה.</w:t>
      </w:r>
    </w:p>
    <w:p w:rsidR="00014C4D" w:rsidRPr="00014C4D" w:rsidRDefault="00014C4D" w:rsidP="00014C4D">
      <w:pPr>
        <w:spacing w:line="269" w:lineRule="auto"/>
        <w:ind w:left="-567"/>
        <w:rPr>
          <w:b/>
          <w:bCs/>
          <w:szCs w:val="20"/>
          <w:rtl/>
        </w:rPr>
      </w:pPr>
    </w:p>
    <w:p w:rsidR="00014C4D" w:rsidRPr="00014C4D" w:rsidRDefault="00014C4D" w:rsidP="00014C4D">
      <w:pPr>
        <w:spacing w:line="269" w:lineRule="auto"/>
        <w:rPr>
          <w:b/>
          <w:bCs/>
          <w:rtl/>
        </w:rPr>
      </w:pPr>
      <w:r w:rsidRPr="00014C4D">
        <w:rPr>
          <w:rFonts w:hint="cs"/>
          <w:b/>
          <w:bCs/>
          <w:rtl/>
        </w:rPr>
        <w:t xml:space="preserve">על </w:t>
      </w:r>
      <w:r w:rsidRPr="00014C4D">
        <w:rPr>
          <w:rFonts w:hint="eastAsia"/>
          <w:b/>
          <w:bCs/>
          <w:rtl/>
        </w:rPr>
        <w:t>עיריית</w:t>
      </w:r>
      <w:r w:rsidRPr="00014C4D">
        <w:rPr>
          <w:b/>
          <w:bCs/>
          <w:rtl/>
        </w:rPr>
        <w:t xml:space="preserve"> </w:t>
      </w:r>
      <w:r w:rsidRPr="00014C4D">
        <w:rPr>
          <w:rFonts w:hint="eastAsia"/>
          <w:b/>
          <w:bCs/>
          <w:rtl/>
        </w:rPr>
        <w:t>אשקלון</w:t>
      </w:r>
      <w:r w:rsidRPr="00014C4D">
        <w:rPr>
          <w:b/>
          <w:bCs/>
          <w:rtl/>
        </w:rPr>
        <w:t xml:space="preserve"> </w:t>
      </w:r>
      <w:r w:rsidRPr="00014C4D">
        <w:rPr>
          <w:rFonts w:hint="cs"/>
          <w:b/>
          <w:bCs/>
          <w:rtl/>
        </w:rPr>
        <w:t>לנהל</w:t>
      </w:r>
      <w:r w:rsidRPr="00014C4D">
        <w:rPr>
          <w:b/>
          <w:bCs/>
          <w:rtl/>
        </w:rPr>
        <w:t xml:space="preserve"> </w:t>
      </w:r>
      <w:r w:rsidRPr="00014C4D">
        <w:rPr>
          <w:rFonts w:hint="eastAsia"/>
          <w:b/>
          <w:bCs/>
          <w:rtl/>
        </w:rPr>
        <w:t>נתונים</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מספר</w:t>
      </w:r>
      <w:r w:rsidRPr="00014C4D">
        <w:rPr>
          <w:b/>
          <w:bCs/>
          <w:rtl/>
        </w:rPr>
        <w:t xml:space="preserve"> </w:t>
      </w:r>
      <w:r w:rsidRPr="00014C4D">
        <w:rPr>
          <w:rFonts w:hint="eastAsia"/>
          <w:b/>
          <w:bCs/>
          <w:rtl/>
        </w:rPr>
        <w:t>התושבים</w:t>
      </w:r>
      <w:r w:rsidRPr="00014C4D">
        <w:rPr>
          <w:rFonts w:hint="cs"/>
          <w:b/>
          <w:bCs/>
          <w:rtl/>
        </w:rPr>
        <w:t xml:space="preserve"> ש</w:t>
      </w:r>
      <w:r w:rsidRPr="00014C4D">
        <w:rPr>
          <w:rFonts w:hint="eastAsia"/>
          <w:b/>
          <w:bCs/>
          <w:rtl/>
        </w:rPr>
        <w:t>אין</w:t>
      </w:r>
      <w:r w:rsidRPr="00014C4D">
        <w:rPr>
          <w:b/>
          <w:bCs/>
          <w:rtl/>
        </w:rPr>
        <w:t xml:space="preserve"> </w:t>
      </w:r>
      <w:r w:rsidRPr="00014C4D">
        <w:rPr>
          <w:rFonts w:hint="eastAsia"/>
          <w:b/>
          <w:bCs/>
          <w:rtl/>
        </w:rPr>
        <w:t>להם</w:t>
      </w:r>
      <w:r w:rsidRPr="00014C4D">
        <w:rPr>
          <w:b/>
          <w:bCs/>
          <w:rtl/>
        </w:rPr>
        <w:t xml:space="preserve"> </w:t>
      </w:r>
      <w:r w:rsidRPr="00014C4D">
        <w:rPr>
          <w:rFonts w:hint="eastAsia"/>
          <w:b/>
          <w:bCs/>
          <w:rtl/>
        </w:rPr>
        <w:t>מיגון</w:t>
      </w:r>
      <w:r w:rsidRPr="00014C4D">
        <w:rPr>
          <w:b/>
          <w:bCs/>
          <w:rtl/>
        </w:rPr>
        <w:t xml:space="preserve"> </w:t>
      </w:r>
      <w:r w:rsidRPr="00014C4D">
        <w:rPr>
          <w:rFonts w:hint="eastAsia"/>
          <w:b/>
          <w:bCs/>
          <w:rtl/>
        </w:rPr>
        <w:t>תקני</w:t>
      </w:r>
      <w:r w:rsidRPr="00014C4D">
        <w:rPr>
          <w:rFonts w:hint="cs"/>
          <w:b/>
          <w:bCs/>
          <w:rtl/>
        </w:rPr>
        <w:t>, כנדרש בתיק האב. על המועצה המקומית ביענה והמועצה האזורית הגלבוע לפעול לפי הנחיות תיקי האב ו</w:t>
      </w:r>
      <w:r w:rsidRPr="00014C4D">
        <w:rPr>
          <w:b/>
          <w:bCs/>
          <w:rtl/>
        </w:rPr>
        <w:t xml:space="preserve">לבנות מסד נתונים </w:t>
      </w:r>
      <w:r w:rsidRPr="00014C4D">
        <w:rPr>
          <w:rFonts w:hint="cs"/>
          <w:b/>
          <w:bCs/>
          <w:rtl/>
        </w:rPr>
        <w:t>על פערי המיגון שמבוסס על הבנייה בפועל ולמפות את כל המרחבים המוגנים (למשל מחסים ציבוריים ומוסדות חינוך) שבתחומן, כדי</w:t>
      </w:r>
      <w:r w:rsidRPr="00014C4D">
        <w:rPr>
          <w:b/>
          <w:bCs/>
          <w:rtl/>
        </w:rPr>
        <w:t xml:space="preserve"> שיוכלו לתכנן</w:t>
      </w:r>
      <w:r w:rsidRPr="00014C4D">
        <w:rPr>
          <w:rFonts w:hint="cs"/>
          <w:b/>
          <w:bCs/>
          <w:rtl/>
        </w:rPr>
        <w:t xml:space="preserve"> פתרונות מיגון ל</w:t>
      </w:r>
      <w:r w:rsidRPr="00014C4D">
        <w:rPr>
          <w:b/>
          <w:bCs/>
          <w:rtl/>
        </w:rPr>
        <w:t>אוכלוסייה</w:t>
      </w:r>
      <w:r w:rsidRPr="00014C4D">
        <w:rPr>
          <w:rFonts w:hint="cs"/>
          <w:b/>
          <w:bCs/>
          <w:rtl/>
        </w:rPr>
        <w:t xml:space="preserve"> </w:t>
      </w:r>
      <w:r w:rsidRPr="00014C4D">
        <w:rPr>
          <w:b/>
          <w:bCs/>
          <w:rtl/>
        </w:rPr>
        <w:t>בשעת</w:t>
      </w:r>
      <w:r w:rsidRPr="00014C4D">
        <w:rPr>
          <w:rFonts w:hint="cs"/>
          <w:b/>
          <w:bCs/>
          <w:rtl/>
        </w:rPr>
        <w:t xml:space="preserve"> </w:t>
      </w:r>
      <w:r w:rsidRPr="00014C4D">
        <w:rPr>
          <w:b/>
          <w:bCs/>
          <w:rtl/>
        </w:rPr>
        <w:t>חירום</w:t>
      </w:r>
      <w:r w:rsidRPr="00014C4D">
        <w:rPr>
          <w:rFonts w:hint="cs"/>
          <w:b/>
          <w:bCs/>
          <w:rtl/>
        </w:rPr>
        <w:t xml:space="preserve">. על עיריות גבעתיים וחולון לחשב במסגרת תוכניות המיגון שלהן גם את המרחקים שבין בתי המגורים </w:t>
      </w:r>
      <w:r w:rsidRPr="00014C4D">
        <w:rPr>
          <w:rFonts w:hint="eastAsia"/>
          <w:b/>
          <w:bCs/>
          <w:rtl/>
        </w:rPr>
        <w:t>ל</w:t>
      </w:r>
      <w:r w:rsidRPr="00014C4D">
        <w:rPr>
          <w:rFonts w:hint="cs"/>
          <w:b/>
          <w:bCs/>
          <w:rtl/>
        </w:rPr>
        <w:t>מרחבים המוגנים.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פקע"ר מסר בתשובתו כי </w:t>
      </w:r>
      <w:r w:rsidRPr="00014C4D">
        <w:rPr>
          <w:rtl/>
        </w:rPr>
        <w:t>לאחר הקפאת שלב ב׳ של פרויקט התמי״ר בשנ</w:t>
      </w:r>
      <w:r w:rsidRPr="00014C4D">
        <w:rPr>
          <w:rFonts w:hint="cs"/>
          <w:rtl/>
        </w:rPr>
        <w:t>ת</w:t>
      </w:r>
      <w:r w:rsidRPr="00014C4D">
        <w:rPr>
          <w:rtl/>
        </w:rPr>
        <w:t xml:space="preserve"> 2018</w:t>
      </w:r>
      <w:r w:rsidRPr="00014C4D">
        <w:rPr>
          <w:rFonts w:hint="cs"/>
          <w:rtl/>
        </w:rPr>
        <w:t xml:space="preserve"> כאמור</w:t>
      </w:r>
      <w:r w:rsidRPr="00014C4D">
        <w:rPr>
          <w:rtl/>
        </w:rPr>
        <w:t>,</w:t>
      </w:r>
      <w:r w:rsidRPr="00014C4D">
        <w:rPr>
          <w:rFonts w:hint="cs"/>
          <w:rtl/>
        </w:rPr>
        <w:t xml:space="preserve"> הוא</w:t>
      </w:r>
      <w:r w:rsidRPr="00014C4D">
        <w:rPr>
          <w:rtl/>
        </w:rPr>
        <w:t xml:space="preserve"> קבע כי לא </w:t>
      </w:r>
      <w:r w:rsidRPr="00014C4D">
        <w:rPr>
          <w:rFonts w:hint="cs"/>
          <w:rtl/>
        </w:rPr>
        <w:t xml:space="preserve">יאושרו תוכניות </w:t>
      </w:r>
      <w:r w:rsidRPr="00014C4D">
        <w:rPr>
          <w:rtl/>
        </w:rPr>
        <w:t>תמי״ר של הרשויות המקומיות, אלא יינתן סיוע בתהליך גיבוש הת</w:t>
      </w:r>
      <w:r w:rsidRPr="00014C4D">
        <w:rPr>
          <w:rFonts w:hint="cs"/>
          <w:rtl/>
        </w:rPr>
        <w:t>ו</w:t>
      </w:r>
      <w:r w:rsidRPr="00014C4D">
        <w:rPr>
          <w:rtl/>
        </w:rPr>
        <w:t>כנית לרשות שתרצה בכך.</w:t>
      </w:r>
      <w:r w:rsidRPr="00014C4D">
        <w:rPr>
          <w:rFonts w:hint="cs"/>
          <w:rtl/>
        </w:rPr>
        <w:t xml:space="preserve"> </w:t>
      </w:r>
      <w:r w:rsidRPr="00014C4D">
        <w:rPr>
          <w:rtl/>
        </w:rPr>
        <w:t xml:space="preserve">התפיסה </w:t>
      </w:r>
      <w:r w:rsidRPr="00014C4D">
        <w:rPr>
          <w:rFonts w:hint="cs"/>
          <w:rtl/>
        </w:rPr>
        <w:t xml:space="preserve">בנוגע </w:t>
      </w:r>
      <w:r w:rsidRPr="00014C4D">
        <w:rPr>
          <w:rtl/>
        </w:rPr>
        <w:t>לת</w:t>
      </w:r>
      <w:r w:rsidRPr="00014C4D">
        <w:rPr>
          <w:rFonts w:hint="cs"/>
          <w:rtl/>
        </w:rPr>
        <w:t>ו</w:t>
      </w:r>
      <w:r w:rsidRPr="00014C4D">
        <w:rPr>
          <w:rtl/>
        </w:rPr>
        <w:t xml:space="preserve">כנית המיגון הרשותית נמצאת בתהליך עדכון, בין היתר לאור תובנות ממלחמת חרבות ברזל. גיבוש התפיסה וההנחיות לרשויות המקומיות עתיד </w:t>
      </w:r>
      <w:r w:rsidRPr="00014C4D">
        <w:rPr>
          <w:rFonts w:hint="cs"/>
          <w:rtl/>
        </w:rPr>
        <w:t xml:space="preserve">להיעשות </w:t>
      </w:r>
      <w:r w:rsidRPr="00014C4D">
        <w:rPr>
          <w:rtl/>
        </w:rPr>
        <w:t>במהלך 202</w:t>
      </w:r>
      <w:r w:rsidRPr="00014C4D">
        <w:rPr>
          <w:rFonts w:hint="cs"/>
          <w:rtl/>
        </w:rPr>
        <w:t xml:space="preserve">5 - </w:t>
      </w:r>
      <w:r w:rsidRPr="00014C4D">
        <w:rPr>
          <w:rtl/>
        </w:rPr>
        <w:t>202</w:t>
      </w:r>
      <w:r w:rsidRPr="00014C4D">
        <w:rPr>
          <w:rFonts w:hint="cs"/>
          <w:rtl/>
        </w:rPr>
        <w:t>6</w:t>
      </w:r>
      <w:r w:rsidRPr="00014C4D">
        <w:rPr>
          <w:rtl/>
        </w:rPr>
        <w:t>. במסגרת</w:t>
      </w:r>
      <w:r w:rsidRPr="00014C4D">
        <w:rPr>
          <w:rFonts w:hint="cs"/>
          <w:rtl/>
        </w:rPr>
        <w:t>ו</w:t>
      </w:r>
      <w:r w:rsidRPr="00014C4D">
        <w:rPr>
          <w:rtl/>
        </w:rPr>
        <w:t xml:space="preserve"> </w:t>
      </w:r>
      <w:r w:rsidRPr="00014C4D">
        <w:rPr>
          <w:rFonts w:hint="cs"/>
          <w:rtl/>
        </w:rPr>
        <w:t>ייקבעו ביתר דיוק</w:t>
      </w:r>
      <w:r w:rsidRPr="00014C4D">
        <w:rPr>
          <w:rtl/>
        </w:rPr>
        <w:t xml:space="preserve"> העקרונות, אופן ההפעלה והמענה הנדרש. לאחר סיום כתיבת התפיסה היא תופץ לרשויות ויחל תהליך כתיבה </w:t>
      </w:r>
      <w:r w:rsidRPr="00014C4D">
        <w:rPr>
          <w:rFonts w:hint="cs"/>
          <w:rtl/>
        </w:rPr>
        <w:t xml:space="preserve">של תוכניות תמי"ר </w:t>
      </w:r>
      <w:r w:rsidRPr="00014C4D">
        <w:rPr>
          <w:rtl/>
        </w:rPr>
        <w:t xml:space="preserve">בהתאמה לעקרונות שייקבעו. במקביל מתקיים תהליך עדכון </w:t>
      </w:r>
      <w:r w:rsidRPr="00014C4D">
        <w:rPr>
          <w:rFonts w:hint="cs"/>
          <w:rtl/>
        </w:rPr>
        <w:t xml:space="preserve">של </w:t>
      </w:r>
      <w:r w:rsidRPr="00014C4D">
        <w:rPr>
          <w:rtl/>
        </w:rPr>
        <w:t>מיפוי שכבות המיגון</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B30966">
      <w:pPr>
        <w:spacing w:line="269" w:lineRule="auto"/>
        <w:rPr>
          <w:b/>
          <w:bCs/>
          <w:rtl/>
        </w:rPr>
      </w:pPr>
      <w:r w:rsidRPr="00014C4D">
        <w:rPr>
          <w:rFonts w:hint="cs"/>
          <w:b/>
          <w:bCs/>
          <w:rtl/>
        </w:rPr>
        <w:t xml:space="preserve">משרד מבקר המדינה מעיר שוב לפקע"ר כי אין זה ראוי שבמשך כשבע שנים הוא </w:t>
      </w:r>
      <w:r w:rsidR="00B30966">
        <w:rPr>
          <w:rFonts w:hint="cs"/>
          <w:b/>
          <w:bCs/>
          <w:rtl/>
        </w:rPr>
        <w:t>נמנע</w:t>
      </w:r>
      <w:r w:rsidRPr="00014C4D">
        <w:rPr>
          <w:rFonts w:hint="cs"/>
          <w:b/>
          <w:bCs/>
          <w:rtl/>
        </w:rPr>
        <w:t xml:space="preserve"> מאישור התמי"ר של הרשויות המקומיות והותיר את נושא ההיערכות למיגון התושבים להחלטה וולונטרית של הרשויות המקומיות</w:t>
      </w:r>
      <w:r w:rsidR="00B30966" w:rsidRPr="00B30966">
        <w:rPr>
          <w:b/>
          <w:bCs/>
          <w:rtl/>
        </w:rPr>
        <w:t xml:space="preserve"> וללא הנחיות ברורות לרשויות בתחום שעליו הוא מופקד</w:t>
      </w:r>
      <w:r w:rsidRPr="00014C4D">
        <w:rPr>
          <w:rFonts w:hint="cs"/>
          <w:b/>
          <w:bCs/>
          <w:rtl/>
        </w:rPr>
        <w:t>.</w:t>
      </w:r>
    </w:p>
    <w:p w:rsidR="00014C4D" w:rsidRPr="00014C4D" w:rsidRDefault="00014C4D" w:rsidP="00014C4D">
      <w:pPr>
        <w:spacing w:line="269" w:lineRule="auto"/>
        <w:ind w:left="-567"/>
        <w:rPr>
          <w:szCs w:val="20"/>
          <w:rtl/>
        </w:rPr>
      </w:pPr>
    </w:p>
    <w:p w:rsidR="00014C4D" w:rsidRDefault="00014C4D" w:rsidP="00014C4D">
      <w:pPr>
        <w:spacing w:line="269" w:lineRule="auto"/>
        <w:rPr>
          <w:b/>
          <w:bCs/>
          <w:rtl/>
        </w:rPr>
      </w:pPr>
      <w:r w:rsidRPr="00014C4D">
        <w:rPr>
          <w:b/>
          <w:bCs/>
          <w:rtl/>
        </w:rPr>
        <w:t xml:space="preserve">מומלץ כי </w:t>
      </w:r>
      <w:r w:rsidRPr="00014C4D">
        <w:rPr>
          <w:rFonts w:hint="cs"/>
          <w:b/>
          <w:bCs/>
          <w:rtl/>
        </w:rPr>
        <w:t>לאחר</w:t>
      </w:r>
      <w:r w:rsidRPr="00014C4D">
        <w:rPr>
          <w:b/>
          <w:bCs/>
          <w:rtl/>
        </w:rPr>
        <w:t xml:space="preserve"> גיבוש תפיס</w:t>
      </w:r>
      <w:r w:rsidRPr="00014C4D">
        <w:rPr>
          <w:rFonts w:hint="cs"/>
          <w:b/>
          <w:bCs/>
          <w:rtl/>
        </w:rPr>
        <w:t>ת</w:t>
      </w:r>
      <w:r w:rsidRPr="00014C4D">
        <w:rPr>
          <w:b/>
          <w:bCs/>
          <w:rtl/>
        </w:rPr>
        <w:t xml:space="preserve"> </w:t>
      </w:r>
      <w:r w:rsidRPr="00014C4D">
        <w:rPr>
          <w:rFonts w:hint="cs"/>
          <w:b/>
          <w:bCs/>
          <w:rtl/>
        </w:rPr>
        <w:t xml:space="preserve">המיגון </w:t>
      </w:r>
      <w:r w:rsidRPr="00014C4D">
        <w:rPr>
          <w:b/>
          <w:bCs/>
          <w:rtl/>
        </w:rPr>
        <w:t>המעודכנת</w:t>
      </w:r>
      <w:r w:rsidRPr="00014C4D">
        <w:rPr>
          <w:rFonts w:hint="cs"/>
          <w:b/>
          <w:bCs/>
          <w:rtl/>
        </w:rPr>
        <w:t xml:space="preserve"> </w:t>
      </w:r>
      <w:r w:rsidRPr="00014C4D">
        <w:rPr>
          <w:b/>
          <w:bCs/>
          <w:rtl/>
        </w:rPr>
        <w:t>ו</w:t>
      </w:r>
      <w:r w:rsidRPr="00014C4D">
        <w:rPr>
          <w:rFonts w:hint="cs"/>
          <w:b/>
          <w:bCs/>
          <w:rtl/>
        </w:rPr>
        <w:t>הפצת</w:t>
      </w:r>
      <w:r w:rsidRPr="00014C4D">
        <w:rPr>
          <w:b/>
          <w:bCs/>
          <w:rtl/>
        </w:rPr>
        <w:t xml:space="preserve"> ההנח</w:t>
      </w:r>
      <w:r w:rsidRPr="00014C4D">
        <w:rPr>
          <w:rFonts w:hint="cs"/>
          <w:b/>
          <w:bCs/>
          <w:rtl/>
        </w:rPr>
        <w:t>יות המעודכנות</w:t>
      </w:r>
      <w:r w:rsidRPr="00014C4D">
        <w:rPr>
          <w:b/>
          <w:bCs/>
          <w:rtl/>
        </w:rPr>
        <w:t xml:space="preserve"> לרשויות המקומיות, ישוב </w:t>
      </w:r>
      <w:r w:rsidRPr="00014C4D">
        <w:rPr>
          <w:rFonts w:hint="cs"/>
          <w:b/>
          <w:bCs/>
          <w:rtl/>
        </w:rPr>
        <w:t xml:space="preserve">פקע"ר </w:t>
      </w:r>
      <w:r w:rsidRPr="00014C4D">
        <w:rPr>
          <w:b/>
          <w:bCs/>
          <w:rtl/>
        </w:rPr>
        <w:t>ל</w:t>
      </w:r>
      <w:r w:rsidRPr="00014C4D">
        <w:rPr>
          <w:rFonts w:hint="cs"/>
          <w:b/>
          <w:bCs/>
          <w:rtl/>
        </w:rPr>
        <w:t>בדוק ולאשר את</w:t>
      </w:r>
      <w:r w:rsidRPr="00014C4D">
        <w:rPr>
          <w:b/>
          <w:bCs/>
          <w:rtl/>
        </w:rPr>
        <w:t xml:space="preserve"> תוכניות המיגון הרשותיות (תמי"ר), וזאת על מנת ל</w:t>
      </w:r>
      <w:r w:rsidRPr="00014C4D">
        <w:rPr>
          <w:rFonts w:hint="cs"/>
          <w:b/>
          <w:bCs/>
          <w:rtl/>
        </w:rPr>
        <w:t>הבטיח</w:t>
      </w:r>
      <w:r w:rsidRPr="00014C4D">
        <w:rPr>
          <w:b/>
          <w:bCs/>
          <w:rtl/>
        </w:rPr>
        <w:t xml:space="preserve"> כי הרשויות המקומיות </w:t>
      </w:r>
      <w:r w:rsidRPr="00014C4D">
        <w:rPr>
          <w:rFonts w:hint="cs"/>
          <w:b/>
          <w:bCs/>
          <w:rtl/>
        </w:rPr>
        <w:t>נערכות</w:t>
      </w:r>
      <w:r w:rsidRPr="00014C4D">
        <w:rPr>
          <w:b/>
          <w:bCs/>
          <w:rtl/>
        </w:rPr>
        <w:t xml:space="preserve"> למיגון אוכלוסייתן בהתאם </w:t>
      </w:r>
      <w:r w:rsidRPr="00014C4D">
        <w:rPr>
          <w:rFonts w:hint="cs"/>
          <w:b/>
          <w:bCs/>
          <w:rtl/>
        </w:rPr>
        <w:t>להנחיות.</w:t>
      </w:r>
      <w:r w:rsidRPr="00014C4D">
        <w:rPr>
          <w:rtl/>
        </w:rPr>
        <w:t xml:space="preserve"> </w:t>
      </w:r>
      <w:r w:rsidRPr="00014C4D">
        <w:rPr>
          <w:rFonts w:hint="eastAsia"/>
          <w:b/>
          <w:bCs/>
          <w:rtl/>
        </w:rPr>
        <w:t>עוד</w:t>
      </w:r>
      <w:r w:rsidRPr="00014C4D">
        <w:rPr>
          <w:b/>
          <w:bCs/>
          <w:rtl/>
        </w:rPr>
        <w:t xml:space="preserve"> </w:t>
      </w:r>
      <w:r w:rsidRPr="00014C4D">
        <w:rPr>
          <w:rFonts w:hint="eastAsia"/>
          <w:b/>
          <w:bCs/>
          <w:rtl/>
        </w:rPr>
        <w:t>מומלץ</w:t>
      </w:r>
      <w:r w:rsidRPr="00014C4D">
        <w:rPr>
          <w:b/>
          <w:bCs/>
          <w:rtl/>
        </w:rPr>
        <w:t xml:space="preserve">, </w:t>
      </w:r>
      <w:r w:rsidRPr="00014C4D">
        <w:rPr>
          <w:rFonts w:hint="eastAsia"/>
          <w:b/>
          <w:bCs/>
          <w:rtl/>
        </w:rPr>
        <w:t>שפקע</w:t>
      </w:r>
      <w:r w:rsidRPr="00014C4D">
        <w:rPr>
          <w:b/>
          <w:bCs/>
          <w:rtl/>
        </w:rPr>
        <w:t xml:space="preserve">"ר </w:t>
      </w:r>
      <w:r w:rsidRPr="00014C4D">
        <w:rPr>
          <w:rFonts w:hint="eastAsia"/>
          <w:b/>
          <w:bCs/>
          <w:rtl/>
        </w:rPr>
        <w:t>ינחה</w:t>
      </w:r>
      <w:r w:rsidRPr="00014C4D">
        <w:rPr>
          <w:b/>
          <w:bCs/>
          <w:rtl/>
        </w:rPr>
        <w:t xml:space="preserve"> את הרשויות המקומיות לחשב את המרחקים שבין בתי המגורים למקלטים הציבוריים, למקלטים בבתי הספר ולחניונים התת-קרקעיים ולוודא שהמרחקים ביחס לבתי התושבים חסרי המיגון מאפשרים הגעה בזמן הנדרש.</w:t>
      </w:r>
    </w:p>
    <w:p w:rsidR="00B30966" w:rsidRDefault="00B30966" w:rsidP="00014C4D">
      <w:pPr>
        <w:spacing w:line="269" w:lineRule="auto"/>
        <w:rPr>
          <w:b/>
          <w:bCs/>
          <w:rtl/>
        </w:rPr>
      </w:pPr>
    </w:p>
    <w:p w:rsidR="00B30966" w:rsidRPr="00E86B8F" w:rsidRDefault="00B30966" w:rsidP="00B30966">
      <w:pPr>
        <w:spacing w:line="269" w:lineRule="auto"/>
        <w:rPr>
          <w:rtl/>
        </w:rPr>
      </w:pPr>
      <w:r w:rsidRPr="00E86B8F">
        <w:rPr>
          <w:rtl/>
        </w:rPr>
        <w:t xml:space="preserve">פקע"ר מסר בתשובתו למשרד מבקר המדינה מדצמבר 2025 כי תפיסת המיגון הרשותית מצויה בתהליך עדכון, בין היתר בעקבות תובנות ממלחמת חרבות ברזל, וכי גיבוש התפיסה ופרסום ההנחיות המעודכנות לרשויות המקומיות צפויים להסתיים במהלך שנת 2026. עוד ציין פקע״ר כי על פי תפיסת המיגון ולמול זמני ההתרעה, קיימת מדיניות </w:t>
      </w:r>
      <w:r w:rsidR="000F08A0" w:rsidRPr="00E86B8F">
        <w:rPr>
          <w:rFonts w:hint="cs"/>
          <w:rtl/>
        </w:rPr>
        <w:t>"</w:t>
      </w:r>
      <w:r w:rsidRPr="00E86B8F">
        <w:rPr>
          <w:rtl/>
        </w:rPr>
        <w:t>מדרג המיגון המיטבי</w:t>
      </w:r>
      <w:r w:rsidR="000F08A0" w:rsidRPr="00E86B8F">
        <w:rPr>
          <w:rFonts w:hint="cs"/>
          <w:rtl/>
        </w:rPr>
        <w:t>"</w:t>
      </w:r>
      <w:r w:rsidRPr="00E86B8F">
        <w:rPr>
          <w:rFonts w:hint="cs"/>
          <w:rtl/>
        </w:rPr>
        <w:t>, שלפיה</w:t>
      </w:r>
      <w:r w:rsidRPr="00E86B8F">
        <w:rPr>
          <w:rtl/>
        </w:rPr>
        <w:t xml:space="preserve"> האזרח נדרש לאתר חללים מוגנים בהתאם לקיים בסביבתו ובהתאם לזמן ההתרעה העומד לרשותו. על כן, חלוקת המיגון הציבורי על פי מרחקים לרוב אינה משרתת את תפיסת המיגון הזו ויכולה אף לבלבל את הציבור ולייצר סיכון </w:t>
      </w:r>
      <w:r w:rsidRPr="00E86B8F">
        <w:rPr>
          <w:rFonts w:hint="cs"/>
          <w:rtl/>
        </w:rPr>
        <w:t xml:space="preserve">של </w:t>
      </w:r>
      <w:r w:rsidRPr="00E86B8F">
        <w:rPr>
          <w:rtl/>
        </w:rPr>
        <w:t>אי</w:t>
      </w:r>
      <w:r w:rsidRPr="00E86B8F">
        <w:rPr>
          <w:rFonts w:hint="cs"/>
          <w:rtl/>
        </w:rPr>
        <w:t>-</w:t>
      </w:r>
      <w:r w:rsidRPr="00E86B8F">
        <w:rPr>
          <w:rtl/>
        </w:rPr>
        <w:t xml:space="preserve">הגעה למקלט </w:t>
      </w:r>
      <w:r w:rsidRPr="00E86B8F">
        <w:rPr>
          <w:rtl/>
        </w:rPr>
        <w:lastRenderedPageBreak/>
        <w:t>בזמן ההתרעה. חישוב מרחקים בין בתי מגורים למרחבים מוגנים, כפי שהומלץ בדוח, עומד בניגוד לתפיסת המיגון המקצועית של הגורמים המוסמכים, ויישום המלצה זו עלול להטעות ואף לסכן אזרחים.</w:t>
      </w:r>
    </w:p>
    <w:p w:rsidR="00B30966" w:rsidRPr="00B30966" w:rsidRDefault="00B30966" w:rsidP="00B30966">
      <w:pPr>
        <w:spacing w:line="269" w:lineRule="auto"/>
        <w:rPr>
          <w:b/>
          <w:bCs/>
          <w:rtl/>
        </w:rPr>
      </w:pPr>
    </w:p>
    <w:p w:rsidR="00B30966" w:rsidRPr="00B30966" w:rsidRDefault="00B30966" w:rsidP="00B30966">
      <w:pPr>
        <w:spacing w:line="269" w:lineRule="auto"/>
        <w:rPr>
          <w:b/>
          <w:bCs/>
          <w:rtl/>
        </w:rPr>
      </w:pPr>
      <w:r w:rsidRPr="00B30966">
        <w:rPr>
          <w:b/>
          <w:bCs/>
          <w:rtl/>
        </w:rPr>
        <w:t xml:space="preserve">משרד מבקר המדינה מבהיר כי ההמלצה לא נועדה להחליף את תפיסת המיגון המקצועית של פקע״ר או לקבוע הנחיות מבצעיות, אלא לשמש כלי תכנוני ובקרתי בסיסי לרשויות המקומיות, לשם זיהוי פערים ונקודות תורפה בנגישות </w:t>
      </w:r>
      <w:r>
        <w:rPr>
          <w:rFonts w:hint="cs"/>
          <w:b/>
          <w:bCs/>
          <w:rtl/>
        </w:rPr>
        <w:t>ה</w:t>
      </w:r>
      <w:r w:rsidRPr="00B30966">
        <w:rPr>
          <w:b/>
          <w:bCs/>
          <w:rtl/>
        </w:rPr>
        <w:t>מיגון, ב</w:t>
      </w:r>
      <w:r>
        <w:rPr>
          <w:rFonts w:hint="cs"/>
          <w:b/>
          <w:bCs/>
          <w:rtl/>
        </w:rPr>
        <w:t>ייחוד</w:t>
      </w:r>
      <w:r w:rsidRPr="00B30966">
        <w:rPr>
          <w:b/>
          <w:bCs/>
          <w:rtl/>
        </w:rPr>
        <w:t xml:space="preserve"> עבור אוכלוסיות חסרות מיגון פרטי. עצם ביצוע חישובי מרחקים אינו עומד בסתירה לתפיסת המיגון המקצועית, אלא עשוי דווקא לתרום ליישומה בפועל באופן מושכל וזהיר. זאת, תוך התאמתה לתנאים הקיימים בפועל בכל רשות ורשות ולזמני ההתרעה הרלוונטיים להן. בהקשר זה, יש חשיבות להפיק לקחים ממבצע עם כלביא, שבמהלכו אוכלוסיות חסרות מיגון פרטי נדרשו לאתר מחסות ציבוריים - ולעיתים רשויות מקומיות אף פתחו מבני ציבור - לרבות בתי ספר וגני ילדים, לשימוש הציבור הרחב.</w:t>
      </w:r>
    </w:p>
    <w:p w:rsidR="00B30966" w:rsidRPr="00014C4D" w:rsidRDefault="00B30966" w:rsidP="00014C4D">
      <w:pPr>
        <w:spacing w:line="269" w:lineRule="auto"/>
        <w:rPr>
          <w:b/>
          <w:bCs/>
          <w:rtl/>
        </w:rPr>
      </w:pPr>
    </w:p>
    <w:p w:rsidR="00014C4D" w:rsidRPr="00014C4D" w:rsidRDefault="00014C4D" w:rsidP="00014C4D">
      <w:pPr>
        <w:spacing w:line="269" w:lineRule="auto"/>
        <w:rPr>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bCs/>
          <w:szCs w:val="26"/>
          <w:rtl/>
        </w:rPr>
        <w:t xml:space="preserve">הזנת נתוני </w:t>
      </w:r>
      <w:r w:rsidRPr="00014C4D">
        <w:rPr>
          <w:rFonts w:eastAsiaTheme="majorEastAsia" w:hint="cs"/>
          <w:bCs/>
          <w:szCs w:val="26"/>
          <w:rtl/>
        </w:rPr>
        <w:t>ה</w:t>
      </w:r>
      <w:r w:rsidRPr="00014C4D">
        <w:rPr>
          <w:rFonts w:eastAsiaTheme="majorEastAsia"/>
          <w:bCs/>
          <w:szCs w:val="26"/>
          <w:rtl/>
        </w:rPr>
        <w:t xml:space="preserve">מרחבים </w:t>
      </w:r>
      <w:r w:rsidRPr="00014C4D">
        <w:rPr>
          <w:rFonts w:eastAsiaTheme="majorEastAsia" w:hint="cs"/>
          <w:bCs/>
          <w:szCs w:val="26"/>
          <w:rtl/>
        </w:rPr>
        <w:t>ה</w:t>
      </w:r>
      <w:r w:rsidRPr="00014C4D">
        <w:rPr>
          <w:rFonts w:eastAsiaTheme="majorEastAsia"/>
          <w:bCs/>
          <w:szCs w:val="26"/>
          <w:rtl/>
        </w:rPr>
        <w:t>מוגנים למערכת המידע הגיאוגרפית העירונית</w:t>
      </w:r>
      <w:r w:rsidRPr="00014C4D">
        <w:rPr>
          <w:rFonts w:eastAsiaTheme="majorEastAsia" w:hint="cs"/>
          <w:bCs/>
          <w:szCs w:val="26"/>
          <w:rtl/>
        </w:rPr>
        <w:t xml:space="preserve"> (</w:t>
      </w:r>
      <w:r w:rsidRPr="00014C4D">
        <w:rPr>
          <w:rFonts w:eastAsiaTheme="majorEastAsia"/>
          <w:b/>
          <w:sz w:val="22"/>
          <w:szCs w:val="28"/>
        </w:rPr>
        <w:t>GIS</w:t>
      </w:r>
      <w:r w:rsidRPr="00014C4D">
        <w:rPr>
          <w:rFonts w:eastAsiaTheme="majorEastAsia" w:hint="cs"/>
          <w:bCs/>
          <w:szCs w:val="26"/>
          <w:rtl/>
        </w:rPr>
        <w:t>)</w:t>
      </w:r>
      <w:r w:rsidRPr="00014C4D">
        <w:rPr>
          <w:rFonts w:eastAsiaTheme="majorEastAsia"/>
          <w:bCs/>
          <w:szCs w:val="26"/>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w:t>
      </w:r>
      <w:r w:rsidRPr="00014C4D">
        <w:rPr>
          <w:rtl/>
        </w:rPr>
        <w:t xml:space="preserve">מנחה </w:t>
      </w:r>
      <w:r w:rsidRPr="00014C4D">
        <w:rPr>
          <w:rFonts w:hint="cs"/>
          <w:rtl/>
        </w:rPr>
        <w:t>למיגון</w:t>
      </w:r>
      <w:r w:rsidRPr="00014C4D">
        <w:rPr>
          <w:rtl/>
        </w:rPr>
        <w:t xml:space="preserve"> צוין כי המיפוי ברשות יכלול את כל השטחים המוגנים לסוגיהם. </w:t>
      </w:r>
      <w:r w:rsidRPr="00014C4D">
        <w:rPr>
          <w:rFonts w:hint="cs"/>
          <w:rtl/>
        </w:rPr>
        <w:t>כמו כן ה</w:t>
      </w:r>
      <w:r w:rsidRPr="00014C4D">
        <w:rPr>
          <w:rtl/>
        </w:rPr>
        <w:t xml:space="preserve">ומלץ </w:t>
      </w:r>
      <w:r w:rsidRPr="00014C4D">
        <w:rPr>
          <w:rFonts w:hint="cs"/>
          <w:rtl/>
        </w:rPr>
        <w:t>ל</w:t>
      </w:r>
      <w:r w:rsidRPr="00014C4D">
        <w:rPr>
          <w:rtl/>
        </w:rPr>
        <w:t xml:space="preserve">רשויות </w:t>
      </w:r>
      <w:r w:rsidRPr="00014C4D">
        <w:rPr>
          <w:rFonts w:hint="cs"/>
          <w:rtl/>
        </w:rPr>
        <w:t xml:space="preserve">המקומיות </w:t>
      </w:r>
      <w:r w:rsidRPr="00014C4D">
        <w:rPr>
          <w:rtl/>
        </w:rPr>
        <w:t>המשתמשות במערכות מידע ג</w:t>
      </w:r>
      <w:r w:rsidRPr="00014C4D">
        <w:rPr>
          <w:rFonts w:hint="cs"/>
          <w:rtl/>
        </w:rPr>
        <w:t>י</w:t>
      </w:r>
      <w:r w:rsidRPr="00014C4D">
        <w:rPr>
          <w:rtl/>
        </w:rPr>
        <w:t>אוגרפיות</w:t>
      </w:r>
      <w:r w:rsidRPr="00014C4D">
        <w:rPr>
          <w:rFonts w:hint="cs"/>
        </w:rPr>
        <w:t xml:space="preserve"> </w:t>
      </w:r>
      <w:r w:rsidRPr="00014C4D">
        <w:rPr>
          <w:rFonts w:hint="cs"/>
          <w:rtl/>
        </w:rPr>
        <w:t>(</w:t>
      </w:r>
      <w:r w:rsidRPr="00014C4D">
        <w:rPr>
          <w:rFonts w:hint="cs"/>
        </w:rPr>
        <w:t>GIS</w:t>
      </w:r>
      <w:r w:rsidRPr="00014C4D">
        <w:rPr>
          <w:rFonts w:hint="cs"/>
          <w:rtl/>
        </w:rPr>
        <w:t>)</w:t>
      </w:r>
      <w:r w:rsidRPr="00014C4D">
        <w:rPr>
          <w:rFonts w:hint="cs"/>
        </w:rPr>
        <w:t xml:space="preserve"> </w:t>
      </w:r>
      <w:r w:rsidRPr="00014C4D">
        <w:rPr>
          <w:rFonts w:hint="cs"/>
          <w:rtl/>
        </w:rPr>
        <w:t xml:space="preserve">ליצור </w:t>
      </w:r>
      <w:r w:rsidRPr="00014C4D">
        <w:rPr>
          <w:rtl/>
        </w:rPr>
        <w:t xml:space="preserve">שכבות מיוחדות למיפוי השטחים המוגנים והאוכלוסייה ולאפשר עיבוד </w:t>
      </w:r>
      <w:r w:rsidRPr="00014C4D">
        <w:rPr>
          <w:rFonts w:hint="cs"/>
          <w:rtl/>
        </w:rPr>
        <w:t xml:space="preserve">של </w:t>
      </w:r>
      <w:r w:rsidRPr="00014C4D">
        <w:rPr>
          <w:rtl/>
        </w:rPr>
        <w:t>הנתונים</w:t>
      </w:r>
      <w:r w:rsidRPr="00014C4D">
        <w:t>.</w:t>
      </w:r>
      <w:r w:rsidRPr="00014C4D">
        <w:rPr>
          <w:rtl/>
        </w:rPr>
        <w:t xml:space="preserve"> ברשויות ש</w:t>
      </w:r>
      <w:r w:rsidRPr="00014C4D">
        <w:rPr>
          <w:rFonts w:hint="cs"/>
          <w:rtl/>
        </w:rPr>
        <w:t>אינן</w:t>
      </w:r>
      <w:r w:rsidRPr="00014C4D">
        <w:rPr>
          <w:rtl/>
        </w:rPr>
        <w:t xml:space="preserve"> משתמשות במערכת </w:t>
      </w:r>
      <w:r w:rsidRPr="00014C4D">
        <w:t>GIS</w:t>
      </w:r>
      <w:r w:rsidRPr="00014C4D">
        <w:rPr>
          <w:rtl/>
        </w:rPr>
        <w:t xml:space="preserve"> המיפוי יכול להתבצע </w:t>
      </w:r>
      <w:r w:rsidRPr="00014C4D">
        <w:rPr>
          <w:rFonts w:hint="cs"/>
          <w:rtl/>
        </w:rPr>
        <w:t xml:space="preserve">באמצעות </w:t>
      </w:r>
      <w:r w:rsidRPr="00014C4D">
        <w:rPr>
          <w:rtl/>
        </w:rPr>
        <w:t>עזרים בסיסיים כמו מפ</w:t>
      </w:r>
      <w:r w:rsidRPr="00014C4D">
        <w:rPr>
          <w:rFonts w:hint="cs"/>
          <w:rtl/>
        </w:rPr>
        <w:t>ה מודפסת</w:t>
      </w:r>
      <w:r w:rsidRPr="00014C4D">
        <w:rPr>
          <w:rtl/>
        </w:rPr>
        <w:t>, מפה ממוחשבת,</w:t>
      </w:r>
      <w:r w:rsidRPr="00014C4D">
        <w:rPr>
          <w:rFonts w:hint="cs"/>
        </w:rPr>
        <w:t xml:space="preserve"> </w:t>
      </w:r>
      <w:r w:rsidRPr="00014C4D">
        <w:rPr>
          <w:rtl/>
        </w:rPr>
        <w:t>תצלום אוויר, נתוני מבנים והתחלות בני</w:t>
      </w:r>
      <w:r w:rsidRPr="00014C4D">
        <w:rPr>
          <w:rFonts w:hint="cs"/>
          <w:rtl/>
        </w:rPr>
        <w:t>י</w:t>
      </w:r>
      <w:r w:rsidRPr="00014C4D">
        <w:rPr>
          <w:rtl/>
        </w:rPr>
        <w:t>ה</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המועצה האזורית הגלבוע לא הזינה למערכות המידע הגיאוגרפיות שלה שכבות מידע בנושא ביטחון וחירום, ולפיכך אין במערכת מידע על מקומם של המקלטים הציבוריים, המיגוניות והמרחבים המוגנים במוסדות החינוך.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rtl/>
        </w:rPr>
      </w:pPr>
      <w:r w:rsidRPr="00014C4D">
        <w:rPr>
          <w:rFonts w:hint="cs"/>
          <w:b/>
          <w:rtl/>
        </w:rPr>
        <w:t xml:space="preserve">המועצה האזורית </w:t>
      </w:r>
      <w:r w:rsidRPr="00014C4D">
        <w:rPr>
          <w:rFonts w:hint="eastAsia"/>
          <w:bCs/>
          <w:rtl/>
        </w:rPr>
        <w:t>הגלבוע</w:t>
      </w:r>
      <w:r w:rsidRPr="00014C4D">
        <w:rPr>
          <w:rFonts w:hint="cs"/>
          <w:b/>
          <w:rtl/>
        </w:rPr>
        <w:t xml:space="preserve"> מסרה למשרד מבקר המדינה במהלך הביקורת בספטמבר 2024 כי </w:t>
      </w:r>
      <w:r w:rsidRPr="00014C4D">
        <w:rPr>
          <w:b/>
          <w:rtl/>
        </w:rPr>
        <w:t xml:space="preserve">הפרויקט נמצא בתוכניות המועצה לשנת </w:t>
      </w:r>
      <w:r w:rsidRPr="00014C4D">
        <w:rPr>
          <w:rFonts w:hint="cs"/>
          <w:b/>
          <w:rtl/>
        </w:rPr>
        <w:t>2025</w:t>
      </w:r>
      <w:r w:rsidRPr="00014C4D">
        <w:rPr>
          <w:b/>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b/>
          <w:bCs/>
          <w:rtl/>
        </w:rPr>
        <w:t>מומלץ כי המועצה האזורית הגלבוע תקדם את פרויקט הזנת</w:t>
      </w:r>
      <w:r w:rsidRPr="00014C4D">
        <w:rPr>
          <w:b/>
          <w:bCs/>
          <w:rtl/>
        </w:rPr>
        <w:t xml:space="preserve"> </w:t>
      </w:r>
      <w:r w:rsidRPr="00014C4D">
        <w:rPr>
          <w:rFonts w:hint="cs"/>
          <w:b/>
          <w:bCs/>
          <w:rtl/>
        </w:rPr>
        <w:t xml:space="preserve">נתוני </w:t>
      </w:r>
      <w:r w:rsidRPr="00014C4D">
        <w:rPr>
          <w:b/>
          <w:bCs/>
          <w:rtl/>
        </w:rPr>
        <w:t xml:space="preserve">כלל המרחבים </w:t>
      </w:r>
      <w:r w:rsidRPr="00014C4D">
        <w:rPr>
          <w:rFonts w:hint="cs"/>
          <w:b/>
          <w:bCs/>
          <w:rtl/>
        </w:rPr>
        <w:t>המוגנים שאישר</w:t>
      </w:r>
      <w:r w:rsidRPr="00014C4D">
        <w:rPr>
          <w:b/>
          <w:bCs/>
          <w:rtl/>
        </w:rPr>
        <w:t xml:space="preserve"> פקע"ר</w:t>
      </w:r>
      <w:r w:rsidRPr="00014C4D">
        <w:rPr>
          <w:rFonts w:hint="cs"/>
          <w:b/>
          <w:bCs/>
          <w:rtl/>
        </w:rPr>
        <w:t xml:space="preserve"> </w:t>
      </w:r>
      <w:r w:rsidRPr="00014C4D">
        <w:rPr>
          <w:b/>
          <w:bCs/>
          <w:rtl/>
        </w:rPr>
        <w:t>למערכת</w:t>
      </w:r>
      <w:r w:rsidRPr="00014C4D">
        <w:rPr>
          <w:rFonts w:hint="cs"/>
          <w:b/>
          <w:bCs/>
          <w:rtl/>
        </w:rPr>
        <w:t xml:space="preserve"> המידע הגיאוגרפי שלה ותשלים את ביצועו בשנת 2025.</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למועצה המקומית </w:t>
      </w:r>
      <w:r w:rsidRPr="00014C4D">
        <w:rPr>
          <w:rFonts w:hint="cs"/>
          <w:b/>
          <w:bCs/>
          <w:rtl/>
        </w:rPr>
        <w:t>ביענה</w:t>
      </w:r>
      <w:r w:rsidRPr="00014C4D">
        <w:rPr>
          <w:rFonts w:hint="cs"/>
          <w:rtl/>
        </w:rPr>
        <w:t xml:space="preserve"> אין מערכת מידע גיאוגרפית עירונית.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המועצה המקומית </w:t>
      </w:r>
      <w:r w:rsidRPr="00014C4D">
        <w:rPr>
          <w:b/>
          <w:bCs/>
          <w:rtl/>
        </w:rPr>
        <w:t>ב</w:t>
      </w:r>
      <w:r w:rsidRPr="00014C4D">
        <w:rPr>
          <w:rFonts w:hint="eastAsia"/>
          <w:b/>
          <w:bCs/>
          <w:rtl/>
        </w:rPr>
        <w:t>י</w:t>
      </w:r>
      <w:r w:rsidRPr="00014C4D">
        <w:rPr>
          <w:b/>
          <w:bCs/>
          <w:rtl/>
        </w:rPr>
        <w:t>ענה</w:t>
      </w:r>
      <w:r w:rsidRPr="00014C4D">
        <w:rPr>
          <w:rtl/>
        </w:rPr>
        <w:t xml:space="preserve"> מסרה </w:t>
      </w:r>
      <w:r w:rsidRPr="00014C4D">
        <w:rPr>
          <w:rFonts w:hint="cs"/>
          <w:rtl/>
        </w:rPr>
        <w:t xml:space="preserve">בתשובתה למשרד מבקר המדינה מיוני 2025 (להלן - תשובת המועצה המקומית ביענה) </w:t>
      </w:r>
      <w:r w:rsidRPr="00014C4D">
        <w:rPr>
          <w:rtl/>
        </w:rPr>
        <w:t>כי מערכת ה</w:t>
      </w:r>
      <w:r w:rsidRPr="00014C4D">
        <w:rPr>
          <w:rFonts w:hint="cs"/>
          <w:rtl/>
        </w:rPr>
        <w:t>-</w:t>
      </w:r>
      <w:r w:rsidRPr="00014C4D">
        <w:t>GIS</w:t>
      </w:r>
      <w:r w:rsidRPr="00014C4D">
        <w:rPr>
          <w:rtl/>
        </w:rPr>
        <w:t xml:space="preserve"> ש</w:t>
      </w:r>
      <w:r w:rsidRPr="00014C4D">
        <w:rPr>
          <w:rFonts w:hint="cs"/>
          <w:rtl/>
        </w:rPr>
        <w:t xml:space="preserve">שימשה אותה </w:t>
      </w:r>
      <w:r w:rsidRPr="00014C4D">
        <w:rPr>
          <w:rtl/>
        </w:rPr>
        <w:t>נחסמה עקב אי</w:t>
      </w:r>
      <w:r w:rsidRPr="00014C4D">
        <w:rPr>
          <w:rFonts w:hint="cs"/>
          <w:rtl/>
        </w:rPr>
        <w:t>-</w:t>
      </w:r>
      <w:r w:rsidRPr="00014C4D">
        <w:rPr>
          <w:rtl/>
        </w:rPr>
        <w:t>תשלום לאשכול</w:t>
      </w:r>
      <w:r w:rsidRPr="00014C4D">
        <w:rPr>
          <w:rFonts w:hint="cs"/>
          <w:rtl/>
        </w:rPr>
        <w:t xml:space="preserve"> הרשויות</w:t>
      </w:r>
      <w:r w:rsidRPr="00014C4D">
        <w:rPr>
          <w:rtl/>
        </w:rPr>
        <w:t>, ולכן אין</w:t>
      </w:r>
      <w:r w:rsidRPr="00014C4D">
        <w:rPr>
          <w:rFonts w:hint="cs"/>
          <w:rtl/>
        </w:rPr>
        <w:t xml:space="preserve"> כיום</w:t>
      </w:r>
      <w:r w:rsidRPr="00014C4D">
        <w:rPr>
          <w:rtl/>
        </w:rPr>
        <w:t xml:space="preserve"> בידי</w:t>
      </w:r>
      <w:r w:rsidRPr="00014C4D">
        <w:rPr>
          <w:rFonts w:hint="cs"/>
          <w:rtl/>
        </w:rPr>
        <w:t>ה</w:t>
      </w:r>
      <w:r w:rsidRPr="00014C4D">
        <w:rPr>
          <w:rtl/>
        </w:rPr>
        <w:t xml:space="preserve"> מערכת </w:t>
      </w:r>
      <w:r w:rsidRPr="00014C4D">
        <w:t>GIS</w:t>
      </w:r>
      <w:r w:rsidRPr="00014C4D">
        <w:rPr>
          <w:rtl/>
        </w:rPr>
        <w:t xml:space="preserve"> פעילה.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גם במערכת המידע הגיאוגרפית של הוועדה המקומית לתכנון ולבנייה בקעת בית הכרם, שאליה שייכת ביענה, לא נמצאו שכבות מידע בנושא ביטחון וחירום לרבות מקומם של המרחבים המוגנים השייכים למועצה המקומית ביענה, כנדרש במנחה למיגון.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lastRenderedPageBreak/>
        <w:t>מומלץ כי המועצה המקומית ביענה תשתמש במערכת המידע הגיאוגרפית של הוועדה המקומית לתכנון ולבנייה בקעת בית הכרם להזנת שכבות מידע בנושאי ביטחון וחירום, לרבות מקומם של המרחבים המוגנים והמיגוניות בשטחי המועצה.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color w:val="FF0000"/>
          <w:rtl/>
        </w:rPr>
      </w:pPr>
      <w:r w:rsidRPr="00014C4D">
        <w:rPr>
          <w:rtl/>
        </w:rPr>
        <w:t>למערכ</w:t>
      </w:r>
      <w:r w:rsidRPr="00014C4D">
        <w:rPr>
          <w:rFonts w:hint="cs"/>
          <w:rtl/>
        </w:rPr>
        <w:t>ו</w:t>
      </w:r>
      <w:r w:rsidRPr="00014C4D">
        <w:rPr>
          <w:rtl/>
        </w:rPr>
        <w:t>ת ה-</w:t>
      </w:r>
      <w:r w:rsidRPr="00014C4D">
        <w:t>GIS</w:t>
      </w:r>
      <w:r w:rsidRPr="00014C4D">
        <w:rPr>
          <w:rtl/>
        </w:rPr>
        <w:t xml:space="preserve"> העירונית </w:t>
      </w:r>
      <w:r w:rsidRPr="00014C4D">
        <w:rPr>
          <w:rFonts w:hint="cs"/>
          <w:rtl/>
        </w:rPr>
        <w:t xml:space="preserve">בעיריות </w:t>
      </w:r>
      <w:r w:rsidRPr="00014C4D">
        <w:rPr>
          <w:rFonts w:hint="cs"/>
          <w:b/>
          <w:bCs/>
          <w:rtl/>
        </w:rPr>
        <w:t>אשקלון</w:t>
      </w:r>
      <w:r w:rsidRPr="00014C4D">
        <w:rPr>
          <w:rFonts w:hint="cs"/>
          <w:rtl/>
        </w:rPr>
        <w:t xml:space="preserve">, </w:t>
      </w:r>
      <w:r w:rsidRPr="00014C4D">
        <w:rPr>
          <w:rFonts w:hint="cs"/>
          <w:b/>
          <w:bCs/>
          <w:rtl/>
        </w:rPr>
        <w:t>גבעתיים</w:t>
      </w:r>
      <w:r w:rsidRPr="00014C4D">
        <w:rPr>
          <w:b/>
          <w:bCs/>
          <w:vertAlign w:val="superscript"/>
          <w:rtl/>
        </w:rPr>
        <w:footnoteReference w:id="23"/>
      </w:r>
      <w:r w:rsidRPr="00014C4D">
        <w:rPr>
          <w:rFonts w:hint="cs"/>
          <w:b/>
          <w:bCs/>
          <w:rtl/>
        </w:rPr>
        <w:t xml:space="preserve"> וחולון </w:t>
      </w:r>
      <w:r w:rsidRPr="00014C4D">
        <w:rPr>
          <w:rtl/>
        </w:rPr>
        <w:t>הוזנו מקומ</w:t>
      </w:r>
      <w:r w:rsidRPr="00014C4D">
        <w:rPr>
          <w:rFonts w:hint="cs"/>
          <w:rtl/>
        </w:rPr>
        <w:t>ות</w:t>
      </w:r>
      <w:r w:rsidRPr="00014C4D">
        <w:rPr>
          <w:rtl/>
        </w:rPr>
        <w:t xml:space="preserve"> המקלטים הציבוריים ברחבי העיר</w:t>
      </w:r>
      <w:r w:rsidRPr="00014C4D">
        <w:rPr>
          <w:rFonts w:hint="cs"/>
          <w:rtl/>
        </w:rPr>
        <w:t xml:space="preserve"> באתר המשמש את התושבים. נוסף על כך </w:t>
      </w:r>
      <w:r w:rsidRPr="00014C4D">
        <w:rPr>
          <w:rtl/>
        </w:rPr>
        <w:t xml:space="preserve">הוזנו למערכת </w:t>
      </w:r>
      <w:r w:rsidRPr="00014C4D">
        <w:rPr>
          <w:rFonts w:hint="cs"/>
          <w:rtl/>
        </w:rPr>
        <w:t>המשמשת את אגפי הביטחון ברשויות אלה נ</w:t>
      </w:r>
      <w:r w:rsidRPr="00014C4D">
        <w:rPr>
          <w:rtl/>
        </w:rPr>
        <w:t>תוני המרחבים</w:t>
      </w:r>
      <w:r w:rsidRPr="00014C4D">
        <w:rPr>
          <w:rFonts w:hint="cs"/>
          <w:rtl/>
        </w:rPr>
        <w:t xml:space="preserve"> המוגנים</w:t>
      </w:r>
      <w:r w:rsidRPr="00014C4D">
        <w:rPr>
          <w:rtl/>
        </w:rPr>
        <w:t xml:space="preserve">, לרבות מקלטים בבניינים משותפים, מבנים בעלי ממ"דים </w:t>
      </w:r>
      <w:r w:rsidRPr="00014C4D">
        <w:rPr>
          <w:rFonts w:hint="cs"/>
          <w:rtl/>
        </w:rPr>
        <w:t>ו</w:t>
      </w:r>
      <w:r w:rsidRPr="00014C4D">
        <w:rPr>
          <w:rtl/>
        </w:rPr>
        <w:t>מרחבים מוגנים במוסדות חינוך.</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מומלץ</w:t>
      </w:r>
      <w:r w:rsidRPr="00014C4D">
        <w:rPr>
          <w:b/>
          <w:bCs/>
          <w:rtl/>
        </w:rPr>
        <w:t xml:space="preserve"> לעיריות גבעתיים וחולון להשתמש בנתוני המיגון במערכות ה-</w:t>
      </w:r>
      <w:r w:rsidRPr="00014C4D">
        <w:rPr>
          <w:b/>
          <w:bCs/>
        </w:rPr>
        <w:t>GIS</w:t>
      </w:r>
      <w:r w:rsidRPr="00014C4D">
        <w:rPr>
          <w:b/>
          <w:bCs/>
          <w:rtl/>
        </w:rPr>
        <w:t xml:space="preserve"> שלהן למיפוי המרחקים שבין בתי התושבים חסרי המיגון למקלטים הציבוריים ולהכין רשימה מעודכנת של התושבים ללא מיגון שאין באפשרותם להגיע בזמן למרחב מוגן בעת הצורך.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גבעתיים</w:t>
      </w:r>
      <w:r w:rsidRPr="00014C4D">
        <w:rPr>
          <w:rtl/>
        </w:rPr>
        <w:t xml:space="preserve"> מסרה </w:t>
      </w:r>
      <w:r w:rsidRPr="00014C4D">
        <w:rPr>
          <w:rFonts w:hint="eastAsia"/>
          <w:rtl/>
        </w:rPr>
        <w:t>בתשובתה</w:t>
      </w:r>
      <w:r w:rsidRPr="00014C4D">
        <w:rPr>
          <w:rtl/>
        </w:rPr>
        <w:t xml:space="preserve"> כי קיימה את המלצת משרד מבקר המדינה, וסימנה במערכת ה־</w:t>
      </w:r>
      <w:r w:rsidRPr="00014C4D">
        <w:t>GIS</w:t>
      </w:r>
      <w:r w:rsidRPr="00014C4D">
        <w:rPr>
          <w:rtl/>
        </w:rPr>
        <w:t xml:space="preserve"> העירונית רדיוסים של 30 מטרים לדקה וחצי הליכה לכל מקלט ציבורי, בהתאם להנחיות פיקוד העורף.</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 xml:space="preserve">מחסות ציבוריים (המוניים)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לפי סעיף 11 לחוק הג"א, 'מחסה ציבורי' הוא מקום שאינו מקלט אלא נועד לשמש מחסה ארעי לציבור בשעת התקפה. </w:t>
      </w:r>
      <w:r w:rsidRPr="00014C4D">
        <w:rPr>
          <w:rFonts w:hint="cs"/>
          <w:rtl/>
        </w:rPr>
        <w:t>סעיף 13(א) לחוק הג"א קובע: "הייתה רשות מקומית סבורה שמקום מסוים, כולו או מקצתו, ראוי לשמש מחסה ציבורי, או יהיה ראוי לכך אחרי שיושלמו בו פעולות בנייה או פיתוח, רשאית הרשות המקומית להמציא הודעה בכתב לבעל המקום ולמחזיק בו, כי בדעתה להועיד אותו מקום למחסה ציבורי"</w:t>
      </w:r>
      <w:r w:rsidRPr="00014C4D">
        <w:rPr>
          <w:vertAlign w:val="superscript"/>
          <w:rtl/>
        </w:rPr>
        <w:footnoteReference w:id="24"/>
      </w:r>
      <w:r w:rsidRPr="00014C4D">
        <w:rPr>
          <w:rFonts w:hint="cs"/>
          <w:rtl/>
        </w:rPr>
        <w:t>; בסעיף 13א לחוק האמור נקבע כי "ראש הגא רשאי להורות לרשות מקומית שתמסור, לגבי מקום פלוני הראוי לדעתו לשמש מחסה ציבורי, הודעה כאמור בסעיף 13(א), ושתעשה באותו מקום את השינויים והתיקונים שיפרט והדרושים להכשרתו כמחסה ציבורי"</w:t>
      </w:r>
      <w:r w:rsidRPr="00014C4D">
        <w:rPr>
          <w:vertAlign w:val="superscript"/>
          <w:rtl/>
        </w:rPr>
        <w:footnoteReference w:id="25"/>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b/>
          <w:bCs/>
          <w:sz w:val="24"/>
          <w:highlight w:val="yellow"/>
          <w:rtl/>
        </w:rPr>
      </w:pPr>
      <w:r w:rsidRPr="00014C4D">
        <w:rPr>
          <w:rFonts w:ascii="David" w:eastAsia="Times New Roman" w:hAnsi="David" w:hint="cs"/>
          <w:sz w:val="24"/>
          <w:rtl/>
        </w:rPr>
        <w:t xml:space="preserve">במנחה למיגון נקבע כי המיפוי של כל השטחים המוגנים לסוגיהם השונים יכלול "מיפוי החללים התת-קרקעיים המצריך בדיקה של חניונים ומבנים ציבוריים וסקירה של תכניות מבנים". פקע"ר פרסם מנחה להכנת תיק ניהול מחסה המוני הכולל הנחיות בדבר ההכנות הנדרשות לפני פתיחת המחסה ואת האופן בו רצוי לנהל את השהות בו בשעת חירום. למנחה מצורף "תיק מחסה המוני" לדוגמה המאגד בתוכו בין היתר, את פרטי התשתיות במחסה, מפת דרכי גישה למחסה, רשימת תיוג לתשתית ולזיווד ורשימת תיוג לצוות </w:t>
      </w:r>
      <w:r w:rsidRPr="00014C4D">
        <w:rPr>
          <w:rFonts w:ascii="David" w:eastAsia="Times New Roman" w:hAnsi="David" w:hint="cs"/>
          <w:sz w:val="24"/>
          <w:rtl/>
        </w:rPr>
        <w:lastRenderedPageBreak/>
        <w:t>חירום. על פי המנחה, על הרשויות המקומיות להכין מבעוד מועד לכל מחסה המוני תיק במתכונת התיק לדוגמה ולעדכנו באופן שוטף בהתאם לצורך ולמצבים המשתנים.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b/>
          <w:bCs/>
          <w:rtl/>
        </w:rPr>
        <w:t xml:space="preserve">נמצא כי הרשויות המקומיות אשקלון, ביענה והגלבוע לא הכשירו מחסות המוניים בחניונים תת-קרקעיים או במבני ציבור לשהיית תושבים שאין להם מיגון תקני, </w:t>
      </w:r>
      <w:r w:rsidRPr="00014C4D">
        <w:rPr>
          <w:b/>
          <w:bCs/>
          <w:rtl/>
        </w:rPr>
        <w:t>כנדרש במנחה למיגון ובהנחיות פקע"ר ל"הכנת תיק מחסה המוני"</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על הרשויות המקומיות אשקלון, ביענה והגלבוע להכשיר מחסים המוניים לשהיית תושבים שאין להם מיגון תקני או שהם חסרי מיגון כלל.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עיריית </w:t>
      </w:r>
      <w:r w:rsidRPr="00014C4D">
        <w:rPr>
          <w:rFonts w:hint="cs"/>
          <w:b/>
          <w:bCs/>
          <w:rtl/>
        </w:rPr>
        <w:t>גבעתיים</w:t>
      </w:r>
      <w:r w:rsidRPr="00014C4D">
        <w:rPr>
          <w:rFonts w:hint="cs"/>
          <w:rtl/>
        </w:rPr>
        <w:t xml:space="preserve"> הכשירה ארבעה חניונים ציבוריים תת-קרקעיים לקליטת 2,735 תושבים</w:t>
      </w:r>
      <w:r w:rsidRPr="00014C4D">
        <w:rPr>
          <w:vertAlign w:val="superscript"/>
          <w:rtl/>
        </w:rPr>
        <w:footnoteReference w:id="26"/>
      </w:r>
      <w:r w:rsidRPr="00014C4D">
        <w:rPr>
          <w:rFonts w:hint="cs"/>
          <w:rtl/>
        </w:rPr>
        <w:t xml:space="preserve">. </w:t>
      </w:r>
      <w:r w:rsidRPr="00014C4D">
        <w:rPr>
          <w:rFonts w:hint="eastAsia"/>
          <w:rtl/>
        </w:rPr>
        <w:t>הת</w:t>
      </w:r>
      <w:r w:rsidRPr="00014C4D">
        <w:rPr>
          <w:rFonts w:hint="cs"/>
          <w:rtl/>
        </w:rPr>
        <w:t>ו</w:t>
      </w:r>
      <w:r w:rsidRPr="00014C4D">
        <w:rPr>
          <w:rFonts w:hint="eastAsia"/>
          <w:rtl/>
        </w:rPr>
        <w:t>כניות</w:t>
      </w:r>
      <w:r w:rsidRPr="00014C4D">
        <w:rPr>
          <w:rtl/>
        </w:rPr>
        <w:t xml:space="preserve"> של הכשרת החניונים</w:t>
      </w:r>
      <w:r w:rsidRPr="00014C4D">
        <w:rPr>
          <w:rFonts w:hint="cs"/>
          <w:rtl/>
        </w:rPr>
        <w:t xml:space="preserve"> </w:t>
      </w:r>
      <w:r w:rsidRPr="00014C4D">
        <w:rPr>
          <w:rtl/>
        </w:rPr>
        <w:t>אושר</w:t>
      </w:r>
      <w:r w:rsidRPr="00014C4D">
        <w:rPr>
          <w:rFonts w:hint="eastAsia"/>
          <w:rtl/>
        </w:rPr>
        <w:t>ו</w:t>
      </w:r>
      <w:r w:rsidRPr="00014C4D">
        <w:rPr>
          <w:rtl/>
        </w:rPr>
        <w:t xml:space="preserve"> על ידי פקע"ר.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highlight w:val="yellow"/>
          <w:rtl/>
        </w:rPr>
      </w:pPr>
      <w:r w:rsidRPr="00014C4D">
        <w:rPr>
          <w:rFonts w:hint="cs"/>
          <w:rtl/>
        </w:rPr>
        <w:t xml:space="preserve">על פי תוכנית המיגון של עיריית </w:t>
      </w:r>
      <w:r w:rsidRPr="00014C4D">
        <w:rPr>
          <w:rFonts w:hint="cs"/>
          <w:b/>
          <w:bCs/>
          <w:rtl/>
        </w:rPr>
        <w:t>חולון</w:t>
      </w:r>
      <w:r w:rsidRPr="00014C4D">
        <w:rPr>
          <w:rFonts w:hint="cs"/>
          <w:rtl/>
        </w:rPr>
        <w:t xml:space="preserve"> הוכשרו </w:t>
      </w:r>
      <w:r w:rsidRPr="00014C4D">
        <w:rPr>
          <w:rFonts w:ascii="David" w:eastAsia="Times New Roman" w:hAnsi="David" w:hint="cs"/>
          <w:sz w:val="24"/>
          <w:rtl/>
        </w:rPr>
        <w:t>שני חניונים ציבוריים תת-קרקעיים לצורך שהייה ש</w:t>
      </w:r>
      <w:r w:rsidRPr="00014C4D">
        <w:rPr>
          <w:rFonts w:hint="cs"/>
          <w:rtl/>
        </w:rPr>
        <w:t xml:space="preserve">ל 6,500 </w:t>
      </w:r>
      <w:r w:rsidRPr="00014C4D">
        <w:rPr>
          <w:rFonts w:hint="eastAsia"/>
          <w:rtl/>
        </w:rPr>
        <w:t>תושבים</w:t>
      </w:r>
      <w:r w:rsidRPr="00014C4D">
        <w:rPr>
          <w:rFonts w:ascii="David" w:eastAsia="Times New Roman" w:hAnsi="David"/>
          <w:sz w:val="24"/>
          <w:rtl/>
        </w:rPr>
        <w:t xml:space="preserve">. </w:t>
      </w:r>
      <w:r w:rsidRPr="00014C4D">
        <w:rPr>
          <w:rFonts w:ascii="David" w:eastAsia="Times New Roman" w:hAnsi="David" w:hint="eastAsia"/>
          <w:sz w:val="24"/>
          <w:rtl/>
        </w:rPr>
        <w:t>הת</w:t>
      </w:r>
      <w:r w:rsidRPr="00014C4D">
        <w:rPr>
          <w:rFonts w:ascii="David" w:eastAsia="Times New Roman" w:hAnsi="David" w:hint="cs"/>
          <w:sz w:val="24"/>
          <w:rtl/>
        </w:rPr>
        <w:t>ו</w:t>
      </w:r>
      <w:r w:rsidRPr="00014C4D">
        <w:rPr>
          <w:rFonts w:ascii="David" w:eastAsia="Times New Roman" w:hAnsi="David" w:hint="eastAsia"/>
          <w:sz w:val="24"/>
          <w:rtl/>
        </w:rPr>
        <w:t>כניות</w:t>
      </w:r>
      <w:r w:rsidRPr="00014C4D">
        <w:rPr>
          <w:rFonts w:ascii="David" w:eastAsia="Times New Roman" w:hAnsi="David"/>
          <w:sz w:val="24"/>
          <w:rtl/>
        </w:rPr>
        <w:t xml:space="preserve"> </w:t>
      </w:r>
      <w:r w:rsidRPr="00014C4D">
        <w:rPr>
          <w:rFonts w:ascii="David" w:eastAsia="Times New Roman" w:hAnsi="David" w:hint="eastAsia"/>
          <w:sz w:val="24"/>
          <w:rtl/>
        </w:rPr>
        <w:t>אושרו</w:t>
      </w:r>
      <w:r w:rsidRPr="00014C4D">
        <w:rPr>
          <w:rFonts w:ascii="David" w:eastAsia="Times New Roman" w:hAnsi="David"/>
          <w:sz w:val="24"/>
          <w:rtl/>
        </w:rPr>
        <w:t xml:space="preserve"> על ידי פקע"ר.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יצוין</w:t>
      </w:r>
      <w:r w:rsidRPr="00014C4D">
        <w:rPr>
          <w:b/>
          <w:bCs/>
          <w:rtl/>
        </w:rPr>
        <w:t xml:space="preserve"> לחיוב </w:t>
      </w:r>
      <w:r w:rsidRPr="00014C4D">
        <w:rPr>
          <w:rFonts w:hint="cs"/>
          <w:b/>
          <w:bCs/>
          <w:rtl/>
        </w:rPr>
        <w:t xml:space="preserve">שהרשויות </w:t>
      </w:r>
      <w:r w:rsidRPr="00014C4D">
        <w:rPr>
          <w:b/>
          <w:bCs/>
          <w:rtl/>
        </w:rPr>
        <w:t xml:space="preserve">המקומיות גבעתיים וחולון </w:t>
      </w:r>
      <w:r w:rsidRPr="00014C4D">
        <w:rPr>
          <w:rFonts w:hint="cs"/>
          <w:b/>
          <w:bCs/>
          <w:rtl/>
        </w:rPr>
        <w:t>הכשירו מחסות המוניים והכינו עבורם</w:t>
      </w:r>
      <w:r w:rsidRPr="00014C4D">
        <w:rPr>
          <w:b/>
          <w:bCs/>
          <w:rtl/>
        </w:rPr>
        <w:t xml:space="preserve"> "תיק מחסה המוני".</w:t>
      </w:r>
      <w:r w:rsidRPr="00014C4D">
        <w:rPr>
          <w:rFonts w:hint="cs"/>
          <w:b/>
          <w:bCs/>
          <w:rtl/>
        </w:rPr>
        <w:t xml:space="preserve"> </w:t>
      </w:r>
    </w:p>
    <w:p w:rsidR="00014C4D" w:rsidRPr="00014C4D" w:rsidRDefault="00014C4D" w:rsidP="00014C4D">
      <w:pPr>
        <w:spacing w:line="269" w:lineRule="auto"/>
        <w:rPr>
          <w:b/>
          <w:bCs/>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 xml:space="preserve">מידע לציבור </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hint="cs"/>
          <w:rtl/>
        </w:rPr>
        <w:t xml:space="preserve">הציבור הרחב צריך לקבל מרשויות השלטון ובהן השלטון המקומי את כל המידע הנחוץ לו להתמודדות בעת מצב חירום. </w:t>
      </w:r>
      <w:r w:rsidRPr="00014C4D">
        <w:rPr>
          <w:rFonts w:ascii="David" w:hAnsi="David" w:hint="cs"/>
          <w:sz w:val="24"/>
          <w:rtl/>
          <w:lang w:eastAsia="he-IL"/>
        </w:rPr>
        <w:t>מבקר המדינה ציין בדוח שפרסם</w:t>
      </w:r>
      <w:r w:rsidRPr="00014C4D">
        <w:rPr>
          <w:vertAlign w:val="superscript"/>
          <w:rtl/>
        </w:rPr>
        <w:footnoteReference w:id="27"/>
      </w:r>
      <w:r w:rsidRPr="00014C4D">
        <w:rPr>
          <w:rFonts w:hint="cs"/>
          <w:rtl/>
        </w:rPr>
        <w:t xml:space="preserve"> כי על אף נחיצות המידע כאמור, לא אסדרו משרד המשפטים ומשרד הפנים את חובתן של הרשויות הציבוריות - בשלטון המרכזי והמקומי - לפרסם לציבור, בעיתות שגרה או חירום, מידע הנוגע לשעת חירום, ובתחום המיגון למשל את </w:t>
      </w:r>
      <w:r w:rsidRPr="00014C4D">
        <w:rPr>
          <w:rtl/>
        </w:rPr>
        <w:t>רשימת</w:t>
      </w:r>
      <w:r w:rsidRPr="00014C4D">
        <w:rPr>
          <w:rFonts w:hint="cs"/>
          <w:rtl/>
        </w:rPr>
        <w:t xml:space="preserve"> ה</w:t>
      </w:r>
      <w:r w:rsidRPr="00014C4D">
        <w:rPr>
          <w:rtl/>
        </w:rPr>
        <w:t xml:space="preserve">מקלטים </w:t>
      </w:r>
      <w:r w:rsidRPr="00014C4D">
        <w:rPr>
          <w:rFonts w:hint="cs"/>
          <w:rtl/>
        </w:rPr>
        <w:t>ה</w:t>
      </w:r>
      <w:r w:rsidRPr="00014C4D">
        <w:rPr>
          <w:rtl/>
        </w:rPr>
        <w:t>ציבור</w:t>
      </w:r>
      <w:r w:rsidRPr="00014C4D">
        <w:rPr>
          <w:rFonts w:hint="cs"/>
          <w:rtl/>
        </w:rPr>
        <w:t>י</w:t>
      </w:r>
      <w:r w:rsidRPr="00014C4D">
        <w:rPr>
          <w:rtl/>
        </w:rPr>
        <w:t>ים</w:t>
      </w:r>
      <w:r w:rsidRPr="00014C4D">
        <w:rPr>
          <w:rFonts w:hint="cs"/>
          <w:rtl/>
        </w:rPr>
        <w:t>;</w:t>
      </w:r>
      <w:r w:rsidRPr="00014C4D">
        <w:rPr>
          <w:rtl/>
        </w:rPr>
        <w:t xml:space="preserve"> מקומם של מקלטים אחרים במרחב הציבור</w:t>
      </w:r>
      <w:r w:rsidRPr="00014C4D">
        <w:rPr>
          <w:rFonts w:hint="cs"/>
          <w:rtl/>
        </w:rPr>
        <w:t>,</w:t>
      </w:r>
      <w:r w:rsidRPr="00014C4D">
        <w:rPr>
          <w:rtl/>
        </w:rPr>
        <w:t xml:space="preserve"> למשל במבנים מסחריים ומוסדות תרבות</w:t>
      </w:r>
      <w:r w:rsidRPr="00014C4D">
        <w:rPr>
          <w:rFonts w:hint="cs"/>
          <w:rtl/>
        </w:rPr>
        <w:t>; מרחבים מוגנים נוספים כגון חניונים ציבוריים תת-קרקעיים.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b/>
          <w:bCs/>
          <w:rtl/>
        </w:rPr>
        <w:t>הרשויות המקומיות אשקלון, גבעתיים,</w:t>
      </w:r>
      <w:r w:rsidRPr="00014C4D">
        <w:rPr>
          <w:rFonts w:hint="cs"/>
          <w:rtl/>
        </w:rPr>
        <w:t xml:space="preserve"> </w:t>
      </w:r>
      <w:r w:rsidRPr="00014C4D">
        <w:rPr>
          <w:rFonts w:hint="cs"/>
          <w:b/>
          <w:bCs/>
          <w:rtl/>
        </w:rPr>
        <w:t>חולון</w:t>
      </w:r>
      <w:r w:rsidRPr="00014C4D">
        <w:rPr>
          <w:rFonts w:hint="cs"/>
          <w:rtl/>
        </w:rPr>
        <w:t xml:space="preserve"> </w:t>
      </w:r>
      <w:r w:rsidRPr="00014C4D">
        <w:rPr>
          <w:rFonts w:hint="eastAsia"/>
          <w:b/>
          <w:bCs/>
          <w:rtl/>
        </w:rPr>
        <w:t>והגלבוע</w:t>
      </w:r>
      <w:r w:rsidRPr="00014C4D">
        <w:rPr>
          <w:rFonts w:hint="cs"/>
          <w:rtl/>
        </w:rPr>
        <w:t xml:space="preserve"> פרסמו באתרי המרשתת שלהן את רשימות המקלטים הציבוריים וכתובותיהם. עיריית </w:t>
      </w:r>
      <w:r w:rsidRPr="00014C4D">
        <w:rPr>
          <w:rFonts w:hint="cs"/>
          <w:b/>
          <w:bCs/>
          <w:rtl/>
        </w:rPr>
        <w:t>חולון</w:t>
      </w:r>
      <w:r w:rsidRPr="00014C4D">
        <w:rPr>
          <w:rFonts w:hint="cs"/>
          <w:rtl/>
        </w:rPr>
        <w:t xml:space="preserve"> פרסמה גם מידע באמצעות מפה על מקלטים בגני ילדים ובבתי ספר וכן מידע על המקלטים הציבוריים המפרט אם המקלט עילי או תחתי, ואם הוא נגיש לאנשים עם מוגבלות. עיריית </w:t>
      </w:r>
      <w:r w:rsidRPr="00014C4D">
        <w:rPr>
          <w:rFonts w:hint="cs"/>
          <w:b/>
          <w:bCs/>
          <w:rtl/>
        </w:rPr>
        <w:t>גבעתיים</w:t>
      </w:r>
      <w:r w:rsidRPr="00014C4D">
        <w:rPr>
          <w:rFonts w:hint="cs"/>
          <w:rtl/>
        </w:rPr>
        <w:t xml:space="preserve"> פרסמה גם מידע על מקלטים בבתי הספר.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נכון למועד סיום הביקורת (נובמבר 2024) הרשויות המקומיות אשקלון, גבעתיים והגלבוע לא ציינו באתר המרשתת שלהן אילו מקלטים ציבוריים הם תת קרקעיים ואילו עיליים; עיריית אשקלון לא </w:t>
      </w:r>
      <w:r w:rsidRPr="00014C4D">
        <w:rPr>
          <w:rFonts w:hint="cs"/>
          <w:b/>
          <w:bCs/>
          <w:rtl/>
        </w:rPr>
        <w:lastRenderedPageBreak/>
        <w:t xml:space="preserve">פרסמה אילו מהם נגישים לאנשים עם מוגבלות; עיריות גבעתיים וחולון לא פרסמו את רשימת החניונים הציבוריים התת-קרקעיים המשמשים מחסות ציבוריים בשעת חירום.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ascii="David" w:hAnsi="David" w:hint="cs"/>
          <w:b/>
          <w:bCs/>
          <w:sz w:val="24"/>
          <w:rtl/>
        </w:rPr>
        <w:t xml:space="preserve">מומלץ כי הרשויות המקומיות אשקלון, גבעתיים והגלבוע ירחיבו </w:t>
      </w:r>
      <w:r w:rsidRPr="00014C4D">
        <w:rPr>
          <w:rFonts w:ascii="David" w:hAnsi="David"/>
          <w:b/>
          <w:bCs/>
          <w:sz w:val="24"/>
          <w:rtl/>
        </w:rPr>
        <w:t>את פרסום המידע הנוגע למקלטים הציבוריים</w:t>
      </w:r>
      <w:r w:rsidRPr="00014C4D">
        <w:rPr>
          <w:rFonts w:ascii="David" w:hAnsi="David" w:hint="cs"/>
          <w:b/>
          <w:bCs/>
          <w:sz w:val="24"/>
          <w:rtl/>
        </w:rPr>
        <w:t>,</w:t>
      </w:r>
      <w:r w:rsidRPr="00014C4D">
        <w:rPr>
          <w:rFonts w:ascii="David" w:hAnsi="David"/>
          <w:b/>
          <w:bCs/>
          <w:sz w:val="24"/>
          <w:rtl/>
        </w:rPr>
        <w:t xml:space="preserve"> </w:t>
      </w:r>
      <w:r w:rsidRPr="00014C4D">
        <w:rPr>
          <w:rFonts w:ascii="David" w:hAnsi="David" w:hint="cs"/>
          <w:b/>
          <w:bCs/>
          <w:sz w:val="24"/>
          <w:rtl/>
        </w:rPr>
        <w:t>ו</w:t>
      </w:r>
      <w:r w:rsidRPr="00014C4D">
        <w:rPr>
          <w:rFonts w:ascii="David" w:hAnsi="David"/>
          <w:b/>
          <w:bCs/>
          <w:sz w:val="24"/>
          <w:rtl/>
        </w:rPr>
        <w:t xml:space="preserve">נוסף </w:t>
      </w:r>
      <w:r w:rsidRPr="00014C4D">
        <w:rPr>
          <w:rFonts w:ascii="David" w:hAnsi="David" w:hint="cs"/>
          <w:b/>
          <w:bCs/>
          <w:sz w:val="24"/>
          <w:rtl/>
        </w:rPr>
        <w:t>ע</w:t>
      </w:r>
      <w:r w:rsidRPr="00014C4D">
        <w:rPr>
          <w:rFonts w:ascii="David" w:hAnsi="David"/>
          <w:b/>
          <w:bCs/>
          <w:sz w:val="24"/>
          <w:rtl/>
        </w:rPr>
        <w:t>ל</w:t>
      </w:r>
      <w:r w:rsidRPr="00014C4D">
        <w:rPr>
          <w:rFonts w:ascii="David" w:hAnsi="David" w:hint="cs"/>
          <w:b/>
          <w:bCs/>
          <w:sz w:val="24"/>
          <w:rtl/>
        </w:rPr>
        <w:t xml:space="preserve"> ה</w:t>
      </w:r>
      <w:r w:rsidRPr="00014C4D">
        <w:rPr>
          <w:rFonts w:ascii="David" w:hAnsi="David"/>
          <w:b/>
          <w:bCs/>
          <w:sz w:val="24"/>
          <w:rtl/>
        </w:rPr>
        <w:t xml:space="preserve">כתובת </w:t>
      </w:r>
      <w:r w:rsidRPr="00014C4D">
        <w:rPr>
          <w:rFonts w:ascii="David" w:hAnsi="David" w:hint="cs"/>
          <w:b/>
          <w:bCs/>
          <w:sz w:val="24"/>
          <w:rtl/>
        </w:rPr>
        <w:t xml:space="preserve">של </w:t>
      </w:r>
      <w:r w:rsidRPr="00014C4D">
        <w:rPr>
          <w:rFonts w:ascii="David" w:hAnsi="David"/>
          <w:b/>
          <w:bCs/>
          <w:sz w:val="24"/>
          <w:rtl/>
        </w:rPr>
        <w:t xml:space="preserve">כל מקלט יצוין אם </w:t>
      </w:r>
      <w:r w:rsidRPr="00014C4D">
        <w:rPr>
          <w:rFonts w:ascii="David" w:hAnsi="David" w:hint="cs"/>
          <w:b/>
          <w:bCs/>
          <w:sz w:val="24"/>
          <w:rtl/>
        </w:rPr>
        <w:t>ה</w:t>
      </w:r>
      <w:r w:rsidRPr="00014C4D">
        <w:rPr>
          <w:rFonts w:ascii="David" w:hAnsi="David"/>
          <w:b/>
          <w:bCs/>
          <w:sz w:val="24"/>
          <w:rtl/>
        </w:rPr>
        <w:t xml:space="preserve">מקלט </w:t>
      </w:r>
      <w:r w:rsidRPr="00014C4D">
        <w:rPr>
          <w:rFonts w:ascii="David" w:hAnsi="David" w:hint="cs"/>
          <w:b/>
          <w:bCs/>
          <w:sz w:val="24"/>
          <w:rtl/>
        </w:rPr>
        <w:t xml:space="preserve">הוא </w:t>
      </w:r>
      <w:r w:rsidRPr="00014C4D">
        <w:rPr>
          <w:rFonts w:ascii="David" w:hAnsi="David"/>
          <w:b/>
          <w:bCs/>
          <w:sz w:val="24"/>
          <w:rtl/>
        </w:rPr>
        <w:t>עילי או תת</w:t>
      </w:r>
      <w:r w:rsidRPr="00014C4D">
        <w:rPr>
          <w:rFonts w:ascii="David" w:hAnsi="David" w:hint="cs"/>
          <w:b/>
          <w:bCs/>
          <w:sz w:val="24"/>
          <w:rtl/>
        </w:rPr>
        <w:t>-</w:t>
      </w:r>
      <w:r w:rsidRPr="00014C4D">
        <w:rPr>
          <w:rFonts w:ascii="David" w:hAnsi="David"/>
          <w:b/>
          <w:bCs/>
          <w:sz w:val="24"/>
          <w:rtl/>
        </w:rPr>
        <w:t>קרקעי וכן אם הוא נגיש לאנשים עם מוגבלות.</w:t>
      </w:r>
      <w:r w:rsidRPr="00014C4D">
        <w:rPr>
          <w:rFonts w:ascii="David" w:hAnsi="David" w:hint="cs"/>
          <w:b/>
          <w:bCs/>
          <w:sz w:val="24"/>
          <w:rtl/>
        </w:rPr>
        <w:t xml:space="preserve"> </w:t>
      </w:r>
      <w:r w:rsidRPr="00014C4D">
        <w:rPr>
          <w:rFonts w:hint="cs"/>
          <w:b/>
          <w:bCs/>
          <w:rtl/>
        </w:rPr>
        <w:t xml:space="preserve">עוד מומלץ כי עיריות גבעתיים וחולון יפרסמו את רשימת החניונים הציבוריים התת-קרקעיים המשמשים מחסה ציבורי בשעת חירום ואת כתובותיהם.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גבעתיים</w:t>
      </w:r>
      <w:r w:rsidRPr="00014C4D">
        <w:rPr>
          <w:rtl/>
        </w:rPr>
        <w:t xml:space="preserve"> </w:t>
      </w:r>
      <w:r w:rsidRPr="00014C4D">
        <w:rPr>
          <w:rFonts w:hint="cs"/>
          <w:rtl/>
        </w:rPr>
        <w:t>מסרה</w:t>
      </w:r>
      <w:r w:rsidRPr="00014C4D">
        <w:rPr>
          <w:rtl/>
        </w:rPr>
        <w:t xml:space="preserve"> </w:t>
      </w:r>
      <w:r w:rsidRPr="00014C4D">
        <w:rPr>
          <w:rFonts w:hint="cs"/>
          <w:rtl/>
        </w:rPr>
        <w:t xml:space="preserve">בתשובתה </w:t>
      </w:r>
      <w:r w:rsidRPr="00014C4D">
        <w:rPr>
          <w:rtl/>
        </w:rPr>
        <w:t>כי רשימת המחסות התת</w:t>
      </w:r>
      <w:r w:rsidRPr="00014C4D">
        <w:rPr>
          <w:rFonts w:hint="cs"/>
          <w:rtl/>
        </w:rPr>
        <w:t>-</w:t>
      </w:r>
      <w:r w:rsidRPr="00014C4D">
        <w:rPr>
          <w:rtl/>
        </w:rPr>
        <w:t>קרקעיים מפורסמת באתר העירוני</w:t>
      </w:r>
      <w:r w:rsidRPr="00014C4D">
        <w:rPr>
          <w:rFonts w:hint="cs"/>
          <w:rtl/>
        </w:rPr>
        <w:t>,</w:t>
      </w:r>
      <w:r w:rsidRPr="00014C4D">
        <w:rPr>
          <w:rtl/>
        </w:rPr>
        <w:t xml:space="preserve"> </w:t>
      </w:r>
      <w:r w:rsidRPr="00014C4D">
        <w:rPr>
          <w:rFonts w:hint="cs"/>
          <w:rtl/>
        </w:rPr>
        <w:t>אך ציינה כי חניוני החירום</w:t>
      </w:r>
      <w:r w:rsidRPr="00014C4D">
        <w:rPr>
          <w:rtl/>
        </w:rPr>
        <w:t xml:space="preserve"> לא י</w:t>
      </w:r>
      <w:r w:rsidRPr="00014C4D">
        <w:rPr>
          <w:rFonts w:hint="cs"/>
          <w:rtl/>
        </w:rPr>
        <w:t>י</w:t>
      </w:r>
      <w:r w:rsidRPr="00014C4D">
        <w:rPr>
          <w:rtl/>
        </w:rPr>
        <w:t>פתחו מייד</w:t>
      </w:r>
      <w:r w:rsidRPr="00014C4D">
        <w:rPr>
          <w:rFonts w:hint="cs"/>
          <w:rtl/>
        </w:rPr>
        <w:t xml:space="preserve"> שכן </w:t>
      </w:r>
      <w:r w:rsidRPr="00014C4D">
        <w:rPr>
          <w:rtl/>
        </w:rPr>
        <w:t>הם ממוגנים פחות ממקלטים תקניים</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חולון</w:t>
      </w:r>
      <w:r w:rsidRPr="00014C4D">
        <w:rPr>
          <w:rtl/>
        </w:rPr>
        <w:t xml:space="preserve"> מסרה</w:t>
      </w:r>
      <w:r w:rsidRPr="00014C4D">
        <w:rPr>
          <w:rFonts w:hint="cs"/>
          <w:rtl/>
        </w:rPr>
        <w:t xml:space="preserve"> בתשובתה</w:t>
      </w:r>
      <w:r w:rsidRPr="00014C4D">
        <w:rPr>
          <w:rtl/>
        </w:rPr>
        <w:t xml:space="preserve"> כי פרסמה לציבור את רשימת החניונים הציבוריים התת-קרקעיים המשמשים מחסה בשעת חירום, הן באתר העירוני והן בחוברת מידע והנחיות שחולקה לתושבים</w:t>
      </w:r>
      <w:r w:rsidRPr="00014C4D">
        <w:rPr>
          <w:rFonts w:hint="cs"/>
          <w:rtl/>
        </w:rPr>
        <w:t>,</w:t>
      </w:r>
      <w:r w:rsidRPr="00014C4D">
        <w:rPr>
          <w:rtl/>
        </w:rPr>
        <w:t xml:space="preserve"> </w:t>
      </w:r>
      <w:r w:rsidRPr="00014C4D">
        <w:rPr>
          <w:rFonts w:hint="cs"/>
          <w:rtl/>
        </w:rPr>
        <w:t>ו</w:t>
      </w:r>
      <w:r w:rsidRPr="00014C4D">
        <w:rPr>
          <w:rtl/>
        </w:rPr>
        <w:t xml:space="preserve">כי בשעת חירום תשלח העירייה מסרון ייעודי לכל תושב חסר מיגון, </w:t>
      </w:r>
      <w:r w:rsidRPr="00014C4D">
        <w:rPr>
          <w:rFonts w:hint="cs"/>
          <w:rtl/>
        </w:rPr>
        <w:t>ובו</w:t>
      </w:r>
      <w:r w:rsidRPr="00014C4D">
        <w:rPr>
          <w:rtl/>
        </w:rPr>
        <w:t xml:space="preserve"> פרטי החניון הציבורי שאליו עליו להתפנות</w:t>
      </w:r>
      <w:r w:rsidRPr="00014C4D">
        <w:rPr>
          <w:rFonts w:hint="cs"/>
          <w:rtl/>
        </w:rPr>
        <w:t xml:space="preserve">. העירייה הוסיפה כי </w:t>
      </w:r>
      <w:r w:rsidRPr="00014C4D">
        <w:rPr>
          <w:rtl/>
        </w:rPr>
        <w:t>בכוונתה לעדכן את הרשימה באתר העירוני באופן קבוע.</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משרד מבקר המדינה </w:t>
      </w:r>
      <w:r w:rsidRPr="00014C4D">
        <w:rPr>
          <w:rFonts w:hint="cs"/>
          <w:b/>
          <w:bCs/>
          <w:rtl/>
        </w:rPr>
        <w:t>מציין</w:t>
      </w:r>
      <w:r w:rsidRPr="00014C4D">
        <w:rPr>
          <w:b/>
          <w:bCs/>
          <w:rtl/>
        </w:rPr>
        <w:t xml:space="preserve"> לחיוב את פעולות עיריית חולון בתחום זה ורואה בכך דוגמה חיובית לרשויות מקומיות נוספות, הממחישה כיצד ניתן להרחיב את היישום של הנחיות </w:t>
      </w:r>
      <w:r w:rsidRPr="00014C4D">
        <w:rPr>
          <w:rFonts w:hint="cs"/>
          <w:b/>
          <w:bCs/>
          <w:rtl/>
        </w:rPr>
        <w:t>פקע"ר</w:t>
      </w:r>
      <w:r w:rsidRPr="00014C4D">
        <w:rPr>
          <w:b/>
          <w:bCs/>
          <w:rtl/>
        </w:rPr>
        <w:t xml:space="preserve"> באמצעות שילוב של מערכות מידע יזומות, תקשורת מותאמת אישית עם התושבים ושקיפות לציבור.</w:t>
      </w:r>
    </w:p>
    <w:p w:rsidR="00014C4D" w:rsidRPr="00014C4D" w:rsidRDefault="00014C4D" w:rsidP="00014C4D">
      <w:pPr>
        <w:spacing w:line="269" w:lineRule="auto"/>
        <w:ind w:left="-567"/>
        <w:rPr>
          <w:szCs w:val="20"/>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פערי מיגון בפזורה הבדואית בנגב</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yellow"/>
          <w:rtl/>
        </w:rPr>
      </w:pPr>
      <w:r w:rsidRPr="00014C4D">
        <w:rPr>
          <w:rFonts w:hint="cs"/>
          <w:rtl/>
        </w:rPr>
        <w:t>על פי נתוני הרשות לפיתוח והתיישבות הבדואים בנגב</w:t>
      </w:r>
      <w:r w:rsidRPr="00014C4D">
        <w:rPr>
          <w:vertAlign w:val="superscript"/>
          <w:rtl/>
        </w:rPr>
        <w:footnoteReference w:id="28"/>
      </w:r>
      <w:r w:rsidRPr="00014C4D">
        <w:rPr>
          <w:rFonts w:hint="cs"/>
          <w:rtl/>
        </w:rPr>
        <w:t xml:space="preserve"> (להלן - הרשות להתיישבות הבדואים) מיולי 2024, אוכלוסיית הבדואים בנגב מונה כ</w:t>
      </w:r>
      <w:r w:rsidRPr="00014C4D">
        <w:rPr>
          <w:rtl/>
        </w:rPr>
        <w:t>-330</w:t>
      </w:r>
      <w:r w:rsidRPr="00014C4D">
        <w:rPr>
          <w:rFonts w:hint="cs"/>
          <w:rtl/>
        </w:rPr>
        <w:t>,000</w:t>
      </w:r>
      <w:r w:rsidRPr="00014C4D">
        <w:rPr>
          <w:rtl/>
        </w:rPr>
        <w:t xml:space="preserve"> </w:t>
      </w:r>
      <w:r w:rsidRPr="00014C4D">
        <w:rPr>
          <w:rFonts w:hint="cs"/>
          <w:rtl/>
        </w:rPr>
        <w:t>תושבים.</w:t>
      </w:r>
      <w:r w:rsidRPr="00014C4D">
        <w:rPr>
          <w:rtl/>
        </w:rPr>
        <w:t xml:space="preserve"> כמחציתם גרים </w:t>
      </w:r>
      <w:r w:rsidRPr="00014C4D">
        <w:rPr>
          <w:rFonts w:hint="cs"/>
          <w:rtl/>
        </w:rPr>
        <w:t xml:space="preserve">ביישובי קבע מוסדרים, </w:t>
      </w:r>
      <w:r w:rsidRPr="00014C4D">
        <w:rPr>
          <w:rtl/>
        </w:rPr>
        <w:t xml:space="preserve">בתשע רשויות </w:t>
      </w:r>
      <w:r w:rsidRPr="00014C4D">
        <w:rPr>
          <w:rFonts w:hint="cs"/>
          <w:rtl/>
        </w:rPr>
        <w:t xml:space="preserve">מקומיות - </w:t>
      </w:r>
      <w:r w:rsidRPr="00014C4D">
        <w:rPr>
          <w:b/>
          <w:bCs/>
          <w:rtl/>
        </w:rPr>
        <w:t>חורה</w:t>
      </w:r>
      <w:r w:rsidRPr="00014C4D">
        <w:rPr>
          <w:rtl/>
        </w:rPr>
        <w:t>,</w:t>
      </w:r>
      <w:r w:rsidRPr="00014C4D">
        <w:rPr>
          <w:rFonts w:hint="cs"/>
        </w:rPr>
        <w:t xml:space="preserve"> </w:t>
      </w:r>
      <w:r w:rsidRPr="00014C4D">
        <w:rPr>
          <w:rFonts w:hint="cs"/>
          <w:b/>
          <w:bCs/>
          <w:rtl/>
        </w:rPr>
        <w:t>כסייפה</w:t>
      </w:r>
      <w:r w:rsidRPr="00014C4D">
        <w:rPr>
          <w:rFonts w:hint="cs"/>
          <w:rtl/>
        </w:rPr>
        <w:t>,</w:t>
      </w:r>
      <w:r w:rsidRPr="00014C4D">
        <w:rPr>
          <w:rtl/>
        </w:rPr>
        <w:t xml:space="preserve"> </w:t>
      </w:r>
      <w:r w:rsidRPr="00014C4D">
        <w:rPr>
          <w:b/>
          <w:bCs/>
          <w:rtl/>
        </w:rPr>
        <w:t>לקייה</w:t>
      </w:r>
      <w:r w:rsidRPr="00014C4D">
        <w:rPr>
          <w:rtl/>
        </w:rPr>
        <w:t xml:space="preserve">, </w:t>
      </w:r>
      <w:r w:rsidRPr="00014C4D">
        <w:rPr>
          <w:rFonts w:hint="cs"/>
          <w:b/>
          <w:bCs/>
          <w:rtl/>
        </w:rPr>
        <w:t>ערערה בנגב</w:t>
      </w:r>
      <w:r w:rsidRPr="00014C4D">
        <w:rPr>
          <w:rFonts w:hint="cs"/>
          <w:rtl/>
        </w:rPr>
        <w:t xml:space="preserve">, </w:t>
      </w:r>
      <w:r w:rsidRPr="00014C4D">
        <w:rPr>
          <w:rFonts w:hint="cs"/>
          <w:b/>
          <w:bCs/>
          <w:rtl/>
        </w:rPr>
        <w:t>רהט</w:t>
      </w:r>
      <w:r w:rsidRPr="00014C4D">
        <w:rPr>
          <w:rFonts w:hint="cs"/>
          <w:rtl/>
        </w:rPr>
        <w:t>,</w:t>
      </w:r>
      <w:r w:rsidRPr="00014C4D">
        <w:rPr>
          <w:rtl/>
        </w:rPr>
        <w:t xml:space="preserve"> </w:t>
      </w:r>
      <w:r w:rsidRPr="00014C4D">
        <w:rPr>
          <w:b/>
          <w:bCs/>
          <w:rtl/>
        </w:rPr>
        <w:t>שגב שלום</w:t>
      </w:r>
      <w:r w:rsidRPr="00014C4D">
        <w:rPr>
          <w:rtl/>
        </w:rPr>
        <w:t xml:space="preserve"> </w:t>
      </w:r>
      <w:r w:rsidRPr="00014C4D">
        <w:rPr>
          <w:rFonts w:hint="cs"/>
          <w:rtl/>
        </w:rPr>
        <w:t>ו</w:t>
      </w:r>
      <w:r w:rsidRPr="00014C4D">
        <w:rPr>
          <w:b/>
          <w:bCs/>
          <w:rtl/>
        </w:rPr>
        <w:t>תל שבע</w:t>
      </w:r>
      <w:r w:rsidRPr="00014C4D">
        <w:rPr>
          <w:rtl/>
        </w:rPr>
        <w:t xml:space="preserve"> ו</w:t>
      </w:r>
      <w:r w:rsidRPr="00014C4D">
        <w:rPr>
          <w:rFonts w:hint="cs"/>
          <w:rtl/>
        </w:rPr>
        <w:t xml:space="preserve">בשתי </w:t>
      </w:r>
      <w:r w:rsidRPr="00014C4D">
        <w:rPr>
          <w:rtl/>
        </w:rPr>
        <w:t>מועצות אזוריות</w:t>
      </w:r>
      <w:r w:rsidRPr="00014C4D">
        <w:rPr>
          <w:rFonts w:hint="cs"/>
          <w:rtl/>
        </w:rPr>
        <w:t xml:space="preserve"> -</w:t>
      </w:r>
      <w:r w:rsidRPr="00014C4D">
        <w:rPr>
          <w:rtl/>
        </w:rPr>
        <w:t xml:space="preserve"> </w:t>
      </w:r>
      <w:r w:rsidRPr="00014C4D">
        <w:rPr>
          <w:b/>
          <w:bCs/>
          <w:rtl/>
        </w:rPr>
        <w:t>אל-קסום</w:t>
      </w:r>
      <w:r w:rsidRPr="00014C4D">
        <w:rPr>
          <w:rtl/>
        </w:rPr>
        <w:t xml:space="preserve"> ו</w:t>
      </w:r>
      <w:r w:rsidRPr="00014C4D">
        <w:rPr>
          <w:b/>
          <w:bCs/>
          <w:rtl/>
        </w:rPr>
        <w:t>נווה מדבר</w:t>
      </w:r>
      <w:r w:rsidRPr="00014C4D">
        <w:rPr>
          <w:rtl/>
        </w:rPr>
        <w:t>. על</w:t>
      </w:r>
      <w:r w:rsidRPr="00014C4D">
        <w:rPr>
          <w:rFonts w:hint="cs"/>
          <w:rtl/>
        </w:rPr>
        <w:t xml:space="preserve"> </w:t>
      </w:r>
      <w:r w:rsidRPr="00014C4D">
        <w:rPr>
          <w:rtl/>
        </w:rPr>
        <w:t>פי נתוני הלשכה המרכזית לסטטיסטיקה, כל יישובי האוכלוסייה הבדואית בנגב מדורגים באשכול</w:t>
      </w:r>
      <w:r w:rsidRPr="00014C4D">
        <w:rPr>
          <w:rFonts w:hint="cs"/>
          <w:rtl/>
        </w:rPr>
        <w:t xml:space="preserve"> 1 או 2 </w:t>
      </w:r>
      <w:r w:rsidRPr="00014C4D">
        <w:rPr>
          <w:rtl/>
        </w:rPr>
        <w:t>מתוך</w:t>
      </w:r>
      <w:r w:rsidRPr="00014C4D">
        <w:rPr>
          <w:rFonts w:hint="cs"/>
          <w:rtl/>
        </w:rPr>
        <w:t xml:space="preserve"> 10</w:t>
      </w:r>
      <w:r w:rsidRPr="00014C4D">
        <w:rPr>
          <w:rtl/>
        </w:rPr>
        <w:t xml:space="preserve"> במדד החברתי-כלכלי. </w:t>
      </w:r>
      <w:r w:rsidRPr="00014C4D">
        <w:rPr>
          <w:rFonts w:hint="cs"/>
          <w:rtl/>
        </w:rPr>
        <w:t xml:space="preserve">השאר (כ-165,000 תושבים) - הפזורה הבדואית - מתגוררים </w:t>
      </w:r>
      <w:r w:rsidRPr="00014C4D">
        <w:rPr>
          <w:rtl/>
        </w:rPr>
        <w:t>במבנים ארעיים, פחונים וצריפים.</w:t>
      </w:r>
      <w:r w:rsidRPr="00014C4D">
        <w:rPr>
          <w:rFonts w:hint="cs"/>
          <w:rtl/>
        </w:rPr>
        <w:t xml:space="preserve"> </w:t>
      </w:r>
      <w:r w:rsidRPr="00014C4D">
        <w:rPr>
          <w:rtl/>
        </w:rPr>
        <w:t xml:space="preserve">נוסף </w:t>
      </w:r>
      <w:r w:rsidRPr="00014C4D">
        <w:rPr>
          <w:rFonts w:hint="cs"/>
          <w:rtl/>
        </w:rPr>
        <w:t>ע</w:t>
      </w:r>
      <w:r w:rsidRPr="00014C4D">
        <w:rPr>
          <w:rtl/>
        </w:rPr>
        <w:t>ל</w:t>
      </w:r>
      <w:r w:rsidRPr="00014C4D">
        <w:rPr>
          <w:rFonts w:hint="cs"/>
          <w:rtl/>
        </w:rPr>
        <w:t xml:space="preserve"> </w:t>
      </w:r>
      <w:r w:rsidRPr="00014C4D">
        <w:rPr>
          <w:rtl/>
        </w:rPr>
        <w:t xml:space="preserve">תושבי פזורה שחיים מחוץ ליישובים </w:t>
      </w:r>
      <w:r w:rsidRPr="00014C4D">
        <w:rPr>
          <w:rFonts w:hint="cs"/>
          <w:rtl/>
        </w:rPr>
        <w:t>ה</w:t>
      </w:r>
      <w:r w:rsidRPr="00014C4D">
        <w:rPr>
          <w:rtl/>
        </w:rPr>
        <w:t>מוסדרים, יש גם אוכלוסייה שחיה בצורה לא מוסדרת בתחומי היישובים המוסדרים והמהוו</w:t>
      </w:r>
      <w:r w:rsidRPr="00014C4D">
        <w:rPr>
          <w:rFonts w:hint="cs"/>
          <w:rtl/>
        </w:rPr>
        <w:t>ה</w:t>
      </w:r>
      <w:r w:rsidRPr="00014C4D">
        <w:rPr>
          <w:rtl/>
        </w:rPr>
        <w:t xml:space="preserve"> "פזורה פנימית".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yellow"/>
          <w:rtl/>
        </w:rPr>
      </w:pPr>
      <w:r w:rsidRPr="00014C4D">
        <w:rPr>
          <w:rtl/>
        </w:rPr>
        <w:t>יישובי הפזורה הבדואית</w:t>
      </w:r>
      <w:r w:rsidRPr="00014C4D">
        <w:rPr>
          <w:rFonts w:hint="cs"/>
          <w:rtl/>
        </w:rPr>
        <w:t xml:space="preserve"> (להלן - יישובי הפזורה או </w:t>
      </w:r>
      <w:r w:rsidRPr="00014C4D">
        <w:rPr>
          <w:rtl/>
        </w:rPr>
        <w:t>הכפרים הלא-מוכרים</w:t>
      </w:r>
      <w:r w:rsidRPr="00014C4D">
        <w:rPr>
          <w:vertAlign w:val="superscript"/>
          <w:rtl/>
        </w:rPr>
        <w:footnoteReference w:id="29"/>
      </w:r>
      <w:r w:rsidRPr="00014C4D">
        <w:rPr>
          <w:rFonts w:hint="cs"/>
          <w:rtl/>
        </w:rPr>
        <w:t>),</w:t>
      </w:r>
      <w:r w:rsidRPr="00014C4D">
        <w:rPr>
          <w:rtl/>
        </w:rPr>
        <w:t xml:space="preserve"> </w:t>
      </w:r>
      <w:r w:rsidRPr="00014C4D">
        <w:rPr>
          <w:rFonts w:hint="cs"/>
          <w:rtl/>
        </w:rPr>
        <w:t>ה</w:t>
      </w:r>
      <w:r w:rsidRPr="00014C4D">
        <w:rPr>
          <w:rtl/>
        </w:rPr>
        <w:t>נמצאים ברובם בצפון</w:t>
      </w:r>
      <w:r w:rsidRPr="00014C4D">
        <w:rPr>
          <w:rFonts w:hint="cs"/>
          <w:rtl/>
        </w:rPr>
        <w:t xml:space="preserve"> </w:t>
      </w:r>
      <w:r w:rsidRPr="00014C4D">
        <w:rPr>
          <w:rtl/>
        </w:rPr>
        <w:t>מזרח הנגב</w:t>
      </w:r>
      <w:r w:rsidRPr="00014C4D">
        <w:rPr>
          <w:rFonts w:hint="cs"/>
          <w:rtl/>
        </w:rPr>
        <w:t>,</w:t>
      </w:r>
      <w:r w:rsidRPr="00014C4D">
        <w:rPr>
          <w:rtl/>
        </w:rPr>
        <w:t xml:space="preserve"> אינ</w:t>
      </w:r>
      <w:r w:rsidRPr="00014C4D">
        <w:rPr>
          <w:rFonts w:hint="cs"/>
          <w:rtl/>
        </w:rPr>
        <w:t>ם</w:t>
      </w:r>
      <w:r w:rsidRPr="00014C4D">
        <w:rPr>
          <w:rtl/>
        </w:rPr>
        <w:t xml:space="preserve"> מקבל</w:t>
      </w:r>
      <w:r w:rsidRPr="00014C4D">
        <w:rPr>
          <w:rFonts w:hint="cs"/>
          <w:rtl/>
        </w:rPr>
        <w:t xml:space="preserve">ים </w:t>
      </w:r>
      <w:r w:rsidRPr="00014C4D">
        <w:rPr>
          <w:rtl/>
        </w:rPr>
        <w:t>שירותים ממשלתיים מסודרים</w:t>
      </w:r>
      <w:r w:rsidRPr="00014C4D">
        <w:rPr>
          <w:vertAlign w:val="superscript"/>
          <w:rtl/>
        </w:rPr>
        <w:footnoteReference w:id="30"/>
      </w:r>
      <w:r w:rsidRPr="00014C4D">
        <w:rPr>
          <w:rtl/>
        </w:rPr>
        <w:t xml:space="preserve">, </w:t>
      </w:r>
      <w:r w:rsidRPr="00014C4D">
        <w:rPr>
          <w:rFonts w:hint="cs"/>
          <w:rtl/>
        </w:rPr>
        <w:t>וחסרות</w:t>
      </w:r>
      <w:r w:rsidRPr="00014C4D">
        <w:rPr>
          <w:rtl/>
        </w:rPr>
        <w:t xml:space="preserve"> בהם מרבית התשתיות הבסיסיות</w:t>
      </w:r>
      <w:r w:rsidRPr="00014C4D">
        <w:rPr>
          <w:rFonts w:hint="cs"/>
          <w:rtl/>
        </w:rPr>
        <w:t xml:space="preserve">: </w:t>
      </w:r>
      <w:r w:rsidRPr="00014C4D">
        <w:rPr>
          <w:rtl/>
        </w:rPr>
        <w:t>אין ב</w:t>
      </w:r>
      <w:r w:rsidRPr="00014C4D">
        <w:rPr>
          <w:rFonts w:hint="cs"/>
          <w:rtl/>
        </w:rPr>
        <w:t>הם</w:t>
      </w:r>
      <w:r w:rsidRPr="00014C4D">
        <w:rPr>
          <w:rtl/>
        </w:rPr>
        <w:t xml:space="preserve"> חיבור</w:t>
      </w:r>
      <w:r w:rsidRPr="00014C4D">
        <w:rPr>
          <w:rFonts w:hint="cs"/>
          <w:rtl/>
        </w:rPr>
        <w:t>ים</w:t>
      </w:r>
      <w:r w:rsidRPr="00014C4D">
        <w:rPr>
          <w:rtl/>
        </w:rPr>
        <w:t xml:space="preserve"> לרשת</w:t>
      </w:r>
      <w:r w:rsidRPr="00014C4D">
        <w:rPr>
          <w:rFonts w:hint="cs"/>
          <w:rtl/>
        </w:rPr>
        <w:t>ות</w:t>
      </w:r>
      <w:r w:rsidRPr="00014C4D">
        <w:rPr>
          <w:rtl/>
        </w:rPr>
        <w:t xml:space="preserve"> החשמל והמים, </w:t>
      </w:r>
      <w:r w:rsidRPr="00014C4D">
        <w:rPr>
          <w:rFonts w:hint="cs"/>
          <w:rtl/>
        </w:rPr>
        <w:t xml:space="preserve">אין בהם </w:t>
      </w:r>
      <w:r w:rsidRPr="00014C4D">
        <w:rPr>
          <w:rtl/>
        </w:rPr>
        <w:t>מערכת ביוב ו</w:t>
      </w:r>
      <w:r w:rsidRPr="00014C4D">
        <w:rPr>
          <w:rFonts w:hint="cs"/>
          <w:rtl/>
        </w:rPr>
        <w:t xml:space="preserve">לא מתבצע בהם </w:t>
      </w:r>
      <w:r w:rsidRPr="00014C4D">
        <w:rPr>
          <w:rtl/>
        </w:rPr>
        <w:t>פינוי אשפה</w:t>
      </w:r>
      <w:r w:rsidRPr="00014C4D">
        <w:rPr>
          <w:rFonts w:hint="cs"/>
          <w:rtl/>
        </w:rPr>
        <w:t xml:space="preserve">. </w:t>
      </w:r>
      <w:r w:rsidRPr="00014C4D">
        <w:rPr>
          <w:rtl/>
        </w:rPr>
        <w:t>בהיותם בלתי מוכרים, אין הכפרים מקבלים תקציבים מוניציפליים, אין בהם</w:t>
      </w:r>
      <w:r w:rsidRPr="00014C4D">
        <w:rPr>
          <w:rFonts w:hint="cs"/>
          <w:rtl/>
        </w:rPr>
        <w:t xml:space="preserve"> </w:t>
      </w:r>
      <w:r w:rsidRPr="00014C4D">
        <w:rPr>
          <w:rtl/>
        </w:rPr>
        <w:t xml:space="preserve">מערכת שלטון מקומי </w:t>
      </w:r>
      <w:r w:rsidRPr="00014C4D">
        <w:rPr>
          <w:rFonts w:hint="cs"/>
          <w:rtl/>
        </w:rPr>
        <w:t>ו</w:t>
      </w:r>
      <w:r w:rsidRPr="00014C4D">
        <w:rPr>
          <w:rtl/>
        </w:rPr>
        <w:t xml:space="preserve">התושבים </w:t>
      </w:r>
      <w:r w:rsidRPr="00014C4D">
        <w:rPr>
          <w:rFonts w:hint="cs"/>
          <w:rtl/>
        </w:rPr>
        <w:t xml:space="preserve">אינם </w:t>
      </w:r>
      <w:r w:rsidRPr="00014C4D">
        <w:rPr>
          <w:rtl/>
        </w:rPr>
        <w:lastRenderedPageBreak/>
        <w:t>משלמים מ</w:t>
      </w:r>
      <w:r w:rsidRPr="00014C4D">
        <w:rPr>
          <w:rFonts w:hint="cs"/>
          <w:rtl/>
        </w:rPr>
        <w:t>י</w:t>
      </w:r>
      <w:r w:rsidRPr="00014C4D">
        <w:rPr>
          <w:rtl/>
        </w:rPr>
        <w:t xml:space="preserve">סים </w:t>
      </w:r>
      <w:r w:rsidRPr="00014C4D">
        <w:rPr>
          <w:rFonts w:hint="cs"/>
          <w:rtl/>
        </w:rPr>
        <w:t>עירוניים</w:t>
      </w:r>
      <w:r w:rsidRPr="00014C4D">
        <w:rPr>
          <w:rtl/>
        </w:rPr>
        <w:t xml:space="preserve">. עד שנת </w:t>
      </w:r>
      <w:r w:rsidRPr="00014C4D">
        <w:rPr>
          <w:rFonts w:hint="cs"/>
          <w:rtl/>
        </w:rPr>
        <w:t>1995</w:t>
      </w:r>
      <w:r w:rsidRPr="00014C4D">
        <w:rPr>
          <w:rtl/>
        </w:rPr>
        <w:t xml:space="preserve"> לא הי</w:t>
      </w:r>
      <w:r w:rsidRPr="00014C4D">
        <w:rPr>
          <w:rFonts w:hint="cs"/>
          <w:rtl/>
        </w:rPr>
        <w:t>י</w:t>
      </w:r>
      <w:r w:rsidRPr="00014C4D">
        <w:rPr>
          <w:rtl/>
        </w:rPr>
        <w:t>תה בכפרים</w:t>
      </w:r>
      <w:r w:rsidRPr="00014C4D">
        <w:rPr>
          <w:rFonts w:hint="cs"/>
          <w:rtl/>
        </w:rPr>
        <w:t xml:space="preserve"> הלא-</w:t>
      </w:r>
      <w:r w:rsidRPr="00014C4D">
        <w:rPr>
          <w:rtl/>
        </w:rPr>
        <w:t xml:space="preserve">מוכרים ולו מרפאה אחת. לאחר עתירות לבג"ץ </w:t>
      </w:r>
      <w:r w:rsidRPr="00014C4D">
        <w:rPr>
          <w:rFonts w:hint="cs"/>
          <w:rtl/>
        </w:rPr>
        <w:t xml:space="preserve">הוקמו </w:t>
      </w:r>
      <w:r w:rsidRPr="00014C4D">
        <w:rPr>
          <w:rtl/>
        </w:rPr>
        <w:t xml:space="preserve">מרפאות רק </w:t>
      </w:r>
      <w:r w:rsidRPr="00014C4D">
        <w:rPr>
          <w:rFonts w:hint="cs"/>
          <w:rtl/>
        </w:rPr>
        <w:t>בחלקם</w:t>
      </w:r>
      <w:r w:rsidRPr="00014C4D">
        <w:rPr>
          <w:vertAlign w:val="superscript"/>
          <w:rtl/>
        </w:rPr>
        <w:footnoteReference w:id="31"/>
      </w:r>
      <w:r w:rsidRPr="00014C4D">
        <w:rPr>
          <w:rFonts w:hint="cs"/>
          <w:rtl/>
        </w:rPr>
        <w:t>.</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עמותת "קרן אלסיראג'"</w:t>
      </w:r>
      <w:r w:rsidRPr="00014C4D">
        <w:rPr>
          <w:vertAlign w:val="superscript"/>
          <w:rtl/>
        </w:rPr>
        <w:footnoteReference w:id="32"/>
      </w:r>
      <w:r w:rsidRPr="00014C4D">
        <w:rPr>
          <w:rFonts w:hint="cs"/>
          <w:rtl/>
        </w:rPr>
        <w:t>, שמוכרת בכינוי "ה</w:t>
      </w:r>
      <w:r w:rsidRPr="00014C4D">
        <w:rPr>
          <w:rtl/>
        </w:rPr>
        <w:t>מועצה האזורית לכפרים הלא מוכרים</w:t>
      </w:r>
      <w:r w:rsidRPr="00014C4D">
        <w:rPr>
          <w:rFonts w:hint="cs"/>
          <w:rtl/>
        </w:rPr>
        <w:t>",</w:t>
      </w:r>
      <w:r w:rsidRPr="00014C4D">
        <w:rPr>
          <w:rtl/>
        </w:rPr>
        <w:t xml:space="preserve"> </w:t>
      </w:r>
      <w:r w:rsidRPr="00014C4D">
        <w:rPr>
          <w:rFonts w:hint="cs"/>
          <w:rtl/>
        </w:rPr>
        <w:t xml:space="preserve">מסרה למשרד מבקר המדינה במאי 2024 כי להערכתה בפזורה הבדואית יש </w:t>
      </w:r>
      <w:r w:rsidRPr="00014C4D">
        <w:rPr>
          <w:rtl/>
        </w:rPr>
        <w:t>41 מתחמים לא</w:t>
      </w:r>
      <w:r w:rsidRPr="00014C4D">
        <w:rPr>
          <w:rFonts w:hint="cs"/>
          <w:rtl/>
        </w:rPr>
        <w:t>-</w:t>
      </w:r>
      <w:r w:rsidRPr="00014C4D">
        <w:rPr>
          <w:rtl/>
        </w:rPr>
        <w:t xml:space="preserve">מוכרים </w:t>
      </w:r>
      <w:r w:rsidRPr="00014C4D">
        <w:rPr>
          <w:rFonts w:hint="cs"/>
          <w:rtl/>
        </w:rPr>
        <w:t>ש</w:t>
      </w:r>
      <w:r w:rsidRPr="00014C4D">
        <w:rPr>
          <w:rtl/>
        </w:rPr>
        <w:t xml:space="preserve">בכל </w:t>
      </w:r>
      <w:r w:rsidRPr="00014C4D">
        <w:rPr>
          <w:rFonts w:hint="cs"/>
          <w:rtl/>
        </w:rPr>
        <w:t>אחד מהם מתגוררות</w:t>
      </w:r>
      <w:r w:rsidRPr="00014C4D">
        <w:rPr>
          <w:rtl/>
        </w:rPr>
        <w:t xml:space="preserve"> יותר מ-500</w:t>
      </w:r>
      <w:r w:rsidRPr="00014C4D">
        <w:rPr>
          <w:rFonts w:hint="cs"/>
          <w:rtl/>
        </w:rPr>
        <w:t xml:space="preserve"> נפשות. </w:t>
      </w:r>
      <w:r w:rsidRPr="00014C4D">
        <w:rPr>
          <w:rtl/>
        </w:rPr>
        <w:t>הרשות להתיישבות הבדואים</w:t>
      </w:r>
      <w:r w:rsidRPr="00014C4D">
        <w:rPr>
          <w:rFonts w:hint="cs"/>
          <w:rtl/>
        </w:rPr>
        <w:t xml:space="preserve"> מסרה למשרד מבקר המדינה ביוני 2024 כי </w:t>
      </w:r>
      <w:r w:rsidRPr="00014C4D">
        <w:rPr>
          <w:rtl/>
        </w:rPr>
        <w:t xml:space="preserve">מיפתה </w:t>
      </w:r>
      <w:r w:rsidRPr="00014C4D">
        <w:rPr>
          <w:rFonts w:hint="cs"/>
          <w:rtl/>
        </w:rPr>
        <w:t>יותר</w:t>
      </w:r>
      <w:r w:rsidRPr="00014C4D">
        <w:rPr>
          <w:rtl/>
        </w:rPr>
        <w:t xml:space="preserve"> מ-400 מקבצי מגורים שבכל אחד </w:t>
      </w:r>
      <w:r w:rsidRPr="00014C4D">
        <w:rPr>
          <w:rFonts w:hint="cs"/>
          <w:rtl/>
        </w:rPr>
        <w:t>מהם מתגוררות יותר</w:t>
      </w:r>
      <w:r w:rsidRPr="00014C4D">
        <w:rPr>
          <w:rtl/>
        </w:rPr>
        <w:t xml:space="preserve"> </w:t>
      </w:r>
      <w:r w:rsidRPr="00014C4D">
        <w:rPr>
          <w:rFonts w:hint="cs"/>
          <w:rtl/>
        </w:rPr>
        <w:t>מ-</w:t>
      </w:r>
      <w:r w:rsidRPr="00014C4D">
        <w:rPr>
          <w:rtl/>
        </w:rPr>
        <w:t xml:space="preserve">100 נפשות. </w:t>
      </w:r>
      <w:r w:rsidRPr="00014C4D">
        <w:rPr>
          <w:rFonts w:hint="cs"/>
          <w:rtl/>
        </w:rPr>
        <w:t xml:space="preserve">על פי נתוני הרשות, נכון ליולי 2024 </w:t>
      </w:r>
      <w:r w:rsidRPr="00014C4D">
        <w:rPr>
          <w:rtl/>
        </w:rPr>
        <w:t xml:space="preserve">יש </w:t>
      </w:r>
      <w:r w:rsidRPr="00014C4D">
        <w:rPr>
          <w:rFonts w:hint="cs"/>
          <w:rtl/>
        </w:rPr>
        <w:t xml:space="preserve">בנגב </w:t>
      </w:r>
      <w:r w:rsidRPr="00014C4D">
        <w:rPr>
          <w:rtl/>
        </w:rPr>
        <w:t xml:space="preserve">2,000 מקבצי מגורים </w:t>
      </w:r>
      <w:r w:rsidRPr="00014C4D">
        <w:rPr>
          <w:rFonts w:hint="cs"/>
          <w:rtl/>
        </w:rPr>
        <w:t>ש</w:t>
      </w:r>
      <w:r w:rsidRPr="00014C4D">
        <w:rPr>
          <w:rtl/>
        </w:rPr>
        <w:t xml:space="preserve">בהם מתגוררת אוכלוסייה באופן בלתי מוסדר. בכ-700 מהם החלו </w:t>
      </w:r>
      <w:r w:rsidRPr="00014C4D">
        <w:rPr>
          <w:rFonts w:hint="cs"/>
          <w:rtl/>
        </w:rPr>
        <w:t xml:space="preserve">בשנים האחרונות </w:t>
      </w:r>
      <w:r w:rsidRPr="00014C4D">
        <w:rPr>
          <w:rtl/>
        </w:rPr>
        <w:t xml:space="preserve">פעולות אכיפה </w:t>
      </w:r>
      <w:r w:rsidRPr="00014C4D">
        <w:rPr>
          <w:rFonts w:hint="cs"/>
          <w:rtl/>
        </w:rPr>
        <w:t>של הרשות לאכיפה במקרקעין</w:t>
      </w:r>
      <w:r w:rsidRPr="00014C4D">
        <w:rPr>
          <w:vertAlign w:val="superscript"/>
          <w:rtl/>
        </w:rPr>
        <w:footnoteReference w:id="33"/>
      </w:r>
      <w:r w:rsidRPr="00014C4D">
        <w:rPr>
          <w:rtl/>
        </w:rPr>
        <w:t>.</w:t>
      </w:r>
      <w:r w:rsidRPr="00014C4D">
        <w:rPr>
          <w:b/>
          <w:bCs/>
          <w:rtl/>
        </w:rPr>
        <w:t xml:space="preserve"> </w:t>
      </w:r>
      <w:r w:rsidRPr="00014C4D">
        <w:rPr>
          <w:rFonts w:hint="cs"/>
          <w:rtl/>
        </w:rPr>
        <w:t xml:space="preserve">הרשות להתיישבות הבדואים ציינה כי </w:t>
      </w:r>
      <w:r w:rsidRPr="00014C4D">
        <w:rPr>
          <w:rtl/>
        </w:rPr>
        <w:t xml:space="preserve">מדובר באומדן בלבד שאיננו מדויק, אשר מבוסס על מספר המבנים </w:t>
      </w:r>
      <w:r w:rsidRPr="00014C4D">
        <w:rPr>
          <w:rFonts w:hint="cs"/>
          <w:rtl/>
        </w:rPr>
        <w:t>בכל מקבץ מגורים</w:t>
      </w:r>
      <w:r w:rsidRPr="00014C4D">
        <w:rPr>
          <w:rtl/>
        </w:rPr>
        <w:t xml:space="preserve">. לצורך </w:t>
      </w:r>
      <w:r w:rsidRPr="00014C4D">
        <w:rPr>
          <w:rFonts w:hint="eastAsia"/>
          <w:rtl/>
        </w:rPr>
        <w:t>קבלת</w:t>
      </w:r>
      <w:r w:rsidRPr="00014C4D">
        <w:rPr>
          <w:rtl/>
        </w:rPr>
        <w:t xml:space="preserve"> </w:t>
      </w:r>
      <w:r w:rsidRPr="00014C4D">
        <w:rPr>
          <w:rFonts w:hint="eastAsia"/>
          <w:rtl/>
        </w:rPr>
        <w:t>נתונים</w:t>
      </w:r>
      <w:r w:rsidRPr="00014C4D">
        <w:rPr>
          <w:rtl/>
        </w:rPr>
        <w:t xml:space="preserve"> </w:t>
      </w:r>
      <w:r w:rsidRPr="00014C4D">
        <w:rPr>
          <w:rFonts w:hint="eastAsia"/>
          <w:rtl/>
        </w:rPr>
        <w:t>מדויקים</w:t>
      </w:r>
      <w:r w:rsidRPr="00014C4D">
        <w:rPr>
          <w:rtl/>
        </w:rPr>
        <w:t xml:space="preserve"> יש לבצע סקר חברתי מפורט לכל</w:t>
      </w:r>
      <w:r w:rsidRPr="00014C4D">
        <w:rPr>
          <w:b/>
          <w:bCs/>
          <w:rtl/>
        </w:rPr>
        <w:t xml:space="preserve"> </w:t>
      </w:r>
      <w:r w:rsidRPr="00014C4D">
        <w:rPr>
          <w:rFonts w:hint="cs"/>
          <w:rtl/>
        </w:rPr>
        <w:t>מקבץ ומקבץ</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עד פרוץ מלחמת חרבות ברזל לא היה מיגון כלל בכפרים הלא</w:t>
      </w:r>
      <w:r w:rsidRPr="00014C4D">
        <w:rPr>
          <w:rFonts w:hint="cs"/>
          <w:rtl/>
        </w:rPr>
        <w:t>-</w:t>
      </w:r>
      <w:r w:rsidRPr="00014C4D">
        <w:rPr>
          <w:rtl/>
        </w:rPr>
        <w:t>מוכרים.</w:t>
      </w:r>
      <w:r w:rsidRPr="00014C4D">
        <w:rPr>
          <w:rFonts w:hint="cs"/>
          <w:rtl/>
        </w:rPr>
        <w:t xml:space="preserve"> לטענת עמותת "קרן אלסיראג'", אוכלוסי</w:t>
      </w:r>
      <w:r w:rsidRPr="00014C4D">
        <w:rPr>
          <w:rFonts w:hint="eastAsia"/>
          <w:rtl/>
        </w:rPr>
        <w:t>י</w:t>
      </w:r>
      <w:r w:rsidRPr="00014C4D">
        <w:rPr>
          <w:rFonts w:hint="cs"/>
          <w:rtl/>
        </w:rPr>
        <w:t xml:space="preserve">ת הפזורה היא האוכלוסייה הפגיעה ביותר בזמן מלחמה מהטעמים הבאים: </w:t>
      </w:r>
      <w:r w:rsidRPr="00014C4D">
        <w:rPr>
          <w:rtl/>
        </w:rPr>
        <w:t>היישובים הלא</w:t>
      </w:r>
      <w:r w:rsidRPr="00014C4D">
        <w:rPr>
          <w:rFonts w:hint="cs"/>
          <w:rtl/>
        </w:rPr>
        <w:t>-</w:t>
      </w:r>
      <w:r w:rsidRPr="00014C4D">
        <w:rPr>
          <w:rtl/>
        </w:rPr>
        <w:t>מוכרים מוגדרים שטח פתוח</w:t>
      </w:r>
      <w:r w:rsidRPr="00014C4D">
        <w:rPr>
          <w:rFonts w:hint="cs"/>
          <w:rtl/>
        </w:rPr>
        <w:t>,</w:t>
      </w:r>
      <w:r w:rsidRPr="00014C4D">
        <w:rPr>
          <w:rtl/>
        </w:rPr>
        <w:t xml:space="preserve"> ולכן מ</w:t>
      </w:r>
      <w:r w:rsidRPr="00014C4D">
        <w:rPr>
          <w:rFonts w:hint="cs"/>
          <w:rtl/>
        </w:rPr>
        <w:t>ערכת היירוט</w:t>
      </w:r>
      <w:r w:rsidRPr="00014C4D">
        <w:rPr>
          <w:rtl/>
        </w:rPr>
        <w:t xml:space="preserve"> </w:t>
      </w:r>
      <w:r w:rsidRPr="00014C4D">
        <w:rPr>
          <w:rFonts w:hint="cs"/>
          <w:rtl/>
        </w:rPr>
        <w:t>של צה"ל</w:t>
      </w:r>
      <w:r w:rsidRPr="00014C4D">
        <w:rPr>
          <w:rtl/>
        </w:rPr>
        <w:t xml:space="preserve"> </w:t>
      </w:r>
      <w:r w:rsidRPr="00014C4D">
        <w:rPr>
          <w:rFonts w:hint="cs"/>
          <w:rtl/>
        </w:rPr>
        <w:t>"כיפת ברזל" אינה</w:t>
      </w:r>
      <w:r w:rsidRPr="00014C4D">
        <w:rPr>
          <w:rtl/>
        </w:rPr>
        <w:t xml:space="preserve"> מיירטת את הטילים והרקטות </w:t>
      </w:r>
      <w:r w:rsidRPr="00014C4D">
        <w:rPr>
          <w:rFonts w:hint="cs"/>
          <w:rtl/>
        </w:rPr>
        <w:t xml:space="preserve">שמשוגרים </w:t>
      </w:r>
      <w:r w:rsidRPr="00014C4D">
        <w:rPr>
          <w:rtl/>
        </w:rPr>
        <w:t>לכיוונם</w:t>
      </w:r>
      <w:r w:rsidRPr="00014C4D">
        <w:rPr>
          <w:rFonts w:hint="cs"/>
          <w:rtl/>
        </w:rPr>
        <w:t>; ה</w:t>
      </w:r>
      <w:r w:rsidRPr="00014C4D">
        <w:rPr>
          <w:rtl/>
        </w:rPr>
        <w:t>בתים עשויים מיריעות מתכת (פחונים)</w:t>
      </w:r>
      <w:r w:rsidRPr="00014C4D">
        <w:rPr>
          <w:rFonts w:hint="cs"/>
          <w:rtl/>
        </w:rPr>
        <w:t>,</w:t>
      </w:r>
      <w:r w:rsidRPr="00014C4D">
        <w:rPr>
          <w:rtl/>
        </w:rPr>
        <w:t xml:space="preserve"> </w:t>
      </w:r>
      <w:r w:rsidRPr="00014C4D">
        <w:rPr>
          <w:rFonts w:hint="cs"/>
          <w:rtl/>
        </w:rPr>
        <w:t>והשהייה בהם בעת</w:t>
      </w:r>
      <w:r w:rsidRPr="00014C4D">
        <w:rPr>
          <w:rtl/>
        </w:rPr>
        <w:t xml:space="preserve"> פגיעה </w:t>
      </w:r>
      <w:r w:rsidRPr="00014C4D">
        <w:rPr>
          <w:rFonts w:hint="cs"/>
          <w:rtl/>
        </w:rPr>
        <w:t xml:space="preserve">מסוכנת מאוד, </w:t>
      </w:r>
      <w:r w:rsidRPr="00014C4D">
        <w:rPr>
          <w:rtl/>
        </w:rPr>
        <w:t>ולכן התושבים מעדיפים להיות בחוץ בזמן נפילת הטילים.</w:t>
      </w:r>
      <w:r w:rsidRPr="00014C4D">
        <w:rPr>
          <w:rFonts w:hint="cs"/>
          <w:rtl/>
        </w:rPr>
        <w:t xml:space="preserve"> על פי נתוני העמותה, מפרוץ מלחמת חרבות ברזל עד </w:t>
      </w:r>
      <w:r w:rsidRPr="00014C4D">
        <w:rPr>
          <w:rtl/>
        </w:rPr>
        <w:t xml:space="preserve">מאי 2024 </w:t>
      </w:r>
      <w:r w:rsidRPr="00014C4D">
        <w:rPr>
          <w:rFonts w:hint="cs"/>
          <w:rtl/>
        </w:rPr>
        <w:t xml:space="preserve">נהרגו מפגיעות טילים </w:t>
      </w:r>
      <w:r w:rsidRPr="00014C4D">
        <w:rPr>
          <w:rtl/>
        </w:rPr>
        <w:t>שבעה תושבי כפרים לא</w:t>
      </w:r>
      <w:r w:rsidRPr="00014C4D">
        <w:rPr>
          <w:rFonts w:hint="cs"/>
          <w:rtl/>
        </w:rPr>
        <w:t>-</w:t>
      </w:r>
      <w:r w:rsidRPr="00014C4D">
        <w:rPr>
          <w:rtl/>
        </w:rPr>
        <w:t>מוכרים</w:t>
      </w:r>
      <w:r w:rsidRPr="00014C4D">
        <w:rPr>
          <w:rFonts w:hint="cs"/>
          <w:rtl/>
        </w:rPr>
        <w:t xml:space="preserve">. יצוין כי בדרך כלל אגף החירום של הרשות המקומית מרכז את הנתונים על מספר הנפגעים מטילים אולם לגבי הפזורה אין גוף רשמי שמייצג אותם וירכז את הנתונים.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yellow"/>
          <w:rtl/>
        </w:rPr>
      </w:pPr>
      <w:r w:rsidRPr="00014C4D">
        <w:rPr>
          <w:rtl/>
        </w:rPr>
        <w:t>בהיעדר תוכנית מתאר</w:t>
      </w:r>
      <w:r w:rsidRPr="00014C4D">
        <w:rPr>
          <w:rFonts w:hint="cs"/>
          <w:rtl/>
        </w:rPr>
        <w:t xml:space="preserve"> ביישובי הפזורה</w:t>
      </w:r>
      <w:r w:rsidRPr="00014C4D">
        <w:rPr>
          <w:rtl/>
        </w:rPr>
        <w:t xml:space="preserve"> אסורה בהם כל</w:t>
      </w:r>
      <w:r w:rsidRPr="00014C4D">
        <w:rPr>
          <w:rFonts w:hint="cs"/>
          <w:rtl/>
        </w:rPr>
        <w:t xml:space="preserve"> </w:t>
      </w:r>
      <w:r w:rsidRPr="00014C4D">
        <w:rPr>
          <w:rtl/>
        </w:rPr>
        <w:t>בנייה, לא ניתן לקבל</w:t>
      </w:r>
      <w:r w:rsidRPr="00014C4D">
        <w:rPr>
          <w:rFonts w:hint="cs"/>
          <w:rtl/>
        </w:rPr>
        <w:t xml:space="preserve"> בהם</w:t>
      </w:r>
      <w:r w:rsidRPr="00014C4D">
        <w:rPr>
          <w:rtl/>
        </w:rPr>
        <w:t xml:space="preserve"> היתרי בנייה, וכל בנייה היא בלתי חוקית</w:t>
      </w:r>
      <w:r w:rsidRPr="00014C4D">
        <w:rPr>
          <w:rFonts w:hint="cs"/>
          <w:rtl/>
        </w:rPr>
        <w:t>, לרבות בניית מרחבים מוגנים</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rPr>
          <w:rtl/>
        </w:rPr>
      </w:pPr>
      <w:r w:rsidRPr="00014C4D">
        <w:rPr>
          <w:rFonts w:hint="cs"/>
          <w:rtl/>
        </w:rPr>
        <w:t>הרשות להתיישבות הבדואים מסרה למשרד מבקר המדינה ביוני 2024 כי הפתרון לבעיית המיגון של אוכלוסיית הפזורה הוא הסדרת ההתיישבות שלה. ב</w:t>
      </w:r>
      <w:r w:rsidRPr="00014C4D">
        <w:rPr>
          <w:rtl/>
        </w:rPr>
        <w:t xml:space="preserve">החלטת </w:t>
      </w:r>
      <w:r w:rsidRPr="00014C4D">
        <w:rPr>
          <w:rFonts w:hint="cs"/>
          <w:rtl/>
        </w:rPr>
        <w:t>ה</w:t>
      </w:r>
      <w:r w:rsidRPr="00014C4D">
        <w:rPr>
          <w:rtl/>
        </w:rPr>
        <w:t xml:space="preserve">ממשלה 1362 </w:t>
      </w:r>
      <w:r w:rsidRPr="00014C4D">
        <w:rPr>
          <w:rFonts w:hint="cs"/>
          <w:rtl/>
        </w:rPr>
        <w:t>מאפריל</w:t>
      </w:r>
      <w:r w:rsidRPr="00014C4D">
        <w:rPr>
          <w:rtl/>
        </w:rPr>
        <w:t xml:space="preserve"> 202</w:t>
      </w:r>
      <w:r w:rsidRPr="00014C4D">
        <w:rPr>
          <w:rFonts w:hint="cs"/>
          <w:rtl/>
        </w:rPr>
        <w:t>2</w:t>
      </w:r>
      <w:r w:rsidRPr="00014C4D">
        <w:rPr>
          <w:rtl/>
        </w:rPr>
        <w:t xml:space="preserve">, </w:t>
      </w:r>
      <w:r w:rsidRPr="00014C4D">
        <w:rPr>
          <w:rFonts w:hint="cs"/>
          <w:rtl/>
        </w:rPr>
        <w:t>העוסקת ב</w:t>
      </w:r>
      <w:r w:rsidRPr="00014C4D">
        <w:rPr>
          <w:rtl/>
        </w:rPr>
        <w:t xml:space="preserve">הקמת שלושה יישובים </w:t>
      </w:r>
      <w:r w:rsidRPr="00014C4D">
        <w:rPr>
          <w:rFonts w:hint="cs"/>
          <w:rtl/>
        </w:rPr>
        <w:t xml:space="preserve">חדשים </w:t>
      </w:r>
      <w:r w:rsidRPr="00014C4D">
        <w:rPr>
          <w:rtl/>
        </w:rPr>
        <w:t>מוסדרים</w:t>
      </w:r>
      <w:r w:rsidRPr="00014C4D">
        <w:rPr>
          <w:rFonts w:hint="cs"/>
          <w:rtl/>
        </w:rPr>
        <w:t>,</w:t>
      </w:r>
      <w:r w:rsidRPr="00014C4D">
        <w:rPr>
          <w:rtl/>
        </w:rPr>
        <w:t xml:space="preserve"> נקבע </w:t>
      </w:r>
      <w:r w:rsidRPr="00014C4D">
        <w:rPr>
          <w:rFonts w:hint="cs"/>
          <w:rtl/>
        </w:rPr>
        <w:t>ש</w:t>
      </w:r>
      <w:r w:rsidRPr="00014C4D">
        <w:rPr>
          <w:rtl/>
        </w:rPr>
        <w:t xml:space="preserve">אחד מהתנאים להקמת </w:t>
      </w:r>
      <w:r w:rsidRPr="00014C4D">
        <w:rPr>
          <w:rFonts w:hint="cs"/>
          <w:rtl/>
        </w:rPr>
        <w:t xml:space="preserve">כל </w:t>
      </w:r>
      <w:r w:rsidRPr="00014C4D">
        <w:rPr>
          <w:rtl/>
        </w:rPr>
        <w:t>יישוב</w:t>
      </w:r>
      <w:r w:rsidRPr="00014C4D">
        <w:rPr>
          <w:rFonts w:hint="cs"/>
          <w:rtl/>
        </w:rPr>
        <w:t xml:space="preserve"> </w:t>
      </w:r>
      <w:r w:rsidRPr="00014C4D">
        <w:rPr>
          <w:rtl/>
        </w:rPr>
        <w:t xml:space="preserve">הוא קבלת </w:t>
      </w:r>
      <w:r w:rsidRPr="00014C4D">
        <w:rPr>
          <w:rFonts w:hint="cs"/>
          <w:rtl/>
        </w:rPr>
        <w:t>ה</w:t>
      </w:r>
      <w:r w:rsidRPr="00014C4D">
        <w:rPr>
          <w:rtl/>
        </w:rPr>
        <w:t>הסכמ</w:t>
      </w:r>
      <w:r w:rsidRPr="00014C4D">
        <w:rPr>
          <w:rFonts w:hint="cs"/>
          <w:rtl/>
        </w:rPr>
        <w:t>ה</w:t>
      </w:r>
      <w:r w:rsidRPr="00014C4D">
        <w:rPr>
          <w:rtl/>
        </w:rPr>
        <w:t xml:space="preserve"> של לפחות 70% מאוכלוסיית היעד למעבר ליישוב</w:t>
      </w:r>
      <w:r w:rsidRPr="00014C4D">
        <w:rPr>
          <w:vertAlign w:val="superscript"/>
          <w:rtl/>
        </w:rPr>
        <w:footnoteReference w:id="34"/>
      </w:r>
      <w:r w:rsidRPr="00014C4D">
        <w:rPr>
          <w:rtl/>
        </w:rPr>
        <w:t xml:space="preserve">. </w:t>
      </w:r>
      <w:r w:rsidRPr="00014C4D">
        <w:rPr>
          <w:rFonts w:hint="cs"/>
          <w:rtl/>
        </w:rPr>
        <w:t>ה</w:t>
      </w:r>
      <w:r w:rsidRPr="00014C4D">
        <w:rPr>
          <w:rtl/>
        </w:rPr>
        <w:t>רשות להתיישבות הבדואים קידמה ת</w:t>
      </w:r>
      <w:r w:rsidRPr="00014C4D">
        <w:rPr>
          <w:rFonts w:hint="cs"/>
          <w:rtl/>
        </w:rPr>
        <w:t>ו</w:t>
      </w:r>
      <w:r w:rsidRPr="00014C4D">
        <w:rPr>
          <w:rtl/>
        </w:rPr>
        <w:t>כניות ל</w:t>
      </w:r>
      <w:r w:rsidRPr="00014C4D">
        <w:rPr>
          <w:rFonts w:hint="cs"/>
          <w:rtl/>
        </w:rPr>
        <w:t xml:space="preserve">בניית </w:t>
      </w:r>
      <w:r w:rsidRPr="00014C4D">
        <w:rPr>
          <w:rtl/>
        </w:rPr>
        <w:t>כ-160,000 יחידות דיור ביישובים הבדואיים</w:t>
      </w:r>
      <w:r w:rsidRPr="00014C4D">
        <w:rPr>
          <w:rFonts w:hint="cs"/>
          <w:rtl/>
        </w:rPr>
        <w:t xml:space="preserve"> הקיימים המוסדרים</w:t>
      </w:r>
      <w:r w:rsidRPr="00014C4D">
        <w:rPr>
          <w:rtl/>
        </w:rPr>
        <w:t xml:space="preserve">, </w:t>
      </w:r>
      <w:r w:rsidRPr="00014C4D">
        <w:rPr>
          <w:rFonts w:hint="cs"/>
          <w:rtl/>
        </w:rPr>
        <w:t>לצורך</w:t>
      </w:r>
      <w:r w:rsidRPr="00014C4D">
        <w:rPr>
          <w:rtl/>
        </w:rPr>
        <w:t xml:space="preserve"> קליטת </w:t>
      </w:r>
      <w:r w:rsidRPr="00014C4D">
        <w:rPr>
          <w:rFonts w:hint="cs"/>
          <w:rtl/>
        </w:rPr>
        <w:t>תושבים מה</w:t>
      </w:r>
      <w:r w:rsidRPr="00014C4D">
        <w:rPr>
          <w:rtl/>
        </w:rPr>
        <w:t xml:space="preserve">פזורה. כלל </w:t>
      </w:r>
      <w:r w:rsidRPr="00014C4D">
        <w:rPr>
          <w:rtl/>
        </w:rPr>
        <w:lastRenderedPageBreak/>
        <w:t>הת</w:t>
      </w:r>
      <w:r w:rsidRPr="00014C4D">
        <w:rPr>
          <w:rFonts w:hint="cs"/>
          <w:rtl/>
        </w:rPr>
        <w:t>ו</w:t>
      </w:r>
      <w:r w:rsidRPr="00014C4D">
        <w:rPr>
          <w:rtl/>
        </w:rPr>
        <w:t xml:space="preserve">כניות הללו </w:t>
      </w:r>
      <w:r w:rsidRPr="00014C4D">
        <w:rPr>
          <w:rFonts w:hint="cs"/>
          <w:rtl/>
        </w:rPr>
        <w:t xml:space="preserve">מאפשרות </w:t>
      </w:r>
      <w:r w:rsidRPr="00014C4D">
        <w:rPr>
          <w:rtl/>
        </w:rPr>
        <w:t>לבנות בהיתר מבנה הכולל ממ"ד בדומה לכל מקום אחר במדינה. כחלק מההסדרה</w:t>
      </w:r>
      <w:r w:rsidRPr="00014C4D">
        <w:rPr>
          <w:rFonts w:hint="cs"/>
          <w:rtl/>
        </w:rPr>
        <w:t>,</w:t>
      </w:r>
      <w:r w:rsidRPr="00014C4D">
        <w:rPr>
          <w:rtl/>
        </w:rPr>
        <w:t xml:space="preserve"> </w:t>
      </w:r>
      <w:r w:rsidRPr="00014C4D">
        <w:rPr>
          <w:rFonts w:hint="cs"/>
          <w:rtl/>
        </w:rPr>
        <w:t xml:space="preserve">התושבים </w:t>
      </w:r>
      <w:r w:rsidRPr="00014C4D">
        <w:rPr>
          <w:rtl/>
        </w:rPr>
        <w:t>זכא</w:t>
      </w:r>
      <w:r w:rsidRPr="00014C4D">
        <w:rPr>
          <w:rFonts w:hint="cs"/>
          <w:rtl/>
        </w:rPr>
        <w:t>ים</w:t>
      </w:r>
      <w:r w:rsidRPr="00014C4D">
        <w:rPr>
          <w:rtl/>
        </w:rPr>
        <w:t xml:space="preserve"> לקבל מגרשים בחינם (בהתאם לכללי הזכאות הנהוגים). בפועל, לטענת הרשות להתיישבות הבדואים, מרבית</w:t>
      </w:r>
      <w:r w:rsidRPr="00014C4D">
        <w:rPr>
          <w:rFonts w:hint="cs"/>
          <w:rtl/>
        </w:rPr>
        <w:t xml:space="preserve"> התושבים</w:t>
      </w:r>
      <w:r w:rsidRPr="00014C4D">
        <w:rPr>
          <w:rtl/>
        </w:rPr>
        <w:t xml:space="preserve"> </w:t>
      </w:r>
      <w:r w:rsidRPr="00014C4D">
        <w:rPr>
          <w:rFonts w:hint="cs"/>
          <w:rtl/>
        </w:rPr>
        <w:t>אינם</w:t>
      </w:r>
      <w:r w:rsidRPr="00014C4D">
        <w:rPr>
          <w:rtl/>
        </w:rPr>
        <w:t xml:space="preserve"> מעוניינים לעבור ליישובים מוסדרים, בין היתר כי לדעת חלק</w:t>
      </w:r>
      <w:r w:rsidRPr="00014C4D">
        <w:rPr>
          <w:rFonts w:hint="cs"/>
          <w:rtl/>
        </w:rPr>
        <w:t>ם</w:t>
      </w:r>
      <w:r w:rsidRPr="00014C4D">
        <w:rPr>
          <w:rtl/>
        </w:rPr>
        <w:t xml:space="preserve">, המצב בתוך יישוב גרוע </w:t>
      </w:r>
      <w:r w:rsidRPr="00014C4D">
        <w:rPr>
          <w:rFonts w:hint="cs"/>
          <w:rtl/>
        </w:rPr>
        <w:t xml:space="preserve">יותר </w:t>
      </w:r>
      <w:r w:rsidRPr="00014C4D">
        <w:rPr>
          <w:rtl/>
        </w:rPr>
        <w:t>מבחינת האלימות והפשיעה</w:t>
      </w:r>
      <w:r w:rsidRPr="00014C4D">
        <w:rPr>
          <w:vertAlign w:val="superscript"/>
          <w:rtl/>
        </w:rPr>
        <w:footnoteReference w:id="35"/>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בינואר 2025 נתן בג"ץ פסק דין בעתירה ש</w:t>
      </w:r>
      <w:r w:rsidRPr="00014C4D">
        <w:rPr>
          <w:rtl/>
        </w:rPr>
        <w:t>עניינה מיגון תושבי הכפרים הבדואי</w:t>
      </w:r>
      <w:r w:rsidRPr="00014C4D">
        <w:rPr>
          <w:rFonts w:hint="cs"/>
          <w:rtl/>
        </w:rPr>
        <w:t>י</w:t>
      </w:r>
      <w:r w:rsidRPr="00014C4D">
        <w:rPr>
          <w:rtl/>
        </w:rPr>
        <w:t>ם הלא</w:t>
      </w:r>
      <w:r w:rsidRPr="00014C4D">
        <w:rPr>
          <w:rFonts w:hint="cs"/>
          <w:rtl/>
        </w:rPr>
        <w:t>-</w:t>
      </w:r>
      <w:r w:rsidRPr="00014C4D">
        <w:rPr>
          <w:rtl/>
        </w:rPr>
        <w:t>מוכרים בנגב ובכללם הכפרים הנמצאים בהליכי הסדרה (הפזורה הבדואית), מפני ירי רקטות, טילים וכטב״מים (כלי טיס בלתי מאוישים)</w:t>
      </w:r>
      <w:r w:rsidRPr="00014C4D">
        <w:rPr>
          <w:vertAlign w:val="superscript"/>
          <w:rtl/>
        </w:rPr>
        <w:footnoteReference w:id="36"/>
      </w:r>
      <w:r w:rsidRPr="00014C4D">
        <w:rPr>
          <w:rFonts w:hint="cs"/>
          <w:rtl/>
        </w:rPr>
        <w:t xml:space="preserve"> (להלן - פסק הדין)</w:t>
      </w:r>
      <w:r w:rsidRPr="00014C4D">
        <w:rPr>
          <w:rtl/>
        </w:rPr>
        <w:t>.</w:t>
      </w:r>
      <w:r w:rsidRPr="00014C4D">
        <w:rPr>
          <w:rFonts w:hint="cs"/>
          <w:rtl/>
        </w:rPr>
        <w:t xml:space="preserve"> </w:t>
      </w:r>
      <w:r w:rsidRPr="00014C4D">
        <w:rPr>
          <w:rtl/>
        </w:rPr>
        <w:t xml:space="preserve">בעתירה </w:t>
      </w:r>
      <w:r w:rsidRPr="00014C4D">
        <w:rPr>
          <w:rFonts w:hint="cs"/>
          <w:rtl/>
        </w:rPr>
        <w:t>התבקש בית המשפט להורות</w:t>
      </w:r>
      <w:r w:rsidRPr="00014C4D">
        <w:rPr>
          <w:rtl/>
        </w:rPr>
        <w:t xml:space="preserve"> ל</w:t>
      </w:r>
      <w:r w:rsidRPr="00014C4D">
        <w:rPr>
          <w:rFonts w:hint="cs"/>
          <w:rtl/>
        </w:rPr>
        <w:t>מפקד פקע"ר, שר הביטחון, השר לתפוצות, הרשות להתיישבות הבדואים, שר הפנים ושר החינוך (להלן - ה</w:t>
      </w:r>
      <w:r w:rsidRPr="00014C4D">
        <w:rPr>
          <w:rtl/>
        </w:rPr>
        <w:t>משיבים</w:t>
      </w:r>
      <w:r w:rsidRPr="00014C4D">
        <w:rPr>
          <w:rFonts w:hint="cs"/>
          <w:rtl/>
        </w:rPr>
        <w:t>)</w:t>
      </w:r>
      <w:r w:rsidRPr="00014C4D">
        <w:rPr>
          <w:rtl/>
        </w:rPr>
        <w:t xml:space="preserve"> להתקין הוראת שעה שתאפשר הצבת אמצעי מיגון לרבות </w:t>
      </w:r>
      <w:r w:rsidRPr="00014C4D">
        <w:rPr>
          <w:rFonts w:hint="cs"/>
          <w:rtl/>
        </w:rPr>
        <w:t>מיגוניות</w:t>
      </w:r>
      <w:r w:rsidRPr="00014C4D">
        <w:rPr>
          <w:rtl/>
        </w:rPr>
        <w:t xml:space="preserve"> בשטחי הפזורה</w:t>
      </w:r>
      <w:r w:rsidRPr="00014C4D">
        <w:rPr>
          <w:rFonts w:hint="cs"/>
          <w:rtl/>
        </w:rPr>
        <w:t>;</w:t>
      </w:r>
      <w:r w:rsidRPr="00014C4D">
        <w:rPr>
          <w:rtl/>
        </w:rPr>
        <w:t xml:space="preserve"> להציב </w:t>
      </w:r>
      <w:r w:rsidRPr="00014C4D">
        <w:rPr>
          <w:rFonts w:hint="cs"/>
          <w:rtl/>
        </w:rPr>
        <w:t>אמצעי</w:t>
      </w:r>
      <w:r w:rsidRPr="00014C4D">
        <w:rPr>
          <w:rtl/>
        </w:rPr>
        <w:t xml:space="preserve"> מיגון ברחבי הפזורה; למגן את מרכזי השירות, מבני הציבור, מוסדות החינוך והמרפאות בפזורה; לפרסם הנחיות ברורות בשפה הערבית על אודות השימוש ב</w:t>
      </w:r>
      <w:r w:rsidRPr="00014C4D">
        <w:rPr>
          <w:rFonts w:hint="cs"/>
          <w:rtl/>
        </w:rPr>
        <w:t>אמצעי ה</w:t>
      </w:r>
      <w:r w:rsidRPr="00014C4D">
        <w:rPr>
          <w:rtl/>
        </w:rPr>
        <w:t>מיגון ומקומ</w:t>
      </w:r>
      <w:r w:rsidRPr="00014C4D">
        <w:rPr>
          <w:rFonts w:hint="cs"/>
          <w:rtl/>
        </w:rPr>
        <w:t>ם</w:t>
      </w:r>
      <w:r w:rsidRPr="00014C4D">
        <w:rPr>
          <w:rtl/>
        </w:rPr>
        <w:t xml:space="preserve"> ולערוך הדרכות בנושא לתושבי הפזורה; להציב בפזורה מערכות הגנה אוויריות, לרבות ״כיפת ברזל״; להתקין מערכות אזעקה בכפרי הפזורה או בסמוך להם; לקבוע מי הגוף האחראי על מיגון כפרי הפזורה</w:t>
      </w:r>
      <w:r w:rsidRPr="00014C4D">
        <w:rPr>
          <w:rFonts w:hint="cs"/>
          <w:rtl/>
        </w:rPr>
        <w:t>, להקצות</w:t>
      </w:r>
      <w:r w:rsidRPr="00014C4D">
        <w:rPr>
          <w:rtl/>
        </w:rPr>
        <w:t xml:space="preserve"> לו תקציבים ראויים וככל הנדרש </w:t>
      </w:r>
      <w:r w:rsidRPr="00014C4D">
        <w:rPr>
          <w:rFonts w:hint="cs"/>
          <w:rtl/>
        </w:rPr>
        <w:t>להאציל לו את ה</w:t>
      </w:r>
      <w:r w:rsidRPr="00014C4D">
        <w:rPr>
          <w:rtl/>
        </w:rPr>
        <w:t>סמכויות</w:t>
      </w:r>
      <w:r w:rsidRPr="00014C4D">
        <w:rPr>
          <w:rFonts w:hint="cs"/>
          <w:rtl/>
        </w:rPr>
        <w:t xml:space="preserve"> הדרושות</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מתגובת המשיבים </w:t>
      </w:r>
      <w:r w:rsidRPr="00014C4D">
        <w:rPr>
          <w:rFonts w:hint="cs"/>
          <w:rtl/>
        </w:rPr>
        <w:t>ומהדיון שנערך לפני בית המשפט עולה כי</w:t>
      </w:r>
      <w:r w:rsidRPr="00014C4D">
        <w:rPr>
          <w:rtl/>
        </w:rPr>
        <w:t xml:space="preserve"> מאז פרוץ מלחמת חרבות ברזל הוצבו ברחבי הפזורה, בשיתו</w:t>
      </w:r>
      <w:r w:rsidRPr="00014C4D">
        <w:rPr>
          <w:rFonts w:hint="cs"/>
          <w:rtl/>
        </w:rPr>
        <w:t>ף</w:t>
      </w:r>
      <w:r w:rsidRPr="00014C4D">
        <w:rPr>
          <w:rtl/>
        </w:rPr>
        <w:t xml:space="preserve"> פעולה עם משרדי ממשלה שונים, 98 מיגוניות</w:t>
      </w:r>
      <w:r w:rsidRPr="00014C4D">
        <w:rPr>
          <w:vertAlign w:val="superscript"/>
          <w:rtl/>
        </w:rPr>
        <w:footnoteReference w:id="37"/>
      </w:r>
      <w:r w:rsidRPr="00014C4D">
        <w:rPr>
          <w:rtl/>
        </w:rPr>
        <w:t xml:space="preserve"> </w:t>
      </w:r>
      <w:r w:rsidRPr="00014C4D">
        <w:rPr>
          <w:rFonts w:hint="cs"/>
          <w:rtl/>
        </w:rPr>
        <w:t>(</w:t>
      </w:r>
      <w:r w:rsidRPr="00014C4D">
        <w:rPr>
          <w:rtl/>
        </w:rPr>
        <w:t>חלק</w:t>
      </w:r>
      <w:r w:rsidRPr="00014C4D">
        <w:rPr>
          <w:rFonts w:hint="cs"/>
          <w:rtl/>
        </w:rPr>
        <w:t>ן</w:t>
      </w:r>
      <w:r w:rsidRPr="00014C4D">
        <w:rPr>
          <w:rtl/>
        </w:rPr>
        <w:t xml:space="preserve"> הוצבו בתחנות הסעה שמהן מתבצע איסוף ילדים למוסדות חינוך</w:t>
      </w:r>
      <w:r w:rsidRPr="00014C4D">
        <w:rPr>
          <w:rFonts w:hint="cs"/>
          <w:rtl/>
        </w:rPr>
        <w:t>,</w:t>
      </w:r>
      <w:r w:rsidRPr="00014C4D">
        <w:rPr>
          <w:rtl/>
        </w:rPr>
        <w:t xml:space="preserve"> </w:t>
      </w:r>
      <w:r w:rsidRPr="00014C4D">
        <w:rPr>
          <w:rFonts w:hint="cs"/>
          <w:rtl/>
        </w:rPr>
        <w:t xml:space="preserve">ובתחנות אלה </w:t>
      </w:r>
      <w:r w:rsidRPr="00014C4D">
        <w:rPr>
          <w:rtl/>
        </w:rPr>
        <w:t>עתידות להיות מוצבות בתקופה הקרובה עוד 30 מיגוניות); 64 מגנני ״הסקו״</w:t>
      </w:r>
      <w:r w:rsidRPr="00014C4D">
        <w:rPr>
          <w:rFonts w:hint="cs"/>
          <w:rtl/>
        </w:rPr>
        <w:t xml:space="preserve"> </w:t>
      </w:r>
      <w:r w:rsidRPr="00014C4D">
        <w:rPr>
          <w:rtl/>
        </w:rPr>
        <w:t xml:space="preserve">(אמצעי מיגון הנמצא בשימוש צה״ל וצבאות אחרים בעולם, הכולל שקי חול התוחמים שטח </w:t>
      </w:r>
      <w:r w:rsidRPr="00014C4D">
        <w:rPr>
          <w:rFonts w:hint="cs"/>
          <w:rtl/>
        </w:rPr>
        <w:t>ש</w:t>
      </w:r>
      <w:r w:rsidRPr="00014C4D">
        <w:rPr>
          <w:rtl/>
        </w:rPr>
        <w:t xml:space="preserve">בו יכולים להתמגן עד 100 אנשים </w:t>
      </w:r>
      <w:r w:rsidRPr="00014C4D">
        <w:rPr>
          <w:rFonts w:hint="cs"/>
          <w:rtl/>
        </w:rPr>
        <w:t xml:space="preserve">מפני </w:t>
      </w:r>
      <w:r w:rsidRPr="00014C4D">
        <w:rPr>
          <w:rtl/>
        </w:rPr>
        <w:t>טילים)</w:t>
      </w:r>
      <w:r w:rsidRPr="00014C4D">
        <w:rPr>
          <w:rFonts w:hint="cs"/>
          <w:rtl/>
        </w:rPr>
        <w:t>;</w:t>
      </w:r>
      <w:r w:rsidRPr="00014C4D">
        <w:rPr>
          <w:rtl/>
        </w:rPr>
        <w:t xml:space="preserve"> וכן הוצב מרחב מוגן מוסדי במרפאת אחד הכפרים בפזורה. הצבת המיגוניות נעשתה בשטחים ציבוריים ומרכזיים בפזורה </w:t>
      </w:r>
      <w:r w:rsidRPr="00014C4D">
        <w:rPr>
          <w:rFonts w:hint="cs"/>
          <w:rtl/>
        </w:rPr>
        <w:t>ש</w:t>
      </w:r>
      <w:r w:rsidRPr="00014C4D">
        <w:rPr>
          <w:rtl/>
        </w:rPr>
        <w:t xml:space="preserve">ריכוז </w:t>
      </w:r>
      <w:r w:rsidRPr="00014C4D">
        <w:rPr>
          <w:rFonts w:hint="cs"/>
          <w:rtl/>
        </w:rPr>
        <w:t>ה</w:t>
      </w:r>
      <w:r w:rsidRPr="00014C4D">
        <w:rPr>
          <w:rtl/>
        </w:rPr>
        <w:t xml:space="preserve">אוכלוסייה </w:t>
      </w:r>
      <w:r w:rsidRPr="00014C4D">
        <w:rPr>
          <w:rFonts w:hint="cs"/>
          <w:rtl/>
        </w:rPr>
        <w:t xml:space="preserve">בהם </w:t>
      </w:r>
      <w:r w:rsidRPr="00014C4D">
        <w:rPr>
          <w:rtl/>
        </w:rPr>
        <w:t xml:space="preserve">גבוה יחסית. </w:t>
      </w:r>
      <w:r w:rsidRPr="00014C4D">
        <w:rPr>
          <w:rFonts w:hint="cs"/>
          <w:rtl/>
        </w:rPr>
        <w:t>כלל המיקומים של</w:t>
      </w:r>
      <w:r w:rsidRPr="00014C4D">
        <w:rPr>
          <w:rtl/>
        </w:rPr>
        <w:t xml:space="preserve"> מגנני ה״הסקו״ </w:t>
      </w:r>
      <w:r w:rsidRPr="00014C4D">
        <w:rPr>
          <w:rFonts w:hint="cs"/>
          <w:rtl/>
        </w:rPr>
        <w:t>נקבעו על ידי הרשות להסדרת הבדואים ותואמו</w:t>
      </w:r>
      <w:r w:rsidRPr="00014C4D">
        <w:rPr>
          <w:rtl/>
        </w:rPr>
        <w:t xml:space="preserve"> עם נציגי משפחות בפזורה.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hint="cs"/>
          <w:rtl/>
        </w:rPr>
        <w:t>בתשובתו למשרד מבקר המדינה מסר פקע"ר כי אף על פי שאינו נדרש לספק מיגוניות, מפרוץ מלחמת חרבות ברזל עד ינואר 2025 הוצבו ברחבי הפזורה הבדואית כ-135 מיגוניות, וכי פעולות אלו לצמצום פערי המיגון בפזורה הבדואית צוינו בפסק הדין של בית המשפט העליון</w:t>
      </w:r>
      <w:r w:rsidRPr="00014C4D">
        <w:rPr>
          <w:vertAlign w:val="superscript"/>
          <w:rtl/>
        </w:rPr>
        <w:footnoteReference w:id="38"/>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lastRenderedPageBreak/>
        <w:t>לטענת העותרים, חרף הצבת המיגוניות והמגננים, הלכה למעשה תושבי הפזורה נותרים ללא אמצעי מיגון זמינים; מרבית מוסדות החינוך בפזורה אינם ממוגנים; וברוב המקומות אין בנמצא מערכות אזעקה שיכולות להתריע מפני מתקפה</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עמותת "קרן אלסיראג'" מסרה במאי 2024 למשרד מבקר המדינה כי </w:t>
      </w:r>
      <w:r w:rsidRPr="00014C4D">
        <w:rPr>
          <w:rtl/>
        </w:rPr>
        <w:t>מיגוניות "</w:t>
      </w:r>
      <w:r w:rsidRPr="00014C4D">
        <w:rPr>
          <w:rFonts w:hint="cs"/>
          <w:rtl/>
        </w:rPr>
        <w:t>ה</w:t>
      </w:r>
      <w:r w:rsidRPr="00014C4D">
        <w:rPr>
          <w:rtl/>
        </w:rPr>
        <w:t>סקו" מתאימ</w:t>
      </w:r>
      <w:r w:rsidRPr="00014C4D">
        <w:rPr>
          <w:rFonts w:hint="cs"/>
          <w:rtl/>
        </w:rPr>
        <w:t>ות</w:t>
      </w:r>
      <w:r w:rsidRPr="00014C4D">
        <w:rPr>
          <w:rtl/>
        </w:rPr>
        <w:t xml:space="preserve"> </w:t>
      </w:r>
      <w:r w:rsidRPr="00014C4D">
        <w:rPr>
          <w:rFonts w:hint="cs"/>
          <w:rtl/>
        </w:rPr>
        <w:t>להגנה מפני</w:t>
      </w:r>
      <w:r w:rsidRPr="00014C4D">
        <w:rPr>
          <w:rtl/>
        </w:rPr>
        <w:t xml:space="preserve"> ירי שטוח</w:t>
      </w:r>
      <w:r w:rsidRPr="00014C4D">
        <w:rPr>
          <w:rFonts w:hint="cs"/>
          <w:rtl/>
        </w:rPr>
        <w:t xml:space="preserve"> מסלול</w:t>
      </w:r>
      <w:r w:rsidRPr="00014C4D">
        <w:rPr>
          <w:rtl/>
        </w:rPr>
        <w:t>, שכן אין לה</w:t>
      </w:r>
      <w:r w:rsidRPr="00014C4D">
        <w:rPr>
          <w:rFonts w:hint="cs"/>
          <w:rtl/>
        </w:rPr>
        <w:t>ן</w:t>
      </w:r>
      <w:r w:rsidRPr="00014C4D">
        <w:rPr>
          <w:rtl/>
        </w:rPr>
        <w:t xml:space="preserve"> גג</w:t>
      </w:r>
      <w:r w:rsidRPr="00014C4D">
        <w:rPr>
          <w:rFonts w:hint="cs"/>
          <w:rtl/>
        </w:rPr>
        <w:t>.</w:t>
      </w:r>
      <w:r w:rsidRPr="00014C4D">
        <w:rPr>
          <w:rtl/>
        </w:rPr>
        <w:t xml:space="preserve"> </w:t>
      </w:r>
      <w:r w:rsidRPr="00014C4D">
        <w:rPr>
          <w:rFonts w:hint="cs"/>
          <w:rtl/>
        </w:rPr>
        <w:t xml:space="preserve">בהיעדר תקרה </w:t>
      </w:r>
      <w:r w:rsidRPr="00014C4D">
        <w:rPr>
          <w:rtl/>
        </w:rPr>
        <w:t xml:space="preserve">התושבים </w:t>
      </w:r>
      <w:r w:rsidRPr="00014C4D">
        <w:rPr>
          <w:rFonts w:hint="cs"/>
          <w:rtl/>
        </w:rPr>
        <w:t>אינם</w:t>
      </w:r>
      <w:r w:rsidRPr="00014C4D">
        <w:rPr>
          <w:rtl/>
        </w:rPr>
        <w:t xml:space="preserve"> רואים </w:t>
      </w:r>
      <w:r w:rsidRPr="00014C4D">
        <w:rPr>
          <w:rFonts w:hint="cs"/>
          <w:rtl/>
        </w:rPr>
        <w:t>בהן</w:t>
      </w:r>
      <w:r w:rsidRPr="00014C4D">
        <w:rPr>
          <w:rtl/>
        </w:rPr>
        <w:t xml:space="preserve"> מיגון ראוי, וה</w:t>
      </w:r>
      <w:r w:rsidRPr="00014C4D">
        <w:rPr>
          <w:rFonts w:hint="cs"/>
          <w:rtl/>
        </w:rPr>
        <w:t>ם</w:t>
      </w:r>
      <w:r w:rsidRPr="00014C4D">
        <w:rPr>
          <w:rtl/>
        </w:rPr>
        <w:t xml:space="preserve"> בוחרים להתפזר</w:t>
      </w:r>
      <w:r w:rsidRPr="00014C4D">
        <w:rPr>
          <w:rFonts w:hint="cs"/>
          <w:rtl/>
        </w:rPr>
        <w:t xml:space="preserve"> כדי</w:t>
      </w:r>
      <w:r w:rsidRPr="00014C4D">
        <w:rPr>
          <w:rtl/>
        </w:rPr>
        <w:t xml:space="preserve"> שלא ייהרגו הרבה אנשים יחד</w:t>
      </w:r>
      <w:r w:rsidRPr="00014C4D">
        <w:rPr>
          <w:rFonts w:hint="cs"/>
          <w:rtl/>
        </w:rPr>
        <w:t xml:space="preserve"> במקרה של פגיעה ישירה. יצוין כי בכפרים הלא-מוכרים </w:t>
      </w:r>
      <w:r w:rsidRPr="00014C4D">
        <w:rPr>
          <w:rtl/>
        </w:rPr>
        <w:t>אין ציוד חירום מלבד ציוד עזרה ראשונה ש</w:t>
      </w:r>
      <w:r w:rsidRPr="00014C4D">
        <w:rPr>
          <w:rFonts w:hint="cs"/>
          <w:rtl/>
        </w:rPr>
        <w:t>נקנה</w:t>
      </w:r>
      <w:r w:rsidRPr="00014C4D">
        <w:rPr>
          <w:rtl/>
        </w:rPr>
        <w:t xml:space="preserve"> </w:t>
      </w:r>
      <w:r w:rsidRPr="00014C4D">
        <w:rPr>
          <w:rFonts w:hint="cs"/>
          <w:rtl/>
        </w:rPr>
        <w:t xml:space="preserve">מכספי תרומות וחולק </w:t>
      </w:r>
      <w:r w:rsidRPr="00014C4D">
        <w:rPr>
          <w:rtl/>
        </w:rPr>
        <w:t>במסגרת סלי מזון למשפחות נזקקות</w:t>
      </w:r>
      <w:r w:rsidRPr="00014C4D">
        <w:rPr>
          <w:rFonts w:hint="cs"/>
          <w:rtl/>
        </w:rPr>
        <w:t>.</w:t>
      </w:r>
    </w:p>
    <w:p w:rsidR="00014C4D" w:rsidRPr="00014C4D" w:rsidRDefault="00014C4D" w:rsidP="00014C4D">
      <w:pPr>
        <w:spacing w:line="269" w:lineRule="auto"/>
        <w:rPr>
          <w:rtl/>
        </w:rPr>
      </w:pPr>
      <w:r w:rsidRPr="00014C4D">
        <w:rPr>
          <w:rFonts w:hint="cs"/>
          <w:rtl/>
        </w:rPr>
        <w:t xml:space="preserve">בתשובת </w:t>
      </w:r>
      <w:r w:rsidRPr="00014C4D">
        <w:rPr>
          <w:rFonts w:hint="eastAsia"/>
          <w:rtl/>
        </w:rPr>
        <w:t>פקע</w:t>
      </w:r>
      <w:r w:rsidRPr="00014C4D">
        <w:rPr>
          <w:rtl/>
        </w:rPr>
        <w:t xml:space="preserve">"ר </w:t>
      </w:r>
      <w:r w:rsidRPr="00014C4D">
        <w:rPr>
          <w:rFonts w:hint="cs"/>
          <w:rtl/>
        </w:rPr>
        <w:t>למשרד מבקר המדינה הבהיר פקע"ר כי</w:t>
      </w:r>
      <w:r w:rsidRPr="00014C4D">
        <w:rPr>
          <w:rtl/>
        </w:rPr>
        <w:t xml:space="preserve"> מ</w:t>
      </w:r>
      <w:r w:rsidRPr="00014C4D">
        <w:rPr>
          <w:rFonts w:hint="cs"/>
          <w:rtl/>
        </w:rPr>
        <w:t>י</w:t>
      </w:r>
      <w:r w:rsidRPr="00014C4D">
        <w:rPr>
          <w:rtl/>
        </w:rPr>
        <w:t xml:space="preserve">גוניות אינן </w:t>
      </w:r>
      <w:r w:rsidRPr="00014C4D">
        <w:rPr>
          <w:rFonts w:hint="cs"/>
          <w:rtl/>
        </w:rPr>
        <w:t>בגדר</w:t>
      </w:r>
      <w:r w:rsidRPr="00014C4D">
        <w:rPr>
          <w:rtl/>
        </w:rPr>
        <w:t xml:space="preserve"> מיגון תקני ואינן עומדות בפני פגיעה ישירה. המ</w:t>
      </w:r>
      <w:r w:rsidRPr="00014C4D">
        <w:rPr>
          <w:rFonts w:hint="cs"/>
          <w:rtl/>
        </w:rPr>
        <w:t>י</w:t>
      </w:r>
      <w:r w:rsidRPr="00014C4D">
        <w:rPr>
          <w:rtl/>
        </w:rPr>
        <w:t xml:space="preserve">גוניות מוצבות בשטחים ציבוריים פתוחים כמענה משלים </w:t>
      </w:r>
      <w:r w:rsidRPr="00014C4D">
        <w:rPr>
          <w:rFonts w:hint="cs"/>
          <w:rtl/>
        </w:rPr>
        <w:t>והן מספקות</w:t>
      </w:r>
      <w:r w:rsidRPr="00014C4D">
        <w:rPr>
          <w:rtl/>
        </w:rPr>
        <w:t xml:space="preserve"> מענה כנגד רסיסים והדף במקרה של פגיעה קרובה. מבחינה זו בשל עובי הקירות</w:t>
      </w:r>
      <w:r w:rsidRPr="00014C4D">
        <w:rPr>
          <w:rFonts w:hint="cs"/>
          <w:rtl/>
        </w:rPr>
        <w:t xml:space="preserve"> </w:t>
      </w:r>
      <w:r w:rsidRPr="00014C4D">
        <w:rPr>
          <w:rtl/>
        </w:rPr>
        <w:t>דווקא מגנני ההסקו מספקים מענה טוב יותר מהמ</w:t>
      </w:r>
      <w:r w:rsidRPr="00014C4D">
        <w:rPr>
          <w:rFonts w:hint="cs"/>
          <w:rtl/>
        </w:rPr>
        <w:t>י</w:t>
      </w:r>
      <w:r w:rsidRPr="00014C4D">
        <w:rPr>
          <w:rtl/>
        </w:rPr>
        <w:t xml:space="preserve">גוניות. מגנני ההסקו </w:t>
      </w:r>
      <w:r w:rsidRPr="00014C4D">
        <w:rPr>
          <w:rFonts w:hint="cs"/>
          <w:rtl/>
        </w:rPr>
        <w:t xml:space="preserve">הם </w:t>
      </w:r>
      <w:r w:rsidRPr="00014C4D">
        <w:rPr>
          <w:rtl/>
        </w:rPr>
        <w:t>פתרון אופטימלי עבור הפזורה הבדואית מהסיבות</w:t>
      </w:r>
      <w:r w:rsidRPr="00014C4D">
        <w:rPr>
          <w:rFonts w:hint="cs"/>
          <w:rtl/>
        </w:rPr>
        <w:t xml:space="preserve"> האלה</w:t>
      </w:r>
      <w:r w:rsidRPr="00014C4D">
        <w:rPr>
          <w:rtl/>
        </w:rPr>
        <w:t>: המגננים מספקים מענה עבור אוכלוס</w:t>
      </w:r>
      <w:r w:rsidRPr="00014C4D">
        <w:rPr>
          <w:rFonts w:hint="eastAsia"/>
          <w:rtl/>
        </w:rPr>
        <w:t>י</w:t>
      </w:r>
      <w:r w:rsidRPr="00014C4D">
        <w:rPr>
          <w:rtl/>
        </w:rPr>
        <w:t xml:space="preserve">יה רחבה; בנקודות ההקמה קיים עפר מקומי שניתן למלא </w:t>
      </w:r>
      <w:r w:rsidRPr="00014C4D">
        <w:rPr>
          <w:rFonts w:hint="cs"/>
          <w:rtl/>
        </w:rPr>
        <w:t xml:space="preserve">בו </w:t>
      </w:r>
      <w:r w:rsidRPr="00014C4D">
        <w:rPr>
          <w:rtl/>
        </w:rPr>
        <w:t>את קירות המגנן (בניגוד לישובים ולערים);</w:t>
      </w:r>
      <w:r w:rsidRPr="00014C4D">
        <w:rPr>
          <w:rFonts w:hint="cs"/>
          <w:rtl/>
        </w:rPr>
        <w:t xml:space="preserve"> ל</w:t>
      </w:r>
      <w:r w:rsidRPr="00014C4D">
        <w:rPr>
          <w:rtl/>
        </w:rPr>
        <w:t>מקומות רבים בפזורה לא ניתן להכניס משאיות עם מ</w:t>
      </w:r>
      <w:r w:rsidRPr="00014C4D">
        <w:rPr>
          <w:rFonts w:hint="cs"/>
          <w:rtl/>
        </w:rPr>
        <w:t>י</w:t>
      </w:r>
      <w:r w:rsidRPr="00014C4D">
        <w:rPr>
          <w:rtl/>
        </w:rPr>
        <w:t>גוניות בגלל בעיות משקל</w:t>
      </w:r>
      <w:r w:rsidRPr="00014C4D">
        <w:rPr>
          <w:rFonts w:hint="cs"/>
          <w:rtl/>
        </w:rPr>
        <w:t>, ואילו</w:t>
      </w:r>
      <w:r w:rsidRPr="00014C4D">
        <w:rPr>
          <w:rtl/>
        </w:rPr>
        <w:t xml:space="preserve"> מגנן ההסקו</w:t>
      </w:r>
      <w:r w:rsidRPr="00014C4D">
        <w:t xml:space="preserve"> </w:t>
      </w:r>
      <w:r w:rsidRPr="00014C4D">
        <w:rPr>
          <w:rtl/>
        </w:rPr>
        <w:t xml:space="preserve">שוקם באתר </w:t>
      </w:r>
      <w:r w:rsidRPr="00014C4D">
        <w:rPr>
          <w:rFonts w:hint="cs"/>
          <w:rtl/>
        </w:rPr>
        <w:t>על ידי</w:t>
      </w:r>
      <w:r w:rsidRPr="00014C4D">
        <w:rPr>
          <w:rtl/>
        </w:rPr>
        <w:t xml:space="preserve"> עובדים וכלי צ</w:t>
      </w:r>
      <w:r w:rsidRPr="00014C4D">
        <w:rPr>
          <w:rFonts w:hint="eastAsia"/>
          <w:rtl/>
        </w:rPr>
        <w:t>יוד</w:t>
      </w:r>
      <w:r w:rsidRPr="00014C4D">
        <w:rPr>
          <w:rtl/>
        </w:rPr>
        <w:t xml:space="preserve"> מ</w:t>
      </w:r>
      <w:r w:rsidRPr="00014C4D">
        <w:rPr>
          <w:rFonts w:hint="eastAsia"/>
          <w:rtl/>
        </w:rPr>
        <w:t>כני</w:t>
      </w:r>
      <w:r w:rsidRPr="00014C4D">
        <w:rPr>
          <w:rtl/>
        </w:rPr>
        <w:t xml:space="preserve"> ה</w:t>
      </w:r>
      <w:r w:rsidRPr="00014C4D">
        <w:rPr>
          <w:rFonts w:hint="eastAsia"/>
          <w:rtl/>
        </w:rPr>
        <w:t>נדסי</w:t>
      </w:r>
      <w:r w:rsidRPr="00014C4D">
        <w:rPr>
          <w:rtl/>
        </w:rPr>
        <w:t xml:space="preserve">; הקמת </w:t>
      </w:r>
      <w:r w:rsidRPr="00014C4D">
        <w:rPr>
          <w:rFonts w:hint="cs"/>
          <w:rtl/>
        </w:rPr>
        <w:t xml:space="preserve">אמצעי </w:t>
      </w:r>
      <w:r w:rsidRPr="00014C4D">
        <w:rPr>
          <w:rtl/>
        </w:rPr>
        <w:t xml:space="preserve">מיגון בפזורה מלווה בקושי סטטוטורי. הסקו </w:t>
      </w:r>
      <w:r w:rsidRPr="00014C4D">
        <w:rPr>
          <w:rFonts w:hint="cs"/>
          <w:rtl/>
        </w:rPr>
        <w:t>הוא</w:t>
      </w:r>
      <w:r w:rsidRPr="00014C4D">
        <w:rPr>
          <w:rtl/>
        </w:rPr>
        <w:t xml:space="preserve"> </w:t>
      </w:r>
      <w:r w:rsidRPr="00014C4D">
        <w:rPr>
          <w:rFonts w:hint="cs"/>
          <w:rtl/>
        </w:rPr>
        <w:t xml:space="preserve">אמצעי </w:t>
      </w:r>
      <w:r w:rsidRPr="00014C4D">
        <w:rPr>
          <w:rtl/>
        </w:rPr>
        <w:t>מיגו</w:t>
      </w:r>
      <w:r w:rsidRPr="00014C4D">
        <w:rPr>
          <w:rFonts w:hint="cs"/>
          <w:rtl/>
        </w:rPr>
        <w:t>ן</w:t>
      </w:r>
      <w:r w:rsidRPr="00014C4D">
        <w:rPr>
          <w:rtl/>
        </w:rPr>
        <w:t xml:space="preserve"> ש</w:t>
      </w:r>
      <w:r w:rsidRPr="00014C4D">
        <w:rPr>
          <w:rFonts w:hint="cs"/>
          <w:rtl/>
        </w:rPr>
        <w:t xml:space="preserve">הקמתו </w:t>
      </w:r>
      <w:r w:rsidRPr="00014C4D">
        <w:rPr>
          <w:rtl/>
        </w:rPr>
        <w:t>אינ</w:t>
      </w:r>
      <w:r w:rsidRPr="00014C4D">
        <w:rPr>
          <w:rFonts w:hint="cs"/>
          <w:rtl/>
        </w:rPr>
        <w:t xml:space="preserve">ה דורשת </w:t>
      </w:r>
      <w:r w:rsidRPr="00014C4D">
        <w:rPr>
          <w:rtl/>
        </w:rPr>
        <w:t xml:space="preserve">היתר ועל כן </w:t>
      </w:r>
      <w:r w:rsidRPr="00014C4D">
        <w:rPr>
          <w:rFonts w:hint="cs"/>
          <w:rtl/>
        </w:rPr>
        <w:t xml:space="preserve">הוא </w:t>
      </w:r>
      <w:r w:rsidRPr="00014C4D">
        <w:rPr>
          <w:rtl/>
        </w:rPr>
        <w:t>מתאים כמענה מהיר הקמה.</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עמות</w:t>
      </w:r>
      <w:r w:rsidRPr="00014C4D">
        <w:rPr>
          <w:rFonts w:hint="cs"/>
          <w:rtl/>
        </w:rPr>
        <w:t>ת "קרן אלסיראג'", בשיתוף פעולה עם ארגונים נוספים,</w:t>
      </w:r>
      <w:r w:rsidRPr="00014C4D">
        <w:rPr>
          <w:rtl/>
        </w:rPr>
        <w:t xml:space="preserve"> גייסה תרומות והנ</w:t>
      </w:r>
      <w:r w:rsidRPr="00014C4D">
        <w:rPr>
          <w:rFonts w:hint="cs"/>
          <w:rtl/>
        </w:rPr>
        <w:t>י</w:t>
      </w:r>
      <w:r w:rsidRPr="00014C4D">
        <w:rPr>
          <w:rtl/>
        </w:rPr>
        <w:t xml:space="preserve">חה </w:t>
      </w:r>
      <w:r w:rsidRPr="00014C4D">
        <w:rPr>
          <w:rFonts w:hint="cs"/>
          <w:rtl/>
        </w:rPr>
        <w:t xml:space="preserve">300 </w:t>
      </w:r>
      <w:r w:rsidRPr="00014C4D">
        <w:rPr>
          <w:rtl/>
        </w:rPr>
        <w:t>צינורות בטון</w:t>
      </w:r>
      <w:r w:rsidRPr="00014C4D">
        <w:rPr>
          <w:rFonts w:hint="cs"/>
          <w:rtl/>
        </w:rPr>
        <w:t>,</w:t>
      </w:r>
      <w:r w:rsidRPr="00014C4D">
        <w:rPr>
          <w:rtl/>
        </w:rPr>
        <w:t xml:space="preserve"> </w:t>
      </w:r>
      <w:r w:rsidRPr="00014C4D">
        <w:rPr>
          <w:rFonts w:hint="cs"/>
          <w:rtl/>
        </w:rPr>
        <w:t>ש</w:t>
      </w:r>
      <w:r w:rsidRPr="00014C4D">
        <w:rPr>
          <w:rtl/>
        </w:rPr>
        <w:t>כל אח</w:t>
      </w:r>
      <w:r w:rsidRPr="00014C4D">
        <w:rPr>
          <w:rFonts w:hint="eastAsia"/>
          <w:rtl/>
        </w:rPr>
        <w:t>ד</w:t>
      </w:r>
      <w:r w:rsidRPr="00014C4D">
        <w:rPr>
          <w:rtl/>
        </w:rPr>
        <w:t xml:space="preserve"> </w:t>
      </w:r>
      <w:r w:rsidRPr="00014C4D">
        <w:rPr>
          <w:rFonts w:hint="cs"/>
          <w:rtl/>
        </w:rPr>
        <w:t xml:space="preserve">מהם </w:t>
      </w:r>
      <w:r w:rsidRPr="00014C4D">
        <w:rPr>
          <w:rtl/>
        </w:rPr>
        <w:t>יכול לתת מענה ל</w:t>
      </w:r>
      <w:r w:rsidRPr="00014C4D">
        <w:rPr>
          <w:rFonts w:hint="cs"/>
          <w:rtl/>
        </w:rPr>
        <w:t>עשרה</w:t>
      </w:r>
      <w:r w:rsidRPr="00014C4D">
        <w:rPr>
          <w:rtl/>
        </w:rPr>
        <w:t xml:space="preserve"> תושבים</w:t>
      </w:r>
      <w:r w:rsidRPr="00014C4D">
        <w:rPr>
          <w:rFonts w:hint="cs"/>
          <w:rtl/>
        </w:rPr>
        <w:t xml:space="preserve"> לכל היותר. עמותות שונות </w:t>
      </w:r>
      <w:r w:rsidRPr="00014C4D">
        <w:rPr>
          <w:rtl/>
        </w:rPr>
        <w:t>הטמינ</w:t>
      </w:r>
      <w:r w:rsidRPr="00014C4D">
        <w:rPr>
          <w:rFonts w:hint="cs"/>
          <w:rtl/>
        </w:rPr>
        <w:t>ו</w:t>
      </w:r>
      <w:r w:rsidRPr="00014C4D">
        <w:rPr>
          <w:rtl/>
        </w:rPr>
        <w:t xml:space="preserve"> </w:t>
      </w:r>
      <w:r w:rsidRPr="00014C4D">
        <w:rPr>
          <w:rFonts w:hint="cs"/>
          <w:rtl/>
        </w:rPr>
        <w:t>מכולות</w:t>
      </w:r>
      <w:r w:rsidRPr="00014C4D">
        <w:rPr>
          <w:rtl/>
        </w:rPr>
        <w:t xml:space="preserve"> שיכול</w:t>
      </w:r>
      <w:r w:rsidRPr="00014C4D">
        <w:rPr>
          <w:rFonts w:hint="cs"/>
          <w:rtl/>
        </w:rPr>
        <w:t>ות</w:t>
      </w:r>
      <w:r w:rsidRPr="00014C4D">
        <w:rPr>
          <w:rtl/>
        </w:rPr>
        <w:t xml:space="preserve"> להגן מפני רסיסים (אך </w:t>
      </w:r>
      <w:r w:rsidRPr="00014C4D">
        <w:rPr>
          <w:rFonts w:hint="cs"/>
          <w:rtl/>
        </w:rPr>
        <w:t xml:space="preserve">לא </w:t>
      </w:r>
      <w:r w:rsidRPr="00014C4D">
        <w:rPr>
          <w:rtl/>
        </w:rPr>
        <w:t>מפגיעה ישירה).</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b/>
          <w:bCs/>
          <w:rtl/>
        </w:rPr>
      </w:pPr>
      <w:r w:rsidRPr="00014C4D">
        <w:rPr>
          <w:rFonts w:hint="eastAsia"/>
          <w:rtl/>
        </w:rPr>
        <w:lastRenderedPageBreak/>
        <w:t>מפה</w:t>
      </w:r>
      <w:r w:rsidRPr="00014C4D">
        <w:rPr>
          <w:rtl/>
        </w:rPr>
        <w:t xml:space="preserve"> 1</w:t>
      </w:r>
      <w:r w:rsidRPr="00014C4D">
        <w:rPr>
          <w:rFonts w:hint="cs"/>
          <w:rtl/>
        </w:rPr>
        <w:t>:</w:t>
      </w:r>
      <w:r w:rsidRPr="00014C4D">
        <w:rPr>
          <w:rFonts w:hint="cs"/>
          <w:b/>
          <w:bCs/>
          <w:rtl/>
        </w:rPr>
        <w:t xml:space="preserve"> פירוט אמצעי המיגון שהוצבו בשטחי הפזורה הבדואית בנגב ואמצעי מיגון מוצעים (יוני 2024)</w:t>
      </w:r>
    </w:p>
    <w:p w:rsidR="00014C4D" w:rsidRPr="00014C4D" w:rsidRDefault="00014C4D" w:rsidP="00014C4D">
      <w:pPr>
        <w:spacing w:line="269" w:lineRule="auto"/>
        <w:jc w:val="center"/>
        <w:rPr>
          <w:rtl/>
        </w:rPr>
      </w:pPr>
      <w:r w:rsidRPr="00014C4D">
        <w:rPr>
          <w:noProof/>
        </w:rPr>
        <w:drawing>
          <wp:inline distT="0" distB="0" distL="0" distR="0" wp14:anchorId="591D594A" wp14:editId="55F752C2">
            <wp:extent cx="5219700" cy="3668395"/>
            <wp:effectExtent l="0" t="0" r="0" b="8255"/>
            <wp:docPr id="1834351642" name="תמונה 1834351642" descr="מפה המראה אמצעי המיגון השונים שהוצבו בשטחי הפזורה הבדואית בנגב.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9700" cy="3668395"/>
                    </a:xfrm>
                    <a:prstGeom prst="rect">
                      <a:avLst/>
                    </a:prstGeom>
                  </pic:spPr>
                </pic:pic>
              </a:graphicData>
            </a:graphic>
          </wp:inline>
        </w:drawing>
      </w:r>
    </w:p>
    <w:p w:rsidR="00014C4D" w:rsidRPr="00014C4D" w:rsidRDefault="00014C4D" w:rsidP="00014C4D">
      <w:pPr>
        <w:spacing w:line="269" w:lineRule="auto"/>
        <w:rPr>
          <w:sz w:val="16"/>
          <w:szCs w:val="20"/>
          <w:rtl/>
        </w:rPr>
      </w:pPr>
      <w:r w:rsidRPr="00014C4D">
        <w:rPr>
          <w:rFonts w:hint="cs"/>
          <w:sz w:val="16"/>
          <w:szCs w:val="20"/>
          <w:rtl/>
        </w:rPr>
        <w:t>המקור: הרשות להתיישבות הבדואים.</w:t>
      </w:r>
    </w:p>
    <w:p w:rsidR="00014C4D" w:rsidRPr="00014C4D" w:rsidRDefault="00014C4D" w:rsidP="00014C4D">
      <w:pPr>
        <w:spacing w:line="269" w:lineRule="auto"/>
        <w:rPr>
          <w:rtl/>
        </w:rPr>
      </w:pPr>
      <w:r w:rsidRPr="00014C4D">
        <w:rPr>
          <w:rFonts w:hint="cs"/>
          <w:rtl/>
        </w:rPr>
        <w:t>בפסק הדין קבע בית המשפט כי למרות</w:t>
      </w:r>
      <w:r w:rsidRPr="00014C4D">
        <w:rPr>
          <w:rtl/>
        </w:rPr>
        <w:t xml:space="preserve"> ההבנה לחששם של העותרים </w:t>
      </w:r>
      <w:r w:rsidRPr="00014C4D">
        <w:rPr>
          <w:rFonts w:hint="cs"/>
          <w:rtl/>
        </w:rPr>
        <w:t>אין</w:t>
      </w:r>
      <w:r w:rsidRPr="00014C4D">
        <w:rPr>
          <w:rtl/>
        </w:rPr>
        <w:t xml:space="preserve"> עילה להתערבות</w:t>
      </w:r>
      <w:r w:rsidRPr="00014C4D">
        <w:rPr>
          <w:rFonts w:hint="cs"/>
          <w:rtl/>
        </w:rPr>
        <w:t xml:space="preserve">ו ודחה את העתירה </w:t>
      </w:r>
      <w:r w:rsidRPr="00014C4D">
        <w:rPr>
          <w:rFonts w:hint="eastAsia"/>
          <w:rtl/>
        </w:rPr>
        <w:t>פה</w:t>
      </w:r>
      <w:r w:rsidRPr="00014C4D">
        <w:rPr>
          <w:rtl/>
        </w:rPr>
        <w:t xml:space="preserve"> </w:t>
      </w:r>
      <w:r w:rsidRPr="00014C4D">
        <w:rPr>
          <w:rFonts w:hint="eastAsia"/>
          <w:rtl/>
        </w:rPr>
        <w:t>אחד</w:t>
      </w:r>
      <w:r w:rsidRPr="00014C4D">
        <w:rPr>
          <w:rtl/>
        </w:rPr>
        <w:t>. בכל הנוגע להיק</w:t>
      </w:r>
      <w:r w:rsidRPr="00014C4D">
        <w:rPr>
          <w:rFonts w:hint="cs"/>
          <w:rtl/>
        </w:rPr>
        <w:t>פם</w:t>
      </w:r>
      <w:r w:rsidRPr="00014C4D">
        <w:rPr>
          <w:rtl/>
        </w:rPr>
        <w:t xml:space="preserve"> וטיב</w:t>
      </w:r>
      <w:r w:rsidRPr="00014C4D">
        <w:rPr>
          <w:rFonts w:hint="cs"/>
          <w:rtl/>
        </w:rPr>
        <w:t>ם של</w:t>
      </w:r>
      <w:r w:rsidRPr="00014C4D">
        <w:rPr>
          <w:rtl/>
        </w:rPr>
        <w:t xml:space="preserve"> אמצעי המיגון שהוצבו </w:t>
      </w:r>
      <w:r w:rsidRPr="00014C4D">
        <w:rPr>
          <w:rFonts w:hint="cs"/>
          <w:rtl/>
        </w:rPr>
        <w:t>הפנה בית המשפט</w:t>
      </w:r>
      <w:r w:rsidRPr="00014C4D">
        <w:rPr>
          <w:rtl/>
        </w:rPr>
        <w:t xml:space="preserve"> לדברים שנאמרו בפסק הדין</w:t>
      </w:r>
      <w:r w:rsidRPr="00014C4D">
        <w:rPr>
          <w:rFonts w:hint="cs"/>
          <w:rtl/>
        </w:rPr>
        <w:t xml:space="preserve"> בעתירה שהוגשה ב</w:t>
      </w:r>
      <w:r w:rsidRPr="00014C4D">
        <w:rPr>
          <w:rtl/>
        </w:rPr>
        <w:t xml:space="preserve">מהלך מבצע ״צוק איתן״, </w:t>
      </w:r>
      <w:r w:rsidRPr="00014C4D">
        <w:rPr>
          <w:rFonts w:hint="cs"/>
          <w:rtl/>
        </w:rPr>
        <w:t>ו</w:t>
      </w:r>
      <w:r w:rsidRPr="00014C4D">
        <w:rPr>
          <w:rtl/>
        </w:rPr>
        <w:t>בה התבקש בין היתר להורות על הצבת מיגוניות ברחבי הפזורה</w:t>
      </w:r>
      <w:r w:rsidRPr="00014C4D">
        <w:rPr>
          <w:vertAlign w:val="superscript"/>
          <w:rtl/>
        </w:rPr>
        <w:footnoteReference w:id="39"/>
      </w:r>
      <w:r w:rsidRPr="00014C4D">
        <w:rPr>
          <w:rFonts w:hint="cs"/>
          <w:rtl/>
        </w:rPr>
        <w:t xml:space="preserve">: </w:t>
      </w:r>
      <w:r w:rsidRPr="00014C4D">
        <w:rPr>
          <w:rtl/>
        </w:rPr>
        <w:t>״טבע הדברים הוא כי כמות אמצעי המיגון העומדת לרשות המדינה ברגע מסוים אינה בלתי מוגבלת. ההחלטה כיצד להקצות אמצעים אלו בעיתות חירום מבוססת על שיקולים רבים, ומצויה בליבת שיקול דעתן של הרשויות המוסמכות. כידוע, התערבותו של בית משפט זה בהחלטות מבצעיות שכאלה, ובכלל זה בהחלטות בנושאי מיגון אזרחי, תתבצע במשורה ובמקרים חריגים שבחריגים</w:t>
      </w:r>
      <w:r w:rsidRPr="00014C4D">
        <w:rPr>
          <w:rFonts w:hint="cs"/>
          <w:rtl/>
        </w:rPr>
        <w:t xml:space="preserve">... </w:t>
      </w:r>
      <w:r w:rsidRPr="00014C4D">
        <w:rPr>
          <w:rtl/>
        </w:rPr>
        <w:t>שמיכת אמצעי המיגון הקיימים קצרה מלכסות את כל האזורים המצויים בטווח הרקטות. משיכת השמיכה לאזור אחד תביא לחשיפתו של אזור אחר. החלטת המשיבים לפיה ראוי לכסות אזור כזה אך לא אחר מבוססת על שורה של נתונים והערכות, וביניהם מספר השיגורים המכוונים לכל אזור ומספרן של הנפילות בכל אזור, בהווה ובעבר, הערכות מודיעיניות בעניין רמות הסיכון באזורים שונים, מצב תשתיות המיגון המצויות בכל אזור ואזור, מידת יעילות המיגוניות בהתחשב בנתוניו הפיסיים של הישוב בו מדובר וכן מספרן הכולל של המיגוניות הזמינות להצבה</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בית המשפט ציין בפסק הדין כי "</w:t>
      </w:r>
      <w:r w:rsidRPr="00014C4D">
        <w:rPr>
          <w:rtl/>
        </w:rPr>
        <w:t>כך היה בשנת 2014, אז נמנעו המשיבים מהצבת מיגוניות בפזורה הבדואית,</w:t>
      </w:r>
      <w:r w:rsidRPr="00014C4D">
        <w:rPr>
          <w:rFonts w:hint="cs"/>
          <w:rtl/>
        </w:rPr>
        <w:t xml:space="preserve"> </w:t>
      </w:r>
      <w:r w:rsidRPr="00014C4D">
        <w:rPr>
          <w:rtl/>
        </w:rPr>
        <w:t xml:space="preserve">ומקל וחומר שכך הם פני הדברים כיום, עת מוצבות מיגוניות רבות בשטח הפזורה לצד אמצעי מיגון נוספים. ויודגש, כעולה מתגובת המשיבים, הצבת המיגוניות ואמצעי ההגנה האחרים בפזורה הבדואית נעשתה תוך התחשבות בכך שמדובר במשאב מוגבל, על בסיס תיעדוף מקצועי ומבצעי וחרף קיומם של קשיים הנוגעים להסדרה התכנונית ולאופי השטח. זאת כאשר בערים ויישובים סמוכים לפזורה הבדואית, הוצבו מיגוניות בודדות וברבים מיישובים אלה לא הוצבו מיגוניות או מגנני </w:t>
      </w:r>
      <w:r w:rsidRPr="00014C4D">
        <w:rPr>
          <w:rFonts w:hint="cs"/>
          <w:rtl/>
        </w:rPr>
        <w:t>'</w:t>
      </w:r>
      <w:r w:rsidRPr="00014C4D">
        <w:rPr>
          <w:rtl/>
        </w:rPr>
        <w:t>הסקו</w:t>
      </w:r>
      <w:r w:rsidRPr="00014C4D">
        <w:rPr>
          <w:rFonts w:hint="cs"/>
          <w:rtl/>
        </w:rPr>
        <w:t>'</w:t>
      </w:r>
      <w:r w:rsidRPr="00014C4D">
        <w:rPr>
          <w:rtl/>
        </w:rPr>
        <w:t xml:space="preserve"> כלל; וכאשר מנתוני </w:t>
      </w:r>
      <w:r w:rsidRPr="00014C4D">
        <w:rPr>
          <w:rFonts w:hint="cs"/>
          <w:rtl/>
        </w:rPr>
        <w:t>פקע"ר</w:t>
      </w:r>
      <w:r w:rsidRPr="00014C4D">
        <w:rPr>
          <w:rtl/>
        </w:rPr>
        <w:t xml:space="preserve"> עולה שמאז פרוץ מלחמת חרבות ברזל נפלו בפזורה 5 רקטות, מתוכן 3 ביום 7.10.2023 (זאת בהשוואה למשל לעיר אשקלון בה נפלו כ-100 רקטות מאז פרוץ המלחמה ועד להגשת תגובת המשיבים לעתירה).</w:t>
      </w:r>
      <w:r w:rsidRPr="00014C4D">
        <w:rPr>
          <w:rFonts w:hint="cs"/>
          <w:rtl/>
        </w:rPr>
        <w:t xml:space="preserve"> </w:t>
      </w:r>
      <w:r w:rsidRPr="00014C4D">
        <w:rPr>
          <w:rtl/>
        </w:rPr>
        <w:t>היעתרות לבקשת העותרים כי נורה למשיבים להציב פתרונות מיגון ברחבי הפזורה, פירושה הלכה למעשה כי בית משפט זה ייקבע את סדר העדיפויות בהקצאת משאבים</w:t>
      </w:r>
      <w:r w:rsidRPr="00014C4D">
        <w:rPr>
          <w:rFonts w:hint="cs"/>
          <w:rtl/>
        </w:rPr>
        <w:t>"</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בית המשפט הוסיף כי "</w:t>
      </w:r>
      <w:r w:rsidRPr="00014C4D">
        <w:rPr>
          <w:rtl/>
        </w:rPr>
        <w:t>הדברים האמורים לעיל נכונים גם בנוגע למיגון מבני ציבור לרבות מוסדות חינוך המצויים במרכזי השירותים שבפזורה. מתגובת המשיבים עולה כאמור כי הוצב מרחב מוגן מוסדי במרפאת אחד מכפרי הפזורה, וכי בימים אלה מוצבות 48 מיגוניות בתחנות הסעה שצפויות ליתן מענה מיגוני לבתי ספר ולכלל הציבור הנמצא במרכזי השירות ובסמוך להם. יוער בהקשר זה כי בדיון שנערך לפנינו הודיעו המשיבים כי בעת הצבתן של המיגוניות תיבחן האפשרות להגביר את המענה הניתן באמצעותן למוסדות חינוך, וחזקה כי הדבר ייעשה. לא למותר לציין כי מתגובת המשיבים עוד עולה שבימים אלה מקודם צו שיאפשר פטור מקבלת היתר בניה לצורך הקמת מרחבים מוגנים במרכזי השירותים של הפזורה. טיוטת הצו נדונה, פורסמה להערות הציבור מבלי שהתקבלו הערות לה, וכיום הצו מצוי בטיפול הגורמים הרלוונטיים במשרד המשפטים לקראת חתימה ופרסום</w:t>
      </w:r>
      <w:r w:rsidRPr="00014C4D">
        <w:rPr>
          <w:rFonts w:hint="cs"/>
          <w:rtl/>
        </w:rPr>
        <w:t>"</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מן האמור לעיל עולה כי במשך שנים ועד מלחמת חרבות ברזל שרר מצב שבו, ככלל, נעדר מיגון בפזורה הבדואית בנגב. על המדינה מוטלת חובה להגן על חייהם ושלמות גופם של אזרחיה ותושביה, ואולם החובה למגן מבנים פרטיים מוטלת על פי החוק על בעלי הנכסים, ועל הרשות המקומית מוטלת אחריות להקמתם והחזקתם של מרחבים מוגנים במרחב הציבורי. ואולם התיישבות הפזורה הבדואית אינה מוסדרת, ולא ניתן לבנות מרחבים מוגנים במתחמים לא-חוקיים. החוק מגדיר את תפקידיו וסמכויותיו של פקע"ר, הפועל כשירות ההתגוננות האזרחית, אולם לא מוטלת עליו החובה לבנות מרחבים מוגנים. </w:t>
      </w:r>
      <w:r w:rsidRPr="00014C4D">
        <w:rPr>
          <w:rtl/>
        </w:rPr>
        <w:t xml:space="preserve">מתוך תפיסת אחריות מרחיבה, </w:t>
      </w:r>
      <w:r w:rsidRPr="00014C4D">
        <w:rPr>
          <w:rFonts w:hint="cs"/>
          <w:rtl/>
        </w:rPr>
        <w:t>פקע"ר</w:t>
      </w:r>
      <w:r w:rsidRPr="00014C4D">
        <w:rPr>
          <w:rtl/>
        </w:rPr>
        <w:t xml:space="preserve"> פעל</w:t>
      </w:r>
      <w:r w:rsidRPr="00014C4D">
        <w:rPr>
          <w:rFonts w:hint="cs"/>
          <w:rtl/>
        </w:rPr>
        <w:t xml:space="preserve"> כאמור</w:t>
      </w:r>
      <w:r w:rsidRPr="00014C4D">
        <w:rPr>
          <w:rtl/>
        </w:rPr>
        <w:t xml:space="preserve"> בדרכים שונות </w:t>
      </w:r>
      <w:r w:rsidRPr="00014C4D">
        <w:rPr>
          <w:rFonts w:hint="cs"/>
          <w:rtl/>
        </w:rPr>
        <w:t xml:space="preserve">כדי </w:t>
      </w:r>
      <w:r w:rsidRPr="00014C4D">
        <w:rPr>
          <w:rtl/>
        </w:rPr>
        <w:t>לשפר את המיגון בפזורה הבדואית</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נוכח</w:t>
      </w:r>
      <w:r w:rsidRPr="00014C4D">
        <w:rPr>
          <w:b/>
          <w:bCs/>
          <w:rtl/>
        </w:rPr>
        <w:t xml:space="preserve"> </w:t>
      </w:r>
      <w:r w:rsidRPr="00014C4D">
        <w:rPr>
          <w:rFonts w:hint="cs"/>
          <w:b/>
          <w:bCs/>
          <w:rtl/>
        </w:rPr>
        <w:t>היעדר אמצעי מיגון</w:t>
      </w:r>
      <w:r w:rsidRPr="00014C4D">
        <w:rPr>
          <w:b/>
          <w:bCs/>
          <w:rtl/>
        </w:rPr>
        <w:t xml:space="preserve"> בפזורה </w:t>
      </w:r>
      <w:r w:rsidRPr="00014C4D">
        <w:rPr>
          <w:rFonts w:hint="cs"/>
          <w:b/>
          <w:bCs/>
          <w:rtl/>
        </w:rPr>
        <w:t>הבדואית בנגב והחשיפה של אוכלוסייה זו</w:t>
      </w:r>
      <w:r w:rsidRPr="00014C4D">
        <w:rPr>
          <w:b/>
          <w:bCs/>
          <w:rtl/>
        </w:rPr>
        <w:t xml:space="preserve"> </w:t>
      </w:r>
      <w:r w:rsidRPr="00014C4D">
        <w:rPr>
          <w:rFonts w:hint="cs"/>
          <w:b/>
          <w:bCs/>
          <w:rtl/>
        </w:rPr>
        <w:t>לפגיעה מטילים</w:t>
      </w:r>
      <w:r w:rsidRPr="00014C4D">
        <w:rPr>
          <w:b/>
          <w:bCs/>
          <w:rtl/>
        </w:rPr>
        <w:t xml:space="preserve">, מומלץ כי </w:t>
      </w:r>
      <w:r w:rsidRPr="00014C4D">
        <w:rPr>
          <w:rFonts w:hint="cs"/>
          <w:b/>
          <w:bCs/>
          <w:rtl/>
        </w:rPr>
        <w:t>הרשות להתיישבות הבדואים</w:t>
      </w:r>
      <w:r w:rsidRPr="00014C4D">
        <w:rPr>
          <w:b/>
          <w:bCs/>
          <w:rtl/>
        </w:rPr>
        <w:t>, בשיתוף פקע"ר, תגבש תוכנית מקיפה למיגון הפזורה הבדואית</w:t>
      </w:r>
      <w:r w:rsidRPr="00014C4D">
        <w:rPr>
          <w:rFonts w:hint="cs"/>
          <w:b/>
          <w:bCs/>
          <w:rtl/>
        </w:rPr>
        <w:t xml:space="preserve"> הכוללת </w:t>
      </w:r>
      <w:r w:rsidRPr="00014C4D">
        <w:rPr>
          <w:b/>
          <w:bCs/>
          <w:rtl/>
        </w:rPr>
        <w:t>מיפוי עדכני של היישובים הלא</w:t>
      </w:r>
      <w:r w:rsidRPr="00014C4D">
        <w:rPr>
          <w:rFonts w:hint="cs"/>
          <w:b/>
          <w:bCs/>
          <w:rtl/>
        </w:rPr>
        <w:t>-</w:t>
      </w:r>
      <w:r w:rsidRPr="00014C4D">
        <w:rPr>
          <w:b/>
          <w:bCs/>
          <w:rtl/>
        </w:rPr>
        <w:t>מוכרים ופתרונות מיגון מתאימים. תוכנית ז</w:t>
      </w:r>
      <w:r w:rsidRPr="00014C4D">
        <w:rPr>
          <w:rFonts w:hint="cs"/>
          <w:b/>
          <w:bCs/>
          <w:rtl/>
        </w:rPr>
        <w:t>ו</w:t>
      </w:r>
      <w:r w:rsidRPr="00014C4D">
        <w:rPr>
          <w:b/>
          <w:bCs/>
          <w:rtl/>
        </w:rPr>
        <w:t xml:space="preserve"> תסייע למקבלי ההחלטות בנוגע לתקצוב אמצעי מיגון שונים בהתאם לשיקולים מבצעיים ולצרכים ביטחוניים. </w:t>
      </w:r>
      <w:r w:rsidRPr="00014C4D">
        <w:rPr>
          <w:rFonts w:hint="cs"/>
          <w:b/>
          <w:bCs/>
          <w:rtl/>
        </w:rPr>
        <w:t xml:space="preserve">לצד זאת, יש </w:t>
      </w:r>
      <w:r w:rsidRPr="00014C4D">
        <w:rPr>
          <w:rFonts w:hint="eastAsia"/>
          <w:b/>
          <w:bCs/>
          <w:rtl/>
        </w:rPr>
        <w:t>להמשיך</w:t>
      </w:r>
      <w:r w:rsidRPr="00014C4D">
        <w:rPr>
          <w:rFonts w:hint="cs"/>
          <w:b/>
          <w:bCs/>
          <w:rtl/>
        </w:rPr>
        <w:t xml:space="preserve"> לפעול לקידום מעבר התושבים ליישובים המוסדרים בהם ניתן לבנות מרחבים מוגנים. </w:t>
      </w:r>
    </w:p>
    <w:p w:rsidR="00014C4D" w:rsidRPr="00014C4D" w:rsidRDefault="00014C4D" w:rsidP="00014C4D">
      <w:pPr>
        <w:spacing w:line="269" w:lineRule="auto"/>
        <w:ind w:left="-567"/>
        <w:rPr>
          <w:szCs w:val="20"/>
          <w:rtl/>
        </w:rPr>
      </w:pPr>
    </w:p>
    <w:p w:rsidR="00014C4D" w:rsidRPr="00014C4D" w:rsidRDefault="00014C4D" w:rsidP="00014C4D">
      <w:pPr>
        <w:overflowPunct w:val="0"/>
        <w:autoSpaceDE w:val="0"/>
        <w:autoSpaceDN w:val="0"/>
        <w:adjustRightInd w:val="0"/>
        <w:spacing w:line="269" w:lineRule="auto"/>
        <w:textAlignment w:val="baseline"/>
        <w:rPr>
          <w:rFonts w:ascii="Calibri" w:eastAsia="Calibri" w:hAnsi="Calibri"/>
          <w:sz w:val="24"/>
          <w:rtl/>
        </w:rPr>
      </w:pPr>
      <w:r w:rsidRPr="00014C4D">
        <w:rPr>
          <w:rtl/>
        </w:rPr>
        <w:t xml:space="preserve">הרשות להתיישבות הבדואים בנגב </w:t>
      </w:r>
      <w:r w:rsidRPr="00014C4D">
        <w:rPr>
          <w:rFonts w:hint="cs"/>
          <w:rtl/>
        </w:rPr>
        <w:t xml:space="preserve">מסרה בתשובתה למשרד מבקר המדינה ביוני 2025 כי </w:t>
      </w:r>
      <w:r w:rsidRPr="00014C4D">
        <w:rPr>
          <w:rtl/>
        </w:rPr>
        <w:t>אי</w:t>
      </w:r>
      <w:r w:rsidRPr="00014C4D">
        <w:rPr>
          <w:rFonts w:hint="cs"/>
          <w:rtl/>
        </w:rPr>
        <w:t>ן לה סמכות</w:t>
      </w:r>
      <w:r w:rsidRPr="00014C4D">
        <w:rPr>
          <w:rFonts w:ascii="Calibri" w:eastAsia="Calibri" w:hAnsi="Calibri" w:hint="cs"/>
          <w:sz w:val="24"/>
          <w:rtl/>
        </w:rPr>
        <w:t xml:space="preserve"> </w:t>
      </w:r>
      <w:r w:rsidRPr="00014C4D">
        <w:rPr>
          <w:rFonts w:ascii="Calibri" w:eastAsia="Calibri" w:hAnsi="Calibri"/>
          <w:sz w:val="24"/>
          <w:rtl/>
        </w:rPr>
        <w:t xml:space="preserve">בנושא זה והיא אינה מתוקצבת לשם כך. עם זאת, כפי שנעשה מפרוץ המלחמה, הרשות פועלת לסייע ככל </w:t>
      </w:r>
      <w:r w:rsidRPr="00014C4D">
        <w:rPr>
          <w:rFonts w:ascii="Calibri" w:eastAsia="Calibri" w:hAnsi="Calibri"/>
          <w:sz w:val="24"/>
          <w:rtl/>
        </w:rPr>
        <w:lastRenderedPageBreak/>
        <w:t>שביכולתה לפקע</w:t>
      </w:r>
      <w:r w:rsidRPr="00014C4D">
        <w:rPr>
          <w:rFonts w:ascii="Calibri" w:eastAsia="Calibri" w:hAnsi="Calibri" w:hint="cs"/>
          <w:sz w:val="24"/>
          <w:rtl/>
        </w:rPr>
        <w:t>"</w:t>
      </w:r>
      <w:r w:rsidRPr="00014C4D">
        <w:rPr>
          <w:rFonts w:ascii="Calibri" w:eastAsia="Calibri" w:hAnsi="Calibri"/>
          <w:sz w:val="24"/>
          <w:rtl/>
        </w:rPr>
        <w:t>ר</w:t>
      </w:r>
      <w:r w:rsidRPr="00014C4D">
        <w:rPr>
          <w:rFonts w:ascii="Calibri" w:eastAsia="Calibri" w:hAnsi="Calibri" w:hint="cs"/>
          <w:sz w:val="24"/>
          <w:rtl/>
        </w:rPr>
        <w:t xml:space="preserve">, </w:t>
      </w:r>
      <w:r w:rsidRPr="00014C4D">
        <w:rPr>
          <w:rFonts w:ascii="Calibri" w:eastAsia="Calibri" w:hAnsi="Calibri"/>
          <w:sz w:val="24"/>
          <w:rtl/>
        </w:rPr>
        <w:t xml:space="preserve">בעיקר באיתור </w:t>
      </w:r>
      <w:r w:rsidRPr="00014C4D">
        <w:rPr>
          <w:rFonts w:ascii="Calibri" w:eastAsia="Calibri" w:hAnsi="Calibri" w:hint="cs"/>
          <w:sz w:val="24"/>
          <w:rtl/>
        </w:rPr>
        <w:t>מקומות מתאימים</w:t>
      </w:r>
      <w:r w:rsidRPr="00014C4D">
        <w:rPr>
          <w:rFonts w:ascii="Calibri" w:eastAsia="Calibri" w:hAnsi="Calibri"/>
          <w:sz w:val="24"/>
          <w:rtl/>
        </w:rPr>
        <w:t xml:space="preserve"> להצבת אמצעי מיגון, לאור ה</w:t>
      </w:r>
      <w:r w:rsidRPr="00014C4D">
        <w:rPr>
          <w:rFonts w:ascii="Calibri" w:eastAsia="Calibri" w:hAnsi="Calibri" w:hint="cs"/>
          <w:sz w:val="24"/>
          <w:rtl/>
        </w:rPr>
        <w:t>י</w:t>
      </w:r>
      <w:r w:rsidRPr="00014C4D">
        <w:rPr>
          <w:rFonts w:ascii="Calibri" w:eastAsia="Calibri" w:hAnsi="Calibri"/>
          <w:sz w:val="24"/>
          <w:rtl/>
        </w:rPr>
        <w:t xml:space="preserve">כרותה </w:t>
      </w:r>
      <w:r w:rsidRPr="00014C4D">
        <w:rPr>
          <w:rFonts w:ascii="Calibri" w:eastAsia="Calibri" w:hAnsi="Calibri" w:hint="cs"/>
          <w:sz w:val="24"/>
          <w:rtl/>
        </w:rPr>
        <w:t xml:space="preserve">עם </w:t>
      </w:r>
      <w:r w:rsidRPr="00014C4D">
        <w:rPr>
          <w:rFonts w:ascii="Calibri" w:eastAsia="Calibri" w:hAnsi="Calibri"/>
          <w:sz w:val="24"/>
          <w:rtl/>
        </w:rPr>
        <w:t>השטח ו</w:t>
      </w:r>
      <w:r w:rsidRPr="00014C4D">
        <w:rPr>
          <w:rFonts w:ascii="Calibri" w:eastAsia="Calibri" w:hAnsi="Calibri" w:hint="cs"/>
          <w:sz w:val="24"/>
          <w:rtl/>
        </w:rPr>
        <w:t xml:space="preserve">עם </w:t>
      </w:r>
      <w:r w:rsidRPr="00014C4D">
        <w:rPr>
          <w:rFonts w:ascii="Calibri" w:eastAsia="Calibri" w:hAnsi="Calibri"/>
          <w:sz w:val="24"/>
          <w:rtl/>
        </w:rPr>
        <w:t>האוכלוסייה בפזורה</w:t>
      </w:r>
      <w:r w:rsidRPr="00014C4D">
        <w:rPr>
          <w:rFonts w:ascii="Calibri" w:eastAsia="Calibri" w:hAnsi="Calibri" w:hint="cs"/>
          <w:sz w:val="24"/>
          <w:rtl/>
        </w:rPr>
        <w:t>, וכן</w:t>
      </w:r>
      <w:r w:rsidRPr="00014C4D">
        <w:rPr>
          <w:rFonts w:ascii="Calibri" w:eastAsia="Calibri" w:hAnsi="Calibri"/>
          <w:sz w:val="24"/>
          <w:rtl/>
        </w:rPr>
        <w:t xml:space="preserve"> בגיוס תקציבים (דרך ת</w:t>
      </w:r>
      <w:r w:rsidRPr="00014C4D">
        <w:rPr>
          <w:rFonts w:ascii="Calibri" w:eastAsia="Calibri" w:hAnsi="Calibri" w:hint="cs"/>
          <w:sz w:val="24"/>
          <w:rtl/>
        </w:rPr>
        <w:t>ו</w:t>
      </w:r>
      <w:r w:rsidRPr="00014C4D">
        <w:rPr>
          <w:rFonts w:ascii="Calibri" w:eastAsia="Calibri" w:hAnsi="Calibri"/>
          <w:sz w:val="24"/>
          <w:rtl/>
        </w:rPr>
        <w:t>כנית החומש)</w:t>
      </w:r>
      <w:r w:rsidRPr="00014C4D">
        <w:rPr>
          <w:rFonts w:ascii="Calibri" w:eastAsia="Calibri" w:hAnsi="Calibri" w:hint="cs"/>
          <w:sz w:val="24"/>
          <w:rtl/>
        </w:rPr>
        <w:t>.</w:t>
      </w:r>
    </w:p>
    <w:p w:rsidR="00014C4D" w:rsidRPr="00014C4D" w:rsidRDefault="00014C4D" w:rsidP="00014C4D">
      <w:pPr>
        <w:spacing w:line="269" w:lineRule="auto"/>
        <w:rPr>
          <w:rtl/>
        </w:rPr>
      </w:pPr>
    </w:p>
    <w:p w:rsidR="00014C4D" w:rsidRPr="00014C4D" w:rsidRDefault="00014C4D" w:rsidP="00014C4D">
      <w:pPr>
        <w:keepNext/>
        <w:keepLines/>
        <w:spacing w:line="269" w:lineRule="auto"/>
        <w:jc w:val="center"/>
        <w:outlineLvl w:val="1"/>
        <w:rPr>
          <w:rFonts w:eastAsiaTheme="majorEastAsia"/>
          <w:bCs/>
          <w:szCs w:val="32"/>
          <w:rtl/>
        </w:rPr>
      </w:pPr>
      <w:r w:rsidRPr="00014C4D">
        <w:rPr>
          <w:rFonts w:eastAsiaTheme="majorEastAsia" w:hint="cs"/>
          <w:bCs/>
          <w:szCs w:val="32"/>
          <w:rtl/>
        </w:rPr>
        <w:t>החזקת מקלטים בבתים משותפים</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בקרה על מקלטים בבתים משותפים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rtl/>
        </w:rPr>
      </w:pPr>
      <w:r w:rsidRPr="00014C4D">
        <w:rPr>
          <w:rFonts w:hint="cs"/>
          <w:rtl/>
        </w:rPr>
        <w:t xml:space="preserve">סעיף 14א לחוק הג"א קובע כי </w:t>
      </w:r>
      <w:r w:rsidRPr="00014C4D">
        <w:rPr>
          <w:rtl/>
        </w:rPr>
        <w:t>דיירי בית חייבים לפנות מהמקלט של הבית את כל המיטלטלין שבו</w:t>
      </w:r>
      <w:r w:rsidRPr="00014C4D">
        <w:rPr>
          <w:rFonts w:hint="cs"/>
          <w:rtl/>
        </w:rPr>
        <w:t xml:space="preserve">, </w:t>
      </w:r>
      <w:r w:rsidRPr="00014C4D">
        <w:rPr>
          <w:rtl/>
        </w:rPr>
        <w:t>לשמור על נ</w:t>
      </w:r>
      <w:r w:rsidRPr="00014C4D">
        <w:rPr>
          <w:rFonts w:hint="cs"/>
          <w:rtl/>
        </w:rPr>
        <w:t>י</w:t>
      </w:r>
      <w:r w:rsidRPr="00014C4D">
        <w:rPr>
          <w:rtl/>
        </w:rPr>
        <w:t>קיו</w:t>
      </w:r>
      <w:r w:rsidRPr="00014C4D">
        <w:rPr>
          <w:rFonts w:hint="cs"/>
          <w:rtl/>
        </w:rPr>
        <w:t>נו</w:t>
      </w:r>
      <w:r w:rsidRPr="00014C4D">
        <w:rPr>
          <w:rtl/>
        </w:rPr>
        <w:t xml:space="preserve"> ולהחזיקו במצב המאפשר את השימוש בו בכל עת כמחסה מפני התקפה.</w:t>
      </w:r>
      <w:r w:rsidRPr="00014C4D">
        <w:rPr>
          <w:rFonts w:hint="cs"/>
          <w:rtl/>
        </w:rPr>
        <w:t xml:space="preserve"> </w:t>
      </w:r>
      <w:r w:rsidRPr="00014C4D">
        <w:rPr>
          <w:rFonts w:ascii="David" w:eastAsiaTheme="majorEastAsia" w:hAnsi="David" w:hint="cs"/>
          <w:rtl/>
        </w:rPr>
        <w:t>בסעיף 12</w:t>
      </w:r>
      <w:r w:rsidRPr="00014C4D">
        <w:rPr>
          <w:rFonts w:ascii="David" w:eastAsiaTheme="majorEastAsia" w:hAnsi="David"/>
          <w:rtl/>
        </w:rPr>
        <w:t>(א)(2)</w:t>
      </w:r>
      <w:r w:rsidRPr="00014C4D">
        <w:rPr>
          <w:rFonts w:ascii="David" w:eastAsiaTheme="majorEastAsia" w:hAnsi="David" w:hint="cs"/>
          <w:rtl/>
        </w:rPr>
        <w:t xml:space="preserve"> לחוק הג"א נקבע כי רשות מוסמכת (ראש הג"א או מפקד הג"א מחוזי [כיום מפקד פקע"ר] או כל אדם שהוסמך בכתב על ידי ראש הג"א להיות רשות מוסמכת) רשאית להורות לכל רשות מקומית שבתחום פעולתה של הרשות המוסמכת</w:t>
      </w:r>
      <w:r w:rsidRPr="00014C4D">
        <w:rPr>
          <w:rFonts w:ascii="David" w:eastAsiaTheme="majorEastAsia" w:hAnsi="David" w:hint="cs"/>
        </w:rPr>
        <w:t xml:space="preserve"> </w:t>
      </w:r>
      <w:r w:rsidRPr="00014C4D">
        <w:rPr>
          <w:rFonts w:ascii="David" w:eastAsiaTheme="majorEastAsia" w:hAnsi="David" w:hint="cs"/>
          <w:rtl/>
        </w:rPr>
        <w:t>ל</w:t>
      </w:r>
      <w:r w:rsidRPr="00014C4D">
        <w:rPr>
          <w:rFonts w:ascii="David" w:eastAsiaTheme="majorEastAsia" w:hAnsi="David"/>
          <w:rtl/>
        </w:rPr>
        <w:t xml:space="preserve">הבטיח את החזקתם התקינה </w:t>
      </w:r>
      <w:r w:rsidRPr="00014C4D">
        <w:rPr>
          <w:rFonts w:ascii="David" w:eastAsiaTheme="majorEastAsia" w:hAnsi="David" w:hint="cs"/>
          <w:rtl/>
        </w:rPr>
        <w:t xml:space="preserve">של מקלטים </w:t>
      </w:r>
      <w:r w:rsidRPr="00014C4D">
        <w:rPr>
          <w:rFonts w:ascii="David" w:eastAsiaTheme="majorEastAsia" w:hAnsi="David"/>
          <w:rtl/>
        </w:rPr>
        <w:t>על ידי בעלי בתים ובעלי מפעלים, בהתאם לדיני ההתגוננות האזרחית.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חוק הג"א קובע כי האחריות לתחזוקת המקלטים המשותפים חלה על הדיירים, והאחריות לבקרה ולאכיפה בתחום זה מוטלת על הרשות המקומית. במנחה לתחזוקת מקלטים ולשימוש דו-תכליתי במקלטים ברשויות המקומיות שפרסם פקע"ר ביולי 2019 ואשר עודכן ביוני 2024</w:t>
      </w:r>
      <w:r w:rsidRPr="00014C4D">
        <w:rPr>
          <w:vertAlign w:val="superscript"/>
          <w:rtl/>
        </w:rPr>
        <w:footnoteReference w:id="40"/>
      </w:r>
      <w:r w:rsidRPr="00014C4D">
        <w:rPr>
          <w:rFonts w:hint="cs"/>
          <w:rtl/>
        </w:rPr>
        <w:t xml:space="preserve"> (להלן - המנחה לתחזוקת מקלטים) נקבע בפרק על מקלטים פרטיים משותפים כי לצורך שיפור רמת הכשירות של מקלטים אלה, תפעל הרשות המקומית בהתאם להנחיות המפרט המובא בו. במפרט נקבע כי תדירות הביקורת של רובם המכריע של רכיבי המקלטים תהיה בין תלת-חודשית לשנתית.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בחוק הג"א נקבע שאם לא השתמשה הרשות המקומית בסמכויות</w:t>
      </w:r>
      <w:r w:rsidRPr="00014C4D">
        <w:rPr>
          <w:rFonts w:hint="cs"/>
          <w:rtl/>
        </w:rPr>
        <w:t xml:space="preserve"> מסוימות המוקנות לה</w:t>
      </w:r>
      <w:r w:rsidRPr="00014C4D">
        <w:rPr>
          <w:rtl/>
        </w:rPr>
        <w:t xml:space="preserve"> בנוגע להתקנתו ולתחזוקתו של מקלט בידי בעלי בתים ובעלי מפעלים, רשאי</w:t>
      </w:r>
      <w:r w:rsidRPr="00014C4D">
        <w:rPr>
          <w:rFonts w:hint="cs"/>
          <w:rtl/>
        </w:rPr>
        <w:t xml:space="preserve"> ראש הג"א</w:t>
      </w:r>
      <w:r w:rsidRPr="00014C4D">
        <w:rPr>
          <w:rtl/>
        </w:rPr>
        <w:t xml:space="preserve"> להורות לה להשתמש בסמכות זו. לא קיימה הרשות המקומית את ההוראה בתוך הזמן שנקבע, רשאי</w:t>
      </w:r>
      <w:r w:rsidRPr="00014C4D">
        <w:rPr>
          <w:rFonts w:hint="cs"/>
          <w:rtl/>
        </w:rPr>
        <w:t xml:space="preserve"> ראש הג"א</w:t>
      </w:r>
      <w:r w:rsidRPr="00014C4D">
        <w:rPr>
          <w:rtl/>
        </w:rPr>
        <w:t xml:space="preserve"> להשתמש באותה סמכות במקום הרשות המקומית לצורכי ביצוע ההוראה ו</w:t>
      </w:r>
      <w:r w:rsidRPr="00014C4D">
        <w:rPr>
          <w:rFonts w:hint="cs"/>
          <w:rtl/>
        </w:rPr>
        <w:t xml:space="preserve">לפעמים אף </w:t>
      </w:r>
      <w:r w:rsidRPr="00014C4D">
        <w:rPr>
          <w:rtl/>
        </w:rPr>
        <w:t>לחייב את הרשות המקומית לממן את הוצאות העבודה.</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ביצוע ביקורות יזומות ואכיפה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t>אשקלון</w:t>
      </w:r>
      <w:r w:rsidRPr="00014C4D">
        <w:rPr>
          <w:rFonts w:eastAsiaTheme="majorEastAsia"/>
          <w:bCs/>
          <w:spacing w:val="40"/>
          <w:rtl/>
        </w:rPr>
        <w:t>:</w:t>
      </w:r>
      <w:r w:rsidRPr="00014C4D">
        <w:rPr>
          <w:rtl/>
        </w:rPr>
        <w:t xml:space="preserve"> </w:t>
      </w:r>
      <w:r w:rsidRPr="00014C4D">
        <w:rPr>
          <w:rFonts w:hint="eastAsia"/>
          <w:rtl/>
        </w:rPr>
        <w:t>נמצא</w:t>
      </w:r>
      <w:r w:rsidRPr="00014C4D">
        <w:rPr>
          <w:rtl/>
        </w:rPr>
        <w:t xml:space="preserve"> </w:t>
      </w:r>
      <w:r w:rsidRPr="00014C4D">
        <w:rPr>
          <w:rFonts w:hint="eastAsia"/>
          <w:rtl/>
        </w:rPr>
        <w:t>כי</w:t>
      </w:r>
      <w:r w:rsidRPr="00014C4D">
        <w:rPr>
          <w:rtl/>
        </w:rPr>
        <w:t xml:space="preserve"> בשנים 2021 - עד 2023</w:t>
      </w:r>
      <w:r w:rsidRPr="00014C4D">
        <w:rPr>
          <w:rFonts w:hint="cs"/>
          <w:rtl/>
        </w:rPr>
        <w:t xml:space="preserve"> (אוקטובר) לא הכינה </w:t>
      </w:r>
      <w:r w:rsidRPr="00014C4D">
        <w:rPr>
          <w:rFonts w:hint="eastAsia"/>
          <w:rtl/>
        </w:rPr>
        <w:t>עיריית</w:t>
      </w:r>
      <w:r w:rsidRPr="00014C4D">
        <w:rPr>
          <w:rtl/>
        </w:rPr>
        <w:t xml:space="preserve"> </w:t>
      </w:r>
      <w:r w:rsidRPr="00014C4D">
        <w:rPr>
          <w:rFonts w:hint="eastAsia"/>
          <w:rtl/>
        </w:rPr>
        <w:t>אשקלון</w:t>
      </w:r>
      <w:r w:rsidRPr="00014C4D">
        <w:rPr>
          <w:rtl/>
        </w:rPr>
        <w:t xml:space="preserve"> </w:t>
      </w:r>
      <w:r w:rsidRPr="00014C4D">
        <w:rPr>
          <w:rFonts w:hint="eastAsia"/>
          <w:rtl/>
        </w:rPr>
        <w:t>תוכנית</w:t>
      </w:r>
      <w:r w:rsidRPr="00014C4D">
        <w:rPr>
          <w:rtl/>
        </w:rPr>
        <w:t xml:space="preserve"> עבודה לביקורות יזומות לבדיקת מקלטים בבתים משותפים ולא ביצע</w:t>
      </w:r>
      <w:r w:rsidRPr="00014C4D">
        <w:rPr>
          <w:rFonts w:hint="eastAsia"/>
          <w:rtl/>
        </w:rPr>
        <w:t>ה</w:t>
      </w:r>
      <w:r w:rsidRPr="00014C4D">
        <w:rPr>
          <w:rtl/>
        </w:rPr>
        <w:t xml:space="preserve"> ביקורות כאלה</w:t>
      </w:r>
      <w:r w:rsidRPr="00014C4D">
        <w:rPr>
          <w:rFonts w:hint="cs"/>
          <w:rtl/>
        </w:rPr>
        <w:t>, כנדרש במנחה לתחזוקת מקלטים</w:t>
      </w:r>
      <w:r w:rsidRPr="00014C4D">
        <w:rPr>
          <w:rtl/>
        </w:rPr>
        <w:t>.</w:t>
      </w:r>
      <w:r w:rsidRPr="00014C4D">
        <w:rPr>
          <w:rFonts w:hint="cs"/>
          <w:rtl/>
        </w:rPr>
        <w:t xml:space="preserve"> רק</w:t>
      </w:r>
      <w:r w:rsidRPr="00014C4D">
        <w:rPr>
          <w:rtl/>
        </w:rPr>
        <w:t xml:space="preserve"> </w:t>
      </w:r>
      <w:r w:rsidRPr="00014C4D">
        <w:rPr>
          <w:rFonts w:hint="eastAsia"/>
          <w:rtl/>
        </w:rPr>
        <w:t>לאחר</w:t>
      </w:r>
      <w:r w:rsidRPr="00014C4D">
        <w:rPr>
          <w:rtl/>
        </w:rPr>
        <w:t xml:space="preserve"> פרוץ מלחמת חרבות ברזל, </w:t>
      </w:r>
      <w:r w:rsidRPr="00014C4D">
        <w:rPr>
          <w:rFonts w:hint="cs"/>
          <w:rtl/>
        </w:rPr>
        <w:t>מ-</w:t>
      </w:r>
      <w:r w:rsidRPr="00014C4D">
        <w:rPr>
          <w:rtl/>
        </w:rPr>
        <w:t>24.10.23 (</w:t>
      </w:r>
      <w:r w:rsidRPr="00014C4D">
        <w:rPr>
          <w:rFonts w:hint="eastAsia"/>
          <w:rtl/>
        </w:rPr>
        <w:t>כשבועיים</w:t>
      </w:r>
      <w:r w:rsidRPr="00014C4D">
        <w:rPr>
          <w:rtl/>
        </w:rPr>
        <w:t xml:space="preserve"> </w:t>
      </w:r>
      <w:r w:rsidRPr="00014C4D">
        <w:rPr>
          <w:rFonts w:hint="eastAsia"/>
          <w:rtl/>
        </w:rPr>
        <w:t>לאחר</w:t>
      </w:r>
      <w:r w:rsidRPr="00014C4D">
        <w:rPr>
          <w:rtl/>
        </w:rPr>
        <w:t xml:space="preserve"> </w:t>
      </w:r>
      <w:r w:rsidRPr="00014C4D">
        <w:rPr>
          <w:rFonts w:hint="eastAsia"/>
          <w:rtl/>
        </w:rPr>
        <w:t>תחילת</w:t>
      </w:r>
      <w:r w:rsidRPr="00014C4D">
        <w:rPr>
          <w:rtl/>
        </w:rPr>
        <w:t xml:space="preserve"> </w:t>
      </w:r>
      <w:r w:rsidRPr="00014C4D">
        <w:rPr>
          <w:rFonts w:hint="eastAsia"/>
          <w:rtl/>
        </w:rPr>
        <w:t>המ</w:t>
      </w:r>
      <w:r w:rsidRPr="00014C4D">
        <w:rPr>
          <w:rFonts w:hint="cs"/>
          <w:rtl/>
        </w:rPr>
        <w:t>לחמה</w:t>
      </w:r>
      <w:r w:rsidRPr="00014C4D">
        <w:rPr>
          <w:rtl/>
        </w:rPr>
        <w:t xml:space="preserve">) ועד 31.10.23, </w:t>
      </w:r>
      <w:r w:rsidRPr="00014C4D">
        <w:rPr>
          <w:rFonts w:hint="eastAsia"/>
          <w:rtl/>
        </w:rPr>
        <w:t>עשתה</w:t>
      </w:r>
      <w:r w:rsidRPr="00014C4D">
        <w:rPr>
          <w:rtl/>
        </w:rPr>
        <w:t xml:space="preserve"> </w:t>
      </w:r>
      <w:r w:rsidRPr="00014C4D">
        <w:rPr>
          <w:rFonts w:hint="eastAsia"/>
          <w:rtl/>
        </w:rPr>
        <w:t>עיריית</w:t>
      </w:r>
      <w:r w:rsidRPr="00014C4D">
        <w:rPr>
          <w:rtl/>
        </w:rPr>
        <w:t xml:space="preserve"> </w:t>
      </w:r>
      <w:r w:rsidRPr="00014C4D">
        <w:rPr>
          <w:rFonts w:hint="eastAsia"/>
          <w:rtl/>
        </w:rPr>
        <w:t>אשקלון</w:t>
      </w:r>
      <w:r w:rsidRPr="00014C4D">
        <w:rPr>
          <w:rtl/>
        </w:rPr>
        <w:t xml:space="preserve"> 296 </w:t>
      </w:r>
      <w:r w:rsidRPr="00014C4D">
        <w:rPr>
          <w:rFonts w:hint="eastAsia"/>
          <w:rtl/>
        </w:rPr>
        <w:t>ביקורות</w:t>
      </w:r>
      <w:r w:rsidRPr="00014C4D">
        <w:rPr>
          <w:rtl/>
        </w:rPr>
        <w:t xml:space="preserve"> </w:t>
      </w:r>
      <w:r w:rsidRPr="00014C4D">
        <w:rPr>
          <w:rFonts w:hint="eastAsia"/>
          <w:rtl/>
        </w:rPr>
        <w:t>יזומות</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lastRenderedPageBreak/>
        <w:t>גבעתיים</w:t>
      </w:r>
      <w:r w:rsidRPr="00014C4D">
        <w:rPr>
          <w:rFonts w:eastAsiaTheme="majorEastAsia"/>
          <w:bCs/>
          <w:spacing w:val="40"/>
          <w:rtl/>
        </w:rPr>
        <w:t>:</w:t>
      </w:r>
      <w:r w:rsidRPr="00014C4D">
        <w:rPr>
          <w:b/>
          <w:bCs/>
          <w:rtl/>
        </w:rPr>
        <w:t xml:space="preserve"> </w:t>
      </w:r>
      <w:r w:rsidRPr="00014C4D">
        <w:rPr>
          <w:rtl/>
        </w:rPr>
        <w:t xml:space="preserve">נמצא כי בשנים 2021 - </w:t>
      </w:r>
      <w:r w:rsidRPr="00014C4D">
        <w:rPr>
          <w:rFonts w:hint="cs"/>
          <w:rtl/>
        </w:rPr>
        <w:t xml:space="preserve">2024 לא הכינה </w:t>
      </w:r>
      <w:r w:rsidRPr="00014C4D">
        <w:rPr>
          <w:rtl/>
        </w:rPr>
        <w:t xml:space="preserve">עיריית גבעתיים </w:t>
      </w:r>
      <w:r w:rsidRPr="00014C4D">
        <w:rPr>
          <w:rFonts w:hint="eastAsia"/>
          <w:rtl/>
        </w:rPr>
        <w:t>תוכנית</w:t>
      </w:r>
      <w:r w:rsidRPr="00014C4D">
        <w:rPr>
          <w:rtl/>
        </w:rPr>
        <w:t xml:space="preserve"> עבודה לביקורות יזומות לבדיקת מקלטים בבתים משותפים ולא ביצעה ביקורות כאלה</w:t>
      </w:r>
      <w:r w:rsidRPr="00014C4D">
        <w:rPr>
          <w:rFonts w:hint="cs"/>
          <w:rtl/>
        </w:rPr>
        <w:t>, כנדרש במנחה לתחזוקת מקלטים</w:t>
      </w:r>
      <w:r w:rsidRPr="00014C4D">
        <w:rPr>
          <w:rtl/>
        </w:rPr>
        <w:t xml:space="preserve">. </w:t>
      </w:r>
      <w:r w:rsidRPr="00014C4D">
        <w:rPr>
          <w:rFonts w:hint="eastAsia"/>
          <w:rtl/>
        </w:rPr>
        <w:t>בשנים</w:t>
      </w:r>
      <w:r w:rsidRPr="00014C4D">
        <w:rPr>
          <w:rtl/>
        </w:rPr>
        <w:t xml:space="preserve"> אלו עשתה </w:t>
      </w:r>
      <w:r w:rsidRPr="00014C4D">
        <w:rPr>
          <w:rFonts w:hint="cs"/>
          <w:rtl/>
        </w:rPr>
        <w:t>ה</w:t>
      </w:r>
      <w:r w:rsidRPr="00014C4D">
        <w:rPr>
          <w:rtl/>
        </w:rPr>
        <w:t>עיריי</w:t>
      </w:r>
      <w:r w:rsidRPr="00014C4D">
        <w:rPr>
          <w:rFonts w:hint="cs"/>
          <w:rtl/>
        </w:rPr>
        <w:t>ה</w:t>
      </w:r>
      <w:r w:rsidRPr="00014C4D">
        <w:rPr>
          <w:rtl/>
        </w:rPr>
        <w:t xml:space="preserve"> בדיקות רק </w:t>
      </w:r>
      <w:r w:rsidRPr="00014C4D">
        <w:rPr>
          <w:rFonts w:hint="eastAsia"/>
          <w:rtl/>
        </w:rPr>
        <w:t>בעקבות</w:t>
      </w:r>
      <w:r w:rsidRPr="00014C4D">
        <w:rPr>
          <w:rtl/>
        </w:rPr>
        <w:t xml:space="preserve"> </w:t>
      </w:r>
      <w:r w:rsidRPr="00014C4D">
        <w:rPr>
          <w:rFonts w:hint="eastAsia"/>
          <w:rtl/>
        </w:rPr>
        <w:t>פניות</w:t>
      </w:r>
      <w:r w:rsidRPr="00014C4D">
        <w:rPr>
          <w:rtl/>
        </w:rPr>
        <w:t xml:space="preserve"> </w:t>
      </w:r>
      <w:r w:rsidRPr="00014C4D">
        <w:rPr>
          <w:rFonts w:hint="eastAsia"/>
          <w:rtl/>
        </w:rPr>
        <w:t>תושבים</w:t>
      </w:r>
      <w:r w:rsidRPr="00014C4D">
        <w:rPr>
          <w:rtl/>
        </w:rPr>
        <w:t xml:space="preserve">. </w:t>
      </w:r>
      <w:r w:rsidRPr="00014C4D">
        <w:rPr>
          <w:rFonts w:hint="eastAsia"/>
          <w:rtl/>
        </w:rPr>
        <w:t>על</w:t>
      </w:r>
      <w:r w:rsidRPr="00014C4D">
        <w:rPr>
          <w:rtl/>
        </w:rPr>
        <w:t xml:space="preserve"> </w:t>
      </w:r>
      <w:r w:rsidRPr="00014C4D">
        <w:rPr>
          <w:rFonts w:hint="eastAsia"/>
          <w:rtl/>
        </w:rPr>
        <w:t>פי</w:t>
      </w:r>
      <w:r w:rsidRPr="00014C4D">
        <w:rPr>
          <w:rtl/>
        </w:rPr>
        <w:t xml:space="preserve"> </w:t>
      </w:r>
      <w:r w:rsidRPr="00014C4D">
        <w:rPr>
          <w:rFonts w:hint="eastAsia"/>
          <w:rtl/>
        </w:rPr>
        <w:t>הסברי</w:t>
      </w:r>
      <w:r w:rsidRPr="00014C4D">
        <w:rPr>
          <w:rtl/>
        </w:rPr>
        <w:t xml:space="preserve"> </w:t>
      </w:r>
      <w:r w:rsidRPr="00014C4D">
        <w:rPr>
          <w:rFonts w:hint="eastAsia"/>
          <w:rtl/>
        </w:rPr>
        <w:t>העירייה</w:t>
      </w:r>
      <w:r w:rsidRPr="00014C4D">
        <w:rPr>
          <w:rtl/>
        </w:rPr>
        <w:t xml:space="preserve"> מרבית</w:t>
      </w:r>
      <w:r w:rsidRPr="00014C4D">
        <w:rPr>
          <w:rFonts w:hint="cs"/>
          <w:rtl/>
        </w:rPr>
        <w:t xml:space="preserve"> </w:t>
      </w:r>
      <w:r w:rsidRPr="00014C4D">
        <w:rPr>
          <w:rtl/>
        </w:rPr>
        <w:t>הפניות היו</w:t>
      </w:r>
      <w:r w:rsidRPr="00014C4D">
        <w:rPr>
          <w:rFonts w:hint="cs"/>
          <w:rtl/>
        </w:rPr>
        <w:t xml:space="preserve"> </w:t>
      </w:r>
      <w:r w:rsidRPr="00014C4D">
        <w:rPr>
          <w:rtl/>
        </w:rPr>
        <w:t>על מקלט</w:t>
      </w:r>
      <w:r w:rsidRPr="00014C4D">
        <w:rPr>
          <w:rFonts w:hint="eastAsia"/>
          <w:rtl/>
        </w:rPr>
        <w:t>ים</w:t>
      </w:r>
      <w:r w:rsidRPr="00014C4D">
        <w:rPr>
          <w:rtl/>
        </w:rPr>
        <w:t xml:space="preserve"> עמוסים בחפצים ו</w:t>
      </w:r>
      <w:r w:rsidRPr="00014C4D">
        <w:rPr>
          <w:rFonts w:hint="eastAsia"/>
          <w:rtl/>
        </w:rPr>
        <w:t>ב</w:t>
      </w:r>
      <w:r w:rsidRPr="00014C4D">
        <w:rPr>
          <w:rtl/>
        </w:rPr>
        <w:t>גרוטאות ומ</w:t>
      </w:r>
      <w:r w:rsidRPr="00014C4D">
        <w:rPr>
          <w:rFonts w:hint="eastAsia"/>
          <w:rtl/>
        </w:rPr>
        <w:t>קצתן</w:t>
      </w:r>
      <w:r w:rsidRPr="00014C4D">
        <w:rPr>
          <w:rtl/>
        </w:rPr>
        <w:t xml:space="preserve"> על מקלט</w:t>
      </w:r>
      <w:r w:rsidRPr="00014C4D">
        <w:rPr>
          <w:rFonts w:hint="eastAsia"/>
          <w:rtl/>
        </w:rPr>
        <w:t>ים</w:t>
      </w:r>
      <w:r w:rsidRPr="00014C4D">
        <w:rPr>
          <w:rtl/>
        </w:rPr>
        <w:t xml:space="preserve"> נעול</w:t>
      </w:r>
      <w:r w:rsidRPr="00014C4D">
        <w:rPr>
          <w:rFonts w:hint="eastAsia"/>
          <w:rtl/>
        </w:rPr>
        <w:t>ים</w:t>
      </w:r>
      <w:r w:rsidRPr="00014C4D">
        <w:rPr>
          <w:rtl/>
        </w:rPr>
        <w:t xml:space="preserve"> (ראו נתונים בלוח 2 להלן).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yellow"/>
          <w:rtl/>
        </w:rPr>
      </w:pPr>
      <w:r w:rsidRPr="00014C4D">
        <w:rPr>
          <w:rFonts w:eastAsiaTheme="majorEastAsia" w:hint="eastAsia"/>
          <w:bCs/>
          <w:spacing w:val="40"/>
          <w:rtl/>
        </w:rPr>
        <w:t>חולון</w:t>
      </w:r>
      <w:r w:rsidRPr="00014C4D">
        <w:rPr>
          <w:rFonts w:eastAsiaTheme="majorEastAsia"/>
          <w:bCs/>
          <w:spacing w:val="40"/>
          <w:rtl/>
        </w:rPr>
        <w:t>:</w:t>
      </w:r>
      <w:r w:rsidRPr="00014C4D">
        <w:rPr>
          <w:rFonts w:hint="cs"/>
          <w:b/>
          <w:bCs/>
          <w:rtl/>
        </w:rPr>
        <w:t xml:space="preserve"> </w:t>
      </w:r>
      <w:r w:rsidRPr="00014C4D">
        <w:rPr>
          <w:rFonts w:hint="cs"/>
          <w:rtl/>
        </w:rPr>
        <w:t xml:space="preserve">בכל אחת מהשנים 2021 - 2023 הכינה עיריית </w:t>
      </w:r>
      <w:r w:rsidRPr="00014C4D">
        <w:rPr>
          <w:rFonts w:hint="eastAsia"/>
          <w:rtl/>
        </w:rPr>
        <w:t>חולון</w:t>
      </w:r>
      <w:r w:rsidRPr="00014C4D">
        <w:rPr>
          <w:rFonts w:hint="cs"/>
          <w:b/>
          <w:bCs/>
          <w:rtl/>
        </w:rPr>
        <w:t xml:space="preserve"> </w:t>
      </w:r>
      <w:r w:rsidRPr="00014C4D">
        <w:rPr>
          <w:rFonts w:hint="cs"/>
          <w:rtl/>
        </w:rPr>
        <w:t xml:space="preserve">תוכניות לבדיקת מקלטים בבתים משותפים. העירייה ביצעה בדיקות יזומות בהיקף של 554, 223, 600 בהתאמה.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נמצא</w:t>
      </w:r>
      <w:r w:rsidRPr="00014C4D">
        <w:rPr>
          <w:rtl/>
        </w:rPr>
        <w:t xml:space="preserve"> כי מספר הבדיקות היזומות שעשתה </w:t>
      </w:r>
      <w:r w:rsidRPr="00014C4D">
        <w:rPr>
          <w:rFonts w:hint="eastAsia"/>
          <w:rtl/>
        </w:rPr>
        <w:t>עיריית</w:t>
      </w:r>
      <w:r w:rsidRPr="00014C4D">
        <w:rPr>
          <w:rtl/>
        </w:rPr>
        <w:t xml:space="preserve"> </w:t>
      </w:r>
      <w:r w:rsidRPr="00014C4D">
        <w:rPr>
          <w:rFonts w:hint="eastAsia"/>
          <w:rtl/>
        </w:rPr>
        <w:t>חולון</w:t>
      </w:r>
      <w:r w:rsidRPr="00014C4D">
        <w:rPr>
          <w:rtl/>
        </w:rPr>
        <w:t xml:space="preserve"> </w:t>
      </w:r>
      <w:r w:rsidRPr="00014C4D">
        <w:rPr>
          <w:rFonts w:hint="eastAsia"/>
          <w:rtl/>
        </w:rPr>
        <w:t>במקלטים</w:t>
      </w:r>
      <w:r w:rsidRPr="00014C4D">
        <w:rPr>
          <w:rtl/>
        </w:rPr>
        <w:t xml:space="preserve"> </w:t>
      </w:r>
      <w:r w:rsidRPr="00014C4D">
        <w:rPr>
          <w:rFonts w:hint="eastAsia"/>
          <w:rtl/>
        </w:rPr>
        <w:t>בבתים</w:t>
      </w:r>
      <w:r w:rsidRPr="00014C4D">
        <w:rPr>
          <w:rtl/>
        </w:rPr>
        <w:t xml:space="preserve"> </w:t>
      </w:r>
      <w:r w:rsidRPr="00014C4D">
        <w:rPr>
          <w:rFonts w:hint="eastAsia"/>
          <w:rtl/>
        </w:rPr>
        <w:t>המשותפים</w:t>
      </w:r>
      <w:r w:rsidRPr="00014C4D">
        <w:rPr>
          <w:rtl/>
        </w:rPr>
        <w:t xml:space="preserve"> </w:t>
      </w:r>
      <w:r w:rsidRPr="00014C4D">
        <w:rPr>
          <w:rFonts w:hint="eastAsia"/>
          <w:rtl/>
        </w:rPr>
        <w:t>בשנים</w:t>
      </w:r>
      <w:r w:rsidRPr="00014C4D">
        <w:rPr>
          <w:rtl/>
        </w:rPr>
        <w:t xml:space="preserve"> 2021 - 2023 (בין </w:t>
      </w:r>
      <w:r w:rsidRPr="00014C4D">
        <w:rPr>
          <w:rFonts w:hint="cs"/>
          <w:rtl/>
        </w:rPr>
        <w:t>223 ל-600</w:t>
      </w:r>
      <w:r w:rsidRPr="00014C4D">
        <w:rPr>
          <w:rtl/>
        </w:rPr>
        <w:t xml:space="preserve">) </w:t>
      </w:r>
      <w:r w:rsidRPr="00014C4D">
        <w:rPr>
          <w:rFonts w:hint="eastAsia"/>
          <w:rtl/>
        </w:rPr>
        <w:t>ביחס</w:t>
      </w:r>
      <w:r w:rsidRPr="00014C4D">
        <w:rPr>
          <w:rtl/>
        </w:rPr>
        <w:t xml:space="preserve"> </w:t>
      </w:r>
      <w:r w:rsidRPr="00014C4D">
        <w:rPr>
          <w:rFonts w:hint="eastAsia"/>
          <w:rtl/>
        </w:rPr>
        <w:t>למספר</w:t>
      </w:r>
      <w:r w:rsidRPr="00014C4D">
        <w:rPr>
          <w:rtl/>
        </w:rPr>
        <w:t xml:space="preserve"> </w:t>
      </w:r>
      <w:r w:rsidRPr="00014C4D">
        <w:rPr>
          <w:rFonts w:hint="eastAsia"/>
          <w:rtl/>
        </w:rPr>
        <w:t>הבתים</w:t>
      </w:r>
      <w:r w:rsidRPr="00014C4D">
        <w:rPr>
          <w:rtl/>
        </w:rPr>
        <w:t xml:space="preserve"> </w:t>
      </w:r>
      <w:r w:rsidRPr="00014C4D">
        <w:rPr>
          <w:rFonts w:hint="eastAsia"/>
          <w:rtl/>
        </w:rPr>
        <w:t>המשותפים</w:t>
      </w:r>
      <w:r w:rsidRPr="00014C4D">
        <w:rPr>
          <w:rtl/>
        </w:rPr>
        <w:t xml:space="preserve"> (36,150 </w:t>
      </w:r>
      <w:r w:rsidRPr="00014C4D">
        <w:rPr>
          <w:rFonts w:hint="cs"/>
          <w:rtl/>
        </w:rPr>
        <w:t xml:space="preserve">בתים משותפים </w:t>
      </w:r>
      <w:r w:rsidRPr="00014C4D">
        <w:rPr>
          <w:rFonts w:hint="eastAsia"/>
          <w:rtl/>
        </w:rPr>
        <w:t>נכון</w:t>
      </w:r>
      <w:r w:rsidRPr="00014C4D">
        <w:rPr>
          <w:rtl/>
        </w:rPr>
        <w:t xml:space="preserve"> </w:t>
      </w:r>
      <w:r w:rsidRPr="00014C4D">
        <w:rPr>
          <w:rFonts w:hint="eastAsia"/>
          <w:rtl/>
        </w:rPr>
        <w:t>למרץ</w:t>
      </w:r>
      <w:r w:rsidRPr="00014C4D">
        <w:rPr>
          <w:rtl/>
        </w:rPr>
        <w:t xml:space="preserve"> 2024) </w:t>
      </w:r>
      <w:r w:rsidRPr="00014C4D">
        <w:rPr>
          <w:rFonts w:hint="eastAsia"/>
          <w:rtl/>
        </w:rPr>
        <w:t>היה</w:t>
      </w:r>
      <w:r w:rsidRPr="00014C4D">
        <w:rPr>
          <w:rtl/>
        </w:rPr>
        <w:t xml:space="preserve"> </w:t>
      </w:r>
      <w:r w:rsidRPr="00014C4D">
        <w:rPr>
          <w:rFonts w:hint="eastAsia"/>
          <w:rtl/>
        </w:rPr>
        <w:t>מזערי</w:t>
      </w:r>
      <w:r w:rsidRPr="00014C4D">
        <w:rPr>
          <w:rtl/>
        </w:rPr>
        <w:t xml:space="preserve"> </w:t>
      </w:r>
      <w:r w:rsidRPr="00014C4D">
        <w:rPr>
          <w:rFonts w:hint="eastAsia"/>
          <w:rtl/>
        </w:rPr>
        <w:t>ו</w:t>
      </w:r>
      <w:r w:rsidRPr="00014C4D">
        <w:rPr>
          <w:rFonts w:hint="cs"/>
          <w:rtl/>
        </w:rPr>
        <w:t>שיעורן</w:t>
      </w:r>
      <w:r w:rsidRPr="00014C4D">
        <w:rPr>
          <w:rtl/>
        </w:rPr>
        <w:t xml:space="preserve"> </w:t>
      </w:r>
      <w:r w:rsidRPr="00014C4D">
        <w:rPr>
          <w:rFonts w:hint="eastAsia"/>
          <w:rtl/>
        </w:rPr>
        <w:t>נע</w:t>
      </w:r>
      <w:r w:rsidRPr="00014C4D">
        <w:rPr>
          <w:rtl/>
        </w:rPr>
        <w:t xml:space="preserve"> </w:t>
      </w:r>
      <w:r w:rsidRPr="00014C4D">
        <w:rPr>
          <w:rFonts w:hint="eastAsia"/>
          <w:rtl/>
        </w:rPr>
        <w:t>בין</w:t>
      </w:r>
      <w:r w:rsidRPr="00014C4D">
        <w:rPr>
          <w:rFonts w:hint="cs"/>
          <w:rtl/>
        </w:rPr>
        <w:t xml:space="preserve"> כ-0.6% </w:t>
      </w:r>
      <w:r w:rsidRPr="00014C4D">
        <w:rPr>
          <w:rtl/>
        </w:rPr>
        <w:t>ל</w:t>
      </w:r>
      <w:r w:rsidRPr="00014C4D">
        <w:rPr>
          <w:rFonts w:hint="cs"/>
          <w:rtl/>
        </w:rPr>
        <w:t>כ</w:t>
      </w:r>
      <w:r w:rsidRPr="00014C4D">
        <w:rPr>
          <w:rtl/>
        </w:rPr>
        <w:t>-</w:t>
      </w:r>
      <w:r w:rsidRPr="00014C4D">
        <w:rPr>
          <w:rFonts w:hint="cs"/>
          <w:rtl/>
        </w:rPr>
        <w:t>1.7</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עוד</w:t>
      </w:r>
      <w:r w:rsidRPr="00014C4D">
        <w:rPr>
          <w:rtl/>
        </w:rPr>
        <w:t xml:space="preserve"> נמצא כי </w:t>
      </w:r>
      <w:r w:rsidRPr="00014C4D">
        <w:rPr>
          <w:rFonts w:hint="eastAsia"/>
          <w:rtl/>
        </w:rPr>
        <w:t>רק</w:t>
      </w:r>
      <w:r w:rsidRPr="00014C4D">
        <w:rPr>
          <w:rtl/>
        </w:rPr>
        <w:t xml:space="preserve"> 191 </w:t>
      </w:r>
      <w:r w:rsidRPr="00014C4D">
        <w:rPr>
          <w:rFonts w:hint="eastAsia"/>
          <w:rtl/>
        </w:rPr>
        <w:t>מתוך</w:t>
      </w:r>
      <w:r w:rsidRPr="00014C4D">
        <w:rPr>
          <w:rtl/>
        </w:rPr>
        <w:t xml:space="preserve"> 600 (24%) </w:t>
      </w:r>
      <w:r w:rsidRPr="00014C4D">
        <w:rPr>
          <w:rFonts w:hint="eastAsia"/>
          <w:rtl/>
        </w:rPr>
        <w:t>ה</w:t>
      </w:r>
      <w:r w:rsidRPr="00014C4D">
        <w:rPr>
          <w:rtl/>
        </w:rPr>
        <w:t xml:space="preserve">בדיקות </w:t>
      </w:r>
      <w:r w:rsidRPr="00014C4D">
        <w:rPr>
          <w:rFonts w:hint="eastAsia"/>
          <w:rtl/>
        </w:rPr>
        <w:t>ה</w:t>
      </w:r>
      <w:r w:rsidRPr="00014C4D">
        <w:rPr>
          <w:rtl/>
        </w:rPr>
        <w:t xml:space="preserve">יזומות במקלטים בבתים המשותפים שעשתה עיריית חולון בשנת 2023 בוצעו </w:t>
      </w:r>
      <w:r w:rsidRPr="00014C4D">
        <w:rPr>
          <w:rFonts w:hint="eastAsia"/>
          <w:rtl/>
        </w:rPr>
        <w:t>לפני</w:t>
      </w:r>
      <w:r w:rsidRPr="00014C4D">
        <w:rPr>
          <w:rtl/>
        </w:rPr>
        <w:t xml:space="preserve"> 7.10, ושאר 600 </w:t>
      </w:r>
      <w:r w:rsidRPr="00014C4D">
        <w:rPr>
          <w:rFonts w:hint="eastAsia"/>
          <w:rtl/>
        </w:rPr>
        <w:t>הבדיקות</w:t>
      </w:r>
      <w:r w:rsidRPr="00014C4D">
        <w:rPr>
          <w:rtl/>
        </w:rPr>
        <w:t xml:space="preserve"> נעשו רק לאחר תחילת המלחמה.</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eastAsia"/>
          <w:rtl/>
        </w:rPr>
        <w:lastRenderedPageBreak/>
        <w:t>לוח</w:t>
      </w:r>
      <w:r w:rsidRPr="00014C4D">
        <w:rPr>
          <w:rFonts w:hint="cs"/>
          <w:rtl/>
        </w:rPr>
        <w:t xml:space="preserve"> </w:t>
      </w:r>
      <w:r w:rsidRPr="00014C4D">
        <w:rPr>
          <w:rtl/>
        </w:rPr>
        <w:t xml:space="preserve">2: </w:t>
      </w:r>
      <w:r w:rsidRPr="00014C4D">
        <w:rPr>
          <w:b/>
          <w:bCs/>
          <w:rtl/>
        </w:rPr>
        <w:t xml:space="preserve">מספר </w:t>
      </w:r>
      <w:r w:rsidRPr="00014C4D">
        <w:rPr>
          <w:rFonts w:hint="eastAsia"/>
          <w:b/>
          <w:bCs/>
          <w:rtl/>
        </w:rPr>
        <w:t>הבדיקות</w:t>
      </w:r>
      <w:r w:rsidRPr="00014C4D">
        <w:rPr>
          <w:b/>
          <w:bCs/>
          <w:rtl/>
        </w:rPr>
        <w:t xml:space="preserve"> </w:t>
      </w:r>
      <w:r w:rsidRPr="00014C4D">
        <w:rPr>
          <w:rFonts w:hint="eastAsia"/>
          <w:b/>
          <w:bCs/>
          <w:rtl/>
        </w:rPr>
        <w:t>של</w:t>
      </w:r>
      <w:r w:rsidRPr="00014C4D">
        <w:rPr>
          <w:b/>
          <w:bCs/>
          <w:rtl/>
        </w:rPr>
        <w:t xml:space="preserve"> </w:t>
      </w:r>
      <w:r w:rsidRPr="00014C4D">
        <w:rPr>
          <w:rFonts w:hint="cs"/>
          <w:b/>
          <w:bCs/>
          <w:rtl/>
        </w:rPr>
        <w:t>ה</w:t>
      </w:r>
      <w:r w:rsidRPr="00014C4D">
        <w:rPr>
          <w:b/>
          <w:bCs/>
          <w:rtl/>
        </w:rPr>
        <w:t xml:space="preserve">מקלטים </w:t>
      </w:r>
      <w:r w:rsidRPr="00014C4D">
        <w:rPr>
          <w:rFonts w:hint="eastAsia"/>
          <w:b/>
          <w:bCs/>
          <w:rtl/>
        </w:rPr>
        <w:t>בבתים</w:t>
      </w:r>
      <w:r w:rsidRPr="00014C4D">
        <w:rPr>
          <w:b/>
          <w:bCs/>
          <w:rtl/>
        </w:rPr>
        <w:t xml:space="preserve"> </w:t>
      </w:r>
      <w:r w:rsidRPr="00014C4D">
        <w:rPr>
          <w:rFonts w:hint="eastAsia"/>
          <w:b/>
          <w:bCs/>
          <w:rtl/>
        </w:rPr>
        <w:t>משותפים</w:t>
      </w:r>
      <w:r w:rsidRPr="00014C4D">
        <w:rPr>
          <w:b/>
          <w:bCs/>
          <w:rtl/>
        </w:rPr>
        <w:t xml:space="preserve"> </w:t>
      </w:r>
      <w:r w:rsidRPr="00014C4D">
        <w:rPr>
          <w:rFonts w:hint="cs"/>
          <w:b/>
          <w:bCs/>
          <w:rtl/>
        </w:rPr>
        <w:t>שביצעו</w:t>
      </w:r>
      <w:r w:rsidRPr="00014C4D">
        <w:rPr>
          <w:b/>
          <w:bCs/>
          <w:rtl/>
        </w:rPr>
        <w:t xml:space="preserve"> </w:t>
      </w:r>
      <w:r w:rsidRPr="00014C4D">
        <w:rPr>
          <w:rFonts w:hint="eastAsia"/>
          <w:b/>
          <w:bCs/>
          <w:rtl/>
        </w:rPr>
        <w:t>הרשויות</w:t>
      </w:r>
      <w:r w:rsidRPr="00014C4D">
        <w:rPr>
          <w:rFonts w:hint="cs"/>
          <w:b/>
          <w:bCs/>
          <w:rtl/>
        </w:rPr>
        <w:t xml:space="preserve"> </w:t>
      </w:r>
      <w:r w:rsidRPr="00014C4D">
        <w:rPr>
          <w:rFonts w:hint="eastAsia"/>
          <w:b/>
          <w:bCs/>
          <w:rtl/>
        </w:rPr>
        <w:t>המקומיות</w:t>
      </w:r>
      <w:r w:rsidRPr="00014C4D">
        <w:rPr>
          <w:b/>
          <w:bCs/>
          <w:rtl/>
        </w:rPr>
        <w:t xml:space="preserve"> </w:t>
      </w:r>
      <w:r w:rsidRPr="00014C4D">
        <w:rPr>
          <w:rFonts w:hint="eastAsia"/>
          <w:b/>
          <w:bCs/>
          <w:rtl/>
        </w:rPr>
        <w:t>שנבדקו</w:t>
      </w:r>
      <w:r w:rsidRPr="00014C4D">
        <w:rPr>
          <w:b/>
          <w:bCs/>
          <w:vertAlign w:val="superscript"/>
          <w:rtl/>
        </w:rPr>
        <w:footnoteReference w:id="41"/>
      </w:r>
      <w:r w:rsidRPr="00014C4D">
        <w:rPr>
          <w:b/>
          <w:bCs/>
          <w:rtl/>
        </w:rPr>
        <w:t xml:space="preserve"> </w:t>
      </w:r>
      <w:r w:rsidRPr="00014C4D">
        <w:rPr>
          <w:rFonts w:hint="eastAsia"/>
          <w:b/>
          <w:bCs/>
          <w:rtl/>
        </w:rPr>
        <w:t>ומספר</w:t>
      </w:r>
      <w:r w:rsidRPr="00014C4D">
        <w:rPr>
          <w:b/>
          <w:bCs/>
          <w:rtl/>
        </w:rPr>
        <w:t xml:space="preserve"> </w:t>
      </w:r>
      <w:r w:rsidRPr="00014C4D">
        <w:rPr>
          <w:rFonts w:hint="eastAsia"/>
          <w:b/>
          <w:bCs/>
          <w:rtl/>
        </w:rPr>
        <w:t>ההתראות</w:t>
      </w:r>
      <w:r w:rsidRPr="00014C4D">
        <w:rPr>
          <w:b/>
          <w:bCs/>
          <w:rtl/>
        </w:rPr>
        <w:t xml:space="preserve"> ודוחות הקנס </w:t>
      </w:r>
      <w:r w:rsidRPr="00014C4D">
        <w:rPr>
          <w:rFonts w:hint="eastAsia"/>
          <w:b/>
          <w:bCs/>
          <w:rtl/>
        </w:rPr>
        <w:t>שנתנו</w:t>
      </w:r>
      <w:r w:rsidRPr="00014C4D">
        <w:rPr>
          <w:rFonts w:hint="cs"/>
          <w:b/>
          <w:bCs/>
          <w:rtl/>
        </w:rPr>
        <w:t>,</w:t>
      </w:r>
      <w:r w:rsidRPr="00014C4D">
        <w:rPr>
          <w:b/>
          <w:bCs/>
          <w:rtl/>
        </w:rPr>
        <w:t xml:space="preserve"> 2021</w:t>
      </w:r>
      <w:r w:rsidRPr="00014C4D">
        <w:rPr>
          <w:rFonts w:hint="cs"/>
          <w:b/>
          <w:bCs/>
          <w:rtl/>
        </w:rPr>
        <w:t xml:space="preserve"> </w:t>
      </w:r>
      <w:r w:rsidRPr="00014C4D">
        <w:rPr>
          <w:b/>
          <w:bCs/>
          <w:rtl/>
        </w:rPr>
        <w:t>- 2023</w:t>
      </w:r>
    </w:p>
    <w:tbl>
      <w:tblPr>
        <w:bidiVisual/>
        <w:tblW w:w="8710" w:type="dxa"/>
        <w:jc w:val="center"/>
        <w:tblLook w:val="04A0" w:firstRow="1" w:lastRow="0" w:firstColumn="1" w:lastColumn="0" w:noHBand="0" w:noVBand="1"/>
      </w:tblPr>
      <w:tblGrid>
        <w:gridCol w:w="1365"/>
        <w:gridCol w:w="992"/>
        <w:gridCol w:w="1559"/>
        <w:gridCol w:w="1134"/>
        <w:gridCol w:w="1123"/>
        <w:gridCol w:w="1280"/>
        <w:gridCol w:w="1257"/>
      </w:tblGrid>
      <w:tr w:rsidR="00014C4D" w:rsidRPr="00014C4D" w:rsidTr="00014C4D">
        <w:trPr>
          <w:trHeight w:val="330"/>
          <w:jc w:val="center"/>
        </w:trPr>
        <w:tc>
          <w:tcPr>
            <w:tcW w:w="1365"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color w:val="000000"/>
                <w:sz w:val="22"/>
                <w:szCs w:val="22"/>
              </w:rPr>
            </w:pPr>
            <w:r w:rsidRPr="00014C4D">
              <w:rPr>
                <w:rFonts w:ascii="David" w:eastAsia="Times New Roman" w:hAnsi="David" w:hint="cs"/>
                <w:b/>
                <w:bCs/>
                <w:color w:val="000000"/>
                <w:sz w:val="22"/>
                <w:szCs w:val="22"/>
                <w:rtl/>
              </w:rPr>
              <w:t>הרשות המקומית</w:t>
            </w:r>
          </w:p>
        </w:tc>
        <w:tc>
          <w:tcPr>
            <w:tcW w:w="992" w:type="dxa"/>
            <w:tcBorders>
              <w:top w:val="single" w:sz="12" w:space="0" w:color="auto"/>
              <w:left w:val="single" w:sz="8" w:space="0" w:color="auto"/>
              <w:bottom w:val="single" w:sz="12" w:space="0" w:color="auto"/>
              <w:right w:val="nil"/>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השנה</w:t>
            </w:r>
          </w:p>
        </w:tc>
        <w:tc>
          <w:tcPr>
            <w:tcW w:w="1559" w:type="dxa"/>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מספר הבדיקות</w:t>
            </w:r>
            <w:r w:rsidRPr="00014C4D">
              <w:rPr>
                <w:rFonts w:ascii="David" w:eastAsia="Times New Roman" w:hAnsi="David"/>
                <w:b/>
                <w:bCs/>
                <w:color w:val="000000"/>
                <w:sz w:val="22"/>
                <w:szCs w:val="22"/>
                <w:vertAlign w:val="superscript"/>
                <w:rtl/>
              </w:rPr>
              <w:t>(1)</w:t>
            </w:r>
          </w:p>
        </w:tc>
        <w:tc>
          <w:tcPr>
            <w:tcW w:w="1134" w:type="dxa"/>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מספר ההתראות</w:t>
            </w:r>
          </w:p>
        </w:tc>
        <w:tc>
          <w:tcPr>
            <w:tcW w:w="1123" w:type="dxa"/>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מספר דוחות הקנס</w:t>
            </w:r>
          </w:p>
        </w:tc>
        <w:tc>
          <w:tcPr>
            <w:tcW w:w="1280"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b/>
                <w:bCs/>
                <w:color w:val="000000"/>
                <w:sz w:val="22"/>
                <w:szCs w:val="22"/>
                <w:rtl/>
              </w:rPr>
              <w:t>ס</w:t>
            </w:r>
            <w:r w:rsidRPr="00014C4D">
              <w:rPr>
                <w:rFonts w:ascii="David" w:eastAsia="Times New Roman" w:hAnsi="David" w:hint="cs"/>
                <w:b/>
                <w:bCs/>
                <w:color w:val="000000"/>
                <w:sz w:val="22"/>
                <w:szCs w:val="22"/>
                <w:rtl/>
              </w:rPr>
              <w:t>ה"כ</w:t>
            </w:r>
            <w:r w:rsidRPr="00014C4D">
              <w:rPr>
                <w:rFonts w:ascii="David" w:eastAsia="Times New Roman" w:hAnsi="David"/>
                <w:b/>
                <w:bCs/>
                <w:color w:val="000000"/>
                <w:sz w:val="22"/>
                <w:szCs w:val="22"/>
                <w:rtl/>
              </w:rPr>
              <w:t xml:space="preserve"> </w:t>
            </w:r>
            <w:r w:rsidRPr="00014C4D">
              <w:rPr>
                <w:rFonts w:ascii="David" w:eastAsia="Times New Roman" w:hAnsi="David" w:hint="cs"/>
                <w:b/>
                <w:bCs/>
                <w:color w:val="000000"/>
                <w:sz w:val="22"/>
                <w:szCs w:val="22"/>
                <w:rtl/>
              </w:rPr>
              <w:t>התראות</w:t>
            </w:r>
          </w:p>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b/>
                <w:bCs/>
                <w:color w:val="000000"/>
                <w:sz w:val="22"/>
                <w:szCs w:val="22"/>
                <w:rtl/>
              </w:rPr>
              <w:t>ו</w:t>
            </w:r>
            <w:r w:rsidRPr="00014C4D">
              <w:rPr>
                <w:rFonts w:ascii="David" w:eastAsia="Times New Roman" w:hAnsi="David" w:hint="cs"/>
                <w:b/>
                <w:bCs/>
                <w:color w:val="000000"/>
                <w:sz w:val="22"/>
                <w:szCs w:val="22"/>
                <w:rtl/>
              </w:rPr>
              <w:t>דוחות קנס</w:t>
            </w:r>
          </w:p>
        </w:tc>
        <w:tc>
          <w:tcPr>
            <w:tcW w:w="125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שיעור</w:t>
            </w:r>
          </w:p>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הבדיקות שבעקבותיהן ניתנו התראות</w:t>
            </w:r>
          </w:p>
          <w:p w:rsidR="00014C4D" w:rsidRPr="00014C4D" w:rsidRDefault="00014C4D" w:rsidP="00014C4D">
            <w:pPr>
              <w:keepNext/>
              <w:keepLines/>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 xml:space="preserve">ודוחות הקנס </w:t>
            </w:r>
          </w:p>
        </w:tc>
      </w:tr>
      <w:tr w:rsidR="00014C4D" w:rsidRPr="00014C4D" w:rsidTr="00014C4D">
        <w:trPr>
          <w:trHeight w:val="330"/>
          <w:jc w:val="center"/>
        </w:trPr>
        <w:tc>
          <w:tcPr>
            <w:tcW w:w="1365" w:type="dxa"/>
            <w:vMerge w:val="restart"/>
            <w:tcBorders>
              <w:top w:val="single" w:sz="12" w:space="0" w:color="auto"/>
              <w:left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sz w:val="22"/>
                <w:szCs w:val="22"/>
                <w:rtl/>
              </w:rPr>
              <w:t>אשקלון</w:t>
            </w:r>
            <w:r w:rsidRPr="00014C4D">
              <w:rPr>
                <w:rFonts w:ascii="David" w:eastAsia="Times New Roman" w:hAnsi="David" w:hint="cs"/>
                <w:b/>
                <w:bCs/>
                <w:color w:val="000000"/>
                <w:sz w:val="22"/>
                <w:szCs w:val="22"/>
                <w:rtl/>
              </w:rPr>
              <w:t xml:space="preserve"> </w:t>
            </w:r>
            <w:r w:rsidRPr="00014C4D">
              <w:rPr>
                <w:rFonts w:ascii="David" w:eastAsia="Times New Roman" w:hAnsi="David"/>
                <w:color w:val="000000"/>
                <w:sz w:val="22"/>
                <w:szCs w:val="22"/>
                <w:vertAlign w:val="superscript"/>
                <w:rtl/>
              </w:rPr>
              <w:t>(2)</w:t>
            </w:r>
          </w:p>
        </w:tc>
        <w:tc>
          <w:tcPr>
            <w:tcW w:w="992" w:type="dxa"/>
            <w:tcBorders>
              <w:top w:val="single" w:sz="12" w:space="0" w:color="auto"/>
              <w:left w:val="single" w:sz="8" w:space="0" w:color="auto"/>
              <w:bottom w:val="nil"/>
              <w:right w:val="nil"/>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2021</w:t>
            </w:r>
          </w:p>
        </w:tc>
        <w:tc>
          <w:tcPr>
            <w:tcW w:w="1559"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Pr>
            </w:pPr>
            <w:r w:rsidRPr="00014C4D">
              <w:rPr>
                <w:rFonts w:ascii="David" w:eastAsia="Times New Roman" w:hAnsi="David" w:hint="cs"/>
                <w:sz w:val="22"/>
                <w:szCs w:val="22"/>
                <w:rtl/>
              </w:rPr>
              <w:t>אין נתון</w:t>
            </w:r>
            <w:r w:rsidRPr="00014C4D">
              <w:rPr>
                <w:rFonts w:ascii="David" w:eastAsia="Times New Roman" w:hAnsi="David"/>
                <w:sz w:val="22"/>
                <w:szCs w:val="22"/>
                <w:vertAlign w:val="superscript"/>
                <w:rtl/>
              </w:rPr>
              <w:t>(3)</w:t>
            </w:r>
          </w:p>
        </w:tc>
        <w:tc>
          <w:tcPr>
            <w:tcW w:w="1134"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423</w:t>
            </w:r>
          </w:p>
        </w:tc>
        <w:tc>
          <w:tcPr>
            <w:tcW w:w="1123"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70</w:t>
            </w:r>
          </w:p>
        </w:tc>
        <w:tc>
          <w:tcPr>
            <w:tcW w:w="1280" w:type="dxa"/>
            <w:tcBorders>
              <w:top w:val="single" w:sz="12"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493</w:t>
            </w:r>
          </w:p>
        </w:tc>
        <w:tc>
          <w:tcPr>
            <w:tcW w:w="1257" w:type="dxa"/>
            <w:tcBorders>
              <w:top w:val="single" w:sz="12" w:space="0" w:color="auto"/>
              <w:left w:val="single" w:sz="8" w:space="0" w:color="auto"/>
              <w:bottom w:val="single" w:sz="8"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w:t>
            </w:r>
          </w:p>
        </w:tc>
      </w:tr>
      <w:tr w:rsidR="00014C4D" w:rsidRPr="00014C4D" w:rsidTr="00014C4D">
        <w:trPr>
          <w:trHeight w:val="330"/>
          <w:jc w:val="center"/>
        </w:trPr>
        <w:tc>
          <w:tcPr>
            <w:tcW w:w="1365" w:type="dxa"/>
            <w:vMerge/>
            <w:tcBorders>
              <w:left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p>
        </w:tc>
        <w:tc>
          <w:tcPr>
            <w:tcW w:w="992" w:type="dxa"/>
            <w:tcBorders>
              <w:top w:val="single" w:sz="8" w:space="0" w:color="auto"/>
              <w:left w:val="single" w:sz="8" w:space="0" w:color="auto"/>
              <w:bottom w:val="nil"/>
              <w:right w:val="nil"/>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2022</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463</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81</w:t>
            </w:r>
          </w:p>
        </w:tc>
        <w:tc>
          <w:tcPr>
            <w:tcW w:w="1123"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30</w:t>
            </w:r>
          </w:p>
        </w:tc>
        <w:tc>
          <w:tcPr>
            <w:tcW w:w="1280" w:type="dxa"/>
            <w:tcBorders>
              <w:top w:val="single" w:sz="8"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111</w:t>
            </w:r>
          </w:p>
        </w:tc>
        <w:tc>
          <w:tcPr>
            <w:tcW w:w="1257" w:type="dxa"/>
            <w:tcBorders>
              <w:top w:val="single" w:sz="8" w:space="0" w:color="auto"/>
              <w:left w:val="single" w:sz="8" w:space="0" w:color="auto"/>
              <w:bottom w:val="single" w:sz="8"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24%</w:t>
            </w:r>
          </w:p>
        </w:tc>
      </w:tr>
      <w:tr w:rsidR="00014C4D" w:rsidRPr="00014C4D" w:rsidTr="00014C4D">
        <w:trPr>
          <w:trHeight w:val="330"/>
          <w:jc w:val="center"/>
        </w:trPr>
        <w:tc>
          <w:tcPr>
            <w:tcW w:w="1365" w:type="dxa"/>
            <w:vMerge/>
            <w:tcBorders>
              <w:left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p>
        </w:tc>
        <w:tc>
          <w:tcPr>
            <w:tcW w:w="992" w:type="dxa"/>
            <w:tcBorders>
              <w:top w:val="single" w:sz="8" w:space="0" w:color="auto"/>
              <w:left w:val="single" w:sz="8" w:space="0" w:color="auto"/>
              <w:bottom w:val="single" w:sz="4" w:space="0" w:color="auto"/>
              <w:right w:val="nil"/>
            </w:tcBorders>
            <w:shd w:val="clear" w:color="auto" w:fill="auto"/>
            <w:noWrap/>
            <w:vAlign w:val="center"/>
          </w:tcPr>
          <w:p w:rsidR="00014C4D" w:rsidRPr="00014C4D" w:rsidRDefault="00014C4D" w:rsidP="00014C4D">
            <w:pPr>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עד</w:t>
            </w:r>
          </w:p>
          <w:p w:rsidR="00014C4D" w:rsidRPr="00014C4D" w:rsidRDefault="00014C4D" w:rsidP="00014C4D">
            <w:pPr>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7.10.23</w:t>
            </w:r>
          </w:p>
        </w:tc>
        <w:tc>
          <w:tcPr>
            <w:tcW w:w="1559" w:type="dxa"/>
            <w:tcBorders>
              <w:top w:val="single" w:sz="8" w:space="0" w:color="auto"/>
              <w:left w:val="single" w:sz="8" w:space="0" w:color="auto"/>
              <w:bottom w:val="single" w:sz="4"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772</w:t>
            </w:r>
          </w:p>
        </w:tc>
        <w:tc>
          <w:tcPr>
            <w:tcW w:w="1134" w:type="dxa"/>
            <w:vMerge w:val="restart"/>
            <w:tcBorders>
              <w:top w:val="single" w:sz="8" w:space="0" w:color="auto"/>
              <w:left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209</w:t>
            </w:r>
          </w:p>
        </w:tc>
        <w:tc>
          <w:tcPr>
            <w:tcW w:w="1123" w:type="dxa"/>
            <w:vMerge w:val="restart"/>
            <w:tcBorders>
              <w:top w:val="single" w:sz="8" w:space="0" w:color="auto"/>
              <w:left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12</w:t>
            </w:r>
          </w:p>
        </w:tc>
        <w:tc>
          <w:tcPr>
            <w:tcW w:w="1280" w:type="dxa"/>
            <w:vMerge w:val="restart"/>
            <w:tcBorders>
              <w:top w:val="single" w:sz="8" w:space="0" w:color="auto"/>
              <w:left w:val="single" w:sz="8"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221</w:t>
            </w:r>
          </w:p>
        </w:tc>
        <w:tc>
          <w:tcPr>
            <w:tcW w:w="1257" w:type="dxa"/>
            <w:vMerge w:val="restart"/>
            <w:tcBorders>
              <w:top w:val="single" w:sz="8" w:space="0" w:color="auto"/>
              <w:left w:val="single" w:sz="8"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10%</w:t>
            </w:r>
          </w:p>
        </w:tc>
      </w:tr>
      <w:tr w:rsidR="00014C4D" w:rsidRPr="00014C4D" w:rsidTr="00014C4D">
        <w:trPr>
          <w:trHeight w:val="330"/>
          <w:jc w:val="center"/>
        </w:trPr>
        <w:tc>
          <w:tcPr>
            <w:tcW w:w="1365" w:type="dxa"/>
            <w:vMerge/>
            <w:tcBorders>
              <w:left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p>
        </w:tc>
        <w:tc>
          <w:tcPr>
            <w:tcW w:w="992" w:type="dxa"/>
            <w:tcBorders>
              <w:top w:val="single" w:sz="4" w:space="0" w:color="auto"/>
              <w:left w:val="single" w:sz="8" w:space="0" w:color="auto"/>
              <w:bottom w:val="nil"/>
              <w:right w:val="nil"/>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לאחר 7.10.23</w:t>
            </w:r>
          </w:p>
        </w:tc>
        <w:tc>
          <w:tcPr>
            <w:tcW w:w="1559" w:type="dxa"/>
            <w:tcBorders>
              <w:top w:val="single" w:sz="4"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1,417</w:t>
            </w:r>
          </w:p>
        </w:tc>
        <w:tc>
          <w:tcPr>
            <w:tcW w:w="1134" w:type="dxa"/>
            <w:vMerge/>
            <w:tcBorders>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p>
        </w:tc>
        <w:tc>
          <w:tcPr>
            <w:tcW w:w="1123" w:type="dxa"/>
            <w:vMerge/>
            <w:tcBorders>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p>
        </w:tc>
        <w:tc>
          <w:tcPr>
            <w:tcW w:w="1280" w:type="dxa"/>
            <w:vMerge/>
            <w:tcBorders>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sz w:val="22"/>
                <w:szCs w:val="22"/>
                <w:rtl/>
              </w:rPr>
            </w:pPr>
          </w:p>
        </w:tc>
        <w:tc>
          <w:tcPr>
            <w:tcW w:w="1257" w:type="dxa"/>
            <w:vMerge/>
            <w:tcBorders>
              <w:left w:val="single" w:sz="8" w:space="0" w:color="auto"/>
              <w:bottom w:val="single" w:sz="8"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sz w:val="22"/>
                <w:szCs w:val="22"/>
                <w:rtl/>
              </w:rPr>
            </w:pPr>
          </w:p>
        </w:tc>
      </w:tr>
      <w:tr w:rsidR="00014C4D" w:rsidRPr="00014C4D" w:rsidTr="00014C4D">
        <w:trPr>
          <w:trHeight w:val="330"/>
          <w:jc w:val="center"/>
        </w:trPr>
        <w:tc>
          <w:tcPr>
            <w:tcW w:w="1365" w:type="dxa"/>
            <w:vMerge w:val="restart"/>
            <w:tcBorders>
              <w:top w:val="single" w:sz="12" w:space="0" w:color="auto"/>
              <w:left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ג</w:t>
            </w:r>
            <w:r w:rsidRPr="00014C4D">
              <w:rPr>
                <w:rFonts w:ascii="David" w:eastAsia="Times New Roman" w:hAnsi="David" w:hint="cs"/>
                <w:b/>
                <w:bCs/>
                <w:sz w:val="22"/>
                <w:szCs w:val="22"/>
                <w:rtl/>
              </w:rPr>
              <w:t>בעתיים</w:t>
            </w:r>
          </w:p>
        </w:tc>
        <w:tc>
          <w:tcPr>
            <w:tcW w:w="992" w:type="dxa"/>
            <w:tcBorders>
              <w:top w:val="single" w:sz="12" w:space="0" w:color="auto"/>
              <w:left w:val="single" w:sz="8" w:space="0" w:color="auto"/>
              <w:bottom w:val="nil"/>
              <w:right w:val="nil"/>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2021</w:t>
            </w:r>
          </w:p>
        </w:tc>
        <w:tc>
          <w:tcPr>
            <w:tcW w:w="1559"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74</w:t>
            </w:r>
          </w:p>
        </w:tc>
        <w:tc>
          <w:tcPr>
            <w:tcW w:w="1134"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60</w:t>
            </w:r>
          </w:p>
        </w:tc>
        <w:tc>
          <w:tcPr>
            <w:tcW w:w="1123"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2</w:t>
            </w:r>
          </w:p>
        </w:tc>
        <w:tc>
          <w:tcPr>
            <w:tcW w:w="1280" w:type="dxa"/>
            <w:tcBorders>
              <w:top w:val="single" w:sz="12"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62</w:t>
            </w:r>
          </w:p>
        </w:tc>
        <w:tc>
          <w:tcPr>
            <w:tcW w:w="1257" w:type="dxa"/>
            <w:tcBorders>
              <w:top w:val="single" w:sz="12" w:space="0" w:color="auto"/>
              <w:left w:val="single" w:sz="8" w:space="0" w:color="auto"/>
              <w:bottom w:val="single" w:sz="8"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84%</w:t>
            </w:r>
          </w:p>
        </w:tc>
      </w:tr>
      <w:tr w:rsidR="00014C4D" w:rsidRPr="00014C4D" w:rsidTr="00014C4D">
        <w:trPr>
          <w:trHeight w:val="330"/>
          <w:jc w:val="center"/>
        </w:trPr>
        <w:tc>
          <w:tcPr>
            <w:tcW w:w="1365" w:type="dxa"/>
            <w:vMerge/>
            <w:tcBorders>
              <w:left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p>
        </w:tc>
        <w:tc>
          <w:tcPr>
            <w:tcW w:w="992" w:type="dxa"/>
            <w:tcBorders>
              <w:top w:val="single" w:sz="8" w:space="0" w:color="auto"/>
              <w:left w:val="single" w:sz="8" w:space="0" w:color="auto"/>
              <w:bottom w:val="nil"/>
              <w:right w:val="nil"/>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2022</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29</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14</w:t>
            </w:r>
          </w:p>
        </w:tc>
        <w:tc>
          <w:tcPr>
            <w:tcW w:w="1123"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0</w:t>
            </w:r>
          </w:p>
        </w:tc>
        <w:tc>
          <w:tcPr>
            <w:tcW w:w="1280" w:type="dxa"/>
            <w:tcBorders>
              <w:top w:val="single" w:sz="8"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14</w:t>
            </w:r>
          </w:p>
        </w:tc>
        <w:tc>
          <w:tcPr>
            <w:tcW w:w="1257" w:type="dxa"/>
            <w:tcBorders>
              <w:top w:val="single" w:sz="8" w:space="0" w:color="auto"/>
              <w:left w:val="single" w:sz="8" w:space="0" w:color="auto"/>
              <w:bottom w:val="single" w:sz="8"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48%</w:t>
            </w:r>
          </w:p>
        </w:tc>
      </w:tr>
      <w:tr w:rsidR="00014C4D" w:rsidRPr="00014C4D" w:rsidTr="00014C4D">
        <w:trPr>
          <w:trHeight w:val="330"/>
          <w:jc w:val="center"/>
        </w:trPr>
        <w:tc>
          <w:tcPr>
            <w:tcW w:w="1365" w:type="dxa"/>
            <w:vMerge/>
            <w:tcBorders>
              <w:left w:val="single" w:sz="12" w:space="0" w:color="auto"/>
              <w:bottom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p>
        </w:tc>
        <w:tc>
          <w:tcPr>
            <w:tcW w:w="992" w:type="dxa"/>
            <w:tcBorders>
              <w:top w:val="single" w:sz="8" w:space="0" w:color="auto"/>
              <w:left w:val="single" w:sz="8" w:space="0" w:color="auto"/>
              <w:bottom w:val="single" w:sz="12" w:space="0" w:color="auto"/>
              <w:right w:val="nil"/>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2023</w:t>
            </w:r>
          </w:p>
        </w:tc>
        <w:tc>
          <w:tcPr>
            <w:tcW w:w="1559" w:type="dxa"/>
            <w:tcBorders>
              <w:top w:val="single" w:sz="8" w:space="0" w:color="auto"/>
              <w:left w:val="single" w:sz="8" w:space="0" w:color="auto"/>
              <w:bottom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90</w:t>
            </w:r>
          </w:p>
        </w:tc>
        <w:tc>
          <w:tcPr>
            <w:tcW w:w="1134" w:type="dxa"/>
            <w:tcBorders>
              <w:top w:val="single" w:sz="8" w:space="0" w:color="auto"/>
              <w:left w:val="single" w:sz="8" w:space="0" w:color="auto"/>
              <w:bottom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99</w:t>
            </w:r>
            <w:r w:rsidRPr="00014C4D">
              <w:rPr>
                <w:rFonts w:ascii="David" w:eastAsia="Times New Roman" w:hAnsi="David"/>
                <w:color w:val="000000"/>
                <w:sz w:val="22"/>
                <w:szCs w:val="22"/>
                <w:vertAlign w:val="superscript"/>
                <w:rtl/>
              </w:rPr>
              <w:t>(</w:t>
            </w:r>
            <w:r w:rsidRPr="00014C4D">
              <w:rPr>
                <w:rFonts w:ascii="David" w:eastAsia="Times New Roman" w:hAnsi="David" w:hint="cs"/>
                <w:color w:val="000000"/>
                <w:sz w:val="22"/>
                <w:szCs w:val="22"/>
                <w:vertAlign w:val="superscript"/>
                <w:rtl/>
              </w:rPr>
              <w:t>4</w:t>
            </w:r>
            <w:r w:rsidRPr="00014C4D">
              <w:rPr>
                <w:rFonts w:ascii="David" w:eastAsia="Times New Roman" w:hAnsi="David"/>
                <w:color w:val="000000"/>
                <w:sz w:val="22"/>
                <w:szCs w:val="22"/>
                <w:vertAlign w:val="superscript"/>
                <w:rtl/>
              </w:rPr>
              <w:t>)</w:t>
            </w:r>
          </w:p>
        </w:tc>
        <w:tc>
          <w:tcPr>
            <w:tcW w:w="1123" w:type="dxa"/>
            <w:tcBorders>
              <w:top w:val="single" w:sz="8" w:space="0" w:color="auto"/>
              <w:left w:val="single" w:sz="8" w:space="0" w:color="auto"/>
              <w:bottom w:val="single" w:sz="12" w:space="0" w:color="auto"/>
              <w:right w:val="single" w:sz="8"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hint="cs"/>
                <w:color w:val="000000"/>
                <w:sz w:val="22"/>
                <w:szCs w:val="22"/>
                <w:rtl/>
              </w:rPr>
              <w:t>0</w:t>
            </w:r>
          </w:p>
        </w:tc>
        <w:tc>
          <w:tcPr>
            <w:tcW w:w="1280" w:type="dxa"/>
            <w:tcBorders>
              <w:top w:val="single" w:sz="8" w:space="0" w:color="auto"/>
              <w:left w:val="single" w:sz="8" w:space="0" w:color="auto"/>
              <w:bottom w:val="single" w:sz="12"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99</w:t>
            </w:r>
          </w:p>
        </w:tc>
        <w:tc>
          <w:tcPr>
            <w:tcW w:w="1257" w:type="dxa"/>
            <w:tcBorders>
              <w:top w:val="single" w:sz="8" w:space="0" w:color="auto"/>
              <w:left w:val="single" w:sz="8" w:space="0" w:color="auto"/>
              <w:bottom w:val="single" w:sz="12"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100%</w:t>
            </w:r>
          </w:p>
        </w:tc>
      </w:tr>
      <w:tr w:rsidR="00014C4D" w:rsidRPr="00014C4D" w:rsidTr="00014C4D">
        <w:trPr>
          <w:trHeight w:val="330"/>
          <w:jc w:val="center"/>
        </w:trPr>
        <w:tc>
          <w:tcPr>
            <w:tcW w:w="1365" w:type="dxa"/>
            <w:vMerge w:val="restart"/>
            <w:tcBorders>
              <w:top w:val="single" w:sz="12" w:space="0" w:color="auto"/>
              <w:left w:val="single" w:sz="12"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b/>
                <w:bCs/>
                <w:sz w:val="22"/>
                <w:szCs w:val="22"/>
                <w:rtl/>
              </w:rPr>
              <w:t>חולון</w:t>
            </w:r>
          </w:p>
        </w:tc>
        <w:tc>
          <w:tcPr>
            <w:tcW w:w="992"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2021</w:t>
            </w:r>
          </w:p>
        </w:tc>
        <w:tc>
          <w:tcPr>
            <w:tcW w:w="1559"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sz w:val="22"/>
                <w:szCs w:val="22"/>
              </w:rPr>
              <w:t>933</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74</w:t>
            </w:r>
          </w:p>
        </w:tc>
        <w:tc>
          <w:tcPr>
            <w:tcW w:w="1123" w:type="dxa"/>
            <w:tcBorders>
              <w:top w:val="single" w:sz="12"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w:t>
            </w:r>
          </w:p>
        </w:tc>
        <w:tc>
          <w:tcPr>
            <w:tcW w:w="1280" w:type="dxa"/>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014C4D" w:rsidRPr="00014C4D" w:rsidRDefault="00014C4D" w:rsidP="00014C4D">
            <w:pPr>
              <w:keepNext/>
              <w:keepLines/>
              <w:spacing w:line="269" w:lineRule="auto"/>
              <w:jc w:val="left"/>
              <w:rPr>
                <w:rFonts w:ascii="David" w:eastAsia="Times New Roman" w:hAnsi="David"/>
                <w:b/>
                <w:bCs/>
                <w:color w:val="000000"/>
                <w:sz w:val="22"/>
                <w:szCs w:val="22"/>
              </w:rPr>
            </w:pPr>
            <w:r w:rsidRPr="00014C4D">
              <w:rPr>
                <w:rFonts w:ascii="David" w:eastAsia="Times New Roman" w:hAnsi="David"/>
                <w:b/>
                <w:bCs/>
                <w:color w:val="000000"/>
                <w:sz w:val="22"/>
                <w:szCs w:val="22"/>
              </w:rPr>
              <w:t>74</w:t>
            </w:r>
          </w:p>
        </w:tc>
        <w:tc>
          <w:tcPr>
            <w:tcW w:w="1257" w:type="dxa"/>
            <w:tcBorders>
              <w:top w:val="single" w:sz="12" w:space="0" w:color="auto"/>
              <w:left w:val="single" w:sz="6" w:space="0" w:color="auto"/>
              <w:bottom w:val="single" w:sz="6"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Pr>
            </w:pPr>
            <w:r w:rsidRPr="00014C4D">
              <w:rPr>
                <w:rFonts w:ascii="David" w:eastAsia="Times New Roman" w:hAnsi="David"/>
                <w:b/>
                <w:bCs/>
                <w:color w:val="000000"/>
                <w:sz w:val="22"/>
                <w:szCs w:val="22"/>
              </w:rPr>
              <w:t>8%</w:t>
            </w:r>
          </w:p>
        </w:tc>
      </w:tr>
      <w:tr w:rsidR="00014C4D" w:rsidRPr="00014C4D" w:rsidTr="00014C4D">
        <w:trPr>
          <w:trHeight w:val="330"/>
          <w:jc w:val="center"/>
        </w:trPr>
        <w:tc>
          <w:tcPr>
            <w:tcW w:w="1365" w:type="dxa"/>
            <w:vMerge/>
            <w:tcBorders>
              <w:top w:val="single" w:sz="6" w:space="0" w:color="auto"/>
              <w:left w:val="single" w:sz="12" w:space="0" w:color="auto"/>
              <w:bottom w:val="single" w:sz="6" w:space="0" w:color="auto"/>
              <w:right w:val="single" w:sz="6" w:space="0" w:color="auto"/>
            </w:tcBorders>
            <w:vAlign w:val="center"/>
            <w:hideMark/>
          </w:tcPr>
          <w:p w:rsidR="00014C4D" w:rsidRPr="00014C4D" w:rsidRDefault="00014C4D" w:rsidP="00014C4D">
            <w:pPr>
              <w:keepNext/>
              <w:keepLines/>
              <w:spacing w:line="269" w:lineRule="auto"/>
              <w:jc w:val="left"/>
              <w:rPr>
                <w:rFonts w:ascii="David" w:eastAsia="Times New Roman" w:hAnsi="David"/>
                <w:b/>
                <w:bCs/>
                <w:color w:val="000000"/>
                <w:sz w:val="22"/>
                <w:szCs w:val="22"/>
              </w:rPr>
            </w:pPr>
          </w:p>
        </w:tc>
        <w:tc>
          <w:tcPr>
            <w:tcW w:w="992"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2022</w:t>
            </w:r>
          </w:p>
        </w:tc>
        <w:tc>
          <w:tcPr>
            <w:tcW w:w="1559"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sz w:val="22"/>
                <w:szCs w:val="22"/>
              </w:rPr>
            </w:pPr>
            <w:r w:rsidRPr="00014C4D">
              <w:rPr>
                <w:rFonts w:ascii="David" w:eastAsia="Times New Roman" w:hAnsi="David"/>
                <w:sz w:val="22"/>
                <w:szCs w:val="22"/>
              </w:rPr>
              <w:t>320</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color w:val="FF0000"/>
                <w:sz w:val="22"/>
                <w:szCs w:val="22"/>
                <w:rtl/>
              </w:rPr>
            </w:pPr>
            <w:r w:rsidRPr="00014C4D">
              <w:rPr>
                <w:rFonts w:ascii="David" w:eastAsia="Times New Roman" w:hAnsi="David"/>
                <w:sz w:val="22"/>
                <w:szCs w:val="22"/>
              </w:rPr>
              <w:t>343</w:t>
            </w:r>
            <w:r w:rsidRPr="00014C4D">
              <w:rPr>
                <w:rFonts w:ascii="David" w:eastAsia="Times New Roman" w:hAnsi="David" w:hint="cs"/>
                <w:sz w:val="22"/>
                <w:szCs w:val="22"/>
                <w:vertAlign w:val="superscript"/>
                <w:rtl/>
              </w:rPr>
              <w:t>(4)</w:t>
            </w:r>
          </w:p>
        </w:tc>
        <w:tc>
          <w:tcPr>
            <w:tcW w:w="1123" w:type="dxa"/>
            <w:tcBorders>
              <w:top w:val="single" w:sz="6" w:space="0" w:color="auto"/>
              <w:left w:val="single" w:sz="6" w:space="0" w:color="auto"/>
              <w:bottom w:val="single" w:sz="6"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5</w:t>
            </w:r>
          </w:p>
        </w:tc>
        <w:tc>
          <w:tcPr>
            <w:tcW w:w="1280" w:type="dxa"/>
            <w:tcBorders>
              <w:top w:val="single" w:sz="6" w:space="0" w:color="auto"/>
              <w:left w:val="single" w:sz="6" w:space="0" w:color="auto"/>
              <w:bottom w:val="single" w:sz="6" w:space="0" w:color="auto"/>
              <w:right w:val="single" w:sz="12" w:space="0" w:color="auto"/>
            </w:tcBorders>
            <w:shd w:val="clear" w:color="auto" w:fill="auto"/>
            <w:noWrap/>
            <w:vAlign w:val="bottom"/>
            <w:hideMark/>
          </w:tcPr>
          <w:p w:rsidR="00014C4D" w:rsidRPr="00014C4D" w:rsidRDefault="00014C4D" w:rsidP="00014C4D">
            <w:pPr>
              <w:keepNext/>
              <w:keepLines/>
              <w:spacing w:line="269" w:lineRule="auto"/>
              <w:jc w:val="left"/>
              <w:rPr>
                <w:rFonts w:ascii="David" w:eastAsia="Times New Roman" w:hAnsi="David"/>
                <w:b/>
                <w:bCs/>
                <w:color w:val="000000"/>
                <w:sz w:val="22"/>
                <w:szCs w:val="22"/>
              </w:rPr>
            </w:pPr>
            <w:r w:rsidRPr="00014C4D">
              <w:rPr>
                <w:rFonts w:ascii="David" w:eastAsia="Times New Roman" w:hAnsi="David"/>
                <w:b/>
                <w:bCs/>
                <w:color w:val="000000"/>
                <w:sz w:val="22"/>
                <w:szCs w:val="22"/>
              </w:rPr>
              <w:t>348</w:t>
            </w:r>
          </w:p>
        </w:tc>
        <w:tc>
          <w:tcPr>
            <w:tcW w:w="1257" w:type="dxa"/>
            <w:tcBorders>
              <w:top w:val="single" w:sz="6" w:space="0" w:color="auto"/>
              <w:left w:val="single" w:sz="6" w:space="0" w:color="auto"/>
              <w:bottom w:val="single" w:sz="6"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Pr>
            </w:pPr>
            <w:r w:rsidRPr="00014C4D">
              <w:rPr>
                <w:rFonts w:ascii="David" w:eastAsia="Times New Roman" w:hAnsi="David"/>
                <w:b/>
                <w:bCs/>
                <w:color w:val="000000"/>
                <w:sz w:val="22"/>
                <w:szCs w:val="22"/>
              </w:rPr>
              <w:t>100%</w:t>
            </w:r>
          </w:p>
        </w:tc>
      </w:tr>
      <w:tr w:rsidR="00014C4D" w:rsidRPr="00014C4D" w:rsidTr="00014C4D">
        <w:trPr>
          <w:trHeight w:val="330"/>
          <w:jc w:val="center"/>
        </w:trPr>
        <w:tc>
          <w:tcPr>
            <w:tcW w:w="1365" w:type="dxa"/>
            <w:vMerge/>
            <w:tcBorders>
              <w:top w:val="single" w:sz="6" w:space="0" w:color="auto"/>
              <w:left w:val="single" w:sz="12" w:space="0" w:color="auto"/>
              <w:bottom w:val="single" w:sz="12" w:space="0" w:color="auto"/>
              <w:right w:val="single" w:sz="6" w:space="0" w:color="auto"/>
            </w:tcBorders>
            <w:shd w:val="clear" w:color="auto" w:fill="auto"/>
            <w:vAlign w:val="center"/>
            <w:hideMark/>
          </w:tcPr>
          <w:p w:rsidR="00014C4D" w:rsidRPr="00014C4D" w:rsidRDefault="00014C4D" w:rsidP="00014C4D">
            <w:pPr>
              <w:keepNext/>
              <w:keepLines/>
              <w:spacing w:line="269" w:lineRule="auto"/>
              <w:jc w:val="left"/>
              <w:rPr>
                <w:rFonts w:ascii="David" w:eastAsia="Times New Roman" w:hAnsi="David"/>
                <w:b/>
                <w:bCs/>
                <w:color w:val="000000"/>
                <w:sz w:val="22"/>
                <w:szCs w:val="22"/>
                <w:rtl/>
              </w:rPr>
            </w:pPr>
          </w:p>
        </w:tc>
        <w:tc>
          <w:tcPr>
            <w:tcW w:w="992" w:type="dxa"/>
            <w:tcBorders>
              <w:top w:val="single" w:sz="6" w:space="0" w:color="auto"/>
              <w:left w:val="single" w:sz="6" w:space="0" w:color="auto"/>
              <w:bottom w:val="single" w:sz="4"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jc w:val="left"/>
              <w:rPr>
                <w:sz w:val="22"/>
                <w:szCs w:val="22"/>
                <w:rtl/>
              </w:rPr>
            </w:pPr>
            <w:r w:rsidRPr="00014C4D">
              <w:rPr>
                <w:rFonts w:hint="cs"/>
                <w:sz w:val="22"/>
                <w:szCs w:val="22"/>
                <w:rtl/>
              </w:rPr>
              <w:t>עד</w:t>
            </w:r>
          </w:p>
          <w:p w:rsidR="00014C4D" w:rsidRPr="00014C4D" w:rsidRDefault="00014C4D" w:rsidP="00014C4D">
            <w:pPr>
              <w:keepNext/>
              <w:keepLines/>
              <w:spacing w:line="269" w:lineRule="auto"/>
              <w:jc w:val="left"/>
              <w:rPr>
                <w:sz w:val="22"/>
                <w:szCs w:val="22"/>
              </w:rPr>
            </w:pPr>
            <w:r w:rsidRPr="00014C4D">
              <w:rPr>
                <w:rFonts w:hint="cs"/>
                <w:sz w:val="22"/>
                <w:szCs w:val="22"/>
                <w:rtl/>
              </w:rPr>
              <w:t>7.10.23</w:t>
            </w:r>
          </w:p>
        </w:tc>
        <w:tc>
          <w:tcPr>
            <w:tcW w:w="1559" w:type="dxa"/>
            <w:tcBorders>
              <w:top w:val="single" w:sz="6" w:space="0" w:color="auto"/>
              <w:left w:val="single" w:sz="6" w:space="0" w:color="auto"/>
              <w:bottom w:val="single" w:sz="4" w:space="0" w:color="auto"/>
              <w:right w:val="single" w:sz="6"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color w:val="000000"/>
                <w:sz w:val="22"/>
                <w:szCs w:val="22"/>
              </w:rPr>
              <w:t>409</w:t>
            </w:r>
          </w:p>
        </w:tc>
        <w:tc>
          <w:tcPr>
            <w:tcW w:w="1134" w:type="dxa"/>
            <w:vMerge w:val="restart"/>
            <w:tcBorders>
              <w:top w:val="single" w:sz="6" w:space="0" w:color="auto"/>
              <w:left w:val="single" w:sz="6" w:space="0" w:color="auto"/>
              <w:right w:val="single" w:sz="6" w:space="0" w:color="auto"/>
            </w:tcBorders>
            <w:shd w:val="clear" w:color="auto" w:fill="auto"/>
            <w:noWrap/>
            <w:vAlign w:val="center"/>
          </w:tcPr>
          <w:p w:rsidR="00014C4D" w:rsidRPr="00014C4D" w:rsidRDefault="00014C4D" w:rsidP="00014C4D">
            <w:pPr>
              <w:keepNext/>
              <w:keepLines/>
              <w:spacing w:line="269" w:lineRule="auto"/>
              <w:jc w:val="left"/>
              <w:rPr>
                <w:sz w:val="22"/>
                <w:szCs w:val="22"/>
                <w:rtl/>
              </w:rPr>
            </w:pPr>
            <w:r w:rsidRPr="00014C4D">
              <w:rPr>
                <w:rFonts w:ascii="David" w:eastAsia="Times New Roman" w:hAnsi="David"/>
                <w:color w:val="000000"/>
                <w:sz w:val="22"/>
                <w:szCs w:val="22"/>
              </w:rPr>
              <w:t>756</w:t>
            </w:r>
          </w:p>
        </w:tc>
        <w:tc>
          <w:tcPr>
            <w:tcW w:w="1123" w:type="dxa"/>
            <w:vMerge w:val="restart"/>
            <w:tcBorders>
              <w:top w:val="single" w:sz="6" w:space="0" w:color="auto"/>
              <w:left w:val="single" w:sz="6" w:space="0" w:color="auto"/>
              <w:right w:val="single" w:sz="6"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color w:val="000000"/>
                <w:sz w:val="22"/>
                <w:szCs w:val="22"/>
              </w:rPr>
              <w:t>36</w:t>
            </w:r>
          </w:p>
        </w:tc>
        <w:tc>
          <w:tcPr>
            <w:tcW w:w="1280" w:type="dxa"/>
            <w:vMerge w:val="restart"/>
            <w:tcBorders>
              <w:top w:val="single" w:sz="6" w:space="0" w:color="auto"/>
              <w:left w:val="single" w:sz="6" w:space="0" w:color="auto"/>
              <w:right w:val="single" w:sz="12"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tl/>
              </w:rPr>
            </w:pPr>
            <w:r w:rsidRPr="00014C4D">
              <w:rPr>
                <w:rFonts w:ascii="David" w:eastAsia="Times New Roman" w:hAnsi="David"/>
                <w:color w:val="000000"/>
                <w:sz w:val="22"/>
                <w:szCs w:val="22"/>
              </w:rPr>
              <w:t>792</w:t>
            </w:r>
          </w:p>
        </w:tc>
        <w:tc>
          <w:tcPr>
            <w:tcW w:w="1257" w:type="dxa"/>
            <w:vMerge w:val="restart"/>
            <w:tcBorders>
              <w:top w:val="single" w:sz="6" w:space="0" w:color="auto"/>
              <w:left w:val="single" w:sz="6" w:space="0" w:color="auto"/>
              <w:right w:val="single" w:sz="12" w:space="0" w:color="auto"/>
            </w:tcBorders>
            <w:vAlign w:val="center"/>
          </w:tcPr>
          <w:p w:rsidR="00014C4D" w:rsidRPr="00014C4D" w:rsidRDefault="00014C4D" w:rsidP="00014C4D">
            <w:pPr>
              <w:keepNext/>
              <w:keepLines/>
              <w:spacing w:line="269" w:lineRule="auto"/>
              <w:jc w:val="left"/>
              <w:rPr>
                <w:rFonts w:ascii="David" w:eastAsia="Times New Roman" w:hAnsi="David"/>
                <w:b/>
                <w:bCs/>
                <w:color w:val="000000"/>
                <w:sz w:val="22"/>
                <w:szCs w:val="22"/>
                <w:rtl/>
              </w:rPr>
            </w:pPr>
            <w:r w:rsidRPr="00014C4D">
              <w:rPr>
                <w:rFonts w:ascii="David" w:eastAsia="Times New Roman" w:hAnsi="David"/>
                <w:b/>
                <w:bCs/>
                <w:color w:val="000000"/>
                <w:sz w:val="22"/>
                <w:szCs w:val="22"/>
              </w:rPr>
              <w:t>46%</w:t>
            </w:r>
          </w:p>
        </w:tc>
      </w:tr>
      <w:tr w:rsidR="00014C4D" w:rsidRPr="00014C4D" w:rsidTr="00014C4D">
        <w:trPr>
          <w:trHeight w:val="330"/>
          <w:jc w:val="center"/>
        </w:trPr>
        <w:tc>
          <w:tcPr>
            <w:tcW w:w="1365" w:type="dxa"/>
            <w:vMerge/>
            <w:tcBorders>
              <w:top w:val="single" w:sz="6" w:space="0" w:color="auto"/>
              <w:left w:val="single" w:sz="12" w:space="0" w:color="auto"/>
              <w:bottom w:val="single" w:sz="12" w:space="0" w:color="auto"/>
              <w:right w:val="single" w:sz="6" w:space="0" w:color="auto"/>
            </w:tcBorders>
            <w:shd w:val="clear" w:color="auto" w:fill="auto"/>
            <w:vAlign w:val="center"/>
            <w:hideMark/>
          </w:tcPr>
          <w:p w:rsidR="00014C4D" w:rsidRPr="00014C4D" w:rsidRDefault="00014C4D" w:rsidP="00014C4D">
            <w:pPr>
              <w:keepNext/>
              <w:keepLines/>
              <w:spacing w:line="269" w:lineRule="auto"/>
              <w:jc w:val="center"/>
              <w:rPr>
                <w:rFonts w:ascii="David" w:eastAsia="Times New Roman" w:hAnsi="David"/>
                <w:b/>
                <w:bCs/>
                <w:color w:val="000000"/>
                <w:sz w:val="24"/>
                <w:rtl/>
              </w:rPr>
            </w:pPr>
          </w:p>
        </w:tc>
        <w:tc>
          <w:tcPr>
            <w:tcW w:w="992" w:type="dxa"/>
            <w:tcBorders>
              <w:top w:val="single" w:sz="4" w:space="0" w:color="auto"/>
              <w:left w:val="single" w:sz="6" w:space="0" w:color="auto"/>
              <w:bottom w:val="single" w:sz="12" w:space="0" w:color="auto"/>
              <w:right w:val="single" w:sz="6" w:space="0" w:color="auto"/>
            </w:tcBorders>
            <w:shd w:val="clear" w:color="auto" w:fill="auto"/>
            <w:noWrap/>
            <w:vAlign w:val="center"/>
            <w:hideMark/>
          </w:tcPr>
          <w:p w:rsidR="00014C4D" w:rsidRPr="00014C4D" w:rsidRDefault="00014C4D" w:rsidP="00014C4D">
            <w:pPr>
              <w:keepNext/>
              <w:keepLines/>
              <w:spacing w:line="269" w:lineRule="auto"/>
              <w:rPr>
                <w:sz w:val="22"/>
                <w:szCs w:val="22"/>
                <w:rtl/>
              </w:rPr>
            </w:pPr>
            <w:r w:rsidRPr="00014C4D">
              <w:rPr>
                <w:rFonts w:hint="cs"/>
                <w:sz w:val="22"/>
                <w:szCs w:val="22"/>
                <w:rtl/>
              </w:rPr>
              <w:t>לאחר</w:t>
            </w:r>
          </w:p>
          <w:p w:rsidR="00014C4D" w:rsidRPr="00014C4D" w:rsidRDefault="00014C4D" w:rsidP="00014C4D">
            <w:pPr>
              <w:keepNext/>
              <w:keepLines/>
              <w:spacing w:line="269" w:lineRule="auto"/>
              <w:jc w:val="left"/>
              <w:rPr>
                <w:sz w:val="22"/>
                <w:szCs w:val="22"/>
                <w:rtl/>
              </w:rPr>
            </w:pPr>
            <w:r w:rsidRPr="00014C4D">
              <w:rPr>
                <w:rFonts w:hint="cs"/>
                <w:sz w:val="22"/>
                <w:szCs w:val="22"/>
                <w:rtl/>
              </w:rPr>
              <w:t>7.10.23</w:t>
            </w:r>
          </w:p>
        </w:tc>
        <w:tc>
          <w:tcPr>
            <w:tcW w:w="1559" w:type="dxa"/>
            <w:tcBorders>
              <w:top w:val="single" w:sz="4" w:space="0" w:color="auto"/>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spacing w:line="269" w:lineRule="auto"/>
              <w:jc w:val="left"/>
              <w:rPr>
                <w:rFonts w:ascii="David" w:eastAsia="Times New Roman" w:hAnsi="David"/>
                <w:color w:val="000000"/>
                <w:sz w:val="22"/>
                <w:szCs w:val="22"/>
              </w:rPr>
            </w:pPr>
            <w:r w:rsidRPr="00014C4D">
              <w:rPr>
                <w:rFonts w:ascii="David" w:eastAsia="Times New Roman" w:hAnsi="David"/>
                <w:color w:val="000000"/>
                <w:sz w:val="22"/>
                <w:szCs w:val="22"/>
              </w:rPr>
              <w:t>1,317</w:t>
            </w:r>
          </w:p>
        </w:tc>
        <w:tc>
          <w:tcPr>
            <w:tcW w:w="1134" w:type="dxa"/>
            <w:vMerge/>
            <w:tcBorders>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bidi w:val="0"/>
              <w:spacing w:line="269" w:lineRule="auto"/>
              <w:jc w:val="center"/>
              <w:rPr>
                <w:rtl/>
              </w:rPr>
            </w:pPr>
          </w:p>
        </w:tc>
        <w:tc>
          <w:tcPr>
            <w:tcW w:w="1123" w:type="dxa"/>
            <w:vMerge/>
            <w:tcBorders>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bidi w:val="0"/>
              <w:spacing w:line="269" w:lineRule="auto"/>
              <w:jc w:val="center"/>
              <w:rPr>
                <w:rFonts w:ascii="David" w:eastAsia="Times New Roman" w:hAnsi="David"/>
                <w:color w:val="000000"/>
                <w:sz w:val="24"/>
                <w:rtl/>
              </w:rPr>
            </w:pPr>
          </w:p>
        </w:tc>
        <w:tc>
          <w:tcPr>
            <w:tcW w:w="1280" w:type="dxa"/>
            <w:vMerge/>
            <w:tcBorders>
              <w:left w:val="single" w:sz="6" w:space="0" w:color="auto"/>
              <w:bottom w:val="single" w:sz="12" w:space="0" w:color="auto"/>
              <w:right w:val="single" w:sz="12" w:space="0" w:color="auto"/>
            </w:tcBorders>
            <w:shd w:val="clear" w:color="auto" w:fill="auto"/>
            <w:noWrap/>
            <w:vAlign w:val="bottom"/>
          </w:tcPr>
          <w:p w:rsidR="00014C4D" w:rsidRPr="00014C4D" w:rsidRDefault="00014C4D" w:rsidP="00014C4D">
            <w:pPr>
              <w:keepNext/>
              <w:keepLines/>
              <w:bidi w:val="0"/>
              <w:spacing w:line="269" w:lineRule="auto"/>
              <w:jc w:val="center"/>
              <w:rPr>
                <w:rFonts w:ascii="David" w:eastAsia="Times New Roman" w:hAnsi="David"/>
                <w:color w:val="000000"/>
                <w:sz w:val="24"/>
                <w:rtl/>
              </w:rPr>
            </w:pPr>
          </w:p>
        </w:tc>
        <w:tc>
          <w:tcPr>
            <w:tcW w:w="1257" w:type="dxa"/>
            <w:vMerge/>
            <w:tcBorders>
              <w:left w:val="single" w:sz="6" w:space="0" w:color="auto"/>
              <w:bottom w:val="single" w:sz="12" w:space="0" w:color="auto"/>
              <w:right w:val="single" w:sz="12" w:space="0" w:color="auto"/>
            </w:tcBorders>
          </w:tcPr>
          <w:p w:rsidR="00014C4D" w:rsidRPr="00014C4D" w:rsidRDefault="00014C4D" w:rsidP="00014C4D">
            <w:pPr>
              <w:keepNext/>
              <w:keepLines/>
              <w:bidi w:val="0"/>
              <w:spacing w:line="269" w:lineRule="auto"/>
              <w:jc w:val="center"/>
              <w:rPr>
                <w:rFonts w:ascii="David" w:eastAsia="Times New Roman" w:hAnsi="David"/>
                <w:b/>
                <w:bCs/>
                <w:color w:val="000000"/>
                <w:sz w:val="24"/>
                <w:rtl/>
              </w:rPr>
            </w:pPr>
          </w:p>
        </w:tc>
      </w:tr>
    </w:tbl>
    <w:p w:rsidR="00014C4D" w:rsidRPr="00014C4D" w:rsidRDefault="00014C4D" w:rsidP="00014C4D">
      <w:pPr>
        <w:spacing w:line="269" w:lineRule="auto"/>
        <w:rPr>
          <w:sz w:val="22"/>
          <w:szCs w:val="22"/>
          <w:rtl/>
        </w:rPr>
      </w:pPr>
      <w:r w:rsidRPr="00014C4D">
        <w:rPr>
          <w:rFonts w:hint="cs"/>
          <w:sz w:val="22"/>
          <w:szCs w:val="22"/>
          <w:rtl/>
        </w:rPr>
        <w:t>על פי נתוני הרשויות שנבדקו, בעיבוד משרד מבקר המדינה.</w:t>
      </w:r>
    </w:p>
    <w:p w:rsidR="00014C4D" w:rsidRPr="00014C4D" w:rsidRDefault="00014C4D" w:rsidP="00014C4D">
      <w:pPr>
        <w:spacing w:line="269" w:lineRule="auto"/>
        <w:ind w:left="424" w:hanging="424"/>
        <w:rPr>
          <w:sz w:val="22"/>
          <w:szCs w:val="22"/>
          <w:rtl/>
        </w:rPr>
      </w:pPr>
      <w:r w:rsidRPr="00014C4D">
        <w:rPr>
          <w:rFonts w:hint="cs"/>
          <w:sz w:val="22"/>
          <w:szCs w:val="22"/>
          <w:rtl/>
        </w:rPr>
        <w:t xml:space="preserve">(1) </w:t>
      </w:r>
      <w:r w:rsidRPr="00014C4D">
        <w:rPr>
          <w:sz w:val="22"/>
          <w:szCs w:val="22"/>
          <w:rtl/>
        </w:rPr>
        <w:tab/>
      </w:r>
      <w:r w:rsidRPr="00014C4D">
        <w:rPr>
          <w:rFonts w:hint="cs"/>
          <w:sz w:val="22"/>
          <w:szCs w:val="22"/>
          <w:rtl/>
        </w:rPr>
        <w:t xml:space="preserve">הבדיקות בגבעתיים היו רק בעקבות פניות תושבים. </w:t>
      </w:r>
    </w:p>
    <w:p w:rsidR="00014C4D" w:rsidRPr="00014C4D" w:rsidRDefault="00014C4D" w:rsidP="00014C4D">
      <w:pPr>
        <w:spacing w:line="269" w:lineRule="auto"/>
        <w:ind w:left="424" w:hanging="424"/>
        <w:rPr>
          <w:sz w:val="22"/>
          <w:szCs w:val="22"/>
          <w:rtl/>
        </w:rPr>
      </w:pPr>
      <w:r w:rsidRPr="00014C4D">
        <w:rPr>
          <w:rFonts w:hint="cs"/>
          <w:sz w:val="22"/>
          <w:szCs w:val="22"/>
          <w:rtl/>
        </w:rPr>
        <w:t xml:space="preserve">(2) </w:t>
      </w:r>
      <w:r w:rsidRPr="00014C4D">
        <w:rPr>
          <w:sz w:val="22"/>
          <w:szCs w:val="22"/>
          <w:rtl/>
        </w:rPr>
        <w:tab/>
      </w:r>
      <w:r w:rsidRPr="00014C4D">
        <w:rPr>
          <w:rFonts w:hint="cs"/>
          <w:sz w:val="22"/>
          <w:szCs w:val="22"/>
          <w:rtl/>
        </w:rPr>
        <w:t xml:space="preserve">בשנים 2021 ו-2022 היו בדיקות באשקלון רק בעקבות פניות תושבים, ובשנת 2023 היו 1,893 בדיקות בעקבות פניות תושבים ו-296 בדיקות יזומות. </w:t>
      </w:r>
    </w:p>
    <w:p w:rsidR="00014C4D" w:rsidRPr="00014C4D" w:rsidRDefault="00014C4D" w:rsidP="00014C4D">
      <w:pPr>
        <w:spacing w:line="269" w:lineRule="auto"/>
        <w:ind w:left="424" w:hanging="424"/>
        <w:rPr>
          <w:sz w:val="22"/>
          <w:szCs w:val="22"/>
          <w:rtl/>
        </w:rPr>
      </w:pPr>
      <w:r w:rsidRPr="00014C4D">
        <w:rPr>
          <w:rFonts w:hint="cs"/>
          <w:sz w:val="22"/>
          <w:szCs w:val="22"/>
          <w:rtl/>
        </w:rPr>
        <w:t xml:space="preserve">(3) </w:t>
      </w:r>
      <w:r w:rsidRPr="00014C4D">
        <w:rPr>
          <w:sz w:val="22"/>
          <w:szCs w:val="22"/>
          <w:rtl/>
        </w:rPr>
        <w:tab/>
      </w:r>
      <w:r w:rsidRPr="00014C4D">
        <w:rPr>
          <w:rFonts w:hint="cs"/>
          <w:sz w:val="22"/>
          <w:szCs w:val="22"/>
          <w:rtl/>
        </w:rPr>
        <w:t>אשקלון לא מסרה נתונים למרות פניות חוזרות של עובדי הביקורת.</w:t>
      </w:r>
    </w:p>
    <w:p w:rsidR="00014C4D" w:rsidRPr="00014C4D" w:rsidRDefault="00014C4D" w:rsidP="00014C4D">
      <w:pPr>
        <w:spacing w:line="269" w:lineRule="auto"/>
        <w:ind w:left="424" w:hanging="424"/>
        <w:rPr>
          <w:sz w:val="22"/>
          <w:szCs w:val="22"/>
          <w:rtl/>
        </w:rPr>
      </w:pPr>
      <w:r w:rsidRPr="00014C4D">
        <w:rPr>
          <w:rFonts w:hint="cs"/>
          <w:sz w:val="22"/>
          <w:szCs w:val="22"/>
          <w:rtl/>
        </w:rPr>
        <w:t>(4)</w:t>
      </w:r>
      <w:r w:rsidRPr="00014C4D">
        <w:rPr>
          <w:sz w:val="22"/>
          <w:szCs w:val="22"/>
          <w:rtl/>
        </w:rPr>
        <w:tab/>
      </w:r>
      <w:r w:rsidRPr="00014C4D">
        <w:rPr>
          <w:rFonts w:hint="cs"/>
          <w:sz w:val="22"/>
          <w:szCs w:val="22"/>
          <w:rtl/>
        </w:rPr>
        <w:t>מספר ההתראות גדול ממספר הבדיקות משום שבחלק מהבניינים נשלחו התראות לכל הדיירים כי לא היה ועד בית.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מהנתונים</w:t>
      </w:r>
      <w:r w:rsidRPr="00014C4D">
        <w:rPr>
          <w:rtl/>
        </w:rPr>
        <w:t xml:space="preserve"> בלוח 2 עולה </w:t>
      </w:r>
      <w:r w:rsidRPr="00014C4D">
        <w:rPr>
          <w:rFonts w:hint="eastAsia"/>
          <w:rtl/>
        </w:rPr>
        <w:t>כי</w:t>
      </w:r>
      <w:r w:rsidRPr="00014C4D">
        <w:rPr>
          <w:rtl/>
        </w:rPr>
        <w:t xml:space="preserve"> </w:t>
      </w:r>
      <w:r w:rsidRPr="00014C4D">
        <w:rPr>
          <w:rFonts w:hint="eastAsia"/>
          <w:rtl/>
        </w:rPr>
        <w:t>מספר</w:t>
      </w:r>
      <w:r w:rsidRPr="00014C4D">
        <w:rPr>
          <w:rtl/>
        </w:rPr>
        <w:t xml:space="preserve"> דוחות הקנס שנתנו </w:t>
      </w:r>
      <w:r w:rsidRPr="00014C4D">
        <w:rPr>
          <w:rFonts w:hint="cs"/>
          <w:rtl/>
        </w:rPr>
        <w:t xml:space="preserve">עיריות </w:t>
      </w:r>
      <w:r w:rsidRPr="00014C4D">
        <w:rPr>
          <w:rFonts w:hint="cs"/>
          <w:b/>
          <w:bCs/>
          <w:rtl/>
        </w:rPr>
        <w:t>גבעתיים</w:t>
      </w:r>
      <w:r w:rsidRPr="00014C4D">
        <w:rPr>
          <w:rtl/>
        </w:rPr>
        <w:t xml:space="preserve"> ו</w:t>
      </w:r>
      <w:r w:rsidRPr="00014C4D">
        <w:rPr>
          <w:rFonts w:hint="cs"/>
          <w:b/>
          <w:bCs/>
          <w:rtl/>
        </w:rPr>
        <w:t>חולון</w:t>
      </w:r>
      <w:r w:rsidRPr="00014C4D">
        <w:rPr>
          <w:rFonts w:hint="cs"/>
          <w:rtl/>
        </w:rPr>
        <w:t xml:space="preserve"> </w:t>
      </w:r>
      <w:r w:rsidRPr="00014C4D">
        <w:rPr>
          <w:rtl/>
        </w:rPr>
        <w:t>לתושבים בשנים 2021</w:t>
      </w:r>
      <w:r w:rsidRPr="00014C4D">
        <w:rPr>
          <w:rFonts w:hint="cs"/>
          <w:rtl/>
        </w:rPr>
        <w:t xml:space="preserve"> </w:t>
      </w:r>
      <w:r w:rsidRPr="00014C4D">
        <w:rPr>
          <w:rtl/>
        </w:rPr>
        <w:t>- 2023 הי</w:t>
      </w:r>
      <w:r w:rsidRPr="00014C4D">
        <w:rPr>
          <w:rFonts w:hint="eastAsia"/>
          <w:rtl/>
        </w:rPr>
        <w:t>ה</w:t>
      </w:r>
      <w:r w:rsidRPr="00014C4D">
        <w:rPr>
          <w:rtl/>
        </w:rPr>
        <w:t xml:space="preserve"> נמו</w:t>
      </w:r>
      <w:r w:rsidRPr="00014C4D">
        <w:rPr>
          <w:rFonts w:hint="eastAsia"/>
          <w:rtl/>
        </w:rPr>
        <w:t>ך</w:t>
      </w:r>
      <w:r w:rsidRPr="00014C4D">
        <w:rPr>
          <w:rtl/>
        </w:rPr>
        <w:t xml:space="preserve"> מאוד ו</w:t>
      </w:r>
      <w:r w:rsidRPr="00014C4D">
        <w:rPr>
          <w:rFonts w:hint="eastAsia"/>
          <w:rtl/>
        </w:rPr>
        <w:t>נע</w:t>
      </w:r>
      <w:r w:rsidRPr="00014C4D">
        <w:rPr>
          <w:rtl/>
        </w:rPr>
        <w:t xml:space="preserve"> </w:t>
      </w:r>
      <w:r w:rsidRPr="00014C4D">
        <w:rPr>
          <w:rFonts w:hint="eastAsia"/>
          <w:rtl/>
        </w:rPr>
        <w:t>בין</w:t>
      </w:r>
      <w:r w:rsidRPr="00014C4D">
        <w:rPr>
          <w:rtl/>
        </w:rPr>
        <w:t xml:space="preserve"> 0 </w:t>
      </w:r>
      <w:r w:rsidRPr="00014C4D">
        <w:rPr>
          <w:rFonts w:hint="cs"/>
          <w:rtl/>
        </w:rPr>
        <w:t>ל-</w:t>
      </w:r>
      <w:r w:rsidRPr="00014C4D">
        <w:rPr>
          <w:rtl/>
        </w:rPr>
        <w:t xml:space="preserve">36 </w:t>
      </w:r>
      <w:r w:rsidRPr="00014C4D">
        <w:rPr>
          <w:rFonts w:hint="eastAsia"/>
          <w:rtl/>
        </w:rPr>
        <w:t>דוחות</w:t>
      </w:r>
      <w:r w:rsidRPr="00014C4D">
        <w:rPr>
          <w:rtl/>
        </w:rPr>
        <w:t xml:space="preserve"> </w:t>
      </w:r>
      <w:r w:rsidRPr="00014C4D">
        <w:rPr>
          <w:rFonts w:hint="eastAsia"/>
          <w:rtl/>
        </w:rPr>
        <w:t>קנס</w:t>
      </w:r>
      <w:r w:rsidRPr="00014C4D">
        <w:rPr>
          <w:rFonts w:hint="cs"/>
          <w:rtl/>
        </w:rPr>
        <w:t xml:space="preserve"> (בסך 730 ש"ח לכל דוח); </w:t>
      </w:r>
      <w:r w:rsidRPr="00014C4D">
        <w:rPr>
          <w:rFonts w:hint="eastAsia"/>
          <w:rtl/>
        </w:rPr>
        <w:t>ב</w:t>
      </w:r>
      <w:r w:rsidRPr="00014C4D">
        <w:rPr>
          <w:rFonts w:hint="eastAsia"/>
          <w:b/>
          <w:bCs/>
          <w:rtl/>
        </w:rPr>
        <w:t>אשקלון</w:t>
      </w:r>
      <w:r w:rsidRPr="00014C4D">
        <w:rPr>
          <w:rtl/>
        </w:rPr>
        <w:t xml:space="preserve"> </w:t>
      </w:r>
      <w:r w:rsidRPr="00014C4D">
        <w:rPr>
          <w:rFonts w:hint="eastAsia"/>
          <w:rtl/>
        </w:rPr>
        <w:t>בשנת</w:t>
      </w:r>
      <w:r w:rsidRPr="00014C4D">
        <w:rPr>
          <w:rtl/>
        </w:rPr>
        <w:t xml:space="preserve"> 2023 </w:t>
      </w:r>
      <w:r w:rsidRPr="00014C4D">
        <w:rPr>
          <w:rFonts w:hint="eastAsia"/>
          <w:rtl/>
        </w:rPr>
        <w:t>חלה</w:t>
      </w:r>
      <w:r w:rsidRPr="00014C4D">
        <w:rPr>
          <w:rtl/>
        </w:rPr>
        <w:t xml:space="preserve"> </w:t>
      </w:r>
      <w:r w:rsidRPr="00014C4D">
        <w:rPr>
          <w:rFonts w:hint="eastAsia"/>
          <w:rtl/>
        </w:rPr>
        <w:t>ירידה</w:t>
      </w:r>
      <w:r w:rsidRPr="00014C4D">
        <w:rPr>
          <w:rtl/>
        </w:rPr>
        <w:t xml:space="preserve"> </w:t>
      </w:r>
      <w:r w:rsidRPr="00014C4D">
        <w:rPr>
          <w:rFonts w:hint="eastAsia"/>
          <w:rtl/>
        </w:rPr>
        <w:t>משמעותית</w:t>
      </w:r>
      <w:r w:rsidRPr="00014C4D">
        <w:rPr>
          <w:rtl/>
        </w:rPr>
        <w:t xml:space="preserve"> </w:t>
      </w:r>
      <w:r w:rsidRPr="00014C4D">
        <w:rPr>
          <w:rFonts w:hint="eastAsia"/>
          <w:rtl/>
        </w:rPr>
        <w:t>בהיקף</w:t>
      </w:r>
      <w:r w:rsidRPr="00014C4D">
        <w:rPr>
          <w:rtl/>
        </w:rPr>
        <w:t xml:space="preserve"> </w:t>
      </w:r>
      <w:r w:rsidRPr="00014C4D">
        <w:rPr>
          <w:rFonts w:hint="cs"/>
          <w:rtl/>
        </w:rPr>
        <w:t xml:space="preserve">דוחות </w:t>
      </w:r>
      <w:r w:rsidRPr="00014C4D">
        <w:rPr>
          <w:rFonts w:hint="eastAsia"/>
          <w:rtl/>
        </w:rPr>
        <w:t>הקנס</w:t>
      </w:r>
      <w:r w:rsidRPr="00014C4D">
        <w:rPr>
          <w:rtl/>
        </w:rPr>
        <w:t xml:space="preserve"> </w:t>
      </w:r>
      <w:r w:rsidRPr="00014C4D">
        <w:rPr>
          <w:rFonts w:hint="cs"/>
          <w:rtl/>
        </w:rPr>
        <w:t xml:space="preserve">השנתי </w:t>
      </w:r>
      <w:r w:rsidRPr="00014C4D">
        <w:rPr>
          <w:rtl/>
        </w:rPr>
        <w:t>(</w:t>
      </w:r>
      <w:r w:rsidRPr="00014C4D">
        <w:rPr>
          <w:rFonts w:hint="eastAsia"/>
          <w:rtl/>
        </w:rPr>
        <w:t>ירידה</w:t>
      </w:r>
      <w:r w:rsidRPr="00014C4D">
        <w:rPr>
          <w:rtl/>
        </w:rPr>
        <w:t xml:space="preserve"> של 82% </w:t>
      </w:r>
      <w:r w:rsidRPr="00014C4D">
        <w:rPr>
          <w:rFonts w:hint="eastAsia"/>
          <w:rtl/>
        </w:rPr>
        <w:t>ביחס</w:t>
      </w:r>
      <w:r w:rsidRPr="00014C4D">
        <w:rPr>
          <w:rtl/>
        </w:rPr>
        <w:t xml:space="preserve"> לשנת 2021 </w:t>
      </w:r>
      <w:r w:rsidRPr="00014C4D">
        <w:rPr>
          <w:rFonts w:hint="eastAsia"/>
          <w:rtl/>
        </w:rPr>
        <w:t>ו</w:t>
      </w:r>
      <w:r w:rsidRPr="00014C4D">
        <w:rPr>
          <w:rtl/>
        </w:rPr>
        <w:t xml:space="preserve">של 60% </w:t>
      </w:r>
      <w:r w:rsidRPr="00014C4D">
        <w:rPr>
          <w:rFonts w:hint="eastAsia"/>
          <w:rtl/>
        </w:rPr>
        <w:t>ביחס</w:t>
      </w:r>
      <w:r w:rsidRPr="00014C4D">
        <w:rPr>
          <w:rtl/>
        </w:rPr>
        <w:t xml:space="preserve"> </w:t>
      </w:r>
      <w:r w:rsidRPr="00014C4D">
        <w:rPr>
          <w:rFonts w:hint="eastAsia"/>
          <w:rtl/>
        </w:rPr>
        <w:t>לשנת</w:t>
      </w:r>
      <w:r w:rsidRPr="00014C4D">
        <w:rPr>
          <w:rtl/>
        </w:rPr>
        <w:t xml:space="preserve"> 2022);</w:t>
      </w:r>
      <w:r w:rsidRPr="00014C4D">
        <w:rPr>
          <w:rFonts w:hint="cs"/>
          <w:rtl/>
        </w:rPr>
        <w:t xml:space="preserve"> </w:t>
      </w:r>
      <w:r w:rsidRPr="00014C4D">
        <w:rPr>
          <w:rFonts w:hint="eastAsia"/>
          <w:rtl/>
        </w:rPr>
        <w:t>עיריית</w:t>
      </w:r>
      <w:r w:rsidRPr="00014C4D">
        <w:rPr>
          <w:rtl/>
        </w:rPr>
        <w:t xml:space="preserve"> </w:t>
      </w:r>
      <w:r w:rsidRPr="00014C4D">
        <w:rPr>
          <w:b/>
          <w:bCs/>
          <w:rtl/>
        </w:rPr>
        <w:t>גבעתיים</w:t>
      </w:r>
      <w:r w:rsidRPr="00014C4D">
        <w:rPr>
          <w:rtl/>
        </w:rPr>
        <w:t xml:space="preserve"> נתנה </w:t>
      </w:r>
      <w:r w:rsidRPr="00014C4D">
        <w:rPr>
          <w:rFonts w:hint="eastAsia"/>
          <w:rtl/>
        </w:rPr>
        <w:t>בשנת</w:t>
      </w:r>
      <w:r w:rsidRPr="00014C4D">
        <w:rPr>
          <w:rtl/>
        </w:rPr>
        <w:t xml:space="preserve"> 2021 </w:t>
      </w:r>
      <w:r w:rsidRPr="00014C4D">
        <w:rPr>
          <w:rFonts w:hint="eastAsia"/>
          <w:rtl/>
        </w:rPr>
        <w:t>שני</w:t>
      </w:r>
      <w:r w:rsidRPr="00014C4D">
        <w:rPr>
          <w:rtl/>
        </w:rPr>
        <w:t xml:space="preserve"> דוחות בלבד ו</w:t>
      </w:r>
      <w:r w:rsidRPr="00014C4D">
        <w:rPr>
          <w:rFonts w:hint="eastAsia"/>
          <w:rtl/>
        </w:rPr>
        <w:t>בשנים</w:t>
      </w:r>
      <w:r w:rsidRPr="00014C4D">
        <w:rPr>
          <w:rtl/>
        </w:rPr>
        <w:t xml:space="preserve"> 2022 - 2023 לא נתנה דוחות קנס </w:t>
      </w:r>
      <w:r w:rsidRPr="00014C4D">
        <w:rPr>
          <w:rFonts w:hint="cs"/>
          <w:rtl/>
        </w:rPr>
        <w:t xml:space="preserve">בגין </w:t>
      </w:r>
      <w:r w:rsidRPr="00014C4D">
        <w:rPr>
          <w:rFonts w:hint="eastAsia"/>
          <w:rtl/>
        </w:rPr>
        <w:t>מקלטים</w:t>
      </w:r>
      <w:r w:rsidRPr="00014C4D">
        <w:rPr>
          <w:rtl/>
        </w:rPr>
        <w:t xml:space="preserve"> </w:t>
      </w:r>
      <w:r w:rsidRPr="00014C4D">
        <w:rPr>
          <w:rFonts w:hint="eastAsia"/>
          <w:rtl/>
        </w:rPr>
        <w:lastRenderedPageBreak/>
        <w:t>בבתים</w:t>
      </w:r>
      <w:r w:rsidRPr="00014C4D">
        <w:rPr>
          <w:rtl/>
        </w:rPr>
        <w:t xml:space="preserve"> </w:t>
      </w:r>
      <w:r w:rsidRPr="00014C4D">
        <w:rPr>
          <w:rFonts w:hint="eastAsia"/>
          <w:rtl/>
        </w:rPr>
        <w:t>משותפים</w:t>
      </w:r>
      <w:r w:rsidRPr="00014C4D">
        <w:rPr>
          <w:rtl/>
        </w:rPr>
        <w:t xml:space="preserve"> והסתפקה בהתרא</w:t>
      </w:r>
      <w:r w:rsidRPr="00014C4D">
        <w:rPr>
          <w:rFonts w:hint="cs"/>
          <w:rtl/>
        </w:rPr>
        <w:t xml:space="preserve">ות; </w:t>
      </w:r>
      <w:r w:rsidRPr="00014C4D">
        <w:rPr>
          <w:rFonts w:hint="eastAsia"/>
          <w:rtl/>
        </w:rPr>
        <w:t>ב</w:t>
      </w:r>
      <w:r w:rsidRPr="00014C4D">
        <w:rPr>
          <w:rFonts w:hint="eastAsia"/>
          <w:b/>
          <w:bCs/>
          <w:rtl/>
        </w:rPr>
        <w:t>חולון</w:t>
      </w:r>
      <w:r w:rsidRPr="00014C4D">
        <w:rPr>
          <w:b/>
          <w:bCs/>
          <w:rtl/>
        </w:rPr>
        <w:t xml:space="preserve"> </w:t>
      </w:r>
      <w:r w:rsidRPr="00014C4D">
        <w:rPr>
          <w:rFonts w:hint="eastAsia"/>
          <w:rtl/>
        </w:rPr>
        <w:t>שיעור</w:t>
      </w:r>
      <w:r w:rsidRPr="00014C4D">
        <w:rPr>
          <w:rtl/>
        </w:rPr>
        <w:t xml:space="preserve"> </w:t>
      </w:r>
      <w:r w:rsidRPr="00014C4D">
        <w:rPr>
          <w:rFonts w:hint="cs"/>
          <w:rtl/>
        </w:rPr>
        <w:t>הבדיקות שבעקבותיהן ניתנו</w:t>
      </w:r>
      <w:r w:rsidRPr="00014C4D">
        <w:rPr>
          <w:rtl/>
        </w:rPr>
        <w:t xml:space="preserve"> </w:t>
      </w:r>
      <w:r w:rsidRPr="00014C4D">
        <w:rPr>
          <w:rFonts w:hint="eastAsia"/>
          <w:rtl/>
        </w:rPr>
        <w:t>התראות</w:t>
      </w:r>
      <w:r w:rsidRPr="00014C4D">
        <w:rPr>
          <w:rtl/>
        </w:rPr>
        <w:t xml:space="preserve"> </w:t>
      </w:r>
      <w:r w:rsidRPr="00014C4D">
        <w:rPr>
          <w:rFonts w:hint="eastAsia"/>
          <w:rtl/>
        </w:rPr>
        <w:t>ודוחות</w:t>
      </w:r>
      <w:r w:rsidRPr="00014C4D">
        <w:rPr>
          <w:rtl/>
        </w:rPr>
        <w:t xml:space="preserve"> </w:t>
      </w:r>
      <w:r w:rsidRPr="00014C4D">
        <w:rPr>
          <w:rFonts w:hint="eastAsia"/>
          <w:rtl/>
        </w:rPr>
        <w:t>קנס</w:t>
      </w:r>
      <w:r w:rsidRPr="00014C4D">
        <w:rPr>
          <w:rtl/>
        </w:rPr>
        <w:t xml:space="preserve"> </w:t>
      </w:r>
      <w:r w:rsidRPr="00014C4D">
        <w:rPr>
          <w:rFonts w:hint="eastAsia"/>
          <w:rtl/>
        </w:rPr>
        <w:t>בשנת</w:t>
      </w:r>
      <w:r w:rsidRPr="00014C4D">
        <w:rPr>
          <w:rtl/>
        </w:rPr>
        <w:t xml:space="preserve"> 2021 </w:t>
      </w:r>
      <w:r w:rsidRPr="00014C4D">
        <w:rPr>
          <w:rFonts w:hint="eastAsia"/>
          <w:rtl/>
        </w:rPr>
        <w:t>היה</w:t>
      </w:r>
      <w:r w:rsidRPr="00014C4D">
        <w:rPr>
          <w:rtl/>
        </w:rPr>
        <w:t xml:space="preserve"> 8% </w:t>
      </w:r>
      <w:r w:rsidRPr="00014C4D">
        <w:rPr>
          <w:rFonts w:hint="eastAsia"/>
          <w:rtl/>
        </w:rPr>
        <w:t>בלבד</w:t>
      </w:r>
      <w:r w:rsidRPr="00014C4D">
        <w:rPr>
          <w:rtl/>
        </w:rPr>
        <w:t xml:space="preserve"> ובשנת 2023</w:t>
      </w:r>
      <w:r w:rsidRPr="00014C4D">
        <w:rPr>
          <w:rFonts w:hint="cs"/>
          <w:rtl/>
        </w:rPr>
        <w:t xml:space="preserve"> </w:t>
      </w:r>
      <w:r w:rsidRPr="00014C4D">
        <w:rPr>
          <w:rtl/>
        </w:rPr>
        <w:t>46%</w:t>
      </w:r>
      <w:r w:rsidRPr="00014C4D">
        <w:rPr>
          <w:rFonts w:hint="cs"/>
          <w:rtl/>
        </w:rPr>
        <w:t>;</w:t>
      </w:r>
      <w:r w:rsidRPr="00014C4D">
        <w:rPr>
          <w:rtl/>
        </w:rPr>
        <w:t xml:space="preserve"> </w:t>
      </w:r>
      <w:r w:rsidRPr="00014C4D">
        <w:rPr>
          <w:rFonts w:hint="cs"/>
          <w:rtl/>
        </w:rPr>
        <w:t>אשר לבדיקות בשנת 2023 - 1,</w:t>
      </w:r>
      <w:r w:rsidRPr="00014C4D">
        <w:rPr>
          <w:rtl/>
        </w:rPr>
        <w:t>41</w:t>
      </w:r>
      <w:r w:rsidRPr="00014C4D">
        <w:rPr>
          <w:rFonts w:hint="cs"/>
          <w:rtl/>
        </w:rPr>
        <w:t>7</w:t>
      </w:r>
      <w:r w:rsidRPr="00014C4D">
        <w:rPr>
          <w:rtl/>
        </w:rPr>
        <w:t xml:space="preserve"> מתוך 2,189 </w:t>
      </w:r>
      <w:r w:rsidRPr="00014C4D">
        <w:rPr>
          <w:rFonts w:hint="cs"/>
          <w:rtl/>
        </w:rPr>
        <w:t xml:space="preserve">הבדיקות שביצעה עיריית אשקלון </w:t>
      </w:r>
      <w:r w:rsidRPr="00014C4D">
        <w:rPr>
          <w:rtl/>
        </w:rPr>
        <w:t>(כ-65%) ו-1,31</w:t>
      </w:r>
      <w:r w:rsidRPr="00014C4D">
        <w:rPr>
          <w:rFonts w:hint="cs"/>
          <w:rtl/>
        </w:rPr>
        <w:t>7</w:t>
      </w:r>
      <w:r w:rsidRPr="00014C4D">
        <w:rPr>
          <w:rtl/>
        </w:rPr>
        <w:t xml:space="preserve"> מתוך 1,726 (כ-76%) </w:t>
      </w:r>
      <w:r w:rsidRPr="00014C4D">
        <w:rPr>
          <w:rFonts w:hint="cs"/>
          <w:rtl/>
        </w:rPr>
        <w:t>ה</w:t>
      </w:r>
      <w:r w:rsidRPr="00014C4D">
        <w:rPr>
          <w:rtl/>
        </w:rPr>
        <w:t xml:space="preserve">בדיקות </w:t>
      </w:r>
      <w:r w:rsidRPr="00014C4D">
        <w:rPr>
          <w:rFonts w:hint="cs"/>
          <w:rtl/>
        </w:rPr>
        <w:t xml:space="preserve">שביצעה </w:t>
      </w:r>
      <w:r w:rsidRPr="00014C4D">
        <w:rPr>
          <w:rtl/>
        </w:rPr>
        <w:t>עירי</w:t>
      </w:r>
      <w:r w:rsidRPr="00014C4D">
        <w:rPr>
          <w:rFonts w:hint="cs"/>
          <w:rtl/>
        </w:rPr>
        <w:t>י</w:t>
      </w:r>
      <w:r w:rsidRPr="00014C4D">
        <w:rPr>
          <w:rtl/>
        </w:rPr>
        <w:t>ת חולון היו לאחר תחילת המלחמה.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במפרט במנחה לתחזוקת מקלטים נקבע כי תדירות הביקורת של רובם המכריע של רכיבי המקלטים תהיה בין תלת-חודשית לשנתית. ואולם נמצא כי </w:t>
      </w:r>
      <w:r w:rsidRPr="00014C4D">
        <w:rPr>
          <w:b/>
          <w:bCs/>
          <w:rtl/>
        </w:rPr>
        <w:t xml:space="preserve">עיריות אשקלון, גבעתיים </w:t>
      </w:r>
      <w:r w:rsidRPr="00014C4D">
        <w:rPr>
          <w:rFonts w:hint="cs"/>
          <w:b/>
          <w:bCs/>
          <w:rtl/>
        </w:rPr>
        <w:t xml:space="preserve">וחולון </w:t>
      </w:r>
      <w:r w:rsidRPr="00014C4D">
        <w:rPr>
          <w:b/>
          <w:bCs/>
          <w:rtl/>
        </w:rPr>
        <w:t>לא ערכו ביקורות במקלטים בבתים המשותפים בתדירות הנדרשת</w:t>
      </w:r>
      <w:r w:rsidRPr="00014C4D">
        <w:rPr>
          <w:rFonts w:hint="cs"/>
          <w:b/>
          <w:bCs/>
          <w:rtl/>
        </w:rPr>
        <w:t>: בתקופה שמתחילת שנת 2021 ועד אוקטובר 2023 לא ביצעה עיריית אשקלון ביקורות יזומות; בשנים 2021 - 2023 לא ביצעה עיריית גבעתיים ביקורות יזומות כלל.</w:t>
      </w:r>
      <w:r w:rsidRPr="00014C4D">
        <w:rPr>
          <w:b/>
          <w:bCs/>
          <w:rtl/>
        </w:rPr>
        <w:t xml:space="preserve"> שיעור </w:t>
      </w:r>
      <w:r w:rsidRPr="00014C4D">
        <w:rPr>
          <w:rFonts w:hint="cs"/>
          <w:b/>
          <w:bCs/>
          <w:rtl/>
        </w:rPr>
        <w:t xml:space="preserve">המקלטים בבתים המשותפים שבהם </w:t>
      </w:r>
      <w:r w:rsidRPr="00014C4D">
        <w:rPr>
          <w:b/>
          <w:bCs/>
          <w:rtl/>
        </w:rPr>
        <w:t xml:space="preserve">עשתה </w:t>
      </w:r>
      <w:r w:rsidRPr="00014C4D">
        <w:rPr>
          <w:rFonts w:hint="eastAsia"/>
          <w:b/>
          <w:bCs/>
          <w:rtl/>
        </w:rPr>
        <w:t>עיריית</w:t>
      </w:r>
      <w:r w:rsidRPr="00014C4D">
        <w:rPr>
          <w:b/>
          <w:bCs/>
          <w:rtl/>
        </w:rPr>
        <w:t xml:space="preserve"> </w:t>
      </w:r>
      <w:r w:rsidRPr="00014C4D">
        <w:rPr>
          <w:rFonts w:hint="eastAsia"/>
          <w:b/>
          <w:bCs/>
          <w:rtl/>
        </w:rPr>
        <w:t>חולון</w:t>
      </w:r>
      <w:r w:rsidRPr="00014C4D">
        <w:rPr>
          <w:b/>
          <w:bCs/>
          <w:rtl/>
        </w:rPr>
        <w:t xml:space="preserve"> </w:t>
      </w:r>
      <w:r w:rsidRPr="00014C4D">
        <w:rPr>
          <w:rFonts w:hint="cs"/>
          <w:b/>
          <w:bCs/>
          <w:rtl/>
        </w:rPr>
        <w:t xml:space="preserve">בדיקות יזומות </w:t>
      </w:r>
      <w:r w:rsidRPr="00014C4D">
        <w:rPr>
          <w:rFonts w:hint="eastAsia"/>
          <w:b/>
          <w:bCs/>
          <w:rtl/>
        </w:rPr>
        <w:t>בשנים</w:t>
      </w:r>
      <w:r w:rsidRPr="00014C4D">
        <w:rPr>
          <w:b/>
          <w:bCs/>
          <w:rtl/>
        </w:rPr>
        <w:t xml:space="preserve"> 2021 - 2023 </w:t>
      </w:r>
      <w:r w:rsidRPr="00014C4D">
        <w:rPr>
          <w:rFonts w:hint="eastAsia"/>
          <w:b/>
          <w:bCs/>
          <w:rtl/>
        </w:rPr>
        <w:t>היה</w:t>
      </w:r>
      <w:r w:rsidRPr="00014C4D">
        <w:rPr>
          <w:b/>
          <w:bCs/>
          <w:rtl/>
        </w:rPr>
        <w:t xml:space="preserve"> </w:t>
      </w:r>
      <w:r w:rsidRPr="00014C4D">
        <w:rPr>
          <w:rFonts w:hint="eastAsia"/>
          <w:b/>
          <w:bCs/>
          <w:rtl/>
        </w:rPr>
        <w:t>מזערי</w:t>
      </w:r>
      <w:r w:rsidRPr="00014C4D">
        <w:rPr>
          <w:b/>
          <w:bCs/>
          <w:rtl/>
        </w:rPr>
        <w:t xml:space="preserve"> </w:t>
      </w:r>
      <w:r w:rsidRPr="00014C4D">
        <w:rPr>
          <w:rFonts w:hint="eastAsia"/>
          <w:b/>
          <w:bCs/>
          <w:rtl/>
        </w:rPr>
        <w:t>ונע</w:t>
      </w:r>
      <w:r w:rsidRPr="00014C4D">
        <w:rPr>
          <w:b/>
          <w:bCs/>
          <w:rtl/>
        </w:rPr>
        <w:t xml:space="preserve"> </w:t>
      </w:r>
      <w:r w:rsidRPr="00014C4D">
        <w:rPr>
          <w:rFonts w:hint="eastAsia"/>
          <w:b/>
          <w:bCs/>
          <w:rtl/>
        </w:rPr>
        <w:t>בין</w:t>
      </w:r>
      <w:r w:rsidRPr="00014C4D">
        <w:rPr>
          <w:b/>
          <w:bCs/>
          <w:rtl/>
        </w:rPr>
        <w:t xml:space="preserve"> כ-0.</w:t>
      </w:r>
      <w:r w:rsidRPr="00014C4D">
        <w:rPr>
          <w:rFonts w:hint="cs"/>
          <w:b/>
          <w:bCs/>
          <w:rtl/>
        </w:rPr>
        <w:t>6</w:t>
      </w:r>
      <w:r w:rsidRPr="00014C4D">
        <w:rPr>
          <w:b/>
          <w:bCs/>
          <w:rtl/>
        </w:rPr>
        <w:t>% ל</w:t>
      </w:r>
      <w:r w:rsidRPr="00014C4D">
        <w:rPr>
          <w:rFonts w:hint="eastAsia"/>
          <w:b/>
          <w:bCs/>
          <w:rtl/>
        </w:rPr>
        <w:t>כ</w:t>
      </w:r>
      <w:r w:rsidRPr="00014C4D">
        <w:rPr>
          <w:b/>
          <w:bCs/>
          <w:rtl/>
        </w:rPr>
        <w:t>-</w:t>
      </w:r>
      <w:r w:rsidRPr="00014C4D">
        <w:rPr>
          <w:rFonts w:hint="cs"/>
          <w:b/>
          <w:bCs/>
          <w:rtl/>
        </w:rPr>
        <w:t>1.7</w:t>
      </w:r>
      <w:r w:rsidRPr="00014C4D">
        <w:rPr>
          <w:b/>
          <w:bCs/>
          <w:rtl/>
        </w:rPr>
        <w:t>%</w:t>
      </w:r>
      <w:r w:rsidRPr="00014C4D">
        <w:rPr>
          <w:rFonts w:hint="cs"/>
          <w:b/>
          <w:bCs/>
          <w:rtl/>
        </w:rPr>
        <w:t xml:space="preserve"> </w:t>
      </w:r>
      <w:r w:rsidRPr="00014C4D">
        <w:rPr>
          <w:rFonts w:hint="eastAsia"/>
          <w:b/>
          <w:bCs/>
          <w:rtl/>
        </w:rPr>
        <w:t>מכלל</w:t>
      </w:r>
      <w:r w:rsidRPr="00014C4D">
        <w:rPr>
          <w:b/>
          <w:bCs/>
          <w:rtl/>
        </w:rPr>
        <w:t xml:space="preserve"> </w:t>
      </w:r>
      <w:r w:rsidRPr="00014C4D">
        <w:rPr>
          <w:rFonts w:hint="eastAsia"/>
          <w:b/>
          <w:bCs/>
          <w:rtl/>
        </w:rPr>
        <w:t>המקלטים</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כדי להבטיח את תקינותם של המקלטים בבתים משותפים וכשירותם לשימוש בעת חירום, על עיריות אשקלון, גבעתיים וחולון להגביר, בעת שגרה ובשעת חירום, את הביקורות היזומות ואת האכיפה בכל הנוגע לתחזוקת המקלטים המשותפים.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hint="cs"/>
          <w:rtl/>
        </w:rPr>
        <w:t xml:space="preserve">עיריית </w:t>
      </w:r>
      <w:r w:rsidRPr="00014C4D">
        <w:rPr>
          <w:rFonts w:hint="cs"/>
          <w:b/>
          <w:bCs/>
          <w:rtl/>
        </w:rPr>
        <w:t xml:space="preserve">גבעתיים </w:t>
      </w:r>
      <w:r w:rsidRPr="00014C4D">
        <w:rPr>
          <w:rFonts w:hint="cs"/>
          <w:rtl/>
        </w:rPr>
        <w:t xml:space="preserve">מסרה בתשובתה כי </w:t>
      </w:r>
      <w:r w:rsidRPr="00014C4D">
        <w:rPr>
          <w:rtl/>
        </w:rPr>
        <w:t xml:space="preserve">ביצוע מיפוי מלא ופיקוח מקצועי הדוק </w:t>
      </w:r>
      <w:r w:rsidRPr="00014C4D">
        <w:rPr>
          <w:rFonts w:hint="cs"/>
          <w:rtl/>
        </w:rPr>
        <w:t>ש</w:t>
      </w:r>
      <w:r w:rsidRPr="00014C4D">
        <w:rPr>
          <w:rtl/>
        </w:rPr>
        <w:t>ל</w:t>
      </w:r>
      <w:r w:rsidRPr="00014C4D">
        <w:rPr>
          <w:rFonts w:hint="cs"/>
          <w:rtl/>
        </w:rPr>
        <w:t xml:space="preserve"> </w:t>
      </w:r>
      <w:r w:rsidRPr="00014C4D">
        <w:rPr>
          <w:rtl/>
        </w:rPr>
        <w:t>כלל המקלטים הפרטיים</w:t>
      </w:r>
      <w:r w:rsidRPr="00014C4D">
        <w:rPr>
          <w:rFonts w:hint="cs"/>
          <w:rtl/>
        </w:rPr>
        <w:t xml:space="preserve"> ברשות</w:t>
      </w:r>
      <w:r w:rsidRPr="00014C4D">
        <w:rPr>
          <w:rtl/>
        </w:rPr>
        <w:t xml:space="preserve"> (</w:t>
      </w:r>
      <w:r w:rsidRPr="00014C4D">
        <w:rPr>
          <w:rFonts w:hint="cs"/>
          <w:rtl/>
        </w:rPr>
        <w:t>יותר מ-</w:t>
      </w:r>
      <w:r w:rsidRPr="00014C4D">
        <w:rPr>
          <w:rtl/>
        </w:rPr>
        <w:t>3</w:t>
      </w:r>
      <w:r w:rsidRPr="00014C4D">
        <w:rPr>
          <w:rFonts w:hint="cs"/>
          <w:rtl/>
        </w:rPr>
        <w:t>,</w:t>
      </w:r>
      <w:r w:rsidRPr="00014C4D">
        <w:rPr>
          <w:rtl/>
        </w:rPr>
        <w:t>000) מצריך הקמת מחלקת מיגון י</w:t>
      </w:r>
      <w:r w:rsidRPr="00014C4D">
        <w:rPr>
          <w:rFonts w:hint="cs"/>
          <w:rtl/>
        </w:rPr>
        <w:t>י</w:t>
      </w:r>
      <w:r w:rsidRPr="00014C4D">
        <w:rPr>
          <w:rtl/>
        </w:rPr>
        <w:t xml:space="preserve">עודית </w:t>
      </w:r>
      <w:r w:rsidRPr="00014C4D">
        <w:rPr>
          <w:rFonts w:hint="cs"/>
          <w:rtl/>
        </w:rPr>
        <w:t>שת</w:t>
      </w:r>
      <w:r w:rsidRPr="00014C4D">
        <w:rPr>
          <w:rtl/>
        </w:rPr>
        <w:t xml:space="preserve">כלול בין היתר מהנדס מיגון מוסמך ופקחים מוסמכים לביצוע אלפי סקרים וביקורות בשנה. </w:t>
      </w:r>
      <w:r w:rsidRPr="00014C4D">
        <w:rPr>
          <w:rFonts w:hint="cs"/>
          <w:rtl/>
        </w:rPr>
        <w:t>עם זאת, העירייה תבחן את נושא הקמת מחלקת מיגון.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נוכח מספר הביקורות המועט שעשו הרשויות המקומיות בנוגע לתחזוקת המקלטים המשותפים מומלץ לפקע"ר להגביר את פעילותו מול הרשויות המקומיות כדי שייערכו ביקורות </w:t>
      </w:r>
      <w:r w:rsidRPr="00014C4D">
        <w:rPr>
          <w:rFonts w:hint="eastAsia"/>
          <w:b/>
          <w:bCs/>
          <w:rtl/>
        </w:rPr>
        <w:t>ע</w:t>
      </w:r>
      <w:r w:rsidRPr="00014C4D">
        <w:rPr>
          <w:rFonts w:hint="cs"/>
          <w:b/>
          <w:bCs/>
          <w:rtl/>
        </w:rPr>
        <w:t>י</w:t>
      </w:r>
      <w:r w:rsidRPr="00014C4D">
        <w:rPr>
          <w:rFonts w:hint="eastAsia"/>
          <w:b/>
          <w:bCs/>
          <w:rtl/>
        </w:rPr>
        <w:t>תיות</w:t>
      </w:r>
      <w:r w:rsidRPr="00014C4D">
        <w:rPr>
          <w:rFonts w:hint="cs"/>
          <w:b/>
          <w:bCs/>
          <w:rtl/>
        </w:rPr>
        <w:t xml:space="preserve"> במקלטים בבתים המשותפים</w:t>
      </w:r>
      <w:r w:rsidRPr="00014C4D">
        <w:rPr>
          <w:b/>
          <w:bCs/>
          <w:rtl/>
        </w:rPr>
        <w:t xml:space="preserve">, </w:t>
      </w:r>
      <w:r w:rsidRPr="00014C4D">
        <w:rPr>
          <w:rFonts w:hint="cs"/>
          <w:b/>
          <w:bCs/>
          <w:rtl/>
        </w:rPr>
        <w:t xml:space="preserve">באופן שוטף ובהתאם לתוכנית עבודה שתגובש לעניין זה.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בתשובתו הדגיש פקע"ר כי על פי החוק</w:t>
      </w:r>
      <w:r w:rsidRPr="00014C4D">
        <w:rPr>
          <w:rtl/>
        </w:rPr>
        <w:t xml:space="preserve"> האחריות לתחזוקתם התקינה של מקלטים פרטיים היא של בעלי הנכסים</w:t>
      </w:r>
      <w:r w:rsidRPr="00014C4D">
        <w:rPr>
          <w:rFonts w:hint="cs"/>
          <w:rtl/>
        </w:rPr>
        <w:t>,</w:t>
      </w:r>
      <w:r w:rsidRPr="00014C4D">
        <w:rPr>
          <w:rtl/>
        </w:rPr>
        <w:t xml:space="preserve"> </w:t>
      </w:r>
      <w:r w:rsidRPr="00014C4D">
        <w:rPr>
          <w:rFonts w:hint="cs"/>
          <w:rtl/>
        </w:rPr>
        <w:t>ו</w:t>
      </w:r>
      <w:r w:rsidRPr="00014C4D">
        <w:rPr>
          <w:rtl/>
        </w:rPr>
        <w:t>האחריות לפי</w:t>
      </w:r>
      <w:r w:rsidRPr="00014C4D">
        <w:rPr>
          <w:rFonts w:hint="cs"/>
          <w:rtl/>
        </w:rPr>
        <w:t>קוח</w:t>
      </w:r>
      <w:r w:rsidRPr="00014C4D">
        <w:rPr>
          <w:rtl/>
        </w:rPr>
        <w:t xml:space="preserve"> על כ</w:t>
      </w:r>
      <w:r w:rsidRPr="00014C4D">
        <w:rPr>
          <w:rFonts w:hint="eastAsia"/>
          <w:rtl/>
        </w:rPr>
        <w:t>ך</w:t>
      </w:r>
      <w:r w:rsidRPr="00014C4D">
        <w:rPr>
          <w:rtl/>
        </w:rPr>
        <w:t xml:space="preserve"> </w:t>
      </w:r>
      <w:r w:rsidRPr="00014C4D">
        <w:rPr>
          <w:rFonts w:hint="cs"/>
          <w:rtl/>
        </w:rPr>
        <w:t xml:space="preserve">מוטלת </w:t>
      </w:r>
      <w:r w:rsidRPr="00014C4D">
        <w:rPr>
          <w:rtl/>
        </w:rPr>
        <w:t>על הרשות המקומית.</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מרכיבי הבדיקות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tl/>
        </w:rPr>
      </w:pPr>
      <w:r w:rsidRPr="00014C4D">
        <w:rPr>
          <w:rFonts w:hint="cs"/>
          <w:rtl/>
        </w:rPr>
        <w:t>במנחה לתחזוקת מקלטים</w:t>
      </w:r>
      <w:r w:rsidRPr="00014C4D">
        <w:rPr>
          <w:vertAlign w:val="superscript"/>
          <w:rtl/>
        </w:rPr>
        <w:footnoteReference w:id="42"/>
      </w:r>
      <w:r w:rsidRPr="00014C4D">
        <w:rPr>
          <w:rFonts w:hint="cs"/>
          <w:rtl/>
        </w:rPr>
        <w:t xml:space="preserve"> פורטו מרכיבי הבדיקות התקופתיות שעל הרשות המקומית לבצע במקלטים. הבדיקות כוללות את הסביבה החיצונית, פנים המקלט, מסגרות, מערכת אינסטלציה ומתקני תברואה, מערכת חשמל ותקשורת, אטימות לאב"ך וציוד נלווה למקלט.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tl/>
        </w:rPr>
      </w:pPr>
      <w:r w:rsidRPr="00014C4D">
        <w:rPr>
          <w:rFonts w:hint="eastAsia"/>
          <w:rtl/>
        </w:rPr>
        <w:t>נמצא</w:t>
      </w:r>
      <w:r w:rsidRPr="00014C4D">
        <w:rPr>
          <w:rtl/>
        </w:rPr>
        <w:t xml:space="preserve"> כי רק באוקטובר</w:t>
      </w:r>
      <w:r w:rsidRPr="00014C4D">
        <w:rPr>
          <w:rFonts w:hint="cs"/>
          <w:rtl/>
        </w:rPr>
        <w:t xml:space="preserve"> </w:t>
      </w:r>
      <w:r w:rsidRPr="00014C4D">
        <w:rPr>
          <w:rtl/>
        </w:rPr>
        <w:t xml:space="preserve">2023 בדקה עיריית </w:t>
      </w:r>
      <w:r w:rsidRPr="00014C4D">
        <w:rPr>
          <w:b/>
          <w:bCs/>
          <w:rtl/>
        </w:rPr>
        <w:t>אשקלון</w:t>
      </w:r>
      <w:r w:rsidRPr="00014C4D">
        <w:rPr>
          <w:rtl/>
        </w:rPr>
        <w:t xml:space="preserve"> את המקלטים </w:t>
      </w:r>
      <w:r w:rsidRPr="00014C4D">
        <w:rPr>
          <w:rFonts w:hint="eastAsia"/>
          <w:rtl/>
        </w:rPr>
        <w:t>בבתים</w:t>
      </w:r>
      <w:r w:rsidRPr="00014C4D">
        <w:rPr>
          <w:rtl/>
        </w:rPr>
        <w:t xml:space="preserve"> </w:t>
      </w:r>
      <w:r w:rsidRPr="00014C4D">
        <w:rPr>
          <w:rFonts w:hint="eastAsia"/>
          <w:rtl/>
        </w:rPr>
        <w:t>המשותפים</w:t>
      </w:r>
      <w:r w:rsidRPr="00014C4D">
        <w:rPr>
          <w:rtl/>
        </w:rPr>
        <w:t xml:space="preserve"> לפי הפ</w:t>
      </w:r>
      <w:r w:rsidRPr="00014C4D">
        <w:rPr>
          <w:rFonts w:hint="cs"/>
          <w:rtl/>
        </w:rPr>
        <w:t>י</w:t>
      </w:r>
      <w:r w:rsidRPr="00014C4D">
        <w:rPr>
          <w:rtl/>
        </w:rPr>
        <w:t xml:space="preserve">רוט האמור בהנחיות.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tl/>
        </w:rPr>
      </w:pPr>
      <w:r w:rsidRPr="00014C4D">
        <w:rPr>
          <w:rFonts w:hint="eastAsia"/>
          <w:rtl/>
        </w:rPr>
        <w:lastRenderedPageBreak/>
        <w:t>עוד</w:t>
      </w:r>
      <w:r w:rsidRPr="00014C4D">
        <w:rPr>
          <w:rtl/>
        </w:rPr>
        <w:t xml:space="preserve"> </w:t>
      </w:r>
      <w:r w:rsidRPr="00014C4D">
        <w:rPr>
          <w:rFonts w:hint="eastAsia"/>
          <w:rtl/>
        </w:rPr>
        <w:t>נמצא</w:t>
      </w:r>
      <w:r w:rsidRPr="00014C4D">
        <w:rPr>
          <w:rtl/>
        </w:rPr>
        <w:t xml:space="preserve"> כי </w:t>
      </w:r>
      <w:r w:rsidRPr="00014C4D">
        <w:rPr>
          <w:rFonts w:hint="eastAsia"/>
          <w:rtl/>
        </w:rPr>
        <w:t>עיריות</w:t>
      </w:r>
      <w:r w:rsidRPr="00014C4D">
        <w:rPr>
          <w:rtl/>
        </w:rPr>
        <w:t xml:space="preserve"> </w:t>
      </w:r>
      <w:r w:rsidRPr="00014C4D">
        <w:rPr>
          <w:rFonts w:hint="eastAsia"/>
          <w:b/>
          <w:bCs/>
          <w:rtl/>
        </w:rPr>
        <w:t>גבעתיים</w:t>
      </w:r>
      <w:r w:rsidRPr="00014C4D">
        <w:rPr>
          <w:rtl/>
        </w:rPr>
        <w:t xml:space="preserve"> ו</w:t>
      </w:r>
      <w:r w:rsidRPr="00014C4D">
        <w:rPr>
          <w:b/>
          <w:bCs/>
          <w:rtl/>
        </w:rPr>
        <w:t>חולון</w:t>
      </w:r>
      <w:r w:rsidRPr="00014C4D">
        <w:rPr>
          <w:rtl/>
        </w:rPr>
        <w:t xml:space="preserve"> </w:t>
      </w:r>
      <w:r w:rsidRPr="00014C4D">
        <w:rPr>
          <w:rFonts w:hint="eastAsia"/>
          <w:rtl/>
        </w:rPr>
        <w:t>בדקו</w:t>
      </w:r>
      <w:r w:rsidRPr="00014C4D">
        <w:rPr>
          <w:rtl/>
        </w:rPr>
        <w:t xml:space="preserve"> </w:t>
      </w:r>
      <w:r w:rsidRPr="00014C4D">
        <w:rPr>
          <w:rFonts w:hint="eastAsia"/>
          <w:rtl/>
        </w:rPr>
        <w:t>בעיקר</w:t>
      </w:r>
      <w:r w:rsidRPr="00014C4D">
        <w:rPr>
          <w:rtl/>
        </w:rPr>
        <w:t xml:space="preserve"> </w:t>
      </w:r>
      <w:r w:rsidRPr="00014C4D">
        <w:rPr>
          <w:rFonts w:hint="eastAsia"/>
          <w:rtl/>
        </w:rPr>
        <w:t>אם</w:t>
      </w:r>
      <w:r w:rsidRPr="00014C4D">
        <w:rPr>
          <w:rtl/>
        </w:rPr>
        <w:t xml:space="preserve"> </w:t>
      </w:r>
      <w:r w:rsidRPr="00014C4D">
        <w:rPr>
          <w:rFonts w:hint="eastAsia"/>
          <w:rtl/>
        </w:rPr>
        <w:t>המקלטים</w:t>
      </w:r>
      <w:r w:rsidRPr="00014C4D">
        <w:rPr>
          <w:rtl/>
        </w:rPr>
        <w:t xml:space="preserve"> עמוסים בחפצים וגרוטאות</w:t>
      </w:r>
      <w:r w:rsidRPr="00014C4D">
        <w:rPr>
          <w:rFonts w:hint="cs"/>
          <w:rtl/>
        </w:rPr>
        <w:t xml:space="preserve"> </w:t>
      </w:r>
      <w:r w:rsidRPr="00014C4D">
        <w:rPr>
          <w:rFonts w:hint="eastAsia"/>
          <w:rtl/>
        </w:rPr>
        <w:t>ולא</w:t>
      </w:r>
      <w:r w:rsidRPr="00014C4D">
        <w:rPr>
          <w:rtl/>
        </w:rPr>
        <w:t xml:space="preserve"> </w:t>
      </w:r>
      <w:r w:rsidRPr="00014C4D">
        <w:rPr>
          <w:rFonts w:hint="eastAsia"/>
          <w:rtl/>
        </w:rPr>
        <w:t>ערכו</w:t>
      </w:r>
      <w:r w:rsidRPr="00014C4D">
        <w:rPr>
          <w:rtl/>
        </w:rPr>
        <w:t xml:space="preserve"> ביקורות במקלטים </w:t>
      </w:r>
      <w:r w:rsidRPr="00014C4D">
        <w:rPr>
          <w:rFonts w:hint="eastAsia"/>
          <w:rtl/>
        </w:rPr>
        <w:t>בבתים</w:t>
      </w:r>
      <w:r w:rsidRPr="00014C4D">
        <w:rPr>
          <w:rtl/>
        </w:rPr>
        <w:t xml:space="preserve"> </w:t>
      </w:r>
      <w:r w:rsidRPr="00014C4D">
        <w:rPr>
          <w:rFonts w:hint="eastAsia"/>
          <w:rtl/>
        </w:rPr>
        <w:t>המשותפים</w:t>
      </w:r>
      <w:r w:rsidRPr="00014C4D">
        <w:rPr>
          <w:rtl/>
        </w:rPr>
        <w:t xml:space="preserve"> לפי הנושאים שנקבעו במנחה לתחזוקת מקלטים.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tl/>
        </w:rPr>
      </w:pPr>
      <w:r w:rsidRPr="00014C4D">
        <w:rPr>
          <w:rFonts w:hint="cs"/>
          <w:rtl/>
        </w:rPr>
        <w:t xml:space="preserve">במועצה המקומית </w:t>
      </w:r>
      <w:r w:rsidRPr="00014C4D">
        <w:rPr>
          <w:rFonts w:hint="eastAsia"/>
          <w:b/>
          <w:bCs/>
          <w:rtl/>
        </w:rPr>
        <w:t>ב</w:t>
      </w:r>
      <w:r w:rsidRPr="00014C4D">
        <w:rPr>
          <w:rFonts w:hint="cs"/>
          <w:b/>
          <w:bCs/>
          <w:rtl/>
        </w:rPr>
        <w:t>י</w:t>
      </w:r>
      <w:r w:rsidRPr="00014C4D">
        <w:rPr>
          <w:rFonts w:hint="eastAsia"/>
          <w:b/>
          <w:bCs/>
          <w:rtl/>
        </w:rPr>
        <w:t>ענה</w:t>
      </w:r>
      <w:r w:rsidRPr="00014C4D">
        <w:rPr>
          <w:rFonts w:hint="cs"/>
          <w:rtl/>
        </w:rPr>
        <w:t xml:space="preserve"> ובמועצה האזורית </w:t>
      </w:r>
      <w:r w:rsidRPr="00014C4D">
        <w:rPr>
          <w:rFonts w:hint="eastAsia"/>
          <w:b/>
          <w:bCs/>
          <w:rtl/>
        </w:rPr>
        <w:t>הגלבוע</w:t>
      </w:r>
      <w:r w:rsidRPr="00014C4D">
        <w:rPr>
          <w:rFonts w:hint="cs"/>
          <w:rtl/>
        </w:rPr>
        <w:t xml:space="preserve"> אין בתים משותפים.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b/>
          <w:bCs/>
          <w:rtl/>
        </w:rPr>
        <w:t>עיריות</w:t>
      </w:r>
      <w:r w:rsidRPr="00014C4D">
        <w:rPr>
          <w:b/>
          <w:bCs/>
          <w:rtl/>
        </w:rPr>
        <w:t xml:space="preserve"> </w:t>
      </w:r>
      <w:r w:rsidRPr="00014C4D">
        <w:rPr>
          <w:rFonts w:hint="eastAsia"/>
          <w:b/>
          <w:bCs/>
          <w:rtl/>
        </w:rPr>
        <w:t>גבעתיים</w:t>
      </w:r>
      <w:r w:rsidRPr="00014C4D">
        <w:rPr>
          <w:b/>
          <w:bCs/>
          <w:rtl/>
        </w:rPr>
        <w:t xml:space="preserve"> </w:t>
      </w:r>
      <w:r w:rsidRPr="00014C4D">
        <w:rPr>
          <w:rFonts w:hint="eastAsia"/>
          <w:b/>
          <w:bCs/>
          <w:rtl/>
        </w:rPr>
        <w:t>וחולון</w:t>
      </w:r>
      <w:r w:rsidRPr="00014C4D">
        <w:rPr>
          <w:b/>
          <w:bCs/>
          <w:rtl/>
        </w:rPr>
        <w:t xml:space="preserve"> </w:t>
      </w:r>
      <w:r w:rsidRPr="00014C4D">
        <w:rPr>
          <w:rFonts w:hint="eastAsia"/>
          <w:b/>
          <w:bCs/>
          <w:rtl/>
        </w:rPr>
        <w:t>לא</w:t>
      </w:r>
      <w:r w:rsidRPr="00014C4D">
        <w:rPr>
          <w:b/>
          <w:bCs/>
          <w:rtl/>
        </w:rPr>
        <w:t xml:space="preserve"> </w:t>
      </w:r>
      <w:r w:rsidRPr="00014C4D">
        <w:rPr>
          <w:rFonts w:hint="eastAsia"/>
          <w:b/>
          <w:bCs/>
          <w:rtl/>
        </w:rPr>
        <w:t>ערכו</w:t>
      </w:r>
      <w:r w:rsidRPr="00014C4D">
        <w:rPr>
          <w:b/>
          <w:bCs/>
          <w:rtl/>
        </w:rPr>
        <w:t xml:space="preserve"> </w:t>
      </w:r>
      <w:r w:rsidRPr="00014C4D">
        <w:rPr>
          <w:rFonts w:hint="eastAsia"/>
          <w:b/>
          <w:bCs/>
          <w:rtl/>
        </w:rPr>
        <w:t>ביקורות</w:t>
      </w:r>
      <w:r w:rsidRPr="00014C4D">
        <w:rPr>
          <w:b/>
          <w:bCs/>
          <w:rtl/>
        </w:rPr>
        <w:t xml:space="preserve"> </w:t>
      </w:r>
      <w:r w:rsidRPr="00014C4D">
        <w:rPr>
          <w:rFonts w:hint="eastAsia"/>
          <w:b/>
          <w:bCs/>
          <w:rtl/>
        </w:rPr>
        <w:t>במקלטים</w:t>
      </w:r>
      <w:r w:rsidRPr="00014C4D">
        <w:rPr>
          <w:b/>
          <w:bCs/>
          <w:rtl/>
        </w:rPr>
        <w:t xml:space="preserve"> </w:t>
      </w:r>
      <w:r w:rsidRPr="00014C4D">
        <w:rPr>
          <w:rFonts w:hint="eastAsia"/>
          <w:b/>
          <w:bCs/>
          <w:rtl/>
        </w:rPr>
        <w:t>בבתים</w:t>
      </w:r>
      <w:r w:rsidRPr="00014C4D">
        <w:rPr>
          <w:b/>
          <w:bCs/>
          <w:rtl/>
        </w:rPr>
        <w:t xml:space="preserve"> </w:t>
      </w:r>
      <w:r w:rsidRPr="00014C4D">
        <w:rPr>
          <w:rFonts w:hint="eastAsia"/>
          <w:b/>
          <w:bCs/>
          <w:rtl/>
        </w:rPr>
        <w:t>המשותפים</w:t>
      </w:r>
      <w:r w:rsidRPr="00014C4D">
        <w:rPr>
          <w:b/>
          <w:bCs/>
          <w:rtl/>
        </w:rPr>
        <w:t xml:space="preserve"> </w:t>
      </w:r>
      <w:r w:rsidRPr="00014C4D">
        <w:rPr>
          <w:rFonts w:hint="eastAsia"/>
          <w:b/>
          <w:bCs/>
          <w:rtl/>
        </w:rPr>
        <w:t>לפי</w:t>
      </w:r>
      <w:r w:rsidRPr="00014C4D">
        <w:rPr>
          <w:b/>
          <w:bCs/>
          <w:rtl/>
        </w:rPr>
        <w:t xml:space="preserve"> </w:t>
      </w:r>
      <w:r w:rsidRPr="00014C4D">
        <w:rPr>
          <w:rFonts w:hint="eastAsia"/>
          <w:b/>
          <w:bCs/>
          <w:rtl/>
        </w:rPr>
        <w:t>הנושאים</w:t>
      </w:r>
      <w:r w:rsidRPr="00014C4D">
        <w:rPr>
          <w:b/>
          <w:bCs/>
          <w:rtl/>
        </w:rPr>
        <w:t xml:space="preserve"> </w:t>
      </w:r>
      <w:r w:rsidRPr="00014C4D">
        <w:rPr>
          <w:rFonts w:hint="eastAsia"/>
          <w:b/>
          <w:bCs/>
          <w:rtl/>
        </w:rPr>
        <w:t>שנקבעו</w:t>
      </w:r>
      <w:r w:rsidRPr="00014C4D">
        <w:rPr>
          <w:b/>
          <w:bCs/>
          <w:rtl/>
        </w:rPr>
        <w:t xml:space="preserve"> </w:t>
      </w:r>
      <w:r w:rsidRPr="00014C4D">
        <w:rPr>
          <w:rFonts w:hint="eastAsia"/>
          <w:b/>
          <w:bCs/>
          <w:rtl/>
        </w:rPr>
        <w:t>במנחה</w:t>
      </w:r>
      <w:r w:rsidRPr="00014C4D">
        <w:rPr>
          <w:b/>
          <w:bCs/>
          <w:rtl/>
        </w:rPr>
        <w:t xml:space="preserve"> </w:t>
      </w:r>
      <w:r w:rsidRPr="00014C4D">
        <w:rPr>
          <w:rFonts w:hint="eastAsia"/>
          <w:b/>
          <w:bCs/>
          <w:rtl/>
        </w:rPr>
        <w:t>לתחזוקת</w:t>
      </w:r>
      <w:r w:rsidRPr="00014C4D">
        <w:rPr>
          <w:b/>
          <w:bCs/>
          <w:rtl/>
        </w:rPr>
        <w:t xml:space="preserve"> </w:t>
      </w:r>
      <w:r w:rsidRPr="00014C4D">
        <w:rPr>
          <w:rFonts w:hint="eastAsia"/>
          <w:b/>
          <w:bCs/>
          <w:rtl/>
        </w:rPr>
        <w:t>מקלטים</w:t>
      </w:r>
      <w:r w:rsidRPr="00014C4D">
        <w:rPr>
          <w:rFonts w:hint="cs"/>
          <w:rtl/>
        </w:rPr>
        <w:t>.</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rtl/>
        </w:rPr>
      </w:pPr>
      <w:r w:rsidRPr="00014C4D">
        <w:rPr>
          <w:rFonts w:ascii="David" w:hAnsi="David" w:hint="cs"/>
          <w:b/>
          <w:bCs/>
          <w:rtl/>
        </w:rPr>
        <w:t xml:space="preserve">על עיריות גבעתיים וחולון לערוך ביקורות במקלטים בבתים המשותפים לפי הנושאים שנקבעו במנחה לתחזוקת מקלטים.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rtl/>
        </w:rPr>
      </w:pPr>
      <w:r w:rsidRPr="00014C4D">
        <w:rPr>
          <w:rFonts w:ascii="David" w:hAnsi="David"/>
          <w:rtl/>
        </w:rPr>
        <w:t xml:space="preserve">עיריית </w:t>
      </w:r>
      <w:r w:rsidRPr="00014C4D">
        <w:rPr>
          <w:rFonts w:ascii="David" w:hAnsi="David"/>
          <w:b/>
          <w:bCs/>
          <w:rtl/>
        </w:rPr>
        <w:t>חולון</w:t>
      </w:r>
      <w:r w:rsidRPr="00014C4D">
        <w:rPr>
          <w:rFonts w:ascii="David" w:hAnsi="David"/>
          <w:rtl/>
        </w:rPr>
        <w:t xml:space="preserve"> מסרה </w:t>
      </w:r>
      <w:r w:rsidRPr="00014C4D">
        <w:rPr>
          <w:rFonts w:ascii="David" w:hAnsi="David" w:hint="cs"/>
          <w:rtl/>
        </w:rPr>
        <w:t xml:space="preserve">בתשובתה </w:t>
      </w:r>
      <w:r w:rsidRPr="00014C4D">
        <w:rPr>
          <w:rFonts w:ascii="David" w:hAnsi="David"/>
          <w:rtl/>
        </w:rPr>
        <w:t xml:space="preserve">כי </w:t>
      </w:r>
      <w:r w:rsidRPr="00014C4D">
        <w:rPr>
          <w:rFonts w:ascii="David" w:hAnsi="David" w:hint="cs"/>
          <w:rtl/>
        </w:rPr>
        <w:t xml:space="preserve">במסגרת הבדיקה שמבצע </w:t>
      </w:r>
      <w:r w:rsidRPr="00014C4D">
        <w:rPr>
          <w:rFonts w:ascii="David" w:hAnsi="David"/>
          <w:rtl/>
        </w:rPr>
        <w:t xml:space="preserve">הפיקוח העירוני במקלטים בבתים משותפים </w:t>
      </w:r>
      <w:r w:rsidRPr="00014C4D">
        <w:rPr>
          <w:rFonts w:ascii="David" w:hAnsi="David" w:hint="cs"/>
          <w:rtl/>
        </w:rPr>
        <w:t>נבדק אם המקלט פנוי מ</w:t>
      </w:r>
      <w:r w:rsidRPr="00014C4D">
        <w:rPr>
          <w:rFonts w:ascii="David" w:hAnsi="David"/>
          <w:rtl/>
        </w:rPr>
        <w:t>חפצים</w:t>
      </w:r>
      <w:r w:rsidRPr="00014C4D">
        <w:rPr>
          <w:rFonts w:ascii="David" w:hAnsi="David" w:hint="cs"/>
          <w:rtl/>
        </w:rPr>
        <w:t xml:space="preserve"> ואם </w:t>
      </w:r>
      <w:r w:rsidRPr="00014C4D">
        <w:rPr>
          <w:rFonts w:ascii="David" w:hAnsi="David"/>
          <w:rtl/>
        </w:rPr>
        <w:t>דלתות</w:t>
      </w:r>
      <w:r w:rsidRPr="00014C4D">
        <w:rPr>
          <w:rFonts w:ascii="David" w:hAnsi="David" w:hint="cs"/>
          <w:rtl/>
        </w:rPr>
        <w:t xml:space="preserve"> הכניסה</w:t>
      </w:r>
      <w:r w:rsidRPr="00014C4D">
        <w:rPr>
          <w:rFonts w:ascii="David" w:hAnsi="David"/>
          <w:rtl/>
        </w:rPr>
        <w:t xml:space="preserve"> ופתחי </w:t>
      </w:r>
      <w:r w:rsidRPr="00014C4D">
        <w:rPr>
          <w:rFonts w:ascii="David" w:hAnsi="David" w:hint="cs"/>
          <w:rtl/>
        </w:rPr>
        <w:t>ה</w:t>
      </w:r>
      <w:r w:rsidRPr="00014C4D">
        <w:rPr>
          <w:rFonts w:ascii="David" w:hAnsi="David"/>
          <w:rtl/>
        </w:rPr>
        <w:t>אוורור</w:t>
      </w:r>
      <w:r w:rsidRPr="00014C4D">
        <w:rPr>
          <w:rFonts w:ascii="David" w:hAnsi="David" w:hint="cs"/>
          <w:rtl/>
        </w:rPr>
        <w:t xml:space="preserve"> תקינים באופן שיתאפשר </w:t>
      </w:r>
      <w:r w:rsidRPr="00014C4D">
        <w:rPr>
          <w:rFonts w:ascii="David" w:hAnsi="David"/>
          <w:rtl/>
        </w:rPr>
        <w:t>אכלוס המקלט בשעת חירום.</w:t>
      </w:r>
      <w:r w:rsidRPr="00014C4D">
        <w:rPr>
          <w:rFonts w:ascii="David" w:hAnsi="David" w:hint="cs"/>
          <w:rtl/>
        </w:rPr>
        <w:t xml:space="preserve"> עוד מסרה העירייה כי תפעל לבנות </w:t>
      </w:r>
      <w:r w:rsidRPr="00014C4D">
        <w:rPr>
          <w:rFonts w:ascii="David" w:hAnsi="David"/>
          <w:rtl/>
        </w:rPr>
        <w:t>ת</w:t>
      </w:r>
      <w:r w:rsidRPr="00014C4D">
        <w:rPr>
          <w:rFonts w:ascii="David" w:hAnsi="David" w:hint="cs"/>
          <w:rtl/>
        </w:rPr>
        <w:t>ו</w:t>
      </w:r>
      <w:r w:rsidRPr="00014C4D">
        <w:rPr>
          <w:rFonts w:ascii="David" w:hAnsi="David"/>
          <w:rtl/>
        </w:rPr>
        <w:t xml:space="preserve">כנית </w:t>
      </w:r>
      <w:r w:rsidRPr="00014C4D">
        <w:rPr>
          <w:rFonts w:ascii="David" w:hAnsi="David" w:hint="cs"/>
          <w:rtl/>
        </w:rPr>
        <w:t>ל</w:t>
      </w:r>
      <w:r w:rsidRPr="00014C4D">
        <w:rPr>
          <w:rFonts w:ascii="David" w:hAnsi="David"/>
          <w:rtl/>
        </w:rPr>
        <w:t>בדיק</w:t>
      </w:r>
      <w:r w:rsidRPr="00014C4D">
        <w:rPr>
          <w:rFonts w:ascii="David" w:hAnsi="David" w:hint="cs"/>
          <w:rtl/>
        </w:rPr>
        <w:t xml:space="preserve">ת </w:t>
      </w:r>
      <w:r w:rsidRPr="00014C4D">
        <w:rPr>
          <w:rFonts w:ascii="David" w:hAnsi="David"/>
          <w:rtl/>
        </w:rPr>
        <w:t>מקלטים בבתים משותפים</w:t>
      </w:r>
      <w:r w:rsidRPr="00014C4D">
        <w:rPr>
          <w:rFonts w:ascii="David" w:hAnsi="David" w:hint="cs"/>
          <w:rtl/>
        </w:rPr>
        <w:t xml:space="preserve"> לפי הנושאים שנקבעו</w:t>
      </w:r>
      <w:r w:rsidRPr="00014C4D">
        <w:rPr>
          <w:rFonts w:ascii="David" w:hAnsi="David"/>
          <w:rtl/>
        </w:rPr>
        <w:t xml:space="preserve"> במנחה לתחזוקת מקלטים</w:t>
      </w:r>
      <w:r w:rsidRPr="00014C4D">
        <w:rPr>
          <w:rFonts w:ascii="David" w:hAnsi="David" w:hint="cs"/>
          <w:rtl/>
        </w:rPr>
        <w:t>, בשיתוף גורמים חיצוניים (פקע"ר ושירותי הכבאות וההצלה).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b/>
          <w:bCs/>
          <w:rtl/>
        </w:rPr>
        <w:t xml:space="preserve">מומלץ שפקע"ר </w:t>
      </w:r>
      <w:r w:rsidRPr="00014C4D">
        <w:rPr>
          <w:rFonts w:hint="cs"/>
          <w:b/>
          <w:bCs/>
          <w:rtl/>
        </w:rPr>
        <w:t>יבצע בקרה</w:t>
      </w:r>
      <w:r w:rsidRPr="00014C4D">
        <w:rPr>
          <w:b/>
          <w:bCs/>
          <w:rtl/>
        </w:rPr>
        <w:t xml:space="preserve"> </w:t>
      </w:r>
      <w:r w:rsidRPr="00014C4D">
        <w:rPr>
          <w:rFonts w:hint="cs"/>
          <w:b/>
          <w:bCs/>
          <w:rtl/>
        </w:rPr>
        <w:t>ופיקוח על פעולות</w:t>
      </w:r>
      <w:r w:rsidRPr="00014C4D">
        <w:rPr>
          <w:b/>
          <w:bCs/>
          <w:rtl/>
        </w:rPr>
        <w:t xml:space="preserve"> הרשויות המקומיות בנוגע ליישום </w:t>
      </w:r>
      <w:r w:rsidRPr="00014C4D">
        <w:rPr>
          <w:rFonts w:hint="cs"/>
          <w:b/>
          <w:bCs/>
          <w:rtl/>
        </w:rPr>
        <w:t xml:space="preserve">הוראות המנחה לתחזוקת מקלטים. </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ביקורות במרחבים מוגנים באשקלון בעקבות תלונות למשרד מבקר המדינה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להלן ממצאים שהועלו בסיור שערכו עובדי משרד מבקר המדינה עם עובדי עיריית </w:t>
      </w:r>
      <w:r w:rsidRPr="00014C4D">
        <w:rPr>
          <w:rFonts w:hint="eastAsia"/>
          <w:b/>
          <w:bCs/>
          <w:rtl/>
        </w:rPr>
        <w:t>אשקלון</w:t>
      </w:r>
      <w:r w:rsidRPr="00014C4D">
        <w:rPr>
          <w:rFonts w:hint="cs"/>
          <w:b/>
          <w:bCs/>
          <w:rtl/>
        </w:rPr>
        <w:t xml:space="preserve"> </w:t>
      </w:r>
      <w:r w:rsidRPr="00014C4D">
        <w:rPr>
          <w:rFonts w:hint="cs"/>
          <w:rtl/>
        </w:rPr>
        <w:t>בספטמבר 2024 במרחבים מוגנים ב</w:t>
      </w:r>
      <w:r w:rsidRPr="00014C4D">
        <w:rPr>
          <w:rFonts w:hint="eastAsia"/>
          <w:rtl/>
        </w:rPr>
        <w:t>אשקלון</w:t>
      </w:r>
      <w:r w:rsidRPr="00014C4D">
        <w:rPr>
          <w:rFonts w:hint="cs"/>
          <w:rtl/>
        </w:rPr>
        <w:t xml:space="preserve"> בעקבות תלונות שהוגשו למשרד מבקר המדינה בשנת 2024: </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שימוש דו-תכליתי במקלטים משותפים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במנחה לתחזוקת מקלטים נקבע כי בשעת רגיעה מותר להשתמש במקלט של בית מגורים ובמקלט שבמפעל לשימוש דו-תכליתי, ובלבד ש</w:t>
      </w:r>
      <w:r w:rsidRPr="00014C4D">
        <w:rPr>
          <w:rtl/>
        </w:rPr>
        <w:t>לא יימצא במקלט ציוד או ריהוט קבוע או כבד התופס יותר מ</w:t>
      </w:r>
      <w:r w:rsidRPr="00014C4D">
        <w:rPr>
          <w:rFonts w:hint="cs"/>
          <w:rtl/>
        </w:rPr>
        <w:t xml:space="preserve">-20% </w:t>
      </w:r>
      <w:r w:rsidRPr="00014C4D">
        <w:rPr>
          <w:rtl/>
        </w:rPr>
        <w:t xml:space="preserve">משטח המקלט או כל ציוד אחר אשר עלול למנוע שימוש </w:t>
      </w:r>
      <w:r w:rsidRPr="00014C4D">
        <w:rPr>
          <w:rFonts w:hint="cs"/>
          <w:rtl/>
        </w:rPr>
        <w:t xml:space="preserve">למחסה בשעת התקפה, </w:t>
      </w:r>
      <w:r w:rsidRPr="00014C4D">
        <w:rPr>
          <w:rtl/>
        </w:rPr>
        <w:t>או ש</w:t>
      </w:r>
      <w:r w:rsidRPr="00014C4D">
        <w:rPr>
          <w:rFonts w:hint="cs"/>
          <w:rtl/>
        </w:rPr>
        <w:t xml:space="preserve">בגללו </w:t>
      </w:r>
      <w:r w:rsidRPr="00014C4D">
        <w:rPr>
          <w:rtl/>
        </w:rPr>
        <w:t>יידרש</w:t>
      </w:r>
      <w:r w:rsidRPr="00014C4D">
        <w:rPr>
          <w:rFonts w:hint="cs"/>
          <w:rtl/>
        </w:rPr>
        <w:t>ו</w:t>
      </w:r>
      <w:r w:rsidRPr="00014C4D">
        <w:rPr>
          <w:rtl/>
        </w:rPr>
        <w:t xml:space="preserve"> יותר מארבע שעות</w:t>
      </w:r>
      <w:r w:rsidRPr="00014C4D">
        <w:rPr>
          <w:rFonts w:hint="cs"/>
          <w:rtl/>
        </w:rPr>
        <w:t xml:space="preserve"> </w:t>
      </w:r>
      <w:r w:rsidRPr="00014C4D">
        <w:rPr>
          <w:rtl/>
        </w:rPr>
        <w:t>מהכרזת מצב מיוחד בעורף או ממועד מתן התראה מפקע"ר</w:t>
      </w:r>
      <w:r w:rsidRPr="00014C4D">
        <w:rPr>
          <w:rFonts w:hint="cs"/>
          <w:rtl/>
        </w:rPr>
        <w:t xml:space="preserve"> כדי </w:t>
      </w:r>
      <w:r w:rsidRPr="00014C4D">
        <w:rPr>
          <w:rtl/>
        </w:rPr>
        <w:t>להכינו לשימוש</w:t>
      </w:r>
      <w:r w:rsidRPr="00014C4D">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נמצא כי בממ"ד של בית עסק לממכר גלידות באשקלון הוצבו תנורים תעשייתיים ומקררים רבים שכיסו את רוב שטחו. להלן תמונות:</w:t>
      </w:r>
    </w:p>
    <w:p w:rsidR="00014C4D" w:rsidRPr="00014C4D" w:rsidRDefault="00014C4D" w:rsidP="00014C4D">
      <w:pPr>
        <w:spacing w:line="269" w:lineRule="auto"/>
        <w:ind w:left="-567"/>
        <w:rPr>
          <w:szCs w:val="20"/>
          <w:rtl/>
        </w:rPr>
      </w:pPr>
    </w:p>
    <w:tbl>
      <w:tblPr>
        <w:tblStyle w:val="af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3"/>
        <w:gridCol w:w="4836"/>
      </w:tblGrid>
      <w:tr w:rsidR="00014C4D" w:rsidRPr="00014C4D" w:rsidTr="00014C4D">
        <w:tc>
          <w:tcPr>
            <w:tcW w:w="3683" w:type="dxa"/>
          </w:tcPr>
          <w:p w:rsidR="00014C4D" w:rsidRPr="00014C4D" w:rsidRDefault="00014C4D" w:rsidP="00014C4D">
            <w:pPr>
              <w:keepNext/>
              <w:keepLines/>
              <w:spacing w:line="269" w:lineRule="auto"/>
              <w:jc w:val="center"/>
              <w:rPr>
                <w:rtl/>
              </w:rPr>
            </w:pPr>
            <w:r w:rsidRPr="00014C4D">
              <w:rPr>
                <w:rFonts w:hint="cs"/>
                <w:rtl/>
              </w:rPr>
              <w:lastRenderedPageBreak/>
              <w:t xml:space="preserve">תמונה 1: </w:t>
            </w:r>
            <w:r w:rsidRPr="00014C4D">
              <w:rPr>
                <w:b/>
                <w:bCs/>
                <w:rtl/>
              </w:rPr>
              <w:t>תנורים תעשייתיים שהוצבו בשטח המקלט</w:t>
            </w:r>
          </w:p>
        </w:tc>
        <w:tc>
          <w:tcPr>
            <w:tcW w:w="4538" w:type="dxa"/>
          </w:tcPr>
          <w:p w:rsidR="00014C4D" w:rsidRPr="00014C4D" w:rsidRDefault="00014C4D" w:rsidP="00014C4D">
            <w:pPr>
              <w:keepNext/>
              <w:keepLines/>
              <w:spacing w:line="269" w:lineRule="auto"/>
              <w:jc w:val="center"/>
              <w:rPr>
                <w:rtl/>
              </w:rPr>
            </w:pPr>
            <w:r w:rsidRPr="00014C4D">
              <w:rPr>
                <w:rFonts w:hint="cs"/>
                <w:rtl/>
              </w:rPr>
              <w:t xml:space="preserve">תמונה 2: </w:t>
            </w:r>
            <w:r w:rsidRPr="00014C4D">
              <w:rPr>
                <w:b/>
                <w:bCs/>
                <w:rtl/>
              </w:rPr>
              <w:t>מקררים שהוצבו בשטח המקלט</w:t>
            </w:r>
          </w:p>
        </w:tc>
      </w:tr>
      <w:tr w:rsidR="00014C4D" w:rsidRPr="00014C4D" w:rsidTr="00014C4D">
        <w:tc>
          <w:tcPr>
            <w:tcW w:w="3683" w:type="dxa"/>
          </w:tcPr>
          <w:p w:rsidR="00014C4D" w:rsidRPr="00014C4D" w:rsidRDefault="00014C4D" w:rsidP="00014C4D">
            <w:pPr>
              <w:spacing w:line="269" w:lineRule="auto"/>
              <w:rPr>
                <w:rtl/>
              </w:rPr>
            </w:pPr>
            <w:r w:rsidRPr="00014C4D">
              <w:rPr>
                <w:b/>
                <w:bCs/>
                <w:noProof/>
              </w:rPr>
              <w:drawing>
                <wp:inline distT="0" distB="0" distL="0" distR="0" wp14:anchorId="0C2EC561" wp14:editId="7956D91A">
                  <wp:extent cx="4179600" cy="2354400"/>
                  <wp:effectExtent l="0" t="1588" r="0" b="0"/>
                  <wp:docPr id="1834351643" name="תמונה 183435164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4179600" cy="2354400"/>
                          </a:xfrm>
                          <a:prstGeom prst="rect">
                            <a:avLst/>
                          </a:prstGeom>
                          <a:noFill/>
                          <a:ln>
                            <a:noFill/>
                          </a:ln>
                        </pic:spPr>
                      </pic:pic>
                    </a:graphicData>
                  </a:graphic>
                </wp:inline>
              </w:drawing>
            </w:r>
          </w:p>
        </w:tc>
        <w:tc>
          <w:tcPr>
            <w:tcW w:w="4538" w:type="dxa"/>
          </w:tcPr>
          <w:p w:rsidR="00014C4D" w:rsidRPr="00014C4D" w:rsidRDefault="00014C4D" w:rsidP="00014C4D">
            <w:pPr>
              <w:spacing w:line="269" w:lineRule="auto"/>
              <w:rPr>
                <w:rtl/>
              </w:rPr>
            </w:pPr>
            <w:r w:rsidRPr="00014C4D">
              <w:rPr>
                <w:rFonts w:hint="cs"/>
                <w:b/>
                <w:bCs/>
                <w:noProof/>
              </w:rPr>
              <w:drawing>
                <wp:inline distT="0" distB="0" distL="0" distR="0" wp14:anchorId="13D3A37F" wp14:editId="39340C17">
                  <wp:extent cx="2926800" cy="1648800"/>
                  <wp:effectExtent l="0" t="0" r="6985" b="8890"/>
                  <wp:docPr id="1834351644" name="תמונה 183435164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6800" cy="1648800"/>
                          </a:xfrm>
                          <a:prstGeom prst="rect">
                            <a:avLst/>
                          </a:prstGeom>
                          <a:noFill/>
                          <a:ln>
                            <a:noFill/>
                          </a:ln>
                        </pic:spPr>
                      </pic:pic>
                    </a:graphicData>
                  </a:graphic>
                </wp:inline>
              </w:drawing>
            </w:r>
          </w:p>
        </w:tc>
      </w:tr>
      <w:tr w:rsidR="00014C4D" w:rsidRPr="00014C4D" w:rsidTr="00014C4D">
        <w:tc>
          <w:tcPr>
            <w:tcW w:w="8221" w:type="dxa"/>
            <w:gridSpan w:val="2"/>
          </w:tcPr>
          <w:p w:rsidR="00014C4D" w:rsidRPr="00014C4D" w:rsidRDefault="00014C4D" w:rsidP="00014C4D">
            <w:pPr>
              <w:spacing w:line="269" w:lineRule="auto"/>
              <w:rPr>
                <w:rtl/>
              </w:rPr>
            </w:pPr>
            <w:r w:rsidRPr="00014C4D">
              <w:rPr>
                <w:rFonts w:hint="cs"/>
                <w:sz w:val="16"/>
                <w:szCs w:val="20"/>
                <w:rtl/>
              </w:rPr>
              <w:t>צולם על ידי צוות הביקורת,</w:t>
            </w:r>
            <w:r w:rsidRPr="00014C4D" w:rsidDel="007D13AC">
              <w:rPr>
                <w:rFonts w:hint="cs"/>
                <w:sz w:val="16"/>
                <w:szCs w:val="20"/>
                <w:rtl/>
              </w:rPr>
              <w:t xml:space="preserve"> </w:t>
            </w:r>
            <w:r w:rsidRPr="00014C4D">
              <w:rPr>
                <w:rFonts w:hint="cs"/>
                <w:sz w:val="16"/>
                <w:szCs w:val="20"/>
                <w:rtl/>
              </w:rPr>
              <w:t>19.9.24</w:t>
            </w:r>
            <w:r w:rsidRPr="00014C4D">
              <w:rPr>
                <w:rFonts w:hint="cs"/>
                <w:rtl/>
              </w:rPr>
              <w:t>.</w:t>
            </w:r>
          </w:p>
        </w:tc>
      </w:tr>
    </w:tbl>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עיריית אשקלון המציאה לבעל העסק שלוש התראות: ב-6.12.23, ב-3.6.24 וב-31.7.24.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העירייה לא נתנה לבעל העסק דוחות קנס אף שלא פעל לפינוי הציוד בעקבות ההתראות.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בחוק הג"א נקבע כי רשות מקומית רשאית לפנות מיטלטלין מתוך כל מקלט אם אלה לא פונו בידי החייב בפינוים</w:t>
      </w:r>
      <w:r w:rsidRPr="00014C4D">
        <w:rPr>
          <w:vertAlign w:val="superscript"/>
          <w:rtl/>
        </w:rPr>
        <w:footnoteReference w:id="43"/>
      </w:r>
      <w:r w:rsidRPr="00014C4D">
        <w:rPr>
          <w:rFonts w:hint="cs"/>
          <w:rtl/>
        </w:rPr>
        <w:t xml:space="preserve"> ואף רשאית לבצע עבודה במקומו ולגבות ממנו את הוצאות הביצוע</w:t>
      </w:r>
      <w:r w:rsidRPr="00014C4D">
        <w:rPr>
          <w:vertAlign w:val="superscript"/>
          <w:rtl/>
        </w:rPr>
        <w:footnoteReference w:id="44"/>
      </w:r>
      <w:r w:rsidRPr="00014C4D">
        <w:rPr>
          <w:rFonts w:hint="cs"/>
          <w:rtl/>
        </w:rPr>
        <w:t xml:space="preserve">. </w:t>
      </w:r>
    </w:p>
    <w:p w:rsidR="00014C4D" w:rsidRPr="00014C4D" w:rsidRDefault="00014C4D" w:rsidP="00014C4D">
      <w:pPr>
        <w:spacing w:line="269" w:lineRule="auto"/>
        <w:rPr>
          <w:rtl/>
        </w:rPr>
      </w:pPr>
      <w:r w:rsidRPr="00014C4D">
        <w:rPr>
          <w:rFonts w:hint="cs"/>
          <w:rtl/>
        </w:rPr>
        <w:lastRenderedPageBreak/>
        <w:t xml:space="preserve">בחוק העזר של עיריית </w:t>
      </w:r>
      <w:r w:rsidRPr="00014C4D">
        <w:rPr>
          <w:rFonts w:hint="cs"/>
          <w:b/>
          <w:bCs/>
          <w:rtl/>
        </w:rPr>
        <w:t>אשקלון</w:t>
      </w:r>
      <w:r w:rsidRPr="00014C4D">
        <w:rPr>
          <w:rFonts w:hint="cs"/>
          <w:rtl/>
        </w:rPr>
        <w:t xml:space="preserve"> להחזקת מקלטים</w:t>
      </w:r>
      <w:r w:rsidRPr="00014C4D">
        <w:rPr>
          <w:vertAlign w:val="superscript"/>
          <w:rtl/>
        </w:rPr>
        <w:footnoteReference w:id="45"/>
      </w:r>
      <w:r w:rsidRPr="00014C4D">
        <w:rPr>
          <w:rFonts w:hint="cs"/>
          <w:rtl/>
        </w:rPr>
        <w:t xml:space="preserve"> נקבע כי</w:t>
      </w:r>
      <w:r w:rsidRPr="00014C4D">
        <w:rPr>
          <w:rFonts w:cs="FrankRuehl" w:hint="cs"/>
          <w:sz w:val="26"/>
          <w:szCs w:val="26"/>
          <w:rtl/>
        </w:rPr>
        <w:t> </w:t>
      </w:r>
      <w:r w:rsidRPr="00014C4D">
        <w:rPr>
          <w:rFonts w:hint="cs"/>
          <w:rtl/>
        </w:rPr>
        <w:t xml:space="preserve">כל מי שנמסרה לו הודעה חייב לקיימה לכל פרטיה, וכי אם לא קיים אדם את הודעת ראש העיריה או פקח מטעמו, רשאי ראש העירייה לבצע את המפורט בהודעה ולגבות את הוצאות הביצוע מהאדם או מהאנשים שנמסרה להם ההודעה.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רק ב-17.9.24 מינתה עיריית אשקלון קבלן לפינוי הציוד והמקררים מהמקלט. </w:t>
      </w:r>
    </w:p>
    <w:p w:rsidR="00014C4D" w:rsidRPr="00014C4D" w:rsidRDefault="00014C4D" w:rsidP="00014C4D">
      <w:pPr>
        <w:rPr>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חסימת הכניסה למרחב מוגן קומתי</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tl/>
        </w:rPr>
      </w:pPr>
      <w:r w:rsidRPr="00014C4D">
        <w:rPr>
          <w:rFonts w:hint="cs"/>
          <w:rtl/>
        </w:rPr>
        <w:t xml:space="preserve">בפתח הכניסה לממ"ק המשותף לדיירי קומה מסוימת בבניין מגורים באשקלון נבנה קיר, דלת הכניסה לממ"ק בוטלה, </w:t>
      </w:r>
      <w:r w:rsidRPr="00014C4D">
        <w:rPr>
          <w:rtl/>
        </w:rPr>
        <w:t>נתלו תמונות שמכסות</w:t>
      </w:r>
      <w:r w:rsidRPr="00014C4D">
        <w:rPr>
          <w:rFonts w:hint="cs"/>
          <w:rtl/>
        </w:rPr>
        <w:t xml:space="preserve"> את</w:t>
      </w:r>
      <w:r w:rsidRPr="00014C4D">
        <w:rPr>
          <w:rtl/>
        </w:rPr>
        <w:t xml:space="preserve"> פתחי האוורור של הממ"ק</w:t>
      </w:r>
      <w:r w:rsidRPr="00014C4D">
        <w:rPr>
          <w:rFonts w:hint="cs"/>
          <w:rtl/>
        </w:rPr>
        <w:t xml:space="preserve"> והוא צורף לאחת הדירות. כתוצאה מכך שאר דיירי הקומה אינם יכולים להשתמש בממ"ק. להלן תמונה של הקיר שנבנה, החוסם את הכניסה לממ"ק: </w:t>
      </w:r>
    </w:p>
    <w:p w:rsidR="00014C4D" w:rsidRPr="00014C4D" w:rsidRDefault="00014C4D" w:rsidP="00014C4D">
      <w:pPr>
        <w:spacing w:line="269" w:lineRule="auto"/>
        <w:ind w:left="-567"/>
        <w:rPr>
          <w:szCs w:val="20"/>
          <w:rtl/>
        </w:rPr>
      </w:pPr>
    </w:p>
    <w:p w:rsidR="00014C4D" w:rsidRPr="00014C4D" w:rsidRDefault="00014C4D" w:rsidP="00014C4D">
      <w:pPr>
        <w:spacing w:line="269" w:lineRule="auto"/>
        <w:jc w:val="center"/>
        <w:rPr>
          <w:b/>
          <w:bCs/>
          <w:rtl/>
        </w:rPr>
      </w:pPr>
      <w:r w:rsidRPr="00014C4D">
        <w:rPr>
          <w:rFonts w:hint="cs"/>
          <w:rtl/>
        </w:rPr>
        <w:t>תמונה 3:</w:t>
      </w:r>
      <w:r w:rsidRPr="00014C4D">
        <w:rPr>
          <w:rtl/>
        </w:rPr>
        <w:t xml:space="preserve"> </w:t>
      </w:r>
      <w:r w:rsidRPr="00014C4D">
        <w:rPr>
          <w:rFonts w:hint="cs"/>
          <w:b/>
          <w:bCs/>
          <w:rtl/>
        </w:rPr>
        <w:t>ה</w:t>
      </w:r>
      <w:r w:rsidRPr="00014C4D">
        <w:rPr>
          <w:b/>
          <w:bCs/>
          <w:rtl/>
        </w:rPr>
        <w:t xml:space="preserve">קיר </w:t>
      </w:r>
      <w:r w:rsidRPr="00014C4D">
        <w:rPr>
          <w:rFonts w:hint="cs"/>
          <w:b/>
          <w:bCs/>
          <w:rtl/>
        </w:rPr>
        <w:t>שנבנה ומונע את השימוש בממ"ק</w:t>
      </w:r>
    </w:p>
    <w:p w:rsidR="00014C4D" w:rsidRPr="00014C4D" w:rsidRDefault="00014C4D" w:rsidP="00014C4D">
      <w:pPr>
        <w:spacing w:line="269" w:lineRule="auto"/>
        <w:jc w:val="center"/>
        <w:rPr>
          <w:color w:val="FF0000"/>
          <w:sz w:val="16"/>
          <w:szCs w:val="20"/>
          <w:rtl/>
        </w:rPr>
      </w:pPr>
      <w:r w:rsidRPr="00014C4D">
        <w:rPr>
          <w:noProof/>
          <w:color w:val="FF0000"/>
        </w:rPr>
        <w:drawing>
          <wp:inline distT="0" distB="0" distL="0" distR="0" wp14:anchorId="1CC096BD" wp14:editId="236395F9">
            <wp:extent cx="3667485" cy="2302489"/>
            <wp:effectExtent l="0" t="3175" r="6350" b="6350"/>
            <wp:docPr id="1834351645" name="תמונה 183435164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3677284" cy="2308641"/>
                    </a:xfrm>
                    <a:prstGeom prst="rect">
                      <a:avLst/>
                    </a:prstGeom>
                    <a:noFill/>
                    <a:ln>
                      <a:noFill/>
                    </a:ln>
                  </pic:spPr>
                </pic:pic>
              </a:graphicData>
            </a:graphic>
          </wp:inline>
        </w:drawing>
      </w:r>
    </w:p>
    <w:p w:rsidR="00014C4D" w:rsidRPr="00014C4D" w:rsidRDefault="00014C4D" w:rsidP="00014C4D">
      <w:pPr>
        <w:spacing w:line="269" w:lineRule="auto"/>
        <w:ind w:left="2160" w:firstLine="533"/>
        <w:rPr>
          <w:sz w:val="16"/>
          <w:szCs w:val="20"/>
          <w:rtl/>
        </w:rPr>
      </w:pPr>
      <w:r w:rsidRPr="00014C4D">
        <w:rPr>
          <w:rFonts w:hint="cs"/>
          <w:sz w:val="16"/>
          <w:szCs w:val="20"/>
          <w:rtl/>
        </w:rPr>
        <w:t>צולם על ידי צוות הביקורת, 19.9.24.</w:t>
      </w:r>
    </w:p>
    <w:p w:rsidR="00014C4D" w:rsidRPr="00014C4D" w:rsidRDefault="00014C4D" w:rsidP="00014C4D">
      <w:pPr>
        <w:spacing w:line="269" w:lineRule="auto"/>
        <w:rPr>
          <w:rFonts w:ascii="David" w:hAnsi="David"/>
          <w:b/>
          <w:bCs/>
          <w:sz w:val="24"/>
          <w:rtl/>
        </w:rPr>
      </w:pPr>
      <w:r w:rsidRPr="00014C4D">
        <w:rPr>
          <w:rFonts w:ascii="David" w:hAnsi="David" w:hint="cs"/>
          <w:sz w:val="24"/>
          <w:rtl/>
        </w:rPr>
        <w:lastRenderedPageBreak/>
        <w:t xml:space="preserve">העירייה מסרה לעובדי משרד מבקר המדינה במהלך הביקורת בנובמבר 2024 כי </w:t>
      </w:r>
      <w:r w:rsidRPr="00014C4D">
        <w:rPr>
          <w:rFonts w:ascii="David" w:hAnsi="David"/>
          <w:sz w:val="24"/>
          <w:rtl/>
        </w:rPr>
        <w:t xml:space="preserve">מדובר בתופעה שקיימת בכל הבניינים בפרויקט </w:t>
      </w:r>
      <w:r w:rsidRPr="00014C4D">
        <w:rPr>
          <w:rFonts w:ascii="David" w:hAnsi="David" w:hint="cs"/>
          <w:sz w:val="24"/>
          <w:rtl/>
        </w:rPr>
        <w:t xml:space="preserve">האמור </w:t>
      </w:r>
      <w:r w:rsidRPr="00014C4D">
        <w:rPr>
          <w:rFonts w:ascii="David" w:hAnsi="David"/>
          <w:sz w:val="24"/>
          <w:rtl/>
        </w:rPr>
        <w:t>באותה הקומה</w:t>
      </w:r>
      <w:r w:rsidRPr="00014C4D">
        <w:rPr>
          <w:rFonts w:ascii="David" w:hAnsi="David" w:hint="cs"/>
          <w:sz w:val="24"/>
          <w:rtl/>
        </w:rPr>
        <w:t xml:space="preserve">, וכי </w:t>
      </w:r>
      <w:r w:rsidRPr="00014C4D">
        <w:rPr>
          <w:rFonts w:ascii="David" w:hAnsi="David"/>
          <w:sz w:val="24"/>
          <w:rtl/>
        </w:rPr>
        <w:t xml:space="preserve">בבדיקה </w:t>
      </w:r>
      <w:r w:rsidRPr="00014C4D">
        <w:rPr>
          <w:rFonts w:ascii="David" w:hAnsi="David" w:hint="cs"/>
          <w:sz w:val="24"/>
          <w:rtl/>
        </w:rPr>
        <w:t>שעשתה עם</w:t>
      </w:r>
      <w:r w:rsidRPr="00014C4D">
        <w:rPr>
          <w:rFonts w:ascii="David" w:hAnsi="David"/>
          <w:sz w:val="24"/>
          <w:rtl/>
        </w:rPr>
        <w:t xml:space="preserve"> בעלי דירות בבניינים</w:t>
      </w:r>
      <w:r w:rsidRPr="00014C4D">
        <w:rPr>
          <w:rFonts w:ascii="David" w:hAnsi="David" w:hint="cs"/>
          <w:sz w:val="24"/>
          <w:rtl/>
        </w:rPr>
        <w:t xml:space="preserve"> האמורים</w:t>
      </w:r>
      <w:r w:rsidRPr="00014C4D">
        <w:rPr>
          <w:rFonts w:ascii="David" w:hAnsi="David"/>
          <w:sz w:val="24"/>
          <w:rtl/>
        </w:rPr>
        <w:t>,</w:t>
      </w:r>
      <w:r w:rsidRPr="00014C4D">
        <w:rPr>
          <w:rFonts w:ascii="David" w:hAnsi="David" w:hint="cs"/>
          <w:sz w:val="24"/>
          <w:rtl/>
        </w:rPr>
        <w:t xml:space="preserve"> הם</w:t>
      </w:r>
      <w:r w:rsidRPr="00014C4D">
        <w:rPr>
          <w:rFonts w:ascii="David" w:hAnsi="David"/>
          <w:sz w:val="24"/>
          <w:rtl/>
        </w:rPr>
        <w:t xml:space="preserve"> טענו כי הדירה נקנתה מהקבלן בצורה הזו </w:t>
      </w:r>
      <w:r w:rsidRPr="00014C4D">
        <w:rPr>
          <w:rFonts w:ascii="David" w:hAnsi="David" w:hint="cs"/>
          <w:sz w:val="24"/>
          <w:rtl/>
        </w:rPr>
        <w:t>ו</w:t>
      </w:r>
      <w:r w:rsidRPr="00014C4D">
        <w:rPr>
          <w:rFonts w:ascii="David" w:hAnsi="David"/>
          <w:sz w:val="24"/>
          <w:rtl/>
        </w:rPr>
        <w:t xml:space="preserve">לא </w:t>
      </w:r>
      <w:r w:rsidRPr="00014C4D">
        <w:rPr>
          <w:rFonts w:ascii="David" w:hAnsi="David" w:hint="cs"/>
          <w:sz w:val="24"/>
          <w:rtl/>
        </w:rPr>
        <w:t xml:space="preserve">בוצעו בה </w:t>
      </w:r>
      <w:r w:rsidRPr="00014C4D">
        <w:rPr>
          <w:rFonts w:ascii="David" w:hAnsi="David"/>
          <w:sz w:val="24"/>
          <w:rtl/>
        </w:rPr>
        <w:t>שינויים</w:t>
      </w:r>
      <w:r w:rsidRPr="00014C4D">
        <w:rPr>
          <w:rFonts w:ascii="David" w:hAnsi="David" w:hint="cs"/>
          <w:sz w:val="24"/>
          <w:rtl/>
        </w:rPr>
        <w:t>. מאחר שחלפו</w:t>
      </w:r>
      <w:r w:rsidRPr="00014C4D">
        <w:rPr>
          <w:rFonts w:ascii="David" w:hAnsi="David"/>
          <w:sz w:val="24"/>
          <w:rtl/>
        </w:rPr>
        <w:t xml:space="preserve"> </w:t>
      </w:r>
      <w:r w:rsidRPr="00014C4D">
        <w:rPr>
          <w:rFonts w:ascii="David" w:hAnsi="David" w:hint="cs"/>
          <w:sz w:val="24"/>
          <w:rtl/>
        </w:rPr>
        <w:t xml:space="preserve">מאז </w:t>
      </w:r>
      <w:r w:rsidRPr="00014C4D">
        <w:rPr>
          <w:rFonts w:ascii="David" w:hAnsi="David"/>
          <w:sz w:val="24"/>
          <w:rtl/>
        </w:rPr>
        <w:t>הקנייה 28 שנים</w:t>
      </w:r>
      <w:r w:rsidRPr="00014C4D">
        <w:rPr>
          <w:rFonts w:ascii="David" w:hAnsi="David" w:hint="cs"/>
          <w:sz w:val="24"/>
          <w:rtl/>
        </w:rPr>
        <w:t>,</w:t>
      </w:r>
      <w:r w:rsidRPr="00014C4D">
        <w:rPr>
          <w:rFonts w:ascii="David" w:hAnsi="David"/>
          <w:sz w:val="24"/>
          <w:rtl/>
        </w:rPr>
        <w:t xml:space="preserve"> </w:t>
      </w:r>
      <w:r w:rsidRPr="00014C4D">
        <w:rPr>
          <w:rFonts w:ascii="David" w:hAnsi="David" w:hint="cs"/>
          <w:sz w:val="24"/>
          <w:rtl/>
        </w:rPr>
        <w:t xml:space="preserve">לא ניתן לאכוף את הריסת הקיר בשל </w:t>
      </w:r>
      <w:r w:rsidRPr="00014C4D">
        <w:rPr>
          <w:rFonts w:ascii="David" w:hAnsi="David"/>
          <w:sz w:val="24"/>
          <w:rtl/>
        </w:rPr>
        <w:t>התיישנות ו</w:t>
      </w:r>
      <w:r w:rsidRPr="00014C4D">
        <w:rPr>
          <w:rFonts w:ascii="David" w:hAnsi="David" w:hint="cs"/>
          <w:sz w:val="24"/>
          <w:rtl/>
        </w:rPr>
        <w:t xml:space="preserve">בשל </w:t>
      </w:r>
      <w:r w:rsidRPr="00014C4D">
        <w:rPr>
          <w:rFonts w:ascii="David" w:hAnsi="David"/>
          <w:sz w:val="24"/>
          <w:rtl/>
        </w:rPr>
        <w:t>היעדר אחריות של בעלי הדירות לביצוע הסיפוח עצמו</w:t>
      </w:r>
      <w:r w:rsidRPr="00014C4D">
        <w:rPr>
          <w:rFonts w:ascii="David" w:hAnsi="David" w:hint="cs"/>
          <w:sz w:val="24"/>
          <w:rtl/>
        </w:rPr>
        <w:t>.</w:t>
      </w:r>
      <w:r w:rsidRPr="00014C4D">
        <w:rPr>
          <w:rFonts w:ascii="David" w:hAnsi="David"/>
          <w:sz w:val="24"/>
          <w:rtl/>
        </w:rPr>
        <w:t xml:space="preserve"> </w:t>
      </w:r>
      <w:r w:rsidRPr="00014C4D">
        <w:rPr>
          <w:rFonts w:ascii="David" w:hAnsi="David" w:hint="cs"/>
          <w:sz w:val="24"/>
          <w:rtl/>
        </w:rPr>
        <w:t>ב</w:t>
      </w:r>
      <w:r w:rsidRPr="00014C4D">
        <w:rPr>
          <w:rFonts w:ascii="David" w:hAnsi="David"/>
          <w:sz w:val="24"/>
          <w:rtl/>
        </w:rPr>
        <w:t xml:space="preserve">נסיבות אלו נכון להפנות את הדיירים </w:t>
      </w:r>
      <w:r w:rsidRPr="00014C4D">
        <w:rPr>
          <w:rFonts w:ascii="David" w:hAnsi="David" w:hint="cs"/>
          <w:sz w:val="24"/>
          <w:rtl/>
        </w:rPr>
        <w:t>המתלוננים</w:t>
      </w:r>
      <w:r w:rsidRPr="00014C4D">
        <w:rPr>
          <w:rFonts w:ascii="David" w:hAnsi="David"/>
          <w:sz w:val="24"/>
          <w:rtl/>
        </w:rPr>
        <w:t xml:space="preserve"> לפעול בהליכים אזרחיים בין בדרך של פנייה למפקח על הבתים המשותפים ובין בדרך של הגשת תביעות כנגד הקבלן</w:t>
      </w:r>
      <w:r w:rsidRPr="00014C4D">
        <w:rPr>
          <w:rFonts w:ascii="David" w:hAnsi="David" w:hint="cs"/>
          <w:sz w:val="24"/>
          <w:rtl/>
        </w:rPr>
        <w:t xml:space="preserve"> או </w:t>
      </w:r>
      <w:r w:rsidRPr="00014C4D">
        <w:rPr>
          <w:rFonts w:ascii="David" w:hAnsi="David"/>
          <w:sz w:val="24"/>
          <w:rtl/>
        </w:rPr>
        <w:t xml:space="preserve">בעלי הדירות </w:t>
      </w:r>
      <w:r w:rsidRPr="00014C4D">
        <w:rPr>
          <w:rFonts w:ascii="David" w:hAnsi="David" w:hint="cs"/>
          <w:sz w:val="24"/>
          <w:rtl/>
        </w:rPr>
        <w:t>ש</w:t>
      </w:r>
      <w:r w:rsidRPr="00014C4D">
        <w:rPr>
          <w:rFonts w:ascii="David" w:hAnsi="David"/>
          <w:sz w:val="24"/>
          <w:rtl/>
        </w:rPr>
        <w:t>אליהן סופחו הממ"קים.</w:t>
      </w:r>
      <w:r w:rsidRPr="00014C4D">
        <w:rPr>
          <w:rFonts w:ascii="David" w:hAnsi="David" w:hint="cs"/>
          <w:b/>
          <w:b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ascii="David" w:hAnsi="David" w:hint="cs"/>
          <w:sz w:val="24"/>
          <w:rtl/>
        </w:rPr>
        <w:t xml:space="preserve">עוד מסרה העירייה כי </w:t>
      </w:r>
      <w:r w:rsidRPr="00014C4D">
        <w:rPr>
          <w:rFonts w:ascii="David" w:hAnsi="David"/>
          <w:sz w:val="24"/>
          <w:rtl/>
        </w:rPr>
        <w:t xml:space="preserve">אם </w:t>
      </w:r>
      <w:r w:rsidRPr="00014C4D">
        <w:rPr>
          <w:rFonts w:ascii="David" w:hAnsi="David" w:hint="cs"/>
          <w:sz w:val="24"/>
          <w:rtl/>
        </w:rPr>
        <w:t>יוחלט</w:t>
      </w:r>
      <w:r w:rsidRPr="00014C4D">
        <w:rPr>
          <w:rFonts w:ascii="David" w:hAnsi="David"/>
          <w:sz w:val="24"/>
          <w:rtl/>
        </w:rPr>
        <w:t xml:space="preserve"> ש</w:t>
      </w:r>
      <w:r w:rsidRPr="00014C4D">
        <w:rPr>
          <w:rFonts w:ascii="David" w:hAnsi="David" w:hint="cs"/>
          <w:sz w:val="24"/>
          <w:rtl/>
        </w:rPr>
        <w:t>היא תבצע</w:t>
      </w:r>
      <w:r w:rsidRPr="00014C4D">
        <w:rPr>
          <w:rFonts w:ascii="David" w:hAnsi="David"/>
          <w:sz w:val="24"/>
          <w:rtl/>
        </w:rPr>
        <w:t xml:space="preserve"> בכל זאת </w:t>
      </w:r>
      <w:r w:rsidRPr="00014C4D">
        <w:rPr>
          <w:rFonts w:ascii="David" w:hAnsi="David" w:hint="cs"/>
          <w:sz w:val="24"/>
          <w:rtl/>
        </w:rPr>
        <w:t>פעולות אכיפה ב</w:t>
      </w:r>
      <w:r w:rsidRPr="00014C4D">
        <w:rPr>
          <w:rFonts w:ascii="David" w:hAnsi="David"/>
          <w:sz w:val="24"/>
          <w:rtl/>
        </w:rPr>
        <w:t xml:space="preserve">עניין, </w:t>
      </w:r>
      <w:r w:rsidRPr="00014C4D">
        <w:rPr>
          <w:rFonts w:ascii="David" w:hAnsi="David" w:hint="cs"/>
          <w:sz w:val="24"/>
          <w:rtl/>
        </w:rPr>
        <w:t>לדעתה ע</w:t>
      </w:r>
      <w:r w:rsidRPr="00014C4D">
        <w:rPr>
          <w:rFonts w:ascii="David" w:hAnsi="David"/>
          <w:sz w:val="24"/>
          <w:rtl/>
        </w:rPr>
        <w:t>דיף לפעול בהליכים מכ</w:t>
      </w:r>
      <w:r w:rsidRPr="00014C4D">
        <w:rPr>
          <w:rFonts w:ascii="David" w:hAnsi="David" w:hint="cs"/>
          <w:sz w:val="24"/>
          <w:rtl/>
        </w:rPr>
        <w:t>ו</w:t>
      </w:r>
      <w:r w:rsidRPr="00014C4D">
        <w:rPr>
          <w:rFonts w:ascii="David" w:hAnsi="David"/>
          <w:sz w:val="24"/>
          <w:rtl/>
        </w:rPr>
        <w:t xml:space="preserve">ח חוקי העזר בעניין החזקת מקלטים וחוק התגוננות, </w:t>
      </w:r>
      <w:r w:rsidRPr="00014C4D">
        <w:rPr>
          <w:rFonts w:ascii="David" w:hAnsi="David" w:hint="cs"/>
          <w:sz w:val="24"/>
          <w:rtl/>
        </w:rPr>
        <w:t xml:space="preserve">שכן </w:t>
      </w:r>
      <w:r w:rsidRPr="00014C4D">
        <w:rPr>
          <w:rFonts w:ascii="David" w:hAnsi="David"/>
          <w:sz w:val="24"/>
          <w:rtl/>
        </w:rPr>
        <w:t>במסגרתם יהיה קל יותר להתמודד עם הטענות בשל מצב החירום</w:t>
      </w:r>
      <w:r w:rsidRPr="00014C4D">
        <w:rPr>
          <w:rFonts w:ascii="David" w:hAns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sz w:val="24"/>
          <w:rtl/>
        </w:rPr>
      </w:pPr>
      <w:r w:rsidRPr="00014C4D">
        <w:rPr>
          <w:rFonts w:ascii="David" w:hAnsi="David" w:hint="cs"/>
          <w:b/>
          <w:bCs/>
          <w:sz w:val="24"/>
          <w:rtl/>
        </w:rPr>
        <w:t>עד מועד סיום הביקורת, העירייה לא ביצעה פעולות אכיפה כלשהן, לא באמצעות הליכים מכוח חוקי עזר ולא באמצעות הליכים אחרים.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sz w:val="24"/>
          <w:rtl/>
        </w:rPr>
      </w:pPr>
      <w:r w:rsidRPr="00014C4D">
        <w:rPr>
          <w:rFonts w:hint="cs"/>
          <w:b/>
          <w:bCs/>
          <w:sz w:val="24"/>
          <w:rtl/>
        </w:rPr>
        <w:t>על עיריית אשקלון לפעול בהתאם לאמצעים העומדים לרשותה כדי להבטיח שלדיירים תהיה גישה לממ"ק.</w:t>
      </w:r>
    </w:p>
    <w:p w:rsidR="00014C4D" w:rsidRPr="00014C4D" w:rsidRDefault="00014C4D" w:rsidP="00014C4D">
      <w:pPr>
        <w:spacing w:line="269" w:lineRule="auto"/>
        <w:rPr>
          <w:rtl/>
        </w:rPr>
      </w:pPr>
    </w:p>
    <w:p w:rsidR="00014C4D" w:rsidRPr="00014C4D" w:rsidRDefault="00014C4D" w:rsidP="00014C4D">
      <w:pPr>
        <w:spacing w:line="269" w:lineRule="auto"/>
        <w:jc w:val="center"/>
        <w:rPr>
          <w:rFonts w:ascii="Arial" w:hAnsi="Arial" w:cs="Arial"/>
          <w:sz w:val="36"/>
          <w:rtl/>
        </w:rPr>
      </w:pPr>
      <w:r w:rsidRPr="00014C4D">
        <w:rPr>
          <w:rFonts w:ascii="Segoe UI Symbol" w:hAnsi="Segoe UI Symbol" w:cs="Segoe UI Symbol" w:hint="cs"/>
          <w:sz w:val="36"/>
          <w:rtl/>
        </w:rPr>
        <w:t>✰</w:t>
      </w:r>
    </w:p>
    <w:p w:rsidR="00014C4D" w:rsidRPr="00014C4D" w:rsidRDefault="00014C4D" w:rsidP="00014C4D">
      <w:pPr>
        <w:spacing w:line="269" w:lineRule="auto"/>
        <w:ind w:left="-567"/>
        <w:rPr>
          <w:szCs w:val="20"/>
          <w:rtl/>
        </w:rPr>
      </w:pPr>
    </w:p>
    <w:p w:rsidR="00E86B8F" w:rsidRDefault="00014C4D" w:rsidP="00014C4D">
      <w:pPr>
        <w:spacing w:line="269" w:lineRule="auto"/>
        <w:rPr>
          <w:b/>
          <w:bCs/>
          <w:rtl/>
        </w:rPr>
      </w:pPr>
      <w:r w:rsidRPr="00014C4D">
        <w:rPr>
          <w:rFonts w:hint="cs"/>
          <w:b/>
          <w:bCs/>
          <w:rtl/>
        </w:rPr>
        <w:t xml:space="preserve">חשיבות הפיקוח והבקרה של פקע"ר בנושא תחזוקת מקלטים, לרבות מקלטים משותפים, היא קריטית. </w:t>
      </w:r>
      <w:r w:rsidRPr="00014C4D">
        <w:rPr>
          <w:b/>
          <w:bCs/>
          <w:rtl/>
        </w:rPr>
        <w:t xml:space="preserve">בחוק הג"א </w:t>
      </w:r>
      <w:r w:rsidRPr="00014C4D">
        <w:rPr>
          <w:rFonts w:hint="cs"/>
          <w:b/>
          <w:bCs/>
          <w:rtl/>
        </w:rPr>
        <w:t xml:space="preserve">אף </w:t>
      </w:r>
      <w:r w:rsidRPr="00014C4D">
        <w:rPr>
          <w:b/>
          <w:bCs/>
          <w:rtl/>
        </w:rPr>
        <w:t>נקבע שאם לא השתמשה הרשות המקומית בסמכויות</w:t>
      </w:r>
      <w:r w:rsidRPr="00014C4D">
        <w:rPr>
          <w:rFonts w:hint="cs"/>
          <w:b/>
          <w:bCs/>
          <w:rtl/>
        </w:rPr>
        <w:t xml:space="preserve"> מסוימות שלה</w:t>
      </w:r>
      <w:r w:rsidRPr="00014C4D">
        <w:rPr>
          <w:b/>
          <w:bCs/>
          <w:rtl/>
        </w:rPr>
        <w:t xml:space="preserve"> בנוגע לתחזוקתו של מקלט בידי בעלי בתים ובעלי מפעלים, רשאי </w:t>
      </w:r>
      <w:r w:rsidRPr="00014C4D">
        <w:rPr>
          <w:rFonts w:hint="eastAsia"/>
          <w:b/>
          <w:bCs/>
          <w:rtl/>
        </w:rPr>
        <w:t>ראש</w:t>
      </w:r>
      <w:r w:rsidRPr="00014C4D">
        <w:rPr>
          <w:b/>
          <w:bCs/>
          <w:rtl/>
        </w:rPr>
        <w:t xml:space="preserve"> </w:t>
      </w:r>
      <w:r w:rsidRPr="00014C4D">
        <w:rPr>
          <w:rFonts w:hint="eastAsia"/>
          <w:b/>
          <w:bCs/>
          <w:rtl/>
        </w:rPr>
        <w:t>הג</w:t>
      </w:r>
      <w:r w:rsidRPr="00014C4D">
        <w:rPr>
          <w:b/>
          <w:bCs/>
          <w:rtl/>
        </w:rPr>
        <w:t xml:space="preserve">"א </w:t>
      </w:r>
      <w:r w:rsidRPr="00014C4D">
        <w:rPr>
          <w:rFonts w:hint="cs"/>
          <w:b/>
          <w:bCs/>
          <w:rtl/>
        </w:rPr>
        <w:t xml:space="preserve">[כיום מפקד פקע"ר ממלא את </w:t>
      </w:r>
      <w:r w:rsidRPr="00014C4D">
        <w:rPr>
          <w:b/>
          <w:bCs/>
          <w:rtl/>
        </w:rPr>
        <w:t>תפקיד ראש הג״א</w:t>
      </w:r>
      <w:r w:rsidRPr="00014C4D">
        <w:rPr>
          <w:rFonts w:hint="cs"/>
          <w:b/>
          <w:bCs/>
          <w:rtl/>
        </w:rPr>
        <w:t>]</w:t>
      </w:r>
      <w:r w:rsidRPr="00014C4D">
        <w:rPr>
          <w:b/>
          <w:bCs/>
          <w:rtl/>
        </w:rPr>
        <w:t xml:space="preserve"> להורות לה להשתמש בסמכות זו. לא קיימה הרשות המקומית את ההוראה בתוך הזמן שנקבע, רשאי </w:t>
      </w:r>
      <w:r w:rsidRPr="00014C4D">
        <w:rPr>
          <w:rFonts w:hint="eastAsia"/>
          <w:b/>
          <w:bCs/>
          <w:rtl/>
        </w:rPr>
        <w:t>ראש</w:t>
      </w:r>
      <w:r w:rsidRPr="00014C4D">
        <w:rPr>
          <w:b/>
          <w:bCs/>
          <w:rtl/>
        </w:rPr>
        <w:t xml:space="preserve"> </w:t>
      </w:r>
      <w:r w:rsidRPr="00014C4D">
        <w:rPr>
          <w:rFonts w:hint="eastAsia"/>
          <w:b/>
          <w:bCs/>
          <w:rtl/>
        </w:rPr>
        <w:t>הג</w:t>
      </w:r>
      <w:r w:rsidRPr="00014C4D">
        <w:rPr>
          <w:b/>
          <w:bCs/>
          <w:rtl/>
        </w:rPr>
        <w:t xml:space="preserve">"א להשתמש </w:t>
      </w:r>
      <w:r w:rsidRPr="00014C4D">
        <w:rPr>
          <w:rFonts w:hint="eastAsia"/>
          <w:b/>
          <w:bCs/>
          <w:rtl/>
        </w:rPr>
        <w:t>לצורכי</w:t>
      </w:r>
      <w:r w:rsidRPr="00014C4D">
        <w:rPr>
          <w:b/>
          <w:bCs/>
          <w:rtl/>
        </w:rPr>
        <w:t xml:space="preserve"> ביצוע הה</w:t>
      </w:r>
      <w:r w:rsidRPr="00014C4D">
        <w:rPr>
          <w:rFonts w:hint="eastAsia"/>
          <w:b/>
          <w:bCs/>
          <w:rtl/>
        </w:rPr>
        <w:t>וראה</w:t>
      </w:r>
      <w:r w:rsidRPr="00014C4D">
        <w:rPr>
          <w:b/>
          <w:bCs/>
          <w:rtl/>
        </w:rPr>
        <w:t xml:space="preserve"> באותה סמכות במקום הרשות המקומית.</w:t>
      </w:r>
      <w:r w:rsidRPr="00014C4D">
        <w:rPr>
          <w:rFonts w:hint="cs"/>
          <w:b/>
          <w:bCs/>
          <w:rtl/>
        </w:rPr>
        <w:t xml:space="preserve"> </w:t>
      </w:r>
    </w:p>
    <w:p w:rsidR="00E86B8F" w:rsidRDefault="00E86B8F" w:rsidP="00014C4D">
      <w:pPr>
        <w:spacing w:line="269" w:lineRule="auto"/>
        <w:rPr>
          <w:b/>
          <w:bCs/>
          <w:rtl/>
        </w:rPr>
      </w:pPr>
    </w:p>
    <w:p w:rsidR="00014C4D" w:rsidRPr="00014C4D" w:rsidRDefault="00014C4D" w:rsidP="00014C4D">
      <w:pPr>
        <w:spacing w:line="269" w:lineRule="auto"/>
        <w:rPr>
          <w:b/>
          <w:bCs/>
          <w:rtl/>
        </w:rPr>
      </w:pPr>
      <w:r w:rsidRPr="00014C4D">
        <w:rPr>
          <w:rFonts w:hint="cs"/>
          <w:b/>
          <w:bCs/>
          <w:rtl/>
        </w:rPr>
        <w:t xml:space="preserve">בתשובתו ביקש פקע"ר להבהיר כי </w:t>
      </w:r>
      <w:r w:rsidRPr="00014C4D">
        <w:rPr>
          <w:b/>
          <w:bCs/>
          <w:rtl/>
        </w:rPr>
        <w:t xml:space="preserve">סמכות זו אינה נתונה לרשות המוסמכת </w:t>
      </w:r>
      <w:r w:rsidRPr="00014C4D">
        <w:rPr>
          <w:b/>
          <w:bCs/>
          <w:u w:val="single"/>
          <w:rtl/>
        </w:rPr>
        <w:t>אלא לראש הג״א אישית</w:t>
      </w:r>
      <w:r w:rsidRPr="00014C4D">
        <w:rPr>
          <w:b/>
          <w:bCs/>
          <w:rtl/>
        </w:rPr>
        <w:t xml:space="preserve"> וככזו נעשה בה שימוש במשורה. זו סמכות חריגה ש</w:t>
      </w:r>
      <w:r w:rsidR="00E86B8F">
        <w:rPr>
          <w:rFonts w:hint="cs"/>
          <w:b/>
          <w:bCs/>
          <w:rtl/>
        </w:rPr>
        <w:t xml:space="preserve">לגישתו </w:t>
      </w:r>
      <w:r w:rsidRPr="00014C4D">
        <w:rPr>
          <w:b/>
          <w:bCs/>
          <w:rtl/>
        </w:rPr>
        <w:t>נועדה לשימוש לצורך הכרעה במקום שבו יש מחלוקת עקרונית בין הג״א לרשות המקומית ולא בסמכות לשימוש תדיר</w:t>
      </w:r>
      <w:r w:rsidRPr="00014C4D">
        <w:rPr>
          <w:rFonts w:hint="cs"/>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התמונה</w:t>
      </w:r>
      <w:r w:rsidRPr="00014C4D">
        <w:rPr>
          <w:b/>
          <w:bCs/>
          <w:rtl/>
        </w:rPr>
        <w:t xml:space="preserve"> העולה מן הביקורת היא כי לצד זאת שהרשויות </w:t>
      </w:r>
      <w:r w:rsidRPr="00014C4D">
        <w:rPr>
          <w:rFonts w:hint="cs"/>
          <w:b/>
          <w:bCs/>
          <w:rtl/>
        </w:rPr>
        <w:t>אינן</w:t>
      </w:r>
      <w:r w:rsidRPr="00014C4D">
        <w:rPr>
          <w:b/>
          <w:bCs/>
          <w:rtl/>
        </w:rPr>
        <w:t xml:space="preserve"> מבצעות </w:t>
      </w:r>
      <w:r w:rsidRPr="00014C4D">
        <w:rPr>
          <w:rFonts w:hint="eastAsia"/>
          <w:b/>
          <w:bCs/>
          <w:rtl/>
        </w:rPr>
        <w:t>פיקוח</w:t>
      </w:r>
      <w:r w:rsidRPr="00014C4D">
        <w:rPr>
          <w:b/>
          <w:bCs/>
          <w:rtl/>
        </w:rPr>
        <w:t xml:space="preserve">, </w:t>
      </w:r>
      <w:r w:rsidRPr="00014C4D">
        <w:rPr>
          <w:rFonts w:hint="eastAsia"/>
          <w:b/>
          <w:bCs/>
          <w:rtl/>
        </w:rPr>
        <w:t>בקרה</w:t>
      </w:r>
      <w:r w:rsidRPr="00014C4D">
        <w:rPr>
          <w:b/>
          <w:bCs/>
          <w:rtl/>
        </w:rPr>
        <w:t xml:space="preserve"> </w:t>
      </w:r>
      <w:r w:rsidRPr="00014C4D">
        <w:rPr>
          <w:rFonts w:hint="eastAsia"/>
          <w:b/>
          <w:bCs/>
          <w:rtl/>
        </w:rPr>
        <w:t>ואכיפה</w:t>
      </w:r>
      <w:r w:rsidRPr="00014C4D">
        <w:rPr>
          <w:b/>
          <w:bCs/>
          <w:rtl/>
        </w:rPr>
        <w:t xml:space="preserve"> </w:t>
      </w:r>
      <w:r w:rsidRPr="00014C4D">
        <w:rPr>
          <w:rFonts w:hint="eastAsia"/>
          <w:b/>
          <w:bCs/>
          <w:rtl/>
        </w:rPr>
        <w:t>בכל</w:t>
      </w:r>
      <w:r w:rsidRPr="00014C4D">
        <w:rPr>
          <w:b/>
          <w:bCs/>
          <w:rtl/>
        </w:rPr>
        <w:t xml:space="preserve"> </w:t>
      </w:r>
      <w:r w:rsidRPr="00014C4D">
        <w:rPr>
          <w:rFonts w:hint="eastAsia"/>
          <w:b/>
          <w:bCs/>
          <w:rtl/>
        </w:rPr>
        <w:t>הנוגע</w:t>
      </w:r>
      <w:r w:rsidRPr="00014C4D">
        <w:rPr>
          <w:b/>
          <w:bCs/>
          <w:rtl/>
        </w:rPr>
        <w:t xml:space="preserve"> </w:t>
      </w:r>
      <w:r w:rsidRPr="00014C4D">
        <w:rPr>
          <w:rFonts w:hint="eastAsia"/>
          <w:b/>
          <w:bCs/>
          <w:rtl/>
        </w:rPr>
        <w:t>לתחזוקת</w:t>
      </w:r>
      <w:r w:rsidRPr="00014C4D">
        <w:rPr>
          <w:b/>
          <w:bCs/>
          <w:rtl/>
        </w:rPr>
        <w:t xml:space="preserve"> </w:t>
      </w:r>
      <w:r w:rsidRPr="00014C4D">
        <w:rPr>
          <w:rFonts w:hint="eastAsia"/>
          <w:b/>
          <w:bCs/>
          <w:rtl/>
        </w:rPr>
        <w:t>המקלטים</w:t>
      </w:r>
      <w:r w:rsidRPr="00014C4D">
        <w:rPr>
          <w:b/>
          <w:bCs/>
          <w:rtl/>
        </w:rPr>
        <w:t xml:space="preserve"> </w:t>
      </w:r>
      <w:r w:rsidRPr="00014C4D">
        <w:rPr>
          <w:rFonts w:hint="eastAsia"/>
          <w:b/>
          <w:bCs/>
          <w:rtl/>
        </w:rPr>
        <w:t>והמרחבים</w:t>
      </w:r>
      <w:r w:rsidRPr="00014C4D">
        <w:rPr>
          <w:b/>
          <w:bCs/>
          <w:rtl/>
        </w:rPr>
        <w:t xml:space="preserve"> </w:t>
      </w:r>
      <w:r w:rsidRPr="00014C4D">
        <w:rPr>
          <w:rFonts w:hint="eastAsia"/>
          <w:b/>
          <w:bCs/>
          <w:rtl/>
        </w:rPr>
        <w:t>המוגנים</w:t>
      </w:r>
      <w:r w:rsidRPr="00014C4D">
        <w:rPr>
          <w:b/>
          <w:bCs/>
          <w:rtl/>
        </w:rPr>
        <w:t xml:space="preserve">, </w:t>
      </w:r>
      <w:r w:rsidRPr="00014C4D">
        <w:rPr>
          <w:rFonts w:hint="eastAsia"/>
          <w:b/>
          <w:bCs/>
          <w:rtl/>
        </w:rPr>
        <w:t>פקע</w:t>
      </w:r>
      <w:r w:rsidRPr="00014C4D">
        <w:rPr>
          <w:b/>
          <w:bCs/>
          <w:rtl/>
        </w:rPr>
        <w:t xml:space="preserve">"ר </w:t>
      </w:r>
      <w:r w:rsidRPr="00014C4D">
        <w:rPr>
          <w:rFonts w:hint="eastAsia"/>
          <w:b/>
          <w:bCs/>
          <w:rtl/>
        </w:rPr>
        <w:t>מצ</w:t>
      </w:r>
      <w:r w:rsidRPr="00014C4D">
        <w:rPr>
          <w:rFonts w:hint="cs"/>
          <w:b/>
          <w:bCs/>
          <w:rtl/>
        </w:rPr>
        <w:t>י</w:t>
      </w:r>
      <w:r w:rsidRPr="00014C4D">
        <w:rPr>
          <w:rFonts w:hint="eastAsia"/>
          <w:b/>
          <w:bCs/>
          <w:rtl/>
        </w:rPr>
        <w:t>דו</w:t>
      </w:r>
      <w:r w:rsidRPr="00014C4D">
        <w:rPr>
          <w:b/>
          <w:bCs/>
          <w:rtl/>
        </w:rPr>
        <w:t xml:space="preserve"> </w:t>
      </w:r>
      <w:r w:rsidRPr="00014C4D">
        <w:rPr>
          <w:rFonts w:hint="eastAsia"/>
          <w:b/>
          <w:bCs/>
          <w:rtl/>
        </w:rPr>
        <w:t>לא</w:t>
      </w:r>
      <w:r w:rsidRPr="00014C4D">
        <w:rPr>
          <w:b/>
          <w:bCs/>
          <w:rtl/>
        </w:rPr>
        <w:t xml:space="preserve"> </w:t>
      </w:r>
      <w:r w:rsidRPr="00014C4D">
        <w:rPr>
          <w:rFonts w:hint="eastAsia"/>
          <w:b/>
          <w:bCs/>
          <w:rtl/>
        </w:rPr>
        <w:t>עושה</w:t>
      </w:r>
      <w:r w:rsidRPr="00014C4D">
        <w:rPr>
          <w:b/>
          <w:bCs/>
          <w:rtl/>
        </w:rPr>
        <w:t xml:space="preserve"> </w:t>
      </w:r>
      <w:r w:rsidRPr="00014C4D">
        <w:rPr>
          <w:rFonts w:hint="eastAsia"/>
          <w:b/>
          <w:bCs/>
          <w:rtl/>
        </w:rPr>
        <w:t>שימוש</w:t>
      </w:r>
      <w:r w:rsidRPr="00014C4D">
        <w:rPr>
          <w:b/>
          <w:bCs/>
          <w:rtl/>
        </w:rPr>
        <w:t xml:space="preserve"> </w:t>
      </w:r>
      <w:r w:rsidRPr="00014C4D">
        <w:rPr>
          <w:rFonts w:hint="eastAsia"/>
          <w:b/>
          <w:bCs/>
          <w:rtl/>
        </w:rPr>
        <w:t>בסמכויותיו</w:t>
      </w:r>
      <w:r w:rsidRPr="00014C4D">
        <w:rPr>
          <w:b/>
          <w:bCs/>
          <w:rtl/>
        </w:rPr>
        <w:t xml:space="preserve"> </w:t>
      </w:r>
      <w:r w:rsidRPr="00014C4D">
        <w:rPr>
          <w:rFonts w:hint="eastAsia"/>
          <w:b/>
          <w:bCs/>
          <w:rtl/>
        </w:rPr>
        <w:t>ולא</w:t>
      </w:r>
      <w:r w:rsidRPr="00014C4D">
        <w:rPr>
          <w:b/>
          <w:bCs/>
          <w:rtl/>
        </w:rPr>
        <w:t xml:space="preserve"> </w:t>
      </w:r>
      <w:r w:rsidRPr="00014C4D">
        <w:rPr>
          <w:rFonts w:hint="eastAsia"/>
          <w:b/>
          <w:bCs/>
          <w:rtl/>
        </w:rPr>
        <w:t>מבצע</w:t>
      </w:r>
      <w:r w:rsidRPr="00014C4D">
        <w:rPr>
          <w:b/>
          <w:bCs/>
          <w:rtl/>
        </w:rPr>
        <w:t xml:space="preserve"> </w:t>
      </w:r>
      <w:r w:rsidRPr="00014C4D">
        <w:rPr>
          <w:rFonts w:hint="eastAsia"/>
          <w:b/>
          <w:bCs/>
          <w:rtl/>
        </w:rPr>
        <w:t>בקרה</w:t>
      </w:r>
      <w:r w:rsidRPr="00014C4D">
        <w:rPr>
          <w:b/>
          <w:bCs/>
          <w:rtl/>
        </w:rPr>
        <w:t xml:space="preserve"> </w:t>
      </w:r>
      <w:r w:rsidRPr="00014C4D">
        <w:rPr>
          <w:rFonts w:hint="cs"/>
          <w:b/>
          <w:bCs/>
          <w:rtl/>
        </w:rPr>
        <w:t>על</w:t>
      </w:r>
      <w:r w:rsidRPr="00014C4D">
        <w:rPr>
          <w:b/>
          <w:bCs/>
          <w:rtl/>
        </w:rPr>
        <w:t xml:space="preserve"> </w:t>
      </w:r>
      <w:r w:rsidRPr="00014C4D">
        <w:rPr>
          <w:rFonts w:hint="eastAsia"/>
          <w:b/>
          <w:bCs/>
          <w:rtl/>
        </w:rPr>
        <w:t>פעולות</w:t>
      </w:r>
      <w:r w:rsidRPr="00014C4D">
        <w:rPr>
          <w:b/>
          <w:bCs/>
          <w:rtl/>
        </w:rPr>
        <w:t xml:space="preserve"> </w:t>
      </w:r>
      <w:r w:rsidRPr="00014C4D">
        <w:rPr>
          <w:rFonts w:hint="eastAsia"/>
          <w:b/>
          <w:bCs/>
          <w:rtl/>
        </w:rPr>
        <w:t>הרשויות</w:t>
      </w:r>
      <w:r w:rsidRPr="00014C4D">
        <w:rPr>
          <w:b/>
          <w:bCs/>
          <w:rtl/>
        </w:rPr>
        <w:t xml:space="preserve"> </w:t>
      </w:r>
      <w:r w:rsidRPr="00014C4D">
        <w:rPr>
          <w:rFonts w:hint="eastAsia"/>
          <w:b/>
          <w:bCs/>
          <w:rtl/>
        </w:rPr>
        <w:t>המקומיות</w:t>
      </w:r>
      <w:r w:rsidRPr="00014C4D">
        <w:rPr>
          <w:b/>
          <w:bCs/>
          <w:rtl/>
        </w:rPr>
        <w:t xml:space="preserve">. </w:t>
      </w:r>
    </w:p>
    <w:p w:rsidR="00014C4D" w:rsidRPr="00014C4D" w:rsidRDefault="00014C4D" w:rsidP="00014C4D">
      <w:pPr>
        <w:spacing w:line="269" w:lineRule="auto"/>
        <w:ind w:left="-567"/>
        <w:rPr>
          <w:szCs w:val="20"/>
          <w:rtl/>
        </w:rPr>
      </w:pPr>
    </w:p>
    <w:p w:rsidR="00014C4D" w:rsidRDefault="00014C4D" w:rsidP="00014C4D">
      <w:pPr>
        <w:spacing w:line="269" w:lineRule="auto"/>
        <w:rPr>
          <w:b/>
          <w:bCs/>
          <w:rtl/>
        </w:rPr>
      </w:pPr>
      <w:r w:rsidRPr="00014C4D">
        <w:rPr>
          <w:rFonts w:hint="eastAsia"/>
          <w:b/>
          <w:bCs/>
          <w:rtl/>
        </w:rPr>
        <w:t>על</w:t>
      </w:r>
      <w:r w:rsidRPr="00014C4D">
        <w:rPr>
          <w:b/>
          <w:bCs/>
          <w:rtl/>
        </w:rPr>
        <w:t xml:space="preserve"> </w:t>
      </w:r>
      <w:r w:rsidRPr="00014C4D">
        <w:rPr>
          <w:rFonts w:hint="eastAsia"/>
          <w:b/>
          <w:bCs/>
          <w:rtl/>
        </w:rPr>
        <w:t>פקע</w:t>
      </w:r>
      <w:r w:rsidRPr="00014C4D">
        <w:rPr>
          <w:b/>
          <w:bCs/>
          <w:rtl/>
        </w:rPr>
        <w:t xml:space="preserve">"ר </w:t>
      </w:r>
      <w:r w:rsidRPr="00014C4D">
        <w:rPr>
          <w:rFonts w:hint="eastAsia"/>
          <w:b/>
          <w:bCs/>
          <w:rtl/>
        </w:rPr>
        <w:t>לפעול</w:t>
      </w:r>
      <w:r w:rsidRPr="00014C4D">
        <w:rPr>
          <w:b/>
          <w:bCs/>
          <w:rtl/>
        </w:rPr>
        <w:t xml:space="preserve"> </w:t>
      </w:r>
      <w:r w:rsidRPr="00014C4D">
        <w:rPr>
          <w:rFonts w:hint="eastAsia"/>
          <w:b/>
          <w:bCs/>
          <w:rtl/>
        </w:rPr>
        <w:t>בהתאם</w:t>
      </w:r>
      <w:r w:rsidRPr="00014C4D">
        <w:rPr>
          <w:b/>
          <w:bCs/>
          <w:rtl/>
        </w:rPr>
        <w:t xml:space="preserve"> </w:t>
      </w:r>
      <w:r w:rsidRPr="00014C4D">
        <w:rPr>
          <w:rFonts w:hint="eastAsia"/>
          <w:b/>
          <w:bCs/>
          <w:rtl/>
        </w:rPr>
        <w:t>לסמכויות</w:t>
      </w:r>
      <w:r w:rsidRPr="00014C4D">
        <w:rPr>
          <w:b/>
          <w:bCs/>
          <w:rtl/>
        </w:rPr>
        <w:t xml:space="preserve"> </w:t>
      </w:r>
      <w:r w:rsidR="00E86B8F">
        <w:rPr>
          <w:rFonts w:hint="cs"/>
          <w:b/>
          <w:bCs/>
          <w:rtl/>
        </w:rPr>
        <w:t xml:space="preserve">המוקנות לו </w:t>
      </w:r>
      <w:r w:rsidRPr="00014C4D">
        <w:rPr>
          <w:rFonts w:hint="eastAsia"/>
          <w:b/>
          <w:bCs/>
          <w:rtl/>
        </w:rPr>
        <w:t>ולבצע</w:t>
      </w:r>
      <w:r w:rsidRPr="00014C4D">
        <w:rPr>
          <w:b/>
          <w:bCs/>
          <w:rtl/>
        </w:rPr>
        <w:t xml:space="preserve"> </w:t>
      </w:r>
      <w:r w:rsidRPr="00014C4D">
        <w:rPr>
          <w:rFonts w:hint="eastAsia"/>
          <w:b/>
          <w:bCs/>
          <w:rtl/>
        </w:rPr>
        <w:t>בקרה</w:t>
      </w:r>
      <w:r w:rsidRPr="00014C4D">
        <w:rPr>
          <w:b/>
          <w:bCs/>
          <w:rtl/>
        </w:rPr>
        <w:t xml:space="preserve"> </w:t>
      </w:r>
      <w:r w:rsidRPr="00014C4D">
        <w:rPr>
          <w:rFonts w:hint="eastAsia"/>
          <w:b/>
          <w:bCs/>
          <w:rtl/>
        </w:rPr>
        <w:t>ופיקוח</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פעולות</w:t>
      </w:r>
      <w:r w:rsidRPr="00014C4D">
        <w:rPr>
          <w:b/>
          <w:bCs/>
          <w:rtl/>
        </w:rPr>
        <w:t xml:space="preserve"> </w:t>
      </w:r>
      <w:r w:rsidRPr="00014C4D">
        <w:rPr>
          <w:rFonts w:hint="eastAsia"/>
          <w:b/>
          <w:bCs/>
          <w:rtl/>
        </w:rPr>
        <w:t>הרשויות</w:t>
      </w:r>
      <w:r w:rsidRPr="00014C4D">
        <w:rPr>
          <w:b/>
          <w:bCs/>
          <w:rtl/>
        </w:rPr>
        <w:t xml:space="preserve"> </w:t>
      </w:r>
      <w:r w:rsidRPr="00014C4D">
        <w:rPr>
          <w:rFonts w:hint="eastAsia"/>
          <w:b/>
          <w:bCs/>
          <w:rtl/>
        </w:rPr>
        <w:t>בכל</w:t>
      </w:r>
      <w:r w:rsidRPr="00014C4D">
        <w:rPr>
          <w:b/>
          <w:bCs/>
          <w:rtl/>
        </w:rPr>
        <w:t xml:space="preserve"> </w:t>
      </w:r>
      <w:r w:rsidRPr="00014C4D">
        <w:rPr>
          <w:rFonts w:hint="eastAsia"/>
          <w:b/>
          <w:bCs/>
          <w:rtl/>
        </w:rPr>
        <w:t>הנוגע</w:t>
      </w:r>
      <w:r w:rsidRPr="00014C4D">
        <w:rPr>
          <w:b/>
          <w:bCs/>
          <w:rtl/>
        </w:rPr>
        <w:t xml:space="preserve"> </w:t>
      </w:r>
      <w:r w:rsidRPr="00014C4D">
        <w:rPr>
          <w:rFonts w:hint="eastAsia"/>
          <w:b/>
          <w:bCs/>
          <w:rtl/>
        </w:rPr>
        <w:t>לתחזוקת</w:t>
      </w:r>
      <w:r w:rsidRPr="00014C4D">
        <w:rPr>
          <w:b/>
          <w:bCs/>
          <w:rtl/>
        </w:rPr>
        <w:t xml:space="preserve"> </w:t>
      </w:r>
      <w:r w:rsidRPr="00014C4D">
        <w:rPr>
          <w:rFonts w:hint="eastAsia"/>
          <w:b/>
          <w:bCs/>
          <w:rtl/>
        </w:rPr>
        <w:t>המקלטים</w:t>
      </w:r>
      <w:r w:rsidRPr="00014C4D">
        <w:rPr>
          <w:b/>
          <w:bCs/>
          <w:rtl/>
        </w:rPr>
        <w:t xml:space="preserve"> </w:t>
      </w:r>
      <w:r w:rsidRPr="00014C4D">
        <w:rPr>
          <w:rFonts w:hint="eastAsia"/>
          <w:b/>
          <w:bCs/>
          <w:rtl/>
        </w:rPr>
        <w:t>ושמירת</w:t>
      </w:r>
      <w:r w:rsidRPr="00014C4D">
        <w:rPr>
          <w:b/>
          <w:bCs/>
          <w:rtl/>
        </w:rPr>
        <w:t xml:space="preserve"> </w:t>
      </w:r>
      <w:r w:rsidRPr="00014C4D">
        <w:rPr>
          <w:rFonts w:hint="eastAsia"/>
          <w:b/>
          <w:bCs/>
          <w:rtl/>
        </w:rPr>
        <w:t>תקינותם</w:t>
      </w:r>
      <w:r w:rsidRPr="00014C4D">
        <w:rPr>
          <w:b/>
          <w:bCs/>
          <w:rtl/>
        </w:rPr>
        <w:t xml:space="preserve"> </w:t>
      </w:r>
      <w:r w:rsidRPr="00014C4D">
        <w:rPr>
          <w:rFonts w:hint="eastAsia"/>
          <w:b/>
          <w:bCs/>
          <w:rtl/>
        </w:rPr>
        <w:t>לצורך</w:t>
      </w:r>
      <w:r w:rsidRPr="00014C4D">
        <w:rPr>
          <w:b/>
          <w:bCs/>
          <w:rtl/>
        </w:rPr>
        <w:t xml:space="preserve"> </w:t>
      </w:r>
      <w:r w:rsidRPr="00014C4D">
        <w:rPr>
          <w:rFonts w:hint="eastAsia"/>
          <w:b/>
          <w:bCs/>
          <w:rtl/>
        </w:rPr>
        <w:t>שימוש</w:t>
      </w:r>
      <w:r w:rsidRPr="00014C4D">
        <w:rPr>
          <w:b/>
          <w:bCs/>
          <w:rtl/>
        </w:rPr>
        <w:t xml:space="preserve"> </w:t>
      </w:r>
      <w:r w:rsidRPr="00014C4D">
        <w:rPr>
          <w:rFonts w:hint="eastAsia"/>
          <w:b/>
          <w:bCs/>
          <w:rtl/>
        </w:rPr>
        <w:t>בעת</w:t>
      </w:r>
      <w:r w:rsidRPr="00014C4D">
        <w:rPr>
          <w:b/>
          <w:bCs/>
          <w:rtl/>
        </w:rPr>
        <w:t xml:space="preserve"> </w:t>
      </w:r>
      <w:r w:rsidRPr="00014C4D">
        <w:rPr>
          <w:rFonts w:hint="eastAsia"/>
          <w:b/>
          <w:bCs/>
          <w:rtl/>
        </w:rPr>
        <w:t>חירום</w:t>
      </w:r>
      <w:r w:rsidRPr="00014C4D">
        <w:rPr>
          <w:b/>
          <w:bCs/>
          <w:rtl/>
        </w:rPr>
        <w:t xml:space="preserve">. </w:t>
      </w:r>
      <w:r w:rsidRPr="00014C4D">
        <w:rPr>
          <w:rFonts w:hint="eastAsia"/>
          <w:b/>
          <w:bCs/>
          <w:rtl/>
        </w:rPr>
        <w:t>מומלץ</w:t>
      </w:r>
      <w:r w:rsidRPr="00014C4D">
        <w:rPr>
          <w:b/>
          <w:bCs/>
          <w:rtl/>
        </w:rPr>
        <w:t xml:space="preserve"> </w:t>
      </w:r>
      <w:r w:rsidRPr="00014C4D">
        <w:rPr>
          <w:rFonts w:hint="eastAsia"/>
          <w:b/>
          <w:bCs/>
          <w:rtl/>
        </w:rPr>
        <w:t>לגבש</w:t>
      </w:r>
      <w:r w:rsidRPr="00014C4D">
        <w:rPr>
          <w:b/>
          <w:bCs/>
          <w:rtl/>
        </w:rPr>
        <w:t xml:space="preserve"> </w:t>
      </w:r>
      <w:r w:rsidRPr="00014C4D">
        <w:rPr>
          <w:rFonts w:hint="eastAsia"/>
          <w:b/>
          <w:bCs/>
          <w:rtl/>
        </w:rPr>
        <w:t>ת</w:t>
      </w:r>
      <w:r w:rsidRPr="00014C4D">
        <w:rPr>
          <w:rFonts w:hint="cs"/>
          <w:b/>
          <w:bCs/>
          <w:rtl/>
        </w:rPr>
        <w:t>ו</w:t>
      </w:r>
      <w:r w:rsidRPr="00014C4D">
        <w:rPr>
          <w:rFonts w:hint="eastAsia"/>
          <w:b/>
          <w:bCs/>
          <w:rtl/>
        </w:rPr>
        <w:t>כנית</w:t>
      </w:r>
      <w:r w:rsidRPr="00014C4D">
        <w:rPr>
          <w:b/>
          <w:bCs/>
          <w:rtl/>
        </w:rPr>
        <w:t xml:space="preserve"> </w:t>
      </w:r>
      <w:r w:rsidRPr="00014C4D">
        <w:rPr>
          <w:rFonts w:hint="eastAsia"/>
          <w:b/>
          <w:bCs/>
          <w:rtl/>
        </w:rPr>
        <w:t>פיקוח</w:t>
      </w:r>
      <w:r w:rsidRPr="00014C4D">
        <w:rPr>
          <w:b/>
          <w:bCs/>
          <w:rtl/>
        </w:rPr>
        <w:t xml:space="preserve"> </w:t>
      </w:r>
      <w:r w:rsidRPr="00014C4D">
        <w:rPr>
          <w:rFonts w:hint="eastAsia"/>
          <w:b/>
          <w:bCs/>
          <w:rtl/>
        </w:rPr>
        <w:t>לכל</w:t>
      </w:r>
      <w:r w:rsidRPr="00014C4D">
        <w:rPr>
          <w:b/>
          <w:bCs/>
          <w:rtl/>
        </w:rPr>
        <w:t xml:space="preserve"> </w:t>
      </w:r>
      <w:r w:rsidRPr="00014C4D">
        <w:rPr>
          <w:rFonts w:hint="eastAsia"/>
          <w:b/>
          <w:bCs/>
          <w:rtl/>
        </w:rPr>
        <w:t>אחת</w:t>
      </w:r>
      <w:r w:rsidRPr="00014C4D">
        <w:rPr>
          <w:b/>
          <w:bCs/>
          <w:rtl/>
        </w:rPr>
        <w:t xml:space="preserve"> </w:t>
      </w:r>
      <w:r w:rsidRPr="00014C4D">
        <w:rPr>
          <w:rFonts w:hint="eastAsia"/>
          <w:b/>
          <w:bCs/>
          <w:rtl/>
        </w:rPr>
        <w:t>מהרשויות</w:t>
      </w:r>
      <w:r w:rsidRPr="00014C4D">
        <w:rPr>
          <w:b/>
          <w:bCs/>
          <w:rtl/>
        </w:rPr>
        <w:t xml:space="preserve"> </w:t>
      </w:r>
      <w:r w:rsidRPr="00014C4D">
        <w:rPr>
          <w:rFonts w:hint="eastAsia"/>
          <w:b/>
          <w:bCs/>
          <w:rtl/>
        </w:rPr>
        <w:t>ולפעול</w:t>
      </w:r>
      <w:r w:rsidRPr="00014C4D">
        <w:rPr>
          <w:b/>
          <w:bCs/>
          <w:rtl/>
        </w:rPr>
        <w:t xml:space="preserve"> </w:t>
      </w:r>
      <w:r w:rsidRPr="00014C4D">
        <w:rPr>
          <w:rFonts w:hint="eastAsia"/>
          <w:b/>
          <w:bCs/>
          <w:rtl/>
        </w:rPr>
        <w:t>למימושה</w:t>
      </w:r>
      <w:r w:rsidRPr="00014C4D">
        <w:rPr>
          <w:b/>
          <w:bCs/>
          <w:rtl/>
        </w:rPr>
        <w:t>.</w:t>
      </w:r>
    </w:p>
    <w:p w:rsidR="00E86B8F" w:rsidRDefault="00E86B8F" w:rsidP="00014C4D">
      <w:pPr>
        <w:spacing w:line="269" w:lineRule="auto"/>
        <w:rPr>
          <w:b/>
          <w:bCs/>
          <w:rtl/>
        </w:rPr>
      </w:pPr>
    </w:p>
    <w:p w:rsidR="00E86B8F" w:rsidRPr="00E86B8F" w:rsidRDefault="00E86B8F" w:rsidP="00E86B8F">
      <w:pPr>
        <w:spacing w:line="269" w:lineRule="auto"/>
        <w:rPr>
          <w:rtl/>
        </w:rPr>
      </w:pPr>
      <w:r w:rsidRPr="00E86B8F">
        <w:rPr>
          <w:rtl/>
        </w:rPr>
        <w:lastRenderedPageBreak/>
        <w:t xml:space="preserve">פקע"ר מסר בתשובתו מדצמבר 2025 כי ההמלצה אינה מקובלת עליו. </w:t>
      </w:r>
      <w:r w:rsidRPr="00E86B8F">
        <w:rPr>
          <w:rFonts w:hint="cs"/>
          <w:rtl/>
        </w:rPr>
        <w:t xml:space="preserve">לדבריו </w:t>
      </w:r>
      <w:r w:rsidRPr="00E86B8F">
        <w:rPr>
          <w:rtl/>
        </w:rPr>
        <w:t>החוק מטיל בצורה ברורה את אחריות הפיקוח על התחזוקה על הרשויות המקומיות</w:t>
      </w:r>
      <w:r w:rsidRPr="00E86B8F">
        <w:rPr>
          <w:rFonts w:hint="cs"/>
          <w:rtl/>
        </w:rPr>
        <w:t>,</w:t>
      </w:r>
      <w:r w:rsidRPr="00E86B8F">
        <w:rPr>
          <w:rtl/>
        </w:rPr>
        <w:t xml:space="preserve"> ואין מקום להמליץ לפיקוד העורף להחליף את הרשויות המקומיות ובעלי הנכסים בהקשר הזה, בניגוד לנקבע בחקיקה ובפסיקה. נוסף </w:t>
      </w:r>
      <w:r w:rsidRPr="00E86B8F">
        <w:rPr>
          <w:rFonts w:hint="cs"/>
          <w:rtl/>
        </w:rPr>
        <w:t>ע</w:t>
      </w:r>
      <w:r w:rsidRPr="00E86B8F">
        <w:rPr>
          <w:rtl/>
        </w:rPr>
        <w:t>ל</w:t>
      </w:r>
      <w:r w:rsidRPr="00E86B8F">
        <w:rPr>
          <w:rFonts w:hint="cs"/>
          <w:rtl/>
        </w:rPr>
        <w:t xml:space="preserve"> </w:t>
      </w:r>
      <w:r w:rsidRPr="00E86B8F">
        <w:rPr>
          <w:rtl/>
        </w:rPr>
        <w:t xml:space="preserve">כך, כפי שכבר נמסר, הסמכות של ראש הג״א להורות לרשות המקומית </w:t>
      </w:r>
      <w:r w:rsidRPr="00E86B8F">
        <w:rPr>
          <w:rFonts w:hint="cs"/>
          <w:rtl/>
        </w:rPr>
        <w:t xml:space="preserve">להשתמש </w:t>
      </w:r>
      <w:r w:rsidRPr="00E86B8F">
        <w:rPr>
          <w:rtl/>
        </w:rPr>
        <w:t>בסמכויותיה היא סמכות חריגה ומשמעותית</w:t>
      </w:r>
      <w:r w:rsidRPr="00E86B8F">
        <w:rPr>
          <w:rFonts w:hint="cs"/>
          <w:rtl/>
        </w:rPr>
        <w:t>,</w:t>
      </w:r>
      <w:r w:rsidRPr="00E86B8F">
        <w:rPr>
          <w:rtl/>
        </w:rPr>
        <w:t xml:space="preserve"> ואין לעשות בה שימוש בצורה רחבה ותדירה כפי שהומלץ.</w:t>
      </w:r>
    </w:p>
    <w:p w:rsidR="00E86B8F" w:rsidRPr="00E86B8F" w:rsidRDefault="00E86B8F" w:rsidP="00E86B8F">
      <w:pPr>
        <w:spacing w:line="269" w:lineRule="auto"/>
        <w:rPr>
          <w:b/>
          <w:bCs/>
          <w:rtl/>
        </w:rPr>
      </w:pPr>
    </w:p>
    <w:p w:rsidR="00E86B8F" w:rsidRPr="00E86B8F" w:rsidRDefault="00E86B8F" w:rsidP="00E86B8F">
      <w:pPr>
        <w:spacing w:line="269" w:lineRule="auto"/>
        <w:rPr>
          <w:b/>
          <w:bCs/>
          <w:rtl/>
        </w:rPr>
      </w:pPr>
      <w:r w:rsidRPr="00E86B8F">
        <w:rPr>
          <w:b/>
          <w:bCs/>
          <w:rtl/>
        </w:rPr>
        <w:t xml:space="preserve">אף אם החובות בדבר תחזוקה ופיקוח מוטלות על בעלי הנכס והרשויות המקומיות, על פקע"ר להפעיל מנגנוני בקרה ואכיפה בסיסיים שיבטיחו מילוי חובות אלה. זאת, בין היתר, על מנת לגלות את אותם מקרים חריגים המחייבים - גם לגישתו - את הפעלת הסמכויות שהוקנו לו על ידי המחוקק בתחום חשוב זה.  </w:t>
      </w:r>
    </w:p>
    <w:p w:rsidR="00E86B8F" w:rsidRPr="00014C4D" w:rsidRDefault="00E86B8F" w:rsidP="00014C4D">
      <w:pPr>
        <w:spacing w:line="269" w:lineRule="auto"/>
        <w:rPr>
          <w:rFonts w:hint="cs"/>
          <w:b/>
          <w:bCs/>
          <w:rtl/>
        </w:rPr>
      </w:pPr>
    </w:p>
    <w:p w:rsidR="00014C4D" w:rsidRPr="00014C4D" w:rsidRDefault="00014C4D" w:rsidP="00014C4D">
      <w:pPr>
        <w:spacing w:line="269" w:lineRule="auto"/>
        <w:rPr>
          <w:rtl/>
        </w:rPr>
      </w:pPr>
    </w:p>
    <w:p w:rsidR="00014C4D" w:rsidRPr="00014C4D" w:rsidRDefault="00014C4D" w:rsidP="00014C4D">
      <w:pPr>
        <w:bidi w:val="0"/>
        <w:spacing w:after="200" w:line="276" w:lineRule="auto"/>
        <w:rPr>
          <w:rFonts w:eastAsiaTheme="majorEastAsia"/>
          <w:bCs/>
          <w:szCs w:val="32"/>
          <w:rtl/>
        </w:rPr>
      </w:pPr>
      <w:r w:rsidRPr="00014C4D">
        <w:rPr>
          <w:rtl/>
        </w:rPr>
        <w:br w:type="page"/>
      </w:r>
    </w:p>
    <w:p w:rsidR="00014C4D" w:rsidRPr="00014C4D" w:rsidRDefault="00014C4D" w:rsidP="00014C4D">
      <w:pPr>
        <w:keepNext/>
        <w:keepLines/>
        <w:spacing w:line="269" w:lineRule="auto"/>
        <w:jc w:val="center"/>
        <w:outlineLvl w:val="1"/>
        <w:rPr>
          <w:rFonts w:eastAsiaTheme="majorEastAsia"/>
          <w:bCs/>
          <w:szCs w:val="32"/>
          <w:rtl/>
        </w:rPr>
      </w:pPr>
      <w:r w:rsidRPr="00014C4D">
        <w:rPr>
          <w:rFonts w:eastAsiaTheme="majorEastAsia" w:hint="cs"/>
          <w:bCs/>
          <w:szCs w:val="32"/>
          <w:rtl/>
        </w:rPr>
        <w:lastRenderedPageBreak/>
        <w:t>מקלטים 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sz w:val="24"/>
          <w:rtl/>
        </w:rPr>
      </w:pPr>
      <w:r w:rsidRPr="00014C4D">
        <w:rPr>
          <w:rFonts w:ascii="David" w:hint="cs"/>
          <w:sz w:val="24"/>
          <w:rtl/>
        </w:rPr>
        <w:t>בחוק</w:t>
      </w:r>
      <w:r w:rsidRPr="00014C4D">
        <w:rPr>
          <w:rFonts w:ascii="David"/>
          <w:sz w:val="24"/>
          <w:rtl/>
        </w:rPr>
        <w:t xml:space="preserve"> </w:t>
      </w:r>
      <w:r w:rsidRPr="00014C4D">
        <w:rPr>
          <w:rFonts w:ascii="David" w:hint="cs"/>
          <w:sz w:val="24"/>
          <w:rtl/>
        </w:rPr>
        <w:t>הג</w:t>
      </w:r>
      <w:r w:rsidRPr="00014C4D">
        <w:rPr>
          <w:rFonts w:ascii="David"/>
          <w:sz w:val="24"/>
          <w:rtl/>
        </w:rPr>
        <w:t>"</w:t>
      </w:r>
      <w:r w:rsidRPr="00014C4D">
        <w:rPr>
          <w:rFonts w:ascii="David" w:hint="cs"/>
          <w:sz w:val="24"/>
          <w:rtl/>
        </w:rPr>
        <w:t>א</w:t>
      </w:r>
      <w:r w:rsidRPr="00014C4D">
        <w:rPr>
          <w:rFonts w:ascii="David"/>
          <w:sz w:val="24"/>
          <w:rtl/>
        </w:rPr>
        <w:t xml:space="preserve"> </w:t>
      </w:r>
      <w:r w:rsidRPr="00014C4D">
        <w:rPr>
          <w:rFonts w:ascii="David" w:hint="cs"/>
          <w:sz w:val="24"/>
          <w:rtl/>
        </w:rPr>
        <w:t>נקבע</w:t>
      </w:r>
      <w:r w:rsidRPr="00014C4D">
        <w:rPr>
          <w:rFonts w:ascii="David"/>
          <w:sz w:val="24"/>
          <w:rtl/>
        </w:rPr>
        <w:t xml:space="preserve"> </w:t>
      </w:r>
      <w:r w:rsidRPr="00014C4D">
        <w:rPr>
          <w:rFonts w:ascii="David" w:hint="cs"/>
          <w:sz w:val="24"/>
          <w:rtl/>
        </w:rPr>
        <w:t>כי</w:t>
      </w:r>
      <w:r w:rsidRPr="00014C4D">
        <w:rPr>
          <w:rFonts w:ascii="David"/>
          <w:sz w:val="24"/>
          <w:rtl/>
        </w:rPr>
        <w:t xml:space="preserve"> </w:t>
      </w:r>
      <w:r w:rsidRPr="00014C4D">
        <w:rPr>
          <w:rFonts w:ascii="David" w:hint="cs"/>
          <w:sz w:val="24"/>
          <w:rtl/>
        </w:rPr>
        <w:t>האחריות</w:t>
      </w:r>
      <w:r w:rsidRPr="00014C4D">
        <w:rPr>
          <w:rFonts w:ascii="David"/>
          <w:sz w:val="24"/>
          <w:rtl/>
        </w:rPr>
        <w:t xml:space="preserve"> </w:t>
      </w:r>
      <w:r w:rsidRPr="00014C4D">
        <w:rPr>
          <w:rFonts w:ascii="David" w:hint="cs"/>
          <w:sz w:val="24"/>
          <w:rtl/>
        </w:rPr>
        <w:t>להתקנת</w:t>
      </w:r>
      <w:r w:rsidRPr="00014C4D">
        <w:rPr>
          <w:rFonts w:ascii="David"/>
          <w:sz w:val="24"/>
          <w:rtl/>
        </w:rPr>
        <w:t xml:space="preserve"> </w:t>
      </w:r>
      <w:r w:rsidRPr="00014C4D">
        <w:rPr>
          <w:rFonts w:ascii="David" w:hint="cs"/>
          <w:sz w:val="24"/>
          <w:rtl/>
        </w:rPr>
        <w:t>המקלטים</w:t>
      </w:r>
      <w:r w:rsidRPr="00014C4D">
        <w:rPr>
          <w:rFonts w:ascii="David"/>
          <w:sz w:val="24"/>
          <w:rtl/>
        </w:rPr>
        <w:t xml:space="preserve"> </w:t>
      </w:r>
      <w:r w:rsidRPr="00014C4D">
        <w:rPr>
          <w:rFonts w:ascii="David" w:hint="cs"/>
          <w:sz w:val="24"/>
          <w:rtl/>
        </w:rPr>
        <w:t>הציבוריים</w:t>
      </w:r>
      <w:r w:rsidRPr="00014C4D">
        <w:rPr>
          <w:rFonts w:ascii="David"/>
          <w:sz w:val="24"/>
          <w:rtl/>
        </w:rPr>
        <w:t xml:space="preserve"> </w:t>
      </w:r>
      <w:r w:rsidRPr="00014C4D">
        <w:rPr>
          <w:rFonts w:ascii="David" w:hint="cs"/>
          <w:sz w:val="24"/>
          <w:rtl/>
        </w:rPr>
        <w:t>ולתחזוקתם</w:t>
      </w:r>
      <w:r w:rsidRPr="00014C4D">
        <w:rPr>
          <w:rFonts w:ascii="David"/>
          <w:sz w:val="24"/>
          <w:rtl/>
        </w:rPr>
        <w:t xml:space="preserve"> </w:t>
      </w:r>
      <w:r w:rsidRPr="00014C4D">
        <w:rPr>
          <w:rFonts w:ascii="David" w:hint="cs"/>
          <w:sz w:val="24"/>
          <w:rtl/>
        </w:rPr>
        <w:t>באופן שיאפשר להשתמש בהם בשעת הצורך מוטלת</w:t>
      </w:r>
      <w:r w:rsidRPr="00014C4D">
        <w:rPr>
          <w:rFonts w:ascii="David"/>
          <w:sz w:val="24"/>
          <w:rtl/>
        </w:rPr>
        <w:t xml:space="preserve"> </w:t>
      </w:r>
      <w:r w:rsidRPr="00014C4D">
        <w:rPr>
          <w:rFonts w:ascii="David" w:hint="cs"/>
          <w:sz w:val="24"/>
          <w:rtl/>
        </w:rPr>
        <w:t>על</w:t>
      </w:r>
      <w:r w:rsidRPr="00014C4D">
        <w:rPr>
          <w:rFonts w:ascii="David"/>
          <w:sz w:val="24"/>
          <w:rtl/>
        </w:rPr>
        <w:t xml:space="preserve"> </w:t>
      </w:r>
      <w:r w:rsidRPr="00014C4D">
        <w:rPr>
          <w:rFonts w:ascii="David" w:hint="cs"/>
          <w:sz w:val="24"/>
          <w:rtl/>
        </w:rPr>
        <w:t>הרשויות</w:t>
      </w:r>
      <w:r w:rsidRPr="00014C4D">
        <w:rPr>
          <w:rFonts w:ascii="David"/>
          <w:sz w:val="24"/>
          <w:rtl/>
        </w:rPr>
        <w:t xml:space="preserve"> </w:t>
      </w:r>
      <w:r w:rsidRPr="00014C4D">
        <w:rPr>
          <w:rFonts w:ascii="David" w:hint="cs"/>
          <w:sz w:val="24"/>
          <w:rtl/>
        </w:rPr>
        <w:t>המקומיות</w:t>
      </w:r>
      <w:r w:rsidRPr="00014C4D">
        <w:rPr>
          <w:rFonts w:ascii="David"/>
          <w:sz w:val="24"/>
        </w:rPr>
        <w:t>.</w:t>
      </w:r>
      <w:r w:rsidRPr="00014C4D">
        <w:rPr>
          <w:rFonts w:hint="cs"/>
          <w:b/>
          <w:bCs/>
          <w:rtl/>
        </w:rPr>
        <w:t xml:space="preserve"> </w:t>
      </w:r>
      <w:r w:rsidRPr="00014C4D">
        <w:rPr>
          <w:rFonts w:ascii="David" w:hint="cs"/>
          <w:sz w:val="24"/>
          <w:rtl/>
        </w:rPr>
        <w:t>פקע"ר הוא האמון על קביעת הדרישות ההנדסיות שלפיהן יתוכננו וייבנו המקלטים, ועליו לוודא כי הרשויות המקומיות יממשו את אחריותן לתחזוקת המקלטים הציבוריים. על פי פקודת ההקמה של פקע"ר, אחד מתפקידיו הוא לשמש רשות מוסמכת כמשמעותה בחוק הג"א בנושא המקלוט. לפי חוק הג"א רשאית רשות מוסמכת להורות לכל רשות מקומית שבתחום פעולתה להתקין מקלטים ציבוריים במספר, במקום ובזמן שתקבע הרשות המוסמכת ולהחזיקם במצב המאפשר את השימוש בהם בכל עת שיהיה צורך בכך.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b/>
          <w:bCs/>
          <w:sz w:val="24"/>
          <w:rtl/>
        </w:rPr>
      </w:pPr>
      <w:r w:rsidRPr="00014C4D">
        <w:rPr>
          <w:rFonts w:ascii="David" w:eastAsia="Times New Roman" w:hAnsi="David" w:hint="cs"/>
          <w:sz w:val="24"/>
          <w:rtl/>
        </w:rPr>
        <w:t>בתיק האב לרשויות המקומיות</w:t>
      </w:r>
      <w:r w:rsidRPr="00014C4D">
        <w:rPr>
          <w:rFonts w:ascii="David" w:eastAsia="Times New Roman" w:hAnsi="David"/>
          <w:sz w:val="24"/>
          <w:vertAlign w:val="superscript"/>
          <w:rtl/>
        </w:rPr>
        <w:footnoteReference w:id="46"/>
      </w:r>
      <w:r w:rsidRPr="00014C4D">
        <w:rPr>
          <w:rFonts w:ascii="David" w:eastAsia="Times New Roman" w:hAnsi="David" w:hint="cs"/>
          <w:sz w:val="24"/>
          <w:rtl/>
        </w:rPr>
        <w:t xml:space="preserve"> ובתיק האב למועצות האזוריות</w:t>
      </w:r>
      <w:r w:rsidRPr="00014C4D">
        <w:rPr>
          <w:rFonts w:ascii="David" w:eastAsia="Times New Roman" w:hAnsi="David"/>
          <w:sz w:val="24"/>
          <w:vertAlign w:val="superscript"/>
          <w:rtl/>
        </w:rPr>
        <w:footnoteReference w:id="47"/>
      </w:r>
      <w:r w:rsidRPr="00014C4D">
        <w:rPr>
          <w:rFonts w:ascii="David" w:eastAsia="Times New Roman" w:hAnsi="David" w:hint="cs"/>
          <w:sz w:val="24"/>
          <w:rtl/>
        </w:rPr>
        <w:t xml:space="preserve"> נקבע כי על הרשות המקומית לבנות ולתחזק מקלטים ציבוריים, לפקח עליהם, לאתר ולמפות מקומות הראויים לשימוש כמקומות מחסה ציבוריים.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rtl/>
        </w:rPr>
      </w:pPr>
      <w:r w:rsidRPr="00014C4D">
        <w:rPr>
          <w:rFonts w:ascii="David" w:hAnsi="David"/>
          <w:rtl/>
        </w:rPr>
        <w:t xml:space="preserve">בסעיף 14ד לחוק הג"א נקבע כי "מקלט בבית, במפעל או במבנה אחר, וכן מקלט ציבורי ומחסה ציבורי, שההיתר לגביו ניתן לאחר י"ג בניסן התשס"ז (1 באפריל 2007)... לרבות הנתיב ודרך הגישה אליו... יהיו נגישים לאנשים עם מוגבלות, בהתאם להוראות שיקבע שר הביטחון לפי סעיף זה וברוח עקרונות היסוד ומטרותיו של חוק שוויון זכויות לאנשים עם מוגבלות". עוד נקבע בחוק כי </w:t>
      </w:r>
      <w:r w:rsidRPr="00014C4D">
        <w:rPr>
          <w:rtl/>
        </w:rPr>
        <w:t xml:space="preserve">שר הביטחון יקבע את התאמות הנגישות הנדרשות כדי לאפשר לאדם עם מוגבלות נגישות למקלט ובמקלט, באופן סביר, בהתחשב בתקן הישראלי </w:t>
      </w:r>
      <w:r w:rsidRPr="00014C4D">
        <w:rPr>
          <w:rFonts w:hint="cs"/>
          <w:rtl/>
        </w:rPr>
        <w:t xml:space="preserve">בתחום הנגישות </w:t>
      </w:r>
      <w:r w:rsidRPr="00014C4D">
        <w:rPr>
          <w:rtl/>
        </w:rPr>
        <w:t>ובהוראות חוק שוויון זכויות לאנשים עם מוגבלות</w:t>
      </w:r>
      <w:r w:rsidRPr="00014C4D">
        <w:rPr>
          <w:rFonts w:ascii="David" w:hAnsi="David"/>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rtl/>
        </w:rPr>
      </w:pPr>
      <w:r w:rsidRPr="00014C4D">
        <w:rPr>
          <w:rFonts w:ascii="David" w:hAnsi="David" w:hint="cs"/>
          <w:rtl/>
        </w:rPr>
        <w:t xml:space="preserve">מתשובת פקע"ר למשרד מבקר המדינה עולה כי על פי הנתונים הקיימים בידי פקע"ר, סך כל המקלטים הציבוריים במדינת ישראל הינו 11,776. </w:t>
      </w:r>
      <w:r w:rsidRPr="00014C4D">
        <w:rPr>
          <w:rFonts w:ascii="David" w:hAnsi="David"/>
          <w:rtl/>
        </w:rPr>
        <w:t>בין השנים</w:t>
      </w:r>
      <w:r w:rsidRPr="00014C4D">
        <w:rPr>
          <w:rFonts w:ascii="David" w:hAnsi="David" w:hint="cs"/>
          <w:rtl/>
        </w:rPr>
        <w:t xml:space="preserve"> 2021 - 2023 בוצעו ביקורות ב-</w:t>
      </w:r>
      <w:r w:rsidRPr="00014C4D">
        <w:rPr>
          <w:rFonts w:ascii="David" w:hAnsi="David"/>
          <w:rtl/>
        </w:rPr>
        <w:t xml:space="preserve">8,766 </w:t>
      </w:r>
      <w:r w:rsidRPr="00014C4D">
        <w:rPr>
          <w:rFonts w:ascii="David" w:hAnsi="David" w:hint="cs"/>
          <w:rtl/>
        </w:rPr>
        <w:t>מקלטים, ו</w:t>
      </w:r>
      <w:r w:rsidRPr="00014C4D">
        <w:rPr>
          <w:rFonts w:ascii="David" w:hAnsi="David"/>
          <w:rtl/>
        </w:rPr>
        <w:t>מאז 7.10.23 ועד 23.1.25</w:t>
      </w:r>
      <w:r w:rsidRPr="00014C4D">
        <w:rPr>
          <w:rFonts w:ascii="David" w:hAnsi="David" w:hint="cs"/>
          <w:rtl/>
        </w:rPr>
        <w:t xml:space="preserve"> בוצעו ביקורות ב-</w:t>
      </w:r>
      <w:r w:rsidRPr="00014C4D">
        <w:rPr>
          <w:rFonts w:ascii="David" w:hAnsi="David"/>
          <w:rtl/>
        </w:rPr>
        <w:t xml:space="preserve">3,644 </w:t>
      </w:r>
      <w:r w:rsidRPr="00014C4D">
        <w:rPr>
          <w:rFonts w:ascii="David" w:hAnsi="David" w:hint="cs"/>
          <w:rtl/>
        </w:rPr>
        <w:t>מקלטים.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jc w:val="center"/>
        <w:rPr>
          <w:b/>
          <w:bCs/>
          <w:rtl/>
        </w:rPr>
      </w:pPr>
      <w:r w:rsidRPr="00014C4D">
        <w:rPr>
          <w:rFonts w:hint="cs"/>
          <w:rtl/>
        </w:rPr>
        <w:t xml:space="preserve">לוח 3: </w:t>
      </w:r>
      <w:r w:rsidRPr="00014C4D">
        <w:rPr>
          <w:rFonts w:hint="cs"/>
          <w:b/>
          <w:bCs/>
          <w:rtl/>
        </w:rPr>
        <w:t>רמת הכשירות של המקלטים הציבוריים בישראל</w:t>
      </w:r>
    </w:p>
    <w:tbl>
      <w:tblPr>
        <w:tblStyle w:val="af5"/>
        <w:bidiVisual/>
        <w:tblW w:w="0" w:type="auto"/>
        <w:jc w:val="center"/>
        <w:tblLook w:val="04A0" w:firstRow="1" w:lastRow="0" w:firstColumn="1" w:lastColumn="0" w:noHBand="0" w:noVBand="1"/>
      </w:tblPr>
      <w:tblGrid>
        <w:gridCol w:w="2737"/>
        <w:gridCol w:w="2737"/>
      </w:tblGrid>
      <w:tr w:rsidR="00014C4D" w:rsidRPr="00014C4D" w:rsidTr="00014C4D">
        <w:trPr>
          <w:jc w:val="center"/>
        </w:trPr>
        <w:tc>
          <w:tcPr>
            <w:tcW w:w="2737" w:type="dxa"/>
            <w:shd w:val="clear" w:color="auto" w:fill="D9D9D9" w:themeFill="background1" w:themeFillShade="D9"/>
          </w:tcPr>
          <w:p w:rsidR="00014C4D" w:rsidRPr="00014C4D" w:rsidRDefault="00014C4D" w:rsidP="00014C4D">
            <w:pPr>
              <w:spacing w:line="269" w:lineRule="auto"/>
              <w:rPr>
                <w:rFonts w:ascii="David" w:hAnsi="David"/>
                <w:b/>
                <w:bCs/>
                <w:rtl/>
              </w:rPr>
            </w:pPr>
            <w:r w:rsidRPr="00014C4D">
              <w:rPr>
                <w:rFonts w:ascii="David" w:hAnsi="David" w:hint="cs"/>
                <w:b/>
                <w:bCs/>
                <w:rtl/>
              </w:rPr>
              <w:t>רמת הכשירות</w:t>
            </w:r>
          </w:p>
        </w:tc>
        <w:tc>
          <w:tcPr>
            <w:tcW w:w="2737" w:type="dxa"/>
            <w:shd w:val="clear" w:color="auto" w:fill="D9D9D9" w:themeFill="background1" w:themeFillShade="D9"/>
          </w:tcPr>
          <w:p w:rsidR="00014C4D" w:rsidRPr="00014C4D" w:rsidRDefault="00014C4D" w:rsidP="00014C4D">
            <w:pPr>
              <w:spacing w:line="269" w:lineRule="auto"/>
              <w:rPr>
                <w:rFonts w:ascii="David" w:hAnsi="David"/>
                <w:b/>
                <w:bCs/>
                <w:rtl/>
              </w:rPr>
            </w:pPr>
            <w:r w:rsidRPr="00014C4D">
              <w:rPr>
                <w:rFonts w:ascii="David" w:hAnsi="David" w:hint="cs"/>
                <w:b/>
                <w:bCs/>
                <w:rtl/>
              </w:rPr>
              <w:t>מספר המקלטים הציבוריים</w:t>
            </w:r>
          </w:p>
        </w:tc>
      </w:tr>
      <w:tr w:rsidR="00014C4D" w:rsidRPr="00014C4D" w:rsidTr="00014C4D">
        <w:trPr>
          <w:jc w:val="center"/>
        </w:trPr>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בכשירות טובה מאוד</w:t>
            </w:r>
          </w:p>
        </w:tc>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5,541</w:t>
            </w:r>
          </w:p>
        </w:tc>
      </w:tr>
      <w:tr w:rsidR="00014C4D" w:rsidRPr="00014C4D" w:rsidTr="00014C4D">
        <w:trPr>
          <w:jc w:val="center"/>
        </w:trPr>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בכשירות טובה</w:t>
            </w:r>
          </w:p>
        </w:tc>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3,611</w:t>
            </w:r>
          </w:p>
        </w:tc>
      </w:tr>
      <w:tr w:rsidR="00014C4D" w:rsidRPr="00014C4D" w:rsidTr="00014C4D">
        <w:trPr>
          <w:jc w:val="center"/>
        </w:trPr>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בכשירות נמוכה</w:t>
            </w:r>
          </w:p>
        </w:tc>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1,235</w:t>
            </w:r>
          </w:p>
        </w:tc>
      </w:tr>
      <w:tr w:rsidR="00014C4D" w:rsidRPr="00014C4D" w:rsidTr="00014C4D">
        <w:trPr>
          <w:jc w:val="center"/>
        </w:trPr>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לא כשירים</w:t>
            </w:r>
          </w:p>
        </w:tc>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1,378</w:t>
            </w:r>
          </w:p>
        </w:tc>
      </w:tr>
      <w:tr w:rsidR="00014C4D" w:rsidRPr="00014C4D" w:rsidTr="00014C4D">
        <w:trPr>
          <w:jc w:val="center"/>
        </w:trPr>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סך הכול</w:t>
            </w:r>
          </w:p>
        </w:tc>
        <w:tc>
          <w:tcPr>
            <w:tcW w:w="2737" w:type="dxa"/>
          </w:tcPr>
          <w:p w:rsidR="00014C4D" w:rsidRPr="00014C4D" w:rsidRDefault="00014C4D" w:rsidP="00014C4D">
            <w:pPr>
              <w:spacing w:line="269" w:lineRule="auto"/>
              <w:jc w:val="left"/>
              <w:rPr>
                <w:rFonts w:ascii="David" w:hAnsi="David"/>
                <w:sz w:val="18"/>
                <w:szCs w:val="22"/>
                <w:rtl/>
              </w:rPr>
            </w:pPr>
            <w:r w:rsidRPr="00014C4D">
              <w:rPr>
                <w:rFonts w:ascii="David" w:hAnsi="David" w:hint="cs"/>
                <w:sz w:val="18"/>
                <w:szCs w:val="22"/>
                <w:rtl/>
              </w:rPr>
              <w:t>11,775</w:t>
            </w:r>
          </w:p>
        </w:tc>
      </w:tr>
    </w:tbl>
    <w:p w:rsidR="00014C4D" w:rsidRPr="00014C4D" w:rsidRDefault="00014C4D" w:rsidP="00014C4D">
      <w:pPr>
        <w:spacing w:line="269" w:lineRule="auto"/>
        <w:rPr>
          <w:szCs w:val="20"/>
          <w:rtl/>
        </w:rPr>
      </w:pPr>
      <w:r w:rsidRPr="00014C4D">
        <w:rPr>
          <w:rFonts w:hint="eastAsia"/>
          <w:szCs w:val="20"/>
          <w:rtl/>
        </w:rPr>
        <w:t>על</w:t>
      </w:r>
      <w:r w:rsidRPr="00014C4D">
        <w:rPr>
          <w:szCs w:val="20"/>
          <w:rtl/>
        </w:rPr>
        <w:t xml:space="preserve"> </w:t>
      </w:r>
      <w:r w:rsidRPr="00014C4D">
        <w:rPr>
          <w:rFonts w:hint="eastAsia"/>
          <w:szCs w:val="20"/>
          <w:rtl/>
        </w:rPr>
        <w:t>פי</w:t>
      </w:r>
      <w:r w:rsidRPr="00014C4D">
        <w:rPr>
          <w:szCs w:val="20"/>
          <w:rtl/>
        </w:rPr>
        <w:t xml:space="preserve"> </w:t>
      </w:r>
      <w:r w:rsidRPr="00014C4D">
        <w:rPr>
          <w:rFonts w:hint="eastAsia"/>
          <w:szCs w:val="20"/>
          <w:rtl/>
        </w:rPr>
        <w:t>נתוני</w:t>
      </w:r>
      <w:r w:rsidRPr="00014C4D">
        <w:rPr>
          <w:szCs w:val="20"/>
          <w:rtl/>
        </w:rPr>
        <w:t xml:space="preserve"> </w:t>
      </w:r>
      <w:r w:rsidRPr="00014C4D">
        <w:rPr>
          <w:rFonts w:hint="eastAsia"/>
          <w:szCs w:val="20"/>
          <w:rtl/>
        </w:rPr>
        <w:t>פקע</w:t>
      </w:r>
      <w:r w:rsidRPr="00014C4D">
        <w:rPr>
          <w:szCs w:val="20"/>
          <w:rtl/>
        </w:rPr>
        <w:t>"ר</w:t>
      </w:r>
      <w:r w:rsidRPr="00014C4D">
        <w:rPr>
          <w:rFonts w:hint="cs"/>
          <w:szCs w:val="20"/>
          <w:rtl/>
        </w:rPr>
        <w:t>, בעיבוד משרד מבקר המדינה.</w:t>
      </w:r>
    </w:p>
    <w:p w:rsidR="00014C4D" w:rsidRPr="00014C4D" w:rsidRDefault="00014C4D" w:rsidP="00014C4D">
      <w:pPr>
        <w:spacing w:line="269" w:lineRule="auto"/>
        <w:rPr>
          <w:szCs w:val="20"/>
          <w:rtl/>
        </w:rPr>
      </w:pPr>
      <w:r w:rsidRPr="00014C4D">
        <w:rPr>
          <w:rFonts w:hint="cs"/>
          <w:szCs w:val="20"/>
          <w:rtl/>
        </w:rPr>
        <w:t xml:space="preserve">מקלט לא כשיר: </w:t>
      </w:r>
      <w:r w:rsidRPr="00014C4D">
        <w:rPr>
          <w:szCs w:val="20"/>
          <w:rtl/>
        </w:rPr>
        <w:t>מקלט אשר אינו מאפשר שהייה כלל, למשל מקלט</w:t>
      </w:r>
      <w:r w:rsidRPr="00014C4D">
        <w:rPr>
          <w:rFonts w:hint="cs"/>
          <w:szCs w:val="20"/>
          <w:rtl/>
        </w:rPr>
        <w:t xml:space="preserve"> </w:t>
      </w:r>
      <w:r w:rsidRPr="00014C4D">
        <w:rPr>
          <w:szCs w:val="20"/>
          <w:rtl/>
        </w:rPr>
        <w:t>מוצף</w:t>
      </w:r>
      <w:r w:rsidRPr="00014C4D">
        <w:rPr>
          <w:rFonts w:hint="cs"/>
          <w:szCs w:val="20"/>
          <w:rtl/>
        </w:rPr>
        <w:t xml:space="preserve"> או</w:t>
      </w:r>
      <w:r w:rsidRPr="00014C4D">
        <w:rPr>
          <w:szCs w:val="20"/>
          <w:rtl/>
        </w:rPr>
        <w:t xml:space="preserve"> שרוף </w:t>
      </w:r>
      <w:r w:rsidRPr="00014C4D">
        <w:rPr>
          <w:rFonts w:hint="cs"/>
          <w:szCs w:val="20"/>
          <w:rtl/>
        </w:rPr>
        <w:t xml:space="preserve">או </w:t>
      </w:r>
      <w:r w:rsidRPr="00014C4D">
        <w:rPr>
          <w:szCs w:val="20"/>
          <w:rtl/>
        </w:rPr>
        <w:t xml:space="preserve">הרוס </w:t>
      </w:r>
      <w:r w:rsidRPr="00014C4D">
        <w:rPr>
          <w:rFonts w:hint="cs"/>
          <w:szCs w:val="20"/>
          <w:rtl/>
        </w:rPr>
        <w:t>קונסטרוקטיבי</w:t>
      </w:r>
      <w:r w:rsidRPr="00014C4D">
        <w:rPr>
          <w:rFonts w:hint="eastAsia"/>
          <w:szCs w:val="20"/>
          <w:rtl/>
        </w:rPr>
        <w:t>ת</w:t>
      </w:r>
      <w:r w:rsidRPr="00014C4D">
        <w:rPr>
          <w:rFonts w:hint="cs"/>
          <w:szCs w:val="20"/>
          <w:rtl/>
        </w:rPr>
        <w:t>;</w:t>
      </w:r>
      <w:r w:rsidRPr="00014C4D">
        <w:rPr>
          <w:rFonts w:hint="cs"/>
          <w:szCs w:val="20"/>
        </w:rPr>
        <w:t xml:space="preserve"> </w:t>
      </w:r>
      <w:r w:rsidRPr="00014C4D">
        <w:rPr>
          <w:rFonts w:hint="cs"/>
          <w:szCs w:val="20"/>
          <w:rtl/>
        </w:rPr>
        <w:t xml:space="preserve">מקלט בכשירות נמוכה: </w:t>
      </w:r>
      <w:r w:rsidRPr="00014C4D">
        <w:rPr>
          <w:szCs w:val="20"/>
          <w:rtl/>
        </w:rPr>
        <w:t>מקלט הדורש שיפוץ לצורך הפיכתו לראוי לשהייה</w:t>
      </w:r>
      <w:r w:rsidRPr="00014C4D">
        <w:rPr>
          <w:rFonts w:hint="cs"/>
          <w:szCs w:val="20"/>
          <w:rtl/>
        </w:rPr>
        <w:t xml:space="preserve">; מקלט בכשירות טובה: </w:t>
      </w:r>
      <w:r w:rsidRPr="00014C4D">
        <w:rPr>
          <w:szCs w:val="20"/>
          <w:rtl/>
        </w:rPr>
        <w:t>מקלט הנותן מענה לשהייה ומתקיימים בו תנאים בסיסיים</w:t>
      </w:r>
      <w:r w:rsidRPr="00014C4D">
        <w:rPr>
          <w:rFonts w:hint="cs"/>
          <w:szCs w:val="20"/>
          <w:rtl/>
        </w:rPr>
        <w:t xml:space="preserve"> לשהות; מקלט בכשירות טובה מאוד:</w:t>
      </w:r>
      <w:r w:rsidRPr="00014C4D">
        <w:rPr>
          <w:rtl/>
        </w:rPr>
        <w:t xml:space="preserve"> </w:t>
      </w:r>
      <w:r w:rsidRPr="00014C4D">
        <w:rPr>
          <w:szCs w:val="20"/>
          <w:rtl/>
        </w:rPr>
        <w:t>מקלט אשר מתוחזק בצורה טובה מאוד</w:t>
      </w:r>
      <w:r w:rsidRPr="00014C4D">
        <w:rPr>
          <w:rFonts w:hint="cs"/>
          <w:szCs w:val="20"/>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lastRenderedPageBreak/>
        <w:t>נמצא כי בכ-11.7% מהמקלטים הציבוריים בישראל לא ניתן לשהות. יצוין שעל פי נתוני פקע"ר, רק 37 מתוך 11,775 (0.3%) המקלטים הציבוריים בישראל נמצאים בשטחן של רשויות מקומיות של החברה הערבית, ושמונה מקלטים מתוכם אינם כשירים.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לנוכח מצב הכשירות הנמוך </w:t>
      </w:r>
      <w:r w:rsidRPr="00014C4D">
        <w:rPr>
          <w:rFonts w:hint="cs"/>
          <w:b/>
          <w:bCs/>
          <w:rtl/>
        </w:rPr>
        <w:t xml:space="preserve">של </w:t>
      </w:r>
      <w:r w:rsidRPr="00014C4D">
        <w:rPr>
          <w:b/>
          <w:bCs/>
          <w:rtl/>
        </w:rPr>
        <w:t xml:space="preserve">המקלטים הציבוריים בישראל </w:t>
      </w:r>
      <w:r w:rsidRPr="00014C4D">
        <w:rPr>
          <w:rFonts w:hint="cs"/>
          <w:b/>
          <w:bCs/>
          <w:rtl/>
        </w:rPr>
        <w:t>(</w:t>
      </w:r>
      <w:r w:rsidRPr="00014C4D">
        <w:rPr>
          <w:b/>
          <w:bCs/>
          <w:rtl/>
        </w:rPr>
        <w:t>כחמישית מהם מוגדרים כבעלי כשירות נמוכה או כלא</w:t>
      </w:r>
      <w:r w:rsidRPr="00014C4D">
        <w:rPr>
          <w:rFonts w:hint="cs"/>
          <w:b/>
          <w:bCs/>
          <w:rtl/>
        </w:rPr>
        <w:t xml:space="preserve"> </w:t>
      </w:r>
      <w:r w:rsidRPr="00014C4D">
        <w:rPr>
          <w:b/>
          <w:bCs/>
          <w:rtl/>
        </w:rPr>
        <w:t>כשירים</w:t>
      </w:r>
      <w:r w:rsidRPr="00014C4D">
        <w:rPr>
          <w:rFonts w:hint="cs"/>
          <w:b/>
          <w:bCs/>
          <w:rtl/>
        </w:rPr>
        <w:t xml:space="preserve">) </w:t>
      </w:r>
      <w:r w:rsidRPr="00014C4D">
        <w:rPr>
          <w:b/>
          <w:bCs/>
          <w:rtl/>
        </w:rPr>
        <w:t xml:space="preserve">והצורך להבטיח את </w:t>
      </w:r>
      <w:r w:rsidRPr="00014C4D">
        <w:rPr>
          <w:rFonts w:hint="eastAsia"/>
          <w:b/>
          <w:bCs/>
          <w:rtl/>
        </w:rPr>
        <w:t>כשירותם</w:t>
      </w:r>
      <w:r w:rsidRPr="00014C4D">
        <w:rPr>
          <w:b/>
          <w:bCs/>
          <w:rtl/>
        </w:rPr>
        <w:t xml:space="preserve"> ונגישותם בשעת חירום, </w:t>
      </w:r>
      <w:r w:rsidRPr="00014C4D">
        <w:rPr>
          <w:rFonts w:hint="cs"/>
          <w:b/>
          <w:bCs/>
          <w:rtl/>
        </w:rPr>
        <w:t>על</w:t>
      </w:r>
      <w:r w:rsidRPr="00014C4D">
        <w:rPr>
          <w:b/>
          <w:bCs/>
          <w:rtl/>
        </w:rPr>
        <w:t xml:space="preserve"> פקע"ר </w:t>
      </w:r>
      <w:r w:rsidRPr="00014C4D">
        <w:rPr>
          <w:rFonts w:hint="cs"/>
          <w:b/>
          <w:bCs/>
          <w:rtl/>
        </w:rPr>
        <w:t>ל</w:t>
      </w:r>
      <w:r w:rsidRPr="00014C4D">
        <w:rPr>
          <w:b/>
          <w:bCs/>
          <w:rtl/>
        </w:rPr>
        <w:t>פע</w:t>
      </w:r>
      <w:r w:rsidRPr="00014C4D">
        <w:rPr>
          <w:rFonts w:hint="cs"/>
          <w:b/>
          <w:bCs/>
          <w:rtl/>
        </w:rPr>
        <w:t>ו</w:t>
      </w:r>
      <w:r w:rsidRPr="00014C4D">
        <w:rPr>
          <w:b/>
          <w:bCs/>
          <w:rtl/>
        </w:rPr>
        <w:t>ל ל</w:t>
      </w:r>
      <w:r w:rsidRPr="00014C4D">
        <w:rPr>
          <w:rFonts w:hint="cs"/>
          <w:b/>
          <w:bCs/>
          <w:rtl/>
        </w:rPr>
        <w:t xml:space="preserve">הרחיב את </w:t>
      </w:r>
      <w:r w:rsidRPr="00014C4D">
        <w:rPr>
          <w:b/>
          <w:bCs/>
          <w:rtl/>
        </w:rPr>
        <w:t xml:space="preserve">הפיקוח והבקרה על הרשויות המקומיות בהיבט של תחזוקת המקלטים הציבוריים, תוך קביעת מנגנוני אכיפה ברורים להבטחת </w:t>
      </w:r>
      <w:r w:rsidRPr="00014C4D">
        <w:rPr>
          <w:rFonts w:hint="eastAsia"/>
          <w:b/>
          <w:bCs/>
          <w:rtl/>
        </w:rPr>
        <w:t>כשירות</w:t>
      </w:r>
      <w:r w:rsidRPr="00014C4D">
        <w:rPr>
          <w:b/>
          <w:bCs/>
          <w:rtl/>
        </w:rPr>
        <w:t xml:space="preserve"> </w:t>
      </w:r>
      <w:r w:rsidRPr="00014C4D">
        <w:rPr>
          <w:rFonts w:hint="eastAsia"/>
          <w:b/>
          <w:bCs/>
          <w:rtl/>
        </w:rPr>
        <w:t>ה</w:t>
      </w:r>
      <w:r w:rsidRPr="00014C4D">
        <w:rPr>
          <w:b/>
          <w:bCs/>
          <w:rtl/>
        </w:rPr>
        <w:t>מקלטים</w:t>
      </w:r>
      <w:r w:rsidRPr="00014C4D">
        <w:rPr>
          <w:b/>
          <w:bCs/>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פקע"ר מסר בתשובתו כי הוא</w:t>
      </w:r>
      <w:r w:rsidRPr="00014C4D">
        <w:rPr>
          <w:rtl/>
        </w:rPr>
        <w:t xml:space="preserve"> מסייע לרשויות המקומיות באמצעות ביצוע ביקורות תלת</w:t>
      </w:r>
      <w:r w:rsidRPr="00014C4D">
        <w:rPr>
          <w:rFonts w:hint="cs"/>
          <w:rtl/>
        </w:rPr>
        <w:t>-</w:t>
      </w:r>
      <w:r w:rsidRPr="00014C4D">
        <w:rPr>
          <w:rtl/>
        </w:rPr>
        <w:t>שנתיות במקלטים הציבוריים ושיקוף מצב כשירותם</w:t>
      </w:r>
      <w:r w:rsidRPr="00014C4D">
        <w:rPr>
          <w:rFonts w:hint="cs"/>
          <w:rtl/>
        </w:rPr>
        <w:t xml:space="preserve">, </w:t>
      </w:r>
      <w:r w:rsidRPr="00014C4D">
        <w:rPr>
          <w:rtl/>
        </w:rPr>
        <w:t xml:space="preserve">אולם </w:t>
      </w:r>
      <w:r w:rsidRPr="00014C4D">
        <w:rPr>
          <w:rFonts w:hint="cs"/>
          <w:rtl/>
        </w:rPr>
        <w:t>הוא אינו</w:t>
      </w:r>
      <w:r w:rsidRPr="00014C4D">
        <w:rPr>
          <w:rtl/>
        </w:rPr>
        <w:t xml:space="preserve"> יכול לאכוף על רשות מקומית לממש את אחריותה </w:t>
      </w:r>
      <w:r w:rsidRPr="00014C4D">
        <w:rPr>
          <w:rFonts w:hint="cs"/>
          <w:rtl/>
        </w:rPr>
        <w:t xml:space="preserve">שנקבה </w:t>
      </w:r>
      <w:r w:rsidRPr="00014C4D">
        <w:rPr>
          <w:rtl/>
        </w:rPr>
        <w:t>בחוק.</w:t>
      </w:r>
    </w:p>
    <w:p w:rsidR="00014C4D" w:rsidRPr="00014C4D" w:rsidRDefault="00014C4D" w:rsidP="00014C4D">
      <w:pPr>
        <w:spacing w:line="269" w:lineRule="auto"/>
        <w:rPr>
          <w:b/>
          <w:bCs/>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נתונים על המקלטים הציבוריים ברשות המקומית שנבדקו</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cs"/>
          <w:rtl/>
        </w:rPr>
        <w:t xml:space="preserve">לוח 4: </w:t>
      </w:r>
      <w:r w:rsidRPr="00014C4D">
        <w:rPr>
          <w:rFonts w:hint="cs"/>
          <w:b/>
          <w:bCs/>
          <w:rtl/>
        </w:rPr>
        <w:t>מספר המקלטים הציבוריים ברשויות המקומיות שנבדקו</w:t>
      </w:r>
    </w:p>
    <w:tbl>
      <w:tblPr>
        <w:bidiVisual/>
        <w:tblW w:w="8894"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990"/>
        <w:gridCol w:w="814"/>
        <w:gridCol w:w="995"/>
        <w:gridCol w:w="828"/>
        <w:gridCol w:w="732"/>
        <w:gridCol w:w="1134"/>
        <w:gridCol w:w="1559"/>
        <w:gridCol w:w="1842"/>
      </w:tblGrid>
      <w:tr w:rsidR="00014C4D" w:rsidRPr="00014C4D" w:rsidTr="00014C4D">
        <w:trPr>
          <w:trHeight w:val="315"/>
          <w:jc w:val="center"/>
        </w:trPr>
        <w:tc>
          <w:tcPr>
            <w:tcW w:w="990" w:type="dxa"/>
            <w:vMerge w:val="restart"/>
            <w:tcBorders>
              <w:top w:val="single" w:sz="12" w:space="0" w:color="auto"/>
              <w:bottom w:val="single" w:sz="12" w:space="0" w:color="auto"/>
              <w:right w:val="single" w:sz="6"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Pr>
            </w:pPr>
            <w:r w:rsidRPr="00014C4D">
              <w:rPr>
                <w:rFonts w:ascii="David" w:eastAsia="Times New Roman" w:hAnsi="David" w:hint="cs"/>
                <w:b/>
                <w:bCs/>
                <w:sz w:val="22"/>
                <w:szCs w:val="22"/>
                <w:rtl/>
              </w:rPr>
              <w:t xml:space="preserve">הרשות המקומית </w:t>
            </w:r>
          </w:p>
        </w:tc>
        <w:tc>
          <w:tcPr>
            <w:tcW w:w="3369" w:type="dxa"/>
            <w:gridSpan w:val="4"/>
            <w:tcBorders>
              <w:top w:val="single" w:sz="12"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מקלטים ציבוריים</w:t>
            </w:r>
          </w:p>
        </w:tc>
        <w:tc>
          <w:tcPr>
            <w:tcW w:w="1134" w:type="dxa"/>
            <w:vMerge w:val="restart"/>
            <w:tcBorders>
              <w:top w:val="single" w:sz="12" w:space="0" w:color="auto"/>
              <w:left w:val="single" w:sz="6" w:space="0" w:color="auto"/>
              <w:bottom w:val="single" w:sz="12" w:space="0" w:color="auto"/>
              <w:right w:val="single" w:sz="6"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 xml:space="preserve">מזה: </w:t>
            </w:r>
            <w:r w:rsidRPr="00014C4D">
              <w:rPr>
                <w:rFonts w:ascii="David" w:eastAsia="Times New Roman" w:hAnsi="David"/>
                <w:b/>
                <w:bCs/>
                <w:sz w:val="22"/>
                <w:szCs w:val="22"/>
                <w:rtl/>
              </w:rPr>
              <w:br/>
            </w:r>
            <w:r w:rsidRPr="00014C4D">
              <w:rPr>
                <w:rFonts w:ascii="David" w:eastAsia="Times New Roman" w:hAnsi="David" w:hint="cs"/>
                <w:b/>
                <w:bCs/>
                <w:sz w:val="22"/>
                <w:szCs w:val="22"/>
                <w:rtl/>
              </w:rPr>
              <w:t>דו-תכליתי</w:t>
            </w:r>
          </w:p>
        </w:tc>
        <w:tc>
          <w:tcPr>
            <w:tcW w:w="1559" w:type="dxa"/>
            <w:vMerge w:val="restart"/>
            <w:tcBorders>
              <w:top w:val="single" w:sz="12" w:space="0" w:color="auto"/>
              <w:left w:val="single" w:sz="6" w:space="0" w:color="auto"/>
              <w:bottom w:val="single" w:sz="12" w:space="0" w:color="auto"/>
            </w:tcBorders>
            <w:shd w:val="clear" w:color="auto" w:fill="D9D9D9" w:themeFill="background1" w:themeFillShade="D9"/>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 xml:space="preserve">שיעור המקלטים </w:t>
            </w:r>
          </w:p>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הדו-תכליתיים מכלל המקלטים הציבוריים</w:t>
            </w:r>
          </w:p>
        </w:tc>
        <w:tc>
          <w:tcPr>
            <w:tcW w:w="1842" w:type="dxa"/>
            <w:vMerge w:val="restart"/>
            <w:tcBorders>
              <w:top w:val="single" w:sz="12" w:space="0" w:color="auto"/>
              <w:left w:val="single" w:sz="6" w:space="0" w:color="auto"/>
            </w:tcBorders>
            <w:shd w:val="clear" w:color="auto" w:fill="D9D9D9" w:themeFill="background1" w:themeFillShade="D9"/>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מספר המקלטים הציבוריים המונגשים לאנשים עם מוגבלות המתניידים בכיסא גלגלים</w:t>
            </w:r>
          </w:p>
        </w:tc>
      </w:tr>
      <w:tr w:rsidR="00014C4D" w:rsidRPr="00014C4D" w:rsidTr="00014C4D">
        <w:trPr>
          <w:trHeight w:val="315"/>
          <w:jc w:val="center"/>
        </w:trPr>
        <w:tc>
          <w:tcPr>
            <w:tcW w:w="990" w:type="dxa"/>
            <w:vMerge/>
            <w:tcBorders>
              <w:top w:val="single" w:sz="12" w:space="0" w:color="auto"/>
              <w:bottom w:val="single" w:sz="12" w:space="0" w:color="auto"/>
            </w:tcBorders>
            <w:vAlign w:val="center"/>
            <w:hideMark/>
          </w:tcPr>
          <w:p w:rsidR="00014C4D" w:rsidRPr="00014C4D" w:rsidRDefault="00014C4D" w:rsidP="00014C4D">
            <w:pPr>
              <w:keepNext/>
              <w:keepLines/>
              <w:spacing w:line="269" w:lineRule="auto"/>
              <w:jc w:val="left"/>
              <w:rPr>
                <w:rFonts w:ascii="David" w:eastAsia="Times New Roman" w:hAnsi="David"/>
                <w:b/>
                <w:bCs/>
                <w:sz w:val="22"/>
                <w:szCs w:val="22"/>
              </w:rPr>
            </w:pPr>
          </w:p>
        </w:tc>
        <w:tc>
          <w:tcPr>
            <w:tcW w:w="814" w:type="dxa"/>
            <w:tcBorders>
              <w:top w:val="single" w:sz="12" w:space="0" w:color="auto"/>
              <w:bottom w:val="single" w:sz="12"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תת-קרקעי</w:t>
            </w:r>
          </w:p>
        </w:tc>
        <w:tc>
          <w:tcPr>
            <w:tcW w:w="995" w:type="dxa"/>
            <w:tcBorders>
              <w:top w:val="single" w:sz="12" w:space="0" w:color="auto"/>
              <w:bottom w:val="single" w:sz="12"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עילי</w:t>
            </w:r>
          </w:p>
        </w:tc>
        <w:tc>
          <w:tcPr>
            <w:tcW w:w="828" w:type="dxa"/>
            <w:tcBorders>
              <w:top w:val="single" w:sz="12" w:space="0" w:color="auto"/>
              <w:bottom w:val="single" w:sz="12"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דו</w:t>
            </w:r>
            <w:r w:rsidRPr="00014C4D">
              <w:rPr>
                <w:rFonts w:ascii="David" w:eastAsia="Times New Roman" w:hAnsi="David" w:hint="cs"/>
                <w:b/>
                <w:bCs/>
                <w:sz w:val="22"/>
                <w:szCs w:val="22"/>
                <w:rtl/>
              </w:rPr>
              <w:t>-</w:t>
            </w:r>
            <w:r w:rsidRPr="00014C4D">
              <w:rPr>
                <w:rFonts w:ascii="David" w:eastAsia="Times New Roman" w:hAnsi="David"/>
                <w:b/>
                <w:bCs/>
                <w:sz w:val="22"/>
                <w:szCs w:val="22"/>
                <w:rtl/>
              </w:rPr>
              <w:t>מפלסי</w:t>
            </w:r>
          </w:p>
        </w:tc>
        <w:tc>
          <w:tcPr>
            <w:tcW w:w="732" w:type="dxa"/>
            <w:tcBorders>
              <w:top w:val="single" w:sz="12" w:space="0" w:color="auto"/>
              <w:bottom w:val="single" w:sz="12" w:space="0" w:color="auto"/>
            </w:tcBorders>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ס"ה</w:t>
            </w:r>
          </w:p>
        </w:tc>
        <w:tc>
          <w:tcPr>
            <w:tcW w:w="1134" w:type="dxa"/>
            <w:vMerge/>
            <w:tcBorders>
              <w:top w:val="single" w:sz="12" w:space="0" w:color="auto"/>
              <w:bottom w:val="single" w:sz="12" w:space="0" w:color="auto"/>
            </w:tcBorders>
            <w:vAlign w:val="center"/>
            <w:hideMark/>
          </w:tcPr>
          <w:p w:rsidR="00014C4D" w:rsidRPr="00014C4D" w:rsidRDefault="00014C4D" w:rsidP="00014C4D">
            <w:pPr>
              <w:keepNext/>
              <w:keepLines/>
              <w:spacing w:line="269" w:lineRule="auto"/>
              <w:jc w:val="left"/>
              <w:rPr>
                <w:rFonts w:ascii="David" w:eastAsia="Times New Roman" w:hAnsi="David"/>
                <w:b/>
                <w:bCs/>
                <w:sz w:val="22"/>
                <w:szCs w:val="22"/>
              </w:rPr>
            </w:pPr>
          </w:p>
        </w:tc>
        <w:tc>
          <w:tcPr>
            <w:tcW w:w="1559" w:type="dxa"/>
            <w:vMerge/>
            <w:tcBorders>
              <w:top w:val="single" w:sz="12" w:space="0" w:color="auto"/>
              <w:bottom w:val="single" w:sz="12" w:space="0" w:color="auto"/>
              <w:right w:val="single" w:sz="6" w:space="0" w:color="auto"/>
            </w:tcBorders>
            <w:vAlign w:val="center"/>
            <w:hideMark/>
          </w:tcPr>
          <w:p w:rsidR="00014C4D" w:rsidRPr="00014C4D" w:rsidRDefault="00014C4D" w:rsidP="00014C4D">
            <w:pPr>
              <w:keepNext/>
              <w:keepLines/>
              <w:spacing w:line="269" w:lineRule="auto"/>
              <w:jc w:val="left"/>
              <w:rPr>
                <w:rFonts w:ascii="David" w:eastAsia="Times New Roman" w:hAnsi="David"/>
                <w:b/>
                <w:bCs/>
                <w:sz w:val="22"/>
                <w:szCs w:val="22"/>
              </w:rPr>
            </w:pPr>
          </w:p>
        </w:tc>
        <w:tc>
          <w:tcPr>
            <w:tcW w:w="1842" w:type="dxa"/>
            <w:vMerge/>
            <w:tcBorders>
              <w:left w:val="single" w:sz="6" w:space="0" w:color="auto"/>
              <w:bottom w:val="single" w:sz="12" w:space="0" w:color="auto"/>
            </w:tcBorders>
          </w:tcPr>
          <w:p w:rsidR="00014C4D" w:rsidRPr="00014C4D" w:rsidRDefault="00014C4D" w:rsidP="00014C4D">
            <w:pPr>
              <w:keepNext/>
              <w:keepLines/>
              <w:spacing w:line="269" w:lineRule="auto"/>
              <w:jc w:val="left"/>
              <w:rPr>
                <w:rFonts w:ascii="David" w:eastAsia="Times New Roman" w:hAnsi="David"/>
                <w:b/>
                <w:bCs/>
                <w:sz w:val="22"/>
                <w:szCs w:val="22"/>
              </w:rPr>
            </w:pPr>
          </w:p>
        </w:tc>
      </w:tr>
      <w:tr w:rsidR="00014C4D" w:rsidRPr="00014C4D" w:rsidTr="00014C4D">
        <w:trPr>
          <w:trHeight w:val="315"/>
          <w:jc w:val="center"/>
        </w:trPr>
        <w:tc>
          <w:tcPr>
            <w:tcW w:w="990" w:type="dxa"/>
            <w:tcBorders>
              <w:top w:val="single" w:sz="12" w:space="0" w:color="auto"/>
              <w:bottom w:val="single" w:sz="8" w:space="0" w:color="auto"/>
            </w:tcBorders>
            <w:shd w:val="clear" w:color="auto" w:fill="auto"/>
            <w:noWrap/>
            <w:vAlign w:val="center"/>
            <w:hideMark/>
          </w:tcPr>
          <w:p w:rsidR="00014C4D" w:rsidRPr="00014C4D" w:rsidRDefault="00014C4D" w:rsidP="00014C4D">
            <w:pPr>
              <w:keepNext/>
              <w:keepLines/>
              <w:bidi w:val="0"/>
              <w:spacing w:line="269" w:lineRule="auto"/>
              <w:jc w:val="right"/>
              <w:rPr>
                <w:rFonts w:ascii="David" w:eastAsia="Times New Roman" w:hAnsi="David"/>
                <w:b/>
                <w:bCs/>
                <w:sz w:val="22"/>
                <w:szCs w:val="22"/>
                <w:rtl/>
              </w:rPr>
            </w:pPr>
            <w:r w:rsidRPr="00014C4D">
              <w:rPr>
                <w:rFonts w:ascii="David" w:eastAsia="Times New Roman" w:hAnsi="David" w:hint="cs"/>
                <w:b/>
                <w:bCs/>
                <w:sz w:val="22"/>
                <w:szCs w:val="22"/>
                <w:rtl/>
              </w:rPr>
              <w:t>אשקלון</w:t>
            </w:r>
          </w:p>
        </w:tc>
        <w:tc>
          <w:tcPr>
            <w:tcW w:w="814" w:type="dxa"/>
            <w:tcBorders>
              <w:top w:val="single" w:sz="12"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tl/>
              </w:rPr>
            </w:pPr>
            <w:r w:rsidRPr="00014C4D">
              <w:rPr>
                <w:rFonts w:ascii="David" w:eastAsia="Times New Roman" w:hAnsi="David"/>
                <w:sz w:val="22"/>
                <w:szCs w:val="22"/>
              </w:rPr>
              <w:t>111</w:t>
            </w:r>
          </w:p>
        </w:tc>
        <w:tc>
          <w:tcPr>
            <w:tcW w:w="995" w:type="dxa"/>
            <w:tcBorders>
              <w:top w:val="single" w:sz="12"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23</w:t>
            </w:r>
          </w:p>
        </w:tc>
        <w:tc>
          <w:tcPr>
            <w:tcW w:w="828" w:type="dxa"/>
            <w:tcBorders>
              <w:top w:val="single" w:sz="12"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0</w:t>
            </w:r>
          </w:p>
        </w:tc>
        <w:tc>
          <w:tcPr>
            <w:tcW w:w="732" w:type="dxa"/>
            <w:tcBorders>
              <w:top w:val="single" w:sz="12"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b/>
                <w:bCs/>
                <w:sz w:val="22"/>
                <w:szCs w:val="22"/>
              </w:rPr>
            </w:pPr>
            <w:r w:rsidRPr="00014C4D">
              <w:rPr>
                <w:rFonts w:ascii="David" w:eastAsia="Times New Roman" w:hAnsi="David" w:hint="cs"/>
                <w:b/>
                <w:bCs/>
                <w:sz w:val="22"/>
                <w:szCs w:val="22"/>
                <w:rtl/>
              </w:rPr>
              <w:t>134</w:t>
            </w:r>
            <w:r w:rsidRPr="00014C4D">
              <w:rPr>
                <w:rFonts w:ascii="David" w:eastAsia="Times New Roman" w:hAnsi="David" w:hint="cs"/>
                <w:b/>
                <w:bCs/>
                <w:sz w:val="22"/>
                <w:szCs w:val="22"/>
                <w:vertAlign w:val="superscript"/>
                <w:rtl/>
              </w:rPr>
              <w:t>(1)</w:t>
            </w:r>
          </w:p>
        </w:tc>
        <w:tc>
          <w:tcPr>
            <w:tcW w:w="1134" w:type="dxa"/>
            <w:tcBorders>
              <w:top w:val="single" w:sz="12"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hint="cs"/>
                <w:sz w:val="22"/>
                <w:szCs w:val="22"/>
                <w:rtl/>
              </w:rPr>
              <w:t>70</w:t>
            </w:r>
          </w:p>
        </w:tc>
        <w:tc>
          <w:tcPr>
            <w:tcW w:w="1559" w:type="dxa"/>
            <w:tcBorders>
              <w:top w:val="single" w:sz="12" w:space="0" w:color="auto"/>
              <w:bottom w:val="single" w:sz="8" w:space="0" w:color="auto"/>
            </w:tcBorders>
            <w:shd w:val="clear" w:color="auto" w:fill="auto"/>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hint="cs"/>
                <w:sz w:val="22"/>
                <w:szCs w:val="22"/>
                <w:rtl/>
              </w:rPr>
              <w:t>52%</w:t>
            </w:r>
          </w:p>
        </w:tc>
        <w:tc>
          <w:tcPr>
            <w:tcW w:w="1842" w:type="dxa"/>
            <w:tcBorders>
              <w:top w:val="single" w:sz="12" w:space="0" w:color="auto"/>
              <w:bottom w:val="single" w:sz="8" w:space="0" w:color="auto"/>
            </w:tcBorders>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hint="cs"/>
                <w:sz w:val="22"/>
                <w:szCs w:val="22"/>
                <w:rtl/>
              </w:rPr>
              <w:t>אין לעירייה מידע</w:t>
            </w:r>
            <w:r w:rsidRPr="00014C4D">
              <w:rPr>
                <w:rFonts w:ascii="David" w:eastAsia="Times New Roman" w:hAnsi="David" w:hint="cs"/>
                <w:sz w:val="22"/>
                <w:szCs w:val="22"/>
                <w:vertAlign w:val="superscript"/>
                <w:rtl/>
              </w:rPr>
              <w:t>(2)</w:t>
            </w:r>
          </w:p>
        </w:tc>
      </w:tr>
      <w:tr w:rsidR="00014C4D" w:rsidRPr="00014C4D" w:rsidTr="00014C4D">
        <w:trPr>
          <w:trHeight w:val="315"/>
          <w:jc w:val="center"/>
        </w:trPr>
        <w:tc>
          <w:tcPr>
            <w:tcW w:w="990" w:type="dxa"/>
            <w:tcBorders>
              <w:top w:val="single" w:sz="8" w:space="0" w:color="auto"/>
              <w:bottom w:val="single" w:sz="8" w:space="0" w:color="auto"/>
            </w:tcBorders>
            <w:shd w:val="clear" w:color="auto" w:fill="auto"/>
            <w:noWrap/>
            <w:vAlign w:val="center"/>
            <w:hideMark/>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hint="cs"/>
                <w:b/>
                <w:bCs/>
                <w:sz w:val="22"/>
                <w:szCs w:val="22"/>
                <w:rtl/>
              </w:rPr>
              <w:t>גבעתיים</w:t>
            </w:r>
          </w:p>
        </w:tc>
        <w:tc>
          <w:tcPr>
            <w:tcW w:w="814" w:type="dxa"/>
            <w:tcBorders>
              <w:top w:val="single" w:sz="8"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14</w:t>
            </w:r>
          </w:p>
        </w:tc>
        <w:tc>
          <w:tcPr>
            <w:tcW w:w="995" w:type="dxa"/>
            <w:tcBorders>
              <w:top w:val="single" w:sz="8"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4</w:t>
            </w:r>
          </w:p>
        </w:tc>
        <w:tc>
          <w:tcPr>
            <w:tcW w:w="828" w:type="dxa"/>
            <w:tcBorders>
              <w:top w:val="single" w:sz="8"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bCs/>
                <w:sz w:val="22"/>
                <w:szCs w:val="22"/>
              </w:rPr>
            </w:pPr>
            <w:r w:rsidRPr="00014C4D">
              <w:rPr>
                <w:rFonts w:ascii="David" w:eastAsia="Times New Roman" w:hAnsi="David"/>
                <w:bCs/>
                <w:sz w:val="22"/>
                <w:szCs w:val="22"/>
              </w:rPr>
              <w:t>0</w:t>
            </w:r>
          </w:p>
        </w:tc>
        <w:tc>
          <w:tcPr>
            <w:tcW w:w="732" w:type="dxa"/>
            <w:tcBorders>
              <w:top w:val="single" w:sz="8"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Theme="minorHAnsi" w:eastAsia="Times New Roman" w:hAnsiTheme="minorHAnsi"/>
                <w:b/>
                <w:sz w:val="22"/>
                <w:szCs w:val="22"/>
              </w:rPr>
            </w:pPr>
            <w:r w:rsidRPr="00014C4D">
              <w:rPr>
                <w:rFonts w:ascii="David" w:eastAsia="Times New Roman" w:hAnsi="David"/>
                <w:b/>
                <w:sz w:val="22"/>
                <w:szCs w:val="22"/>
              </w:rPr>
              <w:t>18</w:t>
            </w:r>
          </w:p>
        </w:tc>
        <w:tc>
          <w:tcPr>
            <w:tcW w:w="1134" w:type="dxa"/>
            <w:tcBorders>
              <w:top w:val="single" w:sz="8" w:space="0" w:color="auto"/>
              <w:bottom w:val="single" w:sz="8"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9</w:t>
            </w:r>
          </w:p>
        </w:tc>
        <w:tc>
          <w:tcPr>
            <w:tcW w:w="1559" w:type="dxa"/>
            <w:tcBorders>
              <w:top w:val="single" w:sz="8" w:space="0" w:color="auto"/>
              <w:bottom w:val="single" w:sz="8" w:space="0" w:color="auto"/>
            </w:tcBorders>
            <w:shd w:val="clear" w:color="auto" w:fill="auto"/>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50%</w:t>
            </w:r>
          </w:p>
        </w:tc>
        <w:tc>
          <w:tcPr>
            <w:tcW w:w="1842" w:type="dxa"/>
            <w:tcBorders>
              <w:top w:val="single" w:sz="8" w:space="0" w:color="auto"/>
              <w:bottom w:val="single" w:sz="8" w:space="0" w:color="auto"/>
            </w:tcBorders>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vertAlign w:val="superscript"/>
              </w:rPr>
              <w:t>(3)</w:t>
            </w:r>
            <w:r w:rsidRPr="00014C4D">
              <w:rPr>
                <w:rFonts w:ascii="David" w:eastAsia="Times New Roman" w:hAnsi="David"/>
                <w:sz w:val="22"/>
                <w:szCs w:val="22"/>
              </w:rPr>
              <w:t>4</w:t>
            </w:r>
          </w:p>
        </w:tc>
      </w:tr>
      <w:tr w:rsidR="00014C4D" w:rsidRPr="00014C4D" w:rsidTr="00014C4D">
        <w:trPr>
          <w:trHeight w:val="315"/>
          <w:jc w:val="center"/>
        </w:trPr>
        <w:tc>
          <w:tcPr>
            <w:tcW w:w="990" w:type="dxa"/>
            <w:tcBorders>
              <w:top w:val="single" w:sz="12" w:space="0" w:color="auto"/>
              <w:left w:val="single" w:sz="12"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bidi w:val="0"/>
              <w:spacing w:line="269" w:lineRule="auto"/>
              <w:jc w:val="right"/>
            </w:pPr>
            <w:r w:rsidRPr="00014C4D">
              <w:rPr>
                <w:rFonts w:ascii="David" w:eastAsia="Times New Roman" w:hAnsi="David" w:hint="cs"/>
                <w:b/>
                <w:bCs/>
                <w:sz w:val="22"/>
                <w:szCs w:val="22"/>
                <w:rtl/>
              </w:rPr>
              <w:t>חולון</w:t>
            </w:r>
          </w:p>
        </w:tc>
        <w:tc>
          <w:tcPr>
            <w:tcW w:w="814"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hint="cs"/>
                <w:sz w:val="22"/>
                <w:szCs w:val="22"/>
                <w:rtl/>
              </w:rPr>
              <w:t>60</w:t>
            </w:r>
          </w:p>
        </w:tc>
        <w:tc>
          <w:tcPr>
            <w:tcW w:w="995"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5</w:t>
            </w:r>
          </w:p>
        </w:tc>
        <w:tc>
          <w:tcPr>
            <w:tcW w:w="828"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0</w:t>
            </w:r>
          </w:p>
        </w:tc>
        <w:tc>
          <w:tcPr>
            <w:tcW w:w="732"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spacing w:line="269" w:lineRule="auto"/>
              <w:rPr>
                <w:rFonts w:ascii="David" w:eastAsia="Times New Roman" w:hAnsi="David"/>
                <w:b/>
                <w:bCs/>
                <w:sz w:val="22"/>
                <w:szCs w:val="22"/>
              </w:rPr>
            </w:pPr>
            <w:r w:rsidRPr="00014C4D">
              <w:rPr>
                <w:rFonts w:ascii="David" w:eastAsia="Times New Roman" w:hAnsi="David"/>
                <w:b/>
                <w:bCs/>
                <w:sz w:val="22"/>
                <w:szCs w:val="22"/>
              </w:rPr>
              <w:t>65</w:t>
            </w:r>
          </w:p>
        </w:tc>
        <w:tc>
          <w:tcPr>
            <w:tcW w:w="1134" w:type="dxa"/>
            <w:tcBorders>
              <w:top w:val="single" w:sz="12" w:space="0" w:color="auto"/>
              <w:left w:val="single" w:sz="6" w:space="0" w:color="auto"/>
              <w:bottom w:val="single" w:sz="12" w:space="0" w:color="auto"/>
              <w:right w:val="single" w:sz="6" w:space="0" w:color="auto"/>
            </w:tcBorders>
            <w:shd w:val="clear" w:color="auto" w:fill="auto"/>
            <w:noWrap/>
            <w:vAlign w:val="center"/>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54</w:t>
            </w:r>
          </w:p>
        </w:tc>
        <w:tc>
          <w:tcPr>
            <w:tcW w:w="1559" w:type="dxa"/>
            <w:tcBorders>
              <w:top w:val="single" w:sz="12" w:space="0" w:color="auto"/>
              <w:left w:val="single" w:sz="6" w:space="0" w:color="auto"/>
              <w:bottom w:val="single" w:sz="12" w:space="0" w:color="auto"/>
              <w:right w:val="single" w:sz="12" w:space="0" w:color="auto"/>
            </w:tcBorders>
            <w:shd w:val="clear" w:color="auto" w:fill="auto"/>
            <w:vAlign w:val="center"/>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83%</w:t>
            </w:r>
          </w:p>
        </w:tc>
        <w:tc>
          <w:tcPr>
            <w:tcW w:w="1842" w:type="dxa"/>
            <w:tcBorders>
              <w:top w:val="single" w:sz="12" w:space="0" w:color="auto"/>
              <w:left w:val="single" w:sz="6" w:space="0" w:color="auto"/>
              <w:bottom w:val="single" w:sz="12" w:space="0" w:color="auto"/>
              <w:right w:val="single" w:sz="12" w:space="0" w:color="auto"/>
            </w:tcBorders>
          </w:tcPr>
          <w:p w:rsidR="00014C4D" w:rsidRPr="00014C4D" w:rsidRDefault="00014C4D" w:rsidP="00014C4D">
            <w:pPr>
              <w:keepNext/>
              <w:keepLines/>
              <w:spacing w:line="269" w:lineRule="auto"/>
              <w:rPr>
                <w:rFonts w:ascii="David" w:eastAsia="Times New Roman" w:hAnsi="David"/>
                <w:sz w:val="22"/>
                <w:szCs w:val="22"/>
                <w:rtl/>
              </w:rPr>
            </w:pPr>
            <w:r w:rsidRPr="00014C4D">
              <w:rPr>
                <w:rFonts w:ascii="David" w:eastAsia="Times New Roman" w:hAnsi="David" w:hint="cs"/>
                <w:sz w:val="22"/>
                <w:szCs w:val="22"/>
                <w:rtl/>
              </w:rPr>
              <w:t>5 מקלטים עיליים</w:t>
            </w:r>
          </w:p>
        </w:tc>
      </w:tr>
      <w:tr w:rsidR="00014C4D" w:rsidRPr="00014C4D" w:rsidTr="00014C4D">
        <w:trPr>
          <w:trHeight w:val="315"/>
          <w:jc w:val="center"/>
        </w:trPr>
        <w:tc>
          <w:tcPr>
            <w:tcW w:w="990" w:type="dxa"/>
            <w:tcBorders>
              <w:top w:val="single" w:sz="8" w:space="0" w:color="auto"/>
              <w:bottom w:val="single" w:sz="12" w:space="0" w:color="auto"/>
            </w:tcBorders>
            <w:shd w:val="clear" w:color="auto" w:fill="auto"/>
            <w:noWrap/>
            <w:vAlign w:val="center"/>
            <w:hideMark/>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hint="cs"/>
                <w:b/>
                <w:bCs/>
                <w:sz w:val="22"/>
                <w:szCs w:val="22"/>
                <w:rtl/>
              </w:rPr>
              <w:t>הגלבוע</w:t>
            </w:r>
          </w:p>
        </w:tc>
        <w:tc>
          <w:tcPr>
            <w:tcW w:w="814" w:type="dxa"/>
            <w:tcBorders>
              <w:top w:val="single" w:sz="8" w:space="0" w:color="auto"/>
              <w:bottom w:val="single" w:sz="12"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64</w:t>
            </w:r>
          </w:p>
        </w:tc>
        <w:tc>
          <w:tcPr>
            <w:tcW w:w="995" w:type="dxa"/>
            <w:tcBorders>
              <w:top w:val="single" w:sz="8" w:space="0" w:color="auto"/>
              <w:bottom w:val="single" w:sz="12"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71</w:t>
            </w:r>
          </w:p>
        </w:tc>
        <w:tc>
          <w:tcPr>
            <w:tcW w:w="828" w:type="dxa"/>
            <w:tcBorders>
              <w:top w:val="single" w:sz="8" w:space="0" w:color="auto"/>
              <w:bottom w:val="single" w:sz="12"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22</w:t>
            </w:r>
          </w:p>
        </w:tc>
        <w:tc>
          <w:tcPr>
            <w:tcW w:w="732" w:type="dxa"/>
            <w:tcBorders>
              <w:top w:val="single" w:sz="8" w:space="0" w:color="auto"/>
              <w:bottom w:val="single" w:sz="12"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b/>
                <w:bCs/>
                <w:sz w:val="22"/>
                <w:szCs w:val="22"/>
                <w:rtl/>
              </w:rPr>
            </w:pPr>
            <w:r w:rsidRPr="00014C4D">
              <w:rPr>
                <w:rFonts w:ascii="David" w:eastAsia="Times New Roman" w:hAnsi="David"/>
                <w:b/>
                <w:bCs/>
                <w:sz w:val="22"/>
                <w:szCs w:val="22"/>
                <w:vertAlign w:val="superscript"/>
              </w:rPr>
              <w:t>(4)</w:t>
            </w:r>
            <w:r w:rsidRPr="00014C4D">
              <w:rPr>
                <w:rFonts w:ascii="David" w:eastAsia="Times New Roman" w:hAnsi="David"/>
                <w:b/>
                <w:bCs/>
                <w:sz w:val="22"/>
                <w:szCs w:val="22"/>
              </w:rPr>
              <w:t>157</w:t>
            </w:r>
          </w:p>
        </w:tc>
        <w:tc>
          <w:tcPr>
            <w:tcW w:w="1134" w:type="dxa"/>
            <w:tcBorders>
              <w:top w:val="single" w:sz="8" w:space="0" w:color="auto"/>
              <w:bottom w:val="single" w:sz="12" w:space="0" w:color="auto"/>
            </w:tcBorders>
            <w:shd w:val="clear" w:color="auto" w:fill="auto"/>
            <w:noWrap/>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55</w:t>
            </w:r>
          </w:p>
        </w:tc>
        <w:tc>
          <w:tcPr>
            <w:tcW w:w="1559" w:type="dxa"/>
            <w:tcBorders>
              <w:top w:val="single" w:sz="8" w:space="0" w:color="auto"/>
              <w:bottom w:val="single" w:sz="12" w:space="0" w:color="auto"/>
            </w:tcBorders>
            <w:shd w:val="clear" w:color="auto" w:fill="auto"/>
            <w:vAlign w:val="center"/>
            <w:hideMark/>
          </w:tcPr>
          <w:p w:rsidR="00014C4D" w:rsidRPr="00014C4D" w:rsidRDefault="00014C4D" w:rsidP="00014C4D">
            <w:pPr>
              <w:keepNext/>
              <w:keepLines/>
              <w:spacing w:line="269" w:lineRule="auto"/>
              <w:rPr>
                <w:rFonts w:ascii="David" w:eastAsia="Times New Roman" w:hAnsi="David"/>
                <w:sz w:val="22"/>
                <w:szCs w:val="22"/>
              </w:rPr>
            </w:pPr>
            <w:r w:rsidRPr="00014C4D">
              <w:rPr>
                <w:rFonts w:ascii="David" w:eastAsia="Times New Roman" w:hAnsi="David"/>
                <w:sz w:val="22"/>
                <w:szCs w:val="22"/>
              </w:rPr>
              <w:t>35%</w:t>
            </w:r>
          </w:p>
        </w:tc>
        <w:tc>
          <w:tcPr>
            <w:tcW w:w="1842" w:type="dxa"/>
            <w:tcBorders>
              <w:top w:val="single" w:sz="8" w:space="0" w:color="auto"/>
              <w:bottom w:val="single" w:sz="12" w:space="0" w:color="auto"/>
            </w:tcBorders>
          </w:tcPr>
          <w:p w:rsidR="00014C4D" w:rsidRPr="00014C4D" w:rsidRDefault="00014C4D" w:rsidP="00014C4D">
            <w:pPr>
              <w:keepNext/>
              <w:keepLines/>
              <w:spacing w:line="269" w:lineRule="auto"/>
              <w:jc w:val="left"/>
              <w:rPr>
                <w:rFonts w:ascii="David" w:eastAsia="Times New Roman" w:hAnsi="David"/>
                <w:sz w:val="22"/>
                <w:szCs w:val="22"/>
              </w:rPr>
            </w:pPr>
            <w:r w:rsidRPr="00014C4D">
              <w:rPr>
                <w:rFonts w:ascii="David" w:eastAsia="Times New Roman" w:hAnsi="David" w:hint="cs"/>
                <w:sz w:val="22"/>
                <w:szCs w:val="22"/>
                <w:rtl/>
              </w:rPr>
              <w:t>אין מקלטים מונגשים</w:t>
            </w:r>
            <w:r w:rsidRPr="00014C4D">
              <w:rPr>
                <w:rFonts w:ascii="David" w:eastAsia="Times New Roman" w:hAnsi="David" w:hint="cs"/>
                <w:sz w:val="22"/>
                <w:szCs w:val="22"/>
                <w:vertAlign w:val="superscript"/>
                <w:rtl/>
              </w:rPr>
              <w:t>(5)</w:t>
            </w:r>
          </w:p>
        </w:tc>
      </w:tr>
    </w:tbl>
    <w:p w:rsidR="00014C4D" w:rsidRPr="00014C4D" w:rsidRDefault="00014C4D" w:rsidP="00014C4D">
      <w:pPr>
        <w:rPr>
          <w:szCs w:val="20"/>
          <w:rtl/>
        </w:rPr>
      </w:pPr>
      <w:r w:rsidRPr="00014C4D">
        <w:rPr>
          <w:rFonts w:hint="cs"/>
          <w:szCs w:val="20"/>
          <w:rtl/>
        </w:rPr>
        <w:t xml:space="preserve">על פי נתוני הרשויות שנבדקו, מלבד הגלבוע, שמקור הנתונים בעניינה הם מדוחות הביקורת של פקע"ר, בעיבוד משרד מבקר המדינה. </w:t>
      </w:r>
    </w:p>
    <w:p w:rsidR="00014C4D" w:rsidRPr="00014C4D" w:rsidRDefault="00014C4D" w:rsidP="00014C4D">
      <w:pPr>
        <w:spacing w:line="269" w:lineRule="auto"/>
        <w:ind w:left="424" w:hanging="424"/>
        <w:rPr>
          <w:szCs w:val="20"/>
          <w:rtl/>
        </w:rPr>
      </w:pPr>
      <w:r w:rsidRPr="00014C4D">
        <w:rPr>
          <w:rFonts w:hint="cs"/>
          <w:szCs w:val="20"/>
          <w:rtl/>
        </w:rPr>
        <w:t xml:space="preserve">(1) </w:t>
      </w:r>
      <w:r w:rsidRPr="00014C4D">
        <w:rPr>
          <w:szCs w:val="20"/>
          <w:rtl/>
        </w:rPr>
        <w:tab/>
      </w:r>
      <w:r w:rsidRPr="00014C4D">
        <w:rPr>
          <w:rFonts w:hint="cs"/>
          <w:szCs w:val="20"/>
          <w:rtl/>
        </w:rPr>
        <w:t>נוסף על כך יש שמונה מחסים ציבוריים שלא נכללו במספר המקלטים משום שאינם מקלטים.</w:t>
      </w:r>
    </w:p>
    <w:p w:rsidR="00014C4D" w:rsidRPr="00014C4D" w:rsidRDefault="00014C4D" w:rsidP="00014C4D">
      <w:pPr>
        <w:spacing w:line="269" w:lineRule="auto"/>
        <w:ind w:left="424" w:hanging="424"/>
        <w:rPr>
          <w:rFonts w:eastAsia="Calibri"/>
          <w:szCs w:val="20"/>
          <w:rtl/>
        </w:rPr>
      </w:pPr>
      <w:r w:rsidRPr="00014C4D">
        <w:rPr>
          <w:rFonts w:eastAsia="Calibri" w:hint="cs"/>
          <w:szCs w:val="20"/>
          <w:rtl/>
        </w:rPr>
        <w:t xml:space="preserve">(2) </w:t>
      </w:r>
      <w:r w:rsidRPr="00014C4D">
        <w:rPr>
          <w:rFonts w:eastAsia="Calibri"/>
          <w:szCs w:val="20"/>
          <w:rtl/>
        </w:rPr>
        <w:tab/>
      </w:r>
      <w:r w:rsidRPr="00014C4D">
        <w:rPr>
          <w:rFonts w:eastAsia="Calibri" w:hint="cs"/>
          <w:szCs w:val="20"/>
          <w:rtl/>
        </w:rPr>
        <w:t>צוות הביקורת בדק שישה מקלטים עיליים ונמצא כי שניים מהם לא היו מונגשים - מקלט מספר 521 ומקלט מספר 518</w:t>
      </w:r>
    </w:p>
    <w:p w:rsidR="00014C4D" w:rsidRPr="00014C4D" w:rsidRDefault="00014C4D" w:rsidP="00014C4D">
      <w:pPr>
        <w:spacing w:line="269" w:lineRule="auto"/>
        <w:ind w:left="424" w:hanging="424"/>
        <w:rPr>
          <w:szCs w:val="20"/>
          <w:rtl/>
        </w:rPr>
      </w:pPr>
      <w:r w:rsidRPr="00014C4D">
        <w:rPr>
          <w:rFonts w:hint="cs"/>
          <w:szCs w:val="20"/>
          <w:rtl/>
        </w:rPr>
        <w:t xml:space="preserve">(3) </w:t>
      </w:r>
      <w:r w:rsidRPr="00014C4D">
        <w:rPr>
          <w:szCs w:val="20"/>
          <w:rtl/>
        </w:rPr>
        <w:tab/>
      </w:r>
      <w:r w:rsidRPr="00014C4D">
        <w:rPr>
          <w:rFonts w:hint="cs"/>
          <w:szCs w:val="20"/>
          <w:rtl/>
        </w:rPr>
        <w:t>מאחר שכל המקלטים הציבוריים הישנים בעיריית גבעתיים אינם מונגשים לאנשים עם מוגבלות רכשה העירייה, לאחר תחילת המלחמה ארבעה מקלטים עיליים מונגשים.</w:t>
      </w:r>
    </w:p>
    <w:p w:rsidR="00014C4D" w:rsidRPr="00014C4D" w:rsidRDefault="00014C4D" w:rsidP="00014C4D">
      <w:pPr>
        <w:spacing w:line="269" w:lineRule="auto"/>
        <w:ind w:left="424" w:hanging="424"/>
        <w:rPr>
          <w:szCs w:val="20"/>
          <w:rtl/>
        </w:rPr>
      </w:pPr>
      <w:r w:rsidRPr="00014C4D">
        <w:rPr>
          <w:rFonts w:hint="cs"/>
          <w:szCs w:val="20"/>
          <w:rtl/>
        </w:rPr>
        <w:t xml:space="preserve">(4) </w:t>
      </w:r>
      <w:r w:rsidRPr="00014C4D">
        <w:rPr>
          <w:szCs w:val="20"/>
          <w:rtl/>
        </w:rPr>
        <w:tab/>
      </w:r>
      <w:r w:rsidRPr="00014C4D">
        <w:rPr>
          <w:rFonts w:hint="cs"/>
          <w:szCs w:val="20"/>
          <w:rtl/>
        </w:rPr>
        <w:t xml:space="preserve">הנתונים </w:t>
      </w:r>
      <w:r w:rsidRPr="00014C4D">
        <w:rPr>
          <w:rFonts w:hint="eastAsia"/>
          <w:szCs w:val="20"/>
          <w:rtl/>
        </w:rPr>
        <w:t>נלקחו</w:t>
      </w:r>
      <w:r w:rsidRPr="00014C4D">
        <w:rPr>
          <w:szCs w:val="20"/>
          <w:rtl/>
        </w:rPr>
        <w:t xml:space="preserve"> </w:t>
      </w:r>
      <w:r w:rsidRPr="00014C4D">
        <w:rPr>
          <w:rFonts w:hint="eastAsia"/>
          <w:szCs w:val="20"/>
          <w:rtl/>
        </w:rPr>
        <w:t>על</w:t>
      </w:r>
      <w:r w:rsidRPr="00014C4D">
        <w:rPr>
          <w:szCs w:val="20"/>
          <w:rtl/>
        </w:rPr>
        <w:t xml:space="preserve"> </w:t>
      </w:r>
      <w:r w:rsidRPr="00014C4D">
        <w:rPr>
          <w:rFonts w:hint="eastAsia"/>
          <w:szCs w:val="20"/>
          <w:rtl/>
        </w:rPr>
        <w:t>ידי</w:t>
      </w:r>
      <w:r w:rsidRPr="00014C4D">
        <w:rPr>
          <w:szCs w:val="20"/>
          <w:rtl/>
        </w:rPr>
        <w:t xml:space="preserve"> </w:t>
      </w:r>
      <w:r w:rsidRPr="00014C4D">
        <w:rPr>
          <w:rFonts w:hint="eastAsia"/>
          <w:szCs w:val="20"/>
          <w:rtl/>
        </w:rPr>
        <w:t>משרד</w:t>
      </w:r>
      <w:r w:rsidRPr="00014C4D">
        <w:rPr>
          <w:szCs w:val="20"/>
          <w:rtl/>
        </w:rPr>
        <w:t xml:space="preserve"> </w:t>
      </w:r>
      <w:r w:rsidRPr="00014C4D">
        <w:rPr>
          <w:rFonts w:hint="eastAsia"/>
          <w:szCs w:val="20"/>
          <w:rtl/>
        </w:rPr>
        <w:t>מבקר</w:t>
      </w:r>
      <w:r w:rsidRPr="00014C4D">
        <w:rPr>
          <w:szCs w:val="20"/>
          <w:rtl/>
        </w:rPr>
        <w:t xml:space="preserve"> </w:t>
      </w:r>
      <w:r w:rsidRPr="00014C4D">
        <w:rPr>
          <w:rFonts w:hint="eastAsia"/>
          <w:szCs w:val="20"/>
          <w:rtl/>
        </w:rPr>
        <w:t>המדינה</w:t>
      </w:r>
      <w:r w:rsidRPr="00014C4D">
        <w:rPr>
          <w:szCs w:val="20"/>
          <w:rtl/>
        </w:rPr>
        <w:t xml:space="preserve"> </w:t>
      </w:r>
      <w:r w:rsidRPr="00014C4D">
        <w:rPr>
          <w:rFonts w:hint="eastAsia"/>
          <w:szCs w:val="20"/>
          <w:rtl/>
        </w:rPr>
        <w:t>מדוחות</w:t>
      </w:r>
      <w:r w:rsidRPr="00014C4D">
        <w:rPr>
          <w:szCs w:val="20"/>
          <w:rtl/>
        </w:rPr>
        <w:t xml:space="preserve"> </w:t>
      </w:r>
      <w:r w:rsidRPr="00014C4D">
        <w:rPr>
          <w:rFonts w:hint="cs"/>
          <w:szCs w:val="20"/>
          <w:rtl/>
        </w:rPr>
        <w:t xml:space="preserve">על </w:t>
      </w:r>
      <w:r w:rsidRPr="00014C4D">
        <w:rPr>
          <w:rFonts w:hint="eastAsia"/>
          <w:szCs w:val="20"/>
          <w:rtl/>
        </w:rPr>
        <w:t>ביקורת</w:t>
      </w:r>
      <w:r w:rsidRPr="00014C4D">
        <w:rPr>
          <w:szCs w:val="20"/>
          <w:rtl/>
        </w:rPr>
        <w:t xml:space="preserve"> </w:t>
      </w:r>
      <w:r w:rsidRPr="00014C4D">
        <w:rPr>
          <w:rFonts w:hint="eastAsia"/>
          <w:szCs w:val="20"/>
          <w:rtl/>
        </w:rPr>
        <w:t>שעשה</w:t>
      </w:r>
      <w:r w:rsidRPr="00014C4D">
        <w:rPr>
          <w:szCs w:val="20"/>
          <w:rtl/>
        </w:rPr>
        <w:t xml:space="preserve"> </w:t>
      </w:r>
      <w:r w:rsidRPr="00014C4D">
        <w:rPr>
          <w:rFonts w:hint="eastAsia"/>
          <w:szCs w:val="20"/>
          <w:rtl/>
        </w:rPr>
        <w:t>פקע</w:t>
      </w:r>
      <w:r w:rsidRPr="00014C4D">
        <w:rPr>
          <w:szCs w:val="20"/>
          <w:rtl/>
        </w:rPr>
        <w:t xml:space="preserve">"ר </w:t>
      </w:r>
      <w:r w:rsidRPr="00014C4D">
        <w:rPr>
          <w:rFonts w:hint="eastAsia"/>
          <w:szCs w:val="20"/>
          <w:rtl/>
        </w:rPr>
        <w:t>בשנת</w:t>
      </w:r>
      <w:r w:rsidRPr="00014C4D">
        <w:rPr>
          <w:szCs w:val="20"/>
          <w:rtl/>
        </w:rPr>
        <w:t xml:space="preserve"> 2021 </w:t>
      </w:r>
      <w:r w:rsidRPr="00014C4D">
        <w:rPr>
          <w:rFonts w:hint="eastAsia"/>
          <w:szCs w:val="20"/>
          <w:rtl/>
        </w:rPr>
        <w:t>לגבי</w:t>
      </w:r>
      <w:r w:rsidRPr="00014C4D">
        <w:rPr>
          <w:szCs w:val="20"/>
          <w:rtl/>
        </w:rPr>
        <w:t xml:space="preserve"> 157 </w:t>
      </w:r>
      <w:r w:rsidRPr="00014C4D">
        <w:rPr>
          <w:rFonts w:hint="eastAsia"/>
          <w:szCs w:val="20"/>
          <w:rtl/>
        </w:rPr>
        <w:t>מתוך</w:t>
      </w:r>
      <w:r w:rsidRPr="00014C4D">
        <w:rPr>
          <w:szCs w:val="20"/>
          <w:rtl/>
        </w:rPr>
        <w:t xml:space="preserve"> 170 </w:t>
      </w:r>
      <w:r w:rsidRPr="00014C4D">
        <w:rPr>
          <w:rFonts w:hint="cs"/>
          <w:szCs w:val="20"/>
          <w:rtl/>
        </w:rPr>
        <w:t>ה</w:t>
      </w:r>
      <w:r w:rsidRPr="00014C4D">
        <w:rPr>
          <w:rFonts w:hint="eastAsia"/>
          <w:szCs w:val="20"/>
          <w:rtl/>
        </w:rPr>
        <w:t>מקלטים</w:t>
      </w:r>
      <w:r w:rsidRPr="00014C4D">
        <w:rPr>
          <w:rFonts w:hint="cs"/>
          <w:szCs w:val="20"/>
          <w:rtl/>
        </w:rPr>
        <w:t xml:space="preserve"> במועצה.</w:t>
      </w:r>
    </w:p>
    <w:p w:rsidR="00014C4D" w:rsidRPr="00014C4D" w:rsidRDefault="00014C4D" w:rsidP="00014C4D">
      <w:pPr>
        <w:spacing w:line="269" w:lineRule="auto"/>
        <w:ind w:left="424" w:hanging="424"/>
        <w:rPr>
          <w:rFonts w:eastAsia="Calibri"/>
          <w:szCs w:val="20"/>
          <w:rtl/>
        </w:rPr>
      </w:pPr>
      <w:r w:rsidRPr="00014C4D">
        <w:rPr>
          <w:rFonts w:eastAsia="Calibri" w:hint="cs"/>
          <w:szCs w:val="20"/>
          <w:rtl/>
        </w:rPr>
        <w:t xml:space="preserve">(5) </w:t>
      </w:r>
      <w:r w:rsidRPr="00014C4D">
        <w:rPr>
          <w:rFonts w:eastAsia="Calibri"/>
          <w:szCs w:val="20"/>
          <w:rtl/>
        </w:rPr>
        <w:tab/>
      </w:r>
      <w:r w:rsidRPr="00014C4D">
        <w:rPr>
          <w:rFonts w:eastAsia="Calibri" w:hint="cs"/>
          <w:szCs w:val="20"/>
          <w:rtl/>
        </w:rPr>
        <w:t>על פי תרשומת משיחה עם מנהל מחלקת הביטחון של המועצה דאז ב-14.3.24.</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t>אשקלון</w:t>
      </w:r>
      <w:r w:rsidRPr="00014C4D">
        <w:rPr>
          <w:rFonts w:eastAsiaTheme="majorEastAsia" w:hint="cs"/>
          <w:bCs/>
          <w:spacing w:val="40"/>
          <w:rtl/>
        </w:rPr>
        <w:t>:</w:t>
      </w:r>
      <w:r w:rsidRPr="00014C4D">
        <w:rPr>
          <w:rFonts w:hint="cs"/>
          <w:rtl/>
        </w:rPr>
        <w:t xml:space="preserve"> עיריית אשקלון מסרה למשרד מבקר המדינה כי </w:t>
      </w:r>
      <w:r w:rsidRPr="00014C4D">
        <w:rPr>
          <w:rFonts w:ascii="David" w:eastAsia="Times New Roman" w:hAnsi="David" w:hint="cs"/>
          <w:b/>
          <w:sz w:val="24"/>
          <w:rtl/>
        </w:rPr>
        <w:t>מאחר ש</w:t>
      </w:r>
      <w:r w:rsidRPr="00014C4D">
        <w:rPr>
          <w:rFonts w:ascii="David" w:eastAsia="Times New Roman" w:hAnsi="David"/>
          <w:b/>
          <w:sz w:val="24"/>
          <w:rtl/>
        </w:rPr>
        <w:t xml:space="preserve">זמן </w:t>
      </w:r>
      <w:r w:rsidRPr="00014C4D">
        <w:rPr>
          <w:rFonts w:ascii="David" w:eastAsia="Times New Roman" w:hAnsi="David" w:hint="cs"/>
          <w:b/>
          <w:sz w:val="24"/>
          <w:rtl/>
        </w:rPr>
        <w:t xml:space="preserve">ההתרעה ברחבי העיר הוא קצר </w:t>
      </w:r>
      <w:r w:rsidRPr="00014C4D">
        <w:rPr>
          <w:rFonts w:ascii="David" w:eastAsia="Times New Roman" w:hAnsi="David"/>
          <w:b/>
          <w:sz w:val="24"/>
          <w:rtl/>
        </w:rPr>
        <w:t>(30 שניות)</w:t>
      </w:r>
      <w:r w:rsidRPr="00014C4D">
        <w:rPr>
          <w:rFonts w:ascii="David" w:eastAsia="Times New Roman" w:hAnsi="David" w:hint="cs"/>
          <w:b/>
          <w:sz w:val="24"/>
          <w:rtl/>
        </w:rPr>
        <w:t>,</w:t>
      </w:r>
      <w:r w:rsidRPr="00014C4D">
        <w:rPr>
          <w:rFonts w:ascii="David" w:eastAsia="Times New Roman" w:hAnsi="David"/>
          <w:b/>
          <w:sz w:val="24"/>
          <w:rtl/>
        </w:rPr>
        <w:t xml:space="preserve"> המקלטים הציבוריים משמשים בעיקר כמחסה </w:t>
      </w:r>
      <w:r w:rsidRPr="00014C4D">
        <w:rPr>
          <w:rFonts w:ascii="David" w:eastAsia="Times New Roman" w:hAnsi="David" w:hint="cs"/>
          <w:b/>
          <w:sz w:val="24"/>
          <w:rtl/>
        </w:rPr>
        <w:t>לעוברי אורח</w:t>
      </w:r>
      <w:r w:rsidRPr="00014C4D">
        <w:rPr>
          <w:rFonts w:ascii="David" w:eastAsia="Times New Roman" w:hAnsi="David"/>
          <w:b/>
          <w:sz w:val="24"/>
          <w:rtl/>
        </w:rPr>
        <w:t>.</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בניגוד לטענת עיריית </w:t>
      </w:r>
      <w:r w:rsidRPr="00014C4D">
        <w:rPr>
          <w:rFonts w:hint="cs"/>
          <w:b/>
          <w:bCs/>
          <w:rtl/>
        </w:rPr>
        <w:t>אשקלון</w:t>
      </w:r>
      <w:r w:rsidRPr="00014C4D">
        <w:rPr>
          <w:rFonts w:hint="cs"/>
          <w:rtl/>
        </w:rPr>
        <w:t xml:space="preserve"> שהמקלטים הציבוריים משמשים בעיקר כמחסה לעוברי אורח, </w:t>
      </w:r>
      <w:r w:rsidRPr="00014C4D">
        <w:rPr>
          <w:rtl/>
        </w:rPr>
        <w:t xml:space="preserve">מ-99 </w:t>
      </w:r>
      <w:r w:rsidRPr="00014C4D">
        <w:rPr>
          <w:rFonts w:hint="cs"/>
          <w:rtl/>
        </w:rPr>
        <w:t>תלונות</w:t>
      </w:r>
      <w:r w:rsidRPr="00014C4D">
        <w:rPr>
          <w:rtl/>
        </w:rPr>
        <w:t xml:space="preserve"> שקבלה עיריית אשקלון מתושבי</w:t>
      </w:r>
      <w:r w:rsidRPr="00014C4D">
        <w:rPr>
          <w:rFonts w:hint="cs"/>
          <w:rtl/>
        </w:rPr>
        <w:t xml:space="preserve"> אשקלון</w:t>
      </w:r>
      <w:r w:rsidRPr="00014C4D">
        <w:rPr>
          <w:rtl/>
        </w:rPr>
        <w:t xml:space="preserve"> בתקופה שבין 19.10.23 ועד 25.1.24 לגבי מקלטים ציבוריים עולה</w:t>
      </w:r>
      <w:r w:rsidRPr="00014C4D">
        <w:rPr>
          <w:rFonts w:hint="cs"/>
          <w:rtl/>
        </w:rPr>
        <w:t xml:space="preserve"> כי</w:t>
      </w:r>
      <w:r w:rsidRPr="00014C4D">
        <w:rPr>
          <w:rtl/>
        </w:rPr>
        <w:t xml:space="preserve"> </w:t>
      </w:r>
      <w:r w:rsidRPr="00014C4D">
        <w:rPr>
          <w:rFonts w:hint="cs"/>
          <w:rtl/>
        </w:rPr>
        <w:t xml:space="preserve">התושבים </w:t>
      </w:r>
      <w:r w:rsidRPr="00014C4D">
        <w:rPr>
          <w:rtl/>
        </w:rPr>
        <w:t>רצו ל</w:t>
      </w:r>
      <w:r w:rsidRPr="00014C4D">
        <w:rPr>
          <w:rFonts w:hint="cs"/>
          <w:rtl/>
        </w:rPr>
        <w:t>עשות שימוש</w:t>
      </w:r>
      <w:r w:rsidRPr="00014C4D">
        <w:rPr>
          <w:rtl/>
        </w:rPr>
        <w:t xml:space="preserve"> במקלטים הציבוריים</w:t>
      </w:r>
      <w:r w:rsidRPr="00014C4D">
        <w:rPr>
          <w:rFonts w:hint="cs"/>
          <w:rtl/>
        </w:rPr>
        <w:t xml:space="preserve"> בעת הצורך.</w:t>
      </w:r>
      <w:r w:rsidRPr="00014C4D">
        <w:rPr>
          <w:rtl/>
        </w:rPr>
        <w:t xml:space="preserve"> </w:t>
      </w:r>
      <w:r w:rsidRPr="00014C4D">
        <w:rPr>
          <w:rFonts w:hint="cs"/>
          <w:rtl/>
        </w:rPr>
        <w:t>התושבים התלוננו על ליקויים במקלטים</w:t>
      </w:r>
      <w:r w:rsidRPr="00014C4D">
        <w:rPr>
          <w:rtl/>
        </w:rPr>
        <w:t xml:space="preserve"> כגון: הצפות מים במקלטים, ה</w:t>
      </w:r>
      <w:r w:rsidRPr="00014C4D">
        <w:rPr>
          <w:rFonts w:hint="cs"/>
          <w:rtl/>
        </w:rPr>
        <w:t>י</w:t>
      </w:r>
      <w:r w:rsidRPr="00014C4D">
        <w:rPr>
          <w:rtl/>
        </w:rPr>
        <w:t>עדר חשמל, מקלטים לא נקיים</w:t>
      </w:r>
      <w:r w:rsidRPr="00014C4D">
        <w:rPr>
          <w:rFonts w:hint="cs"/>
          <w:rtl/>
        </w:rPr>
        <w:t>, מקלט נעול.</w:t>
      </w:r>
      <w:r w:rsidRPr="00014C4D">
        <w:rPr>
          <w:rtl/>
        </w:rPr>
        <w:t xml:space="preserve"> כך לדוגמ</w:t>
      </w:r>
      <w:r w:rsidRPr="00014C4D">
        <w:rPr>
          <w:rFonts w:hint="cs"/>
          <w:rtl/>
        </w:rPr>
        <w:t>ה</w:t>
      </w:r>
      <w:r w:rsidRPr="00014C4D">
        <w:rPr>
          <w:rtl/>
        </w:rPr>
        <w:t xml:space="preserve"> באחת התלונות </w:t>
      </w:r>
      <w:r w:rsidRPr="00014C4D">
        <w:rPr>
          <w:rFonts w:hint="cs"/>
          <w:rtl/>
        </w:rPr>
        <w:t>ביקש התושב לפנות</w:t>
      </w:r>
      <w:r w:rsidRPr="00014C4D">
        <w:rPr>
          <w:rtl/>
        </w:rPr>
        <w:t xml:space="preserve"> את הציוד של החוג </w:t>
      </w:r>
      <w:r w:rsidRPr="00014C4D">
        <w:rPr>
          <w:rFonts w:hint="cs"/>
          <w:rtl/>
        </w:rPr>
        <w:t xml:space="preserve">שמתקיים במקלט השכונתי על מנת </w:t>
      </w:r>
      <w:r w:rsidRPr="00014C4D">
        <w:rPr>
          <w:rtl/>
        </w:rPr>
        <w:t>שבמקרה של אזעקה יהיה מקום לתושבים לשהות שם</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eastAsiaTheme="majorEastAsia" w:hint="eastAsia"/>
          <w:bCs/>
          <w:spacing w:val="40"/>
          <w:rtl/>
        </w:rPr>
        <w:t>ב</w:t>
      </w:r>
      <w:r w:rsidRPr="00014C4D">
        <w:rPr>
          <w:rFonts w:eastAsiaTheme="majorEastAsia" w:hint="cs"/>
          <w:bCs/>
          <w:spacing w:val="40"/>
          <w:rtl/>
        </w:rPr>
        <w:t>י</w:t>
      </w:r>
      <w:r w:rsidRPr="00014C4D">
        <w:rPr>
          <w:rFonts w:eastAsiaTheme="majorEastAsia" w:hint="eastAsia"/>
          <w:bCs/>
          <w:spacing w:val="40"/>
          <w:rtl/>
        </w:rPr>
        <w:t>ענה</w:t>
      </w:r>
      <w:r w:rsidRPr="00014C4D">
        <w:rPr>
          <w:rFonts w:eastAsiaTheme="majorEastAsia" w:hint="cs"/>
          <w:bCs/>
          <w:spacing w:val="40"/>
          <w:rtl/>
        </w:rPr>
        <w:t>:</w:t>
      </w:r>
      <w:r w:rsidRPr="00014C4D">
        <w:rPr>
          <w:rFonts w:hint="cs"/>
          <w:rtl/>
        </w:rPr>
        <w:t xml:space="preserve"> במועצה המקומית ביענה אין כלל מקלטים ציבוריים.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יצוין כי בהנחיות תורת המיגון</w:t>
      </w:r>
      <w:r w:rsidRPr="00014C4D">
        <w:rPr>
          <w:rFonts w:hint="cs"/>
          <w:b/>
          <w:bCs/>
          <w:rtl/>
        </w:rPr>
        <w:t xml:space="preserve"> של פקע"ר</w:t>
      </w:r>
      <w:r w:rsidRPr="00014C4D">
        <w:rPr>
          <w:b/>
          <w:bCs/>
          <w:rtl/>
        </w:rPr>
        <w:t xml:space="preserve"> </w:t>
      </w:r>
      <w:r w:rsidRPr="00014C4D">
        <w:rPr>
          <w:rFonts w:hint="cs"/>
          <w:b/>
          <w:bCs/>
          <w:rtl/>
        </w:rPr>
        <w:t>צוין שיש</w:t>
      </w:r>
      <w:r w:rsidRPr="00014C4D">
        <w:rPr>
          <w:b/>
          <w:bCs/>
          <w:rtl/>
        </w:rPr>
        <w:t xml:space="preserve"> מחסור ניכר במקלטים ציבוריים ביישובים הלא</w:t>
      </w:r>
      <w:r w:rsidRPr="00014C4D">
        <w:rPr>
          <w:rFonts w:hint="cs"/>
          <w:b/>
          <w:bCs/>
          <w:rtl/>
        </w:rPr>
        <w:t>-</w:t>
      </w:r>
      <w:r w:rsidRPr="00014C4D">
        <w:rPr>
          <w:b/>
          <w:bCs/>
          <w:rtl/>
        </w:rPr>
        <w:t>יהודיים</w:t>
      </w:r>
      <w:r w:rsidRPr="00014C4D">
        <w:rPr>
          <w:rFonts w:hint="cs"/>
          <w:b/>
          <w:bCs/>
          <w:rtl/>
        </w:rPr>
        <w:t>,</w:t>
      </w:r>
      <w:r w:rsidRPr="00014C4D">
        <w:rPr>
          <w:b/>
          <w:bCs/>
          <w:rtl/>
        </w:rPr>
        <w:t xml:space="preserve"> וכי </w:t>
      </w:r>
      <w:r w:rsidRPr="00014C4D">
        <w:rPr>
          <w:rFonts w:hint="cs"/>
          <w:b/>
          <w:bCs/>
          <w:rtl/>
        </w:rPr>
        <w:t xml:space="preserve">פריסתם של </w:t>
      </w:r>
      <w:r w:rsidRPr="00014C4D">
        <w:rPr>
          <w:b/>
          <w:bCs/>
          <w:rtl/>
        </w:rPr>
        <w:t>המקלטים הקיימים מוגבלת ו</w:t>
      </w:r>
      <w:r w:rsidRPr="00014C4D">
        <w:rPr>
          <w:rFonts w:hint="cs"/>
          <w:b/>
          <w:bCs/>
          <w:rtl/>
        </w:rPr>
        <w:t xml:space="preserve">הם </w:t>
      </w:r>
      <w:r w:rsidRPr="00014C4D">
        <w:rPr>
          <w:b/>
          <w:bCs/>
          <w:rtl/>
        </w:rPr>
        <w:t>אינם גדולים דיים.</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eastAsia="Times New Roman" w:hAnsi="David"/>
          <w:sz w:val="24"/>
          <w:rtl/>
        </w:rPr>
      </w:pPr>
      <w:r w:rsidRPr="00014C4D">
        <w:rPr>
          <w:rFonts w:eastAsiaTheme="majorEastAsia" w:hint="eastAsia"/>
          <w:bCs/>
          <w:spacing w:val="40"/>
          <w:rtl/>
        </w:rPr>
        <w:t>גבעתיים</w:t>
      </w:r>
      <w:r w:rsidRPr="00014C4D">
        <w:rPr>
          <w:rFonts w:eastAsiaTheme="majorEastAsia" w:hint="cs"/>
          <w:bCs/>
          <w:spacing w:val="40"/>
          <w:rtl/>
        </w:rPr>
        <w:t>:</w:t>
      </w:r>
      <w:r w:rsidRPr="00014C4D">
        <w:rPr>
          <w:rFonts w:ascii="David" w:eastAsia="Times New Roman" w:hAnsi="David" w:hint="cs"/>
          <w:sz w:val="24"/>
          <w:rtl/>
        </w:rPr>
        <w:t xml:space="preserve"> עיריית גבעתיים מסרה באפריל 2024 כי חסרים שני מקלטים ציבוריים. כמו כן 18 המקלטים הציבוריים הקיימים אינם פותרים את הבעיה של חלק מ-10,163 התושבים שאין בביתם אמצעי מיגון מפני שהם מרוחקים מבתיהם. יצוין כי עיריית גבעתיים רכשה ארבע מיגוניות לאחר תחילת המלחמה.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t>הגלבוע</w:t>
      </w:r>
      <w:r w:rsidRPr="00014C4D">
        <w:rPr>
          <w:rFonts w:eastAsiaTheme="majorEastAsia" w:hint="cs"/>
          <w:bCs/>
          <w:spacing w:val="40"/>
          <w:rtl/>
        </w:rPr>
        <w:t>:</w:t>
      </w:r>
      <w:r w:rsidRPr="00014C4D">
        <w:rPr>
          <w:rFonts w:hint="cs"/>
          <w:rtl/>
        </w:rPr>
        <w:t xml:space="preserve"> בחמישה יישובים במועצה האזורית הגלבוע (טייבה בעמק, נאעורה, מקבילה, טמרה זועבייה בעמק יזרעאל וסנדלה), שמספר תושביהם נכון לסוף שנת 2023 הוא 12,434</w:t>
      </w:r>
      <w:r w:rsidRPr="00014C4D">
        <w:rPr>
          <w:vertAlign w:val="superscript"/>
          <w:rtl/>
        </w:rPr>
        <w:footnoteReference w:id="48"/>
      </w:r>
      <w:r w:rsidRPr="00014C4D">
        <w:rPr>
          <w:rFonts w:hint="cs"/>
          <w:rtl/>
        </w:rPr>
        <w:t xml:space="preserve">, אין כלל מקלטים ציבוריים.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hint="cs"/>
          <w:rtl/>
        </w:rPr>
        <w:t>המועצה האזורית הגלבוע מסרה לעובדי משרד מבקר המדינה בספטמבר 2024 כי "המקלוט ביישובי המגזר הערבי הינו בחוסר מובנה, ואינו כולל מקלוט כלל, למעט ממ"דים משנת 1992 ואילך".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eastAsia="Times New Roman"/>
          <w:rtl/>
        </w:rPr>
      </w:pPr>
      <w:r w:rsidRPr="00014C4D">
        <w:rPr>
          <w:rFonts w:hint="cs"/>
          <w:rtl/>
        </w:rPr>
        <w:t xml:space="preserve">לאחר תחילת המלחמה, באוקטובר 2023, רכשה המועצה האזורית הגלבוע 26 צינורות מיגון והציבה אותם ב-15 מתוך 34 היישובים שבתחומה כפתרון למחסור במקלטים ציבוריים. אף לא אחד מהם הוצב ביישובים הערביים האמורים לעיל. יצוין כי כל אחד מהצינורות שבגלבוע יכול להכיל עד עשרה תושבים, ולפיכך הם </w:t>
      </w:r>
      <w:r w:rsidRPr="00014C4D">
        <w:rPr>
          <w:rFonts w:hint="eastAsia"/>
          <w:rtl/>
        </w:rPr>
        <w:t>נותנים</w:t>
      </w:r>
      <w:r w:rsidRPr="00014C4D">
        <w:rPr>
          <w:rFonts w:hint="cs"/>
          <w:rtl/>
        </w:rPr>
        <w:t xml:space="preserve"> מענה למיגון של 260 תושבים בלבד.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לפי פקע"ר צינורות מיגון </w:t>
      </w:r>
      <w:r w:rsidRPr="00014C4D">
        <w:rPr>
          <w:rtl/>
        </w:rPr>
        <w:t>אינ</w:t>
      </w:r>
      <w:r w:rsidRPr="00014C4D">
        <w:rPr>
          <w:rFonts w:hint="cs"/>
          <w:rtl/>
        </w:rPr>
        <w:t>ן</w:t>
      </w:r>
      <w:r w:rsidRPr="00014C4D">
        <w:rPr>
          <w:rtl/>
        </w:rPr>
        <w:t xml:space="preserve"> בגדר מרחב מוגן תקני, </w:t>
      </w:r>
      <w:r w:rsidRPr="00014C4D">
        <w:rPr>
          <w:rFonts w:hint="cs"/>
          <w:rtl/>
        </w:rPr>
        <w:t>ו</w:t>
      </w:r>
      <w:r w:rsidRPr="00014C4D">
        <w:rPr>
          <w:rtl/>
        </w:rPr>
        <w:t>הצבת</w:t>
      </w:r>
      <w:r w:rsidRPr="00014C4D">
        <w:rPr>
          <w:rFonts w:hint="cs"/>
          <w:rtl/>
        </w:rPr>
        <w:t>ן</w:t>
      </w:r>
      <w:r w:rsidRPr="00014C4D">
        <w:rPr>
          <w:rtl/>
        </w:rPr>
        <w:t xml:space="preserve"> בשטח פרטי אינה פוטרת מהדרישה למרחב מוגן תקני לפי חוק הג"א</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cs"/>
          <w:rtl/>
        </w:rPr>
        <w:lastRenderedPageBreak/>
        <w:t xml:space="preserve">תמונה 4: </w:t>
      </w:r>
      <w:r w:rsidRPr="00014C4D">
        <w:rPr>
          <w:rFonts w:hint="cs"/>
          <w:b/>
          <w:bCs/>
          <w:rtl/>
        </w:rPr>
        <w:t xml:space="preserve">צינורות מיגון </w:t>
      </w:r>
      <w:r w:rsidRPr="00014C4D">
        <w:rPr>
          <w:rFonts w:hint="eastAsia"/>
          <w:b/>
          <w:bCs/>
          <w:rtl/>
        </w:rPr>
        <w:t>ביישוב</w:t>
      </w:r>
      <w:r w:rsidRPr="00014C4D">
        <w:rPr>
          <w:b/>
          <w:bCs/>
          <w:rtl/>
        </w:rPr>
        <w:t xml:space="preserve"> </w:t>
      </w:r>
      <w:r w:rsidRPr="00014C4D">
        <w:rPr>
          <w:rFonts w:hint="eastAsia"/>
          <w:b/>
          <w:bCs/>
          <w:rtl/>
        </w:rPr>
        <w:t>גדיש</w:t>
      </w:r>
      <w:r w:rsidRPr="00014C4D">
        <w:rPr>
          <w:rFonts w:hint="cs"/>
          <w:rtl/>
        </w:rPr>
        <w:t xml:space="preserve"> </w:t>
      </w:r>
    </w:p>
    <w:p w:rsidR="00014C4D" w:rsidRPr="00014C4D" w:rsidRDefault="00014C4D" w:rsidP="00014C4D">
      <w:pPr>
        <w:spacing w:line="269" w:lineRule="auto"/>
        <w:jc w:val="center"/>
        <w:rPr>
          <w:color w:val="FF0000"/>
          <w:rtl/>
        </w:rPr>
      </w:pPr>
      <w:r w:rsidRPr="00014C4D">
        <w:rPr>
          <w:noProof/>
          <w:color w:val="FF0000"/>
        </w:rPr>
        <w:drawing>
          <wp:inline distT="0" distB="0" distL="0" distR="0" wp14:anchorId="3E7D259C" wp14:editId="62189555">
            <wp:extent cx="4176000" cy="2350800"/>
            <wp:effectExtent l="0" t="0" r="0" b="0"/>
            <wp:docPr id="1834351646" name="תמונה 183435164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76000" cy="2350800"/>
                    </a:xfrm>
                    <a:prstGeom prst="rect">
                      <a:avLst/>
                    </a:prstGeom>
                    <a:noFill/>
                    <a:ln>
                      <a:noFill/>
                    </a:ln>
                  </pic:spPr>
                </pic:pic>
              </a:graphicData>
            </a:graphic>
          </wp:inline>
        </w:drawing>
      </w:r>
    </w:p>
    <w:p w:rsidR="00014C4D" w:rsidRPr="00014C4D" w:rsidRDefault="00014C4D" w:rsidP="00014C4D">
      <w:pPr>
        <w:spacing w:line="269" w:lineRule="auto"/>
        <w:ind w:hanging="1"/>
        <w:rPr>
          <w:rFonts w:asciiTheme="majorHAnsi" w:hAnsiTheme="majorHAnsi"/>
          <w:szCs w:val="20"/>
          <w:rtl/>
        </w:rPr>
      </w:pPr>
      <w:r w:rsidRPr="00014C4D">
        <w:rPr>
          <w:rFonts w:asciiTheme="majorHAnsi" w:hAnsiTheme="majorHAnsi" w:hint="cs"/>
          <w:szCs w:val="20"/>
          <w:rtl/>
        </w:rPr>
        <w:t>צולם על ידי צוות הביקורת ב-30.7.24</w:t>
      </w:r>
      <w:r w:rsidRPr="00014C4D">
        <w:rPr>
          <w:rFonts w:asciiTheme="majorHAnsi" w:hAnsiTheme="majorHAnsi"/>
          <w:szCs w:val="20"/>
          <w:rtl/>
        </w:rPr>
        <w:t>.</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eastAsia="Times New Roman" w:hAnsi="David"/>
          <w:sz w:val="24"/>
          <w:rtl/>
        </w:rPr>
      </w:pPr>
      <w:r w:rsidRPr="00014C4D">
        <w:rPr>
          <w:rFonts w:eastAsiaTheme="majorEastAsia" w:hint="eastAsia"/>
          <w:bCs/>
          <w:spacing w:val="40"/>
          <w:rtl/>
        </w:rPr>
        <w:t>חולון</w:t>
      </w:r>
      <w:r w:rsidRPr="00014C4D">
        <w:rPr>
          <w:rFonts w:eastAsiaTheme="majorEastAsia"/>
          <w:bCs/>
          <w:spacing w:val="40"/>
          <w:rtl/>
        </w:rPr>
        <w:t>:</w:t>
      </w:r>
      <w:r w:rsidRPr="00014C4D">
        <w:rPr>
          <w:rFonts w:ascii="David" w:eastAsia="Times New Roman" w:hAnsi="David" w:hint="cs"/>
          <w:sz w:val="24"/>
          <w:rtl/>
        </w:rPr>
        <w:t xml:space="preserve"> </w:t>
      </w:r>
      <w:r w:rsidRPr="00014C4D">
        <w:rPr>
          <w:rFonts w:hint="cs"/>
          <w:rtl/>
        </w:rPr>
        <w:t xml:space="preserve">בבתיהם של </w:t>
      </w:r>
      <w:r w:rsidRPr="00014C4D">
        <w:rPr>
          <w:rFonts w:ascii="David" w:eastAsia="Times New Roman" w:hAnsi="David" w:hint="cs"/>
          <w:sz w:val="24"/>
          <w:rtl/>
        </w:rPr>
        <w:t>666 תושבי שכונת נאות רחל בחולון אין מיגון, ואין מקלטים ציבוריים באזורם. כמו כן לא ניתן לדעת אם המקלטים הציבוריים נותנים מענה ל-26,895 התושבים שאין בביתם אמצעי מיגון, מאחר שעיריית חולון לא מדדה את המרחקים מבנייני המגורים למקלטים הציבוריים.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מהאמור לעיל עולה כי במועצה המקומית ב</w:t>
      </w:r>
      <w:r w:rsidRPr="00014C4D">
        <w:rPr>
          <w:rFonts w:hint="cs"/>
          <w:b/>
          <w:bCs/>
          <w:rtl/>
        </w:rPr>
        <w:t>י</w:t>
      </w:r>
      <w:r w:rsidRPr="00014C4D">
        <w:rPr>
          <w:b/>
          <w:bCs/>
          <w:rtl/>
        </w:rPr>
        <w:t>ענה ובחמישה י</w:t>
      </w:r>
      <w:r w:rsidRPr="00014C4D">
        <w:rPr>
          <w:rFonts w:hint="cs"/>
          <w:b/>
          <w:bCs/>
          <w:rtl/>
        </w:rPr>
        <w:t>י</w:t>
      </w:r>
      <w:r w:rsidRPr="00014C4D">
        <w:rPr>
          <w:b/>
          <w:bCs/>
          <w:rtl/>
        </w:rPr>
        <w:t>שובים בגלבוע</w:t>
      </w:r>
      <w:r w:rsidRPr="00014C4D">
        <w:rPr>
          <w:rFonts w:hint="cs"/>
          <w:b/>
          <w:bCs/>
          <w:rtl/>
        </w:rPr>
        <w:t xml:space="preserve"> (שמתגוררת בהם אוכלוסייה מהחברה הערבית)</w:t>
      </w:r>
      <w:r w:rsidRPr="00014C4D">
        <w:rPr>
          <w:b/>
          <w:bCs/>
          <w:rtl/>
        </w:rPr>
        <w:t xml:space="preserve"> אין כלל מקלטים ציבוריים. כמו כן לחלק מ-10,163 תושבי גבעתיים שאין בביתם אמצעי מיגון, גם</w:t>
      </w:r>
      <w:r w:rsidRPr="00014C4D">
        <w:rPr>
          <w:rFonts w:hint="cs"/>
          <w:b/>
          <w:bCs/>
          <w:rtl/>
        </w:rPr>
        <w:t xml:space="preserve"> </w:t>
      </w:r>
      <w:r w:rsidRPr="00014C4D">
        <w:rPr>
          <w:b/>
          <w:bCs/>
          <w:rtl/>
        </w:rPr>
        <w:t xml:space="preserve">המקלטים הציבוריים הקיימים אינם </w:t>
      </w:r>
      <w:r w:rsidRPr="00014C4D">
        <w:rPr>
          <w:rFonts w:hint="cs"/>
          <w:b/>
          <w:bCs/>
          <w:rtl/>
        </w:rPr>
        <w:t xml:space="preserve">בגדר פתרון מפני שהם </w:t>
      </w:r>
      <w:r w:rsidRPr="00014C4D">
        <w:rPr>
          <w:b/>
          <w:bCs/>
          <w:rtl/>
        </w:rPr>
        <w:t>מרוחקים מבת</w:t>
      </w:r>
      <w:r w:rsidRPr="00014C4D">
        <w:rPr>
          <w:rFonts w:hint="cs"/>
          <w:b/>
          <w:bCs/>
          <w:rtl/>
        </w:rPr>
        <w:t>יה</w:t>
      </w:r>
      <w:r w:rsidRPr="00014C4D">
        <w:rPr>
          <w:b/>
          <w:bCs/>
          <w:rtl/>
        </w:rPr>
        <w:t xml:space="preserve">ם. לגבי 26,895 תושבי חולון שאין בביתם אמצעי מיגון לא ניתן לדעת אם המקלטים הציבוריים נותנים להם מענה, מאחר שעיריית חולון לא מדדה את המרחקים </w:t>
      </w:r>
      <w:r w:rsidRPr="00014C4D">
        <w:rPr>
          <w:rFonts w:hint="cs"/>
          <w:b/>
          <w:bCs/>
          <w:rtl/>
        </w:rPr>
        <w:t xml:space="preserve">בין </w:t>
      </w:r>
      <w:r w:rsidRPr="00014C4D">
        <w:rPr>
          <w:b/>
          <w:bCs/>
          <w:rtl/>
        </w:rPr>
        <w:t>בנייני המגורים למקלטים הציבוריים.</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מומלץ </w:t>
      </w:r>
      <w:r w:rsidRPr="00014C4D">
        <w:rPr>
          <w:rFonts w:hint="cs"/>
          <w:b/>
          <w:bCs/>
          <w:rtl/>
        </w:rPr>
        <w:t>ל</w:t>
      </w:r>
      <w:r w:rsidRPr="00014C4D">
        <w:rPr>
          <w:b/>
          <w:bCs/>
          <w:rtl/>
        </w:rPr>
        <w:t xml:space="preserve">רשויות המקומיות אשקלון, גבעתיים, חולון, </w:t>
      </w:r>
      <w:r w:rsidRPr="00014C4D">
        <w:rPr>
          <w:rFonts w:hint="cs"/>
          <w:b/>
          <w:bCs/>
          <w:rtl/>
        </w:rPr>
        <w:t xml:space="preserve">ביענה </w:t>
      </w:r>
      <w:r w:rsidRPr="00014C4D">
        <w:rPr>
          <w:b/>
          <w:bCs/>
          <w:rtl/>
        </w:rPr>
        <w:t>ו</w:t>
      </w:r>
      <w:r w:rsidRPr="00014C4D">
        <w:rPr>
          <w:rFonts w:hint="cs"/>
          <w:b/>
          <w:bCs/>
          <w:rtl/>
        </w:rPr>
        <w:t xml:space="preserve">המועצה האזורית </w:t>
      </w:r>
      <w:r w:rsidRPr="00014C4D">
        <w:rPr>
          <w:b/>
          <w:bCs/>
          <w:rtl/>
        </w:rPr>
        <w:t xml:space="preserve">הגלבוע </w:t>
      </w:r>
      <w:r w:rsidRPr="00014C4D">
        <w:rPr>
          <w:rFonts w:hint="cs"/>
          <w:b/>
          <w:bCs/>
          <w:rtl/>
        </w:rPr>
        <w:t>לבחון עם פקע"ר פתרונות מיגון שייתנו מענה לתושבים מחוסרי המיגון</w:t>
      </w:r>
      <w:r w:rsidRPr="00014C4D">
        <w:rPr>
          <w:b/>
          <w:bCs/>
          <w:rtl/>
        </w:rPr>
        <w:t>.</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ע</w:t>
      </w:r>
      <w:r w:rsidRPr="00014C4D">
        <w:rPr>
          <w:rtl/>
        </w:rPr>
        <w:t xml:space="preserve">יריית </w:t>
      </w:r>
      <w:r w:rsidRPr="00014C4D">
        <w:rPr>
          <w:b/>
          <w:bCs/>
          <w:rtl/>
        </w:rPr>
        <w:t>גבעתיים</w:t>
      </w:r>
      <w:r w:rsidRPr="00014C4D">
        <w:rPr>
          <w:rtl/>
        </w:rPr>
        <w:t xml:space="preserve"> מסרה בתשובתה כי הקצתה תקציב שנתי ייעודי בגובה של </w:t>
      </w:r>
      <w:r w:rsidRPr="00014C4D">
        <w:rPr>
          <w:rFonts w:hint="cs"/>
          <w:rtl/>
        </w:rPr>
        <w:t xml:space="preserve">כ-250,000 </w:t>
      </w:r>
      <w:r w:rsidRPr="00014C4D">
        <w:rPr>
          <w:rtl/>
        </w:rPr>
        <w:t>ש"ח לאחזקת המקלטים הציבוריים. עוד ציינה העירייה כי החל משנת 2023 גדל התקציב העירוני לנושא החירום והמיגון באופן משמעותי, ועמד על כ</w:t>
      </w:r>
      <w:r w:rsidRPr="00014C4D">
        <w:rPr>
          <w:rFonts w:hint="cs"/>
          <w:rtl/>
        </w:rPr>
        <w:t>-</w:t>
      </w:r>
      <w:r w:rsidRPr="00014C4D">
        <w:rPr>
          <w:rtl/>
        </w:rPr>
        <w:t xml:space="preserve">80 מיליון ש"ח </w:t>
      </w:r>
      <w:r w:rsidRPr="00014C4D">
        <w:rPr>
          <w:rFonts w:hint="cs"/>
          <w:rtl/>
        </w:rPr>
        <w:t>-</w:t>
      </w:r>
      <w:r w:rsidRPr="00014C4D">
        <w:rPr>
          <w:rtl/>
        </w:rPr>
        <w:t xml:space="preserve"> סכום שכלל בין היתר בניית מקלטים חדשים בבתי ספר והצבת מ</w:t>
      </w:r>
      <w:r w:rsidRPr="00014C4D">
        <w:rPr>
          <w:rFonts w:hint="cs"/>
          <w:rtl/>
        </w:rPr>
        <w:t>י</w:t>
      </w:r>
      <w:r w:rsidRPr="00014C4D">
        <w:rPr>
          <w:rtl/>
        </w:rPr>
        <w:t>גוניות במרחב הציבורי. בנוסף, הוחלט להרחיב את תקן מנהל מדור המקלטים מ</w:t>
      </w:r>
      <w:r w:rsidRPr="00014C4D">
        <w:rPr>
          <w:rFonts w:hint="cs"/>
          <w:rtl/>
        </w:rPr>
        <w:t>-</w:t>
      </w:r>
      <w:r w:rsidRPr="00014C4D">
        <w:rPr>
          <w:rtl/>
        </w:rPr>
        <w:t>50% משרה למשרה מלאה.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חולון</w:t>
      </w:r>
      <w:r w:rsidRPr="00014C4D">
        <w:rPr>
          <w:rtl/>
        </w:rPr>
        <w:t xml:space="preserve"> </w:t>
      </w:r>
      <w:r w:rsidRPr="00014C4D">
        <w:rPr>
          <w:rFonts w:hint="cs"/>
          <w:rtl/>
        </w:rPr>
        <w:t>מסרה בת</w:t>
      </w:r>
      <w:r w:rsidRPr="00014C4D">
        <w:rPr>
          <w:rtl/>
        </w:rPr>
        <w:t xml:space="preserve">שובתה </w:t>
      </w:r>
      <w:r w:rsidRPr="00014C4D">
        <w:rPr>
          <w:rFonts w:hint="cs"/>
          <w:rtl/>
        </w:rPr>
        <w:t xml:space="preserve">כי </w:t>
      </w:r>
      <w:r w:rsidRPr="00014C4D">
        <w:rPr>
          <w:rtl/>
        </w:rPr>
        <w:t xml:space="preserve">תוכנית </w:t>
      </w:r>
      <w:r w:rsidRPr="00014C4D">
        <w:rPr>
          <w:rFonts w:hint="cs"/>
          <w:rtl/>
        </w:rPr>
        <w:t>ה</w:t>
      </w:r>
      <w:r w:rsidRPr="00014C4D">
        <w:rPr>
          <w:rtl/>
        </w:rPr>
        <w:t>תמי"ר</w:t>
      </w:r>
      <w:r w:rsidRPr="00014C4D">
        <w:rPr>
          <w:rFonts w:hint="cs"/>
          <w:rtl/>
        </w:rPr>
        <w:t xml:space="preserve"> המעודכנת נותנת מענה מלא לתושבים חסרי המיגון.</w:t>
      </w:r>
    </w:p>
    <w:p w:rsidR="00014C4D" w:rsidRPr="00014C4D" w:rsidRDefault="00014C4D" w:rsidP="00014C4D">
      <w:pPr>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lastRenderedPageBreak/>
        <w:t>שימוש דו-תכליתי במקלטים 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contextualSpacing/>
        <w:rPr>
          <w:rtl/>
        </w:rPr>
      </w:pPr>
      <w:r w:rsidRPr="00014C4D">
        <w:rPr>
          <w:rtl/>
        </w:rPr>
        <w:t xml:space="preserve">במפרט להחזקת מקלטים ציבוריים שפרסם פקע"ר במרץ 2011 </w:t>
      </w:r>
      <w:r w:rsidRPr="00014C4D">
        <w:rPr>
          <w:rFonts w:hint="cs"/>
          <w:rtl/>
        </w:rPr>
        <w:t>אשר עודכן ב"מנחה לתחזוקת מקלטים ולשימוש דו-תכליתי במקלטים ברשויות המקומיות" מיוני 2024 (להלן - מפרט להחזקת מקלטים ציבוריים) צוין כי פקע</w:t>
      </w:r>
      <w:r w:rsidRPr="00014C4D">
        <w:rPr>
          <w:rtl/>
        </w:rPr>
        <w:t>"</w:t>
      </w:r>
      <w:r w:rsidRPr="00014C4D">
        <w:rPr>
          <w:rFonts w:hint="cs"/>
          <w:rtl/>
        </w:rPr>
        <w:t>ר מעודד שימוש דו-תכליתי במקלטים</w:t>
      </w:r>
      <w:r w:rsidRPr="00014C4D">
        <w:rPr>
          <w:vertAlign w:val="superscript"/>
          <w:rtl/>
        </w:rPr>
        <w:footnoteReference w:id="49"/>
      </w:r>
      <w:r w:rsidRPr="00014C4D">
        <w:rPr>
          <w:rFonts w:hint="cs"/>
          <w:rtl/>
        </w:rPr>
        <w:t xml:space="preserve"> במטרה לשפר את רמת תחזוקתם.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מלוח 4 עולה כי שיעור המקלטים הדו-תכליתיים מכלל המקלטים הציבוריים שב</w:t>
      </w:r>
      <w:r w:rsidRPr="00014C4D">
        <w:rPr>
          <w:rFonts w:hint="cs"/>
          <w:b/>
          <w:bCs/>
          <w:rtl/>
        </w:rPr>
        <w:t>אשקלון</w:t>
      </w:r>
      <w:r w:rsidRPr="00014C4D">
        <w:rPr>
          <w:rFonts w:hint="cs"/>
          <w:rtl/>
        </w:rPr>
        <w:t xml:space="preserve">, </w:t>
      </w:r>
      <w:r w:rsidRPr="00014C4D">
        <w:rPr>
          <w:rFonts w:hint="cs"/>
          <w:b/>
          <w:bCs/>
          <w:rtl/>
        </w:rPr>
        <w:t>גבעתיים</w:t>
      </w:r>
      <w:r w:rsidRPr="00014C4D">
        <w:rPr>
          <w:rFonts w:hint="cs"/>
          <w:rtl/>
        </w:rPr>
        <w:t xml:space="preserve">, </w:t>
      </w:r>
      <w:r w:rsidRPr="00014C4D">
        <w:rPr>
          <w:rFonts w:hint="cs"/>
          <w:b/>
          <w:bCs/>
          <w:rtl/>
        </w:rPr>
        <w:t xml:space="preserve">חולון והגלבוע </w:t>
      </w:r>
      <w:r w:rsidRPr="00014C4D">
        <w:rPr>
          <w:rFonts w:hint="cs"/>
          <w:rtl/>
        </w:rPr>
        <w:t>הוא בין 35% ל-83%.</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על פי נתוני המועצה האזורית </w:t>
      </w:r>
      <w:r w:rsidRPr="00014C4D">
        <w:rPr>
          <w:rFonts w:hint="eastAsia"/>
          <w:b/>
          <w:bCs/>
          <w:rtl/>
        </w:rPr>
        <w:t>הגלבוע</w:t>
      </w:r>
      <w:r w:rsidRPr="00014C4D">
        <w:rPr>
          <w:rFonts w:hint="cs"/>
          <w:rtl/>
        </w:rPr>
        <w:t xml:space="preserve"> יש בתחומה 180 מקלטים ציבוריים</w:t>
      </w:r>
      <w:r w:rsidRPr="00014C4D">
        <w:rPr>
          <w:rFonts w:ascii="David" w:eastAsia="Times New Roman" w:hAnsi="David" w:hint="cs"/>
          <w:sz w:val="24"/>
          <w:rtl/>
        </w:rPr>
        <w:t xml:space="preserve"> ומהם 10 אינם שמישים.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בידי המועצה האזורית הגלבוע אין מידע על מצבם של 13 מהמקלטים הציבוריים שפקע"ר לא עשה בהם ביקורת, וכי עד המועד שבו החלה בשיפוצם לאחר 8.10.23 לא היה לה מידע על השימוש הנעשה בהם.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על המועצה האזורית הגלבוע לנהל מעקב ורישום בדבר כל 170 המקלטים הציבוריים השמישים שבתחומה ובכלל זה סוג השימוש הנעשה בהם.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מומלץ לרשויות המקומיות אשקלון, גבעתיים והגלבוע ששיעור המקלטים הציבוריים הדו-תכליתיים בתחומן נע בין 35% ל-52% לעודד שימוש דו-תכליתי במקלטים הציבוריים שבתחומן, בהתאם להנחיות בעניין זה, כדי לשפר את תחזוקתם.</w:t>
      </w:r>
    </w:p>
    <w:p w:rsidR="00014C4D" w:rsidRPr="00014C4D" w:rsidRDefault="00014C4D" w:rsidP="00014C4D">
      <w:pPr>
        <w:spacing w:line="269" w:lineRule="auto"/>
        <w:ind w:left="-567"/>
        <w:rPr>
          <w:szCs w:val="20"/>
          <w:highlight w:val="yellow"/>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תחזוקת המקלטים הציבוריים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green"/>
          <w:rtl/>
        </w:rPr>
      </w:pPr>
      <w:r w:rsidRPr="00014C4D">
        <w:rPr>
          <w:rFonts w:hint="cs"/>
          <w:rtl/>
        </w:rPr>
        <w:t>בתקנה 3א לתקנות ההתגוננות האזרחית (השתתפות רשויות מקומיות), התשט"ז-1955, נקבע</w:t>
      </w:r>
      <w:r w:rsidRPr="00014C4D">
        <w:rPr>
          <w:vertAlign w:val="superscript"/>
          <w:rtl/>
        </w:rPr>
        <w:footnoteReference w:id="50"/>
      </w:r>
      <w:r w:rsidRPr="00014C4D">
        <w:rPr>
          <w:rFonts w:hint="cs"/>
          <w:rtl/>
        </w:rPr>
        <w:t xml:space="preserve"> כי אם היו בתחומה של הרשות המקומית ציוד או מתקן המשמשים, או שנועדו לשמש, לצורך התגוננות אזרחית, היא חייבת לשמור על שלמות הציוד או המתקן, להחזיקם במצב תקין ובאופן שיש בו כדי למנוע נזק לאדם או לרכוש וכן לתקן על חשבונה כל קלקול או נזק בציוד או במתקן. בסעיף 3ג לתקנות נקבע כי אם היו בתחום רשות מקומית מקלט ציבורי או מחסה ציבורי, יחולו לגביהם חובות הרשות המקומית המנויות בתקנה 3א.</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sz w:val="24"/>
          <w:rtl/>
        </w:rPr>
      </w:pPr>
      <w:r w:rsidRPr="00014C4D">
        <w:rPr>
          <w:rFonts w:ascii="David" w:hint="cs"/>
          <w:sz w:val="24"/>
          <w:rtl/>
        </w:rPr>
        <w:t xml:space="preserve">סעיף </w:t>
      </w:r>
      <w:r w:rsidRPr="00014C4D">
        <w:rPr>
          <w:rFonts w:ascii="David"/>
          <w:sz w:val="24"/>
          <w:rtl/>
        </w:rPr>
        <w:t>19</w:t>
      </w:r>
      <w:r w:rsidRPr="00014C4D">
        <w:rPr>
          <w:rFonts w:ascii="David" w:hint="cs"/>
          <w:sz w:val="24"/>
          <w:rtl/>
        </w:rPr>
        <w:t xml:space="preserve">א לחוק הג"א קובע כי שר הביטחון רשאי לקבוע בתקנות, באישור ועדת החוץ והביטחון של הכנסת, כי מחסים ציבוריים ומקלטים יצוידו בציוד שיפורט בתקנות, וכי יותקנו שלטים מתאימים המפנים אל הכניסה למחסה ציבורי או למקלט. בתוקף סמכותו התקין שר הביטחון את תקנות ההתגוננות האזרחית (ציוד ושילוט במקלטים ובמחסים ציבוריים), התשמ"א-1981 (להלן - תקנות הציוד).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sz w:val="24"/>
          <w:rtl/>
        </w:rPr>
      </w:pPr>
      <w:r w:rsidRPr="00014C4D">
        <w:rPr>
          <w:rFonts w:ascii="David" w:hint="cs"/>
          <w:sz w:val="24"/>
          <w:rtl/>
        </w:rPr>
        <w:lastRenderedPageBreak/>
        <w:t>בתיק האב לרשויות המקומיות ובתיק האב למועצות האזוריות נקבע כי חלק מהיערכות הרשות המקומית בעת שגרה בתחום המיגון הוא, בנייה ותחזוקה של מקלטים ציבוריים הנדרשים לפי חוק</w:t>
      </w:r>
      <w:r w:rsidRPr="00014C4D">
        <w:rPr>
          <w:rFonts w:ascii="David"/>
          <w:sz w:val="24"/>
          <w:vertAlign w:val="superscript"/>
          <w:rtl/>
        </w:rPr>
        <w:footnoteReference w:id="51"/>
      </w:r>
      <w:r w:rsidRPr="00014C4D">
        <w:rPr>
          <w:rFonts w:asci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b/>
          <w:bCs/>
          <w:sz w:val="24"/>
          <w:highlight w:val="green"/>
          <w:rtl/>
        </w:rPr>
      </w:pPr>
      <w:r w:rsidRPr="00014C4D">
        <w:rPr>
          <w:rFonts w:ascii="David" w:hint="cs"/>
          <w:sz w:val="24"/>
          <w:rtl/>
        </w:rPr>
        <w:t>במפרט לתחזוקת מקלטים ציבוריים נקבעו ההוראות האלה:</w:t>
      </w:r>
      <w:r w:rsidRPr="00014C4D">
        <w:rPr>
          <w:rFonts w:ascii="David" w:hint="cs"/>
          <w:b/>
          <w:bCs/>
          <w:sz w:val="24"/>
          <w:rtl/>
        </w:rPr>
        <w:t xml:space="preserve"> </w:t>
      </w:r>
      <w:r w:rsidRPr="00014C4D">
        <w:rPr>
          <w:rFonts w:ascii="David" w:hint="cs"/>
          <w:sz w:val="24"/>
          <w:rtl/>
        </w:rPr>
        <w:t>דרכי הגישה לכניסות למקלט ודרכי היציאה מיציאות החירום יהיו פנויות וחופשיות ממכשולים</w:t>
      </w:r>
      <w:r w:rsidRPr="00014C4D">
        <w:rPr>
          <w:rFonts w:ascii="David"/>
          <w:sz w:val="24"/>
          <w:vertAlign w:val="superscript"/>
          <w:rtl/>
        </w:rPr>
        <w:footnoteReference w:id="52"/>
      </w:r>
      <w:r w:rsidRPr="00014C4D">
        <w:rPr>
          <w:rFonts w:ascii="David" w:hint="cs"/>
          <w:sz w:val="24"/>
          <w:rtl/>
        </w:rPr>
        <w:t>;</w:t>
      </w:r>
      <w:r w:rsidRPr="00014C4D">
        <w:rPr>
          <w:rFonts w:ascii="David" w:hint="cs"/>
          <w:sz w:val="24"/>
        </w:rPr>
        <w:t xml:space="preserve"> </w:t>
      </w:r>
      <w:r w:rsidRPr="00014C4D">
        <w:rPr>
          <w:rFonts w:ascii="David" w:hint="cs"/>
          <w:sz w:val="24"/>
          <w:rtl/>
        </w:rPr>
        <w:t>שיפועי הקרקע מסביב למקלט יהיו מספיקים להרחקה מהירה של מים (ניקוז) מאזור המקלט;</w:t>
      </w:r>
      <w:r w:rsidRPr="00014C4D">
        <w:rPr>
          <w:rFonts w:ascii="David" w:hint="cs"/>
          <w:sz w:val="24"/>
        </w:rPr>
        <w:t xml:space="preserve"> </w:t>
      </w:r>
      <w:r w:rsidRPr="00014C4D">
        <w:rPr>
          <w:rFonts w:ascii="David" w:hint="cs"/>
          <w:sz w:val="24"/>
          <w:rtl/>
        </w:rPr>
        <w:t>המקלט יהיה נקי וחופשי מכל חפץ העלול להפריע לכניסת האנשים או למנוע שימוש בכל שטח המקלט;</w:t>
      </w:r>
      <w:r w:rsidRPr="00014C4D">
        <w:rPr>
          <w:rFonts w:ascii="David" w:hint="cs"/>
          <w:sz w:val="24"/>
        </w:rPr>
        <w:t xml:space="preserve"> </w:t>
      </w:r>
      <w:r w:rsidRPr="00014C4D">
        <w:rPr>
          <w:rFonts w:ascii="David" w:hint="cs"/>
          <w:sz w:val="24"/>
          <w:rtl/>
        </w:rPr>
        <w:t xml:space="preserve">יש לבדוק את שלמות שלד המבנה (הקירות, התקרה והרצפה) - האם קיימים סדקים, בטון חשוף, רטיבות; יש לוודא כי </w:t>
      </w:r>
      <w:r w:rsidRPr="00014C4D">
        <w:rPr>
          <w:rFonts w:ascii="David"/>
          <w:sz w:val="24"/>
          <w:rtl/>
        </w:rPr>
        <w:t>דלת המקלט ופתח המילוט נסגרים ונפתחים כיאות</w:t>
      </w:r>
      <w:r w:rsidRPr="00014C4D">
        <w:rPr>
          <w:rFonts w:ascii="David" w:hint="cs"/>
          <w:sz w:val="24"/>
          <w:rtl/>
        </w:rPr>
        <w:t xml:space="preserve"> ואטומים; יש לבדוק את תקינות תשתיות המים, החשמל והאוורור, הברז והצנרת, התאורה, פתחי האוורור, מכל המים לשתייה </w:t>
      </w:r>
      <w:r w:rsidRPr="00014C4D">
        <w:rPr>
          <w:rFonts w:ascii="David"/>
          <w:sz w:val="24"/>
        </w:rPr>
        <w:t>-</w:t>
      </w:r>
      <w:r w:rsidRPr="00014C4D">
        <w:rPr>
          <w:rFonts w:ascii="David" w:hint="cs"/>
          <w:sz w:val="24"/>
          <w:rtl/>
        </w:rPr>
        <w:t xml:space="preserve"> העשוי </w:t>
      </w:r>
      <w:r w:rsidRPr="00014C4D">
        <w:rPr>
          <w:rFonts w:asciiTheme="majorBidi" w:hAnsiTheme="majorBidi" w:cstheme="majorBidi"/>
          <w:szCs w:val="20"/>
        </w:rPr>
        <w:t>PVC</w:t>
      </w:r>
      <w:r w:rsidRPr="00014C4D">
        <w:rPr>
          <w:rFonts w:ascii="David" w:hint="cs"/>
          <w:szCs w:val="20"/>
          <w:rtl/>
        </w:rPr>
        <w:t xml:space="preserve"> </w:t>
      </w:r>
      <w:r w:rsidRPr="00014C4D">
        <w:rPr>
          <w:rFonts w:ascii="David" w:hint="cs"/>
          <w:sz w:val="24"/>
          <w:rtl/>
        </w:rPr>
        <w:t>ולא אזבסט,</w:t>
      </w:r>
      <w:r w:rsidRPr="00014C4D">
        <w:rPr>
          <w:rFonts w:ascii="David" w:hint="cs"/>
          <w:sz w:val="24"/>
        </w:rPr>
        <w:t xml:space="preserve"> </w:t>
      </w:r>
      <w:r w:rsidRPr="00014C4D">
        <w:rPr>
          <w:rFonts w:ascii="David" w:hint="cs"/>
          <w:sz w:val="24"/>
          <w:rtl/>
        </w:rPr>
        <w:t>סימון ושילוט בצבע זרחני של המקומות האלה: הכניסה למקלט, דלתות הכניסה, יציאות החירום, המפסקים, השקעים, לוח החשמל, השירותים, הכיורים, מכל מי השתייה, ציוד העזרה הראשונה, ציוד הכיבוי</w:t>
      </w:r>
      <w:r w:rsidRPr="00014C4D">
        <w:rPr>
          <w:rFonts w:ascii="David" w:eastAsia="Times New Roman" w:hAnsi="David"/>
          <w:sz w:val="24"/>
          <w:rtl/>
        </w:rPr>
        <w:t>.</w:t>
      </w:r>
      <w:r w:rsidRPr="00014C4D">
        <w:rPr>
          <w:rFonts w:ascii="David" w:eastAsia="Times New Roman" w:hAnsi="David" w:hint="cs"/>
          <w:b/>
          <w:bCs/>
          <w:sz w:val="24"/>
        </w:rPr>
        <w:t xml:space="preserve"> </w:t>
      </w:r>
      <w:r w:rsidRPr="00014C4D">
        <w:rPr>
          <w:rFonts w:hint="cs"/>
          <w:rtl/>
        </w:rPr>
        <w:t xml:space="preserve">מומלץ להתקין תשתית לחיבור תקשורת לטלפון ולאינטרנט במקלט. </w:t>
      </w:r>
    </w:p>
    <w:p w:rsidR="00014C4D" w:rsidRPr="00014C4D" w:rsidRDefault="00014C4D" w:rsidP="00014C4D">
      <w:pPr>
        <w:rPr>
          <w:highlight w:val="yellow"/>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ביקורות במקלטים הציבוריים שעשו הרשויות המקומיות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eastAsiaTheme="majorEastAsia" w:hint="eastAsia"/>
          <w:bCs/>
          <w:spacing w:val="40"/>
          <w:rtl/>
        </w:rPr>
        <w:t>אשקלון</w:t>
      </w:r>
      <w:r w:rsidRPr="00014C4D">
        <w:rPr>
          <w:rFonts w:eastAsiaTheme="majorEastAsia"/>
          <w:bCs/>
          <w:spacing w:val="40"/>
          <w:rtl/>
        </w:rPr>
        <w:t>:</w:t>
      </w:r>
      <w:r w:rsidRPr="00014C4D">
        <w:rPr>
          <w:rFonts w:hint="cs"/>
          <w:b/>
          <w:bCs/>
          <w:rtl/>
        </w:rPr>
        <w:t xml:space="preserve"> בידי עיריית אשקלון אין דוחות על ביקורת שעשתה על תחזוקת מקלטים ציבוריים בשנים 2021 - 2023.</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Calibri" w:eastAsia="Calibri" w:hAnsi="Calibri" w:cs="Arial"/>
          <w:szCs w:val="20"/>
          <w:rtl/>
        </w:rPr>
      </w:pPr>
      <w:r w:rsidRPr="00014C4D">
        <w:rPr>
          <w:rFonts w:hint="cs"/>
          <w:rtl/>
        </w:rPr>
        <w:t xml:space="preserve">עיריית </w:t>
      </w:r>
      <w:r w:rsidRPr="00014C4D">
        <w:rPr>
          <w:rFonts w:hint="eastAsia"/>
          <w:b/>
          <w:bCs/>
          <w:rtl/>
        </w:rPr>
        <w:t>אשקלון</w:t>
      </w:r>
      <w:r w:rsidRPr="00014C4D">
        <w:rPr>
          <w:rFonts w:hint="cs"/>
          <w:rtl/>
        </w:rPr>
        <w:t xml:space="preserve"> מסרה לעובדי משרד מבקר המדינה במהלך הביקורת בספטמבר 2024 כי בעקבות הביקורת החלה בבדיקת מצב הכשירות של המקלטים הציבוריים והציגה לצוות הביקורת דוח על ביקורת שנעשתה במקלט אחד.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עיריית </w:t>
      </w:r>
      <w:r w:rsidRPr="00014C4D">
        <w:rPr>
          <w:rFonts w:hint="cs"/>
          <w:b/>
          <w:bCs/>
          <w:rtl/>
        </w:rPr>
        <w:t>אשקלון</w:t>
      </w:r>
      <w:r w:rsidRPr="00014C4D">
        <w:rPr>
          <w:rFonts w:hint="cs"/>
          <w:rtl/>
        </w:rPr>
        <w:t xml:space="preserve"> מסרה בתשובתה כי </w:t>
      </w:r>
      <w:r w:rsidRPr="00014C4D">
        <w:rPr>
          <w:rtl/>
        </w:rPr>
        <w:t>תחל לתעד את בדיקות תחזוקת המקלטים הציבוריים על גבי דוחות במערכת</w:t>
      </w:r>
      <w:r w:rsidRPr="00014C4D">
        <w:rPr>
          <w:rFonts w:hint="cs"/>
          <w:rtl/>
        </w:rPr>
        <w:t xml:space="preserve"> הממוחשבת</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eastAsiaTheme="majorEastAsia" w:hint="eastAsia"/>
          <w:bCs/>
          <w:spacing w:val="40"/>
          <w:rtl/>
        </w:rPr>
        <w:t>גבעתיים</w:t>
      </w:r>
      <w:r w:rsidRPr="00014C4D">
        <w:rPr>
          <w:rFonts w:eastAsiaTheme="majorEastAsia"/>
          <w:bCs/>
          <w:spacing w:val="40"/>
          <w:rtl/>
        </w:rPr>
        <w:t>:</w:t>
      </w:r>
      <w:r w:rsidRPr="00014C4D">
        <w:rPr>
          <w:rFonts w:hint="cs"/>
          <w:rtl/>
        </w:rPr>
        <w:t xml:space="preserve"> עיריית </w:t>
      </w:r>
      <w:r w:rsidRPr="00014C4D">
        <w:rPr>
          <w:rFonts w:hint="eastAsia"/>
          <w:rtl/>
        </w:rPr>
        <w:t>גבעתיים</w:t>
      </w:r>
      <w:r w:rsidRPr="00014C4D">
        <w:rPr>
          <w:rFonts w:hint="cs"/>
          <w:b/>
          <w:bCs/>
          <w:rtl/>
        </w:rPr>
        <w:t xml:space="preserve"> </w:t>
      </w:r>
      <w:r w:rsidRPr="00014C4D">
        <w:rPr>
          <w:rFonts w:hint="cs"/>
          <w:rtl/>
        </w:rPr>
        <w:t>עורכת ביקורת על תחזוקת המקלטים הציבוריים שבתחומה מדי רבעון (ארבע פעמים בשנה).</w:t>
      </w:r>
    </w:p>
    <w:p w:rsidR="00014C4D" w:rsidRPr="00014C4D" w:rsidRDefault="00014C4D" w:rsidP="00014C4D">
      <w:pPr>
        <w:spacing w:line="269" w:lineRule="auto"/>
        <w:ind w:left="-567"/>
        <w:rPr>
          <w:szCs w:val="20"/>
        </w:rPr>
      </w:pPr>
    </w:p>
    <w:p w:rsidR="00014C4D" w:rsidRPr="00014C4D" w:rsidRDefault="00014C4D" w:rsidP="00014C4D">
      <w:pPr>
        <w:spacing w:line="269" w:lineRule="auto"/>
        <w:rPr>
          <w:rtl/>
        </w:rPr>
      </w:pPr>
      <w:r w:rsidRPr="00014C4D">
        <w:rPr>
          <w:rFonts w:eastAsiaTheme="majorEastAsia" w:hint="eastAsia"/>
          <w:bCs/>
          <w:spacing w:val="40"/>
          <w:rtl/>
        </w:rPr>
        <w:t>הגלבוע</w:t>
      </w:r>
      <w:r w:rsidRPr="00014C4D">
        <w:rPr>
          <w:rFonts w:eastAsiaTheme="majorEastAsia"/>
          <w:bCs/>
          <w:spacing w:val="40"/>
          <w:rtl/>
        </w:rPr>
        <w:t>:</w:t>
      </w:r>
      <w:r w:rsidRPr="00014C4D">
        <w:rPr>
          <w:rFonts w:hint="cs"/>
          <w:b/>
          <w:bCs/>
          <w:rtl/>
        </w:rPr>
        <w:t xml:space="preserve"> </w:t>
      </w:r>
      <w:r w:rsidRPr="00014C4D">
        <w:rPr>
          <w:rtl/>
        </w:rPr>
        <w:t xml:space="preserve">בשנת 2021 </w:t>
      </w:r>
      <w:r w:rsidRPr="00014C4D">
        <w:rPr>
          <w:rFonts w:hint="cs"/>
          <w:rtl/>
        </w:rPr>
        <w:t>עשה פקע"ר ביקורת ב-</w:t>
      </w:r>
      <w:r w:rsidRPr="00014C4D">
        <w:rPr>
          <w:rtl/>
        </w:rPr>
        <w:t>157 מתוך 1</w:t>
      </w:r>
      <w:r w:rsidRPr="00014C4D">
        <w:rPr>
          <w:rFonts w:hint="cs"/>
          <w:rtl/>
        </w:rPr>
        <w:t>7</w:t>
      </w:r>
      <w:r w:rsidRPr="00014C4D">
        <w:rPr>
          <w:rtl/>
        </w:rPr>
        <w:t xml:space="preserve">0 </w:t>
      </w:r>
      <w:r w:rsidRPr="00014C4D">
        <w:rPr>
          <w:rFonts w:hint="cs"/>
          <w:rtl/>
        </w:rPr>
        <w:t>ה</w:t>
      </w:r>
      <w:r w:rsidRPr="00014C4D">
        <w:rPr>
          <w:rtl/>
        </w:rPr>
        <w:t>מקלטים</w:t>
      </w:r>
      <w:r w:rsidRPr="00014C4D">
        <w:rPr>
          <w:rFonts w:hint="cs"/>
          <w:rtl/>
        </w:rPr>
        <w:t xml:space="preserve"> השמישים שבתחום המועצה האזורית הגלבוע ומסר את ממצאי הבדיקה למועצה.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במועצה האזורית הגלבוע לא נמצאו מסמכים המעידים על ביקורות שעשתה המועצה על מצב תחזוקת המקלטים שבתחומה לאחר הביקורת של פקע</w:t>
      </w:r>
      <w:r w:rsidRPr="00014C4D">
        <w:rPr>
          <w:b/>
          <w:bCs/>
          <w:rtl/>
        </w:rPr>
        <w:t>"</w:t>
      </w:r>
      <w:r w:rsidRPr="00014C4D">
        <w:rPr>
          <w:rFonts w:hint="cs"/>
          <w:b/>
          <w:bCs/>
          <w:rtl/>
        </w:rPr>
        <w:t>ר בשנת 2021, ולכן גם לא ניתן לדעת אם הליקויים תוקנו.</w:t>
      </w:r>
      <w:r w:rsidRPr="00014C4D">
        <w:rPr>
          <w:rFonts w:hint="cs"/>
          <w:b/>
          <w:bCs/>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lastRenderedPageBreak/>
        <w:t xml:space="preserve">המועצה האזורית </w:t>
      </w:r>
      <w:r w:rsidRPr="00014C4D">
        <w:rPr>
          <w:b/>
          <w:bCs/>
          <w:rtl/>
        </w:rPr>
        <w:t xml:space="preserve">הגלבוע </w:t>
      </w:r>
      <w:r w:rsidRPr="00014C4D">
        <w:rPr>
          <w:rFonts w:hint="cs"/>
          <w:rtl/>
        </w:rPr>
        <w:t>צירפה לתשובתה סקרים לגבי מצב המקלטים בתחומה שביצעו</w:t>
      </w:r>
      <w:r w:rsidRPr="00014C4D">
        <w:rPr>
          <w:rtl/>
        </w:rPr>
        <w:t xml:space="preserve"> </w:t>
      </w:r>
      <w:r w:rsidRPr="00014C4D">
        <w:rPr>
          <w:rFonts w:hint="cs"/>
          <w:rtl/>
        </w:rPr>
        <w:t>לאחר פרוץ המלחמה</w:t>
      </w:r>
      <w:r w:rsidRPr="00014C4D">
        <w:rPr>
          <w:rtl/>
        </w:rPr>
        <w:t xml:space="preserve"> </w:t>
      </w:r>
      <w:r w:rsidRPr="00014C4D">
        <w:rPr>
          <w:rFonts w:hint="cs"/>
          <w:rtl/>
        </w:rPr>
        <w:t>תאגיד עירוני בבעלותה</w:t>
      </w:r>
      <w:r w:rsidRPr="00014C4D">
        <w:rPr>
          <w:rtl/>
        </w:rPr>
        <w:t xml:space="preserve"> </w:t>
      </w:r>
      <w:r w:rsidRPr="00014C4D">
        <w:rPr>
          <w:rFonts w:hint="cs"/>
          <w:rtl/>
        </w:rPr>
        <w:t>ו</w:t>
      </w:r>
      <w:r w:rsidRPr="00014C4D">
        <w:rPr>
          <w:rtl/>
        </w:rPr>
        <w:t>אגף הביטחון במועצה</w:t>
      </w:r>
      <w:r w:rsidRPr="00014C4D">
        <w:rPr>
          <w:rFonts w:hint="cs"/>
          <w:rtl/>
        </w:rPr>
        <w:t>, וציינה כי</w:t>
      </w:r>
      <w:r w:rsidRPr="00014C4D">
        <w:rPr>
          <w:rtl/>
        </w:rPr>
        <w:t xml:space="preserve"> ממצאי הדוחות שימשו בסיס לקביעת סדרי העדיפויות לשיפוץ המקלטים לשנים 2024 ו</w:t>
      </w:r>
      <w:r w:rsidRPr="00014C4D">
        <w:rPr>
          <w:rFonts w:hint="cs"/>
          <w:rtl/>
        </w:rPr>
        <w:t>-</w:t>
      </w:r>
      <w:r w:rsidRPr="00014C4D">
        <w:rPr>
          <w:rtl/>
        </w:rPr>
        <w:t>2025.</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עוד מסרה המועצה בתשובתה כי החל משנת 2025 מאוישת חצי משרה ייעודית לתחזוקת המקלטים ברחבי המועצה.</w:t>
      </w:r>
    </w:p>
    <w:p w:rsidR="00014C4D" w:rsidRPr="00014C4D" w:rsidRDefault="00014C4D" w:rsidP="00014C4D">
      <w:pPr>
        <w:spacing w:line="269" w:lineRule="auto"/>
        <w:ind w:left="-567"/>
        <w:rPr>
          <w:szCs w:val="20"/>
        </w:rPr>
      </w:pPr>
    </w:p>
    <w:p w:rsidR="00014C4D" w:rsidRPr="00014C4D" w:rsidRDefault="00014C4D" w:rsidP="00014C4D">
      <w:pPr>
        <w:spacing w:line="269" w:lineRule="auto"/>
        <w:rPr>
          <w:b/>
          <w:bCs/>
          <w:rtl/>
        </w:rPr>
      </w:pPr>
      <w:r w:rsidRPr="00014C4D">
        <w:rPr>
          <w:rFonts w:eastAsiaTheme="majorEastAsia" w:hint="eastAsia"/>
          <w:bCs/>
          <w:spacing w:val="40"/>
          <w:rtl/>
        </w:rPr>
        <w:t>חולון</w:t>
      </w:r>
      <w:r w:rsidRPr="00014C4D">
        <w:rPr>
          <w:rFonts w:eastAsiaTheme="majorEastAsia"/>
          <w:bCs/>
          <w:spacing w:val="40"/>
          <w:rtl/>
        </w:rPr>
        <w:t>:</w:t>
      </w:r>
      <w:r w:rsidRPr="00014C4D">
        <w:rPr>
          <w:rFonts w:hint="cs"/>
          <w:b/>
          <w:bCs/>
          <w:rtl/>
        </w:rPr>
        <w:t xml:space="preserve"> עיריית חולון לא ביצעה ביקורות על תחזוקת מקלטים ציבוריים מינואר 2021 עד נובמבר 2022. בשנת 2023 עשתה העירייה ביקורת בכל 64 המקלטים הציבוריים שבתחומה.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b/>
          <w:bCs/>
          <w:rtl/>
        </w:rPr>
      </w:pPr>
      <w:r w:rsidRPr="00014C4D">
        <w:rPr>
          <w:rFonts w:hint="cs"/>
          <w:b/>
          <w:bCs/>
          <w:rtl/>
        </w:rPr>
        <w:t>על עיריות אשקלון והמועצה האזורית הגלבוע לערוך ביקורות תקופתיות על מצב תחזוקת המקלטים הציבוריים שבתחומן</w:t>
      </w:r>
      <w:r w:rsidRPr="00014C4D">
        <w:rPr>
          <w:rFonts w:hint="cs"/>
          <w:rtl/>
        </w:rPr>
        <w:t xml:space="preserve"> </w:t>
      </w:r>
      <w:r w:rsidRPr="00014C4D">
        <w:rPr>
          <w:rFonts w:hint="cs"/>
          <w:b/>
          <w:bCs/>
          <w:rtl/>
        </w:rPr>
        <w:t xml:space="preserve">ולתעד את תוצאות הביקורות. </w:t>
      </w:r>
    </w:p>
    <w:p w:rsidR="00014C4D" w:rsidRPr="00014C4D" w:rsidRDefault="00014C4D" w:rsidP="00014C4D">
      <w:pPr>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 xml:space="preserve">ממצאי ביקורת משרד מבקר המדינה בבדיקה של 26 מקלטים ציבוריים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בבדיקה של תחזוקת מקלטים ציבוריים שעשו עובדי משרד מבקר המדינה במהלך הביקורת ברשויות המקומיות מסוף מאי ועד תחילת נובמבר 2024 הועלו הממצאים שלהלן:</w:t>
      </w:r>
    </w:p>
    <w:p w:rsidR="00014C4D" w:rsidRPr="00014C4D" w:rsidRDefault="00014C4D" w:rsidP="00014C4D">
      <w:pPr>
        <w:tabs>
          <w:tab w:val="left" w:pos="424"/>
        </w:tabs>
        <w:spacing w:line="269" w:lineRule="auto"/>
        <w:rPr>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עיריית אשקלון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בניגוד להוראות המפרט לתחזוקת מקלטים ציבוריים, בחמישה מתוך עשרת המקלטים הציבוריים שנבדקו ב</w:t>
      </w:r>
      <w:r w:rsidRPr="00014C4D">
        <w:rPr>
          <w:rFonts w:hint="cs"/>
          <w:b/>
          <w:bCs/>
          <w:rtl/>
        </w:rPr>
        <w:t>אשקלון</w:t>
      </w:r>
      <w:r w:rsidRPr="00014C4D">
        <w:rPr>
          <w:rFonts w:hint="cs"/>
          <w:rtl/>
        </w:rPr>
        <w:t xml:space="preserve"> נמצאו ליקויים כלהלן: פתחי מילוט מהמקלטים החסומים בשל התקנת מזגנים, דלת יציאה חיצונית של פתח מילוט שרותכה למסגרת או צנרת מזגן העוברת דרך פתח המילוט (4 מקלטים); אין סולמות יציאה בפתחי המילוט (1) ברזל חשוף על תקרת המקלט וסימני רטיבות על התקרה (1); דלת הכניסה למקלט אינה ניתנת להזזה (1); אין חשמל (1); קיר שנבנה ללא היתר בנייה (1); אין כיורי מים וברזים (1);</w:t>
      </w:r>
      <w:r w:rsidRPr="00014C4D">
        <w:rPr>
          <w:rFonts w:hint="cs"/>
        </w:rPr>
        <w:t xml:space="preserve"> </w:t>
      </w:r>
      <w:r w:rsidRPr="00014C4D">
        <w:rPr>
          <w:rFonts w:hint="cs"/>
          <w:rtl/>
        </w:rPr>
        <w:t>מקלט מלוכלך מאוד (1); ארונות מדפים שאינם מקובעים לקיר המקלט (1). להלן תמונות שצילם צוות הביקורת ב-19.9.24:</w:t>
      </w:r>
    </w:p>
    <w:p w:rsidR="00014C4D" w:rsidRPr="00014C4D" w:rsidRDefault="00014C4D" w:rsidP="00014C4D">
      <w:pPr>
        <w:keepNext/>
        <w:keepLines/>
        <w:spacing w:line="269" w:lineRule="auto"/>
        <w:jc w:val="center"/>
        <w:rPr>
          <w:rFonts w:ascii="David" w:eastAsiaTheme="minorEastAsia" w:hAnsi="David"/>
          <w:color w:val="00B050"/>
          <w:sz w:val="24"/>
          <w:rtl/>
        </w:rPr>
      </w:pPr>
      <w:r w:rsidRPr="00014C4D">
        <w:rPr>
          <w:rFonts w:ascii="David" w:eastAsiaTheme="minorEastAsia" w:hAnsi="David" w:hint="cs"/>
          <w:sz w:val="24"/>
          <w:rtl/>
        </w:rPr>
        <w:lastRenderedPageBreak/>
        <w:t>תמונה 5:</w:t>
      </w:r>
      <w:r w:rsidRPr="00014C4D">
        <w:rPr>
          <w:rFonts w:ascii="David" w:eastAsiaTheme="minorEastAsia" w:hAnsi="David" w:hint="cs"/>
          <w:b/>
          <w:bCs/>
          <w:sz w:val="24"/>
          <w:rtl/>
        </w:rPr>
        <w:t xml:space="preserve"> </w:t>
      </w:r>
      <w:r w:rsidRPr="00014C4D">
        <w:rPr>
          <w:rFonts w:ascii="David" w:eastAsiaTheme="minorEastAsia" w:hAnsi="David"/>
          <w:b/>
          <w:bCs/>
          <w:sz w:val="24"/>
          <w:rtl/>
        </w:rPr>
        <w:t xml:space="preserve">מקלט </w:t>
      </w:r>
      <w:r w:rsidRPr="00014C4D">
        <w:rPr>
          <w:rFonts w:ascii="David" w:eastAsiaTheme="minorEastAsia" w:hAnsi="David" w:hint="cs"/>
          <w:b/>
          <w:bCs/>
          <w:sz w:val="24"/>
          <w:rtl/>
        </w:rPr>
        <w:t xml:space="preserve">בניין </w:t>
      </w:r>
      <w:r w:rsidRPr="00014C4D">
        <w:rPr>
          <w:rFonts w:ascii="David" w:eastAsiaTheme="minorEastAsia" w:hAnsi="David"/>
          <w:b/>
          <w:bCs/>
          <w:sz w:val="24"/>
          <w:rtl/>
        </w:rPr>
        <w:t>העירייה ב</w:t>
      </w:r>
      <w:r w:rsidRPr="00014C4D">
        <w:rPr>
          <w:rFonts w:ascii="David" w:eastAsiaTheme="minorEastAsia" w:hAnsi="David"/>
          <w:b/>
          <w:bCs/>
          <w:noProof/>
          <w:sz w:val="24"/>
          <w:rtl/>
        </w:rPr>
        <w:t>אשקלון</w:t>
      </w:r>
    </w:p>
    <w:p w:rsidR="00014C4D" w:rsidRPr="00014C4D" w:rsidRDefault="00014C4D" w:rsidP="00014C4D">
      <w:pPr>
        <w:keepNext/>
        <w:keepLines/>
        <w:tabs>
          <w:tab w:val="left" w:pos="424"/>
        </w:tabs>
        <w:spacing w:line="269" w:lineRule="auto"/>
        <w:jc w:val="center"/>
        <w:rPr>
          <w:color w:val="FF0000"/>
          <w:rtl/>
        </w:rPr>
      </w:pPr>
      <w:r w:rsidRPr="00014C4D">
        <w:rPr>
          <w:noProof/>
        </w:rPr>
        <w:drawing>
          <wp:inline distT="0" distB="0" distL="0" distR="0" wp14:anchorId="6425B88A" wp14:editId="16257E19">
            <wp:extent cx="4359702" cy="2458805"/>
            <wp:effectExtent l="0" t="0" r="3175" b="0"/>
            <wp:docPr id="1834351647" name="תמונה 183435164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359702" cy="2458805"/>
                    </a:xfrm>
                    <a:prstGeom prst="rect">
                      <a:avLst/>
                    </a:prstGeom>
                    <a:noFill/>
                    <a:ln>
                      <a:noFill/>
                    </a:ln>
                  </pic:spPr>
                </pic:pic>
              </a:graphicData>
            </a:graphic>
          </wp:inline>
        </w:drawing>
      </w:r>
    </w:p>
    <w:p w:rsidR="00014C4D" w:rsidRPr="00014C4D" w:rsidRDefault="00014C4D" w:rsidP="00014C4D">
      <w:pPr>
        <w:tabs>
          <w:tab w:val="left" w:pos="1133"/>
        </w:tabs>
        <w:spacing w:line="269" w:lineRule="auto"/>
        <w:rPr>
          <w:szCs w:val="20"/>
          <w:rtl/>
        </w:rPr>
      </w:pPr>
      <w:r w:rsidRPr="00014C4D">
        <w:rPr>
          <w:szCs w:val="20"/>
          <w:rtl/>
        </w:rPr>
        <w:tab/>
      </w:r>
      <w:r w:rsidRPr="00014C4D">
        <w:rPr>
          <w:rFonts w:hint="cs"/>
          <w:szCs w:val="20"/>
          <w:rtl/>
        </w:rPr>
        <w:t xml:space="preserve">ברזל חשוף וסימני רטיבות על תקרת מקלט העירייה. </w:t>
      </w:r>
    </w:p>
    <w:p w:rsidR="00014C4D" w:rsidRPr="00014C4D" w:rsidRDefault="00014C4D" w:rsidP="00014C4D">
      <w:pPr>
        <w:spacing w:line="269" w:lineRule="auto"/>
        <w:ind w:left="-567"/>
        <w:rPr>
          <w:szCs w:val="20"/>
          <w:rtl/>
        </w:rPr>
      </w:pPr>
    </w:p>
    <w:p w:rsidR="00014C4D" w:rsidRPr="00014C4D" w:rsidRDefault="00014C4D" w:rsidP="00014C4D">
      <w:pPr>
        <w:keepNext/>
        <w:keepLines/>
        <w:tabs>
          <w:tab w:val="left" w:pos="283"/>
          <w:tab w:val="left" w:pos="566"/>
          <w:tab w:val="left" w:pos="4819"/>
          <w:tab w:val="left" w:pos="5102"/>
        </w:tabs>
        <w:spacing w:line="269" w:lineRule="auto"/>
        <w:ind w:left="566" w:hanging="566"/>
        <w:jc w:val="left"/>
        <w:rPr>
          <w:rFonts w:ascii="David" w:eastAsiaTheme="minorEastAsia" w:hAnsi="David"/>
          <w:b/>
          <w:bCs/>
          <w:sz w:val="24"/>
          <w:rtl/>
        </w:rPr>
      </w:pPr>
      <w:r w:rsidRPr="00014C4D">
        <w:rPr>
          <w:rFonts w:ascii="David" w:eastAsiaTheme="minorEastAsia" w:hAnsi="David"/>
          <w:sz w:val="24"/>
          <w:rtl/>
        </w:rPr>
        <w:tab/>
      </w:r>
      <w:r w:rsidRPr="00014C4D">
        <w:rPr>
          <w:rFonts w:ascii="David" w:eastAsiaTheme="minorEastAsia" w:hAnsi="David" w:hint="eastAsia"/>
          <w:sz w:val="24"/>
          <w:rtl/>
        </w:rPr>
        <w:t>תמונה</w:t>
      </w:r>
      <w:r w:rsidRPr="00014C4D">
        <w:rPr>
          <w:rFonts w:ascii="David" w:eastAsiaTheme="minorEastAsia" w:hAnsi="David"/>
          <w:sz w:val="24"/>
          <w:rtl/>
        </w:rPr>
        <w:t xml:space="preserve"> 6</w:t>
      </w:r>
      <w:r w:rsidRPr="00014C4D">
        <w:rPr>
          <w:rFonts w:ascii="David" w:eastAsiaTheme="minorEastAsia" w:hAnsi="David" w:hint="cs"/>
          <w:sz w:val="24"/>
          <w:rtl/>
        </w:rPr>
        <w:t xml:space="preserve">: </w:t>
      </w:r>
      <w:r w:rsidRPr="00014C4D">
        <w:rPr>
          <w:rFonts w:ascii="David" w:eastAsiaTheme="minorEastAsia" w:hAnsi="David" w:hint="cs"/>
          <w:b/>
          <w:bCs/>
          <w:sz w:val="24"/>
          <w:rtl/>
        </w:rPr>
        <w:t xml:space="preserve">מקלט ציבורי מס' 419 </w:t>
      </w:r>
      <w:r w:rsidRPr="00014C4D">
        <w:rPr>
          <w:rFonts w:ascii="David" w:eastAsiaTheme="minorEastAsia" w:hAnsi="David"/>
          <w:b/>
          <w:bCs/>
          <w:sz w:val="24"/>
          <w:rtl/>
        </w:rPr>
        <w:t>ב</w:t>
      </w:r>
      <w:r w:rsidRPr="00014C4D">
        <w:rPr>
          <w:rFonts w:ascii="David" w:eastAsiaTheme="minorEastAsia" w:hAnsi="David" w:hint="cs"/>
          <w:b/>
          <w:bCs/>
          <w:sz w:val="24"/>
          <w:rtl/>
        </w:rPr>
        <w:t>אשקלון</w:t>
      </w:r>
      <w:r w:rsidRPr="00014C4D">
        <w:rPr>
          <w:rFonts w:ascii="David" w:eastAsiaTheme="minorEastAsia" w:hAnsi="David"/>
          <w:b/>
          <w:bCs/>
          <w:sz w:val="24"/>
          <w:rtl/>
        </w:rPr>
        <w:tab/>
      </w:r>
      <w:r w:rsidRPr="00014C4D">
        <w:rPr>
          <w:rFonts w:ascii="David" w:eastAsiaTheme="minorEastAsia" w:hAnsi="David"/>
          <w:b/>
          <w:bCs/>
          <w:sz w:val="24"/>
          <w:rtl/>
        </w:rPr>
        <w:tab/>
      </w:r>
      <w:r w:rsidRPr="00014C4D">
        <w:rPr>
          <w:rFonts w:ascii="David" w:eastAsiaTheme="minorEastAsia" w:hAnsi="David" w:hint="eastAsia"/>
          <w:sz w:val="24"/>
          <w:rtl/>
        </w:rPr>
        <w:t>תמונה</w:t>
      </w:r>
      <w:r w:rsidRPr="00014C4D">
        <w:rPr>
          <w:rFonts w:ascii="David" w:eastAsiaTheme="minorEastAsia" w:hAnsi="David"/>
          <w:sz w:val="24"/>
          <w:rtl/>
        </w:rPr>
        <w:t xml:space="preserve"> 7</w:t>
      </w:r>
      <w:r w:rsidRPr="00014C4D">
        <w:rPr>
          <w:rFonts w:ascii="David" w:eastAsiaTheme="minorEastAsia" w:hAnsi="David" w:hint="cs"/>
          <w:sz w:val="24"/>
          <w:rtl/>
        </w:rPr>
        <w:t>:</w:t>
      </w:r>
      <w:r w:rsidRPr="00014C4D">
        <w:rPr>
          <w:rFonts w:ascii="David" w:eastAsiaTheme="minorEastAsia" w:hAnsi="David" w:hint="cs"/>
          <w:b/>
          <w:bCs/>
          <w:sz w:val="24"/>
          <w:rtl/>
        </w:rPr>
        <w:t xml:space="preserve"> פתח מילוט במקלט 419</w:t>
      </w:r>
      <w:r w:rsidRPr="00014C4D">
        <w:rPr>
          <w:rFonts w:ascii="Tahoma" w:eastAsiaTheme="minorEastAsia" w:hAnsi="Tahoma" w:cs="Tahoma"/>
          <w:noProof/>
          <w:color w:val="365F91" w:themeColor="accent1" w:themeShade="BF"/>
          <w:sz w:val="18"/>
          <w:szCs w:val="18"/>
        </w:rPr>
        <w:drawing>
          <wp:inline distT="0" distB="0" distL="0" distR="0" wp14:anchorId="37633124" wp14:editId="7361046C">
            <wp:extent cx="1889760" cy="1761726"/>
            <wp:effectExtent l="0" t="0" r="0" b="0"/>
            <wp:docPr id="1834351648" name="תמונה 183435164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13165" cy="1783545"/>
                    </a:xfrm>
                    <a:prstGeom prst="rect">
                      <a:avLst/>
                    </a:prstGeom>
                    <a:noFill/>
                    <a:ln>
                      <a:noFill/>
                    </a:ln>
                  </pic:spPr>
                </pic:pic>
              </a:graphicData>
            </a:graphic>
          </wp:inline>
        </w:drawing>
      </w:r>
      <w:r w:rsidRPr="00014C4D">
        <w:rPr>
          <w:rFonts w:ascii="Tahoma" w:eastAsiaTheme="minorEastAsia" w:hAnsi="Tahoma" w:cs="Tahoma" w:hint="cs"/>
          <w:color w:val="365F91" w:themeColor="accent1" w:themeShade="BF"/>
          <w:sz w:val="18"/>
          <w:szCs w:val="18"/>
          <w:rtl/>
        </w:rPr>
        <w:t xml:space="preserve"> </w:t>
      </w:r>
      <w:r w:rsidRPr="00014C4D">
        <w:rPr>
          <w:rFonts w:ascii="Tahoma" w:eastAsiaTheme="minorEastAsia" w:hAnsi="Tahoma" w:cs="Tahoma"/>
          <w:color w:val="365F91" w:themeColor="accent1" w:themeShade="BF"/>
          <w:sz w:val="18"/>
          <w:szCs w:val="18"/>
          <w:rtl/>
        </w:rPr>
        <w:tab/>
      </w:r>
      <w:r w:rsidRPr="00014C4D">
        <w:rPr>
          <w:rFonts w:ascii="Tahoma" w:eastAsiaTheme="minorEastAsia" w:hAnsi="Tahoma" w:cs="Tahoma" w:hint="cs"/>
          <w:color w:val="365F91" w:themeColor="accent1" w:themeShade="BF"/>
          <w:sz w:val="18"/>
          <w:szCs w:val="18"/>
          <w:rtl/>
        </w:rPr>
        <w:t xml:space="preserve"> </w:t>
      </w:r>
      <w:r w:rsidRPr="00014C4D">
        <w:rPr>
          <w:rFonts w:ascii="Tahoma" w:eastAsiaTheme="minorEastAsia" w:hAnsi="Tahoma" w:cs="Tahoma" w:hint="cs"/>
          <w:noProof/>
          <w:color w:val="365F91" w:themeColor="accent1" w:themeShade="BF"/>
          <w:sz w:val="18"/>
          <w:szCs w:val="18"/>
        </w:rPr>
        <w:drawing>
          <wp:inline distT="0" distB="0" distL="0" distR="0" wp14:anchorId="6BF394F9" wp14:editId="7AA70A77">
            <wp:extent cx="2127885" cy="1781120"/>
            <wp:effectExtent l="0" t="0" r="5715" b="0"/>
            <wp:docPr id="1834351649" name="תמונה 183435164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48500" cy="1798376"/>
                    </a:xfrm>
                    <a:prstGeom prst="rect">
                      <a:avLst/>
                    </a:prstGeom>
                    <a:noFill/>
                    <a:ln>
                      <a:noFill/>
                    </a:ln>
                  </pic:spPr>
                </pic:pic>
              </a:graphicData>
            </a:graphic>
          </wp:inline>
        </w:drawing>
      </w:r>
    </w:p>
    <w:p w:rsidR="00014C4D" w:rsidRPr="00014C4D" w:rsidRDefault="00014C4D" w:rsidP="00014C4D">
      <w:pPr>
        <w:tabs>
          <w:tab w:val="left" w:pos="4926"/>
        </w:tabs>
        <w:spacing w:line="269" w:lineRule="auto"/>
        <w:ind w:left="283" w:firstLine="283"/>
        <w:rPr>
          <w:szCs w:val="20"/>
          <w:rtl/>
        </w:rPr>
      </w:pPr>
      <w:r w:rsidRPr="00014C4D">
        <w:rPr>
          <w:rFonts w:hint="cs"/>
          <w:szCs w:val="20"/>
          <w:rtl/>
        </w:rPr>
        <w:t>הותקן מזגן בפתח מילוט חיצוני והסורג</w:t>
      </w:r>
      <w:r w:rsidRPr="00014C4D">
        <w:rPr>
          <w:szCs w:val="20"/>
          <w:rtl/>
        </w:rPr>
        <w:tab/>
      </w:r>
      <w:r w:rsidRPr="00014C4D">
        <w:rPr>
          <w:rFonts w:hint="cs"/>
          <w:szCs w:val="20"/>
          <w:rtl/>
        </w:rPr>
        <w:t>דלת פתח מילוט פנימי חוברה למסגרת החלון.</w:t>
      </w:r>
    </w:p>
    <w:p w:rsidR="00014C4D" w:rsidRPr="00014C4D" w:rsidRDefault="00014C4D" w:rsidP="00014C4D">
      <w:pPr>
        <w:spacing w:line="269" w:lineRule="auto"/>
        <w:ind w:firstLine="566"/>
        <w:rPr>
          <w:sz w:val="18"/>
          <w:szCs w:val="18"/>
          <w:rtl/>
        </w:rPr>
      </w:pPr>
      <w:r w:rsidRPr="00014C4D">
        <w:rPr>
          <w:rFonts w:hint="cs"/>
          <w:szCs w:val="20"/>
          <w:rtl/>
        </w:rPr>
        <w:t>השמאלי רותך למסגרת פתח המילוט</w:t>
      </w:r>
      <w:r w:rsidRPr="00014C4D">
        <w:rPr>
          <w:rFonts w:hint="cs"/>
          <w:sz w:val="18"/>
          <w:szCs w:val="18"/>
          <w:rtl/>
        </w:rPr>
        <w:t xml:space="preserve"> </w:t>
      </w:r>
    </w:p>
    <w:p w:rsidR="00014C4D" w:rsidRPr="00014C4D" w:rsidRDefault="00014C4D" w:rsidP="00014C4D">
      <w:pPr>
        <w:spacing w:line="269" w:lineRule="auto"/>
        <w:rPr>
          <w:sz w:val="18"/>
          <w:szCs w:val="18"/>
          <w:rtl/>
        </w:rPr>
      </w:pPr>
      <w:r w:rsidRPr="00014C4D">
        <w:rPr>
          <w:sz w:val="18"/>
          <w:szCs w:val="18"/>
          <w:rtl/>
        </w:rPr>
        <w:tab/>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ind w:left="283"/>
        <w:jc w:val="left"/>
        <w:rPr>
          <w:rFonts w:ascii="David" w:eastAsiaTheme="minorEastAsia" w:hAnsi="David"/>
          <w:b/>
          <w:bCs/>
          <w:noProof/>
          <w:sz w:val="24"/>
          <w:rtl/>
        </w:rPr>
      </w:pPr>
      <w:r w:rsidRPr="00014C4D">
        <w:rPr>
          <w:rFonts w:ascii="David" w:eastAsiaTheme="minorEastAsia" w:hAnsi="David" w:hint="eastAsia"/>
          <w:sz w:val="24"/>
          <w:rtl/>
        </w:rPr>
        <w:lastRenderedPageBreak/>
        <w:t>תמונה</w:t>
      </w:r>
      <w:r w:rsidRPr="00014C4D">
        <w:rPr>
          <w:rFonts w:ascii="David" w:eastAsiaTheme="minorEastAsia" w:hAnsi="David"/>
          <w:sz w:val="24"/>
          <w:rtl/>
        </w:rPr>
        <w:t xml:space="preserve"> 8</w:t>
      </w:r>
      <w:r w:rsidRPr="00014C4D">
        <w:rPr>
          <w:rFonts w:ascii="David" w:eastAsiaTheme="minorEastAsia" w:hAnsi="David" w:hint="cs"/>
          <w:sz w:val="24"/>
          <w:rtl/>
        </w:rPr>
        <w:t>:</w:t>
      </w:r>
      <w:r w:rsidRPr="00014C4D">
        <w:rPr>
          <w:rFonts w:ascii="David" w:eastAsiaTheme="minorEastAsia" w:hAnsi="David"/>
          <w:sz w:val="24"/>
          <w:rtl/>
        </w:rPr>
        <w:t xml:space="preserve"> </w:t>
      </w:r>
      <w:r w:rsidRPr="00014C4D">
        <w:rPr>
          <w:rFonts w:ascii="David" w:eastAsiaTheme="minorEastAsia" w:hAnsi="David" w:hint="cs"/>
          <w:b/>
          <w:bCs/>
          <w:sz w:val="24"/>
          <w:rtl/>
        </w:rPr>
        <w:t>מקלט 222 באשקלון</w:t>
      </w:r>
      <w:r w:rsidRPr="00014C4D">
        <w:rPr>
          <w:rFonts w:ascii="David" w:eastAsiaTheme="minorEastAsia" w:hAnsi="David"/>
          <w:b/>
          <w:bCs/>
          <w:noProof/>
          <w:sz w:val="24"/>
          <w:rtl/>
        </w:rPr>
        <w:tab/>
      </w:r>
      <w:r w:rsidRPr="00014C4D">
        <w:rPr>
          <w:rFonts w:ascii="David" w:eastAsiaTheme="minorEastAsia" w:hAnsi="David"/>
          <w:b/>
          <w:bCs/>
          <w:noProof/>
          <w:sz w:val="24"/>
          <w:rtl/>
        </w:rPr>
        <w:tab/>
      </w:r>
      <w:r w:rsidRPr="00014C4D">
        <w:rPr>
          <w:rFonts w:ascii="David" w:eastAsiaTheme="minorEastAsia" w:hAnsi="David"/>
          <w:b/>
          <w:bCs/>
          <w:noProof/>
          <w:sz w:val="24"/>
          <w:rtl/>
        </w:rPr>
        <w:tab/>
      </w:r>
      <w:r w:rsidRPr="00014C4D">
        <w:rPr>
          <w:rFonts w:ascii="David" w:eastAsiaTheme="minorEastAsia" w:hAnsi="David" w:hint="eastAsia"/>
          <w:noProof/>
          <w:sz w:val="24"/>
          <w:rtl/>
        </w:rPr>
        <w:t>תמונה</w:t>
      </w:r>
      <w:r w:rsidRPr="00014C4D">
        <w:rPr>
          <w:rFonts w:ascii="David" w:eastAsiaTheme="minorEastAsia" w:hAnsi="David"/>
          <w:noProof/>
          <w:sz w:val="24"/>
          <w:rtl/>
        </w:rPr>
        <w:t xml:space="preserve"> 9: </w:t>
      </w:r>
      <w:r w:rsidRPr="00014C4D">
        <w:rPr>
          <w:rFonts w:ascii="David" w:eastAsiaTheme="minorEastAsia" w:hAnsi="David" w:hint="cs"/>
          <w:b/>
          <w:bCs/>
          <w:noProof/>
          <w:sz w:val="24"/>
          <w:rtl/>
        </w:rPr>
        <w:t>מקלט 230 באשקלון</w:t>
      </w:r>
    </w:p>
    <w:p w:rsidR="00014C4D" w:rsidRPr="00014C4D" w:rsidRDefault="00014C4D" w:rsidP="00014C4D">
      <w:pPr>
        <w:keepNext/>
        <w:keepLines/>
        <w:tabs>
          <w:tab w:val="left" w:pos="4819"/>
        </w:tabs>
        <w:spacing w:line="269" w:lineRule="auto"/>
        <w:ind w:left="195"/>
        <w:jc w:val="left"/>
        <w:rPr>
          <w:b/>
          <w:bCs/>
          <w:rtl/>
        </w:rPr>
      </w:pPr>
      <w:r w:rsidRPr="00014C4D">
        <w:rPr>
          <w:rFonts w:hint="cs"/>
          <w:noProof/>
        </w:rPr>
        <w:drawing>
          <wp:inline distT="0" distB="0" distL="0" distR="0" wp14:anchorId="75497ABA" wp14:editId="1EF62962">
            <wp:extent cx="1779905" cy="1943100"/>
            <wp:effectExtent l="0" t="0" r="0" b="0"/>
            <wp:docPr id="1834351650" name="תמונה 183435165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flipH="1">
                      <a:off x="0" y="0"/>
                      <a:ext cx="1791608" cy="1955876"/>
                    </a:xfrm>
                    <a:prstGeom prst="rect">
                      <a:avLst/>
                    </a:prstGeom>
                    <a:noFill/>
                    <a:ln>
                      <a:noFill/>
                    </a:ln>
                  </pic:spPr>
                </pic:pic>
              </a:graphicData>
            </a:graphic>
          </wp:inline>
        </w:drawing>
      </w:r>
      <w:r w:rsidRPr="00014C4D">
        <w:rPr>
          <w:b/>
          <w:bCs/>
          <w:rtl/>
        </w:rPr>
        <w:tab/>
      </w:r>
      <w:r w:rsidRPr="00014C4D">
        <w:rPr>
          <w:noProof/>
        </w:rPr>
        <w:drawing>
          <wp:inline distT="0" distB="0" distL="0" distR="0" wp14:anchorId="649E5929" wp14:editId="29CF5B74">
            <wp:extent cx="2124075" cy="1923559"/>
            <wp:effectExtent l="0" t="0" r="0" b="635"/>
            <wp:docPr id="1834351651" name="תמונה 183435165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135067" cy="1933514"/>
                    </a:xfrm>
                    <a:prstGeom prst="rect">
                      <a:avLst/>
                    </a:prstGeom>
                    <a:noFill/>
                    <a:ln>
                      <a:noFill/>
                    </a:ln>
                  </pic:spPr>
                </pic:pic>
              </a:graphicData>
            </a:graphic>
          </wp:inline>
        </w:drawing>
      </w:r>
    </w:p>
    <w:p w:rsidR="00014C4D" w:rsidRPr="00014C4D" w:rsidRDefault="00014C4D" w:rsidP="00014C4D">
      <w:pPr>
        <w:tabs>
          <w:tab w:val="left" w:pos="4819"/>
        </w:tabs>
        <w:spacing w:line="269" w:lineRule="auto"/>
        <w:ind w:left="283"/>
        <w:rPr>
          <w:szCs w:val="20"/>
          <w:rtl/>
        </w:rPr>
      </w:pPr>
      <w:r w:rsidRPr="00014C4D">
        <w:rPr>
          <w:rFonts w:hint="cs"/>
          <w:szCs w:val="20"/>
          <w:rtl/>
        </w:rPr>
        <w:t>צנרת מזגן עוברת בפתח מילוט פנימי.</w:t>
      </w:r>
      <w:r w:rsidRPr="00014C4D">
        <w:rPr>
          <w:szCs w:val="20"/>
          <w:rtl/>
        </w:rPr>
        <w:tab/>
      </w:r>
      <w:r w:rsidRPr="00014C4D">
        <w:rPr>
          <w:rFonts w:hint="cs"/>
          <w:szCs w:val="20"/>
          <w:rtl/>
        </w:rPr>
        <w:t xml:space="preserve">מזגן חוסם פתח מילוט, ופתח מילוט אחר חסום </w:t>
      </w:r>
    </w:p>
    <w:p w:rsidR="00014C4D" w:rsidRPr="00014C4D" w:rsidRDefault="00014C4D" w:rsidP="00014C4D">
      <w:pPr>
        <w:spacing w:line="269" w:lineRule="auto"/>
        <w:ind w:left="4320" w:firstLine="641"/>
        <w:rPr>
          <w:szCs w:val="20"/>
          <w:rtl/>
        </w:rPr>
      </w:pPr>
      <w:r w:rsidRPr="00014C4D">
        <w:rPr>
          <w:rFonts w:hint="cs"/>
          <w:szCs w:val="20"/>
          <w:rtl/>
        </w:rPr>
        <w:t xml:space="preserve">בדלת ובה מאוורר שלא ניתן לפתוח אותה. </w:t>
      </w:r>
    </w:p>
    <w:p w:rsidR="00014C4D" w:rsidRPr="00014C4D" w:rsidRDefault="00014C4D" w:rsidP="00014C4D">
      <w:pPr>
        <w:spacing w:line="269" w:lineRule="auto"/>
        <w:ind w:left="4320" w:firstLine="641"/>
        <w:rPr>
          <w:szCs w:val="20"/>
          <w:rtl/>
        </w:rPr>
      </w:pPr>
      <w:r w:rsidRPr="00014C4D">
        <w:rPr>
          <w:rFonts w:hint="cs"/>
          <w:szCs w:val="20"/>
          <w:rtl/>
        </w:rPr>
        <w:t>אין סולמות יציאה סמוך לפתחי המילוט.</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ind w:left="141"/>
        <w:jc w:val="left"/>
        <w:rPr>
          <w:rtl/>
        </w:rPr>
      </w:pPr>
      <w:r w:rsidRPr="00014C4D">
        <w:rPr>
          <w:rFonts w:hint="cs"/>
          <w:rtl/>
        </w:rPr>
        <w:t xml:space="preserve">תמונה 10: </w:t>
      </w:r>
      <w:r w:rsidRPr="00014C4D">
        <w:rPr>
          <w:rFonts w:hint="cs"/>
          <w:b/>
          <w:bCs/>
          <w:rtl/>
        </w:rPr>
        <w:t>מקלט</w:t>
      </w:r>
      <w:r w:rsidRPr="00014C4D">
        <w:rPr>
          <w:b/>
          <w:bCs/>
          <w:rtl/>
        </w:rPr>
        <w:t xml:space="preserve"> 230 </w:t>
      </w:r>
      <w:r w:rsidRPr="00014C4D">
        <w:rPr>
          <w:rFonts w:hint="cs"/>
          <w:b/>
          <w:bCs/>
          <w:rtl/>
        </w:rPr>
        <w:t>באשקלון</w:t>
      </w:r>
      <w:r w:rsidRPr="00014C4D">
        <w:rPr>
          <w:rtl/>
        </w:rPr>
        <w:tab/>
      </w:r>
      <w:r w:rsidRPr="00014C4D">
        <w:rPr>
          <w:rtl/>
        </w:rPr>
        <w:tab/>
      </w:r>
      <w:r w:rsidRPr="00014C4D">
        <w:rPr>
          <w:rtl/>
        </w:rPr>
        <w:tab/>
      </w:r>
      <w:r w:rsidRPr="00014C4D">
        <w:rPr>
          <w:rtl/>
        </w:rPr>
        <w:tab/>
      </w:r>
      <w:r w:rsidRPr="00014C4D">
        <w:rPr>
          <w:rFonts w:hint="cs"/>
          <w:rtl/>
        </w:rPr>
        <w:t xml:space="preserve"> תמונה 11: </w:t>
      </w:r>
      <w:r w:rsidRPr="00014C4D">
        <w:rPr>
          <w:rFonts w:hint="cs"/>
          <w:b/>
          <w:bCs/>
          <w:rtl/>
        </w:rPr>
        <w:t>מקלט</w:t>
      </w:r>
      <w:r w:rsidRPr="00014C4D">
        <w:rPr>
          <w:b/>
          <w:bCs/>
          <w:rtl/>
        </w:rPr>
        <w:t xml:space="preserve"> 326 </w:t>
      </w:r>
      <w:r w:rsidRPr="00014C4D">
        <w:rPr>
          <w:rFonts w:hint="cs"/>
          <w:b/>
          <w:bCs/>
          <w:rtl/>
        </w:rPr>
        <w:t>באשקלון</w:t>
      </w:r>
    </w:p>
    <w:p w:rsidR="00014C4D" w:rsidRPr="00014C4D" w:rsidRDefault="00014C4D" w:rsidP="00014C4D">
      <w:pPr>
        <w:spacing w:line="269" w:lineRule="auto"/>
        <w:ind w:left="141"/>
        <w:rPr>
          <w:b/>
          <w:bCs/>
          <w:rtl/>
        </w:rPr>
      </w:pPr>
      <w:r w:rsidRPr="00014C4D">
        <w:rPr>
          <w:noProof/>
        </w:rPr>
        <w:drawing>
          <wp:inline distT="0" distB="0" distL="0" distR="0" wp14:anchorId="12F437A7" wp14:editId="3E07B239">
            <wp:extent cx="1750481" cy="1638300"/>
            <wp:effectExtent l="0" t="0" r="2540" b="0"/>
            <wp:docPr id="1834351652" name="תמונה 183435165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74548" cy="1660824"/>
                    </a:xfrm>
                    <a:prstGeom prst="rect">
                      <a:avLst/>
                    </a:prstGeom>
                    <a:noFill/>
                    <a:ln>
                      <a:noFill/>
                    </a:ln>
                  </pic:spPr>
                </pic:pic>
              </a:graphicData>
            </a:graphic>
          </wp:inline>
        </w:drawing>
      </w:r>
      <w:r w:rsidRPr="00014C4D">
        <w:rPr>
          <w:b/>
          <w:bCs/>
          <w:rtl/>
        </w:rPr>
        <w:tab/>
      </w:r>
      <w:r w:rsidRPr="00014C4D">
        <w:rPr>
          <w:b/>
          <w:bCs/>
        </w:rPr>
        <w:tab/>
      </w:r>
      <w:r w:rsidRPr="00014C4D">
        <w:rPr>
          <w:b/>
          <w:bCs/>
        </w:rPr>
        <w:tab/>
      </w:r>
      <w:r w:rsidRPr="00014C4D">
        <w:rPr>
          <w:rFonts w:hint="cs"/>
          <w:noProof/>
        </w:rPr>
        <w:drawing>
          <wp:inline distT="0" distB="0" distL="0" distR="0" wp14:anchorId="484D0328" wp14:editId="4D7EF630">
            <wp:extent cx="1762125" cy="1610993"/>
            <wp:effectExtent l="0" t="0" r="0" b="8890"/>
            <wp:docPr id="1834351653" name="תמונה 183435165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770037" cy="1618227"/>
                    </a:xfrm>
                    <a:prstGeom prst="rect">
                      <a:avLst/>
                    </a:prstGeom>
                    <a:noFill/>
                    <a:ln>
                      <a:noFill/>
                    </a:ln>
                  </pic:spPr>
                </pic:pic>
              </a:graphicData>
            </a:graphic>
          </wp:inline>
        </w:drawing>
      </w:r>
      <w:r w:rsidRPr="00014C4D">
        <w:rPr>
          <w:rFonts w:hint="cs"/>
          <w:b/>
          <w:bCs/>
          <w:rtl/>
        </w:rPr>
        <w:t xml:space="preserve"> </w:t>
      </w:r>
    </w:p>
    <w:p w:rsidR="00014C4D" w:rsidRPr="00014C4D" w:rsidRDefault="00014C4D" w:rsidP="00014C4D">
      <w:pPr>
        <w:tabs>
          <w:tab w:val="left" w:pos="708"/>
          <w:tab w:val="left" w:pos="5150"/>
        </w:tabs>
        <w:spacing w:line="269" w:lineRule="auto"/>
        <w:ind w:left="141"/>
        <w:rPr>
          <w:szCs w:val="20"/>
          <w:rtl/>
        </w:rPr>
      </w:pPr>
      <w:r w:rsidRPr="00014C4D">
        <w:rPr>
          <w:szCs w:val="20"/>
          <w:rtl/>
        </w:rPr>
        <w:tab/>
      </w:r>
      <w:r w:rsidRPr="00014C4D">
        <w:rPr>
          <w:rFonts w:hint="cs"/>
          <w:szCs w:val="20"/>
          <w:rtl/>
        </w:rPr>
        <w:t>אין ברזי מים וכיורים.</w:t>
      </w:r>
      <w:r w:rsidRPr="00014C4D">
        <w:rPr>
          <w:szCs w:val="20"/>
          <w:rtl/>
        </w:rPr>
        <w:tab/>
      </w:r>
      <w:r w:rsidRPr="00014C4D">
        <w:rPr>
          <w:rFonts w:hint="cs"/>
          <w:szCs w:val="20"/>
          <w:rtl/>
        </w:rPr>
        <w:t xml:space="preserve">מקלט מלוכלך ומדיף ריחות רעים. </w:t>
      </w:r>
    </w:p>
    <w:p w:rsidR="00014C4D" w:rsidRPr="00014C4D" w:rsidRDefault="00014C4D" w:rsidP="00014C4D">
      <w:pPr>
        <w:spacing w:line="269" w:lineRule="auto"/>
        <w:rPr>
          <w:szCs w:val="20"/>
          <w:rtl/>
        </w:rPr>
      </w:pPr>
      <w:r w:rsidRPr="00014C4D">
        <w:rPr>
          <w:szCs w:val="20"/>
          <w:rtl/>
        </w:rPr>
        <w:tab/>
      </w:r>
      <w:r w:rsidRPr="00014C4D">
        <w:rPr>
          <w:szCs w:val="20"/>
          <w:rtl/>
        </w:rPr>
        <w:tab/>
      </w:r>
      <w:r w:rsidRPr="00014C4D">
        <w:rPr>
          <w:szCs w:val="20"/>
          <w:rtl/>
        </w:rPr>
        <w:tab/>
      </w:r>
      <w:r w:rsidRPr="00014C4D">
        <w:rPr>
          <w:szCs w:val="20"/>
          <w:rtl/>
        </w:rPr>
        <w:tab/>
      </w:r>
      <w:r w:rsidRPr="00014C4D">
        <w:rPr>
          <w:szCs w:val="20"/>
          <w:rtl/>
        </w:rPr>
        <w:tab/>
      </w:r>
      <w:r w:rsidRPr="00014C4D">
        <w:rPr>
          <w:szCs w:val="20"/>
          <w:rtl/>
        </w:rPr>
        <w:tab/>
      </w:r>
      <w:r w:rsidRPr="00014C4D">
        <w:rPr>
          <w:szCs w:val="20"/>
          <w:rtl/>
        </w:rPr>
        <w:tab/>
      </w:r>
      <w:r w:rsidRPr="00014C4D">
        <w:rPr>
          <w:szCs w:val="20"/>
          <w:rtl/>
        </w:rPr>
        <w:tab/>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cs"/>
          <w:rtl/>
        </w:rPr>
        <w:lastRenderedPageBreak/>
        <w:t xml:space="preserve">תמונה 12: </w:t>
      </w:r>
      <w:r w:rsidRPr="00014C4D">
        <w:rPr>
          <w:rFonts w:hint="cs"/>
          <w:b/>
          <w:bCs/>
          <w:rtl/>
        </w:rPr>
        <w:t>מקלט</w:t>
      </w:r>
      <w:r w:rsidRPr="00014C4D">
        <w:rPr>
          <w:b/>
          <w:bCs/>
          <w:rtl/>
        </w:rPr>
        <w:t xml:space="preserve"> 230 </w:t>
      </w:r>
      <w:r w:rsidRPr="00014C4D">
        <w:rPr>
          <w:rFonts w:hint="cs"/>
          <w:b/>
          <w:bCs/>
          <w:rtl/>
        </w:rPr>
        <w:t>באשקלון</w:t>
      </w:r>
    </w:p>
    <w:p w:rsidR="00014C4D" w:rsidRPr="00014C4D" w:rsidRDefault="00014C4D" w:rsidP="00014C4D">
      <w:pPr>
        <w:tabs>
          <w:tab w:val="left" w:pos="424"/>
        </w:tabs>
        <w:spacing w:line="269" w:lineRule="auto"/>
        <w:jc w:val="center"/>
        <w:rPr>
          <w:color w:val="FF0000"/>
          <w:rtl/>
        </w:rPr>
      </w:pPr>
      <w:r w:rsidRPr="00014C4D">
        <w:rPr>
          <w:noProof/>
        </w:rPr>
        <w:drawing>
          <wp:inline distT="0" distB="0" distL="0" distR="0" wp14:anchorId="1AB7756B" wp14:editId="0B204584">
            <wp:extent cx="3931200" cy="2354400"/>
            <wp:effectExtent l="0" t="0" r="0" b="8255"/>
            <wp:docPr id="1834351654" name="תמונה 183435165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l="5840"/>
                    <a:stretch>
                      <a:fillRect/>
                    </a:stretch>
                  </pic:blipFill>
                  <pic:spPr bwMode="auto">
                    <a:xfrm>
                      <a:off x="0" y="0"/>
                      <a:ext cx="3931200" cy="2354400"/>
                    </a:xfrm>
                    <a:prstGeom prst="rect">
                      <a:avLst/>
                    </a:prstGeom>
                    <a:noFill/>
                    <a:ln>
                      <a:noFill/>
                    </a:ln>
                    <a:extLst>
                      <a:ext uri="{53640926-AAD7-44D8-BBD7-CCE9431645EC}">
                        <a14:shadowObscured xmlns:a14="http://schemas.microsoft.com/office/drawing/2010/main"/>
                      </a:ext>
                    </a:extLst>
                  </pic:spPr>
                </pic:pic>
              </a:graphicData>
            </a:graphic>
          </wp:inline>
        </w:drawing>
      </w:r>
    </w:p>
    <w:p w:rsidR="00014C4D" w:rsidRPr="00014C4D" w:rsidRDefault="00014C4D" w:rsidP="00014C4D">
      <w:pPr>
        <w:spacing w:line="269" w:lineRule="auto"/>
        <w:ind w:left="-1"/>
        <w:jc w:val="left"/>
        <w:rPr>
          <w:sz w:val="16"/>
          <w:szCs w:val="20"/>
          <w:rtl/>
        </w:rPr>
      </w:pPr>
      <w:r w:rsidRPr="00014C4D">
        <w:rPr>
          <w:rFonts w:hint="cs"/>
          <w:sz w:val="16"/>
          <w:szCs w:val="20"/>
          <w:rtl/>
        </w:rPr>
        <w:t xml:space="preserve">ארונות </w:t>
      </w:r>
      <w:r w:rsidRPr="00014C4D">
        <w:rPr>
          <w:sz w:val="16"/>
          <w:szCs w:val="20"/>
          <w:rtl/>
        </w:rPr>
        <w:t xml:space="preserve">מדפים </w:t>
      </w:r>
      <w:r w:rsidRPr="00014C4D">
        <w:rPr>
          <w:rFonts w:hint="cs"/>
          <w:sz w:val="16"/>
          <w:szCs w:val="20"/>
          <w:rtl/>
        </w:rPr>
        <w:t>שאינם מקובעים לקיר ועלולים ליפול מהדף.</w:t>
      </w:r>
    </w:p>
    <w:p w:rsidR="00014C4D" w:rsidRPr="00014C4D" w:rsidRDefault="00014C4D" w:rsidP="00014C4D">
      <w:pPr>
        <w:tabs>
          <w:tab w:val="left" w:pos="424"/>
        </w:tabs>
        <w:spacing w:line="269" w:lineRule="auto"/>
        <w:rPr>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עיריית גבעתיים</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בניגוד להוראות המפרט לתחזוקת מקלטים ציבוריים, בארבעה מחמשת המקלטים הציבוריים שנבדקו ב</w:t>
      </w:r>
      <w:r w:rsidRPr="00014C4D">
        <w:rPr>
          <w:rFonts w:hint="cs"/>
          <w:b/>
          <w:bCs/>
          <w:rtl/>
        </w:rPr>
        <w:t>גבעתיים</w:t>
      </w:r>
      <w:r w:rsidRPr="00014C4D">
        <w:rPr>
          <w:rFonts w:hint="cs"/>
          <w:rtl/>
        </w:rPr>
        <w:t xml:space="preserve"> נמצאו ליקויים: סימני רטיבות על הקירות ועל התקרה (2 מקלטים); חלודה על דלת החלון (1); חוטי חשמל גלויים (1); יציאות החירום לא סומנו בצבע זרחני (1) ואי-שילוט של יציאות חירום (1). להלן תמונות שצילם צוות הביקורת ב-17.7.24:</w:t>
      </w:r>
    </w:p>
    <w:p w:rsidR="00014C4D" w:rsidRPr="00014C4D" w:rsidRDefault="00014C4D" w:rsidP="00014C4D">
      <w:pPr>
        <w:tabs>
          <w:tab w:val="left" w:pos="424"/>
        </w:tabs>
        <w:spacing w:line="269" w:lineRule="auto"/>
        <w:rPr>
          <w:rtl/>
        </w:rPr>
      </w:pPr>
    </w:p>
    <w:p w:rsidR="00014C4D" w:rsidRPr="00014C4D" w:rsidRDefault="00014C4D" w:rsidP="00014C4D">
      <w:pPr>
        <w:keepNext/>
        <w:keepLines/>
        <w:tabs>
          <w:tab w:val="left" w:pos="424"/>
        </w:tabs>
        <w:spacing w:line="269" w:lineRule="auto"/>
        <w:jc w:val="center"/>
        <w:rPr>
          <w:rtl/>
        </w:rPr>
      </w:pPr>
      <w:r w:rsidRPr="00014C4D">
        <w:rPr>
          <w:rFonts w:hint="cs"/>
          <w:rtl/>
        </w:rPr>
        <w:t>תמונה 13:</w:t>
      </w:r>
      <w:r w:rsidRPr="00014C4D">
        <w:rPr>
          <w:b/>
          <w:bCs/>
          <w:rtl/>
        </w:rPr>
        <w:t xml:space="preserve"> </w:t>
      </w:r>
      <w:r w:rsidRPr="00014C4D">
        <w:rPr>
          <w:rFonts w:hint="cs"/>
          <w:b/>
          <w:bCs/>
          <w:rtl/>
        </w:rPr>
        <w:t>מקלט</w:t>
      </w:r>
      <w:r w:rsidRPr="00014C4D">
        <w:rPr>
          <w:b/>
          <w:bCs/>
          <w:rtl/>
        </w:rPr>
        <w:t xml:space="preserve"> ברח</w:t>
      </w:r>
      <w:r w:rsidRPr="00014C4D">
        <w:rPr>
          <w:rFonts w:hint="cs"/>
          <w:b/>
          <w:bCs/>
          <w:rtl/>
        </w:rPr>
        <w:t>ו</w:t>
      </w:r>
      <w:r w:rsidRPr="00014C4D">
        <w:rPr>
          <w:b/>
          <w:bCs/>
          <w:rtl/>
        </w:rPr>
        <w:t xml:space="preserve">ב </w:t>
      </w:r>
      <w:r w:rsidRPr="00014C4D">
        <w:rPr>
          <w:rFonts w:hint="cs"/>
          <w:b/>
          <w:bCs/>
          <w:rtl/>
        </w:rPr>
        <w:t>עמישב</w:t>
      </w:r>
    </w:p>
    <w:p w:rsidR="00014C4D" w:rsidRPr="00014C4D" w:rsidRDefault="00014C4D" w:rsidP="00014C4D">
      <w:pPr>
        <w:tabs>
          <w:tab w:val="left" w:pos="424"/>
        </w:tabs>
        <w:spacing w:line="269" w:lineRule="auto"/>
        <w:jc w:val="center"/>
        <w:rPr>
          <w:rtl/>
        </w:rPr>
      </w:pPr>
      <w:r w:rsidRPr="00014C4D">
        <w:rPr>
          <w:noProof/>
        </w:rPr>
        <w:drawing>
          <wp:inline distT="0" distB="0" distL="0" distR="0" wp14:anchorId="7017A2E8" wp14:editId="55D182D6">
            <wp:extent cx="3911506" cy="2203381"/>
            <wp:effectExtent l="0" t="0" r="0" b="6985"/>
            <wp:docPr id="1834351655" name="תמונה 1834351655"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23524" cy="2210151"/>
                    </a:xfrm>
                    <a:prstGeom prst="rect">
                      <a:avLst/>
                    </a:prstGeom>
                    <a:noFill/>
                    <a:ln>
                      <a:noFill/>
                    </a:ln>
                  </pic:spPr>
                </pic:pic>
              </a:graphicData>
            </a:graphic>
          </wp:inline>
        </w:drawing>
      </w:r>
    </w:p>
    <w:p w:rsidR="00014C4D" w:rsidRPr="00014C4D" w:rsidRDefault="00014C4D" w:rsidP="00014C4D">
      <w:pPr>
        <w:spacing w:line="269" w:lineRule="auto"/>
        <w:jc w:val="left"/>
        <w:rPr>
          <w:sz w:val="16"/>
          <w:szCs w:val="20"/>
          <w:rtl/>
        </w:rPr>
      </w:pPr>
      <w:r w:rsidRPr="00014C4D">
        <w:rPr>
          <w:rFonts w:hint="cs"/>
          <w:sz w:val="16"/>
          <w:szCs w:val="20"/>
          <w:rtl/>
        </w:rPr>
        <w:t xml:space="preserve">סימני רטיבות על הקירות וחלודה על דלת החלון. </w:t>
      </w:r>
    </w:p>
    <w:p w:rsidR="00014C4D" w:rsidRPr="00014C4D" w:rsidRDefault="00014C4D" w:rsidP="00014C4D">
      <w:pPr>
        <w:tabs>
          <w:tab w:val="left" w:pos="424"/>
        </w:tabs>
        <w:spacing w:line="269" w:lineRule="auto"/>
        <w:jc w:val="center"/>
        <w:rPr>
          <w:sz w:val="16"/>
          <w:szCs w:val="20"/>
          <w:rtl/>
        </w:rPr>
      </w:pPr>
    </w:p>
    <w:p w:rsidR="00014C4D" w:rsidRPr="00014C4D" w:rsidRDefault="00014C4D" w:rsidP="00014C4D">
      <w:pPr>
        <w:keepNext/>
        <w:keepLines/>
        <w:tabs>
          <w:tab w:val="left" w:pos="424"/>
        </w:tabs>
        <w:spacing w:line="269" w:lineRule="auto"/>
        <w:jc w:val="center"/>
        <w:rPr>
          <w:b/>
          <w:bCs/>
          <w:rtl/>
        </w:rPr>
      </w:pPr>
      <w:r w:rsidRPr="00014C4D">
        <w:rPr>
          <w:rFonts w:hint="cs"/>
          <w:rtl/>
        </w:rPr>
        <w:t xml:space="preserve">תמונה 14: </w:t>
      </w:r>
      <w:r w:rsidRPr="00014C4D">
        <w:rPr>
          <w:rFonts w:hint="cs"/>
          <w:b/>
          <w:bCs/>
          <w:rtl/>
        </w:rPr>
        <w:t>מקלט</w:t>
      </w:r>
      <w:r w:rsidRPr="00014C4D">
        <w:rPr>
          <w:b/>
          <w:bCs/>
          <w:rtl/>
        </w:rPr>
        <w:t xml:space="preserve"> </w:t>
      </w:r>
      <w:r w:rsidRPr="00014C4D">
        <w:rPr>
          <w:rFonts w:hint="cs"/>
          <w:b/>
          <w:bCs/>
          <w:rtl/>
        </w:rPr>
        <w:t>ברחוב</w:t>
      </w:r>
      <w:r w:rsidRPr="00014C4D">
        <w:rPr>
          <w:b/>
          <w:bCs/>
          <w:rtl/>
        </w:rPr>
        <w:t xml:space="preserve"> </w:t>
      </w:r>
      <w:r w:rsidRPr="00014C4D">
        <w:rPr>
          <w:rFonts w:hint="cs"/>
          <w:b/>
          <w:bCs/>
          <w:rtl/>
        </w:rPr>
        <w:t>ויצו</w:t>
      </w:r>
      <w:r w:rsidRPr="00014C4D">
        <w:rPr>
          <w:b/>
          <w:bCs/>
          <w:rtl/>
        </w:rPr>
        <w:t xml:space="preserve"> 34/23</w:t>
      </w:r>
    </w:p>
    <w:p w:rsidR="00014C4D" w:rsidRPr="00014C4D" w:rsidRDefault="00014C4D" w:rsidP="00014C4D">
      <w:pPr>
        <w:tabs>
          <w:tab w:val="left" w:pos="424"/>
        </w:tabs>
        <w:spacing w:line="269" w:lineRule="auto"/>
        <w:jc w:val="center"/>
        <w:rPr>
          <w:sz w:val="16"/>
          <w:szCs w:val="20"/>
          <w:rtl/>
        </w:rPr>
      </w:pPr>
      <w:r w:rsidRPr="00014C4D">
        <w:rPr>
          <w:noProof/>
          <w:sz w:val="16"/>
          <w:szCs w:val="20"/>
        </w:rPr>
        <w:drawing>
          <wp:inline distT="0" distB="0" distL="0" distR="0" wp14:anchorId="61951C97" wp14:editId="3076A652">
            <wp:extent cx="4179600" cy="2354400"/>
            <wp:effectExtent l="0" t="0" r="0" b="8255"/>
            <wp:docPr id="1834351656" name="תמונה 1834351656"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79600" cy="2354400"/>
                    </a:xfrm>
                    <a:prstGeom prst="rect">
                      <a:avLst/>
                    </a:prstGeom>
                    <a:noFill/>
                    <a:ln>
                      <a:noFill/>
                    </a:ln>
                  </pic:spPr>
                </pic:pic>
              </a:graphicData>
            </a:graphic>
          </wp:inline>
        </w:drawing>
      </w:r>
    </w:p>
    <w:p w:rsidR="00014C4D" w:rsidRPr="00014C4D" w:rsidRDefault="00014C4D" w:rsidP="00014C4D">
      <w:pPr>
        <w:tabs>
          <w:tab w:val="left" w:pos="424"/>
        </w:tabs>
        <w:spacing w:line="269" w:lineRule="auto"/>
        <w:jc w:val="left"/>
        <w:rPr>
          <w:sz w:val="16"/>
          <w:szCs w:val="20"/>
          <w:rtl/>
        </w:rPr>
      </w:pPr>
      <w:r w:rsidRPr="00014C4D">
        <w:rPr>
          <w:sz w:val="16"/>
          <w:szCs w:val="20"/>
          <w:rtl/>
        </w:rPr>
        <w:t>חוטי חשמל גלויים.</w:t>
      </w:r>
    </w:p>
    <w:p w:rsidR="00014C4D" w:rsidRPr="00014C4D" w:rsidRDefault="00014C4D" w:rsidP="00014C4D">
      <w:pPr>
        <w:tabs>
          <w:tab w:val="left" w:pos="424"/>
        </w:tabs>
        <w:spacing w:line="269" w:lineRule="auto"/>
        <w:rPr>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המועצה האזורית הגלבוע</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בניגוד להוראות המפרט לתחזוקת מקלטים ציבוריים, בחמישה מששת המקלטים הציבוריים שנבדקו ב</w:t>
      </w:r>
      <w:r w:rsidRPr="00014C4D">
        <w:rPr>
          <w:rFonts w:hint="cs"/>
          <w:b/>
          <w:bCs/>
          <w:rtl/>
        </w:rPr>
        <w:t xml:space="preserve">גלבוע </w:t>
      </w:r>
      <w:r w:rsidRPr="00014C4D">
        <w:rPr>
          <w:rFonts w:hint="cs"/>
          <w:rtl/>
        </w:rPr>
        <w:t>נמצאו ליקויים: מקלט אחד מוצף מים ואינו שמיש, במקלט אחד אין גישה לכניסה, סימני רטיבות על הקירות והרצפה (4 מקלטים), דלתות המקלטים ויציאת החירום אינן נסגרות ויש חלודה על הדלתות של חלק מהמקלטים (5), היעדר חיבור לתשתית המים (4), היעדר חיבור למערכת הביוב (1), היעדר משאבת ביוב (1), היעדר תאורה (1), היעדר תאורת חירום (4), אי-שילוט בצבע זרחני של הכניסה למקלט, דלתות הכניסה ויציאות החירום (2), אי-שילוט בצבע זרחני של יציאות חירום (2). להלן תמונות שצילם צוות הביקורת ב-30.7.24:</w:t>
      </w:r>
    </w:p>
    <w:p w:rsidR="00014C4D" w:rsidRPr="00014C4D" w:rsidRDefault="00014C4D" w:rsidP="00014C4D">
      <w:pPr>
        <w:tabs>
          <w:tab w:val="left" w:pos="424"/>
        </w:tabs>
        <w:spacing w:line="269" w:lineRule="auto"/>
        <w:rPr>
          <w:rtl/>
        </w:rPr>
      </w:pPr>
    </w:p>
    <w:p w:rsidR="00014C4D" w:rsidRPr="00014C4D" w:rsidRDefault="00014C4D" w:rsidP="00014C4D">
      <w:pPr>
        <w:bidi w:val="0"/>
        <w:spacing w:after="200" w:line="276" w:lineRule="auto"/>
        <w:rPr>
          <w:rFonts w:eastAsiaTheme="majorEastAsia"/>
          <w:bCs/>
          <w:szCs w:val="26"/>
          <w:rtl/>
        </w:rPr>
      </w:pPr>
      <w:r w:rsidRPr="00014C4D">
        <w:rPr>
          <w:rtl/>
        </w:rPr>
        <w:br w:type="page"/>
      </w: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bCs/>
          <w:szCs w:val="26"/>
          <w:rtl/>
        </w:rPr>
        <w:lastRenderedPageBreak/>
        <w:t>מקלטים ציבוריים ביישובים בית אלפא, גדיש</w:t>
      </w:r>
      <w:r w:rsidRPr="00014C4D">
        <w:rPr>
          <w:rFonts w:eastAsiaTheme="majorEastAsia" w:hint="cs"/>
          <w:bCs/>
          <w:szCs w:val="26"/>
          <w:rtl/>
        </w:rPr>
        <w:t>,</w:t>
      </w:r>
      <w:r w:rsidRPr="00014C4D">
        <w:rPr>
          <w:rFonts w:eastAsiaTheme="majorEastAsia"/>
          <w:bCs/>
          <w:szCs w:val="26"/>
          <w:rtl/>
        </w:rPr>
        <w:t xml:space="preserve"> גבע </w:t>
      </w:r>
      <w:r w:rsidRPr="00014C4D">
        <w:rPr>
          <w:rFonts w:eastAsiaTheme="majorEastAsia" w:hint="cs"/>
          <w:bCs/>
          <w:szCs w:val="26"/>
          <w:rtl/>
        </w:rPr>
        <w:t>ו</w:t>
      </w:r>
      <w:r w:rsidRPr="00014C4D">
        <w:rPr>
          <w:rFonts w:eastAsiaTheme="majorEastAsia"/>
          <w:bCs/>
          <w:szCs w:val="26"/>
          <w:rtl/>
        </w:rPr>
        <w:t>מיטב ב</w:t>
      </w:r>
      <w:r w:rsidRPr="00014C4D">
        <w:rPr>
          <w:rFonts w:eastAsiaTheme="majorEastAsia" w:hint="cs"/>
          <w:bCs/>
          <w:szCs w:val="26"/>
          <w:rtl/>
        </w:rPr>
        <w:t>מועצה האזורית הגלבוע</w:t>
      </w:r>
    </w:p>
    <w:p w:rsidR="00014C4D" w:rsidRPr="00014C4D" w:rsidRDefault="00014C4D" w:rsidP="00014C4D">
      <w:pPr>
        <w:spacing w:line="269" w:lineRule="auto"/>
        <w:ind w:left="-567"/>
        <w:rPr>
          <w:szCs w:val="20"/>
          <w:rtl/>
        </w:rPr>
      </w:pPr>
    </w:p>
    <w:tbl>
      <w:tblPr>
        <w:tblStyle w:val="af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6"/>
      </w:tblGrid>
      <w:tr w:rsidR="00014C4D" w:rsidRPr="00014C4D" w:rsidTr="00014C4D">
        <w:tc>
          <w:tcPr>
            <w:tcW w:w="4105" w:type="dxa"/>
          </w:tcPr>
          <w:p w:rsidR="00014C4D" w:rsidRPr="00014C4D" w:rsidRDefault="00014C4D" w:rsidP="00014C4D">
            <w:pPr>
              <w:keepNext/>
              <w:keepLines/>
              <w:spacing w:line="269" w:lineRule="auto"/>
              <w:jc w:val="center"/>
              <w:rPr>
                <w:rtl/>
              </w:rPr>
            </w:pPr>
            <w:r w:rsidRPr="00014C4D">
              <w:rPr>
                <w:rtl/>
              </w:rPr>
              <w:t>תמונה 15</w:t>
            </w:r>
            <w:r w:rsidRPr="00014C4D">
              <w:rPr>
                <w:rFonts w:hint="cs"/>
                <w:rtl/>
              </w:rPr>
              <w:t>:</w:t>
            </w:r>
            <w:r w:rsidRPr="00014C4D">
              <w:rPr>
                <w:b/>
                <w:bCs/>
                <w:rtl/>
              </w:rPr>
              <w:t xml:space="preserve"> מקלט ציבורי ביישוב מיטב</w:t>
            </w:r>
          </w:p>
        </w:tc>
        <w:tc>
          <w:tcPr>
            <w:tcW w:w="4106" w:type="dxa"/>
          </w:tcPr>
          <w:p w:rsidR="00014C4D" w:rsidRPr="00014C4D" w:rsidRDefault="00014C4D" w:rsidP="00014C4D">
            <w:pPr>
              <w:keepNext/>
              <w:keepLines/>
              <w:spacing w:line="269" w:lineRule="auto"/>
              <w:jc w:val="center"/>
              <w:rPr>
                <w:rtl/>
              </w:rPr>
            </w:pPr>
            <w:r w:rsidRPr="00014C4D">
              <w:rPr>
                <w:rtl/>
              </w:rPr>
              <w:t>תמונה 16</w:t>
            </w:r>
            <w:r w:rsidRPr="00014C4D">
              <w:rPr>
                <w:rFonts w:hint="cs"/>
                <w:rtl/>
              </w:rPr>
              <w:t>:</w:t>
            </w:r>
            <w:r w:rsidRPr="00014C4D">
              <w:rPr>
                <w:b/>
                <w:bCs/>
                <w:rtl/>
              </w:rPr>
              <w:t xml:space="preserve"> מקלט ציבורי ביישוב מיטב</w:t>
            </w:r>
          </w:p>
        </w:tc>
      </w:tr>
      <w:tr w:rsidR="00014C4D" w:rsidRPr="00014C4D" w:rsidTr="00014C4D">
        <w:tc>
          <w:tcPr>
            <w:tcW w:w="4105" w:type="dxa"/>
          </w:tcPr>
          <w:p w:rsidR="00014C4D" w:rsidRPr="00014C4D" w:rsidRDefault="00014C4D" w:rsidP="00014C4D">
            <w:pPr>
              <w:keepNext/>
              <w:keepLines/>
              <w:spacing w:line="269" w:lineRule="auto"/>
              <w:jc w:val="center"/>
            </w:pPr>
            <w:r w:rsidRPr="00014C4D">
              <w:rPr>
                <w:noProof/>
              </w:rPr>
              <w:drawing>
                <wp:inline distT="0" distB="0" distL="0" distR="0" wp14:anchorId="52D76CFB" wp14:editId="2D7CC72E">
                  <wp:extent cx="1882800" cy="3340800"/>
                  <wp:effectExtent l="0" t="0" r="3175" b="0"/>
                  <wp:docPr id="1834351657" name="תמונה 1834351657"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800" cy="3340800"/>
                          </a:xfrm>
                          <a:prstGeom prst="rect">
                            <a:avLst/>
                          </a:prstGeom>
                          <a:noFill/>
                        </pic:spPr>
                      </pic:pic>
                    </a:graphicData>
                  </a:graphic>
                </wp:inline>
              </w:drawing>
            </w:r>
          </w:p>
        </w:tc>
        <w:tc>
          <w:tcPr>
            <w:tcW w:w="4106" w:type="dxa"/>
          </w:tcPr>
          <w:p w:rsidR="00014C4D" w:rsidRPr="00014C4D" w:rsidRDefault="00014C4D" w:rsidP="00014C4D">
            <w:pPr>
              <w:spacing w:line="269" w:lineRule="auto"/>
              <w:jc w:val="center"/>
            </w:pPr>
            <w:r w:rsidRPr="00014C4D">
              <w:rPr>
                <w:noProof/>
              </w:rPr>
              <w:drawing>
                <wp:inline distT="0" distB="0" distL="0" distR="0" wp14:anchorId="26F1FC11" wp14:editId="2C5FCF2D">
                  <wp:extent cx="3337200" cy="1879200"/>
                  <wp:effectExtent l="5080" t="0" r="1905" b="1905"/>
                  <wp:docPr id="1834351658" name="תמונה 1834351658"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3337200" cy="1879200"/>
                          </a:xfrm>
                          <a:prstGeom prst="rect">
                            <a:avLst/>
                          </a:prstGeom>
                          <a:noFill/>
                          <a:ln>
                            <a:noFill/>
                          </a:ln>
                        </pic:spPr>
                      </pic:pic>
                    </a:graphicData>
                  </a:graphic>
                </wp:inline>
              </w:drawing>
            </w:r>
          </w:p>
        </w:tc>
      </w:tr>
      <w:tr w:rsidR="00014C4D" w:rsidRPr="00014C4D" w:rsidTr="00014C4D">
        <w:tc>
          <w:tcPr>
            <w:tcW w:w="8211" w:type="dxa"/>
            <w:gridSpan w:val="2"/>
          </w:tcPr>
          <w:p w:rsidR="00014C4D" w:rsidRPr="00014C4D" w:rsidRDefault="00014C4D" w:rsidP="00014C4D">
            <w:pPr>
              <w:spacing w:line="269" w:lineRule="auto"/>
              <w:rPr>
                <w:rtl/>
              </w:rPr>
            </w:pPr>
            <w:r w:rsidRPr="00014C4D">
              <w:rPr>
                <w:rFonts w:hint="cs"/>
                <w:sz w:val="16"/>
                <w:szCs w:val="20"/>
                <w:rtl/>
              </w:rPr>
              <w:t xml:space="preserve">מימין: סימני רטיבות על רצפת המקלט. משמאל: נזילות מים בארון החשמל במקלט ציבורי ביישוב </w:t>
            </w:r>
            <w:r w:rsidRPr="00014C4D">
              <w:rPr>
                <w:rFonts w:hint="cs"/>
                <w:b/>
                <w:bCs/>
                <w:sz w:val="16"/>
                <w:szCs w:val="20"/>
                <w:rtl/>
              </w:rPr>
              <w:t>מיטב</w:t>
            </w:r>
            <w:r w:rsidRPr="00014C4D">
              <w:rPr>
                <w:rFonts w:hint="cs"/>
                <w:sz w:val="16"/>
                <w:szCs w:val="20"/>
                <w:rtl/>
              </w:rPr>
              <w:t xml:space="preserve"> (משק שמשון יוסף).</w:t>
            </w:r>
          </w:p>
        </w:tc>
      </w:tr>
    </w:tbl>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cs"/>
          <w:rtl/>
        </w:rPr>
        <w:lastRenderedPageBreak/>
        <w:t xml:space="preserve">תמונה 17: </w:t>
      </w:r>
      <w:r w:rsidRPr="00014C4D">
        <w:rPr>
          <w:rFonts w:hint="cs"/>
          <w:b/>
          <w:bCs/>
          <w:rtl/>
        </w:rPr>
        <w:t>מקלט ציבורי מס' 4 ביישוב</w:t>
      </w:r>
      <w:r w:rsidRPr="00014C4D">
        <w:rPr>
          <w:rFonts w:hint="cs"/>
          <w:rtl/>
        </w:rPr>
        <w:t xml:space="preserve"> </w:t>
      </w:r>
      <w:r w:rsidRPr="00014C4D">
        <w:rPr>
          <w:rFonts w:hint="cs"/>
          <w:b/>
          <w:bCs/>
          <w:rtl/>
        </w:rPr>
        <w:t>בית</w:t>
      </w:r>
      <w:r w:rsidRPr="00014C4D">
        <w:rPr>
          <w:b/>
          <w:bCs/>
          <w:rtl/>
        </w:rPr>
        <w:t xml:space="preserve"> </w:t>
      </w:r>
      <w:r w:rsidRPr="00014C4D">
        <w:rPr>
          <w:rFonts w:hint="cs"/>
          <w:b/>
          <w:bCs/>
          <w:rtl/>
        </w:rPr>
        <w:t>אלפא</w:t>
      </w:r>
    </w:p>
    <w:p w:rsidR="00014C4D" w:rsidRPr="00014C4D" w:rsidRDefault="00014C4D" w:rsidP="00014C4D">
      <w:pPr>
        <w:keepNext/>
        <w:keepLines/>
        <w:spacing w:line="269" w:lineRule="auto"/>
        <w:jc w:val="center"/>
        <w:rPr>
          <w:rtl/>
        </w:rPr>
      </w:pPr>
      <w:r w:rsidRPr="00014C4D">
        <w:rPr>
          <w:noProof/>
        </w:rPr>
        <w:drawing>
          <wp:inline distT="0" distB="0" distL="0" distR="0" wp14:anchorId="729BB142" wp14:editId="59EC2EDB">
            <wp:extent cx="4176000" cy="2350800"/>
            <wp:effectExtent l="0" t="0" r="0" b="0"/>
            <wp:docPr id="1834351659" name="תמונה 1834351659"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6000" cy="2350800"/>
                    </a:xfrm>
                    <a:prstGeom prst="rect">
                      <a:avLst/>
                    </a:prstGeom>
                    <a:noFill/>
                    <a:ln>
                      <a:noFill/>
                    </a:ln>
                  </pic:spPr>
                </pic:pic>
              </a:graphicData>
            </a:graphic>
          </wp:inline>
        </w:drawing>
      </w:r>
    </w:p>
    <w:p w:rsidR="00014C4D" w:rsidRPr="00014C4D" w:rsidRDefault="00014C4D" w:rsidP="00014C4D">
      <w:pPr>
        <w:spacing w:line="269" w:lineRule="auto"/>
        <w:ind w:left="1275"/>
        <w:jc w:val="left"/>
        <w:rPr>
          <w:sz w:val="16"/>
          <w:szCs w:val="20"/>
          <w:rtl/>
        </w:rPr>
      </w:pPr>
      <w:r w:rsidRPr="00014C4D">
        <w:rPr>
          <w:rFonts w:hint="cs"/>
          <w:sz w:val="16"/>
          <w:szCs w:val="20"/>
          <w:rtl/>
        </w:rPr>
        <w:t>סימני רטיבות על הקירות.</w:t>
      </w:r>
    </w:p>
    <w:p w:rsidR="00014C4D" w:rsidRPr="00014C4D" w:rsidRDefault="00014C4D" w:rsidP="00014C4D">
      <w:pPr>
        <w:spacing w:line="269" w:lineRule="auto"/>
        <w:rPr>
          <w:rtl/>
        </w:rPr>
      </w:pPr>
    </w:p>
    <w:tbl>
      <w:tblPr>
        <w:tblStyle w:val="af5"/>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5"/>
        <w:gridCol w:w="4106"/>
      </w:tblGrid>
      <w:tr w:rsidR="00014C4D" w:rsidRPr="00014C4D" w:rsidTr="00014C4D">
        <w:tc>
          <w:tcPr>
            <w:tcW w:w="4105" w:type="dxa"/>
          </w:tcPr>
          <w:p w:rsidR="00014C4D" w:rsidRPr="00014C4D" w:rsidRDefault="00014C4D" w:rsidP="00014C4D">
            <w:pPr>
              <w:keepNext/>
              <w:keepLines/>
              <w:spacing w:line="269" w:lineRule="auto"/>
              <w:jc w:val="center"/>
              <w:rPr>
                <w:rtl/>
              </w:rPr>
            </w:pPr>
            <w:r w:rsidRPr="00014C4D">
              <w:rPr>
                <w:rFonts w:hint="cs"/>
                <w:rtl/>
              </w:rPr>
              <w:t xml:space="preserve">תמונה 18: </w:t>
            </w:r>
            <w:r w:rsidRPr="00014C4D">
              <w:rPr>
                <w:rFonts w:hint="cs"/>
                <w:b/>
                <w:bCs/>
                <w:rtl/>
              </w:rPr>
              <w:t>מקלט</w:t>
            </w:r>
            <w:r w:rsidRPr="00014C4D">
              <w:rPr>
                <w:b/>
                <w:bCs/>
                <w:rtl/>
              </w:rPr>
              <w:t xml:space="preserve"> ציבורי</w:t>
            </w:r>
            <w:r w:rsidRPr="00014C4D">
              <w:rPr>
                <w:rFonts w:hint="cs"/>
                <w:b/>
                <w:bCs/>
                <w:rtl/>
              </w:rPr>
              <w:t xml:space="preserve"> </w:t>
            </w:r>
            <w:r w:rsidRPr="00014C4D">
              <w:rPr>
                <w:b/>
                <w:bCs/>
                <w:rtl/>
              </w:rPr>
              <w:t>ביישוב גדיש</w:t>
            </w:r>
          </w:p>
        </w:tc>
        <w:tc>
          <w:tcPr>
            <w:tcW w:w="4106" w:type="dxa"/>
          </w:tcPr>
          <w:p w:rsidR="00014C4D" w:rsidRPr="00014C4D" w:rsidRDefault="00014C4D" w:rsidP="00014C4D">
            <w:pPr>
              <w:keepNext/>
              <w:keepLines/>
              <w:spacing w:line="269" w:lineRule="auto"/>
              <w:jc w:val="center"/>
              <w:rPr>
                <w:b/>
                <w:bCs/>
                <w:rtl/>
              </w:rPr>
            </w:pPr>
            <w:r w:rsidRPr="00014C4D">
              <w:rPr>
                <w:rFonts w:hint="cs"/>
                <w:rtl/>
              </w:rPr>
              <w:t xml:space="preserve">תמונה 19: </w:t>
            </w:r>
            <w:r w:rsidRPr="00014C4D">
              <w:rPr>
                <w:rFonts w:hint="cs"/>
                <w:b/>
                <w:bCs/>
                <w:rtl/>
              </w:rPr>
              <w:t>מקלט</w:t>
            </w:r>
            <w:r w:rsidRPr="00014C4D">
              <w:rPr>
                <w:b/>
                <w:bCs/>
                <w:rtl/>
              </w:rPr>
              <w:t xml:space="preserve"> </w:t>
            </w:r>
            <w:r w:rsidRPr="00014C4D">
              <w:rPr>
                <w:rFonts w:hint="cs"/>
                <w:b/>
                <w:bCs/>
                <w:rtl/>
              </w:rPr>
              <w:t>ציבורי</w:t>
            </w:r>
            <w:r w:rsidRPr="00014C4D">
              <w:rPr>
                <w:b/>
                <w:bCs/>
                <w:rtl/>
              </w:rPr>
              <w:t xml:space="preserve"> </w:t>
            </w:r>
            <w:r w:rsidRPr="00014C4D">
              <w:rPr>
                <w:rFonts w:hint="cs"/>
                <w:b/>
                <w:bCs/>
                <w:rtl/>
              </w:rPr>
              <w:t>ביישוב</w:t>
            </w:r>
            <w:r w:rsidRPr="00014C4D">
              <w:rPr>
                <w:b/>
                <w:bCs/>
                <w:rtl/>
              </w:rPr>
              <w:t xml:space="preserve"> </w:t>
            </w:r>
            <w:r w:rsidRPr="00014C4D">
              <w:rPr>
                <w:rFonts w:hint="cs"/>
                <w:b/>
                <w:bCs/>
                <w:rtl/>
              </w:rPr>
              <w:t xml:space="preserve">גבע </w:t>
            </w:r>
          </w:p>
        </w:tc>
      </w:tr>
      <w:tr w:rsidR="00014C4D" w:rsidRPr="00014C4D" w:rsidTr="00014C4D">
        <w:tc>
          <w:tcPr>
            <w:tcW w:w="4105" w:type="dxa"/>
          </w:tcPr>
          <w:p w:rsidR="00014C4D" w:rsidRPr="00014C4D" w:rsidRDefault="00014C4D" w:rsidP="00014C4D">
            <w:pPr>
              <w:keepNext/>
              <w:keepLines/>
              <w:spacing w:line="269" w:lineRule="auto"/>
              <w:jc w:val="center"/>
            </w:pPr>
            <w:r w:rsidRPr="00014C4D">
              <w:rPr>
                <w:noProof/>
              </w:rPr>
              <w:drawing>
                <wp:inline distT="0" distB="0" distL="0" distR="0" wp14:anchorId="54CE6764" wp14:editId="0D614D62">
                  <wp:extent cx="2761489" cy="2048576"/>
                  <wp:effectExtent l="0" t="5715" r="0" b="0"/>
                  <wp:docPr id="1834351660" name="תמונה 1834351660"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9" descr="תמונה שמכילה נטוש, כיור, צינור, שרברבות&#10;&#10;התיאור נוצר באופן אוטומטי"/>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rot="5400000">
                            <a:off x="0" y="0"/>
                            <a:ext cx="2778146" cy="2060933"/>
                          </a:xfrm>
                          <a:prstGeom prst="rect">
                            <a:avLst/>
                          </a:prstGeom>
                          <a:noFill/>
                          <a:ln>
                            <a:noFill/>
                          </a:ln>
                        </pic:spPr>
                      </pic:pic>
                    </a:graphicData>
                  </a:graphic>
                </wp:inline>
              </w:drawing>
            </w:r>
          </w:p>
        </w:tc>
        <w:tc>
          <w:tcPr>
            <w:tcW w:w="4106" w:type="dxa"/>
          </w:tcPr>
          <w:p w:rsidR="00014C4D" w:rsidRPr="00014C4D" w:rsidRDefault="00014C4D" w:rsidP="00014C4D">
            <w:pPr>
              <w:spacing w:line="269" w:lineRule="auto"/>
              <w:jc w:val="center"/>
              <w:rPr>
                <w:rtl/>
              </w:rPr>
            </w:pPr>
            <w:r w:rsidRPr="00014C4D">
              <w:rPr>
                <w:noProof/>
              </w:rPr>
              <w:drawing>
                <wp:inline distT="0" distB="0" distL="0" distR="0" wp14:anchorId="68E26B36" wp14:editId="5137E2D0">
                  <wp:extent cx="2746470" cy="2091863"/>
                  <wp:effectExtent l="3493" t="0" r="317" b="318"/>
                  <wp:docPr id="1834351661" name="תמונה 1834351661"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תמונה שמכילה כיור, נטוש, צינור, גז&#10;&#10;התיאור נוצר באופן אוטומטי"/>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2770752" cy="2110358"/>
                          </a:xfrm>
                          <a:prstGeom prst="rect">
                            <a:avLst/>
                          </a:prstGeom>
                          <a:noFill/>
                          <a:ln>
                            <a:noFill/>
                          </a:ln>
                        </pic:spPr>
                      </pic:pic>
                    </a:graphicData>
                  </a:graphic>
                </wp:inline>
              </w:drawing>
            </w:r>
          </w:p>
        </w:tc>
      </w:tr>
      <w:tr w:rsidR="00014C4D" w:rsidRPr="00014C4D" w:rsidTr="00014C4D">
        <w:tc>
          <w:tcPr>
            <w:tcW w:w="4105" w:type="dxa"/>
          </w:tcPr>
          <w:p w:rsidR="00014C4D" w:rsidRPr="00014C4D" w:rsidRDefault="00014C4D" w:rsidP="00014C4D">
            <w:pPr>
              <w:spacing w:line="269" w:lineRule="auto"/>
              <w:ind w:left="303"/>
              <w:rPr>
                <w:sz w:val="16"/>
                <w:szCs w:val="20"/>
                <w:rtl/>
              </w:rPr>
            </w:pPr>
            <w:r w:rsidRPr="00014C4D">
              <w:rPr>
                <w:sz w:val="16"/>
                <w:szCs w:val="20"/>
                <w:rtl/>
              </w:rPr>
              <w:t>צנרת ביוב חלודה ורטיבות במקלט</w:t>
            </w:r>
            <w:r w:rsidRPr="00014C4D">
              <w:rPr>
                <w:rFonts w:hint="cs"/>
                <w:sz w:val="16"/>
                <w:szCs w:val="20"/>
                <w:rtl/>
              </w:rPr>
              <w:t xml:space="preserve"> </w:t>
            </w:r>
            <w:r w:rsidRPr="00014C4D">
              <w:rPr>
                <w:sz w:val="16"/>
                <w:szCs w:val="20"/>
                <w:rtl/>
              </w:rPr>
              <w:t xml:space="preserve">ביישוב גדיש </w:t>
            </w:r>
          </w:p>
          <w:p w:rsidR="00014C4D" w:rsidRPr="00014C4D" w:rsidRDefault="00014C4D" w:rsidP="00014C4D">
            <w:pPr>
              <w:spacing w:line="269" w:lineRule="auto"/>
              <w:ind w:left="303"/>
              <w:rPr>
                <w:sz w:val="16"/>
                <w:szCs w:val="20"/>
                <w:rtl/>
              </w:rPr>
            </w:pPr>
            <w:r w:rsidRPr="00014C4D">
              <w:rPr>
                <w:sz w:val="16"/>
                <w:szCs w:val="20"/>
                <w:rtl/>
              </w:rPr>
              <w:t>(ליד המועדון)</w:t>
            </w:r>
            <w:r w:rsidRPr="00014C4D">
              <w:rPr>
                <w:rFonts w:hint="cs"/>
                <w:sz w:val="16"/>
                <w:szCs w:val="20"/>
                <w:rtl/>
              </w:rPr>
              <w:t>.</w:t>
            </w:r>
            <w:r w:rsidRPr="00014C4D">
              <w:rPr>
                <w:sz w:val="16"/>
                <w:szCs w:val="20"/>
                <w:rtl/>
              </w:rPr>
              <w:t xml:space="preserve"> </w:t>
            </w:r>
          </w:p>
        </w:tc>
        <w:tc>
          <w:tcPr>
            <w:tcW w:w="4106" w:type="dxa"/>
          </w:tcPr>
          <w:p w:rsidR="00014C4D" w:rsidRPr="00014C4D" w:rsidRDefault="00014C4D" w:rsidP="00014C4D">
            <w:pPr>
              <w:spacing w:line="269" w:lineRule="auto"/>
              <w:ind w:left="314" w:right="316"/>
              <w:rPr>
                <w:sz w:val="16"/>
                <w:szCs w:val="20"/>
                <w:rtl/>
              </w:rPr>
            </w:pPr>
            <w:r w:rsidRPr="00014C4D">
              <w:rPr>
                <w:sz w:val="16"/>
                <w:szCs w:val="20"/>
                <w:rtl/>
              </w:rPr>
              <w:t>תא שירותים וכיור במקלט שליד הספרייה שאינם מחוברים למערכת הביוב ולצנרת המים</w:t>
            </w:r>
            <w:r w:rsidRPr="00014C4D">
              <w:rPr>
                <w:rFonts w:hint="cs"/>
                <w:sz w:val="16"/>
                <w:szCs w:val="20"/>
                <w:rtl/>
              </w:rPr>
              <w:t xml:space="preserve"> </w:t>
            </w:r>
            <w:r w:rsidRPr="00014C4D">
              <w:rPr>
                <w:sz w:val="16"/>
                <w:szCs w:val="20"/>
                <w:rtl/>
              </w:rPr>
              <w:t>ביישוב גבע</w:t>
            </w:r>
            <w:r w:rsidRPr="00014C4D">
              <w:rPr>
                <w:rFonts w:hint="cs"/>
                <w:sz w:val="16"/>
                <w:szCs w:val="20"/>
                <w:rtl/>
              </w:rPr>
              <w:t>.</w:t>
            </w:r>
          </w:p>
        </w:tc>
      </w:tr>
    </w:tbl>
    <w:p w:rsidR="00014C4D" w:rsidRPr="00014C4D" w:rsidRDefault="00014C4D" w:rsidP="00014C4D">
      <w:pPr>
        <w:spacing w:line="269" w:lineRule="auto"/>
        <w:ind w:left="-567"/>
        <w:rPr>
          <w:szCs w:val="20"/>
          <w:rtl/>
        </w:rPr>
      </w:pPr>
    </w:p>
    <w:p w:rsidR="00014C4D" w:rsidRPr="00014C4D" w:rsidRDefault="00014C4D" w:rsidP="00014C4D">
      <w:pPr>
        <w:bidi w:val="0"/>
        <w:spacing w:after="200" w:line="276" w:lineRule="auto"/>
        <w:rPr>
          <w:rtl/>
        </w:rPr>
      </w:pPr>
      <w:r w:rsidRPr="00014C4D">
        <w:rPr>
          <w:rtl/>
        </w:rPr>
        <w:br w:type="page"/>
      </w:r>
    </w:p>
    <w:p w:rsidR="00014C4D" w:rsidRPr="00014C4D" w:rsidRDefault="00014C4D" w:rsidP="00014C4D">
      <w:pPr>
        <w:spacing w:line="269" w:lineRule="auto"/>
        <w:rPr>
          <w:rtl/>
        </w:rPr>
      </w:pPr>
      <w:r w:rsidRPr="00014C4D">
        <w:rPr>
          <w:rFonts w:hint="cs"/>
          <w:rtl/>
        </w:rPr>
        <w:lastRenderedPageBreak/>
        <w:t xml:space="preserve">המועצה האזורית </w:t>
      </w:r>
      <w:r w:rsidRPr="00014C4D">
        <w:rPr>
          <w:rFonts w:hint="eastAsia"/>
          <w:b/>
          <w:bCs/>
          <w:rtl/>
        </w:rPr>
        <w:t>הגלבוע</w:t>
      </w:r>
      <w:r w:rsidRPr="00014C4D">
        <w:rPr>
          <w:rFonts w:hint="cs"/>
          <w:rtl/>
        </w:rPr>
        <w:t xml:space="preserve"> מסרה למשרד מבקר המדינה במהלך הביקורת בספטמבר 2024 כי רוב המקלטים הציבוריים שבתחומה נבנו בשנת 1960. במרביתם יש בעיות איטום, ניקוז וחשמל, ומצבם הוא "בכי רע". עלות השיפוץ של המקלטים גבוהה, ואין באפשרות המועצה לבצעו בתקציבים העומדים לרשותה ללא עזרה משמעותית של גורמי המדינה והביטחון.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המועצה </w:t>
      </w:r>
      <w:r w:rsidRPr="00014C4D">
        <w:rPr>
          <w:rFonts w:hint="cs"/>
          <w:rtl/>
        </w:rPr>
        <w:t xml:space="preserve">האזורית </w:t>
      </w:r>
      <w:r w:rsidRPr="00014C4D">
        <w:rPr>
          <w:rFonts w:hint="cs"/>
          <w:b/>
          <w:bCs/>
          <w:rtl/>
        </w:rPr>
        <w:t>הגלבוע</w:t>
      </w:r>
      <w:r w:rsidRPr="00014C4D">
        <w:rPr>
          <w:rFonts w:hint="cs"/>
          <w:rtl/>
        </w:rPr>
        <w:t xml:space="preserve"> </w:t>
      </w:r>
      <w:r w:rsidRPr="00014C4D">
        <w:rPr>
          <w:rtl/>
        </w:rPr>
        <w:t xml:space="preserve">מסרה </w:t>
      </w:r>
      <w:r w:rsidRPr="00014C4D">
        <w:rPr>
          <w:rFonts w:hint="cs"/>
          <w:rtl/>
        </w:rPr>
        <w:t xml:space="preserve">בתשובתה </w:t>
      </w:r>
      <w:r w:rsidRPr="00014C4D">
        <w:rPr>
          <w:rtl/>
        </w:rPr>
        <w:t xml:space="preserve">כי בשנת 2024 שופצו תשעה מקלטים ציבוריים, ובשנת 2025 </w:t>
      </w:r>
      <w:r w:rsidRPr="00014C4D">
        <w:rPr>
          <w:rFonts w:hint="cs"/>
          <w:rtl/>
        </w:rPr>
        <w:t xml:space="preserve">מיועדים לשיפוץ </w:t>
      </w:r>
      <w:r w:rsidRPr="00014C4D">
        <w:rPr>
          <w:rtl/>
        </w:rPr>
        <w:t>17 מקלטים נוספים.</w:t>
      </w:r>
      <w:r w:rsidRPr="00014C4D">
        <w:rPr>
          <w:rFonts w:hint="cs"/>
          <w:rtl/>
        </w:rPr>
        <w:t xml:space="preserve"> עוד ציינה</w:t>
      </w:r>
      <w:r w:rsidRPr="00014C4D">
        <w:rPr>
          <w:rtl/>
        </w:rPr>
        <w:t xml:space="preserve"> המועצה כי </w:t>
      </w:r>
      <w:r w:rsidRPr="00014C4D">
        <w:rPr>
          <w:rFonts w:hint="cs"/>
          <w:rtl/>
        </w:rPr>
        <w:t>יש</w:t>
      </w:r>
      <w:r w:rsidRPr="00014C4D">
        <w:rPr>
          <w:rtl/>
        </w:rPr>
        <w:t xml:space="preserve"> בתחומה שישה מקלטים ציבוריים שהושבתו </w:t>
      </w:r>
      <w:r w:rsidRPr="00014C4D">
        <w:rPr>
          <w:rFonts w:hint="cs"/>
          <w:rtl/>
        </w:rPr>
        <w:t>ואינם בני תיקון</w:t>
      </w:r>
      <w:r w:rsidRPr="00014C4D">
        <w:rPr>
          <w:rtl/>
        </w:rPr>
        <w:t>, וכי הדבר דווח לפ</w:t>
      </w:r>
      <w:r w:rsidRPr="00014C4D">
        <w:rPr>
          <w:rFonts w:hint="cs"/>
          <w:rtl/>
        </w:rPr>
        <w:t>קע"ר.</w:t>
      </w:r>
      <w:r w:rsidRPr="00014C4D">
        <w:rPr>
          <w:rtl/>
        </w:rPr>
        <w:t xml:space="preserve"> </w:t>
      </w:r>
      <w:r w:rsidRPr="00014C4D">
        <w:rPr>
          <w:rFonts w:hint="cs"/>
          <w:rtl/>
        </w:rPr>
        <w:t xml:space="preserve">עוד הוסיפה המועצה בתשובתה </w:t>
      </w:r>
      <w:r w:rsidRPr="00014C4D">
        <w:rPr>
          <w:rtl/>
        </w:rPr>
        <w:t xml:space="preserve">כי </w:t>
      </w:r>
      <w:r w:rsidRPr="00014C4D">
        <w:rPr>
          <w:rFonts w:hint="cs"/>
          <w:rtl/>
        </w:rPr>
        <w:t xml:space="preserve">עקב </w:t>
      </w:r>
      <w:r w:rsidRPr="00014C4D">
        <w:rPr>
          <w:rtl/>
        </w:rPr>
        <w:t xml:space="preserve">זמן ההתרעה הקצר קשה </w:t>
      </w:r>
      <w:r w:rsidRPr="00014C4D">
        <w:rPr>
          <w:rFonts w:hint="cs"/>
          <w:rtl/>
        </w:rPr>
        <w:t>ל</w:t>
      </w:r>
      <w:r w:rsidRPr="00014C4D">
        <w:rPr>
          <w:rtl/>
        </w:rPr>
        <w:t>אוכלוסיות מבוגרות ו</w:t>
      </w:r>
      <w:r w:rsidRPr="00014C4D">
        <w:rPr>
          <w:rFonts w:hint="cs"/>
          <w:rtl/>
        </w:rPr>
        <w:t xml:space="preserve">לאנשים עם </w:t>
      </w:r>
      <w:r w:rsidRPr="00014C4D">
        <w:rPr>
          <w:rtl/>
        </w:rPr>
        <w:t>מוגבלויות להגיע למקלטים, גם כאשר קיימים כאלה ב</w:t>
      </w:r>
      <w:r w:rsidRPr="00014C4D">
        <w:rPr>
          <w:rFonts w:hint="eastAsia"/>
          <w:rtl/>
        </w:rPr>
        <w:t>קרבתם</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יצוין כי </w:t>
      </w:r>
      <w:r w:rsidRPr="00014C4D">
        <w:rPr>
          <w:b/>
          <w:bCs/>
          <w:rtl/>
        </w:rPr>
        <w:t xml:space="preserve">ממצאי הביקורת בשטח הצביעו על כך שחלק מהמקלטים המשופצים </w:t>
      </w:r>
      <w:r w:rsidRPr="00014C4D">
        <w:rPr>
          <w:rFonts w:hint="cs"/>
          <w:b/>
          <w:bCs/>
          <w:rtl/>
        </w:rPr>
        <w:t>אינם</w:t>
      </w:r>
      <w:r w:rsidRPr="00014C4D">
        <w:rPr>
          <w:b/>
          <w:bCs/>
          <w:rtl/>
        </w:rPr>
        <w:t xml:space="preserve"> עומדים </w:t>
      </w:r>
      <w:r w:rsidRPr="00014C4D">
        <w:rPr>
          <w:rFonts w:hint="cs"/>
          <w:b/>
          <w:bCs/>
          <w:rtl/>
        </w:rPr>
        <w:t>בדרישות</w:t>
      </w:r>
      <w:r w:rsidRPr="00014C4D">
        <w:rPr>
          <w:b/>
          <w:bCs/>
          <w:rtl/>
        </w:rPr>
        <w:t xml:space="preserve"> המפרט </w:t>
      </w:r>
      <w:r w:rsidRPr="00014C4D">
        <w:rPr>
          <w:rFonts w:hint="cs"/>
          <w:b/>
          <w:bCs/>
          <w:rtl/>
        </w:rPr>
        <w:t xml:space="preserve">של פקע"ר </w:t>
      </w:r>
      <w:r w:rsidRPr="00014C4D">
        <w:rPr>
          <w:b/>
          <w:bCs/>
          <w:rtl/>
        </w:rPr>
        <w:t>לתחזוקת מקלטים ציבוריים</w:t>
      </w:r>
      <w:r w:rsidRPr="00014C4D">
        <w:rPr>
          <w:rFonts w:hint="cs"/>
          <w:b/>
          <w:bCs/>
          <w:rtl/>
        </w:rPr>
        <w:t>.</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עיריית חולון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בבדיקת חמישה מקלטים ציבוריים ב</w:t>
      </w:r>
      <w:r w:rsidRPr="00014C4D">
        <w:rPr>
          <w:rFonts w:hint="cs"/>
          <w:b/>
          <w:bCs/>
          <w:rtl/>
        </w:rPr>
        <w:t xml:space="preserve">חולון </w:t>
      </w:r>
      <w:r w:rsidRPr="00014C4D">
        <w:rPr>
          <w:rFonts w:hint="cs"/>
          <w:rtl/>
        </w:rPr>
        <w:t>נמצאו כולם תקינים.</w:t>
      </w:r>
    </w:p>
    <w:p w:rsidR="00014C4D" w:rsidRPr="00014C4D" w:rsidRDefault="00014C4D" w:rsidP="00014C4D">
      <w:pPr>
        <w:tabs>
          <w:tab w:val="left" w:pos="424"/>
        </w:tabs>
        <w:spacing w:line="269" w:lineRule="auto"/>
        <w:rPr>
          <w:rtl/>
        </w:rPr>
      </w:pPr>
    </w:p>
    <w:p w:rsidR="00014C4D" w:rsidRPr="00014C4D" w:rsidRDefault="00014C4D" w:rsidP="00014C4D">
      <w:pPr>
        <w:tabs>
          <w:tab w:val="left" w:pos="424"/>
        </w:tabs>
        <w:spacing w:line="269" w:lineRule="auto"/>
        <w:jc w:val="center"/>
        <w:rPr>
          <w:rFonts w:ascii="Arial" w:hAnsi="Arial" w:cs="Arial"/>
          <w:sz w:val="36"/>
          <w:rtl/>
        </w:rPr>
      </w:pPr>
      <w:r w:rsidRPr="00014C4D">
        <w:rPr>
          <w:rFonts w:ascii="Segoe UI Symbol" w:hAnsi="Segoe UI Symbol" w:cs="Segoe UI Symbol" w:hint="cs"/>
          <w:sz w:val="36"/>
          <w:rtl/>
        </w:rPr>
        <w:t>✰</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b/>
          <w:bCs/>
          <w:rtl/>
        </w:rPr>
      </w:pPr>
      <w:r w:rsidRPr="00014C4D">
        <w:rPr>
          <w:rFonts w:hint="cs"/>
          <w:b/>
          <w:bCs/>
          <w:rtl/>
        </w:rPr>
        <w:t>בבדיקה של 21 מקלטים ציבוריים ברשויות המקומיות אשקלון, גבעתיים והגלבוע נמצאו ליקויים שונים בתחזוקתם: פתחי מילוט חסומים; אי-התקנת סולמות יציאה סמוך לפתחי המילוט; היעדר חשמל במקלט; סימני רטיבות על הקירות ועל התקרה; חוטי חשמל גלויים; היעדר שילוט ליציאות חירום; מקלט מוצף מים ולא ראוי לשימוש; לכלוך; דלתות ויציאת חירום שאינן נסגרות וחלודה בדלתות; היעדר חיבור לתשתית המים ולמערכת הביוב; היעדר תאורת חירום; מחסור בשילוט בצבע זרחני של הכניסה למקלט ושל יציאות החירום.</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b/>
          <w:bCs/>
          <w:rtl/>
        </w:rPr>
      </w:pPr>
      <w:r w:rsidRPr="00014C4D">
        <w:rPr>
          <w:rFonts w:hint="cs"/>
          <w:b/>
          <w:bCs/>
          <w:rtl/>
        </w:rPr>
        <w:t xml:space="preserve">על עיריות אשקלון וגבעתיים לתקן את הליקויים שהתגלו במקלטים הציבוריים.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 xml:space="preserve">עיריית </w:t>
      </w:r>
      <w:r w:rsidRPr="00014C4D">
        <w:rPr>
          <w:rFonts w:hint="cs"/>
          <w:b/>
          <w:bCs/>
          <w:rtl/>
        </w:rPr>
        <w:t>אשקלון</w:t>
      </w:r>
      <w:r w:rsidRPr="00014C4D">
        <w:rPr>
          <w:rFonts w:hint="cs"/>
          <w:rtl/>
        </w:rPr>
        <w:t xml:space="preserve"> מסרה בתשובתה </w:t>
      </w:r>
      <w:r w:rsidRPr="00014C4D">
        <w:rPr>
          <w:rtl/>
        </w:rPr>
        <w:t>כי מרבית הליקויים שפורטו תוקנו, וישנם "דברים בודדים שהם בתהליך בחינה חוקית ורגולטורית ויטופלו לפי ההנחיות שיתקבלו".</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pPr>
      <w:r w:rsidRPr="00014C4D">
        <w:rPr>
          <w:rtl/>
        </w:rPr>
        <w:t>עיריית</w:t>
      </w:r>
      <w:r w:rsidRPr="00014C4D">
        <w:rPr>
          <w:b/>
          <w:bCs/>
          <w:rtl/>
        </w:rPr>
        <w:t xml:space="preserve"> גבעתיים</w:t>
      </w:r>
      <w:r w:rsidRPr="00014C4D">
        <w:rPr>
          <w:rtl/>
        </w:rPr>
        <w:t xml:space="preserve"> מסרה בתשובתה כי הליקויים שנמצאו במקלטים הציבוריים תוקנו במלואם, למעט ליקויי רטיבות אשר, לטענתה, אינם פוגעים בכשירות המבנה לשמש מקלט. עוד ציינה העירייה כי מדובר במקלטים תת-קרקעיים ישנים שנבנו לפני עשרות שנים, וכי משנת 2024 מקודמת תוכנית איטום לכלל המקלטים, בהתאם לסדרי </w:t>
      </w:r>
      <w:r w:rsidRPr="00014C4D">
        <w:rPr>
          <w:rFonts w:hint="cs"/>
          <w:rtl/>
        </w:rPr>
        <w:t>ה</w:t>
      </w:r>
      <w:r w:rsidRPr="00014C4D">
        <w:rPr>
          <w:rtl/>
        </w:rPr>
        <w:t xml:space="preserve">עדיפויות </w:t>
      </w:r>
      <w:r w:rsidRPr="00014C4D">
        <w:rPr>
          <w:rFonts w:hint="cs"/>
          <w:rtl/>
        </w:rPr>
        <w:t>ה</w:t>
      </w:r>
      <w:r w:rsidRPr="00014C4D">
        <w:rPr>
          <w:rtl/>
        </w:rPr>
        <w:t xml:space="preserve">עירוניים </w:t>
      </w:r>
      <w:r w:rsidRPr="00014C4D">
        <w:rPr>
          <w:rFonts w:hint="cs"/>
          <w:rtl/>
        </w:rPr>
        <w:t>ול</w:t>
      </w:r>
      <w:r w:rsidRPr="00014C4D">
        <w:rPr>
          <w:rtl/>
        </w:rPr>
        <w:t xml:space="preserve">מסגרת </w:t>
      </w:r>
      <w:r w:rsidRPr="00014C4D">
        <w:rPr>
          <w:rFonts w:hint="cs"/>
          <w:rtl/>
        </w:rPr>
        <w:t>ה</w:t>
      </w:r>
      <w:r w:rsidRPr="00014C4D">
        <w:rPr>
          <w:rtl/>
        </w:rPr>
        <w:t>תקציב ובהתאם לתוכנית מתאר ההתחדשות העירונית ו</w:t>
      </w:r>
      <w:r w:rsidRPr="00014C4D">
        <w:rPr>
          <w:rFonts w:hint="cs"/>
          <w:rtl/>
        </w:rPr>
        <w:t xml:space="preserve">תוכנית </w:t>
      </w:r>
      <w:r w:rsidRPr="00014C4D">
        <w:rPr>
          <w:rtl/>
        </w:rPr>
        <w:t xml:space="preserve">הרכבת הקלה. </w:t>
      </w:r>
      <w:r w:rsidRPr="00014C4D">
        <w:rPr>
          <w:rFonts w:hint="cs"/>
          <w:rtl/>
        </w:rPr>
        <w:t xml:space="preserve">במסגרת </w:t>
      </w:r>
      <w:r w:rsidRPr="00014C4D">
        <w:rPr>
          <w:rtl/>
        </w:rPr>
        <w:t xml:space="preserve">עבודות אלה </w:t>
      </w:r>
      <w:r w:rsidRPr="00014C4D">
        <w:rPr>
          <w:rFonts w:hint="cs"/>
          <w:rtl/>
        </w:rPr>
        <w:t>ייהרסו</w:t>
      </w:r>
      <w:r w:rsidRPr="00014C4D">
        <w:rPr>
          <w:rtl/>
        </w:rPr>
        <w:t xml:space="preserve"> מקלטים ישנים ו</w:t>
      </w:r>
      <w:r w:rsidRPr="00014C4D">
        <w:rPr>
          <w:rFonts w:hint="cs"/>
          <w:rtl/>
        </w:rPr>
        <w:t>ייבנו</w:t>
      </w:r>
      <w:r w:rsidRPr="00014C4D">
        <w:rPr>
          <w:rtl/>
        </w:rPr>
        <w:t xml:space="preserve"> חדשים</w:t>
      </w:r>
      <w:r w:rsidRPr="00014C4D">
        <w:rPr>
          <w:rFonts w:hint="cs"/>
          <w:rtl/>
        </w:rPr>
        <w:t>,</w:t>
      </w:r>
      <w:r w:rsidRPr="00014C4D">
        <w:rPr>
          <w:rtl/>
        </w:rPr>
        <w:t xml:space="preserve"> מה שמייתר ביצוע פעולות </w:t>
      </w:r>
      <w:r w:rsidRPr="00014C4D">
        <w:rPr>
          <w:rFonts w:hint="cs"/>
          <w:rtl/>
        </w:rPr>
        <w:t>ת</w:t>
      </w:r>
      <w:r w:rsidRPr="00014C4D">
        <w:rPr>
          <w:rtl/>
        </w:rPr>
        <w:t>חז</w:t>
      </w:r>
      <w:r w:rsidRPr="00014C4D">
        <w:rPr>
          <w:rFonts w:hint="cs"/>
          <w:rtl/>
        </w:rPr>
        <w:t>ו</w:t>
      </w:r>
      <w:r w:rsidRPr="00014C4D">
        <w:rPr>
          <w:rtl/>
        </w:rPr>
        <w:t xml:space="preserve">קה רחבות ויקרות בתקופה הקרובה.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b/>
          <w:bCs/>
          <w:rtl/>
        </w:rPr>
      </w:pPr>
      <w:r w:rsidRPr="00014C4D">
        <w:rPr>
          <w:rFonts w:hint="cs"/>
          <w:b/>
          <w:bCs/>
          <w:rtl/>
        </w:rPr>
        <w:lastRenderedPageBreak/>
        <w:t>נוכח כמות המקלטים הציבוריים הגדולה יחסית למספר התושבים במועצה האזורית הגלבוע, מומלץ למועצה לבחון את האפשרות למצוא מקורות מימון חיצוניים לשיפוץ המקלטים הציבוריים שבתחומה כדי לאפשר את השימוש בהם בעת חירום.</w:t>
      </w:r>
    </w:p>
    <w:p w:rsidR="00014C4D" w:rsidRPr="00014C4D" w:rsidRDefault="00014C4D" w:rsidP="00014C4D">
      <w:pPr>
        <w:tabs>
          <w:tab w:val="left" w:pos="424"/>
        </w:tabs>
        <w:spacing w:line="269" w:lineRule="auto"/>
        <w:rPr>
          <w:b/>
          <w:bCs/>
          <w:rtl/>
        </w:rPr>
      </w:pPr>
    </w:p>
    <w:p w:rsidR="00014C4D" w:rsidRPr="00014C4D" w:rsidRDefault="00014C4D" w:rsidP="00014C4D">
      <w:pPr>
        <w:keepNext/>
        <w:keepLines/>
        <w:spacing w:line="269" w:lineRule="auto"/>
        <w:outlineLvl w:val="3"/>
        <w:rPr>
          <w:rFonts w:eastAsia="Times New Roman"/>
          <w:bCs/>
          <w:szCs w:val="26"/>
          <w:rtl/>
        </w:rPr>
      </w:pPr>
      <w:r w:rsidRPr="00014C4D">
        <w:rPr>
          <w:rFonts w:eastAsia="Times New Roman" w:hint="cs"/>
          <w:bCs/>
          <w:szCs w:val="26"/>
          <w:rtl/>
        </w:rPr>
        <w:t>ציוד חירום במקלטים הציבוריים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sz w:val="24"/>
          <w:rtl/>
        </w:rPr>
      </w:pPr>
      <w:r w:rsidRPr="00014C4D">
        <w:rPr>
          <w:rFonts w:ascii="David" w:hint="cs"/>
          <w:sz w:val="24"/>
          <w:rtl/>
        </w:rPr>
        <w:t xml:space="preserve">בחוק הג"א נקבע כי החייב בקיום תקנות הציוד יחזיק את הציוד במצב ראוי לשימוש ואת השלטים במצב תקין. סעיף </w:t>
      </w:r>
      <w:r w:rsidRPr="00014C4D">
        <w:rPr>
          <w:rFonts w:ascii="David"/>
          <w:sz w:val="24"/>
          <w:rtl/>
        </w:rPr>
        <w:t>19</w:t>
      </w:r>
      <w:r w:rsidRPr="00014C4D">
        <w:rPr>
          <w:rFonts w:ascii="David" w:hint="cs"/>
          <w:sz w:val="24"/>
          <w:rtl/>
        </w:rPr>
        <w:t>ב לחוק קובע כי הרשות המקומית חייבת בביצוען של תקנות הציוד במקלט ציבורי ובמחסה ציבורי, וכי המחזיק במחסה ציבורי רשאי לבצען.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b/>
          <w:bCs/>
          <w:sz w:val="24"/>
          <w:highlight w:val="green"/>
          <w:rtl/>
        </w:rPr>
      </w:pPr>
      <w:r w:rsidRPr="00014C4D">
        <w:rPr>
          <w:rFonts w:ascii="David" w:hint="cs"/>
          <w:sz w:val="24"/>
          <w:rtl/>
        </w:rPr>
        <w:t>בתקנות הציוד פורטו פריטי הציוד שיש להחזיק במקלטים ובמחסים ציבוריים ואופן החזקתם. בתיק האב לרשויות המקומיות נקבע</w:t>
      </w:r>
      <w:r w:rsidRPr="00014C4D">
        <w:rPr>
          <w:rFonts w:ascii="David"/>
          <w:sz w:val="24"/>
          <w:vertAlign w:val="superscript"/>
          <w:rtl/>
        </w:rPr>
        <w:footnoteReference w:id="53"/>
      </w:r>
      <w:r w:rsidRPr="00014C4D">
        <w:rPr>
          <w:rFonts w:ascii="David" w:hint="cs"/>
          <w:sz w:val="24"/>
          <w:rtl/>
        </w:rPr>
        <w:t xml:space="preserve"> כי חלק מהיערכות הרשות המקומית בשגרה בתחום המיגון הוא הצטיידות באמצעים לחירום הנדרשים לפי חוק.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t>ב</w:t>
      </w:r>
      <w:r w:rsidRPr="00014C4D">
        <w:rPr>
          <w:rFonts w:ascii="David" w:hAnsi="David" w:hint="eastAsia"/>
          <w:sz w:val="24"/>
          <w:rtl/>
        </w:rPr>
        <w:t>מפרט</w:t>
      </w:r>
      <w:r w:rsidRPr="00014C4D">
        <w:rPr>
          <w:rFonts w:ascii="David" w:hAnsi="David"/>
          <w:sz w:val="24"/>
          <w:rtl/>
        </w:rPr>
        <w:t xml:space="preserve"> </w:t>
      </w:r>
      <w:r w:rsidRPr="00014C4D">
        <w:rPr>
          <w:rFonts w:ascii="David" w:hAnsi="David" w:hint="eastAsia"/>
          <w:sz w:val="24"/>
          <w:rtl/>
        </w:rPr>
        <w:t>ל</w:t>
      </w:r>
      <w:r w:rsidRPr="00014C4D">
        <w:rPr>
          <w:rFonts w:ascii="David" w:hAnsi="David" w:hint="cs"/>
          <w:sz w:val="24"/>
          <w:rtl/>
        </w:rPr>
        <w:t>ה</w:t>
      </w:r>
      <w:r w:rsidRPr="00014C4D">
        <w:rPr>
          <w:rFonts w:ascii="David" w:hAnsi="David" w:hint="eastAsia"/>
          <w:sz w:val="24"/>
          <w:rtl/>
        </w:rPr>
        <w:t>חזקת</w:t>
      </w:r>
      <w:r w:rsidRPr="00014C4D">
        <w:rPr>
          <w:rFonts w:ascii="David" w:hAnsi="David"/>
          <w:sz w:val="24"/>
          <w:rtl/>
        </w:rPr>
        <w:t xml:space="preserve"> </w:t>
      </w:r>
      <w:r w:rsidRPr="00014C4D">
        <w:rPr>
          <w:rFonts w:ascii="David" w:hAnsi="David" w:hint="eastAsia"/>
          <w:sz w:val="24"/>
          <w:rtl/>
        </w:rPr>
        <w:t>מקלטים</w:t>
      </w:r>
      <w:r w:rsidRPr="00014C4D">
        <w:rPr>
          <w:rFonts w:ascii="David" w:hAnsi="David"/>
          <w:sz w:val="24"/>
          <w:rtl/>
        </w:rPr>
        <w:t xml:space="preserve"> </w:t>
      </w:r>
      <w:r w:rsidRPr="00014C4D">
        <w:rPr>
          <w:rFonts w:ascii="David" w:hAnsi="David" w:hint="eastAsia"/>
          <w:sz w:val="24"/>
          <w:rtl/>
        </w:rPr>
        <w:t>ציבוריים</w:t>
      </w:r>
      <w:r w:rsidRPr="00014C4D">
        <w:rPr>
          <w:rFonts w:ascii="David" w:hAnsi="David"/>
          <w:sz w:val="24"/>
          <w:vertAlign w:val="superscript"/>
          <w:rtl/>
        </w:rPr>
        <w:footnoteReference w:id="54"/>
      </w:r>
      <w:r w:rsidRPr="00014C4D">
        <w:rPr>
          <w:rFonts w:ascii="David" w:hAnsi="David" w:hint="cs"/>
          <w:sz w:val="24"/>
          <w:rtl/>
        </w:rPr>
        <w:t xml:space="preserve"> נקבע כי בציוד למקלטים ייכללו</w:t>
      </w:r>
      <w:r w:rsidRPr="00014C4D">
        <w:rPr>
          <w:rFonts w:ascii="David" w:hAnsi="David"/>
          <w:sz w:val="24"/>
          <w:rtl/>
        </w:rPr>
        <w:t xml:space="preserve">, </w:t>
      </w:r>
      <w:r w:rsidRPr="00014C4D">
        <w:rPr>
          <w:rFonts w:ascii="David" w:hAnsi="David" w:hint="eastAsia"/>
          <w:sz w:val="24"/>
          <w:rtl/>
        </w:rPr>
        <w:t>בין</w:t>
      </w:r>
      <w:r w:rsidRPr="00014C4D">
        <w:rPr>
          <w:rFonts w:ascii="David" w:hAnsi="David"/>
          <w:sz w:val="24"/>
          <w:rtl/>
        </w:rPr>
        <w:t xml:space="preserve"> </w:t>
      </w:r>
      <w:r w:rsidRPr="00014C4D">
        <w:rPr>
          <w:rFonts w:ascii="David" w:hAnsi="David" w:hint="eastAsia"/>
          <w:sz w:val="24"/>
          <w:rtl/>
        </w:rPr>
        <w:t>היתר</w:t>
      </w:r>
      <w:r w:rsidRPr="00014C4D">
        <w:rPr>
          <w:rFonts w:ascii="David" w:hAnsi="David"/>
          <w:sz w:val="24"/>
          <w:rtl/>
        </w:rPr>
        <w:t xml:space="preserve">, </w:t>
      </w:r>
      <w:r w:rsidRPr="00014C4D">
        <w:rPr>
          <w:rFonts w:ascii="David" w:hAnsi="David" w:hint="eastAsia"/>
          <w:sz w:val="24"/>
          <w:rtl/>
        </w:rPr>
        <w:t>מטפים</w:t>
      </w:r>
      <w:r w:rsidRPr="00014C4D">
        <w:rPr>
          <w:rFonts w:ascii="David" w:hAnsi="David"/>
          <w:sz w:val="24"/>
          <w:rtl/>
        </w:rPr>
        <w:t xml:space="preserve"> </w:t>
      </w:r>
      <w:r w:rsidRPr="00014C4D">
        <w:rPr>
          <w:rFonts w:ascii="David" w:hAnsi="David" w:hint="eastAsia"/>
          <w:sz w:val="24"/>
          <w:rtl/>
        </w:rPr>
        <w:t>לכיבוי</w:t>
      </w:r>
      <w:r w:rsidRPr="00014C4D">
        <w:rPr>
          <w:rFonts w:ascii="David" w:hAnsi="David"/>
          <w:sz w:val="24"/>
          <w:rtl/>
        </w:rPr>
        <w:t xml:space="preserve"> </w:t>
      </w:r>
      <w:r w:rsidRPr="00014C4D">
        <w:rPr>
          <w:rFonts w:ascii="David" w:hAnsi="David" w:hint="eastAsia"/>
          <w:spacing w:val="-4"/>
          <w:sz w:val="24"/>
          <w:rtl/>
        </w:rPr>
        <w:t>אש</w:t>
      </w:r>
      <w:r w:rsidRPr="00014C4D">
        <w:rPr>
          <w:rFonts w:ascii="David" w:hAnsi="David"/>
          <w:spacing w:val="-4"/>
          <w:sz w:val="24"/>
          <w:vertAlign w:val="superscript"/>
          <w:rtl/>
        </w:rPr>
        <w:footnoteReference w:id="55"/>
      </w:r>
      <w:r w:rsidRPr="00014C4D">
        <w:rPr>
          <w:rFonts w:ascii="David" w:hAnsi="David" w:hint="cs"/>
          <w:spacing w:val="-4"/>
          <w:sz w:val="24"/>
          <w:rtl/>
        </w:rPr>
        <w:t xml:space="preserve">, ציוד </w:t>
      </w:r>
      <w:r w:rsidRPr="00014C4D">
        <w:rPr>
          <w:rFonts w:ascii="David" w:hAnsi="David" w:hint="eastAsia"/>
          <w:spacing w:val="-4"/>
          <w:sz w:val="24"/>
          <w:rtl/>
        </w:rPr>
        <w:t>עזרה</w:t>
      </w:r>
      <w:r w:rsidRPr="00014C4D">
        <w:rPr>
          <w:rFonts w:ascii="David" w:hAnsi="David"/>
          <w:spacing w:val="-4"/>
          <w:sz w:val="24"/>
          <w:rtl/>
        </w:rPr>
        <w:t xml:space="preserve"> </w:t>
      </w:r>
      <w:r w:rsidRPr="00014C4D">
        <w:rPr>
          <w:rFonts w:ascii="David" w:hAnsi="David" w:hint="eastAsia"/>
          <w:spacing w:val="-4"/>
          <w:sz w:val="24"/>
          <w:rtl/>
        </w:rPr>
        <w:t>ראשונה</w:t>
      </w:r>
      <w:r w:rsidRPr="00014C4D">
        <w:rPr>
          <w:rFonts w:ascii="David" w:hAnsi="David" w:hint="cs"/>
          <w:sz w:val="24"/>
          <w:rtl/>
        </w:rPr>
        <w:t xml:space="preserve"> (ובכלל זה תחבושות אישיות, תחבושות נגד כווייה, חוסם עורקים, אלונקות)</w:t>
      </w:r>
      <w:r w:rsidRPr="00014C4D">
        <w:rPr>
          <w:rFonts w:ascii="David" w:hAnsi="David"/>
          <w:spacing w:val="-4"/>
          <w:sz w:val="24"/>
          <w:vertAlign w:val="superscript"/>
          <w:rtl/>
        </w:rPr>
        <w:t xml:space="preserve"> </w:t>
      </w:r>
      <w:r w:rsidRPr="00014C4D">
        <w:rPr>
          <w:rFonts w:ascii="David" w:hAnsi="David"/>
          <w:spacing w:val="-4"/>
          <w:sz w:val="24"/>
          <w:vertAlign w:val="superscript"/>
          <w:rtl/>
        </w:rPr>
        <w:footnoteReference w:id="56"/>
      </w:r>
      <w:r w:rsidRPr="00014C4D">
        <w:rPr>
          <w:rFonts w:ascii="David" w:hAnsi="David" w:hint="cs"/>
          <w:sz w:val="24"/>
          <w:rtl/>
        </w:rPr>
        <w:t xml:space="preserve">, </w:t>
      </w:r>
      <w:r w:rsidRPr="00014C4D">
        <w:rPr>
          <w:rFonts w:ascii="David" w:hAnsi="David" w:hint="eastAsia"/>
          <w:sz w:val="24"/>
          <w:rtl/>
        </w:rPr>
        <w:t>מכל</w:t>
      </w:r>
      <w:r w:rsidRPr="00014C4D">
        <w:rPr>
          <w:rFonts w:ascii="David" w:hAnsi="David"/>
          <w:sz w:val="24"/>
          <w:rtl/>
        </w:rPr>
        <w:t xml:space="preserve"> </w:t>
      </w:r>
      <w:r w:rsidRPr="00014C4D">
        <w:rPr>
          <w:rFonts w:ascii="David" w:hAnsi="David" w:hint="eastAsia"/>
          <w:sz w:val="24"/>
          <w:rtl/>
        </w:rPr>
        <w:t>מי</w:t>
      </w:r>
      <w:r w:rsidRPr="00014C4D">
        <w:rPr>
          <w:rFonts w:ascii="David" w:hAnsi="David"/>
          <w:sz w:val="24"/>
          <w:rtl/>
        </w:rPr>
        <w:t xml:space="preserve"> </w:t>
      </w:r>
      <w:r w:rsidRPr="00014C4D">
        <w:rPr>
          <w:rFonts w:ascii="David" w:hAnsi="David" w:hint="eastAsia"/>
          <w:sz w:val="24"/>
          <w:rtl/>
        </w:rPr>
        <w:t>שתייה</w:t>
      </w:r>
      <w:r w:rsidRPr="00014C4D">
        <w:rPr>
          <w:rFonts w:ascii="David" w:hAnsi="David"/>
          <w:sz w:val="24"/>
          <w:rtl/>
        </w:rPr>
        <w:t xml:space="preserve"> </w:t>
      </w:r>
      <w:r w:rsidRPr="00014C4D">
        <w:rPr>
          <w:rFonts w:ascii="David" w:hAnsi="David" w:hint="cs"/>
          <w:sz w:val="24"/>
          <w:rtl/>
        </w:rPr>
        <w:t>ש</w:t>
      </w:r>
      <w:r w:rsidRPr="00014C4D">
        <w:rPr>
          <w:rFonts w:ascii="David" w:hAnsi="David" w:hint="eastAsia"/>
          <w:sz w:val="24"/>
          <w:rtl/>
        </w:rPr>
        <w:t>קיבולת</w:t>
      </w:r>
      <w:r w:rsidRPr="00014C4D">
        <w:rPr>
          <w:rFonts w:ascii="David" w:hAnsi="David" w:hint="cs"/>
          <w:sz w:val="24"/>
          <w:rtl/>
        </w:rPr>
        <w:t>ו</w:t>
      </w:r>
      <w:r w:rsidRPr="00014C4D">
        <w:rPr>
          <w:rFonts w:ascii="David" w:hAnsi="David"/>
          <w:sz w:val="24"/>
          <w:rtl/>
        </w:rPr>
        <w:t xml:space="preserve"> 40 </w:t>
      </w:r>
      <w:r w:rsidRPr="00014C4D">
        <w:rPr>
          <w:rFonts w:ascii="David" w:hAnsi="David" w:hint="eastAsia"/>
          <w:sz w:val="24"/>
          <w:rtl/>
        </w:rPr>
        <w:t>עד</w:t>
      </w:r>
      <w:r w:rsidRPr="00014C4D">
        <w:rPr>
          <w:rFonts w:ascii="David" w:hAnsi="David"/>
          <w:sz w:val="24"/>
          <w:rtl/>
        </w:rPr>
        <w:t xml:space="preserve"> 320 </w:t>
      </w:r>
      <w:r w:rsidRPr="00014C4D">
        <w:rPr>
          <w:rFonts w:ascii="David" w:hAnsi="David" w:hint="eastAsia"/>
          <w:sz w:val="24"/>
          <w:rtl/>
        </w:rPr>
        <w:t>ליטר</w:t>
      </w:r>
      <w:r w:rsidRPr="00014C4D">
        <w:rPr>
          <w:rFonts w:ascii="David" w:hAnsi="David" w:hint="cs"/>
          <w:sz w:val="24"/>
          <w:rtl/>
        </w:rPr>
        <w:t>, לפי גודל המקלט, ותאורת חירום (זרקור, פנס), בתי כיסא כימיים או בית כיסא המחובר למערכת הביוב</w:t>
      </w:r>
      <w:r w:rsidRPr="00014C4D">
        <w:rPr>
          <w:rFonts w:ascii="David" w:hAnsi="David"/>
          <w:sz w:val="24"/>
          <w:vertAlign w:val="superscript"/>
          <w:rtl/>
        </w:rPr>
        <w:footnoteReference w:id="57"/>
      </w:r>
      <w:r w:rsidRPr="00014C4D">
        <w:rPr>
          <w:rFonts w:ascii="David" w:hAnsi="David" w:hint="cs"/>
          <w:sz w:val="24"/>
          <w:rtl/>
        </w:rPr>
        <w:t>.</w:t>
      </w:r>
      <w:r w:rsidRPr="00014C4D">
        <w:rPr>
          <w:rFonts w:ascii="David" w:hAnsi="David"/>
          <w:sz w:val="24"/>
          <w:rtl/>
        </w:rPr>
        <w:t xml:space="preserve"> </w:t>
      </w:r>
    </w:p>
    <w:p w:rsidR="00014C4D" w:rsidRPr="00014C4D" w:rsidRDefault="00014C4D" w:rsidP="00014C4D">
      <w:pPr>
        <w:spacing w:line="269" w:lineRule="auto"/>
        <w:rPr>
          <w:rFonts w:ascii="David" w:hAnsi="David"/>
          <w:sz w:val="24"/>
          <w:rtl/>
        </w:rPr>
      </w:pPr>
    </w:p>
    <w:p w:rsidR="00014C4D" w:rsidRPr="00014C4D" w:rsidRDefault="00014C4D" w:rsidP="00014C4D">
      <w:pPr>
        <w:keepNext/>
        <w:keepLines/>
        <w:spacing w:line="269" w:lineRule="auto"/>
        <w:outlineLvl w:val="4"/>
        <w:rPr>
          <w:rFonts w:eastAsiaTheme="majorEastAsia"/>
          <w:bCs/>
          <w:spacing w:val="40"/>
          <w:rtl/>
        </w:rPr>
      </w:pPr>
      <w:r w:rsidRPr="00014C4D">
        <w:rPr>
          <w:rFonts w:eastAsiaTheme="majorEastAsia" w:hint="cs"/>
          <w:bCs/>
          <w:spacing w:val="40"/>
          <w:rtl/>
        </w:rPr>
        <w:t>בדיקת תקינות ציוד החירום</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5"/>
        <w:rPr>
          <w:rFonts w:eastAsiaTheme="majorEastAsia"/>
          <w:spacing w:val="40"/>
          <w:rtl/>
        </w:rPr>
      </w:pPr>
      <w:r w:rsidRPr="00014C4D">
        <w:rPr>
          <w:rFonts w:eastAsiaTheme="majorEastAsia" w:hint="cs"/>
          <w:spacing w:val="40"/>
          <w:rtl/>
        </w:rPr>
        <w:t>עיריית אשקלון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1"/>
        <w:rPr>
          <w:rtl/>
        </w:rPr>
      </w:pPr>
      <w:r w:rsidRPr="00014C4D">
        <w:rPr>
          <w:rtl/>
        </w:rPr>
        <w:t>בשל תופעת הוונדליזם וגניבת ציוד</w:t>
      </w:r>
      <w:r w:rsidRPr="00014C4D">
        <w:rPr>
          <w:rFonts w:hint="cs"/>
          <w:rtl/>
        </w:rPr>
        <w:t xml:space="preserve"> עיריית </w:t>
      </w:r>
      <w:r w:rsidRPr="00014C4D">
        <w:rPr>
          <w:rFonts w:hint="cs"/>
          <w:b/>
          <w:bCs/>
          <w:rtl/>
        </w:rPr>
        <w:t>אשקלון</w:t>
      </w:r>
      <w:r w:rsidRPr="00014C4D">
        <w:rPr>
          <w:rFonts w:hint="cs"/>
          <w:rtl/>
        </w:rPr>
        <w:t xml:space="preserve"> שומרת את ציוד החירום במחסניה והוא מתוחזק באופן שוטף.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בבדיקת ציוד החירום על פי הנדרש בתקנות הציוד וב</w:t>
      </w:r>
      <w:r w:rsidRPr="00014C4D">
        <w:rPr>
          <w:rFonts w:hint="eastAsia"/>
          <w:rtl/>
        </w:rPr>
        <w:t>מפרט</w:t>
      </w:r>
      <w:r w:rsidRPr="00014C4D">
        <w:rPr>
          <w:rtl/>
        </w:rPr>
        <w:t xml:space="preserve"> </w:t>
      </w:r>
      <w:r w:rsidRPr="00014C4D">
        <w:rPr>
          <w:rFonts w:hint="eastAsia"/>
          <w:rtl/>
        </w:rPr>
        <w:t>ל</w:t>
      </w:r>
      <w:r w:rsidRPr="00014C4D">
        <w:rPr>
          <w:rFonts w:hint="cs"/>
          <w:rtl/>
        </w:rPr>
        <w:t>ה</w:t>
      </w:r>
      <w:r w:rsidRPr="00014C4D">
        <w:rPr>
          <w:rFonts w:hint="eastAsia"/>
          <w:rtl/>
        </w:rPr>
        <w:t>חזקת</w:t>
      </w:r>
      <w:r w:rsidRPr="00014C4D">
        <w:rPr>
          <w:rtl/>
        </w:rPr>
        <w:t xml:space="preserve"> </w:t>
      </w:r>
      <w:r w:rsidRPr="00014C4D">
        <w:rPr>
          <w:rFonts w:hint="eastAsia"/>
          <w:rtl/>
        </w:rPr>
        <w:t>מקלטים</w:t>
      </w:r>
      <w:r w:rsidRPr="00014C4D">
        <w:rPr>
          <w:rtl/>
        </w:rPr>
        <w:t xml:space="preserve"> </w:t>
      </w:r>
      <w:r w:rsidRPr="00014C4D">
        <w:rPr>
          <w:rFonts w:hint="eastAsia"/>
          <w:rtl/>
        </w:rPr>
        <w:t>ציבוריים</w:t>
      </w:r>
      <w:r w:rsidRPr="00014C4D">
        <w:rPr>
          <w:rFonts w:hint="cs"/>
          <w:rtl/>
        </w:rPr>
        <w:t xml:space="preserve"> על ידי עובדי משרד מבקר המדינה בנובמבר 2024</w:t>
      </w:r>
      <w:r w:rsidRPr="00014C4D">
        <w:rPr>
          <w:vertAlign w:val="superscript"/>
          <w:rtl/>
        </w:rPr>
        <w:footnoteReference w:id="58"/>
      </w:r>
      <w:r w:rsidRPr="00014C4D">
        <w:rPr>
          <w:rFonts w:hint="cs"/>
          <w:rtl/>
        </w:rPr>
        <w:t xml:space="preserve"> במחסן החירום של עיריית אשקלון נמצא כי ציוד החירום תקין ומנוהל ברשימות מסודרות.</w:t>
      </w:r>
      <w:r w:rsidRPr="00014C4D">
        <w:rPr>
          <w:rtl/>
        </w:rPr>
        <w:t xml:space="preserve"> </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5"/>
        <w:rPr>
          <w:rFonts w:eastAsiaTheme="majorEastAsia"/>
          <w:spacing w:val="40"/>
          <w:rtl/>
        </w:rPr>
      </w:pPr>
      <w:r w:rsidRPr="00014C4D">
        <w:rPr>
          <w:rFonts w:eastAsiaTheme="majorEastAsia" w:hint="cs"/>
          <w:spacing w:val="40"/>
          <w:rtl/>
        </w:rPr>
        <w:lastRenderedPageBreak/>
        <w:t>עיריית גבעתיים</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1"/>
        <w:rPr>
          <w:rtl/>
        </w:rPr>
      </w:pPr>
      <w:r w:rsidRPr="00014C4D">
        <w:rPr>
          <w:rFonts w:hint="cs"/>
          <w:rtl/>
        </w:rPr>
        <w:t>מדוחות ביקורת של</w:t>
      </w:r>
      <w:r w:rsidRPr="00014C4D">
        <w:rPr>
          <w:rFonts w:hint="cs"/>
          <w:b/>
          <w:bCs/>
          <w:rtl/>
        </w:rPr>
        <w:t xml:space="preserve"> עיריית גבעתיים </w:t>
      </w:r>
      <w:r w:rsidRPr="00014C4D">
        <w:rPr>
          <w:rFonts w:hint="cs"/>
          <w:rtl/>
        </w:rPr>
        <w:t>על המקלטים הציבוריים בתחומה, העוסקים גם בתקינות ציוד החירום במקלטים, עולה כי היא עורכת ביקורת בכל המקלטים הציבוריים שבתחומה מדי רבעון, וכי ציוד החירום תקין.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בבדיקת ציוד החירום על פי הנדרש בתקנות הציוד וב</w:t>
      </w:r>
      <w:r w:rsidRPr="00014C4D">
        <w:rPr>
          <w:rFonts w:hint="eastAsia"/>
          <w:rtl/>
        </w:rPr>
        <w:t>מפרט</w:t>
      </w:r>
      <w:r w:rsidRPr="00014C4D">
        <w:rPr>
          <w:rtl/>
        </w:rPr>
        <w:t xml:space="preserve"> </w:t>
      </w:r>
      <w:r w:rsidRPr="00014C4D">
        <w:rPr>
          <w:rFonts w:hint="eastAsia"/>
          <w:rtl/>
        </w:rPr>
        <w:t>ל</w:t>
      </w:r>
      <w:r w:rsidRPr="00014C4D">
        <w:rPr>
          <w:rFonts w:hint="cs"/>
          <w:rtl/>
        </w:rPr>
        <w:t>ה</w:t>
      </w:r>
      <w:r w:rsidRPr="00014C4D">
        <w:rPr>
          <w:rFonts w:hint="eastAsia"/>
          <w:rtl/>
        </w:rPr>
        <w:t>חזקת</w:t>
      </w:r>
      <w:r w:rsidRPr="00014C4D">
        <w:rPr>
          <w:rtl/>
        </w:rPr>
        <w:t xml:space="preserve"> </w:t>
      </w:r>
      <w:r w:rsidRPr="00014C4D">
        <w:rPr>
          <w:rFonts w:hint="eastAsia"/>
          <w:rtl/>
        </w:rPr>
        <w:t>מקלטים</w:t>
      </w:r>
      <w:r w:rsidRPr="00014C4D">
        <w:rPr>
          <w:rtl/>
        </w:rPr>
        <w:t xml:space="preserve"> </w:t>
      </w:r>
      <w:r w:rsidRPr="00014C4D">
        <w:rPr>
          <w:rFonts w:hint="eastAsia"/>
          <w:rtl/>
        </w:rPr>
        <w:t>ציבוריים</w:t>
      </w:r>
      <w:r w:rsidRPr="00014C4D">
        <w:rPr>
          <w:rFonts w:hint="cs"/>
          <w:rtl/>
        </w:rPr>
        <w:t xml:space="preserve"> של חמישה מקלטים ציבוריים ב</w:t>
      </w:r>
      <w:r w:rsidRPr="00014C4D">
        <w:rPr>
          <w:rFonts w:hint="eastAsia"/>
          <w:b/>
          <w:bCs/>
          <w:rtl/>
        </w:rPr>
        <w:t>גבעתיים</w:t>
      </w:r>
      <w:r w:rsidRPr="00014C4D">
        <w:rPr>
          <w:rFonts w:hint="cs"/>
          <w:rtl/>
        </w:rPr>
        <w:t xml:space="preserve"> שעשו עובדי משרד מבקר המדינה ביולי 2024 נמצא כי ציוד החירום תקין</w:t>
      </w:r>
      <w:r w:rsidRPr="00014C4D">
        <w:rPr>
          <w:vertAlign w:val="superscript"/>
          <w:rtl/>
        </w:rPr>
        <w:footnoteReference w:id="59"/>
      </w:r>
      <w:r w:rsidRPr="00014C4D">
        <w:rPr>
          <w:rFonts w:hint="cs"/>
          <w:rtl/>
        </w:rPr>
        <w:t>.</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5"/>
        <w:rPr>
          <w:rFonts w:eastAsiaTheme="majorEastAsia"/>
          <w:spacing w:val="40"/>
          <w:rtl/>
        </w:rPr>
      </w:pPr>
      <w:r w:rsidRPr="00014C4D">
        <w:rPr>
          <w:rFonts w:eastAsiaTheme="majorEastAsia" w:hint="cs"/>
          <w:spacing w:val="40"/>
          <w:rtl/>
        </w:rPr>
        <w:t>המועצה האזורית הגלבוע</w:t>
      </w:r>
    </w:p>
    <w:p w:rsidR="00014C4D" w:rsidRPr="00014C4D" w:rsidRDefault="00014C4D" w:rsidP="00014C4D">
      <w:pPr>
        <w:spacing w:line="269" w:lineRule="auto"/>
        <w:ind w:left="-567"/>
        <w:rPr>
          <w:szCs w:val="20"/>
        </w:rPr>
      </w:pPr>
    </w:p>
    <w:p w:rsidR="00014C4D" w:rsidRPr="00014C4D" w:rsidRDefault="00014C4D" w:rsidP="00014C4D">
      <w:pPr>
        <w:tabs>
          <w:tab w:val="left" w:pos="424"/>
        </w:tabs>
        <w:spacing w:line="269" w:lineRule="auto"/>
        <w:ind w:left="-1"/>
        <w:rPr>
          <w:b/>
          <w:bCs/>
          <w:rtl/>
        </w:rPr>
      </w:pPr>
      <w:r w:rsidRPr="00014C4D">
        <w:rPr>
          <w:rFonts w:hint="cs"/>
          <w:b/>
          <w:bCs/>
          <w:rtl/>
        </w:rPr>
        <w:t>נמצא כי בתקופה שמתחילת 2021 ועד 7.10.23 לא היה בידי המועצה האזורית הגלבוע מידע על מצב הציוד במקלטים שבתחומה, מלבד המידע שקיבלה בעקבות הביקורת של פקע</w:t>
      </w:r>
      <w:r w:rsidRPr="00014C4D">
        <w:rPr>
          <w:b/>
          <w:bCs/>
          <w:rtl/>
        </w:rPr>
        <w:t>"</w:t>
      </w:r>
      <w:r w:rsidRPr="00014C4D">
        <w:rPr>
          <w:rFonts w:hint="cs"/>
          <w:b/>
          <w:bCs/>
          <w:rtl/>
        </w:rPr>
        <w:t>ר בשנת 2021 על מצבם של 157 מתוך 170 המקלטים, כאמור לעיל.</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בבדיקת ציוד החירום על פי הנדרש בתקנות הציוד וב</w:t>
      </w:r>
      <w:r w:rsidRPr="00014C4D">
        <w:rPr>
          <w:rFonts w:hint="eastAsia"/>
          <w:rtl/>
        </w:rPr>
        <w:t>מפרט</w:t>
      </w:r>
      <w:r w:rsidRPr="00014C4D">
        <w:rPr>
          <w:rtl/>
        </w:rPr>
        <w:t xml:space="preserve"> </w:t>
      </w:r>
      <w:r w:rsidRPr="00014C4D">
        <w:rPr>
          <w:rFonts w:hint="eastAsia"/>
          <w:rtl/>
        </w:rPr>
        <w:t>ל</w:t>
      </w:r>
      <w:r w:rsidRPr="00014C4D">
        <w:rPr>
          <w:rFonts w:hint="cs"/>
          <w:rtl/>
        </w:rPr>
        <w:t>ה</w:t>
      </w:r>
      <w:r w:rsidRPr="00014C4D">
        <w:rPr>
          <w:rFonts w:hint="eastAsia"/>
          <w:rtl/>
        </w:rPr>
        <w:t>חזקת</w:t>
      </w:r>
      <w:r w:rsidRPr="00014C4D">
        <w:rPr>
          <w:rtl/>
        </w:rPr>
        <w:t xml:space="preserve"> </w:t>
      </w:r>
      <w:r w:rsidRPr="00014C4D">
        <w:rPr>
          <w:rFonts w:hint="eastAsia"/>
          <w:rtl/>
        </w:rPr>
        <w:t>מקלטים</w:t>
      </w:r>
      <w:r w:rsidRPr="00014C4D">
        <w:rPr>
          <w:rtl/>
        </w:rPr>
        <w:t xml:space="preserve"> </w:t>
      </w:r>
      <w:r w:rsidRPr="00014C4D">
        <w:rPr>
          <w:rFonts w:hint="eastAsia"/>
          <w:rtl/>
        </w:rPr>
        <w:t>ציבוריים</w:t>
      </w:r>
      <w:r w:rsidRPr="00014C4D">
        <w:rPr>
          <w:rFonts w:hint="cs"/>
          <w:rtl/>
        </w:rPr>
        <w:t xml:space="preserve"> של חמישה מקלטים ציבוריים ב</w:t>
      </w:r>
      <w:r w:rsidRPr="00014C4D">
        <w:rPr>
          <w:rFonts w:hint="cs"/>
          <w:b/>
          <w:bCs/>
          <w:rtl/>
        </w:rPr>
        <w:t xml:space="preserve">גלבוע </w:t>
      </w:r>
      <w:r w:rsidRPr="00014C4D">
        <w:rPr>
          <w:rFonts w:hint="cs"/>
          <w:rtl/>
        </w:rPr>
        <w:t xml:space="preserve">שעשו עובדי משרד מבקר המדינה ביולי 2024 נמצא כי בארבעה מהם לא היה ציוד עזרה ראשונה, ובשלושה חסרו מטפי כיבוי.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b/>
          <w:bCs/>
          <w:highlight w:val="yellow"/>
        </w:rPr>
      </w:pPr>
      <w:r w:rsidRPr="00014C4D">
        <w:rPr>
          <w:rFonts w:hint="cs"/>
          <w:b/>
          <w:bCs/>
          <w:rtl/>
        </w:rPr>
        <w:t>על המועצה האזורית הגלבוע להשלים את ציוד החירום החסר במקלטים הציבוריים שבתחומה, לשמור עליו מפני נזק או אובדן ולהחזיקו כך שבעת הכרזת מצב הכן יהיה אפשר להשתמש בו.</w:t>
      </w:r>
    </w:p>
    <w:p w:rsidR="00014C4D" w:rsidRPr="00014C4D" w:rsidRDefault="00014C4D" w:rsidP="00014C4D">
      <w:pPr>
        <w:tabs>
          <w:tab w:val="left" w:pos="424"/>
        </w:tabs>
        <w:spacing w:line="269" w:lineRule="auto"/>
        <w:ind w:left="-1"/>
        <w:rPr>
          <w:b/>
          <w:bCs/>
          <w:rtl/>
        </w:rPr>
      </w:pPr>
    </w:p>
    <w:p w:rsidR="00014C4D" w:rsidRPr="00014C4D" w:rsidRDefault="00014C4D" w:rsidP="00014C4D">
      <w:pPr>
        <w:keepNext/>
        <w:keepLines/>
        <w:spacing w:line="269" w:lineRule="auto"/>
        <w:outlineLvl w:val="5"/>
        <w:rPr>
          <w:rFonts w:eastAsiaTheme="majorEastAsia"/>
          <w:spacing w:val="40"/>
          <w:rtl/>
        </w:rPr>
      </w:pPr>
      <w:r w:rsidRPr="00014C4D">
        <w:rPr>
          <w:rFonts w:eastAsiaTheme="majorEastAsia" w:hint="cs"/>
          <w:spacing w:val="40"/>
          <w:rtl/>
        </w:rPr>
        <w:t>עיריית חולון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1"/>
        <w:rPr>
          <w:rtl/>
        </w:rPr>
      </w:pPr>
      <w:r w:rsidRPr="00014C4D">
        <w:rPr>
          <w:rFonts w:hint="cs"/>
          <w:b/>
          <w:bCs/>
          <w:rtl/>
        </w:rPr>
        <w:t xml:space="preserve">עיריית חולון </w:t>
      </w:r>
      <w:r w:rsidRPr="00014C4D">
        <w:rPr>
          <w:rFonts w:hint="cs"/>
          <w:rtl/>
        </w:rPr>
        <w:t>ש</w:t>
      </w:r>
      <w:r w:rsidRPr="00014C4D">
        <w:rPr>
          <w:rtl/>
        </w:rPr>
        <w:t>ומרת את ציוד החירום במחסניה והוא מתוחזק באופן שוטף</w:t>
      </w:r>
      <w:r w:rsidRPr="00014C4D">
        <w:rPr>
          <w:rFonts w:hint="cs"/>
          <w:rtl/>
        </w:rPr>
        <w:t xml:space="preserve">. בבדיקת ציוד החירום של המקלטים הציבוריים שעשו עובדי משרד מבקר המדינה במחסני החירום של חולון נמצא הציוד תקין. </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מקלטים ציבוריים לשהייה ממושכת</w:t>
      </w:r>
      <w:r w:rsidRPr="00014C4D">
        <w:rPr>
          <w:rFonts w:eastAsia="Times New Roman"/>
          <w:bCs/>
          <w:szCs w:val="28"/>
          <w:u w:val="single"/>
          <w:vertAlign w:val="superscript"/>
          <w:rtl/>
        </w:rPr>
        <w:footnoteReference w:id="60"/>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eastAsia="Times New Roman"/>
          <w:rtl/>
          <w:lang w:eastAsia="he-IL"/>
        </w:rPr>
      </w:pPr>
      <w:r w:rsidRPr="00014C4D">
        <w:rPr>
          <w:rFonts w:eastAsia="Times New Roman" w:hint="eastAsia"/>
          <w:rtl/>
          <w:lang w:eastAsia="he-IL"/>
        </w:rPr>
        <w:t>בהנחיות</w:t>
      </w:r>
      <w:r w:rsidRPr="00014C4D">
        <w:rPr>
          <w:rFonts w:eastAsia="Times New Roman"/>
          <w:rtl/>
          <w:lang w:eastAsia="he-IL"/>
        </w:rPr>
        <w:t xml:space="preserve"> שהייה במרחב מוגן שפרסם </w:t>
      </w:r>
      <w:r w:rsidRPr="00014C4D">
        <w:rPr>
          <w:rFonts w:eastAsia="Times New Roman" w:hint="cs"/>
          <w:rtl/>
          <w:lang w:eastAsia="he-IL"/>
        </w:rPr>
        <w:t>פקע"ר</w:t>
      </w:r>
      <w:r w:rsidRPr="00014C4D">
        <w:rPr>
          <w:rFonts w:eastAsia="Times New Roman"/>
          <w:vertAlign w:val="superscript"/>
          <w:rtl/>
          <w:lang w:eastAsia="he-IL"/>
        </w:rPr>
        <w:footnoteReference w:id="61"/>
      </w:r>
      <w:r w:rsidRPr="00014C4D">
        <w:rPr>
          <w:rFonts w:eastAsia="Times New Roman"/>
          <w:rtl/>
          <w:lang w:eastAsia="he-IL"/>
        </w:rPr>
        <w:t xml:space="preserve"> </w:t>
      </w:r>
      <w:r w:rsidRPr="00014C4D">
        <w:rPr>
          <w:rFonts w:eastAsia="Times New Roman" w:hint="eastAsia"/>
          <w:rtl/>
          <w:lang w:eastAsia="he-IL"/>
        </w:rPr>
        <w:t>צוין</w:t>
      </w:r>
      <w:r w:rsidRPr="00014C4D">
        <w:rPr>
          <w:rFonts w:eastAsia="Times New Roman"/>
          <w:rtl/>
          <w:lang w:eastAsia="he-IL"/>
        </w:rPr>
        <w:t xml:space="preserve"> </w:t>
      </w:r>
      <w:r w:rsidRPr="00014C4D">
        <w:rPr>
          <w:rFonts w:eastAsia="Times New Roman" w:hint="eastAsia"/>
          <w:rtl/>
          <w:lang w:eastAsia="he-IL"/>
        </w:rPr>
        <w:t>כי</w:t>
      </w:r>
      <w:r w:rsidRPr="00014C4D">
        <w:rPr>
          <w:rFonts w:eastAsia="Times New Roman"/>
          <w:rtl/>
          <w:lang w:eastAsia="he-IL"/>
        </w:rPr>
        <w:t xml:space="preserve"> </w:t>
      </w:r>
      <w:r w:rsidRPr="00014C4D">
        <w:rPr>
          <w:rFonts w:eastAsia="Times New Roman" w:hint="cs"/>
          <w:rtl/>
          <w:lang w:eastAsia="he-IL"/>
        </w:rPr>
        <w:t>במהלך</w:t>
      </w:r>
      <w:r w:rsidRPr="00014C4D">
        <w:rPr>
          <w:rFonts w:eastAsia="Times New Roman"/>
          <w:rtl/>
          <w:lang w:eastAsia="he-IL"/>
        </w:rPr>
        <w:t xml:space="preserve"> </w:t>
      </w:r>
      <w:r w:rsidRPr="00014C4D">
        <w:rPr>
          <w:rFonts w:eastAsia="Times New Roman" w:hint="eastAsia"/>
          <w:rtl/>
          <w:lang w:eastAsia="he-IL"/>
        </w:rPr>
        <w:t>ירי</w:t>
      </w:r>
      <w:r w:rsidRPr="00014C4D">
        <w:rPr>
          <w:rFonts w:eastAsia="Times New Roman"/>
          <w:rtl/>
          <w:lang w:eastAsia="he-IL"/>
        </w:rPr>
        <w:t xml:space="preserve"> </w:t>
      </w:r>
      <w:r w:rsidRPr="00014C4D">
        <w:rPr>
          <w:rFonts w:eastAsia="Times New Roman" w:hint="eastAsia"/>
          <w:rtl/>
          <w:lang w:eastAsia="he-IL"/>
        </w:rPr>
        <w:t>מסיבי</w:t>
      </w:r>
      <w:r w:rsidRPr="00014C4D">
        <w:rPr>
          <w:rFonts w:eastAsia="Times New Roman"/>
          <w:rtl/>
          <w:lang w:eastAsia="he-IL"/>
        </w:rPr>
        <w:t xml:space="preserve"> </w:t>
      </w:r>
      <w:r w:rsidRPr="00014C4D">
        <w:rPr>
          <w:rFonts w:eastAsia="Times New Roman" w:hint="eastAsia"/>
          <w:rtl/>
          <w:lang w:eastAsia="he-IL"/>
        </w:rPr>
        <w:t>שהייה</w:t>
      </w:r>
      <w:r w:rsidRPr="00014C4D">
        <w:rPr>
          <w:rFonts w:eastAsia="Times New Roman"/>
          <w:rtl/>
          <w:lang w:eastAsia="he-IL"/>
        </w:rPr>
        <w:t xml:space="preserve"> </w:t>
      </w:r>
      <w:r w:rsidRPr="00014C4D">
        <w:rPr>
          <w:rFonts w:eastAsia="Times New Roman" w:hint="eastAsia"/>
          <w:rtl/>
          <w:lang w:eastAsia="he-IL"/>
        </w:rPr>
        <w:t>ממושכת</w:t>
      </w:r>
      <w:r w:rsidRPr="00014C4D">
        <w:rPr>
          <w:rFonts w:eastAsia="Times New Roman" w:hint="cs"/>
          <w:rtl/>
          <w:lang w:eastAsia="he-IL"/>
        </w:rPr>
        <w:t xml:space="preserve"> </w:t>
      </w:r>
      <w:r w:rsidRPr="00014C4D">
        <w:rPr>
          <w:rFonts w:eastAsia="Times New Roman"/>
          <w:rtl/>
          <w:lang w:eastAsia="he-IL"/>
        </w:rPr>
        <w:t xml:space="preserve">במרחב </w:t>
      </w:r>
      <w:r w:rsidRPr="00014C4D">
        <w:rPr>
          <w:rFonts w:eastAsia="Times New Roman" w:hint="eastAsia"/>
          <w:rtl/>
          <w:lang w:eastAsia="he-IL"/>
        </w:rPr>
        <w:t>המוגן</w:t>
      </w:r>
      <w:r w:rsidRPr="00014C4D">
        <w:rPr>
          <w:rFonts w:eastAsia="Times New Roman"/>
          <w:rtl/>
          <w:lang w:eastAsia="he-IL"/>
        </w:rPr>
        <w:t xml:space="preserve"> מצילה חיים והכרחית</w:t>
      </w:r>
      <w:r w:rsidRPr="00014C4D">
        <w:rPr>
          <w:rFonts w:eastAsia="Times New Roman" w:hint="cs"/>
          <w:rtl/>
          <w:lang w:eastAsia="he-IL"/>
        </w:rPr>
        <w:t>. על פי המנחה להכנת תיק ניהול מחסה של פקע"ר, לגבי מחסה המוני שהייה ממושכת מוגדרת בין 12 ל-72 שעות. פקע"ר פרסם</w:t>
      </w:r>
      <w:r w:rsidRPr="00014C4D">
        <w:rPr>
          <w:rtl/>
        </w:rPr>
        <w:t xml:space="preserve"> בספטמבר 2024</w:t>
      </w:r>
      <w:r w:rsidRPr="00014C4D">
        <w:rPr>
          <w:rFonts w:eastAsia="Times New Roman" w:hint="cs"/>
          <w:rtl/>
          <w:lang w:eastAsia="he-IL"/>
        </w:rPr>
        <w:t xml:space="preserve"> ר</w:t>
      </w:r>
      <w:r w:rsidRPr="00014C4D">
        <w:rPr>
          <w:rFonts w:eastAsia="Times New Roman" w:hint="eastAsia"/>
          <w:rtl/>
          <w:lang w:eastAsia="he-IL"/>
        </w:rPr>
        <w:t>שימת</w:t>
      </w:r>
      <w:r w:rsidRPr="00014C4D">
        <w:rPr>
          <w:rFonts w:eastAsia="Times New Roman"/>
          <w:rtl/>
          <w:lang w:eastAsia="he-IL"/>
        </w:rPr>
        <w:t xml:space="preserve"> ציוד הנדרש </w:t>
      </w:r>
      <w:r w:rsidRPr="00014C4D">
        <w:rPr>
          <w:rFonts w:eastAsia="Times New Roman" w:hint="eastAsia"/>
          <w:rtl/>
          <w:lang w:eastAsia="he-IL"/>
        </w:rPr>
        <w:t>לשהייה</w:t>
      </w:r>
      <w:r w:rsidRPr="00014C4D">
        <w:rPr>
          <w:rFonts w:eastAsia="Times New Roman"/>
          <w:rtl/>
          <w:lang w:eastAsia="he-IL"/>
        </w:rPr>
        <w:t xml:space="preserve"> ממושכת </w:t>
      </w:r>
      <w:r w:rsidRPr="00014C4D">
        <w:rPr>
          <w:rFonts w:eastAsia="Times New Roman" w:hint="cs"/>
          <w:rtl/>
          <w:lang w:eastAsia="he-IL"/>
        </w:rPr>
        <w:t xml:space="preserve">במרחב מוגן, </w:t>
      </w:r>
      <w:r w:rsidRPr="00014C4D">
        <w:rPr>
          <w:rFonts w:eastAsia="Times New Roman" w:hint="eastAsia"/>
          <w:rtl/>
          <w:lang w:eastAsia="he-IL"/>
        </w:rPr>
        <w:t>למשל</w:t>
      </w:r>
      <w:r w:rsidRPr="00014C4D">
        <w:rPr>
          <w:rFonts w:eastAsia="Times New Roman"/>
          <w:rtl/>
          <w:lang w:eastAsia="he-IL"/>
        </w:rPr>
        <w:t xml:space="preserve"> </w:t>
      </w:r>
      <w:r w:rsidRPr="00014C4D">
        <w:rPr>
          <w:rFonts w:eastAsia="Times New Roman" w:hint="eastAsia"/>
          <w:rtl/>
          <w:lang w:eastAsia="he-IL"/>
        </w:rPr>
        <w:t>מזרנים</w:t>
      </w:r>
      <w:r w:rsidRPr="00014C4D">
        <w:rPr>
          <w:rFonts w:eastAsia="Times New Roman"/>
          <w:rtl/>
          <w:lang w:eastAsia="he-IL"/>
        </w:rPr>
        <w:t xml:space="preserve"> </w:t>
      </w:r>
      <w:r w:rsidRPr="00014C4D">
        <w:rPr>
          <w:rFonts w:eastAsia="Times New Roman" w:hint="eastAsia"/>
          <w:rtl/>
          <w:lang w:eastAsia="he-IL"/>
        </w:rPr>
        <w:t>ושמיכות</w:t>
      </w:r>
      <w:r w:rsidRPr="00014C4D">
        <w:rPr>
          <w:rFonts w:eastAsia="Times New Roman"/>
          <w:vertAlign w:val="superscript"/>
          <w:rtl/>
          <w:lang w:eastAsia="he-IL"/>
        </w:rPr>
        <w:footnoteReference w:id="62"/>
      </w:r>
      <w:r w:rsidRPr="00014C4D">
        <w:rPr>
          <w:rFonts w:eastAsia="Times New Roman"/>
          <w:rtl/>
          <w:lang w:eastAsia="he-IL"/>
        </w:rPr>
        <w:t>.</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Fonts w:ascii="David" w:eastAsia="Times New Roman" w:hAnsi="David"/>
          <w:b/>
          <w:bCs/>
          <w:sz w:val="24"/>
          <w:rtl/>
          <w:lang w:eastAsia="he-IL"/>
        </w:rPr>
      </w:pPr>
      <w:r w:rsidRPr="00014C4D">
        <w:rPr>
          <w:rFonts w:eastAsia="Times New Roman" w:hint="cs"/>
          <w:rtl/>
          <w:lang w:eastAsia="he-IL"/>
        </w:rPr>
        <w:lastRenderedPageBreak/>
        <w:t>בדוח מבקר המדינה מ-2018</w:t>
      </w:r>
      <w:r w:rsidRPr="00014C4D">
        <w:rPr>
          <w:rFonts w:eastAsia="Times New Roman"/>
          <w:vertAlign w:val="superscript"/>
          <w:rtl/>
          <w:lang w:eastAsia="he-IL"/>
        </w:rPr>
        <w:footnoteReference w:id="63"/>
      </w:r>
      <w:r w:rsidRPr="00014C4D">
        <w:rPr>
          <w:rFonts w:eastAsia="Times New Roman" w:hint="cs"/>
          <w:rtl/>
          <w:lang w:eastAsia="he-IL"/>
        </w:rPr>
        <w:t xml:space="preserve"> נקבע כי חלקם הגדול של המקלטים הציבוריים ברשויות מקומיות שאינן יהודיות לא התאים לשהייה ממושכת </w:t>
      </w:r>
      <w:r w:rsidRPr="00014C4D">
        <w:rPr>
          <w:rFonts w:ascii="David" w:hAnsi="David" w:hint="cs"/>
          <w:sz w:val="24"/>
          <w:rtl/>
        </w:rPr>
        <w:t xml:space="preserve">בשל </w:t>
      </w:r>
      <w:r w:rsidRPr="00014C4D">
        <w:rPr>
          <w:rFonts w:ascii="David" w:hAnsi="David"/>
          <w:sz w:val="24"/>
          <w:rtl/>
        </w:rPr>
        <w:t>"</w:t>
      </w:r>
      <w:r w:rsidRPr="00014C4D">
        <w:rPr>
          <w:rFonts w:ascii="David" w:hAnsi="David" w:hint="cs"/>
          <w:sz w:val="24"/>
          <w:rtl/>
        </w:rPr>
        <w:t>ה</w:t>
      </w:r>
      <w:r w:rsidRPr="00014C4D">
        <w:rPr>
          <w:rFonts w:ascii="David" w:hAnsi="David"/>
          <w:sz w:val="24"/>
          <w:rtl/>
        </w:rPr>
        <w:t xml:space="preserve">מצב </w:t>
      </w:r>
      <w:r w:rsidRPr="00014C4D">
        <w:rPr>
          <w:rFonts w:ascii="David" w:hAnsi="David" w:hint="cs"/>
          <w:sz w:val="24"/>
          <w:rtl/>
        </w:rPr>
        <w:t>ה</w:t>
      </w:r>
      <w:r w:rsidRPr="00014C4D">
        <w:rPr>
          <w:rFonts w:ascii="David" w:hAnsi="David"/>
          <w:sz w:val="24"/>
          <w:rtl/>
        </w:rPr>
        <w:t xml:space="preserve">פיזי" </w:t>
      </w:r>
      <w:r w:rsidRPr="00014C4D">
        <w:rPr>
          <w:rFonts w:ascii="David" w:hAnsi="David" w:hint="cs"/>
          <w:sz w:val="24"/>
          <w:rtl/>
        </w:rPr>
        <w:t xml:space="preserve">של המקלטים. </w:t>
      </w:r>
      <w:r w:rsidRPr="00014C4D">
        <w:rPr>
          <w:rFonts w:ascii="David" w:hAnsi="David"/>
          <w:sz w:val="24"/>
          <w:rtl/>
        </w:rPr>
        <w:t>הכוונה בין היתר ל</w:t>
      </w:r>
      <w:r w:rsidRPr="00014C4D">
        <w:rPr>
          <w:rFonts w:ascii="David" w:hAnsi="David" w:hint="cs"/>
          <w:sz w:val="24"/>
          <w:rtl/>
        </w:rPr>
        <w:t xml:space="preserve">היעדר </w:t>
      </w:r>
      <w:r w:rsidRPr="00014C4D">
        <w:rPr>
          <w:rFonts w:ascii="David" w:hAnsi="David"/>
          <w:sz w:val="24"/>
          <w:rtl/>
        </w:rPr>
        <w:t>ריצוף, שירותים מערביים (שירותים שיש בהם אסלה</w:t>
      </w:r>
      <w:r w:rsidRPr="00014C4D">
        <w:rPr>
          <w:rFonts w:ascii="David" w:hAnsi="David" w:hint="cs"/>
          <w:sz w:val="24"/>
          <w:rtl/>
        </w:rPr>
        <w:t xml:space="preserve"> גבוהה</w:t>
      </w:r>
      <w:r w:rsidRPr="00014C4D">
        <w:rPr>
          <w:rFonts w:ascii="David" w:hAnsi="David"/>
          <w:sz w:val="24"/>
          <w:rtl/>
        </w:rPr>
        <w:t>) ברמה נאותה, תאורה מתאימה, מזגנים, אוורור, שתייה</w:t>
      </w:r>
      <w:r w:rsidRPr="00014C4D">
        <w:rPr>
          <w:rFonts w:ascii="David" w:hAnsi="David" w:hint="cs"/>
          <w:sz w:val="24"/>
          <w:rtl/>
        </w:rPr>
        <w:t xml:space="preserve">, </w:t>
      </w:r>
      <w:r w:rsidRPr="00014C4D">
        <w:rPr>
          <w:rFonts w:ascii="David" w:eastAsia="Times New Roman" w:hAnsi="David" w:hint="cs"/>
          <w:sz w:val="24"/>
          <w:rtl/>
          <w:lang w:eastAsia="he-IL"/>
        </w:rPr>
        <w:t>חיבור למרשתת, מגבר ל</w:t>
      </w:r>
      <w:r w:rsidRPr="00014C4D">
        <w:rPr>
          <w:rFonts w:ascii="David" w:eastAsia="Times New Roman" w:hAnsi="David"/>
          <w:sz w:val="24"/>
          <w:rtl/>
          <w:lang w:eastAsia="he-IL"/>
        </w:rPr>
        <w:t>קליטה סלולרית</w:t>
      </w:r>
      <w:r w:rsidRPr="00014C4D">
        <w:rPr>
          <w:rFonts w:ascii="David" w:eastAsia="Times New Roman" w:hAnsi="David" w:hint="cs"/>
          <w:sz w:val="24"/>
          <w:rtl/>
          <w:lang w:eastAsia="he-IL"/>
        </w:rPr>
        <w:t xml:space="preserve"> ו</w:t>
      </w:r>
      <w:r w:rsidRPr="00014C4D">
        <w:rPr>
          <w:rFonts w:ascii="David" w:eastAsia="Times New Roman" w:hAnsi="David"/>
          <w:sz w:val="24"/>
          <w:rtl/>
          <w:lang w:eastAsia="he-IL"/>
        </w:rPr>
        <w:t>תקשורת</w:t>
      </w:r>
      <w:r w:rsidRPr="00014C4D">
        <w:rPr>
          <w:rFonts w:ascii="David" w:eastAsia="Times New Roman" w:hAnsi="David" w:hint="cs"/>
          <w:sz w:val="24"/>
          <w:rtl/>
          <w:lang w:eastAsia="he-IL"/>
        </w:rPr>
        <w:t xml:space="preserve"> </w:t>
      </w:r>
      <w:r w:rsidRPr="00014C4D">
        <w:rPr>
          <w:rFonts w:ascii="David" w:eastAsia="Times New Roman" w:hAnsi="David"/>
          <w:szCs w:val="20"/>
          <w:lang w:eastAsia="he-IL"/>
        </w:rPr>
        <w:t>Wi-Fi</w:t>
      </w:r>
      <w:r w:rsidRPr="00014C4D">
        <w:rPr>
          <w:rFonts w:ascii="David" w:eastAsia="Times New Roman" w:hAnsi="David" w:hint="cs"/>
          <w:sz w:val="24"/>
          <w:rtl/>
          <w:lang w:eastAsia="he-IL"/>
        </w:rPr>
        <w:t>.</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rPr>
          <w:rFonts w:ascii="David" w:hAnsi="David"/>
          <w:b/>
          <w:bCs/>
          <w:sz w:val="24"/>
          <w:rtl/>
        </w:rPr>
      </w:pPr>
      <w:r w:rsidRPr="00014C4D">
        <w:rPr>
          <w:rFonts w:ascii="David" w:hAnsi="David" w:hint="cs"/>
          <w:b/>
          <w:bCs/>
          <w:sz w:val="24"/>
          <w:rtl/>
        </w:rPr>
        <w:t xml:space="preserve">נמצא כי עיריית גבעתיים לא ערכה רישום של המקלטים המתאימים לשהייה ממושכת. בבדיקת המדגם של חמישה מקלטים ציבוריים כאמור לעיל נמצא כי שניים מהם אינם מתאימים לשהייה ממושכת בשל היעדר ריצוף, מזגן ומאווררים. באחד מהם אין חיבורים לטלפון וטלוויזיה. בכולם לא הותקנו חיבור למרשתת ואמצעים </w:t>
      </w:r>
      <w:r w:rsidRPr="00014C4D">
        <w:rPr>
          <w:rFonts w:ascii="David" w:eastAsia="Times New Roman" w:hAnsi="David" w:hint="cs"/>
          <w:b/>
          <w:bCs/>
          <w:sz w:val="24"/>
          <w:rtl/>
          <w:lang w:eastAsia="he-IL"/>
        </w:rPr>
        <w:t>ל</w:t>
      </w:r>
      <w:r w:rsidRPr="00014C4D">
        <w:rPr>
          <w:rFonts w:ascii="David" w:eastAsia="Times New Roman" w:hAnsi="David"/>
          <w:b/>
          <w:bCs/>
          <w:sz w:val="24"/>
          <w:rtl/>
          <w:lang w:eastAsia="he-IL"/>
        </w:rPr>
        <w:t>תקשורת</w:t>
      </w:r>
      <w:r w:rsidRPr="00014C4D">
        <w:rPr>
          <w:rFonts w:ascii="David" w:eastAsia="Times New Roman" w:hAnsi="David"/>
          <w:b/>
          <w:bCs/>
          <w:szCs w:val="20"/>
          <w:lang w:eastAsia="he-IL"/>
        </w:rPr>
        <w:t>Wi-Fi</w:t>
      </w:r>
      <w:r w:rsidRPr="00014C4D">
        <w:rPr>
          <w:rFonts w:ascii="David" w:hAnsi="David" w:hint="cs"/>
          <w:b/>
          <w:bCs/>
          <w:szCs w:val="20"/>
        </w:rPr>
        <w:t xml:space="preserve"> </w:t>
      </w:r>
      <w:r w:rsidRPr="00014C4D">
        <w:rPr>
          <w:rFonts w:ascii="David" w:hAnsi="David" w:hint="cs"/>
          <w:b/>
          <w:bCs/>
          <w:szCs w:val="20"/>
          <w:rtl/>
        </w:rPr>
        <w:t xml:space="preserve"> </w:t>
      </w:r>
      <w:r w:rsidRPr="00014C4D">
        <w:rPr>
          <w:rFonts w:ascii="David" w:hAnsi="David" w:hint="cs"/>
          <w:b/>
          <w:bCs/>
          <w:sz w:val="24"/>
          <w:rtl/>
        </w:rPr>
        <w:t>וכן מגבר לקליטה סלולרית.</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rPr>
          <w:rFonts w:ascii="David" w:hAnsi="David"/>
          <w:bCs/>
          <w:sz w:val="24"/>
          <w:rtl/>
        </w:rPr>
      </w:pPr>
      <w:r w:rsidRPr="00014C4D">
        <w:rPr>
          <w:rFonts w:ascii="David" w:eastAsia="Times New Roman" w:hAnsi="David" w:hint="cs"/>
          <w:bCs/>
          <w:sz w:val="24"/>
          <w:rtl/>
        </w:rPr>
        <w:t>בידי המועצה האזורית הגלבוע אין מידע על מידת התאמתם של המקלטים הציבוריים שבתחומה לשהייה ממושכת</w:t>
      </w:r>
      <w:r w:rsidRPr="00014C4D">
        <w:rPr>
          <w:rFonts w:ascii="David" w:hAnsi="David" w:hint="cs"/>
          <w:bCs/>
          <w:sz w:val="24"/>
          <w:rtl/>
        </w:rPr>
        <w:t>. בבדיקה של חמישה מקלטים הועלה כי חלקם אינם מתאימים לשהייה ממושכת וחסרים בהם ריצוף (1), שירותים מערביים (2), מזגנים ומאווררים (2).</w:t>
      </w:r>
    </w:p>
    <w:p w:rsidR="00014C4D" w:rsidRPr="00014C4D" w:rsidRDefault="00014C4D" w:rsidP="00014C4D">
      <w:pPr>
        <w:spacing w:line="269" w:lineRule="auto"/>
        <w:ind w:left="-567"/>
        <w:rPr>
          <w:szCs w:val="20"/>
        </w:rPr>
      </w:pPr>
    </w:p>
    <w:p w:rsidR="00014C4D" w:rsidRPr="00014C4D" w:rsidRDefault="00014C4D" w:rsidP="00014C4D">
      <w:pPr>
        <w:widowControl w:val="0"/>
        <w:spacing w:line="269" w:lineRule="auto"/>
        <w:rPr>
          <w:rFonts w:ascii="David" w:hAnsi="David"/>
          <w:bCs/>
          <w:sz w:val="24"/>
          <w:rtl/>
        </w:rPr>
      </w:pPr>
      <w:r w:rsidRPr="00014C4D">
        <w:rPr>
          <w:rFonts w:ascii="David" w:hAnsi="David" w:hint="cs"/>
          <w:bCs/>
          <w:sz w:val="24"/>
          <w:rtl/>
        </w:rPr>
        <w:t>עוד נמצא כי פקע"ר לא בדק התאמת המקלטים הציבוריים לשהייה ממושכת בהם.</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rPr>
          <w:rFonts w:ascii="David" w:hAnsi="David"/>
          <w:b/>
          <w:bCs/>
          <w:sz w:val="24"/>
          <w:rtl/>
        </w:rPr>
      </w:pPr>
      <w:r w:rsidRPr="00014C4D">
        <w:rPr>
          <w:rFonts w:ascii="David" w:hAnsi="David" w:hint="cs"/>
          <w:b/>
          <w:bCs/>
          <w:sz w:val="24"/>
          <w:rtl/>
        </w:rPr>
        <w:t xml:space="preserve">מומלץ כי הרשויות המקומיות גבעתיים והגלבוע ירכזו מידע על התאמת המקלטים הציבוריים שבתחומן לשהייה ממושכת וינקטו את הצעדים הדרושים כדי שמקלטים אלה ייתנו </w:t>
      </w:r>
      <w:r w:rsidRPr="00014C4D">
        <w:rPr>
          <w:rFonts w:ascii="David" w:hAnsi="David"/>
          <w:b/>
          <w:bCs/>
          <w:sz w:val="24"/>
          <w:rtl/>
        </w:rPr>
        <w:t xml:space="preserve">מענה לאוכלוסייה גם </w:t>
      </w:r>
      <w:r w:rsidRPr="00014C4D">
        <w:rPr>
          <w:rFonts w:ascii="David" w:hAnsi="David" w:hint="cs"/>
          <w:b/>
          <w:bCs/>
          <w:sz w:val="24"/>
          <w:rtl/>
        </w:rPr>
        <w:t xml:space="preserve">כשתידרש שהייה ארוכה בהם. </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rPr>
          <w:rFonts w:ascii="David" w:hAnsi="David"/>
          <w:b/>
          <w:bCs/>
          <w:sz w:val="24"/>
          <w:rtl/>
        </w:rPr>
      </w:pPr>
      <w:r w:rsidRPr="00014C4D">
        <w:rPr>
          <w:rFonts w:ascii="David" w:hAnsi="David" w:hint="cs"/>
          <w:b/>
          <w:bCs/>
          <w:sz w:val="24"/>
          <w:rtl/>
        </w:rPr>
        <w:t xml:space="preserve">כל המקלטים הציבוריים באשקלון ובחולון הותאמו לשהייה ממושכת, אולם לא הותקנו בהם חיבור למרשתת, אמצעים </w:t>
      </w:r>
      <w:r w:rsidRPr="00014C4D">
        <w:rPr>
          <w:rFonts w:ascii="David" w:eastAsia="Times New Roman" w:hAnsi="David" w:hint="cs"/>
          <w:b/>
          <w:bCs/>
          <w:sz w:val="24"/>
          <w:rtl/>
          <w:lang w:eastAsia="he-IL"/>
        </w:rPr>
        <w:t>ל</w:t>
      </w:r>
      <w:r w:rsidRPr="00014C4D">
        <w:rPr>
          <w:rFonts w:ascii="David" w:eastAsia="Times New Roman" w:hAnsi="David"/>
          <w:b/>
          <w:bCs/>
          <w:sz w:val="24"/>
          <w:rtl/>
          <w:lang w:eastAsia="he-IL"/>
        </w:rPr>
        <w:t xml:space="preserve">תקשורת </w:t>
      </w:r>
      <w:r w:rsidRPr="00014C4D">
        <w:rPr>
          <w:rFonts w:ascii="David" w:eastAsia="Times New Roman" w:hAnsi="David"/>
          <w:b/>
          <w:bCs/>
          <w:sz w:val="24"/>
          <w:lang w:eastAsia="he-IL"/>
        </w:rPr>
        <w:t xml:space="preserve"> </w:t>
      </w:r>
      <w:r w:rsidRPr="00014C4D">
        <w:rPr>
          <w:rFonts w:ascii="David" w:eastAsia="Times New Roman" w:hAnsi="David"/>
          <w:b/>
          <w:bCs/>
          <w:szCs w:val="20"/>
          <w:lang w:eastAsia="he-IL"/>
        </w:rPr>
        <w:t>Wi-Fi</w:t>
      </w:r>
      <w:r w:rsidRPr="00014C4D">
        <w:rPr>
          <w:rFonts w:ascii="David" w:hAnsi="David" w:hint="cs"/>
          <w:b/>
          <w:bCs/>
          <w:sz w:val="24"/>
          <w:rtl/>
        </w:rPr>
        <w:t>ומגבר לקליטה סלולרית וחיבור למרשתת.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מומלץ</w:t>
      </w:r>
      <w:r w:rsidRPr="00014C4D">
        <w:rPr>
          <w:b/>
          <w:bCs/>
          <w:rtl/>
        </w:rPr>
        <w:t xml:space="preserve"> </w:t>
      </w:r>
      <w:r w:rsidRPr="00014C4D">
        <w:rPr>
          <w:rFonts w:hint="eastAsia"/>
          <w:b/>
          <w:bCs/>
          <w:rtl/>
        </w:rPr>
        <w:t>לעיריות</w:t>
      </w:r>
      <w:r w:rsidRPr="00014C4D">
        <w:rPr>
          <w:b/>
          <w:bCs/>
          <w:rtl/>
        </w:rPr>
        <w:t xml:space="preserve"> </w:t>
      </w:r>
      <w:r w:rsidRPr="00014C4D">
        <w:rPr>
          <w:rFonts w:hint="eastAsia"/>
          <w:b/>
          <w:bCs/>
          <w:rtl/>
        </w:rPr>
        <w:t>אשקלון</w:t>
      </w:r>
      <w:r w:rsidRPr="00014C4D">
        <w:rPr>
          <w:b/>
          <w:bCs/>
          <w:rtl/>
        </w:rPr>
        <w:t xml:space="preserve">, </w:t>
      </w:r>
      <w:r w:rsidRPr="00014C4D">
        <w:rPr>
          <w:rFonts w:hint="eastAsia"/>
          <w:b/>
          <w:bCs/>
          <w:rtl/>
        </w:rPr>
        <w:t>גבעתיים</w:t>
      </w:r>
      <w:r w:rsidRPr="00014C4D">
        <w:rPr>
          <w:b/>
          <w:bCs/>
          <w:rtl/>
        </w:rPr>
        <w:t xml:space="preserve"> </w:t>
      </w:r>
      <w:r w:rsidRPr="00014C4D">
        <w:rPr>
          <w:rFonts w:hint="eastAsia"/>
          <w:b/>
          <w:bCs/>
          <w:rtl/>
        </w:rPr>
        <w:t>וחולון</w:t>
      </w:r>
      <w:r w:rsidRPr="00014C4D">
        <w:rPr>
          <w:b/>
          <w:bCs/>
          <w:rtl/>
        </w:rPr>
        <w:t xml:space="preserve"> </w:t>
      </w:r>
      <w:r w:rsidRPr="00014C4D">
        <w:rPr>
          <w:rFonts w:hint="eastAsia"/>
          <w:b/>
          <w:bCs/>
          <w:rtl/>
        </w:rPr>
        <w:t>להתקין</w:t>
      </w:r>
      <w:r w:rsidRPr="00014C4D">
        <w:rPr>
          <w:b/>
          <w:bCs/>
          <w:rtl/>
        </w:rPr>
        <w:t xml:space="preserve"> </w:t>
      </w:r>
      <w:r w:rsidRPr="00014C4D">
        <w:rPr>
          <w:rFonts w:hint="eastAsia"/>
          <w:b/>
          <w:bCs/>
          <w:rtl/>
        </w:rPr>
        <w:t>במקלטים</w:t>
      </w:r>
      <w:r w:rsidRPr="00014C4D">
        <w:rPr>
          <w:b/>
          <w:bCs/>
          <w:rtl/>
        </w:rPr>
        <w:t xml:space="preserve"> </w:t>
      </w:r>
      <w:r w:rsidRPr="00014C4D">
        <w:rPr>
          <w:rFonts w:hint="eastAsia"/>
          <w:b/>
          <w:bCs/>
          <w:rtl/>
        </w:rPr>
        <w:t>הציבוריים</w:t>
      </w:r>
      <w:r w:rsidRPr="00014C4D">
        <w:rPr>
          <w:b/>
          <w:bCs/>
          <w:rtl/>
        </w:rPr>
        <w:t xml:space="preserve"> חיבור למרשתת, אמצעים לתקשורת</w:t>
      </w:r>
      <w:r w:rsidRPr="00014C4D">
        <w:rPr>
          <w:rFonts w:hint="cs"/>
          <w:b/>
          <w:bCs/>
          <w:rtl/>
        </w:rPr>
        <w:t xml:space="preserve"> </w:t>
      </w:r>
      <w:r w:rsidRPr="00014C4D">
        <w:rPr>
          <w:b/>
          <w:bCs/>
        </w:rPr>
        <w:t>Wi-Fi</w:t>
      </w:r>
      <w:r w:rsidRPr="00014C4D">
        <w:rPr>
          <w:b/>
          <w:bCs/>
          <w:rtl/>
        </w:rPr>
        <w:t xml:space="preserve"> ומגבר לקליטה סלולרית וחיבור למרשתת.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עיריית</w:t>
      </w:r>
      <w:r w:rsidRPr="00014C4D">
        <w:rPr>
          <w:rtl/>
        </w:rPr>
        <w:t xml:space="preserve"> </w:t>
      </w:r>
      <w:r w:rsidRPr="00014C4D">
        <w:rPr>
          <w:rFonts w:hint="cs"/>
          <w:b/>
          <w:bCs/>
          <w:rtl/>
        </w:rPr>
        <w:t>גבעתיים</w:t>
      </w:r>
      <w:r w:rsidRPr="00014C4D">
        <w:rPr>
          <w:rtl/>
        </w:rPr>
        <w:t xml:space="preserve"> מסרה בתשובתה כי הכשירה חמישה מתחמים תת-קרקעיים ייעודיים </w:t>
      </w:r>
      <w:r w:rsidRPr="00014C4D">
        <w:rPr>
          <w:rFonts w:hint="eastAsia"/>
          <w:rtl/>
        </w:rPr>
        <w:t>לשהייה</w:t>
      </w:r>
      <w:r w:rsidRPr="00014C4D">
        <w:rPr>
          <w:rtl/>
        </w:rPr>
        <w:t xml:space="preserve"> </w:t>
      </w:r>
      <w:r w:rsidRPr="00014C4D">
        <w:rPr>
          <w:rFonts w:hint="eastAsia"/>
          <w:rtl/>
        </w:rPr>
        <w:t>ממ</w:t>
      </w:r>
      <w:r w:rsidRPr="00014C4D">
        <w:rPr>
          <w:rFonts w:hint="cs"/>
          <w:rtl/>
        </w:rPr>
        <w:t>ו</w:t>
      </w:r>
      <w:r w:rsidRPr="00014C4D">
        <w:rPr>
          <w:rFonts w:hint="eastAsia"/>
          <w:rtl/>
        </w:rPr>
        <w:t>שכת</w:t>
      </w:r>
      <w:r w:rsidRPr="00014C4D">
        <w:rPr>
          <w:rtl/>
        </w:rPr>
        <w:t xml:space="preserve">, </w:t>
      </w:r>
      <w:r w:rsidRPr="00014C4D">
        <w:rPr>
          <w:rFonts w:hint="eastAsia"/>
          <w:rtl/>
        </w:rPr>
        <w:t>ובהם</w:t>
      </w:r>
      <w:r w:rsidRPr="00014C4D">
        <w:rPr>
          <w:rtl/>
        </w:rPr>
        <w:t xml:space="preserve"> </w:t>
      </w:r>
      <w:r w:rsidRPr="00014C4D">
        <w:rPr>
          <w:rFonts w:hint="eastAsia"/>
          <w:rtl/>
        </w:rPr>
        <w:t>מערכות</w:t>
      </w:r>
      <w:r w:rsidRPr="00014C4D">
        <w:rPr>
          <w:rtl/>
        </w:rPr>
        <w:t xml:space="preserve"> </w:t>
      </w:r>
      <w:r w:rsidRPr="00014C4D">
        <w:rPr>
          <w:rFonts w:hint="eastAsia"/>
          <w:rtl/>
        </w:rPr>
        <w:t>אוורור</w:t>
      </w:r>
      <w:r w:rsidRPr="00014C4D">
        <w:rPr>
          <w:rtl/>
        </w:rPr>
        <w:t xml:space="preserve">, </w:t>
      </w:r>
      <w:r w:rsidRPr="00014C4D">
        <w:rPr>
          <w:rFonts w:hint="eastAsia"/>
          <w:rtl/>
        </w:rPr>
        <w:t>שירותים</w:t>
      </w:r>
      <w:r w:rsidRPr="00014C4D">
        <w:rPr>
          <w:rtl/>
        </w:rPr>
        <w:t xml:space="preserve">, </w:t>
      </w:r>
      <w:r w:rsidRPr="00014C4D">
        <w:rPr>
          <w:rFonts w:hint="eastAsia"/>
          <w:rtl/>
        </w:rPr>
        <w:t>שקעי</w:t>
      </w:r>
      <w:r w:rsidRPr="00014C4D">
        <w:rPr>
          <w:rtl/>
        </w:rPr>
        <w:t xml:space="preserve"> </w:t>
      </w:r>
      <w:r w:rsidRPr="00014C4D">
        <w:rPr>
          <w:rFonts w:hint="eastAsia"/>
          <w:rtl/>
        </w:rPr>
        <w:t>חשמל</w:t>
      </w:r>
      <w:r w:rsidRPr="00014C4D">
        <w:rPr>
          <w:rtl/>
        </w:rPr>
        <w:t xml:space="preserve"> </w:t>
      </w:r>
      <w:r w:rsidRPr="00014C4D">
        <w:rPr>
          <w:rFonts w:hint="eastAsia"/>
          <w:rtl/>
        </w:rPr>
        <w:t>וגיבוי</w:t>
      </w:r>
      <w:r w:rsidRPr="00014C4D">
        <w:rPr>
          <w:rtl/>
        </w:rPr>
        <w:t xml:space="preserve"> </w:t>
      </w:r>
      <w:r w:rsidRPr="00014C4D">
        <w:rPr>
          <w:rFonts w:hint="eastAsia"/>
          <w:rtl/>
        </w:rPr>
        <w:t>באמצעות</w:t>
      </w:r>
      <w:r w:rsidRPr="00014C4D">
        <w:rPr>
          <w:rtl/>
        </w:rPr>
        <w:t xml:space="preserve"> </w:t>
      </w:r>
      <w:r w:rsidRPr="00014C4D">
        <w:rPr>
          <w:rFonts w:hint="eastAsia"/>
          <w:rtl/>
        </w:rPr>
        <w:t xml:space="preserve">גנרטורים </w:t>
      </w:r>
      <w:r w:rsidRPr="00014C4D">
        <w:rPr>
          <w:rFonts w:hint="cs"/>
          <w:rtl/>
        </w:rPr>
        <w:t>ותקשורת למרשתת (</w:t>
      </w:r>
      <w:r w:rsidRPr="00014C4D">
        <w:rPr>
          <w:rFonts w:hint="eastAsia"/>
          <w:rtl/>
        </w:rPr>
        <w:t>אינטרנט</w:t>
      </w:r>
      <w:r w:rsidRPr="00014C4D">
        <w:rPr>
          <w:rFonts w:hint="cs"/>
          <w:rtl/>
        </w:rPr>
        <w:t>)</w:t>
      </w:r>
      <w:r w:rsidRPr="00014C4D">
        <w:rPr>
          <w:rtl/>
        </w:rPr>
        <w:t xml:space="preserve">, </w:t>
      </w:r>
      <w:r w:rsidRPr="00014C4D">
        <w:rPr>
          <w:rFonts w:hint="eastAsia"/>
          <w:rtl/>
        </w:rPr>
        <w:t>והם</w:t>
      </w:r>
      <w:r w:rsidRPr="00014C4D">
        <w:rPr>
          <w:rtl/>
        </w:rPr>
        <w:t xml:space="preserve"> </w:t>
      </w:r>
      <w:r w:rsidRPr="00014C4D">
        <w:rPr>
          <w:rFonts w:hint="cs"/>
          <w:rtl/>
        </w:rPr>
        <w:t>פורסמו</w:t>
      </w:r>
      <w:r w:rsidRPr="00014C4D">
        <w:rPr>
          <w:rtl/>
        </w:rPr>
        <w:t xml:space="preserve"> </w:t>
      </w:r>
      <w:r w:rsidRPr="00014C4D">
        <w:rPr>
          <w:rFonts w:hint="eastAsia"/>
          <w:rtl/>
        </w:rPr>
        <w:t>בחוברת</w:t>
      </w:r>
      <w:r w:rsidRPr="00014C4D">
        <w:rPr>
          <w:rtl/>
        </w:rPr>
        <w:t xml:space="preserve"> </w:t>
      </w:r>
      <w:r w:rsidRPr="00014C4D">
        <w:rPr>
          <w:rFonts w:hint="eastAsia"/>
          <w:rtl/>
        </w:rPr>
        <w:t>החירום</w:t>
      </w:r>
      <w:r w:rsidRPr="00014C4D">
        <w:rPr>
          <w:rtl/>
        </w:rPr>
        <w:t xml:space="preserve"> </w:t>
      </w:r>
      <w:r w:rsidRPr="00014C4D">
        <w:rPr>
          <w:rFonts w:hint="cs"/>
          <w:rtl/>
        </w:rPr>
        <w:t xml:space="preserve">העירונית </w:t>
      </w:r>
      <w:r w:rsidRPr="00014C4D">
        <w:rPr>
          <w:rFonts w:hint="eastAsia"/>
          <w:rtl/>
        </w:rPr>
        <w:t>ובסרטון</w:t>
      </w:r>
      <w:r w:rsidRPr="00014C4D">
        <w:rPr>
          <w:rtl/>
        </w:rPr>
        <w:t xml:space="preserve"> </w:t>
      </w:r>
      <w:r w:rsidRPr="00014C4D">
        <w:rPr>
          <w:rFonts w:hint="eastAsia"/>
          <w:rtl/>
        </w:rPr>
        <w:t>הסברה</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 xml:space="preserve">חולון </w:t>
      </w:r>
      <w:r w:rsidRPr="00014C4D">
        <w:rPr>
          <w:rtl/>
        </w:rPr>
        <w:t xml:space="preserve">מסרה בתשובתה כי פקע"ר אינו דורש מהרשויות המקומיות להתקין במקלטים הציבוריים חיבור למרשתת, </w:t>
      </w:r>
      <w:r w:rsidRPr="00014C4D">
        <w:t>Wi-Fi</w:t>
      </w:r>
      <w:r w:rsidRPr="00014C4D">
        <w:rPr>
          <w:rtl/>
        </w:rPr>
        <w:t xml:space="preserve"> או מגברי קליטה סלולרית. עם זאת, העירייה ציינה כי בכוונתה לפעול בנושא זה באופן הדרגתי, ככל שהדבר יתאפשר תקציבית ובסיוע המדינה.</w:t>
      </w:r>
    </w:p>
    <w:p w:rsidR="00014C4D" w:rsidRPr="00014C4D" w:rsidRDefault="00014C4D" w:rsidP="00014C4D">
      <w:pPr>
        <w:spacing w:line="269" w:lineRule="auto"/>
        <w:ind w:left="-567"/>
        <w:rPr>
          <w:szCs w:val="20"/>
          <w:rtl/>
        </w:rPr>
      </w:pPr>
    </w:p>
    <w:p w:rsidR="00014C4D" w:rsidRPr="00014C4D" w:rsidRDefault="00014C4D" w:rsidP="00014C4D">
      <w:pPr>
        <w:widowControl w:val="0"/>
        <w:spacing w:line="269" w:lineRule="auto"/>
        <w:rPr>
          <w:rFonts w:ascii="David" w:hAnsi="David"/>
          <w:b/>
          <w:bCs/>
          <w:sz w:val="24"/>
          <w:rtl/>
        </w:rPr>
      </w:pPr>
      <w:r w:rsidRPr="00014C4D">
        <w:rPr>
          <w:rFonts w:ascii="David" w:hAnsi="David" w:hint="cs"/>
          <w:b/>
          <w:bCs/>
          <w:sz w:val="24"/>
          <w:rtl/>
        </w:rPr>
        <w:t xml:space="preserve">מומלץ לפקע"ר לקבוע את הדרישות לשהייה ממושכת במקלטים ציבוריים ולבצע פיקוח ובקרה על יישום דרישות אלה.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lastRenderedPageBreak/>
        <w:t xml:space="preserve">פקע"ר מסר בתשובתו כי </w:t>
      </w:r>
      <w:r w:rsidRPr="00014C4D">
        <w:rPr>
          <w:rtl/>
        </w:rPr>
        <w:t>מקלטים תקניים אשר נבנו בהתאם לדרישות תקנות פקע״ר הם כשירים לשהייה ממושכת ומכילים בתוכם את האמצעים והתשתיות לכך</w:t>
      </w:r>
      <w:r w:rsidRPr="00014C4D">
        <w:rPr>
          <w:rFonts w:hint="cs"/>
          <w:rtl/>
        </w:rPr>
        <w:t xml:space="preserve"> </w:t>
      </w:r>
      <w:r w:rsidRPr="00014C4D">
        <w:rPr>
          <w:rtl/>
        </w:rPr>
        <w:t>(חשמל, מים, תברואה, תקשורת).</w:t>
      </w:r>
    </w:p>
    <w:p w:rsidR="00014C4D" w:rsidRPr="00014C4D" w:rsidRDefault="00014C4D" w:rsidP="00014C4D">
      <w:pPr>
        <w:spacing w:line="269" w:lineRule="auto"/>
        <w:ind w:left="-567"/>
        <w:rPr>
          <w:szCs w:val="20"/>
          <w:rtl/>
        </w:rPr>
      </w:pPr>
    </w:p>
    <w:p w:rsidR="00014C4D" w:rsidRDefault="00C73E3F" w:rsidP="00C73E3F">
      <w:pPr>
        <w:spacing w:line="269" w:lineRule="auto"/>
        <w:rPr>
          <w:rtl/>
        </w:rPr>
      </w:pPr>
      <w:r w:rsidRPr="00C73E3F">
        <w:rPr>
          <w:b/>
          <w:bCs/>
          <w:rtl/>
        </w:rPr>
        <w:t>נוכח ממצאי הביקורת בדבר חסרים במקלטים ציבוריים - כגון ריצוף, שירותים ברמה נאותה, אוורור, מיזוג, תקשורת למרשתת ומגברי קליטה סלולרית - מומלץ כי פקע"ר</w:t>
      </w:r>
      <w:r>
        <w:rPr>
          <w:rFonts w:hint="cs"/>
          <w:b/>
          <w:bCs/>
          <w:rtl/>
        </w:rPr>
        <w:t xml:space="preserve"> יפעל</w:t>
      </w:r>
      <w:r w:rsidRPr="00C73E3F">
        <w:rPr>
          <w:b/>
          <w:bCs/>
          <w:rtl/>
        </w:rPr>
        <w:t xml:space="preserve"> </w:t>
      </w:r>
      <w:r w:rsidRPr="00C73E3F">
        <w:rPr>
          <w:b/>
          <w:bCs/>
          <w:rtl/>
        </w:rPr>
        <w:t>בתיאום עם משרד הביטחון לקידום תקינה ברורה לתנאי שהייה</w:t>
      </w:r>
      <w:r w:rsidRPr="00C73E3F">
        <w:rPr>
          <w:b/>
          <w:bCs/>
          <w:rtl/>
        </w:rPr>
        <w:t xml:space="preserve"> ממושכת במקלטים </w:t>
      </w:r>
      <w:r w:rsidRPr="00C73E3F">
        <w:rPr>
          <w:b/>
          <w:bCs/>
          <w:rtl/>
        </w:rPr>
        <w:t>ציבוריים</w:t>
      </w:r>
      <w:r w:rsidRPr="00C73E3F">
        <w:rPr>
          <w:rFonts w:hint="cs"/>
          <w:b/>
          <w:bCs/>
          <w:rtl/>
        </w:rPr>
        <w:t>.</w:t>
      </w:r>
    </w:p>
    <w:p w:rsidR="00C73E3F" w:rsidRPr="00014C4D" w:rsidRDefault="00C73E3F" w:rsidP="00C73E3F">
      <w:pPr>
        <w:spacing w:line="269" w:lineRule="auto"/>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פתיחת מקלטים ציבוריים</w:t>
      </w:r>
    </w:p>
    <w:p w:rsidR="00014C4D" w:rsidRPr="00014C4D" w:rsidRDefault="00014C4D" w:rsidP="00014C4D">
      <w:pPr>
        <w:spacing w:line="269" w:lineRule="auto"/>
        <w:rPr>
          <w:rtl/>
        </w:rPr>
      </w:pPr>
    </w:p>
    <w:p w:rsidR="00014C4D" w:rsidRPr="00014C4D" w:rsidRDefault="00014C4D" w:rsidP="00014C4D">
      <w:pPr>
        <w:keepNext/>
        <w:keepLines/>
        <w:spacing w:before="120"/>
        <w:outlineLvl w:val="3"/>
        <w:rPr>
          <w:rFonts w:eastAsia="Times New Roman"/>
          <w:bCs/>
          <w:szCs w:val="26"/>
          <w:rtl/>
        </w:rPr>
      </w:pPr>
      <w:r w:rsidRPr="00014C4D">
        <w:rPr>
          <w:rFonts w:eastAsia="Times New Roman" w:hint="cs"/>
          <w:bCs/>
          <w:szCs w:val="26"/>
          <w:rtl/>
        </w:rPr>
        <w:t>פתיחה מרחוק</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בתיק האב לרשויות המקומיות נקבע כי על הרשות המקומית להכין תוכנית לפתיחה ולהפעלה של המקלטים ושל מקומות המחסה הציבוריים. בתיק האב למועצות האזוריות נקבע כי בעת חירום המועצה תפתח את </w:t>
      </w:r>
      <w:r w:rsidRPr="00014C4D">
        <w:rPr>
          <w:rFonts w:ascii="David" w:eastAsia="Times New Roman" w:hAnsi="David"/>
          <w:sz w:val="24"/>
          <w:rtl/>
        </w:rPr>
        <w:t xml:space="preserve">המקלטים הציבוריים בהתאם </w:t>
      </w:r>
      <w:r w:rsidRPr="00014C4D">
        <w:rPr>
          <w:rFonts w:ascii="David" w:eastAsia="Times New Roman" w:hAnsi="David" w:hint="cs"/>
          <w:sz w:val="24"/>
          <w:rtl/>
        </w:rPr>
        <w:t>ל</w:t>
      </w:r>
      <w:r w:rsidRPr="00014C4D">
        <w:rPr>
          <w:rFonts w:ascii="David" w:eastAsia="Times New Roman" w:hAnsi="David"/>
          <w:sz w:val="24"/>
          <w:rtl/>
        </w:rPr>
        <w:t xml:space="preserve">הנחיות פקע"ר ותוודא </w:t>
      </w:r>
      <w:r w:rsidRPr="00014C4D">
        <w:rPr>
          <w:rFonts w:ascii="David" w:eastAsia="Times New Roman" w:hAnsi="David" w:hint="cs"/>
          <w:sz w:val="24"/>
          <w:rtl/>
        </w:rPr>
        <w:t xml:space="preserve">את </w:t>
      </w:r>
      <w:r w:rsidRPr="00014C4D">
        <w:rPr>
          <w:rFonts w:ascii="David" w:eastAsia="Times New Roman" w:hAnsi="David"/>
          <w:sz w:val="24"/>
          <w:rtl/>
        </w:rPr>
        <w:t>ניתוב</w:t>
      </w:r>
      <w:r w:rsidRPr="00014C4D">
        <w:rPr>
          <w:rFonts w:ascii="David" w:eastAsia="Times New Roman" w:hAnsi="David" w:hint="cs"/>
          <w:sz w:val="24"/>
          <w:rtl/>
        </w:rPr>
        <w:t xml:space="preserve"> </w:t>
      </w:r>
      <w:r w:rsidRPr="00014C4D">
        <w:rPr>
          <w:rFonts w:ascii="David" w:eastAsia="Times New Roman" w:hAnsi="David"/>
          <w:sz w:val="24"/>
          <w:rtl/>
        </w:rPr>
        <w:t>האוכלוסייה אליהם, בהתאם לת</w:t>
      </w:r>
      <w:r w:rsidRPr="00014C4D">
        <w:rPr>
          <w:rFonts w:ascii="David" w:eastAsia="Times New Roman" w:hAnsi="David" w:hint="cs"/>
          <w:sz w:val="24"/>
          <w:rtl/>
        </w:rPr>
        <w:t>ו</w:t>
      </w:r>
      <w:r w:rsidRPr="00014C4D">
        <w:rPr>
          <w:rFonts w:ascii="David" w:eastAsia="Times New Roman" w:hAnsi="David"/>
          <w:sz w:val="24"/>
          <w:rtl/>
        </w:rPr>
        <w:t>כנית שהוכנה ב</w:t>
      </w:r>
      <w:r w:rsidRPr="00014C4D">
        <w:rPr>
          <w:rFonts w:ascii="David" w:eastAsia="Times New Roman" w:hAnsi="David" w:hint="cs"/>
          <w:sz w:val="24"/>
          <w:rtl/>
        </w:rPr>
        <w:t xml:space="preserve">עת </w:t>
      </w:r>
      <w:r w:rsidRPr="00014C4D">
        <w:rPr>
          <w:rFonts w:ascii="David" w:eastAsia="Times New Roman" w:hAnsi="David"/>
          <w:sz w:val="24"/>
          <w:rtl/>
        </w:rPr>
        <w:t>רגיעה</w:t>
      </w:r>
      <w:r w:rsidRPr="00014C4D">
        <w:rPr>
          <w:rFonts w:ascii="David" w:eastAsia="Times New Roman" w:hAnsi="David" w:hint="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במאי 2016 פרסם פקע"ר הוראות בדבר "מערכת פתיחה אוטומטית ובקרת מקלטים" (להלן - הוראות פתיחה אוטומטית)</w:t>
      </w:r>
      <w:r w:rsidRPr="00014C4D">
        <w:rPr>
          <w:rFonts w:ascii="David" w:eastAsia="Times New Roman" w:hAnsi="David"/>
          <w:sz w:val="24"/>
          <w:vertAlign w:val="superscript"/>
          <w:rtl/>
        </w:rPr>
        <w:footnoteReference w:id="64"/>
      </w:r>
      <w:r w:rsidRPr="00014C4D">
        <w:rPr>
          <w:rFonts w:ascii="David" w:eastAsia="Times New Roman" w:hAnsi="David" w:hint="cs"/>
          <w:sz w:val="24"/>
          <w:rtl/>
        </w:rPr>
        <w:t>. בהוראות נכתב כי לנוכח</w:t>
      </w:r>
      <w:r w:rsidRPr="00014C4D">
        <w:rPr>
          <w:rFonts w:ascii="David" w:eastAsia="Times New Roman" w:hAnsi="David"/>
          <w:sz w:val="24"/>
          <w:rtl/>
        </w:rPr>
        <w:t xml:space="preserve"> מקרים רבים </w:t>
      </w:r>
      <w:r w:rsidRPr="00014C4D">
        <w:rPr>
          <w:rFonts w:ascii="David" w:eastAsia="Times New Roman" w:hAnsi="David" w:hint="cs"/>
          <w:sz w:val="24"/>
          <w:rtl/>
        </w:rPr>
        <w:t>ש</w:t>
      </w:r>
      <w:r w:rsidRPr="00014C4D">
        <w:rPr>
          <w:rFonts w:ascii="David" w:eastAsia="Times New Roman" w:hAnsi="David"/>
          <w:sz w:val="24"/>
          <w:rtl/>
        </w:rPr>
        <w:t>בהם הושחתו מקלטים ציבוריים</w:t>
      </w:r>
      <w:r w:rsidRPr="00014C4D">
        <w:rPr>
          <w:rFonts w:hint="cs"/>
          <w:rtl/>
        </w:rPr>
        <w:t>, ניתן להתקין</w:t>
      </w:r>
      <w:r w:rsidRPr="00014C4D">
        <w:rPr>
          <w:rFonts w:ascii="David" w:eastAsia="Times New Roman" w:hAnsi="David"/>
          <w:sz w:val="24"/>
          <w:rtl/>
        </w:rPr>
        <w:t xml:space="preserve"> מערכת הנועלת את המקלט הציבורי ומאפשרת פתיחה אוטומטית מרחוק בעת הפעלת אזעק</w:t>
      </w:r>
      <w:r w:rsidRPr="00014C4D">
        <w:rPr>
          <w:rFonts w:ascii="David" w:eastAsia="Times New Roman" w:hAnsi="David" w:hint="cs"/>
          <w:sz w:val="24"/>
          <w:rtl/>
        </w:rPr>
        <w:t xml:space="preserve">ה. בהוראות </w:t>
      </w:r>
      <w:r w:rsidRPr="00014C4D">
        <w:rPr>
          <w:rFonts w:ascii="David" w:eastAsia="Times New Roman" w:hAnsi="David" w:hint="eastAsia"/>
          <w:sz w:val="24"/>
          <w:rtl/>
        </w:rPr>
        <w:t>פתיחת</w:t>
      </w:r>
      <w:r w:rsidRPr="00014C4D">
        <w:rPr>
          <w:rFonts w:ascii="David" w:eastAsia="Times New Roman" w:hAnsi="David"/>
          <w:sz w:val="24"/>
          <w:rtl/>
        </w:rPr>
        <w:t xml:space="preserve"> מקלטים </w:t>
      </w:r>
      <w:r w:rsidRPr="00014C4D">
        <w:rPr>
          <w:rFonts w:ascii="David" w:eastAsia="Times New Roman" w:hAnsi="David" w:hint="cs"/>
          <w:sz w:val="24"/>
          <w:rtl/>
        </w:rPr>
        <w:t xml:space="preserve">נקבע כיצד צריכה לפעול מערכת זו: משך הפתיחה של כל המקלטים יהיה פחות משלוש שניות; </w:t>
      </w:r>
      <w:r w:rsidRPr="00014C4D">
        <w:rPr>
          <w:rFonts w:ascii="David" w:eastAsia="Times New Roman" w:hAnsi="David"/>
          <w:sz w:val="24"/>
          <w:rtl/>
        </w:rPr>
        <w:t xml:space="preserve">המערכת צריכה לפתוח את המקלט באופן אוטומטי, ללא מגע יד אדם, בכל פעם שמופעלת התראה ביישוב </w:t>
      </w:r>
      <w:r w:rsidRPr="00014C4D">
        <w:rPr>
          <w:rFonts w:ascii="David" w:eastAsia="Times New Roman" w:hAnsi="David" w:hint="cs"/>
          <w:sz w:val="24"/>
          <w:rtl/>
        </w:rPr>
        <w:t>ש</w:t>
      </w:r>
      <w:r w:rsidRPr="00014C4D">
        <w:rPr>
          <w:rFonts w:ascii="David" w:eastAsia="Times New Roman" w:hAnsi="David"/>
          <w:sz w:val="24"/>
          <w:rtl/>
        </w:rPr>
        <w:t>בו נמצא המקלט</w:t>
      </w:r>
      <w:r w:rsidRPr="00014C4D">
        <w:rPr>
          <w:rFonts w:ascii="David" w:eastAsia="Times New Roman" w:hAnsi="David" w:hint="cs"/>
          <w:sz w:val="24"/>
          <w:rtl/>
        </w:rPr>
        <w:t>;</w:t>
      </w:r>
      <w:r w:rsidRPr="00014C4D">
        <w:rPr>
          <w:rFonts w:ascii="David" w:eastAsia="Times New Roman" w:hAnsi="David"/>
          <w:sz w:val="24"/>
          <w:rtl/>
        </w:rPr>
        <w:t xml:space="preserve"> על המערכת להיות עמידה בפני ונדליזם וניסיונות פגיעה במנגנון הנעי</w:t>
      </w:r>
      <w:r w:rsidRPr="00014C4D">
        <w:rPr>
          <w:rFonts w:ascii="David" w:eastAsia="Times New Roman" w:hAnsi="David" w:hint="cs"/>
          <w:sz w:val="24"/>
          <w:rtl/>
        </w:rPr>
        <w:t>לה או פריצתו;</w:t>
      </w:r>
      <w:r w:rsidRPr="00014C4D">
        <w:rPr>
          <w:rFonts w:ascii="David" w:eastAsia="Times New Roman" w:hAnsi="David"/>
          <w:sz w:val="24"/>
          <w:rtl/>
        </w:rPr>
        <w:t xml:space="preserve"> על המערכת להיות עמידה בפני מזג אוויר קיצוני</w:t>
      </w:r>
      <w:r w:rsidRPr="00014C4D">
        <w:rPr>
          <w:rFonts w:ascii="David" w:eastAsia="Times New Roman" w:hAnsi="David" w:hint="cs"/>
          <w:sz w:val="24"/>
          <w:rtl/>
        </w:rPr>
        <w:t>;</w:t>
      </w:r>
      <w:r w:rsidRPr="00014C4D">
        <w:rPr>
          <w:rFonts w:ascii="David" w:eastAsia="Times New Roman" w:hAnsi="David"/>
          <w:sz w:val="24"/>
          <w:rtl/>
        </w:rPr>
        <w:t xml:space="preserve"> על המערכת לאפשר פתיחה ידנית מתוך המקלט, למקר</w:t>
      </w:r>
      <w:r w:rsidRPr="00014C4D">
        <w:rPr>
          <w:rFonts w:ascii="David" w:eastAsia="Times New Roman" w:hAnsi="David" w:hint="cs"/>
          <w:sz w:val="24"/>
          <w:rtl/>
        </w:rPr>
        <w:t>ה</w:t>
      </w:r>
      <w:r w:rsidRPr="00014C4D">
        <w:rPr>
          <w:rFonts w:ascii="David" w:eastAsia="Times New Roman" w:hAnsi="David"/>
          <w:sz w:val="24"/>
          <w:rtl/>
        </w:rPr>
        <w:t xml:space="preserve"> </w:t>
      </w:r>
      <w:r w:rsidRPr="00014C4D">
        <w:rPr>
          <w:rFonts w:ascii="David" w:eastAsia="Times New Roman" w:hAnsi="David" w:hint="cs"/>
          <w:sz w:val="24"/>
          <w:rtl/>
        </w:rPr>
        <w:t>ש</w:t>
      </w:r>
      <w:r w:rsidRPr="00014C4D">
        <w:rPr>
          <w:rFonts w:ascii="David" w:eastAsia="Times New Roman" w:hAnsi="David"/>
          <w:sz w:val="24"/>
          <w:rtl/>
        </w:rPr>
        <w:t xml:space="preserve">אנשים </w:t>
      </w:r>
      <w:r w:rsidRPr="00014C4D">
        <w:rPr>
          <w:rFonts w:ascii="David" w:eastAsia="Times New Roman" w:hAnsi="David" w:hint="cs"/>
          <w:sz w:val="24"/>
          <w:rtl/>
        </w:rPr>
        <w:t>יי</w:t>
      </w:r>
      <w:r w:rsidRPr="00014C4D">
        <w:rPr>
          <w:rFonts w:ascii="David" w:eastAsia="Times New Roman" w:hAnsi="David"/>
          <w:sz w:val="24"/>
          <w:rtl/>
        </w:rPr>
        <w:t xml:space="preserve">נעלו בתוך המקלט ולא </w:t>
      </w:r>
      <w:r w:rsidRPr="00014C4D">
        <w:rPr>
          <w:rFonts w:ascii="David" w:eastAsia="Times New Roman" w:hAnsi="David" w:hint="cs"/>
          <w:sz w:val="24"/>
          <w:rtl/>
        </w:rPr>
        <w:t>י</w:t>
      </w:r>
      <w:r w:rsidRPr="00014C4D">
        <w:rPr>
          <w:rFonts w:ascii="David" w:eastAsia="Times New Roman" w:hAnsi="David"/>
          <w:sz w:val="24"/>
          <w:rtl/>
        </w:rPr>
        <w:t xml:space="preserve">ספיקו לצאת </w:t>
      </w:r>
      <w:r w:rsidRPr="00014C4D">
        <w:rPr>
          <w:rFonts w:ascii="David" w:eastAsia="Times New Roman" w:hAnsi="David" w:hint="cs"/>
          <w:sz w:val="24"/>
          <w:rtl/>
        </w:rPr>
        <w:t>ממנו;</w:t>
      </w:r>
      <w:r w:rsidRPr="00014C4D">
        <w:rPr>
          <w:rFonts w:ascii="David" w:eastAsia="Times New Roman" w:hAnsi="David"/>
          <w:sz w:val="24"/>
          <w:rtl/>
        </w:rPr>
        <w:t xml:space="preserve"> המערכת צריכה </w:t>
      </w:r>
      <w:r w:rsidRPr="00014C4D">
        <w:rPr>
          <w:rFonts w:ascii="David" w:eastAsia="Times New Roman" w:hAnsi="David" w:hint="cs"/>
          <w:sz w:val="24"/>
          <w:rtl/>
        </w:rPr>
        <w:t xml:space="preserve">לפעול </w:t>
      </w:r>
      <w:r w:rsidRPr="00014C4D">
        <w:rPr>
          <w:rFonts w:ascii="David" w:eastAsia="Times New Roman" w:hAnsi="David"/>
          <w:sz w:val="24"/>
          <w:rtl/>
        </w:rPr>
        <w:t xml:space="preserve">גם כאשר אין מתח חשמלי, </w:t>
      </w:r>
      <w:r w:rsidRPr="00014C4D">
        <w:rPr>
          <w:rFonts w:ascii="David" w:eastAsia="Times New Roman" w:hAnsi="David" w:hint="cs"/>
          <w:sz w:val="24"/>
          <w:rtl/>
        </w:rPr>
        <w:t xml:space="preserve">כדי </w:t>
      </w:r>
      <w:r w:rsidRPr="00014C4D">
        <w:rPr>
          <w:rFonts w:ascii="David" w:eastAsia="Times New Roman" w:hAnsi="David"/>
          <w:sz w:val="24"/>
          <w:rtl/>
        </w:rPr>
        <w:t>ש</w:t>
      </w:r>
      <w:r w:rsidRPr="00014C4D">
        <w:rPr>
          <w:rFonts w:ascii="David" w:eastAsia="Times New Roman" w:hAnsi="David" w:hint="cs"/>
          <w:sz w:val="24"/>
          <w:rtl/>
        </w:rPr>
        <w:t xml:space="preserve">המקלט ייפתח </w:t>
      </w:r>
      <w:r w:rsidRPr="00014C4D">
        <w:rPr>
          <w:rFonts w:ascii="David" w:eastAsia="Times New Roman" w:hAnsi="David"/>
          <w:sz w:val="24"/>
          <w:rtl/>
        </w:rPr>
        <w:t>גם כאשר אין חשמל</w:t>
      </w:r>
      <w:r w:rsidRPr="00014C4D">
        <w:rPr>
          <w:rFonts w:ascii="David" w:eastAsia="Times New Roman" w:hAns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מנתונים אקראיים שאספו עובדי משרד מבקר המדינה מאתרי המרשתת של חמש רשויות מקומיות (שאינן הרשויות שנבדקו)</w:t>
      </w:r>
      <w:r w:rsidRPr="00014C4D">
        <w:rPr>
          <w:rFonts w:hint="cs"/>
        </w:rPr>
        <w:t xml:space="preserve"> </w:t>
      </w:r>
      <w:r w:rsidRPr="00014C4D">
        <w:rPr>
          <w:rFonts w:hint="cs"/>
          <w:rtl/>
        </w:rPr>
        <w:t>עולה כי פתיחת המקלטים הציבוריים שלהן נעשית באמצעות פתיחה מרחוק</w:t>
      </w:r>
      <w:r w:rsidRPr="00014C4D">
        <w:rPr>
          <w:rFonts w:ascii="David" w:eastAsia="Times New Roman" w:hAnsi="David"/>
          <w:sz w:val="24"/>
          <w:vertAlign w:val="superscript"/>
          <w:rtl/>
        </w:rPr>
        <w:footnoteReference w:id="65"/>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אחת הרשויות ציינה באתר המרשתת שלה</w:t>
      </w:r>
      <w:r w:rsidRPr="00014C4D">
        <w:rPr>
          <w:rFonts w:ascii="David" w:eastAsia="Times New Roman" w:hAnsi="David"/>
          <w:sz w:val="24"/>
          <w:vertAlign w:val="superscript"/>
          <w:rtl/>
        </w:rPr>
        <w:footnoteReference w:id="66"/>
      </w:r>
      <w:r w:rsidRPr="00014C4D">
        <w:rPr>
          <w:rFonts w:hint="cs"/>
          <w:rtl/>
        </w:rPr>
        <w:t xml:space="preserve"> כי בעיר</w:t>
      </w:r>
      <w:r w:rsidRPr="00014C4D">
        <w:rPr>
          <w:rtl/>
        </w:rPr>
        <w:t xml:space="preserve"> למעלה מ-50 מקלטים ציבוריים בשכונות הוותיקות בעיר. מקלטים אלו שודרגו בשנים האחרונות </w:t>
      </w:r>
      <w:r w:rsidRPr="00014C4D">
        <w:rPr>
          <w:rFonts w:hint="cs"/>
          <w:rtl/>
        </w:rPr>
        <w:t>שדרוג נרחב,</w:t>
      </w:r>
      <w:r w:rsidRPr="00014C4D">
        <w:rPr>
          <w:rtl/>
        </w:rPr>
        <w:t xml:space="preserve"> </w:t>
      </w:r>
      <w:r w:rsidRPr="00014C4D">
        <w:rPr>
          <w:rFonts w:hint="cs"/>
          <w:rtl/>
        </w:rPr>
        <w:t>ו</w:t>
      </w:r>
      <w:r w:rsidRPr="00014C4D">
        <w:rPr>
          <w:rtl/>
        </w:rPr>
        <w:t xml:space="preserve">כדי למנוע ונדליזם והשחתה של הציוד במקלטים החליט ראש העיר לקדם פרויקט שיאפשר נעילה </w:t>
      </w:r>
      <w:r w:rsidRPr="00014C4D">
        <w:rPr>
          <w:rFonts w:hint="cs"/>
          <w:rtl/>
        </w:rPr>
        <w:t xml:space="preserve">ופתיחה </w:t>
      </w:r>
      <w:r w:rsidRPr="00014C4D">
        <w:rPr>
          <w:rtl/>
        </w:rPr>
        <w:t>של מקלטים באופן אוטומטי.</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tabs>
          <w:tab w:val="left" w:pos="566"/>
        </w:tabs>
        <w:spacing w:line="269" w:lineRule="auto"/>
        <w:ind w:left="-1"/>
        <w:contextualSpacing/>
        <w:rPr>
          <w:rFonts w:ascii="David" w:eastAsia="Times New Roman" w:hAnsi="David"/>
          <w:sz w:val="24"/>
          <w:rtl/>
        </w:rPr>
      </w:pPr>
      <w:r w:rsidRPr="00014C4D">
        <w:rPr>
          <w:rFonts w:ascii="David" w:eastAsia="Times New Roman" w:hAnsi="David" w:hint="eastAsia"/>
          <w:sz w:val="24"/>
          <w:rtl/>
        </w:rPr>
        <w:lastRenderedPageBreak/>
        <w:t>חמש</w:t>
      </w:r>
      <w:r w:rsidRPr="00014C4D">
        <w:rPr>
          <w:rFonts w:ascii="David" w:eastAsia="Times New Roman" w:hAnsi="David"/>
          <w:sz w:val="24"/>
          <w:rtl/>
        </w:rPr>
        <w:t xml:space="preserve"> </w:t>
      </w:r>
      <w:r w:rsidRPr="00014C4D">
        <w:rPr>
          <w:rFonts w:ascii="David" w:eastAsia="Times New Roman" w:hAnsi="David" w:hint="cs"/>
          <w:sz w:val="24"/>
          <w:rtl/>
        </w:rPr>
        <w:t>העיריות</w:t>
      </w:r>
      <w:r w:rsidRPr="00014C4D">
        <w:rPr>
          <w:rFonts w:ascii="David" w:eastAsia="Times New Roman" w:hAnsi="David" w:hint="cs"/>
          <w:b/>
          <w:bCs/>
          <w:sz w:val="24"/>
          <w:rtl/>
        </w:rPr>
        <w:t xml:space="preserve"> </w:t>
      </w:r>
      <w:r w:rsidRPr="00014C4D">
        <w:rPr>
          <w:rFonts w:ascii="David" w:eastAsia="Times New Roman" w:hAnsi="David" w:hint="cs"/>
          <w:sz w:val="24"/>
          <w:rtl/>
        </w:rPr>
        <w:t xml:space="preserve">שמאתרי האינטרנט שלהן נאסף המידע על מערכת פתיחת המקלטים - </w:t>
      </w:r>
      <w:r w:rsidRPr="00014C4D">
        <w:rPr>
          <w:rFonts w:ascii="David" w:eastAsia="Times New Roman" w:hAnsi="David" w:hint="eastAsia"/>
          <w:b/>
          <w:bCs/>
          <w:sz w:val="24"/>
          <w:rtl/>
        </w:rPr>
        <w:t>אור</w:t>
      </w:r>
      <w:r w:rsidRPr="00014C4D">
        <w:rPr>
          <w:rFonts w:ascii="David" w:eastAsia="Times New Roman" w:hAnsi="David"/>
          <w:b/>
          <w:bCs/>
          <w:sz w:val="24"/>
          <w:rtl/>
        </w:rPr>
        <w:t xml:space="preserve"> </w:t>
      </w:r>
      <w:r w:rsidRPr="00014C4D">
        <w:rPr>
          <w:rFonts w:ascii="David" w:eastAsia="Times New Roman" w:hAnsi="David" w:hint="eastAsia"/>
          <w:b/>
          <w:bCs/>
          <w:sz w:val="24"/>
          <w:rtl/>
        </w:rPr>
        <w:t>יהודה</w:t>
      </w:r>
      <w:r w:rsidRPr="00014C4D">
        <w:rPr>
          <w:rFonts w:ascii="David" w:eastAsia="Times New Roman" w:hAnsi="David" w:hint="cs"/>
          <w:sz w:val="24"/>
          <w:rtl/>
        </w:rPr>
        <w:t>,</w:t>
      </w:r>
      <w:r w:rsidRPr="00014C4D">
        <w:rPr>
          <w:rFonts w:ascii="David" w:eastAsia="Times New Roman" w:hAnsi="David" w:hint="cs"/>
          <w:b/>
          <w:bCs/>
          <w:sz w:val="24"/>
          <w:rtl/>
        </w:rPr>
        <w:t xml:space="preserve"> </w:t>
      </w:r>
      <w:r w:rsidRPr="00014C4D">
        <w:rPr>
          <w:rFonts w:ascii="David" w:eastAsia="Times New Roman" w:hAnsi="David" w:hint="eastAsia"/>
          <w:b/>
          <w:bCs/>
          <w:sz w:val="24"/>
          <w:rtl/>
        </w:rPr>
        <w:t>חיפה</w:t>
      </w:r>
      <w:r w:rsidRPr="00014C4D">
        <w:rPr>
          <w:rFonts w:ascii="David" w:eastAsia="Times New Roman" w:hAnsi="David" w:hint="cs"/>
          <w:sz w:val="24"/>
          <w:rtl/>
        </w:rPr>
        <w:t xml:space="preserve">, </w:t>
      </w:r>
      <w:r w:rsidRPr="00014C4D">
        <w:rPr>
          <w:rFonts w:ascii="David" w:eastAsia="Times New Roman" w:hAnsi="David" w:hint="eastAsia"/>
          <w:b/>
          <w:bCs/>
          <w:sz w:val="24"/>
          <w:rtl/>
        </w:rPr>
        <w:t>עכו</w:t>
      </w:r>
      <w:r w:rsidRPr="00014C4D">
        <w:rPr>
          <w:rFonts w:ascii="David" w:eastAsia="Times New Roman" w:hAnsi="David" w:hint="cs"/>
          <w:b/>
          <w:bCs/>
          <w:sz w:val="24"/>
          <w:rtl/>
        </w:rPr>
        <w:t>,</w:t>
      </w:r>
      <w:r w:rsidRPr="00014C4D">
        <w:rPr>
          <w:rFonts w:ascii="David" w:eastAsia="Times New Roman" w:hAnsi="David" w:hint="cs"/>
          <w:sz w:val="24"/>
          <w:rtl/>
        </w:rPr>
        <w:t xml:space="preserve"> </w:t>
      </w:r>
      <w:r w:rsidRPr="00014C4D">
        <w:rPr>
          <w:rFonts w:ascii="David" w:eastAsia="Times New Roman" w:hAnsi="David" w:hint="eastAsia"/>
          <w:b/>
          <w:bCs/>
          <w:sz w:val="24"/>
          <w:rtl/>
        </w:rPr>
        <w:t>רעננה</w:t>
      </w:r>
      <w:r w:rsidRPr="00014C4D">
        <w:rPr>
          <w:rFonts w:ascii="David" w:eastAsia="Times New Roman" w:hAnsi="David" w:hint="cs"/>
          <w:sz w:val="24"/>
          <w:rtl/>
        </w:rPr>
        <w:t xml:space="preserve"> ו</w:t>
      </w:r>
      <w:r w:rsidRPr="00014C4D">
        <w:rPr>
          <w:rFonts w:ascii="David" w:eastAsia="Times New Roman" w:hAnsi="David" w:hint="eastAsia"/>
          <w:b/>
          <w:bCs/>
          <w:sz w:val="24"/>
          <w:rtl/>
        </w:rPr>
        <w:t>תל</w:t>
      </w:r>
      <w:r w:rsidRPr="00014C4D">
        <w:rPr>
          <w:rFonts w:ascii="David" w:eastAsia="Times New Roman" w:hAnsi="David"/>
          <w:b/>
          <w:bCs/>
          <w:sz w:val="24"/>
          <w:rtl/>
        </w:rPr>
        <w:t xml:space="preserve"> </w:t>
      </w:r>
      <w:r w:rsidRPr="00014C4D">
        <w:rPr>
          <w:rFonts w:ascii="David" w:eastAsia="Times New Roman" w:hAnsi="David" w:hint="eastAsia"/>
          <w:b/>
          <w:bCs/>
          <w:sz w:val="24"/>
          <w:rtl/>
        </w:rPr>
        <w:t>אביב</w:t>
      </w:r>
      <w:r w:rsidRPr="00014C4D">
        <w:rPr>
          <w:rFonts w:ascii="David" w:eastAsia="Times New Roman" w:hAnsi="David" w:hint="cs"/>
          <w:sz w:val="24"/>
          <w:rtl/>
        </w:rPr>
        <w:t xml:space="preserve"> - מסרו לצוות הביקורת בינואר 2025 כי התקינו את </w:t>
      </w:r>
      <w:r w:rsidRPr="00014C4D">
        <w:rPr>
          <w:rFonts w:eastAsia="Calibri" w:hint="cs"/>
          <w:rtl/>
        </w:rPr>
        <w:t>המערכת האוטומטית לפתיחת מקלטים מרחוק לפני כחצי שנה</w:t>
      </w:r>
      <w:r w:rsidRPr="00014C4D">
        <w:rPr>
          <w:rFonts w:ascii="David" w:eastAsia="Times New Roman" w:hAnsi="David" w:hint="cs"/>
          <w:sz w:val="24"/>
          <w:rtl/>
        </w:rPr>
        <w:t xml:space="preserve"> </w:t>
      </w:r>
      <w:r w:rsidRPr="00014C4D">
        <w:rPr>
          <w:rFonts w:eastAsia="Calibri" w:hint="cs"/>
          <w:rtl/>
        </w:rPr>
        <w:t>עד כארבע שנים</w:t>
      </w:r>
      <w:r w:rsidRPr="00014C4D">
        <w:rPr>
          <w:rFonts w:ascii="David" w:eastAsia="Times New Roman" w:hAnsi="David"/>
          <w:sz w:val="24"/>
          <w:vertAlign w:val="superscript"/>
          <w:rtl/>
        </w:rPr>
        <w:footnoteReference w:id="67"/>
      </w:r>
      <w:r w:rsidRPr="00014C4D">
        <w:rPr>
          <w:rFonts w:ascii="David" w:eastAsia="Times New Roman" w:hAnsi="David" w:hint="cs"/>
          <w:sz w:val="24"/>
          <w:rtl/>
        </w:rPr>
        <w:t xml:space="preserve"> </w:t>
      </w:r>
      <w:r w:rsidRPr="00014C4D">
        <w:rPr>
          <w:rFonts w:eastAsia="Calibri" w:hint="cs"/>
          <w:rtl/>
        </w:rPr>
        <w:t>וכי השתמשו בה במהלך המלחמה והיא הייתה תקינה. הרשויות המקומיות מסרו עוד כי להבטחת תקינות פעילותה של המערכת יש לערוך בקרה שוטפת למשל על תקינות מערכת החשמל של המקלטים ועל תקינות מנעולי דלתות המקלטים ולבדוק את תקינות התקשורת למקלטים</w:t>
      </w:r>
      <w:r w:rsidRPr="00014C4D">
        <w:rPr>
          <w:rFonts w:ascii="David" w:eastAsia="Times New Roman" w:hAns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Cs/>
          <w:rtl/>
        </w:rPr>
      </w:pPr>
      <w:r w:rsidRPr="00014C4D">
        <w:rPr>
          <w:rFonts w:hint="cs"/>
          <w:rtl/>
        </w:rPr>
        <w:t>ב</w:t>
      </w:r>
      <w:r w:rsidRPr="00014C4D">
        <w:rPr>
          <w:rFonts w:hint="cs"/>
          <w:bCs/>
          <w:rtl/>
        </w:rPr>
        <w:t>עיריית אשקלון</w:t>
      </w:r>
      <w:r w:rsidRPr="00014C4D">
        <w:rPr>
          <w:rFonts w:hint="cs"/>
          <w:rtl/>
        </w:rPr>
        <w:t xml:space="preserve"> נעשה ניסוי והותקנה מערכת אוטומטית לפתיחה מרחוק בחלק מהמקלטים הציבוריים, ואולם העירייה מסרה לעובדי משרד מבקר המדינה במהלך הביקורת ביולי 2024 כי היא לא הצליחה להפעיל את המערכת ולפיכך נאלצה לפתוח את המקלטים באופן ידני.</w:t>
      </w:r>
      <w:r w:rsidRPr="00014C4D">
        <w:rPr>
          <w:rFonts w:hint="cs"/>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בעיריות גבעתיים וחולון ובמועצה האזורית הגלבוע לא הותקנה מערכת אוטומטית לפתיחת מקלטים ציבוריים מרחוק.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עיריית </w:t>
      </w:r>
      <w:r w:rsidRPr="00014C4D">
        <w:rPr>
          <w:rFonts w:hint="cs"/>
          <w:b/>
          <w:bCs/>
          <w:rtl/>
        </w:rPr>
        <w:t>גבעתיים</w:t>
      </w:r>
      <w:r w:rsidRPr="00014C4D">
        <w:rPr>
          <w:rFonts w:hint="cs"/>
          <w:rtl/>
        </w:rPr>
        <w:t xml:space="preserve"> מסרה בתשובתה כי ביוני 2025 פרסמה מכרז "לאספקה, התקנה, אחזקה ושירותי בקרה וניהול מרחוק של מקלטים עירוניים בעיר גבעתיים".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בתשובת פקע"ר למשרד מבקר המדינה </w:t>
      </w:r>
      <w:r w:rsidRPr="00014C4D">
        <w:rPr>
          <w:rFonts w:hint="eastAsia"/>
          <w:rtl/>
        </w:rPr>
        <w:t>מינואר</w:t>
      </w:r>
      <w:r w:rsidRPr="00014C4D">
        <w:rPr>
          <w:rtl/>
        </w:rPr>
        <w:t xml:space="preserve"> 2025</w:t>
      </w:r>
      <w:r w:rsidRPr="00014C4D">
        <w:rPr>
          <w:rFonts w:hint="cs"/>
          <w:rtl/>
        </w:rPr>
        <w:t xml:space="preserve"> נמסר כי פקע"ר </w:t>
      </w:r>
      <w:r w:rsidRPr="00014C4D">
        <w:rPr>
          <w:rtl/>
        </w:rPr>
        <w:t>ביצע תהליכים לפיתוח מערכות חכמות לפתיחה מרחוק של מקלטים ציבוריים וכן בוצעו ניסיונות (פ</w:t>
      </w:r>
      <w:r w:rsidRPr="00014C4D">
        <w:rPr>
          <w:rFonts w:hint="cs"/>
          <w:rtl/>
        </w:rPr>
        <w:t>י</w:t>
      </w:r>
      <w:r w:rsidRPr="00014C4D">
        <w:rPr>
          <w:rtl/>
        </w:rPr>
        <w:t>יל</w:t>
      </w:r>
      <w:r w:rsidRPr="00014C4D">
        <w:rPr>
          <w:rFonts w:hint="cs"/>
          <w:rtl/>
        </w:rPr>
        <w:t>ו</w:t>
      </w:r>
      <w:r w:rsidRPr="00014C4D">
        <w:rPr>
          <w:rtl/>
        </w:rPr>
        <w:t>טים) במספר רשויות מקומיות לבדיקת האפקטיביות, היתרונות והחסרונות של התקנת מערכות מסוג זה. התקנת המערכות במקלטים על ידי פקע"ר התבצעה כחלק מבדיקת היתכנות ובאופן מצומצם, תוך שיתוף פעולה מלא עם הרשויות המקומיות. התקנת כלל המערכות הסתיימה בתחילת חודש אפריל 2022. בהתאם לתוצאות הפיילוטים, הוחלט בפ</w:t>
      </w:r>
      <w:r w:rsidRPr="00014C4D">
        <w:rPr>
          <w:rFonts w:hint="cs"/>
          <w:rtl/>
        </w:rPr>
        <w:t>קע"ר</w:t>
      </w:r>
      <w:r w:rsidRPr="00014C4D">
        <w:rPr>
          <w:rtl/>
        </w:rPr>
        <w:t xml:space="preserve"> שלא להתקדם עם פרויקט מערכות חכמות לפתיחה מרחוק של מקלטים ציבוריים ולא לעודד רשויות מקומיות להתקין מערכות כאלה, וזאת לאור פוטנציאל הנזק הגבוה הטמון במקרה של כשל </w:t>
      </w:r>
      <w:r w:rsidRPr="00014C4D">
        <w:rPr>
          <w:rFonts w:hint="cs"/>
          <w:rtl/>
        </w:rPr>
        <w:t>ט</w:t>
      </w:r>
      <w:r w:rsidRPr="00014C4D">
        <w:rPr>
          <w:rtl/>
        </w:rPr>
        <w:t>כני של המערכות, לרבות בשל רגישותן לאיומי סייבר. שנה לאחר מכן תמה אחריות התחזוקה שניתנה על ידי החברה המתקינה והנושא הוסדר בין פ</w:t>
      </w:r>
      <w:r w:rsidRPr="00014C4D">
        <w:rPr>
          <w:rFonts w:hint="cs"/>
          <w:rtl/>
        </w:rPr>
        <w:t>קע"ר</w:t>
      </w:r>
      <w:r w:rsidRPr="00014C4D">
        <w:rPr>
          <w:rtl/>
        </w:rPr>
        <w:t xml:space="preserve"> לבין הרשויות הרלוונטיות והועבר באופן מלא לאחריות הרשויות שבהן הותקנה המערכת.</w:t>
      </w:r>
      <w:r w:rsidRPr="00014C4D">
        <w:rPr>
          <w:rFonts w:hint="cs"/>
          <w:rtl/>
        </w:rPr>
        <w:t xml:space="preserve"> פקע"ר הדגיש בתשובתו</w:t>
      </w:r>
      <w:r w:rsidRPr="00014C4D">
        <w:rPr>
          <w:rtl/>
        </w:rPr>
        <w:t xml:space="preserve"> כי רשויות מקומיות רשאיות לבצע בהתאם להחלטתן פרויקטים עצמאים של התקנת מערכות חכמות לפתיחה מרחוק של מקלטים ציבוריים, תוך עמידה בהוראות חוק התגוננות האזרחית ותקינותו בכל הנוגע לזמינות המקלט, כשירותו ותחזוקתו התקינה.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מומלץ</w:t>
      </w:r>
      <w:r w:rsidRPr="00014C4D">
        <w:rPr>
          <w:b/>
          <w:bCs/>
          <w:rtl/>
        </w:rPr>
        <w:t xml:space="preserve"> כי הרשויות אשר התקינו מערכת </w:t>
      </w:r>
      <w:r w:rsidRPr="00014C4D">
        <w:rPr>
          <w:rFonts w:hint="eastAsia"/>
          <w:b/>
          <w:bCs/>
          <w:rtl/>
        </w:rPr>
        <w:t>חכמה</w:t>
      </w:r>
      <w:r w:rsidRPr="00014C4D">
        <w:rPr>
          <w:b/>
          <w:bCs/>
          <w:rtl/>
        </w:rPr>
        <w:t xml:space="preserve"> לפתיחה מרחוק, לוודא את תקינות המערכות באופן שוטף לאור </w:t>
      </w:r>
      <w:r w:rsidRPr="00014C4D">
        <w:rPr>
          <w:rFonts w:hint="eastAsia"/>
          <w:b/>
          <w:bCs/>
          <w:rtl/>
        </w:rPr>
        <w:t>תשובת</w:t>
      </w:r>
      <w:r w:rsidRPr="00014C4D">
        <w:rPr>
          <w:b/>
          <w:bCs/>
          <w:rtl/>
        </w:rPr>
        <w:t xml:space="preserve"> פקע"ר בדבר פוטנציאל הנזק הגבוה הטמון במקרה של כשל טכני של המערכות, לרבות בשל רגישותן לאיומי סייבר.</w:t>
      </w:r>
    </w:p>
    <w:p w:rsidR="00014C4D" w:rsidRPr="00014C4D" w:rsidRDefault="00014C4D" w:rsidP="00014C4D">
      <w:pPr>
        <w:spacing w:line="269" w:lineRule="auto"/>
        <w:rPr>
          <w:bCs/>
          <w:rtl/>
        </w:rPr>
      </w:pPr>
    </w:p>
    <w:p w:rsidR="00014C4D" w:rsidRPr="00014C4D" w:rsidRDefault="00014C4D" w:rsidP="00014C4D">
      <w:pPr>
        <w:keepNext/>
        <w:keepLines/>
        <w:spacing w:before="120"/>
        <w:outlineLvl w:val="3"/>
        <w:rPr>
          <w:rFonts w:eastAsia="Times New Roman"/>
          <w:bCs/>
          <w:szCs w:val="26"/>
          <w:rtl/>
        </w:rPr>
      </w:pPr>
      <w:r w:rsidRPr="00014C4D">
        <w:rPr>
          <w:rFonts w:eastAsia="Times New Roman" w:hint="cs"/>
          <w:bCs/>
          <w:szCs w:val="26"/>
          <w:rtl/>
        </w:rPr>
        <w:lastRenderedPageBreak/>
        <w:t>פתיחת המקלטים הציבוריים בתחילת המלחמה</w:t>
      </w:r>
    </w:p>
    <w:p w:rsidR="00014C4D" w:rsidRPr="00014C4D" w:rsidRDefault="00014C4D" w:rsidP="00014C4D">
      <w:pPr>
        <w:keepNext/>
        <w:keepLines/>
        <w:spacing w:line="269" w:lineRule="auto"/>
        <w:outlineLvl w:val="4"/>
        <w:rPr>
          <w:rFonts w:eastAsia="Times New Roman"/>
          <w:bCs/>
          <w:spacing w:val="40"/>
          <w:rtl/>
        </w:rPr>
      </w:pPr>
    </w:p>
    <w:p w:rsidR="00014C4D" w:rsidRPr="00014C4D" w:rsidRDefault="00014C4D" w:rsidP="00014C4D">
      <w:pPr>
        <w:spacing w:line="269" w:lineRule="auto"/>
        <w:rPr>
          <w:rFonts w:ascii="David" w:eastAsia="Times New Roman" w:hAnsi="David"/>
          <w:sz w:val="24"/>
          <w:rtl/>
        </w:rPr>
      </w:pPr>
      <w:r w:rsidRPr="00014C4D">
        <w:rPr>
          <w:rFonts w:ascii="David" w:eastAsia="Times New Roman" w:hAnsi="David" w:hint="cs"/>
          <w:sz w:val="24"/>
          <w:rtl/>
        </w:rPr>
        <w:t xml:space="preserve">בתיק האב נקבע כאמור כי בעת חירום הרשות המקומית תפתח את </w:t>
      </w:r>
      <w:r w:rsidRPr="00014C4D">
        <w:rPr>
          <w:rFonts w:ascii="David" w:eastAsia="Times New Roman" w:hAnsi="David"/>
          <w:sz w:val="24"/>
          <w:rtl/>
        </w:rPr>
        <w:t xml:space="preserve">המקלטים הציבוריים בהתאם </w:t>
      </w:r>
      <w:r w:rsidRPr="00014C4D">
        <w:rPr>
          <w:rFonts w:ascii="David" w:eastAsia="Times New Roman" w:hAnsi="David" w:hint="cs"/>
          <w:sz w:val="24"/>
          <w:rtl/>
        </w:rPr>
        <w:t>ל</w:t>
      </w:r>
      <w:r w:rsidRPr="00014C4D">
        <w:rPr>
          <w:rFonts w:ascii="David" w:eastAsia="Times New Roman" w:hAnsi="David"/>
          <w:sz w:val="24"/>
          <w:rtl/>
        </w:rPr>
        <w:t xml:space="preserve">הנחיות פקע"ר ותוודא </w:t>
      </w:r>
      <w:r w:rsidRPr="00014C4D">
        <w:rPr>
          <w:rFonts w:ascii="David" w:eastAsia="Times New Roman" w:hAnsi="David" w:hint="cs"/>
          <w:sz w:val="24"/>
          <w:rtl/>
        </w:rPr>
        <w:t xml:space="preserve">את </w:t>
      </w:r>
      <w:r w:rsidRPr="00014C4D">
        <w:rPr>
          <w:rFonts w:ascii="David" w:eastAsia="Times New Roman" w:hAnsi="David"/>
          <w:sz w:val="24"/>
          <w:rtl/>
        </w:rPr>
        <w:t>ניתוב</w:t>
      </w:r>
      <w:r w:rsidRPr="00014C4D">
        <w:rPr>
          <w:rFonts w:ascii="David" w:eastAsia="Times New Roman" w:hAnsi="David" w:hint="cs"/>
          <w:sz w:val="24"/>
          <w:rtl/>
        </w:rPr>
        <w:t xml:space="preserve"> </w:t>
      </w:r>
      <w:r w:rsidRPr="00014C4D">
        <w:rPr>
          <w:rFonts w:ascii="David" w:eastAsia="Times New Roman" w:hAnsi="David"/>
          <w:sz w:val="24"/>
          <w:rtl/>
        </w:rPr>
        <w:t>האוכלוסייה אליהם, בהתאם לת</w:t>
      </w:r>
      <w:r w:rsidRPr="00014C4D">
        <w:rPr>
          <w:rFonts w:ascii="David" w:eastAsia="Times New Roman" w:hAnsi="David" w:hint="cs"/>
          <w:sz w:val="24"/>
          <w:rtl/>
        </w:rPr>
        <w:t>ו</w:t>
      </w:r>
      <w:r w:rsidRPr="00014C4D">
        <w:rPr>
          <w:rFonts w:ascii="David" w:eastAsia="Times New Roman" w:hAnsi="David"/>
          <w:sz w:val="24"/>
          <w:rtl/>
        </w:rPr>
        <w:t>כנית שהוכנה ב</w:t>
      </w:r>
      <w:r w:rsidRPr="00014C4D">
        <w:rPr>
          <w:rFonts w:ascii="David" w:eastAsia="Times New Roman" w:hAnsi="David" w:hint="cs"/>
          <w:sz w:val="24"/>
          <w:rtl/>
        </w:rPr>
        <w:t xml:space="preserve">עת </w:t>
      </w:r>
      <w:r w:rsidRPr="00014C4D">
        <w:rPr>
          <w:rFonts w:ascii="David" w:eastAsia="Times New Roman" w:hAnsi="David"/>
          <w:sz w:val="24"/>
          <w:rtl/>
        </w:rPr>
        <w:t>רגיעה</w:t>
      </w:r>
      <w:r w:rsidRPr="00014C4D">
        <w:rPr>
          <w:rFonts w:ascii="David" w:eastAsia="Times New Roman" w:hAnsi="David" w:hint="cs"/>
          <w:sz w:val="24"/>
          <w:rtl/>
        </w:rPr>
        <w:t xml:space="preserve">. </w:t>
      </w:r>
    </w:p>
    <w:p w:rsidR="00014C4D" w:rsidRPr="00014C4D" w:rsidRDefault="00014C4D" w:rsidP="00014C4D">
      <w:pPr>
        <w:spacing w:line="269" w:lineRule="auto"/>
        <w:rPr>
          <w:rtl/>
        </w:rPr>
      </w:pPr>
    </w:p>
    <w:p w:rsidR="00014C4D" w:rsidRPr="00014C4D" w:rsidRDefault="00014C4D" w:rsidP="00014C4D">
      <w:pPr>
        <w:spacing w:line="269" w:lineRule="auto"/>
        <w:rPr>
          <w:bCs/>
          <w:rtl/>
        </w:rPr>
      </w:pPr>
      <w:r w:rsidRPr="00014C4D">
        <w:rPr>
          <w:rFonts w:hint="cs"/>
          <w:rtl/>
        </w:rPr>
        <w:t xml:space="preserve">עיריות </w:t>
      </w:r>
      <w:r w:rsidRPr="00014C4D">
        <w:rPr>
          <w:rFonts w:hint="cs"/>
          <w:b/>
          <w:bCs/>
          <w:rtl/>
        </w:rPr>
        <w:t xml:space="preserve">אשקלון, גבעתיים </w:t>
      </w:r>
      <w:r w:rsidRPr="00014C4D">
        <w:rPr>
          <w:rFonts w:hint="cs"/>
          <w:rtl/>
        </w:rPr>
        <w:t>ו</w:t>
      </w:r>
      <w:r w:rsidRPr="00014C4D">
        <w:rPr>
          <w:rFonts w:hint="cs"/>
          <w:b/>
          <w:bCs/>
          <w:rtl/>
        </w:rPr>
        <w:t xml:space="preserve">חולון </w:t>
      </w:r>
      <w:r w:rsidRPr="00014C4D">
        <w:rPr>
          <w:rFonts w:hint="cs"/>
          <w:rtl/>
        </w:rPr>
        <w:t>פתחו את המקלטים הציבוריים בתחילת המלחמה.</w:t>
      </w:r>
      <w:r w:rsidRPr="00014C4D">
        <w:rPr>
          <w:rFonts w:hint="cs"/>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בעיריות </w:t>
      </w:r>
      <w:r w:rsidRPr="00014C4D">
        <w:rPr>
          <w:rFonts w:hint="eastAsia"/>
          <w:bCs/>
          <w:rtl/>
        </w:rPr>
        <w:t>גבעתיים</w:t>
      </w:r>
      <w:r w:rsidRPr="00014C4D">
        <w:rPr>
          <w:rtl/>
        </w:rPr>
        <w:t xml:space="preserve"> </w:t>
      </w:r>
      <w:r w:rsidRPr="00014C4D">
        <w:rPr>
          <w:rFonts w:hint="eastAsia"/>
          <w:rtl/>
        </w:rPr>
        <w:t>ו</w:t>
      </w:r>
      <w:r w:rsidRPr="00014C4D">
        <w:rPr>
          <w:rFonts w:hint="eastAsia"/>
          <w:bCs/>
          <w:rtl/>
        </w:rPr>
        <w:t>חולון</w:t>
      </w:r>
      <w:r w:rsidRPr="00014C4D">
        <w:rPr>
          <w:rFonts w:hint="cs"/>
          <w:rtl/>
        </w:rPr>
        <w:t xml:space="preserve"> </w:t>
      </w:r>
      <w:r w:rsidRPr="00014C4D">
        <w:rPr>
          <w:rtl/>
        </w:rPr>
        <w:t xml:space="preserve">נמצאו נהלים </w:t>
      </w:r>
      <w:r w:rsidRPr="00014C4D">
        <w:rPr>
          <w:rFonts w:hint="cs"/>
          <w:rtl/>
        </w:rPr>
        <w:t xml:space="preserve">לפתיחת המקלטים הציבוריים בעת חירום המפרטים את </w:t>
      </w:r>
      <w:r w:rsidRPr="00014C4D">
        <w:rPr>
          <w:rtl/>
        </w:rPr>
        <w:t>חלוקת בעלי התפקידים לפי אזורים ג</w:t>
      </w:r>
      <w:r w:rsidRPr="00014C4D">
        <w:rPr>
          <w:rFonts w:hint="cs"/>
          <w:rtl/>
        </w:rPr>
        <w:t>י</w:t>
      </w:r>
      <w:r w:rsidRPr="00014C4D">
        <w:rPr>
          <w:rtl/>
        </w:rPr>
        <w:t xml:space="preserve">אוגרפיים וכן </w:t>
      </w:r>
      <w:r w:rsidRPr="00014C4D">
        <w:rPr>
          <w:rFonts w:hint="cs"/>
          <w:rtl/>
        </w:rPr>
        <w:t xml:space="preserve">את </w:t>
      </w:r>
      <w:r w:rsidRPr="00014C4D">
        <w:rPr>
          <w:rtl/>
        </w:rPr>
        <w:t xml:space="preserve">מספר </w:t>
      </w:r>
      <w:r w:rsidRPr="00014C4D">
        <w:rPr>
          <w:rFonts w:hint="cs"/>
          <w:rtl/>
        </w:rPr>
        <w:t xml:space="preserve">וכתובתו של כל </w:t>
      </w:r>
      <w:r w:rsidRPr="00014C4D">
        <w:rPr>
          <w:rFonts w:hint="eastAsia"/>
          <w:rtl/>
        </w:rPr>
        <w:t>מקלט</w:t>
      </w:r>
      <w:r w:rsidRPr="00014C4D">
        <w:rPr>
          <w:rtl/>
        </w:rPr>
        <w:t xml:space="preserve"> </w:t>
      </w:r>
      <w:r w:rsidRPr="00014C4D">
        <w:rPr>
          <w:rFonts w:hint="cs"/>
          <w:rtl/>
        </w:rPr>
        <w:t>ציבורי</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בנוהל פתיחת מקלטים שהכינה אשקלון, מלבד הזכרת שמות האנשים שיועדו לפתיחתם וחלוקתם לאזורים גיאוגרפיים, לא נכלל מידע כגון מספרו של כל מקלט וכתובתו, וכן מידע בנוגע להפניית התושבים למקלטים שהם אמורים להיכנס אליהם.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על עיריית אשקלון להשלים את המידע החסר בנוהל שלה לפתיחת מקלטים ציבוריים בעת חירום.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Cs/>
          <w:rtl/>
        </w:rPr>
      </w:pPr>
      <w:r w:rsidRPr="00014C4D">
        <w:rPr>
          <w:rFonts w:hint="cs"/>
          <w:rtl/>
        </w:rPr>
        <w:t xml:space="preserve">המועצה האזורית </w:t>
      </w:r>
      <w:r w:rsidRPr="00014C4D">
        <w:rPr>
          <w:rFonts w:hint="cs"/>
          <w:bCs/>
          <w:rtl/>
        </w:rPr>
        <w:t>הגלבוע</w:t>
      </w:r>
      <w:r w:rsidRPr="00014C4D">
        <w:rPr>
          <w:rFonts w:hint="cs"/>
          <w:rtl/>
        </w:rPr>
        <w:t xml:space="preserve"> מסרה למשרד מבקר המדינה במהלך הביקורת במרץ 2024 כי מאחר שמפתחות המקלטים נמצאים בידי האחראי לכל יישוב, התוכנית לפתיחתם אמורה להיות אצלו.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בידי המועצה האזורית הגלבוע לא היה מידע בדבר קיומן של תוכניות לפתיחת המקלטים בידי היישובים שבתחומה.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המועצה האזורית </w:t>
      </w:r>
      <w:r w:rsidRPr="00014C4D">
        <w:rPr>
          <w:rFonts w:hint="cs"/>
          <w:bCs/>
          <w:rtl/>
        </w:rPr>
        <w:t xml:space="preserve">הגלבוע </w:t>
      </w:r>
      <w:r w:rsidRPr="00014C4D">
        <w:rPr>
          <w:rFonts w:hint="cs"/>
          <w:rtl/>
        </w:rPr>
        <w:t>מסרה במהלך הביקורת, במרץ 2024, כי היא לא פתחה את המקלטים בתקופת מלחמת חרבות ברזל משום שפקע</w:t>
      </w:r>
      <w:r w:rsidRPr="00014C4D">
        <w:rPr>
          <w:rtl/>
        </w:rPr>
        <w:t>"</w:t>
      </w:r>
      <w:r w:rsidRPr="00014C4D">
        <w:rPr>
          <w:rFonts w:hint="cs"/>
          <w:rtl/>
        </w:rPr>
        <w:t xml:space="preserve">ר לא נתן הוראה לפתוח אותם ורובם הגדול היו סגורים בתקופת המלחמה. מקלטים מעטים נפתחו לאחר שתושבים או יישובים ביקשו זאת.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Pr>
      </w:pPr>
      <w:r w:rsidRPr="00014C4D">
        <w:rPr>
          <w:rFonts w:hint="cs"/>
          <w:b/>
          <w:bCs/>
          <w:rtl/>
        </w:rPr>
        <w:t>על המועצה האזורית הגלבוע לוודא שבידי האחראי לפתיחת המקלטים הציבוריים בכל יישוב יהיו תוכניות לפתיחתם בעת חירום.</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eastAsia"/>
          <w:bCs/>
          <w:szCs w:val="28"/>
          <w:u w:val="single"/>
          <w:rtl/>
        </w:rPr>
        <w:t>ביקורת</w:t>
      </w:r>
      <w:r w:rsidRPr="00014C4D">
        <w:rPr>
          <w:rFonts w:eastAsia="Times New Roman"/>
          <w:bCs/>
          <w:szCs w:val="28"/>
          <w:u w:val="single"/>
          <w:rtl/>
        </w:rPr>
        <w:t xml:space="preserve"> של </w:t>
      </w:r>
      <w:r w:rsidRPr="00014C4D">
        <w:rPr>
          <w:rFonts w:eastAsia="Times New Roman" w:hint="eastAsia"/>
          <w:bCs/>
          <w:szCs w:val="28"/>
          <w:u w:val="single"/>
          <w:rtl/>
        </w:rPr>
        <w:t>פקע</w:t>
      </w:r>
      <w:r w:rsidRPr="00014C4D">
        <w:rPr>
          <w:rFonts w:eastAsia="Times New Roman"/>
          <w:bCs/>
          <w:szCs w:val="28"/>
          <w:u w:val="single"/>
          <w:rtl/>
        </w:rPr>
        <w:t>"</w:t>
      </w:r>
      <w:r w:rsidRPr="00014C4D">
        <w:rPr>
          <w:rFonts w:eastAsia="Times New Roman" w:hint="eastAsia"/>
          <w:bCs/>
          <w:szCs w:val="28"/>
          <w:u w:val="single"/>
          <w:rtl/>
        </w:rPr>
        <w:t>ר</w:t>
      </w:r>
      <w:r w:rsidRPr="00014C4D">
        <w:rPr>
          <w:rFonts w:eastAsia="Times New Roman" w:hint="cs"/>
          <w:bCs/>
          <w:szCs w:val="28"/>
          <w:u w:val="single"/>
          <w:rtl/>
        </w:rPr>
        <w:t xml:space="preserve"> על מקלטים ציבוריים ברשויות המקומיות שנבדקו</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heme="majorEastAsia" w:hAnsi="David"/>
          <w:color w:val="000000"/>
          <w:rtl/>
        </w:rPr>
      </w:pPr>
      <w:r w:rsidRPr="00014C4D">
        <w:rPr>
          <w:rFonts w:ascii="David" w:eastAsiaTheme="majorEastAsia" w:hAnsi="David" w:hint="eastAsia"/>
          <w:rtl/>
        </w:rPr>
        <w:t>במסמך</w:t>
      </w:r>
      <w:r w:rsidRPr="00014C4D">
        <w:rPr>
          <w:rFonts w:ascii="David" w:eastAsiaTheme="majorEastAsia" w:hAnsi="David"/>
          <w:rtl/>
        </w:rPr>
        <w:t xml:space="preserve"> </w:t>
      </w:r>
      <w:r w:rsidRPr="00014C4D">
        <w:rPr>
          <w:rFonts w:ascii="David" w:eastAsiaTheme="majorEastAsia" w:hAnsi="David" w:hint="cs"/>
          <w:rtl/>
        </w:rPr>
        <w:t>"</w:t>
      </w:r>
      <w:r w:rsidRPr="00014C4D">
        <w:rPr>
          <w:rFonts w:ascii="David" w:eastAsiaTheme="majorEastAsia" w:hAnsi="David"/>
          <w:rtl/>
        </w:rPr>
        <w:t>תורת ההתגוננות האזרחית ב</w:t>
      </w:r>
      <w:r w:rsidRPr="00014C4D">
        <w:rPr>
          <w:rFonts w:ascii="David" w:eastAsiaTheme="majorEastAsia" w:hAnsi="David" w:hint="cs"/>
          <w:rtl/>
        </w:rPr>
        <w:t>ר</w:t>
      </w:r>
      <w:r w:rsidRPr="00014C4D">
        <w:rPr>
          <w:rFonts w:ascii="David" w:eastAsiaTheme="majorEastAsia" w:hAnsi="David"/>
          <w:rtl/>
        </w:rPr>
        <w:t>שות המקומית</w:t>
      </w:r>
      <w:r w:rsidRPr="00014C4D">
        <w:rPr>
          <w:rFonts w:ascii="David" w:eastAsiaTheme="majorEastAsia" w:hAnsi="David" w:hint="cs"/>
          <w:rtl/>
        </w:rPr>
        <w:t xml:space="preserve">" </w:t>
      </w:r>
      <w:r w:rsidRPr="00014C4D">
        <w:rPr>
          <w:rFonts w:ascii="David" w:eastAsiaTheme="majorEastAsia" w:hAnsi="David"/>
          <w:rtl/>
        </w:rPr>
        <w:t>ש</w:t>
      </w:r>
      <w:r w:rsidRPr="00014C4D">
        <w:rPr>
          <w:rFonts w:ascii="David" w:eastAsiaTheme="majorEastAsia" w:hAnsi="David" w:hint="cs"/>
          <w:rtl/>
        </w:rPr>
        <w:t>פרסם</w:t>
      </w:r>
      <w:r w:rsidRPr="00014C4D">
        <w:rPr>
          <w:rFonts w:ascii="David" w:eastAsiaTheme="majorEastAsia" w:hAnsi="David"/>
          <w:rtl/>
        </w:rPr>
        <w:t xml:space="preserve"> פ</w:t>
      </w:r>
      <w:r w:rsidRPr="00014C4D">
        <w:rPr>
          <w:rFonts w:ascii="David" w:eastAsiaTheme="majorEastAsia" w:hAnsi="David" w:hint="cs"/>
          <w:rtl/>
        </w:rPr>
        <w:t>קע"ר</w:t>
      </w:r>
      <w:r w:rsidRPr="00014C4D">
        <w:rPr>
          <w:rFonts w:ascii="David" w:eastAsiaTheme="majorEastAsia" w:hAnsi="David"/>
          <w:color w:val="000000"/>
          <w:rtl/>
        </w:rPr>
        <w:t xml:space="preserve"> במאי 2007 </w:t>
      </w:r>
      <w:r w:rsidRPr="00014C4D">
        <w:rPr>
          <w:rFonts w:ascii="David" w:eastAsiaTheme="majorEastAsia" w:hAnsi="David" w:hint="cs"/>
          <w:color w:val="000000"/>
          <w:rtl/>
        </w:rPr>
        <w:t xml:space="preserve">(להלן - מסמך תורת ההתגוננות) </w:t>
      </w:r>
      <w:r w:rsidRPr="00014C4D">
        <w:rPr>
          <w:rFonts w:ascii="David" w:eastAsiaTheme="majorEastAsia" w:hAnsi="David"/>
          <w:color w:val="000000"/>
          <w:rtl/>
        </w:rPr>
        <w:t>נ</w:t>
      </w:r>
      <w:r w:rsidRPr="00014C4D">
        <w:rPr>
          <w:rFonts w:ascii="David" w:eastAsiaTheme="majorEastAsia" w:hAnsi="David" w:hint="cs"/>
          <w:color w:val="000000"/>
          <w:rtl/>
        </w:rPr>
        <w:t>קבע</w:t>
      </w:r>
      <w:r w:rsidRPr="00014C4D">
        <w:rPr>
          <w:rFonts w:ascii="David" w:eastAsiaTheme="majorEastAsia" w:hAnsi="David"/>
          <w:color w:val="000000"/>
          <w:rtl/>
        </w:rPr>
        <w:t xml:space="preserve"> כי </w:t>
      </w:r>
      <w:r w:rsidRPr="00014C4D">
        <w:rPr>
          <w:rFonts w:ascii="David" w:eastAsiaTheme="majorEastAsia" w:hAnsi="David" w:hint="cs"/>
          <w:color w:val="000000"/>
          <w:rtl/>
        </w:rPr>
        <w:t>כדי</w:t>
      </w:r>
      <w:r w:rsidRPr="00014C4D">
        <w:rPr>
          <w:rFonts w:ascii="David" w:eastAsiaTheme="majorEastAsia" w:hAnsi="David"/>
          <w:color w:val="000000"/>
          <w:rtl/>
        </w:rPr>
        <w:t xml:space="preserve"> להבטיח את מוכנותן של הרשויות המקומיות למצבי חירום ומלחמה</w:t>
      </w:r>
      <w:r w:rsidRPr="00014C4D">
        <w:rPr>
          <w:rFonts w:ascii="David" w:eastAsiaTheme="majorEastAsia" w:hAnsi="David" w:hint="cs"/>
          <w:color w:val="000000"/>
          <w:rtl/>
        </w:rPr>
        <w:t>,</w:t>
      </w:r>
      <w:r w:rsidRPr="00014C4D">
        <w:rPr>
          <w:rFonts w:ascii="David" w:eastAsiaTheme="majorEastAsia" w:hAnsi="David"/>
          <w:color w:val="000000"/>
          <w:rtl/>
        </w:rPr>
        <w:t xml:space="preserve"> מבצע פקע"ר </w:t>
      </w:r>
      <w:r w:rsidRPr="00014C4D">
        <w:rPr>
          <w:rFonts w:ascii="David" w:eastAsiaTheme="majorEastAsia" w:hAnsi="David" w:hint="cs"/>
          <w:color w:val="000000"/>
          <w:rtl/>
        </w:rPr>
        <w:t>בכל שנה</w:t>
      </w:r>
      <w:r w:rsidRPr="00014C4D">
        <w:rPr>
          <w:rFonts w:ascii="David" w:eastAsiaTheme="majorEastAsia" w:hAnsi="David"/>
          <w:color w:val="000000"/>
          <w:rtl/>
        </w:rPr>
        <w:t xml:space="preserve"> </w:t>
      </w:r>
      <w:r w:rsidRPr="00014C4D">
        <w:rPr>
          <w:rFonts w:ascii="David" w:eastAsiaTheme="majorEastAsia" w:hAnsi="David" w:hint="cs"/>
          <w:color w:val="000000"/>
          <w:rtl/>
        </w:rPr>
        <w:t>בדיקה מדגמית של התקינות והתחזוקה של המקלטים הציבוריים.</w:t>
      </w:r>
      <w:r w:rsidRPr="00014C4D">
        <w:rPr>
          <w:rFonts w:ascii="David" w:eastAsiaTheme="majorEastAsia" w:hAnsi="David"/>
          <w:color w:val="000000"/>
          <w:rtl/>
        </w:rPr>
        <w:t xml:space="preserve"> </w:t>
      </w:r>
      <w:r w:rsidRPr="00014C4D">
        <w:rPr>
          <w:rFonts w:ascii="David" w:eastAsiaTheme="majorEastAsia" w:hAnsi="David" w:hint="eastAsia"/>
          <w:color w:val="000000"/>
          <w:rtl/>
        </w:rPr>
        <w:t>הביקורת</w:t>
      </w:r>
      <w:r w:rsidRPr="00014C4D">
        <w:rPr>
          <w:rFonts w:ascii="David" w:eastAsiaTheme="majorEastAsia" w:hAnsi="David"/>
          <w:color w:val="000000"/>
          <w:rtl/>
        </w:rPr>
        <w:t xml:space="preserve"> </w:t>
      </w:r>
      <w:r w:rsidRPr="00014C4D">
        <w:rPr>
          <w:rFonts w:ascii="David" w:eastAsiaTheme="majorEastAsia" w:hAnsi="David" w:hint="eastAsia"/>
          <w:color w:val="000000"/>
          <w:rtl/>
        </w:rPr>
        <w:t>נערכת</w:t>
      </w:r>
      <w:r w:rsidRPr="00014C4D">
        <w:rPr>
          <w:rFonts w:ascii="David" w:eastAsiaTheme="majorEastAsia" w:hAnsi="David"/>
          <w:color w:val="000000"/>
          <w:rtl/>
        </w:rPr>
        <w:t xml:space="preserve"> </w:t>
      </w:r>
      <w:r w:rsidRPr="00014C4D">
        <w:rPr>
          <w:rFonts w:ascii="David" w:eastAsiaTheme="majorEastAsia" w:hAnsi="David" w:hint="cs"/>
          <w:color w:val="000000"/>
          <w:rtl/>
        </w:rPr>
        <w:t>ב</w:t>
      </w:r>
      <w:r w:rsidRPr="00014C4D">
        <w:rPr>
          <w:rFonts w:ascii="David" w:eastAsiaTheme="majorEastAsia" w:hAnsi="David" w:hint="eastAsia"/>
          <w:color w:val="000000"/>
          <w:rtl/>
        </w:rPr>
        <w:t>מקלטים</w:t>
      </w:r>
      <w:r w:rsidRPr="00014C4D">
        <w:rPr>
          <w:rFonts w:ascii="David" w:eastAsiaTheme="majorEastAsia" w:hAnsi="David"/>
          <w:color w:val="000000"/>
          <w:rtl/>
        </w:rPr>
        <w:t xml:space="preserve"> </w:t>
      </w:r>
      <w:r w:rsidRPr="00014C4D">
        <w:rPr>
          <w:rFonts w:ascii="David" w:eastAsiaTheme="majorEastAsia" w:hAnsi="David" w:hint="cs"/>
          <w:color w:val="000000"/>
          <w:rtl/>
        </w:rPr>
        <w:t xml:space="preserve">שבוחר </w:t>
      </w:r>
      <w:r w:rsidRPr="00014C4D">
        <w:rPr>
          <w:rFonts w:ascii="David" w:eastAsiaTheme="majorEastAsia" w:hAnsi="David" w:hint="eastAsia"/>
          <w:color w:val="000000"/>
          <w:rtl/>
        </w:rPr>
        <w:t>צוות</w:t>
      </w:r>
      <w:r w:rsidRPr="00014C4D">
        <w:rPr>
          <w:rFonts w:ascii="David" w:eastAsiaTheme="majorEastAsia" w:hAnsi="David"/>
          <w:color w:val="000000"/>
          <w:rtl/>
        </w:rPr>
        <w:t xml:space="preserve"> </w:t>
      </w:r>
      <w:r w:rsidRPr="00014C4D">
        <w:rPr>
          <w:rFonts w:ascii="David" w:eastAsiaTheme="majorEastAsia" w:hAnsi="David" w:hint="eastAsia"/>
          <w:color w:val="000000"/>
          <w:rtl/>
        </w:rPr>
        <w:t>מטעם</w:t>
      </w:r>
      <w:r w:rsidRPr="00014C4D">
        <w:rPr>
          <w:rFonts w:ascii="David" w:eastAsiaTheme="majorEastAsia" w:hAnsi="David"/>
          <w:color w:val="000000"/>
          <w:rtl/>
        </w:rPr>
        <w:t xml:space="preserve"> </w:t>
      </w:r>
      <w:r w:rsidRPr="00014C4D">
        <w:rPr>
          <w:rFonts w:ascii="David" w:eastAsiaTheme="majorEastAsia" w:hAnsi="David" w:hint="eastAsia"/>
          <w:color w:val="000000"/>
          <w:rtl/>
        </w:rPr>
        <w:t>פקע</w:t>
      </w:r>
      <w:r w:rsidRPr="00014C4D">
        <w:rPr>
          <w:rFonts w:ascii="David" w:eastAsiaTheme="majorEastAsia" w:hAnsi="David"/>
          <w:color w:val="000000"/>
          <w:rtl/>
        </w:rPr>
        <w:t>"</w:t>
      </w:r>
      <w:r w:rsidRPr="00014C4D">
        <w:rPr>
          <w:rFonts w:ascii="David" w:eastAsiaTheme="majorEastAsia" w:hAnsi="David" w:hint="eastAsia"/>
          <w:color w:val="000000"/>
          <w:rtl/>
        </w:rPr>
        <w:t>ר</w:t>
      </w:r>
      <w:r w:rsidRPr="00014C4D">
        <w:rPr>
          <w:rFonts w:ascii="David" w:eastAsiaTheme="majorEastAsia" w:hAnsi="David"/>
          <w:color w:val="000000"/>
          <w:rtl/>
        </w:rPr>
        <w:t xml:space="preserve">. </w:t>
      </w:r>
      <w:r w:rsidRPr="00014C4D">
        <w:rPr>
          <w:rFonts w:ascii="David" w:eastAsiaTheme="majorEastAsia" w:hAnsi="David" w:hint="cs"/>
          <w:color w:val="000000"/>
          <w:rtl/>
        </w:rPr>
        <w:t xml:space="preserve">עוד נקבע כי </w:t>
      </w:r>
      <w:r w:rsidRPr="00014C4D">
        <w:rPr>
          <w:rFonts w:ascii="David" w:eastAsiaTheme="majorEastAsia" w:hAnsi="David" w:hint="eastAsia"/>
          <w:color w:val="000000"/>
          <w:rtl/>
        </w:rPr>
        <w:t>מפקדת</w:t>
      </w:r>
      <w:r w:rsidRPr="00014C4D">
        <w:rPr>
          <w:rFonts w:ascii="David" w:eastAsiaTheme="majorEastAsia" w:hAnsi="David"/>
          <w:color w:val="000000"/>
          <w:rtl/>
        </w:rPr>
        <w:t xml:space="preserve"> </w:t>
      </w:r>
      <w:r w:rsidRPr="00014C4D">
        <w:rPr>
          <w:rFonts w:ascii="David" w:eastAsiaTheme="majorEastAsia" w:hAnsi="David" w:hint="eastAsia"/>
          <w:color w:val="000000"/>
          <w:rtl/>
        </w:rPr>
        <w:t>המחוז</w:t>
      </w:r>
      <w:r w:rsidRPr="00014C4D">
        <w:rPr>
          <w:rFonts w:ascii="David" w:eastAsiaTheme="majorEastAsia" w:hAnsi="David"/>
          <w:color w:val="000000"/>
          <w:rtl/>
        </w:rPr>
        <w:t xml:space="preserve"> </w:t>
      </w:r>
      <w:r w:rsidRPr="00014C4D">
        <w:rPr>
          <w:rFonts w:ascii="David" w:eastAsiaTheme="majorEastAsia" w:hAnsi="David" w:hint="eastAsia"/>
          <w:color w:val="000000"/>
          <w:rtl/>
        </w:rPr>
        <w:t>תפיץ</w:t>
      </w:r>
      <w:r w:rsidRPr="00014C4D">
        <w:rPr>
          <w:rFonts w:ascii="David" w:eastAsiaTheme="majorEastAsia" w:hAnsi="David"/>
          <w:color w:val="000000"/>
          <w:rtl/>
        </w:rPr>
        <w:t xml:space="preserve"> </w:t>
      </w:r>
      <w:r w:rsidRPr="00014C4D">
        <w:rPr>
          <w:rFonts w:ascii="David" w:eastAsiaTheme="majorEastAsia" w:hAnsi="David" w:hint="eastAsia"/>
          <w:color w:val="000000"/>
          <w:rtl/>
        </w:rPr>
        <w:t>דוח</w:t>
      </w:r>
      <w:r w:rsidRPr="00014C4D">
        <w:rPr>
          <w:rFonts w:ascii="David" w:eastAsiaTheme="majorEastAsia" w:hAnsi="David"/>
          <w:color w:val="000000"/>
          <w:rtl/>
        </w:rPr>
        <w:t xml:space="preserve"> </w:t>
      </w:r>
      <w:r w:rsidRPr="00014C4D">
        <w:rPr>
          <w:rFonts w:ascii="David" w:eastAsiaTheme="majorEastAsia" w:hAnsi="David" w:hint="eastAsia"/>
          <w:color w:val="000000"/>
          <w:rtl/>
        </w:rPr>
        <w:t>מפורט</w:t>
      </w:r>
      <w:r w:rsidRPr="00014C4D">
        <w:rPr>
          <w:rFonts w:ascii="David" w:eastAsiaTheme="majorEastAsia" w:hAnsi="David"/>
          <w:color w:val="000000"/>
          <w:rtl/>
        </w:rPr>
        <w:t xml:space="preserve"> </w:t>
      </w:r>
      <w:r w:rsidRPr="00014C4D">
        <w:rPr>
          <w:rFonts w:ascii="David" w:eastAsiaTheme="majorEastAsia" w:hAnsi="David" w:hint="eastAsia"/>
          <w:color w:val="000000"/>
          <w:rtl/>
        </w:rPr>
        <w:t>של</w:t>
      </w:r>
      <w:r w:rsidRPr="00014C4D">
        <w:rPr>
          <w:rFonts w:ascii="David" w:eastAsiaTheme="majorEastAsia" w:hAnsi="David"/>
          <w:color w:val="000000"/>
          <w:rtl/>
        </w:rPr>
        <w:t xml:space="preserve"> </w:t>
      </w:r>
      <w:r w:rsidRPr="00014C4D">
        <w:rPr>
          <w:rFonts w:ascii="David" w:eastAsiaTheme="majorEastAsia" w:hAnsi="David" w:hint="eastAsia"/>
          <w:color w:val="000000"/>
          <w:rtl/>
        </w:rPr>
        <w:t>הממצאים</w:t>
      </w:r>
      <w:r w:rsidRPr="00014C4D">
        <w:rPr>
          <w:rFonts w:ascii="David" w:eastAsiaTheme="majorEastAsia" w:hAnsi="David"/>
          <w:color w:val="000000"/>
          <w:rtl/>
        </w:rPr>
        <w:t xml:space="preserve"> </w:t>
      </w:r>
      <w:r w:rsidRPr="00014C4D">
        <w:rPr>
          <w:rFonts w:ascii="David" w:eastAsiaTheme="majorEastAsia" w:hAnsi="David" w:hint="eastAsia"/>
          <w:color w:val="000000"/>
          <w:rtl/>
        </w:rPr>
        <w:t>בכל</w:t>
      </w:r>
      <w:r w:rsidRPr="00014C4D">
        <w:rPr>
          <w:rFonts w:ascii="David" w:eastAsiaTheme="majorEastAsia" w:hAnsi="David"/>
          <w:color w:val="000000"/>
          <w:rtl/>
        </w:rPr>
        <w:t xml:space="preserve"> </w:t>
      </w:r>
      <w:r w:rsidRPr="00014C4D">
        <w:rPr>
          <w:rFonts w:ascii="David" w:eastAsiaTheme="majorEastAsia" w:hAnsi="David" w:hint="eastAsia"/>
          <w:color w:val="000000"/>
          <w:rtl/>
        </w:rPr>
        <w:t>מקלט</w:t>
      </w:r>
      <w:r w:rsidRPr="00014C4D">
        <w:rPr>
          <w:rFonts w:ascii="David" w:eastAsiaTheme="majorEastAsia" w:hAnsi="David"/>
          <w:color w:val="000000"/>
          <w:rtl/>
        </w:rPr>
        <w:t xml:space="preserve"> </w:t>
      </w:r>
      <w:r w:rsidRPr="00014C4D">
        <w:rPr>
          <w:rFonts w:ascii="David" w:eastAsiaTheme="majorEastAsia" w:hAnsi="David" w:hint="eastAsia"/>
          <w:color w:val="000000"/>
          <w:rtl/>
        </w:rPr>
        <w:t>הכולל</w:t>
      </w:r>
      <w:r w:rsidRPr="00014C4D">
        <w:rPr>
          <w:rFonts w:ascii="David" w:eastAsiaTheme="majorEastAsia" w:hAnsi="David"/>
          <w:color w:val="000000"/>
          <w:rtl/>
        </w:rPr>
        <w:t xml:space="preserve"> </w:t>
      </w:r>
      <w:r w:rsidRPr="00014C4D">
        <w:rPr>
          <w:rFonts w:ascii="David" w:eastAsiaTheme="majorEastAsia" w:hAnsi="David" w:hint="eastAsia"/>
          <w:color w:val="000000"/>
          <w:rtl/>
        </w:rPr>
        <w:t>הנחיות</w:t>
      </w:r>
      <w:r w:rsidRPr="00014C4D">
        <w:rPr>
          <w:rFonts w:ascii="David" w:eastAsiaTheme="majorEastAsia" w:hAnsi="David"/>
          <w:color w:val="000000"/>
          <w:rtl/>
        </w:rPr>
        <w:t xml:space="preserve"> </w:t>
      </w:r>
      <w:r w:rsidRPr="00014C4D">
        <w:rPr>
          <w:rFonts w:ascii="David" w:eastAsiaTheme="majorEastAsia" w:hAnsi="David" w:hint="eastAsia"/>
          <w:color w:val="000000"/>
          <w:rtl/>
        </w:rPr>
        <w:t>לתיקון</w:t>
      </w:r>
      <w:r w:rsidRPr="00014C4D">
        <w:rPr>
          <w:rFonts w:ascii="David" w:eastAsiaTheme="majorEastAsia" w:hAnsi="David"/>
          <w:color w:val="000000"/>
          <w:rtl/>
        </w:rPr>
        <w:t xml:space="preserve"> </w:t>
      </w:r>
      <w:r w:rsidRPr="00014C4D">
        <w:rPr>
          <w:rFonts w:ascii="David" w:eastAsiaTheme="majorEastAsia" w:hAnsi="David" w:hint="eastAsia"/>
          <w:color w:val="000000"/>
          <w:rtl/>
        </w:rPr>
        <w:t>או</w:t>
      </w:r>
      <w:r w:rsidRPr="00014C4D">
        <w:rPr>
          <w:rFonts w:ascii="David" w:eastAsiaTheme="majorEastAsia" w:hAnsi="David"/>
          <w:color w:val="000000"/>
          <w:rtl/>
        </w:rPr>
        <w:t xml:space="preserve"> </w:t>
      </w:r>
      <w:r w:rsidRPr="00014C4D">
        <w:rPr>
          <w:rFonts w:ascii="David" w:eastAsiaTheme="majorEastAsia" w:hAnsi="David" w:hint="eastAsia"/>
          <w:color w:val="000000"/>
          <w:rtl/>
        </w:rPr>
        <w:t>שיפור</w:t>
      </w:r>
      <w:r w:rsidRPr="00014C4D">
        <w:rPr>
          <w:rFonts w:ascii="David" w:eastAsiaTheme="majorEastAsia" w:hAnsi="David"/>
          <w:color w:val="000000"/>
          <w:rtl/>
        </w:rPr>
        <w:t>.</w:t>
      </w:r>
    </w:p>
    <w:p w:rsidR="00014C4D" w:rsidRPr="00014C4D" w:rsidRDefault="00014C4D" w:rsidP="00014C4D">
      <w:pPr>
        <w:spacing w:line="269" w:lineRule="auto"/>
        <w:ind w:left="-567"/>
        <w:rPr>
          <w:rFonts w:ascii="David" w:eastAsiaTheme="majorEastAsia" w:hAnsi="David"/>
          <w:color w:val="000000"/>
          <w:rtl/>
        </w:rPr>
      </w:pPr>
    </w:p>
    <w:p w:rsidR="00014C4D" w:rsidRPr="00014C4D" w:rsidRDefault="00014C4D" w:rsidP="00014C4D">
      <w:pPr>
        <w:spacing w:line="269" w:lineRule="auto"/>
        <w:rPr>
          <w:highlight w:val="yellow"/>
          <w:rtl/>
        </w:rPr>
      </w:pPr>
      <w:r w:rsidRPr="00014C4D">
        <w:rPr>
          <w:rtl/>
        </w:rPr>
        <w:t>בהתאם לחוק הג</w:t>
      </w:r>
      <w:r w:rsidRPr="00014C4D">
        <w:rPr>
          <w:rFonts w:hint="cs"/>
          <w:rtl/>
        </w:rPr>
        <w:t>"א</w:t>
      </w:r>
      <w:r w:rsidRPr="00014C4D">
        <w:rPr>
          <w:rtl/>
        </w:rPr>
        <w:t xml:space="preserve"> האחריות להבטחת תקינותם וכשירותם של המקלטים הציבוריים מוטלת</w:t>
      </w:r>
      <w:r w:rsidRPr="00014C4D">
        <w:rPr>
          <w:rFonts w:hint="cs"/>
          <w:rtl/>
        </w:rPr>
        <w:t xml:space="preserve"> </w:t>
      </w:r>
      <w:r w:rsidRPr="00014C4D">
        <w:rPr>
          <w:rtl/>
        </w:rPr>
        <w:t>על הרשות המקומית שבמרחבה מצויים המקלטים, כאשר ל</w:t>
      </w:r>
      <w:r w:rsidRPr="00014C4D">
        <w:rPr>
          <w:rFonts w:hint="cs"/>
          <w:rtl/>
        </w:rPr>
        <w:t>פקע"ר</w:t>
      </w:r>
      <w:r w:rsidRPr="00014C4D">
        <w:rPr>
          <w:rtl/>
        </w:rPr>
        <w:t xml:space="preserve"> הסמכות לפקח ולהנחות את</w:t>
      </w:r>
      <w:r w:rsidRPr="00014C4D">
        <w:rPr>
          <w:rFonts w:hint="cs"/>
          <w:rtl/>
        </w:rPr>
        <w:t xml:space="preserve"> </w:t>
      </w:r>
      <w:r w:rsidRPr="00014C4D">
        <w:rPr>
          <w:rtl/>
        </w:rPr>
        <w:t xml:space="preserve">הרשויות המקומיות </w:t>
      </w:r>
      <w:r w:rsidRPr="00014C4D">
        <w:rPr>
          <w:rtl/>
        </w:rPr>
        <w:lastRenderedPageBreak/>
        <w:t>שיממשו את אחריותן כלפי המקלטים במרחבן הן הפרטיים והן הציבוריים</w:t>
      </w:r>
      <w:r w:rsidRPr="00014C4D">
        <w:rPr>
          <w:rFonts w:hint="cs"/>
          <w:rtl/>
        </w:rPr>
        <w:t xml:space="preserve"> </w:t>
      </w:r>
      <w:r w:rsidRPr="00014C4D">
        <w:rPr>
          <w:rtl/>
        </w:rPr>
        <w:t xml:space="preserve">ושיבטיחו את תקינותם. </w:t>
      </w:r>
      <w:r w:rsidRPr="00014C4D">
        <w:rPr>
          <w:rFonts w:hint="cs"/>
          <w:rtl/>
        </w:rPr>
        <w:t>בהוראה הג"א "ביקורת מקלטים ציבוריים ברשות המקומית" מאוגוסט 2022</w:t>
      </w:r>
      <w:r w:rsidRPr="00014C4D">
        <w:rPr>
          <w:vertAlign w:val="superscript"/>
          <w:rtl/>
        </w:rPr>
        <w:footnoteReference w:id="68"/>
      </w:r>
      <w:r w:rsidRPr="00014C4D">
        <w:rPr>
          <w:rFonts w:hint="cs"/>
          <w:rtl/>
        </w:rPr>
        <w:t xml:space="preserve"> צוין ש"</w:t>
      </w:r>
      <w:r w:rsidRPr="00014C4D">
        <w:rPr>
          <w:rtl/>
        </w:rPr>
        <w:t xml:space="preserve">כדי לממש את אחריות </w:t>
      </w:r>
      <w:r w:rsidRPr="00014C4D">
        <w:rPr>
          <w:rFonts w:hint="cs"/>
          <w:rtl/>
        </w:rPr>
        <w:t>פקע"ר</w:t>
      </w:r>
      <w:r w:rsidRPr="00014C4D">
        <w:rPr>
          <w:rtl/>
        </w:rPr>
        <w:t xml:space="preserve"> כרגולטור הלאומי בתחום המקלוט הציבורי תבוצע ביקורת</w:t>
      </w:r>
      <w:r w:rsidRPr="00014C4D">
        <w:rPr>
          <w:rFonts w:hint="cs"/>
          <w:rtl/>
        </w:rPr>
        <w:t xml:space="preserve"> </w:t>
      </w:r>
      <w:r w:rsidRPr="00014C4D">
        <w:rPr>
          <w:rtl/>
        </w:rPr>
        <w:t>ובדיקת כשירות המקלטים הציבוריים ברשויות במחזוריות תלת שנתית. כל מקלט ציבורי ייבדק</w:t>
      </w:r>
      <w:r w:rsidRPr="00014C4D">
        <w:rPr>
          <w:rFonts w:hint="cs"/>
          <w:rtl/>
        </w:rPr>
        <w:t xml:space="preserve"> </w:t>
      </w:r>
      <w:r w:rsidRPr="00014C4D">
        <w:rPr>
          <w:rtl/>
        </w:rPr>
        <w:t>אחת לשלוש שנים</w:t>
      </w:r>
      <w:r w:rsidRPr="00014C4D">
        <w:rPr>
          <w:rFonts w:hint="cs"/>
          <w:rtl/>
        </w:rPr>
        <w:t>"</w:t>
      </w:r>
      <w:r w:rsidRPr="00014C4D">
        <w:rPr>
          <w:rtl/>
        </w:rPr>
        <w:t>.</w:t>
      </w:r>
    </w:p>
    <w:p w:rsidR="00014C4D" w:rsidRPr="00014C4D" w:rsidRDefault="00014C4D" w:rsidP="00014C4D">
      <w:pPr>
        <w:spacing w:line="269" w:lineRule="auto"/>
        <w:rPr>
          <w:highlight w:val="yellow"/>
          <w:rtl/>
        </w:rPr>
      </w:pPr>
    </w:p>
    <w:p w:rsidR="00014C4D" w:rsidRPr="00014C4D" w:rsidRDefault="00014C4D" w:rsidP="00014C4D">
      <w:pPr>
        <w:jc w:val="center"/>
        <w:rPr>
          <w:rtl/>
        </w:rPr>
      </w:pPr>
      <w:r w:rsidRPr="00014C4D">
        <w:rPr>
          <w:rFonts w:hint="eastAsia"/>
          <w:rtl/>
        </w:rPr>
        <w:t>לוח</w:t>
      </w:r>
      <w:r w:rsidRPr="00014C4D">
        <w:rPr>
          <w:rtl/>
        </w:rPr>
        <w:t xml:space="preserve"> </w:t>
      </w:r>
      <w:r w:rsidRPr="00014C4D">
        <w:rPr>
          <w:rFonts w:hint="cs"/>
          <w:rtl/>
        </w:rPr>
        <w:t>5</w:t>
      </w:r>
      <w:r w:rsidRPr="00014C4D">
        <w:rPr>
          <w:rtl/>
        </w:rPr>
        <w:t>:</w:t>
      </w:r>
      <w:r w:rsidRPr="00014C4D">
        <w:rPr>
          <w:rFonts w:hint="cs"/>
          <w:rtl/>
        </w:rPr>
        <w:t xml:space="preserve"> </w:t>
      </w:r>
      <w:r w:rsidRPr="00014C4D">
        <w:rPr>
          <w:rFonts w:hint="cs"/>
          <w:b/>
          <w:bCs/>
          <w:rtl/>
        </w:rPr>
        <w:t>ביקורות פקע"ר במקלטים הציבוריים שבידי הרשות המקומית שנבדקו, 2021 -</w:t>
      </w:r>
      <w:r w:rsidRPr="00014C4D">
        <w:rPr>
          <w:rFonts w:hint="cs"/>
          <w:rtl/>
        </w:rPr>
        <w:t xml:space="preserve"> 2023</w:t>
      </w:r>
    </w:p>
    <w:tbl>
      <w:tblPr>
        <w:bidiVisual/>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146"/>
        <w:gridCol w:w="923"/>
        <w:gridCol w:w="993"/>
        <w:gridCol w:w="1134"/>
        <w:gridCol w:w="1417"/>
        <w:gridCol w:w="1984"/>
      </w:tblGrid>
      <w:tr w:rsidR="00014C4D" w:rsidRPr="00014C4D" w:rsidTr="00014C4D">
        <w:trPr>
          <w:trHeight w:val="1047"/>
          <w:jc w:val="center"/>
        </w:trPr>
        <w:tc>
          <w:tcPr>
            <w:tcW w:w="1049" w:type="dxa"/>
            <w:vMerge w:val="restart"/>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Pr>
            </w:pPr>
            <w:r w:rsidRPr="00014C4D">
              <w:rPr>
                <w:rFonts w:ascii="David" w:eastAsia="Times New Roman" w:hAnsi="David" w:hint="cs"/>
                <w:b/>
                <w:bCs/>
                <w:sz w:val="22"/>
                <w:szCs w:val="22"/>
                <w:rtl/>
              </w:rPr>
              <w:t>ה</w:t>
            </w:r>
            <w:r w:rsidRPr="00014C4D">
              <w:rPr>
                <w:rFonts w:ascii="David" w:eastAsia="Times New Roman" w:hAnsi="David"/>
                <w:b/>
                <w:bCs/>
                <w:sz w:val="22"/>
                <w:szCs w:val="22"/>
                <w:rtl/>
              </w:rPr>
              <w:t xml:space="preserve">רשות </w:t>
            </w:r>
            <w:r w:rsidRPr="00014C4D">
              <w:rPr>
                <w:rFonts w:ascii="David" w:eastAsia="Times New Roman" w:hAnsi="David" w:hint="cs"/>
                <w:b/>
                <w:bCs/>
                <w:sz w:val="22"/>
                <w:szCs w:val="22"/>
                <w:rtl/>
              </w:rPr>
              <w:t>ה</w:t>
            </w:r>
            <w:r w:rsidRPr="00014C4D">
              <w:rPr>
                <w:rFonts w:ascii="David" w:eastAsia="Times New Roman" w:hAnsi="David"/>
                <w:b/>
                <w:bCs/>
                <w:sz w:val="22"/>
                <w:szCs w:val="22"/>
                <w:rtl/>
              </w:rPr>
              <w:t>מקומית</w:t>
            </w:r>
          </w:p>
        </w:tc>
        <w:tc>
          <w:tcPr>
            <w:tcW w:w="1146" w:type="dxa"/>
            <w:vMerge w:val="restart"/>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מספר המקלטים הצ</w:t>
            </w:r>
            <w:r w:rsidRPr="00014C4D">
              <w:rPr>
                <w:rFonts w:ascii="David" w:eastAsia="Times New Roman" w:hAnsi="David" w:hint="cs"/>
                <w:b/>
                <w:bCs/>
                <w:sz w:val="22"/>
                <w:szCs w:val="22"/>
                <w:rtl/>
              </w:rPr>
              <w:t>י</w:t>
            </w:r>
            <w:r w:rsidRPr="00014C4D">
              <w:rPr>
                <w:rFonts w:ascii="David" w:eastAsia="Times New Roman" w:hAnsi="David"/>
                <w:b/>
                <w:bCs/>
                <w:sz w:val="22"/>
                <w:szCs w:val="22"/>
                <w:rtl/>
              </w:rPr>
              <w:t>בוריים שבידי הרשות</w:t>
            </w:r>
            <w:r w:rsidRPr="00014C4D">
              <w:rPr>
                <w:rFonts w:ascii="David" w:eastAsia="Times New Roman" w:hAnsi="David" w:hint="cs"/>
                <w:b/>
                <w:bCs/>
                <w:sz w:val="22"/>
                <w:szCs w:val="22"/>
                <w:rtl/>
              </w:rPr>
              <w:t xml:space="preserve"> המקומית</w:t>
            </w:r>
          </w:p>
        </w:tc>
        <w:tc>
          <w:tcPr>
            <w:tcW w:w="4467" w:type="dxa"/>
            <w:gridSpan w:val="4"/>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 xml:space="preserve">מספר המקלטים </w:t>
            </w:r>
            <w:r w:rsidRPr="00014C4D">
              <w:rPr>
                <w:rFonts w:ascii="David" w:eastAsia="Times New Roman" w:hAnsi="David" w:hint="cs"/>
                <w:b/>
                <w:bCs/>
                <w:sz w:val="22"/>
                <w:szCs w:val="22"/>
                <w:rtl/>
              </w:rPr>
              <w:t>הציבוריים שפקע"ר ביצע בהם ביקורת</w:t>
            </w:r>
          </w:p>
        </w:tc>
        <w:tc>
          <w:tcPr>
            <w:tcW w:w="1984" w:type="dxa"/>
            <w:vMerge w:val="restart"/>
            <w:shd w:val="clear" w:color="auto" w:fill="D9D9D9" w:themeFill="background1" w:themeFillShade="D9"/>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 xml:space="preserve">מספר המקלטים </w:t>
            </w:r>
            <w:r w:rsidRPr="00014C4D">
              <w:rPr>
                <w:rFonts w:ascii="David" w:eastAsia="Times New Roman" w:hAnsi="David" w:hint="cs"/>
                <w:b/>
                <w:bCs/>
                <w:sz w:val="22"/>
                <w:szCs w:val="22"/>
                <w:rtl/>
              </w:rPr>
              <w:t xml:space="preserve">הציבוריים </w:t>
            </w:r>
            <w:r w:rsidRPr="00014C4D">
              <w:rPr>
                <w:rFonts w:ascii="David" w:eastAsia="Times New Roman" w:hAnsi="David"/>
                <w:b/>
                <w:bCs/>
                <w:sz w:val="22"/>
                <w:szCs w:val="22"/>
                <w:rtl/>
              </w:rPr>
              <w:t>ש</w:t>
            </w:r>
            <w:r w:rsidRPr="00014C4D">
              <w:rPr>
                <w:rFonts w:ascii="David" w:eastAsia="Times New Roman" w:hAnsi="David" w:hint="cs"/>
                <w:b/>
                <w:bCs/>
                <w:sz w:val="22"/>
                <w:szCs w:val="22"/>
                <w:rtl/>
              </w:rPr>
              <w:t xml:space="preserve">פקע"ר </w:t>
            </w:r>
            <w:r w:rsidRPr="00014C4D">
              <w:rPr>
                <w:rFonts w:ascii="David" w:eastAsia="Times New Roman" w:hAnsi="David"/>
                <w:b/>
                <w:bCs/>
                <w:sz w:val="22"/>
                <w:szCs w:val="22"/>
                <w:rtl/>
              </w:rPr>
              <w:t>לא</w:t>
            </w:r>
            <w:r w:rsidRPr="00014C4D">
              <w:rPr>
                <w:rFonts w:ascii="David" w:eastAsia="Times New Roman" w:hAnsi="David" w:hint="cs"/>
                <w:b/>
                <w:bCs/>
                <w:sz w:val="22"/>
                <w:szCs w:val="22"/>
                <w:rtl/>
              </w:rPr>
              <w:t xml:space="preserve"> ביצע </w:t>
            </w:r>
            <w:r w:rsidRPr="00014C4D">
              <w:rPr>
                <w:rFonts w:ascii="David" w:eastAsia="Times New Roman" w:hAnsi="David"/>
                <w:b/>
                <w:bCs/>
                <w:sz w:val="22"/>
                <w:szCs w:val="22"/>
                <w:rtl/>
              </w:rPr>
              <w:t>בהם ביקורת</w:t>
            </w:r>
          </w:p>
        </w:tc>
      </w:tr>
      <w:tr w:rsidR="00014C4D" w:rsidRPr="00014C4D" w:rsidTr="00014C4D">
        <w:trPr>
          <w:trHeight w:val="330"/>
          <w:jc w:val="center"/>
        </w:trPr>
        <w:tc>
          <w:tcPr>
            <w:tcW w:w="1049" w:type="dxa"/>
            <w:vMerge/>
            <w:vAlign w:val="center"/>
            <w:hideMark/>
          </w:tcPr>
          <w:p w:rsidR="00014C4D" w:rsidRPr="00014C4D" w:rsidRDefault="00014C4D" w:rsidP="00014C4D">
            <w:pPr>
              <w:keepNext/>
              <w:keepLines/>
              <w:spacing w:line="269" w:lineRule="auto"/>
              <w:jc w:val="left"/>
              <w:rPr>
                <w:rFonts w:ascii="David" w:eastAsia="Times New Roman" w:hAnsi="David"/>
                <w:b/>
                <w:bCs/>
                <w:color w:val="00B050"/>
                <w:sz w:val="22"/>
                <w:szCs w:val="22"/>
              </w:rPr>
            </w:pPr>
          </w:p>
        </w:tc>
        <w:tc>
          <w:tcPr>
            <w:tcW w:w="1146" w:type="dxa"/>
            <w:vMerge/>
            <w:vAlign w:val="center"/>
            <w:hideMark/>
          </w:tcPr>
          <w:p w:rsidR="00014C4D" w:rsidRPr="00014C4D" w:rsidRDefault="00014C4D" w:rsidP="00014C4D">
            <w:pPr>
              <w:keepNext/>
              <w:keepLines/>
              <w:spacing w:line="269" w:lineRule="auto"/>
              <w:jc w:val="left"/>
              <w:rPr>
                <w:rFonts w:ascii="David" w:eastAsia="Times New Roman" w:hAnsi="David"/>
                <w:b/>
                <w:bCs/>
                <w:color w:val="00B050"/>
                <w:sz w:val="22"/>
                <w:szCs w:val="22"/>
              </w:rPr>
            </w:pPr>
          </w:p>
        </w:tc>
        <w:tc>
          <w:tcPr>
            <w:tcW w:w="923" w:type="dxa"/>
            <w:shd w:val="clear" w:color="auto" w:fill="D9D9D9" w:themeFill="background1" w:themeFillShade="D9"/>
            <w:noWrap/>
            <w:vAlign w:val="center"/>
            <w:hideMark/>
          </w:tcPr>
          <w:p w:rsidR="00014C4D" w:rsidRPr="00014C4D" w:rsidRDefault="00014C4D" w:rsidP="00014C4D">
            <w:pPr>
              <w:keepNext/>
              <w:keepLines/>
              <w:bidi w:val="0"/>
              <w:spacing w:line="269" w:lineRule="auto"/>
              <w:jc w:val="center"/>
              <w:rPr>
                <w:rFonts w:ascii="David" w:eastAsia="Times New Roman" w:hAnsi="David"/>
                <w:b/>
                <w:bCs/>
                <w:sz w:val="22"/>
                <w:szCs w:val="22"/>
                <w:rtl/>
              </w:rPr>
            </w:pPr>
            <w:r w:rsidRPr="00014C4D">
              <w:rPr>
                <w:rFonts w:ascii="David" w:eastAsia="Times New Roman" w:hAnsi="David"/>
                <w:b/>
                <w:bCs/>
                <w:sz w:val="22"/>
                <w:szCs w:val="22"/>
              </w:rPr>
              <w:t>2021</w:t>
            </w:r>
          </w:p>
        </w:tc>
        <w:tc>
          <w:tcPr>
            <w:tcW w:w="993" w:type="dxa"/>
            <w:shd w:val="clear" w:color="auto" w:fill="D9D9D9" w:themeFill="background1" w:themeFillShade="D9"/>
            <w:noWrap/>
            <w:vAlign w:val="center"/>
            <w:hideMark/>
          </w:tcPr>
          <w:p w:rsidR="00014C4D" w:rsidRPr="00014C4D" w:rsidRDefault="00014C4D" w:rsidP="00014C4D">
            <w:pPr>
              <w:keepNext/>
              <w:keepLines/>
              <w:bidi w:val="0"/>
              <w:spacing w:line="269" w:lineRule="auto"/>
              <w:jc w:val="center"/>
              <w:rPr>
                <w:rFonts w:ascii="David" w:eastAsia="Times New Roman" w:hAnsi="David"/>
                <w:b/>
                <w:bCs/>
                <w:sz w:val="22"/>
                <w:szCs w:val="22"/>
              </w:rPr>
            </w:pPr>
            <w:r w:rsidRPr="00014C4D">
              <w:rPr>
                <w:rFonts w:ascii="David" w:eastAsia="Times New Roman" w:hAnsi="David"/>
                <w:b/>
                <w:bCs/>
                <w:sz w:val="22"/>
                <w:szCs w:val="22"/>
              </w:rPr>
              <w:t>2022</w:t>
            </w:r>
          </w:p>
        </w:tc>
        <w:tc>
          <w:tcPr>
            <w:tcW w:w="1134" w:type="dxa"/>
            <w:shd w:val="clear" w:color="auto" w:fill="D9D9D9" w:themeFill="background1" w:themeFillShade="D9"/>
            <w:noWrap/>
            <w:vAlign w:val="center"/>
            <w:hideMark/>
          </w:tcPr>
          <w:p w:rsidR="00014C4D" w:rsidRPr="00014C4D" w:rsidRDefault="00014C4D" w:rsidP="00014C4D">
            <w:pPr>
              <w:keepNext/>
              <w:keepLines/>
              <w:bidi w:val="0"/>
              <w:spacing w:line="269" w:lineRule="auto"/>
              <w:jc w:val="center"/>
              <w:rPr>
                <w:rFonts w:ascii="David" w:eastAsia="Times New Roman" w:hAnsi="David"/>
                <w:b/>
                <w:bCs/>
                <w:sz w:val="22"/>
                <w:szCs w:val="22"/>
              </w:rPr>
            </w:pPr>
            <w:r w:rsidRPr="00014C4D">
              <w:rPr>
                <w:rFonts w:ascii="David" w:eastAsia="Times New Roman" w:hAnsi="David"/>
                <w:b/>
                <w:bCs/>
                <w:sz w:val="22"/>
                <w:szCs w:val="22"/>
              </w:rPr>
              <w:t>2023</w:t>
            </w:r>
          </w:p>
        </w:tc>
        <w:tc>
          <w:tcPr>
            <w:tcW w:w="1417" w:type="dxa"/>
            <w:shd w:val="clear" w:color="auto" w:fill="D9D9D9" w:themeFill="background1" w:themeFillShade="D9"/>
            <w:noWrap/>
            <w:vAlign w:val="center"/>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סה"כ</w:t>
            </w:r>
          </w:p>
        </w:tc>
        <w:tc>
          <w:tcPr>
            <w:tcW w:w="1984" w:type="dxa"/>
            <w:vMerge/>
            <w:vAlign w:val="center"/>
            <w:hideMark/>
          </w:tcPr>
          <w:p w:rsidR="00014C4D" w:rsidRPr="00014C4D" w:rsidRDefault="00014C4D" w:rsidP="00014C4D">
            <w:pPr>
              <w:keepNext/>
              <w:keepLines/>
              <w:spacing w:line="269" w:lineRule="auto"/>
              <w:jc w:val="center"/>
              <w:rPr>
                <w:rFonts w:ascii="David" w:eastAsia="Times New Roman" w:hAnsi="David"/>
                <w:b/>
                <w:bCs/>
                <w:color w:val="00B050"/>
                <w:sz w:val="22"/>
                <w:szCs w:val="22"/>
              </w:rPr>
            </w:pPr>
          </w:p>
        </w:tc>
      </w:tr>
      <w:tr w:rsidR="00014C4D" w:rsidRPr="00014C4D" w:rsidTr="00014C4D">
        <w:trPr>
          <w:trHeight w:val="330"/>
          <w:jc w:val="center"/>
        </w:trPr>
        <w:tc>
          <w:tcPr>
            <w:tcW w:w="1049" w:type="dxa"/>
            <w:shd w:val="clear" w:color="auto" w:fill="auto"/>
            <w:noWrap/>
            <w:vAlign w:val="bottom"/>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אשקלון</w:t>
            </w:r>
          </w:p>
        </w:tc>
        <w:tc>
          <w:tcPr>
            <w:tcW w:w="1146"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hint="cs"/>
                <w:b/>
                <w:bCs/>
                <w:sz w:val="22"/>
                <w:szCs w:val="22"/>
                <w:rtl/>
              </w:rPr>
              <w:t>134</w:t>
            </w:r>
          </w:p>
        </w:tc>
        <w:tc>
          <w:tcPr>
            <w:tcW w:w="92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2</w:t>
            </w:r>
          </w:p>
        </w:tc>
        <w:tc>
          <w:tcPr>
            <w:tcW w:w="99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9</w:t>
            </w:r>
          </w:p>
        </w:tc>
        <w:tc>
          <w:tcPr>
            <w:tcW w:w="1134" w:type="dxa"/>
            <w:shd w:val="clear" w:color="auto" w:fill="auto"/>
            <w:noWrap/>
            <w:vAlign w:val="bottom"/>
          </w:tcPr>
          <w:p w:rsidR="00014C4D" w:rsidRPr="00014C4D" w:rsidRDefault="00014C4D" w:rsidP="00014C4D">
            <w:pPr>
              <w:keepNext/>
              <w:keepLines/>
              <w:bidi w:val="0"/>
              <w:spacing w:line="269" w:lineRule="auto"/>
              <w:jc w:val="right"/>
              <w:rPr>
                <w:rFonts w:asciiTheme="minorHAnsi" w:eastAsia="Times New Roman" w:hAnsiTheme="minorHAnsi"/>
                <w:sz w:val="22"/>
                <w:szCs w:val="22"/>
                <w:rtl/>
              </w:rPr>
            </w:pPr>
            <w:r w:rsidRPr="00014C4D">
              <w:rPr>
                <w:rFonts w:asciiTheme="minorHAnsi" w:eastAsia="Times New Roman" w:hAnsiTheme="minorHAnsi" w:hint="cs"/>
                <w:sz w:val="22"/>
                <w:szCs w:val="22"/>
                <w:rtl/>
              </w:rPr>
              <w:t>43</w:t>
            </w:r>
          </w:p>
        </w:tc>
        <w:tc>
          <w:tcPr>
            <w:tcW w:w="1417"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54</w:t>
            </w:r>
          </w:p>
        </w:tc>
        <w:tc>
          <w:tcPr>
            <w:tcW w:w="1984"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80</w:t>
            </w:r>
          </w:p>
        </w:tc>
      </w:tr>
      <w:tr w:rsidR="00014C4D" w:rsidRPr="00014C4D" w:rsidTr="00014C4D">
        <w:trPr>
          <w:trHeight w:val="330"/>
          <w:jc w:val="center"/>
        </w:trPr>
        <w:tc>
          <w:tcPr>
            <w:tcW w:w="1049" w:type="dxa"/>
            <w:shd w:val="clear" w:color="auto" w:fill="auto"/>
            <w:noWrap/>
            <w:vAlign w:val="bottom"/>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גבעתיים</w:t>
            </w:r>
          </w:p>
        </w:tc>
        <w:tc>
          <w:tcPr>
            <w:tcW w:w="1146"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18</w:t>
            </w:r>
          </w:p>
        </w:tc>
        <w:tc>
          <w:tcPr>
            <w:tcW w:w="92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0</w:t>
            </w:r>
          </w:p>
        </w:tc>
        <w:tc>
          <w:tcPr>
            <w:tcW w:w="99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tl/>
              </w:rPr>
            </w:pPr>
            <w:r w:rsidRPr="00014C4D">
              <w:rPr>
                <w:rFonts w:ascii="David" w:eastAsia="Times New Roman" w:hAnsi="David"/>
                <w:sz w:val="22"/>
                <w:szCs w:val="22"/>
              </w:rPr>
              <w:t>18</w:t>
            </w:r>
          </w:p>
        </w:tc>
        <w:tc>
          <w:tcPr>
            <w:tcW w:w="1134"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0</w:t>
            </w:r>
          </w:p>
        </w:tc>
        <w:tc>
          <w:tcPr>
            <w:tcW w:w="1417"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18</w:t>
            </w:r>
          </w:p>
        </w:tc>
        <w:tc>
          <w:tcPr>
            <w:tcW w:w="1984"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0</w:t>
            </w:r>
          </w:p>
        </w:tc>
      </w:tr>
      <w:tr w:rsidR="00014C4D" w:rsidRPr="00014C4D" w:rsidTr="00014C4D">
        <w:trPr>
          <w:trHeight w:val="330"/>
          <w:jc w:val="center"/>
        </w:trPr>
        <w:tc>
          <w:tcPr>
            <w:tcW w:w="1049" w:type="dxa"/>
            <w:shd w:val="clear" w:color="auto" w:fill="auto"/>
            <w:noWrap/>
            <w:vAlign w:val="bottom"/>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sz w:val="22"/>
                <w:szCs w:val="22"/>
                <w:rtl/>
              </w:rPr>
              <w:t>חולון</w:t>
            </w:r>
          </w:p>
        </w:tc>
        <w:tc>
          <w:tcPr>
            <w:tcW w:w="1146"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hint="cs"/>
                <w:b/>
                <w:bCs/>
                <w:sz w:val="22"/>
                <w:szCs w:val="22"/>
                <w:rtl/>
              </w:rPr>
              <w:t>65</w:t>
            </w:r>
          </w:p>
        </w:tc>
        <w:tc>
          <w:tcPr>
            <w:tcW w:w="92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12</w:t>
            </w:r>
          </w:p>
        </w:tc>
        <w:tc>
          <w:tcPr>
            <w:tcW w:w="99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0</w:t>
            </w:r>
          </w:p>
        </w:tc>
        <w:tc>
          <w:tcPr>
            <w:tcW w:w="1134"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34</w:t>
            </w:r>
          </w:p>
        </w:tc>
        <w:tc>
          <w:tcPr>
            <w:tcW w:w="1417"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*36</w:t>
            </w:r>
          </w:p>
        </w:tc>
        <w:tc>
          <w:tcPr>
            <w:tcW w:w="1984"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29</w:t>
            </w:r>
          </w:p>
        </w:tc>
      </w:tr>
      <w:tr w:rsidR="00014C4D" w:rsidRPr="00014C4D" w:rsidTr="00014C4D">
        <w:trPr>
          <w:trHeight w:val="330"/>
          <w:jc w:val="center"/>
        </w:trPr>
        <w:tc>
          <w:tcPr>
            <w:tcW w:w="1049" w:type="dxa"/>
            <w:shd w:val="clear" w:color="auto" w:fill="auto"/>
            <w:noWrap/>
            <w:vAlign w:val="bottom"/>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הגלבוע</w:t>
            </w:r>
          </w:p>
        </w:tc>
        <w:tc>
          <w:tcPr>
            <w:tcW w:w="1146"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170</w:t>
            </w:r>
          </w:p>
        </w:tc>
        <w:tc>
          <w:tcPr>
            <w:tcW w:w="92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157</w:t>
            </w:r>
          </w:p>
        </w:tc>
        <w:tc>
          <w:tcPr>
            <w:tcW w:w="993"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0</w:t>
            </w:r>
          </w:p>
        </w:tc>
        <w:tc>
          <w:tcPr>
            <w:tcW w:w="1134" w:type="dxa"/>
            <w:shd w:val="clear" w:color="auto" w:fill="auto"/>
            <w:noWrap/>
            <w:vAlign w:val="bottom"/>
          </w:tcPr>
          <w:p w:rsidR="00014C4D" w:rsidRPr="00014C4D" w:rsidRDefault="00014C4D" w:rsidP="00014C4D">
            <w:pPr>
              <w:keepNext/>
              <w:keepLines/>
              <w:bidi w:val="0"/>
              <w:spacing w:line="269" w:lineRule="auto"/>
              <w:jc w:val="right"/>
              <w:rPr>
                <w:rFonts w:asciiTheme="minorHAnsi" w:eastAsia="Times New Roman" w:hAnsiTheme="minorHAnsi"/>
                <w:sz w:val="22"/>
                <w:szCs w:val="22"/>
              </w:rPr>
            </w:pPr>
            <w:r w:rsidRPr="00014C4D">
              <w:rPr>
                <w:rFonts w:asciiTheme="minorHAnsi" w:eastAsia="Times New Roman" w:hAnsiTheme="minorHAnsi" w:hint="cs"/>
                <w:sz w:val="22"/>
                <w:szCs w:val="22"/>
                <w:rtl/>
              </w:rPr>
              <w:t>0</w:t>
            </w:r>
          </w:p>
        </w:tc>
        <w:tc>
          <w:tcPr>
            <w:tcW w:w="1417"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157</w:t>
            </w:r>
          </w:p>
        </w:tc>
        <w:tc>
          <w:tcPr>
            <w:tcW w:w="1984" w:type="dxa"/>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13</w:t>
            </w:r>
          </w:p>
        </w:tc>
      </w:tr>
    </w:tbl>
    <w:p w:rsidR="00014C4D" w:rsidRPr="00014C4D" w:rsidRDefault="00014C4D" w:rsidP="00014C4D">
      <w:pPr>
        <w:spacing w:line="269" w:lineRule="auto"/>
        <w:rPr>
          <w:sz w:val="16"/>
          <w:szCs w:val="20"/>
          <w:rtl/>
        </w:rPr>
      </w:pPr>
      <w:r w:rsidRPr="00014C4D">
        <w:rPr>
          <w:rFonts w:hint="cs"/>
          <w:sz w:val="16"/>
          <w:szCs w:val="20"/>
          <w:rtl/>
        </w:rPr>
        <w:t>על פי דוחות פקע"ר, בעיבוד משרד מבקר המדינה.</w:t>
      </w:r>
    </w:p>
    <w:p w:rsidR="00014C4D" w:rsidRPr="00014C4D" w:rsidRDefault="00014C4D" w:rsidP="00014C4D">
      <w:pPr>
        <w:spacing w:line="269" w:lineRule="auto"/>
        <w:rPr>
          <w:sz w:val="16"/>
          <w:szCs w:val="20"/>
          <w:rtl/>
        </w:rPr>
      </w:pPr>
      <w:r w:rsidRPr="00014C4D">
        <w:rPr>
          <w:rFonts w:hint="cs"/>
          <w:sz w:val="16"/>
          <w:szCs w:val="20"/>
          <w:rtl/>
        </w:rPr>
        <w:t xml:space="preserve"> (*)ב-10 מ-36 המקלטים נעשו שתי ביקורות: 17, 21, 30, 31, 37, 38, 42, 62, 63, 65. מספר הביקורות הכולל היה אפוא 46.</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מהלוח עולה כי ב</w:t>
      </w:r>
      <w:r w:rsidRPr="00014C4D">
        <w:rPr>
          <w:rFonts w:hint="eastAsia"/>
          <w:b/>
          <w:bCs/>
          <w:rtl/>
        </w:rPr>
        <w:t>אשקלון</w:t>
      </w:r>
      <w:r w:rsidRPr="00014C4D">
        <w:rPr>
          <w:rFonts w:hint="cs"/>
          <w:rtl/>
        </w:rPr>
        <w:t xml:space="preserve"> ערך פקע"ר בשנים 2021 ו-2022 ביקורות רק ב-2 ו-9 מקלטים בהתאמה מתוך 134 מקלטים; הוא לא ערך כלל ביקורות ב</w:t>
      </w:r>
      <w:r w:rsidRPr="00014C4D">
        <w:rPr>
          <w:rFonts w:hint="eastAsia"/>
          <w:b/>
          <w:bCs/>
          <w:rtl/>
        </w:rPr>
        <w:t>גבעתיים</w:t>
      </w:r>
      <w:r w:rsidRPr="00014C4D">
        <w:rPr>
          <w:rFonts w:hint="cs"/>
          <w:rtl/>
        </w:rPr>
        <w:t xml:space="preserve"> בשנים 2021 ו-2023, ב</w:t>
      </w:r>
      <w:r w:rsidRPr="00014C4D">
        <w:rPr>
          <w:rFonts w:hint="eastAsia"/>
          <w:b/>
          <w:bCs/>
          <w:rtl/>
        </w:rPr>
        <w:t>גלבוע</w:t>
      </w:r>
      <w:r w:rsidRPr="00014C4D">
        <w:rPr>
          <w:b/>
          <w:bCs/>
          <w:rtl/>
        </w:rPr>
        <w:t xml:space="preserve"> </w:t>
      </w:r>
      <w:r w:rsidRPr="00014C4D">
        <w:rPr>
          <w:rFonts w:hint="cs"/>
          <w:rtl/>
        </w:rPr>
        <w:t>בשנים 2022 ו-2023, וב</w:t>
      </w:r>
      <w:r w:rsidRPr="00014C4D">
        <w:rPr>
          <w:rFonts w:hint="eastAsia"/>
          <w:b/>
          <w:bCs/>
          <w:rtl/>
        </w:rPr>
        <w:t>חולון</w:t>
      </w:r>
      <w:r w:rsidRPr="00014C4D">
        <w:rPr>
          <w:rFonts w:hint="cs"/>
          <w:rtl/>
        </w:rPr>
        <w:t xml:space="preserve"> בשנת 2022. </w:t>
      </w:r>
    </w:p>
    <w:p w:rsidR="00014C4D" w:rsidRPr="00014C4D" w:rsidRDefault="00014C4D" w:rsidP="00014C4D">
      <w:pPr>
        <w:spacing w:line="269" w:lineRule="auto"/>
        <w:ind w:left="-567"/>
        <w:rPr>
          <w:color w:val="00B050"/>
          <w:szCs w:val="20"/>
          <w:rtl/>
        </w:rPr>
      </w:pPr>
    </w:p>
    <w:p w:rsidR="00014C4D" w:rsidRPr="00014C4D" w:rsidRDefault="00014C4D" w:rsidP="00014C4D">
      <w:pPr>
        <w:spacing w:line="269" w:lineRule="auto"/>
        <w:rPr>
          <w:b/>
          <w:bCs/>
          <w:rtl/>
        </w:rPr>
      </w:pPr>
      <w:r w:rsidRPr="00014C4D">
        <w:rPr>
          <w:rFonts w:hint="cs"/>
          <w:b/>
          <w:bCs/>
          <w:rtl/>
        </w:rPr>
        <w:t xml:space="preserve">עוד עולה מהלוח כי בשנת 2023 קיים פקע"ר ביקורות חוזרות בחולון בעשרה מקלטים. נמצא כי בשמונה מהם נערכה ביקורת חוזרת אף על פי שכבר בביקורת הראשונה בשנת 2021 הם קיבלו ציונים של 95% ומעלה, ואילו ב-29 מקלטים, 45% מכלל המקלטים בחולון, לא ביצע פקע"ר ביקורות בשנים 2022 ו-2023. נמצא עוד כי פקע"ר לא בדק באשקלון 80 מתוך 134 המקלטים (60%) בשנים 2021 - 2023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eastAsia="Times New Roman" w:hAnsi="David"/>
          <w:b/>
          <w:bCs/>
          <w:sz w:val="24"/>
          <w:rtl/>
        </w:rPr>
      </w:pPr>
      <w:r w:rsidRPr="00014C4D">
        <w:rPr>
          <w:rFonts w:hint="cs"/>
          <w:rtl/>
        </w:rPr>
        <w:t>פקע"ר גיבש טופס המפרט את מתכונת הבדיקה של המקלטים הציבוריים ובו נכללו 30 נושאים לבדיקה, ואלה עיקרם: שלמות קירות המקלטים, הרצפה והתקרה, הנגשה, סימון ושילוט, תקינות דלתות ההדף וחלונות ההדף, תקינות השירותים והחשמל. בהתאם לציון שניתן לכל מרכיב נקבע הציון המשוקלל של כל מקלט, שעל פיו נקבעת רמת הכשירות של המקלט.</w:t>
      </w:r>
      <w:r w:rsidRPr="00014C4D">
        <w:rPr>
          <w:rFonts w:ascii="David" w:eastAsia="Times New Roman" w:hAnsi="David" w:hint="cs"/>
          <w:b/>
          <w:b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eastAsia"/>
          <w:rtl/>
        </w:rPr>
        <w:lastRenderedPageBreak/>
        <w:t>תרשים</w:t>
      </w:r>
      <w:r w:rsidRPr="00014C4D">
        <w:rPr>
          <w:rtl/>
        </w:rPr>
        <w:t xml:space="preserve"> </w:t>
      </w:r>
      <w:r w:rsidRPr="00014C4D">
        <w:rPr>
          <w:rFonts w:hint="cs"/>
          <w:rtl/>
        </w:rPr>
        <w:t>5</w:t>
      </w:r>
      <w:r w:rsidRPr="00014C4D">
        <w:rPr>
          <w:rtl/>
        </w:rPr>
        <w:t>:</w:t>
      </w:r>
      <w:r w:rsidRPr="00014C4D">
        <w:rPr>
          <w:rFonts w:hint="cs"/>
          <w:rtl/>
        </w:rPr>
        <w:t xml:space="preserve"> </w:t>
      </w:r>
      <w:r w:rsidRPr="00014C4D">
        <w:rPr>
          <w:rFonts w:hint="cs"/>
          <w:b/>
          <w:bCs/>
          <w:rtl/>
        </w:rPr>
        <w:t xml:space="preserve">התפלגות המקלטים הציבוריים שבדק פקע"ר ברשויות שנבדקו לפי רמת הכשירות, </w:t>
      </w:r>
      <w:r w:rsidRPr="00014C4D">
        <w:rPr>
          <w:b/>
          <w:bCs/>
          <w:rtl/>
        </w:rPr>
        <w:br/>
      </w:r>
      <w:r w:rsidRPr="00014C4D">
        <w:rPr>
          <w:rFonts w:hint="cs"/>
          <w:b/>
          <w:bCs/>
          <w:rtl/>
        </w:rPr>
        <w:t>2021 - 2023</w:t>
      </w:r>
    </w:p>
    <w:p w:rsidR="00014C4D" w:rsidRPr="00014C4D" w:rsidRDefault="00014C4D" w:rsidP="00014C4D">
      <w:pPr>
        <w:spacing w:line="269" w:lineRule="auto"/>
        <w:rPr>
          <w:rFonts w:ascii="David" w:eastAsia="Times New Roman" w:hAnsi="David"/>
          <w:szCs w:val="20"/>
          <w:rtl/>
        </w:rPr>
      </w:pPr>
      <w:r w:rsidRPr="00014C4D">
        <w:rPr>
          <w:noProof/>
        </w:rPr>
        <w:drawing>
          <wp:inline distT="0" distB="0" distL="0" distR="0" wp14:anchorId="68052A7D" wp14:editId="293BF0F4">
            <wp:extent cx="5106573" cy="3114675"/>
            <wp:effectExtent l="0" t="0" r="0" b="0"/>
            <wp:docPr id="1834351662" name="תמונה 1834351662"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2174" b="4974"/>
                    <a:stretch/>
                  </pic:blipFill>
                  <pic:spPr bwMode="auto">
                    <a:xfrm>
                      <a:off x="0" y="0"/>
                      <a:ext cx="5106824" cy="3114828"/>
                    </a:xfrm>
                    <a:prstGeom prst="rect">
                      <a:avLst/>
                    </a:prstGeom>
                    <a:ln>
                      <a:noFill/>
                    </a:ln>
                    <a:extLst>
                      <a:ext uri="{53640926-AAD7-44D8-BBD7-CCE9431645EC}">
                        <a14:shadowObscured xmlns:a14="http://schemas.microsoft.com/office/drawing/2010/main"/>
                      </a:ext>
                    </a:extLst>
                  </pic:spPr>
                </pic:pic>
              </a:graphicData>
            </a:graphic>
          </wp:inline>
        </w:drawing>
      </w:r>
    </w:p>
    <w:p w:rsidR="00014C4D" w:rsidRPr="00014C4D" w:rsidRDefault="00014C4D" w:rsidP="00014C4D">
      <w:pPr>
        <w:spacing w:line="269" w:lineRule="auto"/>
        <w:rPr>
          <w:rFonts w:ascii="David" w:eastAsia="Times New Roman" w:hAnsi="David"/>
          <w:szCs w:val="20"/>
          <w:rtl/>
        </w:rPr>
      </w:pPr>
      <w:r w:rsidRPr="00014C4D">
        <w:rPr>
          <w:rFonts w:ascii="David" w:eastAsia="Times New Roman" w:hAnsi="David" w:hint="cs"/>
          <w:szCs w:val="20"/>
          <w:rtl/>
        </w:rPr>
        <w:t>על פי דוחות הביקורת של פקע</w:t>
      </w:r>
      <w:r w:rsidRPr="00014C4D">
        <w:rPr>
          <w:rFonts w:ascii="David" w:eastAsia="Times New Roman" w:hAnsi="David"/>
          <w:szCs w:val="20"/>
          <w:rtl/>
        </w:rPr>
        <w:t>"</w:t>
      </w:r>
      <w:r w:rsidRPr="00014C4D">
        <w:rPr>
          <w:rFonts w:ascii="David" w:eastAsia="Times New Roman" w:hAnsi="David" w:hint="cs"/>
          <w:szCs w:val="20"/>
          <w:rtl/>
        </w:rPr>
        <w:t>ר, בעיבוד משרד מבקר המדינה.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מהלוח</w:t>
      </w:r>
      <w:r w:rsidRPr="00014C4D">
        <w:rPr>
          <w:b/>
          <w:bCs/>
          <w:rtl/>
        </w:rPr>
        <w:t xml:space="preserve"> עולה כי לפי ממצאי פקע"ר, 71 מתוך 157 המקלטים שבדק במועצה האזורית </w:t>
      </w:r>
      <w:r w:rsidRPr="00014C4D">
        <w:rPr>
          <w:rFonts w:hint="cs"/>
          <w:b/>
          <w:bCs/>
          <w:rtl/>
        </w:rPr>
        <w:t>הגלבוע</w:t>
      </w:r>
      <w:r w:rsidRPr="00014C4D">
        <w:rPr>
          <w:b/>
          <w:bCs/>
          <w:rtl/>
        </w:rPr>
        <w:t xml:space="preserve"> אינם כשירים או שרמת כשירותם </w:t>
      </w:r>
      <w:r w:rsidRPr="00014C4D">
        <w:rPr>
          <w:rFonts w:hint="eastAsia"/>
          <w:b/>
          <w:bCs/>
          <w:rtl/>
        </w:rPr>
        <w:t>נמוכה</w:t>
      </w:r>
      <w:r w:rsidRPr="00014C4D">
        <w:rPr>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נמצא</w:t>
      </w:r>
      <w:r w:rsidRPr="00014C4D">
        <w:rPr>
          <w:b/>
          <w:bCs/>
          <w:rtl/>
        </w:rPr>
        <w:t xml:space="preserve"> </w:t>
      </w:r>
      <w:r w:rsidRPr="00014C4D">
        <w:rPr>
          <w:rFonts w:hint="eastAsia"/>
          <w:b/>
          <w:bCs/>
          <w:rtl/>
        </w:rPr>
        <w:t>כי</w:t>
      </w:r>
      <w:r w:rsidRPr="00014C4D">
        <w:rPr>
          <w:b/>
          <w:bCs/>
          <w:rtl/>
        </w:rPr>
        <w:t xml:space="preserve"> </w:t>
      </w:r>
      <w:r w:rsidRPr="00014C4D">
        <w:rPr>
          <w:rFonts w:hint="eastAsia"/>
          <w:b/>
          <w:bCs/>
          <w:rtl/>
        </w:rPr>
        <w:t>במתכונת</w:t>
      </w:r>
      <w:r w:rsidRPr="00014C4D">
        <w:rPr>
          <w:b/>
          <w:bCs/>
          <w:rtl/>
        </w:rPr>
        <w:t xml:space="preserve"> </w:t>
      </w:r>
      <w:r w:rsidRPr="00014C4D">
        <w:rPr>
          <w:rFonts w:hint="eastAsia"/>
          <w:b/>
          <w:bCs/>
          <w:rtl/>
        </w:rPr>
        <w:t>הבדיקה</w:t>
      </w:r>
      <w:r w:rsidRPr="00014C4D">
        <w:rPr>
          <w:b/>
          <w:bCs/>
          <w:rtl/>
        </w:rPr>
        <w:t xml:space="preserve"> </w:t>
      </w:r>
      <w:r w:rsidRPr="00014C4D">
        <w:rPr>
          <w:rFonts w:hint="eastAsia"/>
          <w:b/>
          <w:bCs/>
          <w:rtl/>
        </w:rPr>
        <w:t>של</w:t>
      </w:r>
      <w:r w:rsidRPr="00014C4D">
        <w:rPr>
          <w:b/>
          <w:bCs/>
          <w:rtl/>
        </w:rPr>
        <w:t xml:space="preserve"> </w:t>
      </w:r>
      <w:r w:rsidRPr="00014C4D">
        <w:rPr>
          <w:rFonts w:hint="eastAsia"/>
          <w:b/>
          <w:bCs/>
          <w:rtl/>
        </w:rPr>
        <w:t>פקע</w:t>
      </w:r>
      <w:r w:rsidRPr="00014C4D">
        <w:rPr>
          <w:b/>
          <w:bCs/>
          <w:rtl/>
        </w:rPr>
        <w:t xml:space="preserve">"ר </w:t>
      </w:r>
      <w:r w:rsidRPr="00014C4D">
        <w:rPr>
          <w:rFonts w:hint="eastAsia"/>
          <w:b/>
          <w:bCs/>
          <w:rtl/>
        </w:rPr>
        <w:t>באשקלון</w:t>
      </w:r>
      <w:r w:rsidRPr="00014C4D">
        <w:rPr>
          <w:b/>
          <w:bCs/>
          <w:rtl/>
        </w:rPr>
        <w:t xml:space="preserve">, </w:t>
      </w:r>
      <w:r w:rsidRPr="00014C4D">
        <w:rPr>
          <w:rFonts w:hint="eastAsia"/>
          <w:b/>
          <w:bCs/>
          <w:rtl/>
        </w:rPr>
        <w:t>גבעתיים</w:t>
      </w:r>
      <w:r w:rsidRPr="00014C4D">
        <w:rPr>
          <w:b/>
          <w:bCs/>
          <w:rtl/>
        </w:rPr>
        <w:t xml:space="preserve">, </w:t>
      </w:r>
      <w:r w:rsidRPr="00014C4D">
        <w:rPr>
          <w:rFonts w:hint="eastAsia"/>
          <w:b/>
          <w:bCs/>
          <w:rtl/>
        </w:rPr>
        <w:t>חולון</w:t>
      </w:r>
      <w:r w:rsidRPr="00014C4D">
        <w:rPr>
          <w:b/>
          <w:bCs/>
          <w:rtl/>
        </w:rPr>
        <w:t xml:space="preserve"> </w:t>
      </w:r>
      <w:r w:rsidRPr="00014C4D">
        <w:rPr>
          <w:rFonts w:hint="eastAsia"/>
          <w:b/>
          <w:bCs/>
          <w:rtl/>
        </w:rPr>
        <w:t>והגלבוע</w:t>
      </w:r>
      <w:r w:rsidRPr="00014C4D">
        <w:rPr>
          <w:b/>
          <w:bCs/>
          <w:rtl/>
        </w:rPr>
        <w:t xml:space="preserve"> לא נכלל </w:t>
      </w:r>
      <w:r w:rsidRPr="00014C4D">
        <w:rPr>
          <w:rFonts w:hint="eastAsia"/>
          <w:b/>
          <w:bCs/>
          <w:rtl/>
        </w:rPr>
        <w:t>המרכיב</w:t>
      </w:r>
      <w:r w:rsidRPr="00014C4D">
        <w:rPr>
          <w:b/>
          <w:bCs/>
          <w:rtl/>
        </w:rPr>
        <w:t xml:space="preserve"> של </w:t>
      </w:r>
      <w:r w:rsidRPr="00014C4D">
        <w:rPr>
          <w:rFonts w:hint="eastAsia"/>
          <w:b/>
          <w:bCs/>
          <w:rtl/>
        </w:rPr>
        <w:t>הנגשת</w:t>
      </w:r>
      <w:r w:rsidRPr="00014C4D">
        <w:rPr>
          <w:b/>
          <w:bCs/>
          <w:rtl/>
        </w:rPr>
        <w:t xml:space="preserve"> המקלטים הציבוריים לאנשים עם מוגבלות ו</w:t>
      </w:r>
      <w:r w:rsidRPr="00014C4D">
        <w:rPr>
          <w:rFonts w:hint="eastAsia"/>
          <w:b/>
          <w:bCs/>
          <w:rtl/>
        </w:rPr>
        <w:t>הוא</w:t>
      </w:r>
      <w:r w:rsidRPr="00014C4D">
        <w:rPr>
          <w:b/>
          <w:bCs/>
          <w:rtl/>
        </w:rPr>
        <w:t xml:space="preserve"> לא בדק </w:t>
      </w:r>
      <w:r w:rsidRPr="00014C4D">
        <w:rPr>
          <w:rFonts w:hint="eastAsia"/>
          <w:b/>
          <w:bCs/>
          <w:rtl/>
        </w:rPr>
        <w:t>נושא</w:t>
      </w:r>
      <w:r w:rsidRPr="00014C4D">
        <w:rPr>
          <w:b/>
          <w:bCs/>
          <w:rtl/>
        </w:rPr>
        <w:t xml:space="preserve"> </w:t>
      </w:r>
      <w:r w:rsidRPr="00014C4D">
        <w:rPr>
          <w:rFonts w:hint="eastAsia"/>
          <w:b/>
          <w:bCs/>
          <w:rtl/>
        </w:rPr>
        <w:t>זה</w:t>
      </w:r>
      <w:r w:rsidRPr="00014C4D">
        <w:rPr>
          <w:b/>
          <w:bCs/>
          <w:rtl/>
        </w:rPr>
        <w:t>.</w:t>
      </w:r>
    </w:p>
    <w:p w:rsidR="00014C4D" w:rsidRPr="00014C4D" w:rsidRDefault="00014C4D" w:rsidP="00014C4D">
      <w:pPr>
        <w:spacing w:line="269" w:lineRule="auto"/>
        <w:ind w:left="-567"/>
        <w:rPr>
          <w:rFonts w:ascii="David" w:eastAsia="Times New Roman" w:hAnsi="David"/>
          <w:sz w:val="24"/>
          <w:szCs w:val="20"/>
          <w:rtl/>
        </w:rPr>
      </w:pPr>
    </w:p>
    <w:p w:rsidR="00014C4D" w:rsidRPr="00014C4D" w:rsidRDefault="00014C4D" w:rsidP="00014C4D">
      <w:pPr>
        <w:spacing w:line="269" w:lineRule="auto"/>
        <w:rPr>
          <w:rtl/>
        </w:rPr>
      </w:pPr>
      <w:r w:rsidRPr="00014C4D">
        <w:rPr>
          <w:rFonts w:ascii="David" w:hAnsi="David" w:hint="cs"/>
          <w:rtl/>
        </w:rPr>
        <w:t xml:space="preserve">פקע"ר מסר למשרד מבקר המדינה כי </w:t>
      </w:r>
      <w:r w:rsidRPr="00014C4D">
        <w:rPr>
          <w:rFonts w:ascii="David" w:hAnsi="David"/>
          <w:rtl/>
        </w:rPr>
        <w:t xml:space="preserve">ככלל האחריות על כשירות המקלטים הציבוריים היא של הרשות המקומית מתוקף חוק הג"א ותקנותיו. עם זאת, כחלק מאחריות הכוללת של פקע״ר, </w:t>
      </w:r>
      <w:r w:rsidRPr="00014C4D">
        <w:rPr>
          <w:rFonts w:ascii="David" w:hAnsi="David" w:hint="cs"/>
          <w:rtl/>
        </w:rPr>
        <w:t>הוא מבצע</w:t>
      </w:r>
      <w:r w:rsidRPr="00014C4D">
        <w:rPr>
          <w:rFonts w:ascii="David" w:hAnsi="David"/>
          <w:rtl/>
        </w:rPr>
        <w:t xml:space="preserve"> ביקורות עיתיות לבחינת האחזקה של המקלטים. הביקורות מבוצעות בהתאם לנהלים מקצועיים והנחיות באופן שוטף ועיתי.</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מבקר</w:t>
      </w:r>
      <w:r w:rsidRPr="00014C4D">
        <w:rPr>
          <w:b/>
          <w:bCs/>
          <w:rtl/>
        </w:rPr>
        <w:t xml:space="preserve"> המדינה מעיר </w:t>
      </w:r>
      <w:r w:rsidRPr="00014C4D">
        <w:rPr>
          <w:rFonts w:hint="eastAsia"/>
          <w:b/>
          <w:bCs/>
          <w:rtl/>
        </w:rPr>
        <w:t>לפקע</w:t>
      </w:r>
      <w:r w:rsidRPr="00014C4D">
        <w:rPr>
          <w:b/>
          <w:bCs/>
          <w:rtl/>
        </w:rPr>
        <w:t xml:space="preserve">"ר </w:t>
      </w:r>
      <w:r w:rsidRPr="00014C4D">
        <w:rPr>
          <w:rFonts w:hint="eastAsia"/>
          <w:b/>
          <w:bCs/>
          <w:rtl/>
        </w:rPr>
        <w:t>על</w:t>
      </w:r>
      <w:r w:rsidRPr="00014C4D">
        <w:rPr>
          <w:b/>
          <w:bCs/>
          <w:rtl/>
        </w:rPr>
        <w:t xml:space="preserve"> </w:t>
      </w:r>
      <w:r w:rsidRPr="00014C4D">
        <w:rPr>
          <w:rFonts w:hint="eastAsia"/>
          <w:b/>
          <w:bCs/>
          <w:rtl/>
        </w:rPr>
        <w:t>כי</w:t>
      </w:r>
      <w:r w:rsidRPr="00014C4D">
        <w:rPr>
          <w:b/>
          <w:bCs/>
          <w:rtl/>
        </w:rPr>
        <w:t xml:space="preserve"> </w:t>
      </w:r>
      <w:r w:rsidRPr="00014C4D">
        <w:rPr>
          <w:rFonts w:hint="eastAsia"/>
          <w:b/>
          <w:bCs/>
          <w:rtl/>
        </w:rPr>
        <w:t>כחלק</w:t>
      </w:r>
      <w:r w:rsidRPr="00014C4D">
        <w:rPr>
          <w:b/>
          <w:bCs/>
          <w:rtl/>
        </w:rPr>
        <w:t xml:space="preserve"> </w:t>
      </w:r>
      <w:r w:rsidRPr="00014C4D">
        <w:rPr>
          <w:rFonts w:hint="eastAsia"/>
          <w:b/>
          <w:bCs/>
          <w:rtl/>
        </w:rPr>
        <w:t>מאחריותו</w:t>
      </w:r>
      <w:r w:rsidRPr="00014C4D">
        <w:rPr>
          <w:b/>
          <w:bCs/>
          <w:rtl/>
        </w:rPr>
        <w:t xml:space="preserve"> </w:t>
      </w:r>
      <w:r w:rsidRPr="00014C4D">
        <w:rPr>
          <w:rFonts w:hint="eastAsia"/>
          <w:b/>
          <w:bCs/>
          <w:rtl/>
        </w:rPr>
        <w:t>הכוללת</w:t>
      </w:r>
      <w:r w:rsidRPr="00014C4D">
        <w:rPr>
          <w:b/>
          <w:bCs/>
          <w:rtl/>
        </w:rPr>
        <w:t xml:space="preserve"> </w:t>
      </w:r>
      <w:r w:rsidRPr="00014C4D">
        <w:rPr>
          <w:rFonts w:hint="eastAsia"/>
          <w:b/>
          <w:bCs/>
          <w:rtl/>
        </w:rPr>
        <w:t>עליו</w:t>
      </w:r>
      <w:r w:rsidRPr="00014C4D">
        <w:rPr>
          <w:b/>
          <w:bCs/>
          <w:rtl/>
        </w:rPr>
        <w:t xml:space="preserve"> </w:t>
      </w:r>
      <w:r w:rsidRPr="00014C4D">
        <w:rPr>
          <w:rFonts w:hint="eastAsia"/>
          <w:b/>
          <w:bCs/>
          <w:rtl/>
        </w:rPr>
        <w:t>לפקח</w:t>
      </w:r>
      <w:r w:rsidRPr="00014C4D">
        <w:rPr>
          <w:b/>
          <w:bCs/>
          <w:rtl/>
        </w:rPr>
        <w:t xml:space="preserve"> </w:t>
      </w:r>
      <w:r w:rsidRPr="00014C4D">
        <w:rPr>
          <w:rFonts w:hint="eastAsia"/>
          <w:b/>
          <w:bCs/>
          <w:rtl/>
        </w:rPr>
        <w:t>ולוודא</w:t>
      </w:r>
      <w:r w:rsidRPr="00014C4D">
        <w:rPr>
          <w:b/>
          <w:bCs/>
          <w:rtl/>
        </w:rPr>
        <w:t xml:space="preserve"> </w:t>
      </w:r>
      <w:r w:rsidRPr="00014C4D">
        <w:rPr>
          <w:rFonts w:hint="eastAsia"/>
          <w:b/>
          <w:bCs/>
          <w:rtl/>
        </w:rPr>
        <w:t>אכיפה</w:t>
      </w:r>
      <w:r w:rsidRPr="00014C4D">
        <w:rPr>
          <w:b/>
          <w:bCs/>
          <w:rtl/>
        </w:rPr>
        <w:t xml:space="preserve"> </w:t>
      </w:r>
      <w:r w:rsidRPr="00014C4D">
        <w:rPr>
          <w:rFonts w:hint="eastAsia"/>
          <w:b/>
          <w:bCs/>
          <w:rtl/>
        </w:rPr>
        <w:t>ע</w:t>
      </w:r>
      <w:r w:rsidRPr="00014C4D">
        <w:rPr>
          <w:b/>
          <w:bCs/>
          <w:rtl/>
        </w:rPr>
        <w:t xml:space="preserve">"י </w:t>
      </w:r>
      <w:r w:rsidRPr="00014C4D">
        <w:rPr>
          <w:rFonts w:hint="eastAsia"/>
          <w:b/>
          <w:bCs/>
          <w:rtl/>
        </w:rPr>
        <w:t>הרשויות</w:t>
      </w:r>
      <w:r w:rsidRPr="00014C4D">
        <w:rPr>
          <w:b/>
          <w:bCs/>
          <w:rtl/>
        </w:rPr>
        <w:t xml:space="preserve"> </w:t>
      </w:r>
      <w:r w:rsidRPr="00014C4D">
        <w:rPr>
          <w:rFonts w:hint="eastAsia"/>
          <w:b/>
          <w:bCs/>
          <w:rtl/>
        </w:rPr>
        <w:t>המקומיות</w:t>
      </w:r>
      <w:r w:rsidRPr="00014C4D">
        <w:rPr>
          <w:b/>
          <w:bCs/>
          <w:rtl/>
        </w:rPr>
        <w:t xml:space="preserve"> לשם הבאה לכשירות של כלל המקלטים הציבוריים בתחומי הרשויות.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בתשובתו מסר </w:t>
      </w:r>
      <w:r w:rsidRPr="00014C4D">
        <w:rPr>
          <w:rtl/>
        </w:rPr>
        <w:t xml:space="preserve">פקע״ר כי הוא מבצע פיקוח ובקרה סדירים על </w:t>
      </w:r>
      <w:r w:rsidRPr="00014C4D">
        <w:rPr>
          <w:rFonts w:hint="cs"/>
          <w:rtl/>
        </w:rPr>
        <w:t>ת</w:t>
      </w:r>
      <w:r w:rsidRPr="00014C4D">
        <w:rPr>
          <w:rtl/>
        </w:rPr>
        <w:t>חז</w:t>
      </w:r>
      <w:r w:rsidRPr="00014C4D">
        <w:rPr>
          <w:rFonts w:hint="cs"/>
          <w:rtl/>
        </w:rPr>
        <w:t>ו</w:t>
      </w:r>
      <w:r w:rsidRPr="00014C4D">
        <w:rPr>
          <w:rtl/>
        </w:rPr>
        <w:t xml:space="preserve">קת המקלטים הציבוריים ברשויות המקומיות.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lastRenderedPageBreak/>
        <w:t xml:space="preserve">נוכח </w:t>
      </w:r>
      <w:r w:rsidRPr="00014C4D">
        <w:rPr>
          <w:b/>
          <w:bCs/>
          <w:rtl/>
        </w:rPr>
        <w:t>ממצאי</w:t>
      </w:r>
      <w:r w:rsidRPr="00014C4D">
        <w:rPr>
          <w:rFonts w:hint="cs"/>
          <w:b/>
          <w:bCs/>
          <w:rtl/>
        </w:rPr>
        <w:t xml:space="preserve"> </w:t>
      </w:r>
      <w:r w:rsidRPr="00014C4D">
        <w:rPr>
          <w:b/>
          <w:bCs/>
          <w:rtl/>
        </w:rPr>
        <w:t>ביקור</w:t>
      </w:r>
      <w:r w:rsidRPr="00014C4D">
        <w:rPr>
          <w:rFonts w:hint="cs"/>
          <w:b/>
          <w:bCs/>
          <w:rtl/>
        </w:rPr>
        <w:t>ו</w:t>
      </w:r>
      <w:r w:rsidRPr="00014C4D">
        <w:rPr>
          <w:b/>
          <w:bCs/>
          <w:rtl/>
        </w:rPr>
        <w:t xml:space="preserve">ת המקלטים הציבוריים </w:t>
      </w:r>
      <w:r w:rsidRPr="00014C4D">
        <w:rPr>
          <w:rFonts w:hint="cs"/>
          <w:b/>
          <w:bCs/>
          <w:rtl/>
        </w:rPr>
        <w:t xml:space="preserve">שעשה פקע"ר </w:t>
      </w:r>
      <w:r w:rsidRPr="00014C4D">
        <w:rPr>
          <w:b/>
          <w:bCs/>
          <w:rtl/>
        </w:rPr>
        <w:t>ב</w:t>
      </w:r>
      <w:r w:rsidRPr="00014C4D">
        <w:rPr>
          <w:rFonts w:hint="cs"/>
          <w:b/>
          <w:bCs/>
          <w:rtl/>
        </w:rPr>
        <w:t>רשויות שנבדקו</w:t>
      </w:r>
      <w:r w:rsidRPr="00014C4D">
        <w:rPr>
          <w:b/>
          <w:bCs/>
          <w:rtl/>
        </w:rPr>
        <w:t xml:space="preserve">, </w:t>
      </w:r>
      <w:r w:rsidRPr="00014C4D">
        <w:rPr>
          <w:rFonts w:hint="cs"/>
          <w:b/>
          <w:bCs/>
          <w:rtl/>
        </w:rPr>
        <w:t>מומלץ</w:t>
      </w:r>
      <w:r w:rsidRPr="00014C4D">
        <w:rPr>
          <w:b/>
          <w:bCs/>
          <w:rtl/>
        </w:rPr>
        <w:t xml:space="preserve"> </w:t>
      </w:r>
      <w:r w:rsidRPr="00014C4D">
        <w:rPr>
          <w:rFonts w:hint="cs"/>
          <w:b/>
          <w:bCs/>
          <w:rtl/>
        </w:rPr>
        <w:t>ש</w:t>
      </w:r>
      <w:r w:rsidRPr="00014C4D">
        <w:rPr>
          <w:b/>
          <w:bCs/>
          <w:rtl/>
        </w:rPr>
        <w:t xml:space="preserve">פקע"ר </w:t>
      </w:r>
      <w:r w:rsidRPr="00014C4D">
        <w:rPr>
          <w:rFonts w:hint="cs"/>
          <w:b/>
          <w:bCs/>
          <w:rtl/>
        </w:rPr>
        <w:t xml:space="preserve">יגדיל את מספר הביקורות כדי </w:t>
      </w:r>
      <w:r w:rsidRPr="00014C4D">
        <w:rPr>
          <w:b/>
          <w:bCs/>
          <w:rtl/>
        </w:rPr>
        <w:t xml:space="preserve">לוודא </w:t>
      </w:r>
      <w:r w:rsidRPr="00014C4D">
        <w:rPr>
          <w:rFonts w:hint="cs"/>
          <w:b/>
          <w:bCs/>
          <w:rtl/>
        </w:rPr>
        <w:t>שהרשויות המקומיות</w:t>
      </w:r>
      <w:r w:rsidRPr="00014C4D">
        <w:rPr>
          <w:b/>
          <w:bCs/>
          <w:rtl/>
        </w:rPr>
        <w:t xml:space="preserve"> עומד</w:t>
      </w:r>
      <w:r w:rsidRPr="00014C4D">
        <w:rPr>
          <w:rFonts w:hint="cs"/>
          <w:b/>
          <w:bCs/>
          <w:rtl/>
        </w:rPr>
        <w:t>ות</w:t>
      </w:r>
      <w:r w:rsidRPr="00014C4D">
        <w:rPr>
          <w:b/>
          <w:bCs/>
          <w:rtl/>
        </w:rPr>
        <w:t xml:space="preserve"> בהנחיות</w:t>
      </w:r>
      <w:r w:rsidRPr="00014C4D">
        <w:rPr>
          <w:rFonts w:hint="cs"/>
          <w:b/>
          <w:bCs/>
          <w:rtl/>
        </w:rPr>
        <w:t>יו</w:t>
      </w:r>
      <w:r w:rsidRPr="00014C4D">
        <w:rPr>
          <w:b/>
          <w:bCs/>
          <w:rtl/>
        </w:rPr>
        <w:t xml:space="preserve"> ובדרישות</w:t>
      </w:r>
      <w:r w:rsidRPr="00014C4D">
        <w:rPr>
          <w:rFonts w:hint="cs"/>
          <w:b/>
          <w:bCs/>
          <w:rtl/>
        </w:rPr>
        <w:t>יו.</w:t>
      </w:r>
      <w:r w:rsidRPr="00014C4D">
        <w:rPr>
          <w:b/>
          <w:bCs/>
          <w:rtl/>
        </w:rPr>
        <w:t xml:space="preserve"> </w:t>
      </w:r>
      <w:r w:rsidRPr="00014C4D">
        <w:rPr>
          <w:rFonts w:hint="cs"/>
          <w:b/>
          <w:bCs/>
          <w:rtl/>
        </w:rPr>
        <w:t xml:space="preserve">עוד מומלץ שפקע"ר ייתן עדיפות לבדיקת מקלטים שלא בדק כלל בשנים האחרונות ומקלטים שנמצאו בהם ליקויים מהותיים על פני </w:t>
      </w:r>
      <w:r w:rsidRPr="00014C4D">
        <w:rPr>
          <w:b/>
          <w:bCs/>
          <w:rtl/>
        </w:rPr>
        <w:t xml:space="preserve">ביקורות חוזרות </w:t>
      </w:r>
      <w:r w:rsidRPr="00014C4D">
        <w:rPr>
          <w:rFonts w:hint="cs"/>
          <w:b/>
          <w:bCs/>
          <w:rtl/>
        </w:rPr>
        <w:t>ב</w:t>
      </w:r>
      <w:r w:rsidRPr="00014C4D">
        <w:rPr>
          <w:b/>
          <w:bCs/>
          <w:rtl/>
        </w:rPr>
        <w:t>מקלטים</w:t>
      </w:r>
      <w:r w:rsidRPr="00014C4D">
        <w:rPr>
          <w:rFonts w:hint="cs"/>
          <w:b/>
          <w:bCs/>
          <w:rtl/>
        </w:rPr>
        <w:t xml:space="preserve"> שנבדקו ובייחוד מקלטים שנמצאו תקינים.</w:t>
      </w:r>
    </w:p>
    <w:p w:rsidR="00014C4D" w:rsidRPr="00014C4D" w:rsidRDefault="00014C4D" w:rsidP="00014C4D">
      <w:pPr>
        <w:spacing w:line="269" w:lineRule="auto"/>
        <w:rPr>
          <w:b/>
          <w:bCs/>
          <w:rtl/>
        </w:rPr>
      </w:pPr>
    </w:p>
    <w:p w:rsidR="00014C4D" w:rsidRPr="00014C4D" w:rsidRDefault="00014C4D" w:rsidP="00014C4D">
      <w:pPr>
        <w:keepNext/>
        <w:keepLines/>
        <w:spacing w:before="120" w:line="269" w:lineRule="auto"/>
        <w:jc w:val="center"/>
        <w:outlineLvl w:val="1"/>
        <w:rPr>
          <w:rFonts w:eastAsiaTheme="majorEastAsia"/>
          <w:bCs/>
          <w:szCs w:val="32"/>
          <w:rtl/>
        </w:rPr>
      </w:pPr>
      <w:r w:rsidRPr="00014C4D">
        <w:rPr>
          <w:rFonts w:eastAsiaTheme="majorEastAsia" w:hint="cs"/>
          <w:bCs/>
          <w:szCs w:val="32"/>
          <w:rtl/>
        </w:rPr>
        <w:t>מיגון מוסדות חינוך</w:t>
      </w:r>
    </w:p>
    <w:p w:rsidR="00014C4D" w:rsidRPr="00014C4D" w:rsidRDefault="00014C4D" w:rsidP="00014C4D">
      <w:pPr>
        <w:spacing w:line="269" w:lineRule="auto"/>
        <w:ind w:left="-567"/>
        <w:rPr>
          <w:szCs w:val="20"/>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bCs/>
          <w:szCs w:val="28"/>
          <w:u w:val="single"/>
          <w:rtl/>
        </w:rPr>
        <w:t>תקן שטח המיגון במוסדות חינוך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eastAsia="Times New Roman"/>
          <w:rtl/>
        </w:rPr>
      </w:pPr>
      <w:r w:rsidRPr="00014C4D">
        <w:rPr>
          <w:rFonts w:eastAsia="Times New Roman" w:hint="cs"/>
          <w:rtl/>
        </w:rPr>
        <w:t xml:space="preserve"> במפרט למיגון מוסדות חינוך ומוסדות להכשרה גבוהה שפרסם פקע</w:t>
      </w:r>
      <w:r w:rsidRPr="00014C4D">
        <w:rPr>
          <w:rFonts w:eastAsia="Times New Roman"/>
          <w:rtl/>
        </w:rPr>
        <w:t>"</w:t>
      </w:r>
      <w:r w:rsidRPr="00014C4D">
        <w:rPr>
          <w:rFonts w:eastAsia="Times New Roman" w:hint="cs"/>
          <w:rtl/>
        </w:rPr>
        <w:t>ר בנובמבר 2023 (להלן - המפרט) נקבע שטח המרחב המוגן הנדרש כלהלן: ל</w:t>
      </w:r>
      <w:r w:rsidRPr="00014C4D">
        <w:rPr>
          <w:rFonts w:hint="cs"/>
          <w:rtl/>
        </w:rPr>
        <w:t xml:space="preserve">גן ילדים/ גן ילדים במוסד לחינוך מיוחד - 12 מ"ר לכיתה בבית ספר: כיתות א'-י' - 15 מ"ר לכיתה, כיתות י"א ואילך - 7.5 מ"ר לכיתה; במוסד לחינוך מיוחד - 10 מ"ר לכיתה; במוסד לחינוך מיוחד המיועד לילדים עם פיגור קשה או עמוק או ילדים סיעודיים או עם שיתוק מוחין, כהגדרתם במשרד החינוך - 15 מ"ר לכיתה. </w:t>
      </w:r>
      <w:r w:rsidRPr="00014C4D">
        <w:rPr>
          <w:rFonts w:eastAsia="Times New Roman" w:hint="cs"/>
          <w:rtl/>
        </w:rPr>
        <w:t>במפרטים נקבעו גם דרישות הנדסיות לבניית חדר שישמש מרחב מוגן בתוך המוסד החינוכי</w:t>
      </w:r>
      <w:r w:rsidRPr="00014C4D">
        <w:rPr>
          <w:rFonts w:ascii="David" w:eastAsia="Times New Roman" w:hAnsi="David"/>
          <w:sz w:val="24"/>
          <w:vertAlign w:val="superscript"/>
          <w:rtl/>
        </w:rPr>
        <w:footnoteReference w:id="69"/>
      </w:r>
      <w:r w:rsidRPr="00014C4D">
        <w:rPr>
          <w:rFonts w:eastAsia="Times New Roman"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משרד החינוך </w:t>
      </w:r>
      <w:r w:rsidRPr="00014C4D">
        <w:rPr>
          <w:rFonts w:hint="cs"/>
          <w:rtl/>
        </w:rPr>
        <w:t>נוהג לחשב את מספר התלמידים שיש להם מיגון תקני במוסדות החינוך באמצעות חלוקת השטח של המרחב המוגן שנקבע במפרטים</w:t>
      </w:r>
      <w:r w:rsidRPr="00014C4D">
        <w:rPr>
          <w:rFonts w:ascii="David" w:hAnsi="David"/>
          <w:sz w:val="24"/>
          <w:vertAlign w:val="superscript"/>
          <w:rtl/>
        </w:rPr>
        <w:footnoteReference w:id="70"/>
      </w:r>
      <w:r w:rsidRPr="00014C4D">
        <w:rPr>
          <w:rFonts w:hint="cs"/>
          <w:rtl/>
        </w:rPr>
        <w:t xml:space="preserve"> ב-0.5 מ"ר לכל תלמיד ואיש סגל הוראה</w:t>
      </w:r>
      <w:r w:rsidRPr="00014C4D">
        <w:rPr>
          <w:rFonts w:ascii="David" w:hAnsi="David"/>
          <w:sz w:val="24"/>
          <w:vertAlign w:val="superscript"/>
          <w:rtl/>
        </w:rPr>
        <w:footnoteReference w:id="71"/>
      </w:r>
      <w:r w:rsidRPr="00014C4D">
        <w:rPr>
          <w:rFonts w:hint="cs"/>
          <w:rtl/>
        </w:rPr>
        <w:t xml:space="preserve">. מספר התלמידים ללא מיגון תקני בכל בית ספר מחושב לפי ההפרש בין מספר התלמידים בבית הספר לבין מספר התלמידים שיש להם מיגון תקני על פי החישוב האמור.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t>בהוראת קבע של משרד החינוך</w:t>
      </w:r>
      <w:r w:rsidRPr="00014C4D">
        <w:rPr>
          <w:rFonts w:ascii="David" w:hAnsi="David"/>
          <w:sz w:val="24"/>
          <w:vertAlign w:val="superscript"/>
          <w:rtl/>
        </w:rPr>
        <w:footnoteReference w:id="72"/>
      </w:r>
      <w:r w:rsidRPr="00014C4D">
        <w:rPr>
          <w:rFonts w:ascii="David" w:hAnsi="David" w:hint="cs"/>
          <w:sz w:val="24"/>
          <w:rtl/>
        </w:rPr>
        <w:t xml:space="preserve"> נק</w:t>
      </w:r>
      <w:r w:rsidRPr="00014C4D">
        <w:rPr>
          <w:rFonts w:ascii="David" w:hAnsi="David"/>
          <w:sz w:val="24"/>
          <w:rtl/>
        </w:rPr>
        <w:t>בע כי בשעת חירום ימשיכו מוסדות החינוך לפעול "בהתאם לאפשרויות ולתנאים המשתנים. לצורך זה יש להבטיח קיום אמצעי מיגון מתאימים". בתקנות ההתגוננות האזרחית (מפרטים לבניית מקלטים)</w:t>
      </w:r>
      <w:r w:rsidRPr="00014C4D">
        <w:rPr>
          <w:rFonts w:ascii="David" w:hAnsi="David" w:hint="cs"/>
          <w:sz w:val="24"/>
          <w:rtl/>
        </w:rPr>
        <w:t xml:space="preserve"> </w:t>
      </w:r>
      <w:r w:rsidRPr="00014C4D">
        <w:rPr>
          <w:rFonts w:ascii="David" w:hAnsi="David"/>
          <w:sz w:val="24"/>
          <w:rtl/>
        </w:rPr>
        <w:t>(תיקון), התשע"א-2011</w:t>
      </w:r>
      <w:r w:rsidRPr="00014C4D">
        <w:rPr>
          <w:rFonts w:ascii="David" w:hAnsi="David"/>
          <w:sz w:val="24"/>
          <w:vertAlign w:val="superscript"/>
          <w:rtl/>
        </w:rPr>
        <w:footnoteReference w:id="73"/>
      </w:r>
      <w:r w:rsidRPr="00014C4D">
        <w:rPr>
          <w:rFonts w:ascii="David" w:hAnsi="David"/>
          <w:sz w:val="24"/>
          <w:rtl/>
        </w:rPr>
        <w:t xml:space="preserve">, נקבע שטחם </w:t>
      </w:r>
      <w:r w:rsidRPr="00014C4D">
        <w:rPr>
          <w:rFonts w:ascii="David" w:hAnsi="David" w:hint="cs"/>
          <w:sz w:val="24"/>
          <w:rtl/>
        </w:rPr>
        <w:t>המזערי</w:t>
      </w:r>
      <w:r w:rsidRPr="00014C4D">
        <w:rPr>
          <w:rFonts w:ascii="David" w:hAnsi="David"/>
          <w:sz w:val="24"/>
          <w:rtl/>
        </w:rPr>
        <w:t xml:space="preserve"> של המרחבים המוגנים במוסדות חינוך</w:t>
      </w:r>
      <w:r w:rsidRPr="00014C4D">
        <w:rPr>
          <w:rFonts w:ascii="David" w:hAnsi="David"/>
          <w:sz w:val="24"/>
          <w:vertAlign w:val="superscript"/>
          <w:rtl/>
        </w:rPr>
        <w:footnoteReference w:id="74"/>
      </w:r>
      <w:r w:rsidRPr="00014C4D">
        <w:rPr>
          <w:rFonts w:ascii="David" w:hAnsi="David"/>
          <w:sz w:val="24"/>
          <w:rtl/>
        </w:rPr>
        <w:t xml:space="preserve">. </w:t>
      </w:r>
      <w:r w:rsidRPr="00014C4D">
        <w:rPr>
          <w:rFonts w:ascii="David" w:hAnsi="David" w:hint="cs"/>
          <w:sz w:val="24"/>
          <w:rtl/>
        </w:rPr>
        <w:t xml:space="preserve">על פי </w:t>
      </w:r>
      <w:r w:rsidRPr="00014C4D">
        <w:rPr>
          <w:rFonts w:ascii="David" w:hAnsi="David"/>
          <w:sz w:val="24"/>
          <w:rtl/>
        </w:rPr>
        <w:t xml:space="preserve">תקן זה, שטח המיגון האישי </w:t>
      </w:r>
      <w:r w:rsidRPr="00014C4D">
        <w:rPr>
          <w:rFonts w:ascii="David" w:hAnsi="David" w:hint="cs"/>
          <w:sz w:val="24"/>
          <w:rtl/>
        </w:rPr>
        <w:t xml:space="preserve">המזערי </w:t>
      </w:r>
      <w:r w:rsidRPr="00014C4D">
        <w:rPr>
          <w:rFonts w:ascii="David" w:hAnsi="David"/>
          <w:sz w:val="24"/>
          <w:rtl/>
        </w:rPr>
        <w:t>לתלמיד בגן ילדים הוא 0.342 מ"ר</w:t>
      </w:r>
      <w:r w:rsidRPr="00014C4D">
        <w:rPr>
          <w:rFonts w:ascii="David" w:hAnsi="David" w:hint="cs"/>
          <w:sz w:val="24"/>
          <w:rtl/>
        </w:rPr>
        <w:t>;</w:t>
      </w:r>
      <w:r w:rsidRPr="00014C4D">
        <w:rPr>
          <w:rFonts w:ascii="David" w:hAnsi="David"/>
          <w:sz w:val="24"/>
          <w:rtl/>
        </w:rPr>
        <w:t xml:space="preserve"> לתלמיד בכיתות א'-י' </w:t>
      </w:r>
      <w:r w:rsidRPr="00014C4D">
        <w:rPr>
          <w:rFonts w:ascii="David" w:hAnsi="David" w:hint="cs"/>
          <w:sz w:val="24"/>
          <w:rtl/>
        </w:rPr>
        <w:t>מ</w:t>
      </w:r>
      <w:r w:rsidRPr="00014C4D">
        <w:rPr>
          <w:rFonts w:ascii="David" w:hAnsi="David"/>
          <w:sz w:val="24"/>
          <w:rtl/>
        </w:rPr>
        <w:t xml:space="preserve">-0.375 </w:t>
      </w:r>
      <w:r w:rsidRPr="00014C4D">
        <w:rPr>
          <w:rFonts w:ascii="David" w:hAnsi="David" w:hint="cs"/>
          <w:sz w:val="24"/>
          <w:rtl/>
        </w:rPr>
        <w:t>ועד 0.468 מ"ר; ו</w:t>
      </w:r>
      <w:r w:rsidRPr="00014C4D">
        <w:rPr>
          <w:rFonts w:ascii="David" w:hAnsi="David"/>
          <w:sz w:val="24"/>
          <w:rtl/>
        </w:rPr>
        <w:t xml:space="preserve">בכיתות י"א-י"ב </w:t>
      </w:r>
      <w:r w:rsidRPr="00014C4D">
        <w:rPr>
          <w:rFonts w:ascii="David" w:hAnsi="David" w:hint="cs"/>
          <w:sz w:val="24"/>
          <w:rtl/>
        </w:rPr>
        <w:t xml:space="preserve">- </w:t>
      </w:r>
      <w:r w:rsidRPr="00014C4D">
        <w:rPr>
          <w:rFonts w:ascii="David" w:hAnsi="David"/>
          <w:sz w:val="24"/>
          <w:rtl/>
        </w:rPr>
        <w:t xml:space="preserve">0.197 מ"ר לתלמיד. </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Fonts w:ascii="David" w:hAnsi="David"/>
          <w:sz w:val="24"/>
          <w:rtl/>
        </w:rPr>
      </w:pPr>
      <w:r w:rsidRPr="00014C4D">
        <w:rPr>
          <w:rFonts w:ascii="David" w:hAnsi="David" w:hint="cs"/>
          <w:sz w:val="24"/>
          <w:rtl/>
          <w:lang w:eastAsia="he-IL"/>
        </w:rPr>
        <w:t>משרד מבקר המדינה ציין בדוחות שפרסם</w:t>
      </w:r>
      <w:r w:rsidRPr="00014C4D">
        <w:rPr>
          <w:rFonts w:ascii="David" w:hAnsi="David"/>
          <w:sz w:val="24"/>
          <w:vertAlign w:val="superscript"/>
          <w:rtl/>
          <w:lang w:eastAsia="he-IL"/>
        </w:rPr>
        <w:footnoteReference w:id="75"/>
      </w:r>
      <w:r w:rsidRPr="00014C4D">
        <w:rPr>
          <w:rFonts w:ascii="David" w:hAnsi="David" w:hint="cs"/>
          <w:sz w:val="24"/>
          <w:rtl/>
          <w:lang w:eastAsia="he-IL"/>
        </w:rPr>
        <w:t xml:space="preserve"> כי</w:t>
      </w:r>
      <w:r w:rsidRPr="00014C4D">
        <w:rPr>
          <w:rFonts w:ascii="David" w:hAnsi="David" w:hint="cs"/>
          <w:sz w:val="24"/>
          <w:rtl/>
        </w:rPr>
        <w:t xml:space="preserve"> "</w:t>
      </w:r>
      <w:r w:rsidRPr="00014C4D">
        <w:rPr>
          <w:rFonts w:ascii="David" w:hAnsi="David"/>
          <w:sz w:val="24"/>
          <w:rtl/>
        </w:rPr>
        <w:t>תקן זה נמוך משמעותית מתקן השטח שהוקצה לאדם במקלט ציבורי שקבע פקע"ר (1.25 מ"ר)</w:t>
      </w:r>
      <w:r w:rsidRPr="00014C4D">
        <w:rPr>
          <w:rFonts w:ascii="David" w:hAnsi="David" w:hint="cs"/>
          <w:sz w:val="24"/>
          <w:rtl/>
        </w:rPr>
        <w:t xml:space="preserve">". </w:t>
      </w:r>
    </w:p>
    <w:p w:rsidR="00014C4D" w:rsidRPr="00014C4D" w:rsidRDefault="00014C4D" w:rsidP="00014C4D">
      <w:pPr>
        <w:spacing w:line="269" w:lineRule="auto"/>
        <w:ind w:left="-567"/>
        <w:rPr>
          <w:szCs w:val="20"/>
        </w:rPr>
      </w:pPr>
    </w:p>
    <w:p w:rsidR="00014C4D" w:rsidRPr="00014C4D" w:rsidRDefault="00014C4D" w:rsidP="00014C4D">
      <w:pPr>
        <w:spacing w:line="269" w:lineRule="auto"/>
        <w:rPr>
          <w:rFonts w:ascii="David" w:hAnsi="David"/>
          <w:sz w:val="24"/>
          <w:rtl/>
        </w:rPr>
      </w:pPr>
      <w:r w:rsidRPr="00014C4D">
        <w:rPr>
          <w:rFonts w:ascii="David" w:hAnsi="David"/>
          <w:sz w:val="24"/>
          <w:rtl/>
        </w:rPr>
        <w:t xml:space="preserve">משרד החינוך חישב את שטח המיגון האישי לתלמיד, </w:t>
      </w:r>
      <w:r w:rsidRPr="00014C4D">
        <w:rPr>
          <w:rFonts w:ascii="David" w:hAnsi="David" w:hint="cs"/>
          <w:sz w:val="24"/>
          <w:rtl/>
        </w:rPr>
        <w:t xml:space="preserve">ללא הבחנה בין כיתות א'-י' ובין כיתות י"א-י"ב, </w:t>
      </w:r>
      <w:r w:rsidRPr="00014C4D">
        <w:rPr>
          <w:rFonts w:ascii="David" w:hAnsi="David"/>
          <w:sz w:val="24"/>
          <w:rtl/>
        </w:rPr>
        <w:t xml:space="preserve">לפי מספר </w:t>
      </w:r>
      <w:r w:rsidRPr="00014C4D">
        <w:rPr>
          <w:rFonts w:ascii="David" w:hAnsi="David" w:hint="cs"/>
          <w:sz w:val="24"/>
          <w:rtl/>
        </w:rPr>
        <w:t>ה</w:t>
      </w:r>
      <w:r w:rsidRPr="00014C4D">
        <w:rPr>
          <w:rFonts w:ascii="David" w:hAnsi="David"/>
          <w:sz w:val="24"/>
          <w:rtl/>
        </w:rPr>
        <w:t xml:space="preserve">תלמידים </w:t>
      </w:r>
      <w:r w:rsidRPr="00014C4D">
        <w:rPr>
          <w:rFonts w:ascii="David" w:hAnsi="David" w:hint="cs"/>
          <w:sz w:val="24"/>
          <w:rtl/>
        </w:rPr>
        <w:t>ה</w:t>
      </w:r>
      <w:r w:rsidRPr="00014C4D">
        <w:rPr>
          <w:rFonts w:ascii="David" w:hAnsi="David"/>
          <w:sz w:val="24"/>
          <w:rtl/>
        </w:rPr>
        <w:t>ממוצע בכיתת אם של 30 תלמידים. שטח המיגון האישי הדרוש אשר נקבע לפי מפתח של 0.5 מ"ר לתלמיד נועד "לתת כלי עבור מנהל בית הספר לתכנן את תכנית 'הכי מוגן שיש'".</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lang w:eastAsia="he-IL"/>
        </w:rPr>
        <w:t xml:space="preserve">משרד מבקר המדינה ציין בדוחות האמורים גם </w:t>
      </w:r>
      <w:r w:rsidRPr="00014C4D">
        <w:rPr>
          <w:rtl/>
        </w:rPr>
        <w:t xml:space="preserve">כי התקן </w:t>
      </w:r>
      <w:r w:rsidRPr="00014C4D">
        <w:rPr>
          <w:rFonts w:hint="cs"/>
          <w:rtl/>
        </w:rPr>
        <w:t xml:space="preserve">מביא בחשבון רק </w:t>
      </w:r>
      <w:r w:rsidRPr="00014C4D">
        <w:rPr>
          <w:rtl/>
        </w:rPr>
        <w:t xml:space="preserve">תלמידים </w:t>
      </w:r>
      <w:r w:rsidRPr="00014C4D">
        <w:rPr>
          <w:rFonts w:hint="cs"/>
          <w:rtl/>
        </w:rPr>
        <w:t xml:space="preserve">ולא את </w:t>
      </w:r>
      <w:r w:rsidRPr="00014C4D">
        <w:rPr>
          <w:rtl/>
        </w:rPr>
        <w:t>אנשי הצוות החינוכי</w:t>
      </w:r>
      <w:r w:rsidRPr="00014C4D">
        <w:rPr>
          <w:rFonts w:hint="cs"/>
          <w:rtl/>
        </w:rPr>
        <w:t xml:space="preserve"> והעובדים האחרים בבית הספר,</w:t>
      </w:r>
      <w:r w:rsidRPr="00014C4D">
        <w:rPr>
          <w:rtl/>
        </w:rPr>
        <w:t xml:space="preserve"> שסביר שיימצאו אף הם במרחב המוגן</w:t>
      </w:r>
      <w:r w:rsidRPr="00014C4D">
        <w:rPr>
          <w:vertAlign w:val="superscript"/>
          <w:rtl/>
        </w:rPr>
        <w:footnoteReference w:id="76"/>
      </w:r>
      <w:r w:rsidRPr="00014C4D">
        <w:rPr>
          <w:rFonts w:hint="cs"/>
          <w:rtl/>
        </w:rPr>
        <w:t>.</w:t>
      </w:r>
      <w:r w:rsidRPr="00014C4D">
        <w:rPr>
          <w:rtl/>
        </w:rPr>
        <w:t xml:space="preserve"> </w:t>
      </w:r>
      <w:r w:rsidRPr="00014C4D">
        <w:rPr>
          <w:rFonts w:hint="cs"/>
          <w:rtl/>
        </w:rPr>
        <w:t xml:space="preserve">עובדה זו מקטינה </w:t>
      </w:r>
      <w:r w:rsidRPr="00014C4D">
        <w:rPr>
          <w:rtl/>
        </w:rPr>
        <w:t>עוד יותר את שטח המיגון האישי במרחב המוגן במוסדות החינוך.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sz w:val="24"/>
          <w:rtl/>
        </w:rPr>
      </w:pPr>
      <w:r w:rsidRPr="00014C4D">
        <w:rPr>
          <w:rFonts w:ascii="David" w:hAnsi="David" w:hint="eastAsia"/>
          <w:b/>
          <w:bCs/>
          <w:sz w:val="24"/>
          <w:rtl/>
        </w:rPr>
        <w:t>על</w:t>
      </w:r>
      <w:r w:rsidRPr="00014C4D">
        <w:rPr>
          <w:rFonts w:ascii="David" w:hAnsi="David"/>
          <w:b/>
          <w:bCs/>
          <w:sz w:val="24"/>
          <w:rtl/>
        </w:rPr>
        <w:t xml:space="preserve"> </w:t>
      </w:r>
      <w:r w:rsidRPr="00014C4D">
        <w:rPr>
          <w:rFonts w:ascii="David" w:hAnsi="David" w:hint="eastAsia"/>
          <w:b/>
          <w:bCs/>
          <w:sz w:val="24"/>
          <w:rtl/>
        </w:rPr>
        <w:t>אף</w:t>
      </w:r>
      <w:r w:rsidRPr="00014C4D">
        <w:rPr>
          <w:rFonts w:ascii="David" w:hAnsi="David"/>
          <w:b/>
          <w:bCs/>
          <w:sz w:val="24"/>
          <w:rtl/>
        </w:rPr>
        <w:t xml:space="preserve"> </w:t>
      </w:r>
      <w:r w:rsidRPr="00014C4D">
        <w:rPr>
          <w:rFonts w:ascii="David" w:hAnsi="David" w:hint="eastAsia"/>
          <w:b/>
          <w:bCs/>
          <w:sz w:val="24"/>
          <w:rtl/>
        </w:rPr>
        <w:t>שמשרד</w:t>
      </w:r>
      <w:r w:rsidRPr="00014C4D">
        <w:rPr>
          <w:rFonts w:ascii="David" w:hAnsi="David"/>
          <w:b/>
          <w:bCs/>
          <w:sz w:val="24"/>
          <w:rtl/>
        </w:rPr>
        <w:t xml:space="preserve"> מבקר המדינה המליץ בדוחות האמורים כי פקע"ר יקבע בתקן מהו השטח </w:t>
      </w:r>
      <w:r w:rsidRPr="00014C4D">
        <w:rPr>
          <w:rFonts w:ascii="David" w:hAnsi="David" w:hint="eastAsia"/>
          <w:b/>
          <w:bCs/>
          <w:sz w:val="24"/>
          <w:rtl/>
        </w:rPr>
        <w:t>המזערי</w:t>
      </w:r>
      <w:r w:rsidRPr="00014C4D">
        <w:rPr>
          <w:rFonts w:ascii="David" w:hAnsi="David"/>
          <w:b/>
          <w:bCs/>
          <w:sz w:val="24"/>
          <w:rtl/>
        </w:rPr>
        <w:t xml:space="preserve"> הנדרש לתלמיד ולמורה לשהות בו בכל מוסד חינוכי בעת חירום, וממנו </w:t>
      </w:r>
      <w:r w:rsidRPr="00014C4D">
        <w:rPr>
          <w:rFonts w:ascii="David" w:hAnsi="David" w:hint="eastAsia"/>
          <w:b/>
          <w:bCs/>
          <w:sz w:val="24"/>
          <w:rtl/>
        </w:rPr>
        <w:t>י</w:t>
      </w:r>
      <w:r w:rsidRPr="00014C4D">
        <w:rPr>
          <w:rFonts w:ascii="David" w:hAnsi="David"/>
          <w:b/>
          <w:bCs/>
          <w:sz w:val="24"/>
          <w:rtl/>
        </w:rPr>
        <w:t>גזור את השטח המוגן הנדרש בכל מוסד חינוכי,</w:t>
      </w:r>
      <w:r w:rsidRPr="00014C4D">
        <w:rPr>
          <w:rFonts w:ascii="David" w:hAnsi="David" w:hint="cs"/>
          <w:b/>
          <w:bCs/>
          <w:sz w:val="24"/>
          <w:rtl/>
        </w:rPr>
        <w:t xml:space="preserve"> בפועל נכון לספטמבר 2024 פקע"ר עדיין לא קבע מהו השטח המזערי</w:t>
      </w:r>
      <w:r w:rsidRPr="00014C4D">
        <w:rPr>
          <w:rFonts w:ascii="David" w:hAnsi="David"/>
          <w:b/>
          <w:bCs/>
          <w:sz w:val="24"/>
          <w:rtl/>
        </w:rPr>
        <w:t xml:space="preserve"> הנדרש לתלמיד ולמורה לשהות בו בכל מוסד חינוכי בעת חירום</w:t>
      </w:r>
      <w:r w:rsidRPr="00014C4D">
        <w:rPr>
          <w:rFonts w:ascii="David" w:hAnsi="David" w:hint="cs"/>
          <w:b/>
          <w:bCs/>
          <w:sz w:val="24"/>
          <w:rtl/>
        </w:rPr>
        <w:t>.</w:t>
      </w:r>
      <w:r w:rsidRPr="00014C4D">
        <w:rPr>
          <w:rFonts w:ascii="David" w:hAnsi="David"/>
          <w:b/>
          <w:b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בתשובתו למשרד מבקר המדינה מסר פקע"ר כי </w:t>
      </w:r>
      <w:r w:rsidRPr="00014C4D">
        <w:rPr>
          <w:rtl/>
        </w:rPr>
        <w:t>במהלך מלחמת ח</w:t>
      </w:r>
      <w:r w:rsidRPr="00014C4D">
        <w:rPr>
          <w:rFonts w:hint="cs"/>
          <w:rtl/>
        </w:rPr>
        <w:t>רבו</w:t>
      </w:r>
      <w:r w:rsidRPr="00014C4D">
        <w:rPr>
          <w:rtl/>
        </w:rPr>
        <w:t>ת ברזל ולאור הצורך בקיום רציפות תפקוד למשק, הוחלט על הגדרת מפתח מיגון מינימלי לשהייה קצרה בלבד במוסדות חינוך וזאת במטרה לאפשר את הפעלת מוסדות החינוך, לאור הימשכות המערכה ומאפייני האיום. מפתח המיגון היה 0.2 מ״ר לילד ו</w:t>
      </w:r>
      <w:r w:rsidRPr="00014C4D">
        <w:rPr>
          <w:rFonts w:hint="cs"/>
          <w:rtl/>
        </w:rPr>
        <w:t>-</w:t>
      </w:r>
      <w:r w:rsidRPr="00014C4D">
        <w:rPr>
          <w:rtl/>
        </w:rPr>
        <w:t>0.</w:t>
      </w:r>
      <w:r w:rsidRPr="00014C4D">
        <w:rPr>
          <w:rFonts w:hint="cs"/>
          <w:rtl/>
        </w:rPr>
        <w:t>4</w:t>
      </w:r>
      <w:r w:rsidRPr="00014C4D">
        <w:rPr>
          <w:rtl/>
        </w:rPr>
        <w:t xml:space="preserve"> מ״ר למבוגר. אין הדבר משפיע על מפתחות המיגון הקבועים בתקנות ההתגוננות, אלא מהווה הנחיה זמנית בלבד לאור נסיבות הלחימה הנוכחית. במסגרת המלחמה, בוצעה חשיבה מחדש עם משרד החינוך</w:t>
      </w:r>
      <w:r w:rsidRPr="00014C4D">
        <w:rPr>
          <w:vertAlign w:val="superscript"/>
          <w:rtl/>
        </w:rPr>
        <w:footnoteReference w:id="77"/>
      </w:r>
      <w:r w:rsidRPr="00014C4D">
        <w:rPr>
          <w:rtl/>
        </w:rPr>
        <w:t xml:space="preserve"> לעדכון שטחי המיגון בתקנות ההתגוננות, בין היתר הוחלט וסוכם כי שטח המיגון לכיתת גן יעלה מ</w:t>
      </w:r>
      <w:r w:rsidRPr="00014C4D">
        <w:rPr>
          <w:rFonts w:hint="cs"/>
          <w:rtl/>
        </w:rPr>
        <w:t>-</w:t>
      </w:r>
      <w:r w:rsidRPr="00014C4D">
        <w:rPr>
          <w:rtl/>
        </w:rPr>
        <w:t>12 מ</w:t>
      </w:r>
      <w:r w:rsidRPr="00014C4D">
        <w:rPr>
          <w:rFonts w:hint="cs"/>
          <w:rtl/>
        </w:rPr>
        <w:t>"</w:t>
      </w:r>
      <w:r w:rsidRPr="00014C4D">
        <w:rPr>
          <w:rtl/>
        </w:rPr>
        <w:t>ר ל</w:t>
      </w:r>
      <w:r w:rsidRPr="00014C4D">
        <w:rPr>
          <w:rFonts w:hint="cs"/>
          <w:rtl/>
        </w:rPr>
        <w:t>-</w:t>
      </w:r>
      <w:r w:rsidRPr="00014C4D">
        <w:rPr>
          <w:rtl/>
        </w:rPr>
        <w:t>15 מ״ר</w:t>
      </w:r>
      <w:r w:rsidRPr="00014C4D">
        <w:rPr>
          <w:rFonts w:hint="cs"/>
          <w:rtl/>
        </w:rPr>
        <w:t>. במסמך "עדכון מדיניות המיגון במוסדות חינוך לאור לקחי מלחמת חרבות ברזל" של פקע"ר מיולי 2024, צוין גם ש"</w:t>
      </w:r>
      <w:r w:rsidRPr="00014C4D">
        <w:rPr>
          <w:rtl/>
        </w:rPr>
        <w:t>מבוקש לעדכן את מפתח המיגון לפלח כיתות י</w:t>
      </w:r>
      <w:r w:rsidRPr="00014C4D">
        <w:rPr>
          <w:rFonts w:hint="cs"/>
          <w:rtl/>
        </w:rPr>
        <w:t>"</w:t>
      </w:r>
      <w:r w:rsidRPr="00014C4D">
        <w:rPr>
          <w:rtl/>
        </w:rPr>
        <w:t>א י</w:t>
      </w:r>
      <w:r w:rsidRPr="00014C4D">
        <w:rPr>
          <w:rFonts w:hint="cs"/>
          <w:rtl/>
        </w:rPr>
        <w:t>"</w:t>
      </w:r>
      <w:r w:rsidRPr="00014C4D">
        <w:rPr>
          <w:rtl/>
        </w:rPr>
        <w:t>ב לטובת התאמת כמות הילדים למיגון מ</w:t>
      </w:r>
      <w:r w:rsidRPr="00014C4D">
        <w:rPr>
          <w:rFonts w:hint="cs"/>
          <w:rtl/>
        </w:rPr>
        <w:t>-</w:t>
      </w:r>
      <w:r w:rsidRPr="00014C4D">
        <w:rPr>
          <w:rtl/>
        </w:rPr>
        <w:t>7.5 מ</w:t>
      </w:r>
      <w:r w:rsidRPr="00014C4D">
        <w:rPr>
          <w:rFonts w:hint="cs"/>
          <w:rtl/>
        </w:rPr>
        <w:t>"</w:t>
      </w:r>
      <w:r w:rsidRPr="00014C4D">
        <w:rPr>
          <w:rtl/>
        </w:rPr>
        <w:t>ר ל</w:t>
      </w:r>
      <w:r w:rsidRPr="00014C4D">
        <w:rPr>
          <w:rFonts w:hint="cs"/>
          <w:rtl/>
        </w:rPr>
        <w:t>-</w:t>
      </w:r>
      <w:r w:rsidRPr="00014C4D">
        <w:rPr>
          <w:rtl/>
        </w:rPr>
        <w:t>15 מ</w:t>
      </w:r>
      <w:r w:rsidRPr="00014C4D">
        <w:rPr>
          <w:rFonts w:hint="cs"/>
          <w:rtl/>
        </w:rPr>
        <w:t>"</w:t>
      </w:r>
      <w:r w:rsidRPr="00014C4D">
        <w:rPr>
          <w:rtl/>
        </w:rPr>
        <w:t>ר</w:t>
      </w:r>
      <w:r w:rsidRPr="00014C4D">
        <w:rPr>
          <w:rFonts w:hint="cs"/>
          <w:rtl/>
        </w:rPr>
        <w:t xml:space="preserve"> לכיתה". במסמך צוין שאין התנגדות מקצועית לעדכון, עם זאת נדרש לפנות בצורה משולבת למשרד האוצר לטובת קבלת הסכמתו.</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מנהל </w:t>
      </w:r>
      <w:r w:rsidRPr="00014C4D">
        <w:rPr>
          <w:rFonts w:hint="cs"/>
          <w:rtl/>
        </w:rPr>
        <w:t>מינהל</w:t>
      </w:r>
      <w:r w:rsidRPr="00014C4D">
        <w:rPr>
          <w:rtl/>
        </w:rPr>
        <w:t xml:space="preserve"> הפיתוח לשעבר במשרד החינוך</w:t>
      </w:r>
      <w:r w:rsidRPr="00014C4D">
        <w:rPr>
          <w:rFonts w:hint="cs"/>
          <w:rtl/>
        </w:rPr>
        <w:t xml:space="preserve"> מסר למשרד מבקר המדינה ביוני 2024 כי במינהל התקיים שיח פנימי בנושא תקן המיגון עוד לפני מלחמת חרבות ברזל ובמסגרתו דנו בשאלות האם תקן המיגון נותן מענה לצורכי המיגון שנוצרו במהלך המלחמה הנוכחית - מלחמה מתמשכת שבמסגרתה צריך לנהל שגרת </w:t>
      </w:r>
      <w:r w:rsidRPr="00014C4D">
        <w:rPr>
          <w:rFonts w:hint="cs"/>
          <w:rtl/>
        </w:rPr>
        <w:lastRenderedPageBreak/>
        <w:t>למידה בחירום; והאם התקן מתאים למיקום המקלטים במוסדות החינוך ולזמן ההגעה אליהם. ואולם מינהל הפיתוח היה עמוס מכדי להמשיך את הדיונים בנושא זה, והנושא לא נכנס לתוכנית העבודה המשרדית.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על</w:t>
      </w:r>
      <w:r w:rsidRPr="00014C4D">
        <w:rPr>
          <w:b/>
          <w:bCs/>
          <w:rtl/>
        </w:rPr>
        <w:t xml:space="preserve"> </w:t>
      </w:r>
      <w:r w:rsidRPr="00014C4D">
        <w:rPr>
          <w:rFonts w:hint="eastAsia"/>
          <w:b/>
          <w:bCs/>
          <w:rtl/>
        </w:rPr>
        <w:t>משרד</w:t>
      </w:r>
      <w:r w:rsidRPr="00014C4D">
        <w:rPr>
          <w:b/>
          <w:bCs/>
          <w:rtl/>
        </w:rPr>
        <w:t xml:space="preserve"> </w:t>
      </w:r>
      <w:r w:rsidRPr="00014C4D">
        <w:rPr>
          <w:rFonts w:hint="eastAsia"/>
          <w:b/>
          <w:bCs/>
          <w:rtl/>
        </w:rPr>
        <w:t>החינוך</w:t>
      </w:r>
      <w:r w:rsidRPr="00014C4D">
        <w:rPr>
          <w:b/>
          <w:bCs/>
          <w:rtl/>
        </w:rPr>
        <w:t xml:space="preserve"> </w:t>
      </w:r>
      <w:r w:rsidRPr="00014C4D">
        <w:rPr>
          <w:rFonts w:hint="eastAsia"/>
          <w:b/>
          <w:bCs/>
          <w:rtl/>
        </w:rPr>
        <w:t>ופקע</w:t>
      </w:r>
      <w:r w:rsidRPr="00014C4D">
        <w:rPr>
          <w:b/>
          <w:bCs/>
          <w:rtl/>
        </w:rPr>
        <w:t xml:space="preserve">"ר </w:t>
      </w:r>
      <w:r w:rsidRPr="00014C4D">
        <w:rPr>
          <w:rFonts w:hint="eastAsia"/>
          <w:b/>
          <w:bCs/>
          <w:rtl/>
        </w:rPr>
        <w:t>בשיתוף</w:t>
      </w:r>
      <w:r w:rsidRPr="00014C4D">
        <w:rPr>
          <w:b/>
          <w:bCs/>
          <w:rtl/>
        </w:rPr>
        <w:t xml:space="preserve"> </w:t>
      </w:r>
      <w:r w:rsidRPr="00014C4D">
        <w:rPr>
          <w:rFonts w:hint="eastAsia"/>
          <w:b/>
          <w:bCs/>
          <w:rtl/>
        </w:rPr>
        <w:t>משרד</w:t>
      </w:r>
      <w:r w:rsidRPr="00014C4D">
        <w:rPr>
          <w:b/>
          <w:bCs/>
          <w:rtl/>
        </w:rPr>
        <w:t xml:space="preserve"> </w:t>
      </w:r>
      <w:r w:rsidRPr="00014C4D">
        <w:rPr>
          <w:rFonts w:hint="eastAsia"/>
          <w:b/>
          <w:bCs/>
          <w:rtl/>
        </w:rPr>
        <w:t>האוצר</w:t>
      </w:r>
      <w:r w:rsidRPr="00014C4D">
        <w:rPr>
          <w:b/>
          <w:bCs/>
          <w:rtl/>
        </w:rPr>
        <w:t xml:space="preserve"> </w:t>
      </w:r>
      <w:r w:rsidRPr="00014C4D">
        <w:rPr>
          <w:rFonts w:hint="eastAsia"/>
          <w:b/>
          <w:bCs/>
          <w:rtl/>
        </w:rPr>
        <w:t>לפעול</w:t>
      </w:r>
      <w:r w:rsidRPr="00014C4D">
        <w:rPr>
          <w:b/>
          <w:bCs/>
          <w:rtl/>
        </w:rPr>
        <w:t xml:space="preserve"> </w:t>
      </w:r>
      <w:r w:rsidRPr="00014C4D">
        <w:rPr>
          <w:rFonts w:hint="eastAsia"/>
          <w:b/>
          <w:bCs/>
          <w:rtl/>
        </w:rPr>
        <w:t>להטמיע</w:t>
      </w:r>
      <w:r w:rsidRPr="00014C4D">
        <w:rPr>
          <w:b/>
          <w:bCs/>
          <w:rtl/>
        </w:rPr>
        <w:t xml:space="preserve"> </w:t>
      </w:r>
      <w:r w:rsidRPr="00014C4D">
        <w:rPr>
          <w:rFonts w:hint="eastAsia"/>
          <w:b/>
          <w:bCs/>
          <w:rtl/>
        </w:rPr>
        <w:t>בתקנות</w:t>
      </w:r>
      <w:r w:rsidRPr="00014C4D">
        <w:rPr>
          <w:b/>
          <w:bCs/>
          <w:rtl/>
        </w:rPr>
        <w:t xml:space="preserve"> </w:t>
      </w:r>
      <w:r w:rsidRPr="00014C4D">
        <w:rPr>
          <w:rFonts w:hint="eastAsia"/>
          <w:b/>
          <w:bCs/>
          <w:rtl/>
        </w:rPr>
        <w:t>מפתח</w:t>
      </w:r>
      <w:r w:rsidRPr="00014C4D">
        <w:rPr>
          <w:b/>
          <w:bCs/>
          <w:rtl/>
        </w:rPr>
        <w:t xml:space="preserve"> מיגון מעודכן במוסדות חינוך לאור לקחי מלחמת "חרבות ברזל".</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משרד החינוך </w:t>
      </w:r>
      <w:r w:rsidRPr="00014C4D">
        <w:rPr>
          <w:rFonts w:hint="cs"/>
          <w:rtl/>
        </w:rPr>
        <w:t>מסר בתשובתו למשרד מבקר המדינה ביוני 2025 (להלן - תשובת משרד החינוך) כי</w:t>
      </w:r>
      <w:r w:rsidRPr="00014C4D">
        <w:rPr>
          <w:rtl/>
        </w:rPr>
        <w:t xml:space="preserve"> </w:t>
      </w:r>
      <w:r w:rsidRPr="00014C4D">
        <w:rPr>
          <w:rFonts w:hint="cs"/>
          <w:rtl/>
        </w:rPr>
        <w:t>באוגוסט 2024 עודכן "ה</w:t>
      </w:r>
      <w:r w:rsidRPr="00014C4D">
        <w:rPr>
          <w:rtl/>
        </w:rPr>
        <w:t>מפרט למיגון מוסדות חינוך ומוסדות להכשרה גבוהה</w:t>
      </w:r>
      <w:r w:rsidRPr="00014C4D">
        <w:rPr>
          <w:rFonts w:hint="cs"/>
          <w:rtl/>
        </w:rPr>
        <w:t xml:space="preserve">" של פקע"ר, ומפתח המיגון לגבי גני הילדים והמעונות הוגדל </w:t>
      </w:r>
      <w:r w:rsidRPr="00014C4D">
        <w:rPr>
          <w:rtl/>
        </w:rPr>
        <w:t>מ-12 מ"ר ל-15 מ"ר</w:t>
      </w:r>
      <w:r w:rsidRPr="00014C4D">
        <w:rPr>
          <w:rFonts w:hint="cs"/>
          <w:rtl/>
        </w:rPr>
        <w:t xml:space="preserve"> לכיתה</w:t>
      </w:r>
      <w:r w:rsidRPr="00014C4D">
        <w:rPr>
          <w:rtl/>
        </w:rPr>
        <w:t>.</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 xml:space="preserve">פערי המיגון במוסדות החינוך בישראל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t>בהוראת קבע של משרד החינוך</w:t>
      </w:r>
      <w:r w:rsidRPr="00014C4D">
        <w:rPr>
          <w:rFonts w:ascii="David" w:hAnsi="David"/>
          <w:sz w:val="24"/>
          <w:vertAlign w:val="superscript"/>
          <w:rtl/>
        </w:rPr>
        <w:footnoteReference w:id="78"/>
      </w:r>
      <w:r w:rsidRPr="00014C4D">
        <w:rPr>
          <w:rFonts w:ascii="David" w:hAnsi="David" w:hint="cs"/>
          <w:sz w:val="24"/>
          <w:rtl/>
        </w:rPr>
        <w:t xml:space="preserve"> נק</w:t>
      </w:r>
      <w:r w:rsidRPr="00014C4D">
        <w:rPr>
          <w:rFonts w:ascii="David" w:hAnsi="David"/>
          <w:sz w:val="24"/>
          <w:rtl/>
        </w:rPr>
        <w:t xml:space="preserve">בע כי בשעת חירום ימשיכו מוסדות החינוך לפעול "בהתאם לאפשרויות ולתנאים המשתנים. לצורך זה יש להבטיח קיום אמצעי מיגון מתאימים".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כדי לעמוד על פערי המיגון ביצע מינהל הפיתוח במשרד החינוך במהלך השנים 2018 - 2024 סקר על מצב המיגון בבתי הספר. עד מרץ 2024 הקיף הסקר כ-5,146</w:t>
      </w:r>
      <w:r w:rsidRPr="00014C4D">
        <w:rPr>
          <w:vertAlign w:val="superscript"/>
          <w:rtl/>
        </w:rPr>
        <w:footnoteReference w:id="79"/>
      </w:r>
      <w:r w:rsidRPr="00014C4D">
        <w:rPr>
          <w:rFonts w:hint="cs"/>
          <w:rtl/>
        </w:rPr>
        <w:t xml:space="preserve"> בתי ספר ובהם כ-1.89 מיליון תלמידים.</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b/>
          <w:bCs/>
          <w:rtl/>
        </w:rPr>
      </w:pPr>
      <w:r w:rsidRPr="00014C4D">
        <w:rPr>
          <w:rFonts w:hint="eastAsia"/>
          <w:rtl/>
        </w:rPr>
        <w:lastRenderedPageBreak/>
        <w:t>תרשים</w:t>
      </w:r>
      <w:r w:rsidRPr="00014C4D">
        <w:rPr>
          <w:rtl/>
        </w:rPr>
        <w:t xml:space="preserve"> </w:t>
      </w:r>
      <w:r w:rsidRPr="00014C4D">
        <w:rPr>
          <w:rFonts w:hint="cs"/>
          <w:rtl/>
        </w:rPr>
        <w:t>6</w:t>
      </w:r>
      <w:r w:rsidRPr="00014C4D">
        <w:rPr>
          <w:rtl/>
        </w:rPr>
        <w:t>:</w:t>
      </w:r>
      <w:r w:rsidRPr="00014C4D">
        <w:rPr>
          <w:rFonts w:hint="cs"/>
          <w:b/>
          <w:bCs/>
          <w:rtl/>
        </w:rPr>
        <w:t xml:space="preserve"> מספר התלמידים ללא מיגון תקני ושיעורם מכלל התלמידים ב-94% מבתי הספר בישראל, לפי מחוזות, מרץ 2024</w:t>
      </w:r>
    </w:p>
    <w:p w:rsidR="00014C4D" w:rsidRPr="00014C4D" w:rsidRDefault="00014C4D" w:rsidP="00014C4D">
      <w:pPr>
        <w:spacing w:line="269" w:lineRule="auto"/>
        <w:rPr>
          <w:szCs w:val="20"/>
          <w:rtl/>
        </w:rPr>
      </w:pPr>
      <w:r w:rsidRPr="00014C4D">
        <w:rPr>
          <w:noProof/>
        </w:rPr>
        <w:drawing>
          <wp:inline distT="0" distB="0" distL="0" distR="0" wp14:anchorId="7B97778F" wp14:editId="7CD2AE9E">
            <wp:extent cx="5220335" cy="5007196"/>
            <wp:effectExtent l="0" t="0" r="0" b="3175"/>
            <wp:docPr id="1834351663" name="תמונה 1834351663"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2650"/>
                    <a:stretch/>
                  </pic:blipFill>
                  <pic:spPr bwMode="auto">
                    <a:xfrm>
                      <a:off x="0" y="0"/>
                      <a:ext cx="5220335" cy="5007196"/>
                    </a:xfrm>
                    <a:prstGeom prst="rect">
                      <a:avLst/>
                    </a:prstGeom>
                    <a:ln>
                      <a:noFill/>
                    </a:ln>
                    <a:extLst>
                      <a:ext uri="{53640926-AAD7-44D8-BBD7-CCE9431645EC}">
                        <a14:shadowObscured xmlns:a14="http://schemas.microsoft.com/office/drawing/2010/main"/>
                      </a:ext>
                    </a:extLst>
                  </pic:spPr>
                </pic:pic>
              </a:graphicData>
            </a:graphic>
          </wp:inline>
        </w:drawing>
      </w:r>
    </w:p>
    <w:p w:rsidR="00014C4D" w:rsidRPr="00014C4D" w:rsidRDefault="00014C4D" w:rsidP="00014C4D">
      <w:pPr>
        <w:spacing w:line="269" w:lineRule="auto"/>
        <w:rPr>
          <w:szCs w:val="20"/>
          <w:rtl/>
        </w:rPr>
      </w:pPr>
      <w:r w:rsidRPr="00014C4D">
        <w:rPr>
          <w:rFonts w:hint="cs"/>
          <w:szCs w:val="20"/>
          <w:rtl/>
        </w:rPr>
        <w:t xml:space="preserve">על פי נתוני משרד החינוך, בעיבוד משרד מבקר המדינה. מספר התלמידים ללא מיגון תקני חושב על ידי משרד החינוך לפי ההפרש שבין מספר התלמידים למספר תלמידים שיש להם מיגון תקני לפי המפתח של 0.5 מ"ר לתלמיד.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נכון למרץ 2024, </w:t>
      </w:r>
      <w:r w:rsidRPr="00014C4D">
        <w:rPr>
          <w:b/>
          <w:bCs/>
          <w:rtl/>
        </w:rPr>
        <w:t>לפי הנתונים שבידי משרד החינוך</w:t>
      </w:r>
      <w:r w:rsidRPr="00014C4D">
        <w:rPr>
          <w:rFonts w:hint="cs"/>
          <w:b/>
          <w:bCs/>
          <w:rtl/>
        </w:rPr>
        <w:t xml:space="preserve">, שיעור התלמידים ללא מיגון תקני ב-94% מבתי הספר בישראל היה 25%. משמעות הדבר היא שיותר מ-466,000 תלמידים שהו בבית הספר באופן יומיומי בלא מיגון תקני.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lastRenderedPageBreak/>
        <w:t xml:space="preserve">עוד עולה </w:t>
      </w:r>
      <w:r w:rsidRPr="00014C4D">
        <w:rPr>
          <w:rFonts w:hint="cs"/>
          <w:b/>
          <w:bCs/>
          <w:rtl/>
        </w:rPr>
        <w:t xml:space="preserve">מהלוח כי </w:t>
      </w:r>
      <w:r w:rsidRPr="00014C4D">
        <w:rPr>
          <w:b/>
          <w:bCs/>
          <w:rtl/>
        </w:rPr>
        <w:t>פערי המיגון הגדולים ביותר היו</w:t>
      </w:r>
      <w:r w:rsidRPr="00014C4D">
        <w:rPr>
          <w:rFonts w:hint="cs"/>
          <w:b/>
          <w:bCs/>
          <w:rtl/>
        </w:rPr>
        <w:t xml:space="preserve"> </w:t>
      </w:r>
      <w:r w:rsidRPr="00014C4D">
        <w:rPr>
          <w:b/>
          <w:bCs/>
          <w:rtl/>
        </w:rPr>
        <w:t xml:space="preserve">במחוזות ירושלים </w:t>
      </w:r>
      <w:r w:rsidRPr="00014C4D">
        <w:rPr>
          <w:rFonts w:hint="cs"/>
          <w:b/>
          <w:bCs/>
          <w:rtl/>
        </w:rPr>
        <w:t>(כ-34%)</w:t>
      </w:r>
      <w:r w:rsidRPr="00014C4D">
        <w:rPr>
          <w:b/>
          <w:bCs/>
          <w:rtl/>
        </w:rPr>
        <w:t xml:space="preserve"> </w:t>
      </w:r>
      <w:r w:rsidRPr="00014C4D">
        <w:rPr>
          <w:rFonts w:hint="cs"/>
          <w:b/>
          <w:bCs/>
          <w:rtl/>
        </w:rPr>
        <w:t>וחיפה (כ-29%).</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משרד החינוך מעדכן את הנתונים על מספר התלמידים בכל בית ספר בתחילת כל שנת לימודים, ואילו הנתונים על שטחי המיגון של 1,877 מתוך 5,146 בתי הספר (כ-36%) נכונים לתקופה שלפני שלוש שנים ויותר (השנים 2018 - 2021). כלומר, אם נוסף אגף בבית ספר או נבנה בית ספר חדש בשנים אלו, אין בידי משרד החינוך נתונים מעודכנים על סך השטח הממוגן בבית הספר. מכאן שהנתונים שבידי משרד החינוך על שיעור התלמידים ללא מיגון תקני אינם מדויקים.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עוד נמצא כי במועד הביקורת, באוגוסט 2024, לא היו למשרד החינוך נתונים על המיגון התקני ב-10,975 מתוך 21,419 (כ-51%) כיתות גני הילדים</w:t>
      </w:r>
      <w:r w:rsidRPr="00014C4D">
        <w:rPr>
          <w:b/>
          <w:bCs/>
          <w:vertAlign w:val="superscript"/>
          <w:rtl/>
        </w:rPr>
        <w:footnoteReference w:id="80"/>
      </w:r>
      <w:r w:rsidRPr="00014C4D">
        <w:rPr>
          <w:rFonts w:hint="cs"/>
          <w:b/>
          <w:bCs/>
          <w:rtl/>
        </w:rPr>
        <w:t>, וכי ל-2,548 מתוך 5,530 מעונות היום (46%) לא היה מיגון תקני</w:t>
      </w:r>
      <w:r w:rsidRPr="00014C4D">
        <w:rPr>
          <w:b/>
          <w:bCs/>
          <w:vertAlign w:val="superscript"/>
          <w:rtl/>
        </w:rPr>
        <w:footnoteReference w:id="81"/>
      </w:r>
      <w:r w:rsidRPr="00014C4D">
        <w:rPr>
          <w:rFonts w:hint="cs"/>
          <w:b/>
          <w:bCs/>
          <w:rtl/>
        </w:rPr>
        <w:t xml:space="preserve"> בשנת התשפ"ד.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כדי שתהיה בידו תמונת מצב נכונה על פערי המיגון במוסדות החינוך, על משרד החינוך לעדכן את הנתונים על שטחי המיגון במוסדות החינוך באופן שוטף.</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rtl/>
        </w:rPr>
        <w:t xml:space="preserve">משרד החינוך מסר לעובדי משרד מבקר המדינה באוגוסט 2024 כי בימים אלו הוא עורך מכרז להעסקת קבלנים לצורך קבלת </w:t>
      </w:r>
      <w:r w:rsidRPr="00014C4D">
        <w:rPr>
          <w:rtl/>
        </w:rPr>
        <w:t>הנתו</w:t>
      </w:r>
      <w:r w:rsidRPr="00014C4D">
        <w:rPr>
          <w:rFonts w:hint="cs"/>
          <w:rtl/>
        </w:rPr>
        <w:t>נים</w:t>
      </w:r>
      <w:r w:rsidRPr="00014C4D">
        <w:rPr>
          <w:rtl/>
        </w:rPr>
        <w:t xml:space="preserve"> </w:t>
      </w:r>
      <w:r w:rsidRPr="00014C4D">
        <w:rPr>
          <w:rFonts w:hint="cs"/>
          <w:rtl/>
        </w:rPr>
        <w:t xml:space="preserve">על פערי המיגון בגני הילדים </w:t>
      </w:r>
      <w:r w:rsidRPr="00014C4D">
        <w:rPr>
          <w:rtl/>
        </w:rPr>
        <w:t>באופן שוטף ומקצועי</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בתשובתו למשרד מבקר המדינה</w:t>
      </w:r>
      <w:r w:rsidRPr="00014C4D">
        <w:rPr>
          <w:rFonts w:hint="cs"/>
          <w:rtl/>
        </w:rPr>
        <w:t xml:space="preserve"> </w:t>
      </w:r>
      <w:r w:rsidRPr="00014C4D">
        <w:rPr>
          <w:rtl/>
        </w:rPr>
        <w:t xml:space="preserve">מסר משרד החינוך כי הוא </w:t>
      </w:r>
      <w:r w:rsidRPr="00014C4D">
        <w:rPr>
          <w:rFonts w:hint="cs"/>
          <w:rtl/>
        </w:rPr>
        <w:t>פועל ל</w:t>
      </w:r>
      <w:r w:rsidRPr="00014C4D">
        <w:rPr>
          <w:rtl/>
        </w:rPr>
        <w:t>פרסם מכרז חדש לטיוב</w:t>
      </w:r>
      <w:r w:rsidRPr="00014C4D">
        <w:rPr>
          <w:rFonts w:hint="cs"/>
          <w:rtl/>
        </w:rPr>
        <w:t xml:space="preserve"> </w:t>
      </w:r>
      <w:r w:rsidRPr="00014C4D">
        <w:rPr>
          <w:rtl/>
        </w:rPr>
        <w:t xml:space="preserve">מערך הבקרה </w:t>
      </w:r>
      <w:r w:rsidRPr="00014C4D">
        <w:rPr>
          <w:rFonts w:hint="cs"/>
          <w:rtl/>
        </w:rPr>
        <w:t>על נתוני</w:t>
      </w:r>
      <w:r w:rsidRPr="00014C4D">
        <w:rPr>
          <w:rtl/>
        </w:rPr>
        <w:t xml:space="preserve"> המיגון ברשויות ובמוסדות החינוך</w:t>
      </w:r>
      <w:r w:rsidRPr="00014C4D">
        <w:rPr>
          <w:rFonts w:hint="cs"/>
          <w:rtl/>
        </w:rPr>
        <w:t xml:space="preserve"> וליצירת ממשק בין המערכות הממוחשבות של המשרד. השדרוג נועד</w:t>
      </w:r>
      <w:r w:rsidRPr="00014C4D">
        <w:rPr>
          <w:rtl/>
        </w:rPr>
        <w:t xml:space="preserve"> לאפשר </w:t>
      </w:r>
      <w:r w:rsidRPr="00014C4D">
        <w:rPr>
          <w:rFonts w:hint="cs"/>
          <w:rtl/>
        </w:rPr>
        <w:t xml:space="preserve">גם </w:t>
      </w:r>
      <w:r w:rsidRPr="00014C4D">
        <w:rPr>
          <w:rtl/>
        </w:rPr>
        <w:t xml:space="preserve">איסוף </w:t>
      </w:r>
      <w:r w:rsidRPr="00014C4D">
        <w:rPr>
          <w:rFonts w:hint="cs"/>
          <w:rtl/>
        </w:rPr>
        <w:t>של נ</w:t>
      </w:r>
      <w:r w:rsidRPr="00014C4D">
        <w:rPr>
          <w:rtl/>
        </w:rPr>
        <w:t xml:space="preserve">תוני </w:t>
      </w:r>
      <w:r w:rsidRPr="00014C4D">
        <w:rPr>
          <w:rFonts w:hint="cs"/>
          <w:rtl/>
        </w:rPr>
        <w:t>ה</w:t>
      </w:r>
      <w:r w:rsidRPr="00014C4D">
        <w:rPr>
          <w:rtl/>
        </w:rPr>
        <w:t xml:space="preserve">מיגון </w:t>
      </w:r>
      <w:r w:rsidRPr="00014C4D">
        <w:rPr>
          <w:rFonts w:hint="cs"/>
          <w:rtl/>
        </w:rPr>
        <w:t xml:space="preserve">של </w:t>
      </w:r>
      <w:r w:rsidRPr="00014C4D">
        <w:rPr>
          <w:rtl/>
        </w:rPr>
        <w:t xml:space="preserve">22,000 גני </w:t>
      </w:r>
      <w:r w:rsidRPr="00014C4D">
        <w:rPr>
          <w:rFonts w:hint="cs"/>
          <w:rtl/>
        </w:rPr>
        <w:t>ה</w:t>
      </w:r>
      <w:r w:rsidRPr="00014C4D">
        <w:rPr>
          <w:rtl/>
        </w:rPr>
        <w:t>ילדים ב</w:t>
      </w:r>
      <w:r w:rsidRPr="00014C4D">
        <w:rPr>
          <w:rFonts w:hint="cs"/>
          <w:rtl/>
        </w:rPr>
        <w:t>כלל</w:t>
      </w:r>
      <w:r w:rsidRPr="00014C4D">
        <w:rPr>
          <w:rtl/>
        </w:rPr>
        <w:t xml:space="preserve"> </w:t>
      </w:r>
      <w:r w:rsidRPr="00014C4D">
        <w:rPr>
          <w:rFonts w:hint="cs"/>
          <w:rtl/>
        </w:rPr>
        <w:t>ה</w:t>
      </w:r>
      <w:r w:rsidRPr="00014C4D">
        <w:rPr>
          <w:rtl/>
        </w:rPr>
        <w:t xml:space="preserve">רשויות </w:t>
      </w:r>
      <w:r w:rsidRPr="00014C4D">
        <w:rPr>
          <w:rFonts w:hint="cs"/>
          <w:rtl/>
        </w:rPr>
        <w:t>ה</w:t>
      </w:r>
      <w:r w:rsidRPr="00014C4D">
        <w:rPr>
          <w:rtl/>
        </w:rPr>
        <w:t>מקומיות.</w:t>
      </w:r>
      <w:r w:rsidRPr="00014C4D">
        <w:rPr>
          <w:rFonts w:hint="cs"/>
          <w:rtl/>
        </w:rPr>
        <w:t xml:space="preserve"> עוד מסר משרד החינוך </w:t>
      </w:r>
      <w:r w:rsidRPr="00014C4D">
        <w:rPr>
          <w:rtl/>
        </w:rPr>
        <w:t>בת</w:t>
      </w:r>
      <w:r w:rsidRPr="00014C4D">
        <w:rPr>
          <w:rFonts w:hint="cs"/>
          <w:rtl/>
        </w:rPr>
        <w:t>שובתו</w:t>
      </w:r>
      <w:r w:rsidRPr="00014C4D">
        <w:rPr>
          <w:rtl/>
        </w:rPr>
        <w:t xml:space="preserve"> כי נכון </w:t>
      </w:r>
      <w:r w:rsidRPr="00014C4D">
        <w:rPr>
          <w:rFonts w:hint="cs"/>
          <w:rtl/>
        </w:rPr>
        <w:t>ליוני</w:t>
      </w:r>
      <w:r w:rsidRPr="00014C4D">
        <w:rPr>
          <w:rtl/>
        </w:rPr>
        <w:t xml:space="preserve"> 2025, </w:t>
      </w:r>
      <w:r w:rsidRPr="00014C4D">
        <w:rPr>
          <w:rFonts w:hint="cs"/>
          <w:rtl/>
        </w:rPr>
        <w:t xml:space="preserve">לפי הנתונים שבידו, </w:t>
      </w:r>
      <w:r w:rsidRPr="00014C4D">
        <w:rPr>
          <w:rtl/>
        </w:rPr>
        <w:t xml:space="preserve">מספר המעונות הממוגנים </w:t>
      </w:r>
      <w:r w:rsidRPr="00014C4D">
        <w:rPr>
          <w:rFonts w:hint="cs"/>
          <w:rtl/>
        </w:rPr>
        <w:t xml:space="preserve">הוא </w:t>
      </w:r>
      <w:r w:rsidRPr="00014C4D">
        <w:rPr>
          <w:rtl/>
        </w:rPr>
        <w:t>2,952 מתוך 5,787 (51%)</w:t>
      </w:r>
      <w:r w:rsidRPr="00014C4D">
        <w:rPr>
          <w:rFonts w:hint="cs"/>
          <w:rtl/>
        </w:rPr>
        <w:t xml:space="preserve">. </w:t>
      </w:r>
      <w:r w:rsidRPr="00014C4D">
        <w:rPr>
          <w:rtl/>
        </w:rPr>
        <w:t xml:space="preserve">הנתונים המעודכנים </w:t>
      </w:r>
      <w:r w:rsidRPr="00014C4D">
        <w:rPr>
          <w:rFonts w:hint="cs"/>
          <w:rtl/>
        </w:rPr>
        <w:t>הוזנו ל</w:t>
      </w:r>
      <w:r w:rsidRPr="00014C4D">
        <w:rPr>
          <w:rtl/>
        </w:rPr>
        <w:t>מערכת</w:t>
      </w:r>
      <w:r w:rsidRPr="00014C4D">
        <w:rPr>
          <w:rFonts w:hint="cs"/>
          <w:rtl/>
        </w:rPr>
        <w:t xml:space="preserve"> משל"ט</w:t>
      </w:r>
      <w:r w:rsidRPr="00014C4D">
        <w:rPr>
          <w:rtl/>
        </w:rPr>
        <w:t xml:space="preserve"> נתוני </w:t>
      </w:r>
      <w:r w:rsidRPr="00014C4D">
        <w:rPr>
          <w:rFonts w:hint="cs"/>
          <w:rtl/>
        </w:rPr>
        <w:t>ה</w:t>
      </w:r>
      <w:r w:rsidRPr="00014C4D">
        <w:rPr>
          <w:rtl/>
        </w:rPr>
        <w:t>חירום</w:t>
      </w:r>
      <w:r w:rsidRPr="00014C4D">
        <w:rPr>
          <w:vertAlign w:val="superscript"/>
          <w:rtl/>
        </w:rPr>
        <w:footnoteReference w:id="82"/>
      </w:r>
      <w:r w:rsidRPr="00014C4D">
        <w:rPr>
          <w:rtl/>
        </w:rPr>
        <w:t xml:space="preserve"> של המשרד</w:t>
      </w:r>
      <w:r w:rsidRPr="00014C4D">
        <w:rPr>
          <w:rFonts w:hint="cs"/>
          <w:rtl/>
        </w:rPr>
        <w:t>.</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פערי המיגון במוסדות החינוך ברשויות שנבדקו</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sz w:val="24"/>
          <w:rtl/>
        </w:rPr>
      </w:pPr>
      <w:r w:rsidRPr="00014C4D">
        <w:rPr>
          <w:rFonts w:ascii="David" w:eastAsia="Times New Roman" w:hAnsi="David" w:hint="cs"/>
          <w:sz w:val="24"/>
          <w:rtl/>
        </w:rPr>
        <w:t xml:space="preserve">כאמור, על פי המנחה למיגון ותיק האב לרשויות המקומיות, </w:t>
      </w:r>
      <w:r w:rsidRPr="00014C4D">
        <w:rPr>
          <w:rFonts w:ascii="David" w:eastAsia="Times New Roman" w:hAnsi="David"/>
          <w:sz w:val="24"/>
          <w:rtl/>
        </w:rPr>
        <w:t xml:space="preserve">הרשות המקומית אחראית </w:t>
      </w:r>
      <w:r w:rsidRPr="00014C4D">
        <w:rPr>
          <w:rFonts w:ascii="David" w:eastAsia="Times New Roman" w:hAnsi="David" w:hint="cs"/>
          <w:sz w:val="24"/>
          <w:rtl/>
        </w:rPr>
        <w:t>למיפוי השטחים המוגנים במוסדות החינוך, לניתוח פערי המיגון ולהכנת תוכנית המספקת מענה לקיום הפעילות בהם</w:t>
      </w:r>
      <w:r w:rsidRPr="00014C4D">
        <w:rPr>
          <w:rFonts w:ascii="David" w:eastAsia="Times New Roman" w:hAnsi="David"/>
          <w:sz w:val="24"/>
          <w:rtl/>
        </w:rPr>
        <w:t>.</w:t>
      </w:r>
      <w:r w:rsidRPr="00014C4D">
        <w:rPr>
          <w:rFonts w:ascii="David" w:eastAsia="Times New Roman" w:hAnsi="David" w:hint="cs"/>
          <w:sz w:val="24"/>
          <w:rtl/>
        </w:rPr>
        <w:t xml:space="preserve"> </w:t>
      </w:r>
      <w:r w:rsidRPr="00014C4D">
        <w:rPr>
          <w:rFonts w:hint="cs"/>
          <w:sz w:val="24"/>
          <w:rtl/>
        </w:rPr>
        <w:t>להלן נתונים על מספר התלמידים שלמדו בבתי ספר ובגני ילדים ללא מיגון תקני ברשויות שנבדקו:</w:t>
      </w:r>
    </w:p>
    <w:p w:rsidR="00014C4D" w:rsidRPr="00014C4D" w:rsidRDefault="00014C4D" w:rsidP="00014C4D">
      <w:pPr>
        <w:rPr>
          <w:rtl/>
        </w:rPr>
      </w:pPr>
    </w:p>
    <w:p w:rsidR="00014C4D" w:rsidRPr="00014C4D" w:rsidRDefault="00014C4D" w:rsidP="00014C4D">
      <w:pPr>
        <w:bidi w:val="0"/>
        <w:spacing w:after="200" w:line="276" w:lineRule="auto"/>
        <w:rPr>
          <w:rFonts w:eastAsia="Times New Roman"/>
          <w:bCs/>
          <w:szCs w:val="26"/>
          <w:rtl/>
        </w:rPr>
      </w:pPr>
      <w:r w:rsidRPr="00014C4D">
        <w:rPr>
          <w:rFonts w:eastAsia="Times New Roman"/>
          <w:rtl/>
        </w:rPr>
        <w:br w:type="page"/>
      </w:r>
    </w:p>
    <w:p w:rsidR="00014C4D" w:rsidRPr="00014C4D" w:rsidRDefault="00014C4D" w:rsidP="00014C4D">
      <w:pPr>
        <w:keepNext/>
        <w:keepLines/>
        <w:spacing w:line="269" w:lineRule="auto"/>
        <w:outlineLvl w:val="3"/>
        <w:rPr>
          <w:rFonts w:eastAsia="Times New Roman"/>
          <w:bCs/>
          <w:szCs w:val="26"/>
          <w:rtl/>
        </w:rPr>
      </w:pPr>
      <w:r w:rsidRPr="00014C4D">
        <w:rPr>
          <w:rFonts w:eastAsia="Times New Roman" w:hint="cs"/>
          <w:bCs/>
          <w:szCs w:val="26"/>
          <w:rtl/>
        </w:rPr>
        <w:lastRenderedPageBreak/>
        <w:t xml:space="preserve">בתי ספר </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eastAsia"/>
          <w:rtl/>
        </w:rPr>
        <w:t>לוח</w:t>
      </w:r>
      <w:r w:rsidRPr="00014C4D">
        <w:rPr>
          <w:rtl/>
        </w:rPr>
        <w:t xml:space="preserve"> </w:t>
      </w:r>
      <w:r w:rsidRPr="00014C4D">
        <w:rPr>
          <w:rFonts w:hint="cs"/>
          <w:rtl/>
        </w:rPr>
        <w:t>6</w:t>
      </w:r>
      <w:r w:rsidRPr="00014C4D">
        <w:rPr>
          <w:rtl/>
        </w:rPr>
        <w:t>:</w:t>
      </w:r>
      <w:r w:rsidRPr="00014C4D">
        <w:rPr>
          <w:rFonts w:hint="cs"/>
          <w:b/>
          <w:bCs/>
          <w:rtl/>
        </w:rPr>
        <w:t xml:space="preserve"> תלמידים ללא מיגון תקני ברשויות שנבדקו</w:t>
      </w:r>
    </w:p>
    <w:tbl>
      <w:tblPr>
        <w:bidiVisual/>
        <w:tblW w:w="4974"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0"/>
        <w:gridCol w:w="1826"/>
        <w:gridCol w:w="1824"/>
        <w:gridCol w:w="1823"/>
      </w:tblGrid>
      <w:tr w:rsidR="00014C4D" w:rsidRPr="00014C4D" w:rsidTr="00014C4D">
        <w:trPr>
          <w:trHeight w:val="736"/>
          <w:tblHeader/>
        </w:trPr>
        <w:tc>
          <w:tcPr>
            <w:tcW w:w="958"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Pr>
            </w:pPr>
            <w:r w:rsidRPr="00014C4D">
              <w:rPr>
                <w:rFonts w:ascii="David" w:eastAsia="Times New Roman" w:hAnsi="David" w:hint="eastAsia"/>
                <w:b/>
                <w:bCs/>
                <w:sz w:val="22"/>
                <w:szCs w:val="22"/>
                <w:rtl/>
              </w:rPr>
              <w:t>ה</w:t>
            </w:r>
            <w:r w:rsidRPr="00014C4D">
              <w:rPr>
                <w:rFonts w:ascii="David" w:eastAsia="Times New Roman" w:hAnsi="David"/>
                <w:b/>
                <w:bCs/>
                <w:sz w:val="22"/>
                <w:szCs w:val="22"/>
                <w:rtl/>
              </w:rPr>
              <w:t xml:space="preserve">רשות </w:t>
            </w:r>
            <w:r w:rsidRPr="00014C4D">
              <w:rPr>
                <w:rFonts w:ascii="David" w:eastAsia="Times New Roman" w:hAnsi="David" w:hint="eastAsia"/>
                <w:b/>
                <w:bCs/>
                <w:sz w:val="22"/>
                <w:szCs w:val="22"/>
                <w:rtl/>
              </w:rPr>
              <w:t>ה</w:t>
            </w:r>
            <w:r w:rsidRPr="00014C4D">
              <w:rPr>
                <w:rFonts w:ascii="David" w:eastAsia="Times New Roman" w:hAnsi="David"/>
                <w:b/>
                <w:bCs/>
                <w:sz w:val="22"/>
                <w:szCs w:val="22"/>
                <w:rtl/>
              </w:rPr>
              <w:t>מקומית</w:t>
            </w:r>
          </w:p>
        </w:tc>
        <w:tc>
          <w:tcPr>
            <w:tcW w:w="958"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סוג בית הספר</w:t>
            </w:r>
          </w:p>
        </w:tc>
        <w:tc>
          <w:tcPr>
            <w:tcW w:w="1029"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eastAsia"/>
                <w:b/>
                <w:bCs/>
                <w:sz w:val="22"/>
                <w:szCs w:val="22"/>
                <w:rtl/>
              </w:rPr>
              <w:t>מס</w:t>
            </w:r>
            <w:r w:rsidRPr="00014C4D">
              <w:rPr>
                <w:rFonts w:ascii="David" w:eastAsia="Times New Roman" w:hAnsi="David" w:hint="cs"/>
                <w:b/>
                <w:bCs/>
                <w:sz w:val="22"/>
                <w:szCs w:val="22"/>
                <w:rtl/>
              </w:rPr>
              <w:t>פר</w:t>
            </w:r>
            <w:r w:rsidRPr="00014C4D">
              <w:rPr>
                <w:rFonts w:ascii="David" w:eastAsia="Times New Roman" w:hAnsi="David"/>
                <w:b/>
                <w:bCs/>
                <w:sz w:val="22"/>
                <w:szCs w:val="22"/>
                <w:rtl/>
              </w:rPr>
              <w:t xml:space="preserve"> התלמידים</w:t>
            </w:r>
          </w:p>
        </w:tc>
        <w:tc>
          <w:tcPr>
            <w:tcW w:w="1028"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eastAsia"/>
                <w:b/>
                <w:bCs/>
                <w:sz w:val="22"/>
                <w:szCs w:val="22"/>
                <w:rtl/>
              </w:rPr>
              <w:t>מס</w:t>
            </w:r>
            <w:r w:rsidRPr="00014C4D">
              <w:rPr>
                <w:rFonts w:ascii="David" w:eastAsia="Times New Roman" w:hAnsi="David" w:hint="cs"/>
                <w:b/>
                <w:bCs/>
                <w:sz w:val="22"/>
                <w:szCs w:val="22"/>
                <w:rtl/>
              </w:rPr>
              <w:t>פר</w:t>
            </w:r>
            <w:r w:rsidRPr="00014C4D">
              <w:rPr>
                <w:rFonts w:ascii="David" w:eastAsia="Times New Roman" w:hAnsi="David"/>
                <w:b/>
                <w:bCs/>
                <w:sz w:val="22"/>
                <w:szCs w:val="22"/>
                <w:rtl/>
              </w:rPr>
              <w:t xml:space="preserve"> התלמידים ללא מיגון תקני</w:t>
            </w:r>
            <w:r w:rsidRPr="00014C4D">
              <w:rPr>
                <w:rFonts w:ascii="David" w:eastAsia="Times New Roman" w:hAnsi="David" w:hint="cs"/>
                <w:b/>
                <w:bCs/>
                <w:sz w:val="22"/>
                <w:szCs w:val="22"/>
                <w:rtl/>
              </w:rPr>
              <w:t>*</w:t>
            </w:r>
          </w:p>
        </w:tc>
        <w:tc>
          <w:tcPr>
            <w:tcW w:w="1027"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eastAsia"/>
                <w:b/>
                <w:bCs/>
                <w:sz w:val="22"/>
                <w:szCs w:val="22"/>
                <w:rtl/>
              </w:rPr>
              <w:t>שיעור</w:t>
            </w:r>
            <w:r w:rsidRPr="00014C4D">
              <w:rPr>
                <w:rFonts w:ascii="David" w:eastAsia="Times New Roman" w:hAnsi="David"/>
                <w:b/>
                <w:bCs/>
                <w:sz w:val="22"/>
                <w:szCs w:val="22"/>
                <w:rtl/>
              </w:rPr>
              <w:t xml:space="preserve"> התלמידים ללא </w:t>
            </w:r>
            <w:r w:rsidRPr="00014C4D">
              <w:rPr>
                <w:rFonts w:ascii="David" w:eastAsia="Times New Roman" w:hAnsi="David" w:hint="eastAsia"/>
                <w:b/>
                <w:bCs/>
                <w:sz w:val="22"/>
                <w:szCs w:val="22"/>
                <w:rtl/>
              </w:rPr>
              <w:t>מיגון</w:t>
            </w:r>
            <w:r w:rsidRPr="00014C4D">
              <w:rPr>
                <w:rFonts w:ascii="David" w:eastAsia="Times New Roman" w:hAnsi="David"/>
                <w:b/>
                <w:bCs/>
                <w:sz w:val="22"/>
                <w:szCs w:val="22"/>
                <w:rtl/>
              </w:rPr>
              <w:t xml:space="preserve"> </w:t>
            </w:r>
            <w:r w:rsidRPr="00014C4D">
              <w:rPr>
                <w:rFonts w:ascii="David" w:eastAsia="Times New Roman" w:hAnsi="David" w:hint="eastAsia"/>
                <w:b/>
                <w:bCs/>
                <w:sz w:val="22"/>
                <w:szCs w:val="22"/>
                <w:rtl/>
              </w:rPr>
              <w:t>תקני</w:t>
            </w:r>
          </w:p>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(ב-%)</w:t>
            </w:r>
          </w:p>
        </w:tc>
      </w:tr>
      <w:tr w:rsidR="00014C4D" w:rsidRPr="00014C4D" w:rsidTr="00014C4D">
        <w:trPr>
          <w:trHeight w:val="315"/>
        </w:trPr>
        <w:tc>
          <w:tcPr>
            <w:tcW w:w="958" w:type="pct"/>
            <w:vMerge w:val="restar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אשקלון</w:t>
            </w:r>
          </w:p>
        </w:tc>
        <w:tc>
          <w:tcPr>
            <w:tcW w:w="958" w:type="pct"/>
            <w:shd w:val="clear" w:color="000000" w:fill="FFFFFF"/>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יסודי</w:t>
            </w:r>
          </w:p>
        </w:tc>
        <w:tc>
          <w:tcPr>
            <w:tcW w:w="1029" w:type="pct"/>
            <w:shd w:val="clear" w:color="auto" w:fill="auto"/>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15,697 </w:t>
            </w:r>
          </w:p>
        </w:tc>
        <w:tc>
          <w:tcPr>
            <w:tcW w:w="1028" w:type="pct"/>
            <w:shd w:val="clear" w:color="auto" w:fill="auto"/>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1,853 </w:t>
            </w:r>
          </w:p>
        </w:tc>
        <w:tc>
          <w:tcPr>
            <w:tcW w:w="1027" w:type="pct"/>
            <w:shd w:val="clear" w:color="auto" w:fill="auto"/>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12%</w:t>
            </w:r>
          </w:p>
        </w:tc>
      </w:tr>
      <w:tr w:rsidR="00014C4D" w:rsidRPr="00014C4D" w:rsidTr="00014C4D">
        <w:trPr>
          <w:trHeight w:val="315"/>
        </w:trPr>
        <w:tc>
          <w:tcPr>
            <w:tcW w:w="958" w:type="pct"/>
            <w:vMerge/>
            <w:vAlign w:val="center"/>
            <w:hideMark/>
          </w:tcPr>
          <w:p w:rsidR="00014C4D" w:rsidRPr="00014C4D" w:rsidRDefault="00014C4D" w:rsidP="00014C4D">
            <w:pPr>
              <w:spacing w:line="269" w:lineRule="auto"/>
              <w:rPr>
                <w:rFonts w:ascii="David" w:eastAsia="Times New Roman" w:hAnsi="David"/>
                <w:b/>
                <w:bCs/>
                <w:sz w:val="22"/>
                <w:szCs w:val="22"/>
              </w:rPr>
            </w:pPr>
          </w:p>
        </w:tc>
        <w:tc>
          <w:tcPr>
            <w:tcW w:w="958" w:type="pct"/>
            <w:shd w:val="clear" w:color="000000" w:fill="FFFFFF"/>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על-יסודי</w:t>
            </w:r>
          </w:p>
        </w:tc>
        <w:tc>
          <w:tcPr>
            <w:tcW w:w="1029" w:type="pct"/>
            <w:shd w:val="clear" w:color="auto" w:fill="auto"/>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13,160 </w:t>
            </w:r>
          </w:p>
        </w:tc>
        <w:tc>
          <w:tcPr>
            <w:tcW w:w="1028" w:type="pct"/>
            <w:shd w:val="clear" w:color="auto" w:fill="auto"/>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1,441</w:t>
            </w:r>
          </w:p>
        </w:tc>
        <w:tc>
          <w:tcPr>
            <w:tcW w:w="1027" w:type="pct"/>
            <w:shd w:val="clear" w:color="auto" w:fill="auto"/>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11% </w:t>
            </w:r>
          </w:p>
        </w:tc>
      </w:tr>
      <w:tr w:rsidR="00014C4D" w:rsidRPr="00014C4D" w:rsidTr="00014C4D">
        <w:trPr>
          <w:trHeight w:val="315"/>
        </w:trPr>
        <w:tc>
          <w:tcPr>
            <w:tcW w:w="958" w:type="pct"/>
            <w:vMerge/>
            <w:vAlign w:val="center"/>
            <w:hideMark/>
          </w:tcPr>
          <w:p w:rsidR="00014C4D" w:rsidRPr="00014C4D" w:rsidRDefault="00014C4D" w:rsidP="00014C4D">
            <w:pPr>
              <w:spacing w:line="269" w:lineRule="auto"/>
              <w:rPr>
                <w:rFonts w:ascii="David" w:eastAsia="Times New Roman" w:hAnsi="David"/>
                <w:b/>
                <w:bCs/>
                <w:sz w:val="22"/>
                <w:szCs w:val="22"/>
              </w:rPr>
            </w:pPr>
          </w:p>
        </w:tc>
        <w:tc>
          <w:tcPr>
            <w:tcW w:w="958" w:type="pct"/>
            <w:shd w:val="clear" w:color="000000" w:fill="FFFFFF"/>
            <w:noWrap/>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סה"כ</w:t>
            </w:r>
          </w:p>
        </w:tc>
        <w:tc>
          <w:tcPr>
            <w:tcW w:w="1029" w:type="pc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28,898 </w:t>
            </w:r>
          </w:p>
        </w:tc>
        <w:tc>
          <w:tcPr>
            <w:tcW w:w="1028" w:type="pc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3,294 </w:t>
            </w:r>
          </w:p>
        </w:tc>
        <w:tc>
          <w:tcPr>
            <w:tcW w:w="1027" w:type="pct"/>
            <w:shd w:val="clear" w:color="auto" w:fill="auto"/>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11% </w:t>
            </w:r>
          </w:p>
        </w:tc>
      </w:tr>
      <w:tr w:rsidR="00014C4D" w:rsidRPr="00014C4D" w:rsidTr="00014C4D">
        <w:trPr>
          <w:trHeight w:val="330"/>
        </w:trPr>
        <w:tc>
          <w:tcPr>
            <w:tcW w:w="958" w:type="pct"/>
            <w:vMerge w:val="restart"/>
            <w:shd w:val="clear" w:color="000000" w:fill="FFFFFF"/>
            <w:noWrap/>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גבעתיים</w:t>
            </w:r>
          </w:p>
        </w:tc>
        <w:tc>
          <w:tcPr>
            <w:tcW w:w="958" w:type="pct"/>
            <w:shd w:val="clear" w:color="000000" w:fill="FFFFFF"/>
            <w:noWrap/>
            <w:vAlign w:val="center"/>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יסודי</w:t>
            </w:r>
          </w:p>
        </w:tc>
        <w:tc>
          <w:tcPr>
            <w:tcW w:w="1029"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5,828</w:t>
            </w:r>
          </w:p>
        </w:tc>
        <w:tc>
          <w:tcPr>
            <w:tcW w:w="1028"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1339</w:t>
            </w:r>
          </w:p>
        </w:tc>
        <w:tc>
          <w:tcPr>
            <w:tcW w:w="1027"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23%</w:t>
            </w:r>
          </w:p>
        </w:tc>
      </w:tr>
      <w:tr w:rsidR="00014C4D" w:rsidRPr="00014C4D" w:rsidTr="00014C4D">
        <w:trPr>
          <w:trHeight w:val="315"/>
        </w:trPr>
        <w:tc>
          <w:tcPr>
            <w:tcW w:w="958" w:type="pct"/>
            <w:vMerge/>
            <w:vAlign w:val="center"/>
            <w:hideMark/>
          </w:tcPr>
          <w:p w:rsidR="00014C4D" w:rsidRPr="00014C4D" w:rsidRDefault="00014C4D" w:rsidP="00014C4D">
            <w:pPr>
              <w:spacing w:line="269" w:lineRule="auto"/>
              <w:rPr>
                <w:rFonts w:ascii="David" w:eastAsia="Times New Roman" w:hAnsi="David"/>
                <w:b/>
                <w:bCs/>
                <w:sz w:val="22"/>
                <w:szCs w:val="22"/>
              </w:rPr>
            </w:pPr>
          </w:p>
        </w:tc>
        <w:tc>
          <w:tcPr>
            <w:tcW w:w="958" w:type="pct"/>
            <w:shd w:val="clear" w:color="000000" w:fill="FFFFFF"/>
            <w:noWrap/>
            <w:vAlign w:val="center"/>
            <w:hideMark/>
          </w:tcPr>
          <w:p w:rsidR="00014C4D" w:rsidRPr="00014C4D" w:rsidRDefault="00014C4D" w:rsidP="00014C4D">
            <w:pPr>
              <w:spacing w:line="269" w:lineRule="auto"/>
              <w:jc w:val="left"/>
              <w:rPr>
                <w:rFonts w:ascii="David" w:eastAsia="Times New Roman" w:hAnsi="David"/>
                <w:sz w:val="22"/>
                <w:szCs w:val="22"/>
              </w:rPr>
            </w:pPr>
            <w:r w:rsidRPr="00014C4D">
              <w:rPr>
                <w:rFonts w:ascii="David" w:eastAsia="Times New Roman" w:hAnsi="David" w:hint="cs"/>
                <w:sz w:val="22"/>
                <w:szCs w:val="22"/>
                <w:rtl/>
              </w:rPr>
              <w:t>על-יסודי</w:t>
            </w:r>
          </w:p>
        </w:tc>
        <w:tc>
          <w:tcPr>
            <w:tcW w:w="1029"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3,352</w:t>
            </w:r>
          </w:p>
        </w:tc>
        <w:tc>
          <w:tcPr>
            <w:tcW w:w="1028"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2,086</w:t>
            </w:r>
          </w:p>
        </w:tc>
        <w:tc>
          <w:tcPr>
            <w:tcW w:w="1027"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62%</w:t>
            </w:r>
          </w:p>
        </w:tc>
      </w:tr>
      <w:tr w:rsidR="00014C4D" w:rsidRPr="00014C4D" w:rsidTr="00014C4D">
        <w:trPr>
          <w:trHeight w:val="315"/>
        </w:trPr>
        <w:tc>
          <w:tcPr>
            <w:tcW w:w="958" w:type="pct"/>
            <w:vMerge/>
            <w:vAlign w:val="center"/>
            <w:hideMark/>
          </w:tcPr>
          <w:p w:rsidR="00014C4D" w:rsidRPr="00014C4D" w:rsidRDefault="00014C4D" w:rsidP="00014C4D">
            <w:pPr>
              <w:spacing w:line="269" w:lineRule="auto"/>
              <w:rPr>
                <w:rFonts w:ascii="David" w:eastAsia="Times New Roman" w:hAnsi="David"/>
                <w:b/>
                <w:bCs/>
                <w:sz w:val="22"/>
                <w:szCs w:val="22"/>
              </w:rPr>
            </w:pPr>
          </w:p>
        </w:tc>
        <w:tc>
          <w:tcPr>
            <w:tcW w:w="958" w:type="pct"/>
            <w:shd w:val="clear" w:color="000000" w:fill="FFFFFF"/>
            <w:noWrap/>
            <w:vAlign w:val="center"/>
            <w:hideMark/>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סה"כ</w:t>
            </w:r>
          </w:p>
        </w:tc>
        <w:tc>
          <w:tcPr>
            <w:tcW w:w="1029"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9,180</w:t>
            </w:r>
          </w:p>
        </w:tc>
        <w:tc>
          <w:tcPr>
            <w:tcW w:w="1028"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3,425</w:t>
            </w:r>
          </w:p>
        </w:tc>
        <w:tc>
          <w:tcPr>
            <w:tcW w:w="1027" w:type="pct"/>
            <w:shd w:val="clear" w:color="000000" w:fill="FFFFFF"/>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37%</w:t>
            </w:r>
          </w:p>
        </w:tc>
      </w:tr>
      <w:tr w:rsidR="00014C4D" w:rsidRPr="00014C4D" w:rsidTr="00014C4D">
        <w:trPr>
          <w:trHeight w:val="330"/>
        </w:trPr>
        <w:tc>
          <w:tcPr>
            <w:tcW w:w="958" w:type="pct"/>
            <w:vMerge w:val="restart"/>
            <w:shd w:val="clear" w:color="000000" w:fill="FFFFFF"/>
            <w:noWrap/>
            <w:vAlign w:val="center"/>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חולון</w:t>
            </w: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יסודי</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15,715</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2,037</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13%</w:t>
            </w:r>
          </w:p>
        </w:tc>
      </w:tr>
      <w:tr w:rsidR="00014C4D" w:rsidRPr="00014C4D" w:rsidTr="00014C4D">
        <w:trPr>
          <w:trHeight w:val="330"/>
        </w:trPr>
        <w:tc>
          <w:tcPr>
            <w:tcW w:w="958" w:type="pct"/>
            <w:vMerge/>
            <w:shd w:val="clear" w:color="000000" w:fill="FFFFFF"/>
            <w:noWrap/>
            <w:vAlign w:val="center"/>
          </w:tcPr>
          <w:p w:rsidR="00014C4D" w:rsidRPr="00014C4D" w:rsidRDefault="00014C4D" w:rsidP="00014C4D">
            <w:pPr>
              <w:spacing w:line="269" w:lineRule="auto"/>
              <w:jc w:val="left"/>
              <w:rPr>
                <w:rFonts w:ascii="David" w:eastAsia="Times New Roman" w:hAnsi="David"/>
                <w:b/>
                <w:bCs/>
                <w:sz w:val="22"/>
                <w:szCs w:val="22"/>
                <w:rtl/>
              </w:rPr>
            </w:pP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על-יסודי</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13,757</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hint="cs"/>
                <w:sz w:val="22"/>
                <w:szCs w:val="22"/>
                <w:rtl/>
              </w:rPr>
              <w:t>4,356</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35%</w:t>
            </w:r>
          </w:p>
        </w:tc>
      </w:tr>
      <w:tr w:rsidR="00014C4D" w:rsidRPr="00014C4D" w:rsidTr="00014C4D">
        <w:trPr>
          <w:trHeight w:val="330"/>
        </w:trPr>
        <w:tc>
          <w:tcPr>
            <w:tcW w:w="958" w:type="pct"/>
            <w:vMerge/>
            <w:shd w:val="clear" w:color="000000" w:fill="FFFFFF"/>
            <w:noWrap/>
            <w:vAlign w:val="center"/>
          </w:tcPr>
          <w:p w:rsidR="00014C4D" w:rsidRPr="00014C4D" w:rsidRDefault="00014C4D" w:rsidP="00014C4D">
            <w:pPr>
              <w:spacing w:line="269" w:lineRule="auto"/>
              <w:jc w:val="left"/>
              <w:rPr>
                <w:rFonts w:ascii="David" w:eastAsia="Times New Roman" w:hAnsi="David"/>
                <w:b/>
                <w:bCs/>
                <w:sz w:val="22"/>
                <w:szCs w:val="22"/>
                <w:rtl/>
              </w:rPr>
            </w:pP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b/>
                <w:bCs/>
                <w:sz w:val="22"/>
                <w:szCs w:val="22"/>
                <w:rtl/>
              </w:rPr>
              <w:t>סה"כ</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b/>
                <w:bCs/>
                <w:sz w:val="22"/>
                <w:szCs w:val="22"/>
              </w:rPr>
              <w:t>29,472</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hint="cs"/>
                <w:b/>
                <w:bCs/>
                <w:sz w:val="22"/>
                <w:szCs w:val="22"/>
                <w:rtl/>
              </w:rPr>
              <w:t>6,393</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b/>
                <w:bCs/>
                <w:sz w:val="22"/>
                <w:szCs w:val="22"/>
              </w:rPr>
              <w:t>22%</w:t>
            </w:r>
          </w:p>
        </w:tc>
      </w:tr>
      <w:tr w:rsidR="00014C4D" w:rsidRPr="00014C4D" w:rsidTr="00014C4D">
        <w:trPr>
          <w:trHeight w:val="330"/>
        </w:trPr>
        <w:tc>
          <w:tcPr>
            <w:tcW w:w="958" w:type="pct"/>
            <w:vMerge w:val="restart"/>
            <w:shd w:val="clear" w:color="000000" w:fill="FFFFFF"/>
            <w:noWrap/>
            <w:vAlign w:val="center"/>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ביענה</w:t>
            </w: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יסודי</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sz w:val="22"/>
                <w:szCs w:val="22"/>
              </w:rPr>
              <w:t>935</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sz w:val="22"/>
                <w:szCs w:val="22"/>
              </w:rPr>
              <w:t>705</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75%</w:t>
            </w:r>
          </w:p>
        </w:tc>
      </w:tr>
      <w:tr w:rsidR="00014C4D" w:rsidRPr="00014C4D" w:rsidTr="00014C4D">
        <w:trPr>
          <w:trHeight w:val="330"/>
        </w:trPr>
        <w:tc>
          <w:tcPr>
            <w:tcW w:w="958" w:type="pct"/>
            <w:vMerge/>
            <w:noWrap/>
            <w:vAlign w:val="center"/>
          </w:tcPr>
          <w:p w:rsidR="00014C4D" w:rsidRPr="00014C4D" w:rsidRDefault="00014C4D" w:rsidP="00014C4D">
            <w:pPr>
              <w:spacing w:line="269" w:lineRule="auto"/>
              <w:jc w:val="left"/>
              <w:rPr>
                <w:rFonts w:ascii="David" w:eastAsia="Times New Roman" w:hAnsi="David"/>
                <w:b/>
                <w:bCs/>
                <w:sz w:val="22"/>
                <w:szCs w:val="22"/>
                <w:rtl/>
              </w:rPr>
            </w:pP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על-יסודי</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1,285</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sz w:val="22"/>
                <w:szCs w:val="22"/>
              </w:rPr>
              <w:t>769</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60%</w:t>
            </w:r>
          </w:p>
        </w:tc>
      </w:tr>
      <w:tr w:rsidR="00014C4D" w:rsidRPr="00014C4D" w:rsidTr="00014C4D">
        <w:trPr>
          <w:trHeight w:val="330"/>
        </w:trPr>
        <w:tc>
          <w:tcPr>
            <w:tcW w:w="958" w:type="pct"/>
            <w:vMerge/>
            <w:noWrap/>
            <w:vAlign w:val="center"/>
          </w:tcPr>
          <w:p w:rsidR="00014C4D" w:rsidRPr="00014C4D" w:rsidRDefault="00014C4D" w:rsidP="00014C4D">
            <w:pPr>
              <w:spacing w:line="269" w:lineRule="auto"/>
              <w:jc w:val="left"/>
              <w:rPr>
                <w:rFonts w:ascii="David" w:eastAsia="Times New Roman" w:hAnsi="David"/>
                <w:b/>
                <w:bCs/>
                <w:sz w:val="22"/>
                <w:szCs w:val="22"/>
                <w:rtl/>
              </w:rPr>
            </w:pP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b/>
                <w:bCs/>
                <w:sz w:val="22"/>
                <w:szCs w:val="22"/>
                <w:rtl/>
              </w:rPr>
              <w:t>סה"כ</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b/>
                <w:bCs/>
                <w:sz w:val="22"/>
                <w:szCs w:val="22"/>
              </w:rPr>
              <w:t>2,220</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b/>
                <w:bCs/>
                <w:sz w:val="22"/>
                <w:szCs w:val="22"/>
              </w:rPr>
              <w:t>1,474</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b/>
                <w:bCs/>
                <w:sz w:val="22"/>
                <w:szCs w:val="22"/>
              </w:rPr>
              <w:t>66%</w:t>
            </w:r>
          </w:p>
        </w:tc>
      </w:tr>
      <w:tr w:rsidR="00014C4D" w:rsidRPr="00014C4D" w:rsidTr="00014C4D">
        <w:trPr>
          <w:trHeight w:val="330"/>
        </w:trPr>
        <w:tc>
          <w:tcPr>
            <w:tcW w:w="958" w:type="pct"/>
            <w:vMerge w:val="restart"/>
            <w:shd w:val="clear" w:color="000000" w:fill="FFFFFF"/>
            <w:noWrap/>
            <w:vAlign w:val="center"/>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הגלבוע</w:t>
            </w: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יסודי</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hint="cs"/>
                <w:sz w:val="22"/>
                <w:szCs w:val="22"/>
                <w:rtl/>
              </w:rPr>
              <w:t>4,486</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1,367</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30%</w:t>
            </w:r>
          </w:p>
        </w:tc>
      </w:tr>
      <w:tr w:rsidR="00014C4D" w:rsidRPr="00014C4D" w:rsidTr="00014C4D">
        <w:trPr>
          <w:trHeight w:val="330"/>
        </w:trPr>
        <w:tc>
          <w:tcPr>
            <w:tcW w:w="958" w:type="pct"/>
            <w:vMerge/>
            <w:shd w:val="clear" w:color="000000" w:fill="FFFFFF"/>
            <w:noWrap/>
            <w:vAlign w:val="center"/>
          </w:tcPr>
          <w:p w:rsidR="00014C4D" w:rsidRPr="00014C4D" w:rsidRDefault="00014C4D" w:rsidP="00014C4D">
            <w:pPr>
              <w:spacing w:line="269" w:lineRule="auto"/>
              <w:rPr>
                <w:rFonts w:ascii="David" w:eastAsia="Times New Roman" w:hAnsi="David"/>
                <w:b/>
                <w:bCs/>
                <w:sz w:val="22"/>
                <w:szCs w:val="22"/>
              </w:rPr>
            </w:pP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sz w:val="22"/>
                <w:szCs w:val="22"/>
              </w:rPr>
            </w:pPr>
            <w:r w:rsidRPr="00014C4D">
              <w:rPr>
                <w:rFonts w:ascii="David" w:eastAsia="Times New Roman" w:hAnsi="David" w:hint="cs"/>
                <w:sz w:val="22"/>
                <w:szCs w:val="22"/>
                <w:rtl/>
              </w:rPr>
              <w:t>על-יסודי</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4,232</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2,185</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52%</w:t>
            </w:r>
          </w:p>
        </w:tc>
      </w:tr>
      <w:tr w:rsidR="00014C4D" w:rsidRPr="00014C4D" w:rsidTr="00014C4D">
        <w:trPr>
          <w:trHeight w:val="330"/>
        </w:trPr>
        <w:tc>
          <w:tcPr>
            <w:tcW w:w="958" w:type="pct"/>
            <w:vMerge/>
            <w:shd w:val="clear" w:color="000000" w:fill="FFFFFF"/>
            <w:noWrap/>
            <w:vAlign w:val="center"/>
          </w:tcPr>
          <w:p w:rsidR="00014C4D" w:rsidRPr="00014C4D" w:rsidRDefault="00014C4D" w:rsidP="00014C4D">
            <w:pPr>
              <w:spacing w:line="269" w:lineRule="auto"/>
              <w:rPr>
                <w:rFonts w:ascii="David" w:eastAsia="Times New Roman" w:hAnsi="David"/>
                <w:b/>
                <w:bCs/>
                <w:sz w:val="22"/>
                <w:szCs w:val="22"/>
              </w:rPr>
            </w:pPr>
          </w:p>
        </w:tc>
        <w:tc>
          <w:tcPr>
            <w:tcW w:w="958" w:type="pct"/>
            <w:shd w:val="clear" w:color="000000" w:fill="FFFFFF"/>
            <w:noWrap/>
            <w:vAlign w:val="center"/>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סה"כ</w:t>
            </w:r>
          </w:p>
        </w:tc>
        <w:tc>
          <w:tcPr>
            <w:tcW w:w="1029"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b/>
                <w:bCs/>
                <w:sz w:val="22"/>
                <w:szCs w:val="22"/>
                <w:rtl/>
              </w:rPr>
            </w:pPr>
            <w:r w:rsidRPr="00014C4D">
              <w:rPr>
                <w:rFonts w:ascii="David" w:eastAsia="Times New Roman" w:hAnsi="David" w:hint="cs"/>
                <w:b/>
                <w:bCs/>
                <w:sz w:val="22"/>
                <w:szCs w:val="22"/>
                <w:rtl/>
              </w:rPr>
              <w:t>8,718</w:t>
            </w:r>
          </w:p>
        </w:tc>
        <w:tc>
          <w:tcPr>
            <w:tcW w:w="1028"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3,552</w:t>
            </w:r>
          </w:p>
        </w:tc>
        <w:tc>
          <w:tcPr>
            <w:tcW w:w="1027" w:type="pct"/>
            <w:shd w:val="clear" w:color="000000" w:fill="FFFFFF"/>
            <w:noWrap/>
            <w:vAlign w:val="center"/>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41%</w:t>
            </w:r>
          </w:p>
        </w:tc>
      </w:tr>
    </w:tbl>
    <w:p w:rsidR="00014C4D" w:rsidRPr="00014C4D" w:rsidRDefault="00014C4D" w:rsidP="00014C4D">
      <w:pPr>
        <w:spacing w:line="269" w:lineRule="auto"/>
        <w:rPr>
          <w:sz w:val="18"/>
          <w:szCs w:val="18"/>
          <w:rtl/>
        </w:rPr>
      </w:pPr>
      <w:r w:rsidRPr="00014C4D">
        <w:rPr>
          <w:rFonts w:hint="cs"/>
          <w:sz w:val="18"/>
          <w:szCs w:val="18"/>
          <w:rtl/>
        </w:rPr>
        <w:t xml:space="preserve">על פי נתוני עיריית אשקלון והמועצה המקומית ביענה מספטמבר 2023, נתוני עיריית גבעתיים מיוני 2024, נתוני המועצה האזורית הגלבוע מינואר 2024 ונתוני עיריית חולון מיולי 2024 - הכול בעיבוד משרד מבקר המדינה. </w:t>
      </w:r>
    </w:p>
    <w:p w:rsidR="00014C4D" w:rsidRPr="00014C4D" w:rsidRDefault="00014C4D" w:rsidP="00014C4D">
      <w:pPr>
        <w:tabs>
          <w:tab w:val="left" w:pos="283"/>
        </w:tabs>
        <w:spacing w:line="269" w:lineRule="auto"/>
        <w:ind w:left="283" w:hanging="283"/>
        <w:rPr>
          <w:sz w:val="18"/>
          <w:szCs w:val="18"/>
          <w:rtl/>
        </w:rPr>
      </w:pPr>
      <w:r w:rsidRPr="00014C4D">
        <w:rPr>
          <w:rFonts w:hint="cs"/>
          <w:sz w:val="18"/>
          <w:szCs w:val="18"/>
          <w:rtl/>
        </w:rPr>
        <w:t>*</w:t>
      </w:r>
      <w:r w:rsidRPr="00014C4D">
        <w:rPr>
          <w:sz w:val="18"/>
          <w:szCs w:val="18"/>
          <w:rtl/>
        </w:rPr>
        <w:tab/>
      </w:r>
      <w:r w:rsidRPr="00014C4D">
        <w:rPr>
          <w:rFonts w:hint="cs"/>
          <w:sz w:val="18"/>
          <w:szCs w:val="18"/>
          <w:rtl/>
        </w:rPr>
        <w:t xml:space="preserve">ההפרש בין מספר התלמידים לבין מספר התלמידים עם מיגון תקני - מספר תלמידים שאין להם מיגון תקני, לפי המפתח של 0.5 מ"ר לתלמיד.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sz w:val="24"/>
          <w:rtl/>
        </w:rPr>
      </w:pPr>
      <w:r w:rsidRPr="00014C4D">
        <w:rPr>
          <w:rFonts w:hint="cs"/>
          <w:b/>
          <w:bCs/>
          <w:sz w:val="24"/>
          <w:rtl/>
        </w:rPr>
        <w:t xml:space="preserve">נמצא כי לכ-66% מהתלמידים במועצה המקומית ביענה אין מיגון תקני - בשני בתי ספר יסודיים ובבית ספר על-יסודי אחד אין כלל מרחב מוגן תקני. בשאר הרשויות המקומיות שנבדקו (אשקלון, גבעתיים, הגלבוע וחולון) נמצא כי שיעור התלמידים ללא מיגון תיקני בבתי הספר נע בין 11% באשקלון לבין 41% בגלבוע, (מספר התלמידים השוהים בבית בבתי הספר ברשויות אלו באופן יומיומי ללא מיגון תקני נע </w:t>
      </w:r>
      <w:r w:rsidRPr="00014C4D">
        <w:rPr>
          <w:b/>
          <w:bCs/>
          <w:sz w:val="24"/>
          <w:rtl/>
        </w:rPr>
        <w:t xml:space="preserve">בין 3,294 </w:t>
      </w:r>
      <w:r w:rsidRPr="00014C4D">
        <w:rPr>
          <w:rFonts w:hint="cs"/>
          <w:b/>
          <w:bCs/>
          <w:sz w:val="24"/>
          <w:rtl/>
        </w:rPr>
        <w:t xml:space="preserve">באשקלון </w:t>
      </w:r>
      <w:r w:rsidRPr="00014C4D">
        <w:rPr>
          <w:b/>
          <w:bCs/>
          <w:sz w:val="24"/>
          <w:rtl/>
        </w:rPr>
        <w:t>ל-6,393</w:t>
      </w:r>
      <w:r w:rsidRPr="00014C4D">
        <w:rPr>
          <w:rFonts w:hint="cs"/>
          <w:b/>
          <w:bCs/>
          <w:sz w:val="24"/>
          <w:rtl/>
        </w:rPr>
        <w:t xml:space="preserve"> בחולון).</w:t>
      </w:r>
    </w:p>
    <w:p w:rsidR="00014C4D" w:rsidRPr="00014C4D" w:rsidRDefault="00014C4D" w:rsidP="00014C4D">
      <w:pPr>
        <w:rPr>
          <w:rtl/>
        </w:rPr>
      </w:pPr>
    </w:p>
    <w:p w:rsidR="00014C4D" w:rsidRPr="00014C4D" w:rsidRDefault="00014C4D" w:rsidP="00014C4D">
      <w:pPr>
        <w:bidi w:val="0"/>
        <w:spacing w:after="200" w:line="276" w:lineRule="auto"/>
        <w:rPr>
          <w:rFonts w:eastAsia="Times New Roman"/>
          <w:bCs/>
          <w:szCs w:val="26"/>
          <w:rtl/>
        </w:rPr>
      </w:pPr>
      <w:r w:rsidRPr="00014C4D">
        <w:rPr>
          <w:rFonts w:eastAsia="Times New Roman"/>
          <w:rtl/>
        </w:rPr>
        <w:br w:type="page"/>
      </w:r>
    </w:p>
    <w:p w:rsidR="00014C4D" w:rsidRPr="00014C4D" w:rsidRDefault="00014C4D" w:rsidP="00014C4D">
      <w:pPr>
        <w:keepNext/>
        <w:keepLines/>
        <w:spacing w:line="269" w:lineRule="auto"/>
        <w:outlineLvl w:val="3"/>
        <w:rPr>
          <w:rFonts w:eastAsia="Times New Roman"/>
          <w:bCs/>
          <w:szCs w:val="26"/>
          <w:rtl/>
        </w:rPr>
      </w:pPr>
      <w:r w:rsidRPr="00014C4D">
        <w:rPr>
          <w:rFonts w:eastAsia="Times New Roman" w:hint="cs"/>
          <w:bCs/>
          <w:szCs w:val="26"/>
          <w:rtl/>
        </w:rPr>
        <w:lastRenderedPageBreak/>
        <w:t xml:space="preserve">גני ילדים </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tl/>
        </w:rPr>
      </w:pPr>
      <w:r w:rsidRPr="00014C4D">
        <w:rPr>
          <w:rFonts w:hint="cs"/>
          <w:rtl/>
        </w:rPr>
        <w:t>לוח 7:</w:t>
      </w:r>
      <w:r w:rsidRPr="00014C4D">
        <w:rPr>
          <w:rFonts w:hint="cs"/>
          <w:b/>
          <w:bCs/>
          <w:rtl/>
        </w:rPr>
        <w:t xml:space="preserve"> ילדי הגן ללא מיגון תקני ברשויות שנבדקו</w:t>
      </w:r>
    </w:p>
    <w:tbl>
      <w:tblPr>
        <w:bidiVisual/>
        <w:tblW w:w="4974"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2258"/>
        <w:gridCol w:w="2258"/>
        <w:gridCol w:w="2256"/>
      </w:tblGrid>
      <w:tr w:rsidR="00014C4D" w:rsidRPr="00014C4D" w:rsidTr="00014C4D">
        <w:trPr>
          <w:trHeight w:val="559"/>
        </w:trPr>
        <w:tc>
          <w:tcPr>
            <w:tcW w:w="1185"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Pr>
            </w:pPr>
            <w:r w:rsidRPr="00014C4D">
              <w:rPr>
                <w:rFonts w:ascii="David" w:eastAsia="Times New Roman" w:hAnsi="David" w:hint="cs"/>
                <w:b/>
                <w:bCs/>
                <w:sz w:val="22"/>
                <w:szCs w:val="22"/>
                <w:rtl/>
              </w:rPr>
              <w:t>ה</w:t>
            </w:r>
            <w:r w:rsidRPr="00014C4D">
              <w:rPr>
                <w:rFonts w:ascii="David" w:eastAsia="Times New Roman" w:hAnsi="David"/>
                <w:b/>
                <w:bCs/>
                <w:sz w:val="22"/>
                <w:szCs w:val="22"/>
                <w:rtl/>
              </w:rPr>
              <w:t xml:space="preserve">רשות </w:t>
            </w:r>
            <w:r w:rsidRPr="00014C4D">
              <w:rPr>
                <w:rFonts w:ascii="David" w:eastAsia="Times New Roman" w:hAnsi="David" w:hint="cs"/>
                <w:b/>
                <w:bCs/>
                <w:sz w:val="22"/>
                <w:szCs w:val="22"/>
                <w:rtl/>
              </w:rPr>
              <w:t>ה</w:t>
            </w:r>
            <w:r w:rsidRPr="00014C4D">
              <w:rPr>
                <w:rFonts w:ascii="David" w:eastAsia="Times New Roman" w:hAnsi="David"/>
                <w:b/>
                <w:bCs/>
                <w:sz w:val="22"/>
                <w:szCs w:val="22"/>
                <w:rtl/>
              </w:rPr>
              <w:t>מקומית</w:t>
            </w:r>
          </w:p>
        </w:tc>
        <w:tc>
          <w:tcPr>
            <w:tcW w:w="1272"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מס' ילדי הגן</w:t>
            </w:r>
          </w:p>
        </w:tc>
        <w:tc>
          <w:tcPr>
            <w:tcW w:w="1272"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מס' ילדי הגן ללא מיגון תקני*</w:t>
            </w:r>
          </w:p>
        </w:tc>
        <w:tc>
          <w:tcPr>
            <w:tcW w:w="1271" w:type="pc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שיעור ילדי הגן ללא מיגון תקני (ב-%)</w:t>
            </w:r>
          </w:p>
        </w:tc>
      </w:tr>
      <w:tr w:rsidR="00014C4D" w:rsidRPr="00014C4D" w:rsidTr="00014C4D">
        <w:trPr>
          <w:trHeight w:val="315"/>
        </w:trPr>
        <w:tc>
          <w:tcPr>
            <w:tcW w:w="1185" w:type="pc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tl/>
              </w:rPr>
            </w:pPr>
            <w:r w:rsidRPr="00014C4D">
              <w:rPr>
                <w:rFonts w:ascii="David" w:eastAsia="Times New Roman" w:hAnsi="David" w:hint="cs"/>
                <w:b/>
                <w:bCs/>
                <w:sz w:val="22"/>
                <w:szCs w:val="22"/>
                <w:rtl/>
              </w:rPr>
              <w:t>אשקלון</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9,775</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1,927</w:t>
            </w:r>
          </w:p>
        </w:tc>
        <w:tc>
          <w:tcPr>
            <w:tcW w:w="1271"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20%</w:t>
            </w:r>
          </w:p>
        </w:tc>
      </w:tr>
      <w:tr w:rsidR="00014C4D" w:rsidRPr="00014C4D" w:rsidTr="00014C4D">
        <w:trPr>
          <w:trHeight w:val="315"/>
        </w:trPr>
        <w:tc>
          <w:tcPr>
            <w:tcW w:w="1185" w:type="pct"/>
            <w:shd w:val="clear" w:color="auto" w:fill="auto"/>
            <w:noWrap/>
            <w:vAlign w:val="center"/>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ביענה</w:t>
            </w:r>
          </w:p>
        </w:tc>
        <w:tc>
          <w:tcPr>
            <w:tcW w:w="1272" w:type="pct"/>
            <w:shd w:val="clear" w:color="auto" w:fill="auto"/>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501</w:t>
            </w:r>
          </w:p>
        </w:tc>
        <w:tc>
          <w:tcPr>
            <w:tcW w:w="1272" w:type="pct"/>
            <w:shd w:val="clear" w:color="auto" w:fill="auto"/>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98</w:t>
            </w:r>
          </w:p>
        </w:tc>
        <w:tc>
          <w:tcPr>
            <w:tcW w:w="1271" w:type="pct"/>
            <w:shd w:val="clear" w:color="auto" w:fill="auto"/>
            <w:noWrap/>
            <w:vAlign w:val="center"/>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20%</w:t>
            </w:r>
          </w:p>
        </w:tc>
      </w:tr>
      <w:tr w:rsidR="00014C4D" w:rsidRPr="00014C4D" w:rsidTr="00014C4D">
        <w:trPr>
          <w:trHeight w:val="315"/>
        </w:trPr>
        <w:tc>
          <w:tcPr>
            <w:tcW w:w="1185" w:type="pc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גבעתיים</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hint="cs"/>
                <w:sz w:val="22"/>
                <w:szCs w:val="22"/>
                <w:rtl/>
              </w:rPr>
              <w:t> 2,341</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 409</w:t>
            </w:r>
          </w:p>
        </w:tc>
        <w:tc>
          <w:tcPr>
            <w:tcW w:w="1271"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 17%</w:t>
            </w:r>
          </w:p>
        </w:tc>
      </w:tr>
      <w:tr w:rsidR="00014C4D" w:rsidRPr="00014C4D" w:rsidTr="00014C4D">
        <w:trPr>
          <w:trHeight w:val="315"/>
        </w:trPr>
        <w:tc>
          <w:tcPr>
            <w:tcW w:w="1185" w:type="pc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הגלבוע</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1,890</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991</w:t>
            </w:r>
          </w:p>
        </w:tc>
        <w:tc>
          <w:tcPr>
            <w:tcW w:w="1271"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52%</w:t>
            </w:r>
          </w:p>
        </w:tc>
      </w:tr>
      <w:tr w:rsidR="00014C4D" w:rsidRPr="00014C4D" w:rsidTr="00014C4D">
        <w:trPr>
          <w:trHeight w:val="315"/>
        </w:trPr>
        <w:tc>
          <w:tcPr>
            <w:tcW w:w="1185" w:type="pct"/>
            <w:shd w:val="clear" w:color="auto" w:fill="auto"/>
            <w:noWrap/>
            <w:vAlign w:val="center"/>
            <w:hideMark/>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hint="cs"/>
                <w:b/>
                <w:bCs/>
                <w:sz w:val="22"/>
                <w:szCs w:val="22"/>
                <w:rtl/>
              </w:rPr>
              <w:t>חולון</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8,153</w:t>
            </w:r>
          </w:p>
        </w:tc>
        <w:tc>
          <w:tcPr>
            <w:tcW w:w="1272"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hint="cs"/>
                <w:sz w:val="22"/>
                <w:szCs w:val="22"/>
                <w:rtl/>
              </w:rPr>
              <w:t>3,206</w:t>
            </w:r>
          </w:p>
        </w:tc>
        <w:tc>
          <w:tcPr>
            <w:tcW w:w="1271" w:type="pct"/>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hint="cs"/>
                <w:b/>
                <w:bCs/>
                <w:sz w:val="22"/>
                <w:szCs w:val="22"/>
                <w:rtl/>
              </w:rPr>
              <w:t>39%</w:t>
            </w:r>
          </w:p>
        </w:tc>
      </w:tr>
    </w:tbl>
    <w:p w:rsidR="00014C4D" w:rsidRPr="00014C4D" w:rsidRDefault="00014C4D" w:rsidP="00014C4D">
      <w:pPr>
        <w:spacing w:line="269" w:lineRule="auto"/>
        <w:rPr>
          <w:sz w:val="18"/>
          <w:szCs w:val="18"/>
          <w:rtl/>
        </w:rPr>
      </w:pPr>
      <w:r w:rsidRPr="00014C4D">
        <w:rPr>
          <w:rFonts w:hint="cs"/>
          <w:sz w:val="18"/>
          <w:szCs w:val="18"/>
          <w:rtl/>
        </w:rPr>
        <w:t xml:space="preserve">על פי נתוני עיריית אשקלון (מעודכנים לספטמבר 2023), המועצה המקומית ביענה (מעודכנים לספטמבר 2023), עיריית גבעתיים (מעודכנים ליוני 2024, המועצה האזורית הגלבוע (מעודכנים לינואר 2024) ועיריית חולון (מעודכנים ליולי 2024) - הכול בעיבוד משרד מבקר המדינה. </w:t>
      </w:r>
    </w:p>
    <w:p w:rsidR="00014C4D" w:rsidRPr="00014C4D" w:rsidRDefault="00014C4D" w:rsidP="00014C4D">
      <w:pPr>
        <w:tabs>
          <w:tab w:val="left" w:pos="283"/>
        </w:tabs>
        <w:spacing w:line="269" w:lineRule="auto"/>
        <w:ind w:left="283" w:hanging="283"/>
        <w:rPr>
          <w:sz w:val="18"/>
          <w:szCs w:val="18"/>
          <w:rtl/>
        </w:rPr>
      </w:pPr>
      <w:r w:rsidRPr="00014C4D">
        <w:rPr>
          <w:rFonts w:hint="cs"/>
          <w:sz w:val="18"/>
          <w:szCs w:val="18"/>
          <w:rtl/>
        </w:rPr>
        <w:t>*</w:t>
      </w:r>
      <w:r w:rsidRPr="00014C4D">
        <w:rPr>
          <w:sz w:val="18"/>
          <w:szCs w:val="18"/>
          <w:rtl/>
        </w:rPr>
        <w:tab/>
      </w:r>
      <w:r w:rsidRPr="00014C4D">
        <w:rPr>
          <w:rFonts w:hint="cs"/>
          <w:sz w:val="18"/>
          <w:szCs w:val="18"/>
          <w:rtl/>
        </w:rPr>
        <w:t xml:space="preserve">ההפרש בין מספר התלמידים לבין מספר התלמידים עם מיגון תקני - מספר תלמידים שאין להם מיגון תקני, לפי המפתח של 0.5 מ"ר לתלמיד.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b/>
          <w:bCs/>
          <w:rtl/>
        </w:rPr>
      </w:pPr>
      <w:r w:rsidRPr="00014C4D">
        <w:rPr>
          <w:rFonts w:hint="cs"/>
          <w:b/>
          <w:bCs/>
          <w:sz w:val="24"/>
          <w:rtl/>
        </w:rPr>
        <w:t>נמצא כי שיעור התלמידים ללא מיגון תקני בגני הילדים באשקלון, ביענה, גבעתיים, הגלבוע וחולון נע בין 17% בגבעתיים לבין 52% בגלבוע (מספר התלמידים השוהים בגני הילדים ברשויות אלו ללא מיגון תקני נע בין 98 בביענה לבין 3,206 בחולון).</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בהיעדר מיגון מספק לכל התלמידים, בשעת חירום מתעורר סיכון מוחשי לחיי התלמידים</w:t>
      </w:r>
      <w:r w:rsidRPr="00014C4D">
        <w:rPr>
          <w:rFonts w:hint="cs"/>
          <w:b/>
          <w:bCs/>
          <w:rtl/>
        </w:rPr>
        <w:t>,</w:t>
      </w:r>
      <w:r w:rsidRPr="00014C4D">
        <w:rPr>
          <w:b/>
          <w:bCs/>
          <w:rtl/>
        </w:rPr>
        <w:t xml:space="preserve"> </w:t>
      </w:r>
      <w:r w:rsidRPr="00014C4D">
        <w:rPr>
          <w:rFonts w:hint="cs"/>
          <w:b/>
          <w:bCs/>
          <w:rtl/>
        </w:rPr>
        <w:t>בייחוד</w:t>
      </w:r>
      <w:r w:rsidRPr="00014C4D">
        <w:rPr>
          <w:b/>
          <w:bCs/>
          <w:rtl/>
        </w:rPr>
        <w:t xml:space="preserve"> </w:t>
      </w:r>
      <w:r w:rsidRPr="00014C4D">
        <w:rPr>
          <w:rFonts w:hint="eastAsia"/>
          <w:b/>
          <w:bCs/>
          <w:rtl/>
        </w:rPr>
        <w:t>ב</w:t>
      </w:r>
      <w:r w:rsidRPr="00014C4D">
        <w:rPr>
          <w:rFonts w:hint="cs"/>
          <w:b/>
          <w:bCs/>
          <w:rtl/>
        </w:rPr>
        <w:t xml:space="preserve">מועצה המקומית </w:t>
      </w:r>
      <w:r w:rsidRPr="00014C4D">
        <w:rPr>
          <w:rFonts w:hint="eastAsia"/>
          <w:b/>
          <w:bCs/>
          <w:rtl/>
        </w:rPr>
        <w:t>ב</w:t>
      </w:r>
      <w:r w:rsidRPr="00014C4D">
        <w:rPr>
          <w:rFonts w:hint="cs"/>
          <w:b/>
          <w:bCs/>
          <w:rtl/>
        </w:rPr>
        <w:t>י</w:t>
      </w:r>
      <w:r w:rsidRPr="00014C4D">
        <w:rPr>
          <w:rFonts w:hint="eastAsia"/>
          <w:b/>
          <w:bCs/>
          <w:rtl/>
        </w:rPr>
        <w:t>ענה</w:t>
      </w:r>
      <w:r w:rsidRPr="00014C4D">
        <w:rPr>
          <w:b/>
          <w:bCs/>
          <w:rtl/>
        </w:rPr>
        <w:t xml:space="preserve"> (לגבי בתי הספר) ו</w:t>
      </w:r>
      <w:r w:rsidRPr="00014C4D">
        <w:rPr>
          <w:rFonts w:hint="cs"/>
          <w:b/>
          <w:bCs/>
          <w:rtl/>
        </w:rPr>
        <w:t xml:space="preserve">במועצה האזורית </w:t>
      </w:r>
      <w:r w:rsidRPr="00014C4D">
        <w:rPr>
          <w:b/>
          <w:bCs/>
          <w:rtl/>
        </w:rPr>
        <w:t>הגלבוע</w:t>
      </w:r>
      <w:r w:rsidRPr="00014C4D">
        <w:rPr>
          <w:rFonts w:hint="cs"/>
          <w:b/>
          <w:bCs/>
          <w:rtl/>
        </w:rPr>
        <w:t>,</w:t>
      </w:r>
      <w:r w:rsidRPr="00014C4D">
        <w:rPr>
          <w:b/>
          <w:bCs/>
          <w:rtl/>
        </w:rPr>
        <w:t xml:space="preserve"> </w:t>
      </w:r>
      <w:r w:rsidRPr="00014C4D">
        <w:rPr>
          <w:rFonts w:hint="eastAsia"/>
          <w:b/>
          <w:bCs/>
          <w:rtl/>
        </w:rPr>
        <w:t>ולא</w:t>
      </w:r>
      <w:r w:rsidRPr="00014C4D">
        <w:rPr>
          <w:b/>
          <w:bCs/>
          <w:rtl/>
        </w:rPr>
        <w:t xml:space="preserve"> </w:t>
      </w:r>
      <w:r w:rsidRPr="00014C4D">
        <w:rPr>
          <w:rFonts w:hint="eastAsia"/>
          <w:b/>
          <w:bCs/>
          <w:rtl/>
        </w:rPr>
        <w:t>ניתן</w:t>
      </w:r>
      <w:r w:rsidRPr="00014C4D">
        <w:rPr>
          <w:b/>
          <w:bCs/>
          <w:rtl/>
        </w:rPr>
        <w:t xml:space="preserve"> </w:t>
      </w:r>
      <w:r w:rsidRPr="00014C4D">
        <w:rPr>
          <w:rFonts w:hint="eastAsia"/>
          <w:b/>
          <w:bCs/>
          <w:rtl/>
        </w:rPr>
        <w:t>לקיים</w:t>
      </w:r>
      <w:r w:rsidRPr="00014C4D">
        <w:rPr>
          <w:b/>
          <w:bCs/>
          <w:rtl/>
        </w:rPr>
        <w:t xml:space="preserve"> </w:t>
      </w:r>
      <w:r w:rsidRPr="00014C4D">
        <w:rPr>
          <w:rFonts w:hint="eastAsia"/>
          <w:b/>
          <w:bCs/>
          <w:rtl/>
        </w:rPr>
        <w:t>לימודים</w:t>
      </w:r>
      <w:r w:rsidRPr="00014C4D">
        <w:rPr>
          <w:b/>
          <w:bCs/>
          <w:rtl/>
        </w:rPr>
        <w:t xml:space="preserve"> </w:t>
      </w:r>
      <w:r w:rsidRPr="00014C4D">
        <w:rPr>
          <w:rFonts w:hint="eastAsia"/>
          <w:b/>
          <w:bCs/>
          <w:rtl/>
        </w:rPr>
        <w:t>סדירים</w:t>
      </w:r>
      <w:r w:rsidRPr="00014C4D">
        <w:rPr>
          <w:b/>
          <w:bCs/>
          <w:rtl/>
        </w:rPr>
        <w:t xml:space="preserve"> </w:t>
      </w:r>
      <w:r w:rsidRPr="00014C4D">
        <w:rPr>
          <w:rFonts w:hint="eastAsia"/>
          <w:b/>
          <w:bCs/>
          <w:rtl/>
        </w:rPr>
        <w:t>במוסדות</w:t>
      </w:r>
      <w:r w:rsidRPr="00014C4D">
        <w:rPr>
          <w:b/>
          <w:bCs/>
          <w:rtl/>
        </w:rPr>
        <w:t xml:space="preserve"> </w:t>
      </w:r>
      <w:r w:rsidRPr="00014C4D">
        <w:rPr>
          <w:rFonts w:hint="eastAsia"/>
          <w:b/>
          <w:bCs/>
          <w:rtl/>
        </w:rPr>
        <w:t>הלימוד</w:t>
      </w:r>
      <w:r w:rsidRPr="00014C4D">
        <w:rPr>
          <w:b/>
          <w:bCs/>
          <w:rtl/>
        </w:rPr>
        <w:t xml:space="preserve"> </w:t>
      </w:r>
      <w:r w:rsidRPr="00014C4D">
        <w:rPr>
          <w:rFonts w:hint="cs"/>
          <w:b/>
          <w:bCs/>
          <w:rtl/>
        </w:rPr>
        <w:t>(כפי שהיה במלחמת חרבות ברזל - ראו להלן פרק "</w:t>
      </w:r>
      <w:r w:rsidRPr="00014C4D">
        <w:rPr>
          <w:b/>
          <w:bCs/>
          <w:rtl/>
        </w:rPr>
        <w:t>לימודים במוסדות החינוך ברשויות שנבדקו בעת המלחמה</w:t>
      </w:r>
      <w:r w:rsidRPr="00014C4D">
        <w:rPr>
          <w:rFonts w:hint="cs"/>
          <w:b/>
          <w:bCs/>
          <w:rtl/>
        </w:rPr>
        <w:t>") גם כאשר</w:t>
      </w:r>
      <w:r w:rsidRPr="00014C4D">
        <w:rPr>
          <w:rFonts w:hint="eastAsia"/>
          <w:b/>
          <w:bCs/>
          <w:rtl/>
        </w:rPr>
        <w:t xml:space="preserve"> ניתן</w:t>
      </w:r>
      <w:r w:rsidRPr="00014C4D">
        <w:rPr>
          <w:b/>
          <w:bCs/>
          <w:rtl/>
        </w:rPr>
        <w:t xml:space="preserve"> </w:t>
      </w:r>
      <w:r w:rsidRPr="00014C4D">
        <w:rPr>
          <w:rFonts w:hint="cs"/>
          <w:b/>
          <w:bCs/>
          <w:rtl/>
        </w:rPr>
        <w:t xml:space="preserve">לקיים לימודים </w:t>
      </w:r>
      <w:r w:rsidRPr="00014C4D">
        <w:rPr>
          <w:rFonts w:hint="eastAsia"/>
          <w:b/>
          <w:bCs/>
          <w:rtl/>
        </w:rPr>
        <w:t>על</w:t>
      </w:r>
      <w:r w:rsidRPr="00014C4D">
        <w:rPr>
          <w:b/>
          <w:bCs/>
          <w:rtl/>
        </w:rPr>
        <w:t xml:space="preserve"> </w:t>
      </w:r>
      <w:r w:rsidRPr="00014C4D">
        <w:rPr>
          <w:rFonts w:hint="eastAsia"/>
          <w:b/>
          <w:bCs/>
          <w:rtl/>
        </w:rPr>
        <w:t>פי</w:t>
      </w:r>
      <w:r w:rsidRPr="00014C4D">
        <w:rPr>
          <w:b/>
          <w:bCs/>
          <w:rtl/>
        </w:rPr>
        <w:t xml:space="preserve"> </w:t>
      </w:r>
      <w:r w:rsidRPr="00014C4D">
        <w:rPr>
          <w:rFonts w:hint="eastAsia"/>
          <w:b/>
          <w:bCs/>
          <w:rtl/>
        </w:rPr>
        <w:t>הנחיות</w:t>
      </w:r>
      <w:r w:rsidRPr="00014C4D">
        <w:rPr>
          <w:b/>
          <w:bCs/>
          <w:rtl/>
        </w:rPr>
        <w:t xml:space="preserve"> </w:t>
      </w:r>
      <w:r w:rsidRPr="00014C4D">
        <w:rPr>
          <w:rFonts w:hint="eastAsia"/>
          <w:b/>
          <w:bCs/>
          <w:rtl/>
        </w:rPr>
        <w:t>פקע</w:t>
      </w:r>
      <w:r w:rsidRPr="00014C4D">
        <w:rPr>
          <w:b/>
          <w:bCs/>
          <w:rtl/>
        </w:rPr>
        <w:t>"</w:t>
      </w:r>
      <w:r w:rsidRPr="00014C4D">
        <w:rPr>
          <w:rFonts w:hint="eastAsia"/>
          <w:b/>
          <w:bCs/>
          <w:rtl/>
        </w:rPr>
        <w:t>ר</w:t>
      </w:r>
      <w:r w:rsidRPr="00014C4D">
        <w:rPr>
          <w:b/>
          <w:bCs/>
          <w:rtl/>
        </w:rPr>
        <w:t>. על משרד החינוך</w:t>
      </w:r>
      <w:r w:rsidRPr="00014C4D">
        <w:rPr>
          <w:rFonts w:hint="cs"/>
          <w:b/>
          <w:bCs/>
          <w:rtl/>
        </w:rPr>
        <w:t xml:space="preserve"> בשיתוף פקע</w:t>
      </w:r>
      <w:r w:rsidRPr="00014C4D">
        <w:rPr>
          <w:b/>
          <w:bCs/>
          <w:rtl/>
        </w:rPr>
        <w:t>"</w:t>
      </w:r>
      <w:r w:rsidRPr="00014C4D">
        <w:rPr>
          <w:rFonts w:hint="cs"/>
          <w:b/>
          <w:bCs/>
          <w:rtl/>
        </w:rPr>
        <w:t xml:space="preserve">ר, ועל הרשויות המקומיות </w:t>
      </w:r>
      <w:r w:rsidRPr="00014C4D">
        <w:rPr>
          <w:rFonts w:hint="eastAsia"/>
          <w:b/>
          <w:bCs/>
          <w:rtl/>
        </w:rPr>
        <w:t>אשקלון</w:t>
      </w:r>
      <w:r w:rsidRPr="00014C4D">
        <w:rPr>
          <w:b/>
          <w:bCs/>
          <w:rtl/>
        </w:rPr>
        <w:t xml:space="preserve">, </w:t>
      </w:r>
      <w:r w:rsidRPr="00014C4D">
        <w:rPr>
          <w:rFonts w:hint="eastAsia"/>
          <w:b/>
          <w:bCs/>
          <w:rtl/>
        </w:rPr>
        <w:t>ב</w:t>
      </w:r>
      <w:r w:rsidRPr="00014C4D">
        <w:rPr>
          <w:rFonts w:hint="cs"/>
          <w:b/>
          <w:bCs/>
          <w:rtl/>
        </w:rPr>
        <w:t>י</w:t>
      </w:r>
      <w:r w:rsidRPr="00014C4D">
        <w:rPr>
          <w:rFonts w:hint="eastAsia"/>
          <w:b/>
          <w:bCs/>
          <w:rtl/>
        </w:rPr>
        <w:t>ענה</w:t>
      </w:r>
      <w:r w:rsidRPr="00014C4D">
        <w:rPr>
          <w:b/>
          <w:bCs/>
          <w:rtl/>
        </w:rPr>
        <w:t xml:space="preserve">, </w:t>
      </w:r>
      <w:r w:rsidRPr="00014C4D">
        <w:rPr>
          <w:rFonts w:hint="eastAsia"/>
          <w:b/>
          <w:bCs/>
          <w:rtl/>
        </w:rPr>
        <w:t>גבעתיים</w:t>
      </w:r>
      <w:r w:rsidRPr="00014C4D">
        <w:rPr>
          <w:b/>
          <w:bCs/>
          <w:rtl/>
        </w:rPr>
        <w:t xml:space="preserve"> הגלבוע וחולון</w:t>
      </w:r>
      <w:r w:rsidRPr="00014C4D">
        <w:rPr>
          <w:rFonts w:hint="cs"/>
          <w:b/>
          <w:bCs/>
          <w:rtl/>
        </w:rPr>
        <w:t>,</w:t>
      </w:r>
      <w:r w:rsidRPr="00014C4D">
        <w:rPr>
          <w:b/>
          <w:bCs/>
          <w:rtl/>
        </w:rPr>
        <w:t xml:space="preserve"> שבהן קיימים פערי מיגון </w:t>
      </w:r>
      <w:r w:rsidRPr="00014C4D">
        <w:rPr>
          <w:rFonts w:hint="cs"/>
          <w:b/>
          <w:bCs/>
          <w:rtl/>
        </w:rPr>
        <w:t>במוסדות החינוך,</w:t>
      </w:r>
      <w:r w:rsidRPr="00014C4D">
        <w:rPr>
          <w:b/>
          <w:bCs/>
          <w:rtl/>
        </w:rPr>
        <w:t xml:space="preserve"> למצוא </w:t>
      </w:r>
      <w:r w:rsidRPr="00014C4D">
        <w:rPr>
          <w:rFonts w:hint="cs"/>
          <w:b/>
          <w:bCs/>
          <w:rtl/>
        </w:rPr>
        <w:t xml:space="preserve">דרכים </w:t>
      </w:r>
      <w:r w:rsidRPr="00014C4D">
        <w:rPr>
          <w:b/>
          <w:bCs/>
          <w:rtl/>
        </w:rPr>
        <w:t>להגדלת שטחי המיגון באמצעים שונים</w:t>
      </w:r>
      <w:r w:rsidRPr="00014C4D">
        <w:rPr>
          <w:rFonts w:hint="cs"/>
          <w:b/>
          <w:bCs/>
          <w:rtl/>
        </w:rPr>
        <w:t xml:space="preserve"> כמו הצבת מיגוניות</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פקע"ר מסר בתשובתו </w:t>
      </w:r>
      <w:r w:rsidRPr="00014C4D">
        <w:rPr>
          <w:rtl/>
        </w:rPr>
        <w:t xml:space="preserve">כי </w:t>
      </w:r>
      <w:r w:rsidRPr="00014C4D">
        <w:rPr>
          <w:rFonts w:hint="cs"/>
          <w:rtl/>
        </w:rPr>
        <w:t>הרשויות המקומיות</w:t>
      </w:r>
      <w:r w:rsidRPr="00014C4D">
        <w:rPr>
          <w:rtl/>
        </w:rPr>
        <w:t xml:space="preserve"> החלו בבניית מיגון בהתאם למהלך </w:t>
      </w:r>
      <w:r w:rsidRPr="00014C4D">
        <w:rPr>
          <w:rFonts w:hint="cs"/>
          <w:rtl/>
        </w:rPr>
        <w:t>אסדרה</w:t>
      </w:r>
      <w:r w:rsidRPr="00014C4D">
        <w:rPr>
          <w:rtl/>
        </w:rPr>
        <w:t xml:space="preserve"> מקוצר שיז</w:t>
      </w:r>
      <w:r w:rsidRPr="00014C4D">
        <w:rPr>
          <w:rFonts w:hint="cs"/>
          <w:rtl/>
        </w:rPr>
        <w:t>מו</w:t>
      </w:r>
      <w:r w:rsidRPr="00014C4D">
        <w:rPr>
          <w:rtl/>
        </w:rPr>
        <w:t xml:space="preserve"> פ</w:t>
      </w:r>
      <w:r w:rsidRPr="00014C4D">
        <w:rPr>
          <w:rFonts w:hint="cs"/>
          <w:rtl/>
        </w:rPr>
        <w:t>קע"ר</w:t>
      </w:r>
      <w:r w:rsidRPr="00014C4D">
        <w:rPr>
          <w:rtl/>
        </w:rPr>
        <w:t xml:space="preserve"> </w:t>
      </w:r>
      <w:r w:rsidRPr="00014C4D">
        <w:rPr>
          <w:rFonts w:hint="cs"/>
          <w:rtl/>
        </w:rPr>
        <w:t>ו</w:t>
      </w:r>
      <w:r w:rsidRPr="00014C4D">
        <w:rPr>
          <w:rtl/>
        </w:rPr>
        <w:t>מ</w:t>
      </w:r>
      <w:r w:rsidRPr="00014C4D">
        <w:rPr>
          <w:rFonts w:hint="cs"/>
          <w:rtl/>
        </w:rPr>
        <w:t>י</w:t>
      </w:r>
      <w:r w:rsidRPr="00014C4D">
        <w:rPr>
          <w:rtl/>
        </w:rPr>
        <w:t xml:space="preserve">נהל התכנון </w:t>
      </w:r>
      <w:r w:rsidRPr="00014C4D">
        <w:rPr>
          <w:rFonts w:hint="cs"/>
          <w:rtl/>
        </w:rPr>
        <w:t>(</w:t>
      </w:r>
      <w:r w:rsidRPr="00014C4D">
        <w:rPr>
          <w:rtl/>
        </w:rPr>
        <w:t xml:space="preserve">"הוראת שעה </w:t>
      </w:r>
      <w:r w:rsidRPr="00014C4D">
        <w:rPr>
          <w:rFonts w:hint="cs"/>
          <w:rtl/>
        </w:rPr>
        <w:t>-</w:t>
      </w:r>
      <w:r w:rsidRPr="00014C4D">
        <w:rPr>
          <w:rtl/>
        </w:rPr>
        <w:t xml:space="preserve"> חרבות ברזל"</w:t>
      </w:r>
      <w:r w:rsidRPr="00014C4D">
        <w:rPr>
          <w:rFonts w:hint="cs"/>
          <w:rtl/>
        </w:rPr>
        <w:t>)</w:t>
      </w:r>
      <w:r w:rsidRPr="00014C4D">
        <w:rPr>
          <w:rtl/>
        </w:rPr>
        <w:t xml:space="preserve"> למתן פטור מהיתר להוספת מיגון למבני חינוך בתוך 14 יום. מהלך זה עודנו </w:t>
      </w:r>
      <w:r w:rsidRPr="00014C4D">
        <w:rPr>
          <w:rFonts w:hint="cs"/>
          <w:rtl/>
        </w:rPr>
        <w:t>תקף ו</w:t>
      </w:r>
      <w:r w:rsidRPr="00014C4D">
        <w:rPr>
          <w:rtl/>
        </w:rPr>
        <w:t>תוק</w:t>
      </w:r>
      <w:r w:rsidRPr="00014C4D">
        <w:rPr>
          <w:rFonts w:hint="cs"/>
          <w:rtl/>
        </w:rPr>
        <w:t xml:space="preserve">פו </w:t>
      </w:r>
      <w:r w:rsidRPr="00014C4D">
        <w:rPr>
          <w:rtl/>
        </w:rPr>
        <w:t>הוארך לבקשת פ</w:t>
      </w:r>
      <w:r w:rsidRPr="00014C4D">
        <w:rPr>
          <w:rFonts w:hint="cs"/>
          <w:rtl/>
        </w:rPr>
        <w:t>קע"ר</w:t>
      </w:r>
      <w:r w:rsidRPr="00014C4D">
        <w:rPr>
          <w:rtl/>
        </w:rPr>
        <w:t>, במטרה להמשיך ולתמוך במאמץ לצמצום</w:t>
      </w:r>
      <w:r w:rsidRPr="00014C4D">
        <w:rPr>
          <w:rFonts w:hint="cs"/>
          <w:rtl/>
        </w:rPr>
        <w:t xml:space="preserve"> את</w:t>
      </w:r>
      <w:r w:rsidRPr="00014C4D">
        <w:rPr>
          <w:rtl/>
        </w:rPr>
        <w:t xml:space="preserve"> פערי המיגון </w:t>
      </w:r>
      <w:r w:rsidRPr="00014C4D">
        <w:rPr>
          <w:rFonts w:hint="cs"/>
          <w:rtl/>
        </w:rPr>
        <w:t xml:space="preserve">של </w:t>
      </w:r>
      <w:r w:rsidRPr="00014C4D">
        <w:rPr>
          <w:rtl/>
        </w:rPr>
        <w:t>מבני חינוך.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המועצה האזורית </w:t>
      </w:r>
      <w:r w:rsidRPr="00014C4D">
        <w:rPr>
          <w:rFonts w:hint="cs"/>
          <w:b/>
          <w:bCs/>
          <w:rtl/>
        </w:rPr>
        <w:t>הגלבוע</w:t>
      </w:r>
      <w:r w:rsidRPr="00014C4D">
        <w:rPr>
          <w:rFonts w:hint="cs"/>
          <w:rtl/>
        </w:rPr>
        <w:t xml:space="preserve"> מסרה בתשובתה כי הפערים במיגון מוסדות החינוך במועצה אכן משמעותיים, וכי אין מענה ממשלתי לכך. לדבריה, במסגרת תקציב הג"א אין אפשרות לממן את השלמת המיגון עבור אלפי תלמידים, שעלותה מוערכת בכ-20 מיליון ש"ח. עם זאת ציינה המועצה כי באמצעות ריכוז תקציבים הצליחה לשפץ לאחרונה את המקלט בבית הספר "יד לחמישה" בעלות של כ-300,000 ש"ח, וכעת המקלט מספק מיגון לכלל תלמידי בית הספר בשעות הלימודים וכן לאוכלוסייה באשכול חבר גם מחוץ לשעות הלימודים.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lastRenderedPageBreak/>
        <w:t xml:space="preserve">עיריית </w:t>
      </w:r>
      <w:r w:rsidRPr="00014C4D">
        <w:rPr>
          <w:b/>
          <w:bCs/>
          <w:rtl/>
        </w:rPr>
        <w:t>גבעתיים</w:t>
      </w:r>
      <w:r w:rsidRPr="00014C4D">
        <w:rPr>
          <w:rtl/>
        </w:rPr>
        <w:t xml:space="preserve"> מסרה בתשובתה כי מאז מועד סיום הביקורת הושלמו כלל פערי המיגון במוסדות החינוך, וכי כיום כל מוסדות החינוך העירוניים מצוידים במענה מיגון תקני</w:t>
      </w:r>
      <w:r w:rsidRPr="00014C4D">
        <w:rPr>
          <w:rFonts w:hint="cs"/>
          <w:rtl/>
        </w:rPr>
        <w:t xml:space="preserve"> מלא.</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עיריית</w:t>
      </w:r>
      <w:r w:rsidRPr="00014C4D">
        <w:rPr>
          <w:b/>
          <w:bCs/>
          <w:rtl/>
        </w:rPr>
        <w:t xml:space="preserve"> חולון</w:t>
      </w:r>
      <w:r w:rsidRPr="00014C4D">
        <w:rPr>
          <w:rFonts w:hint="cs"/>
          <w:rtl/>
        </w:rPr>
        <w:t xml:space="preserve"> מסרה בתשובתה כי </w:t>
      </w:r>
      <w:r w:rsidRPr="00014C4D">
        <w:rPr>
          <w:rtl/>
        </w:rPr>
        <w:t>ביצעה בבתי הספר ובגני הילדים עבודות מיגון שצמצמו את פערי המיגון בהם, ו</w:t>
      </w:r>
      <w:r w:rsidRPr="00014C4D">
        <w:rPr>
          <w:rFonts w:hint="cs"/>
          <w:rtl/>
        </w:rPr>
        <w:t>ה</w:t>
      </w:r>
      <w:r w:rsidRPr="00014C4D">
        <w:rPr>
          <w:rtl/>
        </w:rPr>
        <w:t xml:space="preserve">עבודות </w:t>
      </w:r>
      <w:r w:rsidRPr="00014C4D">
        <w:rPr>
          <w:rFonts w:hint="cs"/>
          <w:rtl/>
        </w:rPr>
        <w:t xml:space="preserve">נמשכות לשם </w:t>
      </w:r>
      <w:r w:rsidRPr="00014C4D">
        <w:rPr>
          <w:rtl/>
        </w:rPr>
        <w:t>צמצום נוסף של פערי המיגון</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משרד החינוך </w:t>
      </w:r>
      <w:r w:rsidRPr="00014C4D">
        <w:rPr>
          <w:rFonts w:hint="cs"/>
          <w:rtl/>
        </w:rPr>
        <w:t>מסר בתשובתו</w:t>
      </w:r>
      <w:r w:rsidRPr="00014C4D">
        <w:rPr>
          <w:rtl/>
        </w:rPr>
        <w:t xml:space="preserve"> כי תקצוב המיגון בבתי ספר ישנים אינו באחריותו, אלא נקבע על ידי הממשלה במסגרת פרויקטים לאומיים בהובלת פ</w:t>
      </w:r>
      <w:r w:rsidRPr="00014C4D">
        <w:rPr>
          <w:rFonts w:hint="cs"/>
          <w:rtl/>
        </w:rPr>
        <w:t>קע"ר</w:t>
      </w:r>
      <w:r w:rsidRPr="00014C4D">
        <w:rPr>
          <w:rtl/>
        </w:rPr>
        <w:t>. המשרד פועל בשיתוף פעולה הדוק עם משרד הביטחון ופקע"ר</w:t>
      </w:r>
      <w:r w:rsidRPr="00014C4D">
        <w:rPr>
          <w:rFonts w:hint="cs"/>
          <w:rtl/>
        </w:rPr>
        <w:t xml:space="preserve"> לשיפור המיגון במוסדות החינוך</w:t>
      </w:r>
      <w:r w:rsidRPr="00014C4D">
        <w:rPr>
          <w:rtl/>
        </w:rPr>
        <w:t xml:space="preserve"> במסגרת תוכנית מיגון הצפון ביישובים שבטווח של 0</w:t>
      </w:r>
      <w:r w:rsidRPr="00014C4D">
        <w:rPr>
          <w:rFonts w:hint="cs"/>
          <w:rtl/>
        </w:rPr>
        <w:t xml:space="preserve"> - </w:t>
      </w:r>
      <w:r w:rsidRPr="00014C4D">
        <w:rPr>
          <w:rtl/>
        </w:rPr>
        <w:t xml:space="preserve">9 ק"מ מהגבול, </w:t>
      </w:r>
      <w:r w:rsidRPr="00014C4D">
        <w:rPr>
          <w:rFonts w:hint="cs"/>
          <w:rtl/>
        </w:rPr>
        <w:t xml:space="preserve">ונוסף על כך </w:t>
      </w:r>
      <w:r w:rsidRPr="00014C4D">
        <w:rPr>
          <w:rtl/>
        </w:rPr>
        <w:t>נבחנת הרחבת התוכנית</w:t>
      </w:r>
      <w:r w:rsidRPr="00014C4D">
        <w:rPr>
          <w:rFonts w:hint="cs"/>
          <w:rtl/>
        </w:rPr>
        <w:t xml:space="preserve"> לשיפור המיגון</w:t>
      </w:r>
      <w:r w:rsidRPr="00014C4D">
        <w:rPr>
          <w:rtl/>
        </w:rPr>
        <w:t xml:space="preserve"> גם </w:t>
      </w:r>
      <w:r w:rsidRPr="00014C4D">
        <w:rPr>
          <w:rFonts w:hint="cs"/>
          <w:rtl/>
        </w:rPr>
        <w:t>ב</w:t>
      </w:r>
      <w:r w:rsidRPr="00014C4D">
        <w:rPr>
          <w:rtl/>
        </w:rPr>
        <w:t xml:space="preserve">יישובים בטווח של עד 40 ק"מ, </w:t>
      </w:r>
      <w:r w:rsidRPr="00014C4D">
        <w:rPr>
          <w:rFonts w:hint="cs"/>
          <w:rtl/>
        </w:rPr>
        <w:t xml:space="preserve">אשר תכלול </w:t>
      </w:r>
      <w:r w:rsidRPr="00014C4D">
        <w:rPr>
          <w:rtl/>
        </w:rPr>
        <w:t xml:space="preserve">רשויות </w:t>
      </w:r>
      <w:r w:rsidRPr="00014C4D">
        <w:rPr>
          <w:rFonts w:hint="cs"/>
          <w:rtl/>
        </w:rPr>
        <w:t xml:space="preserve">רבות </w:t>
      </w:r>
      <w:r w:rsidRPr="00014C4D">
        <w:rPr>
          <w:rtl/>
        </w:rPr>
        <w:t>ש</w:t>
      </w:r>
      <w:r w:rsidRPr="00014C4D">
        <w:rPr>
          <w:rFonts w:hint="cs"/>
          <w:rtl/>
        </w:rPr>
        <w:t xml:space="preserve">יש </w:t>
      </w:r>
      <w:r w:rsidRPr="00014C4D">
        <w:rPr>
          <w:rtl/>
        </w:rPr>
        <w:t>בהן</w:t>
      </w:r>
      <w:r w:rsidRPr="00014C4D">
        <w:rPr>
          <w:rFonts w:hint="cs"/>
          <w:rtl/>
        </w:rPr>
        <w:t xml:space="preserve"> </w:t>
      </w:r>
      <w:r w:rsidRPr="00014C4D">
        <w:rPr>
          <w:rtl/>
        </w:rPr>
        <w:t xml:space="preserve">פערי מיגון במוסדות </w:t>
      </w:r>
      <w:r w:rsidRPr="00014C4D">
        <w:rPr>
          <w:rFonts w:hint="cs"/>
          <w:rtl/>
        </w:rPr>
        <w:t>ה</w:t>
      </w:r>
      <w:r w:rsidRPr="00014C4D">
        <w:rPr>
          <w:rtl/>
        </w:rPr>
        <w:t>חינוך.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משרד מבקר המדינה </w:t>
      </w:r>
      <w:r w:rsidRPr="00014C4D">
        <w:rPr>
          <w:rFonts w:hint="eastAsia"/>
          <w:b/>
          <w:bCs/>
          <w:rtl/>
        </w:rPr>
        <w:t>מציין</w:t>
      </w:r>
      <w:r w:rsidRPr="00014C4D">
        <w:rPr>
          <w:b/>
          <w:bCs/>
          <w:rtl/>
        </w:rPr>
        <w:t xml:space="preserve"> את שיתופי הפעולה שציין משרד החינוך ואת היוזמות המתקדמות לתכנון והרחב</w:t>
      </w:r>
      <w:r w:rsidRPr="00014C4D">
        <w:rPr>
          <w:rFonts w:hint="eastAsia"/>
          <w:b/>
          <w:bCs/>
          <w:rtl/>
        </w:rPr>
        <w:t>ה</w:t>
      </w:r>
      <w:r w:rsidRPr="00014C4D">
        <w:rPr>
          <w:b/>
          <w:bCs/>
          <w:rtl/>
        </w:rPr>
        <w:t xml:space="preserve"> </w:t>
      </w:r>
      <w:r w:rsidRPr="00014C4D">
        <w:rPr>
          <w:rFonts w:hint="eastAsia"/>
          <w:b/>
          <w:bCs/>
          <w:rtl/>
        </w:rPr>
        <w:t>של</w:t>
      </w:r>
      <w:r w:rsidRPr="00014C4D">
        <w:rPr>
          <w:b/>
          <w:bCs/>
          <w:rtl/>
        </w:rPr>
        <w:t xml:space="preserve"> המיגון, בפרט באזור הצפון. עם זאת, אין בכך כדי לפטור את משרד החינוך מאחריותו הכוללת למיגון מוסדות החינוך ברחבי הארץ, גם כאשר התקצוב תלוי בהחלטות ממשלתיות. כמשרד </w:t>
      </w:r>
      <w:r w:rsidRPr="00014C4D">
        <w:rPr>
          <w:rFonts w:hint="eastAsia"/>
          <w:b/>
          <w:bCs/>
          <w:rtl/>
        </w:rPr>
        <w:t>האחראי</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ת</w:t>
      </w:r>
      <w:r w:rsidRPr="00014C4D">
        <w:rPr>
          <w:b/>
          <w:bCs/>
          <w:rtl/>
        </w:rPr>
        <w:t xml:space="preserve">חום החינוך, עליו לפעול באופן יזום ומתמשך מול יתר הגורמים הממשלתיים לקידום פתרונות כוללים, ובפרט </w:t>
      </w:r>
      <w:r w:rsidRPr="00014C4D">
        <w:rPr>
          <w:rFonts w:hint="eastAsia"/>
          <w:b/>
          <w:bCs/>
          <w:rtl/>
        </w:rPr>
        <w:t>מומלץ</w:t>
      </w:r>
      <w:r w:rsidRPr="00014C4D">
        <w:rPr>
          <w:b/>
          <w:bCs/>
          <w:rtl/>
        </w:rPr>
        <w:t xml:space="preserve"> לפעול להקצאת תקציבים ייעודיים גם באזורים שאינם כלולים בתוכניות המיגון האזוריות הקיימות.</w:t>
      </w:r>
    </w:p>
    <w:p w:rsidR="00014C4D" w:rsidRPr="00014C4D" w:rsidRDefault="00014C4D" w:rsidP="00014C4D">
      <w:pPr>
        <w:tabs>
          <w:tab w:val="left" w:pos="6520"/>
        </w:tabs>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תוספות בנייה ושיפוצים שנעשו ברשויות שנבדקו מתחילת המלחמה</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בתי ספר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sz w:val="24"/>
          <w:rtl/>
        </w:rPr>
      </w:pPr>
      <w:r w:rsidRPr="00014C4D">
        <w:rPr>
          <w:rFonts w:hint="cs"/>
          <w:sz w:val="24"/>
          <w:rtl/>
        </w:rPr>
        <w:t xml:space="preserve">כאמור, נכון ליוני 2024 שיעור התלמידים ללא מיגון תקני בבתי הספר בגבעתיים היה 37%. ממסמכי עיריית </w:t>
      </w:r>
      <w:r w:rsidRPr="00014C4D">
        <w:rPr>
          <w:rFonts w:hint="cs"/>
          <w:b/>
          <w:bCs/>
          <w:sz w:val="24"/>
          <w:rtl/>
        </w:rPr>
        <w:t>גבעתיים</w:t>
      </w:r>
      <w:r w:rsidRPr="00014C4D">
        <w:rPr>
          <w:rFonts w:hint="cs"/>
          <w:sz w:val="24"/>
          <w:rtl/>
        </w:rPr>
        <w:t xml:space="preserve"> עולה כי בדצמבר 2023 היא החלה לתכנן בניית שטחי מיגון תקני להשלמת פערי המיגון ב-11 בתי ספר, ובנייתם החלה ביוני 2024.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rtl/>
        </w:rPr>
        <w:t xml:space="preserve">לפני פרוץ המלחמה ל-26% מהתלמידים בבתי הספר בחולון לא היה מיגון תקני. לאחר פרוץ המלחמה, מנובמבר 2023, בנתה עיריית </w:t>
      </w:r>
      <w:r w:rsidRPr="00014C4D">
        <w:rPr>
          <w:rFonts w:hint="eastAsia"/>
          <w:b/>
          <w:bCs/>
          <w:rtl/>
        </w:rPr>
        <w:t>חולון</w:t>
      </w:r>
      <w:r w:rsidRPr="00014C4D">
        <w:rPr>
          <w:rtl/>
        </w:rPr>
        <w:t xml:space="preserve"> תוספת מיגון לבתי הספר</w:t>
      </w:r>
      <w:r w:rsidRPr="00014C4D">
        <w:rPr>
          <w:rFonts w:hint="cs"/>
          <w:rtl/>
        </w:rPr>
        <w:t>.</w:t>
      </w:r>
      <w:r w:rsidRPr="00014C4D">
        <w:rPr>
          <w:rtl/>
        </w:rPr>
        <w:t xml:space="preserve"> להלן הפירוט:</w:t>
      </w:r>
    </w:p>
    <w:p w:rsidR="00014C4D" w:rsidRPr="00014C4D" w:rsidRDefault="00014C4D" w:rsidP="00014C4D">
      <w:pPr>
        <w:spacing w:line="269" w:lineRule="auto"/>
        <w:ind w:left="-567"/>
        <w:rPr>
          <w:szCs w:val="20"/>
          <w:rtl/>
        </w:rPr>
      </w:pPr>
    </w:p>
    <w:p w:rsidR="00014C4D" w:rsidRPr="00014C4D" w:rsidRDefault="00014C4D" w:rsidP="00014C4D">
      <w:pPr>
        <w:keepNext/>
        <w:keepLines/>
        <w:tabs>
          <w:tab w:val="left" w:pos="6520"/>
        </w:tabs>
        <w:spacing w:line="269" w:lineRule="auto"/>
        <w:jc w:val="center"/>
        <w:rPr>
          <w:rtl/>
        </w:rPr>
      </w:pPr>
      <w:r w:rsidRPr="00014C4D">
        <w:rPr>
          <w:rFonts w:hint="eastAsia"/>
          <w:rtl/>
        </w:rPr>
        <w:lastRenderedPageBreak/>
        <w:t>לוח</w:t>
      </w:r>
      <w:r w:rsidRPr="00014C4D">
        <w:rPr>
          <w:rtl/>
        </w:rPr>
        <w:t xml:space="preserve"> </w:t>
      </w:r>
      <w:r w:rsidRPr="00014C4D">
        <w:rPr>
          <w:rFonts w:hint="cs"/>
          <w:rtl/>
        </w:rPr>
        <w:t>8</w:t>
      </w:r>
      <w:r w:rsidRPr="00014C4D">
        <w:rPr>
          <w:rtl/>
        </w:rPr>
        <w:t>:</w:t>
      </w:r>
      <w:r w:rsidRPr="00014C4D">
        <w:rPr>
          <w:rFonts w:hint="cs"/>
          <w:b/>
          <w:bCs/>
          <w:rtl/>
        </w:rPr>
        <w:t xml:space="preserve"> מספר התלמידים ללא מיגון תקני בחולון</w:t>
      </w:r>
      <w:r w:rsidRPr="00014C4D" w:rsidDel="009731D4">
        <w:rPr>
          <w:rFonts w:hint="cs"/>
          <w:b/>
          <w:bCs/>
          <w:rtl/>
        </w:rPr>
        <w:t xml:space="preserve"> </w:t>
      </w:r>
      <w:r w:rsidRPr="00014C4D">
        <w:rPr>
          <w:rFonts w:hint="cs"/>
          <w:b/>
          <w:bCs/>
          <w:rtl/>
        </w:rPr>
        <w:t>ביולי 2024 לעומת מספרם לפני פרוץ המלחמה</w:t>
      </w:r>
    </w:p>
    <w:tbl>
      <w:tblPr>
        <w:bidiVisual/>
        <w:tblW w:w="4991" w:type="pct"/>
        <w:tblInd w:w="7" w:type="dxa"/>
        <w:tblLook w:val="04A0" w:firstRow="1" w:lastRow="0" w:firstColumn="1" w:lastColumn="0" w:noHBand="0" w:noVBand="1"/>
      </w:tblPr>
      <w:tblGrid>
        <w:gridCol w:w="2223"/>
        <w:gridCol w:w="2221"/>
        <w:gridCol w:w="2221"/>
        <w:gridCol w:w="2219"/>
      </w:tblGrid>
      <w:tr w:rsidR="00014C4D" w:rsidRPr="00014C4D" w:rsidTr="00014C4D">
        <w:trPr>
          <w:trHeight w:val="330"/>
        </w:trPr>
        <w:tc>
          <w:tcPr>
            <w:tcW w:w="1251" w:type="pct"/>
            <w:vMerge w:val="restart"/>
            <w:tcBorders>
              <w:top w:val="single" w:sz="12" w:space="0" w:color="auto"/>
              <w:left w:val="single" w:sz="12" w:space="0" w:color="auto"/>
              <w:bottom w:val="single" w:sz="6" w:space="0" w:color="auto"/>
              <w:right w:val="single" w:sz="6" w:space="0" w:color="auto"/>
            </w:tcBorders>
            <w:shd w:val="clear" w:color="auto" w:fill="D9D9D9" w:themeFill="background1" w:themeFillShade="D9"/>
            <w:noWrap/>
            <w:vAlign w:val="bottom"/>
            <w:hideMark/>
          </w:tcPr>
          <w:p w:rsidR="00014C4D" w:rsidRPr="00014C4D" w:rsidRDefault="00014C4D" w:rsidP="00014C4D">
            <w:pPr>
              <w:keepNext/>
              <w:keepLines/>
              <w:spacing w:line="269" w:lineRule="auto"/>
              <w:jc w:val="center"/>
              <w:rPr>
                <w:rFonts w:ascii="David" w:eastAsia="Times New Roman" w:hAnsi="David"/>
                <w:b/>
                <w:bCs/>
                <w:sz w:val="22"/>
                <w:szCs w:val="22"/>
              </w:rPr>
            </w:pPr>
            <w:r w:rsidRPr="00014C4D">
              <w:rPr>
                <w:rFonts w:ascii="David" w:eastAsia="Times New Roman" w:hAnsi="David"/>
                <w:b/>
                <w:bCs/>
                <w:sz w:val="22"/>
                <w:szCs w:val="22"/>
                <w:rtl/>
              </w:rPr>
              <w:t>סוג בית הספר</w:t>
            </w:r>
          </w:p>
        </w:tc>
        <w:tc>
          <w:tcPr>
            <w:tcW w:w="3749" w:type="pct"/>
            <w:gridSpan w:val="3"/>
            <w:tcBorders>
              <w:top w:val="single" w:sz="12" w:space="0" w:color="auto"/>
              <w:left w:val="single" w:sz="6" w:space="0" w:color="auto"/>
              <w:bottom w:val="single" w:sz="6" w:space="0" w:color="auto"/>
              <w:right w:val="single" w:sz="12" w:space="0" w:color="auto"/>
            </w:tcBorders>
            <w:shd w:val="clear" w:color="auto" w:fill="D9D9D9" w:themeFill="background1" w:themeFillShade="D9"/>
            <w:noWrap/>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מס</w:t>
            </w:r>
            <w:r w:rsidRPr="00014C4D">
              <w:rPr>
                <w:rFonts w:ascii="David" w:eastAsia="Times New Roman" w:hAnsi="David" w:hint="cs"/>
                <w:b/>
                <w:bCs/>
                <w:sz w:val="22"/>
                <w:szCs w:val="22"/>
                <w:rtl/>
              </w:rPr>
              <w:t>פר</w:t>
            </w:r>
            <w:r w:rsidRPr="00014C4D">
              <w:rPr>
                <w:rFonts w:ascii="David" w:eastAsia="Times New Roman" w:hAnsi="David"/>
                <w:b/>
                <w:bCs/>
                <w:sz w:val="22"/>
                <w:szCs w:val="22"/>
                <w:rtl/>
              </w:rPr>
              <w:t xml:space="preserve"> </w:t>
            </w:r>
            <w:r w:rsidRPr="00014C4D">
              <w:rPr>
                <w:rFonts w:ascii="David" w:eastAsia="Times New Roman" w:hAnsi="David" w:hint="cs"/>
                <w:b/>
                <w:bCs/>
                <w:sz w:val="22"/>
                <w:szCs w:val="22"/>
                <w:rtl/>
              </w:rPr>
              <w:t>ה</w:t>
            </w:r>
            <w:r w:rsidRPr="00014C4D">
              <w:rPr>
                <w:rFonts w:ascii="David" w:eastAsia="Times New Roman" w:hAnsi="David"/>
                <w:b/>
                <w:bCs/>
                <w:sz w:val="22"/>
                <w:szCs w:val="22"/>
                <w:rtl/>
              </w:rPr>
              <w:t xml:space="preserve">תלמידים </w:t>
            </w:r>
            <w:r w:rsidRPr="00014C4D">
              <w:rPr>
                <w:rFonts w:ascii="David" w:eastAsia="Times New Roman" w:hAnsi="David" w:hint="cs"/>
                <w:b/>
                <w:bCs/>
                <w:sz w:val="22"/>
                <w:szCs w:val="22"/>
                <w:rtl/>
              </w:rPr>
              <w:t>ללא מיגון תקני</w:t>
            </w:r>
          </w:p>
        </w:tc>
      </w:tr>
      <w:tr w:rsidR="00014C4D" w:rsidRPr="00014C4D" w:rsidTr="00014C4D">
        <w:trPr>
          <w:trHeight w:val="720"/>
        </w:trPr>
        <w:tc>
          <w:tcPr>
            <w:tcW w:w="1251" w:type="pct"/>
            <w:vMerge/>
            <w:tcBorders>
              <w:top w:val="single" w:sz="6" w:space="0" w:color="auto"/>
              <w:left w:val="single" w:sz="12" w:space="0" w:color="auto"/>
              <w:bottom w:val="single" w:sz="12" w:space="0" w:color="auto"/>
              <w:right w:val="single" w:sz="6" w:space="0" w:color="auto"/>
            </w:tcBorders>
            <w:shd w:val="clear" w:color="auto" w:fill="D9D9D9" w:themeFill="background1" w:themeFillShade="D9"/>
            <w:vAlign w:val="center"/>
            <w:hideMark/>
          </w:tcPr>
          <w:p w:rsidR="00014C4D" w:rsidRPr="00014C4D" w:rsidRDefault="00014C4D" w:rsidP="00014C4D">
            <w:pPr>
              <w:keepNext/>
              <w:keepLines/>
              <w:spacing w:line="269" w:lineRule="auto"/>
              <w:jc w:val="center"/>
              <w:rPr>
                <w:rFonts w:ascii="David" w:eastAsia="Times New Roman" w:hAnsi="David"/>
                <w:b/>
                <w:bCs/>
                <w:sz w:val="22"/>
                <w:szCs w:val="22"/>
              </w:rPr>
            </w:pPr>
          </w:p>
        </w:tc>
        <w:tc>
          <w:tcPr>
            <w:tcW w:w="1250"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לפני המלחמה</w:t>
            </w:r>
          </w:p>
        </w:tc>
        <w:tc>
          <w:tcPr>
            <w:tcW w:w="1250" w:type="pct"/>
            <w:tcBorders>
              <w:top w:val="single" w:sz="6" w:space="0" w:color="auto"/>
              <w:left w:val="single" w:sz="6" w:space="0" w:color="auto"/>
              <w:bottom w:val="single" w:sz="12" w:space="0" w:color="auto"/>
              <w:right w:val="single" w:sz="6" w:space="0" w:color="auto"/>
            </w:tcBorders>
            <w:shd w:val="clear" w:color="auto" w:fill="D9D9D9" w:themeFill="background1" w:themeFillShade="D9"/>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במועד הביקורת</w:t>
            </w:r>
          </w:p>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ביולי 2024</w:t>
            </w:r>
          </w:p>
        </w:tc>
        <w:tc>
          <w:tcPr>
            <w:tcW w:w="1249" w:type="pct"/>
            <w:tcBorders>
              <w:top w:val="single" w:sz="6" w:space="0" w:color="auto"/>
              <w:left w:val="single" w:sz="6" w:space="0" w:color="auto"/>
              <w:bottom w:val="single" w:sz="12" w:space="0" w:color="auto"/>
              <w:right w:val="single" w:sz="12" w:space="0" w:color="auto"/>
            </w:tcBorders>
            <w:shd w:val="clear" w:color="auto" w:fill="D9D9D9" w:themeFill="background1" w:themeFillShade="D9"/>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הגידול ב</w:t>
            </w:r>
            <w:r w:rsidRPr="00014C4D">
              <w:rPr>
                <w:rFonts w:ascii="David" w:eastAsia="Times New Roman" w:hAnsi="David"/>
                <w:b/>
                <w:bCs/>
                <w:sz w:val="22"/>
                <w:szCs w:val="22"/>
                <w:rtl/>
              </w:rPr>
              <w:t xml:space="preserve">מספר </w:t>
            </w:r>
            <w:r w:rsidRPr="00014C4D">
              <w:rPr>
                <w:rFonts w:ascii="David" w:eastAsia="Times New Roman" w:hAnsi="David" w:hint="cs"/>
                <w:b/>
                <w:bCs/>
                <w:sz w:val="22"/>
                <w:szCs w:val="22"/>
                <w:rtl/>
              </w:rPr>
              <w:t>ה</w:t>
            </w:r>
            <w:r w:rsidRPr="00014C4D">
              <w:rPr>
                <w:rFonts w:ascii="David" w:eastAsia="Times New Roman" w:hAnsi="David"/>
                <w:b/>
                <w:bCs/>
                <w:sz w:val="22"/>
                <w:szCs w:val="22"/>
                <w:rtl/>
              </w:rPr>
              <w:t xml:space="preserve">תלמידים </w:t>
            </w:r>
            <w:r w:rsidRPr="00014C4D">
              <w:rPr>
                <w:rFonts w:ascii="David" w:eastAsia="Times New Roman" w:hAnsi="David" w:hint="cs"/>
                <w:b/>
                <w:bCs/>
                <w:sz w:val="22"/>
                <w:szCs w:val="22"/>
                <w:rtl/>
              </w:rPr>
              <w:t xml:space="preserve">שיש </w:t>
            </w:r>
            <w:r w:rsidRPr="00014C4D">
              <w:rPr>
                <w:rFonts w:ascii="David" w:eastAsia="Times New Roman" w:hAnsi="David"/>
                <w:b/>
                <w:bCs/>
                <w:sz w:val="22"/>
                <w:szCs w:val="22"/>
                <w:rtl/>
              </w:rPr>
              <w:t>להם</w:t>
            </w:r>
            <w:r w:rsidRPr="00014C4D">
              <w:rPr>
                <w:rFonts w:ascii="David" w:eastAsia="Times New Roman" w:hAnsi="David"/>
                <w:b/>
                <w:bCs/>
                <w:sz w:val="22"/>
                <w:szCs w:val="22"/>
                <w:rtl/>
              </w:rPr>
              <w:br/>
              <w:t>מ</w:t>
            </w:r>
            <w:r w:rsidRPr="00014C4D">
              <w:rPr>
                <w:rFonts w:ascii="David" w:eastAsia="Times New Roman" w:hAnsi="David" w:hint="cs"/>
                <w:b/>
                <w:bCs/>
                <w:sz w:val="22"/>
                <w:szCs w:val="22"/>
                <w:rtl/>
              </w:rPr>
              <w:t>י</w:t>
            </w:r>
            <w:r w:rsidRPr="00014C4D">
              <w:rPr>
                <w:rFonts w:ascii="David" w:eastAsia="Times New Roman" w:hAnsi="David"/>
                <w:b/>
                <w:bCs/>
                <w:sz w:val="22"/>
                <w:szCs w:val="22"/>
                <w:rtl/>
              </w:rPr>
              <w:t>גון תקני</w:t>
            </w:r>
          </w:p>
        </w:tc>
      </w:tr>
      <w:tr w:rsidR="00014C4D" w:rsidRPr="00014C4D" w:rsidTr="00014C4D">
        <w:trPr>
          <w:trHeight w:val="330"/>
        </w:trPr>
        <w:tc>
          <w:tcPr>
            <w:tcW w:w="1251" w:type="pct"/>
            <w:tcBorders>
              <w:top w:val="single" w:sz="12" w:space="0" w:color="auto"/>
              <w:left w:val="single" w:sz="12" w:space="0" w:color="auto"/>
              <w:bottom w:val="single" w:sz="6" w:space="0" w:color="auto"/>
              <w:right w:val="single" w:sz="6" w:space="0" w:color="auto"/>
            </w:tcBorders>
            <w:shd w:val="clear" w:color="auto" w:fill="auto"/>
            <w:noWrap/>
            <w:vAlign w:val="bottom"/>
            <w:hideMark/>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sz w:val="22"/>
                <w:szCs w:val="22"/>
                <w:rtl/>
              </w:rPr>
              <w:t>יסודי</w:t>
            </w:r>
          </w:p>
        </w:tc>
        <w:tc>
          <w:tcPr>
            <w:tcW w:w="1250" w:type="pct"/>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2,941</w:t>
            </w:r>
          </w:p>
        </w:tc>
        <w:tc>
          <w:tcPr>
            <w:tcW w:w="1250" w:type="pct"/>
            <w:tcBorders>
              <w:top w:val="single" w:sz="12" w:space="0" w:color="auto"/>
              <w:left w:val="single" w:sz="6" w:space="0" w:color="auto"/>
              <w:bottom w:val="single" w:sz="6" w:space="0" w:color="auto"/>
              <w:right w:val="single" w:sz="6"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2,037</w:t>
            </w:r>
          </w:p>
        </w:tc>
        <w:tc>
          <w:tcPr>
            <w:tcW w:w="1249" w:type="pct"/>
            <w:tcBorders>
              <w:top w:val="single" w:sz="12" w:space="0" w:color="auto"/>
              <w:left w:val="single" w:sz="6" w:space="0" w:color="auto"/>
              <w:bottom w:val="single" w:sz="6" w:space="0" w:color="auto"/>
              <w:right w:val="single" w:sz="12"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904</w:t>
            </w:r>
          </w:p>
        </w:tc>
      </w:tr>
      <w:tr w:rsidR="00014C4D" w:rsidRPr="00014C4D" w:rsidTr="00014C4D">
        <w:trPr>
          <w:trHeight w:val="330"/>
        </w:trPr>
        <w:tc>
          <w:tcPr>
            <w:tcW w:w="1251" w:type="pct"/>
            <w:tcBorders>
              <w:top w:val="single" w:sz="6" w:space="0" w:color="auto"/>
              <w:left w:val="single" w:sz="12" w:space="0" w:color="auto"/>
              <w:bottom w:val="single" w:sz="12" w:space="0" w:color="auto"/>
              <w:right w:val="single" w:sz="6" w:space="0" w:color="auto"/>
            </w:tcBorders>
            <w:shd w:val="clear" w:color="auto" w:fill="auto"/>
            <w:noWrap/>
            <w:vAlign w:val="bottom"/>
            <w:hideMark/>
          </w:tcPr>
          <w:p w:rsidR="00014C4D" w:rsidRPr="00014C4D" w:rsidRDefault="00014C4D" w:rsidP="00014C4D">
            <w:pPr>
              <w:keepNext/>
              <w:keepLines/>
              <w:spacing w:line="269" w:lineRule="auto"/>
              <w:jc w:val="left"/>
              <w:rPr>
                <w:rFonts w:ascii="David" w:eastAsia="Times New Roman" w:hAnsi="David"/>
                <w:sz w:val="22"/>
                <w:szCs w:val="22"/>
              </w:rPr>
            </w:pPr>
            <w:r w:rsidRPr="00014C4D">
              <w:rPr>
                <w:rFonts w:ascii="David" w:eastAsia="Times New Roman" w:hAnsi="David"/>
                <w:sz w:val="22"/>
                <w:szCs w:val="22"/>
                <w:rtl/>
              </w:rPr>
              <w:t>על</w:t>
            </w:r>
            <w:r w:rsidRPr="00014C4D">
              <w:rPr>
                <w:rFonts w:ascii="David" w:eastAsia="Times New Roman" w:hAnsi="David" w:hint="cs"/>
                <w:sz w:val="22"/>
                <w:szCs w:val="22"/>
                <w:rtl/>
              </w:rPr>
              <w:t>-</w:t>
            </w:r>
            <w:r w:rsidRPr="00014C4D">
              <w:rPr>
                <w:rFonts w:ascii="David" w:eastAsia="Times New Roman" w:hAnsi="David"/>
                <w:sz w:val="22"/>
                <w:szCs w:val="22"/>
                <w:rtl/>
              </w:rPr>
              <w:t>יסודי</w:t>
            </w:r>
          </w:p>
        </w:tc>
        <w:tc>
          <w:tcPr>
            <w:tcW w:w="1250" w:type="pct"/>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4,829</w:t>
            </w:r>
          </w:p>
        </w:tc>
        <w:tc>
          <w:tcPr>
            <w:tcW w:w="1250" w:type="pct"/>
            <w:tcBorders>
              <w:top w:val="single" w:sz="6" w:space="0" w:color="auto"/>
              <w:left w:val="single" w:sz="6" w:space="0" w:color="auto"/>
              <w:bottom w:val="single" w:sz="12" w:space="0" w:color="auto"/>
              <w:right w:val="single" w:sz="6"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4,356</w:t>
            </w:r>
          </w:p>
        </w:tc>
        <w:tc>
          <w:tcPr>
            <w:tcW w:w="1249" w:type="pct"/>
            <w:tcBorders>
              <w:top w:val="single" w:sz="6" w:space="0" w:color="auto"/>
              <w:left w:val="single" w:sz="6" w:space="0" w:color="auto"/>
              <w:bottom w:val="single" w:sz="12" w:space="0" w:color="auto"/>
              <w:right w:val="single" w:sz="12"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473</w:t>
            </w:r>
          </w:p>
        </w:tc>
      </w:tr>
      <w:tr w:rsidR="00014C4D" w:rsidRPr="00014C4D" w:rsidTr="00014C4D">
        <w:trPr>
          <w:trHeight w:val="330"/>
        </w:trPr>
        <w:tc>
          <w:tcPr>
            <w:tcW w:w="1251" w:type="pct"/>
            <w:tcBorders>
              <w:top w:val="single" w:sz="12" w:space="0" w:color="auto"/>
              <w:left w:val="single" w:sz="12" w:space="0" w:color="auto"/>
              <w:bottom w:val="single" w:sz="12" w:space="0" w:color="auto"/>
              <w:right w:val="single" w:sz="6" w:space="0" w:color="auto"/>
            </w:tcBorders>
            <w:shd w:val="clear" w:color="auto" w:fill="auto"/>
            <w:noWrap/>
            <w:vAlign w:val="bottom"/>
            <w:hideMark/>
          </w:tcPr>
          <w:p w:rsidR="00014C4D" w:rsidRPr="00014C4D" w:rsidRDefault="00014C4D" w:rsidP="00014C4D">
            <w:pPr>
              <w:keepNext/>
              <w:keepLines/>
              <w:spacing w:line="269" w:lineRule="auto"/>
              <w:jc w:val="left"/>
              <w:rPr>
                <w:rFonts w:ascii="David" w:eastAsia="Times New Roman" w:hAnsi="David"/>
                <w:b/>
                <w:bCs/>
                <w:sz w:val="22"/>
                <w:szCs w:val="22"/>
              </w:rPr>
            </w:pPr>
            <w:r w:rsidRPr="00014C4D">
              <w:rPr>
                <w:rFonts w:ascii="David" w:eastAsia="Times New Roman" w:hAnsi="David"/>
                <w:b/>
                <w:bCs/>
                <w:sz w:val="22"/>
                <w:szCs w:val="22"/>
                <w:rtl/>
              </w:rPr>
              <w:t>ס</w:t>
            </w:r>
            <w:r w:rsidRPr="00014C4D">
              <w:rPr>
                <w:rFonts w:ascii="David" w:eastAsia="Times New Roman" w:hAnsi="David" w:hint="cs"/>
                <w:b/>
                <w:bCs/>
                <w:sz w:val="22"/>
                <w:szCs w:val="22"/>
                <w:rtl/>
              </w:rPr>
              <w:t>ה"כ</w:t>
            </w:r>
          </w:p>
        </w:tc>
        <w:tc>
          <w:tcPr>
            <w:tcW w:w="1250" w:type="pct"/>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7,770</w:t>
            </w:r>
          </w:p>
        </w:tc>
        <w:tc>
          <w:tcPr>
            <w:tcW w:w="1250" w:type="pct"/>
            <w:tcBorders>
              <w:top w:val="single" w:sz="12" w:space="0" w:color="auto"/>
              <w:left w:val="single" w:sz="6" w:space="0" w:color="auto"/>
              <w:bottom w:val="single" w:sz="12" w:space="0" w:color="auto"/>
              <w:right w:val="single" w:sz="6"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6,393</w:t>
            </w:r>
          </w:p>
        </w:tc>
        <w:tc>
          <w:tcPr>
            <w:tcW w:w="1249" w:type="pct"/>
            <w:tcBorders>
              <w:top w:val="single" w:sz="12" w:space="0" w:color="auto"/>
              <w:left w:val="single" w:sz="6" w:space="0" w:color="auto"/>
              <w:bottom w:val="single" w:sz="12" w:space="0" w:color="auto"/>
              <w:right w:val="single" w:sz="12" w:space="0" w:color="auto"/>
            </w:tcBorders>
            <w:shd w:val="clear" w:color="auto" w:fill="auto"/>
            <w:noWrap/>
            <w:vAlign w:val="bottom"/>
            <w:hideMark/>
          </w:tcPr>
          <w:p w:rsidR="00014C4D" w:rsidRPr="00014C4D" w:rsidRDefault="00014C4D" w:rsidP="00014C4D">
            <w:pPr>
              <w:keepNext/>
              <w:keepLines/>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1,377</w:t>
            </w:r>
          </w:p>
        </w:tc>
      </w:tr>
    </w:tbl>
    <w:p w:rsidR="00014C4D" w:rsidRPr="00014C4D" w:rsidRDefault="00014C4D" w:rsidP="00014C4D">
      <w:pPr>
        <w:tabs>
          <w:tab w:val="left" w:pos="6520"/>
        </w:tabs>
        <w:spacing w:line="269" w:lineRule="auto"/>
        <w:rPr>
          <w:rtl/>
        </w:rPr>
      </w:pPr>
    </w:p>
    <w:p w:rsidR="00014C4D" w:rsidRPr="00014C4D" w:rsidRDefault="00014C4D" w:rsidP="00014C4D">
      <w:pPr>
        <w:tabs>
          <w:tab w:val="left" w:pos="6520"/>
        </w:tabs>
        <w:spacing w:line="269" w:lineRule="auto"/>
        <w:rPr>
          <w:b/>
          <w:bCs/>
          <w:rtl/>
        </w:rPr>
      </w:pPr>
      <w:r w:rsidRPr="00014C4D">
        <w:rPr>
          <w:rFonts w:hint="cs"/>
          <w:rtl/>
        </w:rPr>
        <w:t xml:space="preserve">מהלוח עולה כי לפני המלחמה ל-7,770 מתוך 29,472 התלמידים בבתי הספר בחולון (כ-26%) לא היה מיגון תקני, וכי מנובמבר 2023 ועד מועד הביקורת ביולי 2024 בנתה עיריית חולון תוספת מיגון ל-1,377 תלמידים.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b/>
          <w:bCs/>
          <w:rtl/>
        </w:rPr>
      </w:pPr>
      <w:r w:rsidRPr="00014C4D">
        <w:rPr>
          <w:rFonts w:hint="cs"/>
          <w:b/>
          <w:bCs/>
          <w:rtl/>
        </w:rPr>
        <w:t xml:space="preserve">נמצא כי גם לאחר תוספת הבנייה שעשתה עיריית חולון לאחר פרוץ המלחמה עדיין ל-22% מהתלמידים (6,393 מתוך 29,472) אין מיגון תקני.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b/>
          <w:bCs/>
          <w:rtl/>
        </w:rPr>
      </w:pPr>
      <w:r w:rsidRPr="00014C4D">
        <w:rPr>
          <w:rFonts w:hint="cs"/>
          <w:b/>
          <w:bCs/>
          <w:rtl/>
        </w:rPr>
        <w:t xml:space="preserve">עוד נמצא כי הרשויות המקומיות אשקלון, ביענה והגלבוע לא בנו כיתות ממוגנות בבתי ספר מאז תחילת המלחמה.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כדי לתת מענה לפערי המיגון בבתי הספר על הרשויות המקומיות אשקלון, ביענה </w:t>
      </w:r>
      <w:r w:rsidRPr="00014C4D">
        <w:rPr>
          <w:rFonts w:hint="eastAsia"/>
          <w:b/>
          <w:bCs/>
          <w:rtl/>
        </w:rPr>
        <w:t>והמועצה</w:t>
      </w:r>
      <w:r w:rsidRPr="00014C4D">
        <w:rPr>
          <w:b/>
          <w:bCs/>
          <w:rtl/>
        </w:rPr>
        <w:t xml:space="preserve"> </w:t>
      </w:r>
      <w:r w:rsidRPr="00014C4D">
        <w:rPr>
          <w:rFonts w:hint="eastAsia"/>
          <w:b/>
          <w:bCs/>
          <w:rtl/>
        </w:rPr>
        <w:t>האזורית</w:t>
      </w:r>
      <w:r w:rsidRPr="00014C4D">
        <w:rPr>
          <w:b/>
          <w:bCs/>
          <w:rtl/>
        </w:rPr>
        <w:t xml:space="preserve"> </w:t>
      </w:r>
      <w:r w:rsidRPr="00014C4D">
        <w:rPr>
          <w:rFonts w:hint="eastAsia"/>
          <w:b/>
          <w:bCs/>
          <w:rtl/>
        </w:rPr>
        <w:t>הגלבוע</w:t>
      </w:r>
      <w:r w:rsidRPr="00014C4D">
        <w:rPr>
          <w:rFonts w:hint="cs"/>
          <w:b/>
          <w:bCs/>
          <w:rtl/>
        </w:rPr>
        <w:t xml:space="preserve"> לפעול לבניית כיתות ממוגנות או למציאת פתרונות חלופיים כגון הצבת מיגוניות.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המועצה המקומית </w:t>
      </w:r>
      <w:r w:rsidRPr="00014C4D">
        <w:rPr>
          <w:rFonts w:hint="cs"/>
          <w:b/>
          <w:bCs/>
          <w:rtl/>
        </w:rPr>
        <w:t xml:space="preserve">ביענה </w:t>
      </w:r>
      <w:r w:rsidRPr="00014C4D">
        <w:rPr>
          <w:rFonts w:hint="cs"/>
          <w:rtl/>
        </w:rPr>
        <w:t>מסרה בתשובתה</w:t>
      </w:r>
      <w:r w:rsidRPr="00014C4D">
        <w:rPr>
          <w:rFonts w:hint="cs"/>
          <w:b/>
          <w:bCs/>
          <w:rtl/>
        </w:rPr>
        <w:t xml:space="preserve"> </w:t>
      </w:r>
      <w:r w:rsidRPr="00014C4D">
        <w:rPr>
          <w:rtl/>
        </w:rPr>
        <w:t>כי עקב מחסור בתקציב לא מתוכננת בנייה של כיתות לימוד ממוגנות</w:t>
      </w:r>
      <w:r w:rsidRPr="00014C4D">
        <w:rPr>
          <w:rFonts w:hint="cs"/>
          <w:rtl/>
        </w:rPr>
        <w:t xml:space="preserve">. </w:t>
      </w:r>
      <w:r w:rsidRPr="00014C4D">
        <w:rPr>
          <w:rtl/>
        </w:rPr>
        <w:t xml:space="preserve">בית הספר היסודי ב' אמור לעבור לבניין חדש </w:t>
      </w:r>
      <w:r w:rsidRPr="00014C4D">
        <w:rPr>
          <w:rFonts w:hint="cs"/>
          <w:rtl/>
        </w:rPr>
        <w:t>(ובו מיגון כנדרש בהנחיות), שהקמתו תמומן מתקציב משרד החינוך.</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 xml:space="preserve">גני ילדים </w:t>
      </w:r>
    </w:p>
    <w:p w:rsidR="00014C4D" w:rsidRPr="00014C4D" w:rsidRDefault="00014C4D" w:rsidP="00014C4D">
      <w:pPr>
        <w:spacing w:line="269" w:lineRule="auto"/>
        <w:ind w:left="-567"/>
        <w:rPr>
          <w:szCs w:val="20"/>
          <w:rtl/>
        </w:rPr>
      </w:pPr>
    </w:p>
    <w:p w:rsidR="00014C4D" w:rsidRPr="00014C4D" w:rsidRDefault="00014C4D" w:rsidP="00014C4D">
      <w:pPr>
        <w:keepNext/>
        <w:keepLines/>
        <w:tabs>
          <w:tab w:val="left" w:pos="6520"/>
        </w:tabs>
        <w:spacing w:line="269" w:lineRule="auto"/>
        <w:jc w:val="center"/>
        <w:rPr>
          <w:rtl/>
        </w:rPr>
      </w:pPr>
      <w:r w:rsidRPr="00014C4D">
        <w:rPr>
          <w:rFonts w:hint="eastAsia"/>
          <w:rtl/>
        </w:rPr>
        <w:t>לוח</w:t>
      </w:r>
      <w:r w:rsidRPr="00014C4D">
        <w:rPr>
          <w:rtl/>
        </w:rPr>
        <w:t xml:space="preserve"> </w:t>
      </w:r>
      <w:r w:rsidRPr="00014C4D">
        <w:rPr>
          <w:rFonts w:hint="cs"/>
          <w:rtl/>
        </w:rPr>
        <w:t>9</w:t>
      </w:r>
      <w:r w:rsidRPr="00014C4D">
        <w:rPr>
          <w:rtl/>
        </w:rPr>
        <w:t>:</w:t>
      </w:r>
      <w:r w:rsidRPr="00014C4D">
        <w:rPr>
          <w:rFonts w:hint="cs"/>
          <w:b/>
          <w:bCs/>
          <w:rtl/>
        </w:rPr>
        <w:t xml:space="preserve"> מספר ילדי הגנים ללא מיגון תקני ביולי 2024 לעומת מספרם לפני פרוץ המלחמה בגבעתיים ובחולון</w:t>
      </w:r>
    </w:p>
    <w:tbl>
      <w:tblPr>
        <w:bidiVisual/>
        <w:tblW w:w="499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2226"/>
        <w:gridCol w:w="2226"/>
        <w:gridCol w:w="2224"/>
      </w:tblGrid>
      <w:tr w:rsidR="00014C4D" w:rsidRPr="00014C4D" w:rsidTr="00014C4D">
        <w:trPr>
          <w:trHeight w:val="330"/>
        </w:trPr>
        <w:tc>
          <w:tcPr>
            <w:tcW w:w="1251" w:type="pct"/>
            <w:vMerge w:val="restart"/>
            <w:shd w:val="clear" w:color="auto" w:fill="D9D9D9" w:themeFill="background1" w:themeFillShade="D9"/>
            <w:noWrap/>
            <w:vAlign w:val="bottom"/>
            <w:hideMark/>
          </w:tcPr>
          <w:p w:rsidR="00014C4D" w:rsidRPr="00014C4D" w:rsidRDefault="00014C4D" w:rsidP="00014C4D">
            <w:pPr>
              <w:keepNext/>
              <w:keepLines/>
              <w:spacing w:line="269" w:lineRule="auto"/>
              <w:jc w:val="center"/>
              <w:rPr>
                <w:rFonts w:ascii="David" w:eastAsia="Times New Roman" w:hAnsi="David"/>
                <w:b/>
                <w:bCs/>
                <w:sz w:val="22"/>
                <w:szCs w:val="22"/>
              </w:rPr>
            </w:pPr>
            <w:r w:rsidRPr="00014C4D">
              <w:rPr>
                <w:rFonts w:ascii="David" w:eastAsia="Times New Roman" w:hAnsi="David" w:hint="cs"/>
                <w:b/>
                <w:bCs/>
                <w:sz w:val="22"/>
                <w:szCs w:val="22"/>
                <w:rtl/>
              </w:rPr>
              <w:t>הרשות מקומית</w:t>
            </w:r>
          </w:p>
        </w:tc>
        <w:tc>
          <w:tcPr>
            <w:tcW w:w="3749" w:type="pct"/>
            <w:gridSpan w:val="3"/>
            <w:shd w:val="clear" w:color="auto" w:fill="D9D9D9" w:themeFill="background1" w:themeFillShade="D9"/>
            <w:noWrap/>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מס</w:t>
            </w:r>
            <w:r w:rsidRPr="00014C4D">
              <w:rPr>
                <w:rFonts w:ascii="David" w:eastAsia="Times New Roman" w:hAnsi="David" w:hint="cs"/>
                <w:b/>
                <w:bCs/>
                <w:sz w:val="22"/>
                <w:szCs w:val="22"/>
                <w:rtl/>
              </w:rPr>
              <w:t>פר</w:t>
            </w:r>
            <w:r w:rsidRPr="00014C4D">
              <w:rPr>
                <w:rFonts w:ascii="David" w:eastAsia="Times New Roman" w:hAnsi="David"/>
                <w:b/>
                <w:bCs/>
                <w:sz w:val="22"/>
                <w:szCs w:val="22"/>
                <w:rtl/>
              </w:rPr>
              <w:t xml:space="preserve"> </w:t>
            </w:r>
            <w:r w:rsidRPr="00014C4D">
              <w:rPr>
                <w:rFonts w:ascii="David" w:eastAsia="Times New Roman" w:hAnsi="David" w:hint="cs"/>
                <w:b/>
                <w:bCs/>
                <w:sz w:val="22"/>
                <w:szCs w:val="22"/>
                <w:rtl/>
              </w:rPr>
              <w:t>ה</w:t>
            </w:r>
            <w:r w:rsidRPr="00014C4D">
              <w:rPr>
                <w:rFonts w:ascii="David" w:eastAsia="Times New Roman" w:hAnsi="David"/>
                <w:b/>
                <w:bCs/>
                <w:sz w:val="22"/>
                <w:szCs w:val="22"/>
                <w:rtl/>
              </w:rPr>
              <w:t xml:space="preserve">תלמידים </w:t>
            </w:r>
            <w:r w:rsidRPr="00014C4D">
              <w:rPr>
                <w:rFonts w:ascii="David" w:eastAsia="Times New Roman" w:hAnsi="David" w:hint="cs"/>
                <w:b/>
                <w:bCs/>
                <w:sz w:val="22"/>
                <w:szCs w:val="22"/>
                <w:rtl/>
              </w:rPr>
              <w:t>ללא מיגון תקני</w:t>
            </w:r>
          </w:p>
        </w:tc>
      </w:tr>
      <w:tr w:rsidR="00014C4D" w:rsidRPr="00014C4D" w:rsidTr="00014C4D">
        <w:trPr>
          <w:trHeight w:val="720"/>
        </w:trPr>
        <w:tc>
          <w:tcPr>
            <w:tcW w:w="1251" w:type="pct"/>
            <w:vMerge/>
            <w:shd w:val="clear" w:color="auto" w:fill="D9D9D9" w:themeFill="background1" w:themeFillShade="D9"/>
            <w:vAlign w:val="center"/>
            <w:hideMark/>
          </w:tcPr>
          <w:p w:rsidR="00014C4D" w:rsidRPr="00014C4D" w:rsidRDefault="00014C4D" w:rsidP="00014C4D">
            <w:pPr>
              <w:keepNext/>
              <w:keepLines/>
              <w:spacing w:line="269" w:lineRule="auto"/>
              <w:jc w:val="left"/>
              <w:rPr>
                <w:rFonts w:ascii="David" w:eastAsia="Times New Roman" w:hAnsi="David"/>
                <w:b/>
                <w:bCs/>
                <w:sz w:val="22"/>
                <w:szCs w:val="22"/>
              </w:rPr>
            </w:pPr>
          </w:p>
        </w:tc>
        <w:tc>
          <w:tcPr>
            <w:tcW w:w="1250" w:type="pct"/>
            <w:shd w:val="clear" w:color="auto" w:fill="D9D9D9" w:themeFill="background1" w:themeFillShade="D9"/>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לפני המלחמה</w:t>
            </w:r>
          </w:p>
        </w:tc>
        <w:tc>
          <w:tcPr>
            <w:tcW w:w="1250" w:type="pct"/>
            <w:shd w:val="clear" w:color="auto" w:fill="D9D9D9" w:themeFill="background1" w:themeFillShade="D9"/>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במועד הביקורת</w:t>
            </w:r>
          </w:p>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ביולי 2024</w:t>
            </w:r>
          </w:p>
        </w:tc>
        <w:tc>
          <w:tcPr>
            <w:tcW w:w="1249" w:type="pct"/>
            <w:shd w:val="clear" w:color="auto" w:fill="D9D9D9" w:themeFill="background1" w:themeFillShade="D9"/>
            <w:vAlign w:val="bottom"/>
            <w:hideMark/>
          </w:tcPr>
          <w:p w:rsidR="00014C4D" w:rsidRPr="00014C4D" w:rsidRDefault="00014C4D" w:rsidP="00014C4D">
            <w:pPr>
              <w:keepNext/>
              <w:keepLines/>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הגידול ב</w:t>
            </w:r>
            <w:r w:rsidRPr="00014C4D">
              <w:rPr>
                <w:rFonts w:ascii="David" w:eastAsia="Times New Roman" w:hAnsi="David"/>
                <w:b/>
                <w:bCs/>
                <w:sz w:val="22"/>
                <w:szCs w:val="22"/>
                <w:rtl/>
              </w:rPr>
              <w:t xml:space="preserve">מספר </w:t>
            </w:r>
            <w:r w:rsidRPr="00014C4D">
              <w:rPr>
                <w:rFonts w:ascii="David" w:eastAsia="Times New Roman" w:hAnsi="David" w:hint="cs"/>
                <w:b/>
                <w:bCs/>
                <w:sz w:val="22"/>
                <w:szCs w:val="22"/>
                <w:rtl/>
              </w:rPr>
              <w:t>ה</w:t>
            </w:r>
            <w:r w:rsidRPr="00014C4D">
              <w:rPr>
                <w:rFonts w:ascii="David" w:eastAsia="Times New Roman" w:hAnsi="David"/>
                <w:b/>
                <w:bCs/>
                <w:sz w:val="22"/>
                <w:szCs w:val="22"/>
                <w:rtl/>
              </w:rPr>
              <w:t xml:space="preserve">תלמידים </w:t>
            </w:r>
            <w:r w:rsidRPr="00014C4D">
              <w:rPr>
                <w:rFonts w:ascii="David" w:eastAsia="Times New Roman" w:hAnsi="David" w:hint="cs"/>
                <w:b/>
                <w:bCs/>
                <w:sz w:val="22"/>
                <w:szCs w:val="22"/>
                <w:rtl/>
              </w:rPr>
              <w:t xml:space="preserve">שיש </w:t>
            </w:r>
            <w:r w:rsidRPr="00014C4D">
              <w:rPr>
                <w:rFonts w:ascii="David" w:eastAsia="Times New Roman" w:hAnsi="David"/>
                <w:b/>
                <w:bCs/>
                <w:sz w:val="22"/>
                <w:szCs w:val="22"/>
                <w:rtl/>
              </w:rPr>
              <w:t>להם מ</w:t>
            </w:r>
            <w:r w:rsidRPr="00014C4D">
              <w:rPr>
                <w:rFonts w:ascii="David" w:eastAsia="Times New Roman" w:hAnsi="David" w:hint="cs"/>
                <w:b/>
                <w:bCs/>
                <w:sz w:val="22"/>
                <w:szCs w:val="22"/>
                <w:rtl/>
              </w:rPr>
              <w:t>י</w:t>
            </w:r>
            <w:r w:rsidRPr="00014C4D">
              <w:rPr>
                <w:rFonts w:ascii="David" w:eastAsia="Times New Roman" w:hAnsi="David"/>
                <w:b/>
                <w:bCs/>
                <w:sz w:val="22"/>
                <w:szCs w:val="22"/>
                <w:rtl/>
              </w:rPr>
              <w:t>גון תקני</w:t>
            </w:r>
          </w:p>
        </w:tc>
      </w:tr>
      <w:tr w:rsidR="00014C4D" w:rsidRPr="00014C4D" w:rsidTr="00014C4D">
        <w:trPr>
          <w:trHeight w:val="330"/>
        </w:trPr>
        <w:tc>
          <w:tcPr>
            <w:tcW w:w="1251" w:type="pct"/>
            <w:shd w:val="clear" w:color="auto" w:fill="auto"/>
            <w:noWrap/>
            <w:vAlign w:val="bottom"/>
          </w:tcPr>
          <w:p w:rsidR="00014C4D" w:rsidRPr="00014C4D" w:rsidRDefault="00014C4D" w:rsidP="00014C4D">
            <w:pPr>
              <w:keepNext/>
              <w:keepLines/>
              <w:spacing w:line="269" w:lineRule="auto"/>
              <w:jc w:val="left"/>
              <w:rPr>
                <w:rFonts w:ascii="David" w:eastAsia="Times New Roman" w:hAnsi="David"/>
                <w:sz w:val="22"/>
                <w:szCs w:val="22"/>
                <w:rtl/>
              </w:rPr>
            </w:pPr>
            <w:r w:rsidRPr="00014C4D">
              <w:rPr>
                <w:rFonts w:ascii="David" w:eastAsia="Times New Roman" w:hAnsi="David" w:hint="cs"/>
                <w:sz w:val="22"/>
                <w:szCs w:val="22"/>
                <w:rtl/>
              </w:rPr>
              <w:t>גבעתיים</w:t>
            </w:r>
          </w:p>
        </w:tc>
        <w:tc>
          <w:tcPr>
            <w:tcW w:w="1250" w:type="pct"/>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884</w:t>
            </w:r>
          </w:p>
        </w:tc>
        <w:tc>
          <w:tcPr>
            <w:tcW w:w="1250" w:type="pct"/>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409</w:t>
            </w:r>
          </w:p>
        </w:tc>
        <w:tc>
          <w:tcPr>
            <w:tcW w:w="1249" w:type="pct"/>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475</w:t>
            </w:r>
          </w:p>
        </w:tc>
      </w:tr>
      <w:tr w:rsidR="00014C4D" w:rsidRPr="00014C4D" w:rsidTr="00014C4D">
        <w:trPr>
          <w:trHeight w:val="330"/>
        </w:trPr>
        <w:tc>
          <w:tcPr>
            <w:tcW w:w="1251" w:type="pct"/>
            <w:shd w:val="clear" w:color="auto" w:fill="auto"/>
            <w:noWrap/>
            <w:vAlign w:val="bottom"/>
          </w:tcPr>
          <w:p w:rsidR="00014C4D" w:rsidRPr="00014C4D" w:rsidRDefault="00014C4D" w:rsidP="00014C4D">
            <w:pPr>
              <w:keepNext/>
              <w:keepLines/>
              <w:spacing w:line="269" w:lineRule="auto"/>
              <w:jc w:val="left"/>
              <w:rPr>
                <w:rFonts w:ascii="David" w:eastAsia="Times New Roman" w:hAnsi="David"/>
                <w:sz w:val="22"/>
                <w:szCs w:val="22"/>
              </w:rPr>
            </w:pPr>
            <w:r w:rsidRPr="00014C4D">
              <w:rPr>
                <w:rFonts w:ascii="David" w:eastAsia="Times New Roman" w:hAnsi="David" w:hint="cs"/>
                <w:sz w:val="22"/>
                <w:szCs w:val="22"/>
                <w:rtl/>
              </w:rPr>
              <w:t>חולון</w:t>
            </w:r>
          </w:p>
        </w:tc>
        <w:tc>
          <w:tcPr>
            <w:tcW w:w="1250" w:type="pct"/>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3,599</w:t>
            </w:r>
          </w:p>
        </w:tc>
        <w:tc>
          <w:tcPr>
            <w:tcW w:w="1250" w:type="pct"/>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3,206</w:t>
            </w:r>
          </w:p>
        </w:tc>
        <w:tc>
          <w:tcPr>
            <w:tcW w:w="1249" w:type="pct"/>
            <w:shd w:val="clear" w:color="auto" w:fill="auto"/>
            <w:noWrap/>
            <w:vAlign w:val="bottom"/>
          </w:tcPr>
          <w:p w:rsidR="00014C4D" w:rsidRPr="00014C4D" w:rsidRDefault="00014C4D" w:rsidP="00014C4D">
            <w:pPr>
              <w:keepNext/>
              <w:keepLines/>
              <w:bidi w:val="0"/>
              <w:spacing w:line="269" w:lineRule="auto"/>
              <w:jc w:val="right"/>
              <w:rPr>
                <w:rFonts w:ascii="David" w:eastAsia="Times New Roman" w:hAnsi="David"/>
                <w:sz w:val="22"/>
                <w:szCs w:val="22"/>
              </w:rPr>
            </w:pPr>
            <w:r w:rsidRPr="00014C4D">
              <w:rPr>
                <w:rFonts w:ascii="David" w:eastAsia="Times New Roman" w:hAnsi="David"/>
                <w:sz w:val="22"/>
                <w:szCs w:val="22"/>
              </w:rPr>
              <w:t>393</w:t>
            </w:r>
          </w:p>
        </w:tc>
      </w:tr>
    </w:tbl>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rtl/>
        </w:rPr>
      </w:pPr>
      <w:r w:rsidRPr="00014C4D">
        <w:rPr>
          <w:rFonts w:hint="cs"/>
          <w:rtl/>
        </w:rPr>
        <w:lastRenderedPageBreak/>
        <w:t>מהלוח עולה כי לפני המלחמה ל-884 מתוך 2,341 תלמידים (כ-38%) בגני הילדים ב</w:t>
      </w:r>
      <w:r w:rsidRPr="00014C4D">
        <w:rPr>
          <w:rFonts w:hint="cs"/>
          <w:b/>
          <w:bCs/>
          <w:rtl/>
        </w:rPr>
        <w:t>גבעתיים</w:t>
      </w:r>
      <w:r w:rsidRPr="00014C4D">
        <w:rPr>
          <w:rFonts w:hint="cs"/>
          <w:rtl/>
        </w:rPr>
        <w:t xml:space="preserve"> לא היה מיגון תקני, ורק לאחר תחילת המלחמה בנובמבר 2023 החלה עיריית </w:t>
      </w:r>
      <w:r w:rsidRPr="00014C4D">
        <w:rPr>
          <w:rFonts w:hint="cs"/>
          <w:b/>
          <w:bCs/>
          <w:rtl/>
        </w:rPr>
        <w:t>גבעתיים</w:t>
      </w:r>
      <w:r w:rsidRPr="00014C4D">
        <w:rPr>
          <w:rFonts w:hint="cs"/>
          <w:rtl/>
        </w:rPr>
        <w:t xml:space="preserve"> לבנות מיגון תקני</w:t>
      </w:r>
      <w:r w:rsidRPr="00014C4D">
        <w:rPr>
          <w:vertAlign w:val="superscript"/>
          <w:rtl/>
        </w:rPr>
        <w:footnoteReference w:id="83"/>
      </w:r>
      <w:r w:rsidRPr="00014C4D">
        <w:rPr>
          <w:rFonts w:hint="cs"/>
          <w:rtl/>
        </w:rPr>
        <w:t xml:space="preserve"> ל-507 ילדים שלמדו בגני ילדים ללא מיגון כלל. במועד הביקורת ביולי 2024 סיימה העירייה בניית </w:t>
      </w:r>
      <w:r w:rsidRPr="00014C4D">
        <w:rPr>
          <w:rFonts w:hint="cs"/>
          <w:sz w:val="24"/>
          <w:rtl/>
        </w:rPr>
        <w:t xml:space="preserve">תוספת מיגון </w:t>
      </w:r>
      <w:r w:rsidRPr="00014C4D">
        <w:rPr>
          <w:rFonts w:hint="cs"/>
          <w:rtl/>
        </w:rPr>
        <w:t>ל-475</w:t>
      </w:r>
      <w:r w:rsidRPr="00014C4D">
        <w:rPr>
          <w:vertAlign w:val="superscript"/>
          <w:rtl/>
        </w:rPr>
        <w:footnoteReference w:id="84"/>
      </w:r>
      <w:r w:rsidRPr="00014C4D">
        <w:rPr>
          <w:rFonts w:hint="cs"/>
          <w:rtl/>
        </w:rPr>
        <w:t xml:space="preserve"> תלמידים.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b/>
          <w:bCs/>
          <w:rtl/>
        </w:rPr>
      </w:pPr>
      <w:r w:rsidRPr="00014C4D">
        <w:rPr>
          <w:rFonts w:hint="cs"/>
          <w:b/>
          <w:bCs/>
          <w:rtl/>
        </w:rPr>
        <w:t>נמצא כי גם לאחר תוספת הבנייה שעשתה עיריית גבעתיים לאחר פרוץ המלחמה עדיין ל-17% מהתלמידים בגני הילדים בגבעתיים אין מיגון תקני.</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rtl/>
        </w:rPr>
      </w:pPr>
      <w:r w:rsidRPr="00014C4D">
        <w:rPr>
          <w:rFonts w:hint="cs"/>
          <w:rtl/>
        </w:rPr>
        <w:t>מהלוח עולה כי לפני תחילת המלחמה ל-3,599 מתוך 8,153 תלמידים (44%) שלמדו בגני ילדים ב</w:t>
      </w:r>
      <w:r w:rsidRPr="00014C4D">
        <w:rPr>
          <w:rFonts w:hint="cs"/>
          <w:b/>
          <w:bCs/>
          <w:rtl/>
        </w:rPr>
        <w:t>חולון</w:t>
      </w:r>
      <w:r w:rsidRPr="00014C4D">
        <w:rPr>
          <w:rFonts w:hint="cs"/>
          <w:rtl/>
        </w:rPr>
        <w:t xml:space="preserve"> לא היה מיגון תקני, וכי מנובמבר 2023 ועד מועד הביקורת באוגוסט 2024 בנתה עיריית </w:t>
      </w:r>
      <w:r w:rsidRPr="00014C4D">
        <w:rPr>
          <w:rFonts w:hint="cs"/>
          <w:b/>
          <w:bCs/>
          <w:rtl/>
        </w:rPr>
        <w:t>חולון</w:t>
      </w:r>
      <w:r w:rsidRPr="00014C4D">
        <w:rPr>
          <w:rFonts w:hint="cs"/>
          <w:rtl/>
        </w:rPr>
        <w:t xml:space="preserve"> מיגון תקני ל-393 ילדים בגני ילדים שלא היה בהם מיגון כלל.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b/>
          <w:bCs/>
          <w:rtl/>
        </w:rPr>
      </w:pPr>
      <w:r w:rsidRPr="00014C4D">
        <w:rPr>
          <w:rFonts w:hint="cs"/>
          <w:b/>
          <w:bCs/>
          <w:rtl/>
        </w:rPr>
        <w:t xml:space="preserve">נמצא כי גם בעקבות הבנייה עדיין ל-39% מהתלמידים בגני הילדים בחולון אין מיגון תקני. </w:t>
      </w:r>
    </w:p>
    <w:p w:rsidR="00014C4D" w:rsidRPr="00014C4D" w:rsidRDefault="00014C4D" w:rsidP="00014C4D">
      <w:pPr>
        <w:spacing w:line="269" w:lineRule="auto"/>
        <w:ind w:left="-567"/>
        <w:rPr>
          <w:szCs w:val="20"/>
          <w:rtl/>
        </w:rPr>
      </w:pPr>
    </w:p>
    <w:p w:rsidR="00014C4D" w:rsidRPr="00014C4D" w:rsidRDefault="00014C4D" w:rsidP="00014C4D">
      <w:pPr>
        <w:tabs>
          <w:tab w:val="left" w:pos="6520"/>
        </w:tabs>
        <w:spacing w:line="269" w:lineRule="auto"/>
        <w:rPr>
          <w:b/>
          <w:bCs/>
          <w:rtl/>
        </w:rPr>
      </w:pPr>
      <w:r w:rsidRPr="00014C4D">
        <w:rPr>
          <w:rFonts w:hint="cs"/>
          <w:b/>
          <w:bCs/>
          <w:rtl/>
        </w:rPr>
        <w:t xml:space="preserve">עוד נמצא כי הרשויות המקומיות אשקלון, ביענה והגלבוע לא בנו כיתות ממוגנות בגני הילדים מאז תחילת המלחמה.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על הרשויות המקומיות אשקלון, ביענה והגלבוע לפעול לבניית כיתות ממוגנות או למציאת פתרונות חלופיים לפערי המיגון בגני הילדים כגון הצבת מיגוניות.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המועצה המקומית </w:t>
      </w:r>
      <w:r w:rsidRPr="00014C4D">
        <w:rPr>
          <w:rFonts w:hint="cs"/>
          <w:b/>
          <w:bCs/>
          <w:rtl/>
        </w:rPr>
        <w:t>ביענה</w:t>
      </w:r>
      <w:r w:rsidRPr="00014C4D">
        <w:rPr>
          <w:rFonts w:hint="cs"/>
          <w:rtl/>
        </w:rPr>
        <w:t xml:space="preserve"> מסרה בתשובתה </w:t>
      </w:r>
      <w:r w:rsidRPr="00014C4D">
        <w:rPr>
          <w:rtl/>
        </w:rPr>
        <w:t>כי בסמוך לגני ילדים שאין בהם מיגון תקני הוצבו מ</w:t>
      </w:r>
      <w:r w:rsidRPr="00014C4D">
        <w:rPr>
          <w:rFonts w:hint="cs"/>
          <w:rtl/>
        </w:rPr>
        <w:t>י</w:t>
      </w:r>
      <w:r w:rsidRPr="00014C4D">
        <w:rPr>
          <w:rtl/>
        </w:rPr>
        <w:t>גוניות</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עיריית </w:t>
      </w:r>
      <w:r w:rsidRPr="00014C4D">
        <w:rPr>
          <w:b/>
          <w:bCs/>
          <w:rtl/>
        </w:rPr>
        <w:t>חולון</w:t>
      </w:r>
      <w:r w:rsidRPr="00014C4D">
        <w:rPr>
          <w:rtl/>
        </w:rPr>
        <w:t xml:space="preserve"> מסרה בתשובתה כי עבודות המיגון לצמצום נוסף של פערי המקלוט במוסדות החינוך נמשכות בימים אלו</w:t>
      </w:r>
      <w:r w:rsidRPr="00014C4D">
        <w:rPr>
          <w:rFonts w:hint="cs"/>
          <w:rtl/>
        </w:rPr>
        <w:t>, כאמור לעיל</w:t>
      </w:r>
      <w:r w:rsidRPr="00014C4D">
        <w:rPr>
          <w:rtl/>
        </w:rPr>
        <w:t>. עוד מסרה העירייה כי לפי הנתונים שצירפה, כיום אין גן ילדים הפועל בקפסולות בשל פערי מיגון, מאחר שניתן מענה באמצעות העברת הילדים למתקנים עירוניים ממוגנים.</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לימודים במוסדות החינוך ברשויות שנבדקו בעת המלחמה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מאז החלה המלחמה נהג פקע</w:t>
      </w:r>
      <w:r w:rsidRPr="00014C4D">
        <w:rPr>
          <w:rtl/>
        </w:rPr>
        <w:t>"</w:t>
      </w:r>
      <w:r w:rsidRPr="00014C4D">
        <w:rPr>
          <w:rFonts w:hint="cs"/>
          <w:rtl/>
        </w:rPr>
        <w:t xml:space="preserve">ר לקבוע שלושה סוגים של אזורי פעילות גיאוגרפיים על פי מדרג של צבעים: אזור אדום </w:t>
      </w:r>
      <w:r w:rsidRPr="00014C4D">
        <w:rPr>
          <w:rtl/>
        </w:rPr>
        <w:softHyphen/>
      </w:r>
      <w:r w:rsidRPr="00014C4D">
        <w:rPr>
          <w:rFonts w:hint="cs"/>
          <w:rtl/>
        </w:rPr>
        <w:t>- אין לקיים פעילות חינוכית; אזור צהוב - ניתן לקיים פעילות חינוכית במקום שאפשר להגיע ממנו למרחב מוגן תקני בזמן ההתגוננות; אזור ירוק - ניתן לקיים פעילות חינוכית ללא הגבלה.</w:t>
      </w:r>
    </w:p>
    <w:p w:rsidR="00014C4D" w:rsidRPr="00014C4D" w:rsidRDefault="00014C4D" w:rsidP="00014C4D">
      <w:pPr>
        <w:spacing w:line="269" w:lineRule="auto"/>
        <w:ind w:left="-567"/>
        <w:rPr>
          <w:szCs w:val="20"/>
          <w:highlight w:val="yellow"/>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עיריית אשקלון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sz w:val="24"/>
          <w:rtl/>
        </w:rPr>
        <w:t>באשקלון קיימים 66 בתי ספר</w:t>
      </w:r>
      <w:r w:rsidRPr="00014C4D">
        <w:rPr>
          <w:sz w:val="24"/>
          <w:vertAlign w:val="superscript"/>
          <w:rtl/>
        </w:rPr>
        <w:footnoteReference w:id="85"/>
      </w:r>
      <w:r w:rsidRPr="00014C4D">
        <w:rPr>
          <w:rFonts w:hint="cs"/>
          <w:sz w:val="24"/>
          <w:rtl/>
        </w:rPr>
        <w:t xml:space="preserve"> ו-314 גני ילדים. ב-20 בתי ספר וב-245 גני ילדים היה מיגון תקני חלקי, וב-46 בתי ספר וב-69 גני ילדים היה מיגון תקני. עיריית אשקלון מסרה למשרד מבקר המדינה בספטמבר </w:t>
      </w:r>
      <w:r w:rsidRPr="00014C4D">
        <w:rPr>
          <w:rFonts w:hint="cs"/>
          <w:sz w:val="24"/>
          <w:rtl/>
        </w:rPr>
        <w:lastRenderedPageBreak/>
        <w:t>2024, כי במשך 42 יום (</w:t>
      </w:r>
      <w:r w:rsidRPr="00014C4D">
        <w:rPr>
          <w:rFonts w:hint="cs"/>
          <w:rtl/>
        </w:rPr>
        <w:t xml:space="preserve">מ-26.11.23 עד 7.1.24) אשקלון הוגדרה אזור </w:t>
      </w:r>
      <w:r w:rsidRPr="00014C4D">
        <w:rPr>
          <w:rFonts w:hint="cs"/>
          <w:sz w:val="24"/>
          <w:rtl/>
        </w:rPr>
        <w:t>צהוב.</w:t>
      </w:r>
      <w:r w:rsidRPr="00014C4D">
        <w:rPr>
          <w:rFonts w:hint="cs"/>
          <w:rtl/>
        </w:rPr>
        <w:t xml:space="preserve"> בימים אלה התלמידים למדו במבני בתי הספר וגני הילדים באשקלון כדלהלן</w:t>
      </w:r>
      <w:r w:rsidRPr="00014C4D">
        <w:rPr>
          <w:vertAlign w:val="superscript"/>
          <w:rtl/>
        </w:rPr>
        <w:footnoteReference w:id="86"/>
      </w:r>
      <w:r w:rsidRPr="00014C4D">
        <w:rPr>
          <w:rFonts w:hint="cs"/>
          <w:rtl/>
        </w:rPr>
        <w:t>: בבתי הספר - כיתות א'-ב' למדו כל השבוע, כיתות ג' לא למדו במשך 10 הימים הראשונים. גני הילדים, כיתות ד'-ו' וכל כיתות בתי הספר העל-יסודיים</w:t>
      </w:r>
      <w:r w:rsidRPr="00014C4D">
        <w:rPr>
          <w:vertAlign w:val="superscript"/>
          <w:rtl/>
        </w:rPr>
        <w:footnoteReference w:id="87"/>
      </w:r>
      <w:r w:rsidRPr="00014C4D">
        <w:rPr>
          <w:rFonts w:hint="cs"/>
          <w:rtl/>
        </w:rPr>
        <w:t xml:space="preserve"> לא למדו במוסדות החינוך במשך 22 הימים הראשונים. ב-32 ו-20 הימים הנותרים בהתאמה, כיתות ג'-ו' למדו פעמיים בשבוע, גני הילדים למדו שלוש פעמים בשבוע ובתי הספר העל-יסודיים למדו ארבע פעמים בשבוע. תלמידי בתי הספר שלא למדו בימים האמורים במבני מוסדות הלימוד, למדו באמצעות למידה מרחוק.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בהיעדר מיגון מלא בגני הילדים ובתי הספר באשקלון חלק מהתלמידים</w:t>
      </w:r>
      <w:r w:rsidRPr="00014C4D">
        <w:rPr>
          <w:b/>
          <w:bCs/>
          <w:vertAlign w:val="superscript"/>
          <w:rtl/>
        </w:rPr>
        <w:footnoteReference w:id="88"/>
      </w:r>
      <w:r w:rsidRPr="00014C4D">
        <w:rPr>
          <w:rFonts w:hint="cs"/>
          <w:b/>
          <w:bCs/>
          <w:rtl/>
        </w:rPr>
        <w:t xml:space="preserve"> לא למדו כלל במבני מוסדות הלימוד במשך 22 יום, ובשאר הימים למדו רובם במבני המוסדות רק חלק מימות השבוע (בין יומיים לארבעה). ביתר הימים התקיימו הלימודים באמצעות למידה מרחוק. </w:t>
      </w:r>
    </w:p>
    <w:p w:rsidR="00014C4D" w:rsidRPr="00014C4D" w:rsidRDefault="00014C4D" w:rsidP="00014C4D">
      <w:pPr>
        <w:spacing w:line="269" w:lineRule="auto"/>
        <w:rPr>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המועצה המקומית ביענה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בשטח המועצה המקומית </w:t>
      </w:r>
      <w:r w:rsidRPr="00014C4D">
        <w:rPr>
          <w:rFonts w:hint="eastAsia"/>
          <w:b/>
          <w:bCs/>
          <w:rtl/>
        </w:rPr>
        <w:t>ב</w:t>
      </w:r>
      <w:r w:rsidRPr="00014C4D">
        <w:rPr>
          <w:rFonts w:hint="cs"/>
          <w:b/>
          <w:bCs/>
          <w:rtl/>
        </w:rPr>
        <w:t>י</w:t>
      </w:r>
      <w:r w:rsidRPr="00014C4D">
        <w:rPr>
          <w:rFonts w:hint="eastAsia"/>
          <w:b/>
          <w:bCs/>
          <w:rtl/>
        </w:rPr>
        <w:t>ענה</w:t>
      </w:r>
      <w:r w:rsidRPr="00014C4D">
        <w:rPr>
          <w:rFonts w:hint="cs"/>
          <w:rtl/>
        </w:rPr>
        <w:t xml:space="preserve"> יש שישה בתי ספר ו-13 גני ילדים. בשלושה בתי ספר ובגן ילדים אחד היה מיגון תקני של ממ"דים שנבנו בתשע השנים שקדמו לביקורת. המועצה המקומית מסרה לעובדי משרד מבקר המדינה כי במשך כחודש ימים</w:t>
      </w:r>
      <w:r w:rsidRPr="00014C4D">
        <w:rPr>
          <w:vertAlign w:val="superscript"/>
          <w:rtl/>
        </w:rPr>
        <w:footnoteReference w:id="89"/>
      </w:r>
      <w:r w:rsidRPr="00014C4D">
        <w:rPr>
          <w:rFonts w:hint="cs"/>
          <w:rtl/>
        </w:rPr>
        <w:t xml:space="preserve"> מתחילת המלחמה כל התלמידים לא למדו במוסדות הלימוד. לאחר מכן במשך כחודש ימים למדו התלמידים בבתי הספר ובגני הילדים שיש בהם ממ"דים.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בהיעדר מיגון תקני בשלושה בתי ספר</w:t>
      </w:r>
      <w:r w:rsidRPr="00014C4D">
        <w:rPr>
          <w:b/>
          <w:bCs/>
          <w:vertAlign w:val="superscript"/>
          <w:rtl/>
        </w:rPr>
        <w:footnoteReference w:id="90"/>
      </w:r>
      <w:r w:rsidRPr="00014C4D">
        <w:rPr>
          <w:rFonts w:hint="cs"/>
          <w:b/>
          <w:bCs/>
          <w:rtl/>
        </w:rPr>
        <w:t xml:space="preserve"> ובגן ילדים אחד</w:t>
      </w:r>
      <w:r w:rsidRPr="00014C4D">
        <w:rPr>
          <w:b/>
          <w:bCs/>
          <w:vertAlign w:val="superscript"/>
          <w:rtl/>
        </w:rPr>
        <w:footnoteReference w:id="91"/>
      </w:r>
      <w:r w:rsidRPr="00014C4D">
        <w:rPr>
          <w:rFonts w:hint="cs"/>
          <w:b/>
          <w:bCs/>
          <w:rtl/>
        </w:rPr>
        <w:t xml:space="preserve"> שבהם לא היו ממ"דים לא למדו בהם כלל במשך כחודשיים, והתלמידים למדו באמצעות למידה מרחוק (זום). </w:t>
      </w:r>
    </w:p>
    <w:p w:rsidR="00014C4D" w:rsidRPr="00014C4D" w:rsidRDefault="00014C4D" w:rsidP="00014C4D">
      <w:pPr>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עיריית גבעתיים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eastAsia"/>
          <w:rtl/>
        </w:rPr>
        <w:t>בגבעתיים</w:t>
      </w:r>
      <w:r w:rsidRPr="00014C4D">
        <w:rPr>
          <w:rFonts w:hint="cs"/>
          <w:rtl/>
        </w:rPr>
        <w:t xml:space="preserve"> 13 בתי ספר ו-87 גני ילדים. ב-11 בתי ספר היה מיגון תקני חלקי ובשניים הנותרים היה מיגון תקני מלא. ב-48 גני ילדים לא היה מיגון תקני (מזה ב-21 גנים לא היה מיגון תקני כלל וב-27 היה מיגון תקני חלקי), ובשאר 39 גני הילדים היה מיגון תקני. עיריית גבעתיים מסרה לעובדי משרד מבקר המדינה כי בתקופה שמ-22.10.23</w:t>
      </w:r>
      <w:r w:rsidRPr="00014C4D">
        <w:rPr>
          <w:vertAlign w:val="superscript"/>
          <w:rtl/>
        </w:rPr>
        <w:footnoteReference w:id="92"/>
      </w:r>
      <w:r w:rsidRPr="00014C4D">
        <w:rPr>
          <w:rFonts w:hint="cs"/>
          <w:rtl/>
        </w:rPr>
        <w:t xml:space="preserve"> עד 20.11.23 שבה היא הוגדרה אזור צהוב, למדו התלמידים בבתי הספר כדלהלן: בחלק מבתי הספר היסודיים שבהם היה מיגון תקני חלקי - למדו במוסדות הלימוד שלושה ימים בשבוע</w:t>
      </w:r>
      <w:r w:rsidRPr="00014C4D">
        <w:rPr>
          <w:vertAlign w:val="superscript"/>
          <w:rtl/>
        </w:rPr>
        <w:footnoteReference w:id="93"/>
      </w:r>
      <w:r w:rsidRPr="00014C4D">
        <w:rPr>
          <w:rFonts w:hint="cs"/>
          <w:rtl/>
        </w:rPr>
        <w:t xml:space="preserve">, וביתר בתי הספר שהיה בהם מיגון תקני חלקי למדו התלמידים במשמרות, בהתאם לקיבולת </w:t>
      </w:r>
      <w:r w:rsidRPr="00014C4D">
        <w:rPr>
          <w:rFonts w:hint="cs"/>
          <w:rtl/>
        </w:rPr>
        <w:lastRenderedPageBreak/>
        <w:t>המקלטים</w:t>
      </w:r>
      <w:r w:rsidRPr="00014C4D">
        <w:rPr>
          <w:rtl/>
        </w:rPr>
        <w:t>.</w:t>
      </w:r>
      <w:r w:rsidRPr="00014C4D">
        <w:rPr>
          <w:rFonts w:hint="cs"/>
          <w:b/>
          <w:bCs/>
          <w:rtl/>
        </w:rPr>
        <w:t xml:space="preserve"> </w:t>
      </w:r>
      <w:r w:rsidRPr="00014C4D">
        <w:rPr>
          <w:rFonts w:hint="cs"/>
          <w:rtl/>
        </w:rPr>
        <w:t>ימי הלימוד ושעות הלימוד החסרים הושלמו באמצעות למידה מרחוק (זום)</w:t>
      </w:r>
      <w:r w:rsidRPr="00014C4D">
        <w:rPr>
          <w:rtl/>
        </w:rPr>
        <w:t>.</w:t>
      </w:r>
      <w:r w:rsidRPr="00014C4D">
        <w:rPr>
          <w:rFonts w:hint="cs"/>
          <w:rtl/>
        </w:rPr>
        <w:t xml:space="preserve"> עוד מסרה עיריית גבעתיים כי בגני הילדים למדו בתקופה האמורה שלושה ימים בשבוע.</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בהיעדר מיגון תקני בגני הילדים בגבעתיים, במשך חודש ימים התקיימו הלימודים בגנים רק 3 ימים בשבוע. 39 מתוך 87 גני ילדים שבהם לא היה מיגון תקני</w:t>
      </w:r>
      <w:r w:rsidRPr="00014C4D">
        <w:rPr>
          <w:b/>
          <w:bCs/>
          <w:vertAlign w:val="superscript"/>
          <w:rtl/>
        </w:rPr>
        <w:footnoteReference w:id="94"/>
      </w:r>
      <w:r w:rsidRPr="00014C4D">
        <w:rPr>
          <w:rFonts w:hint="cs"/>
          <w:b/>
          <w:bCs/>
          <w:rtl/>
        </w:rPr>
        <w:t xml:space="preserve"> התארחו ב-39 גנים אחרים, שבהם היה מיגון תקני.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עוד נמצא כי במשך כחודש ימים או בחלק ממנו למדו בבתי הספר היסודיים במוסדות הלימוד שלושה ימים בשבוע</w:t>
      </w:r>
      <w:r w:rsidRPr="00014C4D">
        <w:rPr>
          <w:b/>
          <w:bCs/>
          <w:vertAlign w:val="superscript"/>
          <w:rtl/>
        </w:rPr>
        <w:footnoteReference w:id="95"/>
      </w:r>
      <w:r w:rsidRPr="00014C4D">
        <w:rPr>
          <w:rFonts w:hint="cs"/>
          <w:b/>
          <w:bCs/>
          <w:rtl/>
        </w:rPr>
        <w:t xml:space="preserve"> או במשמרות והשלימו את הלימודים בלימוד מרחוק בשל היעדר מיגון תקני. </w:t>
      </w:r>
    </w:p>
    <w:p w:rsidR="00014C4D" w:rsidRPr="00014C4D" w:rsidRDefault="00014C4D" w:rsidP="00014C4D">
      <w:pPr>
        <w:spacing w:line="269" w:lineRule="auto"/>
        <w:rPr>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המועצה האזורית הגלבוע</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w:t>
      </w:r>
      <w:r w:rsidRPr="00014C4D">
        <w:rPr>
          <w:rFonts w:hint="eastAsia"/>
          <w:rtl/>
        </w:rPr>
        <w:t>גלבוע</w:t>
      </w:r>
      <w:r w:rsidRPr="00014C4D">
        <w:rPr>
          <w:rFonts w:hint="cs"/>
          <w:rtl/>
        </w:rPr>
        <w:t xml:space="preserve"> 18 בתי ספר ו-69 גני ילדים. ב-15 בתי ספר לא היה מיגון תקני (מזה ל-13 בתי ספר היה מיגון תקני חלקי ולשניים לא היה מיגון תקני כלל</w:t>
      </w:r>
      <w:r w:rsidRPr="00014C4D">
        <w:rPr>
          <w:vertAlign w:val="superscript"/>
          <w:rtl/>
        </w:rPr>
        <w:footnoteReference w:id="96"/>
      </w:r>
      <w:r w:rsidRPr="00014C4D">
        <w:rPr>
          <w:rFonts w:hint="cs"/>
          <w:rtl/>
        </w:rPr>
        <w:t xml:space="preserve">) וב-3 בתי הספר הנותרים היה מיגון תקני. ב-50 גני ילדים לא היה מיגון תקני (מזה ל-25 גנים מיגון תקני חלקי ול-25 לא היה מיגון תקני כלל) ובשאר 19 גני הילדים היה מיגון תקני.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המועצה האזורית </w:t>
      </w:r>
      <w:r w:rsidRPr="00014C4D">
        <w:rPr>
          <w:rFonts w:hint="eastAsia"/>
          <w:rtl/>
        </w:rPr>
        <w:t>הגלבוע</w:t>
      </w:r>
      <w:r w:rsidRPr="00014C4D">
        <w:rPr>
          <w:rFonts w:hint="cs"/>
          <w:rtl/>
        </w:rPr>
        <w:t xml:space="preserve"> מסרה למשרד מבקר המדינה כי במשך חמישה ימים היישובים שאינם שייכים לחבל תענך</w:t>
      </w:r>
      <w:r w:rsidRPr="00014C4D">
        <w:rPr>
          <w:vertAlign w:val="superscript"/>
          <w:rtl/>
        </w:rPr>
        <w:footnoteReference w:id="97"/>
      </w:r>
      <w:r w:rsidRPr="00014C4D">
        <w:rPr>
          <w:rFonts w:hint="cs"/>
          <w:rtl/>
        </w:rPr>
        <w:t xml:space="preserve"> הוגדרו אזור צהוב, ולפיכך התקיימו בהם לימודים במוסדות הלימוד בהתאם ליכולת המקלוט שלהם, ותלמידי בתי הספר שלא היה בהם מיגון למדו בלמידה מרחוק.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ביישובים שבחבל תענך ש</w:t>
      </w:r>
      <w:r w:rsidRPr="00014C4D">
        <w:rPr>
          <w:rFonts w:hint="eastAsia"/>
          <w:rtl/>
        </w:rPr>
        <w:t>בגלבוע</w:t>
      </w:r>
      <w:r w:rsidRPr="00014C4D">
        <w:rPr>
          <w:vertAlign w:val="superscript"/>
          <w:rtl/>
        </w:rPr>
        <w:footnoteReference w:id="98"/>
      </w:r>
      <w:r w:rsidRPr="00014C4D">
        <w:rPr>
          <w:rFonts w:hint="cs"/>
          <w:rtl/>
        </w:rPr>
        <w:t xml:space="preserve"> 4 בתי ספר </w:t>
      </w:r>
      <w:r w:rsidRPr="00014C4D">
        <w:rPr>
          <w:vertAlign w:val="superscript"/>
          <w:rtl/>
        </w:rPr>
        <w:footnoteReference w:id="99"/>
      </w:r>
      <w:r w:rsidRPr="00014C4D">
        <w:rPr>
          <w:rFonts w:hint="cs"/>
          <w:rtl/>
        </w:rPr>
        <w:t xml:space="preserve"> ו-12 גני ילדים</w:t>
      </w:r>
      <w:r w:rsidRPr="00014C4D">
        <w:rPr>
          <w:vertAlign w:val="superscript"/>
          <w:rtl/>
        </w:rPr>
        <w:footnoteReference w:id="100"/>
      </w:r>
      <w:r w:rsidRPr="00014C4D">
        <w:rPr>
          <w:rFonts w:hint="cs"/>
          <w:rtl/>
        </w:rPr>
        <w:t xml:space="preserve">. בשלושה בתי ספר היה מיגון תקני חלקי ולבית הספר הרביעי היה מיגון תקני. בשמונה גני ילדים לא היה מיגון תקני לכל הילדים (מזה לארבעה גני ילדים מיגון תקני חלקי ולארבעת הנותרים לא היה מיגון תקני כלל). לשאר ארבעת גני הילדים היה מיגון תקני.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המועצה מסרה למשרד מבקר המדינה במהלך הביקורת באוגוסט 2024 כי חבל תענך הוגדר במשך כחודש אזור צהוב. בשני בתי הספר שהיה בהם מיגון תקני חלקי התקיימו לימודים פעם יומיים</w:t>
      </w:r>
      <w:r w:rsidRPr="00014C4D">
        <w:rPr>
          <w:vertAlign w:val="superscript"/>
          <w:rtl/>
        </w:rPr>
        <w:footnoteReference w:id="101"/>
      </w:r>
      <w:r w:rsidRPr="00014C4D">
        <w:rPr>
          <w:rFonts w:hint="cs"/>
          <w:rtl/>
        </w:rPr>
        <w:t xml:space="preserve">, ובשאר הימים </w:t>
      </w:r>
      <w:r w:rsidRPr="00014C4D">
        <w:rPr>
          <w:rFonts w:hint="cs"/>
          <w:rtl/>
        </w:rPr>
        <w:lastRenderedPageBreak/>
        <w:t>למדו התלמידים באמצעות למידה מרחוק. עוד מסרה המועצה כי חלק</w:t>
      </w:r>
      <w:r w:rsidRPr="00014C4D">
        <w:rPr>
          <w:vertAlign w:val="superscript"/>
          <w:rtl/>
        </w:rPr>
        <w:footnoteReference w:id="102"/>
      </w:r>
      <w:r w:rsidRPr="00014C4D">
        <w:rPr>
          <w:rFonts w:hint="cs"/>
          <w:rtl/>
        </w:rPr>
        <w:t xml:space="preserve"> מילדי שמונת גני הילדים שבהם לא היה מיגון התארח במוסדות שאינם גני ילדים</w:t>
      </w:r>
      <w:r w:rsidRPr="00014C4D">
        <w:rPr>
          <w:vertAlign w:val="superscript"/>
          <w:rtl/>
        </w:rPr>
        <w:footnoteReference w:id="103"/>
      </w:r>
      <w:r w:rsidRPr="00014C4D">
        <w:rPr>
          <w:rFonts w:hint="cs"/>
          <w:rtl/>
        </w:rPr>
        <w:t xml:space="preserve">, וביתר גני הילדים, שבהם היה מיגון תקני חלקי, למד חצאי ימים ולעיתים פעם ביומיים.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Pr>
      </w:pPr>
      <w:r w:rsidRPr="00014C4D">
        <w:rPr>
          <w:rFonts w:hint="cs"/>
          <w:b/>
          <w:bCs/>
          <w:rtl/>
        </w:rPr>
        <w:t xml:space="preserve">נמצא כי בהיעדר מיגון תקני בגלבוע נאלצו חלק מהתלמידים בבתי הספר שבחבל תענך ללמוד במשך תקופה של כחודש ימים במוסדות הלימוד רק בין פעם ביומיים לבין פעם בחמישה ימים, וחלק מילדי הגנים למדו חצאי ימים ולעיתים פעם ביומיים. </w:t>
      </w:r>
    </w:p>
    <w:p w:rsidR="00014C4D" w:rsidRPr="00014C4D" w:rsidRDefault="00014C4D" w:rsidP="00014C4D">
      <w:pPr>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חולון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w:t>
      </w:r>
      <w:r w:rsidRPr="00014C4D">
        <w:rPr>
          <w:rFonts w:hint="eastAsia"/>
          <w:rtl/>
        </w:rPr>
        <w:t>חולון</w:t>
      </w:r>
      <w:r w:rsidRPr="00014C4D">
        <w:rPr>
          <w:rFonts w:hint="cs"/>
          <w:rtl/>
        </w:rPr>
        <w:t xml:space="preserve"> 57 בתי ספר ו-295 גני ילדים. ב-30 בתי ספר לא היה מיגון תקני (מזה ל-26 היה מיגון תקני חלקי ול-4 לא היה מיגון תקני כלל). בשאר 27 בתי ספר היה מיגון תקני. ב-195 גני ילדים לא היה מיגון תקני (מזה ל-151 היה מיגון תקני חלקי ול-44 לא היה מיגון תקני כלל) ובשאר 100 הגנים היה מיגון תקני. עיריית </w:t>
      </w:r>
      <w:r w:rsidRPr="00014C4D">
        <w:rPr>
          <w:rFonts w:hint="cs"/>
          <w:b/>
          <w:bCs/>
          <w:rtl/>
        </w:rPr>
        <w:t>חולון</w:t>
      </w:r>
      <w:r w:rsidRPr="00014C4D">
        <w:rPr>
          <w:rFonts w:hint="cs"/>
          <w:rtl/>
        </w:rPr>
        <w:t xml:space="preserve"> מסרה למשרד מבקר המדינה כי בתקופה שמ-22.10.23</w:t>
      </w:r>
      <w:r w:rsidRPr="00014C4D">
        <w:rPr>
          <w:vertAlign w:val="superscript"/>
          <w:rtl/>
        </w:rPr>
        <w:footnoteReference w:id="104"/>
      </w:r>
      <w:r w:rsidRPr="00014C4D">
        <w:rPr>
          <w:rFonts w:hint="cs"/>
          <w:rtl/>
        </w:rPr>
        <w:t xml:space="preserve"> עד 27.11.23, שבה היא הוגדרה אזור צהוב, למדו כלל תלמידי העיר לפחות שלושה ימים במבני בתי הספר, בהתאם ליכולת המקלוט שלהם, ובשאר הימים למדו בלמידה מרחוק. תלמידים של ארבעה בתי ספר שבהם לא היה מיגון תקני</w:t>
      </w:r>
      <w:r w:rsidRPr="00014C4D">
        <w:rPr>
          <w:vertAlign w:val="superscript"/>
          <w:rtl/>
        </w:rPr>
        <w:footnoteReference w:id="105"/>
      </w:r>
      <w:r w:rsidRPr="00014C4D">
        <w:rPr>
          <w:rFonts w:hint="cs"/>
          <w:rtl/>
        </w:rPr>
        <w:t xml:space="preserve"> למדו במוסדות ובבתי ספר אחרים שבהם היה מיגון תקני. עוד מסרה העירייה כי ילדי הגנים למדו בתקופה שמ-24.10.23 עד 27.11.23 במתכונת של שלושה ימים בגנים שיש בהם ממ"ד תקין.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color w:val="00B050"/>
          <w:rtl/>
        </w:rPr>
      </w:pPr>
      <w:r w:rsidRPr="00014C4D">
        <w:rPr>
          <w:rFonts w:hint="cs"/>
          <w:b/>
          <w:bCs/>
          <w:rtl/>
        </w:rPr>
        <w:t xml:space="preserve">נמצא כי בהיעדר מיגון מלא בבתי הספר ובגני הילדים בחולון נאלצו חלק מהתלמידים ללמוד רק </w:t>
      </w:r>
      <w:r w:rsidRPr="00014C4D">
        <w:rPr>
          <w:rFonts w:hint="eastAsia"/>
          <w:b/>
          <w:bCs/>
          <w:rtl/>
        </w:rPr>
        <w:t>כשלושה</w:t>
      </w:r>
      <w:r w:rsidRPr="00014C4D">
        <w:rPr>
          <w:rFonts w:hint="cs"/>
          <w:b/>
          <w:bCs/>
          <w:rtl/>
        </w:rPr>
        <w:t xml:space="preserve"> ימים בשבוע במוסדות הלימוד למעלה מחודש ימים. 92 ילדי גנים שבהם לא היה מיגון תקני התארחו בגני ילדים אחרים שבהם היה מיגון תקני.</w:t>
      </w:r>
    </w:p>
    <w:p w:rsidR="00014C4D" w:rsidRPr="00014C4D" w:rsidRDefault="00014C4D" w:rsidP="00014C4D">
      <w:pPr>
        <w:spacing w:line="269" w:lineRule="auto"/>
        <w:rPr>
          <w:b/>
          <w:bCs/>
          <w:color w:val="00B050"/>
          <w:rtl/>
        </w:rPr>
      </w:pPr>
    </w:p>
    <w:p w:rsidR="00014C4D" w:rsidRPr="00014C4D" w:rsidRDefault="00014C4D" w:rsidP="00014C4D">
      <w:pPr>
        <w:spacing w:line="269" w:lineRule="auto"/>
        <w:jc w:val="center"/>
        <w:rPr>
          <w:rFonts w:ascii="Arial" w:hAnsi="Arial" w:cs="Arial"/>
          <w:b/>
          <w:bCs/>
          <w:sz w:val="36"/>
          <w:rtl/>
        </w:rPr>
      </w:pPr>
      <w:r w:rsidRPr="00014C4D">
        <w:rPr>
          <w:rFonts w:ascii="Segoe UI Symbol" w:hAnsi="Segoe UI Symbol" w:cs="Segoe UI Symbol" w:hint="cs"/>
          <w:b/>
          <w:bCs/>
          <w:sz w:val="36"/>
          <w:rtl/>
        </w:rPr>
        <w:t>✰</w:t>
      </w:r>
    </w:p>
    <w:p w:rsidR="00014C4D" w:rsidRPr="00014C4D" w:rsidRDefault="00014C4D" w:rsidP="00014C4D">
      <w:pPr>
        <w:spacing w:line="269" w:lineRule="auto"/>
        <w:ind w:left="-567"/>
        <w:rPr>
          <w:rFonts w:ascii="Arial" w:hAnsi="Arial" w:cs="Arial"/>
          <w:sz w:val="36"/>
          <w:szCs w:val="20"/>
          <w:rtl/>
        </w:rPr>
      </w:pPr>
    </w:p>
    <w:p w:rsidR="00014C4D" w:rsidRPr="00014C4D" w:rsidRDefault="00014C4D" w:rsidP="00014C4D">
      <w:pPr>
        <w:spacing w:line="269" w:lineRule="auto"/>
        <w:rPr>
          <w:b/>
          <w:bCs/>
          <w:rtl/>
        </w:rPr>
      </w:pPr>
      <w:r w:rsidRPr="00014C4D">
        <w:rPr>
          <w:b/>
          <w:bCs/>
          <w:rtl/>
        </w:rPr>
        <w:t xml:space="preserve">מהאמור לעיל עולה כי בהיעדר מיגון תקני </w:t>
      </w:r>
      <w:r w:rsidRPr="00014C4D">
        <w:rPr>
          <w:rFonts w:hint="cs"/>
          <w:b/>
          <w:bCs/>
          <w:rtl/>
        </w:rPr>
        <w:t xml:space="preserve">נפגעה הרציפות התפקודית של מוסדות החינוך ברשויות שנבדקו. </w:t>
      </w:r>
      <w:r w:rsidRPr="00014C4D">
        <w:rPr>
          <w:b/>
          <w:bCs/>
          <w:rtl/>
        </w:rPr>
        <w:t>חלק מהתלמידים</w:t>
      </w:r>
      <w:r w:rsidRPr="00014C4D">
        <w:rPr>
          <w:b/>
          <w:bCs/>
          <w:vertAlign w:val="superscript"/>
          <w:rtl/>
        </w:rPr>
        <w:footnoteReference w:id="106"/>
      </w:r>
      <w:r w:rsidRPr="00014C4D">
        <w:rPr>
          <w:b/>
          <w:bCs/>
          <w:rtl/>
        </w:rPr>
        <w:t xml:space="preserve"> שבבתי הספר באשקלון, ב</w:t>
      </w:r>
      <w:r w:rsidRPr="00014C4D">
        <w:rPr>
          <w:rFonts w:hint="cs"/>
          <w:b/>
          <w:bCs/>
          <w:rtl/>
        </w:rPr>
        <w:t>י</w:t>
      </w:r>
      <w:r w:rsidRPr="00014C4D">
        <w:rPr>
          <w:b/>
          <w:bCs/>
          <w:rtl/>
        </w:rPr>
        <w:t>ענה, גבע</w:t>
      </w:r>
      <w:r w:rsidRPr="00014C4D">
        <w:rPr>
          <w:rFonts w:hint="cs"/>
          <w:b/>
          <w:bCs/>
          <w:rtl/>
        </w:rPr>
        <w:t>ת</w:t>
      </w:r>
      <w:r w:rsidRPr="00014C4D">
        <w:rPr>
          <w:b/>
          <w:bCs/>
          <w:rtl/>
        </w:rPr>
        <w:t xml:space="preserve">יים וחולון </w:t>
      </w:r>
      <w:r w:rsidRPr="00014C4D">
        <w:rPr>
          <w:rFonts w:hint="cs"/>
          <w:b/>
          <w:bCs/>
          <w:rtl/>
        </w:rPr>
        <w:t xml:space="preserve">נאלץ </w:t>
      </w:r>
      <w:r w:rsidRPr="00014C4D">
        <w:rPr>
          <w:b/>
          <w:bCs/>
          <w:rtl/>
        </w:rPr>
        <w:t xml:space="preserve">ללמוד </w:t>
      </w:r>
      <w:r w:rsidRPr="00014C4D">
        <w:rPr>
          <w:rFonts w:hint="cs"/>
          <w:b/>
          <w:bCs/>
          <w:rtl/>
        </w:rPr>
        <w:t xml:space="preserve">במבני מוסדות החינוך </w:t>
      </w:r>
      <w:r w:rsidRPr="00014C4D">
        <w:rPr>
          <w:b/>
          <w:bCs/>
          <w:rtl/>
        </w:rPr>
        <w:t>רק בחלק מימות השבוע במשך תקופה שבין כשל</w:t>
      </w:r>
      <w:r w:rsidRPr="00014C4D">
        <w:rPr>
          <w:rFonts w:hint="cs"/>
          <w:b/>
          <w:bCs/>
          <w:rtl/>
        </w:rPr>
        <w:t>ו</w:t>
      </w:r>
      <w:r w:rsidRPr="00014C4D">
        <w:rPr>
          <w:b/>
          <w:bCs/>
          <w:rtl/>
        </w:rPr>
        <w:t>שה שבועות לחודש ואף לחודשיים (בבתי הספר בב</w:t>
      </w:r>
      <w:r w:rsidRPr="00014C4D">
        <w:rPr>
          <w:rFonts w:hint="cs"/>
          <w:b/>
          <w:bCs/>
          <w:rtl/>
        </w:rPr>
        <w:t>י</w:t>
      </w:r>
      <w:r w:rsidRPr="00014C4D">
        <w:rPr>
          <w:b/>
          <w:bCs/>
          <w:rtl/>
        </w:rPr>
        <w:t>ענה).</w:t>
      </w:r>
      <w:r w:rsidRPr="00014C4D">
        <w:rPr>
          <w:rFonts w:hint="cs"/>
          <w:b/>
          <w:bCs/>
          <w:rtl/>
        </w:rPr>
        <w:t xml:space="preserve"> </w:t>
      </w:r>
      <w:r w:rsidRPr="00014C4D">
        <w:rPr>
          <w:rFonts w:hint="eastAsia"/>
          <w:b/>
          <w:bCs/>
          <w:rtl/>
        </w:rPr>
        <w:t>באשקלון</w:t>
      </w:r>
      <w:r w:rsidRPr="00014C4D">
        <w:rPr>
          <w:b/>
          <w:bCs/>
          <w:rtl/>
        </w:rPr>
        <w:t xml:space="preserve"> </w:t>
      </w:r>
      <w:r w:rsidRPr="00014C4D">
        <w:rPr>
          <w:rFonts w:hint="eastAsia"/>
          <w:b/>
          <w:bCs/>
          <w:rtl/>
        </w:rPr>
        <w:t>גני</w:t>
      </w:r>
      <w:r w:rsidRPr="00014C4D">
        <w:rPr>
          <w:b/>
          <w:bCs/>
          <w:rtl/>
        </w:rPr>
        <w:t xml:space="preserve"> </w:t>
      </w:r>
      <w:r w:rsidRPr="00014C4D">
        <w:rPr>
          <w:rFonts w:hint="eastAsia"/>
          <w:b/>
          <w:bCs/>
          <w:rtl/>
        </w:rPr>
        <w:t>הילדים</w:t>
      </w:r>
      <w:r w:rsidRPr="00014C4D">
        <w:rPr>
          <w:b/>
          <w:bCs/>
          <w:rtl/>
        </w:rPr>
        <w:t xml:space="preserve">, </w:t>
      </w:r>
      <w:r w:rsidRPr="00014C4D">
        <w:rPr>
          <w:rFonts w:hint="eastAsia"/>
          <w:b/>
          <w:bCs/>
          <w:rtl/>
        </w:rPr>
        <w:t>כ</w:t>
      </w:r>
      <w:r w:rsidRPr="00014C4D">
        <w:rPr>
          <w:rFonts w:hint="cs"/>
          <w:b/>
          <w:bCs/>
          <w:rtl/>
        </w:rPr>
        <w:t>י</w:t>
      </w:r>
      <w:r w:rsidRPr="00014C4D">
        <w:rPr>
          <w:rFonts w:hint="eastAsia"/>
          <w:b/>
          <w:bCs/>
          <w:rtl/>
        </w:rPr>
        <w:t>תות</w:t>
      </w:r>
      <w:r w:rsidRPr="00014C4D">
        <w:rPr>
          <w:b/>
          <w:bCs/>
          <w:rtl/>
        </w:rPr>
        <w:t xml:space="preserve"> </w:t>
      </w:r>
      <w:r w:rsidRPr="00014C4D">
        <w:rPr>
          <w:rFonts w:hint="eastAsia"/>
          <w:b/>
          <w:bCs/>
          <w:rtl/>
        </w:rPr>
        <w:t>ד</w:t>
      </w:r>
      <w:r w:rsidRPr="00014C4D">
        <w:rPr>
          <w:b/>
          <w:bCs/>
          <w:rtl/>
        </w:rPr>
        <w:t xml:space="preserve">'-ו' </w:t>
      </w:r>
      <w:r w:rsidRPr="00014C4D">
        <w:rPr>
          <w:rFonts w:hint="eastAsia"/>
          <w:b/>
          <w:bCs/>
          <w:rtl/>
        </w:rPr>
        <w:t>וכל</w:t>
      </w:r>
      <w:r w:rsidRPr="00014C4D">
        <w:rPr>
          <w:b/>
          <w:bCs/>
          <w:rtl/>
        </w:rPr>
        <w:t xml:space="preserve"> </w:t>
      </w:r>
      <w:r w:rsidRPr="00014C4D">
        <w:rPr>
          <w:rFonts w:hint="eastAsia"/>
          <w:b/>
          <w:bCs/>
          <w:rtl/>
        </w:rPr>
        <w:t>כיתות</w:t>
      </w:r>
      <w:r w:rsidRPr="00014C4D">
        <w:rPr>
          <w:b/>
          <w:bCs/>
          <w:rtl/>
        </w:rPr>
        <w:t xml:space="preserve"> </w:t>
      </w:r>
      <w:r w:rsidRPr="00014C4D">
        <w:rPr>
          <w:rFonts w:hint="eastAsia"/>
          <w:b/>
          <w:bCs/>
          <w:rtl/>
        </w:rPr>
        <w:t>בתי</w:t>
      </w:r>
      <w:r w:rsidRPr="00014C4D">
        <w:rPr>
          <w:b/>
          <w:bCs/>
          <w:rtl/>
        </w:rPr>
        <w:t xml:space="preserve"> </w:t>
      </w:r>
      <w:r w:rsidRPr="00014C4D">
        <w:rPr>
          <w:rFonts w:hint="eastAsia"/>
          <w:b/>
          <w:bCs/>
          <w:rtl/>
        </w:rPr>
        <w:t>הספר</w:t>
      </w:r>
      <w:r w:rsidRPr="00014C4D">
        <w:rPr>
          <w:b/>
          <w:bCs/>
          <w:rtl/>
        </w:rPr>
        <w:t xml:space="preserve"> </w:t>
      </w:r>
      <w:r w:rsidRPr="00014C4D">
        <w:rPr>
          <w:rFonts w:hint="eastAsia"/>
          <w:b/>
          <w:bCs/>
          <w:rtl/>
        </w:rPr>
        <w:t>העל</w:t>
      </w:r>
      <w:r w:rsidRPr="00014C4D">
        <w:rPr>
          <w:rFonts w:hint="cs"/>
          <w:b/>
          <w:bCs/>
          <w:rtl/>
        </w:rPr>
        <w:t>-</w:t>
      </w:r>
      <w:r w:rsidRPr="00014C4D">
        <w:rPr>
          <w:rFonts w:hint="eastAsia"/>
          <w:b/>
          <w:bCs/>
          <w:rtl/>
        </w:rPr>
        <w:t>יסודיים</w:t>
      </w:r>
      <w:r w:rsidRPr="00014C4D">
        <w:rPr>
          <w:b/>
          <w:bCs/>
          <w:rtl/>
        </w:rPr>
        <w:t xml:space="preserve"> </w:t>
      </w:r>
      <w:r w:rsidRPr="00014C4D">
        <w:rPr>
          <w:rFonts w:hint="eastAsia"/>
          <w:b/>
          <w:bCs/>
          <w:rtl/>
        </w:rPr>
        <w:t>לא</w:t>
      </w:r>
      <w:r w:rsidRPr="00014C4D">
        <w:rPr>
          <w:b/>
          <w:bCs/>
          <w:rtl/>
        </w:rPr>
        <w:t xml:space="preserve"> למדו ב</w:t>
      </w:r>
      <w:r w:rsidRPr="00014C4D">
        <w:rPr>
          <w:rFonts w:hint="cs"/>
          <w:b/>
          <w:bCs/>
          <w:rtl/>
        </w:rPr>
        <w:t>מבני ה</w:t>
      </w:r>
      <w:r w:rsidRPr="00014C4D">
        <w:rPr>
          <w:b/>
          <w:bCs/>
          <w:rtl/>
        </w:rPr>
        <w:t xml:space="preserve">מוסדות </w:t>
      </w:r>
      <w:r w:rsidRPr="00014C4D">
        <w:rPr>
          <w:rFonts w:hint="eastAsia"/>
          <w:b/>
          <w:bCs/>
          <w:rtl/>
        </w:rPr>
        <w:t>גם</w:t>
      </w:r>
      <w:r w:rsidRPr="00014C4D">
        <w:rPr>
          <w:b/>
          <w:bCs/>
          <w:rtl/>
        </w:rPr>
        <w:t xml:space="preserve"> </w:t>
      </w:r>
      <w:r w:rsidRPr="00014C4D">
        <w:rPr>
          <w:rFonts w:hint="eastAsia"/>
          <w:b/>
          <w:bCs/>
          <w:rtl/>
        </w:rPr>
        <w:t>במשך</w:t>
      </w:r>
      <w:r w:rsidRPr="00014C4D">
        <w:rPr>
          <w:b/>
          <w:bCs/>
          <w:rtl/>
        </w:rPr>
        <w:t xml:space="preserve"> 22 </w:t>
      </w:r>
      <w:r w:rsidRPr="00014C4D">
        <w:rPr>
          <w:rFonts w:hint="eastAsia"/>
          <w:b/>
          <w:bCs/>
          <w:rtl/>
        </w:rPr>
        <w:t>הימים</w:t>
      </w:r>
      <w:r w:rsidRPr="00014C4D">
        <w:rPr>
          <w:b/>
          <w:bCs/>
          <w:rtl/>
        </w:rPr>
        <w:t xml:space="preserve"> </w:t>
      </w:r>
      <w:r w:rsidRPr="00014C4D">
        <w:rPr>
          <w:rFonts w:hint="eastAsia"/>
          <w:b/>
          <w:bCs/>
          <w:rtl/>
        </w:rPr>
        <w:t>הראשונים</w:t>
      </w:r>
      <w:r w:rsidRPr="00014C4D">
        <w:rPr>
          <w:b/>
          <w:bCs/>
          <w:rtl/>
        </w:rPr>
        <w:t xml:space="preserve"> מאז </w:t>
      </w:r>
      <w:r w:rsidRPr="00014C4D">
        <w:rPr>
          <w:rFonts w:hint="cs"/>
          <w:b/>
          <w:bCs/>
          <w:rtl/>
        </w:rPr>
        <w:t>הוגדרה ה</w:t>
      </w:r>
      <w:r w:rsidRPr="00014C4D">
        <w:rPr>
          <w:rFonts w:hint="eastAsia"/>
          <w:b/>
          <w:bCs/>
          <w:rtl/>
        </w:rPr>
        <w:t>עירייה</w:t>
      </w:r>
      <w:r w:rsidRPr="00014C4D">
        <w:rPr>
          <w:b/>
          <w:bCs/>
          <w:rtl/>
        </w:rPr>
        <w:t xml:space="preserve"> </w:t>
      </w:r>
      <w:r w:rsidRPr="00014C4D">
        <w:rPr>
          <w:rFonts w:hint="cs"/>
          <w:b/>
          <w:bCs/>
          <w:rtl/>
        </w:rPr>
        <w:t xml:space="preserve">אזור </w:t>
      </w:r>
      <w:r w:rsidRPr="00014C4D">
        <w:rPr>
          <w:rFonts w:hint="eastAsia"/>
          <w:b/>
          <w:bCs/>
          <w:rtl/>
        </w:rPr>
        <w:t>צהוב</w:t>
      </w:r>
      <w:r w:rsidRPr="00014C4D">
        <w:rPr>
          <w:b/>
          <w:bCs/>
          <w:rtl/>
        </w:rPr>
        <w:t>.</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lastRenderedPageBreak/>
        <w:t xml:space="preserve">על הרשויות המקומיות אשקלון, ביענה, גבעתיים, הגלבוע וחולון לבנות מרחבים מוגנים נוספים בבתי הספר ובגני הילדים כדי להקטין את פערי המיגון שבהם, ובכך לאפשר לימודים סדירים ככל הניתן בתקופת מלחמה.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hint="cs"/>
          <w:rtl/>
        </w:rPr>
        <w:t xml:space="preserve">עיריית </w:t>
      </w:r>
      <w:r w:rsidRPr="00014C4D">
        <w:rPr>
          <w:rFonts w:hint="cs"/>
          <w:b/>
          <w:bCs/>
          <w:rtl/>
        </w:rPr>
        <w:t>גבעתיים</w:t>
      </w:r>
      <w:r w:rsidRPr="00014C4D">
        <w:rPr>
          <w:rFonts w:hint="cs"/>
          <w:rtl/>
        </w:rPr>
        <w:t xml:space="preserve"> מסרה בתשובתה כי </w:t>
      </w:r>
      <w:r w:rsidRPr="00014C4D">
        <w:rPr>
          <w:rtl/>
        </w:rPr>
        <w:t xml:space="preserve">הפגיעה ברציפות </w:t>
      </w:r>
      <w:r w:rsidRPr="00014C4D">
        <w:rPr>
          <w:rFonts w:hint="cs"/>
          <w:rtl/>
        </w:rPr>
        <w:t xml:space="preserve">התפקודית </w:t>
      </w:r>
      <w:r w:rsidRPr="00014C4D">
        <w:rPr>
          <w:rtl/>
        </w:rPr>
        <w:t>הלימודית במהלך מלחמת חרבות ברזל, שנבעה מ</w:t>
      </w:r>
      <w:r w:rsidRPr="00014C4D">
        <w:rPr>
          <w:rFonts w:hint="cs"/>
          <w:rtl/>
        </w:rPr>
        <w:t>חוסר</w:t>
      </w:r>
      <w:r w:rsidRPr="00014C4D">
        <w:rPr>
          <w:rtl/>
        </w:rPr>
        <w:t xml:space="preserve"> מיגון, טופלה באמצעות הקמת מרחבים מוגנים תקניים בכלל מוסדות החינוך בעיר, וכי</w:t>
      </w:r>
      <w:r w:rsidRPr="00014C4D">
        <w:rPr>
          <w:rFonts w:hint="cs"/>
          <w:rtl/>
        </w:rPr>
        <w:t xml:space="preserve"> כיום</w:t>
      </w:r>
      <w:r w:rsidRPr="00014C4D">
        <w:rPr>
          <w:rtl/>
        </w:rPr>
        <w:t xml:space="preserve"> </w:t>
      </w:r>
      <w:r w:rsidRPr="00014C4D">
        <w:rPr>
          <w:rFonts w:hint="cs"/>
          <w:rtl/>
        </w:rPr>
        <w:t>אין מחסור במיגון תקני במוסדות החינוך</w:t>
      </w:r>
      <w:r w:rsidRPr="00014C4D">
        <w:rPr>
          <w:rtl/>
        </w:rPr>
        <w:t>.</w:t>
      </w:r>
    </w:p>
    <w:p w:rsidR="00014C4D" w:rsidRPr="00014C4D" w:rsidRDefault="00014C4D" w:rsidP="00014C4D">
      <w:pPr>
        <w:spacing w:line="269" w:lineRule="auto"/>
        <w:rPr>
          <w:b/>
          <w:bCs/>
          <w:rtl/>
        </w:rPr>
      </w:pPr>
    </w:p>
    <w:p w:rsidR="00014C4D" w:rsidRPr="00014C4D" w:rsidRDefault="00014C4D" w:rsidP="00014C4D">
      <w:pPr>
        <w:keepNext/>
        <w:keepLines/>
        <w:spacing w:before="120" w:line="269" w:lineRule="auto"/>
        <w:outlineLvl w:val="2"/>
        <w:rPr>
          <w:rFonts w:eastAsia="Times New Roman"/>
          <w:bCs/>
          <w:sz w:val="24"/>
          <w:szCs w:val="36"/>
          <w:u w:val="single"/>
          <w:rtl/>
        </w:rPr>
      </w:pPr>
      <w:r w:rsidRPr="00014C4D">
        <w:rPr>
          <w:rFonts w:eastAsia="Times New Roman" w:hint="cs"/>
          <w:bCs/>
          <w:szCs w:val="28"/>
          <w:u w:val="single"/>
          <w:rtl/>
        </w:rPr>
        <w:t>תחזוקת מקלטים במוסדות חינוך ברשויות שנבדקו</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highlight w:val="cyan"/>
          <w:rtl/>
        </w:rPr>
      </w:pPr>
      <w:r w:rsidRPr="00014C4D">
        <w:rPr>
          <w:rFonts w:hint="cs"/>
          <w:rtl/>
        </w:rPr>
        <w:t xml:space="preserve">בתיק האב לרשויות המקומיות נקבע כי פעילות מערכת החינוך ברשות מקומית תתבסס בין היתר על חוזרי מנכ"ל משרד החינוך לשעת חירום שבתוקף. בתיק האב למועצות האזוריות נקבע כי מערכת החינוך במועצה תפעל, בדרך כלל, על פי הנחיות משרדי הממשלה וחומר תורתי ומקצועי נוסף ובו חוזרי מנכ"ל משרד החינוך לשעת חירום.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בנוהל החירום של משרד החינוך נקבע</w:t>
      </w:r>
      <w:r w:rsidRPr="00014C4D">
        <w:rPr>
          <w:vertAlign w:val="superscript"/>
          <w:rtl/>
        </w:rPr>
        <w:footnoteReference w:id="107"/>
      </w:r>
      <w:r w:rsidRPr="00014C4D">
        <w:rPr>
          <w:rFonts w:hint="cs"/>
          <w:rtl/>
        </w:rPr>
        <w:t xml:space="preserve"> כי על בית הספר לוודא את תקינות המקלטים והמרחבים המוגנים ובכלל זה תקינות דרכי הגישה, פתחי החירום והיציאה מהם. עוד נקבע כי יש לפנות את המקלטים מציוד, לבדוק את תקינות מערכות המים והביוב ולהקפיד על חידוש השלטים.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בנוהל החירום של משרד החינוך לבתי הספר ובנוהלי ההיערכות לשעות חירום ולמצבי חירום בגן ילדים</w:t>
      </w:r>
      <w:r w:rsidRPr="00014C4D">
        <w:rPr>
          <w:vertAlign w:val="superscript"/>
          <w:rtl/>
        </w:rPr>
        <w:footnoteReference w:id="108"/>
      </w:r>
      <w:r w:rsidRPr="00014C4D">
        <w:rPr>
          <w:rFonts w:hint="cs"/>
          <w:rtl/>
        </w:rPr>
        <w:t xml:space="preserve"> נקבע תקן להימצאות</w:t>
      </w:r>
      <w:r w:rsidRPr="00014C4D">
        <w:rPr>
          <w:rFonts w:hint="eastAsia"/>
          <w:rtl/>
        </w:rPr>
        <w:t>ו</w:t>
      </w:r>
      <w:r w:rsidRPr="00014C4D">
        <w:rPr>
          <w:rFonts w:hint="cs"/>
          <w:rtl/>
        </w:rPr>
        <w:t xml:space="preserve"> של ציוד חירום במקלטים של בתי ספר</w:t>
      </w:r>
      <w:r w:rsidRPr="00014C4D">
        <w:rPr>
          <w:vertAlign w:val="superscript"/>
          <w:rtl/>
        </w:rPr>
        <w:footnoteReference w:id="109"/>
      </w:r>
      <w:r w:rsidRPr="00014C4D">
        <w:rPr>
          <w:rFonts w:hint="cs"/>
          <w:rtl/>
        </w:rPr>
        <w:t xml:space="preserve"> וגני ילדים</w:t>
      </w:r>
      <w:r w:rsidRPr="00014C4D">
        <w:rPr>
          <w:vertAlign w:val="superscript"/>
          <w:rtl/>
        </w:rPr>
        <w:footnoteReference w:id="110"/>
      </w:r>
      <w:r w:rsidRPr="00014C4D">
        <w:rPr>
          <w:rFonts w:hint="cs"/>
          <w:rtl/>
        </w:rPr>
        <w:t xml:space="preserve"> כלהלן: בית שימוש רגיל המחובר למערכת הביוב</w:t>
      </w:r>
      <w:r w:rsidRPr="00014C4D">
        <w:rPr>
          <w:rtl/>
        </w:rPr>
        <w:t xml:space="preserve"> </w:t>
      </w:r>
      <w:r w:rsidRPr="00014C4D">
        <w:rPr>
          <w:rFonts w:hint="cs"/>
          <w:rtl/>
        </w:rPr>
        <w:t xml:space="preserve">או </w:t>
      </w:r>
      <w:r w:rsidRPr="00014C4D">
        <w:rPr>
          <w:rtl/>
        </w:rPr>
        <w:t>בית שימוש כימי</w:t>
      </w:r>
      <w:r w:rsidRPr="00014C4D">
        <w:rPr>
          <w:rFonts w:hint="cs"/>
          <w:rtl/>
        </w:rPr>
        <w:t xml:space="preserve">, </w:t>
      </w:r>
      <w:r w:rsidRPr="00014C4D">
        <w:rPr>
          <w:rtl/>
        </w:rPr>
        <w:t xml:space="preserve">מכל מים </w:t>
      </w:r>
      <w:r w:rsidRPr="00014C4D">
        <w:rPr>
          <w:rFonts w:ascii="David" w:hAnsi="David" w:hint="cs"/>
          <w:sz w:val="24"/>
          <w:rtl/>
        </w:rPr>
        <w:t xml:space="preserve">עשוי </w:t>
      </w:r>
      <w:r w:rsidRPr="00014C4D">
        <w:rPr>
          <w:rFonts w:ascii="David" w:hAnsi="David" w:hint="cs"/>
          <w:szCs w:val="20"/>
        </w:rPr>
        <w:t>PVC</w:t>
      </w:r>
      <w:r w:rsidRPr="00014C4D">
        <w:rPr>
          <w:rFonts w:hint="cs"/>
          <w:rtl/>
        </w:rPr>
        <w:t xml:space="preserve"> שנפחו 250 ליטר, </w:t>
      </w:r>
      <w:r w:rsidRPr="00014C4D">
        <w:rPr>
          <w:rtl/>
        </w:rPr>
        <w:t>תאורת חירום</w:t>
      </w:r>
      <w:r w:rsidRPr="00014C4D">
        <w:rPr>
          <w:rFonts w:hint="cs"/>
          <w:rtl/>
        </w:rPr>
        <w:t xml:space="preserve">, </w:t>
      </w:r>
      <w:r w:rsidRPr="00014C4D">
        <w:rPr>
          <w:rtl/>
        </w:rPr>
        <w:t>ארון פח</w:t>
      </w:r>
      <w:r w:rsidRPr="00014C4D">
        <w:rPr>
          <w:rFonts w:hint="cs"/>
          <w:rtl/>
        </w:rPr>
        <w:t xml:space="preserve">, </w:t>
      </w:r>
      <w:r w:rsidRPr="00014C4D">
        <w:rPr>
          <w:rtl/>
        </w:rPr>
        <w:t>רדיו טרנזיסטור</w:t>
      </w:r>
      <w:r w:rsidRPr="00014C4D">
        <w:rPr>
          <w:rFonts w:hint="cs"/>
          <w:rtl/>
        </w:rPr>
        <w:t xml:space="preserve">, </w:t>
      </w:r>
      <w:r w:rsidRPr="00014C4D">
        <w:rPr>
          <w:rtl/>
        </w:rPr>
        <w:t>נקוד</w:t>
      </w:r>
      <w:r w:rsidRPr="00014C4D">
        <w:rPr>
          <w:rFonts w:hint="cs"/>
          <w:rtl/>
        </w:rPr>
        <w:t>ו</w:t>
      </w:r>
      <w:r w:rsidRPr="00014C4D">
        <w:rPr>
          <w:rtl/>
        </w:rPr>
        <w:t>ת התחברות לטלפון</w:t>
      </w:r>
      <w:r w:rsidRPr="00014C4D">
        <w:rPr>
          <w:rFonts w:hint="cs"/>
          <w:rtl/>
        </w:rPr>
        <w:t xml:space="preserve"> ו</w:t>
      </w:r>
      <w:r w:rsidRPr="00014C4D">
        <w:rPr>
          <w:rtl/>
        </w:rPr>
        <w:t>לטלוויזיה</w:t>
      </w:r>
      <w:r w:rsidRPr="00014C4D">
        <w:rPr>
          <w:rFonts w:hint="cs"/>
          <w:rtl/>
        </w:rPr>
        <w:t xml:space="preserve">, מכשיר טלפון וטלוויזיה, </w:t>
      </w:r>
      <w:r w:rsidRPr="00014C4D">
        <w:rPr>
          <w:rtl/>
        </w:rPr>
        <w:t>פנס רנאור</w:t>
      </w:r>
      <w:r w:rsidRPr="00014C4D">
        <w:rPr>
          <w:rFonts w:hint="cs"/>
          <w:rtl/>
        </w:rPr>
        <w:t xml:space="preserve">, </w:t>
      </w:r>
      <w:r w:rsidRPr="00014C4D">
        <w:rPr>
          <w:rtl/>
        </w:rPr>
        <w:t>תיק עזרה ראשונה</w:t>
      </w:r>
      <w:r w:rsidRPr="00014C4D">
        <w:rPr>
          <w:vertAlign w:val="superscript"/>
          <w:rtl/>
        </w:rPr>
        <w:footnoteReference w:id="111"/>
      </w:r>
      <w:r w:rsidRPr="00014C4D">
        <w:rPr>
          <w:rFonts w:hint="cs"/>
          <w:rtl/>
        </w:rPr>
        <w:t xml:space="preserve">, </w:t>
      </w:r>
      <w:r w:rsidRPr="00014C4D">
        <w:rPr>
          <w:rtl/>
        </w:rPr>
        <w:t xml:space="preserve">אלונקה מתקפלת </w:t>
      </w:r>
      <w:r w:rsidRPr="00014C4D">
        <w:rPr>
          <w:rFonts w:hint="cs"/>
          <w:rtl/>
        </w:rPr>
        <w:t>מאלומיניום, כרז יד (מֵגָפון), ציוד לכיבוי</w:t>
      </w:r>
      <w:r w:rsidRPr="00014C4D">
        <w:rPr>
          <w:vertAlign w:val="superscript"/>
          <w:rtl/>
        </w:rPr>
        <w:footnoteReference w:id="112"/>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lastRenderedPageBreak/>
        <w:t xml:space="preserve">בתיק האב לרשויות המקומיות נקבע כי הרשות המקומית אחראית בעת שגרה, במסגרת ההיערכות לשעת חירום, לטיפול במקלטים במוסדות החינוך. בתיק האב למועצות האזוריות נקבע כי בתחום החינוך על המועצה לערוך בדיקות כשירות של כל אמצעי ההתגוננות ומערכות העזר - מקלטים וציוד.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ממסמכי עיריית </w:t>
      </w:r>
      <w:r w:rsidRPr="00014C4D">
        <w:rPr>
          <w:b/>
          <w:bCs/>
          <w:rtl/>
        </w:rPr>
        <w:t>אשקלון</w:t>
      </w:r>
      <w:r w:rsidRPr="00014C4D">
        <w:rPr>
          <w:rtl/>
        </w:rPr>
        <w:t xml:space="preserve"> עולה כי בשנים 2021</w:t>
      </w:r>
      <w:r w:rsidRPr="00014C4D">
        <w:rPr>
          <w:rFonts w:hint="cs"/>
          <w:rtl/>
        </w:rPr>
        <w:t xml:space="preserve"> </w:t>
      </w:r>
      <w:r w:rsidRPr="00014C4D">
        <w:rPr>
          <w:rtl/>
        </w:rPr>
        <w:t xml:space="preserve">- 2023 </w:t>
      </w:r>
      <w:r w:rsidRPr="00014C4D">
        <w:rPr>
          <w:rFonts w:hint="cs"/>
          <w:rtl/>
        </w:rPr>
        <w:t xml:space="preserve">היא </w:t>
      </w:r>
      <w:r w:rsidRPr="00014C4D">
        <w:rPr>
          <w:rtl/>
        </w:rPr>
        <w:t xml:space="preserve">עשתה ביקורות בטיחות </w:t>
      </w:r>
      <w:r w:rsidRPr="00014C4D">
        <w:rPr>
          <w:rFonts w:hint="cs"/>
          <w:rtl/>
        </w:rPr>
        <w:t xml:space="preserve">בבתי הספר </w:t>
      </w:r>
      <w:r w:rsidRPr="00014C4D">
        <w:rPr>
          <w:rtl/>
        </w:rPr>
        <w:t xml:space="preserve">בנושאים </w:t>
      </w:r>
      <w:r w:rsidRPr="00014C4D">
        <w:rPr>
          <w:rFonts w:hint="cs"/>
          <w:rtl/>
        </w:rPr>
        <w:t>של</w:t>
      </w:r>
      <w:r w:rsidRPr="00014C4D">
        <w:rPr>
          <w:rtl/>
        </w:rPr>
        <w:t xml:space="preserve"> חוזק המקלטים </w:t>
      </w:r>
      <w:r w:rsidRPr="00014C4D">
        <w:rPr>
          <w:rFonts w:hint="cs"/>
          <w:rtl/>
        </w:rPr>
        <w:t>והמספר</w:t>
      </w:r>
      <w:r w:rsidRPr="00014C4D">
        <w:rPr>
          <w:rtl/>
        </w:rPr>
        <w:t xml:space="preserve"> המרבי של התלמידים שהמקלטים יכולים להכיל.</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בשנים 2021 - 2023 לא עשתה עיריית אשקלון ביקורת על תחזוקת המקלטים וציוד החירום בבתי הספר ובגני הילדים שבתחומה כנדרש בנוהל החירום של משרד החינוך. </w:t>
      </w:r>
    </w:p>
    <w:p w:rsidR="00014C4D" w:rsidRPr="00014C4D" w:rsidRDefault="00014C4D" w:rsidP="00014C4D">
      <w:pPr>
        <w:spacing w:line="269" w:lineRule="auto"/>
        <w:rPr>
          <w:rtl/>
        </w:rPr>
      </w:pPr>
      <w:r w:rsidRPr="00014C4D">
        <w:rPr>
          <w:rtl/>
        </w:rPr>
        <w:t xml:space="preserve">עיריית </w:t>
      </w:r>
      <w:r w:rsidRPr="00014C4D">
        <w:rPr>
          <w:b/>
          <w:bCs/>
          <w:rtl/>
        </w:rPr>
        <w:t xml:space="preserve">גבעתיים </w:t>
      </w:r>
      <w:r w:rsidRPr="00014C4D">
        <w:rPr>
          <w:rtl/>
        </w:rPr>
        <w:t xml:space="preserve">מסרה לצוות הביקורת ביולי 2024 כי </w:t>
      </w:r>
      <w:r w:rsidRPr="00014C4D">
        <w:rPr>
          <w:rFonts w:hint="eastAsia"/>
          <w:rtl/>
        </w:rPr>
        <w:t>הבדיקות</w:t>
      </w:r>
      <w:r w:rsidRPr="00014C4D">
        <w:rPr>
          <w:rtl/>
        </w:rPr>
        <w:t xml:space="preserve"> שעשתה בשנים 2022 - 2023</w:t>
      </w:r>
      <w:r w:rsidRPr="00014C4D">
        <w:rPr>
          <w:rFonts w:hint="cs"/>
          <w:rtl/>
        </w:rPr>
        <w:t xml:space="preserve"> </w:t>
      </w:r>
      <w:r w:rsidRPr="00014C4D">
        <w:rPr>
          <w:rFonts w:hint="eastAsia"/>
          <w:rtl/>
        </w:rPr>
        <w:t>התמקדו</w:t>
      </w:r>
      <w:r w:rsidRPr="00014C4D">
        <w:rPr>
          <w:rtl/>
        </w:rPr>
        <w:t xml:space="preserve"> בליקויי </w:t>
      </w:r>
      <w:r w:rsidRPr="00014C4D">
        <w:rPr>
          <w:rFonts w:hint="cs"/>
          <w:rtl/>
        </w:rPr>
        <w:t>"</w:t>
      </w:r>
      <w:r w:rsidRPr="00014C4D">
        <w:rPr>
          <w:rtl/>
        </w:rPr>
        <w:t>בטיחות כלליים</w:t>
      </w:r>
      <w:r w:rsidRPr="00014C4D">
        <w:rPr>
          <w:rFonts w:hint="cs"/>
          <w:rtl/>
        </w:rPr>
        <w:t>",</w:t>
      </w:r>
      <w:r w:rsidRPr="00014C4D">
        <w:rPr>
          <w:rtl/>
        </w:rPr>
        <w:t xml:space="preserve"> ו</w:t>
      </w:r>
      <w:r w:rsidRPr="00014C4D">
        <w:rPr>
          <w:rFonts w:hint="cs"/>
          <w:rtl/>
        </w:rPr>
        <w:t>כי היא אינה בודקת את הנושאים</w:t>
      </w:r>
      <w:r w:rsidRPr="00014C4D">
        <w:rPr>
          <w:rtl/>
        </w:rPr>
        <w:t xml:space="preserve"> הקשורים למיגון.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highlight w:val="yellow"/>
          <w:rtl/>
        </w:rPr>
      </w:pPr>
      <w:r w:rsidRPr="00014C4D">
        <w:rPr>
          <w:rFonts w:hint="cs"/>
          <w:b/>
          <w:bCs/>
          <w:rtl/>
        </w:rPr>
        <w:t xml:space="preserve">נמצא כי בשנים 2022 - 2023 לא עשתה עיריית גבעתיים ביקורת על תחזוקת המקלטים וציוד החירום בבתי הספר ובגני הילדים בתחומה כנדרש בנוהל החירום של משרד החינוך.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eastAsia"/>
          <w:rtl/>
        </w:rPr>
        <w:t>עיריית</w:t>
      </w:r>
      <w:r w:rsidRPr="00014C4D">
        <w:rPr>
          <w:rFonts w:hint="cs"/>
          <w:b/>
          <w:bCs/>
          <w:rtl/>
        </w:rPr>
        <w:t xml:space="preserve"> חולון </w:t>
      </w:r>
      <w:r w:rsidRPr="00014C4D">
        <w:rPr>
          <w:rFonts w:hint="eastAsia"/>
          <w:rtl/>
        </w:rPr>
        <w:t>והמועצה</w:t>
      </w:r>
      <w:r w:rsidRPr="00014C4D">
        <w:rPr>
          <w:rtl/>
        </w:rPr>
        <w:t xml:space="preserve"> </w:t>
      </w:r>
      <w:r w:rsidRPr="00014C4D">
        <w:rPr>
          <w:rFonts w:hint="eastAsia"/>
          <w:rtl/>
        </w:rPr>
        <w:t>האזורית</w:t>
      </w:r>
      <w:r w:rsidRPr="00014C4D">
        <w:rPr>
          <w:rFonts w:hint="cs"/>
          <w:b/>
          <w:bCs/>
          <w:rtl/>
        </w:rPr>
        <w:t xml:space="preserve"> הגלבוע </w:t>
      </w:r>
      <w:r w:rsidRPr="00014C4D">
        <w:rPr>
          <w:rFonts w:hint="cs"/>
          <w:rtl/>
        </w:rPr>
        <w:t>עשו בכל שנה ביקורות בכל המקלטים בגני הילדים שבתחומן.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eastAsia"/>
          <w:rtl/>
        </w:rPr>
        <w:t>במועצה</w:t>
      </w:r>
      <w:r w:rsidRPr="00014C4D">
        <w:rPr>
          <w:rtl/>
        </w:rPr>
        <w:t xml:space="preserve"> </w:t>
      </w:r>
      <w:r w:rsidRPr="00014C4D">
        <w:rPr>
          <w:rFonts w:hint="eastAsia"/>
          <w:rtl/>
        </w:rPr>
        <w:t>המקומית</w:t>
      </w:r>
      <w:r w:rsidRPr="00014C4D">
        <w:rPr>
          <w:rFonts w:hint="cs"/>
          <w:b/>
          <w:bCs/>
          <w:rtl/>
        </w:rPr>
        <w:t xml:space="preserve"> ביענה</w:t>
      </w:r>
      <w:r w:rsidRPr="00014C4D">
        <w:rPr>
          <w:rFonts w:hint="cs"/>
          <w:rtl/>
        </w:rPr>
        <w:t xml:space="preserve"> המרחבים המוגנים בבתי הספר וגני הילדים שיש בהם מרחבים מוגנים משמשים חדרי לימוד או חדרי מורים. המועצה נוהגת לצבוע בכל שנה את הממ"דים ולבדוק אותם במסגרת שיפוצי קיץ שהיא עושה בכל מוסדות החינוך.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להלן הממצאים שהועלו בבדיקה שעשו עובדי משרד מבקר המדינה בנושא תחזוקת מקלטים בבתי ספר ובגני ילדים ברשויות שנבדקו: </w:t>
      </w:r>
    </w:p>
    <w:p w:rsidR="00014C4D" w:rsidRPr="00014C4D" w:rsidRDefault="00014C4D" w:rsidP="00014C4D">
      <w:pPr>
        <w:spacing w:line="269" w:lineRule="auto"/>
        <w:ind w:left="-567"/>
        <w:rPr>
          <w:szCs w:val="20"/>
          <w:rtl/>
        </w:rPr>
      </w:pPr>
    </w:p>
    <w:p w:rsidR="00014C4D" w:rsidRPr="00014C4D" w:rsidRDefault="00014C4D" w:rsidP="00014C4D">
      <w:pPr>
        <w:shd w:val="clear" w:color="auto" w:fill="FFFFFF" w:themeFill="background1"/>
        <w:spacing w:line="269" w:lineRule="auto"/>
        <w:ind w:left="-1"/>
        <w:rPr>
          <w:rFonts w:ascii="David" w:hAnsi="David"/>
          <w:rtl/>
        </w:rPr>
      </w:pPr>
      <w:r w:rsidRPr="00014C4D">
        <w:rPr>
          <w:rFonts w:eastAsiaTheme="majorEastAsia" w:hint="eastAsia"/>
          <w:bCs/>
          <w:spacing w:val="40"/>
          <w:rtl/>
        </w:rPr>
        <w:t>אשקלון</w:t>
      </w:r>
      <w:r w:rsidRPr="00014C4D">
        <w:rPr>
          <w:rFonts w:eastAsiaTheme="majorEastAsia"/>
          <w:bCs/>
          <w:spacing w:val="40"/>
          <w:rtl/>
        </w:rPr>
        <w:t xml:space="preserve">: </w:t>
      </w:r>
      <w:r w:rsidRPr="00014C4D">
        <w:rPr>
          <w:rFonts w:ascii="David" w:hAnsi="David" w:hint="eastAsia"/>
          <w:rtl/>
        </w:rPr>
        <w:t>באשקלון</w:t>
      </w:r>
      <w:r w:rsidRPr="00014C4D">
        <w:rPr>
          <w:rFonts w:ascii="David" w:hAnsi="David"/>
          <w:rtl/>
        </w:rPr>
        <w:t xml:space="preserve"> נבדקו </w:t>
      </w:r>
      <w:r w:rsidRPr="00014C4D">
        <w:rPr>
          <w:rFonts w:ascii="David" w:hAnsi="David" w:hint="eastAsia"/>
          <w:rtl/>
        </w:rPr>
        <w:t>שישה</w:t>
      </w:r>
      <w:r w:rsidRPr="00014C4D">
        <w:rPr>
          <w:rFonts w:ascii="David" w:hAnsi="David"/>
          <w:rtl/>
        </w:rPr>
        <w:t xml:space="preserve"> </w:t>
      </w:r>
      <w:r w:rsidRPr="00014C4D">
        <w:rPr>
          <w:rFonts w:ascii="David" w:hAnsi="David" w:hint="eastAsia"/>
          <w:rtl/>
        </w:rPr>
        <w:t>בתי</w:t>
      </w:r>
      <w:r w:rsidRPr="00014C4D">
        <w:rPr>
          <w:rFonts w:ascii="David" w:hAnsi="David"/>
          <w:rtl/>
        </w:rPr>
        <w:t xml:space="preserve"> </w:t>
      </w:r>
      <w:r w:rsidRPr="00014C4D">
        <w:rPr>
          <w:rFonts w:ascii="David" w:hAnsi="David" w:hint="eastAsia"/>
          <w:rtl/>
        </w:rPr>
        <w:t>ספר</w:t>
      </w:r>
      <w:r w:rsidRPr="00014C4D">
        <w:rPr>
          <w:rFonts w:ascii="David" w:hAnsi="David" w:hint="cs"/>
          <w:rtl/>
        </w:rPr>
        <w:t xml:space="preserve"> וארבעה גני ילדים.</w:t>
      </w:r>
      <w:r w:rsidRPr="00014C4D">
        <w:rPr>
          <w:rFonts w:ascii="David" w:hAnsi="David"/>
          <w:rtl/>
        </w:rPr>
        <w:t xml:space="preserve"> </w:t>
      </w:r>
    </w:p>
    <w:p w:rsidR="00014C4D" w:rsidRPr="00014C4D" w:rsidRDefault="00014C4D" w:rsidP="00014C4D">
      <w:pPr>
        <w:spacing w:line="269" w:lineRule="auto"/>
        <w:ind w:left="-567"/>
        <w:rPr>
          <w:szCs w:val="20"/>
          <w:rtl/>
        </w:rPr>
      </w:pPr>
    </w:p>
    <w:p w:rsidR="00014C4D" w:rsidRPr="00014C4D" w:rsidRDefault="00014C4D" w:rsidP="00014C4D">
      <w:pPr>
        <w:shd w:val="clear" w:color="auto" w:fill="FFFFFF" w:themeFill="background1"/>
        <w:spacing w:line="269" w:lineRule="auto"/>
        <w:ind w:left="-1"/>
        <w:rPr>
          <w:b/>
          <w:bCs/>
          <w:rtl/>
        </w:rPr>
      </w:pPr>
      <w:r w:rsidRPr="00014C4D">
        <w:rPr>
          <w:rFonts w:ascii="David" w:hAnsi="David" w:hint="eastAsia"/>
          <w:b/>
          <w:bCs/>
          <w:rtl/>
        </w:rPr>
        <w:t>בארבעה</w:t>
      </w:r>
      <w:r w:rsidRPr="00014C4D">
        <w:rPr>
          <w:rFonts w:ascii="David" w:hAnsi="David"/>
          <w:b/>
          <w:bCs/>
          <w:rtl/>
        </w:rPr>
        <w:t xml:space="preserve"> </w:t>
      </w:r>
      <w:r w:rsidRPr="00014C4D">
        <w:rPr>
          <w:rFonts w:ascii="David" w:hAnsi="David" w:hint="cs"/>
          <w:b/>
          <w:bCs/>
          <w:rtl/>
        </w:rPr>
        <w:t>מבתי הספר ובשני גני הילדים</w:t>
      </w:r>
      <w:r w:rsidRPr="00014C4D">
        <w:rPr>
          <w:rFonts w:ascii="David" w:hAnsi="David"/>
          <w:b/>
          <w:bCs/>
          <w:rtl/>
        </w:rPr>
        <w:t xml:space="preserve"> </w:t>
      </w:r>
      <w:r w:rsidRPr="00014C4D">
        <w:rPr>
          <w:rFonts w:ascii="David" w:hAnsi="David" w:hint="cs"/>
          <w:b/>
          <w:bCs/>
          <w:rtl/>
        </w:rPr>
        <w:t xml:space="preserve">שנבדקו באשקלון </w:t>
      </w:r>
      <w:r w:rsidRPr="00014C4D">
        <w:rPr>
          <w:rFonts w:ascii="David" w:hAnsi="David" w:hint="eastAsia"/>
          <w:b/>
          <w:bCs/>
          <w:rtl/>
        </w:rPr>
        <w:t>נמצאו</w:t>
      </w:r>
      <w:r w:rsidRPr="00014C4D">
        <w:rPr>
          <w:rFonts w:ascii="David" w:hAnsi="David"/>
          <w:b/>
          <w:bCs/>
          <w:rtl/>
        </w:rPr>
        <w:t xml:space="preserve"> ליקויים: </w:t>
      </w:r>
      <w:r w:rsidRPr="00014C4D">
        <w:rPr>
          <w:rFonts w:ascii="David" w:hAnsi="David" w:hint="eastAsia"/>
          <w:b/>
          <w:bCs/>
          <w:rtl/>
        </w:rPr>
        <w:t>אין</w:t>
      </w:r>
      <w:r w:rsidRPr="00014C4D">
        <w:rPr>
          <w:rFonts w:ascii="David" w:hAnsi="David"/>
          <w:b/>
          <w:bCs/>
          <w:rtl/>
        </w:rPr>
        <w:t xml:space="preserve"> </w:t>
      </w:r>
      <w:r w:rsidRPr="00014C4D">
        <w:rPr>
          <w:rFonts w:ascii="David" w:hAnsi="David" w:hint="eastAsia"/>
          <w:b/>
          <w:bCs/>
          <w:rtl/>
        </w:rPr>
        <w:t>יציאות</w:t>
      </w:r>
      <w:r w:rsidRPr="00014C4D">
        <w:rPr>
          <w:rFonts w:ascii="David" w:hAnsi="David"/>
          <w:b/>
          <w:bCs/>
          <w:rtl/>
        </w:rPr>
        <w:t xml:space="preserve"> </w:t>
      </w:r>
      <w:r w:rsidRPr="00014C4D">
        <w:rPr>
          <w:rFonts w:ascii="David" w:hAnsi="David" w:hint="eastAsia"/>
          <w:b/>
          <w:bCs/>
          <w:rtl/>
        </w:rPr>
        <w:t>חירום</w:t>
      </w:r>
      <w:r w:rsidRPr="00014C4D">
        <w:rPr>
          <w:rFonts w:ascii="David" w:hAnsi="David"/>
          <w:b/>
          <w:bCs/>
          <w:rtl/>
        </w:rPr>
        <w:t xml:space="preserve"> </w:t>
      </w:r>
      <w:r w:rsidRPr="00014C4D">
        <w:rPr>
          <w:rFonts w:ascii="David" w:hAnsi="David" w:hint="eastAsia"/>
          <w:b/>
          <w:bCs/>
          <w:rtl/>
        </w:rPr>
        <w:t>למקלטים</w:t>
      </w:r>
      <w:r w:rsidRPr="00014C4D">
        <w:rPr>
          <w:rFonts w:ascii="David" w:hAnsi="David"/>
          <w:b/>
          <w:bCs/>
          <w:rtl/>
        </w:rPr>
        <w:t xml:space="preserve"> (2 </w:t>
      </w:r>
      <w:r w:rsidRPr="00014C4D">
        <w:rPr>
          <w:rFonts w:ascii="David" w:hAnsi="David" w:hint="cs"/>
          <w:b/>
          <w:bCs/>
          <w:rtl/>
        </w:rPr>
        <w:t>מוסדות חינוך</w:t>
      </w:r>
      <w:r w:rsidRPr="00014C4D">
        <w:rPr>
          <w:rFonts w:ascii="David" w:hAnsi="David"/>
          <w:b/>
          <w:bCs/>
          <w:rtl/>
        </w:rPr>
        <w:t>)</w:t>
      </w:r>
      <w:r w:rsidRPr="00014C4D">
        <w:rPr>
          <w:rFonts w:ascii="David" w:hAnsi="David" w:hint="cs"/>
          <w:b/>
          <w:bCs/>
          <w:rtl/>
        </w:rPr>
        <w:t>; דלתות יציאות חירום שאינן נפתחות או יציאות חירום חסומות</w:t>
      </w:r>
      <w:r w:rsidRPr="00014C4D">
        <w:rPr>
          <w:rFonts w:hint="cs"/>
          <w:b/>
          <w:bCs/>
          <w:rtl/>
        </w:rPr>
        <w:t xml:space="preserve"> (4); אין פסים למניעת החלקה על מדרגות המקלטים (2); רטיבות בתקרה (1); אין שקעי חשמל, פתחי האוורור והיציאה חסומים ולכן אין במקלט אוורור ואין מזגן (1), אין נקודת התחברות לטלפון ולמרשתת (4).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Fonts w:ascii="David" w:hAnsi="David"/>
          <w:rtl/>
        </w:rPr>
      </w:pPr>
      <w:r w:rsidRPr="00014C4D">
        <w:rPr>
          <w:rFonts w:eastAsiaTheme="majorEastAsia" w:hint="eastAsia"/>
          <w:bCs/>
          <w:spacing w:val="40"/>
          <w:rtl/>
        </w:rPr>
        <w:t>גבעתיים</w:t>
      </w:r>
      <w:r w:rsidRPr="00014C4D">
        <w:rPr>
          <w:rFonts w:eastAsiaTheme="majorEastAsia"/>
          <w:bCs/>
          <w:spacing w:val="40"/>
          <w:rtl/>
        </w:rPr>
        <w:t xml:space="preserve">: </w:t>
      </w:r>
      <w:r w:rsidRPr="00014C4D">
        <w:rPr>
          <w:rFonts w:ascii="David" w:hAnsi="David" w:hint="cs"/>
          <w:rtl/>
        </w:rPr>
        <w:t>בגבעתיים נבדקו חמישה בתי ספר ושני גני ילדים.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b/>
          <w:bCs/>
          <w:rtl/>
        </w:rPr>
      </w:pPr>
      <w:r w:rsidRPr="00014C4D">
        <w:rPr>
          <w:rFonts w:ascii="David" w:hAnsi="David" w:hint="cs"/>
          <w:b/>
          <w:bCs/>
          <w:rtl/>
        </w:rPr>
        <w:t>בשלושה מבתי הספר שנבדקו בגבעתיים נמצאו ליקויים:</w:t>
      </w:r>
      <w:r w:rsidRPr="00014C4D">
        <w:rPr>
          <w:rFonts w:hint="cs"/>
          <w:b/>
          <w:bCs/>
          <w:rtl/>
        </w:rPr>
        <w:t xml:space="preserve"> יציאות חירום חסומות (2 בתי ספר), חוטי חשמל גלויים (ללא ארון) (1), אי-סימון בצבע זרחני (3), רטיבות וחדירת מים (1), היעדר מכל מים (3 </w:t>
      </w:r>
      <w:r w:rsidRPr="00014C4D">
        <w:rPr>
          <w:rFonts w:hint="eastAsia"/>
          <w:b/>
          <w:bCs/>
          <w:rtl/>
        </w:rPr>
        <w:t>בתי</w:t>
      </w:r>
      <w:r w:rsidRPr="00014C4D">
        <w:rPr>
          <w:b/>
          <w:bCs/>
          <w:rtl/>
        </w:rPr>
        <w:t xml:space="preserve"> </w:t>
      </w:r>
      <w:r w:rsidRPr="00014C4D">
        <w:rPr>
          <w:rFonts w:hint="eastAsia"/>
          <w:b/>
          <w:bCs/>
          <w:rtl/>
        </w:rPr>
        <w:t>ספר</w:t>
      </w:r>
      <w:r w:rsidRPr="00014C4D">
        <w:rPr>
          <w:rFonts w:hint="cs"/>
          <w:b/>
          <w:bCs/>
          <w:rtl/>
        </w:rPr>
        <w:t xml:space="preserve">), היעדר שני פנסי רנאור (3), מטפה לא-תקין (1), היעדר נקודות התחברות לטלפון ולטלוויזיה וכן </w:t>
      </w:r>
      <w:r w:rsidRPr="00014C4D">
        <w:rPr>
          <w:rFonts w:hint="eastAsia"/>
          <w:b/>
          <w:bCs/>
          <w:rtl/>
        </w:rPr>
        <w:t>ל</w:t>
      </w:r>
      <w:r w:rsidRPr="00014C4D">
        <w:rPr>
          <w:rFonts w:hint="cs"/>
          <w:b/>
          <w:bCs/>
          <w:rtl/>
        </w:rPr>
        <w:t>מרשתת</w:t>
      </w:r>
      <w:r w:rsidRPr="00014C4D">
        <w:rPr>
          <w:b/>
          <w:bCs/>
          <w:rtl/>
        </w:rPr>
        <w:t xml:space="preserve"> </w:t>
      </w:r>
      <w:r w:rsidRPr="00014C4D">
        <w:rPr>
          <w:rFonts w:hint="cs"/>
          <w:b/>
          <w:bCs/>
          <w:rtl/>
        </w:rPr>
        <w:t xml:space="preserve">והיעדר מגבר </w:t>
      </w:r>
      <w:r w:rsidRPr="00014C4D">
        <w:rPr>
          <w:rFonts w:hint="eastAsia"/>
          <w:b/>
          <w:bCs/>
          <w:rtl/>
        </w:rPr>
        <w:t>לק</w:t>
      </w:r>
      <w:r w:rsidRPr="00014C4D">
        <w:rPr>
          <w:rFonts w:hint="cs"/>
          <w:b/>
          <w:bCs/>
          <w:rtl/>
        </w:rPr>
        <w:t xml:space="preserve">ליטה סלולרית במקלטים שאין בהם קליטה סלולרית (3).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tl/>
        </w:rPr>
      </w:pPr>
      <w:r w:rsidRPr="00014C4D">
        <w:rPr>
          <w:rFonts w:hint="eastAsia"/>
          <w:rtl/>
        </w:rPr>
        <w:t>בשני</w:t>
      </w:r>
      <w:r w:rsidRPr="00014C4D">
        <w:rPr>
          <w:rtl/>
        </w:rPr>
        <w:t xml:space="preserve"> גני הילדים שנבדקו בגבעתיים לא נמצאו ליקויים.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eastAsiaTheme="majorEastAsia"/>
          <w:bCs/>
          <w:spacing w:val="40"/>
          <w:rtl/>
        </w:rPr>
      </w:pPr>
    </w:p>
    <w:p w:rsidR="00014C4D" w:rsidRPr="00014C4D" w:rsidRDefault="00014C4D" w:rsidP="00014C4D">
      <w:pPr>
        <w:spacing w:line="269" w:lineRule="auto"/>
        <w:rPr>
          <w:rFonts w:ascii="David" w:hAnsi="David"/>
          <w:b/>
          <w:bCs/>
          <w:rtl/>
        </w:rPr>
      </w:pPr>
      <w:r w:rsidRPr="00014C4D">
        <w:rPr>
          <w:rFonts w:eastAsiaTheme="majorEastAsia" w:hint="eastAsia"/>
          <w:bCs/>
          <w:spacing w:val="40"/>
          <w:rtl/>
        </w:rPr>
        <w:lastRenderedPageBreak/>
        <w:t>הגלבוע</w:t>
      </w:r>
      <w:r w:rsidRPr="00014C4D">
        <w:rPr>
          <w:rFonts w:eastAsiaTheme="majorEastAsia"/>
          <w:bCs/>
          <w:spacing w:val="40"/>
          <w:rtl/>
        </w:rPr>
        <w:t>:</w:t>
      </w:r>
      <w:r w:rsidRPr="00014C4D">
        <w:rPr>
          <w:rFonts w:ascii="David" w:hAnsi="David" w:hint="cs"/>
          <w:b/>
          <w:bCs/>
          <w:rtl/>
        </w:rPr>
        <w:t xml:space="preserve"> </w:t>
      </w:r>
      <w:r w:rsidRPr="00014C4D">
        <w:rPr>
          <w:rFonts w:ascii="David" w:hAnsi="David" w:hint="cs"/>
          <w:rtl/>
        </w:rPr>
        <w:t>במועצה האזורית הגלבוע נבדקו ארבעה בתי ספר ושני גני ילדים</w:t>
      </w:r>
      <w:r w:rsidRPr="00014C4D">
        <w:rPr>
          <w:rFonts w:ascii="David" w:hAnsi="David"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ascii="David" w:hAnsi="David" w:hint="cs"/>
          <w:b/>
          <w:bCs/>
          <w:rtl/>
        </w:rPr>
        <w:t>בכל בתי הספר וגני הילדים שנבדקו במועצה האזורית הגלבוע נמצאו ליקויים: מקלט בבית ספר שאינו בשימוש</w:t>
      </w:r>
      <w:r w:rsidRPr="00014C4D">
        <w:rPr>
          <w:rFonts w:hint="cs"/>
          <w:b/>
          <w:bCs/>
          <w:rtl/>
        </w:rPr>
        <w:t xml:space="preserve"> בשל הצפות מים. המועצה שיפצה מקלט זה חלקית אך השיפוץ טרם הסתיים</w:t>
      </w:r>
      <w:r w:rsidRPr="00014C4D">
        <w:rPr>
          <w:b/>
          <w:bCs/>
          <w:vertAlign w:val="superscript"/>
          <w:rtl/>
        </w:rPr>
        <w:footnoteReference w:id="113"/>
      </w:r>
      <w:r w:rsidRPr="00014C4D">
        <w:rPr>
          <w:rFonts w:hint="cs"/>
          <w:b/>
          <w:bCs/>
          <w:rtl/>
        </w:rPr>
        <w:t xml:space="preserve">; אי-סימון החלונות בצבע פולט אור (2 מוסדות חינוך); אי-שילוט יציאת החירום (1); מחסור בתאורת חירום (4); מחסור בערכת עזרה ראשונה (1); מקלט ששטחו 8 מ"ר משמש כמחסן, ויציאת החירום שלו חסומה בציוד (1), היעדר במכל מים (4); מטפה לא-תקין (1); היעדר ארון פח (6). </w:t>
      </w:r>
    </w:p>
    <w:p w:rsidR="00014C4D" w:rsidRPr="00014C4D" w:rsidRDefault="00014C4D" w:rsidP="00014C4D">
      <w:pPr>
        <w:spacing w:line="269" w:lineRule="auto"/>
        <w:rPr>
          <w:b/>
          <w:bCs/>
          <w:rtl/>
        </w:rPr>
      </w:pPr>
    </w:p>
    <w:p w:rsidR="00014C4D" w:rsidRPr="00014C4D" w:rsidRDefault="00014C4D" w:rsidP="00014C4D">
      <w:pPr>
        <w:keepNext/>
        <w:keepLines/>
        <w:spacing w:line="269" w:lineRule="auto"/>
        <w:jc w:val="center"/>
        <w:rPr>
          <w:rFonts w:ascii="David" w:eastAsiaTheme="minorEastAsia" w:hAnsi="David"/>
          <w:b/>
          <w:bCs/>
          <w:noProof/>
          <w:sz w:val="24"/>
          <w:rtl/>
        </w:rPr>
      </w:pPr>
      <w:r w:rsidRPr="00014C4D">
        <w:rPr>
          <w:rFonts w:ascii="David" w:eastAsiaTheme="minorEastAsia" w:hAnsi="David" w:hint="eastAsia"/>
          <w:sz w:val="24"/>
          <w:rtl/>
        </w:rPr>
        <w:t>תמונה</w:t>
      </w:r>
      <w:r w:rsidRPr="00014C4D">
        <w:rPr>
          <w:rFonts w:ascii="David" w:eastAsiaTheme="minorEastAsia" w:hAnsi="David"/>
          <w:sz w:val="24"/>
          <w:rtl/>
        </w:rPr>
        <w:t xml:space="preserve"> 20:</w:t>
      </w:r>
      <w:r w:rsidRPr="00014C4D">
        <w:rPr>
          <w:rFonts w:ascii="David" w:eastAsiaTheme="minorEastAsia" w:hAnsi="David" w:hint="cs"/>
          <w:b/>
          <w:bCs/>
          <w:sz w:val="24"/>
          <w:rtl/>
        </w:rPr>
        <w:t xml:space="preserve"> </w:t>
      </w:r>
      <w:r w:rsidRPr="00014C4D">
        <w:rPr>
          <w:rFonts w:ascii="David" w:eastAsiaTheme="minorEastAsia" w:hAnsi="David"/>
          <w:b/>
          <w:bCs/>
          <w:sz w:val="24"/>
          <w:rtl/>
        </w:rPr>
        <w:t>המקלט בגן הילדים ביישוב נר</w:t>
      </w:r>
      <w:r w:rsidRPr="00014C4D">
        <w:rPr>
          <w:rFonts w:ascii="David" w:eastAsiaTheme="minorEastAsia" w:hAnsi="David" w:hint="cs"/>
          <w:b/>
          <w:bCs/>
          <w:sz w:val="24"/>
          <w:rtl/>
        </w:rPr>
        <w:t xml:space="preserve"> </w:t>
      </w:r>
      <w:r w:rsidRPr="00014C4D">
        <w:rPr>
          <w:rFonts w:ascii="David" w:eastAsiaTheme="minorEastAsia" w:hAnsi="David"/>
          <w:b/>
          <w:bCs/>
          <w:sz w:val="24"/>
          <w:rtl/>
        </w:rPr>
        <w:t>שקד במועצה האזורית הגלבוע</w:t>
      </w:r>
    </w:p>
    <w:p w:rsidR="00014C4D" w:rsidRPr="00014C4D" w:rsidRDefault="00014C4D" w:rsidP="00014C4D">
      <w:pPr>
        <w:spacing w:line="269" w:lineRule="auto"/>
        <w:jc w:val="center"/>
        <w:rPr>
          <w:color w:val="0070C0"/>
          <w:highlight w:val="yellow"/>
          <w:rtl/>
        </w:rPr>
      </w:pPr>
      <w:r w:rsidRPr="00014C4D">
        <w:rPr>
          <w:noProof/>
        </w:rPr>
        <w:drawing>
          <wp:inline distT="0" distB="0" distL="0" distR="0" wp14:anchorId="3981E566" wp14:editId="474A5997">
            <wp:extent cx="3941471" cy="2219325"/>
            <wp:effectExtent l="0" t="0" r="1905" b="0"/>
            <wp:docPr id="1834351664" name="תמונה 1834351664" descr="תוכן התמונה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950494" cy="2224406"/>
                    </a:xfrm>
                    <a:prstGeom prst="rect">
                      <a:avLst/>
                    </a:prstGeom>
                    <a:noFill/>
                    <a:ln>
                      <a:noFill/>
                    </a:ln>
                  </pic:spPr>
                </pic:pic>
              </a:graphicData>
            </a:graphic>
          </wp:inline>
        </w:drawing>
      </w:r>
    </w:p>
    <w:p w:rsidR="00014C4D" w:rsidRPr="00014C4D" w:rsidRDefault="00014C4D" w:rsidP="00014C4D">
      <w:pPr>
        <w:spacing w:line="269" w:lineRule="auto"/>
        <w:jc w:val="left"/>
        <w:rPr>
          <w:sz w:val="16"/>
          <w:szCs w:val="20"/>
          <w:rtl/>
        </w:rPr>
      </w:pPr>
      <w:r w:rsidRPr="00014C4D">
        <w:rPr>
          <w:rFonts w:hint="cs"/>
          <w:sz w:val="16"/>
          <w:szCs w:val="20"/>
          <w:rtl/>
        </w:rPr>
        <w:t xml:space="preserve">המקלט משמש מחסן ויציאת החירום חסומה. </w:t>
      </w:r>
      <w:r w:rsidRPr="00014C4D">
        <w:rPr>
          <w:sz w:val="16"/>
          <w:szCs w:val="20"/>
          <w:rtl/>
        </w:rPr>
        <w:t>צ</w:t>
      </w:r>
      <w:r w:rsidRPr="00014C4D">
        <w:rPr>
          <w:rFonts w:hint="cs"/>
          <w:sz w:val="16"/>
          <w:szCs w:val="20"/>
          <w:rtl/>
        </w:rPr>
        <w:t>ו</w:t>
      </w:r>
      <w:r w:rsidRPr="00014C4D">
        <w:rPr>
          <w:sz w:val="16"/>
          <w:szCs w:val="20"/>
          <w:rtl/>
        </w:rPr>
        <w:t>לם</w:t>
      </w:r>
      <w:r w:rsidRPr="00014C4D">
        <w:rPr>
          <w:rFonts w:hint="cs"/>
          <w:sz w:val="16"/>
          <w:szCs w:val="20"/>
          <w:rtl/>
        </w:rPr>
        <w:t xml:space="preserve"> על ידי</w:t>
      </w:r>
      <w:r w:rsidRPr="00014C4D">
        <w:rPr>
          <w:sz w:val="16"/>
          <w:szCs w:val="20"/>
          <w:rtl/>
        </w:rPr>
        <w:t xml:space="preserve"> צוות הביקורת</w:t>
      </w:r>
      <w:r w:rsidRPr="00014C4D">
        <w:rPr>
          <w:rFonts w:hint="cs"/>
          <w:sz w:val="16"/>
          <w:szCs w:val="20"/>
          <w:rtl/>
        </w:rPr>
        <w:t>, יולי 2024.</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t>חולון</w:t>
      </w:r>
      <w:r w:rsidRPr="00014C4D">
        <w:rPr>
          <w:rFonts w:eastAsiaTheme="majorEastAsia"/>
          <w:bCs/>
          <w:spacing w:val="40"/>
          <w:rtl/>
        </w:rPr>
        <w:t>:</w:t>
      </w:r>
      <w:r w:rsidRPr="00014C4D">
        <w:rPr>
          <w:rFonts w:hint="cs"/>
          <w:b/>
          <w:bCs/>
          <w:rtl/>
        </w:rPr>
        <w:t xml:space="preserve"> </w:t>
      </w:r>
      <w:r w:rsidRPr="00014C4D">
        <w:rPr>
          <w:rFonts w:hint="eastAsia"/>
          <w:rtl/>
        </w:rPr>
        <w:t>בבדיקת</w:t>
      </w:r>
      <w:r w:rsidRPr="00014C4D">
        <w:rPr>
          <w:rtl/>
        </w:rPr>
        <w:t xml:space="preserve"> </w:t>
      </w:r>
      <w:r w:rsidRPr="00014C4D">
        <w:rPr>
          <w:rFonts w:hint="eastAsia"/>
          <w:rtl/>
        </w:rPr>
        <w:t>התחזוקה</w:t>
      </w:r>
      <w:r w:rsidRPr="00014C4D">
        <w:rPr>
          <w:rtl/>
        </w:rPr>
        <w:t xml:space="preserve"> </w:t>
      </w:r>
      <w:r w:rsidRPr="00014C4D">
        <w:rPr>
          <w:rFonts w:hint="eastAsia"/>
          <w:rtl/>
        </w:rPr>
        <w:t>של</w:t>
      </w:r>
      <w:r w:rsidRPr="00014C4D">
        <w:rPr>
          <w:rtl/>
        </w:rPr>
        <w:t xml:space="preserve"> </w:t>
      </w:r>
      <w:r w:rsidRPr="00014C4D">
        <w:rPr>
          <w:rFonts w:hint="eastAsia"/>
          <w:rtl/>
        </w:rPr>
        <w:t>חמישה</w:t>
      </w:r>
      <w:r w:rsidRPr="00014C4D">
        <w:rPr>
          <w:rtl/>
        </w:rPr>
        <w:t xml:space="preserve"> מקלטים בבתי ספר ושני גני ילדים בחולון לא נמצאו ליקויים.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t>ב</w:t>
      </w:r>
      <w:r w:rsidRPr="00014C4D">
        <w:rPr>
          <w:rFonts w:eastAsiaTheme="majorEastAsia" w:hint="cs"/>
          <w:bCs/>
          <w:spacing w:val="40"/>
          <w:rtl/>
        </w:rPr>
        <w:t>י</w:t>
      </w:r>
      <w:r w:rsidRPr="00014C4D">
        <w:rPr>
          <w:rFonts w:eastAsiaTheme="majorEastAsia" w:hint="eastAsia"/>
          <w:bCs/>
          <w:spacing w:val="40"/>
          <w:rtl/>
        </w:rPr>
        <w:t>ענה</w:t>
      </w:r>
      <w:r w:rsidRPr="00014C4D">
        <w:rPr>
          <w:rFonts w:eastAsiaTheme="majorEastAsia"/>
          <w:bCs/>
          <w:spacing w:val="40"/>
          <w:rtl/>
        </w:rPr>
        <w:t>:</w:t>
      </w:r>
      <w:r w:rsidRPr="00014C4D">
        <w:rPr>
          <w:rFonts w:hint="cs"/>
          <w:b/>
          <w:bCs/>
          <w:rtl/>
        </w:rPr>
        <w:t xml:space="preserve"> </w:t>
      </w:r>
      <w:r w:rsidRPr="00014C4D">
        <w:rPr>
          <w:rFonts w:hint="eastAsia"/>
          <w:rtl/>
        </w:rPr>
        <w:t>בבדיקת</w:t>
      </w:r>
      <w:r w:rsidRPr="00014C4D">
        <w:rPr>
          <w:rtl/>
        </w:rPr>
        <w:t xml:space="preserve"> </w:t>
      </w:r>
      <w:r w:rsidRPr="00014C4D">
        <w:rPr>
          <w:rFonts w:hint="eastAsia"/>
          <w:rtl/>
        </w:rPr>
        <w:t>התחזוקה</w:t>
      </w:r>
      <w:r w:rsidRPr="00014C4D">
        <w:rPr>
          <w:rtl/>
        </w:rPr>
        <w:t xml:space="preserve"> </w:t>
      </w:r>
      <w:r w:rsidRPr="00014C4D">
        <w:rPr>
          <w:rFonts w:hint="eastAsia"/>
          <w:rtl/>
        </w:rPr>
        <w:t>של</w:t>
      </w:r>
      <w:r w:rsidRPr="00014C4D">
        <w:rPr>
          <w:rtl/>
        </w:rPr>
        <w:t xml:space="preserve"> </w:t>
      </w:r>
      <w:r w:rsidRPr="00014C4D">
        <w:rPr>
          <w:rFonts w:hint="eastAsia"/>
          <w:rtl/>
        </w:rPr>
        <w:t>מרחבים</w:t>
      </w:r>
      <w:r w:rsidRPr="00014C4D">
        <w:rPr>
          <w:rtl/>
        </w:rPr>
        <w:t xml:space="preserve"> </w:t>
      </w:r>
      <w:r w:rsidRPr="00014C4D">
        <w:rPr>
          <w:rFonts w:hint="eastAsia"/>
          <w:rtl/>
        </w:rPr>
        <w:t>מוגנים</w:t>
      </w:r>
      <w:r w:rsidRPr="00014C4D">
        <w:rPr>
          <w:rtl/>
        </w:rPr>
        <w:t xml:space="preserve"> </w:t>
      </w:r>
      <w:r w:rsidRPr="00014C4D">
        <w:rPr>
          <w:rFonts w:hint="eastAsia"/>
          <w:rtl/>
        </w:rPr>
        <w:t>בשלושה</w:t>
      </w:r>
      <w:r w:rsidRPr="00014C4D">
        <w:rPr>
          <w:rtl/>
        </w:rPr>
        <w:t xml:space="preserve"> </w:t>
      </w:r>
      <w:r w:rsidRPr="00014C4D">
        <w:rPr>
          <w:rFonts w:hint="eastAsia"/>
          <w:rtl/>
        </w:rPr>
        <w:t>גני</w:t>
      </w:r>
      <w:r w:rsidRPr="00014C4D">
        <w:rPr>
          <w:rtl/>
        </w:rPr>
        <w:t xml:space="preserve"> </w:t>
      </w:r>
      <w:r w:rsidRPr="00014C4D">
        <w:rPr>
          <w:rFonts w:hint="eastAsia"/>
          <w:rtl/>
        </w:rPr>
        <w:t>ילדים</w:t>
      </w:r>
      <w:r w:rsidRPr="00014C4D">
        <w:rPr>
          <w:rtl/>
        </w:rPr>
        <w:t xml:space="preserve">, </w:t>
      </w:r>
      <w:r w:rsidRPr="00014C4D">
        <w:rPr>
          <w:rFonts w:hint="eastAsia"/>
          <w:rtl/>
        </w:rPr>
        <w:t>בית</w:t>
      </w:r>
      <w:r w:rsidRPr="00014C4D">
        <w:rPr>
          <w:rtl/>
        </w:rPr>
        <w:t xml:space="preserve"> </w:t>
      </w:r>
      <w:r w:rsidRPr="00014C4D">
        <w:rPr>
          <w:rFonts w:hint="eastAsia"/>
          <w:rtl/>
        </w:rPr>
        <w:t>ספר</w:t>
      </w:r>
      <w:r w:rsidRPr="00014C4D">
        <w:rPr>
          <w:rtl/>
        </w:rPr>
        <w:t xml:space="preserve"> </w:t>
      </w:r>
      <w:r w:rsidRPr="00014C4D">
        <w:rPr>
          <w:rFonts w:hint="eastAsia"/>
          <w:rtl/>
        </w:rPr>
        <w:t>יסודי</w:t>
      </w:r>
      <w:r w:rsidRPr="00014C4D">
        <w:rPr>
          <w:rtl/>
        </w:rPr>
        <w:t xml:space="preserve"> </w:t>
      </w:r>
      <w:r w:rsidRPr="00014C4D">
        <w:rPr>
          <w:rFonts w:hint="eastAsia"/>
          <w:rtl/>
        </w:rPr>
        <w:t>ובית</w:t>
      </w:r>
      <w:r w:rsidRPr="00014C4D">
        <w:rPr>
          <w:rtl/>
        </w:rPr>
        <w:t xml:space="preserve"> </w:t>
      </w:r>
      <w:r w:rsidRPr="00014C4D">
        <w:rPr>
          <w:rFonts w:hint="eastAsia"/>
          <w:rtl/>
        </w:rPr>
        <w:t>ספר</w:t>
      </w:r>
      <w:r w:rsidRPr="00014C4D">
        <w:rPr>
          <w:rtl/>
        </w:rPr>
        <w:t xml:space="preserve"> </w:t>
      </w:r>
      <w:r w:rsidRPr="00014C4D">
        <w:rPr>
          <w:rFonts w:hint="eastAsia"/>
          <w:rtl/>
        </w:rPr>
        <w:t>תיכון</w:t>
      </w:r>
      <w:r w:rsidRPr="00014C4D">
        <w:rPr>
          <w:rtl/>
        </w:rPr>
        <w:t xml:space="preserve"> </w:t>
      </w:r>
      <w:r w:rsidRPr="00014C4D">
        <w:rPr>
          <w:rFonts w:hint="eastAsia"/>
          <w:rtl/>
        </w:rPr>
        <w:t>במועצה</w:t>
      </w:r>
      <w:r w:rsidRPr="00014C4D">
        <w:rPr>
          <w:rtl/>
        </w:rPr>
        <w:t xml:space="preserve"> </w:t>
      </w:r>
      <w:r w:rsidRPr="00014C4D">
        <w:rPr>
          <w:rFonts w:hint="eastAsia"/>
          <w:rtl/>
        </w:rPr>
        <w:t>המקומית</w:t>
      </w:r>
      <w:r w:rsidRPr="00014C4D">
        <w:rPr>
          <w:rtl/>
        </w:rPr>
        <w:t xml:space="preserve"> </w:t>
      </w:r>
      <w:r w:rsidRPr="00014C4D">
        <w:rPr>
          <w:rFonts w:hint="eastAsia"/>
          <w:rtl/>
        </w:rPr>
        <w:t>ביענה</w:t>
      </w:r>
      <w:r w:rsidRPr="00014C4D">
        <w:rPr>
          <w:rtl/>
        </w:rPr>
        <w:t xml:space="preserve"> </w:t>
      </w:r>
      <w:r w:rsidRPr="00014C4D">
        <w:rPr>
          <w:rFonts w:hint="eastAsia"/>
          <w:rtl/>
        </w:rPr>
        <w:t>לא</w:t>
      </w:r>
      <w:r w:rsidRPr="00014C4D">
        <w:rPr>
          <w:rtl/>
        </w:rPr>
        <w:t xml:space="preserve"> </w:t>
      </w:r>
      <w:r w:rsidRPr="00014C4D">
        <w:rPr>
          <w:rFonts w:hint="eastAsia"/>
          <w:rtl/>
        </w:rPr>
        <w:t>נמצאו</w:t>
      </w:r>
      <w:r w:rsidRPr="00014C4D">
        <w:rPr>
          <w:rtl/>
        </w:rPr>
        <w:t xml:space="preserve"> </w:t>
      </w:r>
      <w:r w:rsidRPr="00014C4D">
        <w:rPr>
          <w:rFonts w:hint="eastAsia"/>
          <w:rtl/>
        </w:rPr>
        <w:t>ליקויים</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עיריות אשקלון וגבעתיים והמועצה האזורית הגלבוע לא הקפידו על תקינות המקלטים והמרחבים המוגנים במוסדות החינוך שבתחומן כנדרש בנוהל החירום של משרד החינוך; נמצאו ליקויים בתחזוקתם כמו אי-</w:t>
      </w:r>
      <w:r w:rsidRPr="00014C4D">
        <w:rPr>
          <w:b/>
          <w:bCs/>
          <w:rtl/>
        </w:rPr>
        <w:t>סימון החלונות בצבע פולט אור, מחסור בש</w:t>
      </w:r>
      <w:r w:rsidRPr="00014C4D">
        <w:rPr>
          <w:rFonts w:hint="cs"/>
          <w:b/>
          <w:bCs/>
          <w:rtl/>
        </w:rPr>
        <w:t>לטים,</w:t>
      </w:r>
      <w:r w:rsidRPr="00014C4D">
        <w:rPr>
          <w:b/>
          <w:bCs/>
          <w:rtl/>
        </w:rPr>
        <w:t xml:space="preserve"> חוטי חשמל גלויים, מחסור בתאורת חירום, מחסור בערכת עזרה ראשונה</w:t>
      </w:r>
      <w:r w:rsidRPr="00014C4D">
        <w:rPr>
          <w:rFonts w:hint="cs"/>
          <w:b/>
          <w:bCs/>
          <w:rtl/>
        </w:rPr>
        <w:t>,</w:t>
      </w:r>
      <w:r w:rsidRPr="00014C4D">
        <w:rPr>
          <w:b/>
          <w:bCs/>
          <w:rtl/>
        </w:rPr>
        <w:t xml:space="preserve"> </w:t>
      </w:r>
      <w:r w:rsidRPr="00014C4D">
        <w:rPr>
          <w:rFonts w:hint="cs"/>
          <w:b/>
          <w:bCs/>
          <w:rtl/>
        </w:rPr>
        <w:t>ה</w:t>
      </w:r>
      <w:r w:rsidRPr="00014C4D">
        <w:rPr>
          <w:b/>
          <w:bCs/>
          <w:rtl/>
        </w:rPr>
        <w:t xml:space="preserve">מקלט משמש מחסן, יציאת </w:t>
      </w:r>
      <w:r w:rsidRPr="00014C4D">
        <w:rPr>
          <w:rFonts w:hint="cs"/>
          <w:b/>
          <w:bCs/>
          <w:rtl/>
        </w:rPr>
        <w:t>ה</w:t>
      </w:r>
      <w:r w:rsidRPr="00014C4D">
        <w:rPr>
          <w:b/>
          <w:bCs/>
          <w:rtl/>
        </w:rPr>
        <w:t xml:space="preserve">חירום חסומה בציוד, </w:t>
      </w:r>
      <w:r w:rsidRPr="00014C4D">
        <w:rPr>
          <w:rFonts w:hint="cs"/>
          <w:b/>
          <w:bCs/>
          <w:rtl/>
        </w:rPr>
        <w:t>מטפה</w:t>
      </w:r>
      <w:r w:rsidRPr="00014C4D">
        <w:rPr>
          <w:b/>
          <w:bCs/>
          <w:rtl/>
        </w:rPr>
        <w:t xml:space="preserve"> לא</w:t>
      </w:r>
      <w:r w:rsidRPr="00014C4D">
        <w:rPr>
          <w:rFonts w:hint="cs"/>
          <w:b/>
          <w:bCs/>
          <w:rtl/>
        </w:rPr>
        <w:t>-</w:t>
      </w:r>
      <w:r w:rsidRPr="00014C4D">
        <w:rPr>
          <w:b/>
          <w:bCs/>
          <w:rtl/>
        </w:rPr>
        <w:t>תקין,</w:t>
      </w:r>
      <w:r w:rsidRPr="00014C4D">
        <w:rPr>
          <w:rFonts w:hint="cs"/>
          <w:b/>
          <w:bCs/>
          <w:rtl/>
        </w:rPr>
        <w:t xml:space="preserve"> רטיבות במקלט.</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רק </w:t>
      </w:r>
      <w:r w:rsidRPr="00014C4D">
        <w:rPr>
          <w:rFonts w:hint="eastAsia"/>
          <w:b/>
          <w:bCs/>
          <w:rtl/>
        </w:rPr>
        <w:t>לאחר</w:t>
      </w:r>
      <w:r w:rsidRPr="00014C4D">
        <w:rPr>
          <w:b/>
          <w:bCs/>
          <w:rtl/>
        </w:rPr>
        <w:t xml:space="preserve"> ה-7.10.23 </w:t>
      </w:r>
      <w:r w:rsidRPr="00014C4D">
        <w:rPr>
          <w:rFonts w:hint="eastAsia"/>
          <w:b/>
          <w:bCs/>
          <w:rtl/>
        </w:rPr>
        <w:t>ערך</w:t>
      </w:r>
      <w:r w:rsidRPr="00014C4D">
        <w:rPr>
          <w:b/>
          <w:bCs/>
          <w:rtl/>
        </w:rPr>
        <w:t xml:space="preserve"> </w:t>
      </w:r>
      <w:r w:rsidRPr="00014C4D">
        <w:rPr>
          <w:rFonts w:hint="eastAsia"/>
          <w:b/>
          <w:bCs/>
          <w:rtl/>
        </w:rPr>
        <w:t>פקע</w:t>
      </w:r>
      <w:r w:rsidRPr="00014C4D">
        <w:rPr>
          <w:b/>
          <w:bCs/>
          <w:rtl/>
        </w:rPr>
        <w:t>"ר ביקורת</w:t>
      </w:r>
      <w:r w:rsidRPr="00014C4D">
        <w:rPr>
          <w:rFonts w:hint="cs"/>
          <w:b/>
          <w:bCs/>
          <w:rtl/>
        </w:rPr>
        <w:t xml:space="preserve"> בבתי הספר ובגני הילדים שבאשקלון בגבעתיים ובחולון בלבד ואולם הוא לא עשה ביקורת בגלבוע ובביענה בשנים 2021 - 2023.</w:t>
      </w:r>
    </w:p>
    <w:p w:rsidR="00014C4D" w:rsidRPr="00014C4D" w:rsidRDefault="00014C4D" w:rsidP="00014C4D">
      <w:pPr>
        <w:spacing w:line="269" w:lineRule="auto"/>
        <w:rPr>
          <w:b/>
          <w:bCs/>
          <w:rtl/>
        </w:rPr>
      </w:pPr>
      <w:r w:rsidRPr="00014C4D">
        <w:rPr>
          <w:rFonts w:hint="cs"/>
          <w:b/>
          <w:bCs/>
          <w:rtl/>
        </w:rPr>
        <w:lastRenderedPageBreak/>
        <w:t xml:space="preserve">על עיריות אשקלון וגבעתיים והמועצה האזורית הגלבוע לתקן את הליקויים במקלטים ובמרחבים המוגנים במוסדות החינוך בתחומן.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עיריית </w:t>
      </w:r>
      <w:r w:rsidRPr="00014C4D">
        <w:rPr>
          <w:rFonts w:hint="cs"/>
          <w:b/>
          <w:bCs/>
          <w:rtl/>
        </w:rPr>
        <w:t>גבעתיים</w:t>
      </w:r>
      <w:r w:rsidRPr="00014C4D">
        <w:rPr>
          <w:rFonts w:hint="cs"/>
          <w:rtl/>
        </w:rPr>
        <w:t xml:space="preserve"> מסרה בתשובתה כי תחזוקת מקלטי מוסדות החינוך היא כיום שגרת עבודה עירונית מסודרת, לאחר ששיעור המשרה של מנהל מדור המקלטים הוגדל מ-50% למשרה מלאה, והוא מבצע כיום את הביקורות הנדרשות. העירייה מסרה כי כלל הליקויים שנמצאו במקלטי בתי הספר תוקנו, והתחזוקה מתבצעת בהתאם לנוהלי העירייה, הוראות פקע"ר וחוזרי מנכ"ל משרד החינוך.</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משרד החינוך מסר </w:t>
      </w:r>
      <w:r w:rsidRPr="00014C4D">
        <w:rPr>
          <w:rFonts w:hint="cs"/>
          <w:rtl/>
        </w:rPr>
        <w:t xml:space="preserve">בתשובתו </w:t>
      </w:r>
      <w:r w:rsidRPr="00014C4D">
        <w:rPr>
          <w:rtl/>
        </w:rPr>
        <w:t xml:space="preserve">כי </w:t>
      </w:r>
      <w:r w:rsidRPr="00014C4D">
        <w:rPr>
          <w:rFonts w:hint="cs"/>
          <w:rtl/>
        </w:rPr>
        <w:t>ה</w:t>
      </w:r>
      <w:r w:rsidRPr="00014C4D">
        <w:rPr>
          <w:rtl/>
        </w:rPr>
        <w:t>תחזוק</w:t>
      </w:r>
      <w:r w:rsidRPr="00014C4D">
        <w:rPr>
          <w:rFonts w:hint="cs"/>
          <w:rtl/>
        </w:rPr>
        <w:t>ה</w:t>
      </w:r>
      <w:r w:rsidRPr="00014C4D">
        <w:rPr>
          <w:rtl/>
        </w:rPr>
        <w:t xml:space="preserve"> ו</w:t>
      </w:r>
      <w:r w:rsidRPr="00014C4D">
        <w:rPr>
          <w:rFonts w:hint="cs"/>
          <w:rtl/>
        </w:rPr>
        <w:t>ה</w:t>
      </w:r>
      <w:r w:rsidRPr="00014C4D">
        <w:rPr>
          <w:rtl/>
        </w:rPr>
        <w:t xml:space="preserve">פינוי </w:t>
      </w:r>
      <w:r w:rsidRPr="00014C4D">
        <w:rPr>
          <w:rFonts w:hint="cs"/>
          <w:rtl/>
        </w:rPr>
        <w:t xml:space="preserve">של </w:t>
      </w:r>
      <w:r w:rsidRPr="00014C4D">
        <w:rPr>
          <w:rtl/>
        </w:rPr>
        <w:t xml:space="preserve">המרחבים המוגנים </w:t>
      </w:r>
      <w:r w:rsidRPr="00014C4D">
        <w:rPr>
          <w:rFonts w:hint="cs"/>
          <w:rtl/>
        </w:rPr>
        <w:t>הם</w:t>
      </w:r>
      <w:r w:rsidRPr="00014C4D">
        <w:rPr>
          <w:rtl/>
        </w:rPr>
        <w:t xml:space="preserve"> באחריות הרשות המקומית. עם זאת, משרד החינוך פועל "לפנים משורת הדין" ומקיים ביקורות יזומות באמצעות </w:t>
      </w:r>
      <w:r w:rsidRPr="00014C4D">
        <w:rPr>
          <w:rFonts w:hint="cs"/>
          <w:rtl/>
        </w:rPr>
        <w:t>קציני הביטחון</w:t>
      </w:r>
      <w:r w:rsidRPr="00014C4D">
        <w:rPr>
          <w:rtl/>
        </w:rPr>
        <w:t xml:space="preserve"> </w:t>
      </w:r>
      <w:r w:rsidRPr="00014C4D">
        <w:rPr>
          <w:rFonts w:hint="cs"/>
          <w:rtl/>
        </w:rPr>
        <w:t xml:space="preserve">של </w:t>
      </w:r>
      <w:r w:rsidRPr="00014C4D">
        <w:rPr>
          <w:rtl/>
        </w:rPr>
        <w:t xml:space="preserve">מוסדות החינוך, </w:t>
      </w:r>
      <w:r w:rsidRPr="00014C4D">
        <w:rPr>
          <w:rFonts w:hint="cs"/>
          <w:rtl/>
        </w:rPr>
        <w:t>כדי ל</w:t>
      </w:r>
      <w:r w:rsidRPr="00014C4D">
        <w:rPr>
          <w:rtl/>
        </w:rPr>
        <w:t>הסב</w:t>
      </w:r>
      <w:r w:rsidRPr="00014C4D">
        <w:rPr>
          <w:rFonts w:hint="cs"/>
          <w:rtl/>
        </w:rPr>
        <w:t xml:space="preserve"> את</w:t>
      </w:r>
      <w:r w:rsidRPr="00014C4D">
        <w:rPr>
          <w:rtl/>
        </w:rPr>
        <w:t xml:space="preserve"> תשומת לב הרשויות </w:t>
      </w:r>
      <w:r w:rsidRPr="00014C4D">
        <w:rPr>
          <w:rFonts w:hint="cs"/>
          <w:rtl/>
        </w:rPr>
        <w:t>המקומיות לצורך בתיקון הל</w:t>
      </w:r>
      <w:r w:rsidRPr="00014C4D">
        <w:rPr>
          <w:rtl/>
        </w:rPr>
        <w:t>יקויים שנמצאו.</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על פקע"ר לפעול כדי לוודא שייערכו ביקורות כשירות של המקלטים במוסדות החינוך ברשויות המקומיות באופן שוטף.</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tl/>
        </w:rPr>
      </w:pPr>
      <w:r w:rsidRPr="00014C4D">
        <w:rPr>
          <w:rFonts w:hint="cs"/>
          <w:rtl/>
        </w:rPr>
        <w:t xml:space="preserve">פקע"ר מסר בתשובתו כי </w:t>
      </w:r>
      <w:r w:rsidRPr="00014C4D">
        <w:rPr>
          <w:rtl/>
        </w:rPr>
        <w:t xml:space="preserve">הנושא </w:t>
      </w:r>
      <w:r w:rsidRPr="00014C4D">
        <w:rPr>
          <w:rFonts w:hint="cs"/>
          <w:rtl/>
        </w:rPr>
        <w:t>הוא</w:t>
      </w:r>
      <w:r w:rsidRPr="00014C4D">
        <w:rPr>
          <w:rtl/>
        </w:rPr>
        <w:t xml:space="preserve"> באחריות הרשות המקומית ומש</w:t>
      </w:r>
      <w:r w:rsidRPr="00014C4D">
        <w:rPr>
          <w:rFonts w:hint="cs"/>
          <w:rtl/>
        </w:rPr>
        <w:t>ר</w:t>
      </w:r>
      <w:r w:rsidRPr="00014C4D">
        <w:rPr>
          <w:rtl/>
        </w:rPr>
        <w:t xml:space="preserve">ד החינוך. </w:t>
      </w:r>
      <w:r w:rsidRPr="00014C4D">
        <w:rPr>
          <w:rFonts w:hint="cs"/>
          <w:rtl/>
        </w:rPr>
        <w:t>פקע"ר אינו</w:t>
      </w:r>
      <w:r w:rsidRPr="00014C4D">
        <w:rPr>
          <w:rtl/>
        </w:rPr>
        <w:t xml:space="preserve"> עורך ביקורות במקלטים של מוסדות ממשלתיים, לרבות במקלטים של משרד החינוך. </w:t>
      </w:r>
      <w:r w:rsidRPr="00014C4D">
        <w:rPr>
          <w:rFonts w:hint="cs"/>
          <w:rtl/>
        </w:rPr>
        <w:t>ה</w:t>
      </w:r>
      <w:r w:rsidRPr="00014C4D">
        <w:rPr>
          <w:rtl/>
        </w:rPr>
        <w:t xml:space="preserve">ביקורות </w:t>
      </w:r>
      <w:r w:rsidRPr="00014C4D">
        <w:rPr>
          <w:rFonts w:hint="cs"/>
          <w:rtl/>
        </w:rPr>
        <w:t xml:space="preserve">שנעשו </w:t>
      </w:r>
      <w:r w:rsidRPr="00014C4D">
        <w:rPr>
          <w:rtl/>
        </w:rPr>
        <w:t xml:space="preserve">במהלך המלחמה במקלטים של מוסדות חינוך בוצעו במסגרת סקרי מיגון אשר נעשו במוסדות חינוך רבים ברחבי הארץ במהלך החודשים הראשונים של מלחמת חרבות ברזל ולא </w:t>
      </w:r>
      <w:r w:rsidRPr="00014C4D">
        <w:rPr>
          <w:rFonts w:hint="cs"/>
          <w:rtl/>
        </w:rPr>
        <w:t xml:space="preserve">על פי </w:t>
      </w:r>
      <w:r w:rsidRPr="00014C4D">
        <w:rPr>
          <w:rtl/>
        </w:rPr>
        <w:t xml:space="preserve">מדיניות או כוונה של פקע״ר לבדוק </w:t>
      </w:r>
      <w:r w:rsidRPr="00014C4D">
        <w:rPr>
          <w:rFonts w:hint="cs"/>
          <w:rtl/>
        </w:rPr>
        <w:t>את ה</w:t>
      </w:r>
      <w:r w:rsidRPr="00014C4D">
        <w:rPr>
          <w:rtl/>
        </w:rPr>
        <w:t>כשירות של מקלטים מוסדיים. מטרת הביקורות הי</w:t>
      </w:r>
      <w:r w:rsidRPr="00014C4D">
        <w:rPr>
          <w:rFonts w:hint="cs"/>
          <w:rtl/>
        </w:rPr>
        <w:t>יתה</w:t>
      </w:r>
      <w:r w:rsidRPr="00014C4D">
        <w:rPr>
          <w:rtl/>
        </w:rPr>
        <w:t xml:space="preserve"> לסייע לרשות המקומית לבחון אם מוסדות החינוך עומדים במדיניות ההתגוננות שהייתה בתוקף באותה העת.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משרד מבקר המדינה </w:t>
      </w:r>
      <w:r w:rsidRPr="00014C4D">
        <w:rPr>
          <w:rFonts w:hint="eastAsia"/>
          <w:b/>
          <w:bCs/>
          <w:rtl/>
        </w:rPr>
        <w:t>מעיר</w:t>
      </w:r>
      <w:r w:rsidRPr="00014C4D">
        <w:rPr>
          <w:rFonts w:hint="cs"/>
          <w:b/>
          <w:bCs/>
          <w:rtl/>
        </w:rPr>
        <w:t xml:space="preserve"> כי </w:t>
      </w:r>
      <w:r w:rsidRPr="00014C4D">
        <w:rPr>
          <w:b/>
          <w:bCs/>
          <w:rtl/>
        </w:rPr>
        <w:t xml:space="preserve">אף </w:t>
      </w:r>
      <w:r w:rsidRPr="00014C4D">
        <w:rPr>
          <w:rFonts w:hint="cs"/>
          <w:b/>
          <w:bCs/>
          <w:rtl/>
        </w:rPr>
        <w:t>ש</w:t>
      </w:r>
      <w:r w:rsidRPr="00014C4D">
        <w:rPr>
          <w:b/>
          <w:bCs/>
          <w:rtl/>
        </w:rPr>
        <w:t>האחריות הישירה לתחזוקת מקלטי מוסדות החינוך מוטלת על הרשויות המקומיות ו</w:t>
      </w:r>
      <w:r w:rsidRPr="00014C4D">
        <w:rPr>
          <w:rFonts w:hint="cs"/>
          <w:b/>
          <w:bCs/>
          <w:rtl/>
        </w:rPr>
        <w:t xml:space="preserve">על </w:t>
      </w:r>
      <w:r w:rsidRPr="00014C4D">
        <w:rPr>
          <w:b/>
          <w:bCs/>
          <w:rtl/>
        </w:rPr>
        <w:t xml:space="preserve">משרד החינוך, </w:t>
      </w:r>
      <w:r w:rsidRPr="00014C4D">
        <w:rPr>
          <w:rFonts w:hint="cs"/>
          <w:b/>
          <w:bCs/>
          <w:rtl/>
        </w:rPr>
        <w:t>נדרשת גם פעילות יזומה</w:t>
      </w:r>
      <w:r w:rsidRPr="00014C4D">
        <w:rPr>
          <w:b/>
          <w:bCs/>
          <w:rtl/>
        </w:rPr>
        <w:t xml:space="preserve"> </w:t>
      </w:r>
      <w:r w:rsidRPr="00014C4D">
        <w:rPr>
          <w:rFonts w:hint="cs"/>
          <w:b/>
          <w:bCs/>
          <w:rtl/>
        </w:rPr>
        <w:t>של</w:t>
      </w:r>
      <w:r w:rsidRPr="00014C4D">
        <w:rPr>
          <w:b/>
          <w:bCs/>
          <w:rtl/>
        </w:rPr>
        <w:t xml:space="preserve"> פקע״ר כדי לוודא שהרשויות המקומיות ומשרד החינוך </w:t>
      </w:r>
      <w:r w:rsidRPr="00014C4D">
        <w:rPr>
          <w:rFonts w:hint="cs"/>
          <w:b/>
          <w:bCs/>
          <w:rtl/>
        </w:rPr>
        <w:t>ממלאים</w:t>
      </w:r>
      <w:r w:rsidRPr="00014C4D">
        <w:rPr>
          <w:b/>
          <w:bCs/>
          <w:rtl/>
        </w:rPr>
        <w:t xml:space="preserve"> את חוב</w:t>
      </w:r>
      <w:r w:rsidRPr="00014C4D">
        <w:rPr>
          <w:rFonts w:hint="cs"/>
          <w:b/>
          <w:bCs/>
          <w:rtl/>
        </w:rPr>
        <w:t>ת</w:t>
      </w:r>
      <w:r w:rsidRPr="00014C4D">
        <w:rPr>
          <w:b/>
          <w:bCs/>
          <w:rtl/>
        </w:rPr>
        <w:t>ם</w:t>
      </w:r>
      <w:r w:rsidRPr="00014C4D">
        <w:rPr>
          <w:rFonts w:hint="cs"/>
          <w:b/>
          <w:bCs/>
          <w:rtl/>
        </w:rPr>
        <w:t>,</w:t>
      </w:r>
      <w:r w:rsidRPr="00014C4D">
        <w:rPr>
          <w:b/>
          <w:bCs/>
          <w:rtl/>
        </w:rPr>
        <w:t xml:space="preserve"> וכי המקלטים במוסדות חינוך כשירים, נגישים ובטוחים לשימוש.</w:t>
      </w:r>
    </w:p>
    <w:p w:rsidR="00014C4D" w:rsidRPr="00014C4D" w:rsidRDefault="00014C4D" w:rsidP="00014C4D">
      <w:pPr>
        <w:spacing w:line="269" w:lineRule="auto"/>
        <w:rPr>
          <w:b/>
          <w:bCs/>
          <w:rtl/>
        </w:rPr>
      </w:pPr>
    </w:p>
    <w:p w:rsidR="00014C4D" w:rsidRPr="00014C4D" w:rsidRDefault="00014C4D" w:rsidP="00014C4D">
      <w:pPr>
        <w:bidi w:val="0"/>
        <w:spacing w:after="200" w:line="276" w:lineRule="auto"/>
        <w:rPr>
          <w:rFonts w:eastAsiaTheme="majorEastAsia"/>
          <w:bCs/>
          <w:szCs w:val="32"/>
          <w:rtl/>
        </w:rPr>
      </w:pPr>
      <w:r w:rsidRPr="00014C4D">
        <w:rPr>
          <w:rtl/>
        </w:rPr>
        <w:br w:type="page"/>
      </w:r>
    </w:p>
    <w:p w:rsidR="00014C4D" w:rsidRPr="00014C4D" w:rsidRDefault="00014C4D" w:rsidP="00014C4D">
      <w:pPr>
        <w:keepNext/>
        <w:keepLines/>
        <w:spacing w:before="120" w:line="269" w:lineRule="auto"/>
        <w:jc w:val="center"/>
        <w:outlineLvl w:val="1"/>
        <w:rPr>
          <w:rFonts w:eastAsiaTheme="majorEastAsia"/>
          <w:bCs/>
          <w:szCs w:val="32"/>
          <w:rtl/>
        </w:rPr>
      </w:pPr>
      <w:r w:rsidRPr="00014C4D">
        <w:rPr>
          <w:rFonts w:eastAsiaTheme="majorEastAsia" w:hint="cs"/>
          <w:bCs/>
          <w:szCs w:val="32"/>
          <w:rtl/>
        </w:rPr>
        <w:lastRenderedPageBreak/>
        <w:t xml:space="preserve">תקציבים והוצאות למיגון </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bCs/>
          <w:szCs w:val="28"/>
          <w:u w:val="single"/>
          <w:rtl/>
        </w:rPr>
        <w:t xml:space="preserve">תוכנית רב-שנתית לטיפול במוכנות העורף </w:t>
      </w:r>
      <w:r w:rsidRPr="00014C4D">
        <w:rPr>
          <w:rFonts w:eastAsia="Times New Roman" w:hint="cs"/>
          <w:bCs/>
          <w:szCs w:val="28"/>
          <w:u w:val="single"/>
          <w:rtl/>
        </w:rPr>
        <w:t>ב</w:t>
      </w:r>
      <w:r w:rsidRPr="00014C4D">
        <w:rPr>
          <w:rFonts w:eastAsia="Times New Roman"/>
          <w:bCs/>
          <w:szCs w:val="28"/>
          <w:u w:val="single"/>
          <w:rtl/>
        </w:rPr>
        <w:t>חירום</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tl/>
        </w:rPr>
      </w:pPr>
      <w:r w:rsidRPr="00014C4D">
        <w:rPr>
          <w:rFonts w:hint="cs"/>
          <w:rtl/>
          <w:lang w:eastAsia="he-IL"/>
        </w:rPr>
        <w:t xml:space="preserve">ביולי 2018 החליטה </w:t>
      </w:r>
      <w:r w:rsidRPr="00014C4D">
        <w:rPr>
          <w:rtl/>
          <w:lang w:eastAsia="he-IL"/>
        </w:rPr>
        <w:t>ועדת השרים לענייני ביטחון לאומי (</w:t>
      </w:r>
      <w:r w:rsidRPr="00014C4D">
        <w:rPr>
          <w:rFonts w:hint="cs"/>
          <w:rtl/>
          <w:lang w:eastAsia="he-IL"/>
        </w:rPr>
        <w:t>להלן - הקבינט המדיני-ביטחוני או הקבינט) להקים צוות משותף של המטה לביטחון לאומי (להלן - המל"ל), משרד הביטחון (להלן - משהב"ט), משרד האוצר, המשרד לביטחון פנים (כיום המשרד לביטחון לאומי, להלן - בט"פ) ופקע"ר (להלן - הצוות הבין-משרדי). לדיוני הצוות יצורפו נציגים ממשרד הבינוי והשיכון וממשרד האנרגיה במעמד משקיפים. בהחלטה נקבע כי הצוות</w:t>
      </w:r>
      <w:r w:rsidRPr="00014C4D">
        <w:rPr>
          <w:rtl/>
          <w:lang w:eastAsia="he-IL"/>
        </w:rPr>
        <w:t xml:space="preserve"> יגבש בתוך 60 יום תוכנית רב-שנתית לשנים </w:t>
      </w:r>
      <w:r w:rsidRPr="00014C4D">
        <w:rPr>
          <w:rFonts w:hint="cs"/>
          <w:rtl/>
          <w:lang w:eastAsia="he-IL"/>
        </w:rPr>
        <w:t>2019 - 2030 למיגון</w:t>
      </w:r>
      <w:r w:rsidRPr="00014C4D">
        <w:rPr>
          <w:rtl/>
          <w:lang w:eastAsia="he-IL"/>
        </w:rPr>
        <w:t xml:space="preserve"> </w:t>
      </w:r>
      <w:r w:rsidRPr="00014C4D">
        <w:rPr>
          <w:rFonts w:hint="cs"/>
          <w:rtl/>
          <w:lang w:eastAsia="he-IL"/>
        </w:rPr>
        <w:t>העורף</w:t>
      </w:r>
      <w:r w:rsidRPr="00014C4D">
        <w:rPr>
          <w:rtl/>
          <w:lang w:eastAsia="he-IL"/>
        </w:rPr>
        <w:t xml:space="preserve"> </w:t>
      </w:r>
      <w:r w:rsidRPr="00014C4D">
        <w:rPr>
          <w:rFonts w:hint="cs"/>
          <w:rtl/>
          <w:lang w:eastAsia="he-IL"/>
        </w:rPr>
        <w:t>ולשיפור</w:t>
      </w:r>
      <w:r w:rsidRPr="00014C4D">
        <w:rPr>
          <w:rtl/>
          <w:lang w:eastAsia="he-IL"/>
        </w:rPr>
        <w:t xml:space="preserve"> </w:t>
      </w:r>
      <w:r w:rsidRPr="00014C4D">
        <w:rPr>
          <w:rFonts w:hint="cs"/>
          <w:rtl/>
          <w:lang w:eastAsia="he-IL"/>
        </w:rPr>
        <w:t>המוכנות</w:t>
      </w:r>
      <w:r w:rsidRPr="00014C4D">
        <w:rPr>
          <w:rtl/>
          <w:lang w:eastAsia="he-IL"/>
        </w:rPr>
        <w:t xml:space="preserve"> </w:t>
      </w:r>
      <w:r w:rsidRPr="00014C4D">
        <w:rPr>
          <w:rFonts w:hint="cs"/>
          <w:rtl/>
          <w:lang w:eastAsia="he-IL"/>
        </w:rPr>
        <w:t>לרעידות</w:t>
      </w:r>
      <w:r w:rsidRPr="00014C4D">
        <w:rPr>
          <w:rtl/>
          <w:lang w:eastAsia="he-IL"/>
        </w:rPr>
        <w:t xml:space="preserve"> </w:t>
      </w:r>
      <w:r w:rsidRPr="00014C4D">
        <w:rPr>
          <w:rFonts w:hint="cs"/>
          <w:rtl/>
          <w:lang w:eastAsia="he-IL"/>
        </w:rPr>
        <w:t xml:space="preserve">אדמה </w:t>
      </w:r>
      <w:r w:rsidRPr="00014C4D">
        <w:rPr>
          <w:rtl/>
          <w:lang w:eastAsia="he-IL"/>
        </w:rPr>
        <w:t xml:space="preserve">בהיקף של </w:t>
      </w:r>
      <w:r w:rsidRPr="00014C4D">
        <w:rPr>
          <w:rFonts w:hint="cs"/>
          <w:rtl/>
          <w:lang w:eastAsia="he-IL"/>
        </w:rPr>
        <w:t>5</w:t>
      </w:r>
      <w:r w:rsidRPr="00014C4D">
        <w:rPr>
          <w:rtl/>
          <w:lang w:eastAsia="he-IL"/>
        </w:rPr>
        <w:t xml:space="preserve"> מיליארד ש"ח</w:t>
      </w:r>
      <w:r w:rsidRPr="00014C4D">
        <w:rPr>
          <w:rFonts w:hint="cs"/>
          <w:rtl/>
          <w:lang w:eastAsia="he-IL"/>
        </w:rPr>
        <w:t xml:space="preserve"> (להלן - החלטה ב/302 או תוכנית "מגן הצפון")</w:t>
      </w:r>
      <w:r w:rsidRPr="00014C4D">
        <w:rPr>
          <w:rFonts w:eastAsia="Times New Roman"/>
          <w:vertAlign w:val="superscript"/>
          <w:rtl/>
          <w:lang w:eastAsia="he-IL"/>
        </w:rPr>
        <w:footnoteReference w:id="114"/>
      </w:r>
      <w:r w:rsidRPr="00014C4D">
        <w:rPr>
          <w:rFonts w:hint="cs"/>
          <w:rtl/>
          <w:lang w:eastAsia="he-IL"/>
        </w:rPr>
        <w:t xml:space="preserve">. עוד קבע הקבינט בהחלטה זו כי על </w:t>
      </w:r>
      <w:r w:rsidRPr="00014C4D">
        <w:rPr>
          <w:rFonts w:hint="eastAsia"/>
          <w:rtl/>
          <w:lang w:eastAsia="he-IL"/>
        </w:rPr>
        <w:t>הממונה</w:t>
      </w:r>
      <w:r w:rsidRPr="00014C4D">
        <w:rPr>
          <w:rtl/>
          <w:lang w:eastAsia="he-IL"/>
        </w:rPr>
        <w:t xml:space="preserve"> על התקציבים באוצר ועל מנכ"ל </w:t>
      </w:r>
      <w:r w:rsidRPr="00014C4D">
        <w:rPr>
          <w:rFonts w:hint="eastAsia"/>
          <w:rtl/>
          <w:lang w:eastAsia="he-IL"/>
        </w:rPr>
        <w:t>משהב</w:t>
      </w:r>
      <w:r w:rsidRPr="00014C4D">
        <w:rPr>
          <w:rtl/>
          <w:lang w:eastAsia="he-IL"/>
        </w:rPr>
        <w:t>"ט</w:t>
      </w:r>
      <w:r w:rsidRPr="00014C4D">
        <w:rPr>
          <w:rFonts w:hint="cs"/>
          <w:rtl/>
          <w:lang w:eastAsia="he-IL"/>
        </w:rPr>
        <w:t xml:space="preserve"> להצביע תוך</w:t>
      </w:r>
      <w:r w:rsidRPr="00014C4D">
        <w:rPr>
          <w:rtl/>
          <w:lang w:eastAsia="he-IL"/>
        </w:rPr>
        <w:t xml:space="preserve"> שלושה שבועות על מקור תקציבי </w:t>
      </w:r>
      <w:r w:rsidRPr="00014C4D">
        <w:rPr>
          <w:rFonts w:hint="cs"/>
          <w:rtl/>
          <w:lang w:eastAsia="he-IL"/>
        </w:rPr>
        <w:t>של</w:t>
      </w:r>
      <w:r w:rsidRPr="00014C4D">
        <w:rPr>
          <w:rtl/>
          <w:lang w:eastAsia="he-IL"/>
        </w:rPr>
        <w:t xml:space="preserve"> 500 מיליון ש"ח (כחלק מתקציב </w:t>
      </w:r>
      <w:r w:rsidRPr="00014C4D">
        <w:rPr>
          <w:rFonts w:hint="cs"/>
          <w:rtl/>
          <w:lang w:eastAsia="he-IL"/>
        </w:rPr>
        <w:t>התוכנית</w:t>
      </w:r>
      <w:r w:rsidRPr="00014C4D">
        <w:rPr>
          <w:rtl/>
          <w:lang w:eastAsia="he-IL"/>
        </w:rPr>
        <w:t xml:space="preserve">) </w:t>
      </w:r>
      <w:r w:rsidRPr="00014C4D">
        <w:rPr>
          <w:rFonts w:hint="cs"/>
          <w:rtl/>
        </w:rPr>
        <w:t>לכל אחת מהשנים</w:t>
      </w:r>
      <w:r w:rsidRPr="00014C4D">
        <w:rPr>
          <w:rtl/>
        </w:rPr>
        <w:t xml:space="preserve"> </w:t>
      </w:r>
      <w:r w:rsidRPr="00014C4D">
        <w:rPr>
          <w:rFonts w:hint="cs"/>
          <w:rtl/>
        </w:rPr>
        <w:t xml:space="preserve">2018 - 2019 </w:t>
      </w:r>
      <w:r w:rsidRPr="00014C4D">
        <w:rPr>
          <w:rtl/>
        </w:rPr>
        <w:t xml:space="preserve">"לצורך </w:t>
      </w:r>
      <w:r w:rsidRPr="00014C4D">
        <w:rPr>
          <w:rFonts w:hint="cs"/>
          <w:rtl/>
        </w:rPr>
        <w:t>מיגון</w:t>
      </w:r>
      <w:r w:rsidRPr="00014C4D">
        <w:rPr>
          <w:rtl/>
        </w:rPr>
        <w:t xml:space="preserve"> מוסדות ציבור, מבני מגורים, ומיגון נוסף </w:t>
      </w:r>
      <w:r w:rsidRPr="00014C4D">
        <w:rPr>
          <w:rFonts w:hint="cs"/>
          <w:rtl/>
        </w:rPr>
        <w:t>בהתאם</w:t>
      </w:r>
      <w:r w:rsidRPr="00014C4D">
        <w:rPr>
          <w:rtl/>
        </w:rPr>
        <w:t xml:space="preserve"> </w:t>
      </w:r>
      <w:r w:rsidRPr="00014C4D">
        <w:rPr>
          <w:rFonts w:hint="cs"/>
          <w:rtl/>
        </w:rPr>
        <w:t>לסדרי</w:t>
      </w:r>
      <w:r w:rsidRPr="00014C4D">
        <w:rPr>
          <w:rtl/>
        </w:rPr>
        <w:t xml:space="preserve"> </w:t>
      </w:r>
      <w:r w:rsidRPr="00014C4D">
        <w:rPr>
          <w:rFonts w:hint="cs"/>
          <w:rtl/>
        </w:rPr>
        <w:t>העדיפויות</w:t>
      </w:r>
      <w:r w:rsidRPr="00014C4D">
        <w:rPr>
          <w:rtl/>
        </w:rPr>
        <w:t xml:space="preserve"> </w:t>
      </w:r>
      <w:r w:rsidRPr="00014C4D">
        <w:rPr>
          <w:rFonts w:hint="cs"/>
          <w:rtl/>
        </w:rPr>
        <w:t>של</w:t>
      </w:r>
      <w:r w:rsidRPr="00014C4D">
        <w:rPr>
          <w:rtl/>
        </w:rPr>
        <w:t xml:space="preserve"> </w:t>
      </w:r>
      <w:r w:rsidRPr="00014C4D">
        <w:rPr>
          <w:rFonts w:hint="cs"/>
          <w:rtl/>
        </w:rPr>
        <w:t>פקע</w:t>
      </w:r>
      <w:r w:rsidRPr="00014C4D">
        <w:rPr>
          <w:rtl/>
        </w:rPr>
        <w:t>"ר (ככל שלא יימצא מקור אחר, יבוצע קיצוץ רוחבי בגובה הנדרש)".</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על פי הנתונים שמסר פקע"ר למשרד מבקר המדינה בתשובתו מינואר 2025, להלן ה</w:t>
      </w:r>
      <w:r w:rsidRPr="00014C4D">
        <w:rPr>
          <w:rtl/>
        </w:rPr>
        <w:t>תקציבים שהתקבלו בפקע״ר בפועל בשנים 2024-20</w:t>
      </w:r>
      <w:r w:rsidRPr="00014C4D">
        <w:rPr>
          <w:rFonts w:hint="cs"/>
          <w:rtl/>
        </w:rPr>
        <w:t>19, על פי החלטה ב/302</w:t>
      </w:r>
      <w:r w:rsidRPr="00014C4D">
        <w:rPr>
          <w:rtl/>
        </w:rPr>
        <w:t>:</w:t>
      </w:r>
    </w:p>
    <w:p w:rsidR="00014C4D" w:rsidRPr="00014C4D" w:rsidRDefault="00014C4D" w:rsidP="00014C4D">
      <w:pPr>
        <w:spacing w:line="269" w:lineRule="auto"/>
        <w:rPr>
          <w:rtl/>
        </w:rPr>
      </w:pPr>
    </w:p>
    <w:p w:rsidR="00014C4D" w:rsidRPr="00014C4D" w:rsidRDefault="00014C4D" w:rsidP="00014C4D">
      <w:pPr>
        <w:numPr>
          <w:ilvl w:val="0"/>
          <w:numId w:val="35"/>
        </w:numPr>
        <w:spacing w:after="120" w:line="269" w:lineRule="auto"/>
      </w:pPr>
      <w:r w:rsidRPr="00014C4D">
        <w:rPr>
          <w:rtl/>
        </w:rPr>
        <w:t xml:space="preserve">שנת 2019 </w:t>
      </w:r>
      <w:r w:rsidRPr="00014C4D">
        <w:rPr>
          <w:rFonts w:hint="cs"/>
          <w:rtl/>
        </w:rPr>
        <w:t>-</w:t>
      </w:r>
      <w:r w:rsidRPr="00014C4D">
        <w:rPr>
          <w:rtl/>
        </w:rPr>
        <w:t xml:space="preserve"> התקבלו בפקע</w:t>
      </w:r>
      <w:r w:rsidRPr="00014C4D">
        <w:rPr>
          <w:rFonts w:hint="cs"/>
          <w:rtl/>
        </w:rPr>
        <w:t>"</w:t>
      </w:r>
      <w:r w:rsidRPr="00014C4D">
        <w:rPr>
          <w:rtl/>
        </w:rPr>
        <w:t xml:space="preserve">ר </w:t>
      </w:r>
      <w:r w:rsidRPr="00014C4D">
        <w:rPr>
          <w:rFonts w:hint="cs"/>
          <w:rtl/>
        </w:rPr>
        <w:t>186.6 מיליון ש"ח.</w:t>
      </w:r>
    </w:p>
    <w:p w:rsidR="00014C4D" w:rsidRPr="00014C4D" w:rsidRDefault="00014C4D" w:rsidP="00014C4D">
      <w:pPr>
        <w:numPr>
          <w:ilvl w:val="0"/>
          <w:numId w:val="35"/>
        </w:numPr>
        <w:spacing w:after="120" w:line="269" w:lineRule="auto"/>
      </w:pPr>
      <w:r w:rsidRPr="00014C4D">
        <w:rPr>
          <w:rtl/>
        </w:rPr>
        <w:t>שנת</w:t>
      </w:r>
      <w:r w:rsidRPr="00014C4D">
        <w:rPr>
          <w:rFonts w:hint="cs"/>
          <w:rtl/>
        </w:rPr>
        <w:t xml:space="preserve"> </w:t>
      </w:r>
      <w:r w:rsidRPr="00014C4D">
        <w:rPr>
          <w:rtl/>
        </w:rPr>
        <w:t>2020</w:t>
      </w:r>
      <w:r w:rsidRPr="00014C4D">
        <w:rPr>
          <w:rFonts w:hint="cs"/>
          <w:rtl/>
        </w:rPr>
        <w:t xml:space="preserve"> -</w:t>
      </w:r>
      <w:r w:rsidRPr="00014C4D">
        <w:rPr>
          <w:rtl/>
        </w:rPr>
        <w:t xml:space="preserve"> לא התקבלו תקציבים.</w:t>
      </w:r>
    </w:p>
    <w:p w:rsidR="00014C4D" w:rsidRPr="00014C4D" w:rsidRDefault="00014C4D" w:rsidP="00014C4D">
      <w:pPr>
        <w:numPr>
          <w:ilvl w:val="0"/>
          <w:numId w:val="35"/>
        </w:numPr>
        <w:spacing w:after="120" w:line="269" w:lineRule="auto"/>
      </w:pPr>
      <w:r w:rsidRPr="00014C4D">
        <w:rPr>
          <w:rFonts w:hint="cs"/>
          <w:rtl/>
        </w:rPr>
        <w:t>שנת 2021 - לא התקבלו תקציבים.</w:t>
      </w:r>
    </w:p>
    <w:p w:rsidR="00014C4D" w:rsidRPr="00014C4D" w:rsidRDefault="00014C4D" w:rsidP="00014C4D">
      <w:pPr>
        <w:numPr>
          <w:ilvl w:val="0"/>
          <w:numId w:val="35"/>
        </w:numPr>
        <w:spacing w:after="120" w:line="269" w:lineRule="auto"/>
      </w:pPr>
      <w:r w:rsidRPr="00014C4D">
        <w:rPr>
          <w:rtl/>
        </w:rPr>
        <w:t>שנת 2022 - התקבלו בפקע״ר 250 מ</w:t>
      </w:r>
      <w:r w:rsidRPr="00014C4D">
        <w:rPr>
          <w:rFonts w:hint="cs"/>
          <w:rtl/>
        </w:rPr>
        <w:t xml:space="preserve">יליון </w:t>
      </w:r>
      <w:r w:rsidRPr="00014C4D">
        <w:rPr>
          <w:rtl/>
        </w:rPr>
        <w:t>ש״ח.</w:t>
      </w:r>
    </w:p>
    <w:p w:rsidR="00014C4D" w:rsidRPr="00014C4D" w:rsidRDefault="00014C4D" w:rsidP="00014C4D">
      <w:pPr>
        <w:numPr>
          <w:ilvl w:val="0"/>
          <w:numId w:val="35"/>
        </w:numPr>
        <w:spacing w:after="120" w:line="269" w:lineRule="auto"/>
        <w:rPr>
          <w:rtl/>
        </w:rPr>
      </w:pPr>
      <w:r w:rsidRPr="00014C4D">
        <w:rPr>
          <w:rtl/>
        </w:rPr>
        <w:t>שנת 2023 - התקבלו בפקע״</w:t>
      </w:r>
      <w:r w:rsidRPr="00014C4D">
        <w:rPr>
          <w:rFonts w:hint="cs"/>
          <w:rtl/>
        </w:rPr>
        <w:t>ר</w:t>
      </w:r>
      <w:r w:rsidRPr="00014C4D">
        <w:rPr>
          <w:rtl/>
        </w:rPr>
        <w:t xml:space="preserve"> </w:t>
      </w:r>
      <w:r w:rsidRPr="00014C4D">
        <w:rPr>
          <w:rFonts w:hint="cs"/>
          <w:rtl/>
        </w:rPr>
        <w:t>100 מיליון ש"ח</w:t>
      </w:r>
      <w:r w:rsidRPr="00014C4D">
        <w:rPr>
          <w:rtl/>
        </w:rPr>
        <w:t>.</w:t>
      </w:r>
    </w:p>
    <w:p w:rsidR="00014C4D" w:rsidRPr="00014C4D" w:rsidRDefault="00014C4D" w:rsidP="00014C4D">
      <w:pPr>
        <w:numPr>
          <w:ilvl w:val="0"/>
          <w:numId w:val="35"/>
        </w:numPr>
        <w:spacing w:after="120" w:line="269" w:lineRule="auto"/>
      </w:pPr>
      <w:r w:rsidRPr="00014C4D">
        <w:rPr>
          <w:rtl/>
        </w:rPr>
        <w:t xml:space="preserve">שנת </w:t>
      </w:r>
      <w:r w:rsidRPr="00014C4D">
        <w:rPr>
          <w:rFonts w:hint="cs"/>
          <w:rtl/>
        </w:rPr>
        <w:t>2024</w:t>
      </w:r>
      <w:r w:rsidRPr="00014C4D">
        <w:rPr>
          <w:rtl/>
        </w:rPr>
        <w:t xml:space="preserve"> - התקבלו בפקע״ר</w:t>
      </w:r>
      <w:r w:rsidRPr="00014C4D">
        <w:rPr>
          <w:rFonts w:hint="cs"/>
          <w:rtl/>
        </w:rPr>
        <w:t xml:space="preserve"> 869.4 מיליון ש"ח למטרות אלה:</w:t>
      </w:r>
    </w:p>
    <w:p w:rsidR="00014C4D" w:rsidRPr="00014C4D" w:rsidRDefault="00014C4D" w:rsidP="00014C4D">
      <w:pPr>
        <w:numPr>
          <w:ilvl w:val="1"/>
          <w:numId w:val="35"/>
        </w:numPr>
        <w:spacing w:after="120" w:line="269" w:lineRule="auto"/>
      </w:pPr>
      <w:r w:rsidRPr="00014C4D">
        <w:rPr>
          <w:rtl/>
        </w:rPr>
        <w:t>449.4 מ</w:t>
      </w:r>
      <w:r w:rsidRPr="00014C4D">
        <w:rPr>
          <w:rFonts w:hint="cs"/>
          <w:rtl/>
        </w:rPr>
        <w:t xml:space="preserve">יליון </w:t>
      </w:r>
      <w:r w:rsidRPr="00014C4D">
        <w:rPr>
          <w:rtl/>
        </w:rPr>
        <w:t>ש״ח עבור השלמת תקציב לפרויקט השלמת המיגון בק״מ הראשון מגבול הצפון.</w:t>
      </w:r>
    </w:p>
    <w:p w:rsidR="00014C4D" w:rsidRPr="00014C4D" w:rsidRDefault="00014C4D" w:rsidP="00014C4D">
      <w:pPr>
        <w:numPr>
          <w:ilvl w:val="1"/>
          <w:numId w:val="35"/>
        </w:numPr>
        <w:spacing w:after="120" w:line="269" w:lineRule="auto"/>
      </w:pPr>
      <w:r w:rsidRPr="00014C4D">
        <w:rPr>
          <w:rtl/>
        </w:rPr>
        <w:t>5 מ</w:t>
      </w:r>
      <w:r w:rsidRPr="00014C4D">
        <w:rPr>
          <w:rFonts w:hint="cs"/>
          <w:rtl/>
        </w:rPr>
        <w:t xml:space="preserve">יליון </w:t>
      </w:r>
      <w:r w:rsidRPr="00014C4D">
        <w:rPr>
          <w:rtl/>
        </w:rPr>
        <w:t>ש״ח עבור רכש והצבת מיגוניות.</w:t>
      </w:r>
    </w:p>
    <w:p w:rsidR="00014C4D" w:rsidRPr="00014C4D" w:rsidRDefault="00014C4D" w:rsidP="00014C4D">
      <w:pPr>
        <w:numPr>
          <w:ilvl w:val="1"/>
          <w:numId w:val="35"/>
        </w:numPr>
        <w:spacing w:after="120" w:line="269" w:lineRule="auto"/>
      </w:pPr>
      <w:r w:rsidRPr="00014C4D">
        <w:rPr>
          <w:rFonts w:hint="cs"/>
          <w:rtl/>
        </w:rPr>
        <w:t xml:space="preserve">37 </w:t>
      </w:r>
      <w:r w:rsidRPr="00014C4D">
        <w:rPr>
          <w:rtl/>
        </w:rPr>
        <w:t>מ</w:t>
      </w:r>
      <w:r w:rsidRPr="00014C4D">
        <w:rPr>
          <w:rFonts w:hint="cs"/>
          <w:rtl/>
        </w:rPr>
        <w:t xml:space="preserve">יליון </w:t>
      </w:r>
      <w:r w:rsidRPr="00014C4D">
        <w:rPr>
          <w:rtl/>
        </w:rPr>
        <w:t>ש״ח</w:t>
      </w:r>
      <w:r w:rsidRPr="00014C4D">
        <w:rPr>
          <w:rFonts w:hint="cs"/>
          <w:rtl/>
        </w:rPr>
        <w:t xml:space="preserve"> </w:t>
      </w:r>
      <w:r w:rsidRPr="00014C4D">
        <w:rPr>
          <w:rtl/>
        </w:rPr>
        <w:t>עבור</w:t>
      </w:r>
      <w:r w:rsidRPr="00014C4D">
        <w:rPr>
          <w:rFonts w:hint="cs"/>
          <w:rtl/>
        </w:rPr>
        <w:t xml:space="preserve"> </w:t>
      </w:r>
      <w:r w:rsidRPr="00014C4D">
        <w:rPr>
          <w:rtl/>
        </w:rPr>
        <w:t>מיגון</w:t>
      </w:r>
      <w:r w:rsidRPr="00014C4D">
        <w:rPr>
          <w:rFonts w:hint="cs"/>
          <w:rtl/>
        </w:rPr>
        <w:t xml:space="preserve"> </w:t>
      </w:r>
      <w:r w:rsidRPr="00014C4D">
        <w:rPr>
          <w:rtl/>
        </w:rPr>
        <w:t>מוסדות</w:t>
      </w:r>
      <w:r w:rsidRPr="00014C4D">
        <w:rPr>
          <w:rFonts w:hint="cs"/>
          <w:rtl/>
        </w:rPr>
        <w:t xml:space="preserve"> </w:t>
      </w:r>
      <w:r w:rsidRPr="00014C4D">
        <w:rPr>
          <w:rtl/>
        </w:rPr>
        <w:t>חינוך,</w:t>
      </w:r>
      <w:r w:rsidRPr="00014C4D">
        <w:rPr>
          <w:rFonts w:hint="cs"/>
          <w:rtl/>
        </w:rPr>
        <w:t xml:space="preserve"> </w:t>
      </w:r>
      <w:r w:rsidRPr="00014C4D">
        <w:rPr>
          <w:rtl/>
        </w:rPr>
        <w:t>בריאות</w:t>
      </w:r>
      <w:r w:rsidRPr="00014C4D">
        <w:rPr>
          <w:rFonts w:hint="cs"/>
          <w:rtl/>
        </w:rPr>
        <w:t xml:space="preserve"> </w:t>
      </w:r>
      <w:r w:rsidRPr="00014C4D">
        <w:rPr>
          <w:rtl/>
        </w:rPr>
        <w:t>ורווחה</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על פי הנתונים שמסר פקע"ר למשרד מבקר המדינה בתשובתו מינואר 2025, להלן </w:t>
      </w:r>
      <w:r w:rsidRPr="00014C4D">
        <w:rPr>
          <w:rtl/>
        </w:rPr>
        <w:t xml:space="preserve">התקציבים שמימש פקע״ר באמצעות </w:t>
      </w:r>
      <w:r w:rsidRPr="00014C4D">
        <w:rPr>
          <w:rFonts w:hint="cs"/>
          <w:rtl/>
        </w:rPr>
        <w:t>ה</w:t>
      </w:r>
      <w:r w:rsidRPr="00014C4D">
        <w:rPr>
          <w:rtl/>
        </w:rPr>
        <w:t>רשויות</w:t>
      </w:r>
      <w:r w:rsidRPr="00014C4D">
        <w:rPr>
          <w:rFonts w:hint="cs"/>
          <w:rtl/>
        </w:rPr>
        <w:t xml:space="preserve"> המקומיות </w:t>
      </w:r>
      <w:r w:rsidRPr="00014C4D">
        <w:rPr>
          <w:rtl/>
        </w:rPr>
        <w:t>בשנים</w:t>
      </w:r>
      <w:r w:rsidRPr="00014C4D">
        <w:rPr>
          <w:rFonts w:hint="cs"/>
          <w:rtl/>
        </w:rPr>
        <w:t xml:space="preserve"> 2022 - 2024</w:t>
      </w:r>
      <w:r w:rsidRPr="00014C4D">
        <w:rPr>
          <w:rtl/>
        </w:rPr>
        <w:t>:</w:t>
      </w:r>
    </w:p>
    <w:p w:rsidR="00014C4D" w:rsidRPr="00014C4D" w:rsidRDefault="00014C4D" w:rsidP="00014C4D">
      <w:pPr>
        <w:spacing w:line="269" w:lineRule="auto"/>
        <w:jc w:val="center"/>
        <w:rPr>
          <w:rtl/>
        </w:rPr>
      </w:pPr>
      <w:r w:rsidRPr="00014C4D">
        <w:rPr>
          <w:rFonts w:hint="cs"/>
          <w:rtl/>
        </w:rPr>
        <w:lastRenderedPageBreak/>
        <w:t>לוח 10:</w:t>
      </w:r>
      <w:r w:rsidRPr="00014C4D">
        <w:rPr>
          <w:rtl/>
        </w:rPr>
        <w:t xml:space="preserve"> </w:t>
      </w:r>
      <w:r w:rsidRPr="00014C4D">
        <w:rPr>
          <w:b/>
          <w:bCs/>
          <w:rtl/>
        </w:rPr>
        <w:t xml:space="preserve">התקציבים שמימש פקע״ר באמצעות </w:t>
      </w:r>
      <w:r w:rsidRPr="00014C4D">
        <w:rPr>
          <w:rFonts w:hint="cs"/>
          <w:b/>
          <w:bCs/>
          <w:rtl/>
        </w:rPr>
        <w:t>ה</w:t>
      </w:r>
      <w:r w:rsidRPr="00014C4D">
        <w:rPr>
          <w:b/>
          <w:bCs/>
          <w:rtl/>
        </w:rPr>
        <w:t>רשויות</w:t>
      </w:r>
      <w:r w:rsidRPr="00014C4D">
        <w:rPr>
          <w:rFonts w:hint="cs"/>
          <w:b/>
          <w:bCs/>
          <w:rtl/>
        </w:rPr>
        <w:t xml:space="preserve"> המקומיות בשנים 2022 - 2024</w:t>
      </w:r>
    </w:p>
    <w:tbl>
      <w:tblPr>
        <w:tblStyle w:val="af5"/>
        <w:bidiVisual/>
        <w:tblW w:w="0" w:type="auto"/>
        <w:jc w:val="center"/>
        <w:tblLook w:val="04A0" w:firstRow="1" w:lastRow="0" w:firstColumn="1" w:lastColumn="0" w:noHBand="0" w:noVBand="1"/>
      </w:tblPr>
      <w:tblGrid>
        <w:gridCol w:w="708"/>
        <w:gridCol w:w="7503"/>
      </w:tblGrid>
      <w:tr w:rsidR="00014C4D" w:rsidRPr="00014C4D" w:rsidTr="00014C4D">
        <w:trPr>
          <w:jc w:val="center"/>
        </w:trPr>
        <w:tc>
          <w:tcPr>
            <w:tcW w:w="708" w:type="dxa"/>
            <w:shd w:val="clear" w:color="auto" w:fill="D9D9D9" w:themeFill="background1" w:themeFillShade="D9"/>
          </w:tcPr>
          <w:p w:rsidR="00014C4D" w:rsidRPr="00014C4D" w:rsidRDefault="00014C4D" w:rsidP="00014C4D">
            <w:pPr>
              <w:spacing w:line="269" w:lineRule="auto"/>
              <w:jc w:val="center"/>
              <w:rPr>
                <w:sz w:val="18"/>
                <w:szCs w:val="22"/>
                <w:rtl/>
              </w:rPr>
            </w:pPr>
            <w:r w:rsidRPr="00014C4D">
              <w:rPr>
                <w:rFonts w:hint="cs"/>
                <w:b/>
                <w:bCs/>
                <w:sz w:val="18"/>
                <w:szCs w:val="22"/>
                <w:rtl/>
              </w:rPr>
              <w:t>השנה</w:t>
            </w:r>
          </w:p>
        </w:tc>
        <w:tc>
          <w:tcPr>
            <w:tcW w:w="7503" w:type="dxa"/>
            <w:shd w:val="clear" w:color="auto" w:fill="D9D9D9" w:themeFill="background1" w:themeFillShade="D9"/>
          </w:tcPr>
          <w:p w:rsidR="00014C4D" w:rsidRPr="00014C4D" w:rsidRDefault="00014C4D" w:rsidP="00014C4D">
            <w:pPr>
              <w:spacing w:line="269" w:lineRule="auto"/>
              <w:jc w:val="center"/>
              <w:rPr>
                <w:sz w:val="18"/>
                <w:szCs w:val="22"/>
                <w:rtl/>
              </w:rPr>
            </w:pPr>
            <w:r w:rsidRPr="00014C4D">
              <w:rPr>
                <w:rFonts w:hint="cs"/>
                <w:b/>
                <w:bCs/>
                <w:sz w:val="18"/>
                <w:szCs w:val="22"/>
                <w:rtl/>
              </w:rPr>
              <w:t>ה</w:t>
            </w:r>
            <w:r w:rsidRPr="00014C4D">
              <w:rPr>
                <w:b/>
                <w:bCs/>
                <w:sz w:val="18"/>
                <w:szCs w:val="22"/>
                <w:rtl/>
              </w:rPr>
              <w:t>מימ</w:t>
            </w:r>
            <w:r w:rsidRPr="00014C4D">
              <w:rPr>
                <w:rFonts w:hint="cs"/>
                <w:b/>
                <w:bCs/>
                <w:sz w:val="18"/>
                <w:szCs w:val="22"/>
                <w:rtl/>
              </w:rPr>
              <w:t>ו</w:t>
            </w:r>
            <w:r w:rsidRPr="00014C4D">
              <w:rPr>
                <w:b/>
                <w:bCs/>
                <w:sz w:val="18"/>
                <w:szCs w:val="22"/>
                <w:rtl/>
              </w:rPr>
              <w:t>ש</w:t>
            </w:r>
          </w:p>
        </w:tc>
      </w:tr>
      <w:tr w:rsidR="00014C4D" w:rsidRPr="00014C4D" w:rsidTr="00014C4D">
        <w:trPr>
          <w:jc w:val="center"/>
        </w:trPr>
        <w:tc>
          <w:tcPr>
            <w:tcW w:w="708" w:type="dxa"/>
          </w:tcPr>
          <w:p w:rsidR="00014C4D" w:rsidRPr="00014C4D" w:rsidRDefault="00014C4D" w:rsidP="00014C4D">
            <w:pPr>
              <w:spacing w:line="269" w:lineRule="auto"/>
              <w:rPr>
                <w:sz w:val="18"/>
                <w:szCs w:val="22"/>
                <w:rtl/>
              </w:rPr>
            </w:pPr>
            <w:r w:rsidRPr="00014C4D">
              <w:rPr>
                <w:rFonts w:hint="cs"/>
                <w:sz w:val="18"/>
                <w:szCs w:val="22"/>
                <w:rtl/>
              </w:rPr>
              <w:t>2022</w:t>
            </w:r>
          </w:p>
        </w:tc>
        <w:tc>
          <w:tcPr>
            <w:tcW w:w="7503" w:type="dxa"/>
          </w:tcPr>
          <w:p w:rsidR="00014C4D" w:rsidRPr="00014C4D" w:rsidRDefault="00014C4D" w:rsidP="00014C4D">
            <w:pPr>
              <w:spacing w:line="269" w:lineRule="auto"/>
              <w:rPr>
                <w:sz w:val="18"/>
                <w:szCs w:val="22"/>
                <w:rtl/>
              </w:rPr>
            </w:pPr>
            <w:r w:rsidRPr="00014C4D">
              <w:rPr>
                <w:sz w:val="18"/>
                <w:szCs w:val="22"/>
                <w:rtl/>
              </w:rPr>
              <w:t xml:space="preserve">בניית גני ילדים </w:t>
            </w:r>
            <w:r w:rsidRPr="00014C4D">
              <w:rPr>
                <w:rFonts w:hint="cs"/>
                <w:sz w:val="18"/>
                <w:szCs w:val="22"/>
                <w:rtl/>
              </w:rPr>
              <w:t>-</w:t>
            </w:r>
            <w:r w:rsidRPr="00014C4D">
              <w:rPr>
                <w:sz w:val="18"/>
                <w:szCs w:val="22"/>
                <w:rtl/>
              </w:rPr>
              <w:t xml:space="preserve"> </w:t>
            </w:r>
            <w:r w:rsidRPr="00014C4D">
              <w:rPr>
                <w:rFonts w:hint="cs"/>
                <w:sz w:val="18"/>
                <w:szCs w:val="22"/>
                <w:rtl/>
              </w:rPr>
              <w:t>המועצה האזורית</w:t>
            </w:r>
            <w:r w:rsidRPr="00014C4D">
              <w:rPr>
                <w:sz w:val="18"/>
                <w:szCs w:val="22"/>
                <w:rtl/>
              </w:rPr>
              <w:t xml:space="preserve"> </w:t>
            </w:r>
            <w:r w:rsidRPr="00014C4D">
              <w:rPr>
                <w:b/>
                <w:bCs/>
                <w:sz w:val="18"/>
                <w:szCs w:val="22"/>
                <w:rtl/>
              </w:rPr>
              <w:t>שער הנגב</w:t>
            </w:r>
            <w:r w:rsidRPr="00014C4D">
              <w:rPr>
                <w:sz w:val="18"/>
                <w:szCs w:val="22"/>
                <w:rtl/>
              </w:rPr>
              <w:t xml:space="preserve"> </w:t>
            </w:r>
            <w:r w:rsidRPr="00014C4D">
              <w:rPr>
                <w:rFonts w:hint="cs"/>
                <w:sz w:val="18"/>
                <w:szCs w:val="22"/>
                <w:rtl/>
              </w:rPr>
              <w:t xml:space="preserve">- </w:t>
            </w:r>
            <w:r w:rsidRPr="00014C4D">
              <w:rPr>
                <w:sz w:val="18"/>
                <w:szCs w:val="22"/>
                <w:rtl/>
              </w:rPr>
              <w:t>21.77 מ</w:t>
            </w:r>
            <w:r w:rsidRPr="00014C4D">
              <w:rPr>
                <w:rFonts w:hint="cs"/>
                <w:sz w:val="18"/>
                <w:szCs w:val="22"/>
                <w:rtl/>
              </w:rPr>
              <w:t xml:space="preserve">יליון </w:t>
            </w:r>
            <w:r w:rsidRPr="00014C4D">
              <w:rPr>
                <w:sz w:val="18"/>
                <w:szCs w:val="22"/>
                <w:rtl/>
              </w:rPr>
              <w:t>ש"ח</w:t>
            </w:r>
            <w:r w:rsidRPr="00014C4D">
              <w:rPr>
                <w:rFonts w:hint="cs"/>
                <w:sz w:val="18"/>
                <w:szCs w:val="22"/>
                <w:rtl/>
              </w:rPr>
              <w:t xml:space="preserve">; </w:t>
            </w:r>
            <w:r w:rsidRPr="00014C4D">
              <w:rPr>
                <w:sz w:val="18"/>
                <w:szCs w:val="22"/>
                <w:rtl/>
              </w:rPr>
              <w:t xml:space="preserve">עיריית </w:t>
            </w:r>
            <w:r w:rsidRPr="00014C4D">
              <w:rPr>
                <w:b/>
                <w:bCs/>
                <w:sz w:val="18"/>
                <w:szCs w:val="22"/>
                <w:rtl/>
              </w:rPr>
              <w:t>שדרות</w:t>
            </w:r>
            <w:r w:rsidRPr="00014C4D">
              <w:rPr>
                <w:sz w:val="18"/>
                <w:szCs w:val="22"/>
                <w:rtl/>
              </w:rPr>
              <w:t xml:space="preserve"> </w:t>
            </w:r>
            <w:r w:rsidRPr="00014C4D">
              <w:rPr>
                <w:rFonts w:hint="cs"/>
                <w:sz w:val="18"/>
                <w:szCs w:val="22"/>
                <w:rtl/>
              </w:rPr>
              <w:t xml:space="preserve">- </w:t>
            </w:r>
            <w:r w:rsidRPr="00014C4D">
              <w:rPr>
                <w:sz w:val="18"/>
                <w:szCs w:val="22"/>
                <w:rtl/>
              </w:rPr>
              <w:t>24.41 מ</w:t>
            </w:r>
            <w:r w:rsidRPr="00014C4D">
              <w:rPr>
                <w:rFonts w:hint="cs"/>
                <w:sz w:val="18"/>
                <w:szCs w:val="22"/>
                <w:rtl/>
              </w:rPr>
              <w:t xml:space="preserve">יליון </w:t>
            </w:r>
            <w:r w:rsidRPr="00014C4D">
              <w:rPr>
                <w:sz w:val="18"/>
                <w:szCs w:val="22"/>
                <w:rtl/>
              </w:rPr>
              <w:t>ש׳׳ח.</w:t>
            </w:r>
          </w:p>
          <w:p w:rsidR="00014C4D" w:rsidRPr="00014C4D" w:rsidRDefault="00014C4D" w:rsidP="00014C4D">
            <w:pPr>
              <w:spacing w:line="269" w:lineRule="auto"/>
              <w:rPr>
                <w:sz w:val="18"/>
                <w:szCs w:val="22"/>
                <w:rtl/>
              </w:rPr>
            </w:pPr>
            <w:r w:rsidRPr="00014C4D">
              <w:rPr>
                <w:sz w:val="18"/>
                <w:szCs w:val="22"/>
                <w:rtl/>
              </w:rPr>
              <w:t xml:space="preserve">שיקום מקלטים פרטיים משותפים </w:t>
            </w:r>
            <w:r w:rsidRPr="00014C4D">
              <w:rPr>
                <w:rFonts w:hint="cs"/>
                <w:sz w:val="18"/>
                <w:szCs w:val="22"/>
                <w:rtl/>
              </w:rPr>
              <w:t xml:space="preserve">- </w:t>
            </w:r>
            <w:r w:rsidRPr="00014C4D">
              <w:rPr>
                <w:sz w:val="18"/>
                <w:szCs w:val="22"/>
                <w:rtl/>
              </w:rPr>
              <w:t>עירי</w:t>
            </w:r>
            <w:r w:rsidRPr="00014C4D">
              <w:rPr>
                <w:rFonts w:hint="cs"/>
                <w:sz w:val="18"/>
                <w:szCs w:val="22"/>
                <w:rtl/>
              </w:rPr>
              <w:t>י</w:t>
            </w:r>
            <w:r w:rsidRPr="00014C4D">
              <w:rPr>
                <w:sz w:val="18"/>
                <w:szCs w:val="22"/>
                <w:rtl/>
              </w:rPr>
              <w:t xml:space="preserve">ת </w:t>
            </w:r>
            <w:r w:rsidRPr="00014C4D">
              <w:rPr>
                <w:b/>
                <w:bCs/>
                <w:sz w:val="18"/>
                <w:szCs w:val="22"/>
                <w:rtl/>
              </w:rPr>
              <w:t>אשקלון</w:t>
            </w:r>
            <w:r w:rsidRPr="00014C4D">
              <w:rPr>
                <w:sz w:val="18"/>
                <w:szCs w:val="22"/>
                <w:rtl/>
              </w:rPr>
              <w:t xml:space="preserve"> </w:t>
            </w:r>
            <w:r w:rsidRPr="00014C4D">
              <w:rPr>
                <w:rFonts w:hint="cs"/>
                <w:sz w:val="18"/>
                <w:szCs w:val="22"/>
                <w:rtl/>
              </w:rPr>
              <w:t xml:space="preserve">- </w:t>
            </w:r>
            <w:r w:rsidRPr="00014C4D">
              <w:rPr>
                <w:sz w:val="18"/>
                <w:szCs w:val="22"/>
                <w:rtl/>
              </w:rPr>
              <w:t xml:space="preserve">8.5 </w:t>
            </w:r>
            <w:r w:rsidRPr="00014C4D">
              <w:rPr>
                <w:rFonts w:hint="cs"/>
                <w:sz w:val="18"/>
                <w:szCs w:val="22"/>
                <w:rtl/>
              </w:rPr>
              <w:t>מיליון ש"</w:t>
            </w:r>
            <w:r w:rsidRPr="00014C4D">
              <w:rPr>
                <w:rFonts w:hint="eastAsia"/>
                <w:sz w:val="18"/>
                <w:szCs w:val="22"/>
                <w:rtl/>
              </w:rPr>
              <w:t>ח</w:t>
            </w:r>
            <w:r w:rsidRPr="00014C4D">
              <w:rPr>
                <w:sz w:val="18"/>
                <w:szCs w:val="22"/>
                <w:rtl/>
              </w:rPr>
              <w:t>.</w:t>
            </w:r>
          </w:p>
          <w:p w:rsidR="00014C4D" w:rsidRPr="00014C4D" w:rsidRDefault="00014C4D" w:rsidP="00014C4D">
            <w:pPr>
              <w:spacing w:line="269" w:lineRule="auto"/>
              <w:rPr>
                <w:sz w:val="18"/>
                <w:szCs w:val="22"/>
                <w:rtl/>
              </w:rPr>
            </w:pPr>
            <w:r w:rsidRPr="00014C4D">
              <w:rPr>
                <w:sz w:val="18"/>
                <w:szCs w:val="22"/>
                <w:rtl/>
              </w:rPr>
              <w:t xml:space="preserve">הקמת מרכז רפואי גריאטרי </w:t>
            </w:r>
            <w:r w:rsidRPr="00014C4D">
              <w:rPr>
                <w:rFonts w:hint="cs"/>
                <w:sz w:val="18"/>
                <w:szCs w:val="22"/>
                <w:rtl/>
              </w:rPr>
              <w:t>-</w:t>
            </w:r>
            <w:r w:rsidRPr="00014C4D">
              <w:rPr>
                <w:sz w:val="18"/>
                <w:szCs w:val="22"/>
                <w:rtl/>
              </w:rPr>
              <w:t xml:space="preserve"> עיריית </w:t>
            </w:r>
            <w:r w:rsidRPr="00014C4D">
              <w:rPr>
                <w:b/>
                <w:bCs/>
                <w:sz w:val="18"/>
                <w:szCs w:val="22"/>
                <w:rtl/>
              </w:rPr>
              <w:t>שלומי</w:t>
            </w:r>
            <w:r w:rsidRPr="00014C4D">
              <w:rPr>
                <w:sz w:val="18"/>
                <w:szCs w:val="22"/>
                <w:rtl/>
              </w:rPr>
              <w:t xml:space="preserve"> </w:t>
            </w:r>
            <w:r w:rsidRPr="00014C4D">
              <w:rPr>
                <w:rFonts w:hint="cs"/>
                <w:sz w:val="18"/>
                <w:szCs w:val="22"/>
                <w:rtl/>
              </w:rPr>
              <w:t>-</w:t>
            </w:r>
            <w:r w:rsidRPr="00014C4D">
              <w:rPr>
                <w:sz w:val="18"/>
                <w:szCs w:val="22"/>
                <w:rtl/>
              </w:rPr>
              <w:t xml:space="preserve"> 4.5 מ</w:t>
            </w:r>
            <w:r w:rsidRPr="00014C4D">
              <w:rPr>
                <w:rFonts w:hint="cs"/>
                <w:sz w:val="18"/>
                <w:szCs w:val="22"/>
                <w:rtl/>
              </w:rPr>
              <w:t xml:space="preserve">יליון </w:t>
            </w:r>
            <w:r w:rsidRPr="00014C4D">
              <w:rPr>
                <w:sz w:val="18"/>
                <w:szCs w:val="22"/>
                <w:rtl/>
              </w:rPr>
              <w:t>ש"ח.</w:t>
            </w:r>
          </w:p>
          <w:p w:rsidR="00014C4D" w:rsidRPr="00014C4D" w:rsidRDefault="00014C4D" w:rsidP="00014C4D">
            <w:pPr>
              <w:spacing w:line="269" w:lineRule="auto"/>
              <w:rPr>
                <w:sz w:val="18"/>
                <w:szCs w:val="22"/>
                <w:rtl/>
              </w:rPr>
            </w:pPr>
            <w:r w:rsidRPr="00014C4D">
              <w:rPr>
                <w:sz w:val="18"/>
                <w:szCs w:val="22"/>
                <w:rtl/>
              </w:rPr>
              <w:t xml:space="preserve">הקמת מרכז הפעלה </w:t>
            </w:r>
            <w:r w:rsidRPr="00014C4D">
              <w:rPr>
                <w:rFonts w:hint="cs"/>
                <w:sz w:val="18"/>
                <w:szCs w:val="22"/>
                <w:rtl/>
              </w:rPr>
              <w:t>- עיריי</w:t>
            </w:r>
            <w:r w:rsidRPr="00014C4D">
              <w:rPr>
                <w:sz w:val="18"/>
                <w:szCs w:val="22"/>
                <w:rtl/>
              </w:rPr>
              <w:t xml:space="preserve">ת </w:t>
            </w:r>
            <w:r w:rsidRPr="00014C4D">
              <w:rPr>
                <w:b/>
                <w:bCs/>
                <w:sz w:val="18"/>
                <w:szCs w:val="22"/>
                <w:rtl/>
              </w:rPr>
              <w:t>שדרות</w:t>
            </w:r>
            <w:r w:rsidRPr="00014C4D">
              <w:rPr>
                <w:sz w:val="18"/>
                <w:szCs w:val="22"/>
                <w:rtl/>
              </w:rPr>
              <w:t xml:space="preserve"> </w:t>
            </w:r>
            <w:r w:rsidRPr="00014C4D">
              <w:rPr>
                <w:rFonts w:hint="cs"/>
                <w:sz w:val="18"/>
                <w:szCs w:val="22"/>
                <w:rtl/>
              </w:rPr>
              <w:t xml:space="preserve">- </w:t>
            </w:r>
            <w:r w:rsidRPr="00014C4D">
              <w:rPr>
                <w:sz w:val="18"/>
                <w:szCs w:val="22"/>
                <w:rtl/>
              </w:rPr>
              <w:t>4.5 מ</w:t>
            </w:r>
            <w:r w:rsidRPr="00014C4D">
              <w:rPr>
                <w:rFonts w:hint="cs"/>
                <w:sz w:val="18"/>
                <w:szCs w:val="22"/>
                <w:rtl/>
              </w:rPr>
              <w:t xml:space="preserve">יליון </w:t>
            </w:r>
            <w:r w:rsidRPr="00014C4D">
              <w:rPr>
                <w:sz w:val="18"/>
                <w:szCs w:val="22"/>
                <w:rtl/>
              </w:rPr>
              <w:t>ש"ח.</w:t>
            </w:r>
          </w:p>
          <w:p w:rsidR="00014C4D" w:rsidRPr="00014C4D" w:rsidRDefault="00014C4D" w:rsidP="00014C4D">
            <w:pPr>
              <w:spacing w:line="269" w:lineRule="auto"/>
              <w:rPr>
                <w:sz w:val="18"/>
                <w:szCs w:val="22"/>
                <w:rtl/>
              </w:rPr>
            </w:pPr>
            <w:r w:rsidRPr="00014C4D">
              <w:rPr>
                <w:sz w:val="18"/>
                <w:szCs w:val="22"/>
                <w:rtl/>
              </w:rPr>
              <w:t xml:space="preserve">הקמת מקלט ציבורי </w:t>
            </w:r>
            <w:r w:rsidRPr="00014C4D">
              <w:rPr>
                <w:rFonts w:hint="cs"/>
                <w:sz w:val="18"/>
                <w:szCs w:val="22"/>
                <w:rtl/>
              </w:rPr>
              <w:t>-</w:t>
            </w:r>
            <w:r w:rsidRPr="00014C4D">
              <w:rPr>
                <w:sz w:val="18"/>
                <w:szCs w:val="22"/>
                <w:rtl/>
              </w:rPr>
              <w:t xml:space="preserve"> </w:t>
            </w:r>
            <w:r w:rsidRPr="00014C4D">
              <w:rPr>
                <w:rFonts w:hint="cs"/>
                <w:sz w:val="18"/>
                <w:szCs w:val="22"/>
                <w:rtl/>
              </w:rPr>
              <w:t>המועצה המקומית</w:t>
            </w:r>
            <w:r w:rsidRPr="00014C4D">
              <w:rPr>
                <w:sz w:val="18"/>
                <w:szCs w:val="22"/>
                <w:rtl/>
              </w:rPr>
              <w:t xml:space="preserve"> </w:t>
            </w:r>
            <w:r w:rsidRPr="00014C4D">
              <w:rPr>
                <w:b/>
                <w:bCs/>
                <w:sz w:val="18"/>
                <w:szCs w:val="22"/>
                <w:rtl/>
              </w:rPr>
              <w:t>פסוטה</w:t>
            </w:r>
            <w:r w:rsidRPr="00014C4D">
              <w:rPr>
                <w:sz w:val="18"/>
                <w:szCs w:val="22"/>
                <w:rtl/>
              </w:rPr>
              <w:t xml:space="preserve"> </w:t>
            </w:r>
            <w:r w:rsidRPr="00014C4D">
              <w:rPr>
                <w:rFonts w:hint="cs"/>
                <w:sz w:val="18"/>
                <w:szCs w:val="22"/>
                <w:rtl/>
              </w:rPr>
              <w:t xml:space="preserve">- </w:t>
            </w:r>
            <w:r w:rsidRPr="00014C4D">
              <w:rPr>
                <w:sz w:val="18"/>
                <w:szCs w:val="22"/>
                <w:rtl/>
              </w:rPr>
              <w:t>1.34 מ</w:t>
            </w:r>
            <w:r w:rsidRPr="00014C4D">
              <w:rPr>
                <w:rFonts w:hint="cs"/>
                <w:sz w:val="18"/>
                <w:szCs w:val="22"/>
                <w:rtl/>
              </w:rPr>
              <w:t xml:space="preserve">יליון </w:t>
            </w:r>
            <w:r w:rsidRPr="00014C4D">
              <w:rPr>
                <w:sz w:val="18"/>
                <w:szCs w:val="22"/>
                <w:rtl/>
              </w:rPr>
              <w:t>ש"ח.</w:t>
            </w:r>
          </w:p>
        </w:tc>
      </w:tr>
      <w:tr w:rsidR="00014C4D" w:rsidRPr="00014C4D" w:rsidTr="00014C4D">
        <w:trPr>
          <w:jc w:val="center"/>
        </w:trPr>
        <w:tc>
          <w:tcPr>
            <w:tcW w:w="708" w:type="dxa"/>
          </w:tcPr>
          <w:p w:rsidR="00014C4D" w:rsidRPr="00014C4D" w:rsidRDefault="00014C4D" w:rsidP="00014C4D">
            <w:pPr>
              <w:spacing w:line="269" w:lineRule="auto"/>
              <w:rPr>
                <w:sz w:val="18"/>
                <w:szCs w:val="22"/>
                <w:rtl/>
              </w:rPr>
            </w:pPr>
            <w:r w:rsidRPr="00014C4D">
              <w:rPr>
                <w:rFonts w:hint="cs"/>
                <w:sz w:val="18"/>
                <w:szCs w:val="22"/>
                <w:rtl/>
              </w:rPr>
              <w:t>2023</w:t>
            </w:r>
          </w:p>
        </w:tc>
        <w:tc>
          <w:tcPr>
            <w:tcW w:w="7503" w:type="dxa"/>
          </w:tcPr>
          <w:p w:rsidR="00014C4D" w:rsidRPr="00014C4D" w:rsidRDefault="00014C4D" w:rsidP="00014C4D">
            <w:pPr>
              <w:spacing w:line="269" w:lineRule="auto"/>
              <w:rPr>
                <w:sz w:val="18"/>
                <w:szCs w:val="22"/>
                <w:rtl/>
              </w:rPr>
            </w:pPr>
            <w:r w:rsidRPr="00014C4D">
              <w:rPr>
                <w:sz w:val="18"/>
                <w:szCs w:val="22"/>
                <w:rtl/>
              </w:rPr>
              <w:t xml:space="preserve">הקמת מקלט ציבורי </w:t>
            </w:r>
            <w:r w:rsidRPr="00014C4D">
              <w:rPr>
                <w:rFonts w:hint="cs"/>
                <w:sz w:val="18"/>
                <w:szCs w:val="22"/>
                <w:rtl/>
              </w:rPr>
              <w:t>-</w:t>
            </w:r>
            <w:r w:rsidRPr="00014C4D">
              <w:rPr>
                <w:sz w:val="18"/>
                <w:szCs w:val="22"/>
                <w:rtl/>
              </w:rPr>
              <w:t xml:space="preserve"> </w:t>
            </w:r>
            <w:r w:rsidRPr="00014C4D">
              <w:rPr>
                <w:rFonts w:hint="cs"/>
                <w:sz w:val="18"/>
                <w:szCs w:val="22"/>
                <w:rtl/>
              </w:rPr>
              <w:t>המועצה המקומית</w:t>
            </w:r>
            <w:r w:rsidRPr="00014C4D">
              <w:rPr>
                <w:sz w:val="18"/>
                <w:szCs w:val="22"/>
                <w:rtl/>
              </w:rPr>
              <w:t xml:space="preserve"> </w:t>
            </w:r>
            <w:r w:rsidRPr="00014C4D">
              <w:rPr>
                <w:b/>
                <w:bCs/>
                <w:sz w:val="18"/>
                <w:szCs w:val="22"/>
                <w:rtl/>
              </w:rPr>
              <w:t>מעיליא</w:t>
            </w:r>
            <w:r w:rsidRPr="00014C4D">
              <w:rPr>
                <w:sz w:val="18"/>
                <w:szCs w:val="22"/>
                <w:rtl/>
              </w:rPr>
              <w:t xml:space="preserve"> </w:t>
            </w:r>
            <w:r w:rsidRPr="00014C4D">
              <w:rPr>
                <w:rFonts w:hint="cs"/>
                <w:sz w:val="18"/>
                <w:szCs w:val="22"/>
                <w:rtl/>
              </w:rPr>
              <w:t xml:space="preserve">- </w:t>
            </w:r>
            <w:r w:rsidRPr="00014C4D">
              <w:rPr>
                <w:sz w:val="18"/>
                <w:szCs w:val="22"/>
                <w:rtl/>
              </w:rPr>
              <w:t>1.03 מ</w:t>
            </w:r>
            <w:r w:rsidRPr="00014C4D">
              <w:rPr>
                <w:rFonts w:hint="cs"/>
                <w:sz w:val="18"/>
                <w:szCs w:val="22"/>
                <w:rtl/>
              </w:rPr>
              <w:t xml:space="preserve">יליון </w:t>
            </w:r>
            <w:r w:rsidRPr="00014C4D">
              <w:rPr>
                <w:sz w:val="18"/>
                <w:szCs w:val="22"/>
                <w:rtl/>
              </w:rPr>
              <w:t>ש"ח</w:t>
            </w:r>
            <w:r w:rsidRPr="00014C4D">
              <w:rPr>
                <w:rFonts w:hint="cs"/>
                <w:sz w:val="18"/>
                <w:szCs w:val="22"/>
                <w:rtl/>
              </w:rPr>
              <w:t>; המועצה המקומית</w:t>
            </w:r>
            <w:r w:rsidRPr="00014C4D">
              <w:rPr>
                <w:sz w:val="18"/>
                <w:szCs w:val="22"/>
                <w:rtl/>
              </w:rPr>
              <w:t xml:space="preserve"> </w:t>
            </w:r>
            <w:r w:rsidRPr="00014C4D">
              <w:rPr>
                <w:b/>
                <w:bCs/>
                <w:sz w:val="18"/>
                <w:szCs w:val="22"/>
                <w:rtl/>
              </w:rPr>
              <w:t>מסעדה</w:t>
            </w:r>
            <w:r w:rsidRPr="00014C4D">
              <w:rPr>
                <w:sz w:val="18"/>
                <w:szCs w:val="22"/>
                <w:rtl/>
              </w:rPr>
              <w:t xml:space="preserve"> 70</w:t>
            </w:r>
            <w:r w:rsidRPr="00014C4D">
              <w:rPr>
                <w:rFonts w:hint="cs"/>
                <w:sz w:val="18"/>
                <w:szCs w:val="22"/>
                <w:rtl/>
              </w:rPr>
              <w:t>,000</w:t>
            </w:r>
            <w:r w:rsidRPr="00014C4D">
              <w:rPr>
                <w:sz w:val="18"/>
                <w:szCs w:val="22"/>
                <w:rtl/>
              </w:rPr>
              <w:t xml:space="preserve"> ש"ח.</w:t>
            </w:r>
          </w:p>
        </w:tc>
      </w:tr>
      <w:tr w:rsidR="00014C4D" w:rsidRPr="00014C4D" w:rsidTr="00014C4D">
        <w:trPr>
          <w:jc w:val="center"/>
        </w:trPr>
        <w:tc>
          <w:tcPr>
            <w:tcW w:w="708" w:type="dxa"/>
          </w:tcPr>
          <w:p w:rsidR="00014C4D" w:rsidRPr="00014C4D" w:rsidRDefault="00014C4D" w:rsidP="00014C4D">
            <w:pPr>
              <w:spacing w:line="269" w:lineRule="auto"/>
              <w:rPr>
                <w:sz w:val="18"/>
                <w:szCs w:val="22"/>
                <w:rtl/>
              </w:rPr>
            </w:pPr>
            <w:r w:rsidRPr="00014C4D">
              <w:rPr>
                <w:rFonts w:hint="cs"/>
                <w:sz w:val="18"/>
                <w:szCs w:val="22"/>
                <w:rtl/>
              </w:rPr>
              <w:t>2024</w:t>
            </w:r>
          </w:p>
        </w:tc>
        <w:tc>
          <w:tcPr>
            <w:tcW w:w="7503" w:type="dxa"/>
          </w:tcPr>
          <w:p w:rsidR="00014C4D" w:rsidRPr="00014C4D" w:rsidRDefault="00014C4D" w:rsidP="00014C4D">
            <w:pPr>
              <w:spacing w:line="269" w:lineRule="auto"/>
              <w:rPr>
                <w:sz w:val="18"/>
                <w:szCs w:val="22"/>
                <w:rtl/>
              </w:rPr>
            </w:pPr>
            <w:r w:rsidRPr="00014C4D">
              <w:rPr>
                <w:sz w:val="18"/>
                <w:szCs w:val="22"/>
                <w:rtl/>
              </w:rPr>
              <w:t xml:space="preserve">תכנון מקלט ציבורי </w:t>
            </w:r>
            <w:r w:rsidRPr="00014C4D">
              <w:rPr>
                <w:rFonts w:hint="cs"/>
                <w:sz w:val="18"/>
                <w:szCs w:val="22"/>
                <w:rtl/>
              </w:rPr>
              <w:t>-</w:t>
            </w:r>
            <w:r w:rsidRPr="00014C4D">
              <w:rPr>
                <w:sz w:val="18"/>
                <w:szCs w:val="22"/>
                <w:rtl/>
              </w:rPr>
              <w:t xml:space="preserve"> </w:t>
            </w:r>
            <w:r w:rsidRPr="00014C4D">
              <w:rPr>
                <w:rFonts w:hint="cs"/>
                <w:sz w:val="18"/>
                <w:szCs w:val="22"/>
                <w:rtl/>
              </w:rPr>
              <w:t>המועצה המקומית</w:t>
            </w:r>
            <w:r w:rsidRPr="00014C4D">
              <w:rPr>
                <w:sz w:val="18"/>
                <w:szCs w:val="22"/>
                <w:rtl/>
              </w:rPr>
              <w:t xml:space="preserve"> </w:t>
            </w:r>
            <w:r w:rsidRPr="00014C4D">
              <w:rPr>
                <w:b/>
                <w:bCs/>
                <w:sz w:val="18"/>
                <w:szCs w:val="22"/>
                <w:rtl/>
              </w:rPr>
              <w:t>חורפיש</w:t>
            </w:r>
            <w:r w:rsidRPr="00014C4D">
              <w:rPr>
                <w:sz w:val="18"/>
                <w:szCs w:val="22"/>
                <w:rtl/>
              </w:rPr>
              <w:t xml:space="preserve"> 88</w:t>
            </w:r>
            <w:r w:rsidRPr="00014C4D">
              <w:rPr>
                <w:rFonts w:hint="cs"/>
                <w:sz w:val="18"/>
                <w:szCs w:val="22"/>
                <w:rtl/>
              </w:rPr>
              <w:t>,000</w:t>
            </w:r>
            <w:r w:rsidRPr="00014C4D">
              <w:rPr>
                <w:sz w:val="18"/>
                <w:szCs w:val="22"/>
                <w:rtl/>
              </w:rPr>
              <w:t xml:space="preserve"> ש"ח.</w:t>
            </w:r>
          </w:p>
          <w:p w:rsidR="00014C4D" w:rsidRPr="00014C4D" w:rsidRDefault="00014C4D" w:rsidP="00014C4D">
            <w:pPr>
              <w:spacing w:line="269" w:lineRule="auto"/>
              <w:rPr>
                <w:sz w:val="18"/>
                <w:szCs w:val="22"/>
                <w:rtl/>
              </w:rPr>
            </w:pPr>
            <w:r w:rsidRPr="00014C4D">
              <w:rPr>
                <w:sz w:val="18"/>
                <w:szCs w:val="22"/>
                <w:rtl/>
              </w:rPr>
              <w:t xml:space="preserve">הקמת מיגון למוסדות חינוך </w:t>
            </w:r>
            <w:r w:rsidRPr="00014C4D">
              <w:rPr>
                <w:rFonts w:hint="cs"/>
                <w:sz w:val="18"/>
                <w:szCs w:val="22"/>
                <w:rtl/>
              </w:rPr>
              <w:t>-</w:t>
            </w:r>
            <w:r w:rsidRPr="00014C4D">
              <w:rPr>
                <w:sz w:val="18"/>
                <w:szCs w:val="22"/>
                <w:rtl/>
              </w:rPr>
              <w:t xml:space="preserve"> </w:t>
            </w:r>
            <w:r w:rsidRPr="00014C4D">
              <w:rPr>
                <w:rFonts w:hint="cs"/>
                <w:sz w:val="18"/>
                <w:szCs w:val="22"/>
                <w:rtl/>
              </w:rPr>
              <w:t>ה</w:t>
            </w:r>
            <w:r w:rsidRPr="00014C4D">
              <w:rPr>
                <w:sz w:val="18"/>
                <w:szCs w:val="22"/>
                <w:rtl/>
              </w:rPr>
              <w:t>מו</w:t>
            </w:r>
            <w:r w:rsidRPr="00014C4D">
              <w:rPr>
                <w:rFonts w:hint="cs"/>
                <w:sz w:val="18"/>
                <w:szCs w:val="22"/>
                <w:rtl/>
              </w:rPr>
              <w:t>עצה האזורית</w:t>
            </w:r>
            <w:r w:rsidRPr="00014C4D">
              <w:rPr>
                <w:sz w:val="18"/>
                <w:szCs w:val="22"/>
                <w:rtl/>
              </w:rPr>
              <w:t xml:space="preserve"> </w:t>
            </w:r>
            <w:r w:rsidRPr="00014C4D">
              <w:rPr>
                <w:b/>
                <w:bCs/>
                <w:sz w:val="18"/>
                <w:szCs w:val="22"/>
                <w:rtl/>
              </w:rPr>
              <w:t>גליל עליון</w:t>
            </w:r>
            <w:r w:rsidRPr="00014C4D">
              <w:rPr>
                <w:sz w:val="18"/>
                <w:szCs w:val="22"/>
                <w:rtl/>
              </w:rPr>
              <w:t xml:space="preserve"> 26.65 מ</w:t>
            </w:r>
            <w:r w:rsidRPr="00014C4D">
              <w:rPr>
                <w:rFonts w:hint="cs"/>
                <w:sz w:val="18"/>
                <w:szCs w:val="22"/>
                <w:rtl/>
              </w:rPr>
              <w:t xml:space="preserve">יליון </w:t>
            </w:r>
            <w:r w:rsidRPr="00014C4D">
              <w:rPr>
                <w:sz w:val="18"/>
                <w:szCs w:val="22"/>
                <w:rtl/>
              </w:rPr>
              <w:t>ש"ח</w:t>
            </w:r>
            <w:r w:rsidRPr="00014C4D">
              <w:rPr>
                <w:rFonts w:hint="cs"/>
                <w:sz w:val="18"/>
                <w:szCs w:val="22"/>
                <w:rtl/>
              </w:rPr>
              <w:t>; המועצה האזורית</w:t>
            </w:r>
            <w:r w:rsidRPr="00014C4D">
              <w:rPr>
                <w:sz w:val="18"/>
                <w:szCs w:val="22"/>
                <w:rtl/>
              </w:rPr>
              <w:t xml:space="preserve"> </w:t>
            </w:r>
            <w:r w:rsidRPr="00014C4D">
              <w:rPr>
                <w:b/>
                <w:bCs/>
                <w:sz w:val="18"/>
                <w:szCs w:val="22"/>
                <w:rtl/>
              </w:rPr>
              <w:t xml:space="preserve">גולן </w:t>
            </w:r>
            <w:r w:rsidRPr="00014C4D">
              <w:rPr>
                <w:sz w:val="18"/>
                <w:szCs w:val="22"/>
                <w:rtl/>
              </w:rPr>
              <w:t>25.57 מ</w:t>
            </w:r>
            <w:r w:rsidRPr="00014C4D">
              <w:rPr>
                <w:rFonts w:hint="cs"/>
                <w:sz w:val="18"/>
                <w:szCs w:val="22"/>
                <w:rtl/>
              </w:rPr>
              <w:t xml:space="preserve">יליון </w:t>
            </w:r>
            <w:r w:rsidRPr="00014C4D">
              <w:rPr>
                <w:sz w:val="18"/>
                <w:szCs w:val="22"/>
                <w:rtl/>
              </w:rPr>
              <w:t>ש"ח</w:t>
            </w:r>
            <w:r w:rsidRPr="00014C4D">
              <w:rPr>
                <w:rFonts w:hint="cs"/>
                <w:sz w:val="18"/>
                <w:szCs w:val="22"/>
                <w:rtl/>
              </w:rPr>
              <w:t>; ה</w:t>
            </w:r>
            <w:r w:rsidRPr="00014C4D">
              <w:rPr>
                <w:sz w:val="18"/>
                <w:szCs w:val="22"/>
                <w:rtl/>
              </w:rPr>
              <w:t>מו</w:t>
            </w:r>
            <w:r w:rsidRPr="00014C4D">
              <w:rPr>
                <w:rFonts w:hint="cs"/>
                <w:sz w:val="18"/>
                <w:szCs w:val="22"/>
                <w:rtl/>
              </w:rPr>
              <w:t>עצה האזורית</w:t>
            </w:r>
            <w:r w:rsidRPr="00014C4D">
              <w:rPr>
                <w:sz w:val="18"/>
                <w:szCs w:val="22"/>
                <w:rtl/>
              </w:rPr>
              <w:t xml:space="preserve"> </w:t>
            </w:r>
            <w:r w:rsidRPr="00014C4D">
              <w:rPr>
                <w:b/>
                <w:bCs/>
                <w:sz w:val="18"/>
                <w:szCs w:val="22"/>
                <w:rtl/>
              </w:rPr>
              <w:t>מטה אשר</w:t>
            </w:r>
            <w:r w:rsidRPr="00014C4D">
              <w:rPr>
                <w:sz w:val="18"/>
                <w:szCs w:val="22"/>
                <w:rtl/>
              </w:rPr>
              <w:t xml:space="preserve"> 7.94 מ</w:t>
            </w:r>
            <w:r w:rsidRPr="00014C4D">
              <w:rPr>
                <w:rFonts w:hint="cs"/>
                <w:sz w:val="18"/>
                <w:szCs w:val="22"/>
                <w:rtl/>
              </w:rPr>
              <w:t xml:space="preserve">יליון </w:t>
            </w:r>
            <w:r w:rsidRPr="00014C4D">
              <w:rPr>
                <w:sz w:val="18"/>
                <w:szCs w:val="22"/>
                <w:rtl/>
              </w:rPr>
              <w:t>ש"ח.</w:t>
            </w:r>
          </w:p>
          <w:p w:rsidR="00014C4D" w:rsidRPr="00014C4D" w:rsidRDefault="00014C4D" w:rsidP="00014C4D">
            <w:pPr>
              <w:spacing w:line="269" w:lineRule="auto"/>
              <w:rPr>
                <w:sz w:val="18"/>
                <w:szCs w:val="22"/>
                <w:rtl/>
              </w:rPr>
            </w:pPr>
            <w:r w:rsidRPr="00014C4D">
              <w:rPr>
                <w:sz w:val="18"/>
                <w:szCs w:val="22"/>
                <w:rtl/>
              </w:rPr>
              <w:t xml:space="preserve">הקמת מקלטים ציבוריים </w:t>
            </w:r>
            <w:r w:rsidRPr="00014C4D">
              <w:rPr>
                <w:rFonts w:hint="cs"/>
                <w:sz w:val="18"/>
                <w:szCs w:val="22"/>
                <w:rtl/>
              </w:rPr>
              <w:t>-</w:t>
            </w:r>
            <w:r w:rsidRPr="00014C4D">
              <w:rPr>
                <w:sz w:val="18"/>
                <w:szCs w:val="22"/>
                <w:rtl/>
              </w:rPr>
              <w:t xml:space="preserve"> </w:t>
            </w:r>
            <w:r w:rsidRPr="00014C4D">
              <w:rPr>
                <w:rFonts w:hint="cs"/>
                <w:sz w:val="18"/>
                <w:szCs w:val="22"/>
                <w:rtl/>
              </w:rPr>
              <w:t>המועצה המקומית</w:t>
            </w:r>
            <w:r w:rsidRPr="00014C4D">
              <w:rPr>
                <w:sz w:val="18"/>
                <w:szCs w:val="22"/>
                <w:rtl/>
              </w:rPr>
              <w:t xml:space="preserve"> </w:t>
            </w:r>
            <w:r w:rsidRPr="00014C4D">
              <w:rPr>
                <w:b/>
                <w:bCs/>
                <w:sz w:val="18"/>
                <w:szCs w:val="22"/>
                <w:rtl/>
              </w:rPr>
              <w:t>גוש חלב</w:t>
            </w:r>
            <w:r w:rsidRPr="00014C4D">
              <w:rPr>
                <w:sz w:val="18"/>
                <w:szCs w:val="22"/>
                <w:rtl/>
              </w:rPr>
              <w:t xml:space="preserve"> 2.87 מ</w:t>
            </w:r>
            <w:r w:rsidRPr="00014C4D">
              <w:rPr>
                <w:rFonts w:hint="cs"/>
                <w:sz w:val="18"/>
                <w:szCs w:val="22"/>
                <w:rtl/>
              </w:rPr>
              <w:t xml:space="preserve">יליון </w:t>
            </w:r>
            <w:r w:rsidRPr="00014C4D">
              <w:rPr>
                <w:sz w:val="18"/>
                <w:szCs w:val="22"/>
                <w:rtl/>
              </w:rPr>
              <w:t>ש"ח.</w:t>
            </w:r>
          </w:p>
          <w:p w:rsidR="00014C4D" w:rsidRPr="00014C4D" w:rsidRDefault="00014C4D" w:rsidP="00014C4D">
            <w:pPr>
              <w:spacing w:line="269" w:lineRule="auto"/>
              <w:rPr>
                <w:sz w:val="18"/>
                <w:szCs w:val="22"/>
                <w:rtl/>
              </w:rPr>
            </w:pPr>
            <w:r w:rsidRPr="00014C4D">
              <w:rPr>
                <w:rFonts w:hint="cs"/>
                <w:sz w:val="18"/>
                <w:szCs w:val="22"/>
                <w:rtl/>
              </w:rPr>
              <w:t>ה</w:t>
            </w:r>
            <w:r w:rsidRPr="00014C4D">
              <w:rPr>
                <w:sz w:val="18"/>
                <w:szCs w:val="22"/>
                <w:rtl/>
              </w:rPr>
              <w:t xml:space="preserve">קמת מרחבים מוגנים למוסדות חינוך </w:t>
            </w:r>
            <w:r w:rsidRPr="00014C4D">
              <w:rPr>
                <w:rFonts w:hint="cs"/>
                <w:sz w:val="18"/>
                <w:szCs w:val="22"/>
                <w:rtl/>
              </w:rPr>
              <w:t>-</w:t>
            </w:r>
            <w:r w:rsidRPr="00014C4D">
              <w:rPr>
                <w:sz w:val="18"/>
                <w:szCs w:val="22"/>
                <w:rtl/>
              </w:rPr>
              <w:t xml:space="preserve"> </w:t>
            </w:r>
            <w:r w:rsidRPr="00014C4D">
              <w:rPr>
                <w:rFonts w:hint="cs"/>
                <w:sz w:val="18"/>
                <w:szCs w:val="22"/>
                <w:rtl/>
              </w:rPr>
              <w:t>ה</w:t>
            </w:r>
            <w:r w:rsidRPr="00014C4D">
              <w:rPr>
                <w:sz w:val="18"/>
                <w:szCs w:val="22"/>
                <w:rtl/>
              </w:rPr>
              <w:t>מו</w:t>
            </w:r>
            <w:r w:rsidRPr="00014C4D">
              <w:rPr>
                <w:rFonts w:hint="cs"/>
                <w:sz w:val="18"/>
                <w:szCs w:val="22"/>
                <w:rtl/>
              </w:rPr>
              <w:t>עצה האזורית</w:t>
            </w:r>
            <w:r w:rsidRPr="00014C4D">
              <w:rPr>
                <w:sz w:val="18"/>
                <w:szCs w:val="22"/>
                <w:rtl/>
              </w:rPr>
              <w:t xml:space="preserve"> </w:t>
            </w:r>
            <w:r w:rsidRPr="00014C4D">
              <w:rPr>
                <w:b/>
                <w:bCs/>
                <w:sz w:val="18"/>
                <w:szCs w:val="22"/>
                <w:rtl/>
              </w:rPr>
              <w:t>מרום הגליל</w:t>
            </w:r>
            <w:r w:rsidRPr="00014C4D">
              <w:rPr>
                <w:sz w:val="18"/>
                <w:szCs w:val="22"/>
                <w:rtl/>
              </w:rPr>
              <w:t xml:space="preserve"> 750</w:t>
            </w:r>
            <w:r w:rsidRPr="00014C4D">
              <w:rPr>
                <w:rFonts w:hint="cs"/>
                <w:sz w:val="18"/>
                <w:szCs w:val="22"/>
                <w:rtl/>
              </w:rPr>
              <w:t>,000</w:t>
            </w:r>
            <w:r w:rsidRPr="00014C4D">
              <w:rPr>
                <w:sz w:val="18"/>
                <w:szCs w:val="22"/>
                <w:rtl/>
              </w:rPr>
              <w:t xml:space="preserve"> ש"ח</w:t>
            </w:r>
            <w:r w:rsidRPr="00014C4D">
              <w:rPr>
                <w:rFonts w:hint="cs"/>
                <w:sz w:val="18"/>
                <w:szCs w:val="22"/>
                <w:rtl/>
              </w:rPr>
              <w:t xml:space="preserve">; </w:t>
            </w:r>
            <w:r w:rsidRPr="00014C4D">
              <w:rPr>
                <w:sz w:val="18"/>
                <w:szCs w:val="22"/>
                <w:rtl/>
              </w:rPr>
              <w:t xml:space="preserve">עיריית </w:t>
            </w:r>
            <w:r w:rsidRPr="00014C4D">
              <w:rPr>
                <w:b/>
                <w:bCs/>
                <w:sz w:val="18"/>
                <w:szCs w:val="22"/>
                <w:rtl/>
              </w:rPr>
              <w:t>נהר</w:t>
            </w:r>
            <w:r w:rsidRPr="00014C4D">
              <w:rPr>
                <w:rFonts w:hint="cs"/>
                <w:b/>
                <w:bCs/>
                <w:sz w:val="18"/>
                <w:szCs w:val="22"/>
                <w:rtl/>
              </w:rPr>
              <w:t>י</w:t>
            </w:r>
            <w:r w:rsidRPr="00014C4D">
              <w:rPr>
                <w:b/>
                <w:bCs/>
                <w:sz w:val="18"/>
                <w:szCs w:val="22"/>
                <w:rtl/>
              </w:rPr>
              <w:t>יה</w:t>
            </w:r>
            <w:r w:rsidRPr="00014C4D">
              <w:rPr>
                <w:sz w:val="18"/>
                <w:szCs w:val="22"/>
                <w:rtl/>
              </w:rPr>
              <w:t xml:space="preserve"> 2.84 מ</w:t>
            </w:r>
            <w:r w:rsidRPr="00014C4D">
              <w:rPr>
                <w:rFonts w:hint="cs"/>
                <w:sz w:val="18"/>
                <w:szCs w:val="22"/>
                <w:rtl/>
              </w:rPr>
              <w:t xml:space="preserve">יליון </w:t>
            </w:r>
            <w:r w:rsidRPr="00014C4D">
              <w:rPr>
                <w:sz w:val="18"/>
                <w:szCs w:val="22"/>
                <w:rtl/>
              </w:rPr>
              <w:t>ש"ח.</w:t>
            </w:r>
          </w:p>
        </w:tc>
      </w:tr>
    </w:tbl>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על פי הנתונים שמסר פקע"ר למשרד מבקר המדינה בתשובתו מינואר 2025, להלן </w:t>
      </w:r>
      <w:r w:rsidRPr="00014C4D">
        <w:rPr>
          <w:rtl/>
        </w:rPr>
        <w:t xml:space="preserve">התקציב שהתקבל וסוכם בתוכנית העבודה </w:t>
      </w:r>
      <w:r w:rsidRPr="00014C4D">
        <w:rPr>
          <w:rFonts w:hint="cs"/>
          <w:rtl/>
        </w:rPr>
        <w:t>לצורך</w:t>
      </w:r>
      <w:r w:rsidRPr="00014C4D">
        <w:rPr>
          <w:rtl/>
        </w:rPr>
        <w:t xml:space="preserve"> מיגון פרטי ומספר </w:t>
      </w:r>
      <w:r w:rsidRPr="00014C4D">
        <w:rPr>
          <w:rFonts w:hint="cs"/>
          <w:rtl/>
        </w:rPr>
        <w:t>ה</w:t>
      </w:r>
      <w:r w:rsidRPr="00014C4D">
        <w:rPr>
          <w:rtl/>
        </w:rPr>
        <w:t xml:space="preserve">ממ״דים שנבנו בפועל בשנים </w:t>
      </w:r>
      <w:r w:rsidRPr="00014C4D">
        <w:rPr>
          <w:rFonts w:hint="cs"/>
          <w:rtl/>
        </w:rPr>
        <w:t>2022 - 2023, על פי החלטה ב/302</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bidi w:val="0"/>
        <w:spacing w:after="200" w:line="276" w:lineRule="auto"/>
        <w:rPr>
          <w:rtl/>
        </w:rPr>
      </w:pPr>
      <w:r w:rsidRPr="00014C4D">
        <w:rPr>
          <w:rtl/>
        </w:rPr>
        <w:br w:type="page"/>
      </w:r>
    </w:p>
    <w:p w:rsidR="00014C4D" w:rsidRPr="00014C4D" w:rsidRDefault="00014C4D" w:rsidP="00014C4D">
      <w:pPr>
        <w:spacing w:line="269" w:lineRule="auto"/>
        <w:jc w:val="center"/>
        <w:rPr>
          <w:rtl/>
        </w:rPr>
      </w:pPr>
      <w:r w:rsidRPr="00014C4D">
        <w:rPr>
          <w:rFonts w:hint="cs"/>
          <w:rtl/>
        </w:rPr>
        <w:lastRenderedPageBreak/>
        <w:t>לוח 11:</w:t>
      </w:r>
      <w:r w:rsidRPr="00014C4D">
        <w:rPr>
          <w:rtl/>
        </w:rPr>
        <w:t xml:space="preserve"> </w:t>
      </w:r>
      <w:r w:rsidRPr="00014C4D">
        <w:rPr>
          <w:b/>
          <w:bCs/>
          <w:rtl/>
        </w:rPr>
        <w:t xml:space="preserve">התקציב שהתקבל וסוכם בתוכנית העבודה לטובת מיגון פרטי ומספר ממ״דים שנבנו בפועל </w:t>
      </w:r>
      <w:r w:rsidRPr="00014C4D">
        <w:rPr>
          <w:rFonts w:hint="cs"/>
          <w:b/>
          <w:bCs/>
          <w:rtl/>
        </w:rPr>
        <w:t>בשנים 2022 - 2023</w:t>
      </w:r>
    </w:p>
    <w:tbl>
      <w:tblPr>
        <w:tblStyle w:val="af5"/>
        <w:bidiVisual/>
        <w:tblW w:w="8196" w:type="dxa"/>
        <w:jc w:val="center"/>
        <w:tblLook w:val="04A0" w:firstRow="1" w:lastRow="0" w:firstColumn="1" w:lastColumn="0" w:noHBand="0" w:noVBand="1"/>
      </w:tblPr>
      <w:tblGrid>
        <w:gridCol w:w="697"/>
        <w:gridCol w:w="7499"/>
      </w:tblGrid>
      <w:tr w:rsidR="00014C4D" w:rsidRPr="00014C4D" w:rsidTr="00014C4D">
        <w:trPr>
          <w:jc w:val="center"/>
        </w:trPr>
        <w:tc>
          <w:tcPr>
            <w:tcW w:w="678" w:type="dxa"/>
          </w:tcPr>
          <w:p w:rsidR="00014C4D" w:rsidRPr="00014C4D" w:rsidRDefault="00014C4D" w:rsidP="00014C4D">
            <w:pPr>
              <w:spacing w:line="269" w:lineRule="auto"/>
              <w:jc w:val="center"/>
              <w:rPr>
                <w:b/>
                <w:bCs/>
                <w:sz w:val="18"/>
                <w:szCs w:val="22"/>
                <w:rtl/>
              </w:rPr>
            </w:pPr>
            <w:r w:rsidRPr="00014C4D">
              <w:rPr>
                <w:rFonts w:hint="cs"/>
                <w:b/>
                <w:bCs/>
                <w:sz w:val="18"/>
                <w:szCs w:val="22"/>
                <w:rtl/>
              </w:rPr>
              <w:t>השנה</w:t>
            </w:r>
          </w:p>
        </w:tc>
        <w:tc>
          <w:tcPr>
            <w:tcW w:w="7518" w:type="dxa"/>
          </w:tcPr>
          <w:p w:rsidR="00014C4D" w:rsidRPr="00014C4D" w:rsidRDefault="00014C4D" w:rsidP="00014C4D">
            <w:pPr>
              <w:spacing w:line="269" w:lineRule="auto"/>
              <w:jc w:val="center"/>
              <w:rPr>
                <w:b/>
                <w:bCs/>
                <w:sz w:val="18"/>
                <w:szCs w:val="22"/>
                <w:rtl/>
              </w:rPr>
            </w:pPr>
            <w:r w:rsidRPr="00014C4D">
              <w:rPr>
                <w:b/>
                <w:bCs/>
                <w:sz w:val="18"/>
                <w:szCs w:val="22"/>
                <w:rtl/>
              </w:rPr>
              <w:t xml:space="preserve">התקציב שהתקבל וסוכם בתוכנית העבודה </w:t>
            </w:r>
            <w:r w:rsidRPr="00014C4D">
              <w:rPr>
                <w:rFonts w:hint="cs"/>
                <w:b/>
                <w:bCs/>
                <w:sz w:val="18"/>
                <w:szCs w:val="22"/>
                <w:rtl/>
              </w:rPr>
              <w:t>לצורך</w:t>
            </w:r>
            <w:r w:rsidRPr="00014C4D">
              <w:rPr>
                <w:b/>
                <w:bCs/>
                <w:sz w:val="18"/>
                <w:szCs w:val="22"/>
                <w:rtl/>
              </w:rPr>
              <w:t xml:space="preserve"> מיגון פרטי </w:t>
            </w:r>
            <w:r w:rsidRPr="00014C4D">
              <w:rPr>
                <w:rFonts w:hint="cs"/>
                <w:b/>
                <w:bCs/>
                <w:sz w:val="18"/>
                <w:szCs w:val="22"/>
                <w:rtl/>
              </w:rPr>
              <w:t>ו</w:t>
            </w:r>
            <w:r w:rsidRPr="00014C4D">
              <w:rPr>
                <w:b/>
                <w:bCs/>
                <w:sz w:val="18"/>
                <w:szCs w:val="22"/>
                <w:rtl/>
              </w:rPr>
              <w:t>מספר</w:t>
            </w:r>
            <w:r w:rsidRPr="00014C4D">
              <w:rPr>
                <w:rFonts w:hint="cs"/>
                <w:b/>
                <w:bCs/>
                <w:sz w:val="18"/>
                <w:szCs w:val="22"/>
                <w:rtl/>
              </w:rPr>
              <w:t xml:space="preserve"> ה</w:t>
            </w:r>
            <w:r w:rsidRPr="00014C4D">
              <w:rPr>
                <w:b/>
                <w:bCs/>
                <w:sz w:val="18"/>
                <w:szCs w:val="22"/>
                <w:rtl/>
              </w:rPr>
              <w:t>ממ״דים</w:t>
            </w:r>
            <w:r w:rsidRPr="00014C4D">
              <w:rPr>
                <w:rFonts w:hint="cs"/>
                <w:b/>
                <w:bCs/>
                <w:sz w:val="18"/>
                <w:szCs w:val="22"/>
                <w:rtl/>
              </w:rPr>
              <w:t xml:space="preserve"> </w:t>
            </w:r>
            <w:r w:rsidRPr="00014C4D">
              <w:rPr>
                <w:b/>
                <w:bCs/>
                <w:sz w:val="18"/>
                <w:szCs w:val="22"/>
                <w:rtl/>
              </w:rPr>
              <w:t>שנבנו</w:t>
            </w:r>
            <w:r w:rsidRPr="00014C4D">
              <w:rPr>
                <w:rFonts w:hint="cs"/>
                <w:b/>
                <w:bCs/>
                <w:sz w:val="18"/>
                <w:szCs w:val="22"/>
                <w:rtl/>
              </w:rPr>
              <w:t xml:space="preserve"> </w:t>
            </w:r>
            <w:r w:rsidRPr="00014C4D">
              <w:rPr>
                <w:b/>
                <w:bCs/>
                <w:sz w:val="18"/>
                <w:szCs w:val="22"/>
                <w:rtl/>
              </w:rPr>
              <w:t>בפועל</w:t>
            </w:r>
            <w:r w:rsidRPr="00014C4D">
              <w:rPr>
                <w:rFonts w:hint="cs"/>
                <w:b/>
                <w:bCs/>
                <w:sz w:val="18"/>
                <w:szCs w:val="22"/>
                <w:rtl/>
              </w:rPr>
              <w:t xml:space="preserve"> </w:t>
            </w:r>
          </w:p>
        </w:tc>
      </w:tr>
      <w:tr w:rsidR="00014C4D" w:rsidRPr="00014C4D" w:rsidTr="00014C4D">
        <w:trPr>
          <w:jc w:val="center"/>
        </w:trPr>
        <w:tc>
          <w:tcPr>
            <w:tcW w:w="678" w:type="dxa"/>
          </w:tcPr>
          <w:p w:rsidR="00014C4D" w:rsidRPr="00014C4D" w:rsidRDefault="00014C4D" w:rsidP="00014C4D">
            <w:pPr>
              <w:spacing w:line="269" w:lineRule="auto"/>
              <w:rPr>
                <w:sz w:val="18"/>
                <w:szCs w:val="22"/>
                <w:rtl/>
              </w:rPr>
            </w:pPr>
            <w:r w:rsidRPr="00014C4D">
              <w:rPr>
                <w:rFonts w:hint="cs"/>
                <w:sz w:val="18"/>
                <w:szCs w:val="22"/>
                <w:rtl/>
              </w:rPr>
              <w:t>2022</w:t>
            </w:r>
          </w:p>
        </w:tc>
        <w:tc>
          <w:tcPr>
            <w:tcW w:w="7518" w:type="dxa"/>
          </w:tcPr>
          <w:p w:rsidR="00014C4D" w:rsidRPr="00014C4D" w:rsidRDefault="00014C4D" w:rsidP="00014C4D">
            <w:pPr>
              <w:spacing w:line="269" w:lineRule="auto"/>
              <w:rPr>
                <w:sz w:val="18"/>
                <w:szCs w:val="22"/>
                <w:rtl/>
              </w:rPr>
            </w:pPr>
            <w:r w:rsidRPr="00014C4D">
              <w:rPr>
                <w:sz w:val="18"/>
                <w:szCs w:val="22"/>
                <w:rtl/>
              </w:rPr>
              <w:t xml:space="preserve">בנובמבר 2022 </w:t>
            </w:r>
            <w:r w:rsidRPr="00014C4D">
              <w:rPr>
                <w:rFonts w:hint="cs"/>
                <w:sz w:val="18"/>
                <w:szCs w:val="22"/>
                <w:rtl/>
              </w:rPr>
              <w:t xml:space="preserve">התקבל תקציב בסך </w:t>
            </w:r>
            <w:r w:rsidRPr="00014C4D">
              <w:rPr>
                <w:sz w:val="18"/>
                <w:szCs w:val="22"/>
                <w:rtl/>
              </w:rPr>
              <w:t>110.8 מ</w:t>
            </w:r>
            <w:r w:rsidRPr="00014C4D">
              <w:rPr>
                <w:rFonts w:hint="cs"/>
                <w:sz w:val="18"/>
                <w:szCs w:val="22"/>
                <w:rtl/>
              </w:rPr>
              <w:t xml:space="preserve">יליון </w:t>
            </w:r>
            <w:r w:rsidRPr="00014C4D">
              <w:rPr>
                <w:sz w:val="18"/>
                <w:szCs w:val="22"/>
                <w:rtl/>
              </w:rPr>
              <w:t>ש"ח</w:t>
            </w:r>
            <w:r w:rsidRPr="00014C4D">
              <w:rPr>
                <w:rFonts w:hint="cs"/>
                <w:sz w:val="18"/>
                <w:szCs w:val="22"/>
                <w:rtl/>
              </w:rPr>
              <w:t>.</w:t>
            </w:r>
          </w:p>
          <w:p w:rsidR="00014C4D" w:rsidRPr="00014C4D" w:rsidRDefault="00014C4D" w:rsidP="00014C4D">
            <w:pPr>
              <w:spacing w:line="269" w:lineRule="auto"/>
              <w:rPr>
                <w:sz w:val="18"/>
                <w:szCs w:val="22"/>
                <w:rtl/>
              </w:rPr>
            </w:pPr>
          </w:p>
          <w:p w:rsidR="00014C4D" w:rsidRPr="00014C4D" w:rsidRDefault="00014C4D" w:rsidP="00014C4D">
            <w:pPr>
              <w:spacing w:line="269" w:lineRule="auto"/>
              <w:rPr>
                <w:sz w:val="18"/>
                <w:szCs w:val="22"/>
                <w:rtl/>
              </w:rPr>
            </w:pPr>
            <w:r w:rsidRPr="00014C4D">
              <w:rPr>
                <w:b/>
                <w:bCs/>
                <w:sz w:val="18"/>
                <w:szCs w:val="22"/>
                <w:rtl/>
              </w:rPr>
              <w:t>מטולה</w:t>
            </w:r>
            <w:r w:rsidRPr="00014C4D">
              <w:rPr>
                <w:sz w:val="18"/>
                <w:szCs w:val="22"/>
                <w:rtl/>
              </w:rPr>
              <w:t>: 39 ממ"דים בבני</w:t>
            </w:r>
            <w:r w:rsidRPr="00014C4D">
              <w:rPr>
                <w:rFonts w:hint="cs"/>
                <w:sz w:val="18"/>
                <w:szCs w:val="22"/>
                <w:rtl/>
              </w:rPr>
              <w:t>י</w:t>
            </w:r>
            <w:r w:rsidRPr="00014C4D">
              <w:rPr>
                <w:sz w:val="18"/>
                <w:szCs w:val="22"/>
                <w:rtl/>
              </w:rPr>
              <w:t>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שתולה</w:t>
            </w:r>
            <w:r w:rsidRPr="00014C4D">
              <w:rPr>
                <w:sz w:val="18"/>
                <w:szCs w:val="22"/>
                <w:rtl/>
              </w:rPr>
              <w:t>: 36 ממ״דים בבני</w:t>
            </w:r>
            <w:r w:rsidRPr="00014C4D">
              <w:rPr>
                <w:rFonts w:hint="cs"/>
                <w:sz w:val="18"/>
                <w:szCs w:val="22"/>
                <w:rtl/>
              </w:rPr>
              <w:t>י</w:t>
            </w:r>
            <w:r w:rsidRPr="00014C4D">
              <w:rPr>
                <w:sz w:val="18"/>
                <w:szCs w:val="22"/>
                <w:rtl/>
              </w:rPr>
              <w:t>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אביבים</w:t>
            </w:r>
            <w:r w:rsidRPr="00014C4D">
              <w:rPr>
                <w:sz w:val="18"/>
                <w:szCs w:val="22"/>
                <w:rtl/>
              </w:rPr>
              <w:t>: 31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כפר יובל</w:t>
            </w:r>
            <w:r w:rsidRPr="00014C4D">
              <w:rPr>
                <w:sz w:val="18"/>
                <w:szCs w:val="22"/>
                <w:rtl/>
              </w:rPr>
              <w:t>: 53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שלומי</w:t>
            </w:r>
            <w:r w:rsidRPr="00014C4D">
              <w:rPr>
                <w:sz w:val="18"/>
                <w:szCs w:val="22"/>
                <w:rtl/>
              </w:rPr>
              <w:t>: 20 ממ״דים בבני</w:t>
            </w:r>
            <w:r w:rsidRPr="00014C4D">
              <w:rPr>
                <w:rFonts w:hint="cs"/>
                <w:sz w:val="18"/>
                <w:szCs w:val="22"/>
                <w:rtl/>
              </w:rPr>
              <w:t>י</w:t>
            </w:r>
            <w:r w:rsidRPr="00014C4D">
              <w:rPr>
                <w:sz w:val="18"/>
                <w:szCs w:val="22"/>
                <w:rtl/>
              </w:rPr>
              <w:t>ה.</w:t>
            </w:r>
          </w:p>
        </w:tc>
      </w:tr>
      <w:tr w:rsidR="00014C4D" w:rsidRPr="00014C4D" w:rsidTr="00014C4D">
        <w:trPr>
          <w:jc w:val="center"/>
        </w:trPr>
        <w:tc>
          <w:tcPr>
            <w:tcW w:w="678" w:type="dxa"/>
          </w:tcPr>
          <w:p w:rsidR="00014C4D" w:rsidRPr="00014C4D" w:rsidRDefault="00014C4D" w:rsidP="00014C4D">
            <w:pPr>
              <w:spacing w:line="269" w:lineRule="auto"/>
              <w:rPr>
                <w:sz w:val="18"/>
                <w:szCs w:val="22"/>
                <w:rtl/>
              </w:rPr>
            </w:pPr>
            <w:r w:rsidRPr="00014C4D">
              <w:rPr>
                <w:rFonts w:hint="cs"/>
                <w:sz w:val="18"/>
                <w:szCs w:val="22"/>
                <w:rtl/>
              </w:rPr>
              <w:t>2023</w:t>
            </w:r>
          </w:p>
        </w:tc>
        <w:tc>
          <w:tcPr>
            <w:tcW w:w="7518" w:type="dxa"/>
          </w:tcPr>
          <w:p w:rsidR="00014C4D" w:rsidRPr="00014C4D" w:rsidRDefault="00014C4D" w:rsidP="00014C4D">
            <w:pPr>
              <w:spacing w:line="269" w:lineRule="auto"/>
              <w:rPr>
                <w:sz w:val="18"/>
                <w:szCs w:val="22"/>
                <w:rtl/>
              </w:rPr>
            </w:pPr>
            <w:r w:rsidRPr="00014C4D">
              <w:rPr>
                <w:sz w:val="18"/>
                <w:szCs w:val="22"/>
                <w:rtl/>
              </w:rPr>
              <w:t>ביוני</w:t>
            </w:r>
            <w:r w:rsidRPr="00014C4D">
              <w:rPr>
                <w:rFonts w:hint="cs"/>
                <w:sz w:val="18"/>
                <w:szCs w:val="22"/>
                <w:rtl/>
              </w:rPr>
              <w:t xml:space="preserve"> התקבל תקציב בסך 47 </w:t>
            </w:r>
            <w:r w:rsidRPr="00014C4D">
              <w:rPr>
                <w:sz w:val="18"/>
                <w:szCs w:val="22"/>
                <w:rtl/>
              </w:rPr>
              <w:t>מ</w:t>
            </w:r>
            <w:r w:rsidRPr="00014C4D">
              <w:rPr>
                <w:rFonts w:hint="cs"/>
                <w:sz w:val="18"/>
                <w:szCs w:val="22"/>
                <w:rtl/>
              </w:rPr>
              <w:t xml:space="preserve">יליון </w:t>
            </w:r>
            <w:r w:rsidRPr="00014C4D">
              <w:rPr>
                <w:sz w:val="18"/>
                <w:szCs w:val="22"/>
                <w:rtl/>
              </w:rPr>
              <w:t>ש״ח</w:t>
            </w:r>
            <w:r w:rsidRPr="00014C4D">
              <w:rPr>
                <w:rFonts w:hint="cs"/>
                <w:sz w:val="18"/>
                <w:szCs w:val="22"/>
                <w:rtl/>
              </w:rPr>
              <w:t>.</w:t>
            </w:r>
          </w:p>
          <w:p w:rsidR="00014C4D" w:rsidRPr="00014C4D" w:rsidRDefault="00014C4D" w:rsidP="00014C4D">
            <w:pPr>
              <w:spacing w:line="269" w:lineRule="auto"/>
              <w:rPr>
                <w:b/>
                <w:bCs/>
                <w:sz w:val="18"/>
                <w:szCs w:val="22"/>
                <w:rtl/>
              </w:rPr>
            </w:pPr>
          </w:p>
          <w:p w:rsidR="00014C4D" w:rsidRPr="00014C4D" w:rsidRDefault="00014C4D" w:rsidP="00014C4D">
            <w:pPr>
              <w:spacing w:line="269" w:lineRule="auto"/>
              <w:rPr>
                <w:sz w:val="18"/>
                <w:szCs w:val="22"/>
                <w:rtl/>
              </w:rPr>
            </w:pPr>
            <w:r w:rsidRPr="00014C4D">
              <w:rPr>
                <w:b/>
                <w:bCs/>
                <w:sz w:val="18"/>
                <w:szCs w:val="22"/>
                <w:rtl/>
              </w:rPr>
              <w:t>מטולה</w:t>
            </w:r>
            <w:r w:rsidRPr="00014C4D">
              <w:rPr>
                <w:sz w:val="18"/>
                <w:szCs w:val="22"/>
                <w:rtl/>
              </w:rPr>
              <w:t>:</w:t>
            </w:r>
            <w:r w:rsidRPr="00014C4D">
              <w:rPr>
                <w:rFonts w:hint="cs"/>
                <w:sz w:val="18"/>
                <w:szCs w:val="22"/>
                <w:rtl/>
              </w:rPr>
              <w:t xml:space="preserve"> 70</w:t>
            </w:r>
            <w:r w:rsidRPr="00014C4D">
              <w:rPr>
                <w:sz w:val="18"/>
                <w:szCs w:val="22"/>
                <w:rtl/>
              </w:rPr>
              <w:t xml:space="preserve">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משגב עם</w:t>
            </w:r>
            <w:r w:rsidRPr="00014C4D">
              <w:rPr>
                <w:sz w:val="18"/>
                <w:szCs w:val="22"/>
                <w:rtl/>
              </w:rPr>
              <w:t xml:space="preserve">: </w:t>
            </w:r>
            <w:r w:rsidRPr="00014C4D">
              <w:rPr>
                <w:rFonts w:hint="cs"/>
                <w:sz w:val="18"/>
                <w:szCs w:val="22"/>
                <w:rtl/>
              </w:rPr>
              <w:t>49</w:t>
            </w:r>
            <w:r w:rsidRPr="00014C4D">
              <w:rPr>
                <w:sz w:val="18"/>
                <w:szCs w:val="22"/>
                <w:rtl/>
              </w:rPr>
              <w:t xml:space="preserve">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שתולה</w:t>
            </w:r>
            <w:r w:rsidRPr="00014C4D">
              <w:rPr>
                <w:sz w:val="18"/>
                <w:szCs w:val="22"/>
                <w:rtl/>
              </w:rPr>
              <w:t xml:space="preserve">: </w:t>
            </w:r>
            <w:r w:rsidRPr="00014C4D">
              <w:rPr>
                <w:rFonts w:hint="cs"/>
                <w:sz w:val="18"/>
                <w:szCs w:val="22"/>
                <w:rtl/>
              </w:rPr>
              <w:t>40</w:t>
            </w:r>
            <w:r w:rsidRPr="00014C4D">
              <w:rPr>
                <w:sz w:val="18"/>
                <w:szCs w:val="22"/>
                <w:rtl/>
              </w:rPr>
              <w:t xml:space="preserve">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אביבים</w:t>
            </w:r>
            <w:r w:rsidRPr="00014C4D">
              <w:rPr>
                <w:sz w:val="18"/>
                <w:szCs w:val="22"/>
                <w:rtl/>
              </w:rPr>
              <w:t xml:space="preserve">: </w:t>
            </w:r>
            <w:r w:rsidRPr="00014C4D">
              <w:rPr>
                <w:rFonts w:hint="cs"/>
                <w:sz w:val="18"/>
                <w:szCs w:val="22"/>
                <w:rtl/>
              </w:rPr>
              <w:t>44</w:t>
            </w:r>
            <w:r w:rsidRPr="00014C4D">
              <w:rPr>
                <w:sz w:val="18"/>
                <w:szCs w:val="22"/>
                <w:rtl/>
              </w:rPr>
              <w:t xml:space="preserve">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כפר יובל</w:t>
            </w:r>
            <w:r w:rsidRPr="00014C4D">
              <w:rPr>
                <w:sz w:val="18"/>
                <w:szCs w:val="22"/>
                <w:rtl/>
              </w:rPr>
              <w:t xml:space="preserve">: </w:t>
            </w:r>
            <w:r w:rsidRPr="00014C4D">
              <w:rPr>
                <w:rFonts w:hint="cs"/>
                <w:sz w:val="18"/>
                <w:szCs w:val="22"/>
                <w:rtl/>
              </w:rPr>
              <w:t>66</w:t>
            </w:r>
            <w:r w:rsidRPr="00014C4D">
              <w:rPr>
                <w:sz w:val="18"/>
                <w:szCs w:val="22"/>
                <w:rtl/>
              </w:rPr>
              <w:t xml:space="preserve"> ממ״דים נמסרו</w:t>
            </w:r>
            <w:r w:rsidRPr="00014C4D">
              <w:rPr>
                <w:rFonts w:hint="cs"/>
                <w:sz w:val="18"/>
                <w:szCs w:val="22"/>
                <w:rtl/>
              </w:rPr>
              <w:t>.</w:t>
            </w:r>
            <w:r w:rsidRPr="00014C4D">
              <w:rPr>
                <w:sz w:val="18"/>
                <w:szCs w:val="22"/>
                <w:rtl/>
              </w:rPr>
              <w:t xml:space="preserve"> </w:t>
            </w:r>
          </w:p>
          <w:p w:rsidR="00014C4D" w:rsidRPr="00014C4D" w:rsidRDefault="00014C4D" w:rsidP="00014C4D">
            <w:pPr>
              <w:spacing w:line="269" w:lineRule="auto"/>
              <w:rPr>
                <w:sz w:val="18"/>
                <w:szCs w:val="22"/>
                <w:rtl/>
              </w:rPr>
            </w:pPr>
            <w:r w:rsidRPr="00014C4D">
              <w:rPr>
                <w:b/>
                <w:bCs/>
                <w:sz w:val="18"/>
                <w:szCs w:val="22"/>
                <w:rtl/>
              </w:rPr>
              <w:t>שלומי</w:t>
            </w:r>
            <w:r w:rsidRPr="00014C4D">
              <w:rPr>
                <w:sz w:val="18"/>
                <w:szCs w:val="22"/>
                <w:rtl/>
              </w:rPr>
              <w:t>: 46 ממ"דים בבני</w:t>
            </w:r>
            <w:r w:rsidRPr="00014C4D">
              <w:rPr>
                <w:rFonts w:hint="cs"/>
                <w:sz w:val="18"/>
                <w:szCs w:val="22"/>
                <w:rtl/>
              </w:rPr>
              <w:t>י</w:t>
            </w:r>
            <w:r w:rsidRPr="00014C4D">
              <w:rPr>
                <w:sz w:val="18"/>
                <w:szCs w:val="22"/>
                <w:rtl/>
              </w:rPr>
              <w:t>ה מתוכם 34 נמסרו בשנת 23</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מנרה</w:t>
            </w:r>
            <w:r w:rsidRPr="00014C4D">
              <w:rPr>
                <w:sz w:val="18"/>
                <w:szCs w:val="22"/>
                <w:rtl/>
              </w:rPr>
              <w:t xml:space="preserve">: </w:t>
            </w:r>
            <w:r w:rsidRPr="00014C4D">
              <w:rPr>
                <w:rFonts w:hint="cs"/>
                <w:sz w:val="18"/>
                <w:szCs w:val="22"/>
                <w:rtl/>
              </w:rPr>
              <w:t xml:space="preserve">ממ"ד אחד. </w:t>
            </w:r>
          </w:p>
          <w:p w:rsidR="00014C4D" w:rsidRPr="00014C4D" w:rsidRDefault="00014C4D" w:rsidP="00014C4D">
            <w:pPr>
              <w:spacing w:line="269" w:lineRule="auto"/>
              <w:rPr>
                <w:sz w:val="18"/>
                <w:szCs w:val="22"/>
                <w:rtl/>
              </w:rPr>
            </w:pPr>
            <w:r w:rsidRPr="00014C4D">
              <w:rPr>
                <w:b/>
                <w:bCs/>
                <w:sz w:val="18"/>
                <w:szCs w:val="22"/>
                <w:rtl/>
              </w:rPr>
              <w:t>מרגליות</w:t>
            </w:r>
            <w:r w:rsidRPr="00014C4D">
              <w:rPr>
                <w:sz w:val="18"/>
                <w:szCs w:val="22"/>
                <w:rtl/>
              </w:rPr>
              <w:t xml:space="preserve">: </w:t>
            </w:r>
            <w:r w:rsidRPr="00014C4D">
              <w:rPr>
                <w:rFonts w:hint="cs"/>
                <w:sz w:val="18"/>
                <w:szCs w:val="22"/>
                <w:rtl/>
              </w:rPr>
              <w:t>63</w:t>
            </w:r>
            <w:r w:rsidRPr="00014C4D">
              <w:rPr>
                <w:sz w:val="18"/>
                <w:szCs w:val="22"/>
                <w:rtl/>
              </w:rPr>
              <w:t xml:space="preserve"> ממ"דים</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אדמית</w:t>
            </w:r>
            <w:r w:rsidRPr="00014C4D">
              <w:rPr>
                <w:sz w:val="18"/>
                <w:szCs w:val="22"/>
                <w:rtl/>
              </w:rPr>
              <w:t>:</w:t>
            </w:r>
            <w:r w:rsidRPr="00014C4D">
              <w:rPr>
                <w:rFonts w:hint="cs"/>
                <w:sz w:val="18"/>
                <w:szCs w:val="22"/>
                <w:rtl/>
              </w:rPr>
              <w:t xml:space="preserve"> 24</w:t>
            </w:r>
            <w:r w:rsidRPr="00014C4D">
              <w:rPr>
                <w:sz w:val="18"/>
                <w:szCs w:val="22"/>
                <w:rtl/>
              </w:rPr>
              <w:t xml:space="preserve"> ממ״דים בבני</w:t>
            </w:r>
            <w:r w:rsidRPr="00014C4D">
              <w:rPr>
                <w:rFonts w:hint="cs"/>
                <w:sz w:val="18"/>
                <w:szCs w:val="22"/>
                <w:rtl/>
              </w:rPr>
              <w:t>י</w:t>
            </w:r>
            <w:r w:rsidRPr="00014C4D">
              <w:rPr>
                <w:sz w:val="18"/>
                <w:szCs w:val="22"/>
                <w:rtl/>
              </w:rPr>
              <w:t>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זרעית</w:t>
            </w:r>
            <w:r w:rsidRPr="00014C4D">
              <w:rPr>
                <w:sz w:val="18"/>
                <w:szCs w:val="22"/>
                <w:rtl/>
              </w:rPr>
              <w:t>: 4 ממ״דים</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ראש הנקרה</w:t>
            </w:r>
            <w:r w:rsidRPr="00014C4D">
              <w:rPr>
                <w:sz w:val="18"/>
                <w:szCs w:val="22"/>
                <w:rtl/>
              </w:rPr>
              <w:t xml:space="preserve">: </w:t>
            </w:r>
            <w:r w:rsidRPr="00014C4D">
              <w:rPr>
                <w:rFonts w:hint="cs"/>
                <w:sz w:val="18"/>
                <w:szCs w:val="22"/>
                <w:rtl/>
              </w:rPr>
              <w:t>43</w:t>
            </w:r>
            <w:r w:rsidRPr="00014C4D">
              <w:rPr>
                <w:sz w:val="18"/>
                <w:szCs w:val="22"/>
                <w:rtl/>
              </w:rPr>
              <w:t xml:space="preserve"> ממ״דים בבנ</w:t>
            </w:r>
            <w:r w:rsidRPr="00014C4D">
              <w:rPr>
                <w:rFonts w:hint="cs"/>
                <w:sz w:val="18"/>
                <w:szCs w:val="22"/>
                <w:rtl/>
              </w:rPr>
              <w:t>י</w:t>
            </w:r>
            <w:r w:rsidRPr="00014C4D">
              <w:rPr>
                <w:sz w:val="18"/>
                <w:szCs w:val="22"/>
                <w:rtl/>
              </w:rPr>
              <w:t>יה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חניתה</w:t>
            </w:r>
            <w:r w:rsidRPr="00014C4D">
              <w:rPr>
                <w:sz w:val="18"/>
                <w:szCs w:val="22"/>
                <w:rtl/>
              </w:rPr>
              <w:t xml:space="preserve">: </w:t>
            </w:r>
            <w:r w:rsidRPr="00014C4D">
              <w:rPr>
                <w:rFonts w:hint="cs"/>
                <w:sz w:val="18"/>
                <w:szCs w:val="22"/>
                <w:rtl/>
              </w:rPr>
              <w:t>14</w:t>
            </w:r>
            <w:r w:rsidRPr="00014C4D">
              <w:rPr>
                <w:sz w:val="18"/>
                <w:szCs w:val="22"/>
                <w:rtl/>
              </w:rPr>
              <w:t xml:space="preserve"> ממ״דים בבני</w:t>
            </w:r>
            <w:r w:rsidRPr="00014C4D">
              <w:rPr>
                <w:rFonts w:hint="cs"/>
                <w:sz w:val="18"/>
                <w:szCs w:val="22"/>
                <w:rtl/>
              </w:rPr>
              <w:t>י</w:t>
            </w:r>
            <w:r w:rsidRPr="00014C4D">
              <w:rPr>
                <w:sz w:val="18"/>
                <w:szCs w:val="22"/>
                <w:rtl/>
              </w:rPr>
              <w:t>ה</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דוב׳׳ב</w:t>
            </w:r>
            <w:r w:rsidRPr="00014C4D">
              <w:rPr>
                <w:sz w:val="18"/>
                <w:szCs w:val="22"/>
                <w:rtl/>
              </w:rPr>
              <w:t>: 5 ממ"דים</w:t>
            </w:r>
            <w:r w:rsidRPr="00014C4D">
              <w:rPr>
                <w:rFonts w:hint="cs"/>
                <w:sz w:val="18"/>
                <w:szCs w:val="22"/>
                <w:rtl/>
              </w:rPr>
              <w:t>.</w:t>
            </w:r>
          </w:p>
          <w:p w:rsidR="00014C4D" w:rsidRPr="00014C4D" w:rsidRDefault="00014C4D" w:rsidP="00014C4D">
            <w:pPr>
              <w:spacing w:line="269" w:lineRule="auto"/>
              <w:rPr>
                <w:sz w:val="18"/>
                <w:szCs w:val="22"/>
                <w:rtl/>
              </w:rPr>
            </w:pPr>
            <w:r w:rsidRPr="00014C4D">
              <w:rPr>
                <w:b/>
                <w:bCs/>
                <w:sz w:val="18"/>
                <w:szCs w:val="22"/>
                <w:rtl/>
              </w:rPr>
              <w:t>יפתח</w:t>
            </w:r>
            <w:r w:rsidRPr="00014C4D">
              <w:rPr>
                <w:sz w:val="18"/>
                <w:szCs w:val="22"/>
                <w:rtl/>
              </w:rPr>
              <w:t>:</w:t>
            </w:r>
            <w:r w:rsidRPr="00014C4D">
              <w:rPr>
                <w:rFonts w:hint="cs"/>
                <w:sz w:val="18"/>
                <w:szCs w:val="22"/>
                <w:rtl/>
              </w:rPr>
              <w:t xml:space="preserve"> </w:t>
            </w:r>
            <w:r w:rsidRPr="00014C4D">
              <w:rPr>
                <w:sz w:val="18"/>
                <w:szCs w:val="22"/>
                <w:rtl/>
              </w:rPr>
              <w:t>6 ממ"דים</w:t>
            </w:r>
            <w:r w:rsidRPr="00014C4D">
              <w:rPr>
                <w:rFonts w:hint="cs"/>
                <w:sz w:val="18"/>
                <w:szCs w:val="22"/>
                <w:rtl/>
              </w:rPr>
              <w:t>.</w:t>
            </w:r>
            <w:r w:rsidRPr="00014C4D">
              <w:rPr>
                <w:sz w:val="18"/>
                <w:szCs w:val="22"/>
                <w:rtl/>
              </w:rPr>
              <w:t xml:space="preserve"> </w:t>
            </w:r>
          </w:p>
          <w:p w:rsidR="00014C4D" w:rsidRPr="00014C4D" w:rsidRDefault="00014C4D" w:rsidP="00014C4D">
            <w:pPr>
              <w:spacing w:line="269" w:lineRule="auto"/>
              <w:rPr>
                <w:b/>
                <w:bCs/>
                <w:sz w:val="18"/>
                <w:szCs w:val="22"/>
                <w:rtl/>
              </w:rPr>
            </w:pPr>
            <w:r w:rsidRPr="00014C4D">
              <w:rPr>
                <w:b/>
                <w:bCs/>
                <w:sz w:val="18"/>
                <w:szCs w:val="22"/>
                <w:rtl/>
              </w:rPr>
              <w:t>מעיין ברוך</w:t>
            </w:r>
            <w:r w:rsidRPr="00014C4D">
              <w:rPr>
                <w:sz w:val="18"/>
                <w:szCs w:val="22"/>
                <w:rtl/>
              </w:rPr>
              <w:t>: 5 ממ"דים</w:t>
            </w:r>
            <w:r w:rsidRPr="00014C4D">
              <w:rPr>
                <w:rFonts w:hint="cs"/>
                <w:sz w:val="18"/>
                <w:szCs w:val="22"/>
                <w:rtl/>
              </w:rPr>
              <w:t>.</w:t>
            </w:r>
            <w:r w:rsidRPr="00014C4D">
              <w:rPr>
                <w:sz w:val="18"/>
                <w:szCs w:val="22"/>
                <w:rtl/>
              </w:rPr>
              <w:t xml:space="preserve"> </w:t>
            </w:r>
          </w:p>
          <w:p w:rsidR="00014C4D" w:rsidRPr="00014C4D" w:rsidRDefault="00014C4D" w:rsidP="00014C4D">
            <w:pPr>
              <w:spacing w:line="269" w:lineRule="auto"/>
              <w:rPr>
                <w:sz w:val="18"/>
                <w:szCs w:val="22"/>
                <w:rtl/>
              </w:rPr>
            </w:pPr>
            <w:r w:rsidRPr="00014C4D">
              <w:rPr>
                <w:b/>
                <w:bCs/>
                <w:sz w:val="18"/>
                <w:szCs w:val="22"/>
                <w:rtl/>
              </w:rPr>
              <w:t>מלכיה</w:t>
            </w:r>
            <w:r w:rsidRPr="00014C4D">
              <w:rPr>
                <w:sz w:val="18"/>
                <w:szCs w:val="22"/>
                <w:rtl/>
              </w:rPr>
              <w:t>:</w:t>
            </w:r>
            <w:r w:rsidRPr="00014C4D">
              <w:rPr>
                <w:rFonts w:hint="cs"/>
                <w:sz w:val="18"/>
                <w:szCs w:val="22"/>
                <w:rtl/>
              </w:rPr>
              <w:t xml:space="preserve"> </w:t>
            </w:r>
            <w:r w:rsidRPr="00014C4D">
              <w:rPr>
                <w:sz w:val="18"/>
                <w:szCs w:val="22"/>
                <w:rtl/>
              </w:rPr>
              <w:t>14 ממ״דים</w:t>
            </w:r>
            <w:r w:rsidRPr="00014C4D">
              <w:rPr>
                <w:rFonts w:hint="cs"/>
                <w:sz w:val="18"/>
                <w:szCs w:val="22"/>
                <w:rtl/>
              </w:rPr>
              <w:t>.</w:t>
            </w:r>
          </w:p>
        </w:tc>
      </w:tr>
    </w:tbl>
    <w:p w:rsidR="00014C4D" w:rsidRPr="00014C4D" w:rsidRDefault="00014C4D" w:rsidP="00014C4D">
      <w:pPr>
        <w:spacing w:line="269" w:lineRule="auto"/>
        <w:ind w:left="-567"/>
        <w:rPr>
          <w:szCs w:val="20"/>
          <w:rtl/>
        </w:rPr>
      </w:pPr>
    </w:p>
    <w:p w:rsidR="00C73E3F" w:rsidRPr="00014C4D" w:rsidRDefault="00C73E3F" w:rsidP="00C73E3F">
      <w:pPr>
        <w:spacing w:line="269" w:lineRule="auto"/>
        <w:rPr>
          <w:rFonts w:eastAsia="Times New Roman"/>
          <w:b/>
          <w:bCs/>
          <w:rtl/>
          <w:lang w:eastAsia="he-IL"/>
        </w:rPr>
      </w:pPr>
      <w:r w:rsidRPr="008C5FD3">
        <w:rPr>
          <w:rFonts w:eastAsia="Times New Roman"/>
          <w:b/>
          <w:bCs/>
          <w:rtl/>
          <w:lang w:eastAsia="he-IL"/>
        </w:rPr>
        <w:t xml:space="preserve">מהאמור לעיל עולה כי לצורך מימוש תוכנית "מגן הצפון" תוקצב פקע"ר בפועל בשנים 2019 - 2024 בסך של 1.406 מיליארד ש"ח, מתוכם 869 מיליון ש"ח בשנת 2024 (לאחר פרוץ מלחמת חרבות ברזל), אף שעל פי החלטה ב/302 לצורך מימוש התוכנית היה צורך להקצות במהלך תקופה זו סכום של 3 מיליארד ש"ח (500 מיליון ש"ח בכל שנה). עוד </w:t>
      </w:r>
      <w:r w:rsidRPr="008C5FD3">
        <w:rPr>
          <w:rFonts w:eastAsia="Times New Roman"/>
          <w:b/>
          <w:bCs/>
          <w:rtl/>
          <w:lang w:eastAsia="he-IL"/>
        </w:rPr>
        <w:t>עולה</w:t>
      </w:r>
      <w:r w:rsidRPr="008C5FD3">
        <w:rPr>
          <w:rFonts w:eastAsia="Times New Roman"/>
          <w:b/>
          <w:bCs/>
          <w:rtl/>
          <w:lang w:eastAsia="he-IL"/>
        </w:rPr>
        <w:t xml:space="preserve"> כי מימוש התקציבים </w:t>
      </w:r>
      <w:r w:rsidRPr="008C5FD3">
        <w:rPr>
          <w:rFonts w:eastAsia="Times New Roman"/>
          <w:b/>
          <w:bCs/>
          <w:rtl/>
          <w:lang w:eastAsia="he-IL"/>
        </w:rPr>
        <w:t>שהוקצו עד סוף שנת</w:t>
      </w:r>
      <w:r w:rsidRPr="008C5FD3">
        <w:rPr>
          <w:rFonts w:eastAsia="Times New Roman"/>
          <w:b/>
          <w:bCs/>
          <w:rtl/>
          <w:lang w:eastAsia="he-IL"/>
        </w:rPr>
        <w:t xml:space="preserve"> 2024 </w:t>
      </w:r>
      <w:r w:rsidRPr="008C5FD3">
        <w:rPr>
          <w:rFonts w:eastAsia="Times New Roman"/>
          <w:b/>
          <w:bCs/>
          <w:rtl/>
          <w:lang w:eastAsia="he-IL"/>
        </w:rPr>
        <w:t>הסתכם בכ-733.69 מיליון ש״ח בלבד, שהם כ-52% מסך התקציב</w:t>
      </w:r>
      <w:r w:rsidRPr="008C5FD3">
        <w:rPr>
          <w:rFonts w:eastAsia="Times New Roman"/>
          <w:b/>
          <w:bCs/>
          <w:rtl/>
          <w:lang w:eastAsia="he-IL"/>
        </w:rPr>
        <w:t xml:space="preserve"> שהוקצה</w:t>
      </w:r>
      <w:r w:rsidRPr="008C5FD3">
        <w:rPr>
          <w:rFonts w:eastAsia="Times New Roman"/>
          <w:b/>
          <w:bCs/>
          <w:rtl/>
          <w:lang w:eastAsia="he-IL"/>
        </w:rPr>
        <w:t xml:space="preserve"> בפועל. יצוין כי סכום זה משקף תשלומים שבוצעו בפועל עד יולי 2025, ואינו כולל התחייבויות תקציביות נוספות שטרם מומשו בתשלום</w:t>
      </w:r>
      <w:r w:rsidRPr="008C5FD3">
        <w:rPr>
          <w:rFonts w:eastAsia="Times New Roman"/>
          <w:b/>
          <w:bCs/>
          <w:rtl/>
          <w:lang w:eastAsia="he-IL"/>
        </w:rPr>
        <w:t>.</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tl/>
        </w:rPr>
      </w:pPr>
      <w:r w:rsidRPr="00014C4D">
        <w:rPr>
          <w:rFonts w:hint="eastAsia"/>
          <w:rtl/>
        </w:rPr>
        <w:t>פקע</w:t>
      </w:r>
      <w:r w:rsidRPr="00014C4D">
        <w:rPr>
          <w:rtl/>
        </w:rPr>
        <w:t xml:space="preserve">"ר </w:t>
      </w:r>
      <w:r w:rsidRPr="00014C4D">
        <w:rPr>
          <w:rFonts w:hint="cs"/>
          <w:rtl/>
        </w:rPr>
        <w:t xml:space="preserve">מסר </w:t>
      </w:r>
      <w:r w:rsidRPr="00014C4D">
        <w:rPr>
          <w:rFonts w:hint="eastAsia"/>
          <w:rtl/>
        </w:rPr>
        <w:t>בתשובתו</w:t>
      </w:r>
      <w:r w:rsidRPr="00014C4D">
        <w:rPr>
          <w:rtl/>
        </w:rPr>
        <w:t xml:space="preserve"> כי שיעור ההתקשרויות בפועל עמד על </w:t>
      </w:r>
      <w:r w:rsidRPr="00014C4D">
        <w:rPr>
          <w:rFonts w:hint="cs"/>
          <w:rtl/>
        </w:rPr>
        <w:t>כ-</w:t>
      </w:r>
      <w:r w:rsidRPr="00014C4D">
        <w:rPr>
          <w:rtl/>
        </w:rPr>
        <w:t>100% מהתקציב שהוקצה</w:t>
      </w:r>
      <w:r w:rsidRPr="00014C4D">
        <w:rPr>
          <w:rFonts w:hint="cs"/>
          <w:rtl/>
        </w:rPr>
        <w:t>. אשר ל</w:t>
      </w:r>
      <w:r w:rsidRPr="00014C4D">
        <w:rPr>
          <w:rtl/>
        </w:rPr>
        <w:t>שיעור המימוש</w:t>
      </w:r>
      <w:r w:rsidRPr="00014C4D">
        <w:rPr>
          <w:rFonts w:hint="cs"/>
          <w:rtl/>
        </w:rPr>
        <w:t>,</w:t>
      </w:r>
      <w:r w:rsidRPr="00014C4D">
        <w:rPr>
          <w:rtl/>
        </w:rPr>
        <w:t xml:space="preserve"> </w:t>
      </w:r>
      <w:r w:rsidRPr="00014C4D">
        <w:rPr>
          <w:rFonts w:hint="cs"/>
          <w:rtl/>
        </w:rPr>
        <w:t>כלומר ה</w:t>
      </w:r>
      <w:r w:rsidRPr="00014C4D">
        <w:rPr>
          <w:rtl/>
        </w:rPr>
        <w:t>תשלומים שבוצעו בפועל</w:t>
      </w:r>
      <w:r w:rsidRPr="00014C4D">
        <w:rPr>
          <w:rFonts w:hint="cs"/>
          <w:rtl/>
        </w:rPr>
        <w:t>,</w:t>
      </w:r>
      <w:r w:rsidRPr="00014C4D">
        <w:rPr>
          <w:rtl/>
        </w:rPr>
        <w:t xml:space="preserve"> </w:t>
      </w:r>
      <w:r w:rsidRPr="00014C4D">
        <w:rPr>
          <w:rFonts w:hint="cs"/>
          <w:rtl/>
        </w:rPr>
        <w:t>שהם</w:t>
      </w:r>
      <w:r w:rsidRPr="00014C4D">
        <w:rPr>
          <w:rtl/>
        </w:rPr>
        <w:t xml:space="preserve"> </w:t>
      </w:r>
      <w:r w:rsidRPr="00014C4D">
        <w:rPr>
          <w:rFonts w:hint="cs"/>
          <w:rtl/>
        </w:rPr>
        <w:t xml:space="preserve">פועל יוצא </w:t>
      </w:r>
      <w:r w:rsidRPr="00014C4D">
        <w:rPr>
          <w:rtl/>
        </w:rPr>
        <w:t>של קצב הביצוע בשטח</w:t>
      </w:r>
      <w:r w:rsidRPr="00014C4D">
        <w:rPr>
          <w:rFonts w:hint="cs"/>
          <w:rtl/>
        </w:rPr>
        <w:t xml:space="preserve"> - בביצוע חלו עיכובים הנובעים מתהליך</w:t>
      </w:r>
      <w:r w:rsidRPr="00014C4D">
        <w:rPr>
          <w:rtl/>
        </w:rPr>
        <w:t xml:space="preserve"> </w:t>
      </w:r>
      <w:r w:rsidRPr="00014C4D">
        <w:rPr>
          <w:rFonts w:hint="cs"/>
          <w:rtl/>
        </w:rPr>
        <w:t xml:space="preserve">קבלת </w:t>
      </w:r>
      <w:r w:rsidRPr="00014C4D">
        <w:rPr>
          <w:rtl/>
        </w:rPr>
        <w:t>היתרי הבנייה ו</w:t>
      </w:r>
      <w:r w:rsidRPr="00014C4D">
        <w:rPr>
          <w:rFonts w:hint="cs"/>
          <w:rtl/>
        </w:rPr>
        <w:t>מ</w:t>
      </w:r>
      <w:r w:rsidRPr="00014C4D">
        <w:rPr>
          <w:rtl/>
        </w:rPr>
        <w:t>אילוצים פרויקטל</w:t>
      </w:r>
      <w:r w:rsidRPr="00014C4D">
        <w:rPr>
          <w:rFonts w:hint="cs"/>
          <w:rtl/>
        </w:rPr>
        <w:t>י</w:t>
      </w:r>
      <w:r w:rsidRPr="00014C4D">
        <w:rPr>
          <w:rtl/>
        </w:rPr>
        <w:t>ים עקב המלחמה.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imes New Roman" w:hint="cs"/>
          <w:b/>
          <w:bCs/>
          <w:rtl/>
          <w:lang w:eastAsia="he-IL"/>
        </w:rPr>
        <w:lastRenderedPageBreak/>
        <w:t xml:space="preserve">משרד מבקר המדינה מעיר לראש אגף התקציבים במשרד האוצר ומנכ"ל משרד </w:t>
      </w:r>
      <w:r w:rsidRPr="00014C4D">
        <w:rPr>
          <w:rFonts w:eastAsia="Times New Roman" w:hint="eastAsia"/>
          <w:b/>
          <w:bCs/>
          <w:rtl/>
          <w:lang w:eastAsia="he-IL"/>
        </w:rPr>
        <w:t>הב</w:t>
      </w:r>
      <w:r w:rsidRPr="00014C4D">
        <w:rPr>
          <w:rFonts w:eastAsia="Times New Roman" w:hint="cs"/>
          <w:b/>
          <w:bCs/>
          <w:rtl/>
          <w:lang w:eastAsia="he-IL"/>
        </w:rPr>
        <w:t>י</w:t>
      </w:r>
      <w:r w:rsidRPr="00014C4D">
        <w:rPr>
          <w:rFonts w:eastAsia="Times New Roman" w:hint="eastAsia"/>
          <w:b/>
          <w:bCs/>
          <w:rtl/>
          <w:lang w:eastAsia="he-IL"/>
        </w:rPr>
        <w:t>טחון</w:t>
      </w:r>
      <w:r w:rsidRPr="00014C4D">
        <w:rPr>
          <w:rFonts w:eastAsia="Times New Roman" w:hint="cs"/>
          <w:b/>
          <w:bCs/>
          <w:rtl/>
          <w:lang w:eastAsia="he-IL"/>
        </w:rPr>
        <w:t xml:space="preserve"> כי החלטת הקבינט ב/302 התקבלה ללא </w:t>
      </w:r>
      <w:r w:rsidRPr="00014C4D">
        <w:rPr>
          <w:rFonts w:eastAsia="Times New Roman"/>
          <w:b/>
          <w:bCs/>
          <w:rtl/>
          <w:lang w:eastAsia="he-IL"/>
        </w:rPr>
        <w:t xml:space="preserve">הקצאה של מקורות תקציביים בהתאם לחוק יסודות התקציב, </w:t>
      </w:r>
      <w:r w:rsidRPr="00014C4D">
        <w:rPr>
          <w:rFonts w:eastAsia="Times New Roman" w:hint="eastAsia"/>
          <w:b/>
          <w:bCs/>
          <w:rtl/>
          <w:lang w:eastAsia="he-IL"/>
        </w:rPr>
        <w:t>התשמ</w:t>
      </w:r>
      <w:r w:rsidRPr="00014C4D">
        <w:rPr>
          <w:rFonts w:eastAsia="Times New Roman"/>
          <w:b/>
          <w:bCs/>
          <w:rtl/>
          <w:lang w:eastAsia="he-IL"/>
        </w:rPr>
        <w:t>"ה</w:t>
      </w:r>
      <w:r w:rsidRPr="00014C4D">
        <w:rPr>
          <w:rFonts w:eastAsia="Times New Roman" w:hint="cs"/>
          <w:b/>
          <w:bCs/>
          <w:rtl/>
          <w:lang w:eastAsia="he-IL"/>
        </w:rPr>
        <w:t>-</w:t>
      </w:r>
      <w:r w:rsidRPr="00014C4D">
        <w:rPr>
          <w:rFonts w:eastAsia="Times New Roman"/>
          <w:b/>
          <w:bCs/>
          <w:rtl/>
          <w:lang w:eastAsia="he-IL"/>
        </w:rPr>
        <w:t>1985</w:t>
      </w:r>
      <w:r w:rsidRPr="00014C4D">
        <w:rPr>
          <w:rFonts w:eastAsia="Times New Roman"/>
          <w:b/>
          <w:bCs/>
          <w:vertAlign w:val="superscript"/>
          <w:rtl/>
          <w:lang w:eastAsia="he-IL"/>
        </w:rPr>
        <w:footnoteReference w:id="115"/>
      </w:r>
      <w:r w:rsidRPr="00014C4D">
        <w:rPr>
          <w:rFonts w:eastAsia="Times New Roman" w:hint="cs"/>
          <w:b/>
          <w:bCs/>
          <w:rtl/>
          <w:lang w:eastAsia="he-IL"/>
        </w:rPr>
        <w:t xml:space="preserve">, </w:t>
      </w:r>
      <w:r w:rsidRPr="00014C4D">
        <w:rPr>
          <w:rFonts w:eastAsia="Times New Roman" w:hint="eastAsia"/>
          <w:b/>
          <w:bCs/>
          <w:rtl/>
          <w:lang w:eastAsia="he-IL"/>
        </w:rPr>
        <w:t>ועד</w:t>
      </w:r>
      <w:r w:rsidRPr="00014C4D">
        <w:rPr>
          <w:rFonts w:eastAsia="Times New Roman"/>
          <w:b/>
          <w:bCs/>
          <w:rtl/>
          <w:lang w:eastAsia="he-IL"/>
        </w:rPr>
        <w:t xml:space="preserve"> </w:t>
      </w:r>
      <w:r w:rsidRPr="00014C4D">
        <w:rPr>
          <w:rFonts w:eastAsia="Times New Roman" w:hint="eastAsia"/>
          <w:b/>
          <w:bCs/>
          <w:rtl/>
          <w:lang w:eastAsia="he-IL"/>
        </w:rPr>
        <w:t>פרוץ</w:t>
      </w:r>
      <w:r w:rsidRPr="00014C4D">
        <w:rPr>
          <w:rFonts w:eastAsia="Times New Roman"/>
          <w:b/>
          <w:bCs/>
          <w:rtl/>
          <w:lang w:eastAsia="he-IL"/>
        </w:rPr>
        <w:t xml:space="preserve"> </w:t>
      </w:r>
      <w:r w:rsidRPr="00014C4D">
        <w:rPr>
          <w:rFonts w:eastAsia="Times New Roman" w:hint="eastAsia"/>
          <w:b/>
          <w:bCs/>
          <w:rtl/>
          <w:lang w:eastAsia="he-IL"/>
        </w:rPr>
        <w:t>המלחמה</w:t>
      </w:r>
      <w:r w:rsidRPr="00014C4D">
        <w:rPr>
          <w:rFonts w:eastAsia="Times New Roman"/>
          <w:b/>
          <w:bCs/>
          <w:rtl/>
          <w:lang w:eastAsia="he-IL"/>
        </w:rPr>
        <w:t xml:space="preserve"> </w:t>
      </w:r>
      <w:r w:rsidRPr="00014C4D">
        <w:rPr>
          <w:rFonts w:eastAsia="Times New Roman" w:hint="cs"/>
          <w:b/>
          <w:bCs/>
          <w:rtl/>
          <w:lang w:eastAsia="he-IL"/>
        </w:rPr>
        <w:t>הוקצו</w:t>
      </w:r>
      <w:r w:rsidRPr="00014C4D">
        <w:rPr>
          <w:rFonts w:eastAsia="Times New Roman"/>
          <w:b/>
          <w:bCs/>
          <w:rtl/>
          <w:lang w:eastAsia="he-IL"/>
        </w:rPr>
        <w:t xml:space="preserve"> 21%</w:t>
      </w:r>
      <w:r w:rsidRPr="00014C4D">
        <w:rPr>
          <w:rFonts w:eastAsia="Times New Roman"/>
          <w:b/>
          <w:bCs/>
          <w:vertAlign w:val="superscript"/>
          <w:rtl/>
          <w:lang w:eastAsia="he-IL"/>
        </w:rPr>
        <w:footnoteReference w:id="116"/>
      </w:r>
      <w:r w:rsidRPr="00014C4D">
        <w:rPr>
          <w:rFonts w:eastAsia="Times New Roman"/>
          <w:b/>
          <w:bCs/>
          <w:rtl/>
          <w:lang w:eastAsia="he-IL"/>
        </w:rPr>
        <w:t xml:space="preserve"> בלבד</w:t>
      </w:r>
      <w:r w:rsidRPr="00014C4D">
        <w:rPr>
          <w:rFonts w:eastAsia="Times New Roman" w:hint="cs"/>
          <w:b/>
          <w:bCs/>
          <w:rtl/>
          <w:lang w:eastAsia="he-IL"/>
        </w:rPr>
        <w:t xml:space="preserve"> מהסכום שנקבע בהחלטה. </w:t>
      </w:r>
      <w:r w:rsidRPr="00014C4D">
        <w:rPr>
          <w:rFonts w:eastAsia="Times New Roman" w:hint="eastAsia"/>
          <w:b/>
          <w:bCs/>
          <w:rtl/>
          <w:lang w:eastAsia="he-IL"/>
        </w:rPr>
        <w:t>על</w:t>
      </w:r>
      <w:r w:rsidRPr="00014C4D">
        <w:rPr>
          <w:rFonts w:eastAsia="Times New Roman"/>
          <w:b/>
          <w:bCs/>
          <w:rtl/>
          <w:lang w:eastAsia="he-IL"/>
        </w:rPr>
        <w:t xml:space="preserve"> </w:t>
      </w:r>
      <w:r w:rsidRPr="00014C4D">
        <w:rPr>
          <w:rFonts w:eastAsia="Times New Roman" w:hint="eastAsia"/>
          <w:b/>
          <w:bCs/>
          <w:rtl/>
          <w:lang w:eastAsia="he-IL"/>
        </w:rPr>
        <w:t>ראש</w:t>
      </w:r>
      <w:r w:rsidRPr="00014C4D">
        <w:rPr>
          <w:rFonts w:eastAsia="Times New Roman"/>
          <w:b/>
          <w:bCs/>
          <w:rtl/>
          <w:lang w:eastAsia="he-IL"/>
        </w:rPr>
        <w:t xml:space="preserve"> אגף </w:t>
      </w:r>
      <w:r w:rsidRPr="00014C4D">
        <w:rPr>
          <w:rFonts w:eastAsia="Times New Roman" w:hint="cs"/>
          <w:b/>
          <w:bCs/>
          <w:rtl/>
          <w:lang w:eastAsia="he-IL"/>
        </w:rPr>
        <w:t>ה</w:t>
      </w:r>
      <w:r w:rsidRPr="00014C4D">
        <w:rPr>
          <w:rFonts w:eastAsia="Times New Roman"/>
          <w:b/>
          <w:bCs/>
          <w:rtl/>
          <w:lang w:eastAsia="he-IL"/>
        </w:rPr>
        <w:t xml:space="preserve">תקציבים ומנכ"ל </w:t>
      </w:r>
      <w:r w:rsidRPr="00014C4D">
        <w:rPr>
          <w:rFonts w:eastAsia="Times New Roman" w:hint="eastAsia"/>
          <w:b/>
          <w:bCs/>
          <w:rtl/>
          <w:lang w:eastAsia="he-IL"/>
        </w:rPr>
        <w:t>משרד</w:t>
      </w:r>
      <w:r w:rsidRPr="00014C4D">
        <w:rPr>
          <w:rFonts w:eastAsia="Times New Roman"/>
          <w:b/>
          <w:bCs/>
          <w:rtl/>
          <w:lang w:eastAsia="he-IL"/>
        </w:rPr>
        <w:t xml:space="preserve"> הב</w:t>
      </w:r>
      <w:r w:rsidRPr="00014C4D">
        <w:rPr>
          <w:rFonts w:eastAsia="Times New Roman" w:hint="cs"/>
          <w:b/>
          <w:bCs/>
          <w:rtl/>
          <w:lang w:eastAsia="he-IL"/>
        </w:rPr>
        <w:t>י</w:t>
      </w:r>
      <w:r w:rsidRPr="00014C4D">
        <w:rPr>
          <w:rFonts w:eastAsia="Times New Roman" w:hint="eastAsia"/>
          <w:b/>
          <w:bCs/>
          <w:rtl/>
          <w:lang w:eastAsia="he-IL"/>
        </w:rPr>
        <w:t>טחון</w:t>
      </w:r>
      <w:r w:rsidRPr="00014C4D">
        <w:rPr>
          <w:rFonts w:eastAsia="Times New Roman" w:hint="cs"/>
          <w:b/>
          <w:bCs/>
          <w:rtl/>
          <w:lang w:eastAsia="he-IL"/>
        </w:rPr>
        <w:t xml:space="preserve"> </w:t>
      </w:r>
      <w:r w:rsidRPr="00014C4D">
        <w:rPr>
          <w:rFonts w:eastAsia="Times New Roman" w:hint="eastAsia"/>
          <w:b/>
          <w:bCs/>
          <w:rtl/>
          <w:lang w:eastAsia="he-IL"/>
        </w:rPr>
        <w:t>להסדיר</w:t>
      </w:r>
      <w:r w:rsidRPr="00014C4D">
        <w:rPr>
          <w:rFonts w:eastAsia="Times New Roman"/>
          <w:b/>
          <w:bCs/>
          <w:rtl/>
          <w:lang w:eastAsia="he-IL"/>
        </w:rPr>
        <w:t xml:space="preserve"> </w:t>
      </w:r>
      <w:r w:rsidRPr="00014C4D">
        <w:rPr>
          <w:rFonts w:eastAsia="Times New Roman" w:hint="eastAsia"/>
          <w:b/>
          <w:bCs/>
          <w:rtl/>
          <w:lang w:eastAsia="he-IL"/>
        </w:rPr>
        <w:t>את</w:t>
      </w:r>
      <w:r w:rsidRPr="00014C4D">
        <w:rPr>
          <w:rFonts w:eastAsia="Times New Roman"/>
          <w:b/>
          <w:bCs/>
          <w:rtl/>
          <w:lang w:eastAsia="he-IL"/>
        </w:rPr>
        <w:t xml:space="preserve"> </w:t>
      </w:r>
      <w:r w:rsidRPr="00014C4D">
        <w:rPr>
          <w:rFonts w:eastAsia="Times New Roman" w:hint="eastAsia"/>
          <w:b/>
          <w:bCs/>
          <w:rtl/>
          <w:lang w:eastAsia="he-IL"/>
        </w:rPr>
        <w:t>המקור</w:t>
      </w:r>
      <w:r w:rsidRPr="00014C4D">
        <w:rPr>
          <w:rFonts w:eastAsia="Times New Roman"/>
          <w:b/>
          <w:bCs/>
          <w:rtl/>
          <w:lang w:eastAsia="he-IL"/>
        </w:rPr>
        <w:t xml:space="preserve"> </w:t>
      </w:r>
      <w:r w:rsidRPr="00014C4D">
        <w:rPr>
          <w:rFonts w:eastAsia="Times New Roman" w:hint="eastAsia"/>
          <w:b/>
          <w:bCs/>
          <w:rtl/>
          <w:lang w:eastAsia="he-IL"/>
        </w:rPr>
        <w:t>התקציבי</w:t>
      </w:r>
      <w:r w:rsidRPr="00014C4D">
        <w:rPr>
          <w:rFonts w:eastAsia="Times New Roman" w:hint="cs"/>
          <w:b/>
          <w:bCs/>
          <w:rtl/>
          <w:lang w:eastAsia="he-IL"/>
        </w:rPr>
        <w:t xml:space="preserve"> </w:t>
      </w:r>
      <w:r w:rsidRPr="00014C4D">
        <w:rPr>
          <w:rFonts w:eastAsia="Times New Roman" w:hint="eastAsia"/>
          <w:b/>
          <w:bCs/>
          <w:rtl/>
          <w:lang w:eastAsia="he-IL"/>
        </w:rPr>
        <w:t>למימוש</w:t>
      </w:r>
      <w:r w:rsidRPr="00014C4D">
        <w:rPr>
          <w:rFonts w:eastAsia="Times New Roman"/>
          <w:b/>
          <w:bCs/>
          <w:rtl/>
          <w:lang w:eastAsia="he-IL"/>
        </w:rPr>
        <w:t xml:space="preserve"> </w:t>
      </w:r>
      <w:r w:rsidRPr="00014C4D">
        <w:rPr>
          <w:rFonts w:eastAsia="Times New Roman" w:hint="eastAsia"/>
          <w:b/>
          <w:bCs/>
          <w:rtl/>
          <w:lang w:eastAsia="he-IL"/>
        </w:rPr>
        <w:t>הת</w:t>
      </w:r>
      <w:r w:rsidRPr="00014C4D">
        <w:rPr>
          <w:rFonts w:eastAsia="Times New Roman" w:hint="cs"/>
          <w:b/>
          <w:bCs/>
          <w:rtl/>
          <w:lang w:eastAsia="he-IL"/>
        </w:rPr>
        <w:t>ו</w:t>
      </w:r>
      <w:r w:rsidRPr="00014C4D">
        <w:rPr>
          <w:rFonts w:eastAsia="Times New Roman" w:hint="eastAsia"/>
          <w:b/>
          <w:bCs/>
          <w:rtl/>
          <w:lang w:eastAsia="he-IL"/>
        </w:rPr>
        <w:t>כנית</w:t>
      </w:r>
      <w:r w:rsidRPr="00014C4D">
        <w:rPr>
          <w:rFonts w:eastAsia="Times New Roman" w:hint="cs"/>
          <w:b/>
          <w:bCs/>
          <w:rtl/>
          <w:lang w:eastAsia="he-IL"/>
        </w:rPr>
        <w:t xml:space="preserve"> לשם השלמת פערי המיגון, בפרט ביישובים סמוכי הגדר</w:t>
      </w:r>
      <w:r w:rsidRPr="00014C4D">
        <w:rPr>
          <w:rFonts w:eastAsia="Times New Roman"/>
          <w:rtl/>
          <w:lang w:eastAsia="he-IL"/>
        </w:rPr>
        <w:t>.</w:t>
      </w:r>
      <w:r w:rsidRPr="00014C4D">
        <w:rPr>
          <w:rFonts w:hint="cs"/>
          <w:rtl/>
        </w:rPr>
        <w:t xml:space="preserve"> </w:t>
      </w:r>
      <w:r w:rsidRPr="00014C4D">
        <w:rPr>
          <w:rFonts w:hint="eastAsia"/>
          <w:b/>
          <w:bCs/>
          <w:rtl/>
        </w:rPr>
        <w:t>עוד</w:t>
      </w:r>
      <w:r w:rsidRPr="00014C4D">
        <w:rPr>
          <w:b/>
          <w:bCs/>
          <w:rtl/>
        </w:rPr>
        <w:t xml:space="preserve"> יוער למשרד ראש הממשלה </w:t>
      </w:r>
      <w:r w:rsidRPr="00014C4D">
        <w:rPr>
          <w:rFonts w:hint="eastAsia"/>
          <w:b/>
          <w:bCs/>
          <w:rtl/>
        </w:rPr>
        <w:t>ול</w:t>
      </w:r>
      <w:r w:rsidRPr="00014C4D">
        <w:rPr>
          <w:rFonts w:hint="eastAsia"/>
          <w:b/>
          <w:bCs/>
          <w:rtl/>
          <w:lang w:eastAsia="he-IL"/>
        </w:rPr>
        <w:t>צוות</w:t>
      </w:r>
      <w:r w:rsidRPr="00014C4D">
        <w:rPr>
          <w:b/>
          <w:bCs/>
          <w:rtl/>
          <w:lang w:eastAsia="he-IL"/>
        </w:rPr>
        <w:t xml:space="preserve"> </w:t>
      </w:r>
      <w:r w:rsidRPr="00014C4D">
        <w:rPr>
          <w:rFonts w:hint="cs"/>
          <w:b/>
          <w:bCs/>
          <w:rtl/>
          <w:lang w:eastAsia="he-IL"/>
        </w:rPr>
        <w:t>ה</w:t>
      </w:r>
      <w:r w:rsidRPr="00014C4D">
        <w:rPr>
          <w:b/>
          <w:bCs/>
          <w:rtl/>
          <w:lang w:eastAsia="he-IL"/>
        </w:rPr>
        <w:t xml:space="preserve">משותף </w:t>
      </w:r>
      <w:r w:rsidRPr="00014C4D">
        <w:rPr>
          <w:rFonts w:hint="eastAsia"/>
          <w:b/>
          <w:bCs/>
          <w:rtl/>
          <w:lang w:eastAsia="he-IL"/>
        </w:rPr>
        <w:t>בראשות</w:t>
      </w:r>
      <w:r w:rsidRPr="00014C4D">
        <w:rPr>
          <w:b/>
          <w:bCs/>
          <w:rtl/>
          <w:lang w:eastAsia="he-IL"/>
        </w:rPr>
        <w:t xml:space="preserve"> </w:t>
      </w:r>
      <w:r w:rsidRPr="00014C4D">
        <w:rPr>
          <w:rFonts w:hint="eastAsia"/>
          <w:b/>
          <w:bCs/>
          <w:rtl/>
          <w:lang w:eastAsia="he-IL"/>
        </w:rPr>
        <w:t>המל</w:t>
      </w:r>
      <w:r w:rsidRPr="00014C4D">
        <w:rPr>
          <w:b/>
          <w:bCs/>
          <w:rtl/>
          <w:lang w:eastAsia="he-IL"/>
        </w:rPr>
        <w:t xml:space="preserve">"ל </w:t>
      </w:r>
      <w:r w:rsidRPr="00014C4D">
        <w:rPr>
          <w:rFonts w:hint="cs"/>
          <w:b/>
          <w:bCs/>
          <w:rtl/>
          <w:lang w:eastAsia="he-IL"/>
        </w:rPr>
        <w:t>ש</w:t>
      </w:r>
      <w:r w:rsidRPr="00014C4D">
        <w:rPr>
          <w:b/>
          <w:bCs/>
          <w:rtl/>
          <w:lang w:eastAsia="he-IL"/>
        </w:rPr>
        <w:t xml:space="preserve">בו נכללו נציגים </w:t>
      </w:r>
      <w:r w:rsidRPr="00014C4D">
        <w:rPr>
          <w:rFonts w:hint="eastAsia"/>
          <w:b/>
          <w:bCs/>
          <w:rtl/>
          <w:lang w:eastAsia="he-IL"/>
        </w:rPr>
        <w:t>ממשהב</w:t>
      </w:r>
      <w:r w:rsidRPr="00014C4D">
        <w:rPr>
          <w:b/>
          <w:bCs/>
          <w:rtl/>
          <w:lang w:eastAsia="he-IL"/>
        </w:rPr>
        <w:t xml:space="preserve">"ט, משרד האוצר, המשרד </w:t>
      </w:r>
      <w:r w:rsidRPr="00014C4D">
        <w:rPr>
          <w:rFonts w:hint="eastAsia"/>
          <w:b/>
          <w:bCs/>
          <w:rtl/>
          <w:lang w:eastAsia="he-IL"/>
        </w:rPr>
        <w:t>לב</w:t>
      </w:r>
      <w:r w:rsidRPr="00014C4D">
        <w:rPr>
          <w:rFonts w:hint="cs"/>
          <w:b/>
          <w:bCs/>
          <w:rtl/>
          <w:lang w:eastAsia="he-IL"/>
        </w:rPr>
        <w:t>יטחון פנים</w:t>
      </w:r>
      <w:r w:rsidRPr="00014C4D">
        <w:rPr>
          <w:b/>
          <w:bCs/>
          <w:rtl/>
          <w:lang w:eastAsia="he-IL"/>
        </w:rPr>
        <w:t xml:space="preserve"> ופקע"ר</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ה</w:t>
      </w:r>
      <w:r w:rsidRPr="00014C4D">
        <w:rPr>
          <w:rFonts w:hint="cs"/>
          <w:b/>
          <w:bCs/>
          <w:rtl/>
        </w:rPr>
        <w:t>י</w:t>
      </w:r>
      <w:r w:rsidRPr="00014C4D">
        <w:rPr>
          <w:rFonts w:hint="eastAsia"/>
          <w:b/>
          <w:bCs/>
          <w:rtl/>
        </w:rPr>
        <w:t>עדר</w:t>
      </w:r>
      <w:r w:rsidRPr="00014C4D">
        <w:rPr>
          <w:b/>
          <w:bCs/>
          <w:rtl/>
        </w:rPr>
        <w:t xml:space="preserve"> </w:t>
      </w:r>
      <w:r w:rsidRPr="00014C4D">
        <w:rPr>
          <w:rFonts w:hint="eastAsia"/>
          <w:b/>
          <w:bCs/>
          <w:rtl/>
        </w:rPr>
        <w:t>מעקב</w:t>
      </w:r>
      <w:r w:rsidRPr="00014C4D">
        <w:rPr>
          <w:b/>
          <w:bCs/>
          <w:rtl/>
        </w:rPr>
        <w:t xml:space="preserve"> </w:t>
      </w:r>
      <w:r w:rsidRPr="00014C4D">
        <w:rPr>
          <w:rFonts w:hint="eastAsia"/>
          <w:b/>
          <w:bCs/>
          <w:rtl/>
        </w:rPr>
        <w:t>ובקרה</w:t>
      </w:r>
      <w:r w:rsidRPr="00014C4D">
        <w:rPr>
          <w:b/>
          <w:bCs/>
          <w:rtl/>
        </w:rPr>
        <w:t xml:space="preserve"> </w:t>
      </w:r>
      <w:r w:rsidRPr="00014C4D">
        <w:rPr>
          <w:rFonts w:hint="cs"/>
          <w:b/>
          <w:bCs/>
          <w:rtl/>
        </w:rPr>
        <w:t>על</w:t>
      </w:r>
      <w:r w:rsidRPr="00014C4D">
        <w:rPr>
          <w:b/>
          <w:bCs/>
          <w:rtl/>
        </w:rPr>
        <w:t xml:space="preserve"> </w:t>
      </w:r>
      <w:r w:rsidRPr="00014C4D">
        <w:rPr>
          <w:rFonts w:hint="eastAsia"/>
          <w:b/>
          <w:bCs/>
          <w:rtl/>
        </w:rPr>
        <w:t>מימוש</w:t>
      </w:r>
      <w:r w:rsidRPr="00014C4D">
        <w:rPr>
          <w:b/>
          <w:bCs/>
          <w:rtl/>
        </w:rPr>
        <w:t xml:space="preserve"> </w:t>
      </w:r>
      <w:r w:rsidRPr="00014C4D">
        <w:rPr>
          <w:rFonts w:hint="eastAsia"/>
          <w:b/>
          <w:bCs/>
          <w:rtl/>
        </w:rPr>
        <w:t>החלטת</w:t>
      </w:r>
      <w:r w:rsidRPr="00014C4D">
        <w:rPr>
          <w:b/>
          <w:bCs/>
          <w:rtl/>
        </w:rPr>
        <w:t xml:space="preserve"> </w:t>
      </w:r>
      <w:r w:rsidRPr="00014C4D">
        <w:rPr>
          <w:rFonts w:hint="eastAsia"/>
          <w:b/>
          <w:bCs/>
          <w:rtl/>
        </w:rPr>
        <w:t>הממשלה</w:t>
      </w:r>
      <w:r w:rsidRPr="00014C4D">
        <w:rPr>
          <w:b/>
          <w:bCs/>
          <w:rtl/>
        </w:rPr>
        <w:t xml:space="preserve">, באופן שהביא לכך שעם פרוץ מלחמת חרבות ברזל נותרו </w:t>
      </w:r>
      <w:r w:rsidRPr="00014C4D">
        <w:rPr>
          <w:rFonts w:hint="cs"/>
          <w:b/>
          <w:bCs/>
          <w:rtl/>
        </w:rPr>
        <w:t>י</w:t>
      </w:r>
      <w:r w:rsidRPr="00014C4D">
        <w:rPr>
          <w:b/>
          <w:bCs/>
          <w:rtl/>
        </w:rPr>
        <w:t xml:space="preserve">ישובים רבים בצפון ללא מענה מיגוני </w:t>
      </w:r>
      <w:r w:rsidRPr="00014C4D">
        <w:rPr>
          <w:rFonts w:hint="eastAsia"/>
          <w:b/>
          <w:bCs/>
          <w:rtl/>
        </w:rPr>
        <w:t>הולם</w:t>
      </w:r>
      <w:r w:rsidRPr="00014C4D">
        <w:rPr>
          <w:b/>
          <w:bCs/>
          <w:rtl/>
        </w:rPr>
        <w:t>.</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eastAsia="Times New Roman"/>
          <w:b/>
          <w:bCs/>
          <w:rtl/>
          <w:lang w:eastAsia="he-IL"/>
        </w:rPr>
      </w:pPr>
      <w:r w:rsidRPr="00014C4D">
        <w:rPr>
          <w:rFonts w:eastAsia="Times New Roman" w:hint="eastAsia"/>
          <w:b/>
          <w:bCs/>
          <w:rtl/>
          <w:lang w:eastAsia="he-IL"/>
        </w:rPr>
        <w:t>יודגש</w:t>
      </w:r>
      <w:r w:rsidRPr="00014C4D">
        <w:rPr>
          <w:rFonts w:eastAsia="Times New Roman"/>
          <w:b/>
          <w:bCs/>
          <w:rtl/>
          <w:lang w:eastAsia="he-IL"/>
        </w:rPr>
        <w:t xml:space="preserve"> </w:t>
      </w:r>
      <w:r w:rsidRPr="00014C4D">
        <w:rPr>
          <w:rFonts w:eastAsia="Times New Roman" w:hint="eastAsia"/>
          <w:b/>
          <w:bCs/>
          <w:rtl/>
          <w:lang w:eastAsia="he-IL"/>
        </w:rPr>
        <w:t>כי</w:t>
      </w:r>
      <w:r w:rsidRPr="00014C4D">
        <w:rPr>
          <w:rFonts w:eastAsia="Times New Roman"/>
          <w:b/>
          <w:bCs/>
          <w:rtl/>
          <w:lang w:eastAsia="he-IL"/>
        </w:rPr>
        <w:t xml:space="preserve"> </w:t>
      </w:r>
      <w:r w:rsidRPr="00014C4D">
        <w:rPr>
          <w:rFonts w:eastAsia="Times New Roman" w:hint="cs"/>
          <w:b/>
          <w:bCs/>
          <w:rtl/>
          <w:lang w:eastAsia="he-IL"/>
        </w:rPr>
        <w:t>ב</w:t>
      </w:r>
      <w:r w:rsidRPr="00014C4D">
        <w:rPr>
          <w:rFonts w:eastAsia="Times New Roman"/>
          <w:b/>
          <w:bCs/>
          <w:rtl/>
          <w:lang w:eastAsia="he-IL"/>
        </w:rPr>
        <w:t>דוח</w:t>
      </w:r>
      <w:r w:rsidRPr="00014C4D">
        <w:rPr>
          <w:rFonts w:eastAsia="Times New Roman" w:hint="cs"/>
          <w:b/>
          <w:bCs/>
          <w:rtl/>
          <w:lang w:eastAsia="he-IL"/>
        </w:rPr>
        <w:t xml:space="preserve"> </w:t>
      </w:r>
      <w:r w:rsidRPr="00014C4D">
        <w:rPr>
          <w:rFonts w:eastAsia="Times New Roman" w:hint="eastAsia"/>
          <w:b/>
          <w:bCs/>
          <w:rtl/>
          <w:lang w:eastAsia="he-IL"/>
        </w:rPr>
        <w:t>קודם</w:t>
      </w:r>
      <w:r w:rsidRPr="00014C4D">
        <w:rPr>
          <w:rFonts w:eastAsia="Times New Roman"/>
          <w:b/>
          <w:bCs/>
          <w:rtl/>
          <w:lang w:eastAsia="he-IL"/>
        </w:rPr>
        <w:t xml:space="preserve"> מ-2020</w:t>
      </w:r>
      <w:r w:rsidRPr="00014C4D">
        <w:rPr>
          <w:rFonts w:eastAsia="Times New Roman"/>
          <w:b/>
          <w:bCs/>
          <w:vertAlign w:val="superscript"/>
          <w:rtl/>
          <w:lang w:eastAsia="he-IL"/>
        </w:rPr>
        <w:footnoteReference w:id="117"/>
      </w:r>
      <w:r w:rsidRPr="00014C4D">
        <w:rPr>
          <w:rFonts w:eastAsia="Times New Roman" w:hint="cs"/>
          <w:b/>
          <w:bCs/>
          <w:rtl/>
          <w:lang w:eastAsia="he-IL"/>
        </w:rPr>
        <w:t xml:space="preserve"> כבר </w:t>
      </w:r>
      <w:r w:rsidRPr="00014C4D">
        <w:rPr>
          <w:rFonts w:eastAsia="Times New Roman" w:hint="eastAsia"/>
          <w:b/>
          <w:bCs/>
          <w:rtl/>
          <w:lang w:eastAsia="he-IL"/>
        </w:rPr>
        <w:t>העיר</w:t>
      </w:r>
      <w:r w:rsidRPr="00014C4D">
        <w:rPr>
          <w:rFonts w:eastAsia="Times New Roman"/>
          <w:b/>
          <w:bCs/>
          <w:rtl/>
          <w:lang w:eastAsia="he-IL"/>
        </w:rPr>
        <w:t xml:space="preserve"> </w:t>
      </w:r>
      <w:r w:rsidRPr="00014C4D">
        <w:rPr>
          <w:rFonts w:eastAsia="Times New Roman" w:hint="cs"/>
          <w:b/>
          <w:bCs/>
          <w:rtl/>
          <w:lang w:eastAsia="he-IL"/>
        </w:rPr>
        <w:t xml:space="preserve">מבקר המדינה </w:t>
      </w:r>
      <w:r w:rsidRPr="00014C4D">
        <w:rPr>
          <w:rFonts w:eastAsia="Times New Roman" w:hint="eastAsia"/>
          <w:b/>
          <w:bCs/>
          <w:rtl/>
          <w:lang w:eastAsia="he-IL"/>
        </w:rPr>
        <w:t>כ</w:t>
      </w:r>
      <w:r w:rsidRPr="00014C4D">
        <w:rPr>
          <w:rFonts w:eastAsia="Times New Roman" w:hint="cs"/>
          <w:b/>
          <w:bCs/>
          <w:rtl/>
          <w:lang w:eastAsia="he-IL"/>
        </w:rPr>
        <w:t xml:space="preserve">י החלטה זו התקבלה ללא </w:t>
      </w:r>
      <w:r w:rsidRPr="00014C4D">
        <w:rPr>
          <w:rFonts w:eastAsia="Times New Roman"/>
          <w:b/>
          <w:bCs/>
          <w:rtl/>
          <w:lang w:eastAsia="he-IL"/>
        </w:rPr>
        <w:t xml:space="preserve">הקצאה של מקורות תקציביים בהתאם לחוק יסודות התקציב, </w:t>
      </w:r>
      <w:r w:rsidRPr="00014C4D">
        <w:rPr>
          <w:rFonts w:eastAsia="Times New Roman" w:hint="eastAsia"/>
          <w:b/>
          <w:bCs/>
          <w:rtl/>
          <w:lang w:eastAsia="he-IL"/>
        </w:rPr>
        <w:t>התשמ</w:t>
      </w:r>
      <w:r w:rsidRPr="00014C4D">
        <w:rPr>
          <w:rFonts w:eastAsia="Times New Roman"/>
          <w:b/>
          <w:bCs/>
          <w:rtl/>
          <w:lang w:eastAsia="he-IL"/>
        </w:rPr>
        <w:t>"ה</w:t>
      </w:r>
      <w:r w:rsidRPr="00014C4D">
        <w:rPr>
          <w:rFonts w:eastAsia="Times New Roman" w:hint="cs"/>
          <w:b/>
          <w:bCs/>
          <w:rtl/>
          <w:lang w:eastAsia="he-IL"/>
        </w:rPr>
        <w:t>-</w:t>
      </w:r>
      <w:r w:rsidRPr="00014C4D">
        <w:rPr>
          <w:rFonts w:eastAsia="Times New Roman"/>
          <w:b/>
          <w:bCs/>
          <w:rtl/>
          <w:lang w:eastAsia="he-IL"/>
        </w:rPr>
        <w:t>1985</w:t>
      </w:r>
      <w:r w:rsidRPr="00014C4D">
        <w:rPr>
          <w:rFonts w:eastAsia="Times New Roman" w:hint="cs"/>
          <w:b/>
          <w:bCs/>
          <w:rtl/>
          <w:lang w:eastAsia="he-IL"/>
        </w:rPr>
        <w:t>, ועל כן מימושה היה מוטל בספק.</w:t>
      </w:r>
      <w:r w:rsidRPr="00014C4D">
        <w:rPr>
          <w:rFonts w:eastAsia="Times New Roman"/>
          <w:b/>
          <w:bCs/>
          <w:rtl/>
          <w:lang w:eastAsia="he-IL"/>
        </w:rPr>
        <w:t xml:space="preserve"> </w:t>
      </w:r>
      <w:r w:rsidRPr="00014C4D">
        <w:rPr>
          <w:rFonts w:eastAsia="Times New Roman" w:hint="cs"/>
          <w:b/>
          <w:bCs/>
          <w:rtl/>
          <w:lang w:eastAsia="he-IL"/>
        </w:rPr>
        <w:t>בדוח הומלץ ל</w:t>
      </w:r>
      <w:r w:rsidRPr="00014C4D">
        <w:rPr>
          <w:rFonts w:eastAsia="Times New Roman" w:hint="eastAsia"/>
          <w:b/>
          <w:bCs/>
          <w:rtl/>
          <w:lang w:eastAsia="he-IL"/>
        </w:rPr>
        <w:t>צוות</w:t>
      </w:r>
      <w:r w:rsidRPr="00014C4D">
        <w:rPr>
          <w:rFonts w:eastAsia="Times New Roman"/>
          <w:b/>
          <w:bCs/>
          <w:rtl/>
          <w:lang w:eastAsia="he-IL"/>
        </w:rPr>
        <w:t xml:space="preserve"> הבין-משרדי לפעול </w:t>
      </w:r>
      <w:r w:rsidRPr="00014C4D">
        <w:rPr>
          <w:rFonts w:eastAsia="Times New Roman" w:hint="eastAsia"/>
          <w:b/>
          <w:bCs/>
          <w:rtl/>
          <w:lang w:eastAsia="he-IL"/>
        </w:rPr>
        <w:t>לגיבוש</w:t>
      </w:r>
      <w:r w:rsidRPr="00014C4D">
        <w:rPr>
          <w:rFonts w:eastAsia="Times New Roman"/>
          <w:b/>
          <w:bCs/>
          <w:rtl/>
          <w:lang w:eastAsia="he-IL"/>
        </w:rPr>
        <w:t xml:space="preserve"> </w:t>
      </w:r>
      <w:r w:rsidRPr="00014C4D">
        <w:rPr>
          <w:rFonts w:eastAsia="Times New Roman" w:hint="eastAsia"/>
          <w:b/>
          <w:bCs/>
          <w:rtl/>
          <w:lang w:eastAsia="he-IL"/>
        </w:rPr>
        <w:t>הת</w:t>
      </w:r>
      <w:r w:rsidRPr="00014C4D">
        <w:rPr>
          <w:rFonts w:eastAsia="Times New Roman" w:hint="cs"/>
          <w:b/>
          <w:bCs/>
          <w:rtl/>
          <w:lang w:eastAsia="he-IL"/>
        </w:rPr>
        <w:t>ו</w:t>
      </w:r>
      <w:r w:rsidRPr="00014C4D">
        <w:rPr>
          <w:rFonts w:eastAsia="Times New Roman" w:hint="eastAsia"/>
          <w:b/>
          <w:bCs/>
          <w:rtl/>
          <w:lang w:eastAsia="he-IL"/>
        </w:rPr>
        <w:t>כנית</w:t>
      </w:r>
      <w:r w:rsidRPr="00014C4D">
        <w:rPr>
          <w:rFonts w:eastAsia="Times New Roman"/>
          <w:b/>
          <w:bCs/>
          <w:rtl/>
          <w:lang w:eastAsia="he-IL"/>
        </w:rPr>
        <w:t xml:space="preserve"> </w:t>
      </w:r>
      <w:r w:rsidRPr="00014C4D">
        <w:rPr>
          <w:rFonts w:eastAsia="Times New Roman" w:hint="eastAsia"/>
          <w:b/>
          <w:bCs/>
          <w:rtl/>
          <w:lang w:eastAsia="he-IL"/>
        </w:rPr>
        <w:t>הרב</w:t>
      </w:r>
      <w:r w:rsidRPr="00014C4D">
        <w:rPr>
          <w:rFonts w:eastAsia="Times New Roman" w:hint="cs"/>
          <w:b/>
          <w:bCs/>
          <w:rtl/>
          <w:lang w:eastAsia="he-IL"/>
        </w:rPr>
        <w:t>-</w:t>
      </w:r>
      <w:r w:rsidRPr="00014C4D">
        <w:rPr>
          <w:rFonts w:eastAsia="Times New Roman"/>
          <w:b/>
          <w:bCs/>
          <w:rtl/>
          <w:lang w:eastAsia="he-IL"/>
        </w:rPr>
        <w:t xml:space="preserve">שנתית </w:t>
      </w:r>
      <w:r w:rsidRPr="00014C4D">
        <w:rPr>
          <w:rFonts w:eastAsia="Times New Roman" w:hint="eastAsia"/>
          <w:b/>
          <w:bCs/>
          <w:rtl/>
          <w:lang w:eastAsia="he-IL"/>
        </w:rPr>
        <w:t>בהתאם</w:t>
      </w:r>
      <w:r w:rsidRPr="00014C4D">
        <w:rPr>
          <w:rFonts w:eastAsia="Times New Roman"/>
          <w:b/>
          <w:bCs/>
          <w:rtl/>
          <w:lang w:eastAsia="he-IL"/>
        </w:rPr>
        <w:t xml:space="preserve"> </w:t>
      </w:r>
      <w:r w:rsidRPr="00014C4D">
        <w:rPr>
          <w:rFonts w:eastAsia="Times New Roman" w:hint="eastAsia"/>
          <w:b/>
          <w:bCs/>
          <w:rtl/>
          <w:lang w:eastAsia="he-IL"/>
        </w:rPr>
        <w:t>להחלט</w:t>
      </w:r>
      <w:r w:rsidRPr="00014C4D">
        <w:rPr>
          <w:rFonts w:eastAsia="Times New Roman" w:hint="cs"/>
          <w:b/>
          <w:bCs/>
          <w:rtl/>
          <w:lang w:eastAsia="he-IL"/>
        </w:rPr>
        <w:t>ה</w:t>
      </w:r>
      <w:r w:rsidRPr="00014C4D">
        <w:rPr>
          <w:rFonts w:eastAsia="Times New Roman"/>
          <w:b/>
          <w:bCs/>
          <w:rtl/>
          <w:lang w:eastAsia="he-IL"/>
        </w:rPr>
        <w:t xml:space="preserve"> </w:t>
      </w:r>
      <w:r w:rsidRPr="00014C4D">
        <w:rPr>
          <w:rFonts w:eastAsia="Times New Roman" w:hint="eastAsia"/>
          <w:b/>
          <w:bCs/>
          <w:rtl/>
          <w:lang w:eastAsia="he-IL"/>
        </w:rPr>
        <w:t>על</w:t>
      </w:r>
      <w:r w:rsidRPr="00014C4D">
        <w:rPr>
          <w:rFonts w:eastAsia="Times New Roman"/>
          <w:b/>
          <w:bCs/>
          <w:rtl/>
          <w:lang w:eastAsia="he-IL"/>
        </w:rPr>
        <w:t xml:space="preserve"> </w:t>
      </w:r>
      <w:r w:rsidRPr="00014C4D">
        <w:rPr>
          <w:rFonts w:eastAsia="Times New Roman" w:hint="eastAsia"/>
          <w:b/>
          <w:bCs/>
          <w:rtl/>
          <w:lang w:eastAsia="he-IL"/>
        </w:rPr>
        <w:t>מנת</w:t>
      </w:r>
      <w:r w:rsidRPr="00014C4D">
        <w:rPr>
          <w:rFonts w:eastAsia="Times New Roman"/>
          <w:b/>
          <w:bCs/>
          <w:rtl/>
          <w:lang w:eastAsia="he-IL"/>
        </w:rPr>
        <w:t xml:space="preserve"> </w:t>
      </w:r>
      <w:r w:rsidRPr="00014C4D">
        <w:rPr>
          <w:rFonts w:eastAsia="Times New Roman" w:hint="eastAsia"/>
          <w:b/>
          <w:bCs/>
          <w:rtl/>
          <w:lang w:eastAsia="he-IL"/>
        </w:rPr>
        <w:t>שעם</w:t>
      </w:r>
      <w:r w:rsidRPr="00014C4D">
        <w:rPr>
          <w:rFonts w:eastAsia="Times New Roman"/>
          <w:b/>
          <w:bCs/>
          <w:rtl/>
          <w:lang w:eastAsia="he-IL"/>
        </w:rPr>
        <w:t xml:space="preserve"> </w:t>
      </w:r>
      <w:r w:rsidRPr="00014C4D">
        <w:rPr>
          <w:rFonts w:eastAsia="Times New Roman" w:hint="eastAsia"/>
          <w:b/>
          <w:bCs/>
          <w:rtl/>
          <w:lang w:eastAsia="he-IL"/>
        </w:rPr>
        <w:t>כינונה</w:t>
      </w:r>
      <w:r w:rsidRPr="00014C4D">
        <w:rPr>
          <w:rFonts w:eastAsia="Times New Roman"/>
          <w:b/>
          <w:bCs/>
          <w:rtl/>
          <w:lang w:eastAsia="he-IL"/>
        </w:rPr>
        <w:t xml:space="preserve"> </w:t>
      </w:r>
      <w:r w:rsidRPr="00014C4D">
        <w:rPr>
          <w:rFonts w:eastAsia="Times New Roman" w:hint="eastAsia"/>
          <w:b/>
          <w:bCs/>
          <w:rtl/>
          <w:lang w:eastAsia="he-IL"/>
        </w:rPr>
        <w:t>של</w:t>
      </w:r>
      <w:r w:rsidRPr="00014C4D">
        <w:rPr>
          <w:rFonts w:eastAsia="Times New Roman"/>
          <w:b/>
          <w:bCs/>
          <w:rtl/>
          <w:lang w:eastAsia="he-IL"/>
        </w:rPr>
        <w:t xml:space="preserve"> </w:t>
      </w:r>
      <w:r w:rsidRPr="00014C4D">
        <w:rPr>
          <w:rFonts w:eastAsia="Times New Roman" w:hint="eastAsia"/>
          <w:b/>
          <w:bCs/>
          <w:rtl/>
          <w:lang w:eastAsia="he-IL"/>
        </w:rPr>
        <w:t>ממשלה</w:t>
      </w:r>
      <w:r w:rsidRPr="00014C4D">
        <w:rPr>
          <w:rFonts w:eastAsia="Times New Roman"/>
          <w:b/>
          <w:bCs/>
          <w:rtl/>
          <w:lang w:eastAsia="he-IL"/>
        </w:rPr>
        <w:t xml:space="preserve"> </w:t>
      </w:r>
      <w:r w:rsidRPr="00014C4D">
        <w:rPr>
          <w:rFonts w:eastAsia="Times New Roman" w:hint="eastAsia"/>
          <w:b/>
          <w:bCs/>
          <w:rtl/>
          <w:lang w:eastAsia="he-IL"/>
        </w:rPr>
        <w:t>חדשה</w:t>
      </w:r>
      <w:r w:rsidRPr="00014C4D">
        <w:rPr>
          <w:rFonts w:eastAsia="Times New Roman"/>
          <w:b/>
          <w:bCs/>
          <w:rtl/>
          <w:lang w:eastAsia="he-IL"/>
        </w:rPr>
        <w:t xml:space="preserve"> </w:t>
      </w:r>
      <w:r w:rsidRPr="00014C4D">
        <w:rPr>
          <w:rFonts w:eastAsia="Times New Roman" w:hint="eastAsia"/>
          <w:b/>
          <w:bCs/>
          <w:rtl/>
          <w:lang w:eastAsia="he-IL"/>
        </w:rPr>
        <w:t>ניתן</w:t>
      </w:r>
      <w:r w:rsidRPr="00014C4D">
        <w:rPr>
          <w:rFonts w:eastAsia="Times New Roman"/>
          <w:b/>
          <w:bCs/>
          <w:rtl/>
          <w:lang w:eastAsia="he-IL"/>
        </w:rPr>
        <w:t xml:space="preserve"> </w:t>
      </w:r>
      <w:r w:rsidRPr="00014C4D">
        <w:rPr>
          <w:rFonts w:eastAsia="Times New Roman" w:hint="eastAsia"/>
          <w:b/>
          <w:bCs/>
          <w:rtl/>
          <w:lang w:eastAsia="he-IL"/>
        </w:rPr>
        <w:t>יהיה</w:t>
      </w:r>
      <w:r w:rsidRPr="00014C4D">
        <w:rPr>
          <w:rFonts w:eastAsia="Times New Roman"/>
          <w:b/>
          <w:bCs/>
          <w:rtl/>
          <w:lang w:eastAsia="he-IL"/>
        </w:rPr>
        <w:t xml:space="preserve"> </w:t>
      </w:r>
      <w:r w:rsidRPr="00014C4D">
        <w:rPr>
          <w:rFonts w:eastAsia="Times New Roman" w:hint="eastAsia"/>
          <w:b/>
          <w:bCs/>
          <w:rtl/>
          <w:lang w:eastAsia="he-IL"/>
        </w:rPr>
        <w:t>להסדיר</w:t>
      </w:r>
      <w:r w:rsidRPr="00014C4D">
        <w:rPr>
          <w:rFonts w:eastAsia="Times New Roman"/>
          <w:b/>
          <w:bCs/>
          <w:rtl/>
          <w:lang w:eastAsia="he-IL"/>
        </w:rPr>
        <w:t xml:space="preserve"> </w:t>
      </w:r>
      <w:r w:rsidRPr="00014C4D">
        <w:rPr>
          <w:rFonts w:eastAsia="Times New Roman" w:hint="eastAsia"/>
          <w:b/>
          <w:bCs/>
          <w:rtl/>
          <w:lang w:eastAsia="he-IL"/>
        </w:rPr>
        <w:t>את</w:t>
      </w:r>
      <w:r w:rsidRPr="00014C4D">
        <w:rPr>
          <w:rFonts w:eastAsia="Times New Roman"/>
          <w:b/>
          <w:bCs/>
          <w:rtl/>
          <w:lang w:eastAsia="he-IL"/>
        </w:rPr>
        <w:t xml:space="preserve"> </w:t>
      </w:r>
      <w:r w:rsidRPr="00014C4D">
        <w:rPr>
          <w:rFonts w:eastAsia="Times New Roman" w:hint="eastAsia"/>
          <w:b/>
          <w:bCs/>
          <w:rtl/>
          <w:lang w:eastAsia="he-IL"/>
        </w:rPr>
        <w:t>המקור</w:t>
      </w:r>
      <w:r w:rsidRPr="00014C4D">
        <w:rPr>
          <w:rFonts w:eastAsia="Times New Roman"/>
          <w:b/>
          <w:bCs/>
          <w:rtl/>
          <w:lang w:eastAsia="he-IL"/>
        </w:rPr>
        <w:t xml:space="preserve"> </w:t>
      </w:r>
      <w:r w:rsidRPr="00014C4D">
        <w:rPr>
          <w:rFonts w:eastAsia="Times New Roman" w:hint="eastAsia"/>
          <w:b/>
          <w:bCs/>
          <w:rtl/>
          <w:lang w:eastAsia="he-IL"/>
        </w:rPr>
        <w:t>התקציבי</w:t>
      </w:r>
      <w:r w:rsidRPr="00014C4D">
        <w:rPr>
          <w:rFonts w:eastAsia="Times New Roman"/>
          <w:b/>
          <w:bCs/>
          <w:rtl/>
          <w:lang w:eastAsia="he-IL"/>
        </w:rPr>
        <w:t xml:space="preserve"> </w:t>
      </w:r>
      <w:r w:rsidRPr="00014C4D">
        <w:rPr>
          <w:rFonts w:eastAsia="Times New Roman" w:hint="eastAsia"/>
          <w:b/>
          <w:bCs/>
          <w:rtl/>
          <w:lang w:eastAsia="he-IL"/>
        </w:rPr>
        <w:t>למימוש</w:t>
      </w:r>
      <w:r w:rsidRPr="00014C4D">
        <w:rPr>
          <w:rFonts w:eastAsia="Times New Roman"/>
          <w:b/>
          <w:bCs/>
          <w:rtl/>
          <w:lang w:eastAsia="he-IL"/>
        </w:rPr>
        <w:t xml:space="preserve"> </w:t>
      </w:r>
      <w:r w:rsidRPr="00014C4D">
        <w:rPr>
          <w:rFonts w:eastAsia="Times New Roman" w:hint="eastAsia"/>
          <w:b/>
          <w:bCs/>
          <w:rtl/>
          <w:lang w:eastAsia="he-IL"/>
        </w:rPr>
        <w:t>הת</w:t>
      </w:r>
      <w:r w:rsidRPr="00014C4D">
        <w:rPr>
          <w:rFonts w:eastAsia="Times New Roman" w:hint="cs"/>
          <w:b/>
          <w:bCs/>
          <w:rtl/>
          <w:lang w:eastAsia="he-IL"/>
        </w:rPr>
        <w:t>ו</w:t>
      </w:r>
      <w:r w:rsidRPr="00014C4D">
        <w:rPr>
          <w:rFonts w:eastAsia="Times New Roman" w:hint="eastAsia"/>
          <w:b/>
          <w:bCs/>
          <w:rtl/>
          <w:lang w:eastAsia="he-IL"/>
        </w:rPr>
        <w:t>כנית</w:t>
      </w:r>
      <w:r w:rsidRPr="00014C4D">
        <w:rPr>
          <w:rFonts w:eastAsia="Times New Roman"/>
          <w:b/>
          <w:bCs/>
          <w:rtl/>
          <w:lang w:eastAsia="he-IL"/>
        </w:rPr>
        <w:t>.</w:t>
      </w:r>
      <w:r w:rsidRPr="00014C4D">
        <w:rPr>
          <w:rFonts w:eastAsia="Times New Roman" w:hint="cs"/>
          <w:b/>
          <w:bCs/>
          <w:rtl/>
          <w:lang w:eastAsia="he-IL"/>
        </w:rPr>
        <w:t xml:space="preserve"> </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tl/>
          <w:lang w:eastAsia="he-IL"/>
        </w:rPr>
      </w:pPr>
      <w:r w:rsidRPr="00014C4D">
        <w:rPr>
          <w:rtl/>
        </w:rPr>
        <w:t>פקע</w:t>
      </w:r>
      <w:r w:rsidRPr="00014C4D">
        <w:rPr>
          <w:rFonts w:hint="cs"/>
          <w:rtl/>
        </w:rPr>
        <w:t>"</w:t>
      </w:r>
      <w:r w:rsidRPr="00014C4D">
        <w:rPr>
          <w:rtl/>
        </w:rPr>
        <w:t xml:space="preserve">ר </w:t>
      </w:r>
      <w:r w:rsidRPr="00014C4D">
        <w:rPr>
          <w:rFonts w:hint="cs"/>
          <w:rtl/>
        </w:rPr>
        <w:t xml:space="preserve">מסר בתשובתו כי </w:t>
      </w:r>
      <w:r w:rsidRPr="00014C4D">
        <w:rPr>
          <w:rtl/>
        </w:rPr>
        <w:t>התריע פעמים רבות על היעדר התקצ</w:t>
      </w:r>
      <w:r w:rsidRPr="00014C4D">
        <w:rPr>
          <w:rFonts w:hint="cs"/>
          <w:rtl/>
        </w:rPr>
        <w:t>י</w:t>
      </w:r>
      <w:r w:rsidRPr="00014C4D">
        <w:rPr>
          <w:rtl/>
        </w:rPr>
        <w:t>ב</w:t>
      </w:r>
      <w:r w:rsidRPr="00014C4D">
        <w:rPr>
          <w:rFonts w:hint="cs"/>
          <w:rtl/>
        </w:rPr>
        <w:t xml:space="preserve"> </w:t>
      </w:r>
      <w:r w:rsidRPr="00014C4D">
        <w:rPr>
          <w:rtl/>
        </w:rPr>
        <w:t>הנדרש למימוש תוכנית מגן הצפון</w:t>
      </w:r>
      <w:r w:rsidRPr="00014C4D">
        <w:rPr>
          <w:rFonts w:hint="cs"/>
          <w:rtl/>
        </w:rPr>
        <w:t xml:space="preserve">. </w:t>
      </w:r>
      <w:r w:rsidRPr="00014C4D">
        <w:rPr>
          <w:rtl/>
        </w:rPr>
        <w:t xml:space="preserve">משרד הביטחון באמצעות פקע״ר </w:t>
      </w:r>
      <w:r w:rsidRPr="00014C4D">
        <w:rPr>
          <w:rFonts w:hint="cs"/>
          <w:rtl/>
        </w:rPr>
        <w:t>הסב את תשומת הלב</w:t>
      </w:r>
      <w:r w:rsidRPr="00014C4D">
        <w:rPr>
          <w:rtl/>
        </w:rPr>
        <w:t xml:space="preserve"> </w:t>
      </w:r>
      <w:r w:rsidRPr="00014C4D">
        <w:rPr>
          <w:rFonts w:hint="cs"/>
          <w:rtl/>
        </w:rPr>
        <w:t>ל</w:t>
      </w:r>
      <w:r w:rsidRPr="00014C4D">
        <w:rPr>
          <w:rtl/>
        </w:rPr>
        <w:t xml:space="preserve">פער בתקצוב בכל שנה מאז קבלת ההחלטה. </w:t>
      </w:r>
      <w:r w:rsidRPr="00014C4D">
        <w:rPr>
          <w:rFonts w:hint="cs"/>
          <w:rtl/>
        </w:rPr>
        <w:t>עוד מסר כי</w:t>
      </w:r>
      <w:r w:rsidRPr="00014C4D">
        <w:rPr>
          <w:rtl/>
        </w:rPr>
        <w:t xml:space="preserve"> יש תהליך סדור במסגרת ועדות היגוי בראשות מפקד פקע״ר ובהשתתפות נציגי המל״ל, </w:t>
      </w:r>
      <w:r w:rsidRPr="00014C4D">
        <w:rPr>
          <w:rFonts w:hint="cs"/>
          <w:rtl/>
        </w:rPr>
        <w:t xml:space="preserve">משרד </w:t>
      </w:r>
      <w:r w:rsidRPr="00014C4D">
        <w:rPr>
          <w:rtl/>
        </w:rPr>
        <w:t xml:space="preserve">האוצר והשלטון המקומי, </w:t>
      </w:r>
      <w:r w:rsidRPr="00014C4D">
        <w:rPr>
          <w:rFonts w:hint="cs"/>
          <w:rtl/>
        </w:rPr>
        <w:t>ו</w:t>
      </w:r>
      <w:r w:rsidRPr="00014C4D">
        <w:rPr>
          <w:rtl/>
        </w:rPr>
        <w:t>במסגרתו מוצג הסטטוס התקציבי של ההחלטה.</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Fonts w:eastAsia="Times New Roman"/>
          <w:b/>
          <w:bCs/>
          <w:rtl/>
          <w:lang w:eastAsia="he-IL"/>
        </w:rPr>
      </w:pPr>
      <w:r w:rsidRPr="00014C4D">
        <w:rPr>
          <w:rFonts w:eastAsia="Times New Roman" w:hint="eastAsia"/>
          <w:b/>
          <w:bCs/>
          <w:rtl/>
          <w:lang w:eastAsia="he-IL"/>
        </w:rPr>
        <w:t>על</w:t>
      </w:r>
      <w:r w:rsidRPr="00014C4D">
        <w:rPr>
          <w:rFonts w:eastAsia="Times New Roman"/>
          <w:b/>
          <w:bCs/>
          <w:rtl/>
          <w:lang w:eastAsia="he-IL"/>
        </w:rPr>
        <w:t xml:space="preserve"> </w:t>
      </w:r>
      <w:r w:rsidRPr="00014C4D">
        <w:rPr>
          <w:rFonts w:eastAsia="Times New Roman" w:hint="eastAsia"/>
          <w:b/>
          <w:bCs/>
          <w:rtl/>
          <w:lang w:eastAsia="he-IL"/>
        </w:rPr>
        <w:t>הצוות</w:t>
      </w:r>
      <w:r w:rsidRPr="00014C4D">
        <w:rPr>
          <w:rFonts w:eastAsia="Times New Roman"/>
          <w:b/>
          <w:bCs/>
          <w:rtl/>
          <w:lang w:eastAsia="he-IL"/>
        </w:rPr>
        <w:t xml:space="preserve"> הבין-משרדי בראשות </w:t>
      </w:r>
      <w:r w:rsidRPr="00014C4D">
        <w:rPr>
          <w:rFonts w:eastAsia="Times New Roman" w:hint="eastAsia"/>
          <w:b/>
          <w:bCs/>
          <w:rtl/>
          <w:lang w:eastAsia="he-IL"/>
        </w:rPr>
        <w:t>המל</w:t>
      </w:r>
      <w:r w:rsidRPr="00014C4D">
        <w:rPr>
          <w:rFonts w:eastAsia="Times New Roman"/>
          <w:b/>
          <w:bCs/>
          <w:rtl/>
          <w:lang w:eastAsia="he-IL"/>
        </w:rPr>
        <w:t xml:space="preserve">"ל להשלים </w:t>
      </w:r>
      <w:r w:rsidRPr="00014C4D">
        <w:rPr>
          <w:rFonts w:eastAsia="Times New Roman" w:hint="eastAsia"/>
          <w:b/>
          <w:bCs/>
          <w:rtl/>
          <w:lang w:eastAsia="he-IL"/>
        </w:rPr>
        <w:t>בחינת</w:t>
      </w:r>
      <w:r w:rsidRPr="00014C4D">
        <w:rPr>
          <w:rFonts w:eastAsia="Times New Roman"/>
          <w:b/>
          <w:bCs/>
          <w:rtl/>
          <w:lang w:eastAsia="he-IL"/>
        </w:rPr>
        <w:t xml:space="preserve"> </w:t>
      </w:r>
      <w:r w:rsidRPr="00014C4D">
        <w:rPr>
          <w:rFonts w:eastAsia="Times New Roman" w:hint="eastAsia"/>
          <w:b/>
          <w:bCs/>
          <w:rtl/>
          <w:lang w:eastAsia="he-IL"/>
        </w:rPr>
        <w:t>פערים</w:t>
      </w:r>
      <w:r w:rsidRPr="00014C4D">
        <w:rPr>
          <w:rFonts w:eastAsia="Times New Roman"/>
          <w:b/>
          <w:bCs/>
          <w:rtl/>
          <w:lang w:eastAsia="he-IL"/>
        </w:rPr>
        <w:t xml:space="preserve"> </w:t>
      </w:r>
      <w:r w:rsidRPr="00014C4D">
        <w:rPr>
          <w:rFonts w:eastAsia="Times New Roman" w:hint="eastAsia"/>
          <w:b/>
          <w:bCs/>
          <w:rtl/>
          <w:lang w:eastAsia="he-IL"/>
        </w:rPr>
        <w:t>וגיבוש</w:t>
      </w:r>
      <w:r w:rsidRPr="00014C4D">
        <w:rPr>
          <w:rFonts w:eastAsia="Times New Roman"/>
          <w:b/>
          <w:bCs/>
          <w:rtl/>
          <w:lang w:eastAsia="he-IL"/>
        </w:rPr>
        <w:t xml:space="preserve"> ת</w:t>
      </w:r>
      <w:r w:rsidRPr="00014C4D">
        <w:rPr>
          <w:rFonts w:eastAsia="Times New Roman" w:hint="cs"/>
          <w:b/>
          <w:bCs/>
          <w:rtl/>
          <w:lang w:eastAsia="he-IL"/>
        </w:rPr>
        <w:t>ו</w:t>
      </w:r>
      <w:r w:rsidRPr="00014C4D">
        <w:rPr>
          <w:rFonts w:eastAsia="Times New Roman"/>
          <w:b/>
          <w:bCs/>
          <w:rtl/>
          <w:lang w:eastAsia="he-IL"/>
        </w:rPr>
        <w:t>כנית רב</w:t>
      </w:r>
      <w:r w:rsidRPr="00014C4D">
        <w:rPr>
          <w:rFonts w:eastAsia="Times New Roman" w:hint="cs"/>
          <w:b/>
          <w:bCs/>
          <w:rtl/>
          <w:lang w:eastAsia="he-IL"/>
        </w:rPr>
        <w:t>-</w:t>
      </w:r>
      <w:r w:rsidRPr="00014C4D">
        <w:rPr>
          <w:rFonts w:eastAsia="Times New Roman"/>
          <w:b/>
          <w:bCs/>
          <w:rtl/>
          <w:lang w:eastAsia="he-IL"/>
        </w:rPr>
        <w:t>שנתית מתוקצבת, בת</w:t>
      </w:r>
      <w:r w:rsidRPr="00014C4D">
        <w:rPr>
          <w:rFonts w:eastAsia="Times New Roman" w:hint="cs"/>
          <w:b/>
          <w:bCs/>
          <w:rtl/>
          <w:lang w:eastAsia="he-IL"/>
        </w:rPr>
        <w:t>י</w:t>
      </w:r>
      <w:r w:rsidRPr="00014C4D">
        <w:rPr>
          <w:rFonts w:eastAsia="Times New Roman"/>
          <w:b/>
          <w:bCs/>
          <w:rtl/>
          <w:lang w:eastAsia="he-IL"/>
        </w:rPr>
        <w:t xml:space="preserve">אום עם ראש </w:t>
      </w:r>
      <w:r w:rsidRPr="00014C4D">
        <w:rPr>
          <w:rFonts w:eastAsia="Times New Roman" w:hint="eastAsia"/>
          <w:b/>
          <w:bCs/>
          <w:rtl/>
          <w:lang w:eastAsia="he-IL"/>
        </w:rPr>
        <w:t>אגף</w:t>
      </w:r>
      <w:r w:rsidRPr="00014C4D">
        <w:rPr>
          <w:rFonts w:eastAsia="Times New Roman"/>
          <w:b/>
          <w:bCs/>
          <w:rtl/>
          <w:lang w:eastAsia="he-IL"/>
        </w:rPr>
        <w:t xml:space="preserve"> </w:t>
      </w:r>
      <w:r w:rsidRPr="00014C4D">
        <w:rPr>
          <w:rFonts w:eastAsia="Times New Roman" w:hint="eastAsia"/>
          <w:b/>
          <w:bCs/>
          <w:rtl/>
          <w:lang w:eastAsia="he-IL"/>
        </w:rPr>
        <w:t>התקציבים</w:t>
      </w:r>
      <w:r w:rsidRPr="00014C4D">
        <w:rPr>
          <w:rFonts w:eastAsia="Times New Roman"/>
          <w:b/>
          <w:bCs/>
          <w:rtl/>
          <w:lang w:eastAsia="he-IL"/>
        </w:rPr>
        <w:t xml:space="preserve"> </w:t>
      </w:r>
      <w:r w:rsidRPr="00014C4D">
        <w:rPr>
          <w:rFonts w:eastAsia="Times New Roman" w:hint="eastAsia"/>
          <w:b/>
          <w:bCs/>
          <w:rtl/>
          <w:lang w:eastAsia="he-IL"/>
        </w:rPr>
        <w:t>במשרד</w:t>
      </w:r>
      <w:r w:rsidRPr="00014C4D">
        <w:rPr>
          <w:rFonts w:eastAsia="Times New Roman"/>
          <w:b/>
          <w:bCs/>
          <w:rtl/>
          <w:lang w:eastAsia="he-IL"/>
        </w:rPr>
        <w:t xml:space="preserve"> </w:t>
      </w:r>
      <w:r w:rsidRPr="00014C4D">
        <w:rPr>
          <w:rFonts w:eastAsia="Times New Roman" w:hint="eastAsia"/>
          <w:b/>
          <w:bCs/>
          <w:rtl/>
          <w:lang w:eastAsia="he-IL"/>
        </w:rPr>
        <w:t>האוצר</w:t>
      </w:r>
      <w:r w:rsidRPr="00014C4D">
        <w:rPr>
          <w:rFonts w:eastAsia="Times New Roman"/>
          <w:b/>
          <w:bCs/>
          <w:rtl/>
          <w:lang w:eastAsia="he-IL"/>
        </w:rPr>
        <w:t xml:space="preserve"> ומנכ"ל משרד הב</w:t>
      </w:r>
      <w:r w:rsidRPr="00014C4D">
        <w:rPr>
          <w:rFonts w:eastAsia="Times New Roman" w:hint="eastAsia"/>
          <w:b/>
          <w:bCs/>
          <w:rtl/>
          <w:lang w:eastAsia="he-IL"/>
        </w:rPr>
        <w:t>יטחון</w:t>
      </w:r>
      <w:r w:rsidRPr="00014C4D">
        <w:rPr>
          <w:rFonts w:eastAsia="Times New Roman"/>
          <w:b/>
          <w:bCs/>
          <w:rtl/>
          <w:lang w:eastAsia="he-IL"/>
        </w:rPr>
        <w:t xml:space="preserve">, במיקוד על </w:t>
      </w:r>
      <w:r w:rsidRPr="00014C4D">
        <w:rPr>
          <w:rFonts w:eastAsia="Times New Roman" w:hint="eastAsia"/>
          <w:b/>
          <w:bCs/>
          <w:rtl/>
          <w:lang w:eastAsia="he-IL"/>
        </w:rPr>
        <w:t>פערי</w:t>
      </w:r>
      <w:r w:rsidRPr="00014C4D">
        <w:rPr>
          <w:rFonts w:eastAsia="Times New Roman"/>
          <w:b/>
          <w:bCs/>
          <w:rtl/>
          <w:lang w:eastAsia="he-IL"/>
        </w:rPr>
        <w:t xml:space="preserve"> </w:t>
      </w:r>
      <w:r w:rsidRPr="00014C4D">
        <w:rPr>
          <w:rFonts w:eastAsia="Times New Roman" w:hint="eastAsia"/>
          <w:b/>
          <w:bCs/>
          <w:rtl/>
          <w:lang w:eastAsia="he-IL"/>
        </w:rPr>
        <w:t>מיגון</w:t>
      </w:r>
      <w:r w:rsidRPr="00014C4D">
        <w:rPr>
          <w:rFonts w:eastAsia="Times New Roman"/>
          <w:b/>
          <w:bCs/>
          <w:rtl/>
          <w:lang w:eastAsia="he-IL"/>
        </w:rPr>
        <w:t xml:space="preserve"> </w:t>
      </w:r>
      <w:r w:rsidRPr="00014C4D">
        <w:rPr>
          <w:rFonts w:eastAsia="Times New Roman" w:hint="eastAsia"/>
          <w:b/>
          <w:bCs/>
          <w:rtl/>
          <w:lang w:eastAsia="he-IL"/>
        </w:rPr>
        <w:t>בישובים</w:t>
      </w:r>
      <w:r w:rsidRPr="00014C4D">
        <w:rPr>
          <w:rFonts w:eastAsia="Times New Roman"/>
          <w:b/>
          <w:bCs/>
          <w:rtl/>
          <w:lang w:eastAsia="he-IL"/>
        </w:rPr>
        <w:t xml:space="preserve"> </w:t>
      </w:r>
      <w:r w:rsidRPr="00014C4D">
        <w:rPr>
          <w:rFonts w:eastAsia="Times New Roman" w:hint="eastAsia"/>
          <w:b/>
          <w:bCs/>
          <w:rtl/>
          <w:lang w:eastAsia="he-IL"/>
        </w:rPr>
        <w:t>בקווי</w:t>
      </w:r>
      <w:r w:rsidRPr="00014C4D">
        <w:rPr>
          <w:rFonts w:eastAsia="Times New Roman"/>
          <w:b/>
          <w:bCs/>
          <w:rtl/>
          <w:lang w:eastAsia="he-IL"/>
        </w:rPr>
        <w:t xml:space="preserve"> </w:t>
      </w:r>
      <w:r w:rsidRPr="00014C4D">
        <w:rPr>
          <w:rFonts w:eastAsia="Times New Roman" w:hint="eastAsia"/>
          <w:b/>
          <w:bCs/>
          <w:rtl/>
          <w:lang w:eastAsia="he-IL"/>
        </w:rPr>
        <w:t>העימות</w:t>
      </w:r>
      <w:r w:rsidRPr="00014C4D">
        <w:rPr>
          <w:rFonts w:eastAsia="Times New Roman"/>
          <w:b/>
          <w:bCs/>
          <w:rtl/>
          <w:lang w:eastAsia="he-IL"/>
        </w:rPr>
        <w:t xml:space="preserve"> </w:t>
      </w:r>
      <w:r w:rsidRPr="00014C4D">
        <w:rPr>
          <w:rFonts w:eastAsia="Times New Roman" w:hint="eastAsia"/>
          <w:b/>
          <w:bCs/>
          <w:rtl/>
          <w:lang w:eastAsia="he-IL"/>
        </w:rPr>
        <w:t>בצפון</w:t>
      </w:r>
      <w:r w:rsidRPr="00014C4D">
        <w:rPr>
          <w:rFonts w:eastAsia="Times New Roman"/>
          <w:b/>
          <w:bCs/>
          <w:rtl/>
          <w:lang w:eastAsia="he-IL"/>
        </w:rPr>
        <w:t xml:space="preserve"> </w:t>
      </w:r>
      <w:r w:rsidRPr="00014C4D">
        <w:rPr>
          <w:rFonts w:eastAsia="Times New Roman" w:hint="eastAsia"/>
          <w:b/>
          <w:bCs/>
          <w:rtl/>
          <w:lang w:eastAsia="he-IL"/>
        </w:rPr>
        <w:t>ובדרום</w:t>
      </w:r>
      <w:r w:rsidRPr="00014C4D">
        <w:rPr>
          <w:rFonts w:eastAsia="Times New Roman"/>
          <w:b/>
          <w:bCs/>
          <w:rtl/>
          <w:lang w:eastAsia="he-IL"/>
        </w:rPr>
        <w:t xml:space="preserve">, </w:t>
      </w:r>
      <w:r w:rsidRPr="00014C4D">
        <w:rPr>
          <w:rFonts w:eastAsia="Times New Roman" w:hint="eastAsia"/>
          <w:b/>
          <w:bCs/>
          <w:rtl/>
          <w:lang w:eastAsia="he-IL"/>
        </w:rPr>
        <w:t>לשם</w:t>
      </w:r>
      <w:r w:rsidRPr="00014C4D">
        <w:rPr>
          <w:rFonts w:eastAsia="Times New Roman"/>
          <w:b/>
          <w:bCs/>
          <w:rtl/>
          <w:lang w:eastAsia="he-IL"/>
        </w:rPr>
        <w:t xml:space="preserve"> </w:t>
      </w:r>
      <w:r w:rsidRPr="00014C4D">
        <w:rPr>
          <w:rFonts w:eastAsia="Times New Roman" w:hint="eastAsia"/>
          <w:b/>
          <w:bCs/>
          <w:rtl/>
          <w:lang w:eastAsia="he-IL"/>
        </w:rPr>
        <w:t>הבאתה</w:t>
      </w:r>
      <w:r w:rsidRPr="00014C4D">
        <w:rPr>
          <w:rFonts w:eastAsia="Times New Roman"/>
          <w:b/>
          <w:bCs/>
          <w:rtl/>
          <w:lang w:eastAsia="he-IL"/>
        </w:rPr>
        <w:t xml:space="preserve"> </w:t>
      </w:r>
      <w:r w:rsidRPr="00014C4D">
        <w:rPr>
          <w:rFonts w:eastAsia="Times New Roman" w:hint="cs"/>
          <w:b/>
          <w:bCs/>
          <w:rtl/>
          <w:lang w:eastAsia="he-IL"/>
        </w:rPr>
        <w:t>ל</w:t>
      </w:r>
      <w:r w:rsidRPr="00014C4D">
        <w:rPr>
          <w:rFonts w:eastAsia="Times New Roman" w:hint="eastAsia"/>
          <w:b/>
          <w:bCs/>
          <w:rtl/>
          <w:lang w:eastAsia="he-IL"/>
        </w:rPr>
        <w:t>פני</w:t>
      </w:r>
      <w:r w:rsidRPr="00014C4D">
        <w:rPr>
          <w:rFonts w:eastAsia="Times New Roman"/>
          <w:b/>
          <w:bCs/>
          <w:rtl/>
          <w:lang w:eastAsia="he-IL"/>
        </w:rPr>
        <w:t xml:space="preserve"> </w:t>
      </w:r>
      <w:r w:rsidRPr="00014C4D">
        <w:rPr>
          <w:rFonts w:eastAsia="Times New Roman" w:hint="eastAsia"/>
          <w:b/>
          <w:bCs/>
          <w:rtl/>
          <w:lang w:eastAsia="he-IL"/>
        </w:rPr>
        <w:t>הקבינט</w:t>
      </w:r>
      <w:r w:rsidRPr="00014C4D">
        <w:rPr>
          <w:rFonts w:eastAsia="Times New Roman"/>
          <w:b/>
          <w:bCs/>
          <w:rtl/>
          <w:lang w:eastAsia="he-IL"/>
        </w:rPr>
        <w:t xml:space="preserve">. </w:t>
      </w:r>
    </w:p>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Fonts w:eastAsia="Times New Roman"/>
          <w:b/>
          <w:bCs/>
          <w:rtl/>
          <w:lang w:eastAsia="he-IL"/>
        </w:rPr>
      </w:pPr>
      <w:r w:rsidRPr="00014C4D">
        <w:rPr>
          <w:rFonts w:eastAsia="Times New Roman" w:hint="eastAsia"/>
          <w:b/>
          <w:bCs/>
          <w:rtl/>
          <w:lang w:eastAsia="he-IL"/>
        </w:rPr>
        <w:t>מומלץ</w:t>
      </w:r>
      <w:r w:rsidRPr="00014C4D">
        <w:rPr>
          <w:rFonts w:eastAsia="Times New Roman"/>
          <w:b/>
          <w:bCs/>
          <w:rtl/>
          <w:lang w:eastAsia="he-IL"/>
        </w:rPr>
        <w:t xml:space="preserve"> </w:t>
      </w:r>
      <w:r w:rsidRPr="00014C4D">
        <w:rPr>
          <w:rFonts w:eastAsia="Times New Roman" w:hint="eastAsia"/>
          <w:b/>
          <w:bCs/>
          <w:rtl/>
          <w:lang w:eastAsia="he-IL"/>
        </w:rPr>
        <w:t>כי</w:t>
      </w:r>
      <w:r w:rsidRPr="00014C4D">
        <w:rPr>
          <w:rFonts w:eastAsia="Times New Roman"/>
          <w:b/>
          <w:bCs/>
          <w:rtl/>
          <w:lang w:eastAsia="he-IL"/>
        </w:rPr>
        <w:t xml:space="preserve"> </w:t>
      </w:r>
      <w:r w:rsidRPr="00014C4D">
        <w:rPr>
          <w:rFonts w:eastAsia="Times New Roman" w:hint="eastAsia"/>
          <w:b/>
          <w:bCs/>
          <w:rtl/>
          <w:lang w:eastAsia="he-IL"/>
        </w:rPr>
        <w:t>ראש</w:t>
      </w:r>
      <w:r w:rsidRPr="00014C4D">
        <w:rPr>
          <w:rFonts w:eastAsia="Times New Roman"/>
          <w:b/>
          <w:bCs/>
          <w:rtl/>
          <w:lang w:eastAsia="he-IL"/>
        </w:rPr>
        <w:t xml:space="preserve"> </w:t>
      </w:r>
      <w:r w:rsidRPr="00014C4D">
        <w:rPr>
          <w:rFonts w:eastAsia="Times New Roman" w:hint="eastAsia"/>
          <w:b/>
          <w:bCs/>
          <w:rtl/>
          <w:lang w:eastAsia="he-IL"/>
        </w:rPr>
        <w:t>הממשלה</w:t>
      </w:r>
      <w:r w:rsidRPr="00014C4D">
        <w:rPr>
          <w:rFonts w:eastAsia="Times New Roman"/>
          <w:b/>
          <w:bCs/>
          <w:rtl/>
          <w:lang w:eastAsia="he-IL"/>
        </w:rPr>
        <w:t xml:space="preserve"> </w:t>
      </w:r>
      <w:r w:rsidRPr="00014C4D">
        <w:rPr>
          <w:rFonts w:eastAsia="Times New Roman" w:hint="eastAsia"/>
          <w:b/>
          <w:bCs/>
          <w:rtl/>
          <w:lang w:eastAsia="he-IL"/>
        </w:rPr>
        <w:t>יביא</w:t>
      </w:r>
      <w:r w:rsidRPr="00014C4D">
        <w:rPr>
          <w:rFonts w:eastAsia="Times New Roman"/>
          <w:b/>
          <w:bCs/>
          <w:rtl/>
          <w:lang w:eastAsia="he-IL"/>
        </w:rPr>
        <w:t xml:space="preserve"> </w:t>
      </w:r>
      <w:r w:rsidRPr="00014C4D">
        <w:rPr>
          <w:rFonts w:eastAsia="Times New Roman" w:hint="eastAsia"/>
          <w:b/>
          <w:bCs/>
          <w:rtl/>
          <w:lang w:eastAsia="he-IL"/>
        </w:rPr>
        <w:t>לדיון</w:t>
      </w:r>
      <w:r w:rsidRPr="00014C4D">
        <w:rPr>
          <w:rFonts w:eastAsia="Times New Roman"/>
          <w:b/>
          <w:bCs/>
          <w:rtl/>
          <w:lang w:eastAsia="he-IL"/>
        </w:rPr>
        <w:t xml:space="preserve"> </w:t>
      </w:r>
      <w:r w:rsidRPr="00014C4D">
        <w:rPr>
          <w:rFonts w:eastAsia="Times New Roman" w:hint="eastAsia"/>
          <w:b/>
          <w:bCs/>
          <w:rtl/>
          <w:lang w:eastAsia="he-IL"/>
        </w:rPr>
        <w:t>מחודש</w:t>
      </w:r>
      <w:r w:rsidRPr="00014C4D">
        <w:rPr>
          <w:rFonts w:eastAsia="Times New Roman"/>
          <w:b/>
          <w:bCs/>
          <w:rtl/>
          <w:lang w:eastAsia="he-IL"/>
        </w:rPr>
        <w:t xml:space="preserve"> </w:t>
      </w:r>
      <w:r w:rsidRPr="00014C4D">
        <w:rPr>
          <w:rFonts w:eastAsia="Times New Roman" w:hint="eastAsia"/>
          <w:b/>
          <w:bCs/>
          <w:rtl/>
          <w:lang w:eastAsia="he-IL"/>
        </w:rPr>
        <w:t>בקבינט</w:t>
      </w:r>
      <w:r w:rsidRPr="00014C4D">
        <w:rPr>
          <w:rFonts w:eastAsia="Times New Roman"/>
          <w:b/>
          <w:bCs/>
          <w:rtl/>
          <w:lang w:eastAsia="he-IL"/>
        </w:rPr>
        <w:t xml:space="preserve"> </w:t>
      </w:r>
      <w:r w:rsidRPr="00014C4D">
        <w:rPr>
          <w:rFonts w:eastAsia="Times New Roman" w:hint="eastAsia"/>
          <w:b/>
          <w:bCs/>
          <w:rtl/>
          <w:lang w:eastAsia="he-IL"/>
        </w:rPr>
        <w:t>את</w:t>
      </w:r>
      <w:r w:rsidRPr="00014C4D">
        <w:rPr>
          <w:rFonts w:eastAsia="Times New Roman"/>
          <w:b/>
          <w:bCs/>
          <w:rtl/>
          <w:lang w:eastAsia="he-IL"/>
        </w:rPr>
        <w:t xml:space="preserve"> </w:t>
      </w:r>
      <w:r w:rsidRPr="00014C4D">
        <w:rPr>
          <w:rFonts w:eastAsia="Times New Roman" w:hint="eastAsia"/>
          <w:b/>
          <w:bCs/>
          <w:rtl/>
          <w:lang w:eastAsia="he-IL"/>
        </w:rPr>
        <w:t>סוגיית</w:t>
      </w:r>
      <w:r w:rsidRPr="00014C4D">
        <w:rPr>
          <w:rFonts w:eastAsia="Times New Roman"/>
          <w:b/>
          <w:bCs/>
          <w:rtl/>
          <w:lang w:eastAsia="he-IL"/>
        </w:rPr>
        <w:t xml:space="preserve"> </w:t>
      </w:r>
      <w:r w:rsidRPr="00014C4D">
        <w:rPr>
          <w:rFonts w:eastAsia="Times New Roman" w:hint="eastAsia"/>
          <w:b/>
          <w:bCs/>
          <w:rtl/>
          <w:lang w:eastAsia="he-IL"/>
        </w:rPr>
        <w:t>פערי</w:t>
      </w:r>
      <w:r w:rsidRPr="00014C4D">
        <w:rPr>
          <w:rFonts w:eastAsia="Times New Roman"/>
          <w:b/>
          <w:bCs/>
          <w:rtl/>
          <w:lang w:eastAsia="he-IL"/>
        </w:rPr>
        <w:t xml:space="preserve"> </w:t>
      </w:r>
      <w:r w:rsidRPr="00014C4D">
        <w:rPr>
          <w:rFonts w:eastAsia="Times New Roman" w:hint="eastAsia"/>
          <w:b/>
          <w:bCs/>
          <w:rtl/>
          <w:lang w:eastAsia="he-IL"/>
        </w:rPr>
        <w:t>המיגון</w:t>
      </w:r>
      <w:r w:rsidRPr="00014C4D">
        <w:rPr>
          <w:rFonts w:eastAsia="Times New Roman"/>
          <w:b/>
          <w:bCs/>
          <w:rtl/>
          <w:lang w:eastAsia="he-IL"/>
        </w:rPr>
        <w:t xml:space="preserve"> </w:t>
      </w:r>
      <w:r w:rsidRPr="00014C4D">
        <w:rPr>
          <w:rFonts w:eastAsia="Times New Roman" w:hint="eastAsia"/>
          <w:b/>
          <w:bCs/>
          <w:rtl/>
          <w:lang w:eastAsia="he-IL"/>
        </w:rPr>
        <w:t>ויפעל</w:t>
      </w:r>
      <w:r w:rsidRPr="00014C4D">
        <w:rPr>
          <w:rFonts w:eastAsia="Times New Roman"/>
          <w:b/>
          <w:bCs/>
          <w:rtl/>
          <w:lang w:eastAsia="he-IL"/>
        </w:rPr>
        <w:t xml:space="preserve"> </w:t>
      </w:r>
      <w:r w:rsidRPr="00014C4D">
        <w:rPr>
          <w:rFonts w:eastAsia="Times New Roman" w:hint="eastAsia"/>
          <w:b/>
          <w:bCs/>
          <w:rtl/>
          <w:lang w:eastAsia="he-IL"/>
        </w:rPr>
        <w:t>לגיבוש</w:t>
      </w:r>
      <w:r w:rsidRPr="00014C4D">
        <w:rPr>
          <w:rFonts w:eastAsia="Times New Roman"/>
          <w:b/>
          <w:bCs/>
          <w:rtl/>
          <w:lang w:eastAsia="he-IL"/>
        </w:rPr>
        <w:t xml:space="preserve"> </w:t>
      </w:r>
      <w:r w:rsidRPr="00014C4D">
        <w:rPr>
          <w:rFonts w:eastAsia="Times New Roman" w:hint="eastAsia"/>
          <w:b/>
          <w:bCs/>
          <w:rtl/>
          <w:lang w:eastAsia="he-IL"/>
        </w:rPr>
        <w:t>ת</w:t>
      </w:r>
      <w:r w:rsidRPr="00014C4D">
        <w:rPr>
          <w:rFonts w:eastAsia="Times New Roman" w:hint="cs"/>
          <w:b/>
          <w:bCs/>
          <w:rtl/>
          <w:lang w:eastAsia="he-IL"/>
        </w:rPr>
        <w:t>ו</w:t>
      </w:r>
      <w:r w:rsidRPr="00014C4D">
        <w:rPr>
          <w:rFonts w:eastAsia="Times New Roman" w:hint="eastAsia"/>
          <w:b/>
          <w:bCs/>
          <w:rtl/>
          <w:lang w:eastAsia="he-IL"/>
        </w:rPr>
        <w:t>כנית</w:t>
      </w:r>
      <w:r w:rsidRPr="00014C4D">
        <w:rPr>
          <w:rFonts w:eastAsia="Times New Roman"/>
          <w:b/>
          <w:bCs/>
          <w:rtl/>
          <w:lang w:eastAsia="he-IL"/>
        </w:rPr>
        <w:t xml:space="preserve"> </w:t>
      </w:r>
      <w:r w:rsidRPr="00014C4D">
        <w:rPr>
          <w:rFonts w:eastAsia="Times New Roman" w:hint="eastAsia"/>
          <w:b/>
          <w:bCs/>
          <w:rtl/>
          <w:lang w:eastAsia="he-IL"/>
        </w:rPr>
        <w:t>לאומית</w:t>
      </w:r>
      <w:r w:rsidRPr="00014C4D">
        <w:rPr>
          <w:rFonts w:eastAsia="Times New Roman"/>
          <w:b/>
          <w:bCs/>
          <w:rtl/>
          <w:lang w:eastAsia="he-IL"/>
        </w:rPr>
        <w:t xml:space="preserve"> </w:t>
      </w:r>
      <w:r w:rsidRPr="00014C4D">
        <w:rPr>
          <w:rFonts w:eastAsia="Times New Roman" w:hint="eastAsia"/>
          <w:b/>
          <w:bCs/>
          <w:rtl/>
          <w:lang w:eastAsia="he-IL"/>
        </w:rPr>
        <w:t>מתוקצבת</w:t>
      </w:r>
      <w:r w:rsidRPr="00014C4D">
        <w:rPr>
          <w:rFonts w:eastAsia="Times New Roman"/>
          <w:b/>
          <w:bCs/>
          <w:rtl/>
          <w:lang w:eastAsia="he-IL"/>
        </w:rPr>
        <w:t xml:space="preserve"> </w:t>
      </w:r>
      <w:r w:rsidRPr="00014C4D">
        <w:rPr>
          <w:rFonts w:eastAsia="Times New Roman" w:hint="eastAsia"/>
          <w:b/>
          <w:bCs/>
          <w:rtl/>
          <w:lang w:eastAsia="he-IL"/>
        </w:rPr>
        <w:t>למתן</w:t>
      </w:r>
      <w:r w:rsidRPr="00014C4D">
        <w:rPr>
          <w:rFonts w:eastAsia="Times New Roman"/>
          <w:b/>
          <w:bCs/>
          <w:rtl/>
          <w:lang w:eastAsia="he-IL"/>
        </w:rPr>
        <w:t xml:space="preserve"> </w:t>
      </w:r>
      <w:r w:rsidRPr="00014C4D">
        <w:rPr>
          <w:rFonts w:eastAsia="Times New Roman" w:hint="cs"/>
          <w:b/>
          <w:bCs/>
          <w:rtl/>
          <w:lang w:eastAsia="he-IL"/>
        </w:rPr>
        <w:t>ה</w:t>
      </w:r>
      <w:r w:rsidRPr="00014C4D">
        <w:rPr>
          <w:rFonts w:eastAsia="Times New Roman" w:hint="eastAsia"/>
          <w:b/>
          <w:bCs/>
          <w:rtl/>
          <w:lang w:eastAsia="he-IL"/>
        </w:rPr>
        <w:t>מענה</w:t>
      </w:r>
      <w:r w:rsidRPr="00014C4D">
        <w:rPr>
          <w:rFonts w:eastAsia="Times New Roman"/>
          <w:b/>
          <w:bCs/>
          <w:rtl/>
          <w:lang w:eastAsia="he-IL"/>
        </w:rPr>
        <w:t xml:space="preserve"> </w:t>
      </w:r>
      <w:r w:rsidRPr="00014C4D">
        <w:rPr>
          <w:rFonts w:eastAsia="Times New Roman" w:hint="cs"/>
          <w:b/>
          <w:bCs/>
          <w:rtl/>
          <w:lang w:eastAsia="he-IL"/>
        </w:rPr>
        <w:t>ה</w:t>
      </w:r>
      <w:r w:rsidRPr="00014C4D">
        <w:rPr>
          <w:rFonts w:eastAsia="Times New Roman" w:hint="eastAsia"/>
          <w:b/>
          <w:bCs/>
          <w:rtl/>
          <w:lang w:eastAsia="he-IL"/>
        </w:rPr>
        <w:t>נדרש</w:t>
      </w:r>
      <w:r w:rsidRPr="00014C4D">
        <w:rPr>
          <w:rFonts w:eastAsia="Times New Roman"/>
          <w:b/>
          <w:bCs/>
          <w:rtl/>
          <w:lang w:eastAsia="he-IL"/>
        </w:rPr>
        <w:t xml:space="preserve"> </w:t>
      </w:r>
      <w:r w:rsidRPr="00014C4D">
        <w:rPr>
          <w:rFonts w:eastAsia="Times New Roman" w:hint="eastAsia"/>
          <w:b/>
          <w:bCs/>
          <w:rtl/>
          <w:lang w:eastAsia="he-IL"/>
        </w:rPr>
        <w:t>ו</w:t>
      </w:r>
      <w:r w:rsidRPr="00014C4D">
        <w:rPr>
          <w:rFonts w:eastAsia="Times New Roman" w:hint="cs"/>
          <w:b/>
          <w:bCs/>
          <w:rtl/>
          <w:lang w:eastAsia="he-IL"/>
        </w:rPr>
        <w:t xml:space="preserve">כן יפעל </w:t>
      </w:r>
      <w:r w:rsidRPr="00014C4D">
        <w:rPr>
          <w:rFonts w:eastAsia="Times New Roman" w:hint="eastAsia"/>
          <w:b/>
          <w:bCs/>
          <w:rtl/>
          <w:lang w:eastAsia="he-IL"/>
        </w:rPr>
        <w:t>למיסוד</w:t>
      </w:r>
      <w:r w:rsidRPr="00014C4D">
        <w:rPr>
          <w:rFonts w:eastAsia="Times New Roman"/>
          <w:b/>
          <w:bCs/>
          <w:rtl/>
          <w:lang w:eastAsia="he-IL"/>
        </w:rPr>
        <w:t xml:space="preserve"> </w:t>
      </w:r>
      <w:r w:rsidRPr="00014C4D">
        <w:rPr>
          <w:rFonts w:eastAsia="Times New Roman" w:hint="eastAsia"/>
          <w:b/>
          <w:bCs/>
          <w:rtl/>
          <w:lang w:eastAsia="he-IL"/>
        </w:rPr>
        <w:t>מנגנוני</w:t>
      </w:r>
      <w:r w:rsidRPr="00014C4D">
        <w:rPr>
          <w:rFonts w:eastAsia="Times New Roman"/>
          <w:b/>
          <w:bCs/>
          <w:rtl/>
          <w:lang w:eastAsia="he-IL"/>
        </w:rPr>
        <w:t xml:space="preserve"> </w:t>
      </w:r>
      <w:r w:rsidRPr="00014C4D">
        <w:rPr>
          <w:rFonts w:eastAsia="Times New Roman" w:hint="eastAsia"/>
          <w:b/>
          <w:bCs/>
          <w:rtl/>
          <w:lang w:eastAsia="he-IL"/>
        </w:rPr>
        <w:t>בקרה</w:t>
      </w:r>
      <w:r w:rsidRPr="00014C4D">
        <w:rPr>
          <w:rFonts w:eastAsia="Times New Roman"/>
          <w:b/>
          <w:bCs/>
          <w:rtl/>
          <w:lang w:eastAsia="he-IL"/>
        </w:rPr>
        <w:t xml:space="preserve"> </w:t>
      </w:r>
      <w:r w:rsidRPr="00014C4D">
        <w:rPr>
          <w:rFonts w:eastAsia="Times New Roman" w:hint="eastAsia"/>
          <w:b/>
          <w:bCs/>
          <w:rtl/>
          <w:lang w:eastAsia="he-IL"/>
        </w:rPr>
        <w:t>ומעקב</w:t>
      </w:r>
      <w:r w:rsidRPr="00014C4D">
        <w:rPr>
          <w:rFonts w:eastAsia="Times New Roman"/>
          <w:b/>
          <w:bCs/>
          <w:rtl/>
          <w:lang w:eastAsia="he-IL"/>
        </w:rPr>
        <w:t xml:space="preserve"> </w:t>
      </w:r>
      <w:r w:rsidRPr="00014C4D">
        <w:rPr>
          <w:rFonts w:eastAsia="Times New Roman" w:hint="eastAsia"/>
          <w:b/>
          <w:bCs/>
          <w:rtl/>
          <w:lang w:eastAsia="he-IL"/>
        </w:rPr>
        <w:t>אחר</w:t>
      </w:r>
      <w:r w:rsidRPr="00014C4D">
        <w:rPr>
          <w:rFonts w:eastAsia="Times New Roman"/>
          <w:b/>
          <w:bCs/>
          <w:rtl/>
          <w:lang w:eastAsia="he-IL"/>
        </w:rPr>
        <w:t xml:space="preserve"> </w:t>
      </w:r>
      <w:r w:rsidRPr="00014C4D">
        <w:rPr>
          <w:rFonts w:eastAsia="Times New Roman" w:hint="eastAsia"/>
          <w:b/>
          <w:bCs/>
          <w:rtl/>
          <w:lang w:eastAsia="he-IL"/>
        </w:rPr>
        <w:t>יישומה</w:t>
      </w:r>
      <w:r w:rsidRPr="00014C4D">
        <w:rPr>
          <w:rFonts w:eastAsia="Times New Roman" w:hint="cs"/>
          <w:b/>
          <w:bCs/>
          <w:rtl/>
          <w:lang w:eastAsia="he-IL"/>
        </w:rPr>
        <w:t xml:space="preserve"> של התוכנית</w:t>
      </w:r>
      <w:r w:rsidRPr="00014C4D">
        <w:rPr>
          <w:rFonts w:eastAsia="Times New Roman"/>
          <w:b/>
          <w:bCs/>
          <w:rtl/>
          <w:lang w:eastAsia="he-IL"/>
        </w:rPr>
        <w:t>.</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משרד הבינוי והשיכון</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הקצאת תקציבים להשמשת מקלטים בבנייני מגורים</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 xml:space="preserve">נוכח הזנחה רבת שנים של מקלטים בבנייני מגורים </w:t>
      </w:r>
      <w:r w:rsidRPr="00014C4D">
        <w:rPr>
          <w:rFonts w:ascii="David" w:hAnsi="David" w:hint="eastAsia"/>
          <w:rtl/>
        </w:rPr>
        <w:t>והיעדר</w:t>
      </w:r>
      <w:r w:rsidRPr="00014C4D">
        <w:rPr>
          <w:rFonts w:ascii="David" w:hAnsi="David"/>
          <w:rtl/>
        </w:rPr>
        <w:t xml:space="preserve"> </w:t>
      </w:r>
      <w:r w:rsidRPr="00014C4D">
        <w:rPr>
          <w:rFonts w:ascii="David" w:hAnsi="David" w:hint="cs"/>
          <w:rtl/>
        </w:rPr>
        <w:t>פעולה של</w:t>
      </w:r>
      <w:r w:rsidRPr="00014C4D">
        <w:rPr>
          <w:rFonts w:ascii="David" w:hAnsi="David"/>
          <w:rtl/>
        </w:rPr>
        <w:t xml:space="preserve"> הרשויות המקומיות </w:t>
      </w:r>
      <w:r w:rsidRPr="00014C4D">
        <w:rPr>
          <w:rFonts w:ascii="David" w:hAnsi="David" w:hint="cs"/>
          <w:rtl/>
        </w:rPr>
        <w:t xml:space="preserve">לאכוף על </w:t>
      </w:r>
      <w:r w:rsidRPr="00014C4D">
        <w:rPr>
          <w:rFonts w:ascii="David" w:hAnsi="David"/>
          <w:rtl/>
        </w:rPr>
        <w:t>הדיירים לתקן את הליקויים</w:t>
      </w:r>
      <w:r w:rsidRPr="00014C4D">
        <w:rPr>
          <w:rFonts w:ascii="David" w:hAnsi="David" w:hint="cs"/>
          <w:rtl/>
        </w:rPr>
        <w:t xml:space="preserve">, יזם משרד הבינוי והשיכון (להלן גם - משרד השיכון) מתחילת המלחמה </w:t>
      </w:r>
      <w:r w:rsidRPr="00014C4D">
        <w:rPr>
          <w:rFonts w:ascii="David" w:hAnsi="David" w:hint="cs"/>
          <w:rtl/>
        </w:rPr>
        <w:lastRenderedPageBreak/>
        <w:t xml:space="preserve">העברה של עשרות מיליוני שקלים לרשויות המקומיות שבצפון ובדרום הארץ לשם השמשת המקלטים שבבנייני המגורים, כפי שיפורט להלן: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1"/>
        <w:rPr>
          <w:rFonts w:ascii="David" w:hAnsi="David"/>
          <w:rtl/>
        </w:rPr>
      </w:pPr>
      <w:r w:rsidRPr="00014C4D">
        <w:rPr>
          <w:rFonts w:ascii="David" w:hAnsi="David" w:hint="cs"/>
          <w:rtl/>
        </w:rPr>
        <w:t>בפרוטוקולי הישיבות של ועדת התמיכות של משרד השיכון (להלן - ועדת התמיכות או הוועדה) מ-12.10.23 ומ-25.12.23 נקבע כי נוכח הכרזת מצב המלחמה ב-8.10.23 יש צורך דחוף ביותר בהשמשת מקלטים בבנייני מגורים</w:t>
      </w:r>
      <w:r w:rsidRPr="00014C4D">
        <w:rPr>
          <w:rFonts w:ascii="David" w:hAnsi="David"/>
          <w:vertAlign w:val="superscript"/>
          <w:rtl/>
        </w:rPr>
        <w:footnoteReference w:id="118"/>
      </w:r>
      <w:r w:rsidRPr="00014C4D">
        <w:rPr>
          <w:rFonts w:ascii="David" w:hAnsi="David" w:hint="cs"/>
          <w:rtl/>
        </w:rPr>
        <w:t xml:space="preserve"> ברשויות המקומיות בצפון מקו טבריה-חיפה וצפונה (להלן - אזור הצפון) ובדרום בטווח של 40 ק"מ מרצועת עזה אשר נשמעו בתחומן מ-7.10.23 עד 27.11.23 לפחות שמונה התרעות של פקע</w:t>
      </w:r>
      <w:r w:rsidRPr="00014C4D">
        <w:rPr>
          <w:rFonts w:ascii="David" w:hAnsi="David"/>
          <w:rtl/>
        </w:rPr>
        <w:t>"</w:t>
      </w:r>
      <w:r w:rsidRPr="00014C4D">
        <w:rPr>
          <w:rFonts w:ascii="David" w:hAnsi="David" w:hint="cs"/>
          <w:rtl/>
        </w:rPr>
        <w:t xml:space="preserve">ר, וכן באילת (להלן - אזור דרום). עוד נקבע כי התמיכה ישולמו כלהלן: ליישוב עירוני - 300,000 ש"ח לכל 10,000 תושבים ולמועצה אזורית - 240,000 ש"ח לכל מועצה. הוועדה תיקנה ב-16.10.23 את ההחלטה לגבי הרשויות שבצפון הארץ: הוסיפה 12 רשויות להסדר וקבעה כי סכומי התמיכה לרשויות אלה יהיו 150,000 ש"ח לכל 10,000 תושבים ביישוב עירוני ו-240,000 ש"ח לכל מועצה אזורית.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ב-7.11.23 אישרה ועדת התמיכות מתן תמיכה נוספת לרשויות האמורות אשר ניצלו עד אותו מועד 70% מסך כספי התמיכה הקודמת שהוקצו להן. הסכומים בהחלטה זו ניתנו לפי תנאים מסוימים שקבע משרד השיכון</w:t>
      </w:r>
      <w:r w:rsidRPr="00014C4D">
        <w:rPr>
          <w:rFonts w:ascii="David" w:hAnsi="David"/>
          <w:vertAlign w:val="superscript"/>
          <w:rtl/>
        </w:rPr>
        <w:footnoteReference w:id="119"/>
      </w:r>
      <w:r w:rsidRPr="00014C4D">
        <w:rPr>
          <w:rFonts w:ascii="David" w:hAnsi="David" w:hint="cs"/>
          <w:rtl/>
        </w:rPr>
        <w:t xml:space="preserve">. עוד נקבע בהחלטה כי הרשויות יבצעו את העבודות.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 xml:space="preserve">ביולי 2024 הוסיפה הוועדה תקציב ליישובים באזור הצפון שניצלו עד אותו מועד לפחות 90% מהתקציב שהוקצה להן סכומים כלהלן: ליישוב עירוני 300,000 ש"ח לכל 10,000 תושבים ולמועצה אזורית 250,000 ש"ח.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 xml:space="preserve">יצוין כי כל התקציבים שקבעה הוועדה נועדו להשמשת מקלטים בבנייני מגורים.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להלן סך התקציבים שנקבעו לרשויות המקומיות בצפון ובדרום, הסכומים שהועברו בפועל ומספר המקלטים בבנייני מגורים וציבוריים ששופצו.</w:t>
      </w:r>
    </w:p>
    <w:p w:rsidR="00014C4D" w:rsidRPr="00014C4D" w:rsidRDefault="00014C4D" w:rsidP="00014C4D">
      <w:pPr>
        <w:spacing w:line="269" w:lineRule="auto"/>
        <w:ind w:left="-567"/>
        <w:rPr>
          <w:szCs w:val="20"/>
          <w:rtl/>
        </w:rPr>
      </w:pPr>
    </w:p>
    <w:p w:rsidR="00014C4D" w:rsidRPr="00014C4D" w:rsidRDefault="00014C4D" w:rsidP="00014C4D">
      <w:pPr>
        <w:keepNext/>
        <w:keepLines/>
        <w:tabs>
          <w:tab w:val="left" w:pos="424"/>
        </w:tabs>
        <w:spacing w:line="269" w:lineRule="auto"/>
        <w:jc w:val="center"/>
        <w:rPr>
          <w:rFonts w:ascii="David" w:hAnsi="David"/>
          <w:b/>
          <w:bCs/>
          <w:rtl/>
        </w:rPr>
      </w:pPr>
      <w:r w:rsidRPr="00014C4D">
        <w:rPr>
          <w:rFonts w:ascii="David" w:hAnsi="David" w:hint="eastAsia"/>
          <w:rtl/>
        </w:rPr>
        <w:t>לוח</w:t>
      </w:r>
      <w:r w:rsidRPr="00014C4D">
        <w:rPr>
          <w:rFonts w:ascii="David" w:hAnsi="David"/>
          <w:rtl/>
        </w:rPr>
        <w:t xml:space="preserve"> </w:t>
      </w:r>
      <w:r w:rsidRPr="00014C4D">
        <w:rPr>
          <w:rFonts w:ascii="David" w:hAnsi="David" w:hint="cs"/>
          <w:rtl/>
        </w:rPr>
        <w:t>12</w:t>
      </w:r>
      <w:r w:rsidRPr="00014C4D">
        <w:rPr>
          <w:rFonts w:ascii="David" w:hAnsi="David"/>
          <w:rtl/>
        </w:rPr>
        <w:t>:</w:t>
      </w:r>
      <w:r w:rsidRPr="00014C4D">
        <w:rPr>
          <w:rFonts w:ascii="David" w:hAnsi="David" w:hint="cs"/>
          <w:b/>
          <w:bCs/>
          <w:rtl/>
        </w:rPr>
        <w:t xml:space="preserve"> התקציב שנקבע ל</w:t>
      </w:r>
      <w:r w:rsidRPr="00014C4D">
        <w:rPr>
          <w:rFonts w:ascii="David" w:hAnsi="David"/>
          <w:b/>
          <w:bCs/>
          <w:rtl/>
        </w:rPr>
        <w:t>השמשת מקלטים</w:t>
      </w:r>
      <w:r w:rsidRPr="00014C4D">
        <w:rPr>
          <w:rFonts w:ascii="David" w:hAnsi="David" w:hint="cs"/>
          <w:b/>
          <w:bCs/>
          <w:rtl/>
        </w:rPr>
        <w:t>, ההעברות בפועל לרשויות המקומיות ומספר המקלטים ששופצו, 8.10.23 עד אוגוסט 2024</w:t>
      </w:r>
    </w:p>
    <w:p w:rsidR="00014C4D" w:rsidRPr="00014C4D" w:rsidRDefault="00014C4D" w:rsidP="00014C4D">
      <w:pPr>
        <w:spacing w:line="269" w:lineRule="auto"/>
        <w:ind w:left="-567"/>
        <w:rPr>
          <w:sz w:val="6"/>
          <w:szCs w:val="6"/>
          <w:rtl/>
        </w:rPr>
      </w:pPr>
    </w:p>
    <w:tbl>
      <w:tblPr>
        <w:bidiVisual/>
        <w:tblW w:w="4922" w:type="pct"/>
        <w:tblInd w:w="128" w:type="dxa"/>
        <w:tblLayout w:type="fixed"/>
        <w:tblLook w:val="04A0" w:firstRow="1" w:lastRow="0" w:firstColumn="1" w:lastColumn="0" w:noHBand="0" w:noVBand="1"/>
      </w:tblPr>
      <w:tblGrid>
        <w:gridCol w:w="3391"/>
        <w:gridCol w:w="1079"/>
        <w:gridCol w:w="1233"/>
        <w:gridCol w:w="1540"/>
        <w:gridCol w:w="1528"/>
      </w:tblGrid>
      <w:tr w:rsidR="00014C4D" w:rsidRPr="00014C4D" w:rsidTr="00014C4D">
        <w:trPr>
          <w:trHeight w:val="645"/>
        </w:trPr>
        <w:tc>
          <w:tcPr>
            <w:tcW w:w="1933"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14C4D" w:rsidRPr="00014C4D" w:rsidRDefault="00014C4D" w:rsidP="00014C4D">
            <w:pPr>
              <w:spacing w:line="269" w:lineRule="auto"/>
              <w:jc w:val="center"/>
              <w:rPr>
                <w:rFonts w:ascii="David" w:eastAsia="Times New Roman" w:hAnsi="David"/>
                <w:b/>
                <w:bCs/>
                <w:sz w:val="22"/>
                <w:szCs w:val="22"/>
              </w:rPr>
            </w:pPr>
            <w:r w:rsidRPr="00014C4D">
              <w:rPr>
                <w:rFonts w:ascii="David" w:eastAsia="Times New Roman" w:hAnsi="David" w:hint="cs"/>
                <w:b/>
                <w:bCs/>
                <w:sz w:val="22"/>
                <w:szCs w:val="22"/>
                <w:rtl/>
              </w:rPr>
              <w:t>האזור</w:t>
            </w:r>
          </w:p>
        </w:tc>
        <w:tc>
          <w:tcPr>
            <w:tcW w:w="615"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מס</w:t>
            </w:r>
            <w:r w:rsidRPr="00014C4D">
              <w:rPr>
                <w:rFonts w:ascii="David" w:eastAsia="Times New Roman" w:hAnsi="David" w:hint="cs"/>
                <w:b/>
                <w:bCs/>
                <w:sz w:val="22"/>
                <w:szCs w:val="22"/>
                <w:rtl/>
              </w:rPr>
              <w:t>פר</w:t>
            </w:r>
            <w:r w:rsidRPr="00014C4D">
              <w:rPr>
                <w:rFonts w:ascii="David" w:eastAsia="Times New Roman" w:hAnsi="David"/>
                <w:b/>
                <w:bCs/>
                <w:sz w:val="22"/>
                <w:szCs w:val="22"/>
                <w:rtl/>
              </w:rPr>
              <w:t xml:space="preserve"> </w:t>
            </w:r>
            <w:r w:rsidRPr="00014C4D">
              <w:rPr>
                <w:rFonts w:ascii="David" w:eastAsia="Times New Roman" w:hAnsi="David" w:hint="cs"/>
                <w:b/>
                <w:bCs/>
                <w:sz w:val="22"/>
                <w:szCs w:val="22"/>
                <w:rtl/>
              </w:rPr>
              <w:t>ה</w:t>
            </w:r>
            <w:r w:rsidRPr="00014C4D">
              <w:rPr>
                <w:rFonts w:ascii="David" w:eastAsia="Times New Roman" w:hAnsi="David"/>
                <w:b/>
                <w:bCs/>
                <w:sz w:val="22"/>
                <w:szCs w:val="22"/>
                <w:rtl/>
              </w:rPr>
              <w:t>רשויות</w:t>
            </w:r>
          </w:p>
        </w:tc>
        <w:tc>
          <w:tcPr>
            <w:tcW w:w="703"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ה</w:t>
            </w:r>
            <w:r w:rsidRPr="00014C4D">
              <w:rPr>
                <w:rFonts w:ascii="David" w:eastAsia="Times New Roman" w:hAnsi="David"/>
                <w:b/>
                <w:bCs/>
                <w:sz w:val="22"/>
                <w:szCs w:val="22"/>
                <w:rtl/>
              </w:rPr>
              <w:t>תקציב</w:t>
            </w:r>
            <w:r w:rsidRPr="00014C4D">
              <w:rPr>
                <w:rFonts w:ascii="David" w:eastAsia="Times New Roman" w:hAnsi="David" w:hint="cs"/>
                <w:b/>
                <w:bCs/>
                <w:sz w:val="22"/>
                <w:szCs w:val="22"/>
                <w:rtl/>
              </w:rPr>
              <w:t xml:space="preserve"> (באלפי ש"ח)</w:t>
            </w:r>
          </w:p>
        </w:tc>
        <w:tc>
          <w:tcPr>
            <w:tcW w:w="878"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bottom"/>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hint="cs"/>
                <w:b/>
                <w:bCs/>
                <w:sz w:val="22"/>
                <w:szCs w:val="22"/>
                <w:rtl/>
              </w:rPr>
              <w:t>ההעברות לרשויות המקומיות (באלפי ש"ח)</w:t>
            </w:r>
          </w:p>
        </w:tc>
        <w:tc>
          <w:tcPr>
            <w:tcW w:w="87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hideMark/>
          </w:tcPr>
          <w:p w:rsidR="00014C4D" w:rsidRPr="00014C4D" w:rsidRDefault="00014C4D" w:rsidP="00014C4D">
            <w:pPr>
              <w:spacing w:line="269" w:lineRule="auto"/>
              <w:jc w:val="center"/>
              <w:rPr>
                <w:rFonts w:ascii="David" w:eastAsia="Times New Roman" w:hAnsi="David"/>
                <w:b/>
                <w:bCs/>
                <w:sz w:val="22"/>
                <w:szCs w:val="22"/>
                <w:rtl/>
              </w:rPr>
            </w:pPr>
            <w:r w:rsidRPr="00014C4D">
              <w:rPr>
                <w:rFonts w:ascii="David" w:eastAsia="Times New Roman" w:hAnsi="David"/>
                <w:b/>
                <w:bCs/>
                <w:sz w:val="22"/>
                <w:szCs w:val="22"/>
                <w:rtl/>
              </w:rPr>
              <w:t>מס</w:t>
            </w:r>
            <w:r w:rsidRPr="00014C4D">
              <w:rPr>
                <w:rFonts w:ascii="David" w:eastAsia="Times New Roman" w:hAnsi="David" w:hint="cs"/>
                <w:b/>
                <w:bCs/>
                <w:sz w:val="22"/>
                <w:szCs w:val="22"/>
                <w:rtl/>
              </w:rPr>
              <w:t>פר</w:t>
            </w:r>
            <w:r w:rsidRPr="00014C4D">
              <w:rPr>
                <w:rFonts w:ascii="David" w:eastAsia="Times New Roman" w:hAnsi="David"/>
                <w:b/>
                <w:bCs/>
                <w:sz w:val="22"/>
                <w:szCs w:val="22"/>
                <w:rtl/>
              </w:rPr>
              <w:t xml:space="preserve"> </w:t>
            </w:r>
            <w:r w:rsidRPr="00014C4D">
              <w:rPr>
                <w:rFonts w:ascii="David" w:eastAsia="Times New Roman" w:hAnsi="David" w:hint="cs"/>
                <w:b/>
                <w:bCs/>
                <w:sz w:val="22"/>
                <w:szCs w:val="22"/>
                <w:rtl/>
              </w:rPr>
              <w:t>ה</w:t>
            </w:r>
            <w:r w:rsidRPr="00014C4D">
              <w:rPr>
                <w:rFonts w:ascii="David" w:eastAsia="Times New Roman" w:hAnsi="David"/>
                <w:b/>
                <w:bCs/>
                <w:sz w:val="22"/>
                <w:szCs w:val="22"/>
                <w:rtl/>
              </w:rPr>
              <w:t>מקלטים</w:t>
            </w:r>
            <w:r w:rsidRPr="00014C4D">
              <w:rPr>
                <w:rFonts w:ascii="David" w:eastAsia="Times New Roman" w:hAnsi="David"/>
                <w:b/>
                <w:bCs/>
                <w:sz w:val="22"/>
                <w:szCs w:val="22"/>
                <w:rtl/>
              </w:rPr>
              <w:br/>
              <w:t>ששופצו</w:t>
            </w:r>
          </w:p>
        </w:tc>
      </w:tr>
      <w:tr w:rsidR="00014C4D" w:rsidRPr="00014C4D" w:rsidTr="00014C4D">
        <w:trPr>
          <w:trHeight w:val="330"/>
        </w:trPr>
        <w:tc>
          <w:tcPr>
            <w:tcW w:w="1933" w:type="pct"/>
            <w:tcBorders>
              <w:top w:val="nil"/>
              <w:left w:val="single" w:sz="8" w:space="0" w:color="auto"/>
              <w:bottom w:val="single" w:sz="8" w:space="0" w:color="auto"/>
              <w:right w:val="nil"/>
            </w:tcBorders>
            <w:shd w:val="clear" w:color="auto" w:fill="auto"/>
            <w:noWrap/>
            <w:vAlign w:val="bottom"/>
            <w:hideMark/>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sz w:val="22"/>
                <w:szCs w:val="22"/>
                <w:rtl/>
              </w:rPr>
              <w:t>צפון</w:t>
            </w:r>
          </w:p>
        </w:tc>
        <w:tc>
          <w:tcPr>
            <w:tcW w:w="615" w:type="pct"/>
            <w:tcBorders>
              <w:top w:val="nil"/>
              <w:left w:val="single" w:sz="8" w:space="0" w:color="auto"/>
              <w:bottom w:val="single" w:sz="4" w:space="0" w:color="auto"/>
              <w:right w:val="single" w:sz="8"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sz w:val="22"/>
                <w:szCs w:val="22"/>
              </w:rPr>
              <w:t>53</w:t>
            </w:r>
          </w:p>
        </w:tc>
        <w:tc>
          <w:tcPr>
            <w:tcW w:w="703" w:type="pct"/>
            <w:tcBorders>
              <w:top w:val="nil"/>
              <w:left w:val="single" w:sz="8" w:space="0" w:color="auto"/>
              <w:bottom w:val="single" w:sz="4" w:space="0" w:color="auto"/>
              <w:right w:val="single" w:sz="4"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59,086</w:t>
            </w:r>
          </w:p>
        </w:tc>
        <w:tc>
          <w:tcPr>
            <w:tcW w:w="878" w:type="pct"/>
            <w:tcBorders>
              <w:top w:val="nil"/>
              <w:left w:val="single" w:sz="4" w:space="0" w:color="auto"/>
              <w:bottom w:val="single" w:sz="4" w:space="0" w:color="auto"/>
              <w:right w:val="nil"/>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40,840</w:t>
            </w:r>
          </w:p>
        </w:tc>
        <w:tc>
          <w:tcPr>
            <w:tcW w:w="871" w:type="pct"/>
            <w:tcBorders>
              <w:top w:val="nil"/>
              <w:left w:val="single" w:sz="8" w:space="0" w:color="auto"/>
              <w:bottom w:val="single" w:sz="4" w:space="0" w:color="auto"/>
              <w:right w:val="single" w:sz="8"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6,148</w:t>
            </w:r>
          </w:p>
        </w:tc>
      </w:tr>
      <w:tr w:rsidR="00014C4D" w:rsidRPr="00014C4D" w:rsidTr="00014C4D">
        <w:trPr>
          <w:trHeight w:val="330"/>
        </w:trPr>
        <w:tc>
          <w:tcPr>
            <w:tcW w:w="1933" w:type="pct"/>
            <w:tcBorders>
              <w:top w:val="nil"/>
              <w:left w:val="single" w:sz="8" w:space="0" w:color="auto"/>
              <w:bottom w:val="single" w:sz="8" w:space="0" w:color="auto"/>
              <w:right w:val="nil"/>
            </w:tcBorders>
            <w:shd w:val="clear" w:color="auto" w:fill="auto"/>
            <w:noWrap/>
            <w:vAlign w:val="bottom"/>
            <w:hideMark/>
          </w:tcPr>
          <w:p w:rsidR="00014C4D" w:rsidRPr="00014C4D" w:rsidRDefault="00014C4D" w:rsidP="00014C4D">
            <w:pPr>
              <w:spacing w:line="269" w:lineRule="auto"/>
              <w:jc w:val="left"/>
              <w:rPr>
                <w:rFonts w:ascii="David" w:eastAsia="Times New Roman" w:hAnsi="David"/>
                <w:sz w:val="22"/>
                <w:szCs w:val="22"/>
              </w:rPr>
            </w:pPr>
            <w:r w:rsidRPr="00014C4D">
              <w:rPr>
                <w:rFonts w:ascii="David" w:eastAsia="Times New Roman" w:hAnsi="David"/>
                <w:sz w:val="22"/>
                <w:szCs w:val="22"/>
                <w:rtl/>
              </w:rPr>
              <w:t>דרום</w:t>
            </w:r>
          </w:p>
        </w:tc>
        <w:tc>
          <w:tcPr>
            <w:tcW w:w="615" w:type="pct"/>
            <w:tcBorders>
              <w:top w:val="nil"/>
              <w:left w:val="single" w:sz="8" w:space="0" w:color="auto"/>
              <w:bottom w:val="single" w:sz="8" w:space="0" w:color="auto"/>
              <w:right w:val="single" w:sz="8"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sz w:val="22"/>
                <w:szCs w:val="22"/>
              </w:rPr>
              <w:t>21</w:t>
            </w:r>
          </w:p>
        </w:tc>
        <w:tc>
          <w:tcPr>
            <w:tcW w:w="703" w:type="pct"/>
            <w:tcBorders>
              <w:top w:val="nil"/>
              <w:left w:val="single" w:sz="8" w:space="0" w:color="auto"/>
              <w:bottom w:val="single" w:sz="8" w:space="0" w:color="auto"/>
              <w:right w:val="single" w:sz="4"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34,705</w:t>
            </w:r>
          </w:p>
        </w:tc>
        <w:tc>
          <w:tcPr>
            <w:tcW w:w="878" w:type="pct"/>
            <w:tcBorders>
              <w:top w:val="nil"/>
              <w:left w:val="single" w:sz="4" w:space="0" w:color="auto"/>
              <w:bottom w:val="single" w:sz="8" w:space="0" w:color="auto"/>
              <w:right w:val="nil"/>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20,023</w:t>
            </w:r>
          </w:p>
        </w:tc>
        <w:tc>
          <w:tcPr>
            <w:tcW w:w="871" w:type="pct"/>
            <w:tcBorders>
              <w:top w:val="nil"/>
              <w:left w:val="single" w:sz="8" w:space="0" w:color="auto"/>
              <w:bottom w:val="single" w:sz="8" w:space="0" w:color="auto"/>
              <w:right w:val="single" w:sz="8"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1,733</w:t>
            </w:r>
          </w:p>
        </w:tc>
      </w:tr>
      <w:tr w:rsidR="00014C4D" w:rsidRPr="00014C4D" w:rsidTr="00014C4D">
        <w:trPr>
          <w:trHeight w:val="330"/>
        </w:trPr>
        <w:tc>
          <w:tcPr>
            <w:tcW w:w="1933" w:type="pct"/>
            <w:tcBorders>
              <w:top w:val="single" w:sz="8" w:space="0" w:color="auto"/>
              <w:left w:val="single" w:sz="8" w:space="0" w:color="auto"/>
              <w:bottom w:val="single" w:sz="4" w:space="0" w:color="auto"/>
              <w:right w:val="nil"/>
            </w:tcBorders>
            <w:shd w:val="clear" w:color="auto" w:fill="auto"/>
            <w:noWrap/>
            <w:vAlign w:val="bottom"/>
            <w:hideMark/>
          </w:tcPr>
          <w:p w:rsidR="00014C4D" w:rsidRPr="00014C4D" w:rsidRDefault="00014C4D" w:rsidP="00014C4D">
            <w:pPr>
              <w:spacing w:line="269" w:lineRule="auto"/>
              <w:jc w:val="left"/>
              <w:rPr>
                <w:rFonts w:ascii="David" w:eastAsia="Times New Roman" w:hAnsi="David"/>
                <w:b/>
                <w:bCs/>
                <w:sz w:val="22"/>
                <w:szCs w:val="22"/>
              </w:rPr>
            </w:pPr>
            <w:r w:rsidRPr="00014C4D">
              <w:rPr>
                <w:rFonts w:ascii="David" w:eastAsia="Times New Roman" w:hAnsi="David"/>
                <w:b/>
                <w:bCs/>
                <w:sz w:val="22"/>
                <w:szCs w:val="22"/>
                <w:rtl/>
              </w:rPr>
              <w:t>סה"כ</w:t>
            </w:r>
          </w:p>
        </w:tc>
        <w:tc>
          <w:tcPr>
            <w:tcW w:w="615"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74</w:t>
            </w:r>
          </w:p>
        </w:tc>
        <w:tc>
          <w:tcPr>
            <w:tcW w:w="703"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93,791</w:t>
            </w:r>
          </w:p>
        </w:tc>
        <w:tc>
          <w:tcPr>
            <w:tcW w:w="878" w:type="pct"/>
            <w:tcBorders>
              <w:top w:val="single" w:sz="8" w:space="0" w:color="auto"/>
              <w:left w:val="single" w:sz="4" w:space="0" w:color="auto"/>
              <w:bottom w:val="single" w:sz="4" w:space="0" w:color="auto"/>
              <w:right w:val="nil"/>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60,863</w:t>
            </w:r>
          </w:p>
        </w:tc>
        <w:tc>
          <w:tcPr>
            <w:tcW w:w="871"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014C4D" w:rsidRPr="00014C4D" w:rsidRDefault="00014C4D" w:rsidP="00014C4D">
            <w:pPr>
              <w:bidi w:val="0"/>
              <w:spacing w:line="269" w:lineRule="auto"/>
              <w:jc w:val="right"/>
              <w:rPr>
                <w:rFonts w:ascii="David" w:eastAsia="Times New Roman" w:hAnsi="David"/>
                <w:b/>
                <w:bCs/>
                <w:sz w:val="22"/>
                <w:szCs w:val="22"/>
              </w:rPr>
            </w:pPr>
            <w:r w:rsidRPr="00014C4D">
              <w:rPr>
                <w:rFonts w:ascii="David" w:eastAsia="Times New Roman" w:hAnsi="David"/>
                <w:b/>
                <w:bCs/>
                <w:sz w:val="22"/>
                <w:szCs w:val="22"/>
              </w:rPr>
              <w:t>7,881</w:t>
            </w:r>
          </w:p>
        </w:tc>
      </w:tr>
    </w:tbl>
    <w:p w:rsidR="00014C4D" w:rsidRPr="00014C4D" w:rsidRDefault="00014C4D" w:rsidP="00014C4D">
      <w:pPr>
        <w:tabs>
          <w:tab w:val="left" w:pos="424"/>
        </w:tabs>
        <w:spacing w:line="269" w:lineRule="auto"/>
        <w:rPr>
          <w:rFonts w:ascii="David" w:hAnsi="David"/>
          <w:szCs w:val="20"/>
          <w:rtl/>
        </w:rPr>
      </w:pPr>
      <w:r w:rsidRPr="00014C4D">
        <w:rPr>
          <w:rFonts w:ascii="David" w:hAnsi="David" w:hint="cs"/>
          <w:szCs w:val="20"/>
          <w:rtl/>
        </w:rPr>
        <w:t xml:space="preserve">על פי נתוני משרד הבינוי והשיכון, בעיבוד משרד מבקר המדינה. הנתונים מעודכנים לחודשים יולי ואוגוסט 2024. </w:t>
      </w:r>
    </w:p>
    <w:p w:rsidR="00014C4D" w:rsidRPr="00014C4D" w:rsidRDefault="00014C4D" w:rsidP="00014C4D">
      <w:pPr>
        <w:tabs>
          <w:tab w:val="left" w:pos="424"/>
        </w:tabs>
        <w:spacing w:line="269" w:lineRule="auto"/>
        <w:rPr>
          <w:rFonts w:ascii="David" w:hAnsi="David"/>
          <w:b/>
          <w:bCs/>
          <w:rtl/>
        </w:rPr>
      </w:pPr>
      <w:r w:rsidRPr="00014C4D">
        <w:rPr>
          <w:rFonts w:ascii="David" w:hAnsi="David" w:hint="cs"/>
          <w:b/>
          <w:bCs/>
          <w:rtl/>
        </w:rPr>
        <w:lastRenderedPageBreak/>
        <w:t xml:space="preserve">בעוד שהוועדה הקצתה את התקציבים להשמשת מקלטים בבנייני מגורים, </w:t>
      </w:r>
      <w:r w:rsidRPr="00014C4D">
        <w:rPr>
          <w:rFonts w:ascii="David" w:hAnsi="David" w:hint="eastAsia"/>
          <w:b/>
          <w:bCs/>
          <w:rtl/>
        </w:rPr>
        <w:t>נמצא</w:t>
      </w:r>
      <w:r w:rsidRPr="00014C4D">
        <w:rPr>
          <w:rFonts w:ascii="David" w:hAnsi="David"/>
          <w:b/>
          <w:bCs/>
          <w:rtl/>
        </w:rPr>
        <w:t xml:space="preserve"> כי </w:t>
      </w:r>
      <w:r w:rsidRPr="00014C4D">
        <w:rPr>
          <w:rFonts w:ascii="David" w:hAnsi="David" w:hint="eastAsia"/>
          <w:b/>
          <w:bCs/>
          <w:rtl/>
        </w:rPr>
        <w:t>בפועל</w:t>
      </w:r>
      <w:r w:rsidRPr="00014C4D">
        <w:rPr>
          <w:rFonts w:ascii="David" w:hAnsi="David"/>
          <w:b/>
          <w:bCs/>
          <w:rtl/>
        </w:rPr>
        <w:t xml:space="preserve"> שימשו הכספים </w:t>
      </w:r>
      <w:r w:rsidRPr="00014C4D">
        <w:rPr>
          <w:rFonts w:ascii="David" w:hAnsi="David" w:hint="eastAsia"/>
          <w:b/>
          <w:bCs/>
          <w:rtl/>
        </w:rPr>
        <w:t>להשמשת</w:t>
      </w:r>
      <w:r w:rsidRPr="00014C4D">
        <w:rPr>
          <w:rFonts w:ascii="David" w:hAnsi="David"/>
          <w:b/>
          <w:bCs/>
          <w:rtl/>
        </w:rPr>
        <w:t xml:space="preserve"> מקלטים הן בבנייני מגורים והן במקומות ציבוריים</w:t>
      </w:r>
      <w:r w:rsidRPr="00014C4D">
        <w:rPr>
          <w:rFonts w:ascii="David" w:hAnsi="David"/>
          <w:b/>
          <w:bCs/>
          <w:vertAlign w:val="superscript"/>
          <w:rtl/>
        </w:rPr>
        <w:footnoteReference w:id="120"/>
      </w:r>
      <w:r w:rsidRPr="00014C4D">
        <w:rPr>
          <w:rFonts w:ascii="David" w:hAnsi="David" w:hint="cs"/>
          <w:b/>
          <w:bCs/>
          <w:rtl/>
        </w:rPr>
        <w:t xml:space="preserve"> ולכן לא שימשו כל התקציבים שנקבעו לפתרון ה</w:t>
      </w:r>
      <w:r w:rsidRPr="00014C4D">
        <w:rPr>
          <w:rFonts w:ascii="David" w:hAnsi="David"/>
          <w:b/>
          <w:bCs/>
          <w:rtl/>
        </w:rPr>
        <w:t xml:space="preserve">הזנחה רבת שנים </w:t>
      </w:r>
      <w:r w:rsidRPr="00014C4D">
        <w:rPr>
          <w:rFonts w:ascii="David" w:hAnsi="David" w:hint="cs"/>
          <w:b/>
          <w:bCs/>
          <w:rtl/>
        </w:rPr>
        <w:t>ב</w:t>
      </w:r>
      <w:r w:rsidRPr="00014C4D">
        <w:rPr>
          <w:rFonts w:ascii="David" w:hAnsi="David"/>
          <w:b/>
          <w:bCs/>
          <w:rtl/>
        </w:rPr>
        <w:t xml:space="preserve">מקלטים בבנייני מגורים.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rtl/>
        </w:rPr>
      </w:pPr>
      <w:r w:rsidRPr="00014C4D">
        <w:rPr>
          <w:rtl/>
        </w:rPr>
        <w:t xml:space="preserve">משרד הבינוי והשיכון מסר בתשובתו למשרד מבקר המדינה </w:t>
      </w:r>
      <w:r w:rsidRPr="00014C4D">
        <w:rPr>
          <w:rFonts w:hint="cs"/>
          <w:rtl/>
        </w:rPr>
        <w:t>מ</w:t>
      </w:r>
      <w:r w:rsidRPr="00014C4D">
        <w:rPr>
          <w:rtl/>
        </w:rPr>
        <w:t>יולי 2025</w:t>
      </w:r>
      <w:r w:rsidRPr="00014C4D">
        <w:rPr>
          <w:rFonts w:hint="cs"/>
          <w:rtl/>
        </w:rPr>
        <w:t xml:space="preserve"> (להלן - תשובת</w:t>
      </w:r>
      <w:r w:rsidRPr="00014C4D">
        <w:rPr>
          <w:rtl/>
        </w:rPr>
        <w:t xml:space="preserve"> </w:t>
      </w:r>
      <w:r w:rsidRPr="00014C4D">
        <w:rPr>
          <w:rFonts w:hint="cs"/>
          <w:rtl/>
        </w:rPr>
        <w:t xml:space="preserve">משרד הבינוי והשיכון) </w:t>
      </w:r>
      <w:r w:rsidRPr="00014C4D">
        <w:rPr>
          <w:rtl/>
        </w:rPr>
        <w:t xml:space="preserve">כי </w:t>
      </w:r>
      <w:r w:rsidRPr="00014C4D">
        <w:rPr>
          <w:rFonts w:hint="cs"/>
          <w:rtl/>
        </w:rPr>
        <w:t xml:space="preserve">בהתאם להחלטת ועדת התמיכות נעשתה </w:t>
      </w:r>
      <w:r w:rsidRPr="00014C4D">
        <w:rPr>
          <w:rtl/>
        </w:rPr>
        <w:t>הבחנה בהקצאת תקציבי התמיכ</w:t>
      </w:r>
      <w:r w:rsidRPr="00014C4D">
        <w:rPr>
          <w:rFonts w:hint="cs"/>
          <w:rtl/>
        </w:rPr>
        <w:t xml:space="preserve">ות בין </w:t>
      </w:r>
      <w:r w:rsidRPr="00014C4D">
        <w:rPr>
          <w:rtl/>
        </w:rPr>
        <w:t xml:space="preserve">מועצות אזוריות </w:t>
      </w:r>
      <w:r w:rsidRPr="00014C4D">
        <w:rPr>
          <w:rFonts w:hint="cs"/>
          <w:rtl/>
        </w:rPr>
        <w:t xml:space="preserve">ויישובים ערביים ובין ערים אחרות. </w:t>
      </w:r>
      <w:r w:rsidRPr="00014C4D">
        <w:rPr>
          <w:rFonts w:ascii="David" w:hAnsi="David"/>
          <w:rtl/>
        </w:rPr>
        <w:t>מתוך</w:t>
      </w:r>
      <w:r w:rsidRPr="00014C4D">
        <w:rPr>
          <w:rFonts w:ascii="David" w:hAnsi="David" w:hint="cs"/>
          <w:rtl/>
        </w:rPr>
        <w:t xml:space="preserve"> </w:t>
      </w:r>
      <w:r w:rsidRPr="00014C4D">
        <w:rPr>
          <w:rFonts w:ascii="David" w:hAnsi="David"/>
          <w:rtl/>
        </w:rPr>
        <w:t>ההבנה כי במועצות אזוריות</w:t>
      </w:r>
      <w:r w:rsidRPr="00014C4D">
        <w:rPr>
          <w:rFonts w:ascii="David" w:hAnsi="David" w:hint="cs"/>
          <w:rtl/>
        </w:rPr>
        <w:t xml:space="preserve"> וביישובים ערביים</w:t>
      </w:r>
      <w:r w:rsidRPr="00014C4D">
        <w:rPr>
          <w:rFonts w:ascii="David" w:hAnsi="David"/>
          <w:rtl/>
        </w:rPr>
        <w:t xml:space="preserve"> הבנ</w:t>
      </w:r>
      <w:r w:rsidRPr="00014C4D">
        <w:rPr>
          <w:rFonts w:ascii="David" w:hAnsi="David" w:hint="cs"/>
          <w:rtl/>
        </w:rPr>
        <w:t>י</w:t>
      </w:r>
      <w:r w:rsidRPr="00014C4D">
        <w:rPr>
          <w:rFonts w:ascii="David" w:hAnsi="David"/>
          <w:rtl/>
        </w:rPr>
        <w:t>יה מאופיינת</w:t>
      </w:r>
      <w:r w:rsidRPr="00014C4D">
        <w:rPr>
          <w:rFonts w:ascii="David" w:hAnsi="David" w:hint="cs"/>
          <w:rtl/>
        </w:rPr>
        <w:t xml:space="preserve"> לרוב</w:t>
      </w:r>
      <w:r w:rsidRPr="00014C4D">
        <w:rPr>
          <w:rFonts w:ascii="David" w:hAnsi="David"/>
          <w:rtl/>
        </w:rPr>
        <w:t xml:space="preserve"> בבתים פרטיים ולא </w:t>
      </w:r>
      <w:r w:rsidRPr="00014C4D">
        <w:rPr>
          <w:rFonts w:ascii="David" w:hAnsi="David" w:hint="cs"/>
          <w:rtl/>
        </w:rPr>
        <w:t>ב</w:t>
      </w:r>
      <w:r w:rsidRPr="00014C4D">
        <w:rPr>
          <w:rFonts w:ascii="David" w:hAnsi="David"/>
          <w:rtl/>
        </w:rPr>
        <w:t>בניינים משותפים</w:t>
      </w:r>
      <w:r w:rsidRPr="00014C4D">
        <w:rPr>
          <w:rFonts w:ascii="David" w:hAnsi="David" w:hint="cs"/>
          <w:rtl/>
        </w:rPr>
        <w:t xml:space="preserve">, </w:t>
      </w:r>
      <w:r w:rsidRPr="00014C4D">
        <w:rPr>
          <w:rFonts w:ascii="David" w:hAnsi="David"/>
          <w:rtl/>
        </w:rPr>
        <w:t xml:space="preserve">הופנה סכום התמיכה גם </w:t>
      </w:r>
      <w:r w:rsidRPr="00014C4D">
        <w:rPr>
          <w:rFonts w:ascii="David" w:hAnsi="David" w:hint="cs"/>
          <w:rtl/>
        </w:rPr>
        <w:t>להשמשת</w:t>
      </w:r>
      <w:r w:rsidRPr="00014C4D">
        <w:rPr>
          <w:rFonts w:ascii="David" w:hAnsi="David"/>
          <w:rtl/>
        </w:rPr>
        <w:t xml:space="preserve"> מקלטים ציבוריים, אך בסכום </w:t>
      </w:r>
      <w:r w:rsidRPr="00014C4D">
        <w:rPr>
          <w:rFonts w:ascii="David" w:hAnsi="David" w:hint="cs"/>
          <w:rtl/>
        </w:rPr>
        <w:t>קטן</w:t>
      </w:r>
      <w:r w:rsidRPr="00014C4D">
        <w:rPr>
          <w:rFonts w:ascii="David" w:hAnsi="David"/>
          <w:rtl/>
        </w:rPr>
        <w:t xml:space="preserve"> יותר, אשר משקף את מספר המקלטים באזורים אלה</w:t>
      </w:r>
      <w:r w:rsidRPr="00014C4D">
        <w:rPr>
          <w:rFonts w:ascii="David" w:hAnsi="David" w:hint="cs"/>
          <w:rtl/>
        </w:rPr>
        <w:t>.</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b/>
          <w:bCs/>
          <w:rtl/>
        </w:rPr>
      </w:pPr>
      <w:r w:rsidRPr="00014C4D">
        <w:rPr>
          <w:rFonts w:ascii="David" w:hAnsi="David" w:hint="cs"/>
          <w:b/>
          <w:bCs/>
          <w:rtl/>
        </w:rPr>
        <w:t>כדי להבטיח שרמת הכשירות של המקלטים תישמר לאורך שנים מומלץ שמשרד השיכון יקבע קריטריונים לקבלת סיוע בעתיד.</w:t>
      </w:r>
    </w:p>
    <w:p w:rsidR="00014C4D" w:rsidRPr="00014C4D" w:rsidRDefault="00014C4D" w:rsidP="00014C4D">
      <w:pPr>
        <w:tabs>
          <w:tab w:val="left" w:pos="424"/>
        </w:tabs>
        <w:spacing w:line="269" w:lineRule="auto"/>
        <w:rPr>
          <w:rFonts w:ascii="David" w:hAnsi="David"/>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הקצאת מענקי מיגון לתושבי יישובי קו העימות בצפון על ידי משרד הבינוי והשיכון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rtl/>
        </w:rPr>
      </w:pPr>
      <w:r w:rsidRPr="00014C4D">
        <w:rPr>
          <w:rFonts w:hint="cs"/>
          <w:rtl/>
        </w:rPr>
        <w:t>משרד השיכון פרסם בשנת 2021 מסמך</w:t>
      </w:r>
      <w:r w:rsidRPr="00014C4D">
        <w:rPr>
          <w:vertAlign w:val="superscript"/>
          <w:rtl/>
        </w:rPr>
        <w:footnoteReference w:id="121"/>
      </w:r>
      <w:r w:rsidRPr="00014C4D">
        <w:rPr>
          <w:rFonts w:hint="cs"/>
          <w:rtl/>
        </w:rPr>
        <w:t xml:space="preserve"> ובו צוין כי על פי חוק הלוואות לדיור, התשנ"ב-1992, ניתנים מענקים ביטחוניים עבור מיגון על פי קביעת פקע</w:t>
      </w:r>
      <w:r w:rsidRPr="00014C4D">
        <w:rPr>
          <w:rtl/>
        </w:rPr>
        <w:t>"</w:t>
      </w:r>
      <w:r w:rsidRPr="00014C4D">
        <w:rPr>
          <w:rFonts w:hint="cs"/>
          <w:rtl/>
        </w:rPr>
        <w:t xml:space="preserve">ר לתושבי יישובי קו העימות בצפון (להלן - מענקי הסיוע למיגון). המענק ניתן לאחר בניית ממ"ד בדירות חדשות או בדירות קיימות שהורחבו. </w:t>
      </w:r>
      <w:r w:rsidRPr="00014C4D">
        <w:rPr>
          <w:rFonts w:ascii="David" w:hAnsi="David" w:hint="cs"/>
          <w:rtl/>
        </w:rPr>
        <w:t xml:space="preserve">סכום המענק נקבע בהתאם לסוג הדירה כדלהלן: 10,400 ש"ח עבור בנייה עצמית, רכישה או הרחבה של דירה בבנייה צמודת קרקע ו-9,100 ש"ח עבור רכישת דירה חדשה בבניין בן שתי קומות או הרחבת דירה בבניין כזה. </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rFonts w:ascii="David" w:hAnsi="David"/>
          <w:b/>
          <w:bCs/>
          <w:rtl/>
        </w:rPr>
      </w:pPr>
      <w:r w:rsidRPr="00014C4D">
        <w:rPr>
          <w:rFonts w:ascii="David" w:hAnsi="David" w:hint="eastAsia"/>
          <w:rtl/>
        </w:rPr>
        <w:t>לוח</w:t>
      </w:r>
      <w:r w:rsidRPr="00014C4D">
        <w:rPr>
          <w:rFonts w:ascii="David" w:hAnsi="David"/>
          <w:rtl/>
        </w:rPr>
        <w:t xml:space="preserve"> </w:t>
      </w:r>
      <w:r w:rsidRPr="00014C4D">
        <w:rPr>
          <w:rFonts w:ascii="David" w:hAnsi="David" w:hint="cs"/>
          <w:rtl/>
        </w:rPr>
        <w:t>13</w:t>
      </w:r>
      <w:r w:rsidRPr="00014C4D">
        <w:rPr>
          <w:rFonts w:ascii="David" w:hAnsi="David"/>
          <w:rtl/>
        </w:rPr>
        <w:t>:</w:t>
      </w:r>
      <w:r w:rsidRPr="00014C4D">
        <w:rPr>
          <w:rFonts w:ascii="David" w:hAnsi="David" w:hint="cs"/>
          <w:b/>
          <w:bCs/>
          <w:rtl/>
        </w:rPr>
        <w:t xml:space="preserve"> היקף הסיוע למיגון וסכומי המענקים בממוצע למשק בית, 2021 - 2023 </w:t>
      </w:r>
    </w:p>
    <w:tbl>
      <w:tblPr>
        <w:bidiVisual/>
        <w:tblW w:w="0" w:type="auto"/>
        <w:jc w:val="center"/>
        <w:tblBorders>
          <w:top w:val="single" w:sz="12" w:space="0" w:color="auto"/>
          <w:left w:val="single" w:sz="4" w:space="0" w:color="auto"/>
          <w:bottom w:val="single" w:sz="4" w:space="0" w:color="auto"/>
          <w:right w:val="single" w:sz="12" w:space="0" w:color="auto"/>
          <w:insideH w:val="single" w:sz="6" w:space="0" w:color="auto"/>
          <w:insideV w:val="single" w:sz="6" w:space="0" w:color="auto"/>
        </w:tblBorders>
        <w:tblLook w:val="04A0" w:firstRow="1" w:lastRow="0" w:firstColumn="1" w:lastColumn="0" w:noHBand="0" w:noVBand="1"/>
      </w:tblPr>
      <w:tblGrid>
        <w:gridCol w:w="697"/>
        <w:gridCol w:w="2161"/>
        <w:gridCol w:w="2552"/>
        <w:gridCol w:w="2836"/>
      </w:tblGrid>
      <w:tr w:rsidR="00014C4D" w:rsidRPr="00014C4D" w:rsidTr="00014C4D">
        <w:trPr>
          <w:trHeight w:val="300"/>
          <w:jc w:val="center"/>
        </w:trPr>
        <w:tc>
          <w:tcPr>
            <w:tcW w:w="0" w:type="auto"/>
            <w:tcBorders>
              <w:top w:val="single" w:sz="2" w:space="0" w:color="auto"/>
            </w:tcBorders>
            <w:shd w:val="clear" w:color="auto" w:fill="auto"/>
            <w:noWrap/>
            <w:vAlign w:val="center"/>
            <w:hideMark/>
          </w:tcPr>
          <w:p w:rsidR="00014C4D" w:rsidRPr="00014C4D" w:rsidRDefault="00014C4D" w:rsidP="00014C4D">
            <w:pPr>
              <w:spacing w:line="269" w:lineRule="auto"/>
              <w:jc w:val="left"/>
              <w:rPr>
                <w:rFonts w:ascii="David" w:eastAsia="Times New Roman" w:hAnsi="David"/>
                <w:b/>
                <w:bCs/>
                <w:color w:val="000000"/>
                <w:sz w:val="22"/>
                <w:szCs w:val="22"/>
              </w:rPr>
            </w:pPr>
            <w:r w:rsidRPr="00014C4D">
              <w:rPr>
                <w:rFonts w:ascii="David" w:eastAsia="Times New Roman" w:hAnsi="David" w:hint="cs"/>
                <w:b/>
                <w:bCs/>
                <w:color w:val="000000"/>
                <w:sz w:val="22"/>
                <w:szCs w:val="22"/>
                <w:rtl/>
              </w:rPr>
              <w:t>ה</w:t>
            </w:r>
            <w:r w:rsidRPr="00014C4D">
              <w:rPr>
                <w:rFonts w:ascii="David" w:eastAsia="Times New Roman" w:hAnsi="David"/>
                <w:b/>
                <w:bCs/>
                <w:color w:val="000000"/>
                <w:sz w:val="22"/>
                <w:szCs w:val="22"/>
                <w:rtl/>
              </w:rPr>
              <w:t>שנה</w:t>
            </w:r>
          </w:p>
        </w:tc>
        <w:tc>
          <w:tcPr>
            <w:tcW w:w="2161" w:type="dxa"/>
            <w:tcBorders>
              <w:top w:val="single" w:sz="2" w:space="0" w:color="auto"/>
            </w:tcBorders>
            <w:shd w:val="clear" w:color="auto" w:fill="auto"/>
            <w:noWrap/>
            <w:vAlign w:val="center"/>
            <w:hideMark/>
          </w:tcPr>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b/>
                <w:bCs/>
                <w:color w:val="000000"/>
                <w:sz w:val="22"/>
                <w:szCs w:val="22"/>
                <w:rtl/>
              </w:rPr>
              <w:t>מספר משקי הבית שק</w:t>
            </w:r>
            <w:r w:rsidRPr="00014C4D">
              <w:rPr>
                <w:rFonts w:ascii="David" w:eastAsia="Times New Roman" w:hAnsi="David" w:hint="cs"/>
                <w:b/>
                <w:bCs/>
                <w:color w:val="000000"/>
                <w:sz w:val="22"/>
                <w:szCs w:val="22"/>
                <w:rtl/>
              </w:rPr>
              <w:t>י</w:t>
            </w:r>
            <w:r w:rsidRPr="00014C4D">
              <w:rPr>
                <w:rFonts w:ascii="David" w:eastAsia="Times New Roman" w:hAnsi="David"/>
                <w:b/>
                <w:bCs/>
                <w:color w:val="000000"/>
                <w:sz w:val="22"/>
                <w:szCs w:val="22"/>
                <w:rtl/>
              </w:rPr>
              <w:t>בלו את הסיוע</w:t>
            </w:r>
          </w:p>
        </w:tc>
        <w:tc>
          <w:tcPr>
            <w:tcW w:w="2552" w:type="dxa"/>
            <w:tcBorders>
              <w:top w:val="single" w:sz="2" w:space="0" w:color="auto"/>
            </w:tcBorders>
            <w:shd w:val="clear" w:color="auto" w:fill="auto"/>
            <w:noWrap/>
            <w:vAlign w:val="center"/>
            <w:hideMark/>
          </w:tcPr>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ה</w:t>
            </w:r>
            <w:r w:rsidRPr="00014C4D">
              <w:rPr>
                <w:rFonts w:ascii="David" w:eastAsia="Times New Roman" w:hAnsi="David"/>
                <w:b/>
                <w:bCs/>
                <w:color w:val="000000"/>
                <w:sz w:val="22"/>
                <w:szCs w:val="22"/>
                <w:rtl/>
              </w:rPr>
              <w:t>סיוע בפועל (במיליוני ש</w:t>
            </w:r>
            <w:r w:rsidRPr="00014C4D">
              <w:rPr>
                <w:rFonts w:ascii="David" w:eastAsia="Times New Roman" w:hAnsi="David" w:hint="cs"/>
                <w:b/>
                <w:bCs/>
                <w:color w:val="000000"/>
                <w:sz w:val="22"/>
                <w:szCs w:val="22"/>
                <w:rtl/>
              </w:rPr>
              <w:t>"</w:t>
            </w:r>
            <w:r w:rsidRPr="00014C4D">
              <w:rPr>
                <w:rFonts w:ascii="David" w:eastAsia="Times New Roman" w:hAnsi="David"/>
                <w:b/>
                <w:bCs/>
                <w:color w:val="000000"/>
                <w:sz w:val="22"/>
                <w:szCs w:val="22"/>
                <w:rtl/>
              </w:rPr>
              <w:t>ח)</w:t>
            </w:r>
          </w:p>
        </w:tc>
        <w:tc>
          <w:tcPr>
            <w:tcW w:w="2836" w:type="dxa"/>
            <w:tcBorders>
              <w:top w:val="single" w:sz="2" w:space="0" w:color="auto"/>
              <w:right w:val="single" w:sz="2" w:space="0" w:color="auto"/>
            </w:tcBorders>
          </w:tcPr>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b/>
                <w:bCs/>
                <w:color w:val="000000"/>
                <w:sz w:val="22"/>
                <w:szCs w:val="22"/>
                <w:rtl/>
              </w:rPr>
              <w:t>סכומי המענקים</w:t>
            </w:r>
          </w:p>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b/>
                <w:bCs/>
                <w:color w:val="000000"/>
                <w:sz w:val="22"/>
                <w:szCs w:val="22"/>
                <w:rtl/>
              </w:rPr>
              <w:t>בממוצע</w:t>
            </w:r>
            <w:r w:rsidRPr="00014C4D">
              <w:rPr>
                <w:rFonts w:ascii="David" w:eastAsia="Times New Roman" w:hAnsi="David" w:hint="cs"/>
                <w:b/>
                <w:bCs/>
                <w:color w:val="000000"/>
                <w:sz w:val="22"/>
                <w:szCs w:val="22"/>
                <w:rtl/>
              </w:rPr>
              <w:t xml:space="preserve"> למשק בית</w:t>
            </w:r>
            <w:r w:rsidRPr="00014C4D">
              <w:rPr>
                <w:rFonts w:ascii="David" w:eastAsia="Times New Roman" w:hAnsi="David"/>
                <w:b/>
                <w:bCs/>
                <w:color w:val="000000"/>
                <w:sz w:val="22"/>
                <w:szCs w:val="22"/>
                <w:rtl/>
              </w:rPr>
              <w:t xml:space="preserve"> (בש"ח)</w:t>
            </w:r>
          </w:p>
        </w:tc>
      </w:tr>
      <w:tr w:rsidR="00014C4D" w:rsidRPr="00014C4D" w:rsidTr="00014C4D">
        <w:trPr>
          <w:trHeight w:val="300"/>
          <w:jc w:val="center"/>
        </w:trPr>
        <w:tc>
          <w:tcPr>
            <w:tcW w:w="0" w:type="auto"/>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2021</w:t>
            </w:r>
          </w:p>
        </w:tc>
        <w:tc>
          <w:tcPr>
            <w:tcW w:w="216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864</w:t>
            </w:r>
          </w:p>
        </w:tc>
        <w:tc>
          <w:tcPr>
            <w:tcW w:w="2552" w:type="dxa"/>
            <w:shd w:val="clear" w:color="auto" w:fill="auto"/>
            <w:noWrap/>
            <w:vAlign w:val="bottom"/>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8.2</w:t>
            </w:r>
          </w:p>
        </w:tc>
        <w:tc>
          <w:tcPr>
            <w:tcW w:w="2836" w:type="dxa"/>
          </w:tcPr>
          <w:p w:rsidR="00014C4D" w:rsidRPr="00014C4D" w:rsidRDefault="00014C4D" w:rsidP="00014C4D">
            <w:pPr>
              <w:bidi w:val="0"/>
              <w:spacing w:line="269" w:lineRule="auto"/>
              <w:jc w:val="right"/>
              <w:rPr>
                <w:rFonts w:ascii="David" w:hAnsi="David"/>
                <w:sz w:val="22"/>
                <w:szCs w:val="22"/>
              </w:rPr>
            </w:pPr>
            <w:r w:rsidRPr="00014C4D">
              <w:rPr>
                <w:rFonts w:ascii="David" w:hAnsi="David" w:hint="cs"/>
                <w:sz w:val="22"/>
                <w:szCs w:val="22"/>
                <w:rtl/>
              </w:rPr>
              <w:t>9,490</w:t>
            </w:r>
          </w:p>
        </w:tc>
      </w:tr>
      <w:tr w:rsidR="00014C4D" w:rsidRPr="00014C4D" w:rsidTr="00014C4D">
        <w:trPr>
          <w:trHeight w:val="300"/>
          <w:jc w:val="center"/>
        </w:trPr>
        <w:tc>
          <w:tcPr>
            <w:tcW w:w="0" w:type="auto"/>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2022</w:t>
            </w:r>
          </w:p>
        </w:tc>
        <w:tc>
          <w:tcPr>
            <w:tcW w:w="216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1,184</w:t>
            </w:r>
          </w:p>
        </w:tc>
        <w:tc>
          <w:tcPr>
            <w:tcW w:w="2552" w:type="dxa"/>
            <w:shd w:val="clear" w:color="auto" w:fill="auto"/>
            <w:noWrap/>
            <w:vAlign w:val="bottom"/>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11.1</w:t>
            </w:r>
          </w:p>
        </w:tc>
        <w:tc>
          <w:tcPr>
            <w:tcW w:w="2836" w:type="dxa"/>
          </w:tcPr>
          <w:p w:rsidR="00014C4D" w:rsidRPr="00014C4D" w:rsidRDefault="00014C4D" w:rsidP="00014C4D">
            <w:pPr>
              <w:bidi w:val="0"/>
              <w:spacing w:line="269" w:lineRule="auto"/>
              <w:jc w:val="right"/>
              <w:rPr>
                <w:rFonts w:ascii="David" w:hAnsi="David"/>
                <w:sz w:val="22"/>
                <w:szCs w:val="22"/>
              </w:rPr>
            </w:pPr>
            <w:r w:rsidRPr="00014C4D">
              <w:rPr>
                <w:rFonts w:ascii="David" w:hAnsi="David" w:hint="cs"/>
                <w:sz w:val="22"/>
                <w:szCs w:val="22"/>
                <w:rtl/>
              </w:rPr>
              <w:t>9,375</w:t>
            </w:r>
          </w:p>
        </w:tc>
      </w:tr>
      <w:tr w:rsidR="00014C4D" w:rsidRPr="00014C4D" w:rsidTr="00014C4D">
        <w:trPr>
          <w:trHeight w:val="300"/>
          <w:jc w:val="center"/>
        </w:trPr>
        <w:tc>
          <w:tcPr>
            <w:tcW w:w="0" w:type="auto"/>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2023</w:t>
            </w:r>
          </w:p>
        </w:tc>
        <w:tc>
          <w:tcPr>
            <w:tcW w:w="216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1,207</w:t>
            </w:r>
          </w:p>
        </w:tc>
        <w:tc>
          <w:tcPr>
            <w:tcW w:w="2552" w:type="dxa"/>
            <w:shd w:val="clear" w:color="auto" w:fill="auto"/>
            <w:noWrap/>
            <w:vAlign w:val="bottom"/>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11.4</w:t>
            </w:r>
          </w:p>
        </w:tc>
        <w:tc>
          <w:tcPr>
            <w:tcW w:w="2836" w:type="dxa"/>
          </w:tcPr>
          <w:p w:rsidR="00014C4D" w:rsidRPr="00014C4D" w:rsidRDefault="00014C4D" w:rsidP="00014C4D">
            <w:pPr>
              <w:spacing w:line="269" w:lineRule="auto"/>
              <w:jc w:val="left"/>
              <w:rPr>
                <w:rFonts w:ascii="David" w:hAnsi="David"/>
                <w:sz w:val="22"/>
                <w:szCs w:val="22"/>
              </w:rPr>
            </w:pPr>
            <w:r w:rsidRPr="00014C4D">
              <w:rPr>
                <w:rFonts w:ascii="David" w:hAnsi="David" w:hint="cs"/>
                <w:sz w:val="22"/>
                <w:szCs w:val="22"/>
                <w:rtl/>
              </w:rPr>
              <w:t>9,444</w:t>
            </w:r>
          </w:p>
        </w:tc>
      </w:tr>
    </w:tbl>
    <w:p w:rsidR="00014C4D" w:rsidRPr="00014C4D" w:rsidRDefault="00014C4D" w:rsidP="00014C4D">
      <w:pPr>
        <w:tabs>
          <w:tab w:val="left" w:pos="424"/>
        </w:tabs>
        <w:spacing w:line="269" w:lineRule="auto"/>
        <w:jc w:val="left"/>
        <w:rPr>
          <w:rFonts w:ascii="David" w:hAnsi="David"/>
          <w:szCs w:val="20"/>
          <w:rtl/>
        </w:rPr>
      </w:pPr>
      <w:r w:rsidRPr="00014C4D">
        <w:rPr>
          <w:rFonts w:ascii="David" w:hAnsi="David" w:hint="cs"/>
          <w:szCs w:val="20"/>
          <w:rtl/>
        </w:rPr>
        <w:t>על פי נתוני משרד הבינוי והשיכון, בעיבוד משרד מבקר המדינה.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ascii="David" w:hAnsi="David" w:hint="cs"/>
          <w:b/>
          <w:bCs/>
          <w:sz w:val="24"/>
          <w:rtl/>
        </w:rPr>
        <w:t>מהלוח</w:t>
      </w:r>
      <w:r w:rsidRPr="00014C4D">
        <w:rPr>
          <w:b/>
          <w:bCs/>
          <w:rtl/>
        </w:rPr>
        <w:t xml:space="preserve"> עולה כי </w:t>
      </w:r>
      <w:r w:rsidRPr="00014C4D">
        <w:rPr>
          <w:rFonts w:hint="eastAsia"/>
          <w:b/>
          <w:bCs/>
          <w:rtl/>
        </w:rPr>
        <w:t>היקף</w:t>
      </w:r>
      <w:r w:rsidRPr="00014C4D">
        <w:rPr>
          <w:b/>
          <w:bCs/>
          <w:rtl/>
        </w:rPr>
        <w:t xml:space="preserve"> </w:t>
      </w:r>
      <w:r w:rsidRPr="00014C4D">
        <w:rPr>
          <w:rFonts w:hint="cs"/>
          <w:b/>
          <w:bCs/>
          <w:rtl/>
        </w:rPr>
        <w:t>מענקי המיגון של משרד השיכון ל</w:t>
      </w:r>
      <w:r w:rsidRPr="00014C4D">
        <w:rPr>
          <w:rFonts w:hint="eastAsia"/>
          <w:b/>
          <w:bCs/>
          <w:rtl/>
        </w:rPr>
        <w:t>תושבי</w:t>
      </w:r>
      <w:r w:rsidRPr="00014C4D">
        <w:rPr>
          <w:rFonts w:hint="cs"/>
          <w:b/>
          <w:bCs/>
          <w:rtl/>
        </w:rPr>
        <w:t xml:space="preserve"> קו העימות בצפון עלה מ-8.2 ל-11.1 (35%)</w:t>
      </w:r>
      <w:r w:rsidRPr="00014C4D">
        <w:rPr>
          <w:b/>
          <w:bCs/>
          <w:rtl/>
        </w:rPr>
        <w:t xml:space="preserve"> </w:t>
      </w:r>
      <w:r w:rsidRPr="00014C4D">
        <w:rPr>
          <w:rFonts w:hint="eastAsia"/>
          <w:b/>
          <w:bCs/>
          <w:rtl/>
        </w:rPr>
        <w:t>מיליון</w:t>
      </w:r>
      <w:r w:rsidRPr="00014C4D">
        <w:rPr>
          <w:b/>
          <w:bCs/>
          <w:rtl/>
        </w:rPr>
        <w:t xml:space="preserve"> </w:t>
      </w:r>
      <w:r w:rsidRPr="00014C4D">
        <w:rPr>
          <w:rFonts w:hint="eastAsia"/>
          <w:b/>
          <w:bCs/>
          <w:rtl/>
        </w:rPr>
        <w:t>ש</w:t>
      </w:r>
      <w:r w:rsidRPr="00014C4D">
        <w:rPr>
          <w:b/>
          <w:bCs/>
          <w:rtl/>
        </w:rPr>
        <w:t>"ח</w:t>
      </w:r>
      <w:r w:rsidRPr="00014C4D">
        <w:rPr>
          <w:rFonts w:hint="cs"/>
          <w:b/>
          <w:bCs/>
          <w:rtl/>
        </w:rPr>
        <w:t xml:space="preserve"> בשנים 2021 - 2022 ול-11.4 בשנת 2023. נמצא כי תקציב הסיוע נוצל במלואו.</w:t>
      </w:r>
    </w:p>
    <w:p w:rsidR="00014C4D" w:rsidRPr="00014C4D" w:rsidRDefault="00014C4D" w:rsidP="00014C4D">
      <w:pPr>
        <w:keepNext/>
        <w:keepLines/>
        <w:spacing w:before="120" w:line="269" w:lineRule="auto"/>
        <w:outlineLvl w:val="2"/>
        <w:rPr>
          <w:rFonts w:eastAsia="Times New Roman"/>
          <w:bCs/>
          <w:szCs w:val="28"/>
          <w:u w:val="single"/>
          <w:rtl/>
        </w:rPr>
      </w:pPr>
    </w:p>
    <w:p w:rsidR="00014C4D" w:rsidRPr="00014C4D" w:rsidRDefault="00014C4D" w:rsidP="00014C4D">
      <w:pPr>
        <w:bidi w:val="0"/>
        <w:spacing w:after="200" w:line="276" w:lineRule="auto"/>
        <w:rPr>
          <w:rFonts w:eastAsiaTheme="majorEastAsia"/>
          <w:bCs/>
          <w:szCs w:val="28"/>
          <w:u w:val="single"/>
          <w:rtl/>
        </w:rPr>
      </w:pPr>
      <w:r w:rsidRPr="00014C4D">
        <w:rPr>
          <w:rtl/>
        </w:rPr>
        <w:br w:type="page"/>
      </w:r>
    </w:p>
    <w:p w:rsidR="00014C4D" w:rsidRPr="00014C4D" w:rsidRDefault="00014C4D" w:rsidP="00014C4D">
      <w:pPr>
        <w:keepNext/>
        <w:keepLines/>
        <w:spacing w:before="120" w:line="269" w:lineRule="auto"/>
        <w:outlineLvl w:val="2"/>
        <w:rPr>
          <w:rFonts w:eastAsia="Times New Roman"/>
          <w:bCs/>
          <w:szCs w:val="28"/>
          <w:u w:val="single"/>
        </w:rPr>
      </w:pPr>
      <w:r w:rsidRPr="00014C4D">
        <w:rPr>
          <w:rFonts w:eastAsia="Times New Roman" w:hint="cs"/>
          <w:bCs/>
          <w:szCs w:val="28"/>
          <w:u w:val="single"/>
          <w:rtl/>
        </w:rPr>
        <w:lastRenderedPageBreak/>
        <w:t xml:space="preserve">הוצאות הרשויות המקומיות שנבדקו על תחזוקת מקלטים ציבוריים ושיפוצם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sz w:val="24"/>
          <w:rtl/>
        </w:rPr>
      </w:pPr>
      <w:r w:rsidRPr="00014C4D">
        <w:rPr>
          <w:rFonts w:ascii="David" w:hAnsi="David"/>
          <w:sz w:val="24"/>
          <w:rtl/>
        </w:rPr>
        <w:t xml:space="preserve">כדי לאפשר תחזוקה תקינה של המתקנים והציוד של </w:t>
      </w:r>
      <w:r w:rsidRPr="00014C4D">
        <w:rPr>
          <w:rFonts w:ascii="David" w:hAnsi="David" w:hint="cs"/>
          <w:sz w:val="24"/>
          <w:rtl/>
        </w:rPr>
        <w:t>ההגנה האזרחית (</w:t>
      </w:r>
      <w:r w:rsidRPr="00014C4D">
        <w:rPr>
          <w:rFonts w:ascii="David" w:hAnsi="David"/>
          <w:sz w:val="24"/>
          <w:rtl/>
        </w:rPr>
        <w:t>הג"א</w:t>
      </w:r>
      <w:r w:rsidRPr="00014C4D">
        <w:rPr>
          <w:rFonts w:ascii="David" w:hAnsi="David" w:hint="cs"/>
          <w:sz w:val="24"/>
          <w:rtl/>
        </w:rPr>
        <w:t>)</w:t>
      </w:r>
      <w:r w:rsidRPr="00014C4D">
        <w:rPr>
          <w:rFonts w:ascii="David" w:hAnsi="David"/>
          <w:sz w:val="24"/>
          <w:rtl/>
        </w:rPr>
        <w:t xml:space="preserve"> ברשויות המקומיות נקבע ב</w:t>
      </w:r>
      <w:r w:rsidRPr="00014C4D">
        <w:rPr>
          <w:rFonts w:ascii="David" w:hAnsi="David" w:hint="cs"/>
          <w:sz w:val="24"/>
          <w:rtl/>
        </w:rPr>
        <w:t>סעיף 10א ל</w:t>
      </w:r>
      <w:r w:rsidRPr="00014C4D">
        <w:rPr>
          <w:rFonts w:ascii="David" w:hAnsi="David"/>
          <w:sz w:val="24"/>
          <w:rtl/>
        </w:rPr>
        <w:t xml:space="preserve">חוק הג"א כי רשות מקומית תקצה סכום מסוים מתקציבה לכיסוי ההוצאות של צורכי ההתגוננות האזרחית בתחומה (להלן - תקציב הג"א מקומי). את הסכום יקבע מדי שנה בשנה שר הפנים לפי הצעת ראש הג"א בהתחשב, ככל האפשר, בצרכים האמורים </w:t>
      </w:r>
      <w:r w:rsidRPr="00014C4D">
        <w:rPr>
          <w:rFonts w:ascii="David" w:hAnsi="David" w:hint="cs"/>
          <w:sz w:val="24"/>
          <w:rtl/>
        </w:rPr>
        <w:t>וביכולותיה</w:t>
      </w:r>
      <w:r w:rsidRPr="00014C4D">
        <w:rPr>
          <w:rFonts w:ascii="David" w:hAnsi="David"/>
          <w:sz w:val="24"/>
          <w:rtl/>
        </w:rPr>
        <w:t xml:space="preserve"> הכספיות של הרשות.</w:t>
      </w:r>
      <w:r w:rsidRPr="00014C4D">
        <w:rPr>
          <w:rFonts w:ascii="David" w:hAnsi="David" w:hint="cs"/>
          <w:sz w:val="24"/>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sz w:val="24"/>
          <w:rtl/>
        </w:rPr>
      </w:pPr>
      <w:r w:rsidRPr="00014C4D">
        <w:rPr>
          <w:rFonts w:ascii="David" w:hAnsi="David" w:hint="cs"/>
          <w:sz w:val="24"/>
          <w:rtl/>
        </w:rPr>
        <w:t>הוצאות הרשויות המקומיות נועדו לשתי מטרות: לתחזוקה שוטפת של מקלטים ציבוריים ומקלטים במוסדות חינוך</w:t>
      </w:r>
      <w:r w:rsidRPr="00014C4D">
        <w:rPr>
          <w:rFonts w:ascii="David" w:hAnsi="David"/>
          <w:sz w:val="24"/>
          <w:vertAlign w:val="superscript"/>
          <w:rtl/>
        </w:rPr>
        <w:footnoteReference w:id="122"/>
      </w:r>
      <w:r w:rsidRPr="00014C4D">
        <w:rPr>
          <w:rFonts w:ascii="David" w:hAnsi="David" w:hint="cs"/>
          <w:sz w:val="24"/>
          <w:rtl/>
        </w:rPr>
        <w:t xml:space="preserve"> ולשיפוץ מקלטים ציבוריים ומקלטים במוסדות חינוך</w:t>
      </w:r>
      <w:r w:rsidRPr="00014C4D">
        <w:rPr>
          <w:rFonts w:ascii="David" w:hAnsi="David"/>
          <w:sz w:val="24"/>
          <w:vertAlign w:val="superscript"/>
          <w:rtl/>
        </w:rPr>
        <w:footnoteReference w:id="123"/>
      </w:r>
      <w:r w:rsidRPr="00014C4D">
        <w:rPr>
          <w:rFonts w:ascii="David" w:hAnsi="David"/>
          <w:sz w:val="24"/>
          <w:rtl/>
        </w:rPr>
        <w:t>.</w:t>
      </w:r>
      <w:r w:rsidRPr="00014C4D">
        <w:rPr>
          <w:rFonts w:ascii="David" w:hAnsi="David" w:hint="cs"/>
          <w:b/>
          <w:bCs/>
          <w:sz w:val="24"/>
          <w:rtl/>
        </w:rPr>
        <w:t xml:space="preserve"> </w:t>
      </w:r>
      <w:r w:rsidRPr="00014C4D">
        <w:rPr>
          <w:rFonts w:ascii="David" w:hAnsi="David" w:hint="cs"/>
          <w:sz w:val="24"/>
          <w:rtl/>
        </w:rPr>
        <w:t>להלן נתוני הוצאות הרשויות המקומיות שנבדקו</w:t>
      </w:r>
      <w:r w:rsidRPr="00014C4D">
        <w:rPr>
          <w:rFonts w:ascii="David" w:hAnsi="David"/>
          <w:sz w:val="24"/>
          <w:vertAlign w:val="superscript"/>
          <w:rtl/>
        </w:rPr>
        <w:footnoteReference w:id="124"/>
      </w:r>
      <w:r w:rsidRPr="00014C4D">
        <w:rPr>
          <w:rFonts w:ascii="David" w:hAnsi="David" w:hint="cs"/>
          <w:sz w:val="24"/>
          <w:rtl/>
        </w:rPr>
        <w:t xml:space="preserve"> למטרות האמורות בשנים 2021 - 2023</w:t>
      </w:r>
      <w:r w:rsidRPr="00014C4D">
        <w:rPr>
          <w:rFonts w:ascii="David" w:hAnsi="David"/>
          <w:sz w:val="24"/>
          <w:rtl/>
        </w:rPr>
        <w:t>:</w:t>
      </w:r>
    </w:p>
    <w:p w:rsidR="00014C4D" w:rsidRPr="00014C4D" w:rsidRDefault="00014C4D" w:rsidP="00014C4D">
      <w:pPr>
        <w:spacing w:line="269" w:lineRule="auto"/>
        <w:ind w:left="-567"/>
        <w:rPr>
          <w:szCs w:val="20"/>
          <w:rtl/>
        </w:rPr>
      </w:pPr>
    </w:p>
    <w:p w:rsidR="00014C4D" w:rsidRPr="00014C4D" w:rsidRDefault="00014C4D" w:rsidP="00014C4D">
      <w:pPr>
        <w:bidi w:val="0"/>
        <w:spacing w:after="200" w:line="276" w:lineRule="auto"/>
        <w:rPr>
          <w:rFonts w:ascii="David" w:hAnsi="David"/>
          <w:sz w:val="24"/>
          <w:rtl/>
        </w:rPr>
      </w:pPr>
      <w:r w:rsidRPr="00014C4D">
        <w:rPr>
          <w:rFonts w:ascii="David" w:hAnsi="David"/>
          <w:sz w:val="24"/>
          <w:rtl/>
        </w:rPr>
        <w:br w:type="page"/>
      </w:r>
    </w:p>
    <w:p w:rsidR="00014C4D" w:rsidRPr="00014C4D" w:rsidRDefault="00014C4D" w:rsidP="00014C4D">
      <w:pPr>
        <w:keepNext/>
        <w:keepLines/>
        <w:spacing w:line="269" w:lineRule="auto"/>
        <w:jc w:val="center"/>
        <w:rPr>
          <w:rFonts w:ascii="David" w:hAnsi="David"/>
          <w:b/>
          <w:bCs/>
          <w:sz w:val="24"/>
          <w:rtl/>
        </w:rPr>
      </w:pPr>
      <w:r w:rsidRPr="00014C4D">
        <w:rPr>
          <w:rFonts w:ascii="David" w:hAnsi="David" w:hint="cs"/>
          <w:sz w:val="24"/>
          <w:rtl/>
        </w:rPr>
        <w:lastRenderedPageBreak/>
        <w:t xml:space="preserve">לוח 14: </w:t>
      </w:r>
      <w:r w:rsidRPr="00014C4D">
        <w:rPr>
          <w:rFonts w:ascii="David" w:hAnsi="David" w:hint="cs"/>
          <w:b/>
          <w:bCs/>
          <w:sz w:val="24"/>
          <w:rtl/>
        </w:rPr>
        <w:t>הוצאות הרשויות שנבדקו לתחזוקה שוטפת ולשיפוץ של מקלטים ציבוריים ומקלטים במוסדות חינוך, 2021 - 2023 (באלפי ש"ח)</w:t>
      </w:r>
    </w:p>
    <w:tbl>
      <w:tblPr>
        <w:bidiVisual/>
        <w:tblW w:w="0" w:type="auto"/>
        <w:jc w:val="center"/>
        <w:tblLayout w:type="fixed"/>
        <w:tblLook w:val="04A0" w:firstRow="1" w:lastRow="0" w:firstColumn="1" w:lastColumn="0" w:noHBand="0" w:noVBand="1"/>
      </w:tblPr>
      <w:tblGrid>
        <w:gridCol w:w="1491"/>
        <w:gridCol w:w="1801"/>
        <w:gridCol w:w="2410"/>
        <w:gridCol w:w="1696"/>
      </w:tblGrid>
      <w:tr w:rsidR="00014C4D" w:rsidRPr="00014C4D" w:rsidTr="00014C4D">
        <w:trPr>
          <w:trHeight w:val="330"/>
          <w:jc w:val="center"/>
        </w:trPr>
        <w:tc>
          <w:tcPr>
            <w:tcW w:w="1491"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noWrap/>
            <w:vAlign w:val="center"/>
            <w:hideMark/>
          </w:tcPr>
          <w:p w:rsidR="00014C4D" w:rsidRPr="00014C4D" w:rsidRDefault="00014C4D" w:rsidP="00014C4D">
            <w:pPr>
              <w:spacing w:line="269" w:lineRule="auto"/>
              <w:jc w:val="center"/>
              <w:rPr>
                <w:rFonts w:ascii="David" w:eastAsia="Times New Roman" w:hAnsi="David"/>
                <w:b/>
                <w:bCs/>
                <w:color w:val="000000"/>
                <w:sz w:val="22"/>
                <w:szCs w:val="22"/>
              </w:rPr>
            </w:pPr>
            <w:r w:rsidRPr="00014C4D">
              <w:rPr>
                <w:rFonts w:ascii="David" w:eastAsia="Times New Roman" w:hAnsi="David" w:hint="cs"/>
                <w:b/>
                <w:bCs/>
                <w:color w:val="000000"/>
                <w:sz w:val="22"/>
                <w:szCs w:val="22"/>
                <w:rtl/>
              </w:rPr>
              <w:t xml:space="preserve">הרשות </w:t>
            </w:r>
          </w:p>
        </w:tc>
        <w:tc>
          <w:tcPr>
            <w:tcW w:w="1801" w:type="dxa"/>
            <w:tcBorders>
              <w:top w:val="single" w:sz="12" w:space="0" w:color="auto"/>
              <w:left w:val="single" w:sz="8" w:space="0" w:color="auto"/>
              <w:bottom w:val="single" w:sz="12" w:space="0" w:color="auto"/>
              <w:right w:val="single" w:sz="8" w:space="0" w:color="auto"/>
            </w:tcBorders>
            <w:shd w:val="clear" w:color="auto" w:fill="D9D9D9" w:themeFill="background1" w:themeFillShade="D9"/>
            <w:noWrap/>
            <w:vAlign w:val="center"/>
            <w:hideMark/>
          </w:tcPr>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השנה</w:t>
            </w:r>
          </w:p>
        </w:tc>
        <w:tc>
          <w:tcPr>
            <w:tcW w:w="2410" w:type="dxa"/>
            <w:tcBorders>
              <w:top w:val="single" w:sz="12" w:space="0" w:color="auto"/>
              <w:left w:val="nil"/>
              <w:bottom w:val="single" w:sz="12" w:space="0" w:color="auto"/>
              <w:right w:val="nil"/>
            </w:tcBorders>
            <w:shd w:val="clear" w:color="auto" w:fill="D9D9D9" w:themeFill="background1" w:themeFillShade="D9"/>
            <w:noWrap/>
            <w:vAlign w:val="center"/>
            <w:hideMark/>
          </w:tcPr>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 xml:space="preserve">ההוצאות על תחזוקת מקלטים (באלפי ש"ח)* </w:t>
            </w:r>
          </w:p>
        </w:tc>
        <w:tc>
          <w:tcPr>
            <w:tcW w:w="1696"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noWrap/>
            <w:vAlign w:val="center"/>
            <w:hideMark/>
          </w:tcPr>
          <w:p w:rsidR="00014C4D" w:rsidRPr="00014C4D" w:rsidRDefault="00014C4D" w:rsidP="00014C4D">
            <w:pPr>
              <w:spacing w:line="269" w:lineRule="auto"/>
              <w:jc w:val="center"/>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 xml:space="preserve">ההוצאות על שיפוץ מקלטים (באלפי ש"ח) </w:t>
            </w:r>
          </w:p>
        </w:tc>
      </w:tr>
      <w:tr w:rsidR="00014C4D" w:rsidRPr="00014C4D" w:rsidTr="00014C4D">
        <w:trPr>
          <w:trHeight w:val="330"/>
          <w:jc w:val="center"/>
        </w:trPr>
        <w:tc>
          <w:tcPr>
            <w:tcW w:w="1491" w:type="dxa"/>
            <w:vMerge w:val="restart"/>
            <w:tcBorders>
              <w:top w:val="single" w:sz="12" w:space="0" w:color="auto"/>
              <w:left w:val="single" w:sz="12" w:space="0" w:color="auto"/>
              <w:right w:val="single" w:sz="8" w:space="0" w:color="auto"/>
            </w:tcBorders>
            <w:shd w:val="clear" w:color="auto" w:fill="auto"/>
            <w:noWrap/>
            <w:vAlign w:val="center"/>
          </w:tcPr>
          <w:p w:rsidR="00014C4D" w:rsidRPr="00014C4D" w:rsidRDefault="00014C4D" w:rsidP="00014C4D">
            <w:pPr>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אשקלון</w:t>
            </w:r>
          </w:p>
        </w:tc>
        <w:tc>
          <w:tcPr>
            <w:tcW w:w="1801"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sz w:val="22"/>
                <w:szCs w:val="22"/>
              </w:rPr>
              <w:t>2021</w:t>
            </w:r>
          </w:p>
        </w:tc>
        <w:tc>
          <w:tcPr>
            <w:tcW w:w="2410" w:type="dxa"/>
            <w:tcBorders>
              <w:top w:val="single" w:sz="12" w:space="0" w:color="auto"/>
              <w:left w:val="nil"/>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w:t>
            </w:r>
          </w:p>
        </w:tc>
        <w:tc>
          <w:tcPr>
            <w:tcW w:w="1696" w:type="dxa"/>
            <w:tcBorders>
              <w:top w:val="single" w:sz="12"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197</w:t>
            </w:r>
          </w:p>
        </w:tc>
      </w:tr>
      <w:tr w:rsidR="00014C4D" w:rsidRPr="00014C4D" w:rsidTr="00014C4D">
        <w:trPr>
          <w:trHeight w:val="330"/>
          <w:jc w:val="center"/>
        </w:trPr>
        <w:tc>
          <w:tcPr>
            <w:tcW w:w="1491" w:type="dxa"/>
            <w:vMerge/>
            <w:tcBorders>
              <w:left w:val="single" w:sz="12" w:space="0" w:color="auto"/>
              <w:right w:val="single" w:sz="8" w:space="0" w:color="auto"/>
            </w:tcBorders>
            <w:shd w:val="clear" w:color="auto" w:fill="auto"/>
            <w:noWrap/>
            <w:vAlign w:val="center"/>
          </w:tcPr>
          <w:p w:rsidR="00014C4D" w:rsidRPr="00014C4D" w:rsidRDefault="00014C4D" w:rsidP="00014C4D">
            <w:pPr>
              <w:spacing w:line="269" w:lineRule="auto"/>
              <w:jc w:val="left"/>
              <w:rPr>
                <w:rFonts w:ascii="David" w:eastAsia="Times New Roman" w:hAnsi="David"/>
                <w:b/>
                <w:bCs/>
                <w:color w:val="000000"/>
                <w:sz w:val="22"/>
                <w:szCs w:val="22"/>
                <w:rtl/>
              </w:rPr>
            </w:pPr>
          </w:p>
        </w:tc>
        <w:tc>
          <w:tcPr>
            <w:tcW w:w="1801" w:type="dxa"/>
            <w:tcBorders>
              <w:top w:val="single" w:sz="8"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sz w:val="22"/>
                <w:szCs w:val="22"/>
              </w:rPr>
              <w:t>2022</w:t>
            </w:r>
          </w:p>
        </w:tc>
        <w:tc>
          <w:tcPr>
            <w:tcW w:w="2410" w:type="dxa"/>
            <w:tcBorders>
              <w:top w:val="single" w:sz="8" w:space="0" w:color="auto"/>
              <w:left w:val="nil"/>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w:t>
            </w:r>
          </w:p>
        </w:tc>
        <w:tc>
          <w:tcPr>
            <w:tcW w:w="1696" w:type="dxa"/>
            <w:tcBorders>
              <w:top w:val="single" w:sz="8"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490</w:t>
            </w:r>
          </w:p>
        </w:tc>
      </w:tr>
      <w:tr w:rsidR="00014C4D" w:rsidRPr="00014C4D" w:rsidTr="00014C4D">
        <w:trPr>
          <w:trHeight w:val="330"/>
          <w:jc w:val="center"/>
        </w:trPr>
        <w:tc>
          <w:tcPr>
            <w:tcW w:w="1491" w:type="dxa"/>
            <w:vMerge/>
            <w:tcBorders>
              <w:left w:val="single" w:sz="12" w:space="0" w:color="auto"/>
              <w:right w:val="single" w:sz="8" w:space="0" w:color="auto"/>
            </w:tcBorders>
            <w:shd w:val="clear" w:color="auto" w:fill="auto"/>
            <w:noWrap/>
            <w:vAlign w:val="center"/>
          </w:tcPr>
          <w:p w:rsidR="00014C4D" w:rsidRPr="00014C4D" w:rsidRDefault="00014C4D" w:rsidP="00014C4D">
            <w:pPr>
              <w:spacing w:line="269" w:lineRule="auto"/>
              <w:jc w:val="left"/>
              <w:rPr>
                <w:rFonts w:ascii="David" w:eastAsia="Times New Roman" w:hAnsi="David"/>
                <w:b/>
                <w:bCs/>
                <w:color w:val="000000"/>
                <w:sz w:val="22"/>
                <w:szCs w:val="22"/>
                <w:rtl/>
              </w:rPr>
            </w:pPr>
          </w:p>
        </w:tc>
        <w:tc>
          <w:tcPr>
            <w:tcW w:w="1801" w:type="dxa"/>
            <w:tcBorders>
              <w:top w:val="single" w:sz="8" w:space="0" w:color="auto"/>
              <w:left w:val="single" w:sz="8" w:space="0" w:color="auto"/>
              <w:bottom w:val="single" w:sz="12"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w:t>
            </w:r>
            <w:r w:rsidRPr="00014C4D">
              <w:rPr>
                <w:rFonts w:ascii="David" w:eastAsia="Times New Roman" w:hAnsi="David"/>
                <w:sz w:val="22"/>
                <w:szCs w:val="22"/>
              </w:rPr>
              <w:t>2023</w:t>
            </w:r>
          </w:p>
        </w:tc>
        <w:tc>
          <w:tcPr>
            <w:tcW w:w="2410" w:type="dxa"/>
            <w:tcBorders>
              <w:top w:val="single" w:sz="8" w:space="0" w:color="auto"/>
              <w:left w:val="nil"/>
              <w:bottom w:val="single" w:sz="12"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tl/>
              </w:rPr>
            </w:pPr>
            <w:r w:rsidRPr="00014C4D">
              <w:rPr>
                <w:rFonts w:ascii="David" w:eastAsia="Times New Roman" w:hAnsi="David"/>
                <w:color w:val="000000"/>
                <w:sz w:val="22"/>
                <w:szCs w:val="22"/>
              </w:rPr>
              <w:t>-</w:t>
            </w:r>
          </w:p>
        </w:tc>
        <w:tc>
          <w:tcPr>
            <w:tcW w:w="1696" w:type="dxa"/>
            <w:tcBorders>
              <w:top w:val="single" w:sz="8" w:space="0" w:color="auto"/>
              <w:left w:val="single" w:sz="8" w:space="0" w:color="auto"/>
              <w:bottom w:val="single" w:sz="12"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hint="cs"/>
                <w:color w:val="000000"/>
                <w:sz w:val="22"/>
                <w:szCs w:val="22"/>
                <w:rtl/>
              </w:rPr>
              <w:t>460</w:t>
            </w:r>
          </w:p>
        </w:tc>
      </w:tr>
      <w:tr w:rsidR="00014C4D" w:rsidRPr="00014C4D" w:rsidTr="00014C4D">
        <w:trPr>
          <w:trHeight w:val="330"/>
          <w:jc w:val="center"/>
        </w:trPr>
        <w:tc>
          <w:tcPr>
            <w:tcW w:w="1491" w:type="dxa"/>
            <w:vMerge/>
            <w:tcBorders>
              <w:left w:val="single" w:sz="12" w:space="0" w:color="auto"/>
              <w:bottom w:val="single" w:sz="12" w:space="0" w:color="auto"/>
              <w:right w:val="single" w:sz="8" w:space="0" w:color="auto"/>
            </w:tcBorders>
            <w:shd w:val="clear" w:color="auto" w:fill="auto"/>
            <w:noWrap/>
            <w:vAlign w:val="center"/>
          </w:tcPr>
          <w:p w:rsidR="00014C4D" w:rsidRPr="00014C4D" w:rsidRDefault="00014C4D" w:rsidP="00014C4D">
            <w:pPr>
              <w:spacing w:line="269" w:lineRule="auto"/>
              <w:jc w:val="left"/>
              <w:rPr>
                <w:rFonts w:ascii="David" w:eastAsia="Times New Roman" w:hAnsi="David"/>
                <w:b/>
                <w:bCs/>
                <w:color w:val="000000"/>
                <w:sz w:val="22"/>
                <w:szCs w:val="22"/>
                <w:rtl/>
              </w:rPr>
            </w:pPr>
          </w:p>
        </w:tc>
        <w:tc>
          <w:tcPr>
            <w:tcW w:w="1801" w:type="dxa"/>
            <w:tcBorders>
              <w:top w:val="single" w:sz="8" w:space="0" w:color="auto"/>
              <w:left w:val="single" w:sz="8" w:space="0" w:color="auto"/>
              <w:bottom w:val="single" w:sz="12" w:space="0" w:color="auto"/>
              <w:right w:val="single" w:sz="8" w:space="0" w:color="auto"/>
            </w:tcBorders>
            <w:shd w:val="clear" w:color="auto" w:fill="auto"/>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 xml:space="preserve">הממוצע לתקופה - תחילת 2021 עד אוקטובר </w:t>
            </w:r>
            <w:r w:rsidRPr="00014C4D">
              <w:rPr>
                <w:rFonts w:ascii="David" w:eastAsia="Times New Roman" w:hAnsi="David"/>
                <w:sz w:val="22"/>
                <w:szCs w:val="22"/>
              </w:rPr>
              <w:t>2023</w:t>
            </w:r>
          </w:p>
        </w:tc>
        <w:tc>
          <w:tcPr>
            <w:tcW w:w="2410" w:type="dxa"/>
            <w:tcBorders>
              <w:top w:val="single" w:sz="8" w:space="0" w:color="auto"/>
              <w:left w:val="nil"/>
              <w:bottom w:val="single" w:sz="12"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Theme="minorHAnsi" w:eastAsia="Times New Roman" w:hAnsiTheme="minorHAnsi"/>
                <w:sz w:val="22"/>
                <w:szCs w:val="22"/>
              </w:rPr>
            </w:pPr>
            <w:r w:rsidRPr="00014C4D">
              <w:rPr>
                <w:rFonts w:ascii="David" w:eastAsia="Times New Roman" w:hAnsi="David"/>
                <w:sz w:val="22"/>
                <w:szCs w:val="22"/>
              </w:rPr>
              <w:t>-</w:t>
            </w:r>
          </w:p>
        </w:tc>
        <w:tc>
          <w:tcPr>
            <w:tcW w:w="1696" w:type="dxa"/>
            <w:tcBorders>
              <w:top w:val="single" w:sz="8" w:space="0" w:color="auto"/>
              <w:left w:val="single" w:sz="8" w:space="0" w:color="auto"/>
              <w:bottom w:val="single" w:sz="12"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sz w:val="22"/>
                <w:szCs w:val="22"/>
                <w:rtl/>
              </w:rPr>
            </w:pPr>
            <w:r w:rsidRPr="00014C4D">
              <w:rPr>
                <w:rFonts w:ascii="David" w:eastAsia="Times New Roman" w:hAnsi="David" w:hint="cs"/>
                <w:sz w:val="22"/>
                <w:szCs w:val="22"/>
                <w:rtl/>
              </w:rPr>
              <w:t>417</w:t>
            </w:r>
          </w:p>
        </w:tc>
      </w:tr>
      <w:tr w:rsidR="00014C4D" w:rsidRPr="00014C4D" w:rsidTr="00014C4D">
        <w:trPr>
          <w:trHeight w:val="330"/>
          <w:jc w:val="center"/>
        </w:trPr>
        <w:tc>
          <w:tcPr>
            <w:tcW w:w="1491" w:type="dxa"/>
            <w:vMerge w:val="restart"/>
            <w:tcBorders>
              <w:top w:val="single" w:sz="12" w:space="0" w:color="auto"/>
              <w:left w:val="single" w:sz="12" w:space="0" w:color="auto"/>
              <w:bottom w:val="nil"/>
              <w:right w:val="nil"/>
            </w:tcBorders>
            <w:shd w:val="clear" w:color="auto" w:fill="auto"/>
            <w:noWrap/>
            <w:vAlign w:val="center"/>
            <w:hideMark/>
          </w:tcPr>
          <w:p w:rsidR="00014C4D" w:rsidRPr="00014C4D" w:rsidRDefault="00014C4D" w:rsidP="00014C4D">
            <w:pPr>
              <w:spacing w:line="269" w:lineRule="auto"/>
              <w:jc w:val="left"/>
              <w:rPr>
                <w:rFonts w:ascii="David" w:eastAsia="Times New Roman" w:hAnsi="David"/>
                <w:b/>
                <w:bCs/>
                <w:color w:val="000000"/>
                <w:sz w:val="22"/>
                <w:szCs w:val="22"/>
                <w:rtl/>
              </w:rPr>
            </w:pPr>
            <w:r w:rsidRPr="00014C4D">
              <w:rPr>
                <w:rFonts w:ascii="David" w:eastAsia="Times New Roman" w:hAnsi="David" w:hint="cs"/>
                <w:b/>
                <w:bCs/>
                <w:color w:val="000000"/>
                <w:sz w:val="22"/>
                <w:szCs w:val="22"/>
                <w:rtl/>
              </w:rPr>
              <w:t>גבעתיים(**)</w:t>
            </w:r>
          </w:p>
        </w:tc>
        <w:tc>
          <w:tcPr>
            <w:tcW w:w="1801"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tl/>
              </w:rPr>
            </w:pPr>
            <w:r w:rsidRPr="00014C4D">
              <w:rPr>
                <w:rFonts w:ascii="David" w:eastAsia="Times New Roman" w:hAnsi="David"/>
                <w:sz w:val="22"/>
                <w:szCs w:val="22"/>
              </w:rPr>
              <w:t>2021</w:t>
            </w:r>
          </w:p>
        </w:tc>
        <w:tc>
          <w:tcPr>
            <w:tcW w:w="2410" w:type="dxa"/>
            <w:tcBorders>
              <w:top w:val="single" w:sz="12" w:space="0" w:color="auto"/>
              <w:left w:val="nil"/>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219</w:t>
            </w:r>
          </w:p>
        </w:tc>
        <w:tc>
          <w:tcPr>
            <w:tcW w:w="1696" w:type="dxa"/>
            <w:tcBorders>
              <w:top w:val="single" w:sz="12" w:space="0" w:color="auto"/>
              <w:left w:val="single" w:sz="8" w:space="0" w:color="auto"/>
              <w:bottom w:val="single" w:sz="8" w:space="0" w:color="auto"/>
              <w:right w:val="single" w:sz="12"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4</w:t>
            </w:r>
          </w:p>
        </w:tc>
      </w:tr>
      <w:tr w:rsidR="00014C4D" w:rsidRPr="00014C4D" w:rsidTr="00014C4D">
        <w:trPr>
          <w:trHeight w:val="330"/>
          <w:jc w:val="center"/>
        </w:trPr>
        <w:tc>
          <w:tcPr>
            <w:tcW w:w="1491" w:type="dxa"/>
            <w:vMerge/>
            <w:tcBorders>
              <w:top w:val="nil"/>
              <w:left w:val="single" w:sz="12" w:space="0" w:color="auto"/>
              <w:bottom w:val="nil"/>
              <w:right w:val="nil"/>
            </w:tcBorders>
            <w:vAlign w:val="center"/>
            <w:hideMark/>
          </w:tcPr>
          <w:p w:rsidR="00014C4D" w:rsidRPr="00014C4D" w:rsidRDefault="00014C4D" w:rsidP="00014C4D">
            <w:pPr>
              <w:spacing w:line="269" w:lineRule="auto"/>
              <w:jc w:val="left"/>
              <w:rPr>
                <w:rFonts w:ascii="David" w:eastAsia="Times New Roman" w:hAnsi="David"/>
                <w:b/>
                <w:bCs/>
                <w:color w:val="000000"/>
                <w:sz w:val="22"/>
                <w:szCs w:val="22"/>
              </w:rPr>
            </w:pPr>
          </w:p>
        </w:tc>
        <w:tc>
          <w:tcPr>
            <w:tcW w:w="1801" w:type="dxa"/>
            <w:tcBorders>
              <w:top w:val="nil"/>
              <w:left w:val="single" w:sz="8" w:space="0" w:color="auto"/>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sz w:val="22"/>
                <w:szCs w:val="22"/>
              </w:rPr>
              <w:t>2022</w:t>
            </w:r>
          </w:p>
        </w:tc>
        <w:tc>
          <w:tcPr>
            <w:tcW w:w="2410" w:type="dxa"/>
            <w:tcBorders>
              <w:top w:val="nil"/>
              <w:left w:val="nil"/>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230</w:t>
            </w:r>
          </w:p>
        </w:tc>
        <w:tc>
          <w:tcPr>
            <w:tcW w:w="1696" w:type="dxa"/>
            <w:tcBorders>
              <w:top w:val="nil"/>
              <w:left w:val="single" w:sz="8" w:space="0" w:color="auto"/>
              <w:bottom w:val="single" w:sz="8" w:space="0" w:color="auto"/>
              <w:right w:val="single" w:sz="12"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93</w:t>
            </w:r>
          </w:p>
        </w:tc>
      </w:tr>
      <w:tr w:rsidR="00014C4D" w:rsidRPr="00014C4D" w:rsidTr="00014C4D">
        <w:trPr>
          <w:trHeight w:val="330"/>
          <w:jc w:val="center"/>
        </w:trPr>
        <w:tc>
          <w:tcPr>
            <w:tcW w:w="1491" w:type="dxa"/>
            <w:vMerge/>
            <w:tcBorders>
              <w:top w:val="nil"/>
              <w:left w:val="single" w:sz="12" w:space="0" w:color="auto"/>
              <w:bottom w:val="single" w:sz="12" w:space="0" w:color="auto"/>
              <w:right w:val="nil"/>
            </w:tcBorders>
            <w:vAlign w:val="center"/>
            <w:hideMark/>
          </w:tcPr>
          <w:p w:rsidR="00014C4D" w:rsidRPr="00014C4D" w:rsidRDefault="00014C4D" w:rsidP="00014C4D">
            <w:pPr>
              <w:spacing w:line="269" w:lineRule="auto"/>
              <w:jc w:val="left"/>
              <w:rPr>
                <w:rFonts w:ascii="David" w:eastAsia="Times New Roman" w:hAnsi="David"/>
                <w:b/>
                <w:bCs/>
                <w:color w:val="000000"/>
                <w:sz w:val="22"/>
                <w:szCs w:val="22"/>
              </w:rPr>
            </w:pPr>
          </w:p>
        </w:tc>
        <w:tc>
          <w:tcPr>
            <w:tcW w:w="1801" w:type="dxa"/>
            <w:tcBorders>
              <w:top w:val="nil"/>
              <w:left w:val="single" w:sz="8" w:space="0" w:color="auto"/>
              <w:bottom w:val="single" w:sz="12"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sz w:val="22"/>
                <w:szCs w:val="22"/>
              </w:rPr>
              <w:t>2023</w:t>
            </w:r>
          </w:p>
        </w:tc>
        <w:tc>
          <w:tcPr>
            <w:tcW w:w="2410" w:type="dxa"/>
            <w:tcBorders>
              <w:top w:val="nil"/>
              <w:left w:val="nil"/>
              <w:bottom w:val="single" w:sz="12"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327</w:t>
            </w:r>
          </w:p>
        </w:tc>
        <w:tc>
          <w:tcPr>
            <w:tcW w:w="1696" w:type="dxa"/>
            <w:tcBorders>
              <w:top w:val="nil"/>
              <w:left w:val="single" w:sz="8" w:space="0" w:color="auto"/>
              <w:bottom w:val="single" w:sz="12" w:space="0" w:color="auto"/>
              <w:right w:val="single" w:sz="12"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67</w:t>
            </w:r>
          </w:p>
        </w:tc>
      </w:tr>
      <w:tr w:rsidR="00014C4D" w:rsidRPr="00014C4D" w:rsidTr="00014C4D">
        <w:trPr>
          <w:trHeight w:val="330"/>
          <w:jc w:val="center"/>
        </w:trPr>
        <w:tc>
          <w:tcPr>
            <w:tcW w:w="1491" w:type="dxa"/>
            <w:vMerge w:val="restart"/>
            <w:tcBorders>
              <w:top w:val="single" w:sz="12" w:space="0" w:color="auto"/>
              <w:left w:val="single" w:sz="12" w:space="0" w:color="auto"/>
              <w:right w:val="nil"/>
            </w:tcBorders>
            <w:shd w:val="clear" w:color="auto" w:fill="auto"/>
            <w:vAlign w:val="center"/>
          </w:tcPr>
          <w:p w:rsidR="00014C4D" w:rsidRPr="00014C4D" w:rsidRDefault="00014C4D" w:rsidP="00014C4D">
            <w:pPr>
              <w:spacing w:line="269" w:lineRule="auto"/>
              <w:jc w:val="left"/>
              <w:rPr>
                <w:rFonts w:ascii="David" w:eastAsia="Times New Roman" w:hAnsi="David"/>
                <w:b/>
                <w:bCs/>
                <w:color w:val="000000"/>
                <w:sz w:val="22"/>
                <w:szCs w:val="22"/>
              </w:rPr>
            </w:pPr>
            <w:r w:rsidRPr="00014C4D">
              <w:rPr>
                <w:rFonts w:ascii="David" w:eastAsia="Times New Roman" w:hAnsi="David" w:hint="cs"/>
                <w:b/>
                <w:bCs/>
                <w:color w:val="000000"/>
                <w:sz w:val="22"/>
                <w:szCs w:val="22"/>
                <w:rtl/>
              </w:rPr>
              <w:t>חולון(**)</w:t>
            </w:r>
          </w:p>
        </w:tc>
        <w:tc>
          <w:tcPr>
            <w:tcW w:w="1801"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sz w:val="22"/>
                <w:szCs w:val="22"/>
              </w:rPr>
            </w:pPr>
            <w:r w:rsidRPr="00014C4D">
              <w:rPr>
                <w:rFonts w:ascii="David" w:eastAsia="Times New Roman" w:hAnsi="David" w:hint="cs"/>
                <w:sz w:val="22"/>
                <w:szCs w:val="22"/>
                <w:rtl/>
              </w:rPr>
              <w:t>2021</w:t>
            </w:r>
          </w:p>
        </w:tc>
        <w:tc>
          <w:tcPr>
            <w:tcW w:w="2410" w:type="dxa"/>
            <w:tcBorders>
              <w:top w:val="single" w:sz="12" w:space="0" w:color="auto"/>
              <w:left w:val="nil"/>
              <w:bottom w:val="single" w:sz="8" w:space="0" w:color="auto"/>
              <w:right w:val="nil"/>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270</w:t>
            </w:r>
          </w:p>
        </w:tc>
        <w:tc>
          <w:tcPr>
            <w:tcW w:w="1696" w:type="dxa"/>
            <w:tcBorders>
              <w:top w:val="single" w:sz="12"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668</w:t>
            </w:r>
          </w:p>
        </w:tc>
      </w:tr>
      <w:tr w:rsidR="00014C4D" w:rsidRPr="00014C4D" w:rsidTr="00014C4D">
        <w:trPr>
          <w:trHeight w:val="330"/>
          <w:jc w:val="center"/>
        </w:trPr>
        <w:tc>
          <w:tcPr>
            <w:tcW w:w="1491" w:type="dxa"/>
            <w:vMerge/>
            <w:tcBorders>
              <w:left w:val="single" w:sz="12" w:space="0" w:color="auto"/>
              <w:right w:val="nil"/>
            </w:tcBorders>
            <w:vAlign w:val="center"/>
          </w:tcPr>
          <w:p w:rsidR="00014C4D" w:rsidRPr="00014C4D" w:rsidRDefault="00014C4D" w:rsidP="00014C4D">
            <w:pPr>
              <w:spacing w:line="269" w:lineRule="auto"/>
              <w:jc w:val="left"/>
              <w:rPr>
                <w:rFonts w:ascii="David" w:eastAsia="Times New Roman" w:hAnsi="David"/>
                <w:b/>
                <w:bCs/>
                <w:color w:val="000000"/>
                <w:sz w:val="22"/>
                <w:szCs w:val="22"/>
              </w:rPr>
            </w:pPr>
          </w:p>
        </w:tc>
        <w:tc>
          <w:tcPr>
            <w:tcW w:w="1801" w:type="dxa"/>
            <w:tcBorders>
              <w:top w:val="nil"/>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sz w:val="22"/>
                <w:szCs w:val="22"/>
              </w:rPr>
            </w:pPr>
            <w:r w:rsidRPr="00014C4D">
              <w:rPr>
                <w:rFonts w:ascii="David" w:eastAsia="Times New Roman" w:hAnsi="David"/>
                <w:sz w:val="22"/>
                <w:szCs w:val="22"/>
              </w:rPr>
              <w:t>2022</w:t>
            </w:r>
          </w:p>
        </w:tc>
        <w:tc>
          <w:tcPr>
            <w:tcW w:w="2410" w:type="dxa"/>
            <w:tcBorders>
              <w:top w:val="nil"/>
              <w:left w:val="nil"/>
              <w:bottom w:val="single" w:sz="8"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261</w:t>
            </w:r>
          </w:p>
        </w:tc>
        <w:tc>
          <w:tcPr>
            <w:tcW w:w="1696" w:type="dxa"/>
            <w:tcBorders>
              <w:top w:val="nil"/>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576</w:t>
            </w:r>
          </w:p>
        </w:tc>
      </w:tr>
      <w:tr w:rsidR="00014C4D" w:rsidRPr="00014C4D" w:rsidTr="00014C4D">
        <w:trPr>
          <w:trHeight w:val="330"/>
          <w:jc w:val="center"/>
        </w:trPr>
        <w:tc>
          <w:tcPr>
            <w:tcW w:w="1491" w:type="dxa"/>
            <w:vMerge/>
            <w:tcBorders>
              <w:left w:val="single" w:sz="12" w:space="0" w:color="auto"/>
              <w:bottom w:val="single" w:sz="12" w:space="0" w:color="auto"/>
              <w:right w:val="nil"/>
            </w:tcBorders>
            <w:vAlign w:val="center"/>
          </w:tcPr>
          <w:p w:rsidR="00014C4D" w:rsidRPr="00014C4D" w:rsidRDefault="00014C4D" w:rsidP="00014C4D">
            <w:pPr>
              <w:spacing w:line="269" w:lineRule="auto"/>
              <w:jc w:val="left"/>
              <w:rPr>
                <w:rFonts w:ascii="David" w:eastAsia="Times New Roman" w:hAnsi="David"/>
                <w:b/>
                <w:bCs/>
                <w:color w:val="000000"/>
                <w:sz w:val="22"/>
                <w:szCs w:val="22"/>
              </w:rPr>
            </w:pPr>
          </w:p>
        </w:tc>
        <w:tc>
          <w:tcPr>
            <w:tcW w:w="1801" w:type="dxa"/>
            <w:tcBorders>
              <w:top w:val="nil"/>
              <w:left w:val="single" w:sz="8" w:space="0" w:color="auto"/>
              <w:bottom w:val="single" w:sz="12"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sz w:val="22"/>
                <w:szCs w:val="22"/>
              </w:rPr>
            </w:pPr>
            <w:r w:rsidRPr="00014C4D">
              <w:rPr>
                <w:rFonts w:ascii="David" w:eastAsia="Times New Roman" w:hAnsi="David"/>
                <w:sz w:val="22"/>
                <w:szCs w:val="22"/>
              </w:rPr>
              <w:t>2023</w:t>
            </w:r>
          </w:p>
        </w:tc>
        <w:tc>
          <w:tcPr>
            <w:tcW w:w="2410" w:type="dxa"/>
            <w:tcBorders>
              <w:top w:val="nil"/>
              <w:left w:val="nil"/>
              <w:bottom w:val="single" w:sz="12" w:space="0" w:color="auto"/>
              <w:right w:val="single" w:sz="8"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sz w:val="22"/>
                <w:szCs w:val="22"/>
              </w:rPr>
              <w:t>267</w:t>
            </w:r>
          </w:p>
        </w:tc>
        <w:tc>
          <w:tcPr>
            <w:tcW w:w="1696" w:type="dxa"/>
            <w:tcBorders>
              <w:top w:val="nil"/>
              <w:left w:val="single" w:sz="8" w:space="0" w:color="auto"/>
              <w:bottom w:val="single" w:sz="12"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sz w:val="22"/>
                <w:szCs w:val="22"/>
              </w:rPr>
              <w:t>679</w:t>
            </w:r>
          </w:p>
        </w:tc>
      </w:tr>
      <w:tr w:rsidR="00014C4D" w:rsidRPr="00014C4D" w:rsidTr="00014C4D">
        <w:trPr>
          <w:trHeight w:val="330"/>
          <w:jc w:val="center"/>
        </w:trPr>
        <w:tc>
          <w:tcPr>
            <w:tcW w:w="1491" w:type="dxa"/>
            <w:vMerge w:val="restart"/>
            <w:tcBorders>
              <w:top w:val="single" w:sz="12" w:space="0" w:color="auto"/>
              <w:left w:val="single" w:sz="12" w:space="0" w:color="auto"/>
              <w:right w:val="single" w:sz="8" w:space="0" w:color="auto"/>
            </w:tcBorders>
            <w:shd w:val="clear" w:color="auto" w:fill="auto"/>
            <w:noWrap/>
            <w:vAlign w:val="center"/>
            <w:hideMark/>
          </w:tcPr>
          <w:p w:rsidR="00014C4D" w:rsidRPr="00014C4D" w:rsidRDefault="00014C4D" w:rsidP="00014C4D">
            <w:pPr>
              <w:spacing w:line="269" w:lineRule="auto"/>
              <w:jc w:val="left"/>
              <w:rPr>
                <w:rFonts w:ascii="David" w:eastAsia="Times New Roman" w:hAnsi="David"/>
                <w:b/>
                <w:bCs/>
                <w:color w:val="000000"/>
                <w:sz w:val="22"/>
                <w:szCs w:val="22"/>
              </w:rPr>
            </w:pPr>
            <w:r w:rsidRPr="00014C4D">
              <w:rPr>
                <w:rFonts w:ascii="David" w:eastAsia="Times New Roman" w:hAnsi="David" w:hint="cs"/>
                <w:b/>
                <w:bCs/>
                <w:color w:val="000000"/>
                <w:sz w:val="22"/>
                <w:szCs w:val="22"/>
                <w:rtl/>
              </w:rPr>
              <w:t xml:space="preserve">הגלבוע </w:t>
            </w:r>
          </w:p>
        </w:tc>
        <w:tc>
          <w:tcPr>
            <w:tcW w:w="1801" w:type="dxa"/>
            <w:tcBorders>
              <w:top w:val="single" w:sz="12" w:space="0" w:color="auto"/>
              <w:left w:val="nil"/>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2021</w:t>
            </w:r>
          </w:p>
        </w:tc>
        <w:tc>
          <w:tcPr>
            <w:tcW w:w="2410" w:type="dxa"/>
            <w:tcBorders>
              <w:top w:val="single" w:sz="12" w:space="0" w:color="auto"/>
              <w:left w:val="nil"/>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tl/>
              </w:rPr>
            </w:pPr>
            <w:r w:rsidRPr="00014C4D">
              <w:rPr>
                <w:rFonts w:ascii="David" w:eastAsia="Times New Roman" w:hAnsi="David"/>
                <w:sz w:val="22"/>
                <w:szCs w:val="22"/>
              </w:rPr>
              <w:t>193</w:t>
            </w:r>
          </w:p>
        </w:tc>
        <w:tc>
          <w:tcPr>
            <w:tcW w:w="1696" w:type="dxa"/>
            <w:tcBorders>
              <w:top w:val="single" w:sz="12" w:space="0" w:color="auto"/>
              <w:left w:val="single" w:sz="8" w:space="0" w:color="auto"/>
              <w:bottom w:val="single" w:sz="8" w:space="0" w:color="auto"/>
              <w:right w:val="single" w:sz="12"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181</w:t>
            </w:r>
          </w:p>
        </w:tc>
      </w:tr>
      <w:tr w:rsidR="00014C4D" w:rsidRPr="00014C4D" w:rsidTr="00014C4D">
        <w:trPr>
          <w:trHeight w:val="330"/>
          <w:jc w:val="center"/>
        </w:trPr>
        <w:tc>
          <w:tcPr>
            <w:tcW w:w="1491" w:type="dxa"/>
            <w:vMerge/>
            <w:tcBorders>
              <w:left w:val="single" w:sz="12" w:space="0" w:color="auto"/>
              <w:right w:val="single" w:sz="8" w:space="0" w:color="auto"/>
            </w:tcBorders>
            <w:vAlign w:val="center"/>
            <w:hideMark/>
          </w:tcPr>
          <w:p w:rsidR="00014C4D" w:rsidRPr="00014C4D" w:rsidRDefault="00014C4D" w:rsidP="00014C4D">
            <w:pPr>
              <w:spacing w:line="269" w:lineRule="auto"/>
              <w:jc w:val="right"/>
              <w:rPr>
                <w:rFonts w:ascii="David" w:eastAsia="Times New Roman" w:hAnsi="David"/>
                <w:b/>
                <w:bCs/>
                <w:color w:val="000000"/>
                <w:sz w:val="22"/>
                <w:szCs w:val="22"/>
              </w:rPr>
            </w:pPr>
          </w:p>
        </w:tc>
        <w:tc>
          <w:tcPr>
            <w:tcW w:w="1801" w:type="dxa"/>
            <w:tcBorders>
              <w:top w:val="nil"/>
              <w:left w:val="nil"/>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2022</w:t>
            </w:r>
          </w:p>
        </w:tc>
        <w:tc>
          <w:tcPr>
            <w:tcW w:w="2410" w:type="dxa"/>
            <w:tcBorders>
              <w:top w:val="nil"/>
              <w:left w:val="nil"/>
              <w:bottom w:val="single" w:sz="8"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149</w:t>
            </w:r>
          </w:p>
        </w:tc>
        <w:tc>
          <w:tcPr>
            <w:tcW w:w="1696" w:type="dxa"/>
            <w:tcBorders>
              <w:top w:val="nil"/>
              <w:left w:val="single" w:sz="8" w:space="0" w:color="auto"/>
              <w:bottom w:val="single" w:sz="8" w:space="0" w:color="auto"/>
              <w:right w:val="single" w:sz="12"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200</w:t>
            </w:r>
          </w:p>
        </w:tc>
      </w:tr>
      <w:tr w:rsidR="00014C4D" w:rsidRPr="00014C4D" w:rsidTr="00014C4D">
        <w:trPr>
          <w:trHeight w:val="330"/>
          <w:jc w:val="center"/>
        </w:trPr>
        <w:tc>
          <w:tcPr>
            <w:tcW w:w="1491" w:type="dxa"/>
            <w:vMerge/>
            <w:tcBorders>
              <w:left w:val="single" w:sz="12" w:space="0" w:color="auto"/>
              <w:right w:val="single" w:sz="8" w:space="0" w:color="auto"/>
            </w:tcBorders>
            <w:vAlign w:val="center"/>
            <w:hideMark/>
          </w:tcPr>
          <w:p w:rsidR="00014C4D" w:rsidRPr="00014C4D" w:rsidRDefault="00014C4D" w:rsidP="00014C4D">
            <w:pPr>
              <w:spacing w:line="269" w:lineRule="auto"/>
              <w:jc w:val="right"/>
              <w:rPr>
                <w:rFonts w:ascii="David" w:eastAsia="Times New Roman" w:hAnsi="David"/>
                <w:b/>
                <w:bCs/>
                <w:color w:val="000000"/>
                <w:sz w:val="22"/>
                <w:szCs w:val="22"/>
              </w:rPr>
            </w:pPr>
          </w:p>
        </w:tc>
        <w:tc>
          <w:tcPr>
            <w:tcW w:w="1801" w:type="dxa"/>
            <w:tcBorders>
              <w:top w:val="nil"/>
              <w:left w:val="nil"/>
              <w:bottom w:val="single" w:sz="12"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hint="cs"/>
                <w:color w:val="000000"/>
                <w:sz w:val="22"/>
                <w:szCs w:val="22"/>
                <w:rtl/>
              </w:rPr>
              <w:t>*</w:t>
            </w:r>
            <w:r w:rsidRPr="00014C4D">
              <w:rPr>
                <w:rFonts w:ascii="David" w:eastAsia="Times New Roman" w:hAnsi="David"/>
                <w:color w:val="000000"/>
                <w:sz w:val="22"/>
                <w:szCs w:val="22"/>
              </w:rPr>
              <w:t>2023</w:t>
            </w:r>
          </w:p>
        </w:tc>
        <w:tc>
          <w:tcPr>
            <w:tcW w:w="2410" w:type="dxa"/>
            <w:tcBorders>
              <w:top w:val="nil"/>
              <w:left w:val="nil"/>
              <w:bottom w:val="single" w:sz="12" w:space="0" w:color="auto"/>
              <w:right w:val="single" w:sz="8"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183</w:t>
            </w:r>
          </w:p>
        </w:tc>
        <w:tc>
          <w:tcPr>
            <w:tcW w:w="1696" w:type="dxa"/>
            <w:tcBorders>
              <w:top w:val="nil"/>
              <w:left w:val="single" w:sz="8" w:space="0" w:color="auto"/>
              <w:bottom w:val="single" w:sz="12" w:space="0" w:color="auto"/>
              <w:right w:val="single" w:sz="12" w:space="0" w:color="auto"/>
            </w:tcBorders>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 w:val="22"/>
                <w:szCs w:val="22"/>
              </w:rPr>
            </w:pPr>
            <w:r w:rsidRPr="00014C4D">
              <w:rPr>
                <w:rFonts w:ascii="David" w:eastAsia="Times New Roman" w:hAnsi="David"/>
                <w:color w:val="000000"/>
                <w:sz w:val="22"/>
                <w:szCs w:val="22"/>
              </w:rPr>
              <w:t>104</w:t>
            </w:r>
          </w:p>
        </w:tc>
      </w:tr>
      <w:tr w:rsidR="00014C4D" w:rsidRPr="00014C4D" w:rsidTr="00014C4D">
        <w:trPr>
          <w:trHeight w:val="330"/>
          <w:jc w:val="center"/>
        </w:trPr>
        <w:tc>
          <w:tcPr>
            <w:tcW w:w="1491" w:type="dxa"/>
            <w:vMerge/>
            <w:tcBorders>
              <w:left w:val="single" w:sz="12" w:space="0" w:color="auto"/>
              <w:bottom w:val="single" w:sz="8" w:space="0" w:color="000000"/>
              <w:right w:val="single" w:sz="8" w:space="0" w:color="auto"/>
            </w:tcBorders>
            <w:shd w:val="clear" w:color="auto" w:fill="auto"/>
            <w:vAlign w:val="center"/>
          </w:tcPr>
          <w:p w:rsidR="00014C4D" w:rsidRPr="00014C4D" w:rsidRDefault="00014C4D" w:rsidP="00014C4D">
            <w:pPr>
              <w:spacing w:line="269" w:lineRule="auto"/>
              <w:jc w:val="right"/>
              <w:rPr>
                <w:rFonts w:ascii="David" w:eastAsia="Times New Roman" w:hAnsi="David"/>
                <w:b/>
                <w:bCs/>
                <w:color w:val="000000"/>
                <w:sz w:val="22"/>
                <w:szCs w:val="22"/>
                <w:rtl/>
              </w:rPr>
            </w:pPr>
          </w:p>
        </w:tc>
        <w:tc>
          <w:tcPr>
            <w:tcW w:w="1801" w:type="dxa"/>
            <w:tcBorders>
              <w:top w:val="single" w:sz="12" w:space="0" w:color="auto"/>
              <w:left w:val="single" w:sz="8" w:space="0" w:color="auto"/>
              <w:bottom w:val="single" w:sz="8" w:space="0" w:color="auto"/>
              <w:right w:val="single" w:sz="8" w:space="0" w:color="auto"/>
            </w:tcBorders>
            <w:shd w:val="clear" w:color="auto" w:fill="auto"/>
            <w:noWrap/>
            <w:vAlign w:val="center"/>
          </w:tcPr>
          <w:p w:rsidR="00014C4D" w:rsidRPr="00014C4D" w:rsidRDefault="00014C4D" w:rsidP="00014C4D">
            <w:pPr>
              <w:spacing w:line="269" w:lineRule="auto"/>
              <w:jc w:val="left"/>
              <w:rPr>
                <w:rFonts w:ascii="David" w:eastAsia="Times New Roman" w:hAnsi="David"/>
                <w:sz w:val="22"/>
                <w:szCs w:val="22"/>
                <w:rtl/>
              </w:rPr>
            </w:pPr>
            <w:r w:rsidRPr="00014C4D">
              <w:rPr>
                <w:rFonts w:ascii="David" w:eastAsia="Times New Roman" w:hAnsi="David" w:hint="cs"/>
                <w:sz w:val="22"/>
                <w:szCs w:val="22"/>
                <w:rtl/>
              </w:rPr>
              <w:t>הממוצע לתקופה - תחילת 2021 עד אוקטובר 2023</w:t>
            </w:r>
          </w:p>
        </w:tc>
        <w:tc>
          <w:tcPr>
            <w:tcW w:w="2410" w:type="dxa"/>
            <w:tcBorders>
              <w:top w:val="single" w:sz="12" w:space="0" w:color="auto"/>
              <w:left w:val="nil"/>
              <w:bottom w:val="single" w:sz="8" w:space="0" w:color="auto"/>
              <w:right w:val="nil"/>
            </w:tcBorders>
            <w:shd w:val="clear" w:color="auto" w:fill="auto"/>
            <w:noWrap/>
            <w:vAlign w:val="center"/>
          </w:tcPr>
          <w:p w:rsidR="00014C4D" w:rsidRPr="00014C4D" w:rsidRDefault="00014C4D" w:rsidP="00014C4D">
            <w:pPr>
              <w:bidi w:val="0"/>
              <w:spacing w:line="269" w:lineRule="auto"/>
              <w:jc w:val="right"/>
              <w:rPr>
                <w:rFonts w:asciiTheme="minorHAnsi" w:eastAsia="Times New Roman" w:hAnsiTheme="minorHAnsi"/>
                <w:sz w:val="22"/>
                <w:szCs w:val="22"/>
              </w:rPr>
            </w:pPr>
            <w:r w:rsidRPr="00014C4D">
              <w:rPr>
                <w:rFonts w:ascii="David" w:eastAsia="Times New Roman" w:hAnsi="David"/>
                <w:sz w:val="22"/>
                <w:szCs w:val="22"/>
              </w:rPr>
              <w:t>-</w:t>
            </w:r>
          </w:p>
        </w:tc>
        <w:tc>
          <w:tcPr>
            <w:tcW w:w="1696" w:type="dxa"/>
            <w:tcBorders>
              <w:top w:val="single" w:sz="12" w:space="0" w:color="auto"/>
              <w:left w:val="single" w:sz="8" w:space="0" w:color="auto"/>
              <w:bottom w:val="single" w:sz="8" w:space="0" w:color="auto"/>
              <w:right w:val="single" w:sz="12" w:space="0" w:color="auto"/>
            </w:tcBorders>
            <w:shd w:val="clear" w:color="auto" w:fill="auto"/>
            <w:noWrap/>
            <w:vAlign w:val="center"/>
          </w:tcPr>
          <w:p w:rsidR="00014C4D" w:rsidRPr="00014C4D" w:rsidRDefault="00014C4D" w:rsidP="00014C4D">
            <w:pPr>
              <w:bidi w:val="0"/>
              <w:spacing w:line="269" w:lineRule="auto"/>
              <w:jc w:val="right"/>
              <w:rPr>
                <w:rFonts w:ascii="David" w:eastAsia="Times New Roman" w:hAnsi="David"/>
                <w:sz w:val="22"/>
                <w:szCs w:val="22"/>
              </w:rPr>
            </w:pPr>
            <w:r w:rsidRPr="00014C4D">
              <w:rPr>
                <w:rFonts w:ascii="David" w:eastAsia="Times New Roman" w:hAnsi="David"/>
                <w:sz w:val="22"/>
                <w:szCs w:val="22"/>
              </w:rPr>
              <w:t>176</w:t>
            </w:r>
          </w:p>
        </w:tc>
      </w:tr>
    </w:tbl>
    <w:p w:rsidR="00014C4D" w:rsidRPr="00014C4D" w:rsidRDefault="00014C4D" w:rsidP="00014C4D">
      <w:pPr>
        <w:spacing w:line="269" w:lineRule="auto"/>
        <w:ind w:left="283" w:hanging="284"/>
        <w:jc w:val="left"/>
        <w:rPr>
          <w:rFonts w:ascii="David" w:hAnsi="David"/>
          <w:szCs w:val="20"/>
          <w:rtl/>
        </w:rPr>
      </w:pPr>
      <w:r w:rsidRPr="00014C4D">
        <w:rPr>
          <w:rFonts w:ascii="David" w:hAnsi="David" w:hint="cs"/>
          <w:szCs w:val="20"/>
          <w:rtl/>
        </w:rPr>
        <w:t>על פי נתוני הרשויות המקומיות שנבדקו, בעיבוד משרד מבקר המדינה.</w:t>
      </w:r>
    </w:p>
    <w:p w:rsidR="00014C4D" w:rsidRPr="00014C4D" w:rsidRDefault="00014C4D" w:rsidP="00014C4D">
      <w:pPr>
        <w:spacing w:line="269" w:lineRule="auto"/>
        <w:ind w:left="283" w:hanging="284"/>
        <w:rPr>
          <w:rFonts w:ascii="David" w:hAnsi="David"/>
          <w:szCs w:val="20"/>
          <w:rtl/>
        </w:rPr>
      </w:pPr>
      <w:r w:rsidRPr="00014C4D">
        <w:rPr>
          <w:rFonts w:ascii="David" w:hAnsi="David" w:hint="cs"/>
          <w:szCs w:val="20"/>
          <w:rtl/>
        </w:rPr>
        <w:t>*</w:t>
      </w:r>
      <w:r w:rsidRPr="00014C4D">
        <w:rPr>
          <w:rFonts w:ascii="David" w:hAnsi="David"/>
          <w:szCs w:val="20"/>
          <w:rtl/>
        </w:rPr>
        <w:tab/>
        <w:t>הוצאות עבור שיפוץ המקלטים באשקלון ובגלבוע היו עד אוקטובר 2023.</w:t>
      </w:r>
    </w:p>
    <w:p w:rsidR="00014C4D" w:rsidRPr="00014C4D" w:rsidRDefault="00014C4D" w:rsidP="00014C4D">
      <w:pPr>
        <w:spacing w:line="269" w:lineRule="auto"/>
        <w:ind w:left="283" w:hanging="284"/>
        <w:rPr>
          <w:rFonts w:ascii="David" w:hAnsi="David"/>
          <w:szCs w:val="20"/>
          <w:rtl/>
        </w:rPr>
      </w:pPr>
      <w:r w:rsidRPr="00014C4D">
        <w:rPr>
          <w:rFonts w:ascii="David" w:hAnsi="David" w:hint="cs"/>
          <w:szCs w:val="20"/>
          <w:rtl/>
        </w:rPr>
        <w:t>**</w:t>
      </w:r>
      <w:r w:rsidRPr="00014C4D">
        <w:rPr>
          <w:rFonts w:ascii="David" w:hAnsi="David"/>
          <w:szCs w:val="20"/>
          <w:rtl/>
        </w:rPr>
        <w:tab/>
      </w:r>
      <w:r w:rsidRPr="00014C4D">
        <w:rPr>
          <w:rFonts w:ascii="David" w:hAnsi="David" w:hint="cs"/>
          <w:szCs w:val="20"/>
          <w:rtl/>
        </w:rPr>
        <w:t>ההוצאות על תחזוקת המקלטים בגבעתיים ובחולון נועדו הן לתחזוקת מקלטים ציבוריים והן לתחזוקת מקלטים בבתי הספר. הוצאות תחזוקת המקלטים בגלבוע היו על מקלטים ציבוריים בלבד. גבעתיים וחולון רשמו את הוצאותיהן לתחזוקת מקלטים בבתי הספר עם הוצאות אחרות, ולפיכך לא ניתן להציגן בלוח. הוצאות השיפוץ באשקלון היו על מקלטים ציבוריים בלבד והן כללו גם הוצאות תחזוקת מקלטים 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t>מהלוח עולה כי היקף שיפוץ המקלטים ב</w:t>
      </w:r>
      <w:r w:rsidRPr="00014C4D">
        <w:rPr>
          <w:rFonts w:ascii="David" w:hAnsi="David" w:hint="cs"/>
          <w:b/>
          <w:bCs/>
          <w:sz w:val="24"/>
          <w:rtl/>
        </w:rPr>
        <w:t>אשקלון</w:t>
      </w:r>
      <w:r w:rsidRPr="00014C4D">
        <w:rPr>
          <w:rFonts w:ascii="David" w:hAnsi="David" w:hint="cs"/>
          <w:sz w:val="24"/>
          <w:rtl/>
        </w:rPr>
        <w:t xml:space="preserve"> בשנת 2021 (197,000 ש"ח) היה קטן לעומת השנים 2022 - 2023, שבהן היה גידול בהיקף ההוצאות (490,000 ש"ח, ו-460,000 ש"ח עד אוקטובר 2023). חלק מההוצאות הוצאו עבור שיפוץ מקלטים ציבוריים והיתר לשיפוץ מיגוניות, שכאמור אינן מיגון תקני ואינן משמשות לו תחליף (ראו גם בפרק הבא על השיפוצים במקלטים ציבוריים שעשתה העירייה מתחילת שנת 2021 עד מועד הביקורת בנובמבר 2024 במימון משרדי ממשלה על פי החלטות ממשלה).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lastRenderedPageBreak/>
        <w:t>מהלוח עולה כי היקף השיפוצים של מקלטים</w:t>
      </w:r>
      <w:r w:rsidRPr="00014C4D">
        <w:rPr>
          <w:rFonts w:ascii="David" w:hAnsi="David" w:hint="cs"/>
          <w:b/>
          <w:bCs/>
          <w:sz w:val="24"/>
          <w:rtl/>
        </w:rPr>
        <w:t xml:space="preserve"> בגבעתיים</w:t>
      </w:r>
      <w:r w:rsidRPr="00014C4D">
        <w:rPr>
          <w:rFonts w:ascii="David" w:hAnsi="David" w:hint="cs"/>
          <w:sz w:val="24"/>
          <w:rtl/>
        </w:rPr>
        <w:t xml:space="preserve"> בשנת 2021 היה קטן (4,000 ש"ח), ובשנים 2022 - 2023 היה גידול בהיקף ההוצאות (93,000 ו-67,000 ש"ח כסדר השנים). חלק מההוצאות הוצאו עבור מקלטים ציבוריים והיתר עבור שיפוץ מקלטים בבתי ספר וגני ילדים</w:t>
      </w:r>
      <w:r w:rsidRPr="00014C4D">
        <w:rPr>
          <w:rFonts w:ascii="David" w:hAnsi="David"/>
          <w:sz w:val="24"/>
          <w:vertAlign w:val="superscript"/>
          <w:rtl/>
        </w:rPr>
        <w:footnoteReference w:id="125"/>
      </w:r>
      <w:r w:rsidRPr="00014C4D">
        <w:rPr>
          <w:rFonts w:ascii="David" w:hAnsi="David" w:hint="cs"/>
          <w:sz w:val="24"/>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ascii="David" w:hAnsi="David" w:hint="cs"/>
          <w:sz w:val="24"/>
          <w:rtl/>
        </w:rPr>
        <w:t>מהלוח עולה עוד כי היקף שיפוץ המקלטים הציבוריים בלבד ב</w:t>
      </w:r>
      <w:r w:rsidRPr="00014C4D">
        <w:rPr>
          <w:rFonts w:ascii="David" w:hAnsi="David" w:hint="cs"/>
          <w:b/>
          <w:bCs/>
          <w:sz w:val="24"/>
          <w:rtl/>
        </w:rPr>
        <w:t xml:space="preserve">גלבוע </w:t>
      </w:r>
      <w:r w:rsidRPr="00014C4D">
        <w:rPr>
          <w:rFonts w:ascii="David" w:hAnsi="David" w:hint="cs"/>
          <w:sz w:val="24"/>
          <w:rtl/>
        </w:rPr>
        <w:t xml:space="preserve">מתחילת שנת 2023 ועד תחילת המלחמה באוקטובר 2023 הסתכם ב-104,000 ש"ח בלבד, לעומת הוצאות שנתיות של 181,000 ו-200,000 ש"ח בשנים 2021 ו-2022, כסדר השנים.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sz w:val="24"/>
        </w:rPr>
      </w:pPr>
      <w:r w:rsidRPr="00014C4D">
        <w:rPr>
          <w:rFonts w:hint="eastAsia"/>
          <w:b/>
          <w:bCs/>
          <w:sz w:val="24"/>
          <w:rtl/>
        </w:rPr>
        <w:t>לאור</w:t>
      </w:r>
      <w:r w:rsidRPr="00014C4D">
        <w:rPr>
          <w:b/>
          <w:bCs/>
          <w:sz w:val="24"/>
          <w:rtl/>
        </w:rPr>
        <w:t xml:space="preserve"> </w:t>
      </w:r>
      <w:r w:rsidRPr="00014C4D">
        <w:rPr>
          <w:rFonts w:hint="eastAsia"/>
          <w:b/>
          <w:bCs/>
          <w:sz w:val="24"/>
          <w:rtl/>
        </w:rPr>
        <w:t>תמונת</w:t>
      </w:r>
      <w:r w:rsidRPr="00014C4D">
        <w:rPr>
          <w:b/>
          <w:bCs/>
          <w:sz w:val="24"/>
          <w:rtl/>
        </w:rPr>
        <w:t xml:space="preserve"> </w:t>
      </w:r>
      <w:r w:rsidRPr="00014C4D">
        <w:rPr>
          <w:rFonts w:hint="eastAsia"/>
          <w:b/>
          <w:bCs/>
          <w:sz w:val="24"/>
          <w:rtl/>
        </w:rPr>
        <w:t>המצב</w:t>
      </w:r>
      <w:r w:rsidRPr="00014C4D">
        <w:rPr>
          <w:b/>
          <w:bCs/>
          <w:sz w:val="24"/>
          <w:rtl/>
        </w:rPr>
        <w:t xml:space="preserve"> </w:t>
      </w:r>
      <w:r w:rsidRPr="00014C4D">
        <w:rPr>
          <w:rFonts w:hint="eastAsia"/>
          <w:b/>
          <w:bCs/>
          <w:sz w:val="24"/>
          <w:rtl/>
        </w:rPr>
        <w:t>של</w:t>
      </w:r>
      <w:r w:rsidRPr="00014C4D">
        <w:rPr>
          <w:b/>
          <w:bCs/>
          <w:sz w:val="24"/>
          <w:rtl/>
        </w:rPr>
        <w:t xml:space="preserve"> </w:t>
      </w:r>
      <w:r w:rsidRPr="00014C4D">
        <w:rPr>
          <w:rFonts w:hint="eastAsia"/>
          <w:b/>
          <w:bCs/>
          <w:sz w:val="24"/>
          <w:rtl/>
        </w:rPr>
        <w:t>המקלטים</w:t>
      </w:r>
      <w:r w:rsidRPr="00014C4D">
        <w:rPr>
          <w:b/>
          <w:bCs/>
          <w:sz w:val="24"/>
          <w:rtl/>
        </w:rPr>
        <w:t xml:space="preserve"> </w:t>
      </w:r>
      <w:r w:rsidRPr="00014C4D">
        <w:rPr>
          <w:rFonts w:hint="eastAsia"/>
          <w:b/>
          <w:bCs/>
          <w:sz w:val="24"/>
          <w:rtl/>
        </w:rPr>
        <w:t>ברשו</w:t>
      </w:r>
      <w:r w:rsidRPr="00014C4D">
        <w:rPr>
          <w:rFonts w:hint="cs"/>
          <w:b/>
          <w:bCs/>
          <w:sz w:val="24"/>
          <w:rtl/>
        </w:rPr>
        <w:t>יו</w:t>
      </w:r>
      <w:r w:rsidRPr="00014C4D">
        <w:rPr>
          <w:rFonts w:hint="eastAsia"/>
          <w:b/>
          <w:bCs/>
          <w:sz w:val="24"/>
          <w:rtl/>
        </w:rPr>
        <w:t>ת</w:t>
      </w:r>
      <w:r w:rsidRPr="00014C4D">
        <w:rPr>
          <w:rFonts w:ascii="David" w:hAnsi="David" w:hint="eastAsia"/>
          <w:b/>
          <w:bCs/>
          <w:sz w:val="24"/>
          <w:rtl/>
        </w:rPr>
        <w:t xml:space="preserve"> </w:t>
      </w:r>
      <w:r w:rsidRPr="00014C4D">
        <w:rPr>
          <w:rFonts w:ascii="David" w:hAnsi="David" w:hint="cs"/>
          <w:b/>
          <w:bCs/>
          <w:sz w:val="24"/>
          <w:rtl/>
        </w:rPr>
        <w:t xml:space="preserve">המקומיות שנבדקו </w:t>
      </w:r>
      <w:r w:rsidRPr="00014C4D">
        <w:rPr>
          <w:rFonts w:ascii="David" w:hAnsi="David" w:hint="eastAsia"/>
          <w:b/>
          <w:bCs/>
          <w:sz w:val="24"/>
          <w:rtl/>
        </w:rPr>
        <w:t>מומלץ</w:t>
      </w:r>
      <w:r w:rsidRPr="00014C4D">
        <w:rPr>
          <w:rFonts w:ascii="David" w:hAnsi="David"/>
          <w:b/>
          <w:bCs/>
          <w:sz w:val="24"/>
          <w:rtl/>
        </w:rPr>
        <w:t xml:space="preserve"> </w:t>
      </w:r>
      <w:r w:rsidRPr="00014C4D">
        <w:rPr>
          <w:rFonts w:ascii="David" w:hAnsi="David" w:hint="eastAsia"/>
          <w:b/>
          <w:bCs/>
          <w:sz w:val="24"/>
          <w:rtl/>
        </w:rPr>
        <w:t>כי</w:t>
      </w:r>
      <w:r w:rsidRPr="00014C4D">
        <w:rPr>
          <w:rFonts w:ascii="David" w:hAnsi="David"/>
          <w:b/>
          <w:bCs/>
          <w:sz w:val="24"/>
          <w:rtl/>
        </w:rPr>
        <w:t xml:space="preserve"> </w:t>
      </w:r>
      <w:r w:rsidRPr="00014C4D">
        <w:rPr>
          <w:rFonts w:ascii="David" w:hAnsi="David" w:hint="eastAsia"/>
          <w:b/>
          <w:bCs/>
          <w:sz w:val="24"/>
          <w:rtl/>
        </w:rPr>
        <w:t>עיריות</w:t>
      </w:r>
      <w:r w:rsidRPr="00014C4D">
        <w:rPr>
          <w:rFonts w:ascii="David" w:hAnsi="David"/>
          <w:b/>
          <w:bCs/>
          <w:sz w:val="24"/>
          <w:rtl/>
        </w:rPr>
        <w:t xml:space="preserve"> אשקלון </w:t>
      </w:r>
      <w:r w:rsidRPr="00014C4D">
        <w:rPr>
          <w:rFonts w:ascii="David" w:hAnsi="David" w:hint="eastAsia"/>
          <w:b/>
          <w:bCs/>
          <w:sz w:val="24"/>
          <w:rtl/>
        </w:rPr>
        <w:t>ו</w:t>
      </w:r>
      <w:r w:rsidRPr="00014C4D">
        <w:rPr>
          <w:rFonts w:ascii="David" w:hAnsi="David"/>
          <w:b/>
          <w:bCs/>
          <w:sz w:val="24"/>
          <w:rtl/>
        </w:rPr>
        <w:t>גבעתיים ו</w:t>
      </w:r>
      <w:r w:rsidRPr="00014C4D">
        <w:rPr>
          <w:rFonts w:ascii="David" w:hAnsi="David" w:hint="eastAsia"/>
          <w:b/>
          <w:bCs/>
          <w:sz w:val="24"/>
          <w:rtl/>
        </w:rPr>
        <w:t>המועצה</w:t>
      </w:r>
      <w:r w:rsidRPr="00014C4D">
        <w:rPr>
          <w:rFonts w:ascii="David" w:hAnsi="David"/>
          <w:b/>
          <w:bCs/>
          <w:sz w:val="24"/>
          <w:rtl/>
        </w:rPr>
        <w:t xml:space="preserve"> האזורית </w:t>
      </w:r>
      <w:r w:rsidRPr="00014C4D">
        <w:rPr>
          <w:rFonts w:ascii="David" w:hAnsi="David" w:hint="eastAsia"/>
          <w:b/>
          <w:bCs/>
          <w:sz w:val="24"/>
          <w:rtl/>
        </w:rPr>
        <w:t>הגלבוע</w:t>
      </w:r>
      <w:r w:rsidRPr="00014C4D">
        <w:rPr>
          <w:b/>
          <w:bCs/>
          <w:sz w:val="24"/>
          <w:rtl/>
        </w:rPr>
        <w:t xml:space="preserve"> </w:t>
      </w:r>
      <w:r w:rsidRPr="00014C4D">
        <w:rPr>
          <w:rFonts w:hint="cs"/>
          <w:b/>
          <w:bCs/>
          <w:sz w:val="24"/>
          <w:rtl/>
        </w:rPr>
        <w:t>יקיימו</w:t>
      </w:r>
      <w:r w:rsidRPr="00014C4D">
        <w:rPr>
          <w:b/>
          <w:bCs/>
          <w:sz w:val="24"/>
          <w:rtl/>
        </w:rPr>
        <w:t xml:space="preserve"> </w:t>
      </w:r>
      <w:r w:rsidRPr="00014C4D">
        <w:rPr>
          <w:rFonts w:hint="eastAsia"/>
          <w:b/>
          <w:bCs/>
          <w:sz w:val="24"/>
          <w:rtl/>
        </w:rPr>
        <w:t>בחינה</w:t>
      </w:r>
      <w:r w:rsidRPr="00014C4D">
        <w:rPr>
          <w:b/>
          <w:bCs/>
          <w:sz w:val="24"/>
          <w:rtl/>
        </w:rPr>
        <w:t xml:space="preserve"> </w:t>
      </w:r>
      <w:r w:rsidRPr="00014C4D">
        <w:rPr>
          <w:rFonts w:hint="eastAsia"/>
          <w:b/>
          <w:bCs/>
          <w:sz w:val="24"/>
          <w:rtl/>
        </w:rPr>
        <w:t>על</w:t>
      </w:r>
      <w:r w:rsidRPr="00014C4D">
        <w:rPr>
          <w:b/>
          <w:bCs/>
          <w:sz w:val="24"/>
          <w:rtl/>
        </w:rPr>
        <w:t xml:space="preserve"> </w:t>
      </w:r>
      <w:r w:rsidRPr="00014C4D">
        <w:rPr>
          <w:rFonts w:hint="eastAsia"/>
          <w:b/>
          <w:bCs/>
          <w:sz w:val="24"/>
          <w:rtl/>
        </w:rPr>
        <w:t>ההיקף</w:t>
      </w:r>
      <w:r w:rsidRPr="00014C4D">
        <w:rPr>
          <w:b/>
          <w:bCs/>
          <w:sz w:val="24"/>
          <w:rtl/>
        </w:rPr>
        <w:t xml:space="preserve"> </w:t>
      </w:r>
      <w:r w:rsidRPr="00014C4D">
        <w:rPr>
          <w:rFonts w:hint="eastAsia"/>
          <w:b/>
          <w:bCs/>
          <w:sz w:val="24"/>
          <w:rtl/>
        </w:rPr>
        <w:t>התקציבי</w:t>
      </w:r>
      <w:r w:rsidRPr="00014C4D">
        <w:rPr>
          <w:b/>
          <w:bCs/>
          <w:sz w:val="24"/>
          <w:rtl/>
        </w:rPr>
        <w:t xml:space="preserve"> </w:t>
      </w:r>
      <w:r w:rsidRPr="00014C4D">
        <w:rPr>
          <w:rFonts w:hint="eastAsia"/>
          <w:b/>
          <w:bCs/>
          <w:sz w:val="24"/>
          <w:rtl/>
        </w:rPr>
        <w:t>שמוקצה</w:t>
      </w:r>
      <w:r w:rsidRPr="00014C4D">
        <w:rPr>
          <w:b/>
          <w:bCs/>
          <w:sz w:val="24"/>
          <w:rtl/>
        </w:rPr>
        <w:t xml:space="preserve"> </w:t>
      </w:r>
      <w:r w:rsidRPr="00014C4D">
        <w:rPr>
          <w:rFonts w:hint="eastAsia"/>
          <w:b/>
          <w:bCs/>
          <w:sz w:val="24"/>
          <w:rtl/>
        </w:rPr>
        <w:t>לשיפוץ</w:t>
      </w:r>
      <w:r w:rsidRPr="00014C4D">
        <w:rPr>
          <w:b/>
          <w:bCs/>
          <w:sz w:val="24"/>
          <w:rtl/>
        </w:rPr>
        <w:t xml:space="preserve"> </w:t>
      </w:r>
      <w:r w:rsidRPr="00014C4D">
        <w:rPr>
          <w:rFonts w:hint="eastAsia"/>
          <w:b/>
          <w:bCs/>
          <w:rtl/>
        </w:rPr>
        <w:t>מקלטים</w:t>
      </w:r>
      <w:r w:rsidRPr="00014C4D">
        <w:rPr>
          <w:rFonts w:hint="cs"/>
          <w:b/>
          <w:bCs/>
          <w:sz w:val="24"/>
          <w:rtl/>
        </w:rPr>
        <w:t>.</w:t>
      </w:r>
    </w:p>
    <w:p w:rsidR="00014C4D" w:rsidRPr="00014C4D" w:rsidRDefault="00014C4D" w:rsidP="00014C4D">
      <w:pPr>
        <w:spacing w:line="269" w:lineRule="auto"/>
        <w:rPr>
          <w:rFonts w:ascii="David" w:hAnsi="David"/>
          <w:b/>
          <w:bCs/>
          <w:sz w:val="24"/>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bCs/>
          <w:szCs w:val="26"/>
          <w:rtl/>
        </w:rPr>
        <w:t xml:space="preserve">הוצאות </w:t>
      </w:r>
      <w:r w:rsidRPr="00014C4D">
        <w:rPr>
          <w:rFonts w:eastAsiaTheme="majorEastAsia" w:hint="cs"/>
          <w:bCs/>
          <w:szCs w:val="26"/>
          <w:rtl/>
        </w:rPr>
        <w:t>על</w:t>
      </w:r>
      <w:r w:rsidRPr="00014C4D">
        <w:rPr>
          <w:rFonts w:eastAsiaTheme="majorEastAsia"/>
          <w:bCs/>
          <w:szCs w:val="26"/>
          <w:rtl/>
        </w:rPr>
        <w:t xml:space="preserve"> </w:t>
      </w:r>
      <w:r w:rsidRPr="00014C4D">
        <w:rPr>
          <w:rFonts w:eastAsiaTheme="majorEastAsia" w:hint="cs"/>
          <w:bCs/>
          <w:szCs w:val="26"/>
          <w:rtl/>
        </w:rPr>
        <w:t>בנייה ושיפוץ של</w:t>
      </w:r>
      <w:r w:rsidRPr="00014C4D">
        <w:rPr>
          <w:rFonts w:eastAsiaTheme="majorEastAsia"/>
          <w:bCs/>
          <w:szCs w:val="26"/>
          <w:rtl/>
        </w:rPr>
        <w:t xml:space="preserve"> מקלטים ציבוריים ו</w:t>
      </w:r>
      <w:r w:rsidRPr="00014C4D">
        <w:rPr>
          <w:rFonts w:eastAsiaTheme="majorEastAsia" w:hint="cs"/>
          <w:bCs/>
          <w:szCs w:val="26"/>
          <w:rtl/>
        </w:rPr>
        <w:t xml:space="preserve">מרחבים מוגנים </w:t>
      </w:r>
      <w:r w:rsidRPr="00014C4D">
        <w:rPr>
          <w:rFonts w:eastAsiaTheme="majorEastAsia"/>
          <w:bCs/>
          <w:szCs w:val="26"/>
          <w:rtl/>
        </w:rPr>
        <w:t xml:space="preserve">בבתי הספר וגני </w:t>
      </w:r>
      <w:r w:rsidRPr="00014C4D">
        <w:rPr>
          <w:rFonts w:eastAsiaTheme="majorEastAsia" w:hint="cs"/>
          <w:bCs/>
          <w:szCs w:val="26"/>
          <w:rtl/>
        </w:rPr>
        <w:t>ה</w:t>
      </w:r>
      <w:r w:rsidRPr="00014C4D">
        <w:rPr>
          <w:rFonts w:eastAsiaTheme="majorEastAsia"/>
          <w:bCs/>
          <w:szCs w:val="26"/>
          <w:rtl/>
        </w:rPr>
        <w:t>ילדים</w:t>
      </w:r>
      <w:r w:rsidRPr="00014C4D">
        <w:rPr>
          <w:rFonts w:eastAsiaTheme="majorEastAsia" w:hint="cs"/>
          <w:bCs/>
          <w:szCs w:val="26"/>
          <w:rtl/>
        </w:rPr>
        <w:t xml:space="preserve"> לאחר תחילת המלחמה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sz w:val="24"/>
          <w:rtl/>
        </w:rPr>
      </w:pPr>
      <w:r w:rsidRPr="00014C4D">
        <w:rPr>
          <w:rFonts w:eastAsiaTheme="majorEastAsia" w:hint="eastAsia"/>
          <w:bCs/>
          <w:spacing w:val="40"/>
          <w:rtl/>
        </w:rPr>
        <w:t>עיריית</w:t>
      </w:r>
      <w:r w:rsidRPr="00014C4D">
        <w:rPr>
          <w:rFonts w:eastAsiaTheme="majorEastAsia"/>
          <w:bCs/>
          <w:spacing w:val="40"/>
          <w:rtl/>
        </w:rPr>
        <w:t xml:space="preserve"> </w:t>
      </w:r>
      <w:r w:rsidRPr="00014C4D">
        <w:rPr>
          <w:rFonts w:eastAsiaTheme="majorEastAsia" w:hint="eastAsia"/>
          <w:bCs/>
          <w:spacing w:val="40"/>
          <w:rtl/>
        </w:rPr>
        <w:t>אשקלון</w:t>
      </w:r>
      <w:r w:rsidRPr="00014C4D">
        <w:rPr>
          <w:rFonts w:eastAsiaTheme="majorEastAsia"/>
          <w:bCs/>
          <w:spacing w:val="40"/>
          <w:rtl/>
        </w:rPr>
        <w:t>:</w:t>
      </w:r>
      <w:r w:rsidRPr="00014C4D">
        <w:rPr>
          <w:rFonts w:ascii="David" w:hAnsi="David" w:hint="cs"/>
          <w:b/>
          <w:bCs/>
          <w:sz w:val="24"/>
          <w:rtl/>
        </w:rPr>
        <w:t xml:space="preserve"> </w:t>
      </w:r>
      <w:r w:rsidRPr="00014C4D">
        <w:rPr>
          <w:rFonts w:ascii="David" w:hAnsi="David" w:hint="cs"/>
          <w:sz w:val="24"/>
          <w:rtl/>
        </w:rPr>
        <w:t>בעקבות תחילת המלחמה הוציאה העירייה מתחילת אוקטובר 2023 ועד אוגוסט 2024 סכום כולל של כ-1.947 מיליון ש"ח עבור שיפוץ מקלטים ציבוריים ומיגוניות, מזה כ-325,000</w:t>
      </w:r>
      <w:r w:rsidRPr="00014C4D">
        <w:rPr>
          <w:rFonts w:ascii="David" w:hAnsi="David"/>
          <w:sz w:val="24"/>
          <w:vertAlign w:val="superscript"/>
          <w:rtl/>
        </w:rPr>
        <w:footnoteReference w:id="126"/>
      </w:r>
      <w:r w:rsidRPr="00014C4D">
        <w:rPr>
          <w:rFonts w:ascii="David" w:hAnsi="David" w:hint="cs"/>
          <w:sz w:val="24"/>
          <w:rtl/>
        </w:rPr>
        <w:t xml:space="preserve"> מסוף אוקטובר ועד דצמבר 2023</w:t>
      </w:r>
      <w:r w:rsidRPr="00014C4D">
        <w:rPr>
          <w:rFonts w:ascii="David" w:hAnsi="David"/>
          <w:sz w:val="24"/>
          <w:vertAlign w:val="superscript"/>
          <w:rtl/>
        </w:rPr>
        <w:footnoteReference w:id="127"/>
      </w:r>
      <w:r w:rsidRPr="00014C4D">
        <w:rPr>
          <w:rFonts w:ascii="David" w:hAnsi="David" w:hint="cs"/>
          <w:sz w:val="24"/>
          <w:rtl/>
        </w:rPr>
        <w:t>. סכומים אלה הם פי 4.6</w:t>
      </w:r>
      <w:r w:rsidRPr="00014C4D">
        <w:rPr>
          <w:rFonts w:ascii="David" w:hAnsi="David" w:hint="cs"/>
          <w:sz w:val="24"/>
        </w:rPr>
        <w:t xml:space="preserve"> </w:t>
      </w:r>
      <w:r w:rsidRPr="00014C4D">
        <w:rPr>
          <w:rFonts w:ascii="David" w:hAnsi="David" w:hint="cs"/>
          <w:sz w:val="24"/>
          <w:rtl/>
        </w:rPr>
        <w:t xml:space="preserve">מהעלות הממוצעת של שיפוץ המקלטים הציבוריים והמיגוניות (כ-417,000 ש"ח) מתחילת 2021 ועד סוף אוקטובר 2023.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eastAsiaTheme="majorEastAsia" w:hint="eastAsia"/>
          <w:bCs/>
          <w:spacing w:val="40"/>
          <w:rtl/>
        </w:rPr>
        <w:t>עיריית</w:t>
      </w:r>
      <w:r w:rsidRPr="00014C4D">
        <w:rPr>
          <w:rFonts w:eastAsiaTheme="majorEastAsia"/>
          <w:bCs/>
          <w:spacing w:val="40"/>
          <w:rtl/>
        </w:rPr>
        <w:t xml:space="preserve"> </w:t>
      </w:r>
      <w:r w:rsidRPr="00014C4D">
        <w:rPr>
          <w:rFonts w:eastAsiaTheme="majorEastAsia" w:hint="eastAsia"/>
          <w:bCs/>
          <w:spacing w:val="40"/>
          <w:rtl/>
        </w:rPr>
        <w:t>גבעתיים</w:t>
      </w:r>
      <w:r w:rsidRPr="00014C4D">
        <w:rPr>
          <w:rFonts w:eastAsiaTheme="majorEastAsia"/>
          <w:bCs/>
          <w:spacing w:val="40"/>
          <w:rtl/>
        </w:rPr>
        <w:t>:</w:t>
      </w:r>
      <w:r w:rsidRPr="00014C4D">
        <w:rPr>
          <w:rFonts w:ascii="David" w:hAnsi="David" w:hint="cs"/>
          <w:sz w:val="24"/>
          <w:rtl/>
        </w:rPr>
        <w:t xml:space="preserve"> מדצמבר 2023 עד יוני 2024 הוציאה עיריית גבעתיים סכום כולל של כ-59.</w:t>
      </w:r>
      <w:r w:rsidRPr="00014C4D">
        <w:rPr>
          <w:rtl/>
        </w:rPr>
        <w:t>4</w:t>
      </w:r>
      <w:r w:rsidRPr="00014C4D">
        <w:rPr>
          <w:rFonts w:ascii="David" w:hAnsi="David" w:hint="cs"/>
          <w:sz w:val="24"/>
          <w:rtl/>
        </w:rPr>
        <w:t xml:space="preserve"> מיליון ש"ח (מזה כ-1.4 מיליון ש"ח בדצמבר 2023 וכ-58 מיליון ש"ח מינואר עד יוני 2024. הסכום של 58 מיליון ש"ח כולל תקציב של כ-43 מיליון ש"ח ששוריין עבור בניית מרחבים מוגנים חדשים ושדרוג 50 בתי ספר וגני ילדים כלהלן: בניית מרחבים מוגנים חדשים במקום מרחבים מוגנים ישנים שלא עמדו בדרישות פקע</w:t>
      </w:r>
      <w:r w:rsidRPr="00014C4D">
        <w:rPr>
          <w:rFonts w:ascii="David" w:hAnsi="David"/>
          <w:sz w:val="24"/>
          <w:rtl/>
        </w:rPr>
        <w:t>"</w:t>
      </w:r>
      <w:r w:rsidRPr="00014C4D">
        <w:rPr>
          <w:rFonts w:ascii="David" w:hAnsi="David" w:hint="cs"/>
          <w:sz w:val="24"/>
          <w:rtl/>
        </w:rPr>
        <w:t>ר ב-12</w:t>
      </w:r>
      <w:r w:rsidRPr="00014C4D">
        <w:rPr>
          <w:rFonts w:hint="cs"/>
          <w:rtl/>
        </w:rPr>
        <w:t xml:space="preserve"> </w:t>
      </w:r>
      <w:r w:rsidRPr="00014C4D">
        <w:rPr>
          <w:rFonts w:ascii="David" w:hAnsi="David" w:hint="cs"/>
          <w:sz w:val="24"/>
          <w:rtl/>
        </w:rPr>
        <w:t xml:space="preserve">בתי ספר, בניית מרחבים מוגנים ב-20 גני ילדים שלא היה בהם מיגון תקני כלל ושדרוג מרחבים מוגנים ב-18 גני ילדים שהיה בהם מיגון תקני חלקי.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sz w:val="24"/>
          <w:rtl/>
        </w:rPr>
      </w:pPr>
      <w:r w:rsidRPr="00014C4D">
        <w:rPr>
          <w:rFonts w:eastAsiaTheme="majorEastAsia" w:hint="eastAsia"/>
          <w:bCs/>
          <w:spacing w:val="40"/>
          <w:rtl/>
        </w:rPr>
        <w:t>המועצה</w:t>
      </w:r>
      <w:r w:rsidRPr="00014C4D">
        <w:rPr>
          <w:rFonts w:eastAsiaTheme="majorEastAsia"/>
          <w:bCs/>
          <w:spacing w:val="40"/>
          <w:rtl/>
        </w:rPr>
        <w:t xml:space="preserve"> </w:t>
      </w:r>
      <w:r w:rsidRPr="00014C4D">
        <w:rPr>
          <w:rFonts w:eastAsiaTheme="majorEastAsia" w:hint="eastAsia"/>
          <w:bCs/>
          <w:spacing w:val="40"/>
          <w:rtl/>
        </w:rPr>
        <w:t>האזורית</w:t>
      </w:r>
      <w:r w:rsidRPr="00014C4D">
        <w:rPr>
          <w:rFonts w:eastAsiaTheme="majorEastAsia"/>
          <w:bCs/>
          <w:spacing w:val="40"/>
          <w:rtl/>
        </w:rPr>
        <w:t xml:space="preserve"> </w:t>
      </w:r>
      <w:r w:rsidRPr="00014C4D">
        <w:rPr>
          <w:rFonts w:eastAsiaTheme="majorEastAsia" w:hint="eastAsia"/>
          <w:bCs/>
          <w:spacing w:val="40"/>
          <w:rtl/>
        </w:rPr>
        <w:t>הגלבוע</w:t>
      </w:r>
      <w:r w:rsidRPr="00014C4D">
        <w:rPr>
          <w:rFonts w:eastAsiaTheme="majorEastAsia"/>
          <w:bCs/>
          <w:spacing w:val="40"/>
          <w:rtl/>
        </w:rPr>
        <w:t>:</w:t>
      </w:r>
      <w:r w:rsidRPr="00014C4D">
        <w:rPr>
          <w:rFonts w:ascii="David" w:hAnsi="David" w:hint="cs"/>
          <w:sz w:val="24"/>
          <w:rtl/>
        </w:rPr>
        <w:t xml:space="preserve"> בעקבות תחילת המלחמה הוציאה המועצה האזורית הגלבוע בתקופה שבין סוף אוקטובר 2023 ועד אפריל 2024 סך כולל של כ-1.793 מיליון ש"ח עבור מקלטים ציבוריים ומיגון, מזה: סך של כ-1.224 מיליון ש"ח עבור שיפוץ והשמשה של 170 מקלטים ציבוריים</w:t>
      </w:r>
      <w:r w:rsidRPr="00014C4D">
        <w:rPr>
          <w:rFonts w:ascii="David" w:hAnsi="David"/>
          <w:sz w:val="24"/>
          <w:vertAlign w:val="superscript"/>
          <w:rtl/>
        </w:rPr>
        <w:footnoteReference w:id="128"/>
      </w:r>
      <w:r w:rsidRPr="00014C4D">
        <w:rPr>
          <w:rFonts w:ascii="David" w:hAnsi="David" w:hint="cs"/>
          <w:sz w:val="24"/>
          <w:rtl/>
        </w:rPr>
        <w:t xml:space="preserve"> בתקופה שבין סוף אוקטובר ועד דצמבר 2023</w:t>
      </w:r>
      <w:r w:rsidRPr="00014C4D">
        <w:rPr>
          <w:rFonts w:ascii="David" w:hAnsi="David"/>
          <w:sz w:val="24"/>
          <w:vertAlign w:val="superscript"/>
          <w:rtl/>
        </w:rPr>
        <w:footnoteReference w:id="129"/>
      </w:r>
      <w:r w:rsidRPr="00014C4D">
        <w:rPr>
          <w:rFonts w:ascii="David" w:hAnsi="David" w:hint="cs"/>
          <w:sz w:val="24"/>
          <w:rtl/>
        </w:rPr>
        <w:t xml:space="preserve">, וסך כ-569,000 ש"ח בתקופה שבין סוף אוקטובר 2023 </w:t>
      </w:r>
      <w:r w:rsidRPr="00014C4D">
        <w:rPr>
          <w:rFonts w:ascii="David" w:hAnsi="David" w:hint="cs"/>
          <w:sz w:val="24"/>
          <w:rtl/>
        </w:rPr>
        <w:lastRenderedPageBreak/>
        <w:t>ועד אפריל 2024</w:t>
      </w:r>
      <w:r w:rsidRPr="00014C4D">
        <w:rPr>
          <w:rFonts w:ascii="David" w:hAnsi="David"/>
          <w:sz w:val="24"/>
          <w:vertAlign w:val="superscript"/>
          <w:rtl/>
        </w:rPr>
        <w:footnoteReference w:id="130"/>
      </w:r>
      <w:r w:rsidRPr="00014C4D">
        <w:rPr>
          <w:rFonts w:ascii="David" w:hAnsi="David" w:hint="cs"/>
          <w:sz w:val="24"/>
          <w:rtl/>
        </w:rPr>
        <w:t xml:space="preserve"> עבור רכישת 26 צינורות מיגון ל-15 יישובים. סכומים אלה היוו פ עשרה מעלות השיפוץ הממוצעת של המקלטים הציבוריים (כ-176,000 ש"ח) שהייתה בשנים 2021 ועד סוף אוקטובר 2023.</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eastAsiaTheme="majorEastAsia" w:hint="eastAsia"/>
          <w:bCs/>
          <w:spacing w:val="40"/>
          <w:rtl/>
        </w:rPr>
        <w:t>עיריית</w:t>
      </w:r>
      <w:r w:rsidRPr="00014C4D">
        <w:rPr>
          <w:rFonts w:eastAsiaTheme="majorEastAsia"/>
          <w:bCs/>
          <w:spacing w:val="40"/>
          <w:rtl/>
        </w:rPr>
        <w:t xml:space="preserve"> </w:t>
      </w:r>
      <w:r w:rsidRPr="00014C4D">
        <w:rPr>
          <w:rFonts w:eastAsiaTheme="majorEastAsia" w:hint="eastAsia"/>
          <w:bCs/>
          <w:spacing w:val="40"/>
          <w:rtl/>
        </w:rPr>
        <w:t>חולון</w:t>
      </w:r>
      <w:r w:rsidRPr="00014C4D">
        <w:rPr>
          <w:rFonts w:eastAsiaTheme="majorEastAsia"/>
          <w:bCs/>
          <w:spacing w:val="40"/>
          <w:rtl/>
        </w:rPr>
        <w:t>:</w:t>
      </w:r>
      <w:r w:rsidRPr="00014C4D">
        <w:rPr>
          <w:rFonts w:eastAsiaTheme="majorEastAsia" w:hint="cs"/>
          <w:bCs/>
          <w:spacing w:val="40"/>
          <w:rtl/>
        </w:rPr>
        <w:t xml:space="preserve"> </w:t>
      </w:r>
      <w:r w:rsidRPr="00014C4D">
        <w:rPr>
          <w:rFonts w:hint="cs"/>
          <w:rtl/>
        </w:rPr>
        <w:t>לאחר תחילת המלחמה</w:t>
      </w:r>
      <w:r w:rsidRPr="00014C4D">
        <w:rPr>
          <w:rFonts w:ascii="David" w:hAnsi="David"/>
          <w:sz w:val="24"/>
          <w:vertAlign w:val="superscript"/>
          <w:rtl/>
        </w:rPr>
        <w:footnoteReference w:id="131"/>
      </w:r>
      <w:r w:rsidRPr="00014C4D">
        <w:rPr>
          <w:rFonts w:hint="cs"/>
          <w:rtl/>
        </w:rPr>
        <w:t xml:space="preserve"> הוציאה עיריית חולון בתקופה שבין נובמבר 2023 ועד יולי 2024 סכום כולל של כ-12.284 מיליון ש"ח</w:t>
      </w:r>
      <w:r w:rsidRPr="00014C4D">
        <w:rPr>
          <w:rFonts w:ascii="David" w:hAnsi="David"/>
          <w:sz w:val="24"/>
          <w:vertAlign w:val="superscript"/>
          <w:rtl/>
        </w:rPr>
        <w:footnoteReference w:id="132"/>
      </w:r>
      <w:r w:rsidRPr="00014C4D">
        <w:rPr>
          <w:rFonts w:hint="cs"/>
          <w:rtl/>
        </w:rPr>
        <w:t xml:space="preserve"> עבור בניית מרחבים מוגנים ב-22 בתי ספר וגני ילדים שלא היה בהם מיגון תקני כלל, ובעיקר שיפוץ ב-12 מהם.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eastAsia"/>
          <w:bCs/>
          <w:spacing w:val="40"/>
          <w:rtl/>
        </w:rPr>
        <w:t>המועצה</w:t>
      </w:r>
      <w:r w:rsidRPr="00014C4D">
        <w:rPr>
          <w:rFonts w:eastAsiaTheme="majorEastAsia"/>
          <w:bCs/>
          <w:spacing w:val="40"/>
          <w:rtl/>
        </w:rPr>
        <w:t xml:space="preserve"> </w:t>
      </w:r>
      <w:r w:rsidRPr="00014C4D">
        <w:rPr>
          <w:rFonts w:eastAsiaTheme="majorEastAsia" w:hint="eastAsia"/>
          <w:bCs/>
          <w:spacing w:val="40"/>
          <w:rtl/>
        </w:rPr>
        <w:t>המקומית</w:t>
      </w:r>
      <w:r w:rsidRPr="00014C4D">
        <w:rPr>
          <w:rFonts w:eastAsiaTheme="majorEastAsia"/>
          <w:bCs/>
          <w:spacing w:val="40"/>
          <w:rtl/>
        </w:rPr>
        <w:t xml:space="preserve"> </w:t>
      </w:r>
      <w:r w:rsidRPr="00014C4D">
        <w:rPr>
          <w:rFonts w:eastAsiaTheme="majorEastAsia" w:hint="eastAsia"/>
          <w:bCs/>
          <w:spacing w:val="40"/>
          <w:rtl/>
        </w:rPr>
        <w:t>ב</w:t>
      </w:r>
      <w:r w:rsidRPr="00014C4D">
        <w:rPr>
          <w:rFonts w:eastAsiaTheme="majorEastAsia" w:hint="cs"/>
          <w:bCs/>
          <w:spacing w:val="40"/>
          <w:rtl/>
        </w:rPr>
        <w:t>י</w:t>
      </w:r>
      <w:r w:rsidRPr="00014C4D">
        <w:rPr>
          <w:rFonts w:eastAsiaTheme="majorEastAsia" w:hint="eastAsia"/>
          <w:bCs/>
          <w:spacing w:val="40"/>
          <w:rtl/>
        </w:rPr>
        <w:t>ענה</w:t>
      </w:r>
      <w:r w:rsidRPr="00014C4D">
        <w:rPr>
          <w:rFonts w:eastAsiaTheme="majorEastAsia"/>
          <w:bCs/>
          <w:spacing w:val="40"/>
          <w:rtl/>
        </w:rPr>
        <w:t>:</w:t>
      </w:r>
      <w:r w:rsidRPr="00014C4D">
        <w:rPr>
          <w:rFonts w:hint="cs"/>
          <w:rtl/>
        </w:rPr>
        <w:t xml:space="preserve"> כאמור המועצה לא בנתה מרחבים מוגנים בבתי ספר ובגני ילדים לאחר תחילת המלחמה.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Fonts w:ascii="David" w:hAnsi="David"/>
          <w:b/>
          <w:bCs/>
          <w:sz w:val="24"/>
          <w:rtl/>
        </w:rPr>
      </w:pPr>
      <w:r w:rsidRPr="00014C4D">
        <w:rPr>
          <w:rFonts w:ascii="David" w:hAnsi="David" w:hint="cs"/>
          <w:b/>
          <w:bCs/>
          <w:sz w:val="24"/>
          <w:rtl/>
        </w:rPr>
        <w:t>עולה כי עיריית אשקלון והמועצה האזורית הגלבוע השקיעו, מתחילת 2021 עד תחילת המלחמה באוקטובר 2023, סכומים נמוכים בתחזוקה ובשיפוץ של מקלטים ציבורים ומקלטים במוסדות חינוך שהסתכמו ב-417,000 ו-176,000 ש"ח בממוצע לשנה בהתאמה, ורק לאחר תחילת המלחמה הגדילו את ההשקעות - ל-</w:t>
      </w:r>
      <w:r w:rsidRPr="00014C4D">
        <w:rPr>
          <w:rFonts w:ascii="David" w:hAnsi="David"/>
          <w:b/>
          <w:bCs/>
          <w:sz w:val="24"/>
          <w:rtl/>
        </w:rPr>
        <w:t>1</w:t>
      </w:r>
      <w:r w:rsidRPr="00014C4D">
        <w:rPr>
          <w:rFonts w:ascii="David" w:hAnsi="David" w:hint="cs"/>
          <w:b/>
          <w:bCs/>
          <w:sz w:val="24"/>
          <w:rtl/>
        </w:rPr>
        <w:t>.</w:t>
      </w:r>
      <w:r w:rsidRPr="00014C4D">
        <w:rPr>
          <w:rFonts w:ascii="David" w:hAnsi="David"/>
          <w:b/>
          <w:bCs/>
          <w:sz w:val="24"/>
          <w:rtl/>
        </w:rPr>
        <w:t xml:space="preserve">947 </w:t>
      </w:r>
      <w:r w:rsidRPr="00014C4D">
        <w:rPr>
          <w:rFonts w:ascii="David" w:hAnsi="David" w:hint="eastAsia"/>
          <w:b/>
          <w:bCs/>
          <w:sz w:val="24"/>
          <w:rtl/>
        </w:rPr>
        <w:t>ו</w:t>
      </w:r>
      <w:r w:rsidRPr="00014C4D">
        <w:rPr>
          <w:rFonts w:ascii="David" w:hAnsi="David"/>
          <w:b/>
          <w:bCs/>
          <w:sz w:val="24"/>
          <w:rtl/>
        </w:rPr>
        <w:t>-1</w:t>
      </w:r>
      <w:r w:rsidRPr="00014C4D">
        <w:rPr>
          <w:rFonts w:ascii="David" w:hAnsi="David" w:hint="cs"/>
          <w:b/>
          <w:bCs/>
          <w:sz w:val="24"/>
          <w:rtl/>
        </w:rPr>
        <w:t>.</w:t>
      </w:r>
      <w:r w:rsidRPr="00014C4D">
        <w:rPr>
          <w:rFonts w:ascii="David" w:hAnsi="David"/>
          <w:b/>
          <w:bCs/>
          <w:sz w:val="24"/>
          <w:rtl/>
        </w:rPr>
        <w:t>793</w:t>
      </w:r>
      <w:r w:rsidRPr="00014C4D">
        <w:rPr>
          <w:rFonts w:ascii="David" w:hAnsi="David"/>
          <w:b/>
          <w:bCs/>
          <w:sz w:val="24"/>
          <w:vertAlign w:val="superscript"/>
          <w:rtl/>
        </w:rPr>
        <w:footnoteReference w:id="133"/>
      </w:r>
      <w:r w:rsidRPr="00014C4D">
        <w:rPr>
          <w:rFonts w:ascii="David" w:hAnsi="David"/>
          <w:b/>
          <w:bCs/>
          <w:sz w:val="24"/>
          <w:rtl/>
        </w:rPr>
        <w:t xml:space="preserve"> </w:t>
      </w:r>
      <w:r w:rsidRPr="00014C4D">
        <w:rPr>
          <w:rFonts w:ascii="David" w:hAnsi="David" w:hint="cs"/>
          <w:b/>
          <w:bCs/>
          <w:sz w:val="24"/>
          <w:rtl/>
        </w:rPr>
        <w:t xml:space="preserve">מיליון </w:t>
      </w:r>
      <w:r w:rsidRPr="00014C4D">
        <w:rPr>
          <w:rFonts w:ascii="David" w:hAnsi="David" w:hint="eastAsia"/>
          <w:b/>
          <w:bCs/>
          <w:sz w:val="24"/>
          <w:rtl/>
        </w:rPr>
        <w:t>ש</w:t>
      </w:r>
      <w:r w:rsidRPr="00014C4D">
        <w:rPr>
          <w:rFonts w:ascii="David" w:hAnsi="David"/>
          <w:b/>
          <w:bCs/>
          <w:sz w:val="24"/>
          <w:rtl/>
        </w:rPr>
        <w:t>"ח</w:t>
      </w:r>
      <w:r w:rsidRPr="00014C4D">
        <w:rPr>
          <w:rFonts w:ascii="David" w:hAnsi="David" w:hint="cs"/>
          <w:b/>
          <w:bCs/>
          <w:sz w:val="24"/>
          <w:rtl/>
        </w:rPr>
        <w:t xml:space="preserve">, שהם </w:t>
      </w:r>
      <w:r w:rsidRPr="00014C4D">
        <w:rPr>
          <w:rFonts w:ascii="David" w:hAnsi="David" w:hint="eastAsia"/>
          <w:b/>
          <w:bCs/>
          <w:sz w:val="24"/>
          <w:rtl/>
        </w:rPr>
        <w:t>פי</w:t>
      </w:r>
      <w:r w:rsidRPr="00014C4D">
        <w:rPr>
          <w:rFonts w:ascii="David" w:hAnsi="David"/>
          <w:b/>
          <w:bCs/>
          <w:sz w:val="24"/>
          <w:rtl/>
        </w:rPr>
        <w:t xml:space="preserve"> 4.6 </w:t>
      </w:r>
      <w:r w:rsidRPr="00014C4D">
        <w:rPr>
          <w:rFonts w:ascii="David" w:hAnsi="David" w:hint="eastAsia"/>
          <w:b/>
          <w:bCs/>
          <w:sz w:val="24"/>
          <w:rtl/>
        </w:rPr>
        <w:t>ופי</w:t>
      </w:r>
      <w:r w:rsidRPr="00014C4D">
        <w:rPr>
          <w:rFonts w:ascii="David" w:hAnsi="David"/>
          <w:b/>
          <w:bCs/>
          <w:sz w:val="24"/>
          <w:rtl/>
        </w:rPr>
        <w:t xml:space="preserve"> 10 </w:t>
      </w:r>
      <w:r w:rsidRPr="00014C4D">
        <w:rPr>
          <w:rFonts w:ascii="David" w:hAnsi="David" w:hint="eastAsia"/>
          <w:b/>
          <w:bCs/>
          <w:sz w:val="24"/>
          <w:rtl/>
        </w:rPr>
        <w:t>בהתאמה</w:t>
      </w:r>
      <w:r w:rsidRPr="00014C4D">
        <w:rPr>
          <w:rFonts w:ascii="David" w:hAnsi="David" w:hint="cs"/>
          <w:b/>
          <w:bCs/>
          <w:sz w:val="24"/>
          <w:rtl/>
        </w:rPr>
        <w:t>; עיריית גבעתיים השקיעה מתחילת 2021 עד תחילת המלחמה באוקטובר 2023 סכומים מעטים</w:t>
      </w:r>
      <w:r w:rsidRPr="00014C4D">
        <w:rPr>
          <w:rFonts w:ascii="David" w:hAnsi="David"/>
          <w:b/>
          <w:bCs/>
          <w:sz w:val="24"/>
          <w:vertAlign w:val="superscript"/>
          <w:rtl/>
        </w:rPr>
        <w:footnoteReference w:id="134"/>
      </w:r>
      <w:r w:rsidRPr="00014C4D">
        <w:rPr>
          <w:rFonts w:ascii="David" w:hAnsi="David" w:hint="cs"/>
          <w:b/>
          <w:bCs/>
          <w:sz w:val="24"/>
          <w:rtl/>
        </w:rPr>
        <w:t>; עיריית חולון לא השקיעה בתקופה זו בשיפוץ מרחבי מיגון בבתי ספר ובגני ילדים אלא בתחזוקה בלבד. רק לאחר תחילת המלחמה השקיעו עיריות גבעתיים וחולון 59.4 ו-12.284 מיליון ש"ח בהתאמה בבניית ושדרוג מרחבי מיגון בגני ילדים ובתי ספר.</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על עיריות אשקלון, גבעתיים וחולון והמועצה האזורית הגלבוע לתחזק את המקלטים הציבוריים והמקלטים במוסדות החינוך ולבצע שיפוצים באופן שוטף כדי שהמקלטים יהיו מוכנים באופן המיטבי לעת מלחמה. מומלץ לגבש תוכנית רב-שנתית לתחזוקת המקלטים כדי להיערך כראוי למצבי חירום מבעוד מועד, ולפעול ליישומה. </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החלטות הממשלה 4865, 1278 ו-852 לסיוע במיגון העיר אשקלון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ממשלת ישראל קבלה שלוש החלטות לסיוע במיגון העיר אשקלון:</w:t>
      </w:r>
    </w:p>
    <w:p w:rsidR="00014C4D" w:rsidRPr="00014C4D" w:rsidRDefault="00014C4D" w:rsidP="00014C4D">
      <w:pPr>
        <w:spacing w:line="269" w:lineRule="auto"/>
        <w:ind w:left="-567"/>
        <w:rPr>
          <w:szCs w:val="20"/>
          <w:rtl/>
        </w:rPr>
      </w:pPr>
    </w:p>
    <w:p w:rsidR="00014C4D" w:rsidRPr="00014C4D" w:rsidRDefault="00014C4D" w:rsidP="00014C4D">
      <w:pPr>
        <w:numPr>
          <w:ilvl w:val="0"/>
          <w:numId w:val="32"/>
        </w:numPr>
        <w:tabs>
          <w:tab w:val="left" w:pos="424"/>
        </w:tabs>
        <w:spacing w:line="269" w:lineRule="auto"/>
        <w:ind w:left="312"/>
        <w:contextualSpacing/>
        <w:rPr>
          <w:rFonts w:ascii="David" w:hAnsi="David"/>
        </w:rPr>
      </w:pPr>
      <w:r w:rsidRPr="00014C4D">
        <w:rPr>
          <w:rFonts w:hint="cs"/>
          <w:rtl/>
        </w:rPr>
        <w:t>ב</w:t>
      </w:r>
      <w:r w:rsidRPr="00014C4D">
        <w:rPr>
          <w:rFonts w:ascii="David" w:hAnsi="David" w:hint="cs"/>
          <w:rtl/>
        </w:rPr>
        <w:t>החלטה 4865 מפברואר 2020 נקבע כי משרד האוצר יקצה 500,000 ש"ח באמצעות משרד העבודה, הרווחה והשירותים החברתיים</w:t>
      </w:r>
      <w:r w:rsidRPr="00014C4D">
        <w:rPr>
          <w:rFonts w:ascii="David" w:hAnsi="David"/>
          <w:vertAlign w:val="superscript"/>
          <w:rtl/>
        </w:rPr>
        <w:footnoteReference w:id="135"/>
      </w:r>
      <w:r w:rsidRPr="00014C4D">
        <w:rPr>
          <w:rFonts w:ascii="David" w:hAnsi="David" w:hint="cs"/>
          <w:rtl/>
        </w:rPr>
        <w:t xml:space="preserve"> (להלן - משרד הרווחה) ו-9 מיליון ש"ח באמצעות משרד הפנים </w:t>
      </w:r>
      <w:r w:rsidRPr="00014C4D">
        <w:rPr>
          <w:rFonts w:ascii="David" w:hAnsi="David" w:hint="cs"/>
          <w:rtl/>
        </w:rPr>
        <w:lastRenderedPageBreak/>
        <w:t xml:space="preserve">שחלקם ייועד למיגון וחלקם לצרכים אחרים (בהחלטת הממשלה האמורה לא צוין הסכום שיוקצה לכל מטרה). </w:t>
      </w:r>
    </w:p>
    <w:p w:rsidR="00014C4D" w:rsidRPr="00014C4D" w:rsidRDefault="00014C4D" w:rsidP="00014C4D">
      <w:pPr>
        <w:tabs>
          <w:tab w:val="left" w:pos="424"/>
        </w:tabs>
        <w:spacing w:line="269" w:lineRule="auto"/>
        <w:ind w:left="312"/>
        <w:contextualSpacing/>
        <w:rPr>
          <w:rFonts w:ascii="David" w:hAnsi="David"/>
          <w:rtl/>
        </w:rPr>
      </w:pPr>
    </w:p>
    <w:p w:rsidR="00014C4D" w:rsidRPr="00014C4D" w:rsidRDefault="00014C4D" w:rsidP="00014C4D">
      <w:pPr>
        <w:numPr>
          <w:ilvl w:val="0"/>
          <w:numId w:val="32"/>
        </w:numPr>
        <w:tabs>
          <w:tab w:val="left" w:pos="424"/>
        </w:tabs>
        <w:spacing w:line="269" w:lineRule="auto"/>
        <w:ind w:left="312"/>
        <w:contextualSpacing/>
        <w:rPr>
          <w:rFonts w:ascii="David" w:hAnsi="David"/>
          <w:color w:val="FF0000"/>
          <w:rtl/>
        </w:rPr>
      </w:pPr>
      <w:r w:rsidRPr="00014C4D">
        <w:rPr>
          <w:rFonts w:ascii="David" w:hAnsi="David" w:hint="cs"/>
          <w:rtl/>
        </w:rPr>
        <w:t>בהחלטה 1278 ממרץ 2022 נקבע כי בשנת 2022 יוקצו 21 מיליון ש"ח למטרות מיגון דירתי ומיגון מבני ציבור כלהלן: משרד האוצר יקצה 9 מיליון ש"ח באמצעות המשרד לפיתוח הפריפריה, הנגב והגליל</w:t>
      </w:r>
      <w:r w:rsidRPr="00014C4D">
        <w:rPr>
          <w:rFonts w:ascii="David" w:hAnsi="David"/>
          <w:vertAlign w:val="superscript"/>
          <w:rtl/>
        </w:rPr>
        <w:footnoteReference w:id="136"/>
      </w:r>
      <w:r w:rsidRPr="00014C4D">
        <w:rPr>
          <w:rFonts w:ascii="David" w:hAnsi="David" w:hint="cs"/>
          <w:rtl/>
        </w:rPr>
        <w:t xml:space="preserve"> ו-1.5 מיליון ש"ח באמצעות משרד הפנים; 2 מיליון ש"ח יוקצו ממקורות המשרד לשירותי דת; ומשרד הביטחון יקצה 8.5 מיליון ש"ח מתקציב ייעודי שהועמד בסעיף "הוצאות חירום אזרחיות" בתקציב המדינה. </w:t>
      </w:r>
    </w:p>
    <w:p w:rsidR="00014C4D" w:rsidRPr="00014C4D" w:rsidRDefault="00014C4D" w:rsidP="00014C4D">
      <w:pPr>
        <w:spacing w:line="269" w:lineRule="auto"/>
        <w:ind w:left="-567"/>
        <w:rPr>
          <w:szCs w:val="20"/>
          <w:rtl/>
        </w:rPr>
      </w:pPr>
    </w:p>
    <w:p w:rsidR="00014C4D" w:rsidRPr="00014C4D" w:rsidRDefault="00014C4D" w:rsidP="00014C4D">
      <w:pPr>
        <w:numPr>
          <w:ilvl w:val="0"/>
          <w:numId w:val="32"/>
        </w:numPr>
        <w:tabs>
          <w:tab w:val="left" w:pos="424"/>
        </w:tabs>
        <w:spacing w:line="269" w:lineRule="auto"/>
        <w:ind w:left="312"/>
        <w:contextualSpacing/>
        <w:rPr>
          <w:rFonts w:ascii="David" w:hAnsi="David"/>
          <w:rtl/>
        </w:rPr>
      </w:pPr>
      <w:r w:rsidRPr="00014C4D">
        <w:rPr>
          <w:rFonts w:hint="cs"/>
          <w:rtl/>
        </w:rPr>
        <w:t>ב</w:t>
      </w:r>
      <w:r w:rsidRPr="00014C4D">
        <w:rPr>
          <w:rFonts w:ascii="David" w:hAnsi="David" w:hint="cs"/>
          <w:rtl/>
        </w:rPr>
        <w:t>החלטה 852 מסוף יולי 2023 נקבע כי משרד הפנים יקצה סכום כולל של עד 8 מיליון ש"ח בפריסה שווה על פני השנים 2023 - 2024 למטרות שיפוץ ושדרוג של המקלטים הציבוריים באשקלון שאינם תקינים ומוכנים לשימוש מיידי בשעת חירום.</w:t>
      </w:r>
    </w:p>
    <w:p w:rsidR="00014C4D" w:rsidRPr="00014C4D" w:rsidRDefault="00014C4D" w:rsidP="00014C4D">
      <w:pPr>
        <w:spacing w:line="269" w:lineRule="auto"/>
        <w:ind w:left="-567"/>
        <w:rPr>
          <w:szCs w:val="20"/>
          <w:rtl/>
        </w:rPr>
      </w:pPr>
    </w:p>
    <w:p w:rsidR="00014C4D" w:rsidRPr="00014C4D" w:rsidRDefault="00014C4D" w:rsidP="00014C4D">
      <w:pPr>
        <w:keepNext/>
        <w:keepLines/>
        <w:tabs>
          <w:tab w:val="left" w:pos="424"/>
        </w:tabs>
        <w:spacing w:line="269" w:lineRule="auto"/>
        <w:jc w:val="center"/>
        <w:rPr>
          <w:rFonts w:ascii="David" w:hAnsi="David"/>
          <w:b/>
          <w:bCs/>
          <w:rtl/>
        </w:rPr>
      </w:pPr>
      <w:r w:rsidRPr="00014C4D">
        <w:rPr>
          <w:rFonts w:ascii="David" w:hAnsi="David" w:hint="cs"/>
          <w:rtl/>
        </w:rPr>
        <w:t xml:space="preserve">לוח 15: </w:t>
      </w:r>
      <w:r w:rsidRPr="00014C4D">
        <w:rPr>
          <w:rFonts w:ascii="David" w:hAnsi="David" w:hint="cs"/>
          <w:b/>
          <w:bCs/>
          <w:rtl/>
        </w:rPr>
        <w:t>ריכוז התקציבים שנקבעו לעיריית אשקלון בהחלטות הממשלה ושהקצו לה משרדי הממשלה, 2020 - 2023 (במיליוני ש"ח)</w:t>
      </w:r>
    </w:p>
    <w:tbl>
      <w:tblPr>
        <w:bidiVisual/>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0"/>
        <w:gridCol w:w="919"/>
        <w:gridCol w:w="1101"/>
        <w:gridCol w:w="975"/>
        <w:gridCol w:w="1007"/>
        <w:gridCol w:w="903"/>
        <w:gridCol w:w="975"/>
        <w:gridCol w:w="831"/>
        <w:gridCol w:w="726"/>
      </w:tblGrid>
      <w:tr w:rsidR="00014C4D" w:rsidRPr="00014C4D" w:rsidTr="00014C4D">
        <w:trPr>
          <w:trHeight w:val="1244"/>
          <w:tblHeader/>
          <w:jc w:val="center"/>
        </w:trPr>
        <w:tc>
          <w:tcPr>
            <w:tcW w:w="1630"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מטרות התקציב</w:t>
            </w:r>
          </w:p>
          <w:p w:rsidR="00014C4D" w:rsidRPr="00014C4D" w:rsidRDefault="00014C4D" w:rsidP="00014C4D">
            <w:pPr>
              <w:spacing w:line="269" w:lineRule="auto"/>
              <w:jc w:val="center"/>
              <w:rPr>
                <w:rFonts w:ascii="David" w:eastAsia="Times New Roman" w:hAnsi="David"/>
                <w:b/>
                <w:bCs/>
                <w:color w:val="000000"/>
                <w:szCs w:val="20"/>
                <w:rtl/>
              </w:rPr>
            </w:pPr>
          </w:p>
        </w:tc>
        <w:tc>
          <w:tcPr>
            <w:tcW w:w="919"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b/>
                <w:bCs/>
                <w:color w:val="000000"/>
                <w:szCs w:val="20"/>
                <w:rtl/>
              </w:rPr>
              <w:t xml:space="preserve">התקציב שנקבע </w:t>
            </w:r>
            <w:r w:rsidRPr="00014C4D">
              <w:rPr>
                <w:rFonts w:ascii="David" w:eastAsia="Times New Roman" w:hAnsi="David" w:hint="cs"/>
                <w:b/>
                <w:bCs/>
                <w:color w:val="000000"/>
                <w:szCs w:val="20"/>
                <w:rtl/>
              </w:rPr>
              <w:t>ב</w:t>
            </w:r>
            <w:r w:rsidRPr="00014C4D">
              <w:rPr>
                <w:rFonts w:ascii="David" w:eastAsia="Times New Roman" w:hAnsi="David"/>
                <w:b/>
                <w:bCs/>
                <w:color w:val="000000"/>
                <w:szCs w:val="20"/>
                <w:rtl/>
              </w:rPr>
              <w:t xml:space="preserve">החלטות הממשלה </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(1)</w:t>
            </w:r>
          </w:p>
        </w:tc>
        <w:tc>
          <w:tcPr>
            <w:tcW w:w="1101"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b/>
                <w:bCs/>
                <w:color w:val="000000"/>
                <w:szCs w:val="20"/>
                <w:rtl/>
              </w:rPr>
              <w:t xml:space="preserve">המשרד </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b/>
                <w:bCs/>
                <w:color w:val="000000"/>
                <w:szCs w:val="20"/>
                <w:rtl/>
              </w:rPr>
              <w:t>הממשלתי</w:t>
            </w:r>
          </w:p>
          <w:p w:rsidR="00014C4D" w:rsidRPr="00014C4D" w:rsidRDefault="00014C4D" w:rsidP="00014C4D">
            <w:pPr>
              <w:spacing w:line="269" w:lineRule="auto"/>
              <w:jc w:val="center"/>
              <w:rPr>
                <w:rFonts w:ascii="David" w:eastAsia="Times New Roman" w:hAnsi="David"/>
                <w:b/>
                <w:bCs/>
                <w:color w:val="000000"/>
                <w:szCs w:val="20"/>
                <w:rtl/>
              </w:rPr>
            </w:pPr>
          </w:p>
        </w:tc>
        <w:tc>
          <w:tcPr>
            <w:tcW w:w="975"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b/>
                <w:bCs/>
                <w:color w:val="000000"/>
                <w:szCs w:val="20"/>
                <w:rtl/>
              </w:rPr>
              <w:t xml:space="preserve">התקציב שקבע המשרד הממשלתי </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(2)</w:t>
            </w:r>
          </w:p>
        </w:tc>
        <w:tc>
          <w:tcPr>
            <w:tcW w:w="1007"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b/>
                <w:bCs/>
                <w:color w:val="000000"/>
                <w:szCs w:val="20"/>
                <w:rtl/>
              </w:rPr>
              <w:t xml:space="preserve">שיעור </w:t>
            </w:r>
            <w:r w:rsidRPr="00014C4D">
              <w:rPr>
                <w:rFonts w:ascii="David" w:eastAsia="Times New Roman" w:hAnsi="David" w:hint="cs"/>
                <w:b/>
                <w:bCs/>
                <w:color w:val="000000"/>
                <w:szCs w:val="20"/>
                <w:rtl/>
              </w:rPr>
              <w:t>התקציב</w:t>
            </w:r>
            <w:r w:rsidRPr="00014C4D">
              <w:rPr>
                <w:rFonts w:ascii="David" w:eastAsia="Times New Roman" w:hAnsi="David"/>
                <w:b/>
                <w:bCs/>
                <w:color w:val="000000"/>
                <w:szCs w:val="20"/>
                <w:rtl/>
              </w:rPr>
              <w:t xml:space="preserve"> </w:t>
            </w:r>
            <w:r w:rsidRPr="00014C4D">
              <w:rPr>
                <w:rFonts w:ascii="David" w:eastAsia="Times New Roman" w:hAnsi="David" w:hint="cs"/>
                <w:b/>
                <w:bCs/>
                <w:color w:val="000000"/>
                <w:szCs w:val="20"/>
                <w:rtl/>
              </w:rPr>
              <w:t>שקבע המשרד הממשלתי</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מהתקציב שבהחלטת הממשלה</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(2/1)</w:t>
            </w:r>
          </w:p>
        </w:tc>
        <w:tc>
          <w:tcPr>
            <w:tcW w:w="903"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ה</w:t>
            </w:r>
            <w:r w:rsidRPr="00014C4D">
              <w:rPr>
                <w:rFonts w:ascii="David" w:eastAsia="Times New Roman" w:hAnsi="David"/>
                <w:b/>
                <w:bCs/>
                <w:color w:val="000000"/>
                <w:szCs w:val="20"/>
                <w:rtl/>
              </w:rPr>
              <w:t>העברות בפועל</w:t>
            </w:r>
            <w:r w:rsidRPr="00014C4D">
              <w:rPr>
                <w:rFonts w:ascii="David" w:eastAsia="Times New Roman" w:hAnsi="David" w:hint="cs"/>
                <w:b/>
                <w:bCs/>
                <w:color w:val="000000"/>
                <w:szCs w:val="20"/>
                <w:rtl/>
              </w:rPr>
              <w:t xml:space="preserve"> </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(3)</w:t>
            </w:r>
          </w:p>
        </w:tc>
        <w:tc>
          <w:tcPr>
            <w:tcW w:w="975" w:type="dxa"/>
            <w:vMerge w:val="restart"/>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b/>
                <w:bCs/>
                <w:color w:val="000000"/>
                <w:szCs w:val="20"/>
                <w:rtl/>
              </w:rPr>
              <w:t xml:space="preserve">שיעור ההעברות מכלל התקציב </w:t>
            </w:r>
            <w:r w:rsidRPr="00014C4D">
              <w:rPr>
                <w:rFonts w:ascii="David" w:eastAsia="Times New Roman" w:hAnsi="David" w:hint="cs"/>
                <w:b/>
                <w:bCs/>
                <w:color w:val="000000"/>
                <w:szCs w:val="20"/>
                <w:rtl/>
              </w:rPr>
              <w:t xml:space="preserve">שקבע </w:t>
            </w:r>
            <w:r w:rsidRPr="00014C4D">
              <w:rPr>
                <w:rFonts w:ascii="David" w:eastAsia="Times New Roman" w:hAnsi="David"/>
                <w:b/>
                <w:bCs/>
                <w:color w:val="000000"/>
                <w:szCs w:val="20"/>
                <w:rtl/>
              </w:rPr>
              <w:t xml:space="preserve">המשרד הממשלתי </w:t>
            </w:r>
          </w:p>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(3/2)</w:t>
            </w:r>
          </w:p>
        </w:tc>
        <w:tc>
          <w:tcPr>
            <w:tcW w:w="1557" w:type="dxa"/>
            <w:gridSpan w:val="2"/>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ה</w:t>
            </w:r>
            <w:r w:rsidRPr="00014C4D">
              <w:rPr>
                <w:rFonts w:ascii="David" w:eastAsia="Times New Roman" w:hAnsi="David"/>
                <w:b/>
                <w:bCs/>
                <w:color w:val="000000"/>
                <w:szCs w:val="20"/>
                <w:rtl/>
              </w:rPr>
              <w:t>הוצאות בפועל של העירייה</w:t>
            </w:r>
          </w:p>
        </w:tc>
      </w:tr>
      <w:tr w:rsidR="00014C4D" w:rsidRPr="00014C4D" w:rsidTr="00014C4D">
        <w:trPr>
          <w:trHeight w:val="37"/>
          <w:tblHeader/>
          <w:jc w:val="center"/>
        </w:trPr>
        <w:tc>
          <w:tcPr>
            <w:tcW w:w="1630"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919"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1101"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975"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1007"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903"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975" w:type="dxa"/>
            <w:vMerge/>
            <w:vAlign w:val="center"/>
            <w:hideMark/>
          </w:tcPr>
          <w:p w:rsidR="00014C4D" w:rsidRPr="00014C4D" w:rsidRDefault="00014C4D" w:rsidP="00014C4D">
            <w:pPr>
              <w:spacing w:line="269" w:lineRule="auto"/>
              <w:jc w:val="left"/>
              <w:rPr>
                <w:rFonts w:ascii="David" w:eastAsia="Times New Roman" w:hAnsi="David"/>
                <w:b/>
                <w:bCs/>
                <w:color w:val="000000"/>
                <w:szCs w:val="20"/>
              </w:rPr>
            </w:pPr>
          </w:p>
        </w:tc>
        <w:tc>
          <w:tcPr>
            <w:tcW w:w="831" w:type="dxa"/>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ה</w:t>
            </w:r>
            <w:r w:rsidRPr="00014C4D">
              <w:rPr>
                <w:rFonts w:ascii="David" w:eastAsia="Times New Roman" w:hAnsi="David"/>
                <w:b/>
                <w:bCs/>
                <w:color w:val="000000"/>
                <w:szCs w:val="20"/>
                <w:rtl/>
              </w:rPr>
              <w:t>שנה</w:t>
            </w:r>
          </w:p>
        </w:tc>
        <w:tc>
          <w:tcPr>
            <w:tcW w:w="726" w:type="dxa"/>
            <w:shd w:val="clear" w:color="auto" w:fill="D9D9D9" w:themeFill="background1" w:themeFillShade="D9"/>
            <w:vAlign w:val="center"/>
            <w:hideMark/>
          </w:tcPr>
          <w:p w:rsidR="00014C4D" w:rsidRPr="00014C4D" w:rsidRDefault="00014C4D" w:rsidP="00014C4D">
            <w:pPr>
              <w:spacing w:line="269" w:lineRule="auto"/>
              <w:jc w:val="center"/>
              <w:rPr>
                <w:rFonts w:ascii="David" w:eastAsia="Times New Roman" w:hAnsi="David"/>
                <w:b/>
                <w:bCs/>
                <w:color w:val="000000"/>
                <w:szCs w:val="20"/>
                <w:rtl/>
              </w:rPr>
            </w:pPr>
            <w:r w:rsidRPr="00014C4D">
              <w:rPr>
                <w:rFonts w:ascii="David" w:eastAsia="Times New Roman" w:hAnsi="David" w:hint="cs"/>
                <w:b/>
                <w:bCs/>
                <w:color w:val="000000"/>
                <w:szCs w:val="20"/>
                <w:rtl/>
              </w:rPr>
              <w:t>ה</w:t>
            </w:r>
            <w:r w:rsidRPr="00014C4D">
              <w:rPr>
                <w:rFonts w:ascii="David" w:eastAsia="Times New Roman" w:hAnsi="David"/>
                <w:b/>
                <w:bCs/>
                <w:color w:val="000000"/>
                <w:szCs w:val="20"/>
                <w:rtl/>
              </w:rPr>
              <w:t>סכום</w:t>
            </w:r>
          </w:p>
        </w:tc>
      </w:tr>
      <w:tr w:rsidR="00014C4D" w:rsidRPr="00014C4D" w:rsidTr="00014C4D">
        <w:trPr>
          <w:trHeight w:val="345"/>
          <w:jc w:val="center"/>
        </w:trPr>
        <w:tc>
          <w:tcPr>
            <w:tcW w:w="9067" w:type="dxa"/>
            <w:gridSpan w:val="9"/>
            <w:shd w:val="clear" w:color="auto" w:fill="auto"/>
            <w:vAlign w:val="center"/>
          </w:tcPr>
          <w:p w:rsidR="00014C4D" w:rsidRPr="00014C4D" w:rsidRDefault="00014C4D" w:rsidP="00014C4D">
            <w:pPr>
              <w:bidi w:val="0"/>
              <w:spacing w:line="269" w:lineRule="auto"/>
              <w:jc w:val="right"/>
              <w:rPr>
                <w:rFonts w:asciiTheme="minorHAnsi" w:eastAsia="Times New Roman" w:hAnsiTheme="minorHAnsi"/>
                <w:b/>
                <w:bCs/>
                <w:color w:val="000000"/>
                <w:szCs w:val="20"/>
                <w:rtl/>
              </w:rPr>
            </w:pPr>
            <w:r w:rsidRPr="00014C4D">
              <w:rPr>
                <w:rFonts w:ascii="David" w:eastAsia="Times New Roman" w:hAnsi="David" w:hint="cs"/>
                <w:b/>
                <w:bCs/>
                <w:color w:val="000000"/>
                <w:szCs w:val="20"/>
                <w:rtl/>
              </w:rPr>
              <w:t>החלטת הממשלה 4865 מפברואר 2020</w:t>
            </w:r>
          </w:p>
        </w:tc>
      </w:tr>
      <w:tr w:rsidR="00014C4D" w:rsidRPr="00014C4D" w:rsidTr="00014C4D">
        <w:trPr>
          <w:trHeight w:val="103"/>
          <w:jc w:val="center"/>
        </w:trPr>
        <w:tc>
          <w:tcPr>
            <w:tcW w:w="1630" w:type="dxa"/>
            <w:shd w:val="clear" w:color="auto" w:fill="auto"/>
            <w:vAlign w:val="center"/>
          </w:tcPr>
          <w:p w:rsidR="00014C4D" w:rsidRPr="00014C4D" w:rsidRDefault="00014C4D" w:rsidP="00014C4D">
            <w:pPr>
              <w:spacing w:line="269" w:lineRule="auto"/>
              <w:jc w:val="left"/>
              <w:rPr>
                <w:rFonts w:ascii="David" w:eastAsia="Times New Roman" w:hAnsi="David"/>
                <w:color w:val="000000"/>
                <w:szCs w:val="20"/>
                <w:rtl/>
              </w:rPr>
            </w:pPr>
            <w:r w:rsidRPr="00014C4D">
              <w:rPr>
                <w:rFonts w:ascii="David" w:eastAsia="Times New Roman" w:hAnsi="David" w:hint="cs"/>
                <w:color w:val="000000"/>
                <w:szCs w:val="20"/>
                <w:rtl/>
              </w:rPr>
              <w:t xml:space="preserve">שיפוץ מקלטים </w:t>
            </w:r>
          </w:p>
        </w:tc>
        <w:tc>
          <w:tcPr>
            <w:tcW w:w="919" w:type="dxa"/>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hint="cs"/>
                <w:color w:val="000000"/>
                <w:szCs w:val="20"/>
                <w:rtl/>
              </w:rPr>
              <w:t>*</w:t>
            </w:r>
          </w:p>
        </w:tc>
        <w:tc>
          <w:tcPr>
            <w:tcW w:w="1101" w:type="dxa"/>
            <w:shd w:val="clear" w:color="auto" w:fill="auto"/>
            <w:noWrap/>
            <w:vAlign w:val="center"/>
          </w:tcPr>
          <w:p w:rsidR="00014C4D" w:rsidRPr="00014C4D" w:rsidRDefault="00014C4D" w:rsidP="00014C4D">
            <w:pPr>
              <w:spacing w:line="269" w:lineRule="auto"/>
              <w:jc w:val="left"/>
              <w:rPr>
                <w:rFonts w:ascii="David" w:eastAsia="Times New Roman" w:hAnsi="David"/>
                <w:color w:val="000000"/>
                <w:szCs w:val="20"/>
                <w:rtl/>
              </w:rPr>
            </w:pPr>
            <w:r w:rsidRPr="00014C4D">
              <w:rPr>
                <w:rFonts w:ascii="David" w:eastAsia="Times New Roman" w:hAnsi="David" w:hint="cs"/>
                <w:color w:val="000000"/>
                <w:szCs w:val="20"/>
                <w:rtl/>
              </w:rPr>
              <w:t>משרד הפנים</w:t>
            </w: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Cs w:val="20"/>
                <w:rtl/>
              </w:rPr>
            </w:pPr>
            <w:r w:rsidRPr="00014C4D">
              <w:rPr>
                <w:rFonts w:ascii="David" w:eastAsia="Times New Roman" w:hAnsi="David"/>
                <w:color w:val="000000"/>
                <w:szCs w:val="20"/>
              </w:rPr>
              <w:t>2.5</w:t>
            </w:r>
          </w:p>
        </w:tc>
        <w:tc>
          <w:tcPr>
            <w:tcW w:w="1007"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color w:val="000000"/>
                <w:szCs w:val="20"/>
              </w:rPr>
            </w:pPr>
            <w:r w:rsidRPr="00014C4D">
              <w:rPr>
                <w:rFonts w:ascii="David" w:eastAsia="Times New Roman" w:hAnsi="David"/>
                <w:b/>
                <w:bCs/>
                <w:color w:val="000000"/>
                <w:szCs w:val="20"/>
              </w:rPr>
              <w:t>-</w:t>
            </w:r>
          </w:p>
        </w:tc>
        <w:tc>
          <w:tcPr>
            <w:tcW w:w="903" w:type="dxa"/>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Cs w:val="20"/>
                <w:rtl/>
              </w:rPr>
            </w:pPr>
            <w:r w:rsidRPr="00014C4D">
              <w:rPr>
                <w:rFonts w:ascii="David" w:eastAsia="Times New Roman" w:hAnsi="David"/>
                <w:color w:val="000000"/>
                <w:szCs w:val="20"/>
              </w:rPr>
              <w:t>2.4</w:t>
            </w: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96%</w:t>
            </w:r>
          </w:p>
        </w:tc>
        <w:tc>
          <w:tcPr>
            <w:tcW w:w="831" w:type="dxa"/>
            <w:shd w:val="clear" w:color="auto" w:fill="auto"/>
            <w:noWrap/>
            <w:vAlign w:val="center"/>
          </w:tcPr>
          <w:p w:rsidR="00014C4D" w:rsidRPr="00014C4D" w:rsidRDefault="00014C4D" w:rsidP="00014C4D">
            <w:pPr>
              <w:spacing w:line="269" w:lineRule="auto"/>
              <w:jc w:val="right"/>
              <w:rPr>
                <w:rFonts w:ascii="David" w:eastAsia="Times New Roman" w:hAnsi="David"/>
                <w:color w:val="000000"/>
                <w:szCs w:val="20"/>
                <w:rtl/>
              </w:rPr>
            </w:pPr>
            <w:r w:rsidRPr="00014C4D">
              <w:rPr>
                <w:rFonts w:ascii="David" w:eastAsia="Times New Roman" w:hAnsi="David"/>
                <w:color w:val="000000"/>
                <w:szCs w:val="20"/>
                <w:rtl/>
              </w:rPr>
              <w:t xml:space="preserve">2021 </w:t>
            </w:r>
          </w:p>
          <w:p w:rsidR="00014C4D" w:rsidRPr="00014C4D" w:rsidRDefault="00014C4D" w:rsidP="00014C4D">
            <w:pPr>
              <w:spacing w:line="269" w:lineRule="auto"/>
              <w:jc w:val="right"/>
              <w:rPr>
                <w:rFonts w:ascii="David" w:eastAsia="Times New Roman" w:hAnsi="David"/>
                <w:color w:val="000000"/>
                <w:szCs w:val="20"/>
                <w:rtl/>
              </w:rPr>
            </w:pPr>
            <w:r w:rsidRPr="00014C4D">
              <w:rPr>
                <w:rFonts w:ascii="David" w:eastAsia="Times New Roman" w:hAnsi="David"/>
                <w:color w:val="000000"/>
                <w:szCs w:val="20"/>
                <w:rtl/>
              </w:rPr>
              <w:t>ו-202</w:t>
            </w:r>
            <w:r w:rsidRPr="00014C4D">
              <w:rPr>
                <w:rFonts w:ascii="David" w:eastAsia="Times New Roman" w:hAnsi="David" w:hint="cs"/>
                <w:color w:val="000000"/>
                <w:szCs w:val="20"/>
                <w:rtl/>
              </w:rPr>
              <w:t>3</w:t>
            </w:r>
          </w:p>
        </w:tc>
        <w:tc>
          <w:tcPr>
            <w:tcW w:w="726" w:type="dxa"/>
            <w:shd w:val="clear" w:color="auto" w:fill="auto"/>
            <w:noWrap/>
            <w:vAlign w:val="center"/>
          </w:tcPr>
          <w:p w:rsidR="00014C4D" w:rsidRPr="00014C4D" w:rsidRDefault="00014C4D" w:rsidP="00014C4D">
            <w:pPr>
              <w:bidi w:val="0"/>
              <w:spacing w:line="269" w:lineRule="auto"/>
              <w:jc w:val="center"/>
              <w:rPr>
                <w:rFonts w:ascii="David" w:eastAsia="Times New Roman" w:hAnsi="David"/>
                <w:color w:val="000000"/>
                <w:szCs w:val="20"/>
              </w:rPr>
            </w:pPr>
            <w:r w:rsidRPr="00014C4D">
              <w:rPr>
                <w:rFonts w:ascii="David" w:eastAsia="Times New Roman" w:hAnsi="David"/>
                <w:color w:val="000000"/>
                <w:szCs w:val="20"/>
              </w:rPr>
              <w:t>2.4</w:t>
            </w:r>
          </w:p>
        </w:tc>
      </w:tr>
      <w:tr w:rsidR="00014C4D" w:rsidRPr="00014C4D" w:rsidTr="00014C4D">
        <w:trPr>
          <w:trHeight w:val="481"/>
          <w:jc w:val="center"/>
        </w:trPr>
        <w:tc>
          <w:tcPr>
            <w:tcW w:w="1630" w:type="dxa"/>
            <w:shd w:val="clear" w:color="auto" w:fill="auto"/>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מיגון למרכזי יום</w:t>
            </w:r>
            <w:r w:rsidRPr="00014C4D">
              <w:rPr>
                <w:rFonts w:ascii="David" w:eastAsia="Times New Roman" w:hAnsi="David" w:hint="cs"/>
                <w:color w:val="000000"/>
                <w:szCs w:val="20"/>
                <w:rtl/>
              </w:rPr>
              <w:t xml:space="preserve"> </w:t>
            </w:r>
            <w:r w:rsidRPr="00014C4D">
              <w:rPr>
                <w:rFonts w:ascii="David" w:eastAsia="Times New Roman" w:hAnsi="David"/>
                <w:color w:val="000000"/>
                <w:szCs w:val="20"/>
                <w:rtl/>
              </w:rPr>
              <w:t xml:space="preserve">הפועלים כמסגרות יומיות </w:t>
            </w:r>
          </w:p>
        </w:tc>
        <w:tc>
          <w:tcPr>
            <w:tcW w:w="919"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0.5</w:t>
            </w:r>
          </w:p>
        </w:tc>
        <w:tc>
          <w:tcPr>
            <w:tcW w:w="1101" w:type="dxa"/>
            <w:shd w:val="clear" w:color="auto" w:fill="auto"/>
            <w:noWrap/>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משרד הרווחה</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0</w:t>
            </w:r>
          </w:p>
        </w:tc>
        <w:tc>
          <w:tcPr>
            <w:tcW w:w="1007"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color w:val="000000"/>
                <w:szCs w:val="20"/>
              </w:rPr>
            </w:pPr>
            <w:r w:rsidRPr="00014C4D">
              <w:rPr>
                <w:rFonts w:ascii="David" w:eastAsia="Times New Roman" w:hAnsi="David"/>
                <w:b/>
                <w:bCs/>
                <w:color w:val="000000"/>
                <w:szCs w:val="20"/>
              </w:rPr>
              <w:t>0%</w:t>
            </w:r>
          </w:p>
        </w:tc>
        <w:tc>
          <w:tcPr>
            <w:tcW w:w="903"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w:t>
            </w:r>
          </w:p>
        </w:tc>
        <w:tc>
          <w:tcPr>
            <w:tcW w:w="83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p>
        </w:tc>
        <w:tc>
          <w:tcPr>
            <w:tcW w:w="726" w:type="dxa"/>
            <w:shd w:val="clear" w:color="auto" w:fill="auto"/>
            <w:noWrap/>
            <w:vAlign w:val="center"/>
            <w:hideMark/>
          </w:tcPr>
          <w:p w:rsidR="00014C4D" w:rsidRPr="00014C4D" w:rsidRDefault="00014C4D" w:rsidP="00014C4D">
            <w:pPr>
              <w:bidi w:val="0"/>
              <w:spacing w:line="269" w:lineRule="auto"/>
              <w:jc w:val="center"/>
              <w:rPr>
                <w:rFonts w:ascii="David" w:eastAsia="Times New Roman" w:hAnsi="David"/>
                <w:color w:val="000000"/>
                <w:szCs w:val="20"/>
              </w:rPr>
            </w:pPr>
            <w:r w:rsidRPr="00014C4D">
              <w:rPr>
                <w:rFonts w:ascii="David" w:eastAsia="Times New Roman" w:hAnsi="David"/>
                <w:color w:val="000000"/>
                <w:szCs w:val="20"/>
              </w:rPr>
              <w:t>-</w:t>
            </w:r>
          </w:p>
        </w:tc>
      </w:tr>
      <w:tr w:rsidR="00014C4D" w:rsidRPr="00014C4D" w:rsidTr="00014C4D">
        <w:trPr>
          <w:trHeight w:val="315"/>
          <w:jc w:val="center"/>
        </w:trPr>
        <w:tc>
          <w:tcPr>
            <w:tcW w:w="9067" w:type="dxa"/>
            <w:gridSpan w:val="9"/>
            <w:shd w:val="clear" w:color="auto" w:fill="auto"/>
            <w:vAlign w:val="center"/>
          </w:tcPr>
          <w:p w:rsidR="00014C4D" w:rsidRPr="00014C4D" w:rsidRDefault="00014C4D" w:rsidP="00014C4D">
            <w:pPr>
              <w:spacing w:line="269" w:lineRule="auto"/>
              <w:jc w:val="left"/>
              <w:rPr>
                <w:rFonts w:ascii="David" w:eastAsia="Times New Roman" w:hAnsi="David"/>
                <w:b/>
                <w:bCs/>
                <w:color w:val="000000"/>
                <w:szCs w:val="20"/>
              </w:rPr>
            </w:pPr>
            <w:r w:rsidRPr="00014C4D">
              <w:rPr>
                <w:rFonts w:ascii="David" w:eastAsia="Times New Roman" w:hAnsi="David" w:hint="cs"/>
                <w:b/>
                <w:bCs/>
                <w:color w:val="000000"/>
                <w:szCs w:val="20"/>
                <w:rtl/>
              </w:rPr>
              <w:t>החלטת הממשלה 1278 ממרץ 2022</w:t>
            </w:r>
          </w:p>
        </w:tc>
      </w:tr>
      <w:tr w:rsidR="00014C4D" w:rsidRPr="00014C4D" w:rsidTr="00014C4D">
        <w:trPr>
          <w:trHeight w:val="315"/>
          <w:jc w:val="center"/>
        </w:trPr>
        <w:tc>
          <w:tcPr>
            <w:tcW w:w="1630" w:type="dxa"/>
            <w:shd w:val="clear" w:color="auto" w:fill="auto"/>
            <w:vAlign w:val="center"/>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 xml:space="preserve">בינוי בתי כנסת ממוגנים </w:t>
            </w:r>
          </w:p>
        </w:tc>
        <w:tc>
          <w:tcPr>
            <w:tcW w:w="919"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**2</w:t>
            </w:r>
          </w:p>
        </w:tc>
        <w:tc>
          <w:tcPr>
            <w:tcW w:w="1101" w:type="dxa"/>
            <w:shd w:val="clear" w:color="auto" w:fill="auto"/>
            <w:noWrap/>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המשרד ל</w:t>
            </w:r>
            <w:r w:rsidRPr="00014C4D">
              <w:rPr>
                <w:rFonts w:ascii="David" w:eastAsia="Times New Roman" w:hAnsi="David" w:hint="cs"/>
                <w:color w:val="000000"/>
                <w:szCs w:val="20"/>
                <w:rtl/>
              </w:rPr>
              <w:t>שירותי</w:t>
            </w:r>
            <w:r w:rsidRPr="00014C4D">
              <w:rPr>
                <w:rFonts w:ascii="David" w:eastAsia="Times New Roman" w:hAnsi="David"/>
                <w:color w:val="000000"/>
                <w:szCs w:val="20"/>
                <w:rtl/>
              </w:rPr>
              <w:t xml:space="preserve"> דת</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2</w:t>
            </w:r>
          </w:p>
        </w:tc>
        <w:tc>
          <w:tcPr>
            <w:tcW w:w="1007"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color w:val="000000"/>
                <w:szCs w:val="20"/>
              </w:rPr>
            </w:pPr>
            <w:r w:rsidRPr="00014C4D">
              <w:rPr>
                <w:rFonts w:ascii="David" w:eastAsia="Times New Roman" w:hAnsi="David"/>
                <w:b/>
                <w:bCs/>
                <w:color w:val="000000"/>
                <w:szCs w:val="20"/>
              </w:rPr>
              <w:t>100%</w:t>
            </w:r>
          </w:p>
        </w:tc>
        <w:tc>
          <w:tcPr>
            <w:tcW w:w="903"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0</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0%</w:t>
            </w:r>
          </w:p>
        </w:tc>
        <w:tc>
          <w:tcPr>
            <w:tcW w:w="83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2023</w:t>
            </w:r>
          </w:p>
        </w:tc>
        <w:tc>
          <w:tcPr>
            <w:tcW w:w="726" w:type="dxa"/>
            <w:shd w:val="clear" w:color="auto" w:fill="auto"/>
            <w:noWrap/>
            <w:vAlign w:val="center"/>
            <w:hideMark/>
          </w:tcPr>
          <w:p w:rsidR="00014C4D" w:rsidRPr="00014C4D" w:rsidRDefault="00014C4D" w:rsidP="00014C4D">
            <w:pPr>
              <w:bidi w:val="0"/>
              <w:spacing w:line="269" w:lineRule="auto"/>
              <w:jc w:val="center"/>
              <w:rPr>
                <w:rFonts w:ascii="David" w:eastAsia="Times New Roman" w:hAnsi="David"/>
                <w:color w:val="000000"/>
                <w:szCs w:val="20"/>
              </w:rPr>
            </w:pPr>
            <w:r w:rsidRPr="00014C4D">
              <w:rPr>
                <w:rFonts w:ascii="David" w:eastAsia="Times New Roman" w:hAnsi="David"/>
                <w:color w:val="000000"/>
                <w:szCs w:val="20"/>
              </w:rPr>
              <w:t>0.2</w:t>
            </w:r>
            <w:r w:rsidRPr="00014C4D">
              <w:rPr>
                <w:rFonts w:ascii="David" w:eastAsia="Times New Roman" w:hAnsi="David" w:hint="cs"/>
                <w:color w:val="000000"/>
                <w:szCs w:val="20"/>
                <w:rtl/>
              </w:rPr>
              <w:t>4</w:t>
            </w:r>
          </w:p>
        </w:tc>
      </w:tr>
      <w:tr w:rsidR="00014C4D" w:rsidRPr="00014C4D" w:rsidTr="00014C4D">
        <w:trPr>
          <w:trHeight w:val="527"/>
          <w:jc w:val="center"/>
        </w:trPr>
        <w:tc>
          <w:tcPr>
            <w:tcW w:w="1630" w:type="dxa"/>
            <w:shd w:val="clear" w:color="auto" w:fill="auto"/>
            <w:vAlign w:val="center"/>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hint="cs"/>
                <w:color w:val="000000"/>
                <w:szCs w:val="20"/>
                <w:rtl/>
              </w:rPr>
              <w:t>פתרונות מיגון בעיר לרבות שיפוץ מקלטים קיימים, ובכלל זה מ</w:t>
            </w:r>
            <w:r w:rsidRPr="00014C4D">
              <w:rPr>
                <w:rFonts w:ascii="David" w:eastAsia="Times New Roman" w:hAnsi="David"/>
                <w:color w:val="000000"/>
                <w:szCs w:val="20"/>
                <w:rtl/>
              </w:rPr>
              <w:t xml:space="preserve">קלטים ציבוריים, </w:t>
            </w:r>
            <w:r w:rsidRPr="00014C4D">
              <w:rPr>
                <w:rFonts w:ascii="David" w:eastAsia="Times New Roman" w:hAnsi="David" w:hint="cs"/>
                <w:color w:val="000000"/>
                <w:szCs w:val="20"/>
                <w:rtl/>
              </w:rPr>
              <w:t xml:space="preserve">מקלטים </w:t>
            </w:r>
            <w:r w:rsidRPr="00014C4D">
              <w:rPr>
                <w:rFonts w:ascii="David" w:eastAsia="Times New Roman" w:hAnsi="David"/>
                <w:color w:val="000000"/>
                <w:szCs w:val="20"/>
                <w:rtl/>
              </w:rPr>
              <w:t xml:space="preserve">משותפים </w:t>
            </w:r>
            <w:r w:rsidRPr="00014C4D">
              <w:rPr>
                <w:rFonts w:ascii="David" w:eastAsia="Times New Roman" w:hAnsi="David" w:hint="cs"/>
                <w:color w:val="000000"/>
                <w:szCs w:val="20"/>
                <w:rtl/>
              </w:rPr>
              <w:t xml:space="preserve">פרטיים </w:t>
            </w:r>
            <w:r w:rsidRPr="00014C4D">
              <w:rPr>
                <w:rFonts w:ascii="David" w:eastAsia="Times New Roman" w:hAnsi="David"/>
                <w:color w:val="000000"/>
                <w:szCs w:val="20"/>
                <w:rtl/>
              </w:rPr>
              <w:lastRenderedPageBreak/>
              <w:t>ומיגון חדרי מדרגות.</w:t>
            </w:r>
          </w:p>
        </w:tc>
        <w:tc>
          <w:tcPr>
            <w:tcW w:w="919"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lastRenderedPageBreak/>
              <w:t>8.5</w:t>
            </w:r>
          </w:p>
        </w:tc>
        <w:tc>
          <w:tcPr>
            <w:tcW w:w="1101" w:type="dxa"/>
            <w:shd w:val="clear" w:color="auto" w:fill="auto"/>
            <w:noWrap/>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משרד הביטחון</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8.5</w:t>
            </w:r>
          </w:p>
        </w:tc>
        <w:tc>
          <w:tcPr>
            <w:tcW w:w="1007"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color w:val="000000"/>
                <w:szCs w:val="20"/>
              </w:rPr>
            </w:pPr>
            <w:r w:rsidRPr="00014C4D">
              <w:rPr>
                <w:rFonts w:ascii="David" w:eastAsia="Times New Roman" w:hAnsi="David" w:hint="cs"/>
                <w:b/>
                <w:bCs/>
                <w:color w:val="000000"/>
                <w:szCs w:val="20"/>
                <w:rtl/>
              </w:rPr>
              <w:t>100</w:t>
            </w:r>
            <w:r w:rsidRPr="00014C4D">
              <w:rPr>
                <w:rFonts w:ascii="David" w:eastAsia="Times New Roman" w:hAnsi="David"/>
                <w:b/>
                <w:bCs/>
                <w:color w:val="000000"/>
                <w:szCs w:val="20"/>
              </w:rPr>
              <w:t>%</w:t>
            </w:r>
          </w:p>
        </w:tc>
        <w:tc>
          <w:tcPr>
            <w:tcW w:w="903"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1.7</w:t>
            </w: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20%</w:t>
            </w:r>
          </w:p>
        </w:tc>
        <w:tc>
          <w:tcPr>
            <w:tcW w:w="83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2023</w:t>
            </w:r>
          </w:p>
        </w:tc>
        <w:tc>
          <w:tcPr>
            <w:tcW w:w="726" w:type="dxa"/>
            <w:shd w:val="clear" w:color="auto" w:fill="auto"/>
            <w:noWrap/>
            <w:vAlign w:val="center"/>
            <w:hideMark/>
          </w:tcPr>
          <w:p w:rsidR="00014C4D" w:rsidRPr="00014C4D" w:rsidRDefault="00014C4D" w:rsidP="00014C4D">
            <w:pPr>
              <w:bidi w:val="0"/>
              <w:spacing w:line="269" w:lineRule="auto"/>
              <w:jc w:val="center"/>
              <w:rPr>
                <w:rFonts w:ascii="David" w:eastAsia="Times New Roman" w:hAnsi="David"/>
                <w:color w:val="000000"/>
                <w:szCs w:val="20"/>
              </w:rPr>
            </w:pPr>
            <w:r w:rsidRPr="00014C4D">
              <w:rPr>
                <w:rFonts w:ascii="David" w:eastAsia="Times New Roman" w:hAnsi="David"/>
                <w:color w:val="000000"/>
                <w:szCs w:val="20"/>
              </w:rPr>
              <w:t>1.9</w:t>
            </w:r>
          </w:p>
        </w:tc>
      </w:tr>
      <w:tr w:rsidR="00014C4D" w:rsidRPr="00014C4D" w:rsidTr="00014C4D">
        <w:trPr>
          <w:trHeight w:val="315"/>
          <w:jc w:val="center"/>
        </w:trPr>
        <w:tc>
          <w:tcPr>
            <w:tcW w:w="1630" w:type="dxa"/>
            <w:shd w:val="clear" w:color="auto" w:fill="auto"/>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הקמת מרכז חוסן ממוגן בעיר</w:t>
            </w:r>
          </w:p>
        </w:tc>
        <w:tc>
          <w:tcPr>
            <w:tcW w:w="919"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9</w:t>
            </w:r>
          </w:p>
        </w:tc>
        <w:tc>
          <w:tcPr>
            <w:tcW w:w="1101" w:type="dxa"/>
            <w:shd w:val="clear" w:color="auto" w:fill="auto"/>
            <w:noWrap/>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hint="cs"/>
                <w:color w:val="000000"/>
                <w:szCs w:val="20"/>
                <w:rtl/>
              </w:rPr>
              <w:t>ה</w:t>
            </w:r>
            <w:r w:rsidRPr="00014C4D">
              <w:rPr>
                <w:rFonts w:ascii="David" w:eastAsia="Times New Roman" w:hAnsi="David"/>
                <w:color w:val="000000"/>
                <w:szCs w:val="20"/>
                <w:rtl/>
              </w:rPr>
              <w:t xml:space="preserve">משרד </w:t>
            </w:r>
            <w:r w:rsidRPr="00014C4D">
              <w:rPr>
                <w:rFonts w:ascii="David" w:eastAsia="Times New Roman" w:hAnsi="David" w:hint="cs"/>
                <w:color w:val="000000"/>
                <w:szCs w:val="20"/>
                <w:rtl/>
              </w:rPr>
              <w:t xml:space="preserve">לפיתוח </w:t>
            </w:r>
            <w:r w:rsidRPr="00014C4D">
              <w:rPr>
                <w:rFonts w:ascii="David" w:eastAsia="Times New Roman" w:hAnsi="David"/>
                <w:color w:val="000000"/>
                <w:szCs w:val="20"/>
                <w:rtl/>
              </w:rPr>
              <w:t>הפריפריה</w:t>
            </w:r>
            <w:r w:rsidRPr="00014C4D">
              <w:rPr>
                <w:rFonts w:ascii="David" w:eastAsia="Times New Roman" w:hAnsi="David" w:hint="cs"/>
                <w:color w:val="000000"/>
                <w:szCs w:val="20"/>
                <w:rtl/>
              </w:rPr>
              <w:t>, הנגב</w:t>
            </w:r>
            <w:r w:rsidRPr="00014C4D">
              <w:rPr>
                <w:rFonts w:ascii="David" w:eastAsia="Times New Roman" w:hAnsi="David"/>
                <w:color w:val="000000"/>
                <w:szCs w:val="20"/>
                <w:rtl/>
              </w:rPr>
              <w:t xml:space="preserve"> והגליל</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tl/>
              </w:rPr>
            </w:pPr>
            <w:r w:rsidRPr="00014C4D">
              <w:rPr>
                <w:rFonts w:ascii="David" w:eastAsia="Times New Roman" w:hAnsi="David" w:hint="cs"/>
                <w:color w:val="000000"/>
                <w:szCs w:val="20"/>
                <w:rtl/>
              </w:rPr>
              <w:t>0.63</w:t>
            </w:r>
          </w:p>
        </w:tc>
        <w:tc>
          <w:tcPr>
            <w:tcW w:w="1007"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color w:val="000000"/>
                <w:szCs w:val="20"/>
              </w:rPr>
            </w:pPr>
            <w:r w:rsidRPr="00014C4D">
              <w:rPr>
                <w:rFonts w:ascii="David" w:eastAsia="Times New Roman" w:hAnsi="David" w:hint="cs"/>
                <w:b/>
                <w:bCs/>
                <w:color w:val="000000"/>
                <w:szCs w:val="20"/>
                <w:rtl/>
              </w:rPr>
              <w:t>7</w:t>
            </w:r>
            <w:r w:rsidRPr="00014C4D">
              <w:rPr>
                <w:rFonts w:ascii="David" w:eastAsia="Times New Roman" w:hAnsi="David"/>
                <w:b/>
                <w:bCs/>
                <w:color w:val="000000"/>
                <w:szCs w:val="20"/>
              </w:rPr>
              <w:t>%</w:t>
            </w:r>
          </w:p>
        </w:tc>
        <w:tc>
          <w:tcPr>
            <w:tcW w:w="903"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0</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0%</w:t>
            </w:r>
          </w:p>
        </w:tc>
        <w:tc>
          <w:tcPr>
            <w:tcW w:w="83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tl/>
              </w:rPr>
            </w:pPr>
          </w:p>
        </w:tc>
        <w:tc>
          <w:tcPr>
            <w:tcW w:w="726" w:type="dxa"/>
            <w:shd w:val="clear" w:color="auto" w:fill="auto"/>
            <w:noWrap/>
            <w:vAlign w:val="center"/>
            <w:hideMark/>
          </w:tcPr>
          <w:p w:rsidR="00014C4D" w:rsidRPr="00014C4D" w:rsidRDefault="00014C4D" w:rsidP="00014C4D">
            <w:pPr>
              <w:bidi w:val="0"/>
              <w:spacing w:line="269" w:lineRule="auto"/>
              <w:jc w:val="center"/>
              <w:rPr>
                <w:rFonts w:ascii="David" w:eastAsia="Times New Roman" w:hAnsi="David"/>
                <w:color w:val="000000"/>
                <w:szCs w:val="20"/>
              </w:rPr>
            </w:pPr>
            <w:r w:rsidRPr="00014C4D">
              <w:rPr>
                <w:rFonts w:ascii="David" w:eastAsia="Times New Roman" w:hAnsi="David"/>
                <w:color w:val="000000"/>
                <w:szCs w:val="20"/>
              </w:rPr>
              <w:t>0</w:t>
            </w:r>
          </w:p>
        </w:tc>
      </w:tr>
      <w:tr w:rsidR="00014C4D" w:rsidRPr="00014C4D" w:rsidTr="00014C4D">
        <w:trPr>
          <w:trHeight w:val="685"/>
          <w:jc w:val="center"/>
        </w:trPr>
        <w:tc>
          <w:tcPr>
            <w:tcW w:w="1630" w:type="dxa"/>
            <w:shd w:val="clear" w:color="auto" w:fill="auto"/>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קידום ת</w:t>
            </w:r>
            <w:r w:rsidRPr="00014C4D">
              <w:rPr>
                <w:rFonts w:ascii="David" w:eastAsia="Times New Roman" w:hAnsi="David" w:hint="cs"/>
                <w:color w:val="000000"/>
                <w:szCs w:val="20"/>
                <w:rtl/>
              </w:rPr>
              <w:t>ו</w:t>
            </w:r>
            <w:r w:rsidRPr="00014C4D">
              <w:rPr>
                <w:rFonts w:ascii="David" w:eastAsia="Times New Roman" w:hAnsi="David"/>
                <w:color w:val="000000"/>
                <w:szCs w:val="20"/>
                <w:rtl/>
              </w:rPr>
              <w:t xml:space="preserve">כנית מפורטת להקלה על הליכי רישוי להוספת מרחבים מוגנים לבניינים קיימים. </w:t>
            </w:r>
          </w:p>
        </w:tc>
        <w:tc>
          <w:tcPr>
            <w:tcW w:w="919"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1.5</w:t>
            </w:r>
          </w:p>
        </w:tc>
        <w:tc>
          <w:tcPr>
            <w:tcW w:w="1101" w:type="dxa"/>
            <w:shd w:val="clear" w:color="auto" w:fill="auto"/>
            <w:noWrap/>
            <w:vAlign w:val="center"/>
            <w:hideMark/>
          </w:tcPr>
          <w:p w:rsidR="00014C4D" w:rsidRPr="00014C4D" w:rsidRDefault="00014C4D" w:rsidP="00014C4D">
            <w:pPr>
              <w:spacing w:line="269" w:lineRule="auto"/>
              <w:jc w:val="left"/>
              <w:rPr>
                <w:rFonts w:ascii="David" w:eastAsia="Times New Roman" w:hAnsi="David"/>
                <w:color w:val="000000"/>
                <w:szCs w:val="20"/>
              </w:rPr>
            </w:pPr>
            <w:r w:rsidRPr="00014C4D">
              <w:rPr>
                <w:rFonts w:ascii="David" w:eastAsia="Times New Roman" w:hAnsi="David"/>
                <w:color w:val="000000"/>
                <w:szCs w:val="20"/>
                <w:rtl/>
              </w:rPr>
              <w:t>משרד הפנים</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tl/>
              </w:rPr>
            </w:pPr>
            <w:r w:rsidRPr="00014C4D">
              <w:rPr>
                <w:rFonts w:ascii="David" w:eastAsia="Times New Roman" w:hAnsi="David"/>
                <w:color w:val="000000"/>
                <w:szCs w:val="20"/>
              </w:rPr>
              <w:t>1.5</w:t>
            </w:r>
          </w:p>
        </w:tc>
        <w:tc>
          <w:tcPr>
            <w:tcW w:w="1007"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b/>
                <w:bCs/>
                <w:color w:val="000000"/>
                <w:szCs w:val="20"/>
              </w:rPr>
            </w:pPr>
            <w:r w:rsidRPr="00014C4D">
              <w:rPr>
                <w:rFonts w:ascii="David" w:eastAsia="Times New Roman" w:hAnsi="David"/>
                <w:b/>
                <w:bCs/>
                <w:color w:val="000000"/>
                <w:szCs w:val="20"/>
              </w:rPr>
              <w:t>100%</w:t>
            </w:r>
          </w:p>
        </w:tc>
        <w:tc>
          <w:tcPr>
            <w:tcW w:w="903"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1.0</w:t>
            </w:r>
          </w:p>
        </w:tc>
        <w:tc>
          <w:tcPr>
            <w:tcW w:w="975"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67%</w:t>
            </w:r>
          </w:p>
        </w:tc>
        <w:tc>
          <w:tcPr>
            <w:tcW w:w="831" w:type="dxa"/>
            <w:shd w:val="clear" w:color="auto" w:fill="auto"/>
            <w:noWrap/>
            <w:vAlign w:val="center"/>
            <w:hideMark/>
          </w:tcPr>
          <w:p w:rsidR="00014C4D" w:rsidRPr="00014C4D" w:rsidRDefault="00014C4D" w:rsidP="00014C4D">
            <w:pPr>
              <w:bidi w:val="0"/>
              <w:spacing w:line="269" w:lineRule="auto"/>
              <w:jc w:val="right"/>
              <w:rPr>
                <w:rFonts w:ascii="David" w:eastAsia="Times New Roman" w:hAnsi="David"/>
                <w:color w:val="000000"/>
                <w:szCs w:val="20"/>
              </w:rPr>
            </w:pPr>
            <w:r w:rsidRPr="00014C4D">
              <w:rPr>
                <w:rFonts w:ascii="David" w:eastAsia="Times New Roman" w:hAnsi="David"/>
                <w:color w:val="000000"/>
                <w:szCs w:val="20"/>
              </w:rPr>
              <w:t>2023</w:t>
            </w:r>
          </w:p>
        </w:tc>
        <w:tc>
          <w:tcPr>
            <w:tcW w:w="726" w:type="dxa"/>
            <w:shd w:val="clear" w:color="auto" w:fill="auto"/>
            <w:noWrap/>
            <w:vAlign w:val="center"/>
            <w:hideMark/>
          </w:tcPr>
          <w:p w:rsidR="00014C4D" w:rsidRPr="00014C4D" w:rsidRDefault="00014C4D" w:rsidP="00014C4D">
            <w:pPr>
              <w:bidi w:val="0"/>
              <w:spacing w:line="269" w:lineRule="auto"/>
              <w:jc w:val="center"/>
              <w:rPr>
                <w:rFonts w:ascii="David" w:eastAsia="Times New Roman" w:hAnsi="David"/>
                <w:color w:val="000000"/>
                <w:szCs w:val="20"/>
              </w:rPr>
            </w:pPr>
            <w:r w:rsidRPr="00014C4D">
              <w:rPr>
                <w:rFonts w:ascii="David" w:eastAsia="Times New Roman" w:hAnsi="David"/>
                <w:color w:val="000000"/>
                <w:szCs w:val="20"/>
              </w:rPr>
              <w:t>1.0</w:t>
            </w:r>
          </w:p>
        </w:tc>
      </w:tr>
      <w:tr w:rsidR="00014C4D" w:rsidRPr="00014C4D" w:rsidTr="00014C4D">
        <w:trPr>
          <w:trHeight w:val="432"/>
          <w:jc w:val="center"/>
        </w:trPr>
        <w:tc>
          <w:tcPr>
            <w:tcW w:w="1630" w:type="dxa"/>
            <w:shd w:val="clear" w:color="auto" w:fill="auto"/>
            <w:vAlign w:val="center"/>
          </w:tcPr>
          <w:p w:rsidR="00014C4D" w:rsidRPr="00014C4D" w:rsidRDefault="00014C4D" w:rsidP="00014C4D">
            <w:pPr>
              <w:spacing w:line="269" w:lineRule="auto"/>
              <w:jc w:val="left"/>
              <w:rPr>
                <w:rFonts w:ascii="David" w:eastAsia="Times New Roman" w:hAnsi="David"/>
                <w:b/>
                <w:bCs/>
                <w:szCs w:val="20"/>
                <w:rtl/>
              </w:rPr>
            </w:pPr>
            <w:r w:rsidRPr="00014C4D">
              <w:rPr>
                <w:rFonts w:ascii="David" w:eastAsia="Times New Roman" w:hAnsi="David" w:hint="cs"/>
                <w:b/>
                <w:bCs/>
                <w:szCs w:val="20"/>
                <w:rtl/>
              </w:rPr>
              <w:t>החלטת הממשלה 1278 - ס"ה</w:t>
            </w:r>
          </w:p>
        </w:tc>
        <w:tc>
          <w:tcPr>
            <w:tcW w:w="919"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tl/>
              </w:rPr>
            </w:pPr>
            <w:r w:rsidRPr="00014C4D">
              <w:rPr>
                <w:rFonts w:ascii="David" w:eastAsia="Times New Roman" w:hAnsi="David"/>
                <w:b/>
                <w:bCs/>
                <w:szCs w:val="20"/>
              </w:rPr>
              <w:t>21</w:t>
            </w:r>
          </w:p>
        </w:tc>
        <w:tc>
          <w:tcPr>
            <w:tcW w:w="1101"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Pr>
            </w:pP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Pr>
            </w:pPr>
            <w:r w:rsidRPr="00014C4D">
              <w:rPr>
                <w:rFonts w:ascii="David" w:eastAsia="Times New Roman" w:hAnsi="David" w:hint="cs"/>
                <w:b/>
                <w:bCs/>
                <w:szCs w:val="20"/>
                <w:rtl/>
              </w:rPr>
              <w:t>12.63</w:t>
            </w:r>
          </w:p>
        </w:tc>
        <w:tc>
          <w:tcPr>
            <w:tcW w:w="1007"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Pr>
            </w:pPr>
            <w:r w:rsidRPr="00014C4D">
              <w:rPr>
                <w:rFonts w:ascii="David" w:eastAsia="Times New Roman" w:hAnsi="David" w:hint="cs"/>
                <w:b/>
                <w:bCs/>
                <w:szCs w:val="20"/>
                <w:rtl/>
              </w:rPr>
              <w:t>60%</w:t>
            </w:r>
          </w:p>
        </w:tc>
        <w:tc>
          <w:tcPr>
            <w:tcW w:w="903"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Pr>
            </w:pPr>
            <w:r w:rsidRPr="00014C4D">
              <w:rPr>
                <w:rFonts w:ascii="David" w:eastAsia="Times New Roman" w:hAnsi="David"/>
                <w:b/>
                <w:bCs/>
                <w:szCs w:val="20"/>
              </w:rPr>
              <w:t>2.7</w:t>
            </w: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Pr>
            </w:pPr>
            <w:r w:rsidRPr="00014C4D">
              <w:rPr>
                <w:rFonts w:ascii="David" w:eastAsia="Times New Roman" w:hAnsi="David"/>
                <w:b/>
                <w:bCs/>
                <w:szCs w:val="20"/>
              </w:rPr>
              <w:t>21%</w:t>
            </w:r>
          </w:p>
        </w:tc>
        <w:tc>
          <w:tcPr>
            <w:tcW w:w="831" w:type="dxa"/>
            <w:shd w:val="clear" w:color="auto" w:fill="auto"/>
            <w:noWrap/>
            <w:vAlign w:val="center"/>
          </w:tcPr>
          <w:p w:rsidR="00014C4D" w:rsidRPr="00014C4D" w:rsidRDefault="00014C4D" w:rsidP="00014C4D">
            <w:pPr>
              <w:bidi w:val="0"/>
              <w:spacing w:line="269" w:lineRule="auto"/>
              <w:jc w:val="right"/>
              <w:rPr>
                <w:rFonts w:ascii="David" w:eastAsia="Times New Roman" w:hAnsi="David"/>
                <w:b/>
                <w:bCs/>
                <w:szCs w:val="20"/>
              </w:rPr>
            </w:pPr>
          </w:p>
        </w:tc>
        <w:tc>
          <w:tcPr>
            <w:tcW w:w="726" w:type="dxa"/>
            <w:shd w:val="clear" w:color="auto" w:fill="auto"/>
            <w:noWrap/>
            <w:vAlign w:val="center"/>
          </w:tcPr>
          <w:p w:rsidR="00014C4D" w:rsidRPr="00014C4D" w:rsidRDefault="00014C4D" w:rsidP="00014C4D">
            <w:pPr>
              <w:bidi w:val="0"/>
              <w:spacing w:line="269" w:lineRule="auto"/>
              <w:jc w:val="center"/>
              <w:rPr>
                <w:rFonts w:ascii="David" w:eastAsia="Times New Roman" w:hAnsi="David"/>
                <w:b/>
                <w:bCs/>
                <w:szCs w:val="20"/>
              </w:rPr>
            </w:pPr>
            <w:r w:rsidRPr="00014C4D">
              <w:rPr>
                <w:rFonts w:ascii="David" w:eastAsia="Times New Roman" w:hAnsi="David"/>
                <w:b/>
                <w:bCs/>
                <w:szCs w:val="20"/>
              </w:rPr>
              <w:t>3.14</w:t>
            </w:r>
          </w:p>
        </w:tc>
      </w:tr>
      <w:tr w:rsidR="00014C4D" w:rsidRPr="00014C4D" w:rsidTr="00014C4D">
        <w:trPr>
          <w:trHeight w:val="432"/>
          <w:jc w:val="center"/>
        </w:trPr>
        <w:tc>
          <w:tcPr>
            <w:tcW w:w="9067" w:type="dxa"/>
            <w:gridSpan w:val="9"/>
            <w:shd w:val="clear" w:color="auto" w:fill="auto"/>
            <w:vAlign w:val="bottom"/>
          </w:tcPr>
          <w:p w:rsidR="00014C4D" w:rsidRPr="00014C4D" w:rsidRDefault="00014C4D" w:rsidP="00014C4D">
            <w:pPr>
              <w:keepNext/>
              <w:keepLines/>
              <w:spacing w:line="269" w:lineRule="auto"/>
              <w:jc w:val="left"/>
              <w:rPr>
                <w:rFonts w:ascii="David" w:eastAsia="Times New Roman" w:hAnsi="David"/>
                <w:b/>
                <w:bCs/>
                <w:szCs w:val="20"/>
              </w:rPr>
            </w:pPr>
            <w:r w:rsidRPr="00014C4D">
              <w:rPr>
                <w:rFonts w:ascii="David" w:eastAsia="Times New Roman" w:hAnsi="David" w:hint="cs"/>
                <w:b/>
                <w:bCs/>
                <w:szCs w:val="20"/>
                <w:rtl/>
              </w:rPr>
              <w:t>החלטת הממשלה 852 מסוף יולי 2023</w:t>
            </w:r>
          </w:p>
        </w:tc>
      </w:tr>
      <w:tr w:rsidR="00014C4D" w:rsidRPr="00014C4D" w:rsidTr="00014C4D">
        <w:trPr>
          <w:trHeight w:val="432"/>
          <w:jc w:val="center"/>
        </w:trPr>
        <w:tc>
          <w:tcPr>
            <w:tcW w:w="1630" w:type="dxa"/>
            <w:shd w:val="clear" w:color="auto" w:fill="auto"/>
            <w:vAlign w:val="center"/>
          </w:tcPr>
          <w:p w:rsidR="00014C4D" w:rsidRPr="00014C4D" w:rsidRDefault="00014C4D" w:rsidP="00014C4D">
            <w:pPr>
              <w:spacing w:line="269" w:lineRule="auto"/>
              <w:jc w:val="left"/>
              <w:rPr>
                <w:rFonts w:ascii="David" w:eastAsia="Times New Roman" w:hAnsi="David"/>
                <w:szCs w:val="20"/>
                <w:rtl/>
              </w:rPr>
            </w:pPr>
            <w:r w:rsidRPr="00014C4D">
              <w:rPr>
                <w:rFonts w:ascii="David" w:eastAsia="Times New Roman" w:hAnsi="David" w:hint="cs"/>
                <w:szCs w:val="20"/>
                <w:rtl/>
              </w:rPr>
              <w:t>שיפוץ מקלטים ציבוריים</w:t>
            </w:r>
          </w:p>
        </w:tc>
        <w:tc>
          <w:tcPr>
            <w:tcW w:w="919"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Pr>
            </w:pPr>
            <w:r w:rsidRPr="00014C4D">
              <w:rPr>
                <w:rFonts w:ascii="David" w:eastAsia="Times New Roman" w:hAnsi="David"/>
                <w:szCs w:val="20"/>
              </w:rPr>
              <w:t>4</w:t>
            </w:r>
          </w:p>
        </w:tc>
        <w:tc>
          <w:tcPr>
            <w:tcW w:w="1101"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Pr>
            </w:pPr>
            <w:r w:rsidRPr="00014C4D">
              <w:rPr>
                <w:rFonts w:ascii="David" w:eastAsia="Times New Roman" w:hAnsi="David"/>
                <w:color w:val="000000"/>
                <w:szCs w:val="20"/>
                <w:rtl/>
              </w:rPr>
              <w:t>משרד הפנים</w:t>
            </w: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tl/>
              </w:rPr>
            </w:pPr>
            <w:r w:rsidRPr="00014C4D">
              <w:rPr>
                <w:rFonts w:ascii="David" w:eastAsia="Times New Roman" w:hAnsi="David"/>
                <w:szCs w:val="20"/>
              </w:rPr>
              <w:t>4</w:t>
            </w:r>
          </w:p>
        </w:tc>
        <w:tc>
          <w:tcPr>
            <w:tcW w:w="1007"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tl/>
              </w:rPr>
            </w:pPr>
            <w:r w:rsidRPr="00014C4D">
              <w:rPr>
                <w:rFonts w:ascii="David" w:eastAsia="Times New Roman" w:hAnsi="David"/>
                <w:szCs w:val="20"/>
              </w:rPr>
              <w:t>100%</w:t>
            </w:r>
          </w:p>
        </w:tc>
        <w:tc>
          <w:tcPr>
            <w:tcW w:w="903"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tl/>
              </w:rPr>
            </w:pPr>
            <w:r w:rsidRPr="00014C4D">
              <w:rPr>
                <w:rFonts w:ascii="David" w:eastAsia="Times New Roman" w:hAnsi="David"/>
                <w:szCs w:val="20"/>
              </w:rPr>
              <w:t>0</w:t>
            </w:r>
          </w:p>
        </w:tc>
        <w:tc>
          <w:tcPr>
            <w:tcW w:w="975"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Pr>
            </w:pPr>
            <w:r w:rsidRPr="00014C4D">
              <w:rPr>
                <w:rFonts w:ascii="David" w:eastAsia="Times New Roman" w:hAnsi="David"/>
                <w:szCs w:val="20"/>
              </w:rPr>
              <w:t>0%</w:t>
            </w:r>
          </w:p>
        </w:tc>
        <w:tc>
          <w:tcPr>
            <w:tcW w:w="831" w:type="dxa"/>
            <w:shd w:val="clear" w:color="auto" w:fill="auto"/>
            <w:noWrap/>
            <w:vAlign w:val="center"/>
          </w:tcPr>
          <w:p w:rsidR="00014C4D" w:rsidRPr="00014C4D" w:rsidRDefault="00014C4D" w:rsidP="00014C4D">
            <w:pPr>
              <w:bidi w:val="0"/>
              <w:spacing w:line="269" w:lineRule="auto"/>
              <w:jc w:val="right"/>
              <w:rPr>
                <w:rFonts w:ascii="David" w:eastAsia="Times New Roman" w:hAnsi="David"/>
                <w:szCs w:val="20"/>
              </w:rPr>
            </w:pPr>
            <w:r w:rsidRPr="00014C4D">
              <w:rPr>
                <w:rFonts w:ascii="David" w:eastAsia="Times New Roman" w:hAnsi="David"/>
                <w:szCs w:val="20"/>
              </w:rPr>
              <w:t>2023</w:t>
            </w:r>
          </w:p>
        </w:tc>
        <w:tc>
          <w:tcPr>
            <w:tcW w:w="726" w:type="dxa"/>
            <w:shd w:val="clear" w:color="auto" w:fill="auto"/>
            <w:noWrap/>
            <w:vAlign w:val="center"/>
          </w:tcPr>
          <w:p w:rsidR="00014C4D" w:rsidRPr="00014C4D" w:rsidRDefault="00014C4D" w:rsidP="00014C4D">
            <w:pPr>
              <w:bidi w:val="0"/>
              <w:spacing w:line="269" w:lineRule="auto"/>
              <w:jc w:val="center"/>
              <w:rPr>
                <w:rFonts w:ascii="David" w:eastAsia="Times New Roman" w:hAnsi="David"/>
                <w:b/>
                <w:bCs/>
                <w:szCs w:val="20"/>
                <w:rtl/>
              </w:rPr>
            </w:pPr>
            <w:r w:rsidRPr="00014C4D">
              <w:rPr>
                <w:rFonts w:ascii="David" w:eastAsia="Times New Roman" w:hAnsi="David" w:hint="cs"/>
                <w:b/>
                <w:bCs/>
                <w:szCs w:val="20"/>
                <w:rtl/>
              </w:rPr>
              <w:t>0</w:t>
            </w:r>
          </w:p>
        </w:tc>
      </w:tr>
    </w:tbl>
    <w:p w:rsidR="00014C4D" w:rsidRPr="00014C4D" w:rsidRDefault="00014C4D" w:rsidP="00014C4D">
      <w:pPr>
        <w:tabs>
          <w:tab w:val="left" w:pos="424"/>
        </w:tabs>
        <w:spacing w:line="269" w:lineRule="auto"/>
        <w:jc w:val="left"/>
        <w:rPr>
          <w:rFonts w:ascii="David" w:hAnsi="David"/>
          <w:sz w:val="18"/>
          <w:szCs w:val="18"/>
          <w:rtl/>
        </w:rPr>
      </w:pPr>
      <w:r w:rsidRPr="00014C4D">
        <w:rPr>
          <w:rFonts w:ascii="David" w:hAnsi="David" w:hint="cs"/>
          <w:sz w:val="18"/>
          <w:szCs w:val="18"/>
          <w:rtl/>
        </w:rPr>
        <w:t>על פי החלטות הממשלה ונתוני עיריית אשקלון, בעיבוד משרד מבקר המדינה.</w:t>
      </w:r>
    </w:p>
    <w:p w:rsidR="00014C4D" w:rsidRPr="00014C4D" w:rsidRDefault="00014C4D" w:rsidP="00014C4D">
      <w:pPr>
        <w:tabs>
          <w:tab w:val="left" w:pos="424"/>
        </w:tabs>
        <w:spacing w:line="269" w:lineRule="auto"/>
        <w:ind w:left="424" w:hanging="424"/>
        <w:rPr>
          <w:rFonts w:ascii="David" w:hAnsi="David"/>
          <w:sz w:val="18"/>
          <w:szCs w:val="18"/>
          <w:rtl/>
        </w:rPr>
      </w:pPr>
      <w:r w:rsidRPr="00014C4D">
        <w:rPr>
          <w:rFonts w:ascii="David" w:hAnsi="David" w:hint="cs"/>
          <w:sz w:val="18"/>
          <w:szCs w:val="18"/>
          <w:rtl/>
        </w:rPr>
        <w:t xml:space="preserve">* </w:t>
      </w:r>
      <w:r w:rsidRPr="00014C4D">
        <w:rPr>
          <w:rFonts w:ascii="David" w:hAnsi="David"/>
          <w:sz w:val="18"/>
          <w:szCs w:val="18"/>
          <w:rtl/>
        </w:rPr>
        <w:tab/>
      </w:r>
      <w:r w:rsidRPr="00014C4D">
        <w:rPr>
          <w:rFonts w:ascii="David" w:hAnsi="David" w:hint="cs"/>
          <w:sz w:val="18"/>
          <w:szCs w:val="18"/>
          <w:rtl/>
        </w:rPr>
        <w:t xml:space="preserve">בהחלטת הממשלה תוקצב סכום כולל של 9 מיליון ש"ח עבור שלושה נושאים, אולם שניים מהם אינם קשורים למיגון מקלטים. להלן הפירוט: </w:t>
      </w:r>
      <w:r w:rsidRPr="00014C4D">
        <w:rPr>
          <w:rFonts w:ascii="David" w:hAnsi="David"/>
          <w:sz w:val="18"/>
          <w:szCs w:val="18"/>
          <w:u w:val="single"/>
          <w:rtl/>
        </w:rPr>
        <w:t>שיפוץ 60 מקלטים ציבוריים</w:t>
      </w:r>
      <w:r w:rsidRPr="00014C4D">
        <w:rPr>
          <w:rFonts w:ascii="David" w:hAnsi="David" w:hint="cs"/>
          <w:sz w:val="18"/>
          <w:szCs w:val="18"/>
          <w:rtl/>
        </w:rPr>
        <w:t>;</w:t>
      </w:r>
      <w:r w:rsidRPr="00014C4D">
        <w:rPr>
          <w:rFonts w:ascii="David" w:hAnsi="David" w:hint="cs"/>
          <w:sz w:val="18"/>
          <w:szCs w:val="18"/>
        </w:rPr>
        <w:t xml:space="preserve"> </w:t>
      </w:r>
      <w:r w:rsidRPr="00014C4D">
        <w:rPr>
          <w:rFonts w:ascii="David" w:hAnsi="David"/>
          <w:sz w:val="18"/>
          <w:szCs w:val="18"/>
          <w:rtl/>
        </w:rPr>
        <w:t>מערכת</w:t>
      </w:r>
      <w:r w:rsidRPr="00014C4D">
        <w:rPr>
          <w:rFonts w:ascii="David" w:hAnsi="David" w:hint="cs"/>
          <w:sz w:val="18"/>
          <w:szCs w:val="18"/>
        </w:rPr>
        <w:t xml:space="preserve"> </w:t>
      </w:r>
      <w:r w:rsidRPr="00014C4D">
        <w:rPr>
          <w:rFonts w:ascii="David" w:hAnsi="David"/>
          <w:sz w:val="18"/>
          <w:szCs w:val="18"/>
          <w:rtl/>
        </w:rPr>
        <w:t>רכישת ציוד למחסני חירום</w:t>
      </w:r>
      <w:r w:rsidRPr="00014C4D">
        <w:rPr>
          <w:rFonts w:ascii="David" w:hAnsi="David" w:hint="cs"/>
          <w:sz w:val="18"/>
          <w:szCs w:val="18"/>
          <w:rtl/>
        </w:rPr>
        <w:t xml:space="preserve">; שיפוץ מרכז הפעלה ורכישת מצלמות. משרד הפנים המציא לעובדי משרד מבקר המדינה נתונים על התקצוב וההעברות בפועל </w:t>
      </w:r>
      <w:r w:rsidRPr="00014C4D">
        <w:rPr>
          <w:rFonts w:ascii="David" w:hAnsi="David" w:hint="eastAsia"/>
          <w:sz w:val="18"/>
          <w:szCs w:val="18"/>
          <w:u w:val="single"/>
          <w:rtl/>
        </w:rPr>
        <w:t>של</w:t>
      </w:r>
      <w:r w:rsidRPr="00014C4D">
        <w:rPr>
          <w:rFonts w:ascii="David" w:hAnsi="David"/>
          <w:sz w:val="18"/>
          <w:szCs w:val="18"/>
          <w:u w:val="single"/>
          <w:rtl/>
        </w:rPr>
        <w:t xml:space="preserve"> </w:t>
      </w:r>
      <w:r w:rsidRPr="00014C4D">
        <w:rPr>
          <w:rFonts w:ascii="David" w:hAnsi="David" w:hint="eastAsia"/>
          <w:sz w:val="18"/>
          <w:szCs w:val="18"/>
          <w:u w:val="single"/>
          <w:rtl/>
        </w:rPr>
        <w:t>שיפוץ</w:t>
      </w:r>
      <w:r w:rsidRPr="00014C4D">
        <w:rPr>
          <w:rFonts w:ascii="David" w:hAnsi="David"/>
          <w:sz w:val="18"/>
          <w:szCs w:val="18"/>
          <w:u w:val="single"/>
          <w:rtl/>
        </w:rPr>
        <w:t xml:space="preserve"> </w:t>
      </w:r>
      <w:r w:rsidRPr="00014C4D">
        <w:rPr>
          <w:rFonts w:ascii="David" w:hAnsi="David" w:hint="eastAsia"/>
          <w:sz w:val="18"/>
          <w:szCs w:val="18"/>
          <w:u w:val="single"/>
          <w:rtl/>
        </w:rPr>
        <w:t>המקלטים</w:t>
      </w:r>
      <w:r w:rsidRPr="00014C4D">
        <w:rPr>
          <w:rFonts w:ascii="David" w:hAnsi="David"/>
          <w:sz w:val="18"/>
          <w:szCs w:val="18"/>
          <w:u w:val="single"/>
          <w:rtl/>
        </w:rPr>
        <w:t xml:space="preserve"> </w:t>
      </w:r>
      <w:r w:rsidRPr="00014C4D">
        <w:rPr>
          <w:rFonts w:ascii="David" w:hAnsi="David" w:hint="eastAsia"/>
          <w:sz w:val="18"/>
          <w:szCs w:val="18"/>
          <w:u w:val="single"/>
          <w:rtl/>
        </w:rPr>
        <w:t>בלבד</w:t>
      </w:r>
      <w:r w:rsidRPr="00014C4D">
        <w:rPr>
          <w:rFonts w:ascii="David" w:hAnsi="David" w:hint="cs"/>
          <w:sz w:val="18"/>
          <w:szCs w:val="18"/>
          <w:rtl/>
        </w:rPr>
        <w:t>.</w:t>
      </w:r>
    </w:p>
    <w:p w:rsidR="00014C4D" w:rsidRPr="00014C4D" w:rsidRDefault="00014C4D" w:rsidP="00014C4D">
      <w:pPr>
        <w:tabs>
          <w:tab w:val="left" w:pos="424"/>
        </w:tabs>
        <w:spacing w:line="269" w:lineRule="auto"/>
        <w:ind w:left="424" w:hanging="424"/>
        <w:jc w:val="left"/>
        <w:rPr>
          <w:rFonts w:ascii="David" w:hAnsi="David"/>
          <w:sz w:val="18"/>
          <w:szCs w:val="18"/>
          <w:rtl/>
        </w:rPr>
      </w:pPr>
      <w:r w:rsidRPr="00014C4D">
        <w:rPr>
          <w:rFonts w:ascii="David" w:hAnsi="David" w:hint="cs"/>
          <w:sz w:val="18"/>
          <w:szCs w:val="18"/>
          <w:rtl/>
        </w:rPr>
        <w:t xml:space="preserve">** </w:t>
      </w:r>
      <w:r w:rsidRPr="00014C4D">
        <w:rPr>
          <w:rFonts w:ascii="David" w:hAnsi="David"/>
          <w:sz w:val="18"/>
          <w:szCs w:val="18"/>
          <w:rtl/>
        </w:rPr>
        <w:tab/>
      </w:r>
      <w:r w:rsidRPr="00014C4D">
        <w:rPr>
          <w:rFonts w:ascii="David" w:hAnsi="David" w:hint="cs"/>
          <w:sz w:val="18"/>
          <w:szCs w:val="18"/>
          <w:rtl/>
        </w:rPr>
        <w:t xml:space="preserve">על פי החלטת הממשלה על העירייה להשתתף </w:t>
      </w:r>
      <w:r w:rsidRPr="00014C4D">
        <w:rPr>
          <w:rFonts w:ascii="David" w:hAnsi="David" w:hint="eastAsia"/>
          <w:sz w:val="18"/>
          <w:szCs w:val="18"/>
          <w:u w:val="single"/>
          <w:rtl/>
        </w:rPr>
        <w:t>בסכום</w:t>
      </w:r>
      <w:r w:rsidRPr="00014C4D">
        <w:rPr>
          <w:rFonts w:ascii="David" w:hAnsi="David"/>
          <w:sz w:val="18"/>
          <w:szCs w:val="18"/>
          <w:u w:val="single"/>
          <w:rtl/>
        </w:rPr>
        <w:t xml:space="preserve"> </w:t>
      </w:r>
      <w:r w:rsidRPr="00014C4D">
        <w:rPr>
          <w:rFonts w:ascii="David" w:hAnsi="David" w:hint="eastAsia"/>
          <w:sz w:val="18"/>
          <w:szCs w:val="18"/>
          <w:u w:val="single"/>
          <w:rtl/>
        </w:rPr>
        <w:t>נוסף</w:t>
      </w:r>
      <w:r w:rsidRPr="00014C4D">
        <w:rPr>
          <w:rFonts w:ascii="David" w:hAnsi="David"/>
          <w:sz w:val="18"/>
          <w:szCs w:val="18"/>
          <w:u w:val="single"/>
          <w:rtl/>
        </w:rPr>
        <w:t xml:space="preserve"> </w:t>
      </w:r>
      <w:r w:rsidRPr="00014C4D">
        <w:rPr>
          <w:rFonts w:ascii="David" w:hAnsi="David" w:hint="eastAsia"/>
          <w:sz w:val="18"/>
          <w:szCs w:val="18"/>
          <w:u w:val="single"/>
          <w:rtl/>
        </w:rPr>
        <w:t>של</w:t>
      </w:r>
      <w:r w:rsidRPr="00014C4D">
        <w:rPr>
          <w:rFonts w:ascii="David" w:hAnsi="David"/>
          <w:sz w:val="18"/>
          <w:szCs w:val="18"/>
          <w:u w:val="single"/>
          <w:rtl/>
        </w:rPr>
        <w:t xml:space="preserve"> </w:t>
      </w:r>
      <w:r w:rsidRPr="00014C4D">
        <w:rPr>
          <w:rFonts w:ascii="David" w:hAnsi="David" w:hint="eastAsia"/>
          <w:sz w:val="18"/>
          <w:szCs w:val="18"/>
          <w:u w:val="single"/>
          <w:rtl/>
        </w:rPr>
        <w:t>מיליון</w:t>
      </w:r>
      <w:r w:rsidRPr="00014C4D">
        <w:rPr>
          <w:rFonts w:ascii="David" w:hAnsi="David"/>
          <w:sz w:val="18"/>
          <w:szCs w:val="18"/>
          <w:u w:val="single"/>
          <w:rtl/>
        </w:rPr>
        <w:t xml:space="preserve"> </w:t>
      </w:r>
      <w:r w:rsidRPr="00014C4D">
        <w:rPr>
          <w:rFonts w:ascii="David" w:hAnsi="David" w:hint="eastAsia"/>
          <w:sz w:val="18"/>
          <w:szCs w:val="18"/>
          <w:u w:val="single"/>
          <w:rtl/>
        </w:rPr>
        <w:t>ש</w:t>
      </w:r>
      <w:r w:rsidRPr="00014C4D">
        <w:rPr>
          <w:rFonts w:ascii="David" w:hAnsi="David"/>
          <w:sz w:val="18"/>
          <w:szCs w:val="18"/>
          <w:u w:val="single"/>
          <w:rtl/>
        </w:rPr>
        <w:t xml:space="preserve">"ח </w:t>
      </w:r>
      <w:r w:rsidRPr="00014C4D">
        <w:rPr>
          <w:rFonts w:ascii="David" w:hAnsi="David" w:hint="eastAsia"/>
          <w:sz w:val="18"/>
          <w:szCs w:val="18"/>
          <w:u w:val="single"/>
          <w:rtl/>
        </w:rPr>
        <w:t>מתקציבה</w:t>
      </w:r>
      <w:r w:rsidRPr="00014C4D">
        <w:rPr>
          <w:rFonts w:ascii="David" w:hAnsi="David"/>
          <w:sz w:val="18"/>
          <w:szCs w:val="18"/>
          <w:u w:val="single"/>
          <w:rtl/>
        </w:rPr>
        <w:t xml:space="preserve"> </w:t>
      </w:r>
      <w:r w:rsidRPr="00014C4D">
        <w:rPr>
          <w:rFonts w:ascii="David" w:hAnsi="David" w:hint="eastAsia"/>
          <w:sz w:val="18"/>
          <w:szCs w:val="18"/>
          <w:u w:val="single"/>
          <w:rtl/>
        </w:rPr>
        <w:t>למימון</w:t>
      </w:r>
      <w:r w:rsidRPr="00014C4D">
        <w:rPr>
          <w:rFonts w:ascii="David" w:hAnsi="David"/>
          <w:sz w:val="18"/>
          <w:szCs w:val="18"/>
          <w:u w:val="single"/>
          <w:rtl/>
        </w:rPr>
        <w:t xml:space="preserve"> </w:t>
      </w:r>
      <w:r w:rsidRPr="00014C4D">
        <w:rPr>
          <w:rFonts w:ascii="David" w:hAnsi="David" w:hint="eastAsia"/>
          <w:sz w:val="18"/>
          <w:szCs w:val="18"/>
          <w:u w:val="single"/>
          <w:rtl/>
        </w:rPr>
        <w:t>הפרויקט</w:t>
      </w:r>
      <w:r w:rsidRPr="00014C4D">
        <w:rPr>
          <w:rFonts w:ascii="David" w:hAnsi="David" w:hint="cs"/>
          <w:sz w:val="18"/>
          <w:szCs w:val="18"/>
          <w:rtl/>
        </w:rPr>
        <w:t>.</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jc w:val="left"/>
        <w:rPr>
          <w:rFonts w:ascii="David" w:hAnsi="David"/>
          <w:rtl/>
        </w:rPr>
      </w:pPr>
      <w:r w:rsidRPr="00014C4D">
        <w:rPr>
          <w:rFonts w:ascii="David" w:hAnsi="David" w:hint="cs"/>
          <w:rtl/>
        </w:rPr>
        <w:t>מהלוח עולים הממצאים האלה:</w:t>
      </w:r>
    </w:p>
    <w:p w:rsidR="00014C4D" w:rsidRPr="00014C4D" w:rsidRDefault="00014C4D" w:rsidP="00014C4D">
      <w:pPr>
        <w:tabs>
          <w:tab w:val="left" w:pos="424"/>
        </w:tabs>
        <w:spacing w:line="269" w:lineRule="auto"/>
        <w:jc w:val="left"/>
        <w:rPr>
          <w:rFonts w:ascii="David" w:hAnsi="David"/>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bCs/>
          <w:szCs w:val="26"/>
          <w:rtl/>
        </w:rPr>
        <w:t xml:space="preserve">החלטת </w:t>
      </w:r>
      <w:r w:rsidRPr="00014C4D">
        <w:rPr>
          <w:rFonts w:eastAsiaTheme="majorEastAsia" w:hint="cs"/>
          <w:bCs/>
          <w:szCs w:val="26"/>
          <w:rtl/>
        </w:rPr>
        <w:t>ה</w:t>
      </w:r>
      <w:r w:rsidRPr="00014C4D">
        <w:rPr>
          <w:rFonts w:eastAsiaTheme="majorEastAsia"/>
          <w:bCs/>
          <w:szCs w:val="26"/>
          <w:rtl/>
        </w:rPr>
        <w:t>ממשלה 4865 מפברואר 2020</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ascii="David" w:hAnsi="David" w:hint="cs"/>
          <w:rtl/>
        </w:rPr>
        <w:t xml:space="preserve">מהלוח עולה כי בשנים 2020 - 2023 ניצלה עיריית </w:t>
      </w:r>
      <w:r w:rsidRPr="00014C4D">
        <w:rPr>
          <w:rFonts w:ascii="David" w:hAnsi="David" w:hint="cs"/>
          <w:b/>
          <w:bCs/>
          <w:rtl/>
        </w:rPr>
        <w:t xml:space="preserve">אשקלון </w:t>
      </w:r>
      <w:r w:rsidRPr="00014C4D">
        <w:rPr>
          <w:rFonts w:ascii="David" w:hAnsi="David" w:hint="cs"/>
          <w:rtl/>
        </w:rPr>
        <w:t xml:space="preserve">כמעט את כל התקציב בסך 2.5 מיליון ש"ח של משרד הפנים לשיפוץ מקלטים ציבוריים. העירייה שיפצה בשנים האמורות </w:t>
      </w:r>
      <w:r w:rsidRPr="00014C4D">
        <w:rPr>
          <w:rFonts w:ascii="David" w:hAnsi="David"/>
          <w:rtl/>
        </w:rPr>
        <w:t xml:space="preserve">52 </w:t>
      </w:r>
      <w:r w:rsidRPr="00014C4D">
        <w:rPr>
          <w:rFonts w:ascii="David" w:hAnsi="David" w:hint="eastAsia"/>
          <w:rtl/>
        </w:rPr>
        <w:t>מתוך</w:t>
      </w:r>
      <w:r w:rsidRPr="00014C4D">
        <w:rPr>
          <w:rFonts w:ascii="David" w:hAnsi="David"/>
          <w:rtl/>
        </w:rPr>
        <w:t xml:space="preserve"> 60</w:t>
      </w:r>
      <w:r w:rsidRPr="00014C4D">
        <w:rPr>
          <w:rFonts w:ascii="David" w:hAnsi="David" w:hint="cs"/>
          <w:rtl/>
        </w:rPr>
        <w:t xml:space="preserve"> המקלטים שנקבעו בהחלטת הממשלה</w:t>
      </w:r>
      <w:r w:rsidRPr="00014C4D">
        <w:rPr>
          <w:rtl/>
        </w:rPr>
        <w:t>.</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נמצא כי העירייה העדיפה לשפץ את 52 המקלטים האמורים באופן חלקי ועשתה בהם בעיקר עבודות איטום, וכי היא לא ביצעה עבודות שיפוץ נוספות שנדרשו, כגון החלפת צנרת הביוב והמים והחלפת שקעי חשמל.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על עיריית אשקלון להשלים את השיפוצים להחלפת צנרת הביוב והמים והחלפת שקעי חשמל. כמו כן עליה להשלים את שיפוץ שמונת המקלטים הנותרים שנקבעו בהחלטת הממשלה האמורה.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בנוגע</w:t>
      </w:r>
      <w:r w:rsidRPr="00014C4D">
        <w:rPr>
          <w:b/>
          <w:bCs/>
          <w:rtl/>
        </w:rPr>
        <w:t xml:space="preserve"> </w:t>
      </w:r>
      <w:r w:rsidRPr="00014C4D">
        <w:rPr>
          <w:rFonts w:hint="eastAsia"/>
          <w:b/>
          <w:bCs/>
          <w:rtl/>
        </w:rPr>
        <w:t>למיגון</w:t>
      </w:r>
      <w:r w:rsidRPr="00014C4D">
        <w:rPr>
          <w:b/>
          <w:bCs/>
          <w:rtl/>
        </w:rPr>
        <w:t xml:space="preserve"> </w:t>
      </w:r>
      <w:r w:rsidRPr="00014C4D">
        <w:rPr>
          <w:rFonts w:hint="eastAsia"/>
          <w:b/>
          <w:bCs/>
          <w:rtl/>
        </w:rPr>
        <w:t>מרכזי</w:t>
      </w:r>
      <w:r w:rsidRPr="00014C4D">
        <w:rPr>
          <w:b/>
          <w:bCs/>
          <w:rtl/>
        </w:rPr>
        <w:t xml:space="preserve"> </w:t>
      </w:r>
      <w:r w:rsidRPr="00014C4D">
        <w:rPr>
          <w:rFonts w:hint="eastAsia"/>
          <w:b/>
          <w:bCs/>
          <w:rtl/>
        </w:rPr>
        <w:t>יום</w:t>
      </w:r>
      <w:r w:rsidRPr="00014C4D">
        <w:rPr>
          <w:b/>
          <w:bCs/>
          <w:rtl/>
        </w:rPr>
        <w:t xml:space="preserve"> </w:t>
      </w:r>
      <w:r w:rsidRPr="00014C4D">
        <w:rPr>
          <w:rFonts w:hint="eastAsia"/>
          <w:b/>
          <w:bCs/>
          <w:rtl/>
        </w:rPr>
        <w:t>נמצא</w:t>
      </w:r>
      <w:r w:rsidRPr="00014C4D">
        <w:rPr>
          <w:b/>
          <w:bCs/>
          <w:rtl/>
        </w:rPr>
        <w:t xml:space="preserve"> </w:t>
      </w:r>
      <w:r w:rsidRPr="00014C4D">
        <w:rPr>
          <w:rFonts w:hint="eastAsia"/>
          <w:b/>
          <w:bCs/>
          <w:rtl/>
        </w:rPr>
        <w:t>באוגוסט</w:t>
      </w:r>
      <w:r w:rsidRPr="00014C4D">
        <w:rPr>
          <w:b/>
          <w:bCs/>
          <w:rtl/>
        </w:rPr>
        <w:t xml:space="preserve"> 2024 </w:t>
      </w:r>
      <w:r w:rsidRPr="00014C4D">
        <w:rPr>
          <w:rFonts w:hint="eastAsia"/>
          <w:b/>
          <w:bCs/>
          <w:rtl/>
        </w:rPr>
        <w:t>כי</w:t>
      </w:r>
      <w:r w:rsidRPr="00014C4D">
        <w:rPr>
          <w:b/>
          <w:bCs/>
          <w:rtl/>
        </w:rPr>
        <w:t xml:space="preserve"> </w:t>
      </w:r>
      <w:r w:rsidRPr="00014C4D">
        <w:rPr>
          <w:rFonts w:hint="eastAsia"/>
          <w:b/>
          <w:bCs/>
          <w:rtl/>
        </w:rPr>
        <w:t>אף</w:t>
      </w:r>
      <w:r w:rsidRPr="00014C4D">
        <w:rPr>
          <w:b/>
          <w:bCs/>
          <w:rtl/>
        </w:rPr>
        <w:t xml:space="preserve"> </w:t>
      </w:r>
      <w:r w:rsidRPr="00014C4D">
        <w:rPr>
          <w:rFonts w:hint="eastAsia"/>
          <w:b/>
          <w:bCs/>
          <w:rtl/>
        </w:rPr>
        <w:t>שעברו</w:t>
      </w:r>
      <w:r w:rsidRPr="00014C4D">
        <w:rPr>
          <w:b/>
          <w:bCs/>
          <w:rtl/>
        </w:rPr>
        <w:t xml:space="preserve"> 4.5 </w:t>
      </w:r>
      <w:r w:rsidRPr="00014C4D">
        <w:rPr>
          <w:rFonts w:hint="eastAsia"/>
          <w:b/>
          <w:bCs/>
          <w:rtl/>
        </w:rPr>
        <w:t>שנים</w:t>
      </w:r>
      <w:r w:rsidRPr="00014C4D">
        <w:rPr>
          <w:b/>
          <w:bCs/>
          <w:rtl/>
        </w:rPr>
        <w:t xml:space="preserve"> </w:t>
      </w:r>
      <w:r w:rsidRPr="00014C4D">
        <w:rPr>
          <w:rFonts w:hint="eastAsia"/>
          <w:b/>
          <w:bCs/>
          <w:rtl/>
        </w:rPr>
        <w:t>מאז</w:t>
      </w:r>
      <w:r w:rsidRPr="00014C4D">
        <w:rPr>
          <w:b/>
          <w:bCs/>
          <w:rtl/>
        </w:rPr>
        <w:t xml:space="preserve"> </w:t>
      </w:r>
      <w:r w:rsidRPr="00014C4D">
        <w:rPr>
          <w:rFonts w:hint="eastAsia"/>
          <w:b/>
          <w:bCs/>
          <w:rtl/>
        </w:rPr>
        <w:t>התקבלה</w:t>
      </w:r>
      <w:r w:rsidRPr="00014C4D">
        <w:rPr>
          <w:b/>
          <w:bCs/>
          <w:rtl/>
        </w:rPr>
        <w:t xml:space="preserve"> </w:t>
      </w:r>
      <w:r w:rsidRPr="00014C4D">
        <w:rPr>
          <w:rFonts w:hint="eastAsia"/>
          <w:b/>
          <w:bCs/>
          <w:rtl/>
        </w:rPr>
        <w:t>החלטת</w:t>
      </w:r>
      <w:r w:rsidRPr="00014C4D">
        <w:rPr>
          <w:b/>
          <w:bCs/>
          <w:rtl/>
        </w:rPr>
        <w:t xml:space="preserve"> </w:t>
      </w:r>
      <w:r w:rsidRPr="00014C4D">
        <w:rPr>
          <w:rFonts w:hint="eastAsia"/>
          <w:b/>
          <w:bCs/>
          <w:rtl/>
        </w:rPr>
        <w:t>הממשלה</w:t>
      </w:r>
      <w:r w:rsidRPr="00014C4D">
        <w:rPr>
          <w:b/>
          <w:bCs/>
          <w:rtl/>
        </w:rPr>
        <w:t xml:space="preserve"> </w:t>
      </w:r>
      <w:r w:rsidRPr="00014C4D">
        <w:rPr>
          <w:rFonts w:hint="eastAsia"/>
          <w:b/>
          <w:bCs/>
          <w:rtl/>
        </w:rPr>
        <w:t>בפברואר</w:t>
      </w:r>
      <w:r w:rsidRPr="00014C4D">
        <w:rPr>
          <w:b/>
          <w:bCs/>
          <w:rtl/>
        </w:rPr>
        <w:t xml:space="preserve"> 2020, </w:t>
      </w:r>
      <w:r w:rsidRPr="00014C4D">
        <w:rPr>
          <w:rFonts w:hint="eastAsia"/>
          <w:b/>
          <w:bCs/>
          <w:rtl/>
        </w:rPr>
        <w:t>עיריית</w:t>
      </w:r>
      <w:r w:rsidRPr="00014C4D">
        <w:rPr>
          <w:b/>
          <w:bCs/>
          <w:rtl/>
        </w:rPr>
        <w:t xml:space="preserve"> </w:t>
      </w:r>
      <w:r w:rsidRPr="00014C4D">
        <w:rPr>
          <w:rFonts w:hint="eastAsia"/>
          <w:b/>
          <w:bCs/>
          <w:rtl/>
        </w:rPr>
        <w:t>אשקלון</w:t>
      </w:r>
      <w:r w:rsidRPr="00014C4D">
        <w:rPr>
          <w:b/>
          <w:bCs/>
          <w:rtl/>
        </w:rPr>
        <w:t xml:space="preserve"> </w:t>
      </w:r>
      <w:r w:rsidRPr="00014C4D">
        <w:rPr>
          <w:rFonts w:hint="eastAsia"/>
          <w:b/>
          <w:bCs/>
          <w:rtl/>
        </w:rPr>
        <w:t>טרם</w:t>
      </w:r>
      <w:r w:rsidRPr="00014C4D">
        <w:rPr>
          <w:b/>
          <w:bCs/>
          <w:rtl/>
        </w:rPr>
        <w:t xml:space="preserve"> </w:t>
      </w:r>
      <w:r w:rsidRPr="00014C4D">
        <w:rPr>
          <w:rFonts w:hint="eastAsia"/>
          <w:b/>
          <w:bCs/>
          <w:rtl/>
        </w:rPr>
        <w:t>מיגנה</w:t>
      </w:r>
      <w:r w:rsidRPr="00014C4D">
        <w:rPr>
          <w:b/>
          <w:bCs/>
          <w:rtl/>
        </w:rPr>
        <w:t xml:space="preserve"> מסגרות יומיות הפועלות במסגרת מרכזי יום.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rtl/>
        </w:rPr>
      </w:pPr>
      <w:r w:rsidRPr="00014C4D">
        <w:rPr>
          <w:rFonts w:ascii="David" w:hAnsi="David" w:hint="cs"/>
          <w:rtl/>
        </w:rPr>
        <w:t xml:space="preserve">משרד הרווחה מסר לעובדי משרד מבקר המדינה במהלך הביקורת בספטמבר 2024 כי הוא לא הקצה לעיריית אשקלון את הסכום של 500,000 ש"ח שנקבע בהחלטת הממשלה, משום שהעירייה לא ניצלה תקציבים שכבר הקצה לה לצורך מיגון המסגרות היומיות.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sz w:val="24"/>
          <w:rtl/>
        </w:rPr>
      </w:pPr>
      <w:r w:rsidRPr="00014C4D">
        <w:rPr>
          <w:rFonts w:ascii="David" w:hAnsi="David" w:hint="cs"/>
          <w:rtl/>
        </w:rPr>
        <w:t xml:space="preserve">עוד מסר משרד הרווחה כי בשנת 2024 פנתה אליו העירייה וביקשה תקציב למיגון שתי מסגרות יומיות נוספות, </w:t>
      </w:r>
      <w:r w:rsidRPr="00014C4D">
        <w:rPr>
          <w:rFonts w:hint="cs"/>
          <w:sz w:val="24"/>
          <w:rtl/>
        </w:rPr>
        <w:t xml:space="preserve">וכי ועדת המכרזים של המשרד אישרה עבורן בספטמבר 2024 את התקציב האמור בסך 500,000 ש"ח.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sz w:val="24"/>
          <w:rtl/>
        </w:rPr>
      </w:pPr>
      <w:r w:rsidRPr="00014C4D">
        <w:rPr>
          <w:rFonts w:hint="cs"/>
          <w:sz w:val="24"/>
          <w:rtl/>
        </w:rPr>
        <w:t xml:space="preserve">משרד הרווחה מסר בתשובתו למשרד מבקר המדינה ביוני 2025 כי במסגרת החלטת ממשלה מ-2013 אושרו </w:t>
      </w:r>
      <w:r w:rsidRPr="00014C4D">
        <w:rPr>
          <w:sz w:val="24"/>
          <w:rtl/>
        </w:rPr>
        <w:t>לעיריית אשקלון שני הסכמים</w:t>
      </w:r>
      <w:r w:rsidRPr="00014C4D">
        <w:rPr>
          <w:rFonts w:hint="cs"/>
          <w:sz w:val="24"/>
          <w:rtl/>
        </w:rPr>
        <w:t>: ה</w:t>
      </w:r>
      <w:r w:rsidRPr="00014C4D">
        <w:rPr>
          <w:sz w:val="24"/>
          <w:rtl/>
        </w:rPr>
        <w:t>ראשון נחתם בשנת 2016, בסכום כולל של</w:t>
      </w:r>
      <w:r w:rsidRPr="00014C4D">
        <w:rPr>
          <w:rFonts w:hint="cs"/>
          <w:sz w:val="24"/>
          <w:rtl/>
        </w:rPr>
        <w:t xml:space="preserve"> כ-1.543 מיליון</w:t>
      </w:r>
      <w:r w:rsidRPr="00014C4D">
        <w:rPr>
          <w:sz w:val="24"/>
          <w:rtl/>
        </w:rPr>
        <w:t xml:space="preserve"> ש"ח. מתוכו שולם סך של</w:t>
      </w:r>
      <w:r w:rsidRPr="00014C4D">
        <w:rPr>
          <w:rFonts w:hint="cs"/>
          <w:sz w:val="24"/>
          <w:rtl/>
        </w:rPr>
        <w:t xml:space="preserve"> כ-1.16 מיליון</w:t>
      </w:r>
      <w:r w:rsidRPr="00014C4D">
        <w:rPr>
          <w:sz w:val="24"/>
          <w:rtl/>
        </w:rPr>
        <w:t xml:space="preserve"> ש"ח. תקופת הביצוע של ההסכם נפר</w:t>
      </w:r>
      <w:r w:rsidRPr="00014C4D">
        <w:rPr>
          <w:rFonts w:hint="cs"/>
          <w:sz w:val="24"/>
          <w:rtl/>
        </w:rPr>
        <w:t>ס</w:t>
      </w:r>
      <w:r w:rsidRPr="00014C4D">
        <w:rPr>
          <w:sz w:val="24"/>
          <w:rtl/>
        </w:rPr>
        <w:t xml:space="preserve">ה על פני השנים 2016 </w:t>
      </w:r>
      <w:r w:rsidRPr="00014C4D">
        <w:rPr>
          <w:rFonts w:hint="cs"/>
          <w:sz w:val="24"/>
          <w:rtl/>
        </w:rPr>
        <w:t xml:space="preserve">- </w:t>
      </w:r>
      <w:r w:rsidRPr="00014C4D">
        <w:rPr>
          <w:sz w:val="24"/>
          <w:rtl/>
        </w:rPr>
        <w:t>2022</w:t>
      </w:r>
      <w:r w:rsidRPr="00014C4D">
        <w:rPr>
          <w:rFonts w:hint="cs"/>
          <w:sz w:val="24"/>
          <w:rtl/>
        </w:rPr>
        <w:t>;</w:t>
      </w:r>
      <w:r w:rsidRPr="00014C4D">
        <w:rPr>
          <w:sz w:val="24"/>
          <w:rtl/>
        </w:rPr>
        <w:t xml:space="preserve"> </w:t>
      </w:r>
      <w:r w:rsidRPr="00014C4D">
        <w:rPr>
          <w:rFonts w:hint="cs"/>
          <w:sz w:val="24"/>
          <w:rtl/>
        </w:rPr>
        <w:t>ה</w:t>
      </w:r>
      <w:r w:rsidRPr="00014C4D">
        <w:rPr>
          <w:sz w:val="24"/>
          <w:rtl/>
        </w:rPr>
        <w:t xml:space="preserve">הסכם </w:t>
      </w:r>
      <w:r w:rsidRPr="00014C4D">
        <w:rPr>
          <w:rFonts w:hint="cs"/>
          <w:sz w:val="24"/>
          <w:rtl/>
        </w:rPr>
        <w:t>ה</w:t>
      </w:r>
      <w:r w:rsidRPr="00014C4D">
        <w:rPr>
          <w:sz w:val="24"/>
          <w:rtl/>
        </w:rPr>
        <w:t xml:space="preserve">שני נחתם בשנת 2019, בסכום כולל של 518,400 ש"ח. מתוכו שולם סך של 129,600 ש"ח בלבד. ההסכם נכנס לתוקפו בשנת 2019, אך </w:t>
      </w:r>
      <w:r w:rsidRPr="00014C4D">
        <w:rPr>
          <w:rFonts w:hint="cs"/>
          <w:sz w:val="24"/>
          <w:rtl/>
        </w:rPr>
        <w:t>ביוני 2025</w:t>
      </w:r>
      <w:r w:rsidRPr="00014C4D">
        <w:rPr>
          <w:sz w:val="24"/>
          <w:rtl/>
        </w:rPr>
        <w:t xml:space="preserve"> טרם השלימה העירייה את ביצועו במלואו.</w:t>
      </w:r>
      <w:r w:rsidRPr="00014C4D">
        <w:rPr>
          <w:rFonts w:hint="cs"/>
          <w:sz w:val="24"/>
          <w:rtl/>
        </w:rPr>
        <w:t xml:space="preserve"> </w:t>
      </w:r>
      <w:r w:rsidRPr="00014C4D">
        <w:rPr>
          <w:sz w:val="24"/>
          <w:rtl/>
        </w:rPr>
        <w:t>בשנת 2021 הגישה עיריית אשקלון בקשה לתמיכה תקציבית עבור מיגון מועדוניות רווחה. ואולם,</w:t>
      </w:r>
      <w:r w:rsidRPr="00014C4D">
        <w:rPr>
          <w:rFonts w:hint="cs"/>
          <w:sz w:val="24"/>
          <w:rtl/>
        </w:rPr>
        <w:t xml:space="preserve"> </w:t>
      </w:r>
      <w:r w:rsidRPr="00014C4D">
        <w:rPr>
          <w:sz w:val="24"/>
          <w:rtl/>
        </w:rPr>
        <w:t xml:space="preserve">מאחר </w:t>
      </w:r>
      <w:r w:rsidRPr="00014C4D">
        <w:rPr>
          <w:rFonts w:hint="cs"/>
          <w:sz w:val="24"/>
          <w:rtl/>
        </w:rPr>
        <w:t>ש</w:t>
      </w:r>
      <w:r w:rsidRPr="00014C4D">
        <w:rPr>
          <w:sz w:val="24"/>
          <w:rtl/>
        </w:rPr>
        <w:t>הבקשה נגעה למסגרות ש</w:t>
      </w:r>
      <w:r w:rsidRPr="00014C4D">
        <w:rPr>
          <w:rFonts w:hint="cs"/>
          <w:sz w:val="24"/>
          <w:rtl/>
        </w:rPr>
        <w:t xml:space="preserve">תקצוב מיגונן </w:t>
      </w:r>
      <w:r w:rsidRPr="00014C4D">
        <w:rPr>
          <w:sz w:val="24"/>
          <w:rtl/>
        </w:rPr>
        <w:t>כבר אושר במסגרת ההסכם משנת 2019 וטרם נוצל</w:t>
      </w:r>
      <w:r w:rsidRPr="00014C4D">
        <w:rPr>
          <w:rFonts w:hint="cs"/>
          <w:sz w:val="24"/>
          <w:rtl/>
        </w:rPr>
        <w:t xml:space="preserve">, </w:t>
      </w:r>
      <w:r w:rsidRPr="00014C4D">
        <w:rPr>
          <w:sz w:val="24"/>
          <w:rtl/>
        </w:rPr>
        <w:t>החליטה ועדת המכרזים שלא לאשר את התקציב המבוקש.</w:t>
      </w:r>
      <w:r w:rsidRPr="00014C4D">
        <w:rPr>
          <w:rFonts w:hint="cs"/>
          <w:sz w:val="24"/>
          <w:rtl/>
        </w:rPr>
        <w:t xml:space="preserve"> </w:t>
      </w:r>
      <w:r w:rsidRPr="00014C4D">
        <w:rPr>
          <w:sz w:val="24"/>
          <w:rtl/>
        </w:rPr>
        <w:t xml:space="preserve">בסוף שנת 2023 הגישה העירייה בקשה מעודכנת בנוגע להסכם </w:t>
      </w:r>
      <w:r w:rsidRPr="00014C4D">
        <w:rPr>
          <w:rFonts w:hint="cs"/>
          <w:sz w:val="24"/>
          <w:rtl/>
        </w:rPr>
        <w:t>מ-2019</w:t>
      </w:r>
      <w:r w:rsidRPr="00014C4D">
        <w:rPr>
          <w:sz w:val="24"/>
          <w:rtl/>
        </w:rPr>
        <w:t>, שכללה שתי בקשות עיקריות:</w:t>
      </w:r>
      <w:r w:rsidRPr="00014C4D">
        <w:rPr>
          <w:rFonts w:hint="cs"/>
          <w:sz w:val="24"/>
          <w:rtl/>
        </w:rPr>
        <w:t xml:space="preserve"> </w:t>
      </w:r>
      <w:r w:rsidRPr="00014C4D">
        <w:rPr>
          <w:sz w:val="24"/>
          <w:rtl/>
        </w:rPr>
        <w:t>הסבת התקציב המאושר עבור שתי מועדוניות</w:t>
      </w:r>
      <w:r w:rsidRPr="00014C4D">
        <w:rPr>
          <w:rFonts w:hint="cs"/>
          <w:sz w:val="24"/>
          <w:rtl/>
        </w:rPr>
        <w:t xml:space="preserve"> למיגון</w:t>
      </w:r>
      <w:r w:rsidRPr="00014C4D">
        <w:rPr>
          <w:sz w:val="24"/>
          <w:rtl/>
        </w:rPr>
        <w:t xml:space="preserve"> שתי מועדוניות אחרות </w:t>
      </w:r>
      <w:r w:rsidRPr="00014C4D">
        <w:rPr>
          <w:rFonts w:hint="cs"/>
          <w:sz w:val="24"/>
          <w:rtl/>
        </w:rPr>
        <w:t>-</w:t>
      </w:r>
      <w:r w:rsidRPr="00014C4D">
        <w:rPr>
          <w:sz w:val="24"/>
          <w:rtl/>
        </w:rPr>
        <w:t xml:space="preserve"> בתוך</w:t>
      </w:r>
      <w:r w:rsidRPr="00014C4D">
        <w:rPr>
          <w:rFonts w:hint="cs"/>
          <w:sz w:val="24"/>
          <w:rtl/>
        </w:rPr>
        <w:t xml:space="preserve"> </w:t>
      </w:r>
      <w:r w:rsidRPr="00014C4D">
        <w:rPr>
          <w:sz w:val="24"/>
          <w:rtl/>
        </w:rPr>
        <w:t>מסגרת התקציב המאושרת</w:t>
      </w:r>
      <w:r w:rsidRPr="00014C4D">
        <w:rPr>
          <w:rFonts w:hint="cs"/>
          <w:sz w:val="24"/>
          <w:rtl/>
        </w:rPr>
        <w:t xml:space="preserve">; </w:t>
      </w:r>
      <w:r w:rsidRPr="00014C4D">
        <w:rPr>
          <w:sz w:val="24"/>
          <w:rtl/>
        </w:rPr>
        <w:t>הגדלת סכום ההסכם ב-500</w:t>
      </w:r>
      <w:r w:rsidRPr="00014C4D">
        <w:rPr>
          <w:rFonts w:hint="cs"/>
          <w:sz w:val="24"/>
          <w:rtl/>
        </w:rPr>
        <w:t>,000</w:t>
      </w:r>
      <w:r w:rsidRPr="00014C4D">
        <w:rPr>
          <w:sz w:val="24"/>
          <w:rtl/>
        </w:rPr>
        <w:t xml:space="preserve"> ש"ח, כך </w:t>
      </w:r>
      <w:r w:rsidRPr="00014C4D">
        <w:rPr>
          <w:rFonts w:hint="cs"/>
          <w:sz w:val="24"/>
          <w:rtl/>
        </w:rPr>
        <w:t xml:space="preserve">שהסכום הכולל </w:t>
      </w:r>
      <w:r w:rsidRPr="00014C4D">
        <w:rPr>
          <w:sz w:val="24"/>
          <w:rtl/>
        </w:rPr>
        <w:t>למיגון שתי המועדוניות יעמוד על</w:t>
      </w:r>
      <w:r w:rsidRPr="00014C4D">
        <w:rPr>
          <w:rFonts w:hint="cs"/>
          <w:sz w:val="24"/>
          <w:rtl/>
        </w:rPr>
        <w:t xml:space="preserve"> כ-1.02 מיליון</w:t>
      </w:r>
      <w:r w:rsidRPr="00014C4D">
        <w:rPr>
          <w:sz w:val="24"/>
          <w:rtl/>
        </w:rPr>
        <w:t xml:space="preserve"> ש"ח</w:t>
      </w:r>
      <w:r w:rsidRPr="00014C4D">
        <w:rPr>
          <w:rFonts w:hint="cs"/>
          <w:sz w:val="24"/>
          <w:rtl/>
        </w:rPr>
        <w:t xml:space="preserve">. </w:t>
      </w:r>
      <w:r w:rsidRPr="00014C4D">
        <w:rPr>
          <w:sz w:val="24"/>
          <w:rtl/>
        </w:rPr>
        <w:t xml:space="preserve">נוכח מורכבות הבקשה והצורך בהשלמות </w:t>
      </w:r>
      <w:r w:rsidRPr="00014C4D">
        <w:rPr>
          <w:rFonts w:hint="cs"/>
          <w:sz w:val="24"/>
          <w:rtl/>
        </w:rPr>
        <w:t>מטעם</w:t>
      </w:r>
      <w:r w:rsidRPr="00014C4D">
        <w:rPr>
          <w:sz w:val="24"/>
          <w:rtl/>
        </w:rPr>
        <w:t xml:space="preserve"> העירייה נדרש פרק זמן ארוך לבחינתה. יש לציין כי</w:t>
      </w:r>
      <w:r w:rsidRPr="00014C4D">
        <w:rPr>
          <w:rFonts w:hint="cs"/>
          <w:sz w:val="24"/>
          <w:rtl/>
        </w:rPr>
        <w:t xml:space="preserve"> </w:t>
      </w:r>
      <w:r w:rsidRPr="00014C4D">
        <w:rPr>
          <w:sz w:val="24"/>
          <w:rtl/>
        </w:rPr>
        <w:t xml:space="preserve">מדובר בתקצוב הנוגע להחלטת ממשלה משנת 2020. לאחר השלמת </w:t>
      </w:r>
      <w:r w:rsidRPr="00014C4D">
        <w:rPr>
          <w:rFonts w:hint="cs"/>
          <w:sz w:val="24"/>
          <w:rtl/>
        </w:rPr>
        <w:t>ה</w:t>
      </w:r>
      <w:r w:rsidRPr="00014C4D">
        <w:rPr>
          <w:sz w:val="24"/>
          <w:rtl/>
        </w:rPr>
        <w:t>נדרש אישרה ועדת</w:t>
      </w:r>
      <w:r w:rsidRPr="00014C4D">
        <w:rPr>
          <w:rFonts w:hint="cs"/>
          <w:sz w:val="24"/>
          <w:rtl/>
        </w:rPr>
        <w:t xml:space="preserve"> </w:t>
      </w:r>
      <w:r w:rsidRPr="00014C4D">
        <w:rPr>
          <w:sz w:val="24"/>
          <w:rtl/>
        </w:rPr>
        <w:t>המכרזים את הבקשה, ו</w:t>
      </w:r>
      <w:r w:rsidRPr="00014C4D">
        <w:rPr>
          <w:rFonts w:hint="cs"/>
          <w:sz w:val="24"/>
          <w:rtl/>
        </w:rPr>
        <w:t xml:space="preserve">סכום </w:t>
      </w:r>
      <w:r w:rsidRPr="00014C4D">
        <w:rPr>
          <w:sz w:val="24"/>
          <w:rtl/>
        </w:rPr>
        <w:t xml:space="preserve">הסכם מס' 2 </w:t>
      </w:r>
      <w:r w:rsidRPr="00014C4D">
        <w:rPr>
          <w:rFonts w:hint="cs"/>
          <w:sz w:val="24"/>
          <w:rtl/>
        </w:rPr>
        <w:t xml:space="preserve">הוגדל </w:t>
      </w:r>
      <w:r w:rsidRPr="00014C4D">
        <w:rPr>
          <w:sz w:val="24"/>
          <w:rtl/>
        </w:rPr>
        <w:t>ב-500</w:t>
      </w:r>
      <w:r w:rsidRPr="00014C4D">
        <w:rPr>
          <w:rFonts w:hint="cs"/>
          <w:sz w:val="24"/>
          <w:rtl/>
        </w:rPr>
        <w:t>,000</w:t>
      </w:r>
      <w:r w:rsidRPr="00014C4D">
        <w:rPr>
          <w:sz w:val="24"/>
          <w:rtl/>
        </w:rPr>
        <w:t xml:space="preserve"> </w:t>
      </w:r>
      <w:r w:rsidRPr="00014C4D">
        <w:rPr>
          <w:rFonts w:hint="cs"/>
          <w:sz w:val="24"/>
          <w:rtl/>
        </w:rPr>
        <w:t>ש"ח</w:t>
      </w:r>
      <w:r w:rsidRPr="00014C4D">
        <w:rPr>
          <w:sz w:val="24"/>
          <w:rtl/>
        </w:rPr>
        <w:t>.</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rPr>
          <w:rFonts w:ascii="David" w:hAnsi="David"/>
          <w:b/>
          <w:bCs/>
          <w:rtl/>
        </w:rPr>
      </w:pPr>
      <w:r w:rsidRPr="00014C4D">
        <w:rPr>
          <w:rFonts w:ascii="David" w:hAnsi="David" w:hint="cs"/>
          <w:b/>
          <w:bCs/>
          <w:rtl/>
        </w:rPr>
        <w:t xml:space="preserve">על עיריית אשקלון לזרז את מיגון המסגרות היומיות ולנצל את התקציבים שקבע לה משרד הרווחה בסמוך למועד הקצאתם. </w:t>
      </w:r>
    </w:p>
    <w:p w:rsidR="00014C4D" w:rsidRPr="00014C4D" w:rsidRDefault="00014C4D" w:rsidP="00014C4D">
      <w:pPr>
        <w:tabs>
          <w:tab w:val="left" w:pos="424"/>
        </w:tabs>
        <w:spacing w:line="269" w:lineRule="auto"/>
        <w:jc w:val="left"/>
        <w:rPr>
          <w:rFonts w:ascii="David" w:hAnsi="David"/>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החלטת הממשלה 1278 ממרץ 2022</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מהלוח עולה כי בשנים 2022 ו-2023 הקצו משרדי הממשלה לעיריית אשקלון סך 12.63 מיליון ש"ח מתוך התקציב שנקבע החלטת הממשלה בסך 21 מיליון ש"ח (60%) והעבירו לידיה רק סך של 2.7 מיליון ש"ח מתוך תקציב בסך של 12.63 מיליון ש"ח (21%) שהקצו </w:t>
      </w:r>
      <w:r w:rsidRPr="00014C4D">
        <w:rPr>
          <w:rFonts w:hint="eastAsia"/>
          <w:b/>
          <w:bCs/>
          <w:rtl/>
        </w:rPr>
        <w:t>לה</w:t>
      </w:r>
      <w:r w:rsidRPr="00014C4D">
        <w:rPr>
          <w:rFonts w:hint="cs"/>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להלן הממצאים שהועלו בעניין ניצול התקציבים על ידי עיריית אשקלון:</w:t>
      </w:r>
    </w:p>
    <w:p w:rsidR="00014C4D" w:rsidRPr="00014C4D" w:rsidRDefault="00014C4D" w:rsidP="00014C4D">
      <w:pPr>
        <w:spacing w:line="269" w:lineRule="auto"/>
        <w:rPr>
          <w:rtl/>
        </w:rPr>
      </w:pPr>
    </w:p>
    <w:p w:rsidR="00014C4D" w:rsidRPr="00014C4D" w:rsidRDefault="00014C4D" w:rsidP="00014C4D">
      <w:pPr>
        <w:spacing w:line="269" w:lineRule="auto"/>
        <w:rPr>
          <w:rtl/>
        </w:rPr>
      </w:pPr>
    </w:p>
    <w:p w:rsidR="00014C4D" w:rsidRPr="00014C4D" w:rsidRDefault="00014C4D" w:rsidP="00014C4D">
      <w:pPr>
        <w:spacing w:line="269" w:lineRule="auto"/>
        <w:ind w:left="-567"/>
        <w:rPr>
          <w:szCs w:val="20"/>
          <w:rtl/>
        </w:rPr>
      </w:pPr>
    </w:p>
    <w:p w:rsidR="00014C4D" w:rsidRPr="00014C4D" w:rsidRDefault="00014C4D" w:rsidP="00014C4D">
      <w:pPr>
        <w:numPr>
          <w:ilvl w:val="0"/>
          <w:numId w:val="30"/>
        </w:numPr>
        <w:tabs>
          <w:tab w:val="left" w:pos="283"/>
        </w:tabs>
        <w:spacing w:line="269" w:lineRule="auto"/>
        <w:ind w:left="283" w:hanging="283"/>
        <w:contextualSpacing/>
        <w:rPr>
          <w:bCs/>
        </w:rPr>
      </w:pPr>
      <w:r w:rsidRPr="00014C4D">
        <w:rPr>
          <w:rFonts w:hint="cs"/>
          <w:bCs/>
          <w:rtl/>
        </w:rPr>
        <w:t xml:space="preserve">המשרד לשירותי דת הקצה לעיריית אשקלון תקציב בסך 2 מיליון ש"ח לבינוי בתי כנסת ממוגנים. </w:t>
      </w:r>
    </w:p>
    <w:p w:rsidR="00014C4D" w:rsidRPr="00014C4D" w:rsidRDefault="00014C4D" w:rsidP="00014C4D">
      <w:pPr>
        <w:spacing w:line="269" w:lineRule="auto"/>
        <w:ind w:left="-567"/>
        <w:rPr>
          <w:szCs w:val="20"/>
        </w:rPr>
      </w:pPr>
    </w:p>
    <w:p w:rsidR="00014C4D" w:rsidRPr="00014C4D" w:rsidRDefault="00014C4D" w:rsidP="00014C4D">
      <w:pPr>
        <w:ind w:left="283"/>
        <w:rPr>
          <w:b/>
          <w:bCs/>
          <w:rtl/>
        </w:rPr>
      </w:pPr>
      <w:r w:rsidRPr="00014C4D">
        <w:rPr>
          <w:rFonts w:hint="cs"/>
          <w:b/>
          <w:bCs/>
          <w:rtl/>
        </w:rPr>
        <w:t xml:space="preserve">נמצא כי עיריית אשקלון הוציאה בשנת 2023 ובינואר עד יולי 2024 כ-540,000 ש"ח בלבד למטרה זו (מזה כ-0.24 מיליון ש"ח בשנת 2023 וכ-0.3 מיליון ש"ח מינואר עד יולי 2024). עוד נמצא כי המשרד לשירותי דת לא העביר לעירייה את הסכום של 2 מיליון ש"ח שהקצה למטרה זו.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312"/>
        <w:rPr>
          <w:rFonts w:ascii="David" w:hAnsi="David"/>
          <w:rtl/>
        </w:rPr>
      </w:pPr>
      <w:r w:rsidRPr="00014C4D">
        <w:rPr>
          <w:rFonts w:ascii="David" w:hAnsi="David" w:hint="cs"/>
          <w:rtl/>
        </w:rPr>
        <w:t>עיריית</w:t>
      </w:r>
      <w:r w:rsidRPr="00014C4D">
        <w:rPr>
          <w:rFonts w:ascii="David" w:hAnsi="David" w:hint="cs"/>
          <w:b/>
          <w:bCs/>
          <w:rtl/>
        </w:rPr>
        <w:t xml:space="preserve"> אשקלון </w:t>
      </w:r>
      <w:r w:rsidRPr="00014C4D">
        <w:rPr>
          <w:rFonts w:ascii="David" w:hAnsi="David" w:hint="cs"/>
          <w:rtl/>
        </w:rPr>
        <w:t xml:space="preserve">מסרה לעובדי משרד מבקר המדינה במהלך הביקורת ביולי 2024 כי מדובר בבניית בית כנסת ממוגן שעלותו הכוללת </w:t>
      </w:r>
      <w:r w:rsidRPr="00014C4D">
        <w:rPr>
          <w:rFonts w:ascii="David" w:hAnsi="David"/>
          <w:rtl/>
        </w:rPr>
        <w:t xml:space="preserve">5 </w:t>
      </w:r>
      <w:r w:rsidRPr="00014C4D">
        <w:rPr>
          <w:rFonts w:ascii="David" w:hAnsi="David" w:hint="eastAsia"/>
          <w:rtl/>
        </w:rPr>
        <w:t>מיליון</w:t>
      </w:r>
      <w:r w:rsidRPr="00014C4D">
        <w:rPr>
          <w:rFonts w:ascii="David" w:hAnsi="David"/>
          <w:rtl/>
        </w:rPr>
        <w:t xml:space="preserve"> </w:t>
      </w:r>
      <w:r w:rsidRPr="00014C4D">
        <w:rPr>
          <w:rFonts w:ascii="David" w:hAnsi="David" w:hint="eastAsia"/>
          <w:rtl/>
        </w:rPr>
        <w:t>ש</w:t>
      </w:r>
      <w:r w:rsidRPr="00014C4D">
        <w:rPr>
          <w:rFonts w:ascii="David" w:hAnsi="David"/>
          <w:rtl/>
        </w:rPr>
        <w:t>"ח</w:t>
      </w:r>
      <w:r w:rsidRPr="00014C4D">
        <w:rPr>
          <w:rFonts w:ascii="David" w:hAnsi="David" w:hint="cs"/>
          <w:rtl/>
        </w:rPr>
        <w:t xml:space="preserve">, מזה </w:t>
      </w:r>
      <w:r w:rsidRPr="00014C4D">
        <w:rPr>
          <w:rFonts w:ascii="David" w:hAnsi="David"/>
          <w:rtl/>
        </w:rPr>
        <w:t xml:space="preserve">3 </w:t>
      </w:r>
      <w:r w:rsidRPr="00014C4D">
        <w:rPr>
          <w:rFonts w:ascii="David" w:hAnsi="David" w:hint="eastAsia"/>
          <w:rtl/>
        </w:rPr>
        <w:t>מיליון</w:t>
      </w:r>
      <w:r w:rsidRPr="00014C4D">
        <w:rPr>
          <w:rFonts w:ascii="David" w:hAnsi="David"/>
          <w:rtl/>
        </w:rPr>
        <w:t xml:space="preserve"> </w:t>
      </w:r>
      <w:r w:rsidRPr="00014C4D">
        <w:rPr>
          <w:rFonts w:ascii="David" w:hAnsi="David" w:hint="eastAsia"/>
          <w:rtl/>
        </w:rPr>
        <w:t>ש</w:t>
      </w:r>
      <w:r w:rsidRPr="00014C4D">
        <w:rPr>
          <w:rFonts w:ascii="David" w:hAnsi="David"/>
          <w:rtl/>
        </w:rPr>
        <w:t>"ח</w:t>
      </w:r>
      <w:r w:rsidRPr="00014C4D">
        <w:rPr>
          <w:rFonts w:ascii="David" w:hAnsi="David" w:hint="cs"/>
          <w:rtl/>
        </w:rPr>
        <w:t xml:space="preserve"> במימון העירייה, וכי הפרויקט נמצא כיום בשלב התכנון.</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t xml:space="preserve">מומלץ כי עיריית אשקלון תזרז את השלמת התכנון של בית הכנסת ותחל את בנייתו כדי שתוכל לנצל בהקדם את הסכום בסך </w:t>
      </w:r>
      <w:r w:rsidRPr="00014C4D">
        <w:rPr>
          <w:rFonts w:ascii="David" w:hAnsi="David"/>
          <w:b/>
          <w:bCs/>
          <w:rtl/>
        </w:rPr>
        <w:t xml:space="preserve">2 </w:t>
      </w:r>
      <w:r w:rsidRPr="00014C4D">
        <w:rPr>
          <w:rFonts w:ascii="David" w:hAnsi="David" w:hint="eastAsia"/>
          <w:b/>
          <w:bCs/>
          <w:rtl/>
        </w:rPr>
        <w:t>מיליון</w:t>
      </w:r>
      <w:r w:rsidRPr="00014C4D">
        <w:rPr>
          <w:rFonts w:ascii="David" w:hAnsi="David"/>
          <w:b/>
          <w:bCs/>
          <w:rtl/>
        </w:rPr>
        <w:t xml:space="preserve"> </w:t>
      </w:r>
      <w:r w:rsidRPr="00014C4D">
        <w:rPr>
          <w:rFonts w:ascii="David" w:hAnsi="David" w:hint="eastAsia"/>
          <w:b/>
          <w:bCs/>
          <w:rtl/>
        </w:rPr>
        <w:t>ש</w:t>
      </w:r>
      <w:r w:rsidRPr="00014C4D">
        <w:rPr>
          <w:rFonts w:ascii="David" w:hAnsi="David"/>
          <w:b/>
          <w:bCs/>
          <w:rtl/>
        </w:rPr>
        <w:t xml:space="preserve">"ח </w:t>
      </w:r>
      <w:r w:rsidRPr="00014C4D">
        <w:rPr>
          <w:rFonts w:ascii="David" w:hAnsi="David" w:hint="eastAsia"/>
          <w:b/>
          <w:bCs/>
          <w:rtl/>
        </w:rPr>
        <w:t>שהקצה</w:t>
      </w:r>
      <w:r w:rsidRPr="00014C4D">
        <w:rPr>
          <w:rFonts w:ascii="David" w:hAnsi="David"/>
          <w:b/>
          <w:bCs/>
          <w:rtl/>
        </w:rPr>
        <w:t xml:space="preserve"> </w:t>
      </w:r>
      <w:r w:rsidRPr="00014C4D">
        <w:rPr>
          <w:rFonts w:ascii="David" w:hAnsi="David" w:hint="eastAsia"/>
          <w:b/>
          <w:bCs/>
          <w:rtl/>
        </w:rPr>
        <w:t>לה</w:t>
      </w:r>
      <w:r w:rsidRPr="00014C4D">
        <w:rPr>
          <w:rFonts w:ascii="David" w:hAnsi="David"/>
          <w:b/>
          <w:bCs/>
          <w:rtl/>
        </w:rPr>
        <w:t xml:space="preserve"> </w:t>
      </w:r>
      <w:r w:rsidRPr="00014C4D">
        <w:rPr>
          <w:rFonts w:ascii="David" w:hAnsi="David" w:hint="eastAsia"/>
          <w:b/>
          <w:bCs/>
          <w:rtl/>
        </w:rPr>
        <w:t>המשרד</w:t>
      </w:r>
      <w:r w:rsidRPr="00014C4D">
        <w:rPr>
          <w:rFonts w:ascii="David" w:hAnsi="David"/>
          <w:b/>
          <w:bCs/>
          <w:rtl/>
        </w:rPr>
        <w:t xml:space="preserve"> </w:t>
      </w:r>
      <w:r w:rsidRPr="00014C4D">
        <w:rPr>
          <w:rFonts w:ascii="David" w:hAnsi="David" w:hint="eastAsia"/>
          <w:b/>
          <w:bCs/>
          <w:rtl/>
        </w:rPr>
        <w:t>לשירותי</w:t>
      </w:r>
      <w:r w:rsidRPr="00014C4D">
        <w:rPr>
          <w:rFonts w:ascii="David" w:hAnsi="David"/>
          <w:b/>
          <w:bCs/>
          <w:rtl/>
        </w:rPr>
        <w:t xml:space="preserve"> </w:t>
      </w:r>
      <w:r w:rsidRPr="00014C4D">
        <w:rPr>
          <w:rFonts w:ascii="David" w:hAnsi="David" w:hint="eastAsia"/>
          <w:b/>
          <w:bCs/>
          <w:rtl/>
        </w:rPr>
        <w:t>דת</w:t>
      </w:r>
      <w:r w:rsidRPr="00014C4D">
        <w:rPr>
          <w:rFonts w:ascii="David" w:hAnsi="David"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t xml:space="preserve">מומלץ למשרד לשירותי דת לבחון הקצאת תקציבים למיגון בתי כנסת נוספים.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312"/>
        <w:rPr>
          <w:rFonts w:ascii="David" w:hAnsi="David"/>
          <w:rtl/>
        </w:rPr>
      </w:pPr>
      <w:r w:rsidRPr="00014C4D">
        <w:rPr>
          <w:rFonts w:ascii="David" w:hAnsi="David" w:hint="cs"/>
          <w:rtl/>
        </w:rPr>
        <w:t xml:space="preserve">המשרד לשירותי דת מסר בתשובתו למשרד מבקר המדינה במאי 2025 </w:t>
      </w:r>
      <w:r w:rsidRPr="00014C4D">
        <w:rPr>
          <w:rFonts w:ascii="David" w:hAnsi="David"/>
          <w:rtl/>
        </w:rPr>
        <w:t>כי בעיית המיגון אינה ייחודית לעיר אשקלון, וכי מצוקה זו קיימת גם ביישובים ו</w:t>
      </w:r>
      <w:r w:rsidRPr="00014C4D">
        <w:rPr>
          <w:rFonts w:ascii="David" w:hAnsi="David" w:hint="cs"/>
          <w:rtl/>
        </w:rPr>
        <w:t>ב</w:t>
      </w:r>
      <w:r w:rsidRPr="00014C4D">
        <w:rPr>
          <w:rFonts w:ascii="David" w:hAnsi="David"/>
          <w:rtl/>
        </w:rPr>
        <w:t xml:space="preserve">אזורים </w:t>
      </w:r>
      <w:r w:rsidRPr="00014C4D">
        <w:rPr>
          <w:rFonts w:ascii="David" w:hAnsi="David" w:hint="cs"/>
          <w:rtl/>
        </w:rPr>
        <w:t>אחרים</w:t>
      </w:r>
      <w:r w:rsidRPr="00014C4D">
        <w:rPr>
          <w:rFonts w:ascii="David" w:hAnsi="David"/>
          <w:rtl/>
        </w:rPr>
        <w:t xml:space="preserve">. </w:t>
      </w:r>
      <w:r w:rsidRPr="00014C4D">
        <w:rPr>
          <w:rFonts w:ascii="David" w:hAnsi="David" w:hint="cs"/>
          <w:rtl/>
        </w:rPr>
        <w:t>המשרד</w:t>
      </w:r>
      <w:r w:rsidRPr="00014C4D">
        <w:rPr>
          <w:rFonts w:ascii="David" w:hAnsi="David"/>
          <w:rtl/>
        </w:rPr>
        <w:t xml:space="preserve"> הוסיף כי תקציב מבני הדת מוגבל, </w:t>
      </w:r>
      <w:r w:rsidRPr="00014C4D">
        <w:rPr>
          <w:rFonts w:ascii="David" w:hAnsi="David" w:hint="cs"/>
          <w:rtl/>
        </w:rPr>
        <w:t>ו</w:t>
      </w:r>
      <w:r w:rsidRPr="00014C4D">
        <w:rPr>
          <w:rFonts w:ascii="David" w:hAnsi="David"/>
          <w:rtl/>
        </w:rPr>
        <w:t xml:space="preserve">ממומן מתקציבים קואליציוניים, ולכן אין ביכולתו להתחייב למענה רב-שנתי. עם זאת, המשרד הביע נכונות לתקצב את הנושא </w:t>
      </w:r>
      <w:r w:rsidRPr="00014C4D">
        <w:rPr>
          <w:rFonts w:ascii="David" w:hAnsi="David" w:hint="cs"/>
          <w:rtl/>
        </w:rPr>
        <w:t xml:space="preserve">אם משרד האוצר </w:t>
      </w:r>
      <w:r w:rsidRPr="00014C4D">
        <w:rPr>
          <w:rFonts w:ascii="David" w:hAnsi="David"/>
          <w:rtl/>
        </w:rPr>
        <w:t>יעמ</w:t>
      </w:r>
      <w:r w:rsidRPr="00014C4D">
        <w:rPr>
          <w:rFonts w:ascii="David" w:hAnsi="David" w:hint="cs"/>
          <w:rtl/>
        </w:rPr>
        <w:t>י</w:t>
      </w:r>
      <w:r w:rsidRPr="00014C4D">
        <w:rPr>
          <w:rFonts w:ascii="David" w:hAnsi="David"/>
          <w:rtl/>
        </w:rPr>
        <w:t>ד ל</w:t>
      </w:r>
      <w:r w:rsidRPr="00014C4D">
        <w:rPr>
          <w:rFonts w:ascii="David" w:hAnsi="David" w:hint="cs"/>
          <w:rtl/>
        </w:rPr>
        <w:t xml:space="preserve">שם </w:t>
      </w:r>
      <w:r w:rsidRPr="00014C4D">
        <w:rPr>
          <w:rFonts w:ascii="David" w:hAnsi="David"/>
          <w:rtl/>
        </w:rPr>
        <w:t>כך תקציב ייעודי.</w:t>
      </w:r>
    </w:p>
    <w:p w:rsidR="00014C4D" w:rsidRPr="00014C4D" w:rsidRDefault="00014C4D" w:rsidP="00014C4D">
      <w:pPr>
        <w:spacing w:line="269" w:lineRule="auto"/>
        <w:ind w:left="-567"/>
        <w:rPr>
          <w:szCs w:val="20"/>
          <w:rtl/>
        </w:rPr>
      </w:pPr>
    </w:p>
    <w:p w:rsidR="00014C4D" w:rsidRPr="00014C4D" w:rsidRDefault="00014C4D" w:rsidP="00014C4D">
      <w:pPr>
        <w:numPr>
          <w:ilvl w:val="0"/>
          <w:numId w:val="30"/>
        </w:numPr>
        <w:tabs>
          <w:tab w:val="left" w:pos="283"/>
        </w:tabs>
        <w:spacing w:line="269" w:lineRule="auto"/>
        <w:ind w:left="283" w:hanging="284"/>
        <w:contextualSpacing/>
        <w:rPr>
          <w:rFonts w:ascii="David" w:hAnsi="David"/>
          <w:b/>
          <w:bCs/>
        </w:rPr>
      </w:pPr>
      <w:r w:rsidRPr="00014C4D">
        <w:rPr>
          <w:rFonts w:ascii="David" w:hAnsi="David" w:hint="cs"/>
          <w:b/>
          <w:bCs/>
          <w:rtl/>
        </w:rPr>
        <w:t>משרד הביטחון הקצה 8.5 מיליון ש"ח לפתרונות מיגון באשקלון לרבות שיפוץ מקלטים קיימים, ובכלל זה מקלטים ציבוריים ומקלטים משותפים ומיגון חדרי מדרגות בבנייני מגורים.</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t>נמצא כי עיריית אשקלון הוציאה רק כ-1.9 מיליון ש"ח על חשבון התקציב האמור בסך 8.5 מיליון ש"ח (22%) ל-שיפוץ מקלטים משותפים, ממרץ 2022</w:t>
      </w:r>
      <w:r w:rsidRPr="00014C4D">
        <w:rPr>
          <w:rFonts w:ascii="David" w:hAnsi="David"/>
          <w:b/>
          <w:bCs/>
          <w:vertAlign w:val="superscript"/>
          <w:rtl/>
        </w:rPr>
        <w:footnoteReference w:id="137"/>
      </w:r>
      <w:r w:rsidRPr="00014C4D">
        <w:rPr>
          <w:rFonts w:ascii="David" w:hAnsi="David" w:hint="cs"/>
          <w:b/>
          <w:bCs/>
          <w:rtl/>
        </w:rPr>
        <w:t xml:space="preserve"> ועד יולי 2023, וכי במשך 16 חודשים היא שיפצה 20 מקלטים משותפים בלבד</w:t>
      </w:r>
      <w:r w:rsidRPr="00014C4D">
        <w:rPr>
          <w:rFonts w:hint="cs"/>
          <w:b/>
          <w:bCs/>
          <w:rtl/>
        </w:rPr>
        <w:t>.</w:t>
      </w:r>
      <w:r w:rsidRPr="00014C4D">
        <w:rPr>
          <w:rFonts w:ascii="David" w:hAnsi="David"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312"/>
        <w:rPr>
          <w:rFonts w:ascii="David" w:hAnsi="David"/>
          <w:rtl/>
        </w:rPr>
      </w:pPr>
      <w:r w:rsidRPr="00014C4D">
        <w:rPr>
          <w:rFonts w:ascii="David" w:hAnsi="David" w:hint="cs"/>
          <w:rtl/>
        </w:rPr>
        <w:t xml:space="preserve">משרד הביטחון מסר לעובדי משרד מבקר המדינה במהלך הביקורת בספטמבר 2024, כי שיפוץ המקלטים מתקציב זה הופסק בשל אי-סדרים שהתגלו בעבודה. במהלך הביקורת, בינואר 2025, מסר פקע"ר למשרד מבקר המדינה כי קיימת יתרה זמינה של 6.8 מיליון ש"ח לעיריית אשקלון; והעירייה נדרשת להשלים מסמכי התקשרות להחלפת קבלן, ו"עם העברת המסמכים תעודכן ההזמנה במשרד הביטחון והתשלום יבוצע בהתאם להתקשרות החדשה". </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lastRenderedPageBreak/>
        <w:t>מהאמור לעיל עולה כי במשך יותר משנה וחצי (מסוף יולי 2023 ועד ינואר 2025) לא ניצלה עיריית אשקלון את יתרת התקציב בסך כ-6.8 מיליון ש"ח לצורך שיפוץ מקלטים 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ind w:left="312"/>
        <w:rPr>
          <w:rtl/>
        </w:rPr>
      </w:pPr>
      <w:r w:rsidRPr="00014C4D">
        <w:rPr>
          <w:rFonts w:hint="eastAsia"/>
          <w:rtl/>
        </w:rPr>
        <w:t>ביולי</w:t>
      </w:r>
      <w:r w:rsidRPr="00014C4D">
        <w:rPr>
          <w:rtl/>
        </w:rPr>
        <w:t xml:space="preserve"> 2025, </w:t>
      </w:r>
      <w:r w:rsidRPr="00014C4D">
        <w:rPr>
          <w:rFonts w:hint="cs"/>
          <w:rtl/>
        </w:rPr>
        <w:t xml:space="preserve">מסר </w:t>
      </w:r>
      <w:r w:rsidRPr="00014C4D">
        <w:rPr>
          <w:rtl/>
        </w:rPr>
        <w:t xml:space="preserve">פקע"ר בתשובתו </w:t>
      </w:r>
      <w:r w:rsidRPr="00014C4D">
        <w:rPr>
          <w:rFonts w:hint="cs"/>
          <w:rtl/>
        </w:rPr>
        <w:t>כי יתרת התקציב עומדת לרשות עיריית אשקלון</w:t>
      </w:r>
      <w:r w:rsidRPr="00014C4D">
        <w:rPr>
          <w:rtl/>
        </w:rPr>
        <w:t xml:space="preserve"> </w:t>
      </w:r>
      <w:r w:rsidRPr="00014C4D">
        <w:rPr>
          <w:rFonts w:hint="cs"/>
          <w:rtl/>
        </w:rPr>
        <w:t>אך היא עדיין לא הגישה את מסמכי ההתקשרות הדרושים והיא</w:t>
      </w:r>
      <w:r w:rsidRPr="00014C4D">
        <w:rPr>
          <w:rtl/>
        </w:rPr>
        <w:t xml:space="preserve"> מתעכבת בקיום הליכי מכרז שיאפשר</w:t>
      </w:r>
      <w:r w:rsidRPr="00014C4D">
        <w:rPr>
          <w:rFonts w:hint="cs"/>
          <w:rtl/>
        </w:rPr>
        <w:t>ו</w:t>
      </w:r>
      <w:r w:rsidRPr="00014C4D">
        <w:rPr>
          <w:rtl/>
        </w:rPr>
        <w:t xml:space="preserve"> </w:t>
      </w:r>
      <w:r w:rsidRPr="00014C4D">
        <w:rPr>
          <w:rFonts w:hint="cs"/>
          <w:rtl/>
        </w:rPr>
        <w:t xml:space="preserve">את </w:t>
      </w:r>
      <w:r w:rsidRPr="00014C4D">
        <w:rPr>
          <w:rtl/>
        </w:rPr>
        <w:t xml:space="preserve">ביצוע </w:t>
      </w:r>
      <w:r w:rsidRPr="00014C4D">
        <w:rPr>
          <w:rFonts w:hint="cs"/>
          <w:rtl/>
        </w:rPr>
        <w:t>המיגון</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t>לנוכח תקופת החירום שבה נמצאת המדינה היה על עיריית אשקלון לזרז את שיפוץ המקלטים ולנצל את התקציבים שהועמדו לרשותה על פי החלטת הממשלה.</w:t>
      </w:r>
    </w:p>
    <w:p w:rsidR="00014C4D" w:rsidRPr="00014C4D" w:rsidRDefault="00014C4D" w:rsidP="00014C4D">
      <w:pPr>
        <w:spacing w:line="269" w:lineRule="auto"/>
        <w:ind w:left="-567"/>
        <w:rPr>
          <w:szCs w:val="20"/>
          <w:rtl/>
        </w:rPr>
      </w:pPr>
    </w:p>
    <w:p w:rsidR="00014C4D" w:rsidRPr="00014C4D" w:rsidRDefault="00014C4D" w:rsidP="00014C4D">
      <w:pPr>
        <w:numPr>
          <w:ilvl w:val="0"/>
          <w:numId w:val="30"/>
        </w:numPr>
        <w:tabs>
          <w:tab w:val="left" w:pos="283"/>
        </w:tabs>
        <w:spacing w:line="269" w:lineRule="auto"/>
        <w:ind w:left="283" w:hanging="284"/>
        <w:contextualSpacing/>
        <w:rPr>
          <w:rFonts w:ascii="David" w:hAnsi="David"/>
          <w:b/>
          <w:bCs/>
          <w:rtl/>
        </w:rPr>
      </w:pPr>
      <w:r w:rsidRPr="00014C4D">
        <w:rPr>
          <w:rFonts w:ascii="David" w:hAnsi="David" w:hint="cs"/>
          <w:b/>
          <w:bCs/>
          <w:rtl/>
        </w:rPr>
        <w:t xml:space="preserve">באמצעות משרד הנגב, הגליל והחוסן הלאומי (להלן - המשרד לחוסן לאומי) הוקצו לעיריית אשקלון 9 מיליון ש"ח להקמת מרכז חוסן ממוגן. </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t xml:space="preserve">נמצא כי אף שעברו כשנתיים וחצי מאז החלטת הממשלה במרץ 2022 ועד מועד הביקורת בספטמבר 2024, עיריית אשקלון טרם הקימה את מרכז החוסן הממוגן בעיר. </w:t>
      </w:r>
    </w:p>
    <w:p w:rsidR="00014C4D" w:rsidRPr="00014C4D" w:rsidRDefault="00014C4D" w:rsidP="00014C4D">
      <w:pPr>
        <w:spacing w:line="269" w:lineRule="auto"/>
        <w:ind w:left="-567"/>
        <w:rPr>
          <w:szCs w:val="20"/>
          <w:rtl/>
        </w:rPr>
      </w:pPr>
    </w:p>
    <w:p w:rsidR="00014C4D" w:rsidRPr="00014C4D" w:rsidRDefault="00014C4D" w:rsidP="00014C4D">
      <w:pPr>
        <w:ind w:left="283"/>
        <w:rPr>
          <w:rFonts w:ascii="David" w:hAnsi="David"/>
          <w:b/>
          <w:bCs/>
          <w:rtl/>
        </w:rPr>
      </w:pPr>
      <w:r w:rsidRPr="00014C4D">
        <w:rPr>
          <w:rFonts w:ascii="David" w:hAnsi="David" w:hint="cs"/>
          <w:b/>
          <w:bCs/>
          <w:rtl/>
        </w:rPr>
        <w:t>עוד נמצא כי אי-הקמת מרכז החוסן נבעה מהסיבות האלה:</w:t>
      </w:r>
    </w:p>
    <w:p w:rsidR="00014C4D" w:rsidRPr="00014C4D" w:rsidRDefault="00014C4D" w:rsidP="00014C4D">
      <w:pPr>
        <w:spacing w:line="269" w:lineRule="auto"/>
        <w:ind w:left="-567"/>
        <w:rPr>
          <w:szCs w:val="20"/>
          <w:rtl/>
        </w:rPr>
      </w:pPr>
    </w:p>
    <w:p w:rsidR="00014C4D" w:rsidRPr="00014C4D" w:rsidRDefault="00014C4D" w:rsidP="00014C4D">
      <w:pPr>
        <w:numPr>
          <w:ilvl w:val="0"/>
          <w:numId w:val="31"/>
        </w:numPr>
        <w:tabs>
          <w:tab w:val="left" w:pos="424"/>
        </w:tabs>
        <w:spacing w:line="269" w:lineRule="auto"/>
        <w:contextualSpacing/>
        <w:rPr>
          <w:rFonts w:ascii="David" w:hAnsi="David"/>
          <w:rtl/>
        </w:rPr>
      </w:pPr>
      <w:r w:rsidRPr="00014C4D">
        <w:rPr>
          <w:rFonts w:ascii="David" w:hAnsi="David"/>
          <w:rtl/>
        </w:rPr>
        <w:t xml:space="preserve">על פי </w:t>
      </w:r>
      <w:r w:rsidRPr="00014C4D">
        <w:rPr>
          <w:rFonts w:ascii="David" w:hAnsi="David" w:hint="cs"/>
          <w:rtl/>
        </w:rPr>
        <w:t>ה</w:t>
      </w:r>
      <w:r w:rsidRPr="00014C4D">
        <w:rPr>
          <w:rFonts w:ascii="David" w:hAnsi="David"/>
          <w:rtl/>
        </w:rPr>
        <w:t xml:space="preserve">קריטריונים שקבע המשרד </w:t>
      </w:r>
      <w:r w:rsidRPr="00014C4D">
        <w:rPr>
          <w:rFonts w:ascii="David" w:hAnsi="David" w:hint="cs"/>
          <w:rtl/>
        </w:rPr>
        <w:t xml:space="preserve">לחוסן לאומי </w:t>
      </w:r>
      <w:r w:rsidRPr="00014C4D">
        <w:rPr>
          <w:rFonts w:ascii="David" w:hAnsi="David"/>
          <w:rtl/>
        </w:rPr>
        <w:t>נדרש כי המבנה</w:t>
      </w:r>
      <w:r w:rsidRPr="00014C4D">
        <w:rPr>
          <w:rFonts w:ascii="David" w:hAnsi="David" w:hint="cs"/>
          <w:rtl/>
        </w:rPr>
        <w:t xml:space="preserve"> של מרכז החוסן</w:t>
      </w:r>
      <w:r w:rsidRPr="00014C4D">
        <w:rPr>
          <w:rFonts w:ascii="David" w:hAnsi="David"/>
          <w:rtl/>
        </w:rPr>
        <w:t xml:space="preserve"> </w:t>
      </w:r>
      <w:r w:rsidRPr="00014C4D">
        <w:rPr>
          <w:rFonts w:ascii="David" w:hAnsi="David" w:hint="cs"/>
          <w:rtl/>
        </w:rPr>
        <w:t>יהיה</w:t>
      </w:r>
      <w:r w:rsidRPr="00014C4D">
        <w:rPr>
          <w:rFonts w:ascii="David" w:hAnsi="David"/>
          <w:rtl/>
        </w:rPr>
        <w:t xml:space="preserve"> ב</w:t>
      </w:r>
      <w:r w:rsidRPr="00014C4D">
        <w:rPr>
          <w:rFonts w:ascii="David" w:hAnsi="David" w:hint="cs"/>
          <w:rtl/>
        </w:rPr>
        <w:t>אחד ה</w:t>
      </w:r>
      <w:r w:rsidRPr="00014C4D">
        <w:rPr>
          <w:rFonts w:ascii="David" w:hAnsi="David"/>
          <w:rtl/>
        </w:rPr>
        <w:t xml:space="preserve">אזורים באשקלון </w:t>
      </w:r>
      <w:r w:rsidRPr="00014C4D">
        <w:rPr>
          <w:rFonts w:ascii="David" w:hAnsi="David" w:hint="cs"/>
          <w:rtl/>
        </w:rPr>
        <w:t xml:space="preserve">המדורגים באשכולות </w:t>
      </w:r>
      <w:r w:rsidRPr="00014C4D">
        <w:rPr>
          <w:rFonts w:ascii="David" w:hAnsi="David"/>
          <w:rtl/>
        </w:rPr>
        <w:t>1 עד 4</w:t>
      </w:r>
      <w:r w:rsidRPr="00014C4D">
        <w:rPr>
          <w:rFonts w:ascii="David" w:hAnsi="David" w:hint="cs"/>
          <w:rtl/>
        </w:rPr>
        <w:t xml:space="preserve"> בדירוג החברתי-כלכלי</w:t>
      </w:r>
      <w:r w:rsidRPr="00014C4D">
        <w:rPr>
          <w:rFonts w:ascii="David" w:hAnsi="David"/>
          <w:rtl/>
        </w:rPr>
        <w:t xml:space="preserve"> (להלן</w:t>
      </w:r>
      <w:r w:rsidRPr="00014C4D">
        <w:rPr>
          <w:rFonts w:ascii="David" w:hAnsi="David" w:hint="cs"/>
          <w:rtl/>
        </w:rPr>
        <w:t xml:space="preserve"> </w:t>
      </w:r>
      <w:r w:rsidRPr="00014C4D">
        <w:rPr>
          <w:rFonts w:ascii="David" w:hAnsi="David"/>
          <w:rtl/>
        </w:rPr>
        <w:t xml:space="preserve">- שטח </w:t>
      </w:r>
      <w:r w:rsidRPr="00014C4D">
        <w:rPr>
          <w:rFonts w:ascii="David" w:hAnsi="David" w:hint="cs"/>
          <w:rtl/>
        </w:rPr>
        <w:t>ה</w:t>
      </w:r>
      <w:r w:rsidRPr="00014C4D">
        <w:rPr>
          <w:rFonts w:ascii="David" w:hAnsi="David"/>
          <w:rtl/>
        </w:rPr>
        <w:t xml:space="preserve">פריפריה </w:t>
      </w:r>
      <w:r w:rsidRPr="00014C4D">
        <w:rPr>
          <w:rFonts w:ascii="David" w:hAnsi="David" w:hint="cs"/>
          <w:rtl/>
        </w:rPr>
        <w:t>ה</w:t>
      </w:r>
      <w:r w:rsidRPr="00014C4D">
        <w:rPr>
          <w:rFonts w:ascii="David" w:hAnsi="David"/>
          <w:rtl/>
        </w:rPr>
        <w:t xml:space="preserve">חברתית). </w:t>
      </w:r>
      <w:r w:rsidRPr="00014C4D">
        <w:rPr>
          <w:rFonts w:ascii="David" w:hAnsi="David" w:hint="cs"/>
          <w:rtl/>
        </w:rPr>
        <w:t xml:space="preserve">ביוני 2022 מסרה עיריית </w:t>
      </w:r>
      <w:r w:rsidRPr="00014C4D">
        <w:rPr>
          <w:rFonts w:ascii="David" w:hAnsi="David" w:hint="eastAsia"/>
          <w:b/>
          <w:bCs/>
          <w:rtl/>
        </w:rPr>
        <w:t>אשקלון</w:t>
      </w:r>
      <w:r w:rsidRPr="00014C4D">
        <w:rPr>
          <w:rFonts w:ascii="David" w:hAnsi="David" w:hint="cs"/>
          <w:rtl/>
        </w:rPr>
        <w:t xml:space="preserve"> למשרד לחוסן לאומי מסמכים (מסמכי בעלות על קרקע) המצביעים על האזור שבו ימוקם מרכז החוסן הממוגן. המשרד דחה את הצעת העירייה כיוון שהמיקום לא עמד בקריטריונים שקבע.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643"/>
        <w:rPr>
          <w:rFonts w:ascii="David" w:hAnsi="David"/>
          <w:b/>
          <w:bCs/>
          <w:rtl/>
        </w:rPr>
      </w:pPr>
      <w:r w:rsidRPr="00014C4D">
        <w:rPr>
          <w:rFonts w:ascii="David" w:hAnsi="David" w:hint="cs"/>
          <w:rtl/>
        </w:rPr>
        <w:t>ב-15.11.22 אישרה ועדת התמיכות של המשרד לחוסן לאומי את הקצאת התקציב האמור לאשקלון בתנאי שהמבנה יהיה בשטח הפריפריה החברתית.</w:t>
      </w:r>
      <w:r w:rsidRPr="00014C4D">
        <w:rPr>
          <w:rFonts w:ascii="David" w:hAnsi="David"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643"/>
        <w:rPr>
          <w:rFonts w:ascii="David" w:hAnsi="David"/>
          <w:b/>
          <w:bCs/>
          <w:rtl/>
        </w:rPr>
      </w:pPr>
      <w:r w:rsidRPr="00014C4D">
        <w:rPr>
          <w:rFonts w:ascii="David" w:hAnsi="David" w:hint="cs"/>
          <w:b/>
          <w:bCs/>
          <w:rtl/>
        </w:rPr>
        <w:t>נמצא כי רק בספטמבר 2023, כשנה ושלושה חודשים מאז יוני 2022, שלחה עיריית אשקלון למשרד לחוסן לאומי מסמכים בדבר מבנה במקום העומד בדרישותיו.</w:t>
      </w:r>
    </w:p>
    <w:p w:rsidR="00014C4D" w:rsidRPr="00014C4D" w:rsidRDefault="00014C4D" w:rsidP="00014C4D">
      <w:pPr>
        <w:spacing w:line="269" w:lineRule="auto"/>
        <w:ind w:left="-567"/>
        <w:rPr>
          <w:szCs w:val="20"/>
          <w:rtl/>
        </w:rPr>
      </w:pPr>
    </w:p>
    <w:p w:rsidR="00014C4D" w:rsidRPr="00014C4D" w:rsidRDefault="00014C4D" w:rsidP="00014C4D">
      <w:pPr>
        <w:numPr>
          <w:ilvl w:val="0"/>
          <w:numId w:val="31"/>
        </w:numPr>
        <w:tabs>
          <w:tab w:val="left" w:pos="-143"/>
        </w:tabs>
        <w:spacing w:line="269" w:lineRule="auto"/>
        <w:contextualSpacing/>
        <w:rPr>
          <w:rFonts w:ascii="David" w:hAnsi="David"/>
          <w:rtl/>
        </w:rPr>
      </w:pPr>
      <w:r w:rsidRPr="00014C4D">
        <w:rPr>
          <w:rFonts w:ascii="David" w:hAnsi="David" w:hint="cs"/>
          <w:rtl/>
        </w:rPr>
        <w:t xml:space="preserve">בפברואר 2023 הקצתה ועדת התמיכות של המשרד לחוסן לאומי לעיריית אשקלון סך של 0.63 מיליון ש"ח לצורך תכנון הפרויקט. ועדת התמיכות ציינה בהחלטתה כי יש לעירייה קושי להכין אומדן מפורט של הפרויקט. בפרוטוקול צוין גם כי לפי מסמכי התכנון שיופקו ואשר יאושרו על ידי משרד הבריאות, יוגדרו בהמשך יתר אבני הדרך והתקציבים עד לסיום הפרויקט. עוד צוין בפרוטוקול כי אי אפשר לאשר את יתרת התקציב בסך 8.37 מיליון ש"ח לפרויקט ללא אומדן מפורט.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643"/>
        <w:rPr>
          <w:rFonts w:ascii="David" w:hAnsi="David"/>
          <w:b/>
          <w:bCs/>
          <w:rtl/>
        </w:rPr>
      </w:pPr>
      <w:r w:rsidRPr="00014C4D">
        <w:rPr>
          <w:rFonts w:ascii="David" w:hAnsi="David" w:hint="cs"/>
          <w:b/>
          <w:bCs/>
          <w:rtl/>
        </w:rPr>
        <w:t xml:space="preserve">נמצא כי בספטמבר 2023, כשבעה חודשים לאחר הקצאת התקציב להכנת האומדן המפורט, הגישה עיריית אשקלון למשרד לחוסן לאומי רק את </w:t>
      </w:r>
      <w:r w:rsidRPr="00014C4D">
        <w:rPr>
          <w:rFonts w:ascii="David" w:hAnsi="David" w:hint="eastAsia"/>
          <w:b/>
          <w:bCs/>
          <w:rtl/>
        </w:rPr>
        <w:t>התכנון</w:t>
      </w:r>
      <w:r w:rsidRPr="00014C4D">
        <w:rPr>
          <w:rFonts w:ascii="David" w:hAnsi="David"/>
          <w:b/>
          <w:bCs/>
          <w:rtl/>
        </w:rPr>
        <w:t xml:space="preserve"> </w:t>
      </w:r>
      <w:r w:rsidRPr="00014C4D">
        <w:rPr>
          <w:rFonts w:ascii="David" w:hAnsi="David" w:hint="eastAsia"/>
          <w:b/>
          <w:bCs/>
          <w:rtl/>
        </w:rPr>
        <w:t>הראשוני</w:t>
      </w:r>
      <w:r w:rsidRPr="00014C4D">
        <w:rPr>
          <w:rFonts w:ascii="David" w:hAnsi="David" w:hint="cs"/>
          <w:b/>
          <w:bCs/>
          <w:rtl/>
        </w:rPr>
        <w:t xml:space="preserve">, בכלל זה פרוגרמה </w:t>
      </w:r>
      <w:r w:rsidRPr="00014C4D">
        <w:rPr>
          <w:rFonts w:ascii="David" w:hAnsi="David" w:hint="cs"/>
          <w:b/>
          <w:bCs/>
          <w:rtl/>
        </w:rPr>
        <w:lastRenderedPageBreak/>
        <w:t xml:space="preserve">ואומדנים ראשוניים בהתאם לדרישות משרד הבריאות, ועדיין לא הגישה את התוכנית המפורטת. </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643"/>
        <w:rPr>
          <w:rFonts w:ascii="David" w:hAnsi="David"/>
          <w:rtl/>
        </w:rPr>
      </w:pPr>
      <w:r w:rsidRPr="00014C4D">
        <w:rPr>
          <w:rFonts w:ascii="David" w:hAnsi="David" w:hint="cs"/>
          <w:rtl/>
        </w:rPr>
        <w:t>באוגוסט 2024 השלימה עיריית אשקלון את התוכנית המפורטת לבניית מרכז החוסן והגישה אותה למשרד לחוסן לאומי. העירייה הסבירה את העיכוב בהגשה בכך שאדריכל העירייה גויס לצבא בשל המלחמה, והיה צורך להמתין לשחרורו לצורך סיום התכנון.</w:t>
      </w:r>
    </w:p>
    <w:p w:rsidR="00014C4D" w:rsidRPr="00014C4D" w:rsidRDefault="00014C4D" w:rsidP="00014C4D">
      <w:pPr>
        <w:spacing w:line="269" w:lineRule="auto"/>
        <w:ind w:left="-567"/>
        <w:rPr>
          <w:szCs w:val="20"/>
          <w:rtl/>
        </w:rPr>
      </w:pPr>
    </w:p>
    <w:p w:rsidR="00014C4D" w:rsidRPr="00014C4D" w:rsidRDefault="00014C4D" w:rsidP="00014C4D">
      <w:pPr>
        <w:tabs>
          <w:tab w:val="left" w:pos="424"/>
        </w:tabs>
        <w:spacing w:line="269" w:lineRule="auto"/>
        <w:ind w:left="643"/>
        <w:rPr>
          <w:rFonts w:ascii="David" w:hAnsi="David"/>
          <w:rtl/>
        </w:rPr>
      </w:pPr>
      <w:r w:rsidRPr="00014C4D">
        <w:rPr>
          <w:rFonts w:ascii="David" w:hAnsi="David" w:hint="cs"/>
          <w:rtl/>
        </w:rPr>
        <w:t>ב-14.8.24 אישרה ועדת התמיכות של המשרד לחוסן לאומי את יתרת התקציב בסך 8.37 (מתוך סך ה-9 מיליון ש"ח) למימון שלב הוצאת היתר הבנייה ותחילת העבודות בשטח.</w:t>
      </w:r>
    </w:p>
    <w:p w:rsidR="00014C4D" w:rsidRPr="00014C4D" w:rsidRDefault="00014C4D" w:rsidP="00014C4D">
      <w:pPr>
        <w:spacing w:line="269" w:lineRule="auto"/>
        <w:ind w:left="-567"/>
        <w:rPr>
          <w:szCs w:val="20"/>
          <w:rtl/>
        </w:rPr>
      </w:pPr>
    </w:p>
    <w:p w:rsidR="00014C4D" w:rsidRPr="00014C4D" w:rsidRDefault="00014C4D" w:rsidP="00014C4D">
      <w:pPr>
        <w:tabs>
          <w:tab w:val="left" w:pos="141"/>
        </w:tabs>
        <w:spacing w:line="269" w:lineRule="auto"/>
        <w:rPr>
          <w:rFonts w:ascii="David" w:hAnsi="David"/>
          <w:rtl/>
        </w:rPr>
      </w:pPr>
      <w:r w:rsidRPr="00014C4D">
        <w:rPr>
          <w:rFonts w:ascii="David" w:hAnsi="David" w:hint="cs"/>
          <w:b/>
          <w:bCs/>
          <w:rtl/>
        </w:rPr>
        <w:t xml:space="preserve">על עיריית אשקלון לפעול ביתר שאת לקיצור הליכי התכנון והביצוע של פרויקטים להגדלת היקף המיגון בתחומה. </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החלטת הממשלה 852 מיולי 2023</w:t>
      </w:r>
    </w:p>
    <w:p w:rsidR="00014C4D" w:rsidRPr="00014C4D" w:rsidRDefault="00014C4D" w:rsidP="00014C4D">
      <w:pPr>
        <w:spacing w:line="269" w:lineRule="auto"/>
        <w:ind w:left="-567"/>
        <w:rPr>
          <w:szCs w:val="20"/>
          <w:rtl/>
        </w:rPr>
      </w:pPr>
    </w:p>
    <w:p w:rsidR="00014C4D" w:rsidRPr="00014C4D" w:rsidRDefault="00014C4D" w:rsidP="00014C4D">
      <w:pPr>
        <w:tabs>
          <w:tab w:val="left" w:pos="283"/>
        </w:tabs>
        <w:spacing w:line="269" w:lineRule="auto"/>
        <w:rPr>
          <w:rFonts w:ascii="David" w:hAnsi="David"/>
          <w:rtl/>
        </w:rPr>
      </w:pPr>
      <w:r w:rsidRPr="00014C4D">
        <w:rPr>
          <w:rFonts w:ascii="David" w:hAnsi="David" w:hint="cs"/>
          <w:rtl/>
        </w:rPr>
        <w:t xml:space="preserve">בסוף אוקטובר 2023 הקצה משרד הפנים לעיריית </w:t>
      </w:r>
      <w:r w:rsidRPr="00014C4D">
        <w:rPr>
          <w:rFonts w:ascii="David" w:hAnsi="David" w:hint="cs"/>
          <w:b/>
          <w:bCs/>
          <w:rtl/>
        </w:rPr>
        <w:t>אשקלון</w:t>
      </w:r>
      <w:r w:rsidRPr="00014C4D">
        <w:rPr>
          <w:rFonts w:ascii="David" w:hAnsi="David" w:hint="cs"/>
          <w:rtl/>
        </w:rPr>
        <w:t xml:space="preserve"> תקציב בסך 4 מיליון ש"ח לצורך שיפוץ מקלטים ציבוריים לתקופה מיולי 2023 ועד יולי 2024. </w:t>
      </w:r>
    </w:p>
    <w:p w:rsidR="00014C4D" w:rsidRPr="00014C4D" w:rsidRDefault="00014C4D" w:rsidP="00014C4D">
      <w:pPr>
        <w:spacing w:line="269" w:lineRule="auto"/>
        <w:ind w:left="-567"/>
        <w:rPr>
          <w:szCs w:val="20"/>
          <w:rtl/>
        </w:rPr>
      </w:pPr>
    </w:p>
    <w:p w:rsidR="00014C4D" w:rsidRPr="00014C4D" w:rsidRDefault="00014C4D" w:rsidP="00014C4D">
      <w:pPr>
        <w:tabs>
          <w:tab w:val="left" w:pos="283"/>
        </w:tabs>
        <w:spacing w:line="269" w:lineRule="auto"/>
        <w:rPr>
          <w:rFonts w:ascii="David" w:hAnsi="David"/>
          <w:rtl/>
        </w:rPr>
      </w:pPr>
      <w:r w:rsidRPr="00014C4D">
        <w:rPr>
          <w:rFonts w:ascii="David" w:hAnsi="David" w:hint="cs"/>
          <w:b/>
          <w:bCs/>
          <w:rtl/>
        </w:rPr>
        <w:t>נמצא כי מאז אותו מועד ועד מאי 2024, במשך כשישה חודשים, לא החלה העירייה בשיפוץ המקלטים ולא ניצלה את התקציב.</w:t>
      </w:r>
    </w:p>
    <w:p w:rsidR="00014C4D" w:rsidRPr="00014C4D" w:rsidRDefault="00014C4D" w:rsidP="00014C4D">
      <w:pPr>
        <w:spacing w:line="269" w:lineRule="auto"/>
        <w:ind w:left="-567"/>
        <w:rPr>
          <w:szCs w:val="20"/>
          <w:rtl/>
        </w:rPr>
      </w:pPr>
    </w:p>
    <w:p w:rsidR="00014C4D" w:rsidRPr="00014C4D" w:rsidRDefault="00014C4D" w:rsidP="00014C4D">
      <w:pPr>
        <w:tabs>
          <w:tab w:val="left" w:pos="283"/>
        </w:tabs>
        <w:spacing w:line="269" w:lineRule="auto"/>
        <w:rPr>
          <w:rFonts w:ascii="David" w:hAnsi="David"/>
          <w:b/>
          <w:bCs/>
          <w:rtl/>
        </w:rPr>
      </w:pPr>
      <w:r w:rsidRPr="00014C4D">
        <w:rPr>
          <w:rFonts w:ascii="David" w:hAnsi="David" w:hint="cs"/>
          <w:b/>
          <w:bCs/>
          <w:rtl/>
        </w:rPr>
        <w:t xml:space="preserve">עוד נמצא כי ביוני 2024 החלה העירייה בשיפוץ 80 מקלטים ציבוריים. במועד הביקורת בנובמבר 2024 שיפוצם טרם הסתיים. </w:t>
      </w:r>
    </w:p>
    <w:p w:rsidR="00014C4D" w:rsidRPr="00014C4D" w:rsidRDefault="00014C4D" w:rsidP="00014C4D">
      <w:pPr>
        <w:spacing w:line="269" w:lineRule="auto"/>
        <w:ind w:left="-567"/>
        <w:rPr>
          <w:szCs w:val="20"/>
          <w:rtl/>
        </w:rPr>
      </w:pPr>
    </w:p>
    <w:p w:rsidR="00014C4D" w:rsidRPr="00014C4D" w:rsidRDefault="00014C4D" w:rsidP="00014C4D">
      <w:pPr>
        <w:tabs>
          <w:tab w:val="left" w:pos="283"/>
        </w:tabs>
        <w:spacing w:line="269" w:lineRule="auto"/>
        <w:rPr>
          <w:rFonts w:ascii="David" w:hAnsi="David"/>
          <w:rtl/>
        </w:rPr>
      </w:pPr>
      <w:r w:rsidRPr="00014C4D">
        <w:rPr>
          <w:rFonts w:ascii="David" w:hAnsi="David" w:hint="cs"/>
          <w:rtl/>
        </w:rPr>
        <w:t>עירית אשקלון מסרה לעובדי מבקר משרד המדינה במהלך הביקורת בנובמבר 2024 כי העיכוב בתחילת העבודות נבע ממחסור בקבלנים.</w:t>
      </w:r>
    </w:p>
    <w:p w:rsidR="00014C4D" w:rsidRPr="00014C4D" w:rsidRDefault="00014C4D" w:rsidP="00014C4D">
      <w:pPr>
        <w:tabs>
          <w:tab w:val="left" w:pos="283"/>
        </w:tabs>
        <w:spacing w:line="269" w:lineRule="auto"/>
        <w:rPr>
          <w:rFonts w:ascii="David" w:hAnsi="David"/>
          <w:rtl/>
        </w:rPr>
      </w:pPr>
    </w:p>
    <w:p w:rsidR="00014C4D" w:rsidRPr="00014C4D" w:rsidRDefault="00014C4D" w:rsidP="00014C4D">
      <w:pPr>
        <w:tabs>
          <w:tab w:val="left" w:pos="283"/>
        </w:tabs>
        <w:spacing w:line="269" w:lineRule="auto"/>
        <w:jc w:val="center"/>
        <w:rPr>
          <w:rFonts w:ascii="Arial" w:hAnsi="Arial" w:cs="Arial"/>
          <w:sz w:val="36"/>
          <w:rtl/>
        </w:rPr>
      </w:pPr>
      <w:r w:rsidRPr="00014C4D">
        <w:rPr>
          <w:rFonts w:ascii="Segoe UI Symbol" w:hAnsi="Segoe UI Symbol" w:cs="Segoe UI Symbol" w:hint="cs"/>
          <w:sz w:val="36"/>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מהאמור</w:t>
      </w:r>
      <w:r w:rsidRPr="00014C4D">
        <w:rPr>
          <w:b/>
          <w:bCs/>
          <w:rtl/>
        </w:rPr>
        <w:t xml:space="preserve"> לעיל עולה כי </w:t>
      </w:r>
      <w:r w:rsidRPr="00014C4D">
        <w:rPr>
          <w:rFonts w:hint="cs"/>
          <w:b/>
          <w:bCs/>
          <w:rtl/>
        </w:rPr>
        <w:t>בשנים 2022 ו-2023 הקצו משרדי הממשלה לעיריית אשקלון על פי החלטת הממשלה 1278 סך 12.63 מיליון ש"ח מתוך התקציב שנקבע בהחלטת הממשלה בסך 21 מיליון ש"ח (60%), והעבירו לידיה רק סך של 2.7 מיליון ש"ח מהסכום שהקצו בסך 12.63 מיליון ש"ח (21%). זאת בשל אי-ניצול תקציב בסך 4 מיליון ש"ח לשיפוץ מקלטים ציבוריים מיולי 2023 עד יוני 2024 ובשל התנהלות איטית וסחבת בניהול פרויקטי המיגון של העירייה.</w:t>
      </w:r>
    </w:p>
    <w:p w:rsidR="00014C4D" w:rsidRPr="00014C4D" w:rsidRDefault="00014C4D" w:rsidP="00014C4D">
      <w:pPr>
        <w:spacing w:line="269" w:lineRule="auto"/>
        <w:ind w:left="-567"/>
        <w:rPr>
          <w:szCs w:val="20"/>
          <w:rtl/>
        </w:rPr>
      </w:pPr>
    </w:p>
    <w:p w:rsidR="00014C4D" w:rsidRPr="00014C4D" w:rsidRDefault="00014C4D" w:rsidP="00014C4D">
      <w:pPr>
        <w:tabs>
          <w:tab w:val="left" w:pos="283"/>
        </w:tabs>
        <w:spacing w:line="269" w:lineRule="auto"/>
        <w:rPr>
          <w:rFonts w:ascii="David" w:hAnsi="David"/>
          <w:b/>
          <w:bCs/>
          <w:rtl/>
        </w:rPr>
      </w:pPr>
      <w:r w:rsidRPr="00014C4D">
        <w:rPr>
          <w:rFonts w:ascii="David" w:hAnsi="David" w:hint="cs"/>
          <w:b/>
          <w:bCs/>
          <w:rtl/>
        </w:rPr>
        <w:t xml:space="preserve">על עיריית אשקלון לבחון כיצד לזרז את שיפוץ המקלטים הציבוריים ולייעל את ניהול הפרויקטים כדי שתוכל לנצל ללא שיהוי את מלוא התקציבים שהקצו לה משרדי הממשלה, ולהגדיל את שטחי המיגון הזמינים, ויפה שעה אחת קודם. </w:t>
      </w:r>
    </w:p>
    <w:p w:rsidR="00014C4D" w:rsidRPr="00014C4D" w:rsidRDefault="00014C4D" w:rsidP="00014C4D">
      <w:pPr>
        <w:spacing w:line="269" w:lineRule="auto"/>
        <w:ind w:left="-567"/>
        <w:rPr>
          <w:szCs w:val="20"/>
          <w:rtl/>
        </w:rPr>
      </w:pPr>
    </w:p>
    <w:p w:rsidR="00014C4D" w:rsidRPr="00014C4D" w:rsidRDefault="00014C4D" w:rsidP="00014C4D">
      <w:pPr>
        <w:tabs>
          <w:tab w:val="left" w:pos="283"/>
        </w:tabs>
        <w:spacing w:line="269" w:lineRule="auto"/>
        <w:rPr>
          <w:rFonts w:ascii="David" w:hAnsi="David"/>
          <w:rtl/>
        </w:rPr>
      </w:pPr>
      <w:r w:rsidRPr="00014C4D">
        <w:rPr>
          <w:rFonts w:ascii="David" w:hAnsi="David" w:hint="cs"/>
          <w:rtl/>
        </w:rPr>
        <w:lastRenderedPageBreak/>
        <w:t xml:space="preserve">עיריית אשקלון מסרה בתשובתה כי </w:t>
      </w:r>
      <w:r w:rsidRPr="00014C4D">
        <w:rPr>
          <w:rFonts w:ascii="David" w:hAnsi="David"/>
          <w:rtl/>
        </w:rPr>
        <w:t xml:space="preserve">עצירת מימוש </w:t>
      </w:r>
      <w:r w:rsidRPr="00014C4D">
        <w:rPr>
          <w:rFonts w:ascii="David" w:hAnsi="David" w:hint="cs"/>
          <w:rtl/>
        </w:rPr>
        <w:t>ה</w:t>
      </w:r>
      <w:r w:rsidRPr="00014C4D">
        <w:rPr>
          <w:rFonts w:ascii="David" w:hAnsi="David"/>
          <w:rtl/>
        </w:rPr>
        <w:t xml:space="preserve">תקציב </w:t>
      </w:r>
      <w:r w:rsidRPr="00014C4D">
        <w:rPr>
          <w:rFonts w:ascii="David" w:hAnsi="David" w:hint="cs"/>
          <w:rtl/>
        </w:rPr>
        <w:t xml:space="preserve">שהוקצה לפי </w:t>
      </w:r>
      <w:r w:rsidRPr="00014C4D">
        <w:rPr>
          <w:rFonts w:ascii="David" w:hAnsi="David"/>
          <w:rtl/>
        </w:rPr>
        <w:t>החלטת ממשלה 1278 נעשתה במודע,</w:t>
      </w:r>
      <w:r w:rsidRPr="00014C4D">
        <w:rPr>
          <w:rFonts w:ascii="David" w:hAnsi="David" w:hint="cs"/>
          <w:rtl/>
        </w:rPr>
        <w:t xml:space="preserve"> כדי</w:t>
      </w:r>
      <w:r w:rsidRPr="00014C4D">
        <w:rPr>
          <w:rFonts w:ascii="David" w:hAnsi="David"/>
          <w:rtl/>
        </w:rPr>
        <w:t xml:space="preserve"> לאפשר מימוש קודם של תקציבים ייעודיים מכוח החלטה 852,</w:t>
      </w:r>
      <w:r w:rsidRPr="00014C4D">
        <w:rPr>
          <w:rFonts w:ascii="David" w:hAnsi="David" w:hint="cs"/>
          <w:rtl/>
        </w:rPr>
        <w:t xml:space="preserve"> שכן לפי סדר העדיפות שקבעה העירייה תינתן קדימות לשיפוץ מקלטים משותפים.</w:t>
      </w:r>
      <w:r w:rsidRPr="00014C4D">
        <w:rPr>
          <w:rFonts w:ascii="David" w:hAnsi="David"/>
          <w:rtl/>
        </w:rPr>
        <w:t xml:space="preserve"> הפסקת העבודה הזמנית </w:t>
      </w:r>
      <w:r w:rsidRPr="00014C4D">
        <w:rPr>
          <w:rFonts w:ascii="David" w:hAnsi="David" w:hint="cs"/>
          <w:rtl/>
        </w:rPr>
        <w:t>למימוש</w:t>
      </w:r>
      <w:r w:rsidRPr="00014C4D">
        <w:rPr>
          <w:rFonts w:ascii="David" w:hAnsi="David"/>
          <w:rtl/>
        </w:rPr>
        <w:t xml:space="preserve"> החלט</w:t>
      </w:r>
      <w:r w:rsidRPr="00014C4D">
        <w:rPr>
          <w:rFonts w:ascii="David" w:hAnsi="David" w:hint="cs"/>
          <w:rtl/>
        </w:rPr>
        <w:t>ה</w:t>
      </w:r>
      <w:r w:rsidRPr="00014C4D">
        <w:rPr>
          <w:rFonts w:ascii="David" w:hAnsi="David"/>
          <w:rtl/>
        </w:rPr>
        <w:t xml:space="preserve"> 1278 בוצעה בתיאום מלא עם פ</w:t>
      </w:r>
      <w:r w:rsidRPr="00014C4D">
        <w:rPr>
          <w:rFonts w:ascii="David" w:hAnsi="David" w:hint="cs"/>
          <w:rtl/>
        </w:rPr>
        <w:t>קע"ר</w:t>
      </w:r>
      <w:r w:rsidRPr="00014C4D">
        <w:rPr>
          <w:rFonts w:ascii="David" w:hAnsi="David"/>
          <w:rtl/>
        </w:rPr>
        <w:t xml:space="preserve"> ו</w:t>
      </w:r>
      <w:r w:rsidRPr="00014C4D">
        <w:rPr>
          <w:rFonts w:ascii="David" w:hAnsi="David" w:hint="cs"/>
          <w:rtl/>
        </w:rPr>
        <w:t xml:space="preserve">עם </w:t>
      </w:r>
      <w:r w:rsidRPr="00014C4D">
        <w:rPr>
          <w:rFonts w:ascii="David" w:hAnsi="David"/>
          <w:rtl/>
        </w:rPr>
        <w:t>המשרד הממשלתי הרלוונטי.</w:t>
      </w:r>
    </w:p>
    <w:p w:rsidR="00014C4D" w:rsidRPr="00014C4D" w:rsidRDefault="00014C4D" w:rsidP="00014C4D">
      <w:pPr>
        <w:tabs>
          <w:tab w:val="left" w:pos="283"/>
        </w:tabs>
        <w:spacing w:line="269" w:lineRule="auto"/>
        <w:rPr>
          <w:rFonts w:ascii="David" w:hAnsi="David"/>
          <w:rtl/>
        </w:rPr>
      </w:pPr>
    </w:p>
    <w:p w:rsidR="00014C4D" w:rsidRPr="00014C4D" w:rsidRDefault="00014C4D" w:rsidP="00014C4D">
      <w:pPr>
        <w:tabs>
          <w:tab w:val="left" w:pos="283"/>
        </w:tabs>
        <w:spacing w:line="269" w:lineRule="auto"/>
        <w:rPr>
          <w:rFonts w:ascii="David" w:hAnsi="David"/>
          <w:b/>
          <w:bCs/>
        </w:rPr>
      </w:pPr>
      <w:r w:rsidRPr="00014C4D">
        <w:rPr>
          <w:rFonts w:ascii="David" w:hAnsi="David"/>
          <w:b/>
          <w:bCs/>
          <w:rtl/>
        </w:rPr>
        <w:t>משרד מבקר המדינה מ</w:t>
      </w:r>
      <w:r w:rsidRPr="00014C4D">
        <w:rPr>
          <w:rFonts w:ascii="David" w:hAnsi="David" w:hint="eastAsia"/>
          <w:b/>
          <w:bCs/>
          <w:rtl/>
        </w:rPr>
        <w:t>עיר</w:t>
      </w:r>
      <w:r w:rsidRPr="00014C4D">
        <w:rPr>
          <w:rFonts w:ascii="David" w:hAnsi="David"/>
          <w:b/>
          <w:bCs/>
          <w:rtl/>
        </w:rPr>
        <w:t xml:space="preserve"> כי אף שהמהלך עשוי להיות יעיל מבחינה תכנונית, בפועל </w:t>
      </w:r>
      <w:r w:rsidRPr="00014C4D">
        <w:rPr>
          <w:rFonts w:ascii="David" w:hAnsi="David" w:hint="cs"/>
          <w:b/>
          <w:bCs/>
          <w:rtl/>
        </w:rPr>
        <w:t>נגרמה</w:t>
      </w:r>
      <w:r w:rsidRPr="00014C4D">
        <w:rPr>
          <w:rFonts w:ascii="David" w:hAnsi="David"/>
          <w:b/>
          <w:bCs/>
          <w:rtl/>
        </w:rPr>
        <w:t xml:space="preserve"> דחייה ממושכת ביישום עבודות המיגון, ו</w:t>
      </w:r>
      <w:r w:rsidRPr="00014C4D">
        <w:rPr>
          <w:rFonts w:ascii="David" w:hAnsi="David" w:hint="cs"/>
          <w:b/>
          <w:bCs/>
          <w:rtl/>
        </w:rPr>
        <w:t xml:space="preserve">רוב </w:t>
      </w:r>
      <w:r w:rsidRPr="00014C4D">
        <w:rPr>
          <w:rFonts w:ascii="David" w:hAnsi="David"/>
          <w:b/>
          <w:bCs/>
          <w:rtl/>
        </w:rPr>
        <w:t xml:space="preserve">התקציב </w:t>
      </w:r>
      <w:r w:rsidRPr="00014C4D">
        <w:rPr>
          <w:rFonts w:ascii="David" w:hAnsi="David" w:hint="cs"/>
          <w:b/>
          <w:bCs/>
          <w:rtl/>
        </w:rPr>
        <w:t>טרם</w:t>
      </w:r>
      <w:r w:rsidRPr="00014C4D">
        <w:rPr>
          <w:rFonts w:ascii="David" w:hAnsi="David"/>
          <w:b/>
          <w:bCs/>
          <w:rtl/>
        </w:rPr>
        <w:t xml:space="preserve"> נוצל. לנוכח האיומים הביטחוניים יש חשיבות לכך ש</w:t>
      </w:r>
      <w:r w:rsidRPr="00014C4D">
        <w:rPr>
          <w:rFonts w:ascii="David" w:hAnsi="David" w:hint="eastAsia"/>
          <w:b/>
          <w:bCs/>
          <w:rtl/>
        </w:rPr>
        <w:t>עיריית</w:t>
      </w:r>
      <w:r w:rsidRPr="00014C4D">
        <w:rPr>
          <w:rFonts w:ascii="David" w:hAnsi="David"/>
          <w:b/>
          <w:bCs/>
          <w:rtl/>
        </w:rPr>
        <w:t xml:space="preserve"> </w:t>
      </w:r>
      <w:r w:rsidRPr="00014C4D">
        <w:rPr>
          <w:rFonts w:ascii="David" w:hAnsi="David" w:hint="eastAsia"/>
          <w:b/>
          <w:bCs/>
          <w:rtl/>
        </w:rPr>
        <w:t>אשקלון</w:t>
      </w:r>
      <w:r w:rsidRPr="00014C4D">
        <w:rPr>
          <w:rFonts w:ascii="David" w:hAnsi="David"/>
          <w:b/>
          <w:bCs/>
          <w:rtl/>
        </w:rPr>
        <w:t xml:space="preserve"> תפעל לניצול מלא ומהיר של כלל התקציבים המוקצים למיגון.</w:t>
      </w:r>
    </w:p>
    <w:p w:rsidR="00014C4D" w:rsidRPr="00014C4D" w:rsidRDefault="00014C4D" w:rsidP="00014C4D">
      <w:pPr>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 xml:space="preserve">סיוע משרד הבינוי והשיכון לתושבי אשקלון לבניית ממ"דים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בהחלטת הממשלה 1278 ממרץ 2022 נקבע כי יינתן "סיוע בפתרונות מיגון דירתיים באשקלון". על פי ההחלטה, החשב הכללי במשרד האוצר, בשיתוף משרד השיכון, יגבש מודל הלוואות ומענקים לסיוע במימון בניית ממ"דים בדירות בעיר אשקלון שאין לדייריהן פתרון מיגון דירתי או קומתי, וכי מתן ההלוואות והמענקים יבוצע על ידי משרד השיכון כלהלן:</w:t>
      </w:r>
    </w:p>
    <w:p w:rsidR="00014C4D" w:rsidRPr="00014C4D" w:rsidRDefault="00014C4D" w:rsidP="00014C4D">
      <w:pPr>
        <w:spacing w:line="269" w:lineRule="auto"/>
        <w:ind w:left="-567"/>
        <w:rPr>
          <w:szCs w:val="20"/>
          <w:rtl/>
        </w:rPr>
      </w:pPr>
    </w:p>
    <w:p w:rsidR="00014C4D" w:rsidRPr="00014C4D" w:rsidRDefault="00014C4D" w:rsidP="00014C4D">
      <w:pPr>
        <w:numPr>
          <w:ilvl w:val="0"/>
          <w:numId w:val="29"/>
        </w:numPr>
        <w:tabs>
          <w:tab w:val="left" w:pos="424"/>
        </w:tabs>
        <w:spacing w:line="269" w:lineRule="auto"/>
        <w:ind w:left="312"/>
        <w:contextualSpacing/>
      </w:pPr>
      <w:r w:rsidRPr="00014C4D">
        <w:rPr>
          <w:rFonts w:eastAsiaTheme="majorEastAsia" w:hint="cs"/>
          <w:bCs/>
          <w:spacing w:val="40"/>
          <w:rtl/>
        </w:rPr>
        <w:t>הלוואות:</w:t>
      </w:r>
      <w:r w:rsidRPr="00014C4D">
        <w:rPr>
          <w:rFonts w:hint="cs"/>
          <w:rtl/>
        </w:rPr>
        <w:t xml:space="preserve"> המימון יתבצע באמצעות מתן הלוואות לדיור בשיעורי הריבית הנהוגים לפי חוק הלוואות לדיור, תוך מתן האפשרות למשכן את הנכס כבטוחה לפירעון ההלוואה. אשר למקור המימון, נקבע כי החשב הכללי יבחן עם הבנקים למשכנתאות את האפשרות שהבנקים יעמידו את ההלוואות ממקורותיהם.</w:t>
      </w:r>
    </w:p>
    <w:p w:rsidR="00014C4D" w:rsidRPr="00014C4D" w:rsidRDefault="00014C4D" w:rsidP="00014C4D">
      <w:pPr>
        <w:spacing w:line="269" w:lineRule="auto"/>
        <w:ind w:left="-567"/>
        <w:rPr>
          <w:szCs w:val="20"/>
        </w:rPr>
      </w:pPr>
    </w:p>
    <w:p w:rsidR="00014C4D" w:rsidRPr="00014C4D" w:rsidRDefault="00014C4D" w:rsidP="00014C4D">
      <w:pPr>
        <w:numPr>
          <w:ilvl w:val="0"/>
          <w:numId w:val="29"/>
        </w:numPr>
        <w:tabs>
          <w:tab w:val="left" w:pos="424"/>
        </w:tabs>
        <w:spacing w:line="269" w:lineRule="auto"/>
        <w:ind w:left="312"/>
        <w:contextualSpacing/>
      </w:pPr>
      <w:r w:rsidRPr="00014C4D">
        <w:rPr>
          <w:rFonts w:eastAsiaTheme="majorEastAsia" w:hint="cs"/>
          <w:bCs/>
          <w:spacing w:val="40"/>
          <w:rtl/>
        </w:rPr>
        <w:t>מענקים:</w:t>
      </w:r>
      <w:r w:rsidRPr="00014C4D">
        <w:rPr>
          <w:rFonts w:hint="cs"/>
          <w:rtl/>
        </w:rPr>
        <w:t xml:space="preserve"> יופעל גם מסלול לסיוע באמצעות מתן מענקים מותנים, לבעלי דירות העומדים בתנאים לקבלת המענקים (שפורטו בהחלטה), במקום ההלוואות. </w:t>
      </w:r>
    </w:p>
    <w:p w:rsidR="00014C4D" w:rsidRPr="00014C4D" w:rsidRDefault="00014C4D" w:rsidP="00014C4D">
      <w:pPr>
        <w:spacing w:line="269" w:lineRule="auto"/>
        <w:ind w:left="-567"/>
        <w:rPr>
          <w:szCs w:val="20"/>
        </w:rPr>
      </w:pPr>
    </w:p>
    <w:p w:rsidR="00014C4D" w:rsidRPr="00014C4D" w:rsidRDefault="00014C4D" w:rsidP="00014C4D">
      <w:pPr>
        <w:numPr>
          <w:ilvl w:val="0"/>
          <w:numId w:val="29"/>
        </w:numPr>
        <w:tabs>
          <w:tab w:val="left" w:pos="424"/>
        </w:tabs>
        <w:spacing w:line="269" w:lineRule="auto"/>
        <w:ind w:left="312"/>
        <w:contextualSpacing/>
      </w:pPr>
      <w:r w:rsidRPr="00014C4D">
        <w:rPr>
          <w:rFonts w:eastAsiaTheme="majorEastAsia" w:hint="cs"/>
          <w:bCs/>
          <w:spacing w:val="40"/>
          <w:rtl/>
        </w:rPr>
        <w:t xml:space="preserve">התנאים המצטברים לקבלת המענקים וההלוואות: </w:t>
      </w:r>
      <w:r w:rsidRPr="00014C4D">
        <w:rPr>
          <w:rFonts w:hint="cs"/>
          <w:rtl/>
        </w:rPr>
        <w:t>זכאים למענקים בעלי דירה יחידה; בעלי דירה נוספת ובתנאי שחלקם בדירה הנוספת הוא עד שליש; דירתם בעיר אשקלון והם מתגוררים בה וזכאים לקבלת קצבת זקנה עם השלמת הכנסה או שהם נכים מסוימים</w:t>
      </w:r>
      <w:r w:rsidRPr="00014C4D">
        <w:rPr>
          <w:vertAlign w:val="superscript"/>
          <w:rtl/>
        </w:rPr>
        <w:footnoteReference w:id="138"/>
      </w:r>
      <w:r w:rsidRPr="00014C4D">
        <w:rPr>
          <w:rFonts w:hint="cs"/>
          <w:rtl/>
        </w:rPr>
        <w:t xml:space="preserve">. התושבים הזכאים לקבלת הלוואות הם תושבים </w:t>
      </w:r>
      <w:r w:rsidRPr="00014C4D">
        <w:rPr>
          <w:rtl/>
        </w:rPr>
        <w:t xml:space="preserve">שאינם </w:t>
      </w:r>
      <w:r w:rsidRPr="00014C4D">
        <w:rPr>
          <w:rFonts w:hint="cs"/>
          <w:rtl/>
        </w:rPr>
        <w:t>עומדים ב</w:t>
      </w:r>
      <w:r w:rsidRPr="00014C4D">
        <w:rPr>
          <w:rtl/>
        </w:rPr>
        <w:t xml:space="preserve">תבחינים </w:t>
      </w:r>
      <w:r w:rsidRPr="00014C4D">
        <w:rPr>
          <w:rFonts w:hint="cs"/>
          <w:rtl/>
        </w:rPr>
        <w:t>שנקבעו לקבלת המענקים.</w:t>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numPr>
          <w:ilvl w:val="0"/>
          <w:numId w:val="29"/>
        </w:numPr>
        <w:tabs>
          <w:tab w:val="left" w:pos="424"/>
        </w:tabs>
        <w:spacing w:line="269" w:lineRule="auto"/>
        <w:ind w:left="312"/>
        <w:contextualSpacing/>
      </w:pPr>
      <w:r w:rsidRPr="00014C4D">
        <w:rPr>
          <w:rFonts w:eastAsiaTheme="majorEastAsia" w:hint="cs"/>
          <w:bCs/>
          <w:spacing w:val="40"/>
          <w:rtl/>
        </w:rPr>
        <w:t>סכום המענק או ההלוואה:</w:t>
      </w:r>
      <w:r w:rsidRPr="00014C4D">
        <w:rPr>
          <w:rFonts w:hint="cs"/>
          <w:rtl/>
        </w:rPr>
        <w:t xml:space="preserve"> סכום ההלוואה או המענק למימון פתרון מיגון דירתי לא יעלה על 158,000 ש"ח או 100% מעלות הבינוי, הנמוך מבין השניים.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color w:val="FF0000"/>
          <w:rtl/>
        </w:rPr>
      </w:pPr>
      <w:r w:rsidRPr="00014C4D">
        <w:rPr>
          <w:rFonts w:hint="cs"/>
          <w:rtl/>
        </w:rPr>
        <w:t>לפי ההחלטה, משרד האוצר יקצה למשרד השיכון למימון הסיוע האמור</w:t>
      </w:r>
      <w:r w:rsidRPr="00014C4D" w:rsidDel="00EB4EF8">
        <w:rPr>
          <w:rFonts w:hint="cs"/>
          <w:rtl/>
        </w:rPr>
        <w:t xml:space="preserve"> </w:t>
      </w:r>
      <w:r w:rsidRPr="00014C4D">
        <w:rPr>
          <w:rFonts w:hint="cs"/>
          <w:rtl/>
        </w:rPr>
        <w:t xml:space="preserve">56 מיליון ש"ח לשנת 2022 ו-50 מיליון ש"ח לכל אחת מהשנים 2023 - 2027. דהיינו לשנת 2023 הוקצה סך של 50 מיליון ש"ח.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ascii="David" w:hAnsi="David" w:hint="cs"/>
          <w:sz w:val="24"/>
          <w:rtl/>
        </w:rPr>
        <w:lastRenderedPageBreak/>
        <w:t>ב</w:t>
      </w:r>
      <w:r w:rsidRPr="00014C4D">
        <w:rPr>
          <w:rFonts w:hint="cs"/>
          <w:rtl/>
        </w:rPr>
        <w:t xml:space="preserve">החלטת הממשלה 852 מ-30.7.23 תוקנה החלטה מס' 1278 ונקבע </w:t>
      </w:r>
      <w:r w:rsidRPr="00014C4D">
        <w:rPr>
          <w:rtl/>
        </w:rPr>
        <w:t xml:space="preserve">כי </w:t>
      </w:r>
      <w:r w:rsidRPr="00014C4D">
        <w:rPr>
          <w:rFonts w:hint="cs"/>
          <w:rtl/>
        </w:rPr>
        <w:t>הסיוע לא יינתן עבור מבנים שנכללים בתוכנית התחדשות עירונית.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משרד השיכון פרסם באתר המרשתת שלו ביוני 2023 נוהל ולפיו יהיו זכאים לסיוע רק בעלי דירות צמודות קרקע. באוגוסט 2024 תיקן משרד השיכון את החלטתו הקודמת וקבע כי הסיוע יינתן גם למתגוררים בבנייה רוויה</w:t>
      </w:r>
      <w:r w:rsidRPr="00014C4D">
        <w:rPr>
          <w:vertAlign w:val="superscript"/>
          <w:rtl/>
        </w:rPr>
        <w:footnoteReference w:id="139"/>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רק ביוני 2023, כשנה ושלושה חודשים לאחר מועד פרסום החלטת הממשלה, פרסם משרד השיכון נוהל המאפשר את קבלת המענקים וההלוואות. כתוצאה מכך לא ניתן היה לנצל את התקציב של 56 מיליון ש"ח לשנת 2022 וגם לא את התקציב של 50 מיליון ש"ח לשנת 2023, במחצית הראשונה של שנה זו, כפי שנקבע בהחלטת הממשלה.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על מנת לאפשר את קבלת המענקים וההלוואות לבניית ממ"דים היה על משרד השיכון לפרסם את הנוהל הנדרש לביצוע החלטת הממשלה סמוך למועד פרסום החלטת הממשלה.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משרד השיכון מסר למשרד מבקר המדינה במהלך הביקורת בספטמבר 2024 כי העיכוב בפרסום הנוהל נגרם מכמה סיבות: התוכנית לוותה בוועדת היגוי משותפת לשלושה משרדי ממשלה (משרדי הבינוי והשיכון, משרד האוצר ומשרד ראש הממשלה), והיא התכנסה פעמים רבות כדי לתאם את ההליך ולקבל החלטות משותפות; נדרש משא ומתן ארוך עם הבנקים;</w:t>
      </w:r>
      <w:r w:rsidRPr="00014C4D">
        <w:rPr>
          <w:rtl/>
        </w:rPr>
        <w:t xml:space="preserve"> סוג מסלול הסיוע הייחודי</w:t>
      </w:r>
      <w:r w:rsidRPr="00014C4D">
        <w:rPr>
          <w:rFonts w:hint="cs"/>
          <w:rtl/>
        </w:rPr>
        <w:t xml:space="preserve"> </w:t>
      </w:r>
      <w:r w:rsidRPr="00014C4D">
        <w:rPr>
          <w:rtl/>
        </w:rPr>
        <w:t xml:space="preserve">דרש </w:t>
      </w:r>
      <w:r w:rsidRPr="00014C4D">
        <w:rPr>
          <w:rFonts w:hint="cs"/>
          <w:rtl/>
        </w:rPr>
        <w:t xml:space="preserve">יצירה של </w:t>
      </w:r>
      <w:r w:rsidRPr="00014C4D">
        <w:rPr>
          <w:rtl/>
        </w:rPr>
        <w:t>שיטות עבודה חדשות ו</w:t>
      </w:r>
      <w:r w:rsidRPr="00014C4D">
        <w:rPr>
          <w:rFonts w:hint="cs"/>
          <w:rtl/>
        </w:rPr>
        <w:t xml:space="preserve">עלו </w:t>
      </w:r>
      <w:r w:rsidRPr="00014C4D">
        <w:rPr>
          <w:rtl/>
        </w:rPr>
        <w:t>חסמים שונים במהלך כתיב</w:t>
      </w:r>
      <w:r w:rsidRPr="00014C4D">
        <w:rPr>
          <w:rFonts w:hint="cs"/>
          <w:rtl/>
        </w:rPr>
        <w:t xml:space="preserve">ת ההנחיות בנושא. </w:t>
      </w:r>
      <w:r w:rsidRPr="00014C4D">
        <w:rPr>
          <w:rtl/>
        </w:rPr>
        <w:t xml:space="preserve">אחד </w:t>
      </w:r>
      <w:r w:rsidRPr="00014C4D">
        <w:rPr>
          <w:rFonts w:hint="cs"/>
          <w:rtl/>
        </w:rPr>
        <w:t>מהם</w:t>
      </w:r>
      <w:r w:rsidRPr="00014C4D">
        <w:rPr>
          <w:rtl/>
        </w:rPr>
        <w:t xml:space="preserve"> היה אופן הגדרת הבטוחה</w:t>
      </w:r>
      <w:r w:rsidRPr="00014C4D">
        <w:rPr>
          <w:rFonts w:hint="cs"/>
          <w:rtl/>
        </w:rPr>
        <w:t xml:space="preserve"> למשכון הדירה</w:t>
      </w:r>
      <w:r w:rsidRPr="00014C4D">
        <w:rPr>
          <w:rtl/>
        </w:rPr>
        <w:t xml:space="preserve"> למתן הכספים</w:t>
      </w:r>
      <w:r w:rsidRPr="00014C4D">
        <w:rPr>
          <w:rFonts w:hint="cs"/>
          <w:rtl/>
        </w:rPr>
        <w:t>, ולכן נעשה ניסיון לפשט את התהליך על ידי ויתור על שמאות לדירה שנדרשה לצורך קבלת המשכנתה; נדרשה היערכות "מחשובית מורכבת" למסלול זה, הן במשרד השיכון והן בבנקים, והיא ארכה זמן מאחר שהמשימה נקבעה במהלך השנה ולא מראש בתוכנית העבודה השנתית; חברות הסיוע בדיור היו ערוכות מאז יולי 2023 לבדיקת הזכאות למענק או להלוואה.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מאז יולי 2023 ועד ספטמבר 2024 רק 35 זכאים הגרים בבתים צמודי קרקע הגישו למשרד השיכון בקשות לאישור מענקים וסבסוד ריבית להלוואות (להלן - הלוואות)</w:t>
      </w:r>
      <w:r w:rsidRPr="00014C4D">
        <w:rPr>
          <w:vertAlign w:val="superscript"/>
          <w:rtl/>
        </w:rPr>
        <w:footnoteReference w:id="140"/>
      </w:r>
      <w:r w:rsidRPr="00014C4D">
        <w:rPr>
          <w:rFonts w:hint="cs"/>
          <w:rtl/>
        </w:rPr>
        <w:t xml:space="preserve"> לצורך מיגון בתיהם, והוא אישר את כולן (מענקים ל-13 זכאים והלוואות ל-22 זכאים)</w:t>
      </w:r>
      <w:r w:rsidRPr="00014C4D">
        <w:rPr>
          <w:vertAlign w:val="superscript"/>
          <w:rtl/>
        </w:rPr>
        <w:footnoteReference w:id="141"/>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color w:val="0070C0"/>
          <w:rtl/>
        </w:rPr>
      </w:pPr>
      <w:r w:rsidRPr="00014C4D">
        <w:rPr>
          <w:rFonts w:hint="cs"/>
          <w:b/>
          <w:bCs/>
          <w:rtl/>
        </w:rPr>
        <w:t>נמצא כי התמשכות ההליכים גרמו לכך שהמטרה שלשמה ניתן הסיוע הוחטאה, ובפועל מיולי 2023 ועד ספטמבר 2024 זכאי אחד בלבד מימש את זכותו לסיוע וקיבל מענק בסך 158,000 ש"ח, מתוך 50 מיליון ש"ח שנקבעו בהחלטת הממשלה לשנה זו</w:t>
      </w:r>
      <w:r w:rsidRPr="00014C4D">
        <w:rPr>
          <w:rFonts w:hint="cs"/>
          <w:b/>
          <w:bCs/>
          <w:color w:val="0070C0"/>
          <w:rtl/>
        </w:rPr>
        <w:t>.</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b/>
          <w:bCs/>
          <w:rtl/>
        </w:rPr>
      </w:pPr>
      <w:r w:rsidRPr="00014C4D">
        <w:rPr>
          <w:rFonts w:hint="eastAsia"/>
          <w:rtl/>
        </w:rPr>
        <w:lastRenderedPageBreak/>
        <w:t>תרשים</w:t>
      </w:r>
      <w:r w:rsidRPr="00014C4D">
        <w:rPr>
          <w:rtl/>
        </w:rPr>
        <w:t xml:space="preserve"> </w:t>
      </w:r>
      <w:r w:rsidRPr="00014C4D">
        <w:rPr>
          <w:rFonts w:hint="cs"/>
          <w:rtl/>
        </w:rPr>
        <w:t>7</w:t>
      </w:r>
      <w:r w:rsidRPr="00014C4D">
        <w:rPr>
          <w:rtl/>
        </w:rPr>
        <w:t>:</w:t>
      </w:r>
      <w:r w:rsidRPr="00014C4D">
        <w:rPr>
          <w:rFonts w:hint="cs"/>
          <w:b/>
          <w:bCs/>
          <w:rtl/>
        </w:rPr>
        <w:t xml:space="preserve"> ניצול </w:t>
      </w:r>
      <w:r w:rsidRPr="00014C4D">
        <w:rPr>
          <w:b/>
          <w:bCs/>
          <w:rtl/>
        </w:rPr>
        <w:t>סיוע בפתרונות מיגון דירתיים באשקלון</w:t>
      </w:r>
      <w:r w:rsidRPr="00014C4D">
        <w:rPr>
          <w:rFonts w:hint="cs"/>
          <w:b/>
          <w:bCs/>
          <w:rtl/>
        </w:rPr>
        <w:t xml:space="preserve"> על פי החלטת הממשלה 1278, </w:t>
      </w:r>
      <w:r w:rsidRPr="00014C4D">
        <w:rPr>
          <w:b/>
          <w:bCs/>
          <w:rtl/>
        </w:rPr>
        <w:br/>
      </w:r>
      <w:r w:rsidRPr="00014C4D">
        <w:rPr>
          <w:rFonts w:hint="cs"/>
          <w:b/>
          <w:bCs/>
          <w:rtl/>
        </w:rPr>
        <w:t>יולי 2023 - ספטמבר 2024</w:t>
      </w:r>
    </w:p>
    <w:p w:rsidR="00014C4D" w:rsidRPr="00014C4D" w:rsidRDefault="00014C4D" w:rsidP="00014C4D">
      <w:pPr>
        <w:spacing w:line="269" w:lineRule="auto"/>
        <w:ind w:hanging="568"/>
        <w:jc w:val="left"/>
        <w:rPr>
          <w:szCs w:val="20"/>
          <w:rtl/>
        </w:rPr>
      </w:pPr>
      <w:r w:rsidRPr="00014C4D">
        <w:rPr>
          <w:noProof/>
          <w:rtl/>
          <w:lang w:val="he-IL"/>
        </w:rPr>
        <w:drawing>
          <wp:inline distT="0" distB="0" distL="0" distR="0" wp14:anchorId="0A5BC00A" wp14:editId="7CE2EC5D">
            <wp:extent cx="5220335" cy="3962400"/>
            <wp:effectExtent l="0" t="19050" r="0" b="95250"/>
            <wp:docPr id="1834351665" name="דיאגרמה 1834351665" descr="תוכן התרשים מופיע בטקסט"/>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משרד הבינוי והשיכון מסר בתשובתו </w:t>
      </w:r>
      <w:r w:rsidRPr="00014C4D">
        <w:rPr>
          <w:rFonts w:hint="cs"/>
          <w:rtl/>
        </w:rPr>
        <w:t>ב</w:t>
      </w:r>
      <w:r w:rsidRPr="00014C4D">
        <w:rPr>
          <w:rtl/>
        </w:rPr>
        <w:t xml:space="preserve">יולי 2025 כי תנאי הסף שנקבעו בהחלטת הממשלה למתן סיוע </w:t>
      </w:r>
      <w:r w:rsidRPr="00014C4D">
        <w:rPr>
          <w:rFonts w:hint="cs"/>
          <w:rtl/>
        </w:rPr>
        <w:t>-</w:t>
      </w:r>
      <w:r w:rsidRPr="00014C4D">
        <w:rPr>
          <w:rtl/>
        </w:rPr>
        <w:t xml:space="preserve"> ובפרט ההגבלה לצמודי קרקע בלבד ולמקבלי קצבת קיום </w:t>
      </w:r>
      <w:r w:rsidRPr="00014C4D">
        <w:rPr>
          <w:rFonts w:hint="cs"/>
          <w:rtl/>
        </w:rPr>
        <w:t>-</w:t>
      </w:r>
      <w:r w:rsidRPr="00014C4D">
        <w:rPr>
          <w:rtl/>
        </w:rPr>
        <w:t xml:space="preserve"> יצרו חסמים מהותיים במימוש התוכנית. </w:t>
      </w:r>
      <w:r w:rsidRPr="00014C4D">
        <w:rPr>
          <w:rFonts w:hint="cs"/>
          <w:rtl/>
        </w:rPr>
        <w:t>נוסף</w:t>
      </w:r>
      <w:r w:rsidRPr="00014C4D">
        <w:rPr>
          <w:rtl/>
        </w:rPr>
        <w:t xml:space="preserve"> </w:t>
      </w:r>
      <w:r w:rsidRPr="00014C4D">
        <w:rPr>
          <w:rFonts w:hint="cs"/>
          <w:rtl/>
        </w:rPr>
        <w:t xml:space="preserve">על כך, עקב תנאי ההלוואה שנקבעו בהחלטה, לציבור לא היה כדאי לקבל את הסיוע, שכן </w:t>
      </w:r>
      <w:r w:rsidRPr="00014C4D">
        <w:rPr>
          <w:rtl/>
        </w:rPr>
        <w:t xml:space="preserve">ניתן היה להשיג הלוואות דומות בבנקים בתנאים </w:t>
      </w:r>
      <w:r w:rsidRPr="00014C4D">
        <w:rPr>
          <w:rFonts w:hint="cs"/>
          <w:rtl/>
        </w:rPr>
        <w:t>טובים</w:t>
      </w:r>
      <w:r w:rsidRPr="00014C4D">
        <w:rPr>
          <w:rtl/>
        </w:rPr>
        <w:t xml:space="preserve"> יותר</w:t>
      </w:r>
      <w:r w:rsidRPr="00014C4D">
        <w:rPr>
          <w:rFonts w:hint="cs"/>
          <w:rtl/>
        </w:rPr>
        <w:t xml:space="preserve">. לטענת </w:t>
      </w:r>
      <w:r w:rsidRPr="00014C4D">
        <w:rPr>
          <w:rtl/>
        </w:rPr>
        <w:t xml:space="preserve">משרד השיכון </w:t>
      </w:r>
      <w:r w:rsidRPr="00014C4D">
        <w:rPr>
          <w:rFonts w:hint="cs"/>
          <w:rtl/>
        </w:rPr>
        <w:t xml:space="preserve">הוא </w:t>
      </w:r>
      <w:r w:rsidRPr="00014C4D">
        <w:rPr>
          <w:rtl/>
        </w:rPr>
        <w:t xml:space="preserve">התריע על כך </w:t>
      </w:r>
      <w:r w:rsidRPr="00014C4D">
        <w:rPr>
          <w:rFonts w:hint="cs"/>
          <w:rtl/>
        </w:rPr>
        <w:t>ל</w:t>
      </w:r>
      <w:r w:rsidRPr="00014C4D">
        <w:rPr>
          <w:rtl/>
        </w:rPr>
        <w:t>פני השותפים המקצועיים, אך תנאים אלו עוגנו לבסוף בהחלטות ממשלה.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 xml:space="preserve">כדי לקצר את ההליכים השונים לגיבוש תנאים לקבלת הלוואות ומענקים במקרים דומים בעתיד ככל שיידרש, מומלץ כי משרדי השיכון והאוצר יבצעו הפקת לקחים לגבי הליך קבלת המענקים וההלוואות וכי הנוהל הנדרש לביצוע החלטת הממשלה יפורסם סמוך למועד פרסום החלטת הממשלה. </w:t>
      </w:r>
    </w:p>
    <w:p w:rsidR="00014C4D" w:rsidRPr="00014C4D" w:rsidRDefault="00014C4D" w:rsidP="00014C4D">
      <w:pPr>
        <w:spacing w:line="269" w:lineRule="auto"/>
        <w:rPr>
          <w:b/>
          <w:bCs/>
          <w:rtl/>
        </w:rPr>
      </w:pPr>
    </w:p>
    <w:p w:rsidR="00014C4D" w:rsidRPr="00014C4D" w:rsidRDefault="00014C4D" w:rsidP="00014C4D">
      <w:pPr>
        <w:spacing w:line="269" w:lineRule="auto"/>
        <w:jc w:val="center"/>
        <w:rPr>
          <w:rFonts w:ascii="Arial" w:hAnsi="Arial" w:cs="Arial"/>
          <w:b/>
          <w:bCs/>
          <w:sz w:val="36"/>
          <w:rtl/>
        </w:rPr>
      </w:pPr>
      <w:r w:rsidRPr="00014C4D">
        <w:rPr>
          <w:rFonts w:ascii="Segoe UI Symbol" w:hAnsi="Segoe UI Symbol" w:cs="Segoe UI Symbol" w:hint="cs"/>
          <w:b/>
          <w:bCs/>
          <w:sz w:val="36"/>
          <w:rtl/>
        </w:rPr>
        <w:t>✰</w:t>
      </w:r>
    </w:p>
    <w:p w:rsidR="00014C4D" w:rsidRPr="00014C4D" w:rsidRDefault="00014C4D" w:rsidP="00014C4D">
      <w:pPr>
        <w:spacing w:line="269" w:lineRule="auto"/>
        <w:rPr>
          <w:b/>
          <w:bCs/>
          <w:rtl/>
        </w:rPr>
      </w:pPr>
      <w:r w:rsidRPr="00014C4D">
        <w:rPr>
          <w:rFonts w:hint="cs"/>
          <w:b/>
          <w:bCs/>
          <w:rtl/>
        </w:rPr>
        <w:lastRenderedPageBreak/>
        <w:t>עולה כי ב</w:t>
      </w:r>
      <w:r w:rsidRPr="00014C4D">
        <w:rPr>
          <w:b/>
          <w:bCs/>
          <w:rtl/>
        </w:rPr>
        <w:t>מהלך המלחמה הושקעו תקציבים רבים</w:t>
      </w:r>
      <w:r w:rsidRPr="00014C4D">
        <w:rPr>
          <w:rFonts w:hint="cs"/>
          <w:b/>
          <w:bCs/>
          <w:rtl/>
        </w:rPr>
        <w:t xml:space="preserve"> במיגון התושבים</w:t>
      </w:r>
      <w:r w:rsidRPr="00014C4D">
        <w:rPr>
          <w:b/>
          <w:bCs/>
          <w:rtl/>
        </w:rPr>
        <w:t xml:space="preserve">, </w:t>
      </w:r>
      <w:r w:rsidRPr="00014C4D">
        <w:rPr>
          <w:rFonts w:hint="cs"/>
          <w:b/>
          <w:bCs/>
          <w:rtl/>
        </w:rPr>
        <w:t>לאחר שנים של</w:t>
      </w:r>
      <w:r w:rsidRPr="00014C4D">
        <w:rPr>
          <w:b/>
          <w:bCs/>
          <w:rtl/>
        </w:rPr>
        <w:t xml:space="preserve"> </w:t>
      </w:r>
      <w:r w:rsidRPr="00014C4D">
        <w:rPr>
          <w:rFonts w:hint="cs"/>
          <w:b/>
          <w:bCs/>
          <w:rtl/>
        </w:rPr>
        <w:t xml:space="preserve">תחזוקה שוטפת לא-ראויה ושל חוסר בקרה של </w:t>
      </w:r>
      <w:r w:rsidRPr="00014C4D">
        <w:rPr>
          <w:b/>
          <w:bCs/>
          <w:rtl/>
        </w:rPr>
        <w:t>הרשויות המקומיות אשקלון, גבעתיים, חולון והגלבוע.</w:t>
      </w:r>
      <w:r w:rsidRPr="00014C4D">
        <w:rPr>
          <w:rFonts w:hint="cs"/>
          <w:b/>
          <w:bCs/>
          <w:rtl/>
        </w:rPr>
        <w:t xml:space="preserve"> </w:t>
      </w:r>
      <w:r w:rsidRPr="00014C4D">
        <w:rPr>
          <w:rFonts w:hint="eastAsia"/>
          <w:b/>
          <w:bCs/>
          <w:rtl/>
        </w:rPr>
        <w:t>כמו</w:t>
      </w:r>
      <w:r w:rsidRPr="00014C4D">
        <w:rPr>
          <w:b/>
          <w:bCs/>
          <w:rtl/>
        </w:rPr>
        <w:t xml:space="preserve"> כן, פקע"ר לא מימש </w:t>
      </w:r>
      <w:r w:rsidRPr="00014C4D">
        <w:rPr>
          <w:rFonts w:hint="cs"/>
          <w:b/>
          <w:bCs/>
          <w:rtl/>
        </w:rPr>
        <w:t xml:space="preserve">באופן מספק </w:t>
      </w:r>
      <w:r w:rsidRPr="00014C4D">
        <w:rPr>
          <w:b/>
          <w:bCs/>
          <w:rtl/>
        </w:rPr>
        <w:t xml:space="preserve">את סמכויותיו בכל הנוגע לפיקוח ובקרה על </w:t>
      </w:r>
      <w:r w:rsidRPr="00014C4D">
        <w:rPr>
          <w:rFonts w:hint="eastAsia"/>
          <w:b/>
          <w:bCs/>
          <w:rtl/>
        </w:rPr>
        <w:t>תחזוקת</w:t>
      </w:r>
      <w:r w:rsidRPr="00014C4D">
        <w:rPr>
          <w:b/>
          <w:bCs/>
          <w:rtl/>
        </w:rPr>
        <w:t xml:space="preserve"> </w:t>
      </w:r>
      <w:r w:rsidRPr="00014C4D">
        <w:rPr>
          <w:rFonts w:hint="eastAsia"/>
          <w:b/>
          <w:bCs/>
          <w:rtl/>
        </w:rPr>
        <w:t>המקלטים</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ידי</w:t>
      </w:r>
      <w:r w:rsidRPr="00014C4D">
        <w:rPr>
          <w:b/>
          <w:bCs/>
          <w:rtl/>
        </w:rPr>
        <w:t xml:space="preserve"> </w:t>
      </w:r>
      <w:r w:rsidRPr="00014C4D">
        <w:rPr>
          <w:rFonts w:hint="eastAsia"/>
          <w:b/>
          <w:bCs/>
          <w:rtl/>
        </w:rPr>
        <w:t>הרשויות</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על הרשויות המקומיות אשקלון, גבעתיים, חולון והגלבוע לערוך</w:t>
      </w:r>
      <w:r w:rsidRPr="00014C4D">
        <w:rPr>
          <w:b/>
          <w:bCs/>
          <w:rtl/>
        </w:rPr>
        <w:t xml:space="preserve"> ת</w:t>
      </w:r>
      <w:r w:rsidRPr="00014C4D">
        <w:rPr>
          <w:rFonts w:hint="cs"/>
          <w:b/>
          <w:bCs/>
          <w:rtl/>
        </w:rPr>
        <w:t>ו</w:t>
      </w:r>
      <w:r w:rsidRPr="00014C4D">
        <w:rPr>
          <w:b/>
          <w:bCs/>
          <w:rtl/>
        </w:rPr>
        <w:t>כני</w:t>
      </w:r>
      <w:r w:rsidRPr="00014C4D">
        <w:rPr>
          <w:rFonts w:hint="cs"/>
          <w:b/>
          <w:bCs/>
          <w:rtl/>
        </w:rPr>
        <w:t>ו</w:t>
      </w:r>
      <w:r w:rsidRPr="00014C4D">
        <w:rPr>
          <w:b/>
          <w:bCs/>
          <w:rtl/>
        </w:rPr>
        <w:t>ת רב-שנתי</w:t>
      </w:r>
      <w:r w:rsidRPr="00014C4D">
        <w:rPr>
          <w:rFonts w:hint="cs"/>
          <w:b/>
          <w:bCs/>
          <w:rtl/>
        </w:rPr>
        <w:t>ו</w:t>
      </w:r>
      <w:r w:rsidRPr="00014C4D">
        <w:rPr>
          <w:b/>
          <w:bCs/>
          <w:rtl/>
        </w:rPr>
        <w:t>ת סדור</w:t>
      </w:r>
      <w:r w:rsidRPr="00014C4D">
        <w:rPr>
          <w:rFonts w:hint="cs"/>
          <w:b/>
          <w:bCs/>
          <w:rtl/>
        </w:rPr>
        <w:t>ות</w:t>
      </w:r>
      <w:r w:rsidRPr="00014C4D">
        <w:rPr>
          <w:b/>
          <w:bCs/>
          <w:rtl/>
        </w:rPr>
        <w:t xml:space="preserve"> </w:t>
      </w:r>
      <w:r w:rsidRPr="00014C4D">
        <w:rPr>
          <w:rFonts w:hint="cs"/>
          <w:b/>
          <w:bCs/>
          <w:rtl/>
        </w:rPr>
        <w:t xml:space="preserve">לתחזוקת המקלטים הציבוריים בהן </w:t>
      </w:r>
      <w:r w:rsidRPr="00014C4D">
        <w:rPr>
          <w:b/>
          <w:bCs/>
          <w:rtl/>
        </w:rPr>
        <w:t>ו</w:t>
      </w:r>
      <w:r w:rsidRPr="00014C4D">
        <w:rPr>
          <w:rFonts w:hint="cs"/>
          <w:b/>
          <w:bCs/>
          <w:rtl/>
        </w:rPr>
        <w:t>ל</w:t>
      </w:r>
      <w:r w:rsidRPr="00014C4D">
        <w:rPr>
          <w:b/>
          <w:bCs/>
          <w:rtl/>
        </w:rPr>
        <w:t>ב</w:t>
      </w:r>
      <w:r w:rsidRPr="00014C4D">
        <w:rPr>
          <w:rFonts w:hint="cs"/>
          <w:b/>
          <w:bCs/>
          <w:rtl/>
        </w:rPr>
        <w:t>צע ב</w:t>
      </w:r>
      <w:r w:rsidRPr="00014C4D">
        <w:rPr>
          <w:b/>
          <w:bCs/>
          <w:rtl/>
        </w:rPr>
        <w:t>קרה מתמשכת על התקציבים המושקעים, על מנת להבטיח ניצול אופטימלי של המשאבים</w:t>
      </w:r>
      <w:r w:rsidRPr="00014C4D">
        <w:rPr>
          <w:rFonts w:hint="cs"/>
          <w:b/>
          <w:bCs/>
          <w:rtl/>
        </w:rPr>
        <w:t xml:space="preserve">. </w:t>
      </w:r>
      <w:r w:rsidRPr="00014C4D">
        <w:rPr>
          <w:rFonts w:hint="eastAsia"/>
          <w:b/>
          <w:bCs/>
          <w:rtl/>
        </w:rPr>
        <w:t>על</w:t>
      </w:r>
      <w:r w:rsidRPr="00014C4D">
        <w:rPr>
          <w:b/>
          <w:bCs/>
          <w:rtl/>
        </w:rPr>
        <w:t xml:space="preserve"> </w:t>
      </w:r>
      <w:r w:rsidRPr="00014C4D">
        <w:rPr>
          <w:rFonts w:hint="eastAsia"/>
          <w:b/>
          <w:bCs/>
          <w:rtl/>
        </w:rPr>
        <w:t>פקע</w:t>
      </w:r>
      <w:r w:rsidRPr="00014C4D">
        <w:rPr>
          <w:b/>
          <w:bCs/>
          <w:rtl/>
        </w:rPr>
        <w:t xml:space="preserve">"ר </w:t>
      </w:r>
      <w:r w:rsidRPr="00014C4D">
        <w:rPr>
          <w:rFonts w:hint="eastAsia"/>
          <w:b/>
          <w:bCs/>
          <w:rtl/>
        </w:rPr>
        <w:t>לפקח</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ביצוע</w:t>
      </w:r>
      <w:r w:rsidRPr="00014C4D">
        <w:rPr>
          <w:b/>
          <w:bCs/>
          <w:rtl/>
        </w:rPr>
        <w:t xml:space="preserve"> </w:t>
      </w:r>
      <w:r w:rsidRPr="00014C4D">
        <w:rPr>
          <w:rFonts w:hint="eastAsia"/>
          <w:b/>
          <w:bCs/>
          <w:rtl/>
        </w:rPr>
        <w:t>הפעולות</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ידי</w:t>
      </w:r>
      <w:r w:rsidRPr="00014C4D">
        <w:rPr>
          <w:b/>
          <w:bCs/>
          <w:rtl/>
        </w:rPr>
        <w:t xml:space="preserve"> </w:t>
      </w:r>
      <w:r w:rsidRPr="00014C4D">
        <w:rPr>
          <w:rFonts w:hint="eastAsia"/>
          <w:b/>
          <w:bCs/>
          <w:rtl/>
        </w:rPr>
        <w:t>הרשויות</w:t>
      </w:r>
      <w:r w:rsidRPr="00014C4D">
        <w:rPr>
          <w:b/>
          <w:bCs/>
          <w:rtl/>
        </w:rPr>
        <w:t xml:space="preserve"> </w:t>
      </w:r>
      <w:r w:rsidRPr="00014C4D">
        <w:rPr>
          <w:rFonts w:hint="eastAsia"/>
          <w:b/>
          <w:bCs/>
          <w:rtl/>
        </w:rPr>
        <w:t>המקומיות</w:t>
      </w:r>
      <w:r w:rsidRPr="00014C4D">
        <w:rPr>
          <w:b/>
          <w:bCs/>
          <w:rtl/>
        </w:rPr>
        <w:t>.</w:t>
      </w:r>
    </w:p>
    <w:p w:rsidR="00014C4D" w:rsidRPr="00014C4D" w:rsidRDefault="00014C4D" w:rsidP="00014C4D">
      <w:pPr>
        <w:spacing w:line="269" w:lineRule="auto"/>
        <w:rPr>
          <w:b/>
          <w:bCs/>
          <w:rtl/>
        </w:rPr>
      </w:pPr>
    </w:p>
    <w:p w:rsidR="00014C4D" w:rsidRPr="00014C4D" w:rsidRDefault="00014C4D" w:rsidP="00014C4D">
      <w:pPr>
        <w:keepNext/>
        <w:keepLines/>
        <w:spacing w:before="120" w:line="269" w:lineRule="auto"/>
        <w:jc w:val="center"/>
        <w:outlineLvl w:val="1"/>
        <w:rPr>
          <w:rFonts w:eastAsiaTheme="majorEastAsia"/>
          <w:bCs/>
          <w:szCs w:val="32"/>
          <w:rtl/>
        </w:rPr>
      </w:pPr>
      <w:r w:rsidRPr="00014C4D">
        <w:rPr>
          <w:rFonts w:eastAsiaTheme="majorEastAsia" w:hint="cs"/>
          <w:bCs/>
          <w:szCs w:val="32"/>
          <w:rtl/>
        </w:rPr>
        <w:t>הפעלת חדר מצב ייעודי לחברה הערבית</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bCs/>
          <w:szCs w:val="28"/>
          <w:u w:val="single"/>
          <w:rtl/>
        </w:rPr>
        <w:t>רקע כללי</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כעשרה ימים לאחר פרוץ המלחמה הקים </w:t>
      </w:r>
      <w:r w:rsidRPr="00014C4D">
        <w:rPr>
          <w:rtl/>
        </w:rPr>
        <w:t>המשרד לשוויון חברתי</w:t>
      </w:r>
      <w:r w:rsidRPr="00014C4D">
        <w:rPr>
          <w:rFonts w:hint="cs"/>
          <w:rtl/>
        </w:rPr>
        <w:t>, באמצעות הרשות לפיתוח כלכלי של מגזר המיעוטים</w:t>
      </w:r>
      <w:r w:rsidRPr="00014C4D">
        <w:rPr>
          <w:vertAlign w:val="superscript"/>
          <w:rtl/>
        </w:rPr>
        <w:footnoteReference w:id="142"/>
      </w:r>
      <w:r w:rsidRPr="00014C4D">
        <w:rPr>
          <w:rFonts w:hint="cs"/>
          <w:rtl/>
        </w:rPr>
        <w:t xml:space="preserve"> (להלן - הרשות לפיתוח כלכלי), חדר מצב </w:t>
      </w:r>
      <w:r w:rsidRPr="00014C4D">
        <w:rPr>
          <w:rtl/>
        </w:rPr>
        <w:t xml:space="preserve">במטרה לסייע </w:t>
      </w:r>
      <w:r w:rsidRPr="00014C4D">
        <w:rPr>
          <w:rFonts w:hint="cs"/>
          <w:rtl/>
        </w:rPr>
        <w:t xml:space="preserve">לחברה הערבית ולתת מענה </w:t>
      </w:r>
      <w:r w:rsidRPr="00014C4D">
        <w:rPr>
          <w:rtl/>
        </w:rPr>
        <w:t>לצרכים החברתיים והקהילתיים המ</w:t>
      </w:r>
      <w:r w:rsidRPr="00014C4D">
        <w:rPr>
          <w:rFonts w:hint="cs"/>
          <w:rtl/>
        </w:rPr>
        <w:t>י</w:t>
      </w:r>
      <w:r w:rsidRPr="00014C4D">
        <w:rPr>
          <w:rtl/>
        </w:rPr>
        <w:t>ידיים שהתעוררו בעקבות פרוץ מלחמת חרבות ברזל</w:t>
      </w:r>
      <w:r w:rsidRPr="00014C4D">
        <w:rPr>
          <w:rFonts w:hint="cs"/>
          <w:rtl/>
        </w:rPr>
        <w:t xml:space="preserve"> (להלן - חדר המצב)</w:t>
      </w:r>
      <w:r w:rsidRPr="00014C4D">
        <w:rPr>
          <w:rtl/>
        </w:rPr>
        <w:t xml:space="preserve">. </w:t>
      </w:r>
      <w:r w:rsidRPr="00014C4D">
        <w:rPr>
          <w:rFonts w:hint="cs"/>
          <w:rtl/>
        </w:rPr>
        <w:t xml:space="preserve">חדר המצב הוקם בשיתוף הוועד הארצי של ראשי הרשויות המקומיות הערביות ועיריית כפר קאסם.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ב-9.10.23 אישרה </w:t>
      </w:r>
      <w:r w:rsidRPr="00014C4D" w:rsidDel="006316B1">
        <w:rPr>
          <w:rFonts w:hint="cs"/>
          <w:rtl/>
        </w:rPr>
        <w:t xml:space="preserve">ועדת המכרזים במשרד לשוויון חברתי את ההתקשרות </w:t>
      </w:r>
      <w:r w:rsidRPr="00014C4D">
        <w:rPr>
          <w:rFonts w:hint="cs"/>
          <w:rtl/>
        </w:rPr>
        <w:t xml:space="preserve">של המשרד </w:t>
      </w:r>
      <w:r w:rsidRPr="00014C4D" w:rsidDel="006316B1">
        <w:rPr>
          <w:rFonts w:hint="cs"/>
          <w:rtl/>
        </w:rPr>
        <w:t xml:space="preserve">עם עיריית כפר קאסם </w:t>
      </w:r>
      <w:r w:rsidRPr="00014C4D">
        <w:rPr>
          <w:rFonts w:hint="cs"/>
          <w:rtl/>
        </w:rPr>
        <w:t xml:space="preserve">(בפטור ממכרז) </w:t>
      </w:r>
      <w:r w:rsidRPr="00014C4D" w:rsidDel="006316B1">
        <w:rPr>
          <w:rFonts w:hint="cs"/>
          <w:rtl/>
        </w:rPr>
        <w:t xml:space="preserve">להקמת </w:t>
      </w:r>
      <w:r w:rsidRPr="00014C4D">
        <w:rPr>
          <w:rFonts w:hint="cs"/>
          <w:rtl/>
        </w:rPr>
        <w:t>חדר המצב</w:t>
      </w:r>
      <w:r w:rsidRPr="00014C4D" w:rsidDel="006316B1">
        <w:rPr>
          <w:rFonts w:hint="cs"/>
          <w:rtl/>
        </w:rPr>
        <w:t xml:space="preserve"> והפעלתו</w:t>
      </w:r>
      <w:r w:rsidRPr="00014C4D">
        <w:rPr>
          <w:rFonts w:hint="cs"/>
          <w:rtl/>
        </w:rPr>
        <w:t xml:space="preserve"> למשך שלושה חודשים בעלות של עד 1.65 מיליון ש"ח. ב-11.10.23 נחתם הסכם בין המשרד לשוויון חברתי לעיריית כפר קאסם</w:t>
      </w:r>
      <w:r w:rsidRPr="00014C4D">
        <w:rPr>
          <w:vertAlign w:val="superscript"/>
          <w:rtl/>
        </w:rPr>
        <w:footnoteReference w:id="143"/>
      </w:r>
      <w:r w:rsidRPr="00014C4D">
        <w:rPr>
          <w:rFonts w:hint="cs"/>
          <w:rtl/>
        </w:rPr>
        <w:t xml:space="preserve"> להפעלת חדר המצב לתקופה של שלושה חודשים (להלן - ההסכם). המשרד שמר לעצמו בהסכם את שיקול הדעת להאריך את תקופת ההסכם מפעם לפעם</w:t>
      </w:r>
      <w:r w:rsidRPr="00014C4D" w:rsidDel="006316B1">
        <w:rPr>
          <w:rtl/>
        </w:rPr>
        <w:t xml:space="preserve">. </w:t>
      </w:r>
      <w:r w:rsidRPr="00014C4D">
        <w:rPr>
          <w:rFonts w:hint="cs"/>
          <w:rtl/>
        </w:rPr>
        <w:t>חדר המצב</w:t>
      </w:r>
      <w:r w:rsidRPr="00014C4D" w:rsidDel="006316B1">
        <w:rPr>
          <w:rtl/>
        </w:rPr>
        <w:t xml:space="preserve"> פעל </w:t>
      </w:r>
      <w:r w:rsidRPr="00014C4D">
        <w:rPr>
          <w:rFonts w:hint="cs"/>
          <w:rtl/>
        </w:rPr>
        <w:t xml:space="preserve">מחוץ לעירייה </w:t>
      </w:r>
      <w:r w:rsidRPr="00014C4D" w:rsidDel="006316B1">
        <w:rPr>
          <w:rtl/>
        </w:rPr>
        <w:t xml:space="preserve">באגף נפרד </w:t>
      </w:r>
      <w:r w:rsidRPr="00014C4D" w:rsidDel="006316B1">
        <w:rPr>
          <w:rFonts w:hint="cs"/>
          <w:rtl/>
        </w:rPr>
        <w:t>ב</w:t>
      </w:r>
      <w:r w:rsidRPr="00014C4D" w:rsidDel="006316B1">
        <w:rPr>
          <w:rtl/>
        </w:rPr>
        <w:t>מבנה המתנ״ס העירוני בכפר קאסם.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חדר המצב עסק בצרכים הייחודיים של החברה הערבית לרבות העלאת בעיות שונות לפני גורמים שונים בממשלה, הנגשת מידע ופרסום דוחות יומיים לתקשורת ולציבור </w:t>
      </w:r>
      <w:r w:rsidRPr="00014C4D">
        <w:rPr>
          <w:rtl/>
        </w:rPr>
        <w:t>ומתן פתרונות מותאמים תרבותית לצ</w:t>
      </w:r>
      <w:r w:rsidRPr="00014C4D">
        <w:rPr>
          <w:rFonts w:hint="cs"/>
          <w:rtl/>
        </w:rPr>
        <w:t>ו</w:t>
      </w:r>
      <w:r w:rsidRPr="00014C4D">
        <w:rPr>
          <w:rtl/>
        </w:rPr>
        <w:t>רכי החירום של החברה הערבית.</w:t>
      </w:r>
      <w:r w:rsidRPr="00014C4D">
        <w:rPr>
          <w:rFonts w:hint="cs"/>
          <w:rtl/>
        </w:rPr>
        <w:t xml:space="preserve"> המוקד תיאם את פעולתו עם פקע"ר, המשטרה, משרד החינוך, שירות הכבאות וההצלה ומשרדי הממשלה השונים, וזאת במטרה לאגד ולהנגיש את כלל המידע הרלוונטי לרשויות המקומיות הערביות ולעמותות הפעילות בחברה הערבית.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בינואר 2024 החליט ראש הממשלה בנימין נתניהו לאחד את המשרד לקידום מעמד האישה עם המשרד לשוויון חברתי ולמנות את השרה מאי גולן לעמוד בראש המשרד המאוחד, שייקרא "המשרד לשוויון חברתי וקידום מעמד האישה"</w:t>
      </w:r>
      <w:r w:rsidRPr="00014C4D">
        <w:rPr>
          <w:rFonts w:hint="cs"/>
          <w:rtl/>
        </w:rPr>
        <w:t xml:space="preserve"> (להלן - המשרד לשוויון חברתי)</w:t>
      </w:r>
      <w:r w:rsidRPr="00014C4D">
        <w:rPr>
          <w:rtl/>
        </w:rPr>
        <w:t xml:space="preserve">. </w:t>
      </w:r>
      <w:r w:rsidRPr="00014C4D">
        <w:rPr>
          <w:rFonts w:hint="cs"/>
          <w:rtl/>
        </w:rPr>
        <w:t xml:space="preserve">ב-7.2.24 החליטה ועדת המכרזים במשרד </w:t>
      </w:r>
      <w:r w:rsidRPr="00014C4D">
        <w:rPr>
          <w:rFonts w:hint="cs"/>
          <w:rtl/>
        </w:rPr>
        <w:lastRenderedPageBreak/>
        <w:t xml:space="preserve">לשוויון חברתי להאריך בפטור ממכרז את ההתקשרות עם עיריית כפר קאסם להפעלת המוקד בשלושה חודשים נוספים תמורת סכום של עד כ-1.159 מיליון ש"ח. עוד נקבע בהחלטה כי תהיה למשרד לשוויון חברתי האפשרות להאריך את תוקף ההסכם מפעם לפעם בתקופות של שלושה חודשים, ובלבד שניתן לבטלו בהודעה מוקדמת עשרה ימים לפני סיום כל תקופה. במאי 2024 החליטה השרה לשוויון חברתי שלא להאריך את ההתקשרות להפעלת חדר המצב. </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tl/>
        </w:rPr>
        <w:t xml:space="preserve">החלטת </w:t>
      </w:r>
      <w:r w:rsidRPr="00014C4D">
        <w:rPr>
          <w:rFonts w:hint="cs"/>
          <w:rtl/>
        </w:rPr>
        <w:t>ה</w:t>
      </w:r>
      <w:r w:rsidRPr="00014C4D">
        <w:rPr>
          <w:rtl/>
        </w:rPr>
        <w:t xml:space="preserve">משרד </w:t>
      </w:r>
      <w:r w:rsidRPr="00014C4D">
        <w:rPr>
          <w:rFonts w:hint="cs"/>
          <w:rtl/>
        </w:rPr>
        <w:t>לשוויון חברתי</w:t>
      </w:r>
      <w:r w:rsidRPr="00014C4D">
        <w:rPr>
          <w:rtl/>
        </w:rPr>
        <w:t xml:space="preserve"> </w:t>
      </w:r>
      <w:r w:rsidRPr="00014C4D">
        <w:rPr>
          <w:rFonts w:hint="cs"/>
          <w:rtl/>
        </w:rPr>
        <w:t>ע</w:t>
      </w:r>
      <w:r w:rsidRPr="00014C4D">
        <w:rPr>
          <w:rtl/>
        </w:rPr>
        <w:t>ל</w:t>
      </w:r>
      <w:r w:rsidRPr="00014C4D">
        <w:rPr>
          <w:rFonts w:hint="cs"/>
          <w:rtl/>
        </w:rPr>
        <w:t xml:space="preserve"> </w:t>
      </w:r>
      <w:r w:rsidRPr="00014C4D">
        <w:rPr>
          <w:rtl/>
        </w:rPr>
        <w:t>סג</w:t>
      </w:r>
      <w:r w:rsidRPr="00014C4D">
        <w:rPr>
          <w:rFonts w:hint="cs"/>
          <w:rtl/>
        </w:rPr>
        <w:t xml:space="preserve">ירת חדר המצב </w:t>
      </w:r>
      <w:r w:rsidRPr="00014C4D">
        <w:rPr>
          <w:rtl/>
        </w:rPr>
        <w:t>לאחר כ</w:t>
      </w:r>
      <w:r w:rsidRPr="00014C4D">
        <w:rPr>
          <w:rFonts w:hint="cs"/>
          <w:rtl/>
        </w:rPr>
        <w:t>חצי שנה</w:t>
      </w:r>
      <w:r w:rsidRPr="00014C4D">
        <w:rPr>
          <w:rtl/>
        </w:rPr>
        <w:t xml:space="preserve"> של פעילות</w:t>
      </w:r>
      <w:r w:rsidRPr="00014C4D">
        <w:rPr>
          <w:rFonts w:hint="cs"/>
          <w:rtl/>
        </w:rPr>
        <w:t xml:space="preserve"> </w:t>
      </w:r>
      <w:r w:rsidRPr="00014C4D">
        <w:rPr>
          <w:rtl/>
        </w:rPr>
        <w:t xml:space="preserve">נתקלה בהתנגדות </w:t>
      </w:r>
      <w:r w:rsidRPr="00014C4D">
        <w:rPr>
          <w:rFonts w:hint="cs"/>
          <w:rtl/>
        </w:rPr>
        <w:t xml:space="preserve">של </w:t>
      </w:r>
      <w:r w:rsidRPr="00014C4D">
        <w:rPr>
          <w:rtl/>
        </w:rPr>
        <w:t>ועד ראשי הרשויות הערביות ו</w:t>
      </w:r>
      <w:r w:rsidRPr="00014C4D">
        <w:rPr>
          <w:rFonts w:hint="cs"/>
          <w:rtl/>
        </w:rPr>
        <w:t>עמותות שונות</w:t>
      </w:r>
      <w:r w:rsidRPr="00014C4D">
        <w:rPr>
          <w:vertAlign w:val="superscript"/>
          <w:rtl/>
        </w:rPr>
        <w:footnoteReference w:id="144"/>
      </w:r>
      <w:r w:rsidRPr="00014C4D">
        <w:rPr>
          <w:rtl/>
        </w:rPr>
        <w:t xml:space="preserve">. </w:t>
      </w:r>
      <w:r w:rsidRPr="00014C4D">
        <w:rPr>
          <w:rFonts w:hint="cs"/>
          <w:rtl/>
        </w:rPr>
        <w:t xml:space="preserve">חבר הכנסת ואליד אלהואשלה פנה ליו"ר הוועדה לענייני ביקורת המדינה של הכנסת בבקשה לקיים דיון דחוף בנושא סגירת חדר המצב (שכונה "מוקד החירום"). ב-4.6.24 דנה הוועדה בנושא והחליטה לבקש </w:t>
      </w:r>
      <w:r w:rsidRPr="00014C4D">
        <w:rPr>
          <w:rtl/>
        </w:rPr>
        <w:t xml:space="preserve">ממבקר המדינה </w:t>
      </w:r>
      <w:r w:rsidRPr="00014C4D">
        <w:rPr>
          <w:rFonts w:hint="cs"/>
          <w:rtl/>
        </w:rPr>
        <w:t>להכין</w:t>
      </w:r>
      <w:r w:rsidRPr="00014C4D">
        <w:rPr>
          <w:rtl/>
        </w:rPr>
        <w:t xml:space="preserve"> חוות דעת </w:t>
      </w:r>
      <w:r w:rsidRPr="00014C4D">
        <w:rPr>
          <w:rFonts w:hint="cs"/>
          <w:rtl/>
        </w:rPr>
        <w:t xml:space="preserve">לפי סעיף 21 לחוק מבקר המדינה, התשי"ח-1958 [נוסח משולב], </w:t>
      </w:r>
      <w:r w:rsidRPr="00014C4D">
        <w:rPr>
          <w:rtl/>
        </w:rPr>
        <w:t xml:space="preserve">בעניין פעולות המשרד לשוויון חברתי בנוגע למוקד החירום </w:t>
      </w:r>
      <w:r w:rsidRPr="00014C4D">
        <w:rPr>
          <w:rFonts w:hint="cs"/>
          <w:rtl/>
        </w:rPr>
        <w:t>ל</w:t>
      </w:r>
      <w:r w:rsidRPr="00014C4D">
        <w:rPr>
          <w:rtl/>
        </w:rPr>
        <w:t xml:space="preserve">חברה הערבית. </w:t>
      </w:r>
      <w:r w:rsidRPr="00014C4D">
        <w:rPr>
          <w:rFonts w:hint="cs"/>
          <w:rtl/>
        </w:rPr>
        <w:t>משרד מבקר המדינה החליט ש</w:t>
      </w:r>
      <w:r w:rsidRPr="00014C4D">
        <w:rPr>
          <w:rtl/>
        </w:rPr>
        <w:t xml:space="preserve">הבדיקה תעשה בהיבטים </w:t>
      </w:r>
      <w:r w:rsidRPr="00014C4D">
        <w:rPr>
          <w:rFonts w:hint="cs"/>
          <w:rtl/>
        </w:rPr>
        <w:t>האלה</w:t>
      </w:r>
      <w:r w:rsidRPr="00014C4D">
        <w:rPr>
          <w:rtl/>
        </w:rPr>
        <w:t xml:space="preserve">: התנהלות </w:t>
      </w:r>
      <w:r w:rsidRPr="00014C4D">
        <w:rPr>
          <w:rFonts w:hint="cs"/>
          <w:rtl/>
        </w:rPr>
        <w:t>חדר המצב בכפר קאסם</w:t>
      </w:r>
      <w:r w:rsidRPr="00014C4D">
        <w:rPr>
          <w:rtl/>
        </w:rPr>
        <w:t>, הסיבות לסגירתו ו</w:t>
      </w:r>
      <w:r w:rsidRPr="00014C4D">
        <w:rPr>
          <w:rFonts w:hint="cs"/>
          <w:rtl/>
        </w:rPr>
        <w:t xml:space="preserve">בדיקת </w:t>
      </w:r>
      <w:r w:rsidRPr="00014C4D">
        <w:rPr>
          <w:rtl/>
        </w:rPr>
        <w:t xml:space="preserve">שיתופי הפעולה של המרכז עם הרשויות לרבות צה"ל, </w:t>
      </w:r>
      <w:r w:rsidRPr="00014C4D">
        <w:rPr>
          <w:rFonts w:hint="cs"/>
          <w:rtl/>
        </w:rPr>
        <w:t>ה</w:t>
      </w:r>
      <w:r w:rsidRPr="00014C4D">
        <w:rPr>
          <w:rtl/>
        </w:rPr>
        <w:t>משטרה והמשרד לשוויון חברתי.</w:t>
      </w:r>
      <w:r w:rsidRPr="00014C4D">
        <w:rPr>
          <w:rFonts w:hint="cs"/>
          <w:rtl/>
        </w:rPr>
        <w:t xml:space="preserve"> להלן פירוט ממצאי הבדיקה של משרד מבקר המדינה:</w:t>
      </w:r>
    </w:p>
    <w:p w:rsidR="00014C4D" w:rsidRPr="00014C4D" w:rsidRDefault="00014C4D" w:rsidP="00014C4D">
      <w:pPr>
        <w:spacing w:line="269" w:lineRule="auto"/>
        <w:rPr>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t>פעילות חדר המצב ממועד הקמתו ועד לסגירתו</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המשרד לשוויון חברתי הקצה </w:t>
      </w:r>
      <w:r w:rsidRPr="00014C4D">
        <w:rPr>
          <w:rtl/>
        </w:rPr>
        <w:t xml:space="preserve">תקציב </w:t>
      </w:r>
      <w:r w:rsidRPr="00014C4D">
        <w:rPr>
          <w:rFonts w:hint="cs"/>
          <w:rtl/>
        </w:rPr>
        <w:t>חודשי ל</w:t>
      </w:r>
      <w:r w:rsidRPr="00014C4D">
        <w:rPr>
          <w:rtl/>
        </w:rPr>
        <w:t xml:space="preserve">פעילות </w:t>
      </w:r>
      <w:r w:rsidRPr="00014C4D">
        <w:rPr>
          <w:rFonts w:hint="cs"/>
          <w:rtl/>
        </w:rPr>
        <w:t>חדר המצב:</w:t>
      </w:r>
      <w:r w:rsidRPr="00014C4D">
        <w:rPr>
          <w:rtl/>
        </w:rPr>
        <w:t xml:space="preserve"> </w:t>
      </w:r>
      <w:r w:rsidRPr="00014C4D">
        <w:rPr>
          <w:rFonts w:hint="cs"/>
          <w:rtl/>
        </w:rPr>
        <w:t>ב</w:t>
      </w:r>
      <w:r w:rsidRPr="00014C4D">
        <w:rPr>
          <w:rtl/>
        </w:rPr>
        <w:t>תקופה הראשונה (מנובמבר 2023 עד ינואר 2024) כ-552</w:t>
      </w:r>
      <w:r w:rsidRPr="00014C4D">
        <w:rPr>
          <w:rFonts w:hint="cs"/>
          <w:rtl/>
        </w:rPr>
        <w:t>,000</w:t>
      </w:r>
      <w:r w:rsidRPr="00014C4D">
        <w:rPr>
          <w:rtl/>
        </w:rPr>
        <w:t xml:space="preserve"> ש"ח</w:t>
      </w:r>
      <w:r w:rsidRPr="00014C4D">
        <w:rPr>
          <w:rFonts w:hint="cs"/>
          <w:rtl/>
        </w:rPr>
        <w:t xml:space="preserve"> לחודש,</w:t>
      </w:r>
      <w:r w:rsidRPr="00014C4D">
        <w:rPr>
          <w:rtl/>
        </w:rPr>
        <w:t xml:space="preserve"> </w:t>
      </w:r>
      <w:r w:rsidRPr="00014C4D">
        <w:rPr>
          <w:rFonts w:hint="cs"/>
          <w:rtl/>
        </w:rPr>
        <w:t>ו</w:t>
      </w:r>
      <w:r w:rsidRPr="00014C4D">
        <w:rPr>
          <w:rtl/>
        </w:rPr>
        <w:t>בתקופה השנייה (מפברואר 2024 ועד מאי 2024)</w:t>
      </w:r>
      <w:r w:rsidRPr="00014C4D">
        <w:rPr>
          <w:rFonts w:hint="cs"/>
          <w:rtl/>
        </w:rPr>
        <w:t xml:space="preserve"> </w:t>
      </w:r>
      <w:r w:rsidRPr="00014C4D">
        <w:rPr>
          <w:rtl/>
        </w:rPr>
        <w:t>כ-390</w:t>
      </w:r>
      <w:r w:rsidRPr="00014C4D">
        <w:rPr>
          <w:rFonts w:hint="cs"/>
          <w:rtl/>
        </w:rPr>
        <w:t>,000</w:t>
      </w:r>
      <w:r w:rsidRPr="00014C4D">
        <w:rPr>
          <w:rtl/>
        </w:rPr>
        <w:t xml:space="preserve"> ש"ח לחודש. עלות פעילות </w:t>
      </w:r>
      <w:r w:rsidRPr="00014C4D">
        <w:rPr>
          <w:rFonts w:hint="cs"/>
          <w:rtl/>
        </w:rPr>
        <w:t xml:space="preserve">חדר המצב </w:t>
      </w:r>
      <w:r w:rsidRPr="00014C4D">
        <w:rPr>
          <w:rtl/>
        </w:rPr>
        <w:t>בפועל מ</w:t>
      </w:r>
      <w:r w:rsidRPr="00014C4D">
        <w:rPr>
          <w:rFonts w:hint="cs"/>
          <w:rtl/>
        </w:rPr>
        <w:t xml:space="preserve">יום </w:t>
      </w:r>
      <w:r w:rsidRPr="00014C4D">
        <w:rPr>
          <w:rtl/>
        </w:rPr>
        <w:t>הקמתו ועד סגירתו הסתכמה בכ-2 מיליון ש"ח עבור כשישה חודשי פעילות</w:t>
      </w:r>
      <w:r w:rsidRPr="00014C4D">
        <w:rPr>
          <w:vertAlign w:val="superscript"/>
          <w:rtl/>
        </w:rPr>
        <w:footnoteReference w:id="145"/>
      </w:r>
      <w:r w:rsidRPr="00014C4D">
        <w:rPr>
          <w:rFonts w:hint="cs"/>
          <w:rtl/>
        </w:rPr>
        <w:t>, והועסקו בו בין חמישה</w:t>
      </w:r>
      <w:r w:rsidRPr="00014C4D">
        <w:rPr>
          <w:rtl/>
        </w:rPr>
        <w:t xml:space="preserve"> </w:t>
      </w:r>
      <w:r w:rsidRPr="00014C4D">
        <w:rPr>
          <w:rFonts w:hint="cs"/>
          <w:rtl/>
        </w:rPr>
        <w:t>לשבעה עובדים</w:t>
      </w:r>
      <w:r w:rsidRPr="00014C4D">
        <w:rPr>
          <w:rtl/>
        </w:rPr>
        <w:t xml:space="preserve">, </w:t>
      </w:r>
      <w:r w:rsidRPr="00014C4D">
        <w:rPr>
          <w:rFonts w:hint="cs"/>
          <w:rtl/>
        </w:rPr>
        <w:t>שעסקו ב</w:t>
      </w:r>
      <w:r w:rsidRPr="00014C4D">
        <w:rPr>
          <w:rtl/>
        </w:rPr>
        <w:t>הסברה</w:t>
      </w:r>
      <w:r w:rsidRPr="00014C4D">
        <w:rPr>
          <w:rFonts w:hint="cs"/>
          <w:rtl/>
        </w:rPr>
        <w:t>,</w:t>
      </w:r>
      <w:r w:rsidRPr="00014C4D">
        <w:rPr>
          <w:rtl/>
        </w:rPr>
        <w:t xml:space="preserve"> תפעול ו</w:t>
      </w:r>
      <w:r w:rsidRPr="00014C4D">
        <w:rPr>
          <w:rFonts w:hint="cs"/>
          <w:rtl/>
        </w:rPr>
        <w:t>ת</w:t>
      </w:r>
      <w:r w:rsidRPr="00014C4D">
        <w:rPr>
          <w:rtl/>
        </w:rPr>
        <w:t>חז</w:t>
      </w:r>
      <w:r w:rsidRPr="00014C4D">
        <w:rPr>
          <w:rFonts w:hint="cs"/>
          <w:rtl/>
        </w:rPr>
        <w:t>ו</w:t>
      </w:r>
      <w:r w:rsidRPr="00014C4D">
        <w:rPr>
          <w:rtl/>
        </w:rPr>
        <w:t>קה.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במאי 2024, במהלך המלחמה ועל רקע התגברותה בחזית הצפונית, נבחנה במשרד לשוויון חברתי הארכת פעילות חדר המצב. ב-5.5.24 הגיש חדר המצב למשרד לשוויון חברתי </w:t>
      </w:r>
      <w:r w:rsidRPr="00014C4D">
        <w:rPr>
          <w:rtl/>
        </w:rPr>
        <w:t>הצעה להמשך פעילות</w:t>
      </w:r>
      <w:r w:rsidRPr="00014C4D">
        <w:rPr>
          <w:rFonts w:hint="cs"/>
          <w:rtl/>
        </w:rPr>
        <w:t>ו</w:t>
      </w:r>
      <w:r w:rsidRPr="00014C4D">
        <w:rPr>
          <w:rtl/>
        </w:rPr>
        <w:t xml:space="preserve"> (להלן - </w:t>
      </w:r>
      <w:r w:rsidRPr="00014C4D">
        <w:rPr>
          <w:rFonts w:hint="cs"/>
          <w:rtl/>
        </w:rPr>
        <w:t>ה</w:t>
      </w:r>
      <w:r w:rsidRPr="00014C4D">
        <w:rPr>
          <w:rtl/>
        </w:rPr>
        <w:t xml:space="preserve">הצעה להמשך פעילות </w:t>
      </w:r>
      <w:r w:rsidRPr="00014C4D">
        <w:rPr>
          <w:rFonts w:hint="cs"/>
          <w:rtl/>
        </w:rPr>
        <w:t>חדר המצב</w:t>
      </w:r>
      <w:r w:rsidRPr="00014C4D">
        <w:rPr>
          <w:rtl/>
        </w:rPr>
        <w:t>)</w:t>
      </w:r>
      <w:r w:rsidRPr="00014C4D">
        <w:rPr>
          <w:rFonts w:hint="cs"/>
          <w:rtl/>
        </w:rPr>
        <w:t>. הנחות העבודה של ההצעה היו, בין היתר: המצב המיוחד בעורף לפי חוק ההתגוננות האזרחית עדיין בתוקף; פינוי התושבים מגבול הצפון בתוקף עד 7 ביולי, ובאותו מועד היה צפי להארכתו לפחות עד ספטמבר</w:t>
      </w:r>
      <w:r w:rsidRPr="00014C4D">
        <w:rPr>
          <w:vertAlign w:val="superscript"/>
          <w:rtl/>
        </w:rPr>
        <w:footnoteReference w:id="146"/>
      </w:r>
      <w:r w:rsidRPr="00014C4D">
        <w:rPr>
          <w:rFonts w:hint="cs"/>
          <w:rtl/>
        </w:rPr>
        <w:t>; תרחיש הייחוס של הרחבת החזית הצפונית לכדי מלחמה עצימה היה בתוקף; האוכלוסייה הערבית (היישובים שעליהם חלה החלטת הממשלה 550 מאוקטובר 2021</w:t>
      </w:r>
      <w:r w:rsidRPr="00014C4D">
        <w:rPr>
          <w:vertAlign w:val="superscript"/>
          <w:rtl/>
        </w:rPr>
        <w:footnoteReference w:id="147"/>
      </w:r>
      <w:r w:rsidRPr="00014C4D">
        <w:rPr>
          <w:rFonts w:hint="cs"/>
          <w:rtl/>
        </w:rPr>
        <w:t xml:space="preserve">) בתחומי מחוז צפון של משרד הפנים מהווה 45% מכלל האוכלוסייה במחוז זה לפי מפקד הלמ"ס 2018; במלחמת </w:t>
      </w:r>
      <w:r w:rsidRPr="00014C4D">
        <w:rPr>
          <w:rFonts w:hint="cs"/>
          <w:rtl/>
        </w:rPr>
        <w:lastRenderedPageBreak/>
        <w:t xml:space="preserve">לבנון השנייה 19 מתוך 44 האזרחים ההרוגים (עקב נפילת טילים) היו מהחברה הערבית; קיימים פערים משמעותיים בין הרשויות הערביות לכלל הרשויות מבחינת ההיערכות והמוכנות למצבי חירום; תקופת החירום פגעה קשה בתעסוקה בחברה הערבית, ומתוקף כך למצב החירום הביטחוני נוסף גם קושי כלכלי.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w:t>
      </w:r>
      <w:r w:rsidRPr="00014C4D">
        <w:rPr>
          <w:rtl/>
        </w:rPr>
        <w:t xml:space="preserve">הצעה להמשך פעילות </w:t>
      </w:r>
      <w:r w:rsidRPr="00014C4D">
        <w:rPr>
          <w:rFonts w:hint="cs"/>
          <w:rtl/>
        </w:rPr>
        <w:t>חדר המצב</w:t>
      </w:r>
      <w:r w:rsidRPr="00014C4D" w:rsidDel="00302FFD">
        <w:rPr>
          <w:rFonts w:hint="cs"/>
          <w:rtl/>
        </w:rPr>
        <w:t xml:space="preserve"> </w:t>
      </w:r>
      <w:r w:rsidRPr="00014C4D">
        <w:rPr>
          <w:rFonts w:hint="cs"/>
          <w:rtl/>
        </w:rPr>
        <w:t>פורטו פעולות המוקד מיום הקמתו ועד תחילת מאי 2024 אל מול המשימות שנקבעו בהסכם, כדלקמן: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jc w:val="center"/>
      </w:pPr>
      <w:r w:rsidRPr="00014C4D">
        <w:rPr>
          <w:rFonts w:hint="cs"/>
          <w:rtl/>
        </w:rPr>
        <w:t xml:space="preserve">לוח 16: </w:t>
      </w:r>
      <w:r w:rsidRPr="00014C4D">
        <w:rPr>
          <w:rFonts w:hint="cs"/>
          <w:b/>
          <w:bCs/>
          <w:rtl/>
        </w:rPr>
        <w:t>פעילות חדר המצב מול המשימות שנקבעו בהסכם</w:t>
      </w:r>
    </w:p>
    <w:tbl>
      <w:tblPr>
        <w:tblStyle w:val="af5"/>
        <w:bidiVisual/>
        <w:tblW w:w="8929" w:type="dxa"/>
        <w:tblLook w:val="04A0" w:firstRow="1" w:lastRow="0" w:firstColumn="1" w:lastColumn="0" w:noHBand="0" w:noVBand="1"/>
      </w:tblPr>
      <w:tblGrid>
        <w:gridCol w:w="2834"/>
        <w:gridCol w:w="6095"/>
      </w:tblGrid>
      <w:tr w:rsidR="00014C4D" w:rsidRPr="00014C4D" w:rsidTr="00812D99">
        <w:trPr>
          <w:tblHeader/>
        </w:trPr>
        <w:tc>
          <w:tcPr>
            <w:tcW w:w="2834" w:type="dxa"/>
            <w:shd w:val="clear" w:color="auto" w:fill="D9D9D9" w:themeFill="background1" w:themeFillShade="D9"/>
          </w:tcPr>
          <w:p w:rsidR="00014C4D" w:rsidRPr="00014C4D" w:rsidRDefault="00014C4D" w:rsidP="00014C4D">
            <w:pPr>
              <w:spacing w:line="269" w:lineRule="auto"/>
              <w:rPr>
                <w:b/>
                <w:bCs/>
                <w:sz w:val="18"/>
                <w:szCs w:val="22"/>
                <w:rtl/>
              </w:rPr>
            </w:pPr>
            <w:r w:rsidRPr="00014C4D">
              <w:rPr>
                <w:rFonts w:hint="cs"/>
                <w:b/>
                <w:bCs/>
                <w:sz w:val="18"/>
                <w:szCs w:val="22"/>
                <w:rtl/>
              </w:rPr>
              <w:t>המשימה</w:t>
            </w:r>
          </w:p>
        </w:tc>
        <w:tc>
          <w:tcPr>
            <w:tcW w:w="6095" w:type="dxa"/>
            <w:shd w:val="clear" w:color="auto" w:fill="D9D9D9" w:themeFill="background1" w:themeFillShade="D9"/>
          </w:tcPr>
          <w:p w:rsidR="00014C4D" w:rsidRPr="00014C4D" w:rsidRDefault="00014C4D" w:rsidP="00014C4D">
            <w:pPr>
              <w:spacing w:line="269" w:lineRule="auto"/>
              <w:rPr>
                <w:b/>
                <w:bCs/>
                <w:sz w:val="18"/>
                <w:szCs w:val="22"/>
                <w:rtl/>
              </w:rPr>
            </w:pPr>
            <w:r w:rsidRPr="00014C4D">
              <w:rPr>
                <w:rFonts w:hint="cs"/>
                <w:b/>
                <w:bCs/>
                <w:sz w:val="18"/>
                <w:szCs w:val="22"/>
                <w:rtl/>
              </w:rPr>
              <w:t>פעילות חדר המצב</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t xml:space="preserve">לאסוף מהרשויות ומארגוני החברה האזרחית נתונים </w:t>
            </w:r>
            <w:r w:rsidRPr="00014C4D">
              <w:rPr>
                <w:rFonts w:hint="cs"/>
                <w:sz w:val="18"/>
                <w:szCs w:val="22"/>
                <w:rtl/>
              </w:rPr>
              <w:t xml:space="preserve">על </w:t>
            </w:r>
            <w:r w:rsidRPr="00014C4D">
              <w:rPr>
                <w:sz w:val="18"/>
                <w:szCs w:val="22"/>
                <w:rtl/>
              </w:rPr>
              <w:t>חברה הערבית בתקופת החירום</w:t>
            </w:r>
            <w:r w:rsidRPr="00014C4D">
              <w:rPr>
                <w:rFonts w:hint="cs"/>
                <w:sz w:val="18"/>
                <w:szCs w:val="22"/>
                <w:rtl/>
              </w:rPr>
              <w:t>, צרכיה והאתגרים העומדים לפניה,</w:t>
            </w:r>
            <w:r w:rsidRPr="00014C4D">
              <w:rPr>
                <w:sz w:val="18"/>
                <w:szCs w:val="22"/>
                <w:rtl/>
              </w:rPr>
              <w:t xml:space="preserve"> להנגיש מידע רלוונטי לחברה הערבית </w:t>
            </w:r>
            <w:r w:rsidRPr="00014C4D">
              <w:rPr>
                <w:rFonts w:hint="cs"/>
                <w:sz w:val="18"/>
                <w:szCs w:val="22"/>
                <w:rtl/>
              </w:rPr>
              <w:t>ולהעלות</w:t>
            </w:r>
            <w:r w:rsidRPr="00014C4D">
              <w:rPr>
                <w:sz w:val="18"/>
                <w:szCs w:val="22"/>
                <w:rtl/>
              </w:rPr>
              <w:t xml:space="preserve"> פערים ל</w:t>
            </w:r>
            <w:r w:rsidRPr="00014C4D">
              <w:rPr>
                <w:rFonts w:hint="cs"/>
                <w:sz w:val="18"/>
                <w:szCs w:val="22"/>
                <w:rtl/>
              </w:rPr>
              <w:t>פני ה</w:t>
            </w:r>
            <w:r w:rsidRPr="00014C4D">
              <w:rPr>
                <w:sz w:val="18"/>
                <w:szCs w:val="22"/>
                <w:rtl/>
              </w:rPr>
              <w:t>גורמים הממשלתיים</w:t>
            </w:r>
            <w:r w:rsidRPr="00014C4D">
              <w:rPr>
                <w:rFonts w:hint="cs"/>
                <w:sz w:val="18"/>
                <w:szCs w:val="22"/>
                <w:rtl/>
              </w:rPr>
              <w:t>.</w:t>
            </w:r>
            <w:r w:rsidRPr="00014C4D">
              <w:rPr>
                <w:sz w:val="18"/>
                <w:szCs w:val="22"/>
                <w:rtl/>
              </w:rPr>
              <w:t xml:space="preserve"> </w:t>
            </w:r>
          </w:p>
        </w:tc>
        <w:tc>
          <w:tcPr>
            <w:tcW w:w="6095" w:type="dxa"/>
          </w:tcPr>
          <w:p w:rsidR="00014C4D" w:rsidRPr="00014C4D" w:rsidRDefault="00014C4D" w:rsidP="00014C4D">
            <w:pPr>
              <w:spacing w:line="269" w:lineRule="auto"/>
              <w:rPr>
                <w:sz w:val="18"/>
                <w:szCs w:val="22"/>
                <w:rtl/>
              </w:rPr>
            </w:pPr>
            <w:r w:rsidRPr="00014C4D">
              <w:rPr>
                <w:rFonts w:hint="cs"/>
                <w:sz w:val="18"/>
                <w:szCs w:val="22"/>
                <w:rtl/>
              </w:rPr>
              <w:t>חדר המצב</w:t>
            </w:r>
            <w:r w:rsidRPr="00014C4D">
              <w:rPr>
                <w:sz w:val="18"/>
                <w:szCs w:val="22"/>
                <w:rtl/>
              </w:rPr>
              <w:t xml:space="preserve"> היה בקשר רציף עם הרשויות, ובוצעו שני מיפויי עומק </w:t>
            </w:r>
            <w:r w:rsidRPr="00014C4D">
              <w:rPr>
                <w:rFonts w:hint="cs"/>
                <w:sz w:val="18"/>
                <w:szCs w:val="22"/>
                <w:rtl/>
              </w:rPr>
              <w:t>ש</w:t>
            </w:r>
            <w:r w:rsidRPr="00014C4D">
              <w:rPr>
                <w:sz w:val="18"/>
                <w:szCs w:val="22"/>
                <w:rtl/>
              </w:rPr>
              <w:t>ל</w:t>
            </w:r>
            <w:r w:rsidRPr="00014C4D">
              <w:rPr>
                <w:rFonts w:hint="cs"/>
                <w:sz w:val="18"/>
                <w:szCs w:val="22"/>
                <w:rtl/>
              </w:rPr>
              <w:t xml:space="preserve"> ה</w:t>
            </w:r>
            <w:r w:rsidRPr="00014C4D">
              <w:rPr>
                <w:sz w:val="18"/>
                <w:szCs w:val="22"/>
                <w:rtl/>
              </w:rPr>
              <w:t>רשויות המקומיות הערביות במטרה להבין לעומק את הצרכים; במחצית השנייה של אוקטובר נערך מיפוי צרכים ב-58 רשויות</w:t>
            </w:r>
            <w:r w:rsidRPr="00014C4D">
              <w:rPr>
                <w:rFonts w:hint="cs"/>
                <w:sz w:val="18"/>
                <w:szCs w:val="22"/>
                <w:rtl/>
              </w:rPr>
              <w:t>,</w:t>
            </w:r>
            <w:r w:rsidRPr="00014C4D">
              <w:rPr>
                <w:sz w:val="18"/>
                <w:szCs w:val="22"/>
                <w:rtl/>
              </w:rPr>
              <w:t xml:space="preserve"> ובינואר מיפוי נוסף מדגמי ב-13 רשויות בצפון הארץ. הפערים </w:t>
            </w:r>
            <w:r w:rsidRPr="00014C4D">
              <w:rPr>
                <w:rFonts w:hint="cs"/>
                <w:sz w:val="18"/>
                <w:szCs w:val="22"/>
                <w:rtl/>
              </w:rPr>
              <w:t>הועלו ל</w:t>
            </w:r>
            <w:r w:rsidRPr="00014C4D">
              <w:rPr>
                <w:sz w:val="18"/>
                <w:szCs w:val="22"/>
                <w:rtl/>
              </w:rPr>
              <w:t>פני הגורמים הרלוונטיים</w:t>
            </w:r>
            <w:r w:rsidRPr="00014C4D">
              <w:rPr>
                <w:rFonts w:hint="cs"/>
                <w:sz w:val="18"/>
                <w:szCs w:val="22"/>
                <w:rtl/>
              </w:rPr>
              <w:t>.</w:t>
            </w:r>
            <w:r w:rsidRPr="00014C4D">
              <w:rPr>
                <w:sz w:val="18"/>
                <w:szCs w:val="22"/>
                <w:rtl/>
              </w:rPr>
              <w:t xml:space="preserve"> לדוגמה</w:t>
            </w:r>
            <w:r w:rsidRPr="00014C4D">
              <w:rPr>
                <w:rFonts w:hint="cs"/>
                <w:sz w:val="18"/>
                <w:szCs w:val="22"/>
                <w:rtl/>
              </w:rPr>
              <w:t>,</w:t>
            </w:r>
            <w:r w:rsidRPr="00014C4D">
              <w:rPr>
                <w:sz w:val="18"/>
                <w:szCs w:val="22"/>
                <w:rtl/>
              </w:rPr>
              <w:t xml:space="preserve"> פערים בנושא מיגון, סניפי ברזל, מרפאות אחודות. המוקד יצר קשר עם ארגוני חברה אזרחית </w:t>
            </w:r>
            <w:r w:rsidRPr="00014C4D">
              <w:rPr>
                <w:rFonts w:hint="cs"/>
                <w:sz w:val="18"/>
                <w:szCs w:val="22"/>
                <w:rtl/>
              </w:rPr>
              <w:t>ש</w:t>
            </w:r>
            <w:r w:rsidRPr="00014C4D">
              <w:rPr>
                <w:sz w:val="18"/>
                <w:szCs w:val="22"/>
                <w:rtl/>
              </w:rPr>
              <w:t xml:space="preserve">פעלו בתקופת החירום </w:t>
            </w:r>
            <w:r w:rsidRPr="00014C4D">
              <w:rPr>
                <w:rFonts w:hint="cs"/>
                <w:sz w:val="18"/>
                <w:szCs w:val="22"/>
                <w:rtl/>
              </w:rPr>
              <w:t>בנוגע ל</w:t>
            </w:r>
            <w:r w:rsidRPr="00014C4D">
              <w:rPr>
                <w:sz w:val="18"/>
                <w:szCs w:val="22"/>
                <w:rtl/>
              </w:rPr>
              <w:t>צרכים</w:t>
            </w:r>
            <w:r w:rsidRPr="00014C4D">
              <w:rPr>
                <w:rFonts w:hint="cs"/>
                <w:sz w:val="18"/>
                <w:szCs w:val="22"/>
                <w:rtl/>
              </w:rPr>
              <w:t xml:space="preserve"> </w:t>
            </w:r>
            <w:r w:rsidRPr="00014C4D">
              <w:rPr>
                <w:sz w:val="18"/>
                <w:szCs w:val="22"/>
                <w:rtl/>
              </w:rPr>
              <w:t>שעלו מהרשויות.</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t xml:space="preserve">חיזוק וביסוס </w:t>
            </w:r>
            <w:r w:rsidRPr="00014C4D">
              <w:rPr>
                <w:rFonts w:hint="cs"/>
                <w:sz w:val="18"/>
                <w:szCs w:val="22"/>
                <w:rtl/>
              </w:rPr>
              <w:t xml:space="preserve">של </w:t>
            </w:r>
            <w:r w:rsidRPr="00014C4D">
              <w:rPr>
                <w:sz w:val="18"/>
                <w:szCs w:val="22"/>
                <w:rtl/>
              </w:rPr>
              <w:t xml:space="preserve">הקשר עם רשויות מקומיות בטווח של </w:t>
            </w:r>
            <w:r w:rsidRPr="00014C4D">
              <w:rPr>
                <w:rFonts w:hint="cs"/>
                <w:sz w:val="18"/>
                <w:szCs w:val="22"/>
                <w:rtl/>
              </w:rPr>
              <w:t>0 - 30</w:t>
            </w:r>
            <w:r w:rsidRPr="00014C4D">
              <w:rPr>
                <w:sz w:val="18"/>
                <w:szCs w:val="22"/>
                <w:rtl/>
              </w:rPr>
              <w:t xml:space="preserve"> ק"מ </w:t>
            </w:r>
            <w:r w:rsidRPr="00014C4D">
              <w:rPr>
                <w:rFonts w:hint="cs"/>
                <w:sz w:val="18"/>
                <w:szCs w:val="22"/>
                <w:rtl/>
              </w:rPr>
              <w:t xml:space="preserve">מהגבול </w:t>
            </w:r>
            <w:r w:rsidRPr="00014C4D">
              <w:rPr>
                <w:sz w:val="18"/>
                <w:szCs w:val="22"/>
                <w:rtl/>
              </w:rPr>
              <w:t>לרבות סיוע לגורמים המוסמכים בתחום החירום ברשות באיתור מענים לאוכלוסייה הערבית</w:t>
            </w:r>
            <w:r w:rsidRPr="00014C4D">
              <w:rPr>
                <w:rFonts w:hint="cs"/>
                <w:sz w:val="18"/>
                <w:szCs w:val="22"/>
                <w:rtl/>
              </w:rPr>
              <w:t>.</w:t>
            </w:r>
          </w:p>
        </w:tc>
        <w:tc>
          <w:tcPr>
            <w:tcW w:w="6095" w:type="dxa"/>
          </w:tcPr>
          <w:p w:rsidR="00014C4D" w:rsidRPr="00014C4D" w:rsidRDefault="00014C4D" w:rsidP="00014C4D">
            <w:pPr>
              <w:spacing w:line="269" w:lineRule="auto"/>
              <w:rPr>
                <w:sz w:val="18"/>
                <w:szCs w:val="22"/>
                <w:rtl/>
              </w:rPr>
            </w:pPr>
            <w:r w:rsidRPr="00014C4D">
              <w:rPr>
                <w:sz w:val="18"/>
                <w:szCs w:val="22"/>
                <w:rtl/>
              </w:rPr>
              <w:t xml:space="preserve">המענים שאותרו וסופקו: מיגוניות, נגררי </w:t>
            </w:r>
            <w:r w:rsidRPr="00014C4D">
              <w:rPr>
                <w:rFonts w:hint="cs"/>
                <w:sz w:val="18"/>
                <w:szCs w:val="22"/>
                <w:rtl/>
              </w:rPr>
              <w:t>חילוץ והצלה לסיוע עצמי ראשוני (סע"ר)</w:t>
            </w:r>
            <w:r w:rsidRPr="00014C4D">
              <w:rPr>
                <w:sz w:val="18"/>
                <w:szCs w:val="22"/>
                <w:rtl/>
              </w:rPr>
              <w:t>, הכשרות רפואת חירום,</w:t>
            </w:r>
            <w:r w:rsidRPr="00014C4D">
              <w:rPr>
                <w:rFonts w:hint="cs"/>
                <w:sz w:val="18"/>
                <w:szCs w:val="22"/>
                <w:rtl/>
              </w:rPr>
              <w:t xml:space="preserve"> חבילות מסרונים (משלוח הודעות להסברה בתחום החירום), </w:t>
            </w:r>
            <w:r w:rsidRPr="00014C4D">
              <w:rPr>
                <w:sz w:val="18"/>
                <w:szCs w:val="22"/>
                <w:rtl/>
              </w:rPr>
              <w:t xml:space="preserve">ערכות למשפחות למרחבים המוגנים, חוברות לילדים, </w:t>
            </w:r>
            <w:r w:rsidRPr="00014C4D">
              <w:rPr>
                <w:rFonts w:hint="cs"/>
                <w:sz w:val="18"/>
                <w:szCs w:val="22"/>
                <w:rtl/>
              </w:rPr>
              <w:t>תרגום</w:t>
            </w:r>
            <w:r w:rsidRPr="00014C4D">
              <w:rPr>
                <w:sz w:val="18"/>
                <w:szCs w:val="22"/>
                <w:rtl/>
              </w:rPr>
              <w:t xml:space="preserve"> </w:t>
            </w:r>
            <w:r w:rsidRPr="00014C4D">
              <w:rPr>
                <w:rFonts w:hint="cs"/>
                <w:sz w:val="18"/>
                <w:szCs w:val="22"/>
                <w:rtl/>
              </w:rPr>
              <w:t>מודעות הסברה לחירום ופרסומן ב</w:t>
            </w:r>
            <w:r w:rsidRPr="00014C4D">
              <w:rPr>
                <w:sz w:val="18"/>
                <w:szCs w:val="22"/>
                <w:rtl/>
              </w:rPr>
              <w:t>דף הפי</w:t>
            </w:r>
            <w:r w:rsidRPr="00014C4D">
              <w:rPr>
                <w:rFonts w:hint="cs"/>
                <w:sz w:val="18"/>
                <w:szCs w:val="22"/>
                <w:rtl/>
              </w:rPr>
              <w:t>י</w:t>
            </w:r>
            <w:r w:rsidRPr="00014C4D">
              <w:rPr>
                <w:sz w:val="18"/>
                <w:szCs w:val="22"/>
                <w:rtl/>
              </w:rPr>
              <w:t xml:space="preserve">סבוק </w:t>
            </w:r>
            <w:r w:rsidRPr="00014C4D">
              <w:rPr>
                <w:rFonts w:hint="cs"/>
                <w:sz w:val="18"/>
                <w:szCs w:val="22"/>
                <w:rtl/>
              </w:rPr>
              <w:t xml:space="preserve">של </w:t>
            </w:r>
            <w:r w:rsidRPr="00014C4D">
              <w:rPr>
                <w:sz w:val="18"/>
                <w:szCs w:val="22"/>
                <w:rtl/>
              </w:rPr>
              <w:t>רשויות אלו.</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rFonts w:hint="cs"/>
                <w:sz w:val="18"/>
                <w:szCs w:val="22"/>
                <w:rtl/>
              </w:rPr>
              <w:t>ע</w:t>
            </w:r>
            <w:r w:rsidRPr="00014C4D">
              <w:rPr>
                <w:sz w:val="18"/>
                <w:szCs w:val="22"/>
                <w:rtl/>
              </w:rPr>
              <w:t>מידה בקשר קבוע עם הגורמים הרלוונט</w:t>
            </w:r>
            <w:r w:rsidRPr="00014C4D">
              <w:rPr>
                <w:rFonts w:hint="cs"/>
                <w:sz w:val="18"/>
                <w:szCs w:val="22"/>
                <w:rtl/>
              </w:rPr>
              <w:t>י</w:t>
            </w:r>
            <w:r w:rsidRPr="00014C4D">
              <w:rPr>
                <w:sz w:val="18"/>
                <w:szCs w:val="22"/>
                <w:rtl/>
              </w:rPr>
              <w:t xml:space="preserve">ים בצה״ל (בדגש על </w:t>
            </w:r>
            <w:r w:rsidRPr="00014C4D">
              <w:rPr>
                <w:rFonts w:hint="cs"/>
                <w:sz w:val="18"/>
                <w:szCs w:val="22"/>
                <w:rtl/>
              </w:rPr>
              <w:t>פקע"ר</w:t>
            </w:r>
            <w:r w:rsidRPr="00014C4D">
              <w:rPr>
                <w:sz w:val="18"/>
                <w:szCs w:val="22"/>
                <w:rtl/>
              </w:rPr>
              <w:t>)</w:t>
            </w:r>
            <w:r w:rsidRPr="00014C4D">
              <w:rPr>
                <w:rFonts w:hint="cs"/>
                <w:sz w:val="18"/>
                <w:szCs w:val="22"/>
                <w:rtl/>
              </w:rPr>
              <w:t>,</w:t>
            </w:r>
            <w:r w:rsidRPr="00014C4D">
              <w:rPr>
                <w:sz w:val="18"/>
                <w:szCs w:val="22"/>
                <w:rtl/>
              </w:rPr>
              <w:t xml:space="preserve"> </w:t>
            </w:r>
            <w:r w:rsidRPr="00014C4D">
              <w:rPr>
                <w:rFonts w:hint="cs"/>
                <w:sz w:val="18"/>
                <w:szCs w:val="22"/>
                <w:rtl/>
              </w:rPr>
              <w:t>האגף לסיכול פשיעה בחברה הערבית</w:t>
            </w:r>
            <w:r w:rsidRPr="00014C4D">
              <w:rPr>
                <w:sz w:val="18"/>
                <w:szCs w:val="22"/>
                <w:rtl/>
              </w:rPr>
              <w:t xml:space="preserve"> במשטרת ישראל </w:t>
            </w:r>
            <w:r w:rsidRPr="00014C4D">
              <w:rPr>
                <w:rFonts w:hint="cs"/>
                <w:sz w:val="18"/>
                <w:szCs w:val="22"/>
                <w:rtl/>
              </w:rPr>
              <w:t xml:space="preserve">(להלן - </w:t>
            </w:r>
            <w:r w:rsidRPr="00014C4D">
              <w:rPr>
                <w:sz w:val="18"/>
                <w:szCs w:val="22"/>
                <w:rtl/>
              </w:rPr>
              <w:t>אגף סי</w:t>
            </w:r>
            <w:r w:rsidRPr="00014C4D">
              <w:rPr>
                <w:rFonts w:hint="cs"/>
                <w:sz w:val="18"/>
                <w:szCs w:val="22"/>
                <w:rtl/>
              </w:rPr>
              <w:t>"</w:t>
            </w:r>
            <w:r w:rsidRPr="00014C4D">
              <w:rPr>
                <w:sz w:val="18"/>
                <w:szCs w:val="22"/>
                <w:rtl/>
              </w:rPr>
              <w:t>ף</w:t>
            </w:r>
            <w:r w:rsidRPr="00014C4D">
              <w:rPr>
                <w:rFonts w:hint="cs"/>
                <w:sz w:val="18"/>
                <w:szCs w:val="22"/>
                <w:rtl/>
              </w:rPr>
              <w:t xml:space="preserve">) </w:t>
            </w:r>
            <w:r w:rsidRPr="00014C4D">
              <w:rPr>
                <w:sz w:val="18"/>
                <w:szCs w:val="22"/>
                <w:rtl/>
              </w:rPr>
              <w:t>ומשרדי הממשלה הרלוונטי</w:t>
            </w:r>
            <w:r w:rsidRPr="00014C4D">
              <w:rPr>
                <w:rFonts w:hint="cs"/>
                <w:sz w:val="18"/>
                <w:szCs w:val="22"/>
                <w:rtl/>
              </w:rPr>
              <w:t>י</w:t>
            </w:r>
            <w:r w:rsidRPr="00014C4D">
              <w:rPr>
                <w:sz w:val="18"/>
                <w:szCs w:val="22"/>
                <w:rtl/>
              </w:rPr>
              <w:t>ם</w:t>
            </w:r>
            <w:r w:rsidRPr="00014C4D">
              <w:rPr>
                <w:rFonts w:hint="cs"/>
                <w:sz w:val="18"/>
                <w:szCs w:val="22"/>
                <w:rtl/>
              </w:rPr>
              <w:t xml:space="preserve"> </w:t>
            </w:r>
            <w:r w:rsidRPr="00014C4D">
              <w:rPr>
                <w:sz w:val="18"/>
                <w:szCs w:val="22"/>
                <w:rtl/>
              </w:rPr>
              <w:t>וקבלת הנחיותיהם לציבור</w:t>
            </w:r>
            <w:r w:rsidRPr="00014C4D">
              <w:rPr>
                <w:rFonts w:hint="cs"/>
                <w:sz w:val="18"/>
                <w:szCs w:val="22"/>
                <w:rtl/>
              </w:rPr>
              <w:t>.</w:t>
            </w:r>
          </w:p>
        </w:tc>
        <w:tc>
          <w:tcPr>
            <w:tcW w:w="6095" w:type="dxa"/>
          </w:tcPr>
          <w:p w:rsidR="00014C4D" w:rsidRPr="00014C4D" w:rsidRDefault="00014C4D" w:rsidP="00014C4D">
            <w:pPr>
              <w:spacing w:line="269" w:lineRule="auto"/>
              <w:rPr>
                <w:sz w:val="18"/>
                <w:szCs w:val="22"/>
                <w:rtl/>
              </w:rPr>
            </w:pPr>
            <w:r w:rsidRPr="00014C4D">
              <w:rPr>
                <w:rFonts w:hint="eastAsia"/>
                <w:sz w:val="18"/>
                <w:szCs w:val="22"/>
                <w:rtl/>
              </w:rPr>
              <w:t>עמידה</w:t>
            </w:r>
            <w:r w:rsidRPr="00014C4D">
              <w:rPr>
                <w:sz w:val="18"/>
                <w:szCs w:val="22"/>
                <w:rtl/>
              </w:rPr>
              <w:t xml:space="preserve"> </w:t>
            </w:r>
            <w:r w:rsidRPr="00014C4D">
              <w:rPr>
                <w:rFonts w:hint="cs"/>
                <w:sz w:val="18"/>
                <w:szCs w:val="22"/>
                <w:rtl/>
              </w:rPr>
              <w:t>בקשר קבוע עם מערכי פקע"ר -</w:t>
            </w:r>
            <w:r w:rsidRPr="00014C4D">
              <w:rPr>
                <w:sz w:val="18"/>
                <w:szCs w:val="22"/>
                <w:rtl/>
              </w:rPr>
              <w:t xml:space="preserve"> </w:t>
            </w:r>
            <w:r w:rsidRPr="00014C4D">
              <w:rPr>
                <w:rFonts w:hint="cs"/>
                <w:sz w:val="18"/>
                <w:szCs w:val="22"/>
                <w:rtl/>
              </w:rPr>
              <w:t xml:space="preserve">מחלקות אוכלוסייה, רשויות, </w:t>
            </w:r>
            <w:r w:rsidRPr="00014C4D">
              <w:rPr>
                <w:sz w:val="18"/>
                <w:szCs w:val="22"/>
                <w:rtl/>
              </w:rPr>
              <w:t xml:space="preserve">התנהגות </w:t>
            </w:r>
            <w:r w:rsidRPr="00014C4D">
              <w:rPr>
                <w:rFonts w:hint="cs"/>
                <w:sz w:val="18"/>
                <w:szCs w:val="22"/>
                <w:rtl/>
              </w:rPr>
              <w:t xml:space="preserve">והסברה; אגף סי"ף; משרדי הממשלה הרלוונטיים - </w:t>
            </w:r>
            <w:r w:rsidRPr="00014C4D">
              <w:rPr>
                <w:sz w:val="18"/>
                <w:szCs w:val="22"/>
                <w:rtl/>
              </w:rPr>
              <w:t xml:space="preserve">מנהלת מטה היישום בחברה הערבית במשרד הבריאות, מנהל תחום חירום מזון במשרד הכלכלה, מנהל </w:t>
            </w:r>
            <w:r w:rsidRPr="00014C4D">
              <w:rPr>
                <w:rFonts w:hint="cs"/>
                <w:sz w:val="18"/>
                <w:szCs w:val="22"/>
                <w:rtl/>
              </w:rPr>
              <w:t>רשות</w:t>
            </w:r>
            <w:r w:rsidRPr="00014C4D">
              <w:rPr>
                <w:sz w:val="18"/>
                <w:szCs w:val="22"/>
                <w:rtl/>
              </w:rPr>
              <w:t xml:space="preserve"> פס"ח</w:t>
            </w:r>
            <w:r w:rsidRPr="00014C4D">
              <w:rPr>
                <w:rFonts w:hint="cs"/>
                <w:sz w:val="18"/>
                <w:szCs w:val="22"/>
                <w:rtl/>
              </w:rPr>
              <w:t xml:space="preserve"> (פינוי, סעד, חללים)</w:t>
            </w:r>
            <w:r w:rsidRPr="00014C4D">
              <w:rPr>
                <w:sz w:val="18"/>
                <w:szCs w:val="22"/>
                <w:rtl/>
              </w:rPr>
              <w:t xml:space="preserve">, מנהל אגף חירום רשויות ומנהל </w:t>
            </w:r>
            <w:r w:rsidRPr="00014C4D">
              <w:rPr>
                <w:rFonts w:hint="cs"/>
                <w:sz w:val="18"/>
                <w:szCs w:val="22"/>
                <w:rtl/>
              </w:rPr>
              <w:t>ה</w:t>
            </w:r>
            <w:r w:rsidRPr="00014C4D">
              <w:rPr>
                <w:sz w:val="18"/>
                <w:szCs w:val="22"/>
                <w:rtl/>
              </w:rPr>
              <w:t xml:space="preserve">אוכלוסייה ערבית באגף </w:t>
            </w:r>
            <w:r w:rsidRPr="00014C4D">
              <w:rPr>
                <w:rFonts w:hint="cs"/>
                <w:sz w:val="18"/>
                <w:szCs w:val="22"/>
                <w:rtl/>
              </w:rPr>
              <w:t>ה</w:t>
            </w:r>
            <w:r w:rsidRPr="00014C4D">
              <w:rPr>
                <w:sz w:val="18"/>
                <w:szCs w:val="22"/>
                <w:rtl/>
              </w:rPr>
              <w:t xml:space="preserve">חירום במשרד הפנים, מנהל תחום מעסיקים </w:t>
            </w:r>
            <w:r w:rsidRPr="00014C4D">
              <w:rPr>
                <w:rFonts w:hint="cs"/>
                <w:sz w:val="18"/>
                <w:szCs w:val="22"/>
                <w:rtl/>
              </w:rPr>
              <w:t>ו</w:t>
            </w:r>
            <w:r w:rsidRPr="00014C4D">
              <w:rPr>
                <w:sz w:val="18"/>
                <w:szCs w:val="22"/>
                <w:rtl/>
              </w:rPr>
              <w:t>מ</w:t>
            </w:r>
            <w:r w:rsidRPr="00014C4D">
              <w:rPr>
                <w:rFonts w:hint="cs"/>
                <w:sz w:val="18"/>
                <w:szCs w:val="22"/>
                <w:rtl/>
              </w:rPr>
              <w:t>ינ</w:t>
            </w:r>
            <w:r w:rsidRPr="00014C4D">
              <w:rPr>
                <w:sz w:val="18"/>
                <w:szCs w:val="22"/>
                <w:rtl/>
              </w:rPr>
              <w:t>הל תעסוקת אוכלוסיות</w:t>
            </w:r>
            <w:r w:rsidRPr="00014C4D">
              <w:rPr>
                <w:rFonts w:hint="cs"/>
                <w:sz w:val="18"/>
                <w:szCs w:val="22"/>
                <w:rtl/>
              </w:rPr>
              <w:t xml:space="preserve"> ב</w:t>
            </w:r>
            <w:r w:rsidRPr="00014C4D">
              <w:rPr>
                <w:sz w:val="18"/>
                <w:szCs w:val="22"/>
                <w:rtl/>
              </w:rPr>
              <w:t xml:space="preserve">משרד העבודה, מנהלת חמ״ל תעסוקה בחירום </w:t>
            </w:r>
            <w:r w:rsidRPr="00014C4D">
              <w:rPr>
                <w:rFonts w:hint="cs"/>
                <w:sz w:val="18"/>
                <w:szCs w:val="22"/>
                <w:rtl/>
              </w:rPr>
              <w:t>ב</w:t>
            </w:r>
            <w:r w:rsidRPr="00014C4D">
              <w:rPr>
                <w:sz w:val="18"/>
                <w:szCs w:val="22"/>
                <w:rtl/>
              </w:rPr>
              <w:t xml:space="preserve">משרד הכלכלה, מנהלת אגף בכיר משאבי קהילה </w:t>
            </w:r>
            <w:r w:rsidRPr="00014C4D">
              <w:rPr>
                <w:rFonts w:hint="cs"/>
                <w:sz w:val="18"/>
                <w:szCs w:val="22"/>
                <w:rtl/>
              </w:rPr>
              <w:t>וה</w:t>
            </w:r>
            <w:r w:rsidRPr="00014C4D">
              <w:rPr>
                <w:sz w:val="18"/>
                <w:szCs w:val="22"/>
                <w:rtl/>
              </w:rPr>
              <w:t>מ</w:t>
            </w:r>
            <w:r w:rsidRPr="00014C4D">
              <w:rPr>
                <w:rFonts w:hint="cs"/>
                <w:sz w:val="18"/>
                <w:szCs w:val="22"/>
                <w:rtl/>
              </w:rPr>
              <w:t>נ</w:t>
            </w:r>
            <w:r w:rsidRPr="00014C4D">
              <w:rPr>
                <w:sz w:val="18"/>
                <w:szCs w:val="22"/>
                <w:rtl/>
              </w:rPr>
              <w:t xml:space="preserve">הלת </w:t>
            </w:r>
            <w:r w:rsidRPr="00014C4D">
              <w:rPr>
                <w:rFonts w:hint="cs"/>
                <w:sz w:val="18"/>
                <w:szCs w:val="22"/>
                <w:rtl/>
              </w:rPr>
              <w:t>ה</w:t>
            </w:r>
            <w:r w:rsidRPr="00014C4D">
              <w:rPr>
                <w:sz w:val="18"/>
                <w:szCs w:val="22"/>
                <w:rtl/>
              </w:rPr>
              <w:t xml:space="preserve">ארצית </w:t>
            </w:r>
            <w:r w:rsidRPr="00014C4D">
              <w:rPr>
                <w:rFonts w:hint="cs"/>
                <w:sz w:val="18"/>
                <w:szCs w:val="22"/>
                <w:rtl/>
              </w:rPr>
              <w:t xml:space="preserve">של </w:t>
            </w:r>
            <w:r w:rsidRPr="00014C4D">
              <w:rPr>
                <w:sz w:val="18"/>
                <w:szCs w:val="22"/>
                <w:rtl/>
              </w:rPr>
              <w:t xml:space="preserve">מרכזי </w:t>
            </w:r>
            <w:r w:rsidRPr="00014C4D">
              <w:rPr>
                <w:rFonts w:hint="cs"/>
                <w:sz w:val="18"/>
                <w:szCs w:val="22"/>
                <w:rtl/>
              </w:rPr>
              <w:t>ה</w:t>
            </w:r>
            <w:r w:rsidRPr="00014C4D">
              <w:rPr>
                <w:sz w:val="18"/>
                <w:szCs w:val="22"/>
                <w:rtl/>
              </w:rPr>
              <w:t xml:space="preserve">הזדמנות </w:t>
            </w:r>
            <w:r w:rsidRPr="00014C4D">
              <w:rPr>
                <w:rFonts w:hint="cs"/>
                <w:sz w:val="18"/>
                <w:szCs w:val="22"/>
                <w:rtl/>
              </w:rPr>
              <w:t>ב</w:t>
            </w:r>
            <w:r w:rsidRPr="00014C4D">
              <w:rPr>
                <w:sz w:val="18"/>
                <w:szCs w:val="22"/>
                <w:rtl/>
              </w:rPr>
              <w:t>משרד הרווחה, סמנ</w:t>
            </w:r>
            <w:r w:rsidRPr="00014C4D">
              <w:rPr>
                <w:rFonts w:hint="cs"/>
                <w:sz w:val="18"/>
                <w:szCs w:val="22"/>
                <w:rtl/>
              </w:rPr>
              <w:t>כ"</w:t>
            </w:r>
            <w:r w:rsidRPr="00014C4D">
              <w:rPr>
                <w:sz w:val="18"/>
                <w:szCs w:val="22"/>
                <w:rtl/>
              </w:rPr>
              <w:t xml:space="preserve">ל תכנון </w:t>
            </w:r>
            <w:r w:rsidRPr="00014C4D">
              <w:rPr>
                <w:rFonts w:hint="cs"/>
                <w:sz w:val="18"/>
                <w:szCs w:val="22"/>
                <w:rtl/>
              </w:rPr>
              <w:t>ו</w:t>
            </w:r>
            <w:r w:rsidRPr="00014C4D">
              <w:rPr>
                <w:sz w:val="18"/>
                <w:szCs w:val="22"/>
                <w:rtl/>
              </w:rPr>
              <w:t xml:space="preserve">מנהל יחידת המחקר </w:t>
            </w:r>
            <w:r w:rsidRPr="00014C4D">
              <w:rPr>
                <w:rFonts w:hint="cs"/>
                <w:sz w:val="18"/>
                <w:szCs w:val="22"/>
                <w:rtl/>
              </w:rPr>
              <w:t>ב</w:t>
            </w:r>
            <w:r w:rsidRPr="00014C4D">
              <w:rPr>
                <w:sz w:val="18"/>
                <w:szCs w:val="22"/>
                <w:rtl/>
              </w:rPr>
              <w:t>שי</w:t>
            </w:r>
            <w:r w:rsidRPr="00014C4D">
              <w:rPr>
                <w:rFonts w:hint="cs"/>
                <w:sz w:val="18"/>
                <w:szCs w:val="22"/>
                <w:rtl/>
              </w:rPr>
              <w:t>רו</w:t>
            </w:r>
            <w:r w:rsidRPr="00014C4D">
              <w:rPr>
                <w:sz w:val="18"/>
                <w:szCs w:val="22"/>
                <w:rtl/>
              </w:rPr>
              <w:t xml:space="preserve">ת התעסוקה, מנהלת רשות </w:t>
            </w:r>
            <w:r w:rsidRPr="00014C4D">
              <w:rPr>
                <w:rFonts w:hint="cs"/>
                <w:sz w:val="18"/>
                <w:szCs w:val="22"/>
                <w:rtl/>
              </w:rPr>
              <w:t>הצעירים</w:t>
            </w:r>
            <w:r w:rsidRPr="00014C4D">
              <w:rPr>
                <w:sz w:val="18"/>
                <w:szCs w:val="22"/>
                <w:rtl/>
              </w:rPr>
              <w:t xml:space="preserve"> </w:t>
            </w:r>
            <w:r w:rsidRPr="00014C4D">
              <w:rPr>
                <w:rFonts w:hint="cs"/>
                <w:sz w:val="18"/>
                <w:szCs w:val="22"/>
                <w:rtl/>
              </w:rPr>
              <w:t>ו</w:t>
            </w:r>
            <w:r w:rsidRPr="00014C4D">
              <w:rPr>
                <w:sz w:val="18"/>
                <w:szCs w:val="22"/>
                <w:rtl/>
              </w:rPr>
              <w:t>מנהלת תח</w:t>
            </w:r>
            <w:r w:rsidRPr="00014C4D">
              <w:rPr>
                <w:rFonts w:hint="cs"/>
                <w:sz w:val="18"/>
                <w:szCs w:val="22"/>
                <w:rtl/>
              </w:rPr>
              <w:t>ו</w:t>
            </w:r>
            <w:r w:rsidRPr="00014C4D">
              <w:rPr>
                <w:sz w:val="18"/>
                <w:szCs w:val="22"/>
                <w:rtl/>
              </w:rPr>
              <w:t xml:space="preserve">ם חברה ערבית </w:t>
            </w:r>
            <w:r w:rsidRPr="00014C4D">
              <w:rPr>
                <w:rFonts w:hint="cs"/>
                <w:sz w:val="18"/>
                <w:szCs w:val="22"/>
                <w:rtl/>
              </w:rPr>
              <w:t xml:space="preserve">בה, </w:t>
            </w:r>
            <w:r w:rsidRPr="00014C4D">
              <w:rPr>
                <w:sz w:val="18"/>
                <w:szCs w:val="22"/>
                <w:rtl/>
              </w:rPr>
              <w:t xml:space="preserve">נוסף </w:t>
            </w:r>
            <w:r w:rsidRPr="00014C4D">
              <w:rPr>
                <w:rFonts w:hint="cs"/>
                <w:sz w:val="18"/>
                <w:szCs w:val="22"/>
                <w:rtl/>
              </w:rPr>
              <w:t>על כך היה</w:t>
            </w:r>
            <w:r w:rsidRPr="00014C4D">
              <w:rPr>
                <w:sz w:val="18"/>
                <w:szCs w:val="22"/>
                <w:rtl/>
              </w:rPr>
              <w:t xml:space="preserve"> קשר </w:t>
            </w:r>
            <w:r w:rsidRPr="00014C4D">
              <w:rPr>
                <w:rFonts w:hint="cs"/>
                <w:sz w:val="18"/>
                <w:szCs w:val="22"/>
                <w:rtl/>
              </w:rPr>
              <w:t xml:space="preserve">מפעם לפעם </w:t>
            </w:r>
            <w:r w:rsidRPr="00014C4D">
              <w:rPr>
                <w:sz w:val="18"/>
                <w:szCs w:val="22"/>
                <w:rtl/>
              </w:rPr>
              <w:t>עם מערך העורף בפיקוד צפון, משרד התיירות</w:t>
            </w:r>
            <w:r w:rsidRPr="00014C4D">
              <w:rPr>
                <w:rFonts w:hint="cs"/>
                <w:sz w:val="18"/>
                <w:szCs w:val="22"/>
                <w:rtl/>
              </w:rPr>
              <w:t xml:space="preserve"> </w:t>
            </w:r>
            <w:r w:rsidRPr="00014C4D">
              <w:rPr>
                <w:sz w:val="18"/>
                <w:szCs w:val="22"/>
                <w:rtl/>
              </w:rPr>
              <w:t>(פינוי), מש</w:t>
            </w:r>
            <w:r w:rsidRPr="00014C4D">
              <w:rPr>
                <w:rFonts w:hint="cs"/>
                <w:sz w:val="18"/>
                <w:szCs w:val="22"/>
                <w:rtl/>
              </w:rPr>
              <w:t>רד</w:t>
            </w:r>
            <w:r w:rsidRPr="00014C4D">
              <w:rPr>
                <w:sz w:val="18"/>
                <w:szCs w:val="22"/>
                <w:rtl/>
              </w:rPr>
              <w:t xml:space="preserve"> החקלאות</w:t>
            </w:r>
            <w:r w:rsidRPr="00014C4D">
              <w:rPr>
                <w:rFonts w:hint="cs"/>
                <w:sz w:val="18"/>
                <w:szCs w:val="22"/>
                <w:rtl/>
              </w:rPr>
              <w:t xml:space="preserve"> </w:t>
            </w:r>
            <w:r w:rsidRPr="00014C4D">
              <w:rPr>
                <w:sz w:val="18"/>
                <w:szCs w:val="22"/>
                <w:rtl/>
              </w:rPr>
              <w:t>(מלגות לעבודה חקלאית), משרד השיכון</w:t>
            </w:r>
            <w:r w:rsidRPr="00014C4D">
              <w:rPr>
                <w:rFonts w:hint="cs"/>
                <w:sz w:val="18"/>
                <w:szCs w:val="22"/>
                <w:rtl/>
              </w:rPr>
              <w:t xml:space="preserve"> </w:t>
            </w:r>
            <w:r w:rsidRPr="00014C4D">
              <w:rPr>
                <w:sz w:val="18"/>
                <w:szCs w:val="22"/>
                <w:rtl/>
              </w:rPr>
              <w:t>(הכשרות ומלגות לעבודה בבניין), הרשות לקידום מעמד האישה במשרד</w:t>
            </w:r>
            <w:r w:rsidRPr="00014C4D">
              <w:rPr>
                <w:rFonts w:hint="cs"/>
                <w:sz w:val="18"/>
                <w:szCs w:val="22"/>
                <w:rtl/>
              </w:rPr>
              <w:t xml:space="preserve"> </w:t>
            </w:r>
            <w:r w:rsidRPr="00014C4D">
              <w:rPr>
                <w:sz w:val="18"/>
                <w:szCs w:val="22"/>
                <w:rtl/>
              </w:rPr>
              <w:t xml:space="preserve">(הכשרות), </w:t>
            </w:r>
            <w:r w:rsidRPr="00014C4D">
              <w:rPr>
                <w:rFonts w:hint="cs"/>
                <w:sz w:val="18"/>
                <w:szCs w:val="22"/>
                <w:rtl/>
              </w:rPr>
              <w:t>ה</w:t>
            </w:r>
            <w:r w:rsidRPr="00014C4D">
              <w:rPr>
                <w:sz w:val="18"/>
                <w:szCs w:val="22"/>
                <w:rtl/>
              </w:rPr>
              <w:t>רשות לשי</w:t>
            </w:r>
            <w:r w:rsidRPr="00014C4D">
              <w:rPr>
                <w:rFonts w:hint="cs"/>
                <w:sz w:val="18"/>
                <w:szCs w:val="22"/>
                <w:rtl/>
              </w:rPr>
              <w:t>רו</w:t>
            </w:r>
            <w:r w:rsidRPr="00014C4D">
              <w:rPr>
                <w:sz w:val="18"/>
                <w:szCs w:val="22"/>
                <w:rtl/>
              </w:rPr>
              <w:t>ת אזרחי</w:t>
            </w:r>
            <w:r w:rsidRPr="00014C4D">
              <w:rPr>
                <w:rFonts w:hint="cs"/>
                <w:sz w:val="18"/>
                <w:szCs w:val="22"/>
                <w:rtl/>
              </w:rPr>
              <w:t xml:space="preserve"> </w:t>
            </w:r>
            <w:r w:rsidRPr="00014C4D">
              <w:rPr>
                <w:sz w:val="18"/>
                <w:szCs w:val="22"/>
                <w:rtl/>
              </w:rPr>
              <w:t>(מתנדבים) ועוד</w:t>
            </w:r>
            <w:r w:rsidRPr="00014C4D">
              <w:rPr>
                <w:rFonts w:hint="cs"/>
                <w:sz w:val="18"/>
                <w:szCs w:val="22"/>
                <w:rtl/>
              </w:rPr>
              <w:t>.</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t xml:space="preserve">סיוע למשרד </w:t>
            </w:r>
            <w:r w:rsidRPr="00014C4D">
              <w:rPr>
                <w:rFonts w:hint="cs"/>
                <w:sz w:val="18"/>
                <w:szCs w:val="22"/>
                <w:rtl/>
              </w:rPr>
              <w:t xml:space="preserve">לשוויון חברתי </w:t>
            </w:r>
            <w:r w:rsidRPr="00014C4D">
              <w:rPr>
                <w:sz w:val="18"/>
                <w:szCs w:val="22"/>
                <w:rtl/>
              </w:rPr>
              <w:t>בריכוז ואספק</w:t>
            </w:r>
            <w:r w:rsidRPr="00014C4D">
              <w:rPr>
                <w:rFonts w:hint="cs"/>
                <w:sz w:val="18"/>
                <w:szCs w:val="22"/>
                <w:rtl/>
              </w:rPr>
              <w:t>ה של</w:t>
            </w:r>
            <w:r w:rsidRPr="00014C4D">
              <w:rPr>
                <w:sz w:val="18"/>
                <w:szCs w:val="22"/>
                <w:rtl/>
              </w:rPr>
              <w:t xml:space="preserve"> מידע</w:t>
            </w:r>
            <w:r w:rsidRPr="00014C4D">
              <w:rPr>
                <w:rFonts w:hint="cs"/>
                <w:sz w:val="18"/>
                <w:szCs w:val="22"/>
                <w:rtl/>
              </w:rPr>
              <w:t xml:space="preserve"> </w:t>
            </w:r>
            <w:r w:rsidRPr="00014C4D">
              <w:rPr>
                <w:sz w:val="18"/>
                <w:szCs w:val="22"/>
                <w:rtl/>
              </w:rPr>
              <w:t xml:space="preserve">לגורמי המדיניות </w:t>
            </w:r>
            <w:r w:rsidRPr="00014C4D">
              <w:rPr>
                <w:rFonts w:hint="cs"/>
                <w:sz w:val="18"/>
                <w:szCs w:val="22"/>
                <w:rtl/>
              </w:rPr>
              <w:t>ב</w:t>
            </w:r>
            <w:r w:rsidRPr="00014C4D">
              <w:rPr>
                <w:sz w:val="18"/>
                <w:szCs w:val="22"/>
                <w:rtl/>
              </w:rPr>
              <w:t>נושאים</w:t>
            </w:r>
            <w:r w:rsidRPr="00014C4D">
              <w:rPr>
                <w:rFonts w:hint="cs"/>
                <w:sz w:val="18"/>
                <w:szCs w:val="22"/>
                <w:rtl/>
              </w:rPr>
              <w:t xml:space="preserve"> עיקריים לרבות ניתוח הנתונים והצגת חיתוכים ככל שיידרש.</w:t>
            </w:r>
          </w:p>
        </w:tc>
        <w:tc>
          <w:tcPr>
            <w:tcW w:w="6095" w:type="dxa"/>
          </w:tcPr>
          <w:p w:rsidR="00014C4D" w:rsidRPr="00014C4D" w:rsidRDefault="00014C4D" w:rsidP="00014C4D">
            <w:pPr>
              <w:spacing w:line="269" w:lineRule="auto"/>
              <w:rPr>
                <w:sz w:val="18"/>
                <w:szCs w:val="22"/>
                <w:rtl/>
              </w:rPr>
            </w:pPr>
            <w:r w:rsidRPr="00014C4D">
              <w:rPr>
                <w:sz w:val="18"/>
                <w:szCs w:val="22"/>
                <w:rtl/>
              </w:rPr>
              <w:t>הנושאים</w:t>
            </w:r>
            <w:r w:rsidRPr="00014C4D">
              <w:rPr>
                <w:rFonts w:hint="cs"/>
                <w:sz w:val="18"/>
                <w:szCs w:val="22"/>
                <w:rtl/>
              </w:rPr>
              <w:t xml:space="preserve"> </w:t>
            </w:r>
            <w:r w:rsidRPr="00014C4D">
              <w:rPr>
                <w:sz w:val="18"/>
                <w:szCs w:val="22"/>
                <w:rtl/>
              </w:rPr>
              <w:t>שנבדקו: מיגון, אספקת מזון בחירום, הכשרות חירום (רפואת חירום וחוסן קהילתי ונפשי), אימונים (סע״ר</w:t>
            </w:r>
            <w:r w:rsidRPr="00014C4D">
              <w:rPr>
                <w:rFonts w:hint="cs"/>
                <w:sz w:val="18"/>
                <w:szCs w:val="22"/>
                <w:rtl/>
              </w:rPr>
              <w:t xml:space="preserve"> - סיוע עצמי ראשוני</w:t>
            </w:r>
            <w:r w:rsidRPr="00014C4D">
              <w:rPr>
                <w:sz w:val="18"/>
                <w:szCs w:val="22"/>
                <w:rtl/>
              </w:rPr>
              <w:t xml:space="preserve">), תעסוקה, הנגשת זכויות ממשלתיות. קבלת תכנים מענף הסברה בפקע"ר </w:t>
            </w:r>
            <w:r w:rsidRPr="00014C4D">
              <w:rPr>
                <w:rFonts w:hint="cs"/>
                <w:sz w:val="18"/>
                <w:szCs w:val="22"/>
                <w:rtl/>
              </w:rPr>
              <w:t>ופרסומם לחברה הערבית</w:t>
            </w:r>
            <w:r w:rsidRPr="00014C4D">
              <w:rPr>
                <w:sz w:val="18"/>
                <w:szCs w:val="22"/>
                <w:rtl/>
              </w:rPr>
              <w:t xml:space="preserve"> לאחר התאמה שפתית ותרבותית ואישור פקע"ר. המוקד שיתף פעולה עם אתר "כל זכות" בערבית </w:t>
            </w:r>
            <w:r w:rsidRPr="00014C4D">
              <w:rPr>
                <w:rFonts w:hint="cs"/>
                <w:sz w:val="18"/>
                <w:szCs w:val="22"/>
                <w:rtl/>
              </w:rPr>
              <w:t>ל</w:t>
            </w:r>
            <w:r w:rsidRPr="00014C4D">
              <w:rPr>
                <w:sz w:val="18"/>
                <w:szCs w:val="22"/>
                <w:rtl/>
              </w:rPr>
              <w:t xml:space="preserve">הנגשת הזכויות הממשלתיות. יצוין כי </w:t>
            </w:r>
            <w:r w:rsidRPr="00014C4D">
              <w:rPr>
                <w:rFonts w:hint="cs"/>
                <w:sz w:val="18"/>
                <w:szCs w:val="22"/>
                <w:rtl/>
              </w:rPr>
              <w:t>ה</w:t>
            </w:r>
            <w:r w:rsidRPr="00014C4D">
              <w:rPr>
                <w:sz w:val="18"/>
                <w:szCs w:val="22"/>
                <w:rtl/>
              </w:rPr>
              <w:t xml:space="preserve">זכויות מתוקף מצב החירום הן מעטות </w:t>
            </w:r>
            <w:r w:rsidRPr="00014C4D">
              <w:rPr>
                <w:rFonts w:hint="cs"/>
                <w:sz w:val="18"/>
                <w:szCs w:val="22"/>
                <w:rtl/>
              </w:rPr>
              <w:t>ומיועדות</w:t>
            </w:r>
            <w:r w:rsidRPr="00014C4D">
              <w:rPr>
                <w:sz w:val="18"/>
                <w:szCs w:val="22"/>
                <w:rtl/>
              </w:rPr>
              <w:t xml:space="preserve"> בעיקר לשתי </w:t>
            </w:r>
            <w:r w:rsidRPr="00014C4D">
              <w:rPr>
                <w:sz w:val="18"/>
                <w:szCs w:val="22"/>
                <w:rtl/>
              </w:rPr>
              <w:lastRenderedPageBreak/>
              <w:t xml:space="preserve">אוכלוסיות: </w:t>
            </w:r>
            <w:r w:rsidRPr="00014C4D">
              <w:rPr>
                <w:rFonts w:hint="cs"/>
                <w:sz w:val="18"/>
                <w:szCs w:val="22"/>
                <w:rtl/>
              </w:rPr>
              <w:t xml:space="preserve">חיילי </w:t>
            </w:r>
            <w:r w:rsidRPr="00014C4D">
              <w:rPr>
                <w:sz w:val="18"/>
                <w:szCs w:val="22"/>
                <w:rtl/>
              </w:rPr>
              <w:t xml:space="preserve">מילואים ומפונים. </w:t>
            </w:r>
            <w:r w:rsidRPr="00014C4D">
              <w:rPr>
                <w:rFonts w:hint="cs"/>
                <w:sz w:val="18"/>
                <w:szCs w:val="22"/>
                <w:rtl/>
              </w:rPr>
              <w:t xml:space="preserve">הועלו </w:t>
            </w:r>
            <w:r w:rsidRPr="00014C4D">
              <w:rPr>
                <w:sz w:val="18"/>
                <w:szCs w:val="22"/>
                <w:rtl/>
              </w:rPr>
              <w:t xml:space="preserve">זכויות שיכולתן לחסוך בהוצאות משק הבית משמעותית </w:t>
            </w:r>
            <w:r w:rsidRPr="00014C4D">
              <w:rPr>
                <w:rFonts w:hint="cs"/>
                <w:sz w:val="18"/>
                <w:szCs w:val="22"/>
                <w:rtl/>
              </w:rPr>
              <w:t>ולהעלות את המודעות להן</w:t>
            </w:r>
            <w:r w:rsidRPr="00014C4D">
              <w:rPr>
                <w:sz w:val="18"/>
                <w:szCs w:val="22"/>
                <w:rtl/>
              </w:rPr>
              <w:t xml:space="preserve"> (לדוגמה</w:t>
            </w:r>
            <w:r w:rsidRPr="00014C4D">
              <w:rPr>
                <w:rFonts w:hint="cs"/>
                <w:sz w:val="18"/>
                <w:szCs w:val="22"/>
                <w:rtl/>
              </w:rPr>
              <w:t xml:space="preserve"> בנושאי</w:t>
            </w:r>
            <w:r w:rsidRPr="00014C4D">
              <w:rPr>
                <w:sz w:val="18"/>
                <w:szCs w:val="22"/>
                <w:rtl/>
              </w:rPr>
              <w:t xml:space="preserve"> משקפי ראייה לילדים, טיפולי שיניים, מחלת הורה ועוד).</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lastRenderedPageBreak/>
              <w:t xml:space="preserve">ניטור מידע </w:t>
            </w:r>
            <w:r w:rsidRPr="00014C4D">
              <w:rPr>
                <w:rFonts w:hint="cs"/>
                <w:sz w:val="18"/>
                <w:szCs w:val="22"/>
                <w:rtl/>
              </w:rPr>
              <w:t>על</w:t>
            </w:r>
            <w:r w:rsidRPr="00014C4D">
              <w:rPr>
                <w:sz w:val="18"/>
                <w:szCs w:val="22"/>
                <w:rtl/>
              </w:rPr>
              <w:t xml:space="preserve"> מצב החי</w:t>
            </w:r>
            <w:r w:rsidRPr="00014C4D">
              <w:rPr>
                <w:rFonts w:hint="cs"/>
                <w:sz w:val="18"/>
                <w:szCs w:val="22"/>
                <w:rtl/>
              </w:rPr>
              <w:t>רו</w:t>
            </w:r>
            <w:r w:rsidRPr="00014C4D">
              <w:rPr>
                <w:sz w:val="18"/>
                <w:szCs w:val="22"/>
                <w:rtl/>
              </w:rPr>
              <w:t xml:space="preserve">ם המתפרסם ברשתות החברתיות וסינון מידע שגוי - ריכוז </w:t>
            </w:r>
            <w:r w:rsidRPr="00014C4D">
              <w:rPr>
                <w:rFonts w:hint="cs"/>
                <w:sz w:val="18"/>
                <w:szCs w:val="22"/>
                <w:rtl/>
              </w:rPr>
              <w:t xml:space="preserve">פריטי </w:t>
            </w:r>
            <w:r w:rsidRPr="00014C4D">
              <w:rPr>
                <w:sz w:val="18"/>
                <w:szCs w:val="22"/>
                <w:rtl/>
              </w:rPr>
              <w:t>המידע</w:t>
            </w:r>
            <w:r w:rsidRPr="00014C4D">
              <w:rPr>
                <w:rFonts w:hint="cs"/>
                <w:sz w:val="18"/>
                <w:szCs w:val="22"/>
                <w:rtl/>
              </w:rPr>
              <w:t xml:space="preserve"> השגויים</w:t>
            </w:r>
            <w:r w:rsidRPr="00014C4D">
              <w:rPr>
                <w:sz w:val="18"/>
                <w:szCs w:val="22"/>
                <w:rtl/>
              </w:rPr>
              <w:t xml:space="preserve"> בדוחות שוטפים</w:t>
            </w:r>
          </w:p>
        </w:tc>
        <w:tc>
          <w:tcPr>
            <w:tcW w:w="6095" w:type="dxa"/>
          </w:tcPr>
          <w:p w:rsidR="00014C4D" w:rsidRPr="00014C4D" w:rsidRDefault="00014C4D" w:rsidP="00014C4D">
            <w:pPr>
              <w:spacing w:line="269" w:lineRule="auto"/>
              <w:rPr>
                <w:sz w:val="18"/>
                <w:szCs w:val="22"/>
                <w:rtl/>
              </w:rPr>
            </w:pPr>
            <w:r w:rsidRPr="00014C4D">
              <w:rPr>
                <w:sz w:val="18"/>
                <w:szCs w:val="22"/>
                <w:rtl/>
              </w:rPr>
              <w:t>נערך קמפיין "פייק או ניוז"</w:t>
            </w:r>
            <w:r w:rsidRPr="00014C4D">
              <w:rPr>
                <w:rFonts w:hint="cs"/>
                <w:sz w:val="18"/>
                <w:szCs w:val="22"/>
                <w:rtl/>
              </w:rPr>
              <w:t>,</w:t>
            </w:r>
            <w:r w:rsidRPr="00014C4D">
              <w:rPr>
                <w:sz w:val="18"/>
                <w:szCs w:val="22"/>
                <w:rtl/>
              </w:rPr>
              <w:t xml:space="preserve"> שתכליתו לכוון את האוכלוסייה הערבית לערוצים הרלוונטיים. מתן מידע זמין ומיידי באופן יזום, בנושאים הקשורים במצב החירום</w:t>
            </w:r>
            <w:r w:rsidRPr="00014C4D">
              <w:rPr>
                <w:rFonts w:hint="cs"/>
                <w:sz w:val="18"/>
                <w:szCs w:val="22"/>
                <w:rtl/>
              </w:rPr>
              <w:t>,</w:t>
            </w:r>
            <w:r w:rsidRPr="00014C4D">
              <w:rPr>
                <w:sz w:val="18"/>
                <w:szCs w:val="22"/>
                <w:rtl/>
              </w:rPr>
              <w:t xml:space="preserve"> לאנשי הקשר ברשויות המקומיות או בארגוני החברה האזרחית ולממונים ולפועלים בשטח, באמצעות בניית קבוצות ווטסאפ ייעודיות</w:t>
            </w:r>
            <w:r w:rsidRPr="00014C4D">
              <w:rPr>
                <w:rFonts w:hint="cs"/>
                <w:sz w:val="18"/>
                <w:szCs w:val="22"/>
                <w:rtl/>
              </w:rPr>
              <w:t xml:space="preserve"> ובאמצעות רשתות חברתיות אחרות</w:t>
            </w:r>
            <w:r w:rsidRPr="00014C4D">
              <w:rPr>
                <w:sz w:val="18"/>
                <w:szCs w:val="22"/>
                <w:rtl/>
              </w:rPr>
              <w:t xml:space="preserve"> </w:t>
            </w:r>
            <w:r w:rsidRPr="00014C4D">
              <w:rPr>
                <w:rFonts w:hint="cs"/>
                <w:sz w:val="18"/>
                <w:szCs w:val="22"/>
                <w:rtl/>
              </w:rPr>
              <w:t>(</w:t>
            </w:r>
            <w:r w:rsidRPr="00014C4D">
              <w:rPr>
                <w:sz w:val="18"/>
                <w:szCs w:val="22"/>
                <w:rtl/>
              </w:rPr>
              <w:t>קבוצות ווט</w:t>
            </w:r>
            <w:r w:rsidRPr="00014C4D">
              <w:rPr>
                <w:rFonts w:hint="cs"/>
                <w:sz w:val="18"/>
                <w:szCs w:val="22"/>
                <w:rtl/>
              </w:rPr>
              <w:t>ס</w:t>
            </w:r>
            <w:r w:rsidRPr="00014C4D">
              <w:rPr>
                <w:sz w:val="18"/>
                <w:szCs w:val="22"/>
                <w:rtl/>
              </w:rPr>
              <w:t>אפ</w:t>
            </w:r>
            <w:r w:rsidRPr="00014C4D">
              <w:rPr>
                <w:rFonts w:hint="cs"/>
                <w:sz w:val="18"/>
                <w:szCs w:val="22"/>
                <w:rtl/>
              </w:rPr>
              <w:t>:</w:t>
            </w:r>
            <w:r w:rsidRPr="00014C4D">
              <w:rPr>
                <w:sz w:val="18"/>
                <w:szCs w:val="22"/>
                <w:rtl/>
              </w:rPr>
              <w:t xml:space="preserve"> ראשי רשויות מקומיות ונציגי הרשויות - 179 חברים, דוברי רשויות מקומיות - 52, ארגוני חברה אזרחית</w:t>
            </w:r>
            <w:r w:rsidRPr="00014C4D">
              <w:rPr>
                <w:rFonts w:hint="cs"/>
                <w:sz w:val="18"/>
                <w:szCs w:val="22"/>
                <w:rtl/>
              </w:rPr>
              <w:t xml:space="preserve"> </w:t>
            </w:r>
            <w:r w:rsidRPr="00014C4D">
              <w:rPr>
                <w:sz w:val="18"/>
                <w:szCs w:val="22"/>
                <w:rtl/>
              </w:rPr>
              <w:t>- 132, תעסוקה בחירום - 205, מתנדבים - 85</w:t>
            </w:r>
            <w:r w:rsidRPr="00014C4D">
              <w:rPr>
                <w:rFonts w:hint="cs"/>
                <w:sz w:val="18"/>
                <w:szCs w:val="22"/>
                <w:rtl/>
              </w:rPr>
              <w:t>;</w:t>
            </w:r>
            <w:r w:rsidRPr="00014C4D">
              <w:rPr>
                <w:sz w:val="18"/>
                <w:szCs w:val="22"/>
                <w:rtl/>
              </w:rPr>
              <w:t xml:space="preserve"> פייסבוק ואינסטגרם - 6,100 עוקבים</w:t>
            </w:r>
            <w:r w:rsidRPr="00014C4D">
              <w:rPr>
                <w:rFonts w:hint="cs"/>
                <w:sz w:val="18"/>
                <w:szCs w:val="22"/>
                <w:rtl/>
              </w:rPr>
              <w:t>;</w:t>
            </w:r>
            <w:r w:rsidRPr="00014C4D">
              <w:rPr>
                <w:sz w:val="18"/>
                <w:szCs w:val="22"/>
                <w:rtl/>
              </w:rPr>
              <w:t xml:space="preserve"> טיקטוק -</w:t>
            </w:r>
            <w:r w:rsidRPr="00014C4D">
              <w:rPr>
                <w:rFonts w:hint="cs"/>
                <w:sz w:val="18"/>
                <w:szCs w:val="22"/>
                <w:rtl/>
              </w:rPr>
              <w:t xml:space="preserve"> </w:t>
            </w:r>
            <w:r w:rsidRPr="00014C4D">
              <w:rPr>
                <w:sz w:val="18"/>
                <w:szCs w:val="22"/>
                <w:rtl/>
              </w:rPr>
              <w:t>550 עוקבים</w:t>
            </w:r>
            <w:r w:rsidRPr="00014C4D">
              <w:rPr>
                <w:rFonts w:hint="cs"/>
                <w:sz w:val="18"/>
                <w:szCs w:val="22"/>
                <w:rtl/>
              </w:rPr>
              <w:t>)</w:t>
            </w:r>
            <w:r w:rsidRPr="00014C4D">
              <w:rPr>
                <w:sz w:val="18"/>
                <w:szCs w:val="22"/>
                <w:rtl/>
              </w:rPr>
              <w:t>. מידע בקבוצות אלו עבר</w:t>
            </w:r>
            <w:r w:rsidRPr="00014C4D">
              <w:rPr>
                <w:rFonts w:hint="cs"/>
                <w:sz w:val="18"/>
                <w:szCs w:val="22"/>
                <w:rtl/>
              </w:rPr>
              <w:t xml:space="preserve"> </w:t>
            </w:r>
            <w:r w:rsidRPr="00014C4D">
              <w:rPr>
                <w:sz w:val="18"/>
                <w:szCs w:val="22"/>
                <w:rtl/>
              </w:rPr>
              <w:t>פעמי</w:t>
            </w:r>
            <w:r w:rsidRPr="00014C4D">
              <w:rPr>
                <w:rFonts w:hint="cs"/>
                <w:sz w:val="18"/>
                <w:szCs w:val="22"/>
                <w:rtl/>
              </w:rPr>
              <w:t>י</w:t>
            </w:r>
            <w:r w:rsidRPr="00014C4D">
              <w:rPr>
                <w:sz w:val="18"/>
                <w:szCs w:val="22"/>
                <w:rtl/>
              </w:rPr>
              <w:t>ם</w:t>
            </w:r>
            <w:r w:rsidRPr="00014C4D">
              <w:rPr>
                <w:rFonts w:hint="cs"/>
                <w:sz w:val="18"/>
                <w:szCs w:val="22"/>
                <w:rtl/>
              </w:rPr>
              <w:t>-שלוש</w:t>
            </w:r>
            <w:r w:rsidRPr="00014C4D">
              <w:rPr>
                <w:sz w:val="18"/>
                <w:szCs w:val="22"/>
                <w:rtl/>
              </w:rPr>
              <w:t xml:space="preserve"> בשבוע.</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t>העמדת הכשרות למשימות חי</w:t>
            </w:r>
            <w:r w:rsidRPr="00014C4D">
              <w:rPr>
                <w:rFonts w:hint="cs"/>
                <w:sz w:val="18"/>
                <w:szCs w:val="22"/>
                <w:rtl/>
              </w:rPr>
              <w:t>ונ</w:t>
            </w:r>
            <w:r w:rsidRPr="00014C4D">
              <w:rPr>
                <w:sz w:val="18"/>
                <w:szCs w:val="22"/>
                <w:rtl/>
              </w:rPr>
              <w:t xml:space="preserve">יות לעת חירום </w:t>
            </w:r>
            <w:r w:rsidRPr="00014C4D">
              <w:rPr>
                <w:rFonts w:hint="cs"/>
                <w:sz w:val="18"/>
                <w:szCs w:val="22"/>
                <w:rtl/>
              </w:rPr>
              <w:t>ו</w:t>
            </w:r>
            <w:r w:rsidRPr="00014C4D">
              <w:rPr>
                <w:sz w:val="18"/>
                <w:szCs w:val="22"/>
                <w:rtl/>
              </w:rPr>
              <w:t>הכשרות חוסן בתיאום עם אגף החירום והביטחון במשרד</w:t>
            </w:r>
          </w:p>
        </w:tc>
        <w:tc>
          <w:tcPr>
            <w:tcW w:w="6095" w:type="dxa"/>
          </w:tcPr>
          <w:p w:rsidR="00014C4D" w:rsidRPr="00014C4D" w:rsidRDefault="00014C4D" w:rsidP="00014C4D">
            <w:pPr>
              <w:spacing w:line="269" w:lineRule="auto"/>
              <w:rPr>
                <w:sz w:val="18"/>
                <w:szCs w:val="22"/>
                <w:rtl/>
              </w:rPr>
            </w:pPr>
            <w:r w:rsidRPr="00014C4D">
              <w:rPr>
                <w:sz w:val="18"/>
                <w:szCs w:val="22"/>
                <w:rtl/>
              </w:rPr>
              <w:t xml:space="preserve">בוצעו 35 הכשרות </w:t>
            </w:r>
            <w:r w:rsidRPr="00014C4D">
              <w:rPr>
                <w:rFonts w:hint="cs"/>
                <w:sz w:val="18"/>
                <w:szCs w:val="22"/>
                <w:rtl/>
              </w:rPr>
              <w:t>(</w:t>
            </w:r>
            <w:r w:rsidRPr="00014C4D">
              <w:rPr>
                <w:sz w:val="18"/>
                <w:szCs w:val="22"/>
                <w:rtl/>
              </w:rPr>
              <w:t>רפואת חירום</w:t>
            </w:r>
            <w:r w:rsidRPr="00014C4D">
              <w:rPr>
                <w:rFonts w:hint="cs"/>
                <w:sz w:val="18"/>
                <w:szCs w:val="22"/>
                <w:rtl/>
              </w:rPr>
              <w:t xml:space="preserve">, </w:t>
            </w:r>
            <w:r w:rsidRPr="00014C4D">
              <w:rPr>
                <w:sz w:val="18"/>
                <w:szCs w:val="22"/>
                <w:rtl/>
              </w:rPr>
              <w:t>חובשים ומגישי עזרה ראשונה), מודל מעש"ה</w:t>
            </w:r>
            <w:r w:rsidRPr="00014C4D">
              <w:rPr>
                <w:rFonts w:hint="cs"/>
                <w:sz w:val="18"/>
                <w:szCs w:val="22"/>
                <w:rtl/>
              </w:rPr>
              <w:t xml:space="preserve"> </w:t>
            </w:r>
            <w:r w:rsidRPr="00014C4D">
              <w:rPr>
                <w:sz w:val="18"/>
                <w:szCs w:val="22"/>
                <w:rtl/>
              </w:rPr>
              <w:t xml:space="preserve">לטיפול ראשוני בטראומה, הכנת סטודנטים לשנת </w:t>
            </w:r>
            <w:r w:rsidRPr="00014C4D">
              <w:rPr>
                <w:rFonts w:hint="cs"/>
                <w:sz w:val="18"/>
                <w:szCs w:val="22"/>
                <w:rtl/>
              </w:rPr>
              <w:t>ה</w:t>
            </w:r>
            <w:r w:rsidRPr="00014C4D">
              <w:rPr>
                <w:sz w:val="18"/>
                <w:szCs w:val="22"/>
                <w:rtl/>
              </w:rPr>
              <w:t xml:space="preserve">לימודים, חוסן לצוותי </w:t>
            </w:r>
            <w:r w:rsidRPr="00014C4D">
              <w:rPr>
                <w:rFonts w:hint="cs"/>
                <w:sz w:val="18"/>
                <w:szCs w:val="22"/>
                <w:rtl/>
              </w:rPr>
              <w:t>ה</w:t>
            </w:r>
            <w:r w:rsidRPr="00014C4D">
              <w:rPr>
                <w:sz w:val="18"/>
                <w:szCs w:val="22"/>
                <w:rtl/>
              </w:rPr>
              <w:t xml:space="preserve">גיל </w:t>
            </w:r>
            <w:r w:rsidRPr="00014C4D">
              <w:rPr>
                <w:rFonts w:hint="cs"/>
                <w:sz w:val="18"/>
                <w:szCs w:val="22"/>
                <w:rtl/>
              </w:rPr>
              <w:t>ה</w:t>
            </w:r>
            <w:r w:rsidRPr="00014C4D">
              <w:rPr>
                <w:sz w:val="18"/>
                <w:szCs w:val="22"/>
                <w:rtl/>
              </w:rPr>
              <w:t xml:space="preserve">רך, ניהול מתנדבים, חוסן תעסוקתי </w:t>
            </w:r>
            <w:r w:rsidRPr="00014C4D">
              <w:rPr>
                <w:rFonts w:hint="cs"/>
                <w:sz w:val="18"/>
                <w:szCs w:val="22"/>
                <w:rtl/>
              </w:rPr>
              <w:t>ל</w:t>
            </w:r>
            <w:r w:rsidRPr="00014C4D">
              <w:rPr>
                <w:sz w:val="18"/>
                <w:szCs w:val="22"/>
                <w:rtl/>
              </w:rPr>
              <w:t xml:space="preserve">ארגוני </w:t>
            </w:r>
            <w:r w:rsidRPr="00014C4D">
              <w:rPr>
                <w:rFonts w:hint="cs"/>
                <w:sz w:val="18"/>
                <w:szCs w:val="22"/>
                <w:rtl/>
              </w:rPr>
              <w:t xml:space="preserve">נוער </w:t>
            </w:r>
            <w:r w:rsidRPr="00014C4D">
              <w:rPr>
                <w:sz w:val="18"/>
                <w:szCs w:val="22"/>
                <w:rtl/>
              </w:rPr>
              <w:t xml:space="preserve">ותנועות נוער, מלווים תעסוקתיים </w:t>
            </w:r>
            <w:r w:rsidRPr="00014C4D">
              <w:rPr>
                <w:rFonts w:hint="cs"/>
                <w:sz w:val="18"/>
                <w:szCs w:val="22"/>
                <w:rtl/>
              </w:rPr>
              <w:t>ל</w:t>
            </w:r>
            <w:r w:rsidRPr="00014C4D">
              <w:rPr>
                <w:sz w:val="18"/>
                <w:szCs w:val="22"/>
                <w:rtl/>
              </w:rPr>
              <w:t xml:space="preserve">ארגוני קידום </w:t>
            </w:r>
            <w:r w:rsidRPr="00014C4D">
              <w:rPr>
                <w:rFonts w:hint="cs"/>
                <w:sz w:val="18"/>
                <w:szCs w:val="22"/>
                <w:rtl/>
              </w:rPr>
              <w:t>ה</w:t>
            </w:r>
            <w:r w:rsidRPr="00014C4D">
              <w:rPr>
                <w:sz w:val="18"/>
                <w:szCs w:val="22"/>
                <w:rtl/>
              </w:rPr>
              <w:t xml:space="preserve">תעסוקה בחברה הערבית - כ-1,600 משתתפים. </w:t>
            </w:r>
            <w:r w:rsidRPr="00014C4D">
              <w:rPr>
                <w:rFonts w:hint="cs"/>
                <w:sz w:val="18"/>
                <w:szCs w:val="22"/>
                <w:rtl/>
              </w:rPr>
              <w:t xml:space="preserve">משך כל </w:t>
            </w:r>
            <w:r w:rsidRPr="00014C4D">
              <w:rPr>
                <w:sz w:val="18"/>
                <w:szCs w:val="22"/>
                <w:rtl/>
              </w:rPr>
              <w:t xml:space="preserve">הכשרה </w:t>
            </w:r>
            <w:r w:rsidRPr="00014C4D">
              <w:rPr>
                <w:rFonts w:hint="cs"/>
                <w:sz w:val="18"/>
                <w:szCs w:val="22"/>
                <w:rtl/>
              </w:rPr>
              <w:t>מ</w:t>
            </w:r>
            <w:r w:rsidRPr="00014C4D">
              <w:rPr>
                <w:sz w:val="18"/>
                <w:szCs w:val="22"/>
                <w:rtl/>
              </w:rPr>
              <w:t>שעתיים עד 208 שעות.</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t xml:space="preserve">ניתוח ממצאים שוטפים והכנת מסמך </w:t>
            </w:r>
            <w:r w:rsidRPr="00014C4D">
              <w:rPr>
                <w:rFonts w:hint="cs"/>
                <w:sz w:val="18"/>
                <w:szCs w:val="22"/>
                <w:rtl/>
              </w:rPr>
              <w:t>יי</w:t>
            </w:r>
            <w:r w:rsidRPr="00014C4D">
              <w:rPr>
                <w:sz w:val="18"/>
                <w:szCs w:val="22"/>
                <w:rtl/>
              </w:rPr>
              <w:t>עוד</w:t>
            </w:r>
            <w:r w:rsidRPr="00014C4D">
              <w:rPr>
                <w:rFonts w:hint="cs"/>
                <w:sz w:val="18"/>
                <w:szCs w:val="22"/>
                <w:rtl/>
              </w:rPr>
              <w:t>י</w:t>
            </w:r>
            <w:r w:rsidRPr="00014C4D">
              <w:rPr>
                <w:sz w:val="18"/>
                <w:szCs w:val="22"/>
                <w:rtl/>
              </w:rPr>
              <w:t xml:space="preserve"> לביצור המו</w:t>
            </w:r>
            <w:r w:rsidRPr="00014C4D">
              <w:rPr>
                <w:rFonts w:hint="cs"/>
                <w:sz w:val="18"/>
                <w:szCs w:val="22"/>
                <w:rtl/>
              </w:rPr>
              <w:t>כ</w:t>
            </w:r>
            <w:r w:rsidRPr="00014C4D">
              <w:rPr>
                <w:sz w:val="18"/>
                <w:szCs w:val="22"/>
                <w:rtl/>
              </w:rPr>
              <w:t>נות לעת חירום באוכלוסייה הערבית ביום שאחרי מצב החירום הנוכחי</w:t>
            </w:r>
          </w:p>
        </w:tc>
        <w:tc>
          <w:tcPr>
            <w:tcW w:w="6095" w:type="dxa"/>
          </w:tcPr>
          <w:p w:rsidR="00014C4D" w:rsidRPr="00014C4D" w:rsidRDefault="00014C4D" w:rsidP="00014C4D">
            <w:pPr>
              <w:spacing w:line="269" w:lineRule="auto"/>
              <w:rPr>
                <w:sz w:val="18"/>
                <w:szCs w:val="22"/>
                <w:rtl/>
              </w:rPr>
            </w:pPr>
            <w:r w:rsidRPr="00014C4D">
              <w:rPr>
                <w:sz w:val="18"/>
                <w:szCs w:val="22"/>
                <w:rtl/>
              </w:rPr>
              <w:t xml:space="preserve">יש הסכמה של אלוף </w:t>
            </w:r>
            <w:r w:rsidRPr="00014C4D">
              <w:rPr>
                <w:rFonts w:hint="cs"/>
                <w:sz w:val="18"/>
                <w:szCs w:val="22"/>
                <w:rtl/>
              </w:rPr>
              <w:t xml:space="preserve">פקע"ר </w:t>
            </w:r>
            <w:r w:rsidRPr="00014C4D">
              <w:rPr>
                <w:sz w:val="18"/>
                <w:szCs w:val="22"/>
                <w:rtl/>
              </w:rPr>
              <w:t>להקמת ועדה לבחינ</w:t>
            </w:r>
            <w:r w:rsidRPr="00014C4D">
              <w:rPr>
                <w:rFonts w:hint="cs"/>
                <w:sz w:val="18"/>
                <w:szCs w:val="22"/>
                <w:rtl/>
              </w:rPr>
              <w:t>ה</w:t>
            </w:r>
            <w:r w:rsidRPr="00014C4D">
              <w:rPr>
                <w:sz w:val="18"/>
                <w:szCs w:val="22"/>
                <w:rtl/>
              </w:rPr>
              <w:t xml:space="preserve"> וטיוב </w:t>
            </w:r>
            <w:r w:rsidRPr="00014C4D">
              <w:rPr>
                <w:rFonts w:hint="cs"/>
                <w:sz w:val="18"/>
                <w:szCs w:val="22"/>
                <w:rtl/>
              </w:rPr>
              <w:t>של ה</w:t>
            </w:r>
            <w:r w:rsidRPr="00014C4D">
              <w:rPr>
                <w:sz w:val="18"/>
                <w:szCs w:val="22"/>
                <w:rtl/>
              </w:rPr>
              <w:t>ה</w:t>
            </w:r>
            <w:r w:rsidRPr="00014C4D">
              <w:rPr>
                <w:rFonts w:hint="cs"/>
                <w:sz w:val="18"/>
                <w:szCs w:val="22"/>
                <w:rtl/>
              </w:rPr>
              <w:t>י</w:t>
            </w:r>
            <w:r w:rsidRPr="00014C4D">
              <w:rPr>
                <w:sz w:val="18"/>
                <w:szCs w:val="22"/>
                <w:rtl/>
              </w:rPr>
              <w:t>ער</w:t>
            </w:r>
            <w:r w:rsidRPr="00014C4D">
              <w:rPr>
                <w:rFonts w:hint="cs"/>
                <w:sz w:val="18"/>
                <w:szCs w:val="22"/>
                <w:rtl/>
              </w:rPr>
              <w:t>כ</w:t>
            </w:r>
            <w:r w:rsidRPr="00014C4D">
              <w:rPr>
                <w:sz w:val="18"/>
                <w:szCs w:val="22"/>
                <w:rtl/>
              </w:rPr>
              <w:t>ות לחירום. משימות הוועדה יהיו: יצירת תמונת מצב עדכנית על ה</w:t>
            </w:r>
            <w:r w:rsidRPr="00014C4D">
              <w:rPr>
                <w:rFonts w:hint="cs"/>
                <w:sz w:val="18"/>
                <w:szCs w:val="22"/>
                <w:rtl/>
              </w:rPr>
              <w:t>הי</w:t>
            </w:r>
            <w:r w:rsidRPr="00014C4D">
              <w:rPr>
                <w:sz w:val="18"/>
                <w:szCs w:val="22"/>
                <w:rtl/>
              </w:rPr>
              <w:t>ערכות לחירום ברשויות הערביות, אמידת פערי הה</w:t>
            </w:r>
            <w:r w:rsidRPr="00014C4D">
              <w:rPr>
                <w:rFonts w:hint="cs"/>
                <w:sz w:val="18"/>
                <w:szCs w:val="22"/>
                <w:rtl/>
              </w:rPr>
              <w:t>י</w:t>
            </w:r>
            <w:r w:rsidRPr="00014C4D">
              <w:rPr>
                <w:sz w:val="18"/>
                <w:szCs w:val="22"/>
                <w:rtl/>
              </w:rPr>
              <w:t xml:space="preserve">ערכות </w:t>
            </w:r>
            <w:r w:rsidRPr="00014C4D">
              <w:rPr>
                <w:rFonts w:hint="cs"/>
                <w:sz w:val="18"/>
                <w:szCs w:val="22"/>
                <w:rtl/>
              </w:rPr>
              <w:t>שאפשר לצמצמם</w:t>
            </w:r>
            <w:r w:rsidRPr="00014C4D">
              <w:rPr>
                <w:sz w:val="18"/>
                <w:szCs w:val="22"/>
                <w:rtl/>
              </w:rPr>
              <w:t xml:space="preserve"> במערכי פקע</w:t>
            </w:r>
            <w:r w:rsidRPr="00014C4D">
              <w:rPr>
                <w:rFonts w:hint="cs"/>
                <w:sz w:val="18"/>
                <w:szCs w:val="22"/>
                <w:rtl/>
              </w:rPr>
              <w:t>"</w:t>
            </w:r>
            <w:r w:rsidRPr="00014C4D">
              <w:rPr>
                <w:sz w:val="18"/>
                <w:szCs w:val="22"/>
                <w:rtl/>
              </w:rPr>
              <w:t>ר השונים, איתור פערי היערכות הדורשים תקציב ממשלת</w:t>
            </w:r>
            <w:r w:rsidRPr="00014C4D">
              <w:rPr>
                <w:rFonts w:hint="cs"/>
                <w:sz w:val="18"/>
                <w:szCs w:val="22"/>
                <w:rtl/>
              </w:rPr>
              <w:t>י</w:t>
            </w:r>
            <w:r w:rsidRPr="00014C4D">
              <w:rPr>
                <w:sz w:val="18"/>
                <w:szCs w:val="22"/>
                <w:rtl/>
              </w:rPr>
              <w:t xml:space="preserve"> ומעורבות משרדים נוספים, הצעה לאופן </w:t>
            </w:r>
            <w:r w:rsidRPr="00014C4D">
              <w:rPr>
                <w:rFonts w:hint="cs"/>
                <w:sz w:val="18"/>
                <w:szCs w:val="22"/>
                <w:rtl/>
              </w:rPr>
              <w:t>ה</w:t>
            </w:r>
            <w:r w:rsidRPr="00014C4D">
              <w:rPr>
                <w:sz w:val="18"/>
                <w:szCs w:val="22"/>
                <w:rtl/>
              </w:rPr>
              <w:t>תכלול (כולל הגדרת תפקיד</w:t>
            </w:r>
            <w:r w:rsidRPr="00014C4D">
              <w:rPr>
                <w:rFonts w:hint="cs"/>
                <w:sz w:val="18"/>
                <w:szCs w:val="22"/>
                <w:rtl/>
              </w:rPr>
              <w:t xml:space="preserve"> המתכלל</w:t>
            </w:r>
            <w:r w:rsidRPr="00014C4D">
              <w:rPr>
                <w:sz w:val="18"/>
                <w:szCs w:val="22"/>
                <w:rtl/>
              </w:rPr>
              <w:t xml:space="preserve"> ודרג</w:t>
            </w:r>
            <w:r w:rsidRPr="00014C4D">
              <w:rPr>
                <w:rFonts w:hint="cs"/>
                <w:sz w:val="18"/>
                <w:szCs w:val="22"/>
                <w:rtl/>
              </w:rPr>
              <w:t>תו</w:t>
            </w:r>
            <w:r w:rsidRPr="00014C4D">
              <w:rPr>
                <w:sz w:val="18"/>
                <w:szCs w:val="22"/>
                <w:rtl/>
              </w:rPr>
              <w:t xml:space="preserve">) </w:t>
            </w:r>
            <w:r w:rsidRPr="00014C4D">
              <w:rPr>
                <w:rFonts w:hint="cs"/>
                <w:sz w:val="18"/>
                <w:szCs w:val="22"/>
                <w:rtl/>
              </w:rPr>
              <w:t xml:space="preserve">של </w:t>
            </w:r>
            <w:r w:rsidRPr="00014C4D">
              <w:rPr>
                <w:sz w:val="18"/>
                <w:szCs w:val="22"/>
                <w:rtl/>
              </w:rPr>
              <w:t>פעולת פקע</w:t>
            </w:r>
            <w:r w:rsidRPr="00014C4D">
              <w:rPr>
                <w:rFonts w:hint="cs"/>
                <w:sz w:val="18"/>
                <w:szCs w:val="22"/>
                <w:rtl/>
              </w:rPr>
              <w:t>"</w:t>
            </w:r>
            <w:r w:rsidRPr="00014C4D">
              <w:rPr>
                <w:sz w:val="18"/>
                <w:szCs w:val="22"/>
                <w:rtl/>
              </w:rPr>
              <w:t>ר בחברה הערבית</w:t>
            </w:r>
            <w:r w:rsidRPr="00014C4D">
              <w:rPr>
                <w:rFonts w:hint="cs"/>
                <w:sz w:val="18"/>
                <w:szCs w:val="22"/>
                <w:rtl/>
              </w:rPr>
              <w:t>.</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sz w:val="18"/>
                <w:szCs w:val="22"/>
                <w:rtl/>
              </w:rPr>
              <w:t>איגום צ</w:t>
            </w:r>
            <w:r w:rsidRPr="00014C4D">
              <w:rPr>
                <w:rFonts w:hint="cs"/>
                <w:sz w:val="18"/>
                <w:szCs w:val="22"/>
                <w:rtl/>
              </w:rPr>
              <w:t>ו</w:t>
            </w:r>
            <w:r w:rsidRPr="00014C4D">
              <w:rPr>
                <w:sz w:val="18"/>
                <w:szCs w:val="22"/>
                <w:rtl/>
              </w:rPr>
              <w:t xml:space="preserve">רכי </w:t>
            </w:r>
            <w:r w:rsidRPr="00014C4D">
              <w:rPr>
                <w:rFonts w:hint="cs"/>
                <w:sz w:val="18"/>
                <w:szCs w:val="22"/>
                <w:rtl/>
              </w:rPr>
              <w:t>ה</w:t>
            </w:r>
            <w:r w:rsidRPr="00014C4D">
              <w:rPr>
                <w:sz w:val="18"/>
                <w:szCs w:val="22"/>
                <w:rtl/>
              </w:rPr>
              <w:t>התנדבות במרחב האזרחי</w:t>
            </w:r>
          </w:p>
        </w:tc>
        <w:tc>
          <w:tcPr>
            <w:tcW w:w="6095" w:type="dxa"/>
          </w:tcPr>
          <w:p w:rsidR="00014C4D" w:rsidRPr="00014C4D" w:rsidRDefault="00014C4D" w:rsidP="00014C4D">
            <w:pPr>
              <w:spacing w:line="269" w:lineRule="auto"/>
              <w:rPr>
                <w:sz w:val="18"/>
                <w:szCs w:val="22"/>
                <w:rtl/>
              </w:rPr>
            </w:pPr>
            <w:r w:rsidRPr="00014C4D">
              <w:rPr>
                <w:sz w:val="18"/>
                <w:szCs w:val="22"/>
                <w:rtl/>
              </w:rPr>
              <w:t>פעולה עם רכזי התנדבות ברשויות המקומיות והפקת מערכת ממוחשבת "חיבוריות (תשביק)" ל</w:t>
            </w:r>
            <w:r w:rsidRPr="00014C4D">
              <w:rPr>
                <w:rFonts w:hint="cs"/>
                <w:sz w:val="18"/>
                <w:szCs w:val="22"/>
                <w:rtl/>
              </w:rPr>
              <w:t>"</w:t>
            </w:r>
            <w:r w:rsidRPr="00014C4D">
              <w:rPr>
                <w:sz w:val="18"/>
                <w:szCs w:val="22"/>
                <w:rtl/>
              </w:rPr>
              <w:t>חיבור בין צרכים למענים</w:t>
            </w:r>
            <w:r w:rsidRPr="00014C4D">
              <w:rPr>
                <w:rFonts w:hint="cs"/>
                <w:sz w:val="18"/>
                <w:szCs w:val="22"/>
                <w:rtl/>
              </w:rPr>
              <w:t>"</w:t>
            </w:r>
            <w:r w:rsidRPr="00014C4D">
              <w:rPr>
                <w:sz w:val="18"/>
                <w:szCs w:val="22"/>
                <w:rtl/>
              </w:rPr>
              <w:t xml:space="preserve"> על ידי ארגוני חברה אזרחית.</w:t>
            </w:r>
          </w:p>
        </w:tc>
      </w:tr>
      <w:tr w:rsidR="00014C4D" w:rsidRPr="00014C4D" w:rsidTr="00812D99">
        <w:tc>
          <w:tcPr>
            <w:tcW w:w="2834" w:type="dxa"/>
          </w:tcPr>
          <w:p w:rsidR="00014C4D" w:rsidRPr="00014C4D" w:rsidRDefault="00014C4D" w:rsidP="00014C4D">
            <w:pPr>
              <w:spacing w:line="269" w:lineRule="auto"/>
              <w:rPr>
                <w:sz w:val="18"/>
                <w:szCs w:val="22"/>
                <w:rtl/>
              </w:rPr>
            </w:pPr>
            <w:r w:rsidRPr="00014C4D">
              <w:rPr>
                <w:rFonts w:hint="cs"/>
                <w:sz w:val="18"/>
                <w:szCs w:val="22"/>
                <w:rtl/>
              </w:rPr>
              <w:t>ה</w:t>
            </w:r>
            <w:r w:rsidRPr="00014C4D">
              <w:rPr>
                <w:sz w:val="18"/>
                <w:szCs w:val="22"/>
                <w:rtl/>
              </w:rPr>
              <w:t xml:space="preserve">פקת דוחות ביצוע </w:t>
            </w:r>
          </w:p>
        </w:tc>
        <w:tc>
          <w:tcPr>
            <w:tcW w:w="6095" w:type="dxa"/>
          </w:tcPr>
          <w:p w:rsidR="00014C4D" w:rsidRPr="00014C4D" w:rsidRDefault="00014C4D" w:rsidP="00014C4D">
            <w:pPr>
              <w:spacing w:line="269" w:lineRule="auto"/>
              <w:rPr>
                <w:sz w:val="18"/>
                <w:szCs w:val="22"/>
                <w:rtl/>
              </w:rPr>
            </w:pPr>
            <w:r w:rsidRPr="00014C4D">
              <w:rPr>
                <w:rFonts w:hint="cs"/>
                <w:sz w:val="18"/>
                <w:szCs w:val="22"/>
                <w:rtl/>
              </w:rPr>
              <w:t xml:space="preserve">הופקו </w:t>
            </w:r>
            <w:r w:rsidRPr="00014C4D">
              <w:rPr>
                <w:sz w:val="18"/>
                <w:szCs w:val="22"/>
                <w:rtl/>
              </w:rPr>
              <w:t>דוחות תקופתיים ודוח סיום התקשרות ראשונה מפורט.</w:t>
            </w:r>
            <w:r w:rsidRPr="00014C4D">
              <w:rPr>
                <w:rFonts w:hint="cs"/>
                <w:sz w:val="18"/>
                <w:szCs w:val="22"/>
                <w:rtl/>
              </w:rPr>
              <w:t xml:space="preserve"> יצוין שמאחר שלא הוחלט על המשך פעילות המוקד, המוקד לא הכין תוכנית עבודה מפורטת. </w:t>
            </w:r>
          </w:p>
        </w:tc>
      </w:tr>
    </w:tbl>
    <w:p w:rsidR="00014C4D" w:rsidRPr="00014C4D" w:rsidRDefault="00014C4D" w:rsidP="00014C4D">
      <w:pPr>
        <w:spacing w:line="269" w:lineRule="auto"/>
        <w:rPr>
          <w:sz w:val="18"/>
          <w:szCs w:val="22"/>
          <w:rtl/>
        </w:rPr>
      </w:pPr>
    </w:p>
    <w:p w:rsidR="00014C4D" w:rsidRPr="00014C4D" w:rsidRDefault="00014C4D" w:rsidP="00014C4D">
      <w:pPr>
        <w:bidi w:val="0"/>
        <w:spacing w:after="200" w:line="276" w:lineRule="auto"/>
        <w:rPr>
          <w:rFonts w:eastAsiaTheme="majorEastAsia"/>
          <w:bCs/>
          <w:szCs w:val="28"/>
          <w:u w:val="single"/>
          <w:rtl/>
        </w:rPr>
      </w:pPr>
      <w:r w:rsidRPr="00014C4D">
        <w:rPr>
          <w:rtl/>
        </w:rPr>
        <w:br w:type="page"/>
      </w: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bCs/>
          <w:szCs w:val="28"/>
          <w:u w:val="single"/>
          <w:rtl/>
        </w:rPr>
        <w:lastRenderedPageBreak/>
        <w:t xml:space="preserve">סגירת </w:t>
      </w:r>
      <w:r w:rsidRPr="00014C4D">
        <w:rPr>
          <w:rFonts w:eastAsia="Times New Roman" w:hint="cs"/>
          <w:bCs/>
          <w:szCs w:val="28"/>
          <w:u w:val="single"/>
          <w:rtl/>
        </w:rPr>
        <w:t>חדר המצב</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rtl/>
        </w:rPr>
        <w:t xml:space="preserve">ב-9.5.24 התייחסו בכתב השרה ומנכ"לית המשרד לשוויון חברתי (להלן - הנהלת המשרד) </w:t>
      </w:r>
      <w:r w:rsidRPr="00014C4D">
        <w:rPr>
          <w:rtl/>
        </w:rPr>
        <w:t>להצעה להמשך פעילות</w:t>
      </w:r>
      <w:r w:rsidRPr="00014C4D">
        <w:rPr>
          <w:rFonts w:hint="cs"/>
          <w:rtl/>
        </w:rPr>
        <w:t xml:space="preserve"> ה</w:t>
      </w:r>
      <w:r w:rsidRPr="00014C4D">
        <w:rPr>
          <w:rtl/>
        </w:rPr>
        <w:t xml:space="preserve">מוקד </w:t>
      </w:r>
      <w:r w:rsidRPr="00014C4D">
        <w:rPr>
          <w:rFonts w:hint="cs"/>
          <w:rtl/>
        </w:rPr>
        <w:t>וציינו שב</w:t>
      </w:r>
      <w:r w:rsidRPr="00014C4D">
        <w:rPr>
          <w:rtl/>
        </w:rPr>
        <w:t>בחינת ההצעה ע</w:t>
      </w:r>
      <w:r w:rsidRPr="00014C4D">
        <w:rPr>
          <w:rFonts w:hint="cs"/>
          <w:rtl/>
        </w:rPr>
        <w:t>ו</w:t>
      </w:r>
      <w:r w:rsidRPr="00014C4D">
        <w:rPr>
          <w:rtl/>
        </w:rPr>
        <w:t xml:space="preserve">לות </w:t>
      </w:r>
      <w:r w:rsidRPr="00014C4D">
        <w:rPr>
          <w:rFonts w:hint="cs"/>
          <w:rtl/>
        </w:rPr>
        <w:t>כמה</w:t>
      </w:r>
      <w:r w:rsidRPr="00014C4D">
        <w:rPr>
          <w:rtl/>
        </w:rPr>
        <w:t xml:space="preserve"> בעיות מרכזי</w:t>
      </w:r>
      <w:r w:rsidRPr="00014C4D">
        <w:rPr>
          <w:rFonts w:hint="cs"/>
          <w:rtl/>
        </w:rPr>
        <w:t>ו</w:t>
      </w:r>
      <w:r w:rsidRPr="00014C4D">
        <w:rPr>
          <w:rtl/>
        </w:rPr>
        <w:t>ת</w:t>
      </w:r>
      <w:r w:rsidRPr="00014C4D">
        <w:rPr>
          <w:rFonts w:hint="cs"/>
          <w:rtl/>
        </w:rPr>
        <w:t>. הנהלת המשרד ביקשה לקבל את התייחסות ר</w:t>
      </w:r>
      <w:r w:rsidRPr="00014C4D">
        <w:rPr>
          <w:rtl/>
        </w:rPr>
        <w:t>אש הרשות לפיתוח כלכלי</w:t>
      </w:r>
      <w:r w:rsidRPr="00014C4D">
        <w:rPr>
          <w:rFonts w:hint="cs"/>
          <w:rtl/>
        </w:rPr>
        <w:t xml:space="preserve"> לכלל הסעיפים והפתרונות המוצעים (ראו את פירוט </w:t>
      </w:r>
      <w:r w:rsidRPr="00014C4D">
        <w:rPr>
          <w:rtl/>
        </w:rPr>
        <w:t>הנימוקים העיקריים</w:t>
      </w:r>
      <w:r w:rsidRPr="00014C4D">
        <w:rPr>
          <w:rFonts w:hint="cs"/>
          <w:rtl/>
        </w:rPr>
        <w:t xml:space="preserve"> בהמשך הדוח) וציינה כי לאחר קבלת המענה יביאו לדיון מחדש את הבקשה אם יידרשו.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ב-12.5.24 שלח ראש הרשות לפיתוח כלכלי מענה על פניית הנהלת המשרד בנושא המשך פעילות חדר המצב ובו השיב על</w:t>
      </w:r>
      <w:r w:rsidRPr="00014C4D">
        <w:rPr>
          <w:rFonts w:hint="cs"/>
        </w:rPr>
        <w:t xml:space="preserve"> </w:t>
      </w:r>
      <w:r w:rsidRPr="00014C4D">
        <w:rPr>
          <w:rFonts w:hint="cs"/>
          <w:rtl/>
        </w:rPr>
        <w:t xml:space="preserve">שאלות שנשאלו במכתב הנהלת המשרד מ-9.5.24. ב-16.5.24 שלחה הנהלת המשרד מכתב תשובה לראש הרשות לפיתוח כלכלי ובו ציינה כי לאחר קבלת מכתבו מ-12.5.24 הנחתה צוות עובדים מהמשרד לבדוק את טענותיו ולקבל החלטה בעניין המשך ההתקשרות עם חדר המצב. לאחר פירוט התגובה על הטענות סיכמה הנהלת המשרד כי אינה רואה צורך בהמשך פעילות חדר המצב וביקשה לקבל תוכנית עבודה לשימוש בתקציב אשר הוקצה לפעילות זו. ב-3.6.24 שלח ראש הרשות לפיתוח כלכלי מכתב נוסף ובו תגובה על טענות הנהלת המשרד ובקשה לשקול מחדש את סגירת המוקד, מאחר שהציבור הערבי ייוותר ללא מענה הולם אם תפרוץ מלחמה בצפון.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להלן הנימוקים העיקריים של הנהלת המשרד והתגובה של ראש הרשות לפיתוח כלכלי בעניינם: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bCs/>
          <w:spacing w:val="40"/>
          <w:rtl/>
        </w:rPr>
        <w:t>נימוקי הנהלת המשרד לשוויון חברתי לסגירת חדר המצב</w:t>
      </w:r>
      <w:r w:rsidRPr="00014C4D">
        <w:rPr>
          <w:rFonts w:eastAsiaTheme="majorEastAsia" w:hint="cs"/>
          <w:bCs/>
          <w:spacing w:val="40"/>
          <w:rtl/>
        </w:rPr>
        <w:t>:</w:t>
      </w:r>
      <w:r w:rsidRPr="00014C4D">
        <w:rPr>
          <w:rFonts w:hint="cs"/>
          <w:rtl/>
        </w:rPr>
        <w:t xml:space="preserve"> י</w:t>
      </w:r>
      <w:r w:rsidRPr="00014C4D">
        <w:rPr>
          <w:rtl/>
        </w:rPr>
        <w:t xml:space="preserve">עדים רבים שהוגדרו </w:t>
      </w:r>
      <w:r w:rsidRPr="00014C4D">
        <w:rPr>
          <w:rFonts w:hint="cs"/>
          <w:rtl/>
        </w:rPr>
        <w:t xml:space="preserve">למוקד </w:t>
      </w:r>
      <w:r w:rsidRPr="00014C4D">
        <w:rPr>
          <w:rtl/>
        </w:rPr>
        <w:t>אמורים לקבל מענה בתשתיות לאומיות ומקומיות אחרות שקיימות</w:t>
      </w:r>
      <w:r w:rsidRPr="00014C4D">
        <w:rPr>
          <w:rFonts w:hint="cs"/>
          <w:rtl/>
        </w:rPr>
        <w:t>,</w:t>
      </w:r>
      <w:r w:rsidRPr="00014C4D">
        <w:rPr>
          <w:rtl/>
        </w:rPr>
        <w:t xml:space="preserve"> </w:t>
      </w:r>
      <w:r w:rsidRPr="00014C4D">
        <w:rPr>
          <w:rFonts w:hint="cs"/>
          <w:rtl/>
        </w:rPr>
        <w:t>ולכן</w:t>
      </w:r>
      <w:r w:rsidRPr="00014C4D">
        <w:rPr>
          <w:rtl/>
        </w:rPr>
        <w:t xml:space="preserve"> יש לוודא את הנגשתן</w:t>
      </w:r>
      <w:r w:rsidRPr="00014C4D">
        <w:rPr>
          <w:rFonts w:hint="cs"/>
          <w:rtl/>
        </w:rPr>
        <w:t xml:space="preserve"> </w:t>
      </w:r>
      <w:r w:rsidRPr="00014C4D">
        <w:rPr>
          <w:rtl/>
        </w:rPr>
        <w:t>לאוכלוסייה במקום ליצ</w:t>
      </w:r>
      <w:r w:rsidRPr="00014C4D">
        <w:rPr>
          <w:rFonts w:hint="cs"/>
          <w:rtl/>
        </w:rPr>
        <w:t>ו</w:t>
      </w:r>
      <w:r w:rsidRPr="00014C4D">
        <w:rPr>
          <w:rtl/>
        </w:rPr>
        <w:t>ר כפילויות.</w:t>
      </w:r>
      <w:r w:rsidRPr="00014C4D">
        <w:rPr>
          <w:rFonts w:hint="cs"/>
          <w:rtl/>
        </w:rPr>
        <w:t xml:space="preserve"> </w:t>
      </w:r>
      <w:r w:rsidRPr="00014C4D">
        <w:rPr>
          <w:rtl/>
        </w:rPr>
        <w:t>המשרד לשוויון חברתי ו</w:t>
      </w:r>
      <w:r w:rsidRPr="00014C4D">
        <w:rPr>
          <w:rFonts w:hint="cs"/>
          <w:rtl/>
        </w:rPr>
        <w:t>ל</w:t>
      </w:r>
      <w:r w:rsidRPr="00014C4D">
        <w:rPr>
          <w:rtl/>
        </w:rPr>
        <w:t>קידום מעמד האישה א</w:t>
      </w:r>
      <w:r w:rsidRPr="00014C4D">
        <w:rPr>
          <w:rFonts w:hint="cs"/>
          <w:rtl/>
        </w:rPr>
        <w:t>יננו</w:t>
      </w:r>
      <w:r w:rsidRPr="00014C4D">
        <w:rPr>
          <w:rtl/>
        </w:rPr>
        <w:t xml:space="preserve"> גוף ממונ</w:t>
      </w:r>
      <w:r w:rsidRPr="00014C4D">
        <w:rPr>
          <w:rFonts w:hint="cs"/>
          <w:rtl/>
        </w:rPr>
        <w:t>ה</w:t>
      </w:r>
      <w:r w:rsidRPr="00014C4D">
        <w:rPr>
          <w:rtl/>
        </w:rPr>
        <w:t xml:space="preserve"> בחירום</w:t>
      </w:r>
      <w:r w:rsidRPr="00014C4D">
        <w:rPr>
          <w:rFonts w:hint="cs"/>
          <w:rtl/>
        </w:rPr>
        <w:t>,</w:t>
      </w:r>
      <w:r w:rsidRPr="00014C4D">
        <w:rPr>
          <w:rtl/>
        </w:rPr>
        <w:t xml:space="preserve"> ועל</w:t>
      </w:r>
      <w:r w:rsidRPr="00014C4D">
        <w:rPr>
          <w:rFonts w:hint="cs"/>
          <w:rtl/>
        </w:rPr>
        <w:t xml:space="preserve"> </w:t>
      </w:r>
      <w:r w:rsidRPr="00014C4D">
        <w:rPr>
          <w:rtl/>
        </w:rPr>
        <w:t>כן קיים החשש כי חפיפה בין פעילות המוקד לפעילות מוקדי רשויות החירום הקיימ</w:t>
      </w:r>
      <w:r w:rsidRPr="00014C4D">
        <w:rPr>
          <w:rFonts w:hint="cs"/>
          <w:rtl/>
        </w:rPr>
        <w:t>ים</w:t>
      </w:r>
      <w:r w:rsidRPr="00014C4D">
        <w:rPr>
          <w:rtl/>
        </w:rPr>
        <w:t xml:space="preserve"> המ</w:t>
      </w:r>
      <w:r w:rsidRPr="00014C4D">
        <w:rPr>
          <w:rFonts w:hint="cs"/>
          <w:rtl/>
        </w:rPr>
        <w:t>ונ</w:t>
      </w:r>
      <w:r w:rsidRPr="00014C4D">
        <w:rPr>
          <w:rtl/>
        </w:rPr>
        <w:t>גשת בשפה הערבית תוביל להשלכות שליליות על החברה הערבית</w:t>
      </w:r>
      <w:r w:rsidRPr="00014C4D">
        <w:rPr>
          <w:rFonts w:hint="cs"/>
          <w:rtl/>
        </w:rPr>
        <w:t xml:space="preserve"> </w:t>
      </w:r>
      <w:r w:rsidRPr="00014C4D">
        <w:rPr>
          <w:rtl/>
        </w:rPr>
        <w:t>(למשל, מסירת מידע מוטעה או שאינו עדכני).</w:t>
      </w:r>
      <w:r w:rsidRPr="00014C4D">
        <w:rPr>
          <w:rFonts w:hint="cs"/>
          <w:rtl/>
        </w:rPr>
        <w:t xml:space="preserve"> </w:t>
      </w:r>
      <w:r w:rsidRPr="00014C4D">
        <w:rPr>
          <w:rtl/>
        </w:rPr>
        <w:t xml:space="preserve">במספר רב של מקרים הגופים </w:t>
      </w:r>
      <w:r w:rsidRPr="00014C4D">
        <w:rPr>
          <w:rFonts w:hint="cs"/>
          <w:rtl/>
        </w:rPr>
        <w:t>ש</w:t>
      </w:r>
      <w:r w:rsidRPr="00014C4D">
        <w:rPr>
          <w:rtl/>
        </w:rPr>
        <w:t xml:space="preserve">מהם נאסף המידע מנגישים את המידע בשפה הערבית ואין צורך בהנגשה נוספת. המערך הדיגיטלי הלאומי מספק פלטפורמות להנגשת מידע חיוני בשפה הערבית באתרי החירום הממשלתיים </w:t>
      </w:r>
      <w:r w:rsidRPr="00014C4D">
        <w:rPr>
          <w:rFonts w:hint="cs"/>
          <w:rtl/>
        </w:rPr>
        <w:t>וכן ב</w:t>
      </w:r>
      <w:r w:rsidRPr="00014C4D">
        <w:rPr>
          <w:rtl/>
        </w:rPr>
        <w:t xml:space="preserve">אתר </w:t>
      </w:r>
      <w:r w:rsidRPr="00014C4D">
        <w:rPr>
          <w:rFonts w:hint="cs"/>
          <w:rtl/>
        </w:rPr>
        <w:t>פקע"ר,</w:t>
      </w:r>
      <w:r w:rsidRPr="00014C4D">
        <w:rPr>
          <w:rtl/>
        </w:rPr>
        <w:t xml:space="preserve"> המונגש במלואו בשפה הערבית.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ההצעה</w:t>
      </w:r>
      <w:r w:rsidRPr="00014C4D">
        <w:rPr>
          <w:rFonts w:hint="cs"/>
          <w:rtl/>
        </w:rPr>
        <w:t xml:space="preserve"> להמשך פעילות המוקד</w:t>
      </w:r>
      <w:r w:rsidRPr="00014C4D">
        <w:rPr>
          <w:rtl/>
        </w:rPr>
        <w:t xml:space="preserve"> </w:t>
      </w:r>
      <w:r w:rsidRPr="00014C4D">
        <w:rPr>
          <w:rFonts w:hint="cs"/>
          <w:rtl/>
        </w:rPr>
        <w:t xml:space="preserve">כוללת </w:t>
      </w:r>
      <w:r w:rsidRPr="00014C4D">
        <w:rPr>
          <w:rtl/>
        </w:rPr>
        <w:t>פעילויות שא</w:t>
      </w:r>
      <w:r w:rsidRPr="00014C4D">
        <w:rPr>
          <w:rFonts w:hint="cs"/>
          <w:rtl/>
        </w:rPr>
        <w:t>ינן</w:t>
      </w:r>
      <w:r w:rsidRPr="00014C4D">
        <w:rPr>
          <w:rtl/>
        </w:rPr>
        <w:t xml:space="preserve"> בתחום </w:t>
      </w:r>
      <w:r w:rsidRPr="00014C4D">
        <w:rPr>
          <w:rFonts w:hint="cs"/>
          <w:rtl/>
        </w:rPr>
        <w:t>ה</w:t>
      </w:r>
      <w:r w:rsidRPr="00014C4D">
        <w:rPr>
          <w:rtl/>
        </w:rPr>
        <w:t xml:space="preserve">סמכות </w:t>
      </w:r>
      <w:r w:rsidRPr="00014C4D">
        <w:rPr>
          <w:rFonts w:hint="cs"/>
          <w:rtl/>
        </w:rPr>
        <w:t>של חדר המצב</w:t>
      </w:r>
      <w:r w:rsidRPr="00014C4D">
        <w:rPr>
          <w:rtl/>
        </w:rPr>
        <w:t xml:space="preserve"> ודורשות </w:t>
      </w:r>
      <w:r w:rsidRPr="00014C4D">
        <w:rPr>
          <w:rFonts w:hint="cs"/>
          <w:rtl/>
        </w:rPr>
        <w:t xml:space="preserve">הכשרה </w:t>
      </w:r>
      <w:r w:rsidRPr="00014C4D">
        <w:rPr>
          <w:rtl/>
        </w:rPr>
        <w:t xml:space="preserve">מקצועית נרחבת בתחומים שאינם רלוונטיים למוקדי חירום וסיוע, דוגמת </w:t>
      </w:r>
      <w:r w:rsidRPr="00014C4D">
        <w:rPr>
          <w:rFonts w:hint="cs"/>
          <w:rtl/>
        </w:rPr>
        <w:t>ה</w:t>
      </w:r>
      <w:r w:rsidRPr="00014C4D">
        <w:rPr>
          <w:rtl/>
        </w:rPr>
        <w:t xml:space="preserve">ספקת </w:t>
      </w:r>
      <w:r w:rsidRPr="00014C4D">
        <w:rPr>
          <w:rFonts w:hint="cs"/>
          <w:rtl/>
        </w:rPr>
        <w:t>ה</w:t>
      </w:r>
      <w:r w:rsidRPr="00014C4D">
        <w:rPr>
          <w:rtl/>
        </w:rPr>
        <w:t>כשרות, אימונים או מחקר.</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eastAsiaTheme="majorEastAsia" w:hint="cs"/>
          <w:bCs/>
          <w:spacing w:val="40"/>
          <w:rtl/>
        </w:rPr>
        <w:t>תגובת ראש הרשות לפיתוח כלכלי על הנימוקים לסגירת המוקד:</w:t>
      </w:r>
      <w:r w:rsidRPr="00014C4D">
        <w:rPr>
          <w:rFonts w:hint="cs"/>
          <w:rtl/>
        </w:rPr>
        <w:t xml:space="preserve"> חדר המצב</w:t>
      </w:r>
      <w:r w:rsidRPr="00014C4D">
        <w:rPr>
          <w:rtl/>
        </w:rPr>
        <w:t xml:space="preserve"> פעל באינטנסיביות לצמצ</w:t>
      </w:r>
      <w:r w:rsidRPr="00014C4D">
        <w:rPr>
          <w:rFonts w:hint="cs"/>
          <w:rtl/>
        </w:rPr>
        <w:t>ו</w:t>
      </w:r>
      <w:r w:rsidRPr="00014C4D">
        <w:rPr>
          <w:rtl/>
        </w:rPr>
        <w:t xml:space="preserve">ם הפערים שבין החברה הערבית </w:t>
      </w:r>
      <w:r w:rsidRPr="00014C4D">
        <w:rPr>
          <w:rFonts w:hint="cs"/>
          <w:rtl/>
        </w:rPr>
        <w:t xml:space="preserve">לכלל האוכלוסייה </w:t>
      </w:r>
      <w:r w:rsidRPr="00014C4D">
        <w:rPr>
          <w:rtl/>
        </w:rPr>
        <w:t>בכל הקשור לה</w:t>
      </w:r>
      <w:r w:rsidRPr="00014C4D">
        <w:rPr>
          <w:rFonts w:hint="cs"/>
          <w:rtl/>
        </w:rPr>
        <w:t>י</w:t>
      </w:r>
      <w:r w:rsidRPr="00014C4D">
        <w:rPr>
          <w:rtl/>
        </w:rPr>
        <w:t xml:space="preserve">ערכות לחירום. </w:t>
      </w:r>
      <w:r w:rsidRPr="00014C4D">
        <w:rPr>
          <w:rFonts w:hint="cs"/>
          <w:rtl/>
        </w:rPr>
        <w:t>חדר המצב</w:t>
      </w:r>
      <w:r w:rsidRPr="00014C4D">
        <w:rPr>
          <w:rtl/>
        </w:rPr>
        <w:t xml:space="preserve"> עשה מיפוי </w:t>
      </w:r>
      <w:r w:rsidRPr="00014C4D">
        <w:rPr>
          <w:rFonts w:hint="cs"/>
          <w:rtl/>
        </w:rPr>
        <w:t>ש</w:t>
      </w:r>
      <w:r w:rsidRPr="00014C4D">
        <w:rPr>
          <w:rtl/>
        </w:rPr>
        <w:t>ל</w:t>
      </w:r>
      <w:r w:rsidRPr="00014C4D">
        <w:rPr>
          <w:rFonts w:hint="cs"/>
          <w:rtl/>
        </w:rPr>
        <w:t xml:space="preserve"> </w:t>
      </w:r>
      <w:r w:rsidRPr="00014C4D">
        <w:rPr>
          <w:rtl/>
        </w:rPr>
        <w:t>צ</w:t>
      </w:r>
      <w:r w:rsidRPr="00014C4D">
        <w:rPr>
          <w:rFonts w:hint="cs"/>
          <w:rtl/>
        </w:rPr>
        <w:t>ו</w:t>
      </w:r>
      <w:r w:rsidRPr="00014C4D">
        <w:rPr>
          <w:rtl/>
        </w:rPr>
        <w:t xml:space="preserve">רכי הרשויות הערביות עם פרוץ המלחמה </w:t>
      </w:r>
      <w:r w:rsidRPr="00014C4D">
        <w:rPr>
          <w:rFonts w:hint="cs"/>
          <w:rtl/>
        </w:rPr>
        <w:t>והנגיש אותו</w:t>
      </w:r>
      <w:r w:rsidRPr="00014C4D">
        <w:rPr>
          <w:rtl/>
        </w:rPr>
        <w:t xml:space="preserve"> לגורמי הממשלה</w:t>
      </w:r>
      <w:r w:rsidRPr="00014C4D">
        <w:rPr>
          <w:rFonts w:hint="cs"/>
          <w:rtl/>
        </w:rPr>
        <w:t>.</w:t>
      </w:r>
      <w:r w:rsidRPr="00014C4D">
        <w:rPr>
          <w:rtl/>
        </w:rPr>
        <w:t xml:space="preserve"> המוקד שימש </w:t>
      </w:r>
      <w:r w:rsidRPr="00014C4D">
        <w:rPr>
          <w:rFonts w:hint="cs"/>
          <w:rtl/>
        </w:rPr>
        <w:t>גורם מחבר</w:t>
      </w:r>
      <w:r w:rsidRPr="00014C4D">
        <w:rPr>
          <w:rtl/>
        </w:rPr>
        <w:t xml:space="preserve"> בין החברה הערבית לדרגים המקצועיים והפוליטיים העוסקים ב</w:t>
      </w:r>
      <w:r w:rsidRPr="00014C4D">
        <w:rPr>
          <w:rFonts w:hint="cs"/>
          <w:rtl/>
        </w:rPr>
        <w:t xml:space="preserve">פעילות בשעת </w:t>
      </w:r>
      <w:r w:rsidRPr="00014C4D">
        <w:rPr>
          <w:rtl/>
        </w:rPr>
        <w:t>חירום</w:t>
      </w:r>
      <w:r w:rsidRPr="00014C4D">
        <w:rPr>
          <w:rFonts w:hint="cs"/>
          <w:rtl/>
        </w:rPr>
        <w:t>. בזכות פעילות המוקד ניתנו</w:t>
      </w:r>
      <w:r w:rsidRPr="00014C4D">
        <w:rPr>
          <w:rtl/>
        </w:rPr>
        <w:t xml:space="preserve"> מענים נקודתיים ומתמשכים לבעיות </w:t>
      </w:r>
      <w:r w:rsidRPr="00014C4D">
        <w:rPr>
          <w:rFonts w:hint="cs"/>
          <w:rtl/>
        </w:rPr>
        <w:t>שעלו</w:t>
      </w:r>
      <w:r w:rsidRPr="00014C4D">
        <w:rPr>
          <w:rtl/>
        </w:rPr>
        <w:t xml:space="preserve"> מהשטח</w:t>
      </w:r>
      <w:r w:rsidRPr="00014C4D">
        <w:rPr>
          <w:rFonts w:hint="cs"/>
          <w:rtl/>
        </w:rPr>
        <w:t>. ללא פעילות חדר המצב</w:t>
      </w:r>
      <w:r w:rsidRPr="00014C4D">
        <w:rPr>
          <w:rtl/>
        </w:rPr>
        <w:t xml:space="preserve"> לא היו מאותגרים הפתרונות הממשלתיים אשר לא התאימו לצ</w:t>
      </w:r>
      <w:r w:rsidRPr="00014C4D">
        <w:rPr>
          <w:rFonts w:hint="cs"/>
          <w:rtl/>
        </w:rPr>
        <w:t>ו</w:t>
      </w:r>
      <w:r w:rsidRPr="00014C4D">
        <w:rPr>
          <w:rtl/>
        </w:rPr>
        <w:t xml:space="preserve">רכי החברה הערבית, לא הייתה מתקיימת הסברה מתאימה תרבותית, לא </w:t>
      </w:r>
      <w:r w:rsidRPr="00014C4D">
        <w:rPr>
          <w:rFonts w:hint="cs"/>
          <w:rtl/>
        </w:rPr>
        <w:t>היו</w:t>
      </w:r>
      <w:r w:rsidRPr="00014C4D">
        <w:rPr>
          <w:rtl/>
        </w:rPr>
        <w:t xml:space="preserve"> נערכ</w:t>
      </w:r>
      <w:r w:rsidRPr="00014C4D">
        <w:rPr>
          <w:rFonts w:hint="cs"/>
          <w:rtl/>
        </w:rPr>
        <w:t>ים</w:t>
      </w:r>
      <w:r w:rsidRPr="00014C4D">
        <w:rPr>
          <w:rtl/>
        </w:rPr>
        <w:t xml:space="preserve"> חשיבה מעמיקה וטיפול ממוקד </w:t>
      </w:r>
      <w:r w:rsidRPr="00014C4D">
        <w:rPr>
          <w:rtl/>
        </w:rPr>
        <w:lastRenderedPageBreak/>
        <w:t>במוקדי המתח והחיכוך בין יהודים לערבים. כל אלה ועוד תרמו משמעותית לחוסן של המדינה בעת מלחמה</w:t>
      </w:r>
      <w:r w:rsidRPr="00014C4D">
        <w:rPr>
          <w:rFonts w:hint="cs"/>
          <w:rtl/>
        </w:rPr>
        <w:t>,</w:t>
      </w:r>
      <w:r w:rsidRPr="00014C4D">
        <w:rPr>
          <w:rtl/>
        </w:rPr>
        <w:t xml:space="preserve"> וניתן לשער כי הפחיתו נזקים בנפש וברכוש</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pPr>
      <w:r w:rsidRPr="00014C4D">
        <w:rPr>
          <w:rFonts w:hint="cs"/>
          <w:rtl/>
        </w:rPr>
        <w:t>פקע"ר</w:t>
      </w:r>
      <w:r w:rsidRPr="00014C4D">
        <w:rPr>
          <w:rtl/>
        </w:rPr>
        <w:t xml:space="preserve"> ב</w:t>
      </w:r>
      <w:r w:rsidRPr="00014C4D">
        <w:rPr>
          <w:rFonts w:hint="cs"/>
          <w:rtl/>
        </w:rPr>
        <w:t>י</w:t>
      </w:r>
      <w:r w:rsidRPr="00014C4D">
        <w:rPr>
          <w:rtl/>
        </w:rPr>
        <w:t xml:space="preserve">קש להדק את שיתוף הפעולה </w:t>
      </w:r>
      <w:r w:rsidRPr="00014C4D">
        <w:rPr>
          <w:rFonts w:hint="cs"/>
          <w:rtl/>
        </w:rPr>
        <w:t>עם חדר המצב</w:t>
      </w:r>
      <w:r w:rsidRPr="00014C4D">
        <w:rPr>
          <w:rtl/>
        </w:rPr>
        <w:t xml:space="preserve"> בשל חוסר ההיכרות המספק עם החברה הערבית</w:t>
      </w:r>
      <w:r w:rsidRPr="00014C4D">
        <w:rPr>
          <w:rFonts w:hint="cs"/>
          <w:rtl/>
        </w:rPr>
        <w:t>.</w:t>
      </w:r>
      <w:r w:rsidRPr="00014C4D">
        <w:rPr>
          <w:rtl/>
        </w:rPr>
        <w:t xml:space="preserve"> שיתוף הפעולה ההדוק עם מערך ההסברה ב</w:t>
      </w:r>
      <w:r w:rsidRPr="00014C4D">
        <w:rPr>
          <w:rFonts w:hint="cs"/>
          <w:rtl/>
        </w:rPr>
        <w:t>פקע"ר</w:t>
      </w:r>
      <w:r w:rsidRPr="00014C4D">
        <w:rPr>
          <w:rtl/>
        </w:rPr>
        <w:t xml:space="preserve"> כלל מספר ישיבות לא</w:t>
      </w:r>
      <w:r w:rsidRPr="00014C4D">
        <w:rPr>
          <w:rFonts w:hint="cs"/>
          <w:rtl/>
        </w:rPr>
        <w:t>-</w:t>
      </w:r>
      <w:r w:rsidRPr="00014C4D">
        <w:rPr>
          <w:rtl/>
        </w:rPr>
        <w:t>מבוטל, קבוצת ווט</w:t>
      </w:r>
      <w:r w:rsidRPr="00014C4D">
        <w:rPr>
          <w:rFonts w:hint="cs"/>
          <w:rtl/>
        </w:rPr>
        <w:t>ס</w:t>
      </w:r>
      <w:r w:rsidRPr="00014C4D">
        <w:rPr>
          <w:rtl/>
        </w:rPr>
        <w:t xml:space="preserve">אפ ייעודית והכרה רשמית של ראש מערך ההסברה </w:t>
      </w:r>
      <w:r w:rsidRPr="00014C4D">
        <w:rPr>
          <w:rFonts w:hint="cs"/>
          <w:rtl/>
        </w:rPr>
        <w:t>ב</w:t>
      </w:r>
      <w:r w:rsidRPr="00014C4D">
        <w:rPr>
          <w:rtl/>
        </w:rPr>
        <w:t>נחיצות פעילות ההסברה במוקד</w:t>
      </w:r>
      <w:r w:rsidRPr="00014C4D">
        <w:rPr>
          <w:rFonts w:hint="cs"/>
          <w:rtl/>
        </w:rPr>
        <w:t>.</w:t>
      </w:r>
      <w:r w:rsidRPr="00014C4D">
        <w:rPr>
          <w:rtl/>
        </w:rPr>
        <w:t xml:space="preserve"> </w:t>
      </w:r>
      <w:r w:rsidRPr="00014C4D">
        <w:rPr>
          <w:rFonts w:hint="cs"/>
          <w:rtl/>
        </w:rPr>
        <w:t>על פי סיכום ה</w:t>
      </w:r>
      <w:r w:rsidRPr="00014C4D">
        <w:rPr>
          <w:rtl/>
        </w:rPr>
        <w:t>ביקור</w:t>
      </w:r>
      <w:r w:rsidRPr="00014C4D">
        <w:rPr>
          <w:rFonts w:hint="cs"/>
          <w:rtl/>
        </w:rPr>
        <w:t xml:space="preserve"> של מפקד פקע"ר</w:t>
      </w:r>
      <w:r w:rsidRPr="00014C4D">
        <w:rPr>
          <w:rtl/>
        </w:rPr>
        <w:t xml:space="preserve"> עם מנכ"לית המשרד </w:t>
      </w:r>
      <w:r w:rsidRPr="00014C4D">
        <w:rPr>
          <w:rFonts w:hint="cs"/>
          <w:rtl/>
        </w:rPr>
        <w:t xml:space="preserve">לשוויון חברתי במוקד </w:t>
      </w:r>
      <w:r w:rsidRPr="00014C4D">
        <w:rPr>
          <w:rtl/>
        </w:rPr>
        <w:t>ב</w:t>
      </w:r>
      <w:r w:rsidRPr="00014C4D">
        <w:rPr>
          <w:rFonts w:hint="cs"/>
          <w:rtl/>
        </w:rPr>
        <w:t xml:space="preserve">מרץ 2024, מפקד </w:t>
      </w:r>
      <w:r w:rsidRPr="00014C4D">
        <w:rPr>
          <w:rtl/>
        </w:rPr>
        <w:t xml:space="preserve">פקע״ר </w:t>
      </w:r>
      <w:r w:rsidRPr="00014C4D">
        <w:rPr>
          <w:rFonts w:hint="cs"/>
          <w:rtl/>
        </w:rPr>
        <w:t xml:space="preserve">ציין </w:t>
      </w:r>
      <w:r w:rsidRPr="00014C4D">
        <w:rPr>
          <w:rtl/>
        </w:rPr>
        <w:t xml:space="preserve">כי קיימת נכונות </w:t>
      </w:r>
      <w:r w:rsidRPr="00014C4D">
        <w:rPr>
          <w:rFonts w:hint="cs"/>
          <w:rtl/>
        </w:rPr>
        <w:t>של</w:t>
      </w:r>
      <w:r w:rsidRPr="00014C4D">
        <w:rPr>
          <w:rtl/>
        </w:rPr>
        <w:t xml:space="preserve"> משתתפי</w:t>
      </w:r>
      <w:r w:rsidRPr="00014C4D">
        <w:rPr>
          <w:rFonts w:hint="cs"/>
          <w:rtl/>
        </w:rPr>
        <w:t xml:space="preserve"> </w:t>
      </w:r>
      <w:r w:rsidRPr="00014C4D">
        <w:rPr>
          <w:rtl/>
        </w:rPr>
        <w:t xml:space="preserve">המפגש </w:t>
      </w:r>
      <w:r w:rsidRPr="00014C4D">
        <w:rPr>
          <w:rFonts w:hint="cs"/>
          <w:rtl/>
        </w:rPr>
        <w:t xml:space="preserve">לגבש </w:t>
      </w:r>
      <w:r w:rsidRPr="00014C4D">
        <w:rPr>
          <w:rtl/>
        </w:rPr>
        <w:t>צוות עבודה ב</w:t>
      </w:r>
      <w:r w:rsidRPr="00014C4D">
        <w:rPr>
          <w:rFonts w:hint="cs"/>
          <w:rtl/>
        </w:rPr>
        <w:t>ין-</w:t>
      </w:r>
      <w:r w:rsidRPr="00014C4D">
        <w:rPr>
          <w:rtl/>
        </w:rPr>
        <w:t>ארגוני אשר יבחן את המענים הנדרשים למרכ</w:t>
      </w:r>
      <w:r w:rsidRPr="00014C4D">
        <w:rPr>
          <w:rFonts w:hint="cs"/>
          <w:rtl/>
        </w:rPr>
        <w:t>י</w:t>
      </w:r>
      <w:r w:rsidRPr="00014C4D">
        <w:rPr>
          <w:rtl/>
        </w:rPr>
        <w:t>ב</w:t>
      </w:r>
      <w:r w:rsidRPr="00014C4D">
        <w:rPr>
          <w:rFonts w:hint="cs"/>
          <w:rtl/>
        </w:rPr>
        <w:t xml:space="preserve">י החירום, </w:t>
      </w:r>
      <w:r w:rsidRPr="00014C4D">
        <w:rPr>
          <w:rtl/>
        </w:rPr>
        <w:t>בראשם התגוננות אזרחית</w:t>
      </w:r>
      <w:r w:rsidRPr="00014C4D">
        <w:rPr>
          <w:rFonts w:hint="cs"/>
          <w:rtl/>
        </w:rPr>
        <w:t>,</w:t>
      </w:r>
      <w:r w:rsidRPr="00014C4D">
        <w:rPr>
          <w:rtl/>
        </w:rPr>
        <w:t xml:space="preserve"> ויפעל לגיבוש העקרונות לבניית</w:t>
      </w:r>
      <w:r w:rsidRPr="00014C4D">
        <w:rPr>
          <w:rFonts w:hint="cs"/>
          <w:rtl/>
        </w:rPr>
        <w:t xml:space="preserve"> ד</w:t>
      </w:r>
      <w:r w:rsidRPr="00014C4D">
        <w:rPr>
          <w:rtl/>
        </w:rPr>
        <w:t xml:space="preserve">רכי פעולה </w:t>
      </w:r>
      <w:r w:rsidRPr="00014C4D">
        <w:rPr>
          <w:rFonts w:hint="cs"/>
          <w:rtl/>
        </w:rPr>
        <w:t xml:space="preserve">לצמצום </w:t>
      </w:r>
      <w:r w:rsidRPr="00014C4D">
        <w:rPr>
          <w:rtl/>
        </w:rPr>
        <w:t>האתגרים במרחב החברה הערבית.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לעניין הנגשת המידע בערבית - </w:t>
      </w:r>
      <w:r w:rsidRPr="00014C4D">
        <w:rPr>
          <w:rtl/>
        </w:rPr>
        <w:t>תרגום כש</w:t>
      </w:r>
      <w:r w:rsidRPr="00014C4D">
        <w:rPr>
          <w:rFonts w:hint="cs"/>
          <w:rtl/>
        </w:rPr>
        <w:t>ל</w:t>
      </w:r>
      <w:r w:rsidRPr="00014C4D">
        <w:rPr>
          <w:rtl/>
        </w:rPr>
        <w:t>עצמו אינו מהווה הנגשה של השירות</w:t>
      </w:r>
      <w:r w:rsidRPr="00014C4D">
        <w:rPr>
          <w:rFonts w:hint="cs"/>
          <w:rtl/>
        </w:rPr>
        <w:t>, וה</w:t>
      </w:r>
      <w:r w:rsidRPr="00014C4D">
        <w:rPr>
          <w:rtl/>
        </w:rPr>
        <w:t>מענ</w:t>
      </w:r>
      <w:r w:rsidRPr="00014C4D">
        <w:rPr>
          <w:rFonts w:hint="cs"/>
          <w:rtl/>
        </w:rPr>
        <w:t>ה</w:t>
      </w:r>
      <w:r w:rsidRPr="00014C4D">
        <w:rPr>
          <w:rtl/>
        </w:rPr>
        <w:t xml:space="preserve"> לאוכלוסיות מו</w:t>
      </w:r>
      <w:r w:rsidRPr="00014C4D">
        <w:rPr>
          <w:rFonts w:hint="cs"/>
          <w:rtl/>
        </w:rPr>
        <w:t>ג</w:t>
      </w:r>
      <w:r w:rsidRPr="00014C4D">
        <w:rPr>
          <w:rtl/>
        </w:rPr>
        <w:t>דר</w:t>
      </w:r>
      <w:r w:rsidRPr="00014C4D">
        <w:rPr>
          <w:rFonts w:hint="cs"/>
          <w:rtl/>
        </w:rPr>
        <w:t>ות אינו ניתן</w:t>
      </w:r>
      <w:r w:rsidRPr="00014C4D">
        <w:rPr>
          <w:rtl/>
        </w:rPr>
        <w:t xml:space="preserve"> רק בדרך של תרגום</w:t>
      </w:r>
      <w:r w:rsidRPr="00014C4D">
        <w:rPr>
          <w:rFonts w:hint="cs"/>
          <w:rtl/>
        </w:rPr>
        <w:t xml:space="preserve"> לשפתן (</w:t>
      </w:r>
      <w:r w:rsidRPr="00014C4D">
        <w:rPr>
          <w:rtl/>
        </w:rPr>
        <w:t xml:space="preserve">דבר </w:t>
      </w:r>
      <w:r w:rsidRPr="00014C4D">
        <w:rPr>
          <w:rFonts w:hint="cs"/>
          <w:rtl/>
        </w:rPr>
        <w:t>ה</w:t>
      </w:r>
      <w:r w:rsidRPr="00014C4D">
        <w:rPr>
          <w:rtl/>
        </w:rPr>
        <w:t xml:space="preserve">משול </w:t>
      </w:r>
      <w:r w:rsidRPr="00014C4D">
        <w:rPr>
          <w:rFonts w:hint="cs"/>
          <w:rtl/>
        </w:rPr>
        <w:t xml:space="preserve">לכך </w:t>
      </w:r>
      <w:r w:rsidRPr="00014C4D">
        <w:rPr>
          <w:rtl/>
        </w:rPr>
        <w:t>שבעיית התעסוקה של נשים ת</w:t>
      </w:r>
      <w:r w:rsidRPr="00014C4D">
        <w:rPr>
          <w:rFonts w:hint="cs"/>
          <w:rtl/>
        </w:rPr>
        <w:t>י</w:t>
      </w:r>
      <w:r w:rsidRPr="00014C4D">
        <w:rPr>
          <w:rtl/>
        </w:rPr>
        <w:t>פתר אם המודעה תפורסם בלשון נקבה</w:t>
      </w:r>
      <w:r w:rsidRPr="00014C4D">
        <w:rPr>
          <w:rFonts w:hint="cs"/>
          <w:rtl/>
        </w:rPr>
        <w:t>).</w:t>
      </w:r>
      <w:r w:rsidRPr="00014C4D">
        <w:rPr>
          <w:rtl/>
        </w:rPr>
        <w:t xml:space="preserve"> הדברים </w:t>
      </w:r>
      <w:r w:rsidRPr="00014C4D">
        <w:rPr>
          <w:rFonts w:hint="cs"/>
          <w:rtl/>
        </w:rPr>
        <w:t xml:space="preserve">מורכבים </w:t>
      </w:r>
      <w:r w:rsidRPr="00014C4D">
        <w:rPr>
          <w:rtl/>
        </w:rPr>
        <w:t>הרבה יותר</w:t>
      </w:r>
      <w:r w:rsidRPr="00014C4D">
        <w:rPr>
          <w:rFonts w:hint="cs"/>
          <w:rtl/>
        </w:rPr>
        <w:t>,</w:t>
      </w:r>
      <w:r w:rsidRPr="00014C4D">
        <w:rPr>
          <w:rtl/>
        </w:rPr>
        <w:t xml:space="preserve"> </w:t>
      </w:r>
      <w:r w:rsidRPr="00014C4D">
        <w:rPr>
          <w:rFonts w:hint="cs"/>
          <w:rtl/>
        </w:rPr>
        <w:t>וטיפול ב</w:t>
      </w:r>
      <w:r w:rsidRPr="00014C4D">
        <w:rPr>
          <w:rtl/>
        </w:rPr>
        <w:t xml:space="preserve">בעיות של </w:t>
      </w:r>
      <w:r w:rsidRPr="00014C4D">
        <w:rPr>
          <w:rFonts w:hint="cs"/>
          <w:rtl/>
        </w:rPr>
        <w:t xml:space="preserve">מימוש </w:t>
      </w:r>
      <w:r w:rsidRPr="00014C4D">
        <w:rPr>
          <w:rtl/>
        </w:rPr>
        <w:t>ז</w:t>
      </w:r>
      <w:r w:rsidRPr="00014C4D">
        <w:rPr>
          <w:rFonts w:hint="cs"/>
          <w:rtl/>
        </w:rPr>
        <w:t>כו</w:t>
      </w:r>
      <w:r w:rsidRPr="00014C4D">
        <w:rPr>
          <w:rtl/>
        </w:rPr>
        <w:t xml:space="preserve">יות ומיצוי </w:t>
      </w:r>
      <w:r w:rsidRPr="00014C4D">
        <w:rPr>
          <w:rFonts w:hint="cs"/>
          <w:rtl/>
        </w:rPr>
        <w:t>ה</w:t>
      </w:r>
      <w:r w:rsidRPr="00014C4D">
        <w:rPr>
          <w:rtl/>
        </w:rPr>
        <w:t xml:space="preserve">פוטנציאל </w:t>
      </w:r>
      <w:r w:rsidRPr="00014C4D">
        <w:rPr>
          <w:rFonts w:hint="cs"/>
          <w:rtl/>
        </w:rPr>
        <w:t>ה</w:t>
      </w:r>
      <w:r w:rsidRPr="00014C4D">
        <w:rPr>
          <w:rtl/>
        </w:rPr>
        <w:t>כלכלי ו</w:t>
      </w:r>
      <w:r w:rsidRPr="00014C4D">
        <w:rPr>
          <w:rFonts w:hint="cs"/>
          <w:rtl/>
        </w:rPr>
        <w:t>ה</w:t>
      </w:r>
      <w:r w:rsidRPr="00014C4D">
        <w:rPr>
          <w:rtl/>
        </w:rPr>
        <w:t xml:space="preserve">חברתי נעוץ </w:t>
      </w:r>
      <w:r w:rsidRPr="00014C4D">
        <w:rPr>
          <w:rFonts w:hint="cs"/>
          <w:rtl/>
        </w:rPr>
        <w:t xml:space="preserve">גם </w:t>
      </w:r>
      <w:r w:rsidRPr="00014C4D">
        <w:rPr>
          <w:rtl/>
        </w:rPr>
        <w:t xml:space="preserve">בהתאמה תרבותית </w:t>
      </w:r>
      <w:r w:rsidRPr="00014C4D">
        <w:rPr>
          <w:rFonts w:hint="cs"/>
          <w:rtl/>
        </w:rPr>
        <w:t>ו</w:t>
      </w:r>
      <w:r w:rsidRPr="00014C4D">
        <w:rPr>
          <w:rtl/>
        </w:rPr>
        <w:t>חברתית ו</w:t>
      </w:r>
      <w:r w:rsidRPr="00014C4D">
        <w:rPr>
          <w:rFonts w:hint="cs"/>
          <w:rtl/>
        </w:rPr>
        <w:t>ב</w:t>
      </w:r>
      <w:r w:rsidRPr="00014C4D">
        <w:rPr>
          <w:rtl/>
        </w:rPr>
        <w:t xml:space="preserve">פעילות אקטיבית </w:t>
      </w:r>
      <w:r w:rsidRPr="00014C4D">
        <w:rPr>
          <w:rFonts w:hint="cs"/>
          <w:rtl/>
        </w:rPr>
        <w:t xml:space="preserve">בקרב </w:t>
      </w:r>
      <w:r w:rsidRPr="00014C4D">
        <w:rPr>
          <w:rtl/>
        </w:rPr>
        <w:t xml:space="preserve">אוכלוסיית היעד.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לעניין </w:t>
      </w:r>
      <w:r w:rsidRPr="00014C4D">
        <w:rPr>
          <w:rtl/>
        </w:rPr>
        <w:t>פעילויות שא</w:t>
      </w:r>
      <w:r w:rsidRPr="00014C4D">
        <w:rPr>
          <w:rFonts w:hint="cs"/>
          <w:rtl/>
        </w:rPr>
        <w:t>ינן</w:t>
      </w:r>
      <w:r w:rsidRPr="00014C4D">
        <w:rPr>
          <w:rtl/>
        </w:rPr>
        <w:t xml:space="preserve"> בתחום סמכויות </w:t>
      </w:r>
      <w:r w:rsidRPr="00014C4D">
        <w:rPr>
          <w:rFonts w:hint="cs"/>
          <w:rtl/>
        </w:rPr>
        <w:t>חדר המצב</w:t>
      </w:r>
      <w:r w:rsidRPr="00014C4D">
        <w:rPr>
          <w:rtl/>
        </w:rPr>
        <w:t xml:space="preserve"> </w:t>
      </w:r>
      <w:r w:rsidRPr="00014C4D">
        <w:rPr>
          <w:rFonts w:hint="cs"/>
          <w:rtl/>
        </w:rPr>
        <w:t>ודורשות הכשרה מקצועית - חדר המצב</w:t>
      </w:r>
      <w:r w:rsidRPr="00014C4D">
        <w:rPr>
          <w:rtl/>
        </w:rPr>
        <w:t xml:space="preserve"> מקדם ומארגן הכשרות </w:t>
      </w:r>
      <w:r w:rsidRPr="00014C4D">
        <w:rPr>
          <w:rFonts w:hint="cs"/>
          <w:rtl/>
        </w:rPr>
        <w:t>שנותנים</w:t>
      </w:r>
      <w:r w:rsidRPr="00014C4D">
        <w:rPr>
          <w:rtl/>
        </w:rPr>
        <w:t xml:space="preserve"> גורמים מוסמכים בתחום כגון </w:t>
      </w:r>
      <w:r w:rsidRPr="00014C4D">
        <w:rPr>
          <w:rFonts w:hint="cs"/>
          <w:rtl/>
        </w:rPr>
        <w:t>מגן דוד אדום בישראל (</w:t>
      </w:r>
      <w:r w:rsidRPr="00014C4D">
        <w:rPr>
          <w:rtl/>
        </w:rPr>
        <w:t>מד״א</w:t>
      </w:r>
      <w:r w:rsidRPr="00014C4D">
        <w:rPr>
          <w:rFonts w:hint="cs"/>
          <w:rtl/>
        </w:rPr>
        <w:t>)</w:t>
      </w:r>
      <w:r w:rsidRPr="00014C4D">
        <w:rPr>
          <w:rtl/>
        </w:rPr>
        <w:t xml:space="preserve">. הכשרות אלו נבחרו כי </w:t>
      </w:r>
      <w:r w:rsidRPr="00014C4D">
        <w:rPr>
          <w:rFonts w:hint="cs"/>
          <w:rtl/>
        </w:rPr>
        <w:t>ה</w:t>
      </w:r>
      <w:r w:rsidRPr="00014C4D">
        <w:rPr>
          <w:rtl/>
        </w:rPr>
        <w:t xml:space="preserve">צורך </w:t>
      </w:r>
      <w:r w:rsidRPr="00014C4D">
        <w:rPr>
          <w:rFonts w:hint="cs"/>
          <w:rtl/>
        </w:rPr>
        <w:t xml:space="preserve">בהן הועלה </w:t>
      </w:r>
      <w:r w:rsidRPr="00014C4D">
        <w:rPr>
          <w:rtl/>
        </w:rPr>
        <w:t xml:space="preserve">על ידי הרשויות </w:t>
      </w:r>
      <w:r w:rsidRPr="00014C4D">
        <w:rPr>
          <w:rFonts w:hint="cs"/>
          <w:rtl/>
        </w:rPr>
        <w:t xml:space="preserve">הערביות כצורך ממשי </w:t>
      </w:r>
      <w:r w:rsidRPr="00014C4D">
        <w:rPr>
          <w:rtl/>
        </w:rPr>
        <w:t>שאי</w:t>
      </w:r>
      <w:r w:rsidRPr="00014C4D">
        <w:rPr>
          <w:rFonts w:hint="cs"/>
          <w:rtl/>
        </w:rPr>
        <w:t>ן</w:t>
      </w:r>
      <w:r w:rsidRPr="00014C4D">
        <w:rPr>
          <w:rtl/>
        </w:rPr>
        <w:t xml:space="preserve"> </w:t>
      </w:r>
      <w:r w:rsidRPr="00014C4D">
        <w:rPr>
          <w:rFonts w:hint="cs"/>
          <w:rtl/>
        </w:rPr>
        <w:t xml:space="preserve">לו </w:t>
      </w:r>
      <w:r w:rsidRPr="00014C4D">
        <w:rPr>
          <w:rtl/>
        </w:rPr>
        <w:t>מענה מספק</w:t>
      </w:r>
      <w:r w:rsidRPr="00014C4D">
        <w:rPr>
          <w:rFonts w:hint="cs"/>
          <w:rtl/>
        </w:rPr>
        <w:t>,</w:t>
      </w:r>
      <w:r w:rsidRPr="00014C4D">
        <w:rPr>
          <w:rtl/>
        </w:rPr>
        <w:t xml:space="preserve"> והן אינן באות במקום ההכשרות במכללה</w:t>
      </w:r>
      <w:r w:rsidRPr="00014C4D">
        <w:rPr>
          <w:rFonts w:hint="cs"/>
          <w:rtl/>
        </w:rPr>
        <w:t xml:space="preserve"> </w:t>
      </w:r>
      <w:r w:rsidRPr="00014C4D">
        <w:rPr>
          <w:rtl/>
        </w:rPr>
        <w:t xml:space="preserve">הלאומית לאיתנות ישראלית </w:t>
      </w:r>
      <w:r w:rsidRPr="00014C4D">
        <w:rPr>
          <w:rFonts w:hint="cs"/>
          <w:rtl/>
        </w:rPr>
        <w:t xml:space="preserve">בפקע"ר </w:t>
      </w:r>
      <w:r w:rsidRPr="00014C4D">
        <w:rPr>
          <w:rtl/>
        </w:rPr>
        <w:t>או במשרד הפנים אלא כ</w:t>
      </w:r>
      <w:r w:rsidRPr="00014C4D">
        <w:rPr>
          <w:rFonts w:hint="cs"/>
          <w:rtl/>
        </w:rPr>
        <w:t>ת</w:t>
      </w:r>
      <w:r w:rsidRPr="00014C4D">
        <w:rPr>
          <w:rtl/>
        </w:rPr>
        <w:t xml:space="preserve">וספות.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לטענת </w:t>
      </w:r>
      <w:r w:rsidRPr="00014C4D">
        <w:rPr>
          <w:rtl/>
        </w:rPr>
        <w:t xml:space="preserve">ראש הרשות לפיתוח כלכלי הקמת </w:t>
      </w:r>
      <w:r w:rsidRPr="00014C4D">
        <w:rPr>
          <w:rFonts w:hint="cs"/>
          <w:rtl/>
        </w:rPr>
        <w:t>חדר המצב</w:t>
      </w:r>
      <w:r w:rsidRPr="00014C4D">
        <w:rPr>
          <w:rtl/>
        </w:rPr>
        <w:t xml:space="preserve"> והתווית דרך עבודתו נערכה בתיאום עם גורמי החירום במדינה מתחילת פעילותו</w:t>
      </w:r>
      <w:r w:rsidRPr="00014C4D">
        <w:rPr>
          <w:rFonts w:hint="cs"/>
          <w:rtl/>
        </w:rPr>
        <w:t>. ראש הרשות לפיתוח כלכלי המציא</w:t>
      </w:r>
      <w:r w:rsidRPr="00014C4D">
        <w:rPr>
          <w:rtl/>
        </w:rPr>
        <w:t xml:space="preserve"> לצוות הביקורת מכתבי הערכה שנשלחו ל</w:t>
      </w:r>
      <w:r w:rsidRPr="00014C4D">
        <w:rPr>
          <w:rFonts w:hint="cs"/>
          <w:rtl/>
        </w:rPr>
        <w:t>חדר המצב</w:t>
      </w:r>
      <w:r w:rsidRPr="00014C4D">
        <w:rPr>
          <w:rtl/>
        </w:rPr>
        <w:t>:</w:t>
      </w:r>
    </w:p>
    <w:p w:rsidR="00014C4D" w:rsidRPr="00014C4D" w:rsidRDefault="00014C4D" w:rsidP="00014C4D">
      <w:pPr>
        <w:spacing w:line="269" w:lineRule="auto"/>
        <w:ind w:left="-567"/>
        <w:rPr>
          <w:szCs w:val="20"/>
          <w:rtl/>
        </w:rPr>
      </w:pPr>
    </w:p>
    <w:p w:rsidR="00014C4D" w:rsidRPr="00014C4D" w:rsidRDefault="00014C4D" w:rsidP="00014C4D">
      <w:pPr>
        <w:numPr>
          <w:ilvl w:val="0"/>
          <w:numId w:val="36"/>
        </w:numPr>
        <w:spacing w:line="269" w:lineRule="auto"/>
        <w:contextualSpacing/>
      </w:pPr>
      <w:r w:rsidRPr="00014C4D">
        <w:rPr>
          <w:rtl/>
        </w:rPr>
        <w:t xml:space="preserve">אלוף </w:t>
      </w:r>
      <w:r w:rsidRPr="00014C4D">
        <w:rPr>
          <w:rFonts w:hint="cs"/>
          <w:rtl/>
        </w:rPr>
        <w:t>פקע"ר</w:t>
      </w:r>
      <w:r w:rsidRPr="00014C4D">
        <w:rPr>
          <w:rtl/>
        </w:rPr>
        <w:t xml:space="preserve"> ציין במכתבו מ-10.5.24 כי "ניכר כי תוך זמן קצר הצליח המוקד לגבש פלטפורמה ודרכי פעולה לגיבוש מענים לצרכי החברה הערבית בהקשר חירום". </w:t>
      </w:r>
    </w:p>
    <w:p w:rsidR="00014C4D" w:rsidRPr="00014C4D" w:rsidRDefault="00014C4D" w:rsidP="00014C4D">
      <w:pPr>
        <w:spacing w:line="269" w:lineRule="auto"/>
        <w:ind w:left="-567"/>
        <w:rPr>
          <w:szCs w:val="20"/>
          <w:rtl/>
        </w:rPr>
      </w:pPr>
    </w:p>
    <w:p w:rsidR="00014C4D" w:rsidRPr="00014C4D" w:rsidRDefault="00014C4D" w:rsidP="00014C4D">
      <w:pPr>
        <w:numPr>
          <w:ilvl w:val="0"/>
          <w:numId w:val="36"/>
        </w:numPr>
        <w:spacing w:line="269" w:lineRule="auto"/>
        <w:contextualSpacing/>
      </w:pPr>
      <w:r w:rsidRPr="00014C4D">
        <w:rPr>
          <w:rtl/>
        </w:rPr>
        <w:t>ראש</w:t>
      </w:r>
      <w:r w:rsidRPr="00014C4D">
        <w:rPr>
          <w:rFonts w:hint="cs"/>
          <w:rtl/>
        </w:rPr>
        <w:t>ת</w:t>
      </w:r>
      <w:r w:rsidRPr="00014C4D">
        <w:rPr>
          <w:rtl/>
        </w:rPr>
        <w:t xml:space="preserve"> ענף הסברה ב</w:t>
      </w:r>
      <w:r w:rsidRPr="00014C4D">
        <w:rPr>
          <w:rFonts w:hint="cs"/>
          <w:rtl/>
        </w:rPr>
        <w:t>פקע"ר</w:t>
      </w:r>
      <w:r w:rsidRPr="00014C4D">
        <w:rPr>
          <w:rtl/>
        </w:rPr>
        <w:t xml:space="preserve"> </w:t>
      </w:r>
      <w:r w:rsidRPr="00014C4D">
        <w:rPr>
          <w:rFonts w:hint="cs"/>
          <w:rtl/>
        </w:rPr>
        <w:t xml:space="preserve">ציינה במכתבה </w:t>
      </w:r>
      <w:r w:rsidRPr="00014C4D">
        <w:rPr>
          <w:rtl/>
        </w:rPr>
        <w:t xml:space="preserve">ממאי 2024 כי </w:t>
      </w:r>
      <w:r w:rsidRPr="00014C4D">
        <w:rPr>
          <w:rFonts w:hint="cs"/>
          <w:rtl/>
        </w:rPr>
        <w:t>פקע"ר</w:t>
      </w:r>
      <w:r w:rsidRPr="00014C4D">
        <w:rPr>
          <w:rtl/>
        </w:rPr>
        <w:t xml:space="preserve"> מבקש להביע הערכה לשיתוף הפעולה הטוב והחשוב שנרקם </w:t>
      </w:r>
      <w:r w:rsidRPr="00014C4D">
        <w:rPr>
          <w:rFonts w:hint="cs"/>
          <w:rtl/>
        </w:rPr>
        <w:t>עם</w:t>
      </w:r>
      <w:r w:rsidRPr="00014C4D">
        <w:rPr>
          <w:rtl/>
        </w:rPr>
        <w:t xml:space="preserve"> הרשויות המקומיות הערביות משלביה הראשונים של המערכה, כתוצאה מעבודתו הקשה והחשובה של המוקד. שיתוף פעולה זה א</w:t>
      </w:r>
      <w:r w:rsidRPr="00014C4D">
        <w:rPr>
          <w:rFonts w:hint="cs"/>
          <w:rtl/>
        </w:rPr>
        <w:t>י</w:t>
      </w:r>
      <w:r w:rsidRPr="00014C4D">
        <w:rPr>
          <w:rtl/>
        </w:rPr>
        <w:t>פשר למוקד לגבש פלטפורמה ודרכי פעולה לגיבוש מענים לצ</w:t>
      </w:r>
      <w:r w:rsidRPr="00014C4D">
        <w:rPr>
          <w:rFonts w:hint="cs"/>
          <w:rtl/>
        </w:rPr>
        <w:t>ו</w:t>
      </w:r>
      <w:r w:rsidRPr="00014C4D">
        <w:rPr>
          <w:rtl/>
        </w:rPr>
        <w:t>רכי החברה הערבית בהקשרי חירום.</w:t>
      </w:r>
    </w:p>
    <w:p w:rsidR="00014C4D" w:rsidRPr="00014C4D" w:rsidRDefault="00014C4D" w:rsidP="00014C4D">
      <w:pPr>
        <w:spacing w:line="269" w:lineRule="auto"/>
        <w:ind w:left="-567"/>
        <w:rPr>
          <w:szCs w:val="20"/>
          <w:rtl/>
        </w:rPr>
      </w:pPr>
    </w:p>
    <w:p w:rsidR="00014C4D" w:rsidRPr="00014C4D" w:rsidRDefault="00014C4D" w:rsidP="00014C4D">
      <w:pPr>
        <w:numPr>
          <w:ilvl w:val="0"/>
          <w:numId w:val="36"/>
        </w:numPr>
        <w:spacing w:line="269" w:lineRule="auto"/>
        <w:contextualSpacing/>
      </w:pPr>
      <w:r w:rsidRPr="00014C4D">
        <w:rPr>
          <w:rtl/>
        </w:rPr>
        <w:t xml:space="preserve">סגן ראש אגף סי"ף במשטרה כתב במאי 2024 כי הוא מביע </w:t>
      </w:r>
      <w:r w:rsidRPr="00014C4D">
        <w:rPr>
          <w:rFonts w:hint="cs"/>
          <w:rtl/>
        </w:rPr>
        <w:t xml:space="preserve">את </w:t>
      </w:r>
      <w:r w:rsidRPr="00014C4D">
        <w:rPr>
          <w:rtl/>
        </w:rPr>
        <w:t xml:space="preserve">הערכתו לפעילות </w:t>
      </w:r>
      <w:r w:rsidRPr="00014C4D">
        <w:rPr>
          <w:rFonts w:hint="cs"/>
          <w:rtl/>
        </w:rPr>
        <w:t>חדר המצב,</w:t>
      </w:r>
      <w:r w:rsidRPr="00014C4D">
        <w:rPr>
          <w:rtl/>
        </w:rPr>
        <w:t xml:space="preserve"> וכי האגף העביר מסרים לחברה הערבית באמצעות </w:t>
      </w:r>
      <w:r w:rsidRPr="00014C4D">
        <w:rPr>
          <w:rFonts w:hint="cs"/>
          <w:rtl/>
        </w:rPr>
        <w:t>חדר המצב</w:t>
      </w:r>
      <w:r w:rsidRPr="00014C4D">
        <w:rPr>
          <w:rtl/>
        </w:rPr>
        <w:t>, ומצד שני המוקד הזין את האגף הן ב</w:t>
      </w:r>
      <w:r w:rsidRPr="00014C4D">
        <w:rPr>
          <w:rFonts w:hint="cs"/>
          <w:rtl/>
        </w:rPr>
        <w:t>נוגע ל</w:t>
      </w:r>
      <w:r w:rsidRPr="00014C4D">
        <w:rPr>
          <w:rtl/>
        </w:rPr>
        <w:t>אירועים והן ב</w:t>
      </w:r>
      <w:r w:rsidRPr="00014C4D">
        <w:rPr>
          <w:rFonts w:hint="cs"/>
          <w:rtl/>
        </w:rPr>
        <w:t>נוגע ל</w:t>
      </w:r>
      <w:r w:rsidRPr="00014C4D">
        <w:rPr>
          <w:rtl/>
        </w:rPr>
        <w:t>הלכי הרוח של החברה הערבית בעקבות אותם אירועים.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משטרת ישראל מסרה </w:t>
      </w:r>
      <w:r w:rsidRPr="00014C4D">
        <w:rPr>
          <w:rFonts w:hint="cs"/>
          <w:rtl/>
        </w:rPr>
        <w:t xml:space="preserve">בתשובתה למשרד מבקר המדינה ביוני 2025 </w:t>
      </w:r>
      <w:r w:rsidRPr="00014C4D">
        <w:rPr>
          <w:rtl/>
        </w:rPr>
        <w:t xml:space="preserve">כי עם פרוץ המלחמה בשבעה באוקטובר 2023 נדרש מענה מהיר, ממוקד ומתכלל לצרכים הייחודיים של החברה הערבית, </w:t>
      </w:r>
      <w:r w:rsidRPr="00014C4D">
        <w:rPr>
          <w:rFonts w:hint="cs"/>
          <w:rtl/>
        </w:rPr>
        <w:t xml:space="preserve">מסיבות </w:t>
      </w:r>
      <w:r w:rsidRPr="00014C4D">
        <w:rPr>
          <w:rFonts w:hint="cs"/>
          <w:rtl/>
        </w:rPr>
        <w:lastRenderedPageBreak/>
        <w:t>הנוגעות ל</w:t>
      </w:r>
      <w:r w:rsidRPr="00014C4D">
        <w:rPr>
          <w:rtl/>
        </w:rPr>
        <w:t xml:space="preserve">פערי שפה, חשדנות מוסדית, נגישות מידע ואתגרי </w:t>
      </w:r>
      <w:r w:rsidRPr="00014C4D">
        <w:rPr>
          <w:rFonts w:hint="cs"/>
          <w:rtl/>
        </w:rPr>
        <w:t>ביטחון הפנים</w:t>
      </w:r>
      <w:r w:rsidRPr="00014C4D">
        <w:rPr>
          <w:rtl/>
        </w:rPr>
        <w:t>.</w:t>
      </w:r>
      <w:r w:rsidRPr="00014C4D">
        <w:rPr>
          <w:rFonts w:hint="cs"/>
          <w:rtl/>
        </w:rPr>
        <w:t xml:space="preserve"> חדר המצב</w:t>
      </w:r>
      <w:r w:rsidRPr="00014C4D">
        <w:rPr>
          <w:rtl/>
        </w:rPr>
        <w:t xml:space="preserve"> היה יוזמה מתאימה לאותה עת</w:t>
      </w:r>
      <w:r w:rsidRPr="00014C4D">
        <w:rPr>
          <w:rFonts w:hint="cs"/>
          <w:rtl/>
        </w:rPr>
        <w:t xml:space="preserve"> </w:t>
      </w:r>
      <w:r w:rsidRPr="00014C4D">
        <w:rPr>
          <w:rtl/>
        </w:rPr>
        <w:t>שסייע</w:t>
      </w:r>
      <w:r w:rsidRPr="00014C4D">
        <w:rPr>
          <w:rFonts w:hint="cs"/>
          <w:rtl/>
        </w:rPr>
        <w:t>ה</w:t>
      </w:r>
      <w:r w:rsidRPr="00014C4D">
        <w:rPr>
          <w:rtl/>
        </w:rPr>
        <w:t xml:space="preserve"> לגשר בין המדינה לאזרח הערבי</w:t>
      </w:r>
      <w:r w:rsidRPr="00014C4D">
        <w:rPr>
          <w:rFonts w:hint="cs"/>
          <w:rtl/>
        </w:rPr>
        <w:t xml:space="preserve">, אם כי הוא </w:t>
      </w:r>
      <w:r w:rsidRPr="00014C4D">
        <w:rPr>
          <w:rtl/>
        </w:rPr>
        <w:t xml:space="preserve">נתן מענה חלקי. </w:t>
      </w:r>
      <w:r w:rsidRPr="00014C4D">
        <w:rPr>
          <w:rFonts w:hint="cs"/>
          <w:rtl/>
        </w:rPr>
        <w:t xml:space="preserve">המשטרה ציינה </w:t>
      </w:r>
      <w:r w:rsidRPr="00014C4D">
        <w:rPr>
          <w:rtl/>
        </w:rPr>
        <w:t xml:space="preserve">כי </w:t>
      </w:r>
      <w:r w:rsidRPr="00014C4D">
        <w:rPr>
          <w:rFonts w:hint="cs"/>
          <w:rtl/>
        </w:rPr>
        <w:t>המוקד אינו רלוונטי עוד מאחר ש</w:t>
      </w:r>
      <w:r w:rsidRPr="00014C4D">
        <w:rPr>
          <w:rtl/>
        </w:rPr>
        <w:t xml:space="preserve">בשנה האחרונה הוקם </w:t>
      </w:r>
      <w:r w:rsidRPr="00014C4D">
        <w:rPr>
          <w:rFonts w:hint="cs"/>
          <w:rtl/>
        </w:rPr>
        <w:t xml:space="preserve">במשטרה </w:t>
      </w:r>
      <w:r w:rsidRPr="00014C4D">
        <w:rPr>
          <w:rtl/>
        </w:rPr>
        <w:t xml:space="preserve">אגף קהילה ומשטרה, שבמסגרתו פועלת חטיבה ייעודית לחברה הערבית, האמונה על יצירת קשרים </w:t>
      </w:r>
      <w:r w:rsidRPr="00014C4D">
        <w:rPr>
          <w:rFonts w:hint="cs"/>
          <w:rtl/>
        </w:rPr>
        <w:t>עם החברה הערבית והוצאה לפועל של תוכניות קהילתיות. ה</w:t>
      </w:r>
      <w:r w:rsidRPr="00014C4D">
        <w:rPr>
          <w:rtl/>
        </w:rPr>
        <w:t xml:space="preserve">אגף </w:t>
      </w:r>
      <w:r w:rsidRPr="00014C4D">
        <w:rPr>
          <w:rFonts w:hint="cs"/>
          <w:rtl/>
        </w:rPr>
        <w:t>יוצר תיאום</w:t>
      </w:r>
      <w:r w:rsidRPr="00014C4D">
        <w:rPr>
          <w:rtl/>
        </w:rPr>
        <w:t xml:space="preserve"> בין כלל משרדי הממשלה ונותן מענה אפקטיבי בכלל הנושאים </w:t>
      </w:r>
      <w:r w:rsidRPr="00014C4D">
        <w:rPr>
          <w:rFonts w:hint="cs"/>
          <w:rtl/>
        </w:rPr>
        <w:t>הרלוונטיים</w:t>
      </w:r>
      <w:r w:rsidRPr="00014C4D">
        <w:rPr>
          <w:rtl/>
        </w:rPr>
        <w:t>. נוסף</w:t>
      </w:r>
      <w:r w:rsidRPr="00014C4D">
        <w:rPr>
          <w:rFonts w:hint="cs"/>
          <w:rtl/>
        </w:rPr>
        <w:t xml:space="preserve"> על כך</w:t>
      </w:r>
      <w:r w:rsidRPr="00014C4D">
        <w:rPr>
          <w:rtl/>
        </w:rPr>
        <w:t xml:space="preserve">, אם </w:t>
      </w:r>
      <w:r w:rsidRPr="00014C4D">
        <w:rPr>
          <w:rFonts w:hint="cs"/>
          <w:rtl/>
        </w:rPr>
        <w:t xml:space="preserve">יוכרז </w:t>
      </w:r>
      <w:r w:rsidRPr="00014C4D">
        <w:rPr>
          <w:rtl/>
        </w:rPr>
        <w:t>מצב חירום לאומי, כפי שקרה ב-7 באוקטובר, יוקם בחטיבה</w:t>
      </w:r>
      <w:r w:rsidRPr="00014C4D">
        <w:rPr>
          <w:rFonts w:hint="cs"/>
          <w:rtl/>
        </w:rPr>
        <w:t xml:space="preserve"> האמורה</w:t>
      </w:r>
      <w:r w:rsidRPr="00014C4D">
        <w:rPr>
          <w:rtl/>
        </w:rPr>
        <w:t xml:space="preserve"> </w:t>
      </w:r>
      <w:r w:rsidRPr="00014C4D">
        <w:rPr>
          <w:rFonts w:hint="cs"/>
          <w:rtl/>
        </w:rPr>
        <w:t xml:space="preserve">חדר מלחמה </w:t>
      </w:r>
      <w:r w:rsidRPr="00014C4D">
        <w:rPr>
          <w:rtl/>
        </w:rPr>
        <w:t>לתכנון הפעולות מול החברה הערבית.</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פערים במוכנות החברה הערבית לשעת חירום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ממיפוי שערך </w:t>
      </w:r>
      <w:r w:rsidRPr="00014C4D">
        <w:rPr>
          <w:rFonts w:hint="cs"/>
          <w:rtl/>
        </w:rPr>
        <w:t>חדר המצב</w:t>
      </w:r>
      <w:r w:rsidRPr="00014C4D">
        <w:rPr>
          <w:rtl/>
        </w:rPr>
        <w:t xml:space="preserve"> </w:t>
      </w:r>
      <w:r w:rsidRPr="00014C4D">
        <w:rPr>
          <w:rFonts w:hint="cs"/>
          <w:rtl/>
        </w:rPr>
        <w:t>עולה כ</w:t>
      </w:r>
      <w:r w:rsidRPr="00014C4D">
        <w:rPr>
          <w:rtl/>
        </w:rPr>
        <w:t>י ב</w:t>
      </w:r>
      <w:r w:rsidRPr="00014C4D">
        <w:rPr>
          <w:rFonts w:hint="cs"/>
          <w:rtl/>
        </w:rPr>
        <w:t>-</w:t>
      </w:r>
      <w:r w:rsidRPr="00014C4D">
        <w:rPr>
          <w:rtl/>
        </w:rPr>
        <w:t>72% מהרשויות הערביות יש מחסור בציוד עזרה ראשונה, ובכמחצית</w:t>
      </w:r>
      <w:r w:rsidRPr="00014C4D">
        <w:rPr>
          <w:rFonts w:hint="cs"/>
          <w:rtl/>
        </w:rPr>
        <w:t xml:space="preserve"> </w:t>
      </w:r>
      <w:r w:rsidRPr="00014C4D">
        <w:rPr>
          <w:rtl/>
        </w:rPr>
        <w:t xml:space="preserve">מהרשויות </w:t>
      </w:r>
      <w:r w:rsidRPr="00014C4D">
        <w:rPr>
          <w:rFonts w:hint="cs"/>
          <w:rtl/>
        </w:rPr>
        <w:t>אין</w:t>
      </w:r>
      <w:r w:rsidRPr="00014C4D">
        <w:rPr>
          <w:rtl/>
        </w:rPr>
        <w:t xml:space="preserve"> חובשים ופרמדיקים. נוסף</w:t>
      </w:r>
      <w:r w:rsidRPr="00014C4D">
        <w:rPr>
          <w:rFonts w:hint="cs"/>
          <w:rtl/>
        </w:rPr>
        <w:t xml:space="preserve"> על כך</w:t>
      </w:r>
      <w:r w:rsidRPr="00014C4D">
        <w:rPr>
          <w:rtl/>
        </w:rPr>
        <w:t xml:space="preserve">, לפחות </w:t>
      </w:r>
      <w:r w:rsidRPr="00014C4D">
        <w:rPr>
          <w:rFonts w:hint="cs"/>
          <w:rtl/>
        </w:rPr>
        <w:t>ב-</w:t>
      </w:r>
      <w:r w:rsidRPr="00014C4D">
        <w:rPr>
          <w:rtl/>
        </w:rPr>
        <w:t xml:space="preserve">70% מהרשויות </w:t>
      </w:r>
      <w:r w:rsidRPr="00014C4D">
        <w:rPr>
          <w:rFonts w:hint="cs"/>
          <w:rtl/>
        </w:rPr>
        <w:t>אין</w:t>
      </w:r>
      <w:r w:rsidRPr="00014C4D">
        <w:rPr>
          <w:rtl/>
        </w:rPr>
        <w:t xml:space="preserve"> כלי רכב</w:t>
      </w:r>
      <w:r w:rsidRPr="00014C4D">
        <w:rPr>
          <w:rFonts w:hint="cs"/>
          <w:rtl/>
        </w:rPr>
        <w:t xml:space="preserve"> </w:t>
      </w:r>
      <w:r w:rsidRPr="00014C4D">
        <w:rPr>
          <w:rtl/>
        </w:rPr>
        <w:t>תפעוליים לשעת חירום, כגון מנופים, רכבי ביטחון ורכבי גרר, ולשליש מהרשויות אין גנרטורים</w:t>
      </w:r>
      <w:r w:rsidRPr="00014C4D">
        <w:rPr>
          <w:rFonts w:hint="cs"/>
          <w:rtl/>
        </w:rPr>
        <w:t xml:space="preserve"> </w:t>
      </w:r>
      <w:r w:rsidRPr="00014C4D">
        <w:rPr>
          <w:rtl/>
        </w:rPr>
        <w:t>זמינים לשעת חירום</w:t>
      </w:r>
      <w:r w:rsidRPr="00014C4D">
        <w:rPr>
          <w:vertAlign w:val="superscript"/>
          <w:rtl/>
        </w:rPr>
        <w:footnoteReference w:id="148"/>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בנושא ה</w:t>
      </w:r>
      <w:r w:rsidRPr="00014C4D">
        <w:rPr>
          <w:rtl/>
        </w:rPr>
        <w:t>תעסוקה</w:t>
      </w:r>
      <w:r w:rsidRPr="00014C4D">
        <w:rPr>
          <w:rFonts w:hint="cs"/>
          <w:rtl/>
        </w:rPr>
        <w:t>,</w:t>
      </w:r>
      <w:r w:rsidRPr="00014C4D">
        <w:rPr>
          <w:rtl/>
        </w:rPr>
        <w:t xml:space="preserve"> דוח של בנק ישראל שפורסם כחודשיים לאחר פרוץ המלחמה מצא כי כ</w:t>
      </w:r>
      <w:r w:rsidRPr="00014C4D">
        <w:rPr>
          <w:rFonts w:hint="cs"/>
          <w:rtl/>
        </w:rPr>
        <w:t>-</w:t>
      </w:r>
      <w:r w:rsidRPr="00014C4D">
        <w:rPr>
          <w:rtl/>
        </w:rPr>
        <w:t>33%</w:t>
      </w:r>
      <w:r w:rsidRPr="00014C4D">
        <w:rPr>
          <w:rFonts w:hint="cs"/>
          <w:rtl/>
        </w:rPr>
        <w:t xml:space="preserve"> </w:t>
      </w:r>
      <w:r w:rsidRPr="00014C4D">
        <w:rPr>
          <w:rtl/>
        </w:rPr>
        <w:t>מהעובדים הערבים נמצאים בסיכון גבוה לפגיעה בתעסוקה, לעומת 14% מהעובדים היהודים.</w:t>
      </w:r>
      <w:r w:rsidRPr="00014C4D">
        <w:rPr>
          <w:rFonts w:hint="cs"/>
          <w:rtl/>
        </w:rPr>
        <w:t xml:space="preserve"> </w:t>
      </w:r>
      <w:r w:rsidRPr="00014C4D">
        <w:rPr>
          <w:rtl/>
        </w:rPr>
        <w:t xml:space="preserve">זאת </w:t>
      </w:r>
      <w:r w:rsidRPr="00014C4D">
        <w:rPr>
          <w:rFonts w:hint="cs"/>
          <w:rtl/>
        </w:rPr>
        <w:t>בשל</w:t>
      </w:r>
      <w:r w:rsidRPr="00014C4D">
        <w:rPr>
          <w:rtl/>
        </w:rPr>
        <w:t xml:space="preserve"> ריכוזם בענפי תעסוקה המושפעים מ</w:t>
      </w:r>
      <w:r w:rsidRPr="00014C4D">
        <w:rPr>
          <w:rFonts w:hint="cs"/>
          <w:rtl/>
        </w:rPr>
        <w:t>שלושה</w:t>
      </w:r>
      <w:r w:rsidRPr="00014C4D">
        <w:rPr>
          <w:rtl/>
        </w:rPr>
        <w:t xml:space="preserve"> גורמי סיכון עיקריים אשר השפעתם ניכרת בעת</w:t>
      </w:r>
      <w:r w:rsidRPr="00014C4D">
        <w:rPr>
          <w:rFonts w:hint="cs"/>
          <w:rtl/>
        </w:rPr>
        <w:t xml:space="preserve"> </w:t>
      </w:r>
      <w:r w:rsidRPr="00014C4D">
        <w:rPr>
          <w:rtl/>
        </w:rPr>
        <w:t>משבר</w:t>
      </w:r>
      <w:r w:rsidRPr="00014C4D">
        <w:rPr>
          <w:rFonts w:hint="cs"/>
          <w:rtl/>
        </w:rPr>
        <w:t xml:space="preserve">: </w:t>
      </w:r>
      <w:r w:rsidRPr="00014C4D">
        <w:rPr>
          <w:rtl/>
        </w:rPr>
        <w:t>ירידה בביקוש למוצרים לא</w:t>
      </w:r>
      <w:r w:rsidRPr="00014C4D">
        <w:rPr>
          <w:rFonts w:hint="cs"/>
          <w:rtl/>
        </w:rPr>
        <w:t>-</w:t>
      </w:r>
      <w:r w:rsidRPr="00014C4D">
        <w:rPr>
          <w:rtl/>
        </w:rPr>
        <w:t>חיוניים, כגון תיירות, חינוך ומסעדנות</w:t>
      </w:r>
      <w:r w:rsidRPr="00014C4D">
        <w:rPr>
          <w:rFonts w:hint="cs"/>
          <w:rtl/>
        </w:rPr>
        <w:t xml:space="preserve">; </w:t>
      </w:r>
      <w:r w:rsidRPr="00014C4D">
        <w:rPr>
          <w:rtl/>
        </w:rPr>
        <w:t>ירידה בפעילות ענפים עקב מחסור בעובדים, כגון ענף הבני</w:t>
      </w:r>
      <w:r w:rsidRPr="00014C4D">
        <w:rPr>
          <w:rFonts w:hint="cs"/>
          <w:rtl/>
        </w:rPr>
        <w:t>י</w:t>
      </w:r>
      <w:r w:rsidRPr="00014C4D">
        <w:rPr>
          <w:rtl/>
        </w:rPr>
        <w:t>ה</w:t>
      </w:r>
      <w:r w:rsidRPr="00014C4D">
        <w:rPr>
          <w:rFonts w:hint="cs"/>
          <w:rtl/>
        </w:rPr>
        <w:t xml:space="preserve">; </w:t>
      </w:r>
      <w:r w:rsidRPr="00014C4D">
        <w:rPr>
          <w:rtl/>
        </w:rPr>
        <w:t>ירידה אפשרית באינטראקציה בשוק העבודה בין יהודים לערבים, כתוצאה מתחושות גוברות של פחד בקרב שתי הקבוצות, הימנעות של עובדים ערבים</w:t>
      </w:r>
      <w:r w:rsidRPr="00014C4D">
        <w:rPr>
          <w:rFonts w:hint="cs"/>
          <w:rtl/>
        </w:rPr>
        <w:t xml:space="preserve"> </w:t>
      </w:r>
      <w:r w:rsidRPr="00014C4D">
        <w:rPr>
          <w:rtl/>
        </w:rPr>
        <w:t>מהגעה למקומות העבודה והימנעות של מעסיקים יהודים מהשבה של</w:t>
      </w:r>
      <w:r w:rsidRPr="00014C4D">
        <w:rPr>
          <w:rFonts w:hint="cs"/>
          <w:rtl/>
        </w:rPr>
        <w:t xml:space="preserve"> </w:t>
      </w:r>
      <w:r w:rsidRPr="00014C4D">
        <w:rPr>
          <w:rtl/>
        </w:rPr>
        <w:t>עובדים ערבים לעבודה.</w:t>
      </w:r>
      <w:r w:rsidRPr="00014C4D">
        <w:rPr>
          <w:rFonts w:hint="cs"/>
          <w:rtl/>
        </w:rPr>
        <w:t xml:space="preserve"> </w:t>
      </w:r>
      <w:r w:rsidRPr="00014C4D">
        <w:rPr>
          <w:rtl/>
        </w:rPr>
        <w:t xml:space="preserve">עדות להתממשות של סיכון זה </w:t>
      </w:r>
      <w:r w:rsidRPr="00014C4D">
        <w:rPr>
          <w:rFonts w:hint="cs"/>
          <w:rtl/>
        </w:rPr>
        <w:t>עלתה</w:t>
      </w:r>
      <w:r w:rsidRPr="00014C4D">
        <w:rPr>
          <w:rtl/>
        </w:rPr>
        <w:t xml:space="preserve"> בשבועות הראשונים לאחר 7.10.23</w:t>
      </w:r>
      <w:r w:rsidRPr="00014C4D">
        <w:rPr>
          <w:rFonts w:hint="cs"/>
          <w:rtl/>
        </w:rPr>
        <w:t xml:space="preserve">, </w:t>
      </w:r>
      <w:r w:rsidRPr="00014C4D">
        <w:rPr>
          <w:rtl/>
        </w:rPr>
        <w:t>כאשר שיעור</w:t>
      </w:r>
      <w:r w:rsidRPr="00014C4D">
        <w:rPr>
          <w:rFonts w:hint="cs"/>
          <w:rtl/>
        </w:rPr>
        <w:t xml:space="preserve"> </w:t>
      </w:r>
      <w:r w:rsidRPr="00014C4D">
        <w:rPr>
          <w:rtl/>
        </w:rPr>
        <w:t>האבטלה בחברה הערבית זינק ב</w:t>
      </w:r>
      <w:r w:rsidRPr="00014C4D">
        <w:rPr>
          <w:rFonts w:hint="cs"/>
          <w:rtl/>
        </w:rPr>
        <w:t>-</w:t>
      </w:r>
      <w:r w:rsidRPr="00014C4D">
        <w:rPr>
          <w:rtl/>
        </w:rPr>
        <w:t>10.3%</w:t>
      </w:r>
      <w:r w:rsidRPr="00014C4D">
        <w:rPr>
          <w:rFonts w:hint="cs"/>
          <w:rtl/>
        </w:rPr>
        <w:t>,</w:t>
      </w:r>
      <w:r w:rsidRPr="00014C4D">
        <w:rPr>
          <w:rtl/>
        </w:rPr>
        <w:t xml:space="preserve"> לעומת </w:t>
      </w:r>
      <w:r w:rsidRPr="00014C4D">
        <w:rPr>
          <w:rFonts w:hint="cs"/>
          <w:rtl/>
        </w:rPr>
        <w:t>גידול של 5.6% בלבד בחברה</w:t>
      </w:r>
      <w:r w:rsidRPr="00014C4D">
        <w:rPr>
          <w:rtl/>
        </w:rPr>
        <w:t xml:space="preserve"> </w:t>
      </w:r>
      <w:r w:rsidRPr="00014C4D">
        <w:rPr>
          <w:rFonts w:hint="cs"/>
          <w:rtl/>
        </w:rPr>
        <w:t>ה</w:t>
      </w:r>
      <w:r w:rsidRPr="00014C4D">
        <w:rPr>
          <w:rtl/>
        </w:rPr>
        <w:t>יהודי</w:t>
      </w:r>
      <w:r w:rsidRPr="00014C4D">
        <w:rPr>
          <w:rFonts w:hint="cs"/>
          <w:rtl/>
        </w:rPr>
        <w:t>ת</w:t>
      </w:r>
      <w:r w:rsidRPr="00014C4D">
        <w:rPr>
          <w:vertAlign w:val="superscript"/>
          <w:rtl/>
        </w:rPr>
        <w:footnoteReference w:id="149"/>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מחקר אקדמי שבדק את מצבם הנפשי של יהודים וערבים אזרחי ישראל לפני</w:t>
      </w:r>
      <w:r w:rsidRPr="00014C4D">
        <w:rPr>
          <w:rFonts w:hint="cs"/>
          <w:rtl/>
        </w:rPr>
        <w:t xml:space="preserve"> </w:t>
      </w:r>
      <w:r w:rsidRPr="00014C4D">
        <w:rPr>
          <w:rtl/>
        </w:rPr>
        <w:t xml:space="preserve">פרוץ המלחמה </w:t>
      </w:r>
      <w:r w:rsidRPr="00014C4D">
        <w:rPr>
          <w:rFonts w:hint="cs"/>
          <w:rtl/>
        </w:rPr>
        <w:t xml:space="preserve">ובמהלכה </w:t>
      </w:r>
      <w:r w:rsidRPr="00014C4D">
        <w:rPr>
          <w:rtl/>
        </w:rPr>
        <w:t>מצא שבעקבות המלחמה ערבים סובלים יותר מיהודים מתסמונת פוסט</w:t>
      </w:r>
      <w:r w:rsidRPr="00014C4D">
        <w:rPr>
          <w:rFonts w:hint="cs"/>
          <w:rtl/>
        </w:rPr>
        <w:t>-</w:t>
      </w:r>
      <w:r w:rsidRPr="00014C4D">
        <w:rPr>
          <w:rtl/>
        </w:rPr>
        <w:t>טראומטית, מדיכאון ומחרדה. המחקר מצביע על החשיבות של כשירות תרבותית בתהליכי האבחון</w:t>
      </w:r>
      <w:r w:rsidRPr="00014C4D">
        <w:rPr>
          <w:rFonts w:hint="cs"/>
          <w:rtl/>
        </w:rPr>
        <w:t xml:space="preserve"> </w:t>
      </w:r>
      <w:r w:rsidRPr="00014C4D">
        <w:rPr>
          <w:rtl/>
        </w:rPr>
        <w:t>והטיפול כדי למנוע התפתחות פתולוגיות כרוניות</w:t>
      </w:r>
      <w:r w:rsidRPr="00014C4D">
        <w:rPr>
          <w:vertAlign w:val="superscript"/>
          <w:rtl/>
        </w:rPr>
        <w:footnoteReference w:id="150"/>
      </w:r>
      <w:r w:rsidRPr="00014C4D">
        <w:rPr>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כאמור, אחת ממשימות המוקד הייתה </w:t>
      </w:r>
      <w:r w:rsidRPr="00014C4D">
        <w:rPr>
          <w:rtl/>
        </w:rPr>
        <w:t xml:space="preserve">לאסוף מהרשויות ומארגוני החברה האזרחית נתונים </w:t>
      </w:r>
      <w:r w:rsidRPr="00014C4D">
        <w:rPr>
          <w:rFonts w:hint="cs"/>
          <w:rtl/>
        </w:rPr>
        <w:t>על הצרכים והאתגרים של ה</w:t>
      </w:r>
      <w:r w:rsidRPr="00014C4D">
        <w:rPr>
          <w:rtl/>
        </w:rPr>
        <w:t xml:space="preserve">חברה הערבית בתקופת החירום </w:t>
      </w:r>
      <w:r w:rsidRPr="00014C4D">
        <w:rPr>
          <w:rFonts w:hint="cs"/>
          <w:rtl/>
        </w:rPr>
        <w:t>ולהציג את</w:t>
      </w:r>
      <w:r w:rsidRPr="00014C4D">
        <w:rPr>
          <w:rtl/>
        </w:rPr>
        <w:t xml:space="preserve"> </w:t>
      </w:r>
      <w:r w:rsidRPr="00014C4D">
        <w:rPr>
          <w:rFonts w:hint="cs"/>
          <w:rtl/>
        </w:rPr>
        <w:t>ה</w:t>
      </w:r>
      <w:r w:rsidRPr="00014C4D">
        <w:rPr>
          <w:rtl/>
        </w:rPr>
        <w:t xml:space="preserve">פערים </w:t>
      </w:r>
      <w:r w:rsidRPr="00014C4D">
        <w:rPr>
          <w:rFonts w:hint="cs"/>
          <w:rtl/>
        </w:rPr>
        <w:t>בפני ה</w:t>
      </w:r>
      <w:r w:rsidRPr="00014C4D">
        <w:rPr>
          <w:rtl/>
        </w:rPr>
        <w:t>גורמים הממשלתיים</w:t>
      </w:r>
      <w:r w:rsidRPr="00014C4D">
        <w:rPr>
          <w:rFonts w:hint="cs"/>
          <w:rtl/>
        </w:rPr>
        <w:t>. במסגרת פעילות המוקד, נבדקו גם הפערים בתחום המיגון בחברה הערבית - נושא בו עוסק דוח זה</w:t>
      </w:r>
      <w:r w:rsidRPr="00014C4D">
        <w:rPr>
          <w:rtl/>
        </w:rPr>
        <w:t>.</w:t>
      </w:r>
      <w:r w:rsidRPr="00014C4D">
        <w:rPr>
          <w:rFonts w:hint="cs"/>
          <w:rtl/>
        </w:rPr>
        <w:t xml:space="preserve"> להלן פירוט הנתונים:</w:t>
      </w:r>
    </w:p>
    <w:p w:rsidR="00014C4D" w:rsidRPr="00014C4D" w:rsidRDefault="00014C4D" w:rsidP="00014C4D">
      <w:pPr>
        <w:spacing w:line="269" w:lineRule="auto"/>
        <w:rPr>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lastRenderedPageBreak/>
        <w:t>פערים בתחום ה</w:t>
      </w:r>
      <w:r w:rsidRPr="00014C4D">
        <w:rPr>
          <w:rFonts w:eastAsiaTheme="majorEastAsia"/>
          <w:bCs/>
          <w:szCs w:val="26"/>
          <w:rtl/>
        </w:rPr>
        <w:t>מיגון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במרץ 2024 הכינה חברת מחקר (להלן - החברה) עבור הרשות לפיתוח כלכלי נייר עבודה בנושא "צמצום פערי מיגון ביישובי החברה הערבית בצפון - נתונים ומתודולוגיה לתוכנית עבודה". מטרת המסמך הייתה ליצור "שפה משותפת" שתאפשר אומדן של פערי המיגון ולהציע נוסחה לפריסה של מיגוניות שתביא לצמצום פערים אלה.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במרץ 2024 פורסם כי </w:t>
      </w:r>
      <w:r w:rsidRPr="00014C4D">
        <w:rPr>
          <w:rFonts w:hint="eastAsia"/>
          <w:rtl/>
        </w:rPr>
        <w:t>פקע</w:t>
      </w:r>
      <w:r w:rsidRPr="00014C4D">
        <w:rPr>
          <w:rtl/>
        </w:rPr>
        <w:t>"ר</w:t>
      </w:r>
      <w:r w:rsidRPr="00014C4D">
        <w:rPr>
          <w:rFonts w:hint="cs"/>
          <w:rtl/>
        </w:rPr>
        <w:t xml:space="preserve"> פיתח דגם חדש של מיגוניות ("ארבל") המיועד לפריסה מהירה ביישובים המאוימים על ידי ירי טילים. לפי עמדת החברה יש למנף מהלך זה לצמצום פערי המיגון הקיימים בין יישובי הצפון.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בתשובתו הדגיש פקע"ר כי מיגונית</w:t>
      </w:r>
      <w:r w:rsidRPr="00014C4D">
        <w:rPr>
          <w:rtl/>
        </w:rPr>
        <w:t xml:space="preserve"> ארבל אינה </w:t>
      </w:r>
      <w:r w:rsidRPr="00014C4D">
        <w:rPr>
          <w:rFonts w:hint="cs"/>
          <w:rtl/>
        </w:rPr>
        <w:t>בגדר</w:t>
      </w:r>
      <w:r w:rsidRPr="00014C4D">
        <w:rPr>
          <w:rtl/>
        </w:rPr>
        <w:t xml:space="preserve"> מיגון תקני העומד בדרישות חוק הג״א</w:t>
      </w:r>
      <w:r w:rsidRPr="00014C4D">
        <w:rPr>
          <w:rFonts w:hint="cs"/>
          <w:rtl/>
        </w:rPr>
        <w:t xml:space="preserve"> </w:t>
      </w:r>
      <w:r w:rsidRPr="00014C4D">
        <w:rPr>
          <w:rtl/>
        </w:rPr>
        <w:t>ותקנותיו</w:t>
      </w:r>
      <w:r w:rsidRPr="00014C4D">
        <w:rPr>
          <w:rFonts w:hint="cs"/>
          <w:rtl/>
        </w:rPr>
        <w:t>.</w:t>
      </w:r>
      <w:r w:rsidRPr="00014C4D">
        <w:rPr>
          <w:rtl/>
        </w:rPr>
        <w:t xml:space="preserve"> המיגונית </w:t>
      </w:r>
      <w:r w:rsidRPr="00014C4D">
        <w:rPr>
          <w:rFonts w:hint="cs"/>
          <w:rtl/>
        </w:rPr>
        <w:t>מספקת את הצורך ב</w:t>
      </w:r>
      <w:r w:rsidRPr="00014C4D">
        <w:rPr>
          <w:rtl/>
        </w:rPr>
        <w:t>מיגון בשטחים פתוחים ציבוריים</w:t>
      </w:r>
      <w:r w:rsidRPr="00014C4D">
        <w:rPr>
          <w:rFonts w:hint="cs"/>
          <w:rtl/>
        </w:rPr>
        <w:t xml:space="preserve"> ב</w:t>
      </w:r>
      <w:r w:rsidRPr="00014C4D">
        <w:rPr>
          <w:rtl/>
        </w:rPr>
        <w:t xml:space="preserve">לבד </w:t>
      </w:r>
      <w:r w:rsidRPr="00014C4D">
        <w:rPr>
          <w:rFonts w:hint="cs"/>
          <w:rtl/>
        </w:rPr>
        <w:t>ו</w:t>
      </w:r>
      <w:r w:rsidRPr="00014C4D">
        <w:rPr>
          <w:rtl/>
        </w:rPr>
        <w:t>אינ</w:t>
      </w:r>
      <w:r w:rsidRPr="00014C4D">
        <w:rPr>
          <w:rFonts w:hint="cs"/>
          <w:rtl/>
        </w:rPr>
        <w:t>ה</w:t>
      </w:r>
      <w:r w:rsidRPr="00014C4D">
        <w:rPr>
          <w:rtl/>
        </w:rPr>
        <w:t xml:space="preserve"> תחליף למיגון תקני שבעלי נכסים נדרשים על פי חוק</w:t>
      </w:r>
      <w:r w:rsidRPr="00014C4D">
        <w:rPr>
          <w:rFonts w:hint="cs"/>
          <w:rtl/>
        </w:rPr>
        <w:t xml:space="preserve"> </w:t>
      </w:r>
      <w:r w:rsidRPr="00014C4D">
        <w:rPr>
          <w:rtl/>
        </w:rPr>
        <w:t>להקימו</w:t>
      </w:r>
      <w:r w:rsidRPr="00014C4D">
        <w:rPr>
          <w:rFonts w:hint="cs"/>
          <w:rtl/>
        </w:rPr>
        <w:t>.</w:t>
      </w:r>
      <w:r w:rsidRPr="00014C4D">
        <w:rPr>
          <w:rtl/>
        </w:rPr>
        <w:t xml:space="preserve"> מיגונית ארבל פותחה </w:t>
      </w:r>
      <w:r w:rsidRPr="00014C4D">
        <w:rPr>
          <w:rFonts w:hint="cs"/>
          <w:rtl/>
        </w:rPr>
        <w:t xml:space="preserve">להגנה מפני </w:t>
      </w:r>
      <w:r w:rsidRPr="00014C4D">
        <w:rPr>
          <w:rtl/>
        </w:rPr>
        <w:t>הדף מוגבר</w:t>
      </w:r>
      <w:r w:rsidRPr="00014C4D">
        <w:rPr>
          <w:rFonts w:hint="cs"/>
          <w:rtl/>
        </w:rPr>
        <w:t>,</w:t>
      </w:r>
      <w:r w:rsidRPr="00014C4D">
        <w:rPr>
          <w:rtl/>
        </w:rPr>
        <w:t xml:space="preserve"> ולכן ניתן להציבה</w:t>
      </w:r>
      <w:r w:rsidRPr="00014C4D">
        <w:rPr>
          <w:rFonts w:hint="cs"/>
          <w:rtl/>
        </w:rPr>
        <w:t xml:space="preserve"> </w:t>
      </w:r>
      <w:r w:rsidRPr="00014C4D">
        <w:rPr>
          <w:rtl/>
        </w:rPr>
        <w:t>בשטחים פתוחים בכל רחבי הארץ</w:t>
      </w:r>
      <w:r w:rsidRPr="00014C4D">
        <w:rPr>
          <w:rFonts w:hint="cs"/>
          <w:rtl/>
        </w:rPr>
        <w:t xml:space="preserve"> -</w:t>
      </w:r>
      <w:r w:rsidRPr="00014C4D">
        <w:rPr>
          <w:rtl/>
        </w:rPr>
        <w:t xml:space="preserve"> לעומת מיגון רחבעם</w:t>
      </w:r>
      <w:r w:rsidRPr="00014C4D">
        <w:rPr>
          <w:rFonts w:hint="cs"/>
          <w:rtl/>
        </w:rPr>
        <w:t>,</w:t>
      </w:r>
      <w:r w:rsidRPr="00014C4D">
        <w:rPr>
          <w:rtl/>
        </w:rPr>
        <w:t xml:space="preserve"> </w:t>
      </w:r>
      <w:r w:rsidRPr="00014C4D">
        <w:rPr>
          <w:rFonts w:hint="cs"/>
          <w:rtl/>
        </w:rPr>
        <w:t>שהשימוש בו</w:t>
      </w:r>
      <w:r w:rsidRPr="00014C4D">
        <w:rPr>
          <w:rtl/>
        </w:rPr>
        <w:t xml:space="preserve"> הוגבל לטווח</w:t>
      </w:r>
      <w:r w:rsidRPr="00014C4D">
        <w:rPr>
          <w:rFonts w:hint="cs"/>
          <w:rtl/>
        </w:rPr>
        <w:t xml:space="preserve"> הקרוב ל</w:t>
      </w:r>
      <w:r w:rsidRPr="00014C4D">
        <w:rPr>
          <w:rtl/>
        </w:rPr>
        <w:t>גבול</w:t>
      </w:r>
      <w:r w:rsidRPr="00014C4D">
        <w:rPr>
          <w:rFonts w:hint="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החברה בחנה את תמונת המצב באזור כביש 85, המפריד בין נחף ודיר אל-אסד מצפון (יישובי החברה הערבית) ובין כרמיאל ומכמנים מדרום (יישובים יהודיים).</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b/>
          <w:bCs/>
          <w:rtl/>
        </w:rPr>
      </w:pPr>
      <w:r w:rsidRPr="00014C4D">
        <w:rPr>
          <w:rFonts w:hint="cs"/>
          <w:rtl/>
        </w:rPr>
        <w:t>תרשים 8:</w:t>
      </w:r>
      <w:r w:rsidRPr="00014C4D">
        <w:rPr>
          <w:rFonts w:hint="cs"/>
          <w:b/>
          <w:bCs/>
          <w:rtl/>
        </w:rPr>
        <w:t xml:space="preserve"> מקלטים ציבוריים ביישובים נבחרים לאורך כביש 85</w:t>
      </w:r>
    </w:p>
    <w:p w:rsidR="00014C4D" w:rsidRPr="00014C4D" w:rsidRDefault="00014C4D" w:rsidP="00014C4D">
      <w:pPr>
        <w:spacing w:line="269" w:lineRule="auto"/>
        <w:jc w:val="center"/>
        <w:rPr>
          <w:rtl/>
        </w:rPr>
      </w:pPr>
      <w:r w:rsidRPr="00014C4D">
        <w:rPr>
          <w:noProof/>
        </w:rPr>
        <w:drawing>
          <wp:inline distT="0" distB="0" distL="0" distR="0" wp14:anchorId="2892967C" wp14:editId="1AA3DFB3">
            <wp:extent cx="5067935" cy="2754353"/>
            <wp:effectExtent l="0" t="0" r="0" b="8255"/>
            <wp:docPr id="1834351666" name="תמונה 1834351666"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9256" cy="2755071"/>
                    </a:xfrm>
                    <a:prstGeom prst="rect">
                      <a:avLst/>
                    </a:prstGeom>
                  </pic:spPr>
                </pic:pic>
              </a:graphicData>
            </a:graphic>
          </wp:inline>
        </w:drawing>
      </w:r>
    </w:p>
    <w:p w:rsidR="00014C4D" w:rsidRPr="00014C4D" w:rsidRDefault="00014C4D" w:rsidP="00014C4D">
      <w:pPr>
        <w:spacing w:line="269" w:lineRule="auto"/>
        <w:rPr>
          <w:szCs w:val="20"/>
          <w:rtl/>
        </w:rPr>
      </w:pPr>
      <w:r w:rsidRPr="00014C4D">
        <w:rPr>
          <w:rFonts w:hint="cs"/>
          <w:szCs w:val="20"/>
          <w:rtl/>
        </w:rPr>
        <w:t>ה</w:t>
      </w:r>
      <w:r w:rsidRPr="00014C4D">
        <w:rPr>
          <w:szCs w:val="20"/>
          <w:rtl/>
        </w:rPr>
        <w:t>מקור: אתר המפות הממשלתי, שכבת מקלטים ציבוריים, בהתבסס על כלי ניתוח מרחבי</w:t>
      </w:r>
      <w:r w:rsidRPr="00014C4D">
        <w:rPr>
          <w:rFonts w:hint="cs"/>
          <w:szCs w:val="20"/>
          <w:rtl/>
        </w:rPr>
        <w:t>,</w:t>
      </w:r>
      <w:r w:rsidRPr="00014C4D">
        <w:rPr>
          <w:szCs w:val="20"/>
          <w:rtl/>
        </w:rPr>
        <w:t xml:space="preserve"> מרץ 2024</w:t>
      </w:r>
      <w:r w:rsidRPr="00014C4D">
        <w:rPr>
          <w:rFonts w:hint="cs"/>
          <w:szCs w:val="20"/>
          <w:rtl/>
        </w:rPr>
        <w:t>.</w:t>
      </w:r>
    </w:p>
    <w:p w:rsidR="00014C4D" w:rsidRPr="00014C4D" w:rsidRDefault="00014C4D" w:rsidP="00014C4D">
      <w:pPr>
        <w:numPr>
          <w:ilvl w:val="0"/>
          <w:numId w:val="33"/>
        </w:numPr>
        <w:spacing w:line="269" w:lineRule="auto"/>
        <w:contextualSpacing/>
        <w:rPr>
          <w:szCs w:val="20"/>
        </w:rPr>
      </w:pPr>
      <w:r w:rsidRPr="00014C4D">
        <w:rPr>
          <w:rFonts w:hint="cs"/>
          <w:szCs w:val="20"/>
          <w:rtl/>
        </w:rPr>
        <w:t>הנקודות האדומות מסמנות את מקום המקלטים הציבוריים.</w:t>
      </w:r>
    </w:p>
    <w:p w:rsidR="00014C4D" w:rsidRPr="00014C4D" w:rsidRDefault="00014C4D" w:rsidP="00014C4D">
      <w:pPr>
        <w:numPr>
          <w:ilvl w:val="0"/>
          <w:numId w:val="33"/>
        </w:numPr>
        <w:spacing w:line="269" w:lineRule="auto"/>
        <w:contextualSpacing/>
        <w:rPr>
          <w:szCs w:val="20"/>
          <w:rtl/>
        </w:rPr>
      </w:pPr>
      <w:r w:rsidRPr="00014C4D">
        <w:rPr>
          <w:rFonts w:hint="cs"/>
          <w:szCs w:val="20"/>
          <w:rtl/>
        </w:rPr>
        <w:t>דיר אל-אסד - 13,500 תושבים ולא 13.5 תושבים - הטעות במקור.</w:t>
      </w:r>
    </w:p>
    <w:p w:rsidR="00014C4D" w:rsidRPr="00014C4D" w:rsidRDefault="00014C4D" w:rsidP="00014C4D">
      <w:pPr>
        <w:spacing w:line="269" w:lineRule="auto"/>
        <w:rPr>
          <w:b/>
          <w:bCs/>
          <w:rtl/>
        </w:rPr>
      </w:pPr>
      <w:r w:rsidRPr="00014C4D">
        <w:rPr>
          <w:rFonts w:hint="eastAsia"/>
          <w:b/>
          <w:bCs/>
          <w:rtl/>
        </w:rPr>
        <w:lastRenderedPageBreak/>
        <w:t>מהתרשים</w:t>
      </w:r>
      <w:r w:rsidRPr="00014C4D">
        <w:rPr>
          <w:b/>
          <w:bCs/>
          <w:rtl/>
        </w:rPr>
        <w:t xml:space="preserve"> </w:t>
      </w:r>
      <w:r w:rsidRPr="00014C4D">
        <w:rPr>
          <w:rFonts w:hint="eastAsia"/>
          <w:b/>
          <w:bCs/>
          <w:rtl/>
        </w:rPr>
        <w:t>עולה</w:t>
      </w:r>
      <w:r w:rsidRPr="00014C4D">
        <w:rPr>
          <w:b/>
          <w:bCs/>
          <w:rtl/>
        </w:rPr>
        <w:t xml:space="preserve"> </w:t>
      </w:r>
      <w:r w:rsidRPr="00014C4D">
        <w:rPr>
          <w:rFonts w:hint="eastAsia"/>
          <w:b/>
          <w:bCs/>
          <w:rtl/>
        </w:rPr>
        <w:t>כי</w:t>
      </w:r>
      <w:r w:rsidRPr="00014C4D">
        <w:rPr>
          <w:b/>
          <w:bCs/>
          <w:rtl/>
        </w:rPr>
        <w:t xml:space="preserve"> </w:t>
      </w:r>
      <w:r w:rsidRPr="00014C4D">
        <w:rPr>
          <w:rFonts w:hint="eastAsia"/>
          <w:b/>
          <w:bCs/>
          <w:rtl/>
        </w:rPr>
        <w:t>ל</w:t>
      </w:r>
      <w:r w:rsidRPr="00014C4D">
        <w:rPr>
          <w:b/>
          <w:bCs/>
          <w:rtl/>
        </w:rPr>
        <w:t xml:space="preserve">-56,000 </w:t>
      </w:r>
      <w:r w:rsidRPr="00014C4D">
        <w:rPr>
          <w:rFonts w:hint="eastAsia"/>
          <w:b/>
          <w:bCs/>
          <w:rtl/>
        </w:rPr>
        <w:t>תושבים</w:t>
      </w:r>
      <w:r w:rsidRPr="00014C4D">
        <w:rPr>
          <w:b/>
          <w:bCs/>
          <w:rtl/>
        </w:rPr>
        <w:t xml:space="preserve"> </w:t>
      </w:r>
      <w:r w:rsidRPr="00014C4D">
        <w:rPr>
          <w:rFonts w:hint="eastAsia"/>
          <w:b/>
          <w:bCs/>
          <w:rtl/>
        </w:rPr>
        <w:t>ביישובים</w:t>
      </w:r>
      <w:r w:rsidRPr="00014C4D">
        <w:rPr>
          <w:b/>
          <w:bCs/>
          <w:rtl/>
        </w:rPr>
        <w:t xml:space="preserve"> </w:t>
      </w:r>
      <w:r w:rsidRPr="00014C4D">
        <w:rPr>
          <w:rFonts w:hint="eastAsia"/>
          <w:b/>
          <w:bCs/>
          <w:rtl/>
        </w:rPr>
        <w:t>יהודיים</w:t>
      </w:r>
      <w:r w:rsidRPr="00014C4D">
        <w:rPr>
          <w:b/>
          <w:bCs/>
          <w:rtl/>
        </w:rPr>
        <w:t xml:space="preserve"> </w:t>
      </w:r>
      <w:r w:rsidRPr="00014C4D">
        <w:rPr>
          <w:rFonts w:hint="eastAsia"/>
          <w:b/>
          <w:bCs/>
          <w:rtl/>
        </w:rPr>
        <w:t>יש</w:t>
      </w:r>
      <w:r w:rsidRPr="00014C4D">
        <w:rPr>
          <w:b/>
          <w:bCs/>
          <w:rtl/>
        </w:rPr>
        <w:t xml:space="preserve"> 128 </w:t>
      </w:r>
      <w:r w:rsidRPr="00014C4D">
        <w:rPr>
          <w:rFonts w:hint="eastAsia"/>
          <w:b/>
          <w:bCs/>
          <w:rtl/>
        </w:rPr>
        <w:t>מקלטים</w:t>
      </w:r>
      <w:r w:rsidRPr="00014C4D">
        <w:rPr>
          <w:b/>
          <w:bCs/>
          <w:rtl/>
        </w:rPr>
        <w:t xml:space="preserve"> </w:t>
      </w:r>
      <w:r w:rsidRPr="00014C4D">
        <w:rPr>
          <w:rFonts w:hint="eastAsia"/>
          <w:b/>
          <w:bCs/>
          <w:rtl/>
        </w:rPr>
        <w:t>ציבוריים</w:t>
      </w:r>
      <w:r w:rsidRPr="00014C4D">
        <w:rPr>
          <w:b/>
          <w:bCs/>
          <w:rtl/>
        </w:rPr>
        <w:t xml:space="preserve">, </w:t>
      </w:r>
      <w:r w:rsidRPr="00014C4D">
        <w:rPr>
          <w:rFonts w:hint="eastAsia"/>
          <w:b/>
          <w:bCs/>
          <w:rtl/>
        </w:rPr>
        <w:t>ואילו</w:t>
      </w:r>
      <w:r w:rsidRPr="00014C4D">
        <w:rPr>
          <w:b/>
          <w:bCs/>
          <w:rtl/>
        </w:rPr>
        <w:t xml:space="preserve"> לכ-52,000 תושבים ביישובי החברה הערבית יש רק 2 מקלטים ציבוריים.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לצורך קבלת החלטות על פריסת מיגוניות הציעה החברה מתודולוגיה לאומדן פערי המיגון והדגימה אומדן זה בנוגע ל-21 רשויות מייצגות שמרחקן 20 קילומטרים מהגבול:</w:t>
      </w:r>
    </w:p>
    <w:p w:rsidR="00014C4D" w:rsidRPr="00014C4D" w:rsidRDefault="00014C4D" w:rsidP="00014C4D">
      <w:pPr>
        <w:spacing w:line="269" w:lineRule="auto"/>
        <w:ind w:left="-567"/>
        <w:rPr>
          <w:szCs w:val="20"/>
          <w:rtl/>
        </w:rPr>
      </w:pPr>
    </w:p>
    <w:p w:rsidR="00014C4D" w:rsidRPr="00014C4D" w:rsidRDefault="00014C4D" w:rsidP="00014C4D">
      <w:pPr>
        <w:keepNext/>
        <w:keepLines/>
        <w:spacing w:line="269" w:lineRule="auto"/>
        <w:jc w:val="center"/>
        <w:rPr>
          <w:b/>
          <w:bCs/>
          <w:rtl/>
        </w:rPr>
      </w:pPr>
      <w:r w:rsidRPr="00014C4D">
        <w:rPr>
          <w:rFonts w:hint="cs"/>
          <w:rtl/>
        </w:rPr>
        <w:t xml:space="preserve">לוח 17: </w:t>
      </w:r>
      <w:r w:rsidRPr="00014C4D">
        <w:rPr>
          <w:rFonts w:hint="cs"/>
          <w:b/>
          <w:bCs/>
          <w:rtl/>
        </w:rPr>
        <w:t>אומדן רמת המיגון במרחב הציבורי ברשויות הנבחרות</w:t>
      </w:r>
    </w:p>
    <w:tbl>
      <w:tblPr>
        <w:tblStyle w:val="af5"/>
        <w:tblW w:w="0" w:type="auto"/>
        <w:jc w:val="center"/>
        <w:tblLook w:val="04A0" w:firstRow="1" w:lastRow="0" w:firstColumn="1" w:lastColumn="0" w:noHBand="0" w:noVBand="1"/>
      </w:tblPr>
      <w:tblGrid>
        <w:gridCol w:w="1134"/>
        <w:gridCol w:w="1701"/>
        <w:gridCol w:w="1843"/>
        <w:gridCol w:w="1701"/>
      </w:tblGrid>
      <w:tr w:rsidR="00014C4D" w:rsidRPr="00014C4D" w:rsidTr="00014C4D">
        <w:trPr>
          <w:tblHeader/>
          <w:jc w:val="center"/>
        </w:trPr>
        <w:tc>
          <w:tcPr>
            <w:tcW w:w="1134" w:type="dxa"/>
            <w:shd w:val="clear" w:color="auto" w:fill="D9D9D9" w:themeFill="background1" w:themeFillShade="D9"/>
          </w:tcPr>
          <w:p w:rsidR="00014C4D" w:rsidRPr="00014C4D" w:rsidRDefault="00014C4D" w:rsidP="00014C4D">
            <w:pPr>
              <w:spacing w:line="269" w:lineRule="auto"/>
              <w:jc w:val="center"/>
              <w:rPr>
                <w:rFonts w:cstheme="minorBidi"/>
                <w:b/>
                <w:bCs/>
                <w:sz w:val="22"/>
                <w:szCs w:val="22"/>
              </w:rPr>
            </w:pPr>
            <w:r w:rsidRPr="00014C4D">
              <w:rPr>
                <w:b/>
                <w:bCs/>
                <w:sz w:val="22"/>
                <w:szCs w:val="22"/>
                <w:rtl/>
              </w:rPr>
              <w:t>מקלטים ל-100</w:t>
            </w:r>
            <w:r w:rsidRPr="00014C4D">
              <w:rPr>
                <w:rFonts w:hint="cs"/>
                <w:b/>
                <w:bCs/>
                <w:sz w:val="22"/>
                <w:szCs w:val="22"/>
                <w:rtl/>
              </w:rPr>
              <w:t xml:space="preserve"> נפש</w:t>
            </w:r>
          </w:p>
        </w:tc>
        <w:tc>
          <w:tcPr>
            <w:tcW w:w="1701" w:type="dxa"/>
            <w:shd w:val="clear" w:color="auto" w:fill="D9D9D9" w:themeFill="background1" w:themeFillShade="D9"/>
          </w:tcPr>
          <w:p w:rsidR="00014C4D" w:rsidRPr="00014C4D" w:rsidRDefault="00014C4D" w:rsidP="00014C4D">
            <w:pPr>
              <w:spacing w:line="269" w:lineRule="auto"/>
              <w:jc w:val="center"/>
              <w:rPr>
                <w:b/>
                <w:bCs/>
                <w:sz w:val="22"/>
                <w:szCs w:val="22"/>
              </w:rPr>
            </w:pPr>
            <w:r w:rsidRPr="00014C4D">
              <w:rPr>
                <w:b/>
                <w:bCs/>
                <w:sz w:val="22"/>
                <w:szCs w:val="22"/>
                <w:rtl/>
              </w:rPr>
              <w:t xml:space="preserve">מספר </w:t>
            </w:r>
            <w:r w:rsidRPr="00014C4D">
              <w:rPr>
                <w:rFonts w:hint="cs"/>
                <w:b/>
                <w:bCs/>
                <w:sz w:val="22"/>
                <w:szCs w:val="22"/>
                <w:rtl/>
              </w:rPr>
              <w:t>ה</w:t>
            </w:r>
            <w:r w:rsidRPr="00014C4D">
              <w:rPr>
                <w:b/>
                <w:bCs/>
                <w:sz w:val="22"/>
                <w:szCs w:val="22"/>
                <w:rtl/>
              </w:rPr>
              <w:t xml:space="preserve">מקלטים </w:t>
            </w:r>
            <w:r w:rsidRPr="00014C4D">
              <w:rPr>
                <w:rFonts w:hint="cs"/>
                <w:b/>
                <w:bCs/>
                <w:sz w:val="22"/>
                <w:szCs w:val="22"/>
                <w:rtl/>
              </w:rPr>
              <w:t>ה</w:t>
            </w:r>
            <w:r w:rsidRPr="00014C4D">
              <w:rPr>
                <w:b/>
                <w:bCs/>
                <w:sz w:val="22"/>
                <w:szCs w:val="22"/>
                <w:rtl/>
              </w:rPr>
              <w:t>ציבוריים</w:t>
            </w:r>
            <w:r w:rsidRPr="00014C4D">
              <w:rPr>
                <w:rFonts w:hint="cs"/>
                <w:b/>
                <w:bCs/>
                <w:sz w:val="22"/>
                <w:szCs w:val="22"/>
                <w:rtl/>
              </w:rPr>
              <w:t>**</w:t>
            </w:r>
          </w:p>
        </w:tc>
        <w:tc>
          <w:tcPr>
            <w:tcW w:w="1843" w:type="dxa"/>
            <w:shd w:val="clear" w:color="auto" w:fill="D9D9D9" w:themeFill="background1" w:themeFillShade="D9"/>
          </w:tcPr>
          <w:p w:rsidR="00014C4D" w:rsidRPr="00014C4D" w:rsidRDefault="00014C4D" w:rsidP="00014C4D">
            <w:pPr>
              <w:spacing w:line="269" w:lineRule="auto"/>
              <w:jc w:val="center"/>
              <w:rPr>
                <w:b/>
                <w:bCs/>
                <w:sz w:val="22"/>
                <w:szCs w:val="22"/>
              </w:rPr>
            </w:pPr>
            <w:r w:rsidRPr="00014C4D">
              <w:rPr>
                <w:rFonts w:hint="cs"/>
                <w:b/>
                <w:bCs/>
                <w:sz w:val="22"/>
                <w:szCs w:val="22"/>
                <w:rtl/>
              </w:rPr>
              <w:t>מספר ה</w:t>
            </w:r>
            <w:r w:rsidRPr="00014C4D">
              <w:rPr>
                <w:b/>
                <w:bCs/>
                <w:sz w:val="22"/>
                <w:szCs w:val="22"/>
                <w:rtl/>
              </w:rPr>
              <w:t>תושבים</w:t>
            </w:r>
            <w:r w:rsidRPr="00014C4D">
              <w:rPr>
                <w:rFonts w:hint="cs"/>
                <w:b/>
                <w:bCs/>
                <w:sz w:val="22"/>
                <w:szCs w:val="22"/>
                <w:rtl/>
              </w:rPr>
              <w:t>*</w:t>
            </w:r>
          </w:p>
        </w:tc>
        <w:tc>
          <w:tcPr>
            <w:tcW w:w="1701" w:type="dxa"/>
            <w:shd w:val="clear" w:color="auto" w:fill="D9D9D9" w:themeFill="background1" w:themeFillShade="D9"/>
          </w:tcPr>
          <w:p w:rsidR="00014C4D" w:rsidRPr="00014C4D" w:rsidRDefault="00014C4D" w:rsidP="00014C4D">
            <w:pPr>
              <w:spacing w:line="269" w:lineRule="auto"/>
              <w:jc w:val="center"/>
              <w:rPr>
                <w:b/>
                <w:bCs/>
                <w:sz w:val="22"/>
                <w:szCs w:val="22"/>
                <w:rtl/>
              </w:rPr>
            </w:pPr>
            <w:r w:rsidRPr="00014C4D">
              <w:rPr>
                <w:rFonts w:hint="cs"/>
                <w:b/>
                <w:bCs/>
                <w:sz w:val="22"/>
                <w:szCs w:val="22"/>
                <w:rtl/>
              </w:rPr>
              <w:t>ה</w:t>
            </w:r>
            <w:r w:rsidRPr="00014C4D">
              <w:rPr>
                <w:b/>
                <w:bCs/>
                <w:sz w:val="22"/>
                <w:szCs w:val="22"/>
                <w:rtl/>
              </w:rPr>
              <w:t>י</w:t>
            </w:r>
            <w:r w:rsidRPr="00014C4D">
              <w:rPr>
                <w:rFonts w:hint="cs"/>
                <w:b/>
                <w:bCs/>
                <w:sz w:val="22"/>
                <w:szCs w:val="22"/>
                <w:rtl/>
              </w:rPr>
              <w:t>י</w:t>
            </w:r>
            <w:r w:rsidRPr="00014C4D">
              <w:rPr>
                <w:b/>
                <w:bCs/>
                <w:sz w:val="22"/>
                <w:szCs w:val="22"/>
                <w:rtl/>
              </w:rPr>
              <w:t>שוב</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1.01</w:t>
            </w:r>
          </w:p>
        </w:tc>
        <w:tc>
          <w:tcPr>
            <w:tcW w:w="1701" w:type="dxa"/>
          </w:tcPr>
          <w:p w:rsidR="00014C4D" w:rsidRPr="00014C4D" w:rsidRDefault="00014C4D" w:rsidP="00014C4D">
            <w:pPr>
              <w:spacing w:line="269" w:lineRule="auto"/>
              <w:rPr>
                <w:sz w:val="22"/>
                <w:szCs w:val="22"/>
                <w:rtl/>
              </w:rPr>
            </w:pPr>
            <w:r w:rsidRPr="00014C4D">
              <w:rPr>
                <w:sz w:val="22"/>
                <w:szCs w:val="22"/>
                <w:rtl/>
              </w:rPr>
              <w:t>35</w:t>
            </w:r>
          </w:p>
        </w:tc>
        <w:tc>
          <w:tcPr>
            <w:tcW w:w="1843" w:type="dxa"/>
          </w:tcPr>
          <w:p w:rsidR="00014C4D" w:rsidRPr="00014C4D" w:rsidRDefault="00014C4D" w:rsidP="00014C4D">
            <w:pPr>
              <w:spacing w:line="269" w:lineRule="auto"/>
              <w:rPr>
                <w:sz w:val="22"/>
                <w:szCs w:val="22"/>
                <w:rtl/>
              </w:rPr>
            </w:pPr>
            <w:r w:rsidRPr="00014C4D">
              <w:rPr>
                <w:sz w:val="22"/>
                <w:szCs w:val="22"/>
                <w:rtl/>
              </w:rPr>
              <w:t>3,482</w:t>
            </w:r>
          </w:p>
        </w:tc>
        <w:tc>
          <w:tcPr>
            <w:tcW w:w="1701" w:type="dxa"/>
          </w:tcPr>
          <w:p w:rsidR="00014C4D" w:rsidRPr="00014C4D" w:rsidRDefault="00014C4D" w:rsidP="00014C4D">
            <w:pPr>
              <w:spacing w:line="269" w:lineRule="auto"/>
              <w:rPr>
                <w:sz w:val="22"/>
                <w:szCs w:val="22"/>
                <w:rtl/>
              </w:rPr>
            </w:pPr>
            <w:r w:rsidRPr="00014C4D">
              <w:rPr>
                <w:sz w:val="22"/>
                <w:szCs w:val="22"/>
                <w:rtl/>
              </w:rPr>
              <w:t>ראש פינה</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0.84</w:t>
            </w:r>
          </w:p>
        </w:tc>
        <w:tc>
          <w:tcPr>
            <w:tcW w:w="1701" w:type="dxa"/>
          </w:tcPr>
          <w:p w:rsidR="00014C4D" w:rsidRPr="00014C4D" w:rsidRDefault="00014C4D" w:rsidP="00014C4D">
            <w:pPr>
              <w:spacing w:line="269" w:lineRule="auto"/>
              <w:rPr>
                <w:sz w:val="22"/>
                <w:szCs w:val="22"/>
                <w:rtl/>
              </w:rPr>
            </w:pPr>
            <w:r w:rsidRPr="00014C4D">
              <w:rPr>
                <w:sz w:val="22"/>
                <w:szCs w:val="22"/>
                <w:rtl/>
              </w:rPr>
              <w:t>73</w:t>
            </w:r>
          </w:p>
        </w:tc>
        <w:tc>
          <w:tcPr>
            <w:tcW w:w="1843" w:type="dxa"/>
          </w:tcPr>
          <w:p w:rsidR="00014C4D" w:rsidRPr="00014C4D" w:rsidRDefault="00014C4D" w:rsidP="00014C4D">
            <w:pPr>
              <w:spacing w:line="269" w:lineRule="auto"/>
              <w:rPr>
                <w:sz w:val="22"/>
                <w:szCs w:val="22"/>
                <w:rtl/>
              </w:rPr>
            </w:pPr>
            <w:r w:rsidRPr="00014C4D">
              <w:rPr>
                <w:sz w:val="22"/>
                <w:szCs w:val="22"/>
                <w:rtl/>
              </w:rPr>
              <w:t>8,659</w:t>
            </w:r>
          </w:p>
        </w:tc>
        <w:tc>
          <w:tcPr>
            <w:tcW w:w="1701" w:type="dxa"/>
          </w:tcPr>
          <w:p w:rsidR="00014C4D" w:rsidRPr="00014C4D" w:rsidRDefault="00014C4D" w:rsidP="00014C4D">
            <w:pPr>
              <w:spacing w:line="269" w:lineRule="auto"/>
              <w:rPr>
                <w:sz w:val="22"/>
                <w:szCs w:val="22"/>
                <w:rtl/>
              </w:rPr>
            </w:pPr>
            <w:r w:rsidRPr="00014C4D">
              <w:rPr>
                <w:sz w:val="22"/>
                <w:szCs w:val="22"/>
                <w:rtl/>
              </w:rPr>
              <w:t>שלומי</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0.69</w:t>
            </w:r>
          </w:p>
        </w:tc>
        <w:tc>
          <w:tcPr>
            <w:tcW w:w="1701" w:type="dxa"/>
          </w:tcPr>
          <w:p w:rsidR="00014C4D" w:rsidRPr="00014C4D" w:rsidRDefault="00014C4D" w:rsidP="00014C4D">
            <w:pPr>
              <w:spacing w:line="269" w:lineRule="auto"/>
              <w:rPr>
                <w:sz w:val="22"/>
                <w:szCs w:val="22"/>
                <w:rtl/>
              </w:rPr>
            </w:pPr>
            <w:r w:rsidRPr="00014C4D">
              <w:rPr>
                <w:sz w:val="22"/>
                <w:szCs w:val="22"/>
                <w:rtl/>
              </w:rPr>
              <w:t>79</w:t>
            </w:r>
          </w:p>
        </w:tc>
        <w:tc>
          <w:tcPr>
            <w:tcW w:w="1843" w:type="dxa"/>
          </w:tcPr>
          <w:p w:rsidR="00014C4D" w:rsidRPr="00014C4D" w:rsidRDefault="00014C4D" w:rsidP="00014C4D">
            <w:pPr>
              <w:spacing w:line="269" w:lineRule="auto"/>
              <w:rPr>
                <w:sz w:val="22"/>
                <w:szCs w:val="22"/>
                <w:rtl/>
              </w:rPr>
            </w:pPr>
            <w:r w:rsidRPr="00014C4D">
              <w:rPr>
                <w:sz w:val="22"/>
                <w:szCs w:val="22"/>
                <w:rtl/>
              </w:rPr>
              <w:t>11,448</w:t>
            </w:r>
          </w:p>
        </w:tc>
        <w:tc>
          <w:tcPr>
            <w:tcW w:w="1701" w:type="dxa"/>
          </w:tcPr>
          <w:p w:rsidR="00014C4D" w:rsidRPr="00014C4D" w:rsidRDefault="00014C4D" w:rsidP="00014C4D">
            <w:pPr>
              <w:spacing w:line="269" w:lineRule="auto"/>
              <w:rPr>
                <w:sz w:val="22"/>
                <w:szCs w:val="22"/>
                <w:rtl/>
              </w:rPr>
            </w:pPr>
            <w:r w:rsidRPr="00014C4D">
              <w:rPr>
                <w:rFonts w:hint="cs"/>
                <w:sz w:val="22"/>
                <w:szCs w:val="22"/>
                <w:rtl/>
              </w:rPr>
              <w:t>ח</w:t>
            </w:r>
            <w:r w:rsidRPr="00014C4D">
              <w:rPr>
                <w:sz w:val="22"/>
                <w:szCs w:val="22"/>
                <w:rtl/>
              </w:rPr>
              <w:t>צור הגלילית</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0.39</w:t>
            </w:r>
          </w:p>
        </w:tc>
        <w:tc>
          <w:tcPr>
            <w:tcW w:w="1701" w:type="dxa"/>
          </w:tcPr>
          <w:p w:rsidR="00014C4D" w:rsidRPr="00014C4D" w:rsidRDefault="00014C4D" w:rsidP="00014C4D">
            <w:pPr>
              <w:spacing w:line="269" w:lineRule="auto"/>
              <w:rPr>
                <w:sz w:val="22"/>
                <w:szCs w:val="22"/>
                <w:rtl/>
              </w:rPr>
            </w:pPr>
            <w:r w:rsidRPr="00014C4D">
              <w:rPr>
                <w:sz w:val="22"/>
                <w:szCs w:val="22"/>
                <w:rtl/>
              </w:rPr>
              <w:t>100</w:t>
            </w:r>
          </w:p>
        </w:tc>
        <w:tc>
          <w:tcPr>
            <w:tcW w:w="1843" w:type="dxa"/>
          </w:tcPr>
          <w:p w:rsidR="00014C4D" w:rsidRPr="00014C4D" w:rsidRDefault="00014C4D" w:rsidP="00014C4D">
            <w:pPr>
              <w:spacing w:line="269" w:lineRule="auto"/>
              <w:rPr>
                <w:sz w:val="22"/>
                <w:szCs w:val="22"/>
                <w:rtl/>
              </w:rPr>
            </w:pPr>
            <w:r w:rsidRPr="00014C4D">
              <w:rPr>
                <w:sz w:val="22"/>
                <w:szCs w:val="22"/>
                <w:rtl/>
              </w:rPr>
              <w:t>25,895</w:t>
            </w:r>
          </w:p>
        </w:tc>
        <w:tc>
          <w:tcPr>
            <w:tcW w:w="1701" w:type="dxa"/>
          </w:tcPr>
          <w:p w:rsidR="00014C4D" w:rsidRPr="00014C4D" w:rsidRDefault="00014C4D" w:rsidP="00014C4D">
            <w:pPr>
              <w:spacing w:line="269" w:lineRule="auto"/>
              <w:rPr>
                <w:sz w:val="22"/>
                <w:szCs w:val="22"/>
                <w:rtl/>
              </w:rPr>
            </w:pPr>
            <w:r w:rsidRPr="00014C4D">
              <w:rPr>
                <w:sz w:val="22"/>
                <w:szCs w:val="22"/>
                <w:rtl/>
              </w:rPr>
              <w:t>קרי</w:t>
            </w:r>
            <w:r w:rsidRPr="00014C4D">
              <w:rPr>
                <w:rFonts w:hint="cs"/>
                <w:sz w:val="22"/>
                <w:szCs w:val="22"/>
                <w:rtl/>
              </w:rPr>
              <w:t>ית</w:t>
            </w:r>
            <w:r w:rsidRPr="00014C4D">
              <w:rPr>
                <w:sz w:val="22"/>
                <w:szCs w:val="22"/>
                <w:rtl/>
              </w:rPr>
              <w:t xml:space="preserve"> שמונה</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0.34</w:t>
            </w:r>
          </w:p>
        </w:tc>
        <w:tc>
          <w:tcPr>
            <w:tcW w:w="1701" w:type="dxa"/>
          </w:tcPr>
          <w:p w:rsidR="00014C4D" w:rsidRPr="00014C4D" w:rsidRDefault="00014C4D" w:rsidP="00014C4D">
            <w:pPr>
              <w:spacing w:line="269" w:lineRule="auto"/>
              <w:rPr>
                <w:sz w:val="22"/>
                <w:szCs w:val="22"/>
                <w:rtl/>
              </w:rPr>
            </w:pPr>
            <w:r w:rsidRPr="00014C4D">
              <w:rPr>
                <w:sz w:val="22"/>
                <w:szCs w:val="22"/>
                <w:rtl/>
              </w:rPr>
              <w:t>89</w:t>
            </w:r>
          </w:p>
        </w:tc>
        <w:tc>
          <w:tcPr>
            <w:tcW w:w="1843" w:type="dxa"/>
          </w:tcPr>
          <w:p w:rsidR="00014C4D" w:rsidRPr="00014C4D" w:rsidRDefault="00014C4D" w:rsidP="00014C4D">
            <w:pPr>
              <w:spacing w:line="269" w:lineRule="auto"/>
              <w:rPr>
                <w:sz w:val="22"/>
                <w:szCs w:val="22"/>
                <w:rtl/>
              </w:rPr>
            </w:pPr>
            <w:r w:rsidRPr="00014C4D">
              <w:rPr>
                <w:sz w:val="22"/>
                <w:szCs w:val="22"/>
                <w:rtl/>
              </w:rPr>
              <w:t>25,870</w:t>
            </w:r>
          </w:p>
        </w:tc>
        <w:tc>
          <w:tcPr>
            <w:tcW w:w="1701" w:type="dxa"/>
          </w:tcPr>
          <w:p w:rsidR="00014C4D" w:rsidRPr="00014C4D" w:rsidRDefault="00014C4D" w:rsidP="00014C4D">
            <w:pPr>
              <w:spacing w:line="269" w:lineRule="auto"/>
              <w:rPr>
                <w:sz w:val="22"/>
                <w:szCs w:val="22"/>
                <w:rtl/>
              </w:rPr>
            </w:pPr>
            <w:r w:rsidRPr="00014C4D">
              <w:rPr>
                <w:sz w:val="22"/>
                <w:szCs w:val="22"/>
                <w:rtl/>
              </w:rPr>
              <w:t>מעלות</w:t>
            </w:r>
            <w:r w:rsidRPr="00014C4D">
              <w:rPr>
                <w:rFonts w:hint="cs"/>
                <w:sz w:val="22"/>
                <w:szCs w:val="22"/>
                <w:rtl/>
              </w:rPr>
              <w:t>-ת</w:t>
            </w:r>
            <w:r w:rsidRPr="00014C4D">
              <w:rPr>
                <w:sz w:val="22"/>
                <w:szCs w:val="22"/>
                <w:rtl/>
              </w:rPr>
              <w:t>רשיחא</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0.33</w:t>
            </w:r>
          </w:p>
        </w:tc>
        <w:tc>
          <w:tcPr>
            <w:tcW w:w="1701" w:type="dxa"/>
          </w:tcPr>
          <w:p w:rsidR="00014C4D" w:rsidRPr="00014C4D" w:rsidRDefault="00014C4D" w:rsidP="00014C4D">
            <w:pPr>
              <w:spacing w:line="269" w:lineRule="auto"/>
              <w:rPr>
                <w:sz w:val="22"/>
                <w:szCs w:val="22"/>
                <w:rtl/>
              </w:rPr>
            </w:pPr>
            <w:r w:rsidRPr="00014C4D">
              <w:rPr>
                <w:sz w:val="22"/>
                <w:szCs w:val="22"/>
                <w:rtl/>
              </w:rPr>
              <w:t>138</w:t>
            </w:r>
          </w:p>
        </w:tc>
        <w:tc>
          <w:tcPr>
            <w:tcW w:w="1843" w:type="dxa"/>
          </w:tcPr>
          <w:p w:rsidR="00014C4D" w:rsidRPr="00014C4D" w:rsidRDefault="00014C4D" w:rsidP="00014C4D">
            <w:pPr>
              <w:spacing w:line="269" w:lineRule="auto"/>
              <w:rPr>
                <w:sz w:val="22"/>
                <w:szCs w:val="22"/>
                <w:rtl/>
              </w:rPr>
            </w:pPr>
            <w:r w:rsidRPr="00014C4D">
              <w:rPr>
                <w:sz w:val="22"/>
                <w:szCs w:val="22"/>
                <w:rtl/>
              </w:rPr>
              <w:t>42,106</w:t>
            </w:r>
          </w:p>
        </w:tc>
        <w:tc>
          <w:tcPr>
            <w:tcW w:w="1701" w:type="dxa"/>
          </w:tcPr>
          <w:p w:rsidR="00014C4D" w:rsidRPr="00014C4D" w:rsidRDefault="00014C4D" w:rsidP="00014C4D">
            <w:pPr>
              <w:spacing w:line="269" w:lineRule="auto"/>
              <w:rPr>
                <w:sz w:val="22"/>
                <w:szCs w:val="22"/>
                <w:rtl/>
              </w:rPr>
            </w:pPr>
            <w:r w:rsidRPr="00014C4D">
              <w:rPr>
                <w:sz w:val="22"/>
                <w:szCs w:val="22"/>
                <w:rtl/>
              </w:rPr>
              <w:t>צפת</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0.32</w:t>
            </w:r>
          </w:p>
        </w:tc>
        <w:tc>
          <w:tcPr>
            <w:tcW w:w="1701" w:type="dxa"/>
          </w:tcPr>
          <w:p w:rsidR="00014C4D" w:rsidRPr="00014C4D" w:rsidRDefault="00014C4D" w:rsidP="00014C4D">
            <w:pPr>
              <w:spacing w:line="269" w:lineRule="auto"/>
              <w:rPr>
                <w:sz w:val="22"/>
                <w:szCs w:val="22"/>
                <w:rtl/>
              </w:rPr>
            </w:pPr>
            <w:r w:rsidRPr="00014C4D">
              <w:rPr>
                <w:sz w:val="22"/>
                <w:szCs w:val="22"/>
                <w:rtl/>
              </w:rPr>
              <w:t>241</w:t>
            </w:r>
          </w:p>
        </w:tc>
        <w:tc>
          <w:tcPr>
            <w:tcW w:w="1843" w:type="dxa"/>
          </w:tcPr>
          <w:p w:rsidR="00014C4D" w:rsidRPr="00014C4D" w:rsidRDefault="00014C4D" w:rsidP="00014C4D">
            <w:pPr>
              <w:spacing w:line="269" w:lineRule="auto"/>
              <w:rPr>
                <w:sz w:val="22"/>
                <w:szCs w:val="22"/>
                <w:rtl/>
              </w:rPr>
            </w:pPr>
            <w:r w:rsidRPr="00014C4D">
              <w:rPr>
                <w:sz w:val="22"/>
                <w:szCs w:val="22"/>
                <w:rtl/>
              </w:rPr>
              <w:t>76,203</w:t>
            </w:r>
          </w:p>
        </w:tc>
        <w:tc>
          <w:tcPr>
            <w:tcW w:w="1701" w:type="dxa"/>
          </w:tcPr>
          <w:p w:rsidR="00014C4D" w:rsidRPr="00014C4D" w:rsidRDefault="00014C4D" w:rsidP="00014C4D">
            <w:pPr>
              <w:spacing w:line="269" w:lineRule="auto"/>
              <w:rPr>
                <w:sz w:val="22"/>
                <w:szCs w:val="22"/>
                <w:rtl/>
              </w:rPr>
            </w:pPr>
            <w:r w:rsidRPr="00014C4D">
              <w:rPr>
                <w:sz w:val="22"/>
                <w:szCs w:val="22"/>
                <w:rtl/>
              </w:rPr>
              <w:t>נהרי</w:t>
            </w:r>
            <w:r w:rsidRPr="00014C4D">
              <w:rPr>
                <w:rFonts w:hint="cs"/>
                <w:sz w:val="22"/>
                <w:szCs w:val="22"/>
                <w:rtl/>
              </w:rPr>
              <w:t>י</w:t>
            </w:r>
            <w:r w:rsidRPr="00014C4D">
              <w:rPr>
                <w:sz w:val="22"/>
                <w:szCs w:val="22"/>
                <w:rtl/>
              </w:rPr>
              <w:t>ה</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0.23</w:t>
            </w:r>
          </w:p>
        </w:tc>
        <w:tc>
          <w:tcPr>
            <w:tcW w:w="1701" w:type="dxa"/>
          </w:tcPr>
          <w:p w:rsidR="00014C4D" w:rsidRPr="00014C4D" w:rsidRDefault="00014C4D" w:rsidP="00014C4D">
            <w:pPr>
              <w:spacing w:line="269" w:lineRule="auto"/>
              <w:rPr>
                <w:sz w:val="22"/>
                <w:szCs w:val="22"/>
                <w:rtl/>
              </w:rPr>
            </w:pPr>
            <w:r w:rsidRPr="00014C4D">
              <w:rPr>
                <w:sz w:val="22"/>
                <w:szCs w:val="22"/>
                <w:rtl/>
              </w:rPr>
              <w:t>126</w:t>
            </w:r>
          </w:p>
        </w:tc>
        <w:tc>
          <w:tcPr>
            <w:tcW w:w="1843" w:type="dxa"/>
          </w:tcPr>
          <w:p w:rsidR="00014C4D" w:rsidRPr="00014C4D" w:rsidRDefault="00014C4D" w:rsidP="00014C4D">
            <w:pPr>
              <w:spacing w:line="269" w:lineRule="auto"/>
              <w:rPr>
                <w:sz w:val="22"/>
                <w:szCs w:val="22"/>
                <w:rtl/>
              </w:rPr>
            </w:pPr>
            <w:r w:rsidRPr="00014C4D">
              <w:rPr>
                <w:sz w:val="22"/>
                <w:szCs w:val="22"/>
                <w:rtl/>
              </w:rPr>
              <w:t>55,409</w:t>
            </w:r>
          </w:p>
        </w:tc>
        <w:tc>
          <w:tcPr>
            <w:tcW w:w="1701" w:type="dxa"/>
          </w:tcPr>
          <w:p w:rsidR="00014C4D" w:rsidRPr="00014C4D" w:rsidRDefault="00014C4D" w:rsidP="00014C4D">
            <w:pPr>
              <w:spacing w:line="269" w:lineRule="auto"/>
              <w:rPr>
                <w:sz w:val="22"/>
                <w:szCs w:val="22"/>
                <w:rtl/>
              </w:rPr>
            </w:pPr>
            <w:r w:rsidRPr="00014C4D">
              <w:rPr>
                <w:sz w:val="22"/>
                <w:szCs w:val="22"/>
                <w:rtl/>
              </w:rPr>
              <w:t>כרמיאל</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0.17</w:t>
            </w:r>
          </w:p>
        </w:tc>
        <w:tc>
          <w:tcPr>
            <w:tcW w:w="1701" w:type="dxa"/>
          </w:tcPr>
          <w:p w:rsidR="00014C4D" w:rsidRPr="00014C4D" w:rsidRDefault="00014C4D" w:rsidP="00014C4D">
            <w:pPr>
              <w:spacing w:line="269" w:lineRule="auto"/>
              <w:rPr>
                <w:sz w:val="22"/>
                <w:szCs w:val="22"/>
                <w:rtl/>
              </w:rPr>
            </w:pPr>
            <w:r w:rsidRPr="00014C4D">
              <w:rPr>
                <w:sz w:val="22"/>
                <w:szCs w:val="22"/>
                <w:rtl/>
              </w:rPr>
              <w:t>6</w:t>
            </w:r>
          </w:p>
        </w:tc>
        <w:tc>
          <w:tcPr>
            <w:tcW w:w="1843" w:type="dxa"/>
          </w:tcPr>
          <w:p w:rsidR="00014C4D" w:rsidRPr="00014C4D" w:rsidRDefault="00014C4D" w:rsidP="00014C4D">
            <w:pPr>
              <w:spacing w:line="269" w:lineRule="auto"/>
              <w:rPr>
                <w:sz w:val="22"/>
                <w:szCs w:val="22"/>
                <w:rtl/>
              </w:rPr>
            </w:pPr>
            <w:r w:rsidRPr="00014C4D">
              <w:rPr>
                <w:sz w:val="22"/>
                <w:szCs w:val="22"/>
                <w:rtl/>
              </w:rPr>
              <w:t>3,433</w:t>
            </w:r>
          </w:p>
        </w:tc>
        <w:tc>
          <w:tcPr>
            <w:tcW w:w="1701" w:type="dxa"/>
          </w:tcPr>
          <w:p w:rsidR="00014C4D" w:rsidRPr="00014C4D" w:rsidRDefault="00014C4D" w:rsidP="00014C4D">
            <w:pPr>
              <w:spacing w:line="269" w:lineRule="auto"/>
              <w:rPr>
                <w:sz w:val="22"/>
                <w:szCs w:val="22"/>
                <w:rtl/>
              </w:rPr>
            </w:pPr>
            <w:r w:rsidRPr="00014C4D">
              <w:rPr>
                <w:sz w:val="22"/>
                <w:szCs w:val="22"/>
                <w:rtl/>
              </w:rPr>
              <w:t>מעיליא</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0.16</w:t>
            </w:r>
          </w:p>
        </w:tc>
        <w:tc>
          <w:tcPr>
            <w:tcW w:w="1701" w:type="dxa"/>
          </w:tcPr>
          <w:p w:rsidR="00014C4D" w:rsidRPr="00014C4D" w:rsidRDefault="00014C4D" w:rsidP="00014C4D">
            <w:pPr>
              <w:spacing w:line="269" w:lineRule="auto"/>
              <w:rPr>
                <w:sz w:val="22"/>
                <w:szCs w:val="22"/>
                <w:rtl/>
              </w:rPr>
            </w:pPr>
            <w:r w:rsidRPr="00014C4D">
              <w:rPr>
                <w:sz w:val="22"/>
                <w:szCs w:val="22"/>
                <w:rtl/>
              </w:rPr>
              <w:t>94</w:t>
            </w:r>
          </w:p>
        </w:tc>
        <w:tc>
          <w:tcPr>
            <w:tcW w:w="1843" w:type="dxa"/>
          </w:tcPr>
          <w:p w:rsidR="00014C4D" w:rsidRPr="00014C4D" w:rsidRDefault="00014C4D" w:rsidP="00014C4D">
            <w:pPr>
              <w:spacing w:line="269" w:lineRule="auto"/>
              <w:rPr>
                <w:sz w:val="22"/>
                <w:szCs w:val="22"/>
                <w:rtl/>
              </w:rPr>
            </w:pPr>
            <w:r w:rsidRPr="00014C4D">
              <w:rPr>
                <w:sz w:val="22"/>
                <w:szCs w:val="22"/>
                <w:rtl/>
              </w:rPr>
              <w:t>60,181</w:t>
            </w:r>
          </w:p>
        </w:tc>
        <w:tc>
          <w:tcPr>
            <w:tcW w:w="1701" w:type="dxa"/>
          </w:tcPr>
          <w:p w:rsidR="00014C4D" w:rsidRPr="00014C4D" w:rsidRDefault="00014C4D" w:rsidP="00014C4D">
            <w:pPr>
              <w:spacing w:line="269" w:lineRule="auto"/>
              <w:rPr>
                <w:sz w:val="22"/>
                <w:szCs w:val="22"/>
                <w:rtl/>
              </w:rPr>
            </w:pPr>
            <w:r w:rsidRPr="00014C4D">
              <w:rPr>
                <w:sz w:val="22"/>
                <w:szCs w:val="22"/>
                <w:rtl/>
              </w:rPr>
              <w:t>עכו</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0.04</w:t>
            </w:r>
          </w:p>
        </w:tc>
        <w:tc>
          <w:tcPr>
            <w:tcW w:w="1701" w:type="dxa"/>
          </w:tcPr>
          <w:p w:rsidR="00014C4D" w:rsidRPr="00014C4D" w:rsidRDefault="00014C4D" w:rsidP="00014C4D">
            <w:pPr>
              <w:spacing w:line="269" w:lineRule="auto"/>
              <w:rPr>
                <w:sz w:val="22"/>
                <w:szCs w:val="22"/>
                <w:rtl/>
              </w:rPr>
            </w:pPr>
            <w:r w:rsidRPr="00014C4D">
              <w:rPr>
                <w:sz w:val="22"/>
                <w:szCs w:val="22"/>
                <w:rtl/>
              </w:rPr>
              <w:t>3</w:t>
            </w:r>
          </w:p>
        </w:tc>
        <w:tc>
          <w:tcPr>
            <w:tcW w:w="1843" w:type="dxa"/>
          </w:tcPr>
          <w:p w:rsidR="00014C4D" w:rsidRPr="00014C4D" w:rsidRDefault="00014C4D" w:rsidP="00014C4D">
            <w:pPr>
              <w:spacing w:line="269" w:lineRule="auto"/>
              <w:rPr>
                <w:sz w:val="22"/>
                <w:szCs w:val="22"/>
                <w:rtl/>
              </w:rPr>
            </w:pPr>
            <w:r w:rsidRPr="00014C4D">
              <w:rPr>
                <w:sz w:val="22"/>
                <w:szCs w:val="22"/>
                <w:rtl/>
              </w:rPr>
              <w:t>7,092</w:t>
            </w:r>
          </w:p>
        </w:tc>
        <w:tc>
          <w:tcPr>
            <w:tcW w:w="1701" w:type="dxa"/>
          </w:tcPr>
          <w:p w:rsidR="00014C4D" w:rsidRPr="00014C4D" w:rsidRDefault="00014C4D" w:rsidP="00014C4D">
            <w:pPr>
              <w:spacing w:line="269" w:lineRule="auto"/>
              <w:rPr>
                <w:sz w:val="22"/>
                <w:szCs w:val="22"/>
                <w:rtl/>
              </w:rPr>
            </w:pPr>
            <w:r w:rsidRPr="00014C4D">
              <w:rPr>
                <w:rFonts w:hint="cs"/>
                <w:sz w:val="22"/>
                <w:szCs w:val="22"/>
                <w:rtl/>
              </w:rPr>
              <w:t>י</w:t>
            </w:r>
            <w:r w:rsidRPr="00014C4D">
              <w:rPr>
                <w:sz w:val="22"/>
                <w:szCs w:val="22"/>
                <w:rtl/>
              </w:rPr>
              <w:t xml:space="preserve">אנוח </w:t>
            </w:r>
            <w:r w:rsidRPr="00014C4D">
              <w:rPr>
                <w:rFonts w:hint="cs"/>
                <w:sz w:val="22"/>
                <w:szCs w:val="22"/>
                <w:rtl/>
              </w:rPr>
              <w:t>ג'</w:t>
            </w:r>
            <w:r w:rsidRPr="00014C4D">
              <w:rPr>
                <w:sz w:val="22"/>
                <w:szCs w:val="22"/>
                <w:rtl/>
              </w:rPr>
              <w:t>ת</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0.01</w:t>
            </w:r>
          </w:p>
        </w:tc>
        <w:tc>
          <w:tcPr>
            <w:tcW w:w="1701" w:type="dxa"/>
          </w:tcPr>
          <w:p w:rsidR="00014C4D" w:rsidRPr="00014C4D" w:rsidRDefault="00014C4D" w:rsidP="00014C4D">
            <w:pPr>
              <w:spacing w:line="269" w:lineRule="auto"/>
              <w:rPr>
                <w:sz w:val="22"/>
                <w:szCs w:val="22"/>
                <w:rtl/>
              </w:rPr>
            </w:pPr>
            <w:r w:rsidRPr="00014C4D">
              <w:rPr>
                <w:sz w:val="22"/>
                <w:szCs w:val="22"/>
                <w:rtl/>
              </w:rPr>
              <w:t>1</w:t>
            </w:r>
          </w:p>
        </w:tc>
        <w:tc>
          <w:tcPr>
            <w:tcW w:w="1843" w:type="dxa"/>
          </w:tcPr>
          <w:p w:rsidR="00014C4D" w:rsidRPr="00014C4D" w:rsidRDefault="00014C4D" w:rsidP="00014C4D">
            <w:pPr>
              <w:spacing w:line="269" w:lineRule="auto"/>
              <w:rPr>
                <w:sz w:val="22"/>
                <w:szCs w:val="22"/>
                <w:rtl/>
              </w:rPr>
            </w:pPr>
            <w:r w:rsidRPr="00014C4D">
              <w:rPr>
                <w:sz w:val="22"/>
                <w:szCs w:val="22"/>
                <w:rtl/>
              </w:rPr>
              <w:t>8,735</w:t>
            </w:r>
          </w:p>
        </w:tc>
        <w:tc>
          <w:tcPr>
            <w:tcW w:w="1701" w:type="dxa"/>
          </w:tcPr>
          <w:p w:rsidR="00014C4D" w:rsidRPr="00014C4D" w:rsidRDefault="00014C4D" w:rsidP="00014C4D">
            <w:pPr>
              <w:spacing w:line="269" w:lineRule="auto"/>
              <w:rPr>
                <w:sz w:val="22"/>
                <w:szCs w:val="22"/>
                <w:rtl/>
              </w:rPr>
            </w:pPr>
            <w:r w:rsidRPr="00014C4D">
              <w:rPr>
                <w:sz w:val="22"/>
                <w:szCs w:val="22"/>
                <w:rtl/>
              </w:rPr>
              <w:t>ראמה</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0.01</w:t>
            </w:r>
          </w:p>
        </w:tc>
        <w:tc>
          <w:tcPr>
            <w:tcW w:w="1701" w:type="dxa"/>
          </w:tcPr>
          <w:p w:rsidR="00014C4D" w:rsidRPr="00014C4D" w:rsidRDefault="00014C4D" w:rsidP="00014C4D">
            <w:pPr>
              <w:spacing w:line="269" w:lineRule="auto"/>
              <w:rPr>
                <w:sz w:val="22"/>
                <w:szCs w:val="22"/>
                <w:rtl/>
              </w:rPr>
            </w:pPr>
            <w:r w:rsidRPr="00014C4D">
              <w:rPr>
                <w:sz w:val="22"/>
                <w:szCs w:val="22"/>
                <w:rtl/>
              </w:rPr>
              <w:t>1</w:t>
            </w:r>
          </w:p>
        </w:tc>
        <w:tc>
          <w:tcPr>
            <w:tcW w:w="1843" w:type="dxa"/>
          </w:tcPr>
          <w:p w:rsidR="00014C4D" w:rsidRPr="00014C4D" w:rsidRDefault="00014C4D" w:rsidP="00014C4D">
            <w:pPr>
              <w:spacing w:line="269" w:lineRule="auto"/>
              <w:rPr>
                <w:sz w:val="22"/>
                <w:szCs w:val="22"/>
                <w:rtl/>
              </w:rPr>
            </w:pPr>
            <w:r w:rsidRPr="00014C4D">
              <w:rPr>
                <w:sz w:val="22"/>
                <w:szCs w:val="22"/>
                <w:rtl/>
              </w:rPr>
              <w:t>14,469</w:t>
            </w:r>
          </w:p>
        </w:tc>
        <w:tc>
          <w:tcPr>
            <w:tcW w:w="1701" w:type="dxa"/>
          </w:tcPr>
          <w:p w:rsidR="00014C4D" w:rsidRPr="00014C4D" w:rsidRDefault="00014C4D" w:rsidP="00014C4D">
            <w:pPr>
              <w:spacing w:line="269" w:lineRule="auto"/>
              <w:rPr>
                <w:sz w:val="22"/>
                <w:szCs w:val="22"/>
                <w:rtl/>
              </w:rPr>
            </w:pPr>
            <w:r w:rsidRPr="00014C4D">
              <w:rPr>
                <w:sz w:val="22"/>
                <w:szCs w:val="22"/>
                <w:rtl/>
              </w:rPr>
              <w:t>אבו סנאן</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0.01</w:t>
            </w:r>
          </w:p>
        </w:tc>
        <w:tc>
          <w:tcPr>
            <w:tcW w:w="1701" w:type="dxa"/>
          </w:tcPr>
          <w:p w:rsidR="00014C4D" w:rsidRPr="00014C4D" w:rsidRDefault="00014C4D" w:rsidP="00014C4D">
            <w:pPr>
              <w:spacing w:line="269" w:lineRule="auto"/>
              <w:rPr>
                <w:sz w:val="22"/>
                <w:szCs w:val="22"/>
                <w:rtl/>
              </w:rPr>
            </w:pPr>
            <w:r w:rsidRPr="00014C4D">
              <w:rPr>
                <w:sz w:val="22"/>
                <w:szCs w:val="22"/>
                <w:rtl/>
              </w:rPr>
              <w:t>1</w:t>
            </w:r>
          </w:p>
        </w:tc>
        <w:tc>
          <w:tcPr>
            <w:tcW w:w="1843" w:type="dxa"/>
          </w:tcPr>
          <w:p w:rsidR="00014C4D" w:rsidRPr="00014C4D" w:rsidRDefault="00014C4D" w:rsidP="00014C4D">
            <w:pPr>
              <w:spacing w:line="269" w:lineRule="auto"/>
              <w:rPr>
                <w:sz w:val="22"/>
                <w:szCs w:val="22"/>
                <w:rtl/>
              </w:rPr>
            </w:pPr>
            <w:r w:rsidRPr="00014C4D">
              <w:rPr>
                <w:sz w:val="22"/>
                <w:szCs w:val="22"/>
                <w:rtl/>
              </w:rPr>
              <w:t>16,310</w:t>
            </w:r>
          </w:p>
        </w:tc>
        <w:tc>
          <w:tcPr>
            <w:tcW w:w="1701" w:type="dxa"/>
          </w:tcPr>
          <w:p w:rsidR="00014C4D" w:rsidRPr="00014C4D" w:rsidRDefault="00014C4D" w:rsidP="00014C4D">
            <w:pPr>
              <w:spacing w:line="269" w:lineRule="auto"/>
              <w:rPr>
                <w:sz w:val="22"/>
                <w:szCs w:val="22"/>
                <w:rtl/>
              </w:rPr>
            </w:pPr>
            <w:r w:rsidRPr="00014C4D">
              <w:rPr>
                <w:sz w:val="22"/>
                <w:szCs w:val="22"/>
                <w:rtl/>
              </w:rPr>
              <w:t>מג</w:t>
            </w:r>
            <w:r w:rsidRPr="00014C4D">
              <w:rPr>
                <w:rFonts w:hint="cs"/>
                <w:sz w:val="22"/>
                <w:szCs w:val="22"/>
                <w:rtl/>
              </w:rPr>
              <w:t>'</w:t>
            </w:r>
            <w:r w:rsidRPr="00014C4D">
              <w:rPr>
                <w:sz w:val="22"/>
                <w:szCs w:val="22"/>
                <w:rtl/>
              </w:rPr>
              <w:t>ד אל</w:t>
            </w:r>
            <w:r w:rsidRPr="00014C4D">
              <w:rPr>
                <w:rFonts w:hint="cs"/>
                <w:sz w:val="22"/>
                <w:szCs w:val="22"/>
                <w:rtl/>
              </w:rPr>
              <w:t>-כ</w:t>
            </w:r>
            <w:r w:rsidRPr="00014C4D">
              <w:rPr>
                <w:sz w:val="22"/>
                <w:szCs w:val="22"/>
                <w:rtl/>
              </w:rPr>
              <w:t>רום</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21,713</w:t>
            </w:r>
          </w:p>
        </w:tc>
        <w:tc>
          <w:tcPr>
            <w:tcW w:w="1701" w:type="dxa"/>
          </w:tcPr>
          <w:p w:rsidR="00014C4D" w:rsidRPr="00014C4D" w:rsidRDefault="00014C4D" w:rsidP="00014C4D">
            <w:pPr>
              <w:spacing w:line="269" w:lineRule="auto"/>
              <w:rPr>
                <w:sz w:val="22"/>
                <w:szCs w:val="22"/>
                <w:rtl/>
              </w:rPr>
            </w:pPr>
            <w:r w:rsidRPr="00014C4D">
              <w:rPr>
                <w:sz w:val="22"/>
                <w:szCs w:val="22"/>
                <w:rtl/>
              </w:rPr>
              <w:t>ג</w:t>
            </w:r>
            <w:r w:rsidRPr="00014C4D">
              <w:rPr>
                <w:rFonts w:hint="cs"/>
                <w:sz w:val="22"/>
                <w:szCs w:val="22"/>
                <w:rtl/>
              </w:rPr>
              <w:t>'</w:t>
            </w:r>
            <w:r w:rsidRPr="00014C4D">
              <w:rPr>
                <w:sz w:val="22"/>
                <w:szCs w:val="22"/>
                <w:rtl/>
              </w:rPr>
              <w:t>ד</w:t>
            </w:r>
            <w:r w:rsidRPr="00014C4D">
              <w:rPr>
                <w:rFonts w:hint="cs"/>
                <w:sz w:val="22"/>
                <w:szCs w:val="22"/>
                <w:rtl/>
              </w:rPr>
              <w:t>יי</w:t>
            </w:r>
            <w:r w:rsidRPr="00014C4D">
              <w:rPr>
                <w:sz w:val="22"/>
                <w:szCs w:val="22"/>
                <w:rtl/>
              </w:rPr>
              <w:t>דה מ</w:t>
            </w:r>
            <w:r w:rsidRPr="00014C4D">
              <w:rPr>
                <w:rFonts w:hint="cs"/>
                <w:sz w:val="22"/>
                <w:szCs w:val="22"/>
                <w:rtl/>
              </w:rPr>
              <w:t>כ</w:t>
            </w:r>
            <w:r w:rsidRPr="00014C4D">
              <w:rPr>
                <w:sz w:val="22"/>
                <w:szCs w:val="22"/>
                <w:rtl/>
              </w:rPr>
              <w:t>ר</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24,669</w:t>
            </w:r>
          </w:p>
        </w:tc>
        <w:tc>
          <w:tcPr>
            <w:tcW w:w="1701" w:type="dxa"/>
          </w:tcPr>
          <w:p w:rsidR="00014C4D" w:rsidRPr="00014C4D" w:rsidRDefault="00014C4D" w:rsidP="00014C4D">
            <w:pPr>
              <w:spacing w:line="269" w:lineRule="auto"/>
              <w:rPr>
                <w:sz w:val="22"/>
                <w:szCs w:val="22"/>
                <w:rtl/>
              </w:rPr>
            </w:pPr>
            <w:r w:rsidRPr="00014C4D">
              <w:rPr>
                <w:sz w:val="22"/>
                <w:szCs w:val="22"/>
                <w:rtl/>
              </w:rPr>
              <w:t>מע</w:t>
            </w:r>
            <w:r w:rsidRPr="00014C4D">
              <w:rPr>
                <w:rFonts w:hint="cs"/>
                <w:sz w:val="22"/>
                <w:szCs w:val="22"/>
                <w:rtl/>
              </w:rPr>
              <w:t>'</w:t>
            </w:r>
            <w:r w:rsidRPr="00014C4D">
              <w:rPr>
                <w:sz w:val="22"/>
                <w:szCs w:val="22"/>
                <w:rtl/>
              </w:rPr>
              <w:t>אר</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16,901</w:t>
            </w:r>
          </w:p>
        </w:tc>
        <w:tc>
          <w:tcPr>
            <w:tcW w:w="1701" w:type="dxa"/>
          </w:tcPr>
          <w:p w:rsidR="00014C4D" w:rsidRPr="00014C4D" w:rsidRDefault="00014C4D" w:rsidP="00014C4D">
            <w:pPr>
              <w:spacing w:line="269" w:lineRule="auto"/>
              <w:rPr>
                <w:sz w:val="22"/>
                <w:szCs w:val="22"/>
                <w:rtl/>
              </w:rPr>
            </w:pPr>
            <w:r w:rsidRPr="00014C4D">
              <w:rPr>
                <w:sz w:val="22"/>
                <w:szCs w:val="22"/>
                <w:rtl/>
              </w:rPr>
              <w:t>ירכא</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4,274</w:t>
            </w:r>
          </w:p>
        </w:tc>
        <w:tc>
          <w:tcPr>
            <w:tcW w:w="1701" w:type="dxa"/>
          </w:tcPr>
          <w:p w:rsidR="00014C4D" w:rsidRPr="00014C4D" w:rsidRDefault="00014C4D" w:rsidP="00014C4D">
            <w:pPr>
              <w:spacing w:line="269" w:lineRule="auto"/>
              <w:rPr>
                <w:sz w:val="22"/>
                <w:szCs w:val="22"/>
                <w:rtl/>
              </w:rPr>
            </w:pPr>
            <w:r w:rsidRPr="00014C4D">
              <w:rPr>
                <w:sz w:val="22"/>
                <w:szCs w:val="22"/>
                <w:rtl/>
              </w:rPr>
              <w:t>מזרעה</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4,623</w:t>
            </w:r>
          </w:p>
        </w:tc>
        <w:tc>
          <w:tcPr>
            <w:tcW w:w="1701" w:type="dxa"/>
          </w:tcPr>
          <w:p w:rsidR="00014C4D" w:rsidRPr="00014C4D" w:rsidRDefault="00014C4D" w:rsidP="00014C4D">
            <w:pPr>
              <w:spacing w:line="269" w:lineRule="auto"/>
              <w:rPr>
                <w:sz w:val="22"/>
                <w:szCs w:val="22"/>
                <w:rtl/>
              </w:rPr>
            </w:pPr>
            <w:r w:rsidRPr="00014C4D">
              <w:rPr>
                <w:sz w:val="22"/>
                <w:szCs w:val="22"/>
                <w:rtl/>
              </w:rPr>
              <w:t>סאג</w:t>
            </w:r>
            <w:r w:rsidRPr="00014C4D">
              <w:rPr>
                <w:rFonts w:hint="cs"/>
                <w:sz w:val="22"/>
                <w:szCs w:val="22"/>
                <w:rtl/>
              </w:rPr>
              <w:t>'</w:t>
            </w:r>
            <w:r w:rsidRPr="00014C4D">
              <w:rPr>
                <w:sz w:val="22"/>
                <w:szCs w:val="22"/>
                <w:rtl/>
              </w:rPr>
              <w:t>ור</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14,388</w:t>
            </w:r>
          </w:p>
        </w:tc>
        <w:tc>
          <w:tcPr>
            <w:tcW w:w="1701" w:type="dxa"/>
          </w:tcPr>
          <w:p w:rsidR="00014C4D" w:rsidRPr="00014C4D" w:rsidRDefault="00014C4D" w:rsidP="00014C4D">
            <w:pPr>
              <w:spacing w:line="269" w:lineRule="auto"/>
              <w:rPr>
                <w:sz w:val="22"/>
                <w:szCs w:val="22"/>
                <w:rtl/>
              </w:rPr>
            </w:pPr>
            <w:r w:rsidRPr="00014C4D">
              <w:rPr>
                <w:sz w:val="22"/>
                <w:szCs w:val="22"/>
                <w:rtl/>
              </w:rPr>
              <w:t>נחף</w:t>
            </w:r>
          </w:p>
        </w:tc>
      </w:tr>
      <w:tr w:rsidR="00014C4D" w:rsidRPr="00014C4D" w:rsidTr="00014C4D">
        <w:trPr>
          <w:jc w:val="center"/>
        </w:trPr>
        <w:tc>
          <w:tcPr>
            <w:tcW w:w="1134" w:type="dxa"/>
          </w:tcPr>
          <w:p w:rsidR="00014C4D" w:rsidRPr="00014C4D" w:rsidRDefault="00014C4D" w:rsidP="00014C4D">
            <w:pPr>
              <w:spacing w:line="269" w:lineRule="auto"/>
              <w:rPr>
                <w:sz w:val="22"/>
                <w:szCs w:val="22"/>
                <w:rtl/>
              </w:rPr>
            </w:pPr>
            <w:r w:rsidRPr="00014C4D">
              <w:rPr>
                <w:sz w:val="22"/>
                <w:szCs w:val="22"/>
                <w:rtl/>
              </w:rPr>
              <w:t>0.00</w:t>
            </w:r>
          </w:p>
        </w:tc>
        <w:tc>
          <w:tcPr>
            <w:tcW w:w="1701" w:type="dxa"/>
          </w:tcPr>
          <w:p w:rsidR="00014C4D" w:rsidRPr="00014C4D" w:rsidRDefault="00014C4D" w:rsidP="00014C4D">
            <w:pPr>
              <w:spacing w:line="269" w:lineRule="auto"/>
              <w:rPr>
                <w:sz w:val="22"/>
                <w:szCs w:val="22"/>
                <w:rtl/>
              </w:rPr>
            </w:pPr>
            <w:r w:rsidRPr="00014C4D">
              <w:rPr>
                <w:sz w:val="22"/>
                <w:szCs w:val="22"/>
                <w:rtl/>
              </w:rPr>
              <w:t>0</w:t>
            </w:r>
          </w:p>
        </w:tc>
        <w:tc>
          <w:tcPr>
            <w:tcW w:w="1843" w:type="dxa"/>
          </w:tcPr>
          <w:p w:rsidR="00014C4D" w:rsidRPr="00014C4D" w:rsidRDefault="00014C4D" w:rsidP="00014C4D">
            <w:pPr>
              <w:spacing w:line="269" w:lineRule="auto"/>
              <w:rPr>
                <w:sz w:val="22"/>
                <w:szCs w:val="22"/>
                <w:rtl/>
              </w:rPr>
            </w:pPr>
            <w:r w:rsidRPr="00014C4D">
              <w:rPr>
                <w:sz w:val="22"/>
                <w:szCs w:val="22"/>
                <w:rtl/>
              </w:rPr>
              <w:t>13,456</w:t>
            </w:r>
          </w:p>
        </w:tc>
        <w:tc>
          <w:tcPr>
            <w:tcW w:w="1701" w:type="dxa"/>
          </w:tcPr>
          <w:p w:rsidR="00014C4D" w:rsidRPr="00014C4D" w:rsidRDefault="00014C4D" w:rsidP="00014C4D">
            <w:pPr>
              <w:spacing w:line="269" w:lineRule="auto"/>
              <w:rPr>
                <w:sz w:val="22"/>
                <w:szCs w:val="22"/>
                <w:rtl/>
              </w:rPr>
            </w:pPr>
            <w:r w:rsidRPr="00014C4D">
              <w:rPr>
                <w:sz w:val="22"/>
                <w:szCs w:val="22"/>
                <w:rtl/>
              </w:rPr>
              <w:t>דיר אל</w:t>
            </w:r>
            <w:r w:rsidRPr="00014C4D">
              <w:rPr>
                <w:rFonts w:hint="cs"/>
                <w:sz w:val="22"/>
                <w:szCs w:val="22"/>
                <w:rtl/>
              </w:rPr>
              <w:t>-אסד</w:t>
            </w:r>
          </w:p>
        </w:tc>
      </w:tr>
    </w:tbl>
    <w:p w:rsidR="00014C4D" w:rsidRPr="00014C4D" w:rsidRDefault="00014C4D" w:rsidP="00014C4D">
      <w:pPr>
        <w:spacing w:line="269" w:lineRule="auto"/>
        <w:rPr>
          <w:szCs w:val="20"/>
          <w:rtl/>
        </w:rPr>
      </w:pPr>
      <w:r w:rsidRPr="00014C4D">
        <w:rPr>
          <w:rFonts w:hint="cs"/>
          <w:szCs w:val="20"/>
          <w:rtl/>
        </w:rPr>
        <w:t>המקור: הרשות לפיתוח כלכלי במגזר המיעוטים</w:t>
      </w:r>
    </w:p>
    <w:p w:rsidR="00014C4D" w:rsidRPr="00014C4D" w:rsidRDefault="00014C4D" w:rsidP="00014C4D">
      <w:pPr>
        <w:spacing w:line="269" w:lineRule="auto"/>
        <w:ind w:left="283" w:hanging="284"/>
        <w:rPr>
          <w:sz w:val="16"/>
          <w:szCs w:val="16"/>
          <w:rtl/>
        </w:rPr>
      </w:pPr>
      <w:r w:rsidRPr="00014C4D">
        <w:rPr>
          <w:rFonts w:hint="cs"/>
          <w:szCs w:val="20"/>
          <w:rtl/>
        </w:rPr>
        <w:t xml:space="preserve">* </w:t>
      </w:r>
      <w:r w:rsidRPr="00014C4D">
        <w:rPr>
          <w:sz w:val="16"/>
          <w:szCs w:val="20"/>
          <w:rtl/>
        </w:rPr>
        <w:tab/>
        <w:t>מס</w:t>
      </w:r>
      <w:r w:rsidRPr="00014C4D">
        <w:rPr>
          <w:rFonts w:hint="cs"/>
          <w:sz w:val="16"/>
          <w:szCs w:val="20"/>
          <w:rtl/>
        </w:rPr>
        <w:t>פר</w:t>
      </w:r>
      <w:r w:rsidRPr="00014C4D">
        <w:rPr>
          <w:sz w:val="16"/>
          <w:szCs w:val="20"/>
          <w:rtl/>
        </w:rPr>
        <w:t xml:space="preserve"> התושבים - מאגר תושבים בישראל לפי </w:t>
      </w:r>
      <w:r w:rsidRPr="00014C4D">
        <w:rPr>
          <w:rFonts w:hint="cs"/>
          <w:sz w:val="16"/>
          <w:szCs w:val="20"/>
          <w:rtl/>
        </w:rPr>
        <w:t>י</w:t>
      </w:r>
      <w:r w:rsidRPr="00014C4D">
        <w:rPr>
          <w:sz w:val="16"/>
          <w:szCs w:val="20"/>
          <w:rtl/>
        </w:rPr>
        <w:t>ישובים וקבוצות גיל, נדלה מתת</w:t>
      </w:r>
      <w:r w:rsidRPr="00014C4D">
        <w:rPr>
          <w:rFonts w:hint="cs"/>
          <w:sz w:val="16"/>
          <w:szCs w:val="20"/>
          <w:rtl/>
        </w:rPr>
        <w:t>-</w:t>
      </w:r>
      <w:r w:rsidRPr="00014C4D">
        <w:rPr>
          <w:sz w:val="16"/>
          <w:szCs w:val="20"/>
          <w:rtl/>
        </w:rPr>
        <w:t>מאגר הנתונים הממשלתי, מרץ 2024. הקובץ עודכן ל־10</w:t>
      </w:r>
      <w:r w:rsidRPr="00014C4D">
        <w:rPr>
          <w:rFonts w:hint="cs"/>
          <w:sz w:val="16"/>
          <w:szCs w:val="20"/>
          <w:rtl/>
        </w:rPr>
        <w:t>.3.24</w:t>
      </w:r>
      <w:r w:rsidRPr="00014C4D">
        <w:rPr>
          <w:sz w:val="16"/>
          <w:szCs w:val="20"/>
          <w:rtl/>
        </w:rPr>
        <w:t>. מספר המקלטים בקר</w:t>
      </w:r>
      <w:r w:rsidRPr="00014C4D">
        <w:rPr>
          <w:rFonts w:hint="cs"/>
          <w:sz w:val="16"/>
          <w:szCs w:val="20"/>
          <w:rtl/>
        </w:rPr>
        <w:t>י</w:t>
      </w:r>
      <w:r w:rsidRPr="00014C4D">
        <w:rPr>
          <w:sz w:val="16"/>
          <w:szCs w:val="20"/>
          <w:rtl/>
        </w:rPr>
        <w:t>ית שמונה נלקה מאתר העירייה ולא מאתר המפות הממשלתי.</w:t>
      </w:r>
    </w:p>
    <w:p w:rsidR="00014C4D" w:rsidRPr="00014C4D" w:rsidRDefault="00014C4D" w:rsidP="00014C4D">
      <w:pPr>
        <w:spacing w:line="269" w:lineRule="auto"/>
        <w:ind w:left="283" w:hanging="284"/>
        <w:rPr>
          <w:szCs w:val="20"/>
          <w:rtl/>
        </w:rPr>
      </w:pPr>
      <w:r w:rsidRPr="00014C4D">
        <w:rPr>
          <w:rFonts w:hint="cs"/>
          <w:szCs w:val="20"/>
          <w:rtl/>
        </w:rPr>
        <w:t>**</w:t>
      </w:r>
      <w:r w:rsidRPr="00014C4D">
        <w:rPr>
          <w:szCs w:val="20"/>
          <w:rtl/>
        </w:rPr>
        <w:tab/>
      </w:r>
      <w:r w:rsidRPr="00014C4D">
        <w:rPr>
          <w:sz w:val="16"/>
          <w:szCs w:val="20"/>
          <w:rtl/>
        </w:rPr>
        <w:t>מס</w:t>
      </w:r>
      <w:r w:rsidRPr="00014C4D">
        <w:rPr>
          <w:rFonts w:hint="cs"/>
          <w:sz w:val="16"/>
          <w:szCs w:val="20"/>
          <w:rtl/>
        </w:rPr>
        <w:t>פר</w:t>
      </w:r>
      <w:r w:rsidRPr="00014C4D">
        <w:rPr>
          <w:szCs w:val="20"/>
          <w:rtl/>
        </w:rPr>
        <w:t xml:space="preserve"> המקלטים הציבוריים - אתר המפות הממשלתי, שכבת מקלטים ציבוריים, נדלה במרץ 2024. למעט עבור קר</w:t>
      </w:r>
      <w:r w:rsidRPr="00014C4D">
        <w:rPr>
          <w:rFonts w:hint="cs"/>
          <w:szCs w:val="20"/>
          <w:rtl/>
        </w:rPr>
        <w:t>י</w:t>
      </w:r>
      <w:r w:rsidRPr="00014C4D">
        <w:rPr>
          <w:szCs w:val="20"/>
          <w:rtl/>
        </w:rPr>
        <w:t>ית שמונה ושלומי.</w:t>
      </w:r>
      <w:r w:rsidRPr="00014C4D">
        <w:rPr>
          <w:rFonts w:hint="cs"/>
          <w:szCs w:val="20"/>
          <w:rtl/>
        </w:rPr>
        <w:t xml:space="preserve"> </w:t>
      </w:r>
      <w:r w:rsidRPr="00014C4D">
        <w:rPr>
          <w:szCs w:val="20"/>
          <w:rtl/>
        </w:rPr>
        <w:t>מספר המקלטים בשלומי - שיחת טלפון עם מח' הביטחון בשלומי, ב-18</w:t>
      </w:r>
      <w:r w:rsidRPr="00014C4D">
        <w:rPr>
          <w:rFonts w:hint="cs"/>
          <w:szCs w:val="20"/>
          <w:rtl/>
        </w:rPr>
        <w:t>.3.24</w:t>
      </w:r>
      <w:r w:rsidRPr="00014C4D">
        <w:rPr>
          <w:szCs w:val="20"/>
          <w:rtl/>
        </w:rPr>
        <w:t>, ולא מאתר המפות הממשלתי</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מהלוח</w:t>
      </w:r>
      <w:r w:rsidRPr="00014C4D">
        <w:rPr>
          <w:b/>
          <w:bCs/>
          <w:rtl/>
        </w:rPr>
        <w:t xml:space="preserve"> </w:t>
      </w:r>
      <w:r w:rsidRPr="00014C4D">
        <w:rPr>
          <w:rFonts w:hint="eastAsia"/>
          <w:b/>
          <w:bCs/>
          <w:rtl/>
        </w:rPr>
        <w:t>עולה</w:t>
      </w:r>
      <w:r w:rsidRPr="00014C4D">
        <w:rPr>
          <w:b/>
          <w:bCs/>
          <w:rtl/>
        </w:rPr>
        <w:t xml:space="preserve"> </w:t>
      </w:r>
      <w:r w:rsidRPr="00014C4D">
        <w:rPr>
          <w:rFonts w:hint="eastAsia"/>
          <w:b/>
          <w:bCs/>
          <w:rtl/>
        </w:rPr>
        <w:t>בצורה</w:t>
      </w:r>
      <w:r w:rsidRPr="00014C4D">
        <w:rPr>
          <w:b/>
          <w:bCs/>
          <w:rtl/>
        </w:rPr>
        <w:t xml:space="preserve"> </w:t>
      </w:r>
      <w:r w:rsidRPr="00014C4D">
        <w:rPr>
          <w:rFonts w:hint="eastAsia"/>
          <w:b/>
          <w:bCs/>
          <w:rtl/>
        </w:rPr>
        <w:t>מובהקת</w:t>
      </w:r>
      <w:r w:rsidRPr="00014C4D">
        <w:rPr>
          <w:b/>
          <w:bCs/>
          <w:rtl/>
        </w:rPr>
        <w:t xml:space="preserve"> </w:t>
      </w:r>
      <w:r w:rsidRPr="00014C4D">
        <w:rPr>
          <w:rFonts w:hint="eastAsia"/>
          <w:b/>
          <w:bCs/>
          <w:rtl/>
        </w:rPr>
        <w:t>כי</w:t>
      </w:r>
      <w:r w:rsidRPr="00014C4D">
        <w:rPr>
          <w:b/>
          <w:bCs/>
          <w:rtl/>
        </w:rPr>
        <w:t xml:space="preserve"> </w:t>
      </w:r>
      <w:r w:rsidRPr="00014C4D">
        <w:rPr>
          <w:rFonts w:hint="eastAsia"/>
          <w:b/>
          <w:bCs/>
          <w:rtl/>
        </w:rPr>
        <w:t>רמת</w:t>
      </w:r>
      <w:r w:rsidRPr="00014C4D">
        <w:rPr>
          <w:b/>
          <w:bCs/>
          <w:rtl/>
        </w:rPr>
        <w:t xml:space="preserve"> המיגון במרחב הציבורי של היישובים הערביים </w:t>
      </w:r>
      <w:r w:rsidRPr="00014C4D">
        <w:rPr>
          <w:rFonts w:hint="eastAsia"/>
          <w:b/>
          <w:bCs/>
          <w:rtl/>
        </w:rPr>
        <w:t>אפסית</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lastRenderedPageBreak/>
        <w:t>החברה עשתה גם אומדן של רמת המיגון הכוללת ביישובים אלו בהתחשב ברמת המיגון ביחידות הדיור (הסיכוי לממ"ד</w:t>
      </w:r>
      <w:r w:rsidRPr="00014C4D">
        <w:rPr>
          <w:vertAlign w:val="superscript"/>
          <w:rtl/>
        </w:rPr>
        <w:footnoteReference w:id="151"/>
      </w:r>
      <w:r w:rsidRPr="00014C4D">
        <w:rPr>
          <w:rFonts w:hint="cs"/>
          <w:rtl/>
        </w:rPr>
        <w:t>) וברמת המיגון במרחב הציבורי. בהתחשב בנתונים אלו הציעה החברה כיצד לצמצם את פערי המיגון בעת פריסת מיגוניות.</w:t>
      </w:r>
    </w:p>
    <w:p w:rsidR="00014C4D" w:rsidRPr="00014C4D" w:rsidRDefault="00014C4D" w:rsidP="00014C4D">
      <w:pPr>
        <w:keepNext/>
        <w:keepLines/>
        <w:spacing w:line="269" w:lineRule="auto"/>
        <w:outlineLvl w:val="3"/>
        <w:rPr>
          <w:rFonts w:eastAsiaTheme="majorEastAsia"/>
          <w:bCs/>
          <w:szCs w:val="26"/>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התוכנית הכלכלית לצמצום פערים בחברה הערבית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בעקבות החלטת הוועדה לענייני ביקורת המדינה מ-4.6.24 להטיל על משרד מבקר המדינה להכין חוות דעת בנושא סגירת חדר המצב, פנו למשרד מבקר המדינה ב-10.6.24 כמה עמותות שפועלות בחברה הערבית</w:t>
      </w:r>
      <w:r w:rsidRPr="00014C4D">
        <w:rPr>
          <w:vertAlign w:val="superscript"/>
          <w:rtl/>
        </w:rPr>
        <w:footnoteReference w:id="152"/>
      </w:r>
      <w:r w:rsidRPr="00014C4D">
        <w:rPr>
          <w:rFonts w:hint="cs"/>
          <w:rtl/>
        </w:rPr>
        <w:t xml:space="preserve"> (להלן - העמותות) כדי להציג את עמדתן. להלן עיקר הטענות: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פעולות הממשלה </w:t>
      </w:r>
      <w:r w:rsidRPr="00014C4D">
        <w:rPr>
          <w:rFonts w:hint="cs"/>
          <w:rtl/>
        </w:rPr>
        <w:t>להשלמת</w:t>
      </w:r>
      <w:r w:rsidRPr="00014C4D">
        <w:rPr>
          <w:rtl/>
        </w:rPr>
        <w:t xml:space="preserve"> הפערים במוכנות לחירום ביישובים הערביים נקבעו בהחלטת </w:t>
      </w:r>
      <w:r w:rsidRPr="00014C4D">
        <w:rPr>
          <w:rFonts w:hint="cs"/>
          <w:rtl/>
        </w:rPr>
        <w:t>ה</w:t>
      </w:r>
      <w:r w:rsidRPr="00014C4D">
        <w:rPr>
          <w:rtl/>
        </w:rPr>
        <w:t xml:space="preserve">ממשלה 550 </w:t>
      </w:r>
      <w:r w:rsidRPr="00014C4D">
        <w:rPr>
          <w:rFonts w:hint="cs"/>
          <w:rtl/>
        </w:rPr>
        <w:t xml:space="preserve">מאוקטובר 2021 - </w:t>
      </w:r>
      <w:r w:rsidRPr="00014C4D">
        <w:rPr>
          <w:rtl/>
        </w:rPr>
        <w:t>"התוכנית הכלכלית לצמצום פערים בחברה הערבית בשנים 202</w:t>
      </w:r>
      <w:r w:rsidRPr="00014C4D">
        <w:rPr>
          <w:rFonts w:hint="cs"/>
          <w:rtl/>
        </w:rPr>
        <w:t xml:space="preserve">2 </w:t>
      </w:r>
      <w:r w:rsidRPr="00014C4D">
        <w:rPr>
          <w:rtl/>
        </w:rPr>
        <w:t>-</w:t>
      </w:r>
      <w:r w:rsidRPr="00014C4D">
        <w:rPr>
          <w:rFonts w:hint="cs"/>
          <w:rtl/>
        </w:rPr>
        <w:t xml:space="preserve"> </w:t>
      </w:r>
      <w:r w:rsidRPr="00014C4D">
        <w:rPr>
          <w:rtl/>
        </w:rPr>
        <w:t>202</w:t>
      </w:r>
      <w:r w:rsidRPr="00014C4D">
        <w:rPr>
          <w:rFonts w:hint="cs"/>
          <w:rtl/>
        </w:rPr>
        <w:t>6</w:t>
      </w:r>
      <w:r w:rsidRPr="00014C4D">
        <w:rPr>
          <w:rtl/>
        </w:rPr>
        <w:t xml:space="preserve">". ההתייחסות לצורך בסגירת הפערים </w:t>
      </w:r>
      <w:r w:rsidRPr="00014C4D">
        <w:rPr>
          <w:rFonts w:hint="cs"/>
          <w:rtl/>
        </w:rPr>
        <w:t>האמורים</w:t>
      </w:r>
      <w:r w:rsidRPr="00014C4D">
        <w:rPr>
          <w:rtl/>
        </w:rPr>
        <w:t xml:space="preserve"> במסגרת תוכנית ז</w:t>
      </w:r>
      <w:r w:rsidRPr="00014C4D">
        <w:rPr>
          <w:rFonts w:hint="cs"/>
          <w:rtl/>
        </w:rPr>
        <w:t xml:space="preserve">ו </w:t>
      </w:r>
      <w:r w:rsidRPr="00014C4D">
        <w:rPr>
          <w:rtl/>
        </w:rPr>
        <w:t>הי</w:t>
      </w:r>
      <w:r w:rsidRPr="00014C4D">
        <w:rPr>
          <w:rFonts w:hint="cs"/>
          <w:rtl/>
        </w:rPr>
        <w:t>א</w:t>
      </w:r>
      <w:r w:rsidRPr="00014C4D">
        <w:rPr>
          <w:rtl/>
        </w:rPr>
        <w:t xml:space="preserve"> מצומצמת ודלה בתוכן</w:t>
      </w:r>
      <w:r w:rsidRPr="00014C4D">
        <w:rPr>
          <w:rFonts w:hint="cs"/>
          <w:rtl/>
        </w:rPr>
        <w:t xml:space="preserve"> </w:t>
      </w:r>
      <w:r w:rsidRPr="00014C4D">
        <w:rPr>
          <w:rtl/>
        </w:rPr>
        <w:t>ובתקציב, וכוללת בעיקר שתי פעולות</w:t>
      </w:r>
      <w:r w:rsidRPr="00014C4D">
        <w:rPr>
          <w:rFonts w:hint="cs"/>
          <w:rtl/>
        </w:rPr>
        <w:t>:</w:t>
      </w:r>
      <w:r w:rsidRPr="00014C4D">
        <w:rPr>
          <w:rFonts w:hint="cs"/>
        </w:rPr>
        <w:t xml:space="preserve"> </w:t>
      </w:r>
      <w:r w:rsidRPr="00014C4D">
        <w:rPr>
          <w:rFonts w:hint="cs"/>
          <w:rtl/>
        </w:rPr>
        <w:t>ה</w:t>
      </w:r>
      <w:r w:rsidRPr="00014C4D">
        <w:rPr>
          <w:rtl/>
        </w:rPr>
        <w:t>קמת מרכז חוסן אזורי לחברה הערבית</w:t>
      </w:r>
      <w:r w:rsidRPr="00014C4D">
        <w:rPr>
          <w:vertAlign w:val="superscript"/>
          <w:rtl/>
        </w:rPr>
        <w:footnoteReference w:id="153"/>
      </w:r>
      <w:r w:rsidRPr="00014C4D">
        <w:rPr>
          <w:rFonts w:hint="cs"/>
          <w:rtl/>
        </w:rPr>
        <w:t xml:space="preserve"> </w:t>
      </w:r>
      <w:r w:rsidRPr="00014C4D">
        <w:rPr>
          <w:rtl/>
        </w:rPr>
        <w:t xml:space="preserve">- לצורך כך </w:t>
      </w:r>
      <w:r w:rsidRPr="00014C4D">
        <w:rPr>
          <w:rFonts w:hint="cs"/>
          <w:rtl/>
        </w:rPr>
        <w:t>בשנות התוכנית יוקצה למשרד הרווחה והשירותים החברתיים סך כולל של</w:t>
      </w:r>
      <w:r w:rsidRPr="00014C4D">
        <w:rPr>
          <w:rtl/>
        </w:rPr>
        <w:t xml:space="preserve"> 4.75 מ</w:t>
      </w:r>
      <w:r w:rsidRPr="00014C4D">
        <w:rPr>
          <w:rFonts w:hint="cs"/>
          <w:rtl/>
        </w:rPr>
        <w:t xml:space="preserve">יליון </w:t>
      </w:r>
      <w:r w:rsidRPr="00014C4D">
        <w:rPr>
          <w:rtl/>
        </w:rPr>
        <w:t xml:space="preserve">ש"ח מתקציב המשרד לשוויון חברתי </w:t>
      </w:r>
      <w:r w:rsidRPr="00014C4D">
        <w:rPr>
          <w:rFonts w:hint="cs"/>
          <w:rtl/>
        </w:rPr>
        <w:t xml:space="preserve">וסך </w:t>
      </w:r>
      <w:r w:rsidRPr="00014C4D">
        <w:rPr>
          <w:rtl/>
        </w:rPr>
        <w:t>4.75 מ</w:t>
      </w:r>
      <w:r w:rsidRPr="00014C4D">
        <w:rPr>
          <w:rFonts w:hint="cs"/>
          <w:rtl/>
        </w:rPr>
        <w:t xml:space="preserve">יליון </w:t>
      </w:r>
      <w:r w:rsidRPr="00014C4D">
        <w:rPr>
          <w:rtl/>
        </w:rPr>
        <w:t xml:space="preserve">ש"ח </w:t>
      </w:r>
      <w:r w:rsidRPr="00014C4D">
        <w:rPr>
          <w:rFonts w:hint="cs"/>
          <w:rtl/>
        </w:rPr>
        <w:t xml:space="preserve">כתקציב ממשרד האוצר; </w:t>
      </w:r>
      <w:r w:rsidRPr="00014C4D">
        <w:rPr>
          <w:rtl/>
        </w:rPr>
        <w:t>שיפור ההיערכות לחירום ברשויות המקומיות הערביות</w:t>
      </w:r>
      <w:r w:rsidRPr="00014C4D">
        <w:rPr>
          <w:vertAlign w:val="superscript"/>
          <w:rtl/>
        </w:rPr>
        <w:footnoteReference w:id="154"/>
      </w:r>
      <w:r w:rsidRPr="00014C4D">
        <w:rPr>
          <w:rFonts w:hint="cs"/>
          <w:rtl/>
        </w:rPr>
        <w:t xml:space="preserve"> - </w:t>
      </w:r>
      <w:r w:rsidRPr="00014C4D">
        <w:rPr>
          <w:rtl/>
        </w:rPr>
        <w:t xml:space="preserve">לצורך כך יקצה משרד האוצר למשרד הפנים 4 </w:t>
      </w:r>
      <w:r w:rsidRPr="00014C4D">
        <w:rPr>
          <w:rFonts w:hint="cs"/>
          <w:rtl/>
        </w:rPr>
        <w:t xml:space="preserve">מיליון </w:t>
      </w:r>
      <w:r w:rsidRPr="00014C4D">
        <w:rPr>
          <w:rtl/>
        </w:rPr>
        <w:t>ש"ח בכל אחת משנות התוכנית.</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העמותות ציינו ש</w:t>
      </w:r>
      <w:r w:rsidRPr="00014C4D">
        <w:rPr>
          <w:rtl/>
        </w:rPr>
        <w:t>פעולות אלה רחוקות מלתת מענה מקיף ומספק אפילו לרשימה החלקית של הפערים במוכנות החברה</w:t>
      </w:r>
      <w:r w:rsidRPr="00014C4D">
        <w:rPr>
          <w:rFonts w:hint="cs"/>
          <w:rtl/>
        </w:rPr>
        <w:t xml:space="preserve"> </w:t>
      </w:r>
      <w:r w:rsidRPr="00014C4D">
        <w:rPr>
          <w:rtl/>
        </w:rPr>
        <w:t xml:space="preserve">הערבית למצב חירום, הן מבחינת </w:t>
      </w:r>
      <w:r w:rsidRPr="00014C4D">
        <w:rPr>
          <w:rFonts w:hint="cs"/>
          <w:rtl/>
        </w:rPr>
        <w:t>מהותן</w:t>
      </w:r>
      <w:r w:rsidRPr="00014C4D">
        <w:rPr>
          <w:rtl/>
        </w:rPr>
        <w:t xml:space="preserve"> והן מבחינת היקף התקציב</w:t>
      </w:r>
      <w:r w:rsidRPr="00014C4D">
        <w:rPr>
          <w:rFonts w:hint="cs"/>
          <w:rtl/>
        </w:rPr>
        <w:t xml:space="preserve"> </w:t>
      </w:r>
      <w:r w:rsidRPr="00014C4D">
        <w:rPr>
          <w:rtl/>
        </w:rPr>
        <w:t xml:space="preserve">המוקצה להן. כך למשל, לא </w:t>
      </w:r>
      <w:r w:rsidRPr="00014C4D">
        <w:rPr>
          <w:rFonts w:hint="cs"/>
          <w:rtl/>
        </w:rPr>
        <w:t>נקבעה ב</w:t>
      </w:r>
      <w:r w:rsidRPr="00014C4D">
        <w:rPr>
          <w:rtl/>
        </w:rPr>
        <w:t xml:space="preserve">החלטת </w:t>
      </w:r>
      <w:r w:rsidRPr="00014C4D">
        <w:rPr>
          <w:rFonts w:hint="cs"/>
          <w:rtl/>
        </w:rPr>
        <w:t>ה</w:t>
      </w:r>
      <w:r w:rsidRPr="00014C4D">
        <w:rPr>
          <w:rtl/>
        </w:rPr>
        <w:t>ממשלה 550 תוכנית לסגירת הפערים העצומים</w:t>
      </w:r>
      <w:r w:rsidRPr="00014C4D">
        <w:rPr>
          <w:rFonts w:hint="cs"/>
          <w:rtl/>
        </w:rPr>
        <w:t xml:space="preserve"> </w:t>
      </w:r>
      <w:r w:rsidRPr="00014C4D">
        <w:rPr>
          <w:rtl/>
        </w:rPr>
        <w:t>במיגון הרשויות המקומיות הערביות</w:t>
      </w:r>
      <w:r w:rsidRPr="00014C4D">
        <w:rPr>
          <w:rFonts w:hint="cs"/>
          <w:rtl/>
        </w:rPr>
        <w:t>.</w:t>
      </w:r>
      <w:r w:rsidRPr="00014C4D">
        <w:rPr>
          <w:rtl/>
        </w:rPr>
        <w:t xml:space="preserve"> </w:t>
      </w:r>
      <w:r w:rsidRPr="00014C4D">
        <w:rPr>
          <w:rFonts w:hint="cs"/>
          <w:rtl/>
        </w:rPr>
        <w:t>יצוין</w:t>
      </w:r>
      <w:r w:rsidRPr="00014C4D">
        <w:rPr>
          <w:rtl/>
        </w:rPr>
        <w:t xml:space="preserve"> כי ההקמה של מרכז חוסן אזורי לחברה הערבית</w:t>
      </w:r>
      <w:r w:rsidRPr="00014C4D">
        <w:rPr>
          <w:rFonts w:hint="cs"/>
          <w:rtl/>
        </w:rPr>
        <w:t xml:space="preserve"> </w:t>
      </w:r>
      <w:r w:rsidRPr="00014C4D">
        <w:rPr>
          <w:rtl/>
        </w:rPr>
        <w:t>התעכב</w:t>
      </w:r>
      <w:r w:rsidRPr="00014C4D">
        <w:rPr>
          <w:rFonts w:hint="cs"/>
          <w:rtl/>
        </w:rPr>
        <w:t>ה</w:t>
      </w:r>
      <w:r w:rsidRPr="00014C4D">
        <w:rPr>
          <w:rtl/>
        </w:rPr>
        <w:t xml:space="preserve"> </w:t>
      </w:r>
      <w:r w:rsidRPr="00014C4D">
        <w:rPr>
          <w:rFonts w:hint="cs"/>
          <w:rtl/>
        </w:rPr>
        <w:t>ו</w:t>
      </w:r>
      <w:r w:rsidRPr="00014C4D">
        <w:rPr>
          <w:rtl/>
        </w:rPr>
        <w:t>לא התקד</w:t>
      </w:r>
      <w:r w:rsidRPr="00014C4D">
        <w:rPr>
          <w:rFonts w:hint="cs"/>
          <w:rtl/>
        </w:rPr>
        <w:t>מה</w:t>
      </w:r>
      <w:r w:rsidRPr="00014C4D">
        <w:rPr>
          <w:rtl/>
        </w:rPr>
        <w:t xml:space="preserve"> בשנה הראשונה ליישום התוכנית, אף </w:t>
      </w:r>
      <w:r w:rsidRPr="00014C4D">
        <w:rPr>
          <w:rFonts w:hint="cs"/>
          <w:rtl/>
        </w:rPr>
        <w:t xml:space="preserve">על פי </w:t>
      </w:r>
      <w:r w:rsidRPr="00014C4D">
        <w:rPr>
          <w:rtl/>
        </w:rPr>
        <w:t>שת</w:t>
      </w:r>
      <w:r w:rsidRPr="00014C4D">
        <w:rPr>
          <w:rFonts w:hint="cs"/>
          <w:rtl/>
        </w:rPr>
        <w:t>ו</w:t>
      </w:r>
      <w:r w:rsidRPr="00014C4D">
        <w:rPr>
          <w:rtl/>
        </w:rPr>
        <w:t>קצב</w:t>
      </w:r>
      <w:r w:rsidRPr="00014C4D">
        <w:rPr>
          <w:rFonts w:hint="cs"/>
          <w:rtl/>
        </w:rPr>
        <w:t>ה</w:t>
      </w:r>
      <w:r w:rsidRPr="00014C4D">
        <w:rPr>
          <w:rtl/>
        </w:rPr>
        <w:t xml:space="preserve">, ורק </w:t>
      </w:r>
      <w:r w:rsidRPr="00014C4D">
        <w:rPr>
          <w:rFonts w:hint="cs"/>
          <w:rtl/>
        </w:rPr>
        <w:t>במאי 24</w:t>
      </w:r>
      <w:r w:rsidRPr="00014C4D">
        <w:rPr>
          <w:rtl/>
        </w:rPr>
        <w:t xml:space="preserve"> הושלם המכרז להקמת המרכז. כמו כן, בישיבות הו</w:t>
      </w:r>
      <w:r w:rsidRPr="00014C4D">
        <w:rPr>
          <w:rFonts w:hint="cs"/>
          <w:rtl/>
        </w:rPr>
        <w:t>ו</w:t>
      </w:r>
      <w:r w:rsidRPr="00014C4D">
        <w:rPr>
          <w:rtl/>
        </w:rPr>
        <w:t>עדה המתמדת</w:t>
      </w:r>
      <w:r w:rsidRPr="00014C4D">
        <w:rPr>
          <w:vertAlign w:val="superscript"/>
          <w:rtl/>
        </w:rPr>
        <w:footnoteReference w:id="155"/>
      </w:r>
      <w:r w:rsidRPr="00014C4D">
        <w:rPr>
          <w:rtl/>
        </w:rPr>
        <w:t xml:space="preserve"> בשנים 2022 ו</w:t>
      </w:r>
      <w:r w:rsidRPr="00014C4D">
        <w:rPr>
          <w:rFonts w:hint="cs"/>
          <w:rtl/>
        </w:rPr>
        <w:t>-</w:t>
      </w:r>
      <w:r w:rsidRPr="00014C4D">
        <w:rPr>
          <w:rtl/>
        </w:rPr>
        <w:t>2023</w:t>
      </w:r>
      <w:r w:rsidRPr="00014C4D">
        <w:rPr>
          <w:rFonts w:hint="cs"/>
          <w:rtl/>
        </w:rPr>
        <w:t xml:space="preserve"> </w:t>
      </w:r>
      <w:r w:rsidRPr="00014C4D">
        <w:rPr>
          <w:rtl/>
        </w:rPr>
        <w:t>לא הציג משרד הפנים תוכנית</w:t>
      </w:r>
      <w:r w:rsidRPr="00014C4D">
        <w:rPr>
          <w:rFonts w:hint="cs"/>
          <w:rtl/>
        </w:rPr>
        <w:t xml:space="preserve"> </w:t>
      </w:r>
      <w:r w:rsidRPr="00014C4D">
        <w:rPr>
          <w:rtl/>
        </w:rPr>
        <w:t>עבודה מפורטת לקידום המוכנות ל</w:t>
      </w:r>
      <w:r w:rsidRPr="00014C4D">
        <w:rPr>
          <w:rFonts w:hint="cs"/>
          <w:rtl/>
        </w:rPr>
        <w:t xml:space="preserve">שעת </w:t>
      </w:r>
      <w:r w:rsidRPr="00014C4D">
        <w:rPr>
          <w:rtl/>
        </w:rPr>
        <w:t>חירום ברשויות המקומיות הערביות. בשנת 2024 לא התקיימה ישיבה</w:t>
      </w:r>
      <w:r w:rsidRPr="00014C4D">
        <w:rPr>
          <w:rFonts w:hint="cs"/>
          <w:rtl/>
        </w:rPr>
        <w:t xml:space="preserve"> </w:t>
      </w:r>
      <w:r w:rsidRPr="00014C4D">
        <w:rPr>
          <w:rtl/>
        </w:rPr>
        <w:t>של הו</w:t>
      </w:r>
      <w:r w:rsidRPr="00014C4D">
        <w:rPr>
          <w:rFonts w:hint="cs"/>
          <w:rtl/>
        </w:rPr>
        <w:t>ו</w:t>
      </w:r>
      <w:r w:rsidRPr="00014C4D">
        <w:rPr>
          <w:rtl/>
        </w:rPr>
        <w:t xml:space="preserve">עדה המתמדת, </w:t>
      </w:r>
      <w:r w:rsidRPr="00014C4D">
        <w:rPr>
          <w:rFonts w:hint="cs"/>
          <w:rtl/>
        </w:rPr>
        <w:t>לנוכח</w:t>
      </w:r>
      <w:r w:rsidRPr="00014C4D">
        <w:rPr>
          <w:rtl/>
        </w:rPr>
        <w:t xml:space="preserve"> </w:t>
      </w:r>
      <w:r w:rsidRPr="00014C4D">
        <w:rPr>
          <w:rtl/>
        </w:rPr>
        <w:lastRenderedPageBreak/>
        <w:t>החלטת השרה לשוויון חברתי על הקפאת פעילות</w:t>
      </w:r>
      <w:r w:rsidRPr="00014C4D">
        <w:rPr>
          <w:rFonts w:hint="cs"/>
          <w:rtl/>
        </w:rPr>
        <w:t>ה</w:t>
      </w:r>
      <w:r w:rsidRPr="00014C4D">
        <w:rPr>
          <w:rtl/>
        </w:rPr>
        <w:t xml:space="preserve">, ועל כן לא הוצג </w:t>
      </w:r>
      <w:r w:rsidRPr="00014C4D">
        <w:rPr>
          <w:rFonts w:hint="cs"/>
          <w:rtl/>
        </w:rPr>
        <w:t>ל</w:t>
      </w:r>
      <w:r w:rsidRPr="00014C4D">
        <w:rPr>
          <w:rtl/>
        </w:rPr>
        <w:t xml:space="preserve">וועדה כל מידע </w:t>
      </w:r>
      <w:r w:rsidRPr="00014C4D">
        <w:rPr>
          <w:rFonts w:hint="cs"/>
          <w:rtl/>
        </w:rPr>
        <w:t xml:space="preserve">המאפשר </w:t>
      </w:r>
      <w:r w:rsidRPr="00014C4D">
        <w:rPr>
          <w:rtl/>
        </w:rPr>
        <w:t>לעקוב אחר תכנון התוכנית</w:t>
      </w:r>
      <w:r w:rsidRPr="00014C4D">
        <w:rPr>
          <w:rFonts w:hint="cs"/>
          <w:rtl/>
        </w:rPr>
        <w:t xml:space="preserve"> ויישומה</w:t>
      </w:r>
      <w:r w:rsidRPr="00014C4D">
        <w:rPr>
          <w:rtl/>
        </w:rPr>
        <w:t>.</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העמותות הוסיפו כי</w:t>
      </w:r>
      <w:r w:rsidRPr="00014C4D">
        <w:rPr>
          <w:rtl/>
        </w:rPr>
        <w:t xml:space="preserve"> במהלך אישור תקציב המדינה המתוקן לשנת 2024 אושר קיצוץ </w:t>
      </w:r>
      <w:r w:rsidRPr="00014C4D">
        <w:rPr>
          <w:rFonts w:hint="cs"/>
          <w:rtl/>
        </w:rPr>
        <w:t>של</w:t>
      </w:r>
      <w:r w:rsidRPr="00014C4D">
        <w:rPr>
          <w:rtl/>
        </w:rPr>
        <w:t xml:space="preserve"> 15%</w:t>
      </w:r>
      <w:r w:rsidRPr="00014C4D">
        <w:rPr>
          <w:rFonts w:hint="cs"/>
          <w:rtl/>
        </w:rPr>
        <w:t xml:space="preserve"> בתקציב משרדי הממשלה. </w:t>
      </w:r>
      <w:r w:rsidRPr="00014C4D">
        <w:rPr>
          <w:rtl/>
        </w:rPr>
        <w:t xml:space="preserve">בכל סעיפי תוכנית החומש לצמצום פערים בחברה הערבית </w:t>
      </w:r>
      <w:r w:rsidRPr="00014C4D">
        <w:rPr>
          <w:rFonts w:hint="cs"/>
          <w:rtl/>
        </w:rPr>
        <w:t xml:space="preserve">נעשה </w:t>
      </w:r>
      <w:r w:rsidRPr="00014C4D">
        <w:rPr>
          <w:rtl/>
        </w:rPr>
        <w:t xml:space="preserve">קיצוץ </w:t>
      </w:r>
      <w:r w:rsidRPr="00014C4D">
        <w:rPr>
          <w:rFonts w:hint="cs"/>
          <w:rtl/>
        </w:rPr>
        <w:t xml:space="preserve">הגדול פי שלושה </w:t>
      </w:r>
      <w:r w:rsidRPr="00014C4D">
        <w:rPr>
          <w:rtl/>
        </w:rPr>
        <w:t>מהקיצוץ הרוחבי בכלל</w:t>
      </w:r>
      <w:r w:rsidRPr="00014C4D">
        <w:rPr>
          <w:rFonts w:hint="cs"/>
          <w:rtl/>
        </w:rPr>
        <w:t xml:space="preserve"> </w:t>
      </w:r>
      <w:r w:rsidRPr="00014C4D">
        <w:rPr>
          <w:rtl/>
        </w:rPr>
        <w:t xml:space="preserve">משרדי הממשלה, </w:t>
      </w:r>
      <w:r w:rsidRPr="00014C4D">
        <w:rPr>
          <w:rFonts w:hint="cs"/>
          <w:rtl/>
        </w:rPr>
        <w:t xml:space="preserve">והדבר </w:t>
      </w:r>
      <w:r w:rsidRPr="00014C4D">
        <w:rPr>
          <w:rtl/>
        </w:rPr>
        <w:t xml:space="preserve">פגע </w:t>
      </w:r>
      <w:r w:rsidRPr="00014C4D">
        <w:rPr>
          <w:rFonts w:hint="cs"/>
          <w:rtl/>
        </w:rPr>
        <w:t>גם</w:t>
      </w:r>
      <w:r w:rsidRPr="00014C4D">
        <w:rPr>
          <w:rtl/>
        </w:rPr>
        <w:t xml:space="preserve"> במענים החלקיים לתחום החירום</w:t>
      </w:r>
      <w:r w:rsidRPr="00014C4D">
        <w:rPr>
          <w:rFonts w:hint="cs"/>
          <w:rtl/>
        </w:rPr>
        <w:t xml:space="preserve"> </w:t>
      </w:r>
      <w:r w:rsidRPr="00014C4D">
        <w:rPr>
          <w:rtl/>
        </w:rPr>
        <w:t>הכלולים במסגרת התוכנית.</w:t>
      </w:r>
    </w:p>
    <w:p w:rsidR="00014C4D" w:rsidRPr="00014C4D" w:rsidRDefault="00014C4D" w:rsidP="00014C4D">
      <w:pPr>
        <w:spacing w:line="269" w:lineRule="auto"/>
        <w:rPr>
          <w:b/>
          <w:bCs/>
          <w:rtl/>
        </w:rPr>
      </w:pPr>
    </w:p>
    <w:p w:rsidR="00014C4D" w:rsidRPr="00014C4D" w:rsidRDefault="00014C4D" w:rsidP="00014C4D">
      <w:pPr>
        <w:keepNext/>
        <w:keepLines/>
        <w:spacing w:line="269" w:lineRule="auto"/>
        <w:outlineLvl w:val="3"/>
        <w:rPr>
          <w:rFonts w:eastAsiaTheme="majorEastAsia"/>
          <w:bCs/>
          <w:szCs w:val="26"/>
          <w:rtl/>
        </w:rPr>
      </w:pPr>
      <w:r w:rsidRPr="00014C4D">
        <w:rPr>
          <w:rFonts w:eastAsiaTheme="majorEastAsia" w:hint="cs"/>
          <w:bCs/>
          <w:szCs w:val="26"/>
          <w:rtl/>
        </w:rPr>
        <w:t xml:space="preserve">פעילות האגף לחירום וסייבר במשרד לשוויון חברתי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t xml:space="preserve">מנכ"לית </w:t>
      </w:r>
      <w:r w:rsidRPr="00014C4D">
        <w:rPr>
          <w:rFonts w:hint="cs"/>
          <w:rtl/>
        </w:rPr>
        <w:t xml:space="preserve">המשרד לשוויון חברתי טענה לפני עובדי משרד מבקר המדינה </w:t>
      </w:r>
      <w:r w:rsidRPr="00014C4D">
        <w:rPr>
          <w:rtl/>
        </w:rPr>
        <w:t>כי האגף לחירום וסייבר במשרד</w:t>
      </w:r>
      <w:r w:rsidRPr="00014C4D">
        <w:rPr>
          <w:rFonts w:hint="cs"/>
          <w:rtl/>
        </w:rPr>
        <w:t>ה</w:t>
      </w:r>
      <w:r w:rsidRPr="00014C4D">
        <w:rPr>
          <w:rtl/>
        </w:rPr>
        <w:t xml:space="preserve"> פועל </w:t>
      </w:r>
      <w:r w:rsidRPr="00014C4D">
        <w:rPr>
          <w:rFonts w:hint="cs"/>
          <w:rtl/>
        </w:rPr>
        <w:t xml:space="preserve">למתן </w:t>
      </w:r>
      <w:r w:rsidRPr="00014C4D">
        <w:rPr>
          <w:rtl/>
        </w:rPr>
        <w:t>מעני חירום</w:t>
      </w:r>
      <w:r w:rsidRPr="00014C4D">
        <w:rPr>
          <w:rFonts w:hint="cs"/>
          <w:rtl/>
        </w:rPr>
        <w:t xml:space="preserve"> </w:t>
      </w:r>
      <w:r w:rsidRPr="00014C4D">
        <w:rPr>
          <w:rtl/>
        </w:rPr>
        <w:t>לחברה הערבית.</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w:t>
      </w:r>
      <w:r w:rsidRPr="00014C4D">
        <w:rPr>
          <w:rtl/>
        </w:rPr>
        <w:t xml:space="preserve">פגישה באוקטובר 2024 עם </w:t>
      </w:r>
      <w:r w:rsidRPr="00014C4D">
        <w:rPr>
          <w:rFonts w:hint="cs"/>
          <w:rtl/>
        </w:rPr>
        <w:t>קצין הביטחון (להלן - ה</w:t>
      </w:r>
      <w:r w:rsidRPr="00014C4D">
        <w:rPr>
          <w:rtl/>
        </w:rPr>
        <w:t>קב"ט</w:t>
      </w:r>
      <w:r w:rsidRPr="00014C4D">
        <w:rPr>
          <w:rFonts w:hint="cs"/>
          <w:rtl/>
        </w:rPr>
        <w:t>) של</w:t>
      </w:r>
      <w:r w:rsidRPr="00014C4D">
        <w:rPr>
          <w:rtl/>
        </w:rPr>
        <w:t xml:space="preserve"> המשרד </w:t>
      </w:r>
      <w:r w:rsidRPr="00014C4D">
        <w:rPr>
          <w:rFonts w:hint="cs"/>
          <w:rtl/>
        </w:rPr>
        <w:t>מסר</w:t>
      </w:r>
      <w:r w:rsidRPr="00014C4D">
        <w:rPr>
          <w:rtl/>
        </w:rPr>
        <w:t xml:space="preserve"> </w:t>
      </w:r>
      <w:r w:rsidRPr="00014C4D">
        <w:rPr>
          <w:rFonts w:hint="cs"/>
          <w:rtl/>
        </w:rPr>
        <w:t xml:space="preserve">הקב"ט </w:t>
      </w:r>
      <w:r w:rsidRPr="00014C4D">
        <w:rPr>
          <w:rtl/>
        </w:rPr>
        <w:t xml:space="preserve">כי "האגף בקשר עם </w:t>
      </w:r>
      <w:r w:rsidRPr="00014C4D">
        <w:rPr>
          <w:rFonts w:hint="cs"/>
          <w:rtl/>
        </w:rPr>
        <w:t>פקע"ר</w:t>
      </w:r>
      <w:r w:rsidRPr="00014C4D">
        <w:rPr>
          <w:rtl/>
        </w:rPr>
        <w:t xml:space="preserve"> ובונים את הצרכים שוב"</w:t>
      </w:r>
      <w:r w:rsidRPr="00014C4D">
        <w:rPr>
          <w:rFonts w:hint="cs"/>
          <w:rtl/>
        </w:rPr>
        <w:t>.</w:t>
      </w:r>
      <w:r w:rsidRPr="00014C4D">
        <w:rPr>
          <w:rtl/>
        </w:rPr>
        <w:t xml:space="preserve"> הקב"ט </w:t>
      </w:r>
      <w:r w:rsidRPr="00014C4D">
        <w:rPr>
          <w:rFonts w:hint="cs"/>
          <w:rtl/>
        </w:rPr>
        <w:t>מסר</w:t>
      </w:r>
      <w:r w:rsidRPr="00014C4D">
        <w:rPr>
          <w:rtl/>
        </w:rPr>
        <w:t xml:space="preserve"> שהוא </w:t>
      </w:r>
      <w:r w:rsidRPr="00014C4D">
        <w:rPr>
          <w:rFonts w:hint="cs"/>
          <w:rtl/>
        </w:rPr>
        <w:t xml:space="preserve">נמצא כבר </w:t>
      </w:r>
      <w:r w:rsidRPr="00014C4D">
        <w:rPr>
          <w:rtl/>
        </w:rPr>
        <w:t>תקופה ממושכת במילואים.</w:t>
      </w:r>
      <w:r w:rsidRPr="00014C4D">
        <w:rPr>
          <w:rFonts w:hint="cs"/>
          <w:rtl/>
        </w:rPr>
        <w:t xml:space="preserve"> למרות בקשת צוות הביקורת, לא הומצאו למשרד מבקר המדינה מסמכים המתעדים את פעילות האגף לחירום וסייבר במשרד לשוויון חברתי למתן מעני חירום לחברה הערבית.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בתשובתו מסר פקע"ר כי בתקופה שבה פעל</w:t>
      </w:r>
      <w:r w:rsidRPr="00014C4D">
        <w:rPr>
          <w:rtl/>
        </w:rPr>
        <w:t xml:space="preserve"> </w:t>
      </w:r>
      <w:r w:rsidRPr="00014C4D">
        <w:rPr>
          <w:rFonts w:hint="cs"/>
          <w:rtl/>
        </w:rPr>
        <w:t xml:space="preserve">חדר המצב </w:t>
      </w:r>
      <w:r w:rsidRPr="00014C4D">
        <w:rPr>
          <w:rtl/>
        </w:rPr>
        <w:t>ואחרי סגירתו המשיך פקע״ר לפעול עם המשרד לשווי</w:t>
      </w:r>
      <w:r w:rsidRPr="00014C4D">
        <w:rPr>
          <w:rFonts w:hint="cs"/>
          <w:rtl/>
        </w:rPr>
        <w:t>ו</w:t>
      </w:r>
      <w:r w:rsidRPr="00014C4D">
        <w:rPr>
          <w:rtl/>
        </w:rPr>
        <w:t>ן חברתי באופן שוטף למענה לחברה הערבית בהתאם לצרכים ו</w:t>
      </w:r>
      <w:r w:rsidRPr="00014C4D">
        <w:rPr>
          <w:rFonts w:hint="cs"/>
          <w:rtl/>
        </w:rPr>
        <w:t>ל</w:t>
      </w:r>
      <w:r w:rsidRPr="00014C4D">
        <w:rPr>
          <w:rtl/>
        </w:rPr>
        <w:t>הערכ</w:t>
      </w:r>
      <w:r w:rsidRPr="00014C4D">
        <w:rPr>
          <w:rFonts w:hint="cs"/>
          <w:rtl/>
        </w:rPr>
        <w:t>ו</w:t>
      </w:r>
      <w:r w:rsidRPr="00014C4D">
        <w:rPr>
          <w:rtl/>
        </w:rPr>
        <w:t xml:space="preserve">ת המצב.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מבדיקת פעילות אגף ביטחון, חירום וסייבר במשרד לשוויון חברתי עלה כי האגף לא פעל בתחום ההסברה והנגשת המידע של פקע"ר וגם לא בנושא המיגון. לטענת ראש האגף </w:t>
      </w:r>
      <w:r w:rsidRPr="00014C4D">
        <w:rPr>
          <w:rFonts w:hint="eastAsia"/>
          <w:rtl/>
        </w:rPr>
        <w:t>פקע</w:t>
      </w:r>
      <w:r w:rsidRPr="00014C4D">
        <w:rPr>
          <w:rtl/>
        </w:rPr>
        <w:t xml:space="preserve">"ר אינו </w:t>
      </w:r>
      <w:r w:rsidRPr="00014C4D">
        <w:rPr>
          <w:rFonts w:hint="cs"/>
          <w:rtl/>
        </w:rPr>
        <w:t>זקוק ל</w:t>
      </w:r>
      <w:r w:rsidRPr="00014C4D">
        <w:rPr>
          <w:rtl/>
        </w:rPr>
        <w:t xml:space="preserve">מוקד לעניין ההסברה והוא יודע להגיע לקהל </w:t>
      </w:r>
      <w:r w:rsidRPr="00014C4D">
        <w:rPr>
          <w:rFonts w:hint="cs"/>
          <w:rtl/>
        </w:rPr>
        <w:t>ה</w:t>
      </w:r>
      <w:r w:rsidRPr="00014C4D">
        <w:rPr>
          <w:rtl/>
        </w:rPr>
        <w:t>יעד</w:t>
      </w:r>
      <w:r w:rsidRPr="00014C4D">
        <w:rPr>
          <w:rFonts w:hint="cs"/>
          <w:rtl/>
        </w:rPr>
        <w:t xml:space="preserve"> בעצמו</w:t>
      </w:r>
      <w:r w:rsidRPr="00014C4D">
        <w:rPr>
          <w:rtl/>
        </w:rPr>
        <w:t xml:space="preserve">. למנהל האגף לא ידוע שיש פער בהסברה של </w:t>
      </w:r>
      <w:r w:rsidRPr="00014C4D">
        <w:rPr>
          <w:rFonts w:hint="cs"/>
          <w:rtl/>
        </w:rPr>
        <w:t>פקע"ר</w:t>
      </w:r>
      <w:r w:rsidRPr="00014C4D">
        <w:rPr>
          <w:rtl/>
        </w:rPr>
        <w:t xml:space="preserve"> אשר דורש ביצוע </w:t>
      </w:r>
      <w:r w:rsidRPr="00014C4D">
        <w:rPr>
          <w:rFonts w:hint="cs"/>
          <w:rtl/>
        </w:rPr>
        <w:t>"</w:t>
      </w:r>
      <w:r w:rsidRPr="00014C4D">
        <w:rPr>
          <w:rtl/>
        </w:rPr>
        <w:t>התאמות</w:t>
      </w:r>
      <w:r w:rsidRPr="00014C4D">
        <w:rPr>
          <w:rFonts w:hint="cs"/>
          <w:rtl/>
        </w:rPr>
        <w:t>"</w:t>
      </w:r>
      <w:r w:rsidRPr="00014C4D">
        <w:rPr>
          <w:rtl/>
        </w:rPr>
        <w:t xml:space="preserve">. </w:t>
      </w:r>
      <w:r w:rsidRPr="00014C4D">
        <w:rPr>
          <w:rFonts w:hint="cs"/>
          <w:rtl/>
        </w:rPr>
        <w:t xml:space="preserve">ובנוגע למיגון טען מנהל האגף כי </w:t>
      </w:r>
      <w:r w:rsidRPr="00014C4D">
        <w:rPr>
          <w:rtl/>
        </w:rPr>
        <w:t xml:space="preserve">המשרד </w:t>
      </w:r>
      <w:r w:rsidRPr="00014C4D">
        <w:rPr>
          <w:rFonts w:hint="cs"/>
          <w:rtl/>
        </w:rPr>
        <w:t xml:space="preserve">אינו </w:t>
      </w:r>
      <w:r w:rsidRPr="00014C4D">
        <w:rPr>
          <w:rtl/>
        </w:rPr>
        <w:t>אמור להתערב בנושא המיגוניות ואין לו מה לתרום בנושא.</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יצוין כי נכון למועד הביקורת עבדו </w:t>
      </w:r>
      <w:r w:rsidRPr="00014C4D">
        <w:rPr>
          <w:rtl/>
        </w:rPr>
        <w:t>באגף</w:t>
      </w:r>
      <w:r w:rsidRPr="00014C4D">
        <w:rPr>
          <w:rFonts w:hint="cs"/>
          <w:rtl/>
        </w:rPr>
        <w:t xml:space="preserve"> ביטחון, חירום וסייבר רק</w:t>
      </w:r>
      <w:r w:rsidRPr="00014C4D">
        <w:rPr>
          <w:rtl/>
        </w:rPr>
        <w:t xml:space="preserve"> מנהל תחום חירום, </w:t>
      </w:r>
      <w:r w:rsidRPr="00014C4D">
        <w:rPr>
          <w:rFonts w:hint="cs"/>
          <w:rtl/>
        </w:rPr>
        <w:t>עובד אחד במשרה</w:t>
      </w:r>
      <w:r w:rsidRPr="00014C4D">
        <w:rPr>
          <w:rtl/>
        </w:rPr>
        <w:t xml:space="preserve"> משות</w:t>
      </w:r>
      <w:r w:rsidRPr="00014C4D">
        <w:rPr>
          <w:rFonts w:hint="cs"/>
          <w:rtl/>
        </w:rPr>
        <w:t>פת למשרד ולפקע"ר - שתפקידו להבטיח תקשורת וסנכרון מלא בין שני הגופים</w:t>
      </w:r>
      <w:r w:rsidRPr="00014C4D">
        <w:rPr>
          <w:rFonts w:hint="cs"/>
        </w:rPr>
        <w:t xml:space="preserve"> </w:t>
      </w:r>
      <w:r w:rsidRPr="00014C4D">
        <w:rPr>
          <w:rFonts w:hint="cs"/>
          <w:rtl/>
        </w:rPr>
        <w:t>בתחום ההסברה</w:t>
      </w:r>
      <w:r w:rsidRPr="00014C4D">
        <w:rPr>
          <w:rtl/>
        </w:rPr>
        <w:t xml:space="preserve">, </w:t>
      </w:r>
      <w:r w:rsidRPr="00014C4D">
        <w:rPr>
          <w:rFonts w:hint="cs"/>
          <w:rtl/>
        </w:rPr>
        <w:t>ו</w:t>
      </w:r>
      <w:r w:rsidRPr="00014C4D">
        <w:rPr>
          <w:rtl/>
        </w:rPr>
        <w:t xml:space="preserve">שני </w:t>
      </w:r>
      <w:r w:rsidRPr="00014C4D">
        <w:rPr>
          <w:rFonts w:hint="cs"/>
          <w:rtl/>
        </w:rPr>
        <w:t xml:space="preserve">חיילי </w:t>
      </w:r>
      <w:r w:rsidRPr="00014C4D">
        <w:rPr>
          <w:rtl/>
        </w:rPr>
        <w:t>מילואי</w:t>
      </w:r>
      <w:r w:rsidRPr="00014C4D">
        <w:rPr>
          <w:rFonts w:hint="cs"/>
          <w:rtl/>
        </w:rPr>
        <w:t>ם שהעסיק המשרד במסגרת פעילותו</w:t>
      </w:r>
      <w:r w:rsidRPr="00014C4D">
        <w:rPr>
          <w:rtl/>
        </w:rPr>
        <w:t>.</w:t>
      </w:r>
      <w:r w:rsidRPr="00014C4D">
        <w:rPr>
          <w:rFonts w:hint="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Fonts w:hint="cs"/>
          <w:rtl/>
        </w:rPr>
        <w:t xml:space="preserve">פקע"ר מסר בתשובתו כי </w:t>
      </w:r>
      <w:r w:rsidRPr="00014C4D">
        <w:rPr>
          <w:rtl/>
        </w:rPr>
        <w:t xml:space="preserve">העובד </w:t>
      </w:r>
      <w:r w:rsidRPr="00014C4D">
        <w:rPr>
          <w:rFonts w:hint="cs"/>
          <w:rtl/>
        </w:rPr>
        <w:t xml:space="preserve">במשרה </w:t>
      </w:r>
      <w:r w:rsidRPr="00014C4D">
        <w:rPr>
          <w:rtl/>
        </w:rPr>
        <w:t>המשות</w:t>
      </w:r>
      <w:r w:rsidRPr="00014C4D">
        <w:rPr>
          <w:rFonts w:hint="cs"/>
          <w:rtl/>
        </w:rPr>
        <w:t>פת</w:t>
      </w:r>
      <w:r w:rsidRPr="00014C4D">
        <w:rPr>
          <w:rtl/>
        </w:rPr>
        <w:t xml:space="preserve"> נועד במקור להבטיח תקשורת</w:t>
      </w:r>
      <w:r w:rsidRPr="00014C4D">
        <w:rPr>
          <w:rFonts w:hint="cs"/>
          <w:rtl/>
        </w:rPr>
        <w:t xml:space="preserve"> ותיאום</w:t>
      </w:r>
      <w:r w:rsidRPr="00014C4D">
        <w:rPr>
          <w:rtl/>
        </w:rPr>
        <w:t xml:space="preserve"> בין הגופים בתחום הנגישות והאוכלוסייה עם צרכים ייחודים (ולא לסוגיות המיגון)</w:t>
      </w:r>
      <w:r w:rsidRPr="00014C4D">
        <w:rPr>
          <w:rFonts w:hint="cs"/>
          <w:rtl/>
        </w:rPr>
        <w:t>,</w:t>
      </w:r>
      <w:r w:rsidRPr="00014C4D">
        <w:rPr>
          <w:rtl/>
        </w:rPr>
        <w:t xml:space="preserve"> אך בפועל </w:t>
      </w:r>
      <w:r w:rsidRPr="00014C4D">
        <w:rPr>
          <w:rFonts w:hint="cs"/>
          <w:rtl/>
        </w:rPr>
        <w:t>לא היו למשרה</w:t>
      </w:r>
      <w:r w:rsidRPr="00014C4D">
        <w:rPr>
          <w:rtl/>
        </w:rPr>
        <w:t xml:space="preserve"> תכולות מספקות</w:t>
      </w:r>
      <w:r w:rsidRPr="00014C4D">
        <w:rPr>
          <w:rFonts w:hint="cs"/>
          <w:rtl/>
        </w:rPr>
        <w:t>,</w:t>
      </w:r>
      <w:r w:rsidRPr="00014C4D">
        <w:rPr>
          <w:rtl/>
        </w:rPr>
        <w:t xml:space="preserve"> ועל כן </w:t>
      </w:r>
      <w:r w:rsidRPr="00014C4D">
        <w:rPr>
          <w:rFonts w:hint="cs"/>
          <w:rtl/>
        </w:rPr>
        <w:t>היא בוטלה, ו</w:t>
      </w:r>
      <w:r w:rsidRPr="00014C4D">
        <w:rPr>
          <w:rtl/>
        </w:rPr>
        <w:t xml:space="preserve">כל נושא תקנות הנגישות מטופל על ידי </w:t>
      </w:r>
      <w:r w:rsidRPr="00014C4D">
        <w:rPr>
          <w:rFonts w:hint="cs"/>
          <w:rtl/>
        </w:rPr>
        <w:t>ראש ענף</w:t>
      </w:r>
      <w:r w:rsidRPr="00014C4D">
        <w:rPr>
          <w:rtl/>
        </w:rPr>
        <w:t xml:space="preserve"> התנהגות</w:t>
      </w:r>
      <w:r w:rsidRPr="00014C4D">
        <w:rPr>
          <w:rFonts w:hint="cs"/>
          <w:rtl/>
        </w:rPr>
        <w:t>.</w:t>
      </w:r>
      <w:r w:rsidRPr="00014C4D">
        <w:rPr>
          <w:rtl/>
        </w:rPr>
        <w:t xml:space="preserve"> </w:t>
      </w:r>
      <w:r w:rsidRPr="00014C4D">
        <w:rPr>
          <w:rFonts w:hint="cs"/>
          <w:rtl/>
        </w:rPr>
        <w:t>פקע"ר ציין</w:t>
      </w:r>
      <w:r w:rsidRPr="00014C4D">
        <w:rPr>
          <w:rtl/>
        </w:rPr>
        <w:t xml:space="preserve"> כי המשרד לשווי</w:t>
      </w:r>
      <w:r w:rsidRPr="00014C4D">
        <w:rPr>
          <w:rFonts w:hint="cs"/>
          <w:rtl/>
        </w:rPr>
        <w:t>ו</w:t>
      </w:r>
      <w:r w:rsidRPr="00014C4D">
        <w:rPr>
          <w:rtl/>
        </w:rPr>
        <w:t>ן חברתי לא הביע התנגדות</w:t>
      </w:r>
      <w:r w:rsidRPr="00014C4D">
        <w:rPr>
          <w:rFonts w:hint="cs"/>
          <w:rtl/>
        </w:rPr>
        <w:t xml:space="preserve"> לביטול המשרה</w:t>
      </w:r>
      <w:r w:rsidRPr="00014C4D">
        <w:rPr>
          <w:rtl/>
        </w:rPr>
        <w:t xml:space="preserve"> או צורך </w:t>
      </w:r>
      <w:r w:rsidRPr="00014C4D">
        <w:rPr>
          <w:rFonts w:hint="cs"/>
          <w:rtl/>
        </w:rPr>
        <w:t>במינוי בעל תפקיד חדש למילוי המשימות בתחום זה.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נמצא</w:t>
      </w:r>
      <w:r w:rsidRPr="00014C4D">
        <w:rPr>
          <w:b/>
          <w:bCs/>
          <w:rtl/>
        </w:rPr>
        <w:t xml:space="preserve"> כי </w:t>
      </w:r>
      <w:r w:rsidRPr="00014C4D">
        <w:rPr>
          <w:rFonts w:hint="cs"/>
          <w:b/>
          <w:bCs/>
          <w:rtl/>
        </w:rPr>
        <w:t>במצב החירום שנוצר עם פרוץ מלחמת חרבות ברזל, לא נמצא</w:t>
      </w:r>
      <w:r w:rsidRPr="00014C4D">
        <w:rPr>
          <w:b/>
          <w:bCs/>
          <w:rtl/>
        </w:rPr>
        <w:t xml:space="preserve"> גורם </w:t>
      </w:r>
      <w:r w:rsidRPr="00014C4D">
        <w:rPr>
          <w:rFonts w:hint="eastAsia"/>
          <w:b/>
          <w:bCs/>
          <w:rtl/>
        </w:rPr>
        <w:t>ש</w:t>
      </w:r>
      <w:r w:rsidRPr="00014C4D">
        <w:rPr>
          <w:rFonts w:hint="cs"/>
          <w:b/>
          <w:bCs/>
          <w:rtl/>
        </w:rPr>
        <w:t>י</w:t>
      </w:r>
      <w:r w:rsidRPr="00014C4D">
        <w:rPr>
          <w:rFonts w:hint="eastAsia"/>
          <w:b/>
          <w:bCs/>
          <w:rtl/>
        </w:rPr>
        <w:t>בצע</w:t>
      </w:r>
      <w:r w:rsidRPr="00014C4D">
        <w:rPr>
          <w:b/>
          <w:bCs/>
          <w:rtl/>
        </w:rPr>
        <w:t xml:space="preserve"> את המשימות </w:t>
      </w:r>
      <w:r w:rsidRPr="00014C4D">
        <w:rPr>
          <w:rFonts w:hint="cs"/>
          <w:b/>
          <w:bCs/>
          <w:rtl/>
        </w:rPr>
        <w:t>שביצע חדר המצב</w:t>
      </w:r>
      <w:r w:rsidRPr="00014C4D">
        <w:rPr>
          <w:b/>
          <w:bCs/>
          <w:rtl/>
        </w:rPr>
        <w:t xml:space="preserve"> לחברה הערבית</w:t>
      </w:r>
      <w:r w:rsidRPr="00014C4D">
        <w:rPr>
          <w:rFonts w:hint="cs"/>
          <w:b/>
          <w:bCs/>
          <w:rtl/>
        </w:rPr>
        <w:t xml:space="preserve"> וייתן לה מענה ראוי באופן מיידי.</w:t>
      </w:r>
      <w:r w:rsidRPr="00014C4D">
        <w:rPr>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rtl/>
        </w:rPr>
      </w:pPr>
      <w:r w:rsidRPr="00014C4D">
        <w:rPr>
          <w:rtl/>
        </w:rPr>
        <w:lastRenderedPageBreak/>
        <w:t xml:space="preserve">המשרד לשוויון חברתי </w:t>
      </w:r>
      <w:r w:rsidRPr="00014C4D">
        <w:rPr>
          <w:rFonts w:hint="cs"/>
          <w:rtl/>
        </w:rPr>
        <w:t>מסר</w:t>
      </w:r>
      <w:r w:rsidRPr="00014C4D">
        <w:rPr>
          <w:rtl/>
        </w:rPr>
        <w:t xml:space="preserve"> בת</w:t>
      </w:r>
      <w:r w:rsidRPr="00014C4D">
        <w:rPr>
          <w:rFonts w:hint="cs"/>
          <w:rtl/>
        </w:rPr>
        <w:t>שובתו למשרד מבקר המדינה מיולי 2025</w:t>
      </w:r>
      <w:r w:rsidRPr="00014C4D">
        <w:rPr>
          <w:rtl/>
        </w:rPr>
        <w:t xml:space="preserve"> כי הרשות לפיתוח כלכלי חברתי אמונה</w:t>
      </w:r>
      <w:r w:rsidRPr="00014C4D">
        <w:rPr>
          <w:rFonts w:hint="cs"/>
          <w:rtl/>
        </w:rPr>
        <w:t>,</w:t>
      </w:r>
      <w:r w:rsidRPr="00014C4D">
        <w:rPr>
          <w:rtl/>
        </w:rPr>
        <w:t xml:space="preserve"> בין היתר, על תכלול המענים הממשלתיים ל</w:t>
      </w:r>
      <w:r w:rsidRPr="00014C4D">
        <w:rPr>
          <w:rFonts w:hint="cs"/>
          <w:rtl/>
        </w:rPr>
        <w:t>חברה הערבית</w:t>
      </w:r>
      <w:r w:rsidRPr="00014C4D">
        <w:rPr>
          <w:rtl/>
        </w:rPr>
        <w:t>. לצורך כך</w:t>
      </w:r>
      <w:r w:rsidRPr="00014C4D">
        <w:rPr>
          <w:rFonts w:hint="cs"/>
          <w:rtl/>
        </w:rPr>
        <w:t xml:space="preserve"> מונו</w:t>
      </w:r>
      <w:r w:rsidRPr="00014C4D">
        <w:rPr>
          <w:rtl/>
        </w:rPr>
        <w:t xml:space="preserve"> ממצי-משאבים ברשויות המקומיות שחלק מהגדרת תפקידם הי</w:t>
      </w:r>
      <w:r w:rsidRPr="00014C4D">
        <w:rPr>
          <w:rFonts w:hint="cs"/>
          <w:rtl/>
        </w:rPr>
        <w:t>א</w:t>
      </w:r>
      <w:r w:rsidRPr="00014C4D">
        <w:rPr>
          <w:rtl/>
        </w:rPr>
        <w:t xml:space="preserve"> הגדלת המוכנות של הרש</w:t>
      </w:r>
      <w:r w:rsidRPr="00014C4D">
        <w:rPr>
          <w:rFonts w:hint="cs"/>
          <w:rtl/>
        </w:rPr>
        <w:t>ויות המקומיות</w:t>
      </w:r>
      <w:r w:rsidRPr="00014C4D">
        <w:rPr>
          <w:rtl/>
        </w:rPr>
        <w:t xml:space="preserve"> </w:t>
      </w:r>
      <w:r w:rsidRPr="00014C4D">
        <w:rPr>
          <w:rFonts w:hint="cs"/>
          <w:rtl/>
        </w:rPr>
        <w:t xml:space="preserve">לשעת </w:t>
      </w:r>
      <w:r w:rsidRPr="00014C4D">
        <w:rPr>
          <w:rtl/>
        </w:rPr>
        <w:t>חירום, ובזמן מלחמה הפעלתם ופעילות רציפה מולם אמורה לייתר פתיחת מוקדים וחדרי מצב לסוגיהם.</w:t>
      </w:r>
      <w:r w:rsidRPr="00014C4D">
        <w:rPr>
          <w:rFonts w:hint="cs"/>
          <w:rtl/>
        </w:rPr>
        <w:t xml:space="preserve"> </w:t>
      </w:r>
      <w:r w:rsidRPr="00014C4D">
        <w:rPr>
          <w:rtl/>
        </w:rPr>
        <w:t>מטרת חדר המצב לא הייתה לתת מענה לצרכים החברתיים והקהילתיים</w:t>
      </w:r>
      <w:r w:rsidRPr="00014C4D">
        <w:rPr>
          <w:rFonts w:hint="cs"/>
          <w:rtl/>
        </w:rPr>
        <w:t xml:space="preserve"> של החברה הערבית</w:t>
      </w:r>
      <w:r w:rsidRPr="00014C4D">
        <w:rPr>
          <w:rtl/>
        </w:rPr>
        <w:t xml:space="preserve"> כי אם לשמש חדר מצב </w:t>
      </w:r>
      <w:r w:rsidRPr="00014C4D">
        <w:rPr>
          <w:rFonts w:hint="cs"/>
          <w:rtl/>
        </w:rPr>
        <w:t>ש</w:t>
      </w:r>
      <w:r w:rsidRPr="00014C4D">
        <w:rPr>
          <w:rtl/>
        </w:rPr>
        <w:t xml:space="preserve">במסגרתו ייאספו נתונים, </w:t>
      </w:r>
      <w:r w:rsidRPr="00014C4D">
        <w:rPr>
          <w:rFonts w:hint="cs"/>
          <w:rtl/>
        </w:rPr>
        <w:t xml:space="preserve">מידע על </w:t>
      </w:r>
      <w:r w:rsidRPr="00014C4D">
        <w:rPr>
          <w:rtl/>
        </w:rPr>
        <w:t xml:space="preserve">צרכים </w:t>
      </w:r>
      <w:r w:rsidRPr="00014C4D">
        <w:rPr>
          <w:rFonts w:hint="cs"/>
          <w:rtl/>
        </w:rPr>
        <w:t>ו</w:t>
      </w:r>
      <w:r w:rsidRPr="00014C4D">
        <w:rPr>
          <w:rtl/>
        </w:rPr>
        <w:t xml:space="preserve">אתגרים ועדכונים מהרשויות הערביות </w:t>
      </w:r>
      <w:r w:rsidRPr="00014C4D">
        <w:rPr>
          <w:rFonts w:hint="cs"/>
          <w:rtl/>
        </w:rPr>
        <w:t>והעלאתם ל</w:t>
      </w:r>
      <w:r w:rsidRPr="00014C4D">
        <w:rPr>
          <w:rtl/>
        </w:rPr>
        <w:t>פני גורמי מדיניות</w:t>
      </w:r>
      <w:r w:rsidRPr="00014C4D">
        <w:rPr>
          <w:rFonts w:hint="cs"/>
          <w:rtl/>
        </w:rPr>
        <w:t>,</w:t>
      </w:r>
      <w:r w:rsidRPr="00014C4D">
        <w:rPr>
          <w:rtl/>
        </w:rPr>
        <w:t xml:space="preserve"> ומאידך </w:t>
      </w:r>
      <w:r w:rsidRPr="00014C4D">
        <w:rPr>
          <w:rFonts w:hint="cs"/>
          <w:rtl/>
        </w:rPr>
        <w:t>לבצע</w:t>
      </w:r>
      <w:r w:rsidRPr="00014C4D">
        <w:rPr>
          <w:rtl/>
        </w:rPr>
        <w:t xml:space="preserve"> פעולות הסברה</w:t>
      </w:r>
      <w:r w:rsidRPr="00014C4D">
        <w:rPr>
          <w:rFonts w:hint="cs"/>
          <w:rtl/>
        </w:rPr>
        <w:t>,</w:t>
      </w:r>
      <w:r w:rsidRPr="00014C4D">
        <w:rPr>
          <w:rtl/>
        </w:rPr>
        <w:t xml:space="preserve"> </w:t>
      </w:r>
      <w:r w:rsidRPr="00014C4D">
        <w:rPr>
          <w:rFonts w:hint="cs"/>
          <w:rtl/>
        </w:rPr>
        <w:t>ו</w:t>
      </w:r>
      <w:r w:rsidRPr="00014C4D">
        <w:rPr>
          <w:rtl/>
        </w:rPr>
        <w:t xml:space="preserve">פעילות </w:t>
      </w:r>
      <w:r w:rsidRPr="00014C4D">
        <w:rPr>
          <w:rFonts w:hint="cs"/>
          <w:rtl/>
        </w:rPr>
        <w:t xml:space="preserve">זו </w:t>
      </w:r>
      <w:r w:rsidRPr="00014C4D">
        <w:rPr>
          <w:rtl/>
        </w:rPr>
        <w:t xml:space="preserve">יכולה להיעשות במגע ישיר בין ממצי </w:t>
      </w:r>
      <w:r w:rsidRPr="00014C4D">
        <w:rPr>
          <w:rFonts w:hint="cs"/>
          <w:rtl/>
        </w:rPr>
        <w:t xml:space="preserve">המשאבים </w:t>
      </w:r>
      <w:r w:rsidRPr="00014C4D">
        <w:rPr>
          <w:rtl/>
        </w:rPr>
        <w:t>ב</w:t>
      </w:r>
      <w:r w:rsidRPr="00014C4D">
        <w:rPr>
          <w:rFonts w:hint="cs"/>
          <w:rtl/>
        </w:rPr>
        <w:t>רשויות המקומיות</w:t>
      </w:r>
      <w:r w:rsidRPr="00014C4D">
        <w:rPr>
          <w:rtl/>
        </w:rPr>
        <w:t xml:space="preserve"> ל</w:t>
      </w:r>
      <w:r w:rsidRPr="00014C4D">
        <w:rPr>
          <w:rFonts w:hint="cs"/>
          <w:rtl/>
        </w:rPr>
        <w:t xml:space="preserve">בין </w:t>
      </w:r>
      <w:r w:rsidRPr="00014C4D">
        <w:rPr>
          <w:rtl/>
        </w:rPr>
        <w:t xml:space="preserve">גורם המקצועי האמון על כך במשרד. </w:t>
      </w:r>
    </w:p>
    <w:p w:rsidR="00014C4D" w:rsidRPr="00014C4D" w:rsidRDefault="00014C4D" w:rsidP="00014C4D">
      <w:pPr>
        <w:spacing w:line="269" w:lineRule="auto"/>
        <w:rPr>
          <w:rtl/>
        </w:rPr>
      </w:pPr>
    </w:p>
    <w:p w:rsidR="00014C4D" w:rsidRPr="00014C4D" w:rsidRDefault="00014C4D" w:rsidP="00014C4D">
      <w:pPr>
        <w:spacing w:line="269" w:lineRule="auto"/>
        <w:jc w:val="center"/>
        <w:rPr>
          <w:rFonts w:ascii="Arial" w:hAnsi="Arial" w:cs="Arial"/>
          <w:sz w:val="36"/>
          <w:rtl/>
        </w:rPr>
      </w:pPr>
      <w:r w:rsidRPr="00014C4D">
        <w:rPr>
          <w:rFonts w:ascii="Segoe UI Symbol" w:hAnsi="Segoe UI Symbol" w:cs="Segoe UI Symbol" w:hint="cs"/>
          <w:sz w:val="36"/>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החלטת </w:t>
      </w:r>
      <w:r w:rsidRPr="00014C4D">
        <w:rPr>
          <w:rFonts w:hint="cs"/>
          <w:b/>
          <w:bCs/>
          <w:rtl/>
        </w:rPr>
        <w:t>ה</w:t>
      </w:r>
      <w:r w:rsidRPr="00014C4D">
        <w:rPr>
          <w:b/>
          <w:bCs/>
          <w:rtl/>
        </w:rPr>
        <w:t xml:space="preserve">משרד </w:t>
      </w:r>
      <w:r w:rsidRPr="00014C4D">
        <w:rPr>
          <w:rFonts w:hint="cs"/>
          <w:b/>
          <w:bCs/>
          <w:rtl/>
        </w:rPr>
        <w:t>לשוויון חברתי</w:t>
      </w:r>
      <w:r w:rsidRPr="00014C4D">
        <w:rPr>
          <w:b/>
          <w:bCs/>
          <w:rtl/>
        </w:rPr>
        <w:t xml:space="preserve"> לסגור את </w:t>
      </w:r>
      <w:r w:rsidRPr="00014C4D">
        <w:rPr>
          <w:rFonts w:hint="cs"/>
          <w:b/>
          <w:bCs/>
          <w:rtl/>
        </w:rPr>
        <w:t xml:space="preserve">חדר המצב לחברה הערבית </w:t>
      </w:r>
      <w:r w:rsidRPr="00014C4D">
        <w:rPr>
          <w:b/>
          <w:bCs/>
          <w:rtl/>
        </w:rPr>
        <w:t>נתקלה בהתנגדות</w:t>
      </w:r>
      <w:r w:rsidRPr="00014C4D">
        <w:rPr>
          <w:rFonts w:hint="cs"/>
          <w:b/>
          <w:bCs/>
          <w:rtl/>
        </w:rPr>
        <w:t xml:space="preserve"> פנים-משרדית של הרשות לפיתוח כלכלי של מגזר המיעוטים וכן בהתנגדות</w:t>
      </w:r>
      <w:r w:rsidRPr="00014C4D">
        <w:rPr>
          <w:b/>
          <w:bCs/>
          <w:rtl/>
        </w:rPr>
        <w:t xml:space="preserve"> ועד ראשי הרשויות הערביות ו</w:t>
      </w:r>
      <w:r w:rsidRPr="00014C4D">
        <w:rPr>
          <w:rFonts w:hint="cs"/>
          <w:b/>
          <w:bCs/>
          <w:rtl/>
        </w:rPr>
        <w:t>עמותות שונות (כפי שעלה ממכתב משותף של עמותות אלה למבקר המדינה ביוני 2024</w:t>
      </w:r>
      <w:r w:rsidRPr="00014C4D">
        <w:rPr>
          <w:b/>
          <w:bCs/>
          <w:vertAlign w:val="superscript"/>
          <w:rtl/>
        </w:rPr>
        <w:footnoteReference w:id="156"/>
      </w:r>
      <w:r w:rsidRPr="00014C4D">
        <w:rPr>
          <w:rFonts w:hint="cs"/>
          <w:b/>
          <w:bCs/>
          <w:rtl/>
        </w:rPr>
        <w:t>)</w:t>
      </w:r>
      <w:r w:rsidRPr="00014C4D">
        <w:rPr>
          <w:b/>
          <w:bCs/>
          <w:rtl/>
        </w:rPr>
        <w:t>. גורמים אלו ציינו ש</w:t>
      </w:r>
      <w:r w:rsidRPr="00014C4D">
        <w:rPr>
          <w:rFonts w:hint="cs"/>
          <w:b/>
          <w:bCs/>
          <w:rtl/>
        </w:rPr>
        <w:t>ל</w:t>
      </w:r>
      <w:r w:rsidRPr="00014C4D">
        <w:rPr>
          <w:b/>
          <w:bCs/>
          <w:rtl/>
        </w:rPr>
        <w:t xml:space="preserve">מוקד היה </w:t>
      </w:r>
      <w:r w:rsidRPr="00014C4D">
        <w:rPr>
          <w:rFonts w:hint="cs"/>
          <w:b/>
          <w:bCs/>
          <w:rtl/>
        </w:rPr>
        <w:t>ערך מוסף</w:t>
      </w:r>
      <w:r w:rsidRPr="00014C4D">
        <w:rPr>
          <w:b/>
          <w:bCs/>
          <w:rtl/>
        </w:rPr>
        <w:t xml:space="preserve"> בהנגשת מידע חיוני, בניהול משברים בזמן אמת ובהפחתת מתחים בחברה הערבית</w:t>
      </w:r>
      <w:r w:rsidRPr="00014C4D">
        <w:rPr>
          <w:rFonts w:hint="cs"/>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העמותות ציינו במכתבן למבקר המדינה מיוני 2024 כי ב</w:t>
      </w:r>
      <w:r w:rsidRPr="00014C4D">
        <w:rPr>
          <w:b/>
          <w:bCs/>
          <w:rtl/>
        </w:rPr>
        <w:t>היעדר תוכנית ממשלתית סדורה, מאושרת ומתוקצבת לסגירת</w:t>
      </w:r>
      <w:r w:rsidRPr="00014C4D">
        <w:rPr>
          <w:rFonts w:hint="cs"/>
          <w:b/>
          <w:bCs/>
          <w:rtl/>
        </w:rPr>
        <w:t xml:space="preserve"> פערי</w:t>
      </w:r>
      <w:r w:rsidRPr="00014C4D">
        <w:rPr>
          <w:b/>
          <w:bCs/>
          <w:rtl/>
        </w:rPr>
        <w:t xml:space="preserve"> </w:t>
      </w:r>
      <w:r w:rsidRPr="00014C4D">
        <w:rPr>
          <w:rFonts w:hint="cs"/>
          <w:b/>
          <w:bCs/>
          <w:rtl/>
        </w:rPr>
        <w:t>המ</w:t>
      </w:r>
      <w:r w:rsidRPr="00014C4D">
        <w:rPr>
          <w:b/>
          <w:bCs/>
          <w:rtl/>
        </w:rPr>
        <w:t xml:space="preserve">וכנות לחירום בחברה הערבית, ולאור הצורך בבניית שותפות הדוקה בין השלטון המרכזי </w:t>
      </w:r>
      <w:r w:rsidRPr="00014C4D">
        <w:rPr>
          <w:rFonts w:hint="cs"/>
          <w:b/>
          <w:bCs/>
          <w:rtl/>
        </w:rPr>
        <w:t>ל</w:t>
      </w:r>
      <w:r w:rsidRPr="00014C4D">
        <w:rPr>
          <w:b/>
          <w:bCs/>
          <w:rtl/>
        </w:rPr>
        <w:t xml:space="preserve">שלטון המקומי בחברה הערבית </w:t>
      </w:r>
      <w:r w:rsidRPr="00014C4D">
        <w:rPr>
          <w:rFonts w:hint="cs"/>
          <w:b/>
          <w:bCs/>
          <w:rtl/>
        </w:rPr>
        <w:t>כדי</w:t>
      </w:r>
      <w:r w:rsidRPr="00014C4D">
        <w:rPr>
          <w:b/>
          <w:bCs/>
          <w:rtl/>
        </w:rPr>
        <w:t xml:space="preserve"> לזהות</w:t>
      </w:r>
      <w:r w:rsidRPr="00014C4D">
        <w:rPr>
          <w:rFonts w:hint="cs"/>
          <w:b/>
          <w:bCs/>
          <w:rtl/>
        </w:rPr>
        <w:t xml:space="preserve"> את</w:t>
      </w:r>
      <w:r w:rsidRPr="00014C4D">
        <w:rPr>
          <w:b/>
          <w:bCs/>
          <w:rtl/>
        </w:rPr>
        <w:t xml:space="preserve"> צ</w:t>
      </w:r>
      <w:r w:rsidRPr="00014C4D">
        <w:rPr>
          <w:rFonts w:hint="cs"/>
          <w:b/>
          <w:bCs/>
          <w:rtl/>
        </w:rPr>
        <w:t>ו</w:t>
      </w:r>
      <w:r w:rsidRPr="00014C4D">
        <w:rPr>
          <w:b/>
          <w:bCs/>
          <w:rtl/>
        </w:rPr>
        <w:t xml:space="preserve">רכי החירום של הרשויות הערביות </w:t>
      </w:r>
      <w:r w:rsidRPr="00014C4D">
        <w:rPr>
          <w:rFonts w:hint="cs"/>
          <w:b/>
          <w:bCs/>
          <w:rtl/>
        </w:rPr>
        <w:t xml:space="preserve">ולטפל בהם </w:t>
      </w:r>
      <w:r w:rsidRPr="00014C4D">
        <w:rPr>
          <w:b/>
          <w:bCs/>
          <w:rtl/>
        </w:rPr>
        <w:t xml:space="preserve">באופן אפקטיבי, הקמת </w:t>
      </w:r>
      <w:r w:rsidRPr="00014C4D">
        <w:rPr>
          <w:rFonts w:hint="cs"/>
          <w:b/>
          <w:bCs/>
          <w:rtl/>
        </w:rPr>
        <w:t xml:space="preserve">חדר המצב </w:t>
      </w:r>
      <w:r w:rsidRPr="00014C4D">
        <w:rPr>
          <w:b/>
          <w:bCs/>
          <w:rtl/>
        </w:rPr>
        <w:t>הייתה צעד חשוב ומוערך</w:t>
      </w:r>
      <w:r w:rsidRPr="00014C4D">
        <w:rPr>
          <w:rFonts w:hint="cs"/>
          <w:b/>
          <w:bCs/>
          <w:rtl/>
        </w:rPr>
        <w:t xml:space="preserve"> והייתה </w:t>
      </w:r>
      <w:r w:rsidRPr="00014C4D">
        <w:rPr>
          <w:b/>
          <w:bCs/>
          <w:rtl/>
        </w:rPr>
        <w:t>הצדקה לפעולתו</w:t>
      </w:r>
      <w:r w:rsidRPr="00014C4D">
        <w:rPr>
          <w:rFonts w:hint="cs"/>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לדעת משרד מבקר המדינה, נוכח ה</w:t>
      </w:r>
      <w:r w:rsidRPr="00014C4D">
        <w:rPr>
          <w:b/>
          <w:bCs/>
          <w:rtl/>
        </w:rPr>
        <w:t>מציאות המ</w:t>
      </w:r>
      <w:r w:rsidRPr="00014C4D">
        <w:rPr>
          <w:rFonts w:hint="cs"/>
          <w:b/>
          <w:bCs/>
          <w:rtl/>
        </w:rPr>
        <w:t>ורכבת וחוסר הוודאות שנוצרו לאחר פרוץ המלחמה פעילותו של חדר המצב הייתה מבורכת, העלתה צרכים מהשטח</w:t>
      </w:r>
      <w:r w:rsidRPr="00014C4D">
        <w:rPr>
          <w:b/>
          <w:bCs/>
          <w:rtl/>
        </w:rPr>
        <w:t xml:space="preserve"> ל</w:t>
      </w:r>
      <w:r w:rsidRPr="00014C4D">
        <w:rPr>
          <w:rFonts w:hint="cs"/>
          <w:b/>
          <w:bCs/>
          <w:rtl/>
        </w:rPr>
        <w:t xml:space="preserve">פני </w:t>
      </w:r>
      <w:r w:rsidRPr="00014C4D">
        <w:rPr>
          <w:b/>
          <w:bCs/>
          <w:rtl/>
        </w:rPr>
        <w:t>גורמי הממשלה</w:t>
      </w:r>
      <w:r w:rsidRPr="00014C4D">
        <w:rPr>
          <w:rFonts w:hint="cs"/>
          <w:b/>
          <w:bCs/>
          <w:rtl/>
        </w:rPr>
        <w:t xml:space="preserve"> השונים וסייעה במתן מענה לצורכי החירום</w:t>
      </w:r>
      <w:r w:rsidRPr="00014C4D">
        <w:rPr>
          <w:b/>
          <w:bCs/>
          <w:rtl/>
        </w:rPr>
        <w:t>.</w:t>
      </w:r>
      <w:r w:rsidRPr="00014C4D">
        <w:rPr>
          <w:rFonts w:hint="cs"/>
          <w:b/>
          <w:bCs/>
          <w:rtl/>
        </w:rPr>
        <w:t xml:space="preserve"> ואולם, מאחר שמטרת הקמת חדר המצב הייתה לשמש "מרכז מידע, דיווח, הנחייה וסיוע לחברה הערבית בהתאמה מלאה לתנאים המשתנים ולהוראות פקע"ר ויתר הרשויות המוסמכות בעת חירום" - עם התמשכות המלחמה והיווצרות של שגרת מלחמה ושל מענים נוספים בנושא, לא היה הכרח בהמשך פעילותו של חדר המצב. עם זאת, ראוי היה כי קודם קבלת ההחלטה על סגירת חדר המצב תפנה </w:t>
      </w:r>
      <w:r w:rsidRPr="00014C4D">
        <w:rPr>
          <w:b/>
          <w:bCs/>
          <w:rtl/>
        </w:rPr>
        <w:t xml:space="preserve">הנהלת המשרד </w:t>
      </w:r>
      <w:r w:rsidRPr="00014C4D">
        <w:rPr>
          <w:rFonts w:hint="cs"/>
          <w:b/>
          <w:bCs/>
          <w:rtl/>
        </w:rPr>
        <w:t xml:space="preserve">לשוויון חברתי </w:t>
      </w:r>
      <w:r w:rsidRPr="00014C4D">
        <w:rPr>
          <w:b/>
          <w:bCs/>
          <w:rtl/>
        </w:rPr>
        <w:t xml:space="preserve">לגופים השונים שלדעתה נותנים את המענה </w:t>
      </w:r>
      <w:r w:rsidRPr="00014C4D">
        <w:rPr>
          <w:rFonts w:hint="cs"/>
          <w:b/>
          <w:bCs/>
          <w:rtl/>
        </w:rPr>
        <w:t>הנדרש לחברה הערבית בשעת חירום ותבקש לדעת מה עמדתם בנושא.</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color w:val="0070C0"/>
          <w:rtl/>
        </w:rPr>
      </w:pPr>
      <w:r w:rsidRPr="00014C4D">
        <w:rPr>
          <w:rFonts w:hint="eastAsia"/>
          <w:bCs/>
          <w:rtl/>
        </w:rPr>
        <w:t>ולצד</w:t>
      </w:r>
      <w:r w:rsidRPr="00014C4D">
        <w:rPr>
          <w:bCs/>
          <w:rtl/>
        </w:rPr>
        <w:t xml:space="preserve"> </w:t>
      </w:r>
      <w:r w:rsidRPr="00014C4D">
        <w:rPr>
          <w:rFonts w:hint="eastAsia"/>
          <w:bCs/>
          <w:rtl/>
        </w:rPr>
        <w:t>האמור</w:t>
      </w:r>
      <w:r w:rsidRPr="00014C4D">
        <w:rPr>
          <w:bCs/>
          <w:rtl/>
        </w:rPr>
        <w:t>,</w:t>
      </w:r>
      <w:r w:rsidRPr="00014C4D">
        <w:rPr>
          <w:rFonts w:hint="cs"/>
          <w:bCs/>
          <w:rtl/>
        </w:rPr>
        <w:t xml:space="preserve"> </w:t>
      </w:r>
      <w:r w:rsidRPr="00014C4D">
        <w:rPr>
          <w:bCs/>
          <w:rtl/>
        </w:rPr>
        <w:t>הפערים במענים ממשלתיים הניתנים לצ</w:t>
      </w:r>
      <w:r w:rsidRPr="00014C4D">
        <w:rPr>
          <w:rFonts w:hint="cs"/>
          <w:bCs/>
          <w:rtl/>
        </w:rPr>
        <w:t>ו</w:t>
      </w:r>
      <w:r w:rsidRPr="00014C4D">
        <w:rPr>
          <w:bCs/>
          <w:rtl/>
        </w:rPr>
        <w:t xml:space="preserve">רכי החירום של החברה הערבית מדגישים את הצורך שמשרד ראש הממשלה בשיתוף המשרד לשוויון חברתי, יפעלו להקמת גוף מתכלל שיוכל לרתום את משרדי הממשלה, השלטון המקומי והגופים הציבוריים הרלוונטיים לסגירת הפערים במוכנות האזרחית לחירום כדי לצמצם </w:t>
      </w:r>
      <w:r w:rsidRPr="00014C4D">
        <w:rPr>
          <w:rFonts w:hint="cs"/>
          <w:bCs/>
          <w:rtl/>
        </w:rPr>
        <w:t>את הפגיעה ה</w:t>
      </w:r>
      <w:r w:rsidRPr="00014C4D">
        <w:rPr>
          <w:bCs/>
          <w:rtl/>
        </w:rPr>
        <w:t xml:space="preserve">אפשרית </w:t>
      </w:r>
      <w:r w:rsidRPr="00014C4D">
        <w:rPr>
          <w:rFonts w:hint="cs"/>
          <w:bCs/>
          <w:rtl/>
        </w:rPr>
        <w:t>באזרחים עקב ה</w:t>
      </w:r>
      <w:r w:rsidRPr="00014C4D">
        <w:rPr>
          <w:bCs/>
          <w:rtl/>
        </w:rPr>
        <w:t>מלחמה.</w:t>
      </w:r>
    </w:p>
    <w:p w:rsidR="00014C4D" w:rsidRPr="00014C4D" w:rsidRDefault="00014C4D" w:rsidP="00014C4D">
      <w:pPr>
        <w:spacing w:line="269" w:lineRule="auto"/>
        <w:rPr>
          <w:sz w:val="24"/>
          <w:highlight w:val="cyan"/>
          <w:rtl/>
        </w:rPr>
      </w:pPr>
    </w:p>
    <w:p w:rsidR="00014C4D" w:rsidRPr="00014C4D" w:rsidRDefault="00014C4D" w:rsidP="00014C4D">
      <w:pPr>
        <w:keepNext/>
        <w:keepLines/>
        <w:spacing w:before="120" w:line="269" w:lineRule="auto"/>
        <w:outlineLvl w:val="2"/>
        <w:rPr>
          <w:rFonts w:eastAsia="Times New Roman"/>
          <w:bCs/>
          <w:szCs w:val="28"/>
          <w:u w:val="single"/>
          <w:rtl/>
        </w:rPr>
      </w:pPr>
      <w:r w:rsidRPr="00014C4D">
        <w:rPr>
          <w:rFonts w:eastAsia="Times New Roman" w:hint="cs"/>
          <w:bCs/>
          <w:szCs w:val="28"/>
          <w:u w:val="single"/>
          <w:rtl/>
        </w:rPr>
        <w:lastRenderedPageBreak/>
        <w:t>סיכום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Cs/>
          <w:rtl/>
        </w:rPr>
      </w:pPr>
      <w:r w:rsidRPr="00014C4D">
        <w:rPr>
          <w:rFonts w:ascii="David" w:hAnsi="David"/>
          <w:bCs/>
          <w:sz w:val="24"/>
          <w:rtl/>
        </w:rPr>
        <w:t>קיומם של אמצעי מיגון פיזי להגנה על כלל אוכלוסיית מדינת ישראל הוא תנאי הכרחי להתמודדות עם איום טילים ורקטות, ולבד מהגנה על האוכלוסייה הוא מאפשר לקיים שגרת חירום ולתת שירותים חיוניים לתושבים.</w:t>
      </w:r>
      <w:r w:rsidRPr="00014C4D">
        <w:rPr>
          <w:rFonts w:ascii="David" w:hAnsi="David" w:hint="cs"/>
          <w:bCs/>
          <w:sz w:val="24"/>
          <w:rtl/>
        </w:rPr>
        <w:t xml:space="preserve"> </w:t>
      </w:r>
      <w:r w:rsidRPr="00014C4D">
        <w:rPr>
          <w:rFonts w:hint="cs"/>
          <w:bCs/>
          <w:rtl/>
        </w:rPr>
        <w:t xml:space="preserve">בדוח עלו </w:t>
      </w:r>
      <w:r w:rsidRPr="00014C4D">
        <w:rPr>
          <w:bCs/>
          <w:rtl/>
        </w:rPr>
        <w:t xml:space="preserve">פערים משמעותיים בין דרישות המיגון לבין המציאות בשטח, הנובעים </w:t>
      </w:r>
      <w:r w:rsidRPr="00014C4D">
        <w:rPr>
          <w:rFonts w:hint="cs"/>
          <w:bCs/>
          <w:rtl/>
        </w:rPr>
        <w:t>ממחסור במרחבים מוגנים ומ</w:t>
      </w:r>
      <w:r w:rsidRPr="00014C4D">
        <w:rPr>
          <w:bCs/>
          <w:rtl/>
        </w:rPr>
        <w:t>תחזוקה ל</w:t>
      </w:r>
      <w:r w:rsidRPr="00014C4D">
        <w:rPr>
          <w:rFonts w:hint="cs"/>
          <w:bCs/>
          <w:rtl/>
        </w:rPr>
        <w:t>קויה</w:t>
      </w:r>
      <w:r w:rsidRPr="00014C4D">
        <w:rPr>
          <w:bCs/>
          <w:rtl/>
        </w:rPr>
        <w:t xml:space="preserve"> של מקלטים ציבוריים ופרטיים</w:t>
      </w:r>
      <w:r w:rsidRPr="00014C4D">
        <w:rPr>
          <w:rFonts w:hint="cs"/>
          <w:bCs/>
          <w:rtl/>
        </w:rPr>
        <w:t xml:space="preserve">. </w:t>
      </w:r>
      <w:r w:rsidRPr="00014C4D">
        <w:rPr>
          <w:bCs/>
          <w:rtl/>
        </w:rPr>
        <w:t>נכון לינואר 2025 לכ-3.2 מיליון תושבים (33.6%) אין מיגון תקני</w:t>
      </w:r>
      <w:r w:rsidRPr="00014C4D">
        <w:rPr>
          <w:rFonts w:hint="cs"/>
          <w:bCs/>
          <w:rtl/>
        </w:rPr>
        <w:t>.</w:t>
      </w:r>
      <w:r w:rsidRPr="00014C4D">
        <w:rPr>
          <w:bCs/>
          <w:rtl/>
        </w:rPr>
        <w:t xml:space="preserve"> מחסור משמעותי </w:t>
      </w:r>
      <w:r w:rsidRPr="00014C4D">
        <w:rPr>
          <w:rFonts w:hint="cs"/>
          <w:bCs/>
          <w:rtl/>
        </w:rPr>
        <w:t xml:space="preserve">במיוחד </w:t>
      </w:r>
      <w:r w:rsidRPr="00014C4D">
        <w:rPr>
          <w:bCs/>
          <w:rtl/>
        </w:rPr>
        <w:t xml:space="preserve">באמצעי מיגון </w:t>
      </w:r>
      <w:r w:rsidRPr="00014C4D">
        <w:rPr>
          <w:rFonts w:hint="cs"/>
          <w:bCs/>
          <w:rtl/>
        </w:rPr>
        <w:t xml:space="preserve">קיים </w:t>
      </w:r>
      <w:r w:rsidRPr="00014C4D">
        <w:rPr>
          <w:bCs/>
          <w:rtl/>
        </w:rPr>
        <w:t xml:space="preserve">בפזורה הבדואית בנגב, שבה אין כלל מקלטים תקניים או פתרונות חירום </w:t>
      </w:r>
      <w:r w:rsidRPr="00014C4D">
        <w:rPr>
          <w:rFonts w:hint="cs"/>
          <w:bCs/>
          <w:rtl/>
        </w:rPr>
        <w:t>זמינים</w:t>
      </w:r>
      <w:r w:rsidRPr="00014C4D">
        <w:rPr>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עיריות אשקלון, גבעתיים וחולון לא ערכו ביקורות במקלטים בבתים המשותפים בתדירות הנדרשת, ובמסגרת הביקורות שעשו הן לא ערכו את כל הבדיקות שנדרשו במנחה לתחזוקת מקלטים. כתוצאה מכך מקלטים רבים לא היו ראויים לשימוש במועד תחילת המלחמה, ומשרד השיכון יזם סמוך לאחר פרוץ מלחמת חרבות ברזל הקצאת סכומים גדולים לרשויות המקומיות להשמשת מקלטים בבתים משותפים.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נמצא כי נכון למרץ 2024, שיעור התלמידים ללא מיגון תקני ב-94% מבתי הספר בישראל היה 25%. משמעות הדבר היא שיותר מ-466,000 תלמידים</w:t>
      </w:r>
      <w:r w:rsidRPr="00014C4D">
        <w:rPr>
          <w:rFonts w:hint="cs"/>
          <w:b/>
          <w:bCs/>
          <w:sz w:val="24"/>
          <w:rtl/>
        </w:rPr>
        <w:t xml:space="preserve"> </w:t>
      </w:r>
      <w:r w:rsidRPr="00014C4D">
        <w:rPr>
          <w:rFonts w:hint="cs"/>
          <w:b/>
          <w:bCs/>
          <w:rtl/>
        </w:rPr>
        <w:t xml:space="preserve">שהו בבית הספר באופן יומיומי ללא מיגון תקני. ברשויות המקומיות שנבדקו: </w:t>
      </w:r>
      <w:r w:rsidRPr="00014C4D">
        <w:rPr>
          <w:b/>
          <w:bCs/>
          <w:sz w:val="24"/>
          <w:rtl/>
        </w:rPr>
        <w:t>ליותר מ-66% מהתלמידים במועצה המקומית ביענה אין מיגון תקני</w:t>
      </w:r>
      <w:r w:rsidRPr="00014C4D">
        <w:rPr>
          <w:rFonts w:hint="cs"/>
          <w:b/>
          <w:bCs/>
          <w:sz w:val="24"/>
          <w:rtl/>
        </w:rPr>
        <w:t>; שיעור התלמידים ללא מיגון תקני בבתי הספר בכל אחת מהרשויות המקומיות אשקלון, גבעתיים, הגלבוע וחולון הוא בין 11% ל-41%, ומשמעות הדבר היא שבין 3,294 ל-6,393 תלמידי בתי ספר ברשויות אלו שוהים בבתי הספר באופן יומיומי ללא מיגון. שיעור התלמידים ללא מיגון תקני בגני הילדים בכל אחת מחמש רשויות אלה נע בין 17% ל-52%, ומשמעות הדבר היא שבין 98 ל-3,206 ילדי גנים ברשויות אלו שוהים בגנים באופן יומיומי ללא מיגון.</w:t>
      </w:r>
      <w:r w:rsidRPr="00014C4D">
        <w:rPr>
          <w:rFonts w:hint="cs"/>
          <w:b/>
          <w:bCs/>
          <w:rtl/>
        </w:rPr>
        <w:t xml:space="preserve"> </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בשנים 2022 ו-2023 הקצו משרדי הממשלה לעיריית אשקלון סך 12.63 מיליון ש"ח מתוך התקציב שנקבע בהחלטת הממשלה 1278 בסך 21 מיליון ש"ח (60%), והעבירו לידיה רק סך של 2.7 מיליון ש"ח מהסכום שהקצו בסך 12.63 מיליון ש"ח (21%). ואולם נמצא כי העיכוב בהעברת התקציבים נגרם בין היתר בשל ההתנהלות של עיריית אשקלון.</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בהחלטת הממשלה 1278 ממרץ 2022 נקבע כי יינתן סיוע בפתרונות מיגון דירתיים באשקלון באמצעות הלוואות ומענקים. ואולם רק ביוני 2023, כשנה ושלושה חודשים לאחר פרסום החלטת הממשלה, פרסם משרד השיכון נוהל המאפשר את קבלת המענקים וההלוואות. כתוצאה מכך לא היה אפשר לנצל את התקציב של 56 מיליון ש"ח לשנת 2022 וגם לא את התקציב של 50 מיליון ש"ח לשנת 2023, במחצית הראשונה של שנה זו, כפי שנקבע בהחלטת הממשלה.</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Pr>
      </w:pPr>
      <w:r w:rsidRPr="00014C4D">
        <w:rPr>
          <w:rFonts w:hint="cs"/>
          <w:bCs/>
          <w:rtl/>
        </w:rPr>
        <w:t>על ה</w:t>
      </w:r>
      <w:r w:rsidRPr="00014C4D">
        <w:rPr>
          <w:bCs/>
          <w:rtl/>
        </w:rPr>
        <w:t xml:space="preserve">רשויות המקומיות </w:t>
      </w:r>
      <w:r w:rsidRPr="00014C4D">
        <w:rPr>
          <w:rFonts w:hint="eastAsia"/>
          <w:bCs/>
          <w:rtl/>
        </w:rPr>
        <w:t>שנבדקו</w:t>
      </w:r>
      <w:r w:rsidRPr="00014C4D">
        <w:rPr>
          <w:bCs/>
          <w:rtl/>
        </w:rPr>
        <w:t xml:space="preserve"> (</w:t>
      </w:r>
      <w:r w:rsidRPr="00014C4D">
        <w:rPr>
          <w:b/>
          <w:bCs/>
          <w:rtl/>
        </w:rPr>
        <w:t>עיריות אשקלון</w:t>
      </w:r>
      <w:r w:rsidRPr="00014C4D">
        <w:rPr>
          <w:rFonts w:hint="cs"/>
          <w:b/>
          <w:bCs/>
          <w:rtl/>
        </w:rPr>
        <w:t>, גבעתיים</w:t>
      </w:r>
      <w:r w:rsidRPr="00014C4D">
        <w:rPr>
          <w:b/>
          <w:bCs/>
          <w:rtl/>
        </w:rPr>
        <w:t xml:space="preserve"> וחולון, המועצה המקומית ביענה והמועצה האזורית הגלבוע</w:t>
      </w:r>
      <w:r w:rsidRPr="00014C4D">
        <w:rPr>
          <w:bCs/>
          <w:rtl/>
        </w:rPr>
        <w:t>)</w:t>
      </w:r>
      <w:r w:rsidRPr="00014C4D">
        <w:rPr>
          <w:rFonts w:hint="cs"/>
          <w:bCs/>
          <w:rtl/>
        </w:rPr>
        <w:t xml:space="preserve"> </w:t>
      </w:r>
      <w:r w:rsidRPr="00014C4D">
        <w:rPr>
          <w:bCs/>
          <w:rtl/>
        </w:rPr>
        <w:t xml:space="preserve">להשלים את מיפוי המרחבים המוגנים, לעדכן </w:t>
      </w:r>
      <w:r w:rsidRPr="00014C4D">
        <w:rPr>
          <w:rFonts w:hint="eastAsia"/>
          <w:bCs/>
          <w:rtl/>
        </w:rPr>
        <w:t>את</w:t>
      </w:r>
      <w:r w:rsidRPr="00014C4D">
        <w:rPr>
          <w:bCs/>
          <w:rtl/>
        </w:rPr>
        <w:t xml:space="preserve"> ת</w:t>
      </w:r>
      <w:r w:rsidRPr="00014C4D">
        <w:rPr>
          <w:rFonts w:hint="cs"/>
          <w:bCs/>
          <w:rtl/>
        </w:rPr>
        <w:t>ו</w:t>
      </w:r>
      <w:r w:rsidRPr="00014C4D">
        <w:rPr>
          <w:bCs/>
          <w:rtl/>
        </w:rPr>
        <w:t xml:space="preserve">כנית </w:t>
      </w:r>
      <w:r w:rsidRPr="00014C4D">
        <w:rPr>
          <w:rFonts w:hint="eastAsia"/>
          <w:bCs/>
          <w:rtl/>
        </w:rPr>
        <w:t>ה</w:t>
      </w:r>
      <w:r w:rsidRPr="00014C4D">
        <w:rPr>
          <w:bCs/>
          <w:rtl/>
        </w:rPr>
        <w:t xml:space="preserve">מיגון </w:t>
      </w:r>
      <w:r w:rsidRPr="00014C4D">
        <w:rPr>
          <w:rFonts w:hint="eastAsia"/>
          <w:bCs/>
          <w:rtl/>
        </w:rPr>
        <w:t>הרשותית</w:t>
      </w:r>
      <w:r w:rsidRPr="00014C4D">
        <w:rPr>
          <w:bCs/>
          <w:rtl/>
        </w:rPr>
        <w:t xml:space="preserve"> בהתאם לפערי המיגון, </w:t>
      </w:r>
      <w:r w:rsidRPr="00014C4D">
        <w:rPr>
          <w:rFonts w:hint="cs"/>
          <w:bCs/>
          <w:rtl/>
        </w:rPr>
        <w:t>להשתמש</w:t>
      </w:r>
      <w:r w:rsidRPr="00014C4D">
        <w:rPr>
          <w:bCs/>
          <w:rtl/>
        </w:rPr>
        <w:t xml:space="preserve"> במערכת מידע גיאוגרפי למיפוי המידע ולניהולו ולשפר את התחזוקה של </w:t>
      </w:r>
      <w:r w:rsidRPr="00014C4D">
        <w:rPr>
          <w:rFonts w:hint="cs"/>
          <w:bCs/>
          <w:rtl/>
        </w:rPr>
        <w:t>ה</w:t>
      </w:r>
      <w:r w:rsidRPr="00014C4D">
        <w:rPr>
          <w:bCs/>
          <w:rtl/>
        </w:rPr>
        <w:t xml:space="preserve">מקלטים </w:t>
      </w:r>
      <w:r w:rsidRPr="00014C4D">
        <w:rPr>
          <w:rFonts w:hint="cs"/>
          <w:bCs/>
          <w:rtl/>
        </w:rPr>
        <w:t>ה</w:t>
      </w:r>
      <w:r w:rsidRPr="00014C4D">
        <w:rPr>
          <w:bCs/>
          <w:rtl/>
        </w:rPr>
        <w:t>קיימים.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Cs/>
          <w:rtl/>
        </w:rPr>
      </w:pPr>
      <w:r w:rsidRPr="00014C4D">
        <w:rPr>
          <w:rFonts w:hint="cs"/>
          <w:bCs/>
          <w:rtl/>
        </w:rPr>
        <w:lastRenderedPageBreak/>
        <w:t>כדי</w:t>
      </w:r>
      <w:r w:rsidRPr="00014C4D">
        <w:rPr>
          <w:bCs/>
          <w:rtl/>
        </w:rPr>
        <w:t xml:space="preserve"> </w:t>
      </w:r>
      <w:r w:rsidRPr="00014C4D">
        <w:rPr>
          <w:rFonts w:hint="eastAsia"/>
          <w:bCs/>
          <w:rtl/>
        </w:rPr>
        <w:t>להבטיח</w:t>
      </w:r>
      <w:r w:rsidRPr="00014C4D">
        <w:rPr>
          <w:bCs/>
          <w:rtl/>
        </w:rPr>
        <w:t xml:space="preserve"> </w:t>
      </w:r>
      <w:r w:rsidRPr="00014C4D">
        <w:rPr>
          <w:rFonts w:hint="eastAsia"/>
          <w:bCs/>
          <w:rtl/>
        </w:rPr>
        <w:t>את</w:t>
      </w:r>
      <w:r w:rsidRPr="00014C4D">
        <w:rPr>
          <w:bCs/>
          <w:rtl/>
        </w:rPr>
        <w:t xml:space="preserve"> </w:t>
      </w:r>
      <w:r w:rsidRPr="00014C4D">
        <w:rPr>
          <w:rFonts w:hint="eastAsia"/>
          <w:bCs/>
          <w:rtl/>
        </w:rPr>
        <w:t>תקינותם</w:t>
      </w:r>
      <w:r w:rsidRPr="00014C4D">
        <w:rPr>
          <w:bCs/>
          <w:rtl/>
        </w:rPr>
        <w:t xml:space="preserve"> </w:t>
      </w:r>
      <w:r w:rsidRPr="00014C4D">
        <w:rPr>
          <w:rFonts w:hint="eastAsia"/>
          <w:bCs/>
          <w:rtl/>
        </w:rPr>
        <w:t>של</w:t>
      </w:r>
      <w:r w:rsidRPr="00014C4D">
        <w:rPr>
          <w:bCs/>
          <w:rtl/>
        </w:rPr>
        <w:t xml:space="preserve"> </w:t>
      </w:r>
      <w:r w:rsidRPr="00014C4D">
        <w:rPr>
          <w:rFonts w:hint="eastAsia"/>
          <w:bCs/>
          <w:rtl/>
        </w:rPr>
        <w:t>המקלטים</w:t>
      </w:r>
      <w:r w:rsidRPr="00014C4D">
        <w:rPr>
          <w:bCs/>
          <w:rtl/>
        </w:rPr>
        <w:t xml:space="preserve"> </w:t>
      </w:r>
      <w:r w:rsidRPr="00014C4D">
        <w:rPr>
          <w:rFonts w:hint="eastAsia"/>
          <w:bCs/>
          <w:rtl/>
        </w:rPr>
        <w:t>בבתים</w:t>
      </w:r>
      <w:r w:rsidRPr="00014C4D">
        <w:rPr>
          <w:bCs/>
          <w:rtl/>
        </w:rPr>
        <w:t xml:space="preserve"> </w:t>
      </w:r>
      <w:r w:rsidRPr="00014C4D">
        <w:rPr>
          <w:rFonts w:hint="eastAsia"/>
          <w:bCs/>
          <w:rtl/>
        </w:rPr>
        <w:t>משותפים</w:t>
      </w:r>
      <w:r w:rsidRPr="00014C4D">
        <w:rPr>
          <w:bCs/>
          <w:rtl/>
        </w:rPr>
        <w:t xml:space="preserve"> </w:t>
      </w:r>
      <w:r w:rsidRPr="00014C4D">
        <w:rPr>
          <w:rFonts w:hint="eastAsia"/>
          <w:bCs/>
          <w:rtl/>
        </w:rPr>
        <w:t>ו</w:t>
      </w:r>
      <w:r w:rsidRPr="00014C4D">
        <w:rPr>
          <w:rFonts w:hint="cs"/>
          <w:bCs/>
          <w:rtl/>
        </w:rPr>
        <w:t xml:space="preserve">את </w:t>
      </w:r>
      <w:r w:rsidRPr="00014C4D">
        <w:rPr>
          <w:rFonts w:hint="eastAsia"/>
          <w:bCs/>
          <w:rtl/>
        </w:rPr>
        <w:t>כשירותם</w:t>
      </w:r>
      <w:r w:rsidRPr="00014C4D">
        <w:rPr>
          <w:bCs/>
          <w:rtl/>
        </w:rPr>
        <w:t xml:space="preserve"> </w:t>
      </w:r>
      <w:r w:rsidRPr="00014C4D">
        <w:rPr>
          <w:rFonts w:hint="eastAsia"/>
          <w:bCs/>
          <w:rtl/>
        </w:rPr>
        <w:t>לשימוש</w:t>
      </w:r>
      <w:r w:rsidRPr="00014C4D">
        <w:rPr>
          <w:bCs/>
          <w:rtl/>
        </w:rPr>
        <w:t xml:space="preserve"> </w:t>
      </w:r>
      <w:r w:rsidRPr="00014C4D">
        <w:rPr>
          <w:rFonts w:hint="eastAsia"/>
          <w:bCs/>
          <w:rtl/>
        </w:rPr>
        <w:t>בעת</w:t>
      </w:r>
      <w:r w:rsidRPr="00014C4D">
        <w:rPr>
          <w:bCs/>
          <w:rtl/>
        </w:rPr>
        <w:t xml:space="preserve"> </w:t>
      </w:r>
      <w:r w:rsidRPr="00014C4D">
        <w:rPr>
          <w:rFonts w:hint="eastAsia"/>
          <w:bCs/>
          <w:rtl/>
        </w:rPr>
        <w:t>חירום</w:t>
      </w:r>
      <w:r w:rsidRPr="00014C4D">
        <w:rPr>
          <w:bCs/>
          <w:rtl/>
        </w:rPr>
        <w:t>,</w:t>
      </w:r>
      <w:r w:rsidRPr="00014C4D">
        <w:rPr>
          <w:rFonts w:hint="cs"/>
          <w:bCs/>
          <w:rtl/>
        </w:rPr>
        <w:t xml:space="preserve"> </w:t>
      </w:r>
      <w:r w:rsidRPr="00014C4D">
        <w:rPr>
          <w:rFonts w:ascii="David" w:hAnsi="David" w:hint="eastAsia"/>
          <w:b/>
          <w:bCs/>
          <w:rtl/>
        </w:rPr>
        <w:t>על</w:t>
      </w:r>
      <w:r w:rsidRPr="00014C4D">
        <w:rPr>
          <w:rFonts w:ascii="David" w:hAnsi="David"/>
          <w:b/>
          <w:bCs/>
          <w:rtl/>
        </w:rPr>
        <w:t xml:space="preserve"> הרשויות המקומיות לקיים פיקוח הדוק על מצבם של המקלטים בבנייני המגורים ולחייב את הדיירים לתחזק</w:t>
      </w:r>
      <w:r w:rsidRPr="00014C4D">
        <w:rPr>
          <w:rFonts w:ascii="David" w:hAnsi="David" w:hint="cs"/>
          <w:b/>
          <w:bCs/>
          <w:rtl/>
        </w:rPr>
        <w:t>ם</w:t>
      </w:r>
      <w:r w:rsidRPr="00014C4D">
        <w:rPr>
          <w:rFonts w:ascii="David" w:hAnsi="David"/>
          <w:b/>
          <w:bCs/>
          <w:rtl/>
        </w:rPr>
        <w:t xml:space="preserve"> כראוי</w:t>
      </w:r>
      <w:r w:rsidRPr="00014C4D">
        <w:rPr>
          <w:rFonts w:ascii="David" w:hAnsi="David" w:hint="cs"/>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eastAsia"/>
          <w:b/>
          <w:bCs/>
          <w:rtl/>
        </w:rPr>
        <w:t>נוכח</w:t>
      </w:r>
      <w:r w:rsidRPr="00014C4D">
        <w:rPr>
          <w:b/>
          <w:bCs/>
          <w:rtl/>
        </w:rPr>
        <w:t xml:space="preserve"> הממצאים שנמצאו בביקורת המקלטים הציבוריים ב</w:t>
      </w:r>
      <w:r w:rsidRPr="00014C4D">
        <w:rPr>
          <w:rFonts w:hint="eastAsia"/>
          <w:b/>
          <w:bCs/>
          <w:rtl/>
        </w:rPr>
        <w:t>רשויות</w:t>
      </w:r>
      <w:r w:rsidRPr="00014C4D">
        <w:rPr>
          <w:b/>
          <w:bCs/>
          <w:rtl/>
        </w:rPr>
        <w:t xml:space="preserve"> </w:t>
      </w:r>
      <w:r w:rsidRPr="00014C4D">
        <w:rPr>
          <w:rFonts w:hint="eastAsia"/>
          <w:b/>
          <w:bCs/>
          <w:rtl/>
        </w:rPr>
        <w:t>שנבדקו</w:t>
      </w:r>
      <w:r w:rsidRPr="00014C4D">
        <w:rPr>
          <w:b/>
          <w:bCs/>
          <w:rtl/>
        </w:rPr>
        <w:t xml:space="preserve">, </w:t>
      </w:r>
      <w:r w:rsidRPr="00014C4D">
        <w:rPr>
          <w:rFonts w:hint="eastAsia"/>
          <w:b/>
          <w:bCs/>
          <w:rtl/>
        </w:rPr>
        <w:t>מומלץ</w:t>
      </w:r>
      <w:r w:rsidRPr="00014C4D">
        <w:rPr>
          <w:b/>
          <w:bCs/>
          <w:rtl/>
        </w:rPr>
        <w:t xml:space="preserve"> ל</w:t>
      </w:r>
      <w:r w:rsidRPr="00014C4D">
        <w:rPr>
          <w:rFonts w:hint="cs"/>
          <w:b/>
          <w:bCs/>
          <w:rtl/>
        </w:rPr>
        <w:t>פקע"ר</w:t>
      </w:r>
      <w:r w:rsidRPr="00014C4D">
        <w:rPr>
          <w:b/>
          <w:bCs/>
          <w:rtl/>
        </w:rPr>
        <w:t xml:space="preserve"> </w:t>
      </w:r>
      <w:r w:rsidRPr="00014C4D">
        <w:rPr>
          <w:rFonts w:hint="eastAsia"/>
          <w:b/>
          <w:bCs/>
          <w:rtl/>
        </w:rPr>
        <w:t>להגדיל</w:t>
      </w:r>
      <w:r w:rsidRPr="00014C4D">
        <w:rPr>
          <w:b/>
          <w:bCs/>
          <w:rtl/>
        </w:rPr>
        <w:t xml:space="preserve"> </w:t>
      </w:r>
      <w:r w:rsidRPr="00014C4D">
        <w:rPr>
          <w:rFonts w:hint="eastAsia"/>
          <w:b/>
          <w:bCs/>
          <w:rtl/>
        </w:rPr>
        <w:t>את</w:t>
      </w:r>
      <w:r w:rsidRPr="00014C4D">
        <w:rPr>
          <w:b/>
          <w:bCs/>
          <w:rtl/>
        </w:rPr>
        <w:t xml:space="preserve"> </w:t>
      </w:r>
      <w:r w:rsidRPr="00014C4D">
        <w:rPr>
          <w:rFonts w:hint="eastAsia"/>
          <w:b/>
          <w:bCs/>
          <w:rtl/>
        </w:rPr>
        <w:t>מספר</w:t>
      </w:r>
      <w:r w:rsidRPr="00014C4D">
        <w:rPr>
          <w:b/>
          <w:bCs/>
          <w:rtl/>
        </w:rPr>
        <w:t xml:space="preserve"> </w:t>
      </w:r>
      <w:r w:rsidRPr="00014C4D">
        <w:rPr>
          <w:rFonts w:hint="eastAsia"/>
          <w:b/>
          <w:bCs/>
          <w:rtl/>
        </w:rPr>
        <w:t>הביקורות</w:t>
      </w:r>
      <w:r w:rsidRPr="00014C4D">
        <w:rPr>
          <w:b/>
          <w:bCs/>
          <w:rtl/>
        </w:rPr>
        <w:t xml:space="preserve"> </w:t>
      </w:r>
      <w:r w:rsidRPr="00014C4D">
        <w:rPr>
          <w:rFonts w:hint="cs"/>
          <w:b/>
          <w:bCs/>
          <w:rtl/>
        </w:rPr>
        <w:t xml:space="preserve">שלו כדי </w:t>
      </w:r>
      <w:r w:rsidRPr="00014C4D">
        <w:rPr>
          <w:b/>
          <w:bCs/>
          <w:rtl/>
        </w:rPr>
        <w:t xml:space="preserve">לוודא </w:t>
      </w:r>
      <w:r w:rsidRPr="00014C4D">
        <w:rPr>
          <w:rFonts w:hint="eastAsia"/>
          <w:b/>
          <w:bCs/>
          <w:rtl/>
        </w:rPr>
        <w:t>שהרשויות</w:t>
      </w:r>
      <w:r w:rsidRPr="00014C4D">
        <w:rPr>
          <w:b/>
          <w:bCs/>
          <w:rtl/>
        </w:rPr>
        <w:t xml:space="preserve"> </w:t>
      </w:r>
      <w:r w:rsidRPr="00014C4D">
        <w:rPr>
          <w:rFonts w:hint="eastAsia"/>
          <w:b/>
          <w:bCs/>
          <w:rtl/>
        </w:rPr>
        <w:t>המקומיות</w:t>
      </w:r>
      <w:r w:rsidRPr="00014C4D">
        <w:rPr>
          <w:b/>
          <w:bCs/>
          <w:rtl/>
        </w:rPr>
        <w:t xml:space="preserve"> עומד</w:t>
      </w:r>
      <w:r w:rsidRPr="00014C4D">
        <w:rPr>
          <w:rFonts w:hint="eastAsia"/>
          <w:b/>
          <w:bCs/>
          <w:rtl/>
        </w:rPr>
        <w:t>ות</w:t>
      </w:r>
      <w:r w:rsidRPr="00014C4D">
        <w:rPr>
          <w:b/>
          <w:bCs/>
          <w:rtl/>
        </w:rPr>
        <w:t xml:space="preserve"> בהנחיות ובדרישות שקבע. </w:t>
      </w:r>
      <w:r w:rsidRPr="00014C4D">
        <w:rPr>
          <w:rFonts w:hint="eastAsia"/>
          <w:b/>
          <w:bCs/>
          <w:rtl/>
        </w:rPr>
        <w:t>עוד</w:t>
      </w:r>
      <w:r w:rsidRPr="00014C4D">
        <w:rPr>
          <w:b/>
          <w:bCs/>
          <w:rtl/>
        </w:rPr>
        <w:t xml:space="preserve"> </w:t>
      </w:r>
      <w:r w:rsidRPr="00014C4D">
        <w:rPr>
          <w:rFonts w:hint="eastAsia"/>
          <w:b/>
          <w:bCs/>
          <w:rtl/>
        </w:rPr>
        <w:t>מומלץ</w:t>
      </w:r>
      <w:r w:rsidRPr="00014C4D">
        <w:rPr>
          <w:b/>
          <w:bCs/>
          <w:rtl/>
        </w:rPr>
        <w:t xml:space="preserve"> </w:t>
      </w:r>
      <w:r w:rsidRPr="00014C4D">
        <w:rPr>
          <w:rFonts w:hint="eastAsia"/>
          <w:b/>
          <w:bCs/>
          <w:rtl/>
        </w:rPr>
        <w:t>לפקע</w:t>
      </w:r>
      <w:r w:rsidRPr="00014C4D">
        <w:rPr>
          <w:b/>
          <w:bCs/>
          <w:rtl/>
        </w:rPr>
        <w:t xml:space="preserve">"ר </w:t>
      </w:r>
      <w:r w:rsidRPr="00014C4D">
        <w:rPr>
          <w:rFonts w:hint="eastAsia"/>
          <w:b/>
          <w:bCs/>
          <w:rtl/>
        </w:rPr>
        <w:t>לתת</w:t>
      </w:r>
      <w:r w:rsidRPr="00014C4D">
        <w:rPr>
          <w:b/>
          <w:bCs/>
          <w:rtl/>
        </w:rPr>
        <w:t xml:space="preserve"> </w:t>
      </w:r>
      <w:r w:rsidRPr="00014C4D">
        <w:rPr>
          <w:rFonts w:hint="eastAsia"/>
          <w:b/>
          <w:bCs/>
          <w:rtl/>
        </w:rPr>
        <w:t>עדיפות</w:t>
      </w:r>
      <w:r w:rsidRPr="00014C4D">
        <w:rPr>
          <w:b/>
          <w:bCs/>
          <w:rtl/>
        </w:rPr>
        <w:t xml:space="preserve"> </w:t>
      </w:r>
      <w:r w:rsidRPr="00014C4D">
        <w:rPr>
          <w:rFonts w:hint="eastAsia"/>
          <w:b/>
          <w:bCs/>
          <w:rtl/>
        </w:rPr>
        <w:t>לבדיקת</w:t>
      </w:r>
      <w:r w:rsidRPr="00014C4D">
        <w:rPr>
          <w:b/>
          <w:bCs/>
          <w:rtl/>
        </w:rPr>
        <w:t xml:space="preserve"> </w:t>
      </w:r>
      <w:r w:rsidRPr="00014C4D">
        <w:rPr>
          <w:rFonts w:hint="eastAsia"/>
          <w:b/>
          <w:bCs/>
          <w:rtl/>
        </w:rPr>
        <w:t>מקלטים</w:t>
      </w:r>
      <w:r w:rsidRPr="00014C4D">
        <w:rPr>
          <w:b/>
          <w:bCs/>
          <w:rtl/>
        </w:rPr>
        <w:t xml:space="preserve"> </w:t>
      </w:r>
      <w:r w:rsidRPr="00014C4D">
        <w:rPr>
          <w:rFonts w:hint="eastAsia"/>
          <w:b/>
          <w:bCs/>
          <w:rtl/>
        </w:rPr>
        <w:t>שלא</w:t>
      </w:r>
      <w:r w:rsidRPr="00014C4D">
        <w:rPr>
          <w:b/>
          <w:bCs/>
          <w:rtl/>
        </w:rPr>
        <w:t xml:space="preserve"> </w:t>
      </w:r>
      <w:r w:rsidRPr="00014C4D">
        <w:rPr>
          <w:rFonts w:hint="eastAsia"/>
          <w:b/>
          <w:bCs/>
          <w:rtl/>
        </w:rPr>
        <w:t>בדק</w:t>
      </w:r>
      <w:r w:rsidRPr="00014C4D">
        <w:rPr>
          <w:b/>
          <w:bCs/>
          <w:rtl/>
        </w:rPr>
        <w:t xml:space="preserve"> </w:t>
      </w:r>
      <w:r w:rsidRPr="00014C4D">
        <w:rPr>
          <w:rFonts w:hint="eastAsia"/>
          <w:b/>
          <w:bCs/>
          <w:rtl/>
        </w:rPr>
        <w:t>כלל</w:t>
      </w:r>
      <w:r w:rsidRPr="00014C4D">
        <w:rPr>
          <w:b/>
          <w:bCs/>
          <w:rtl/>
        </w:rPr>
        <w:t xml:space="preserve"> </w:t>
      </w:r>
      <w:r w:rsidRPr="00014C4D">
        <w:rPr>
          <w:rFonts w:hint="eastAsia"/>
          <w:b/>
          <w:bCs/>
          <w:rtl/>
        </w:rPr>
        <w:t>בשנים</w:t>
      </w:r>
      <w:r w:rsidRPr="00014C4D">
        <w:rPr>
          <w:b/>
          <w:bCs/>
          <w:rtl/>
        </w:rPr>
        <w:t xml:space="preserve"> </w:t>
      </w:r>
      <w:r w:rsidRPr="00014C4D">
        <w:rPr>
          <w:rFonts w:hint="eastAsia"/>
          <w:b/>
          <w:bCs/>
          <w:rtl/>
        </w:rPr>
        <w:t>האחרונות</w:t>
      </w:r>
      <w:r w:rsidRPr="00014C4D">
        <w:rPr>
          <w:b/>
          <w:bCs/>
          <w:rtl/>
        </w:rPr>
        <w:t xml:space="preserve"> </w:t>
      </w:r>
      <w:r w:rsidRPr="00014C4D">
        <w:rPr>
          <w:rFonts w:hint="cs"/>
          <w:b/>
          <w:bCs/>
          <w:rtl/>
        </w:rPr>
        <w:t xml:space="preserve">על פני ביצוע </w:t>
      </w:r>
      <w:r w:rsidRPr="00014C4D">
        <w:rPr>
          <w:b/>
          <w:bCs/>
          <w:rtl/>
        </w:rPr>
        <w:t xml:space="preserve">ביקורות חוזרות </w:t>
      </w:r>
      <w:r w:rsidRPr="00014C4D">
        <w:rPr>
          <w:rFonts w:hint="eastAsia"/>
          <w:b/>
          <w:bCs/>
          <w:rtl/>
        </w:rPr>
        <w:t>ב</w:t>
      </w:r>
      <w:r w:rsidRPr="00014C4D">
        <w:rPr>
          <w:b/>
          <w:bCs/>
          <w:rtl/>
        </w:rPr>
        <w:t>מקלטים שנבדקו</w:t>
      </w:r>
      <w:r w:rsidRPr="00014C4D">
        <w:rPr>
          <w:rFonts w:hint="cs"/>
          <w:b/>
          <w:bCs/>
          <w:rtl/>
        </w:rPr>
        <w:t xml:space="preserve"> ובייחוד מקלטים שנמצאו תקינים</w:t>
      </w:r>
      <w:r w:rsidRPr="00014C4D">
        <w:rPr>
          <w:b/>
          <w:bCs/>
          <w:rtl/>
        </w:rPr>
        <w:t>.</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b/>
          <w:bCs/>
          <w:rtl/>
        </w:rPr>
        <w:t xml:space="preserve">בהיעדר מיגון מספק לכל התלמידים, בשעת חירום מתעורר סיכון מוחשי לחיי התלמידים, </w:t>
      </w:r>
      <w:r w:rsidRPr="00014C4D">
        <w:rPr>
          <w:rFonts w:hint="cs"/>
          <w:b/>
          <w:bCs/>
          <w:rtl/>
        </w:rPr>
        <w:t>בייחוד</w:t>
      </w:r>
      <w:r w:rsidRPr="00014C4D">
        <w:rPr>
          <w:b/>
          <w:bCs/>
          <w:rtl/>
        </w:rPr>
        <w:t xml:space="preserve"> </w:t>
      </w:r>
      <w:r w:rsidRPr="00014C4D">
        <w:rPr>
          <w:rFonts w:hint="eastAsia"/>
          <w:b/>
          <w:bCs/>
          <w:rtl/>
        </w:rPr>
        <w:t>במועצה</w:t>
      </w:r>
      <w:r w:rsidRPr="00014C4D">
        <w:rPr>
          <w:b/>
          <w:bCs/>
          <w:rtl/>
        </w:rPr>
        <w:t xml:space="preserve"> </w:t>
      </w:r>
      <w:r w:rsidRPr="00014C4D">
        <w:rPr>
          <w:rFonts w:hint="cs"/>
          <w:b/>
          <w:bCs/>
          <w:rtl/>
        </w:rPr>
        <w:t>ה</w:t>
      </w:r>
      <w:r w:rsidRPr="00014C4D">
        <w:rPr>
          <w:b/>
          <w:bCs/>
          <w:rtl/>
        </w:rPr>
        <w:t xml:space="preserve">מקומית </w:t>
      </w:r>
      <w:r w:rsidRPr="00014C4D">
        <w:rPr>
          <w:rFonts w:hint="eastAsia"/>
          <w:b/>
          <w:bCs/>
          <w:rtl/>
        </w:rPr>
        <w:t>ב</w:t>
      </w:r>
      <w:r w:rsidRPr="00014C4D">
        <w:rPr>
          <w:rFonts w:hint="cs"/>
          <w:b/>
          <w:bCs/>
          <w:rtl/>
        </w:rPr>
        <w:t>י</w:t>
      </w:r>
      <w:r w:rsidRPr="00014C4D">
        <w:rPr>
          <w:rFonts w:hint="eastAsia"/>
          <w:b/>
          <w:bCs/>
          <w:rtl/>
        </w:rPr>
        <w:t>ענה</w:t>
      </w:r>
      <w:r w:rsidRPr="00014C4D">
        <w:rPr>
          <w:b/>
          <w:bCs/>
          <w:rtl/>
        </w:rPr>
        <w:t xml:space="preserve"> (לגבי בתי הספר) ו</w:t>
      </w:r>
      <w:r w:rsidRPr="00014C4D">
        <w:rPr>
          <w:rFonts w:hint="eastAsia"/>
          <w:b/>
          <w:bCs/>
          <w:rtl/>
        </w:rPr>
        <w:t>במועצה</w:t>
      </w:r>
      <w:r w:rsidRPr="00014C4D">
        <w:rPr>
          <w:b/>
          <w:bCs/>
          <w:rtl/>
        </w:rPr>
        <w:t xml:space="preserve"> </w:t>
      </w:r>
      <w:r w:rsidRPr="00014C4D">
        <w:rPr>
          <w:rFonts w:hint="cs"/>
          <w:b/>
          <w:bCs/>
          <w:rtl/>
        </w:rPr>
        <w:t>ה</w:t>
      </w:r>
      <w:r w:rsidRPr="00014C4D">
        <w:rPr>
          <w:b/>
          <w:bCs/>
          <w:rtl/>
        </w:rPr>
        <w:t xml:space="preserve">אזורית הגלבוע, </w:t>
      </w:r>
      <w:r w:rsidRPr="00014C4D">
        <w:rPr>
          <w:rFonts w:hint="eastAsia"/>
          <w:b/>
          <w:bCs/>
          <w:rtl/>
        </w:rPr>
        <w:t>ולא</w:t>
      </w:r>
      <w:r w:rsidRPr="00014C4D">
        <w:rPr>
          <w:b/>
          <w:bCs/>
          <w:rtl/>
        </w:rPr>
        <w:t xml:space="preserve"> </w:t>
      </w:r>
      <w:r w:rsidRPr="00014C4D">
        <w:rPr>
          <w:rFonts w:hint="eastAsia"/>
          <w:b/>
          <w:bCs/>
          <w:rtl/>
        </w:rPr>
        <w:t>ניתן</w:t>
      </w:r>
      <w:r w:rsidRPr="00014C4D">
        <w:rPr>
          <w:b/>
          <w:bCs/>
          <w:rtl/>
        </w:rPr>
        <w:t xml:space="preserve"> </w:t>
      </w:r>
      <w:r w:rsidRPr="00014C4D">
        <w:rPr>
          <w:rFonts w:hint="eastAsia"/>
          <w:b/>
          <w:bCs/>
          <w:rtl/>
        </w:rPr>
        <w:t>לקיים</w:t>
      </w:r>
      <w:r w:rsidRPr="00014C4D">
        <w:rPr>
          <w:b/>
          <w:bCs/>
          <w:rtl/>
        </w:rPr>
        <w:t xml:space="preserve"> </w:t>
      </w:r>
      <w:r w:rsidRPr="00014C4D">
        <w:rPr>
          <w:rFonts w:hint="eastAsia"/>
          <w:b/>
          <w:bCs/>
          <w:rtl/>
        </w:rPr>
        <w:t>לימודים</w:t>
      </w:r>
      <w:r w:rsidRPr="00014C4D">
        <w:rPr>
          <w:b/>
          <w:bCs/>
          <w:rtl/>
        </w:rPr>
        <w:t xml:space="preserve"> </w:t>
      </w:r>
      <w:r w:rsidRPr="00014C4D">
        <w:rPr>
          <w:rFonts w:hint="eastAsia"/>
          <w:b/>
          <w:bCs/>
          <w:rtl/>
        </w:rPr>
        <w:t>סדירים</w:t>
      </w:r>
      <w:r w:rsidRPr="00014C4D">
        <w:rPr>
          <w:b/>
          <w:bCs/>
          <w:rtl/>
        </w:rPr>
        <w:t xml:space="preserve"> </w:t>
      </w:r>
      <w:r w:rsidRPr="00014C4D">
        <w:rPr>
          <w:rFonts w:hint="eastAsia"/>
          <w:b/>
          <w:bCs/>
          <w:rtl/>
        </w:rPr>
        <w:t>במוסדות</w:t>
      </w:r>
      <w:r w:rsidRPr="00014C4D">
        <w:rPr>
          <w:b/>
          <w:bCs/>
          <w:rtl/>
        </w:rPr>
        <w:t xml:space="preserve"> </w:t>
      </w:r>
      <w:r w:rsidRPr="00014C4D">
        <w:rPr>
          <w:rFonts w:hint="eastAsia"/>
          <w:b/>
          <w:bCs/>
          <w:rtl/>
        </w:rPr>
        <w:t>הלימוד</w:t>
      </w:r>
      <w:r w:rsidRPr="00014C4D">
        <w:rPr>
          <w:b/>
          <w:bCs/>
          <w:rtl/>
        </w:rPr>
        <w:t xml:space="preserve"> </w:t>
      </w:r>
      <w:r w:rsidRPr="00014C4D">
        <w:rPr>
          <w:rFonts w:hint="eastAsia"/>
          <w:b/>
          <w:bCs/>
          <w:rtl/>
        </w:rPr>
        <w:t>גם</w:t>
      </w:r>
      <w:r w:rsidRPr="00014C4D">
        <w:rPr>
          <w:b/>
          <w:bCs/>
          <w:rtl/>
        </w:rPr>
        <w:t xml:space="preserve"> </w:t>
      </w:r>
      <w:r w:rsidRPr="00014C4D">
        <w:rPr>
          <w:rFonts w:hint="cs"/>
          <w:b/>
          <w:bCs/>
          <w:rtl/>
        </w:rPr>
        <w:t>כשהדבר מותר</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פי</w:t>
      </w:r>
      <w:r w:rsidRPr="00014C4D">
        <w:rPr>
          <w:b/>
          <w:bCs/>
          <w:rtl/>
        </w:rPr>
        <w:t xml:space="preserve"> </w:t>
      </w:r>
      <w:r w:rsidRPr="00014C4D">
        <w:rPr>
          <w:rFonts w:hint="eastAsia"/>
          <w:b/>
          <w:bCs/>
          <w:rtl/>
        </w:rPr>
        <w:t>הנחיות</w:t>
      </w:r>
      <w:r w:rsidRPr="00014C4D">
        <w:rPr>
          <w:b/>
          <w:bCs/>
          <w:rtl/>
        </w:rPr>
        <w:t xml:space="preserve"> </w:t>
      </w:r>
      <w:r w:rsidRPr="00014C4D">
        <w:rPr>
          <w:rFonts w:hint="cs"/>
          <w:b/>
          <w:bCs/>
          <w:rtl/>
        </w:rPr>
        <w:t>פקע"ר</w:t>
      </w:r>
      <w:r w:rsidRPr="00014C4D">
        <w:rPr>
          <w:b/>
          <w:bCs/>
          <w:rtl/>
        </w:rPr>
        <w:t xml:space="preserve">. על משרד החינוך בשיתוף עם </w:t>
      </w:r>
      <w:r w:rsidRPr="00014C4D">
        <w:rPr>
          <w:rFonts w:hint="cs"/>
          <w:b/>
          <w:bCs/>
          <w:rtl/>
        </w:rPr>
        <w:t>פקע"ר</w:t>
      </w:r>
      <w:r w:rsidRPr="00014C4D">
        <w:rPr>
          <w:b/>
          <w:bCs/>
          <w:rtl/>
        </w:rPr>
        <w:t xml:space="preserve">, ועל הרשויות המקומיות </w:t>
      </w:r>
      <w:r w:rsidRPr="00014C4D">
        <w:rPr>
          <w:rFonts w:hint="eastAsia"/>
          <w:b/>
          <w:bCs/>
          <w:rtl/>
        </w:rPr>
        <w:t>אשקלון</w:t>
      </w:r>
      <w:r w:rsidRPr="00014C4D">
        <w:rPr>
          <w:b/>
          <w:bCs/>
          <w:rtl/>
        </w:rPr>
        <w:t xml:space="preserve">, </w:t>
      </w:r>
      <w:r w:rsidRPr="00014C4D">
        <w:rPr>
          <w:rFonts w:hint="eastAsia"/>
          <w:b/>
          <w:bCs/>
          <w:rtl/>
        </w:rPr>
        <w:t>ב</w:t>
      </w:r>
      <w:r w:rsidRPr="00014C4D">
        <w:rPr>
          <w:rFonts w:hint="cs"/>
          <w:b/>
          <w:bCs/>
          <w:rtl/>
        </w:rPr>
        <w:t>י</w:t>
      </w:r>
      <w:r w:rsidRPr="00014C4D">
        <w:rPr>
          <w:rFonts w:hint="eastAsia"/>
          <w:b/>
          <w:bCs/>
          <w:rtl/>
        </w:rPr>
        <w:t>ענה</w:t>
      </w:r>
      <w:r w:rsidRPr="00014C4D">
        <w:rPr>
          <w:b/>
          <w:bCs/>
          <w:rtl/>
        </w:rPr>
        <w:t xml:space="preserve"> הגלבוע וחולון</w:t>
      </w:r>
      <w:r w:rsidRPr="00014C4D">
        <w:rPr>
          <w:rFonts w:hint="cs"/>
          <w:b/>
          <w:bCs/>
          <w:rtl/>
        </w:rPr>
        <w:t>,</w:t>
      </w:r>
      <w:r w:rsidRPr="00014C4D">
        <w:rPr>
          <w:b/>
          <w:bCs/>
          <w:rtl/>
        </w:rPr>
        <w:t xml:space="preserve"> שבהן </w:t>
      </w:r>
      <w:r w:rsidRPr="00014C4D">
        <w:rPr>
          <w:rFonts w:hint="cs"/>
          <w:b/>
          <w:bCs/>
          <w:rtl/>
        </w:rPr>
        <w:t>נמצאו בביקורת זו</w:t>
      </w:r>
      <w:r w:rsidRPr="00014C4D">
        <w:rPr>
          <w:b/>
          <w:bCs/>
          <w:rtl/>
        </w:rPr>
        <w:t xml:space="preserve"> פערי מיגון </w:t>
      </w:r>
      <w:r w:rsidRPr="00014C4D">
        <w:rPr>
          <w:rFonts w:hint="eastAsia"/>
          <w:b/>
          <w:bCs/>
          <w:rtl/>
        </w:rPr>
        <w:t>במוסדות</w:t>
      </w:r>
      <w:r w:rsidRPr="00014C4D">
        <w:rPr>
          <w:b/>
          <w:bCs/>
          <w:rtl/>
        </w:rPr>
        <w:t xml:space="preserve"> </w:t>
      </w:r>
      <w:r w:rsidRPr="00014C4D">
        <w:rPr>
          <w:rFonts w:hint="eastAsia"/>
          <w:b/>
          <w:bCs/>
          <w:rtl/>
        </w:rPr>
        <w:t>החינוך</w:t>
      </w:r>
      <w:r w:rsidRPr="00014C4D">
        <w:rPr>
          <w:b/>
          <w:bCs/>
          <w:rtl/>
        </w:rPr>
        <w:t>, למצוא פתרונות להגדלת שטחי המיגון באמצעים שונים.</w:t>
      </w:r>
    </w:p>
    <w:p w:rsidR="00014C4D" w:rsidRPr="00014C4D" w:rsidRDefault="00014C4D" w:rsidP="00014C4D">
      <w:pPr>
        <w:spacing w:line="269" w:lineRule="auto"/>
        <w:ind w:left="-567"/>
        <w:rPr>
          <w:szCs w:val="20"/>
          <w:rtl/>
        </w:rPr>
      </w:pPr>
    </w:p>
    <w:p w:rsidR="00014C4D" w:rsidRPr="00014C4D" w:rsidRDefault="00014C4D" w:rsidP="00014C4D">
      <w:pPr>
        <w:spacing w:line="269" w:lineRule="auto"/>
        <w:rPr>
          <w:b/>
          <w:bCs/>
          <w:rtl/>
        </w:rPr>
      </w:pPr>
      <w:r w:rsidRPr="00014C4D">
        <w:rPr>
          <w:rFonts w:hint="cs"/>
          <w:b/>
          <w:bCs/>
          <w:rtl/>
        </w:rPr>
        <w:t>כדי</w:t>
      </w:r>
      <w:r w:rsidRPr="00014C4D">
        <w:rPr>
          <w:b/>
          <w:bCs/>
          <w:rtl/>
        </w:rPr>
        <w:t xml:space="preserve"> </w:t>
      </w:r>
      <w:r w:rsidRPr="00014C4D">
        <w:rPr>
          <w:rFonts w:hint="eastAsia"/>
          <w:b/>
          <w:bCs/>
          <w:rtl/>
        </w:rPr>
        <w:t>שתהיה</w:t>
      </w:r>
      <w:r w:rsidRPr="00014C4D">
        <w:rPr>
          <w:b/>
          <w:bCs/>
          <w:rtl/>
        </w:rPr>
        <w:t xml:space="preserve"> </w:t>
      </w:r>
      <w:r w:rsidRPr="00014C4D">
        <w:rPr>
          <w:rFonts w:hint="eastAsia"/>
          <w:b/>
          <w:bCs/>
          <w:rtl/>
        </w:rPr>
        <w:t>בידו</w:t>
      </w:r>
      <w:r w:rsidRPr="00014C4D">
        <w:rPr>
          <w:b/>
          <w:bCs/>
          <w:rtl/>
        </w:rPr>
        <w:t xml:space="preserve"> </w:t>
      </w:r>
      <w:r w:rsidRPr="00014C4D">
        <w:rPr>
          <w:rFonts w:hint="eastAsia"/>
          <w:b/>
          <w:bCs/>
          <w:rtl/>
        </w:rPr>
        <w:t>תמונת</w:t>
      </w:r>
      <w:r w:rsidRPr="00014C4D">
        <w:rPr>
          <w:b/>
          <w:bCs/>
          <w:rtl/>
        </w:rPr>
        <w:t xml:space="preserve"> </w:t>
      </w:r>
      <w:r w:rsidRPr="00014C4D">
        <w:rPr>
          <w:rFonts w:hint="eastAsia"/>
          <w:b/>
          <w:bCs/>
          <w:rtl/>
        </w:rPr>
        <w:t>מצב</w:t>
      </w:r>
      <w:r w:rsidRPr="00014C4D">
        <w:rPr>
          <w:b/>
          <w:bCs/>
          <w:rtl/>
        </w:rPr>
        <w:t xml:space="preserve"> </w:t>
      </w:r>
      <w:r w:rsidRPr="00014C4D">
        <w:rPr>
          <w:rFonts w:hint="eastAsia"/>
          <w:b/>
          <w:bCs/>
          <w:rtl/>
        </w:rPr>
        <w:t>נכונה</w:t>
      </w:r>
      <w:r w:rsidRPr="00014C4D">
        <w:rPr>
          <w:b/>
          <w:bCs/>
          <w:rtl/>
        </w:rPr>
        <w:t xml:space="preserve"> </w:t>
      </w:r>
      <w:r w:rsidRPr="00014C4D">
        <w:rPr>
          <w:rFonts w:hint="cs"/>
          <w:b/>
          <w:bCs/>
          <w:rtl/>
        </w:rPr>
        <w:t>ש</w:t>
      </w:r>
      <w:r w:rsidRPr="00014C4D">
        <w:rPr>
          <w:rFonts w:hint="eastAsia"/>
          <w:b/>
          <w:bCs/>
          <w:rtl/>
        </w:rPr>
        <w:t>ל</w:t>
      </w:r>
      <w:r w:rsidRPr="00014C4D">
        <w:rPr>
          <w:b/>
          <w:bCs/>
          <w:rtl/>
        </w:rPr>
        <w:t xml:space="preserve"> </w:t>
      </w:r>
      <w:r w:rsidRPr="00014C4D">
        <w:rPr>
          <w:rFonts w:hint="eastAsia"/>
          <w:b/>
          <w:bCs/>
          <w:rtl/>
        </w:rPr>
        <w:t>פערי</w:t>
      </w:r>
      <w:r w:rsidRPr="00014C4D">
        <w:rPr>
          <w:b/>
          <w:bCs/>
          <w:rtl/>
        </w:rPr>
        <w:t xml:space="preserve"> </w:t>
      </w:r>
      <w:r w:rsidRPr="00014C4D">
        <w:rPr>
          <w:rFonts w:hint="eastAsia"/>
          <w:b/>
          <w:bCs/>
          <w:rtl/>
        </w:rPr>
        <w:t>המיגון</w:t>
      </w:r>
      <w:r w:rsidRPr="00014C4D">
        <w:rPr>
          <w:b/>
          <w:bCs/>
          <w:rtl/>
        </w:rPr>
        <w:t xml:space="preserve"> </w:t>
      </w:r>
      <w:r w:rsidRPr="00014C4D">
        <w:rPr>
          <w:rFonts w:hint="eastAsia"/>
          <w:b/>
          <w:bCs/>
          <w:rtl/>
        </w:rPr>
        <w:t>במוסדות</w:t>
      </w:r>
      <w:r w:rsidRPr="00014C4D">
        <w:rPr>
          <w:b/>
          <w:bCs/>
          <w:rtl/>
        </w:rPr>
        <w:t xml:space="preserve"> </w:t>
      </w:r>
      <w:r w:rsidRPr="00014C4D">
        <w:rPr>
          <w:rFonts w:hint="eastAsia"/>
          <w:b/>
          <w:bCs/>
          <w:rtl/>
        </w:rPr>
        <w:t>החינוך</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משרד</w:t>
      </w:r>
      <w:r w:rsidRPr="00014C4D">
        <w:rPr>
          <w:b/>
          <w:bCs/>
          <w:rtl/>
        </w:rPr>
        <w:t xml:space="preserve"> </w:t>
      </w:r>
      <w:r w:rsidRPr="00014C4D">
        <w:rPr>
          <w:rFonts w:hint="eastAsia"/>
          <w:b/>
          <w:bCs/>
          <w:rtl/>
        </w:rPr>
        <w:t>החינוך</w:t>
      </w:r>
      <w:r w:rsidRPr="00014C4D">
        <w:rPr>
          <w:b/>
          <w:bCs/>
          <w:rtl/>
        </w:rPr>
        <w:t xml:space="preserve"> </w:t>
      </w:r>
      <w:r w:rsidRPr="00014C4D">
        <w:rPr>
          <w:rFonts w:hint="eastAsia"/>
          <w:b/>
          <w:bCs/>
          <w:rtl/>
        </w:rPr>
        <w:t>לעדכן</w:t>
      </w:r>
      <w:r w:rsidRPr="00014C4D">
        <w:rPr>
          <w:b/>
          <w:bCs/>
          <w:rtl/>
        </w:rPr>
        <w:t xml:space="preserve"> </w:t>
      </w:r>
      <w:r w:rsidRPr="00014C4D">
        <w:rPr>
          <w:rFonts w:hint="eastAsia"/>
          <w:b/>
          <w:bCs/>
          <w:rtl/>
        </w:rPr>
        <w:t>את</w:t>
      </w:r>
      <w:r w:rsidRPr="00014C4D">
        <w:rPr>
          <w:b/>
          <w:bCs/>
          <w:rtl/>
        </w:rPr>
        <w:t xml:space="preserve"> </w:t>
      </w:r>
      <w:r w:rsidRPr="00014C4D">
        <w:rPr>
          <w:rFonts w:hint="eastAsia"/>
          <w:b/>
          <w:bCs/>
          <w:rtl/>
        </w:rPr>
        <w:t>הנתונים</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שטחי</w:t>
      </w:r>
      <w:r w:rsidRPr="00014C4D">
        <w:rPr>
          <w:b/>
          <w:bCs/>
          <w:rtl/>
        </w:rPr>
        <w:t xml:space="preserve"> </w:t>
      </w:r>
      <w:r w:rsidRPr="00014C4D">
        <w:rPr>
          <w:rFonts w:hint="eastAsia"/>
          <w:b/>
          <w:bCs/>
          <w:rtl/>
        </w:rPr>
        <w:t>המיגון</w:t>
      </w:r>
      <w:r w:rsidRPr="00014C4D">
        <w:rPr>
          <w:b/>
          <w:bCs/>
          <w:rtl/>
        </w:rPr>
        <w:t xml:space="preserve"> </w:t>
      </w:r>
      <w:r w:rsidRPr="00014C4D">
        <w:rPr>
          <w:rFonts w:hint="eastAsia"/>
          <w:b/>
          <w:bCs/>
          <w:rtl/>
        </w:rPr>
        <w:t>במוסדות</w:t>
      </w:r>
      <w:r w:rsidRPr="00014C4D">
        <w:rPr>
          <w:b/>
          <w:bCs/>
          <w:rtl/>
        </w:rPr>
        <w:t xml:space="preserve"> </w:t>
      </w:r>
      <w:r w:rsidRPr="00014C4D">
        <w:rPr>
          <w:rFonts w:hint="eastAsia"/>
          <w:b/>
          <w:bCs/>
          <w:rtl/>
        </w:rPr>
        <w:t>החינוך</w:t>
      </w:r>
      <w:r w:rsidRPr="00014C4D">
        <w:rPr>
          <w:b/>
          <w:bCs/>
          <w:rtl/>
        </w:rPr>
        <w:t xml:space="preserve"> </w:t>
      </w:r>
      <w:r w:rsidRPr="00014C4D">
        <w:rPr>
          <w:rFonts w:hint="eastAsia"/>
          <w:b/>
          <w:bCs/>
          <w:rtl/>
        </w:rPr>
        <w:t>באופן</w:t>
      </w:r>
      <w:r w:rsidRPr="00014C4D">
        <w:rPr>
          <w:b/>
          <w:bCs/>
          <w:rtl/>
        </w:rPr>
        <w:t xml:space="preserve"> </w:t>
      </w:r>
      <w:r w:rsidRPr="00014C4D">
        <w:rPr>
          <w:rFonts w:hint="eastAsia"/>
          <w:b/>
          <w:bCs/>
          <w:rtl/>
        </w:rPr>
        <w:t>שוטף</w:t>
      </w:r>
      <w:r w:rsidRPr="00014C4D">
        <w:rPr>
          <w:b/>
          <w:bCs/>
          <w:rtl/>
        </w:rPr>
        <w:t xml:space="preserve">. </w:t>
      </w:r>
      <w:r w:rsidRPr="00014C4D">
        <w:rPr>
          <w:rFonts w:hint="eastAsia"/>
          <w:b/>
          <w:bCs/>
          <w:rtl/>
        </w:rPr>
        <w:t>על</w:t>
      </w:r>
      <w:r w:rsidRPr="00014C4D">
        <w:rPr>
          <w:b/>
          <w:bCs/>
          <w:rtl/>
        </w:rPr>
        <w:t xml:space="preserve"> </w:t>
      </w:r>
      <w:r w:rsidRPr="00014C4D">
        <w:rPr>
          <w:rFonts w:hint="eastAsia"/>
          <w:b/>
          <w:bCs/>
          <w:rtl/>
        </w:rPr>
        <w:t>משרד</w:t>
      </w:r>
      <w:r w:rsidRPr="00014C4D">
        <w:rPr>
          <w:b/>
          <w:bCs/>
          <w:rtl/>
        </w:rPr>
        <w:t xml:space="preserve"> </w:t>
      </w:r>
      <w:r w:rsidRPr="00014C4D">
        <w:rPr>
          <w:rFonts w:hint="eastAsia"/>
          <w:b/>
          <w:bCs/>
          <w:rtl/>
        </w:rPr>
        <w:t>החינוך</w:t>
      </w:r>
      <w:r w:rsidRPr="00014C4D">
        <w:rPr>
          <w:b/>
          <w:bCs/>
          <w:rtl/>
        </w:rPr>
        <w:t xml:space="preserve"> </w:t>
      </w:r>
      <w:r w:rsidRPr="00014C4D">
        <w:rPr>
          <w:rFonts w:hint="eastAsia"/>
          <w:b/>
          <w:bCs/>
          <w:rtl/>
        </w:rPr>
        <w:t>ופקע</w:t>
      </w:r>
      <w:r w:rsidRPr="00014C4D">
        <w:rPr>
          <w:b/>
          <w:bCs/>
          <w:rtl/>
        </w:rPr>
        <w:t xml:space="preserve">"ר </w:t>
      </w:r>
      <w:r w:rsidRPr="00014C4D">
        <w:rPr>
          <w:rFonts w:hint="eastAsia"/>
          <w:b/>
          <w:bCs/>
          <w:rtl/>
        </w:rPr>
        <w:t>בשיתוף</w:t>
      </w:r>
      <w:r w:rsidRPr="00014C4D">
        <w:rPr>
          <w:b/>
          <w:bCs/>
          <w:rtl/>
        </w:rPr>
        <w:t xml:space="preserve"> </w:t>
      </w:r>
      <w:r w:rsidRPr="00014C4D">
        <w:rPr>
          <w:rFonts w:hint="eastAsia"/>
          <w:b/>
          <w:bCs/>
          <w:rtl/>
        </w:rPr>
        <w:t>משרד</w:t>
      </w:r>
      <w:r w:rsidRPr="00014C4D">
        <w:rPr>
          <w:b/>
          <w:bCs/>
          <w:rtl/>
        </w:rPr>
        <w:t xml:space="preserve"> </w:t>
      </w:r>
      <w:r w:rsidRPr="00014C4D">
        <w:rPr>
          <w:rFonts w:hint="eastAsia"/>
          <w:b/>
          <w:bCs/>
          <w:rtl/>
        </w:rPr>
        <w:t>האוצר</w:t>
      </w:r>
      <w:r w:rsidRPr="00014C4D">
        <w:rPr>
          <w:b/>
          <w:bCs/>
          <w:rtl/>
        </w:rPr>
        <w:t xml:space="preserve"> </w:t>
      </w:r>
      <w:r w:rsidRPr="00014C4D">
        <w:rPr>
          <w:rFonts w:hint="eastAsia"/>
          <w:b/>
          <w:bCs/>
          <w:rtl/>
        </w:rPr>
        <w:t>לפעול</w:t>
      </w:r>
      <w:r w:rsidRPr="00014C4D">
        <w:rPr>
          <w:b/>
          <w:bCs/>
          <w:rtl/>
        </w:rPr>
        <w:t xml:space="preserve"> </w:t>
      </w:r>
      <w:r w:rsidRPr="00014C4D">
        <w:rPr>
          <w:rFonts w:hint="eastAsia"/>
          <w:b/>
          <w:bCs/>
          <w:rtl/>
        </w:rPr>
        <w:t>להטמיע</w:t>
      </w:r>
      <w:r w:rsidRPr="00014C4D">
        <w:rPr>
          <w:b/>
          <w:bCs/>
          <w:rtl/>
        </w:rPr>
        <w:t xml:space="preserve"> </w:t>
      </w:r>
      <w:r w:rsidRPr="00014C4D">
        <w:rPr>
          <w:rFonts w:hint="eastAsia"/>
          <w:b/>
          <w:bCs/>
          <w:rtl/>
        </w:rPr>
        <w:t>בתקנות</w:t>
      </w:r>
      <w:r w:rsidRPr="00014C4D">
        <w:rPr>
          <w:rFonts w:hint="cs"/>
          <w:b/>
          <w:bCs/>
          <w:rtl/>
        </w:rPr>
        <w:t>,</w:t>
      </w:r>
      <w:r w:rsidRPr="00014C4D">
        <w:rPr>
          <w:b/>
          <w:bCs/>
          <w:rtl/>
        </w:rPr>
        <w:t xml:space="preserve"> </w:t>
      </w:r>
      <w:r w:rsidRPr="00014C4D">
        <w:rPr>
          <w:rFonts w:hint="eastAsia"/>
          <w:b/>
          <w:bCs/>
          <w:rtl/>
        </w:rPr>
        <w:t>מפתח</w:t>
      </w:r>
      <w:r w:rsidRPr="00014C4D">
        <w:rPr>
          <w:b/>
          <w:bCs/>
          <w:rtl/>
        </w:rPr>
        <w:t xml:space="preserve"> מיגון מעודכן במוסדות חינוך לאור לקחי מלחמת חרבות ברזל</w:t>
      </w:r>
      <w:r w:rsidRPr="00014C4D">
        <w:rPr>
          <w:rFonts w:hint="cs"/>
          <w:b/>
          <w:bCs/>
          <w:rtl/>
        </w:rPr>
        <w:t>.</w:t>
      </w:r>
    </w:p>
    <w:p w:rsidR="00014C4D" w:rsidRPr="00014C4D" w:rsidDel="002C6271" w:rsidRDefault="00014C4D" w:rsidP="00014C4D">
      <w:pPr>
        <w:spacing w:line="269" w:lineRule="auto"/>
        <w:ind w:left="-567"/>
        <w:rPr>
          <w:szCs w:val="20"/>
          <w:rtl/>
        </w:rPr>
      </w:pPr>
    </w:p>
    <w:p w:rsidR="00014C4D" w:rsidRPr="00014C4D" w:rsidDel="002C6271" w:rsidRDefault="00014C4D" w:rsidP="00014C4D">
      <w:pPr>
        <w:spacing w:line="269" w:lineRule="auto"/>
        <w:rPr>
          <w:b/>
          <w:bCs/>
          <w:rtl/>
        </w:rPr>
      </w:pPr>
      <w:r w:rsidRPr="00014C4D" w:rsidDel="002C6271">
        <w:rPr>
          <w:bCs/>
          <w:rtl/>
        </w:rPr>
        <w:t>הפערים במענים ממשלתיים הניתנים לצ</w:t>
      </w:r>
      <w:r w:rsidRPr="00014C4D" w:rsidDel="002C6271">
        <w:rPr>
          <w:rFonts w:hint="cs"/>
          <w:bCs/>
          <w:rtl/>
        </w:rPr>
        <w:t>ו</w:t>
      </w:r>
      <w:r w:rsidRPr="00014C4D" w:rsidDel="002C6271">
        <w:rPr>
          <w:bCs/>
          <w:rtl/>
        </w:rPr>
        <w:t>רכי החירום של החברה הערבית מדגישים את הצורך</w:t>
      </w:r>
      <w:r w:rsidRPr="00014C4D" w:rsidDel="002C6271">
        <w:rPr>
          <w:rFonts w:hint="cs"/>
          <w:bCs/>
          <w:rtl/>
        </w:rPr>
        <w:t xml:space="preserve"> </w:t>
      </w:r>
      <w:r w:rsidRPr="00014C4D" w:rsidDel="002C6271">
        <w:rPr>
          <w:bCs/>
          <w:rtl/>
        </w:rPr>
        <w:t xml:space="preserve">שמשרד ראש הממשלה בשיתוף המשרד לשוויון חברתי, יפעלו להקמת גוף מתכלל שיוכל לרתום את משרדי הממשלה, השלטון המקומי והגופים הציבוריים הרלוונטיים לסגירת הפערים במוכנות האזרחית לחירום כדי לצמצם </w:t>
      </w:r>
      <w:r w:rsidRPr="00014C4D" w:rsidDel="002C6271">
        <w:rPr>
          <w:rFonts w:hint="cs"/>
          <w:bCs/>
          <w:rtl/>
        </w:rPr>
        <w:t>את הפגיעה ה</w:t>
      </w:r>
      <w:r w:rsidRPr="00014C4D" w:rsidDel="002C6271">
        <w:rPr>
          <w:bCs/>
          <w:rtl/>
        </w:rPr>
        <w:t xml:space="preserve">אפשרית </w:t>
      </w:r>
      <w:r w:rsidRPr="00014C4D" w:rsidDel="002C6271">
        <w:rPr>
          <w:rFonts w:hint="cs"/>
          <w:bCs/>
          <w:rtl/>
        </w:rPr>
        <w:t>באזרחים עקב ה</w:t>
      </w:r>
      <w:r w:rsidRPr="00014C4D" w:rsidDel="002C6271">
        <w:rPr>
          <w:bCs/>
          <w:rtl/>
        </w:rPr>
        <w:t>מלחמה.</w:t>
      </w:r>
      <w:r w:rsidRPr="00014C4D" w:rsidDel="002C6271">
        <w:rPr>
          <w:rFonts w:hint="cs"/>
          <w:rtl/>
        </w:rPr>
        <w:t xml:space="preserve"> </w:t>
      </w:r>
    </w:p>
    <w:p w:rsidR="00014C4D" w:rsidRPr="00014C4D" w:rsidRDefault="00014C4D" w:rsidP="00014C4D">
      <w:pPr>
        <w:spacing w:line="269" w:lineRule="auto"/>
        <w:ind w:left="-567"/>
        <w:rPr>
          <w:szCs w:val="20"/>
          <w:rtl/>
          <w:lang w:eastAsia="he-IL"/>
        </w:rPr>
      </w:pPr>
    </w:p>
    <w:p w:rsidR="00C73E3F" w:rsidRPr="00014C4D" w:rsidRDefault="00C73E3F" w:rsidP="00C73E3F">
      <w:pPr>
        <w:spacing w:line="269" w:lineRule="auto"/>
        <w:rPr>
          <w:rFonts w:eastAsia="Times New Roman"/>
          <w:b/>
          <w:bCs/>
          <w:rtl/>
          <w:lang w:eastAsia="he-IL"/>
        </w:rPr>
      </w:pPr>
      <w:bookmarkStart w:id="5" w:name="_GoBack"/>
      <w:r w:rsidRPr="00453E1B">
        <w:rPr>
          <w:rFonts w:eastAsia="Times New Roman"/>
          <w:b/>
          <w:bCs/>
          <w:rtl/>
          <w:lang w:eastAsia="he-IL"/>
        </w:rPr>
        <w:t>לצורך מימוש תוכנית "מגן הצפון" קיבל פקע"ר בפועל בשנים 2019 - 2024 - סך של 1.406 מיליארד ש"ח, מתוכם 869 מיליון ש"ח בשנת 2024 (לאחר פרוץ מלחמת חרבות ברזל), אף שעל פי החלטה ב/302 לצורך מימוש התוכנית היה צורך להקצות במהלך תקופה זו סכום של 3 מיליארד ש"ח (500 מיליון ש"ח בכל שנה).</w:t>
      </w:r>
      <w:r w:rsidRPr="00C73E3F">
        <w:rPr>
          <w:b/>
          <w:bCs/>
          <w:rtl/>
        </w:rPr>
        <w:t xml:space="preserve"> </w:t>
      </w:r>
      <w:r w:rsidRPr="00453E1B">
        <w:rPr>
          <w:rFonts w:eastAsia="Times New Roman"/>
          <w:b/>
          <w:bCs/>
          <w:rtl/>
          <w:lang w:eastAsia="he-IL"/>
        </w:rPr>
        <w:t xml:space="preserve">עוד </w:t>
      </w:r>
      <w:r w:rsidRPr="00453E1B">
        <w:rPr>
          <w:rFonts w:eastAsia="Times New Roman"/>
          <w:b/>
          <w:bCs/>
          <w:rtl/>
          <w:lang w:eastAsia="he-IL"/>
        </w:rPr>
        <w:t>עולה</w:t>
      </w:r>
      <w:r w:rsidRPr="00453E1B">
        <w:rPr>
          <w:rFonts w:eastAsia="Times New Roman"/>
          <w:b/>
          <w:bCs/>
          <w:rtl/>
          <w:lang w:eastAsia="he-IL"/>
        </w:rPr>
        <w:t xml:space="preserve"> כי מימוש התקציבים </w:t>
      </w:r>
      <w:r w:rsidRPr="00453E1B">
        <w:rPr>
          <w:rFonts w:eastAsia="Times New Roman"/>
          <w:b/>
          <w:bCs/>
          <w:rtl/>
          <w:lang w:eastAsia="he-IL"/>
        </w:rPr>
        <w:t>שהוקצו עד סוף שנת</w:t>
      </w:r>
      <w:r w:rsidRPr="00453E1B">
        <w:rPr>
          <w:rFonts w:eastAsia="Times New Roman"/>
          <w:b/>
          <w:bCs/>
          <w:rtl/>
          <w:lang w:eastAsia="he-IL"/>
        </w:rPr>
        <w:t xml:space="preserve"> 2024 </w:t>
      </w:r>
      <w:r w:rsidRPr="00453E1B">
        <w:rPr>
          <w:rFonts w:eastAsia="Times New Roman"/>
          <w:b/>
          <w:bCs/>
          <w:rtl/>
          <w:lang w:eastAsia="he-IL"/>
        </w:rPr>
        <w:t>הסתכם בכ-733.69 מיליון ש״ח בלבד, שהם כ-52% מסך התקציב</w:t>
      </w:r>
      <w:r w:rsidRPr="00453E1B">
        <w:rPr>
          <w:rFonts w:eastAsia="Times New Roman"/>
          <w:b/>
          <w:bCs/>
          <w:rtl/>
          <w:lang w:eastAsia="he-IL"/>
        </w:rPr>
        <w:t xml:space="preserve"> שהוקצה</w:t>
      </w:r>
      <w:r w:rsidRPr="00453E1B">
        <w:rPr>
          <w:rFonts w:eastAsia="Times New Roman"/>
          <w:b/>
          <w:bCs/>
          <w:rtl/>
          <w:lang w:eastAsia="he-IL"/>
        </w:rPr>
        <w:t xml:space="preserve"> בפועל. יצוין כי סכום זה משקף תשלומים שבוצעו בפועל עד יולי 2025, ואינו כולל התחייבויות תקציביות נוספות שטרם מומשו בתשלום</w:t>
      </w:r>
      <w:r w:rsidRPr="00453E1B">
        <w:rPr>
          <w:rFonts w:eastAsia="Times New Roman"/>
          <w:b/>
          <w:bCs/>
          <w:rtl/>
          <w:lang w:eastAsia="he-IL"/>
        </w:rPr>
        <w:t>.</w:t>
      </w:r>
      <w:r w:rsidRPr="00014C4D">
        <w:rPr>
          <w:rFonts w:eastAsia="Times New Roman"/>
          <w:b/>
          <w:bCs/>
          <w:rtl/>
          <w:lang w:eastAsia="he-IL"/>
        </w:rPr>
        <w:t xml:space="preserve"> </w:t>
      </w:r>
    </w:p>
    <w:bookmarkEnd w:id="5"/>
    <w:p w:rsidR="00014C4D" w:rsidRPr="00014C4D" w:rsidRDefault="00014C4D" w:rsidP="00014C4D">
      <w:pPr>
        <w:spacing w:line="269" w:lineRule="auto"/>
        <w:ind w:left="-567"/>
        <w:rPr>
          <w:szCs w:val="20"/>
          <w:rtl/>
          <w:lang w:eastAsia="he-IL"/>
        </w:rPr>
      </w:pPr>
    </w:p>
    <w:p w:rsidR="00014C4D" w:rsidRPr="00014C4D" w:rsidRDefault="00014C4D" w:rsidP="00014C4D">
      <w:pPr>
        <w:spacing w:line="269" w:lineRule="auto"/>
        <w:rPr>
          <w:rFonts w:eastAsia="Times New Roman"/>
          <w:b/>
          <w:bCs/>
          <w:rtl/>
          <w:lang w:eastAsia="he-IL"/>
        </w:rPr>
      </w:pPr>
      <w:r w:rsidRPr="00014C4D">
        <w:rPr>
          <w:rFonts w:eastAsia="Times New Roman" w:hint="eastAsia"/>
          <w:b/>
          <w:bCs/>
          <w:rtl/>
          <w:lang w:eastAsia="he-IL"/>
        </w:rPr>
        <w:t>על</w:t>
      </w:r>
      <w:r w:rsidRPr="00014C4D">
        <w:rPr>
          <w:rFonts w:eastAsia="Times New Roman"/>
          <w:b/>
          <w:bCs/>
          <w:rtl/>
          <w:lang w:eastAsia="he-IL"/>
        </w:rPr>
        <w:t xml:space="preserve"> </w:t>
      </w:r>
      <w:r w:rsidRPr="00014C4D">
        <w:rPr>
          <w:rFonts w:eastAsia="Times New Roman" w:hint="eastAsia"/>
          <w:b/>
          <w:bCs/>
          <w:rtl/>
          <w:lang w:eastAsia="he-IL"/>
        </w:rPr>
        <w:t>הצוות</w:t>
      </w:r>
      <w:r w:rsidRPr="00014C4D">
        <w:rPr>
          <w:rFonts w:eastAsia="Times New Roman"/>
          <w:b/>
          <w:bCs/>
          <w:rtl/>
          <w:lang w:eastAsia="he-IL"/>
        </w:rPr>
        <w:t xml:space="preserve"> הבין-משרדי בראשות </w:t>
      </w:r>
      <w:r w:rsidRPr="00014C4D">
        <w:rPr>
          <w:rFonts w:eastAsia="Times New Roman" w:hint="eastAsia"/>
          <w:b/>
          <w:bCs/>
          <w:rtl/>
          <w:lang w:eastAsia="he-IL"/>
        </w:rPr>
        <w:t>המל</w:t>
      </w:r>
      <w:r w:rsidRPr="00014C4D">
        <w:rPr>
          <w:rFonts w:eastAsia="Times New Roman"/>
          <w:b/>
          <w:bCs/>
          <w:rtl/>
          <w:lang w:eastAsia="he-IL"/>
        </w:rPr>
        <w:t xml:space="preserve">"ל להשלים </w:t>
      </w:r>
      <w:r w:rsidRPr="00014C4D">
        <w:rPr>
          <w:rFonts w:eastAsia="Times New Roman" w:hint="eastAsia"/>
          <w:b/>
          <w:bCs/>
          <w:rtl/>
          <w:lang w:eastAsia="he-IL"/>
        </w:rPr>
        <w:t>בחינת</w:t>
      </w:r>
      <w:r w:rsidRPr="00014C4D">
        <w:rPr>
          <w:rFonts w:eastAsia="Times New Roman"/>
          <w:b/>
          <w:bCs/>
          <w:rtl/>
          <w:lang w:eastAsia="he-IL"/>
        </w:rPr>
        <w:t xml:space="preserve"> </w:t>
      </w:r>
      <w:r w:rsidRPr="00014C4D">
        <w:rPr>
          <w:rFonts w:eastAsia="Times New Roman" w:hint="eastAsia"/>
          <w:b/>
          <w:bCs/>
          <w:rtl/>
          <w:lang w:eastAsia="he-IL"/>
        </w:rPr>
        <w:t>פערים</w:t>
      </w:r>
      <w:r w:rsidRPr="00014C4D">
        <w:rPr>
          <w:rFonts w:eastAsia="Times New Roman"/>
          <w:b/>
          <w:bCs/>
          <w:rtl/>
          <w:lang w:eastAsia="he-IL"/>
        </w:rPr>
        <w:t xml:space="preserve"> </w:t>
      </w:r>
      <w:r w:rsidRPr="00014C4D">
        <w:rPr>
          <w:rFonts w:eastAsia="Times New Roman" w:hint="eastAsia"/>
          <w:b/>
          <w:bCs/>
          <w:rtl/>
          <w:lang w:eastAsia="he-IL"/>
        </w:rPr>
        <w:t>וגיבוש</w:t>
      </w:r>
      <w:r w:rsidRPr="00014C4D">
        <w:rPr>
          <w:rFonts w:eastAsia="Times New Roman"/>
          <w:b/>
          <w:bCs/>
          <w:rtl/>
          <w:lang w:eastAsia="he-IL"/>
        </w:rPr>
        <w:t xml:space="preserve"> ת</w:t>
      </w:r>
      <w:r w:rsidRPr="00014C4D">
        <w:rPr>
          <w:rFonts w:eastAsia="Times New Roman" w:hint="cs"/>
          <w:b/>
          <w:bCs/>
          <w:rtl/>
          <w:lang w:eastAsia="he-IL"/>
        </w:rPr>
        <w:t>ו</w:t>
      </w:r>
      <w:r w:rsidRPr="00014C4D">
        <w:rPr>
          <w:rFonts w:eastAsia="Times New Roman"/>
          <w:b/>
          <w:bCs/>
          <w:rtl/>
          <w:lang w:eastAsia="he-IL"/>
        </w:rPr>
        <w:t>כנית רב</w:t>
      </w:r>
      <w:r w:rsidRPr="00014C4D">
        <w:rPr>
          <w:rFonts w:eastAsia="Times New Roman" w:hint="cs"/>
          <w:b/>
          <w:bCs/>
          <w:rtl/>
          <w:lang w:eastAsia="he-IL"/>
        </w:rPr>
        <w:t>-</w:t>
      </w:r>
      <w:r w:rsidRPr="00014C4D">
        <w:rPr>
          <w:rFonts w:eastAsia="Times New Roman"/>
          <w:b/>
          <w:bCs/>
          <w:rtl/>
          <w:lang w:eastAsia="he-IL"/>
        </w:rPr>
        <w:t xml:space="preserve">שנתית מתוקצבת, בתאום עם ראש </w:t>
      </w:r>
      <w:r w:rsidRPr="00014C4D">
        <w:rPr>
          <w:rFonts w:eastAsia="Times New Roman" w:hint="eastAsia"/>
          <w:b/>
          <w:bCs/>
          <w:rtl/>
          <w:lang w:eastAsia="he-IL"/>
        </w:rPr>
        <w:t>אגף</w:t>
      </w:r>
      <w:r w:rsidRPr="00014C4D">
        <w:rPr>
          <w:rFonts w:eastAsia="Times New Roman"/>
          <w:b/>
          <w:bCs/>
          <w:rtl/>
          <w:lang w:eastAsia="he-IL"/>
        </w:rPr>
        <w:t xml:space="preserve"> </w:t>
      </w:r>
      <w:r w:rsidRPr="00014C4D">
        <w:rPr>
          <w:rFonts w:eastAsia="Times New Roman" w:hint="eastAsia"/>
          <w:b/>
          <w:bCs/>
          <w:rtl/>
          <w:lang w:eastAsia="he-IL"/>
        </w:rPr>
        <w:t>התקציבים</w:t>
      </w:r>
      <w:r w:rsidRPr="00014C4D">
        <w:rPr>
          <w:rFonts w:eastAsia="Times New Roman"/>
          <w:b/>
          <w:bCs/>
          <w:rtl/>
          <w:lang w:eastAsia="he-IL"/>
        </w:rPr>
        <w:t xml:space="preserve"> </w:t>
      </w:r>
      <w:r w:rsidRPr="00014C4D">
        <w:rPr>
          <w:rFonts w:eastAsia="Times New Roman" w:hint="eastAsia"/>
          <w:b/>
          <w:bCs/>
          <w:rtl/>
          <w:lang w:eastAsia="he-IL"/>
        </w:rPr>
        <w:t>במשרד</w:t>
      </w:r>
      <w:r w:rsidRPr="00014C4D">
        <w:rPr>
          <w:rFonts w:eastAsia="Times New Roman"/>
          <w:b/>
          <w:bCs/>
          <w:rtl/>
          <w:lang w:eastAsia="he-IL"/>
        </w:rPr>
        <w:t xml:space="preserve"> </w:t>
      </w:r>
      <w:r w:rsidRPr="00014C4D">
        <w:rPr>
          <w:rFonts w:eastAsia="Times New Roman" w:hint="eastAsia"/>
          <w:b/>
          <w:bCs/>
          <w:rtl/>
          <w:lang w:eastAsia="he-IL"/>
        </w:rPr>
        <w:t>האוצר</w:t>
      </w:r>
      <w:r w:rsidRPr="00014C4D">
        <w:rPr>
          <w:rFonts w:eastAsia="Times New Roman"/>
          <w:b/>
          <w:bCs/>
          <w:rtl/>
          <w:lang w:eastAsia="he-IL"/>
        </w:rPr>
        <w:t xml:space="preserve"> ומנכ"ל משרד הב</w:t>
      </w:r>
      <w:r w:rsidRPr="00014C4D">
        <w:rPr>
          <w:rFonts w:eastAsia="Times New Roman" w:hint="eastAsia"/>
          <w:b/>
          <w:bCs/>
          <w:rtl/>
          <w:lang w:eastAsia="he-IL"/>
        </w:rPr>
        <w:t>יטחון</w:t>
      </w:r>
      <w:r w:rsidRPr="00014C4D">
        <w:rPr>
          <w:rFonts w:eastAsia="Times New Roman"/>
          <w:b/>
          <w:bCs/>
          <w:rtl/>
          <w:lang w:eastAsia="he-IL"/>
        </w:rPr>
        <w:t xml:space="preserve">, במיקוד על </w:t>
      </w:r>
      <w:r w:rsidRPr="00014C4D">
        <w:rPr>
          <w:rFonts w:eastAsia="Times New Roman" w:hint="eastAsia"/>
          <w:b/>
          <w:bCs/>
          <w:rtl/>
          <w:lang w:eastAsia="he-IL"/>
        </w:rPr>
        <w:t>פערי</w:t>
      </w:r>
      <w:r w:rsidRPr="00014C4D">
        <w:rPr>
          <w:rFonts w:eastAsia="Times New Roman"/>
          <w:b/>
          <w:bCs/>
          <w:rtl/>
          <w:lang w:eastAsia="he-IL"/>
        </w:rPr>
        <w:t xml:space="preserve"> </w:t>
      </w:r>
      <w:r w:rsidRPr="00014C4D">
        <w:rPr>
          <w:rFonts w:eastAsia="Times New Roman" w:hint="eastAsia"/>
          <w:b/>
          <w:bCs/>
          <w:rtl/>
          <w:lang w:eastAsia="he-IL"/>
        </w:rPr>
        <w:t>מיגון</w:t>
      </w:r>
      <w:r w:rsidRPr="00014C4D">
        <w:rPr>
          <w:rFonts w:eastAsia="Times New Roman"/>
          <w:b/>
          <w:bCs/>
          <w:rtl/>
          <w:lang w:eastAsia="he-IL"/>
        </w:rPr>
        <w:t xml:space="preserve"> </w:t>
      </w:r>
      <w:r w:rsidRPr="00014C4D">
        <w:rPr>
          <w:rFonts w:eastAsia="Times New Roman" w:hint="eastAsia"/>
          <w:b/>
          <w:bCs/>
          <w:rtl/>
          <w:lang w:eastAsia="he-IL"/>
        </w:rPr>
        <w:t>בישובים</w:t>
      </w:r>
      <w:r w:rsidRPr="00014C4D">
        <w:rPr>
          <w:rFonts w:eastAsia="Times New Roman"/>
          <w:b/>
          <w:bCs/>
          <w:rtl/>
          <w:lang w:eastAsia="he-IL"/>
        </w:rPr>
        <w:t xml:space="preserve"> </w:t>
      </w:r>
      <w:r w:rsidRPr="00014C4D">
        <w:rPr>
          <w:rFonts w:eastAsia="Times New Roman" w:hint="eastAsia"/>
          <w:b/>
          <w:bCs/>
          <w:rtl/>
          <w:lang w:eastAsia="he-IL"/>
        </w:rPr>
        <w:t>בקווי</w:t>
      </w:r>
      <w:r w:rsidRPr="00014C4D">
        <w:rPr>
          <w:rFonts w:eastAsia="Times New Roman"/>
          <w:b/>
          <w:bCs/>
          <w:rtl/>
          <w:lang w:eastAsia="he-IL"/>
        </w:rPr>
        <w:t xml:space="preserve"> </w:t>
      </w:r>
      <w:r w:rsidRPr="00014C4D">
        <w:rPr>
          <w:rFonts w:eastAsia="Times New Roman" w:hint="eastAsia"/>
          <w:b/>
          <w:bCs/>
          <w:rtl/>
          <w:lang w:eastAsia="he-IL"/>
        </w:rPr>
        <w:t>העימות</w:t>
      </w:r>
      <w:r w:rsidRPr="00014C4D">
        <w:rPr>
          <w:rFonts w:eastAsia="Times New Roman"/>
          <w:b/>
          <w:bCs/>
          <w:rtl/>
          <w:lang w:eastAsia="he-IL"/>
        </w:rPr>
        <w:t xml:space="preserve"> </w:t>
      </w:r>
      <w:r w:rsidRPr="00014C4D">
        <w:rPr>
          <w:rFonts w:eastAsia="Times New Roman" w:hint="eastAsia"/>
          <w:b/>
          <w:bCs/>
          <w:rtl/>
          <w:lang w:eastAsia="he-IL"/>
        </w:rPr>
        <w:t>בצפון</w:t>
      </w:r>
      <w:r w:rsidRPr="00014C4D">
        <w:rPr>
          <w:rFonts w:eastAsia="Times New Roman"/>
          <w:b/>
          <w:bCs/>
          <w:rtl/>
          <w:lang w:eastAsia="he-IL"/>
        </w:rPr>
        <w:t xml:space="preserve"> </w:t>
      </w:r>
      <w:r w:rsidRPr="00014C4D">
        <w:rPr>
          <w:rFonts w:eastAsia="Times New Roman" w:hint="eastAsia"/>
          <w:b/>
          <w:bCs/>
          <w:rtl/>
          <w:lang w:eastAsia="he-IL"/>
        </w:rPr>
        <w:t>ובדרום</w:t>
      </w:r>
      <w:r w:rsidRPr="00014C4D">
        <w:rPr>
          <w:rFonts w:eastAsia="Times New Roman"/>
          <w:b/>
          <w:bCs/>
          <w:rtl/>
          <w:lang w:eastAsia="he-IL"/>
        </w:rPr>
        <w:t xml:space="preserve">, </w:t>
      </w:r>
      <w:r w:rsidRPr="00014C4D">
        <w:rPr>
          <w:rFonts w:eastAsia="Times New Roman" w:hint="eastAsia"/>
          <w:b/>
          <w:bCs/>
          <w:rtl/>
          <w:lang w:eastAsia="he-IL"/>
        </w:rPr>
        <w:t>לשם</w:t>
      </w:r>
      <w:r w:rsidRPr="00014C4D">
        <w:rPr>
          <w:rFonts w:eastAsia="Times New Roman"/>
          <w:b/>
          <w:bCs/>
          <w:rtl/>
          <w:lang w:eastAsia="he-IL"/>
        </w:rPr>
        <w:t xml:space="preserve"> </w:t>
      </w:r>
      <w:r w:rsidRPr="00014C4D">
        <w:rPr>
          <w:rFonts w:eastAsia="Times New Roman" w:hint="eastAsia"/>
          <w:b/>
          <w:bCs/>
          <w:rtl/>
          <w:lang w:eastAsia="he-IL"/>
        </w:rPr>
        <w:t>הבאתה</w:t>
      </w:r>
      <w:r w:rsidRPr="00014C4D">
        <w:rPr>
          <w:rFonts w:eastAsia="Times New Roman"/>
          <w:b/>
          <w:bCs/>
          <w:rtl/>
          <w:lang w:eastAsia="he-IL"/>
        </w:rPr>
        <w:t xml:space="preserve"> </w:t>
      </w:r>
      <w:r w:rsidRPr="00014C4D">
        <w:rPr>
          <w:rFonts w:eastAsia="Times New Roman" w:hint="eastAsia"/>
          <w:b/>
          <w:bCs/>
          <w:rtl/>
          <w:lang w:eastAsia="he-IL"/>
        </w:rPr>
        <w:t>בפני</w:t>
      </w:r>
      <w:r w:rsidRPr="00014C4D">
        <w:rPr>
          <w:rFonts w:eastAsia="Times New Roman"/>
          <w:b/>
          <w:bCs/>
          <w:rtl/>
          <w:lang w:eastAsia="he-IL"/>
        </w:rPr>
        <w:t xml:space="preserve"> </w:t>
      </w:r>
      <w:r w:rsidRPr="00014C4D">
        <w:rPr>
          <w:rFonts w:eastAsia="Times New Roman" w:hint="eastAsia"/>
          <w:b/>
          <w:bCs/>
          <w:rtl/>
          <w:lang w:eastAsia="he-IL"/>
        </w:rPr>
        <w:t>הקבינט</w:t>
      </w:r>
      <w:r w:rsidRPr="00014C4D">
        <w:rPr>
          <w:rFonts w:eastAsia="Times New Roman"/>
          <w:b/>
          <w:bCs/>
          <w:rtl/>
          <w:lang w:eastAsia="he-IL"/>
        </w:rPr>
        <w:t xml:space="preserve">. </w:t>
      </w:r>
    </w:p>
    <w:p w:rsidR="00014C4D" w:rsidRPr="00014C4D" w:rsidRDefault="00014C4D" w:rsidP="00014C4D">
      <w:pPr>
        <w:spacing w:line="269" w:lineRule="auto"/>
        <w:ind w:left="-567"/>
        <w:rPr>
          <w:szCs w:val="20"/>
          <w:rtl/>
          <w:lang w:eastAsia="he-IL"/>
        </w:rPr>
      </w:pPr>
    </w:p>
    <w:p w:rsidR="00653A21" w:rsidRDefault="00014C4D" w:rsidP="00CD397F">
      <w:pPr>
        <w:spacing w:line="269" w:lineRule="auto"/>
        <w:rPr>
          <w:rFonts w:ascii="Tahoma" w:hAnsi="Tahoma" w:cs="Tahoma"/>
          <w:sz w:val="19"/>
          <w:szCs w:val="19"/>
          <w:rtl/>
        </w:rPr>
        <w:sectPr w:rsidR="00653A21" w:rsidSect="008654CB">
          <w:headerReference w:type="even" r:id="rId53"/>
          <w:headerReference w:type="default" r:id="rId54"/>
          <w:headerReference w:type="first" r:id="rId55"/>
          <w:footerReference w:type="first" r:id="rId56"/>
          <w:pgSz w:w="11340" w:h="14175" w:code="9"/>
          <w:pgMar w:top="2268" w:right="1276" w:bottom="1588" w:left="1134" w:header="709" w:footer="709" w:gutter="0"/>
          <w:cols w:space="708"/>
          <w:titlePg/>
          <w:bidi/>
          <w:rtlGutter/>
          <w:docGrid w:linePitch="360"/>
        </w:sectPr>
      </w:pPr>
      <w:r w:rsidRPr="00014C4D">
        <w:rPr>
          <w:rFonts w:eastAsia="Times New Roman" w:hint="eastAsia"/>
          <w:b/>
          <w:bCs/>
          <w:rtl/>
          <w:lang w:eastAsia="he-IL"/>
        </w:rPr>
        <w:t>מומלץ</w:t>
      </w:r>
      <w:r w:rsidRPr="00014C4D">
        <w:rPr>
          <w:rFonts w:eastAsia="Times New Roman"/>
          <w:b/>
          <w:bCs/>
          <w:rtl/>
          <w:lang w:eastAsia="he-IL"/>
        </w:rPr>
        <w:t xml:space="preserve"> </w:t>
      </w:r>
      <w:r w:rsidRPr="00014C4D">
        <w:rPr>
          <w:rFonts w:eastAsia="Times New Roman" w:hint="eastAsia"/>
          <w:b/>
          <w:bCs/>
          <w:rtl/>
          <w:lang w:eastAsia="he-IL"/>
        </w:rPr>
        <w:t>כי</w:t>
      </w:r>
      <w:r w:rsidRPr="00014C4D">
        <w:rPr>
          <w:rFonts w:eastAsia="Times New Roman"/>
          <w:b/>
          <w:bCs/>
          <w:rtl/>
          <w:lang w:eastAsia="he-IL"/>
        </w:rPr>
        <w:t xml:space="preserve"> </w:t>
      </w:r>
      <w:r w:rsidRPr="00014C4D">
        <w:rPr>
          <w:rFonts w:eastAsia="Times New Roman" w:hint="eastAsia"/>
          <w:b/>
          <w:bCs/>
          <w:rtl/>
          <w:lang w:eastAsia="he-IL"/>
        </w:rPr>
        <w:t>ראש</w:t>
      </w:r>
      <w:r w:rsidRPr="00014C4D">
        <w:rPr>
          <w:rFonts w:eastAsia="Times New Roman"/>
          <w:b/>
          <w:bCs/>
          <w:rtl/>
          <w:lang w:eastAsia="he-IL"/>
        </w:rPr>
        <w:t xml:space="preserve"> </w:t>
      </w:r>
      <w:r w:rsidRPr="00014C4D">
        <w:rPr>
          <w:rFonts w:eastAsia="Times New Roman" w:hint="eastAsia"/>
          <w:b/>
          <w:bCs/>
          <w:rtl/>
          <w:lang w:eastAsia="he-IL"/>
        </w:rPr>
        <w:t>הממשלה</w:t>
      </w:r>
      <w:r w:rsidRPr="00014C4D">
        <w:rPr>
          <w:rFonts w:eastAsia="Times New Roman"/>
          <w:b/>
          <w:bCs/>
          <w:rtl/>
          <w:lang w:eastAsia="he-IL"/>
        </w:rPr>
        <w:t xml:space="preserve"> </w:t>
      </w:r>
      <w:r w:rsidRPr="00014C4D">
        <w:rPr>
          <w:rFonts w:eastAsia="Times New Roman" w:hint="eastAsia"/>
          <w:b/>
          <w:bCs/>
          <w:rtl/>
          <w:lang w:eastAsia="he-IL"/>
        </w:rPr>
        <w:t>יביא</w:t>
      </w:r>
      <w:r w:rsidRPr="00014C4D">
        <w:rPr>
          <w:rFonts w:eastAsia="Times New Roman"/>
          <w:b/>
          <w:bCs/>
          <w:rtl/>
          <w:lang w:eastAsia="he-IL"/>
        </w:rPr>
        <w:t xml:space="preserve"> </w:t>
      </w:r>
      <w:r w:rsidRPr="00014C4D">
        <w:rPr>
          <w:rFonts w:eastAsia="Times New Roman" w:hint="eastAsia"/>
          <w:b/>
          <w:bCs/>
          <w:rtl/>
          <w:lang w:eastAsia="he-IL"/>
        </w:rPr>
        <w:t>לדיון</w:t>
      </w:r>
      <w:r w:rsidRPr="00014C4D">
        <w:rPr>
          <w:rFonts w:eastAsia="Times New Roman"/>
          <w:b/>
          <w:bCs/>
          <w:rtl/>
          <w:lang w:eastAsia="he-IL"/>
        </w:rPr>
        <w:t xml:space="preserve"> </w:t>
      </w:r>
      <w:r w:rsidRPr="00014C4D">
        <w:rPr>
          <w:rFonts w:eastAsia="Times New Roman" w:hint="eastAsia"/>
          <w:b/>
          <w:bCs/>
          <w:rtl/>
          <w:lang w:eastAsia="he-IL"/>
        </w:rPr>
        <w:t>מחודש</w:t>
      </w:r>
      <w:r w:rsidRPr="00014C4D">
        <w:rPr>
          <w:rFonts w:eastAsia="Times New Roman"/>
          <w:b/>
          <w:bCs/>
          <w:rtl/>
          <w:lang w:eastAsia="he-IL"/>
        </w:rPr>
        <w:t xml:space="preserve"> </w:t>
      </w:r>
      <w:r w:rsidRPr="00014C4D">
        <w:rPr>
          <w:rFonts w:eastAsia="Times New Roman" w:hint="eastAsia"/>
          <w:b/>
          <w:bCs/>
          <w:rtl/>
          <w:lang w:eastAsia="he-IL"/>
        </w:rPr>
        <w:t>בקבינט</w:t>
      </w:r>
      <w:r w:rsidRPr="00014C4D">
        <w:rPr>
          <w:rFonts w:eastAsia="Times New Roman"/>
          <w:b/>
          <w:bCs/>
          <w:rtl/>
          <w:lang w:eastAsia="he-IL"/>
        </w:rPr>
        <w:t xml:space="preserve"> </w:t>
      </w:r>
      <w:r w:rsidRPr="00014C4D">
        <w:rPr>
          <w:rFonts w:eastAsia="Times New Roman" w:hint="eastAsia"/>
          <w:b/>
          <w:bCs/>
          <w:rtl/>
          <w:lang w:eastAsia="he-IL"/>
        </w:rPr>
        <w:t>את</w:t>
      </w:r>
      <w:r w:rsidRPr="00014C4D">
        <w:rPr>
          <w:rFonts w:eastAsia="Times New Roman"/>
          <w:b/>
          <w:bCs/>
          <w:rtl/>
          <w:lang w:eastAsia="he-IL"/>
        </w:rPr>
        <w:t xml:space="preserve"> </w:t>
      </w:r>
      <w:r w:rsidRPr="00014C4D">
        <w:rPr>
          <w:rFonts w:eastAsia="Times New Roman" w:hint="eastAsia"/>
          <w:b/>
          <w:bCs/>
          <w:rtl/>
          <w:lang w:eastAsia="he-IL"/>
        </w:rPr>
        <w:t>סוגיית</w:t>
      </w:r>
      <w:r w:rsidRPr="00014C4D">
        <w:rPr>
          <w:rFonts w:eastAsia="Times New Roman"/>
          <w:b/>
          <w:bCs/>
          <w:rtl/>
          <w:lang w:eastAsia="he-IL"/>
        </w:rPr>
        <w:t xml:space="preserve"> </w:t>
      </w:r>
      <w:r w:rsidRPr="00014C4D">
        <w:rPr>
          <w:rFonts w:eastAsia="Times New Roman" w:hint="eastAsia"/>
          <w:b/>
          <w:bCs/>
          <w:rtl/>
          <w:lang w:eastAsia="he-IL"/>
        </w:rPr>
        <w:t>פערי</w:t>
      </w:r>
      <w:r w:rsidRPr="00014C4D">
        <w:rPr>
          <w:rFonts w:eastAsia="Times New Roman"/>
          <w:b/>
          <w:bCs/>
          <w:rtl/>
          <w:lang w:eastAsia="he-IL"/>
        </w:rPr>
        <w:t xml:space="preserve"> </w:t>
      </w:r>
      <w:r w:rsidRPr="00014C4D">
        <w:rPr>
          <w:rFonts w:eastAsia="Times New Roman" w:hint="eastAsia"/>
          <w:b/>
          <w:bCs/>
          <w:rtl/>
          <w:lang w:eastAsia="he-IL"/>
        </w:rPr>
        <w:t>המיגון</w:t>
      </w:r>
      <w:r w:rsidRPr="00014C4D">
        <w:rPr>
          <w:rFonts w:eastAsia="Times New Roman"/>
          <w:b/>
          <w:bCs/>
          <w:rtl/>
          <w:lang w:eastAsia="he-IL"/>
        </w:rPr>
        <w:t xml:space="preserve"> </w:t>
      </w:r>
      <w:r w:rsidRPr="00014C4D">
        <w:rPr>
          <w:rFonts w:eastAsia="Times New Roman" w:hint="eastAsia"/>
          <w:b/>
          <w:bCs/>
          <w:rtl/>
          <w:lang w:eastAsia="he-IL"/>
        </w:rPr>
        <w:t>ויפעל</w:t>
      </w:r>
      <w:r w:rsidRPr="00014C4D">
        <w:rPr>
          <w:rFonts w:eastAsia="Times New Roman"/>
          <w:b/>
          <w:bCs/>
          <w:rtl/>
          <w:lang w:eastAsia="he-IL"/>
        </w:rPr>
        <w:t xml:space="preserve"> </w:t>
      </w:r>
      <w:r w:rsidRPr="00014C4D">
        <w:rPr>
          <w:rFonts w:eastAsia="Times New Roman" w:hint="eastAsia"/>
          <w:b/>
          <w:bCs/>
          <w:rtl/>
          <w:lang w:eastAsia="he-IL"/>
        </w:rPr>
        <w:t>לגיבוש</w:t>
      </w:r>
      <w:r w:rsidRPr="00014C4D">
        <w:rPr>
          <w:rFonts w:eastAsia="Times New Roman"/>
          <w:b/>
          <w:bCs/>
          <w:rtl/>
          <w:lang w:eastAsia="he-IL"/>
        </w:rPr>
        <w:t xml:space="preserve"> </w:t>
      </w:r>
      <w:r w:rsidRPr="00014C4D">
        <w:rPr>
          <w:rFonts w:eastAsia="Times New Roman" w:hint="eastAsia"/>
          <w:b/>
          <w:bCs/>
          <w:rtl/>
          <w:lang w:eastAsia="he-IL"/>
        </w:rPr>
        <w:t>ת</w:t>
      </w:r>
      <w:r w:rsidRPr="00014C4D">
        <w:rPr>
          <w:rFonts w:eastAsia="Times New Roman" w:hint="cs"/>
          <w:b/>
          <w:bCs/>
          <w:rtl/>
          <w:lang w:eastAsia="he-IL"/>
        </w:rPr>
        <w:t>ו</w:t>
      </w:r>
      <w:r w:rsidRPr="00014C4D">
        <w:rPr>
          <w:rFonts w:eastAsia="Times New Roman" w:hint="eastAsia"/>
          <w:b/>
          <w:bCs/>
          <w:rtl/>
          <w:lang w:eastAsia="he-IL"/>
        </w:rPr>
        <w:t>כנית</w:t>
      </w:r>
      <w:r w:rsidRPr="00014C4D">
        <w:rPr>
          <w:rFonts w:eastAsia="Times New Roman"/>
          <w:b/>
          <w:bCs/>
          <w:rtl/>
          <w:lang w:eastAsia="he-IL"/>
        </w:rPr>
        <w:t xml:space="preserve"> </w:t>
      </w:r>
      <w:r w:rsidRPr="00014C4D">
        <w:rPr>
          <w:rFonts w:eastAsia="Times New Roman" w:hint="eastAsia"/>
          <w:b/>
          <w:bCs/>
          <w:rtl/>
          <w:lang w:eastAsia="he-IL"/>
        </w:rPr>
        <w:t>לאומית</w:t>
      </w:r>
      <w:r w:rsidRPr="00014C4D">
        <w:rPr>
          <w:rFonts w:eastAsia="Times New Roman"/>
          <w:b/>
          <w:bCs/>
          <w:rtl/>
          <w:lang w:eastAsia="he-IL"/>
        </w:rPr>
        <w:t xml:space="preserve"> </w:t>
      </w:r>
      <w:r w:rsidRPr="00014C4D">
        <w:rPr>
          <w:rFonts w:eastAsia="Times New Roman" w:hint="eastAsia"/>
          <w:b/>
          <w:bCs/>
          <w:rtl/>
          <w:lang w:eastAsia="he-IL"/>
        </w:rPr>
        <w:t>מתוקצבת</w:t>
      </w:r>
      <w:r w:rsidRPr="00014C4D">
        <w:rPr>
          <w:rFonts w:eastAsia="Times New Roman"/>
          <w:b/>
          <w:bCs/>
          <w:rtl/>
          <w:lang w:eastAsia="he-IL"/>
        </w:rPr>
        <w:t xml:space="preserve"> </w:t>
      </w:r>
      <w:r w:rsidRPr="00014C4D">
        <w:rPr>
          <w:rFonts w:eastAsia="Times New Roman" w:hint="eastAsia"/>
          <w:b/>
          <w:bCs/>
          <w:rtl/>
          <w:lang w:eastAsia="he-IL"/>
        </w:rPr>
        <w:t>למתן</w:t>
      </w:r>
      <w:r w:rsidRPr="00014C4D">
        <w:rPr>
          <w:rFonts w:eastAsia="Times New Roman"/>
          <w:b/>
          <w:bCs/>
          <w:rtl/>
          <w:lang w:eastAsia="he-IL"/>
        </w:rPr>
        <w:t xml:space="preserve"> </w:t>
      </w:r>
      <w:r w:rsidRPr="00014C4D">
        <w:rPr>
          <w:rFonts w:eastAsia="Times New Roman" w:hint="cs"/>
          <w:b/>
          <w:bCs/>
          <w:rtl/>
          <w:lang w:eastAsia="he-IL"/>
        </w:rPr>
        <w:t>ה</w:t>
      </w:r>
      <w:r w:rsidRPr="00014C4D">
        <w:rPr>
          <w:rFonts w:eastAsia="Times New Roman" w:hint="eastAsia"/>
          <w:b/>
          <w:bCs/>
          <w:rtl/>
          <w:lang w:eastAsia="he-IL"/>
        </w:rPr>
        <w:t>מענה</w:t>
      </w:r>
      <w:r w:rsidRPr="00014C4D">
        <w:rPr>
          <w:rFonts w:eastAsia="Times New Roman"/>
          <w:b/>
          <w:bCs/>
          <w:rtl/>
          <w:lang w:eastAsia="he-IL"/>
        </w:rPr>
        <w:t xml:space="preserve"> </w:t>
      </w:r>
      <w:r w:rsidRPr="00014C4D">
        <w:rPr>
          <w:rFonts w:eastAsia="Times New Roman" w:hint="cs"/>
          <w:b/>
          <w:bCs/>
          <w:rtl/>
          <w:lang w:eastAsia="he-IL"/>
        </w:rPr>
        <w:t>ה</w:t>
      </w:r>
      <w:r w:rsidRPr="00014C4D">
        <w:rPr>
          <w:rFonts w:eastAsia="Times New Roman" w:hint="eastAsia"/>
          <w:b/>
          <w:bCs/>
          <w:rtl/>
          <w:lang w:eastAsia="he-IL"/>
        </w:rPr>
        <w:t>נדרש</w:t>
      </w:r>
      <w:r w:rsidRPr="00014C4D">
        <w:rPr>
          <w:rFonts w:eastAsia="Times New Roman"/>
          <w:b/>
          <w:bCs/>
          <w:rtl/>
          <w:lang w:eastAsia="he-IL"/>
        </w:rPr>
        <w:t xml:space="preserve"> </w:t>
      </w:r>
      <w:r w:rsidRPr="00014C4D">
        <w:rPr>
          <w:rFonts w:eastAsia="Times New Roman" w:hint="eastAsia"/>
          <w:b/>
          <w:bCs/>
          <w:rtl/>
          <w:lang w:eastAsia="he-IL"/>
        </w:rPr>
        <w:t>ו</w:t>
      </w:r>
      <w:r w:rsidRPr="00014C4D">
        <w:rPr>
          <w:rFonts w:eastAsia="Times New Roman" w:hint="cs"/>
          <w:b/>
          <w:bCs/>
          <w:rtl/>
          <w:lang w:eastAsia="he-IL"/>
        </w:rPr>
        <w:t xml:space="preserve">כן </w:t>
      </w:r>
      <w:r w:rsidRPr="00014C4D">
        <w:rPr>
          <w:rFonts w:eastAsia="Times New Roman" w:hint="eastAsia"/>
          <w:b/>
          <w:bCs/>
          <w:rtl/>
          <w:lang w:eastAsia="he-IL"/>
        </w:rPr>
        <w:t>יפעל</w:t>
      </w:r>
      <w:r w:rsidRPr="00014C4D">
        <w:rPr>
          <w:rFonts w:eastAsia="Times New Roman"/>
          <w:b/>
          <w:bCs/>
          <w:rtl/>
          <w:lang w:eastAsia="he-IL"/>
        </w:rPr>
        <w:t xml:space="preserve"> </w:t>
      </w:r>
      <w:r w:rsidRPr="00014C4D">
        <w:rPr>
          <w:rFonts w:eastAsia="Times New Roman" w:hint="eastAsia"/>
          <w:b/>
          <w:bCs/>
          <w:rtl/>
          <w:lang w:eastAsia="he-IL"/>
        </w:rPr>
        <w:t>למיסוד</w:t>
      </w:r>
      <w:r w:rsidRPr="00014C4D">
        <w:rPr>
          <w:rFonts w:eastAsia="Times New Roman"/>
          <w:b/>
          <w:bCs/>
          <w:rtl/>
          <w:lang w:eastAsia="he-IL"/>
        </w:rPr>
        <w:t xml:space="preserve"> </w:t>
      </w:r>
      <w:r w:rsidRPr="00014C4D">
        <w:rPr>
          <w:rFonts w:eastAsia="Times New Roman" w:hint="eastAsia"/>
          <w:b/>
          <w:bCs/>
          <w:rtl/>
          <w:lang w:eastAsia="he-IL"/>
        </w:rPr>
        <w:t>מנגנוני</w:t>
      </w:r>
      <w:r w:rsidRPr="00014C4D">
        <w:rPr>
          <w:rFonts w:eastAsia="Times New Roman"/>
          <w:b/>
          <w:bCs/>
          <w:rtl/>
          <w:lang w:eastAsia="he-IL"/>
        </w:rPr>
        <w:t xml:space="preserve"> </w:t>
      </w:r>
      <w:r w:rsidRPr="00014C4D">
        <w:rPr>
          <w:rFonts w:eastAsia="Times New Roman" w:hint="eastAsia"/>
          <w:b/>
          <w:bCs/>
          <w:rtl/>
          <w:lang w:eastAsia="he-IL"/>
        </w:rPr>
        <w:t>בקרה</w:t>
      </w:r>
      <w:r w:rsidRPr="00014C4D">
        <w:rPr>
          <w:rFonts w:eastAsia="Times New Roman"/>
          <w:b/>
          <w:bCs/>
          <w:rtl/>
          <w:lang w:eastAsia="he-IL"/>
        </w:rPr>
        <w:t xml:space="preserve"> </w:t>
      </w:r>
      <w:r w:rsidRPr="00014C4D">
        <w:rPr>
          <w:rFonts w:eastAsia="Times New Roman" w:hint="eastAsia"/>
          <w:b/>
          <w:bCs/>
          <w:rtl/>
          <w:lang w:eastAsia="he-IL"/>
        </w:rPr>
        <w:t>ומעקב</w:t>
      </w:r>
      <w:r w:rsidRPr="00014C4D">
        <w:rPr>
          <w:rFonts w:eastAsia="Times New Roman"/>
          <w:b/>
          <w:bCs/>
          <w:rtl/>
          <w:lang w:eastAsia="he-IL"/>
        </w:rPr>
        <w:t xml:space="preserve"> </w:t>
      </w:r>
      <w:r w:rsidRPr="00014C4D">
        <w:rPr>
          <w:rFonts w:eastAsia="Times New Roman" w:hint="eastAsia"/>
          <w:b/>
          <w:bCs/>
          <w:rtl/>
          <w:lang w:eastAsia="he-IL"/>
        </w:rPr>
        <w:t>אחר</w:t>
      </w:r>
      <w:r w:rsidRPr="00014C4D">
        <w:rPr>
          <w:rFonts w:eastAsia="Times New Roman"/>
          <w:b/>
          <w:bCs/>
          <w:rtl/>
          <w:lang w:eastAsia="he-IL"/>
        </w:rPr>
        <w:t xml:space="preserve"> </w:t>
      </w:r>
      <w:r w:rsidRPr="00014C4D">
        <w:rPr>
          <w:rFonts w:eastAsia="Times New Roman" w:hint="eastAsia"/>
          <w:b/>
          <w:bCs/>
          <w:rtl/>
          <w:lang w:eastAsia="he-IL"/>
        </w:rPr>
        <w:t>יישומה</w:t>
      </w:r>
      <w:r w:rsidRPr="00014C4D">
        <w:rPr>
          <w:rFonts w:eastAsia="Times New Roman" w:hint="cs"/>
          <w:b/>
          <w:bCs/>
          <w:rtl/>
          <w:lang w:eastAsia="he-IL"/>
        </w:rPr>
        <w:t xml:space="preserve"> של התוכנית</w:t>
      </w:r>
      <w:r w:rsidRPr="00014C4D">
        <w:rPr>
          <w:rFonts w:eastAsia="Times New Roman"/>
          <w:b/>
          <w:bCs/>
          <w:rtl/>
          <w:lang w:eastAsia="he-IL"/>
        </w:rPr>
        <w:t>.</w:t>
      </w:r>
      <w:bookmarkEnd w:id="2"/>
    </w:p>
    <w:bookmarkEnd w:id="3"/>
    <w:p w:rsidR="005C3049" w:rsidRPr="00AB465B" w:rsidRDefault="005C3049" w:rsidP="00CD397F">
      <w:pPr>
        <w:spacing w:after="160" w:line="259" w:lineRule="auto"/>
        <w:jc w:val="left"/>
        <w:rPr>
          <w:rFonts w:ascii="Tahoma" w:hAnsi="Tahoma" w:cs="Tahoma"/>
          <w:sz w:val="19"/>
          <w:szCs w:val="19"/>
          <w:rtl/>
        </w:rPr>
      </w:pPr>
    </w:p>
    <w:sectPr w:rsidR="005C3049" w:rsidRPr="00AB465B" w:rsidSect="00960A4D">
      <w:headerReference w:type="even" r:id="rId57"/>
      <w:type w:val="continuous"/>
      <w:pgSz w:w="11340" w:h="14175" w:code="9"/>
      <w:pgMar w:top="2268" w:right="1276" w:bottom="1588" w:left="1134"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A04F8" w:rsidRDefault="00FA04F8">
      <w:pPr>
        <w:spacing w:line="240" w:lineRule="auto"/>
      </w:pPr>
      <w:r>
        <w:separator/>
      </w:r>
    </w:p>
  </w:endnote>
  <w:endnote w:type="continuationSeparator" w:id="0">
    <w:p w:rsidR="00FA04F8" w:rsidRDefault="00FA04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 w:name="FrankRuehl">
    <w:altName w:val="Arial"/>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Default="00FA04F8">
    <w:pPr>
      <w:pStyle w:val="ac"/>
      <w:rPr>
        <w:rtl/>
      </w:rPr>
    </w:pPr>
    <w:r>
      <w:rPr>
        <w:noProof/>
      </w:rPr>
      <mc:AlternateContent>
        <mc:Choice Requires="wpg">
          <w:drawing>
            <wp:anchor distT="0" distB="0" distL="114300" distR="114300" simplePos="0" relativeHeight="251654656" behindDoc="0" locked="0" layoutInCell="1" allowOverlap="1">
              <wp:simplePos x="0" y="0"/>
              <wp:positionH relativeFrom="column">
                <wp:posOffset>1591311</wp:posOffset>
              </wp:positionH>
              <wp:positionV relativeFrom="paragraph">
                <wp:posOffset>-391583</wp:posOffset>
              </wp:positionV>
              <wp:extent cx="2512060" cy="2365375"/>
              <wp:effectExtent l="0" t="0" r="2540" b="0"/>
              <wp:wrapNone/>
              <wp:docPr id="58" name="קבוצה 58"/>
              <wp:cNvGraphicFramePr/>
              <a:graphic xmlns:a="http://schemas.openxmlformats.org/drawingml/2006/main">
                <a:graphicData uri="http://schemas.microsoft.com/office/word/2010/wordprocessingGroup">
                  <wpg:wgp>
                    <wpg:cNvGrpSpPr/>
                    <wpg:grpSpPr>
                      <a:xfrm>
                        <a:off x="0" y="0"/>
                        <a:ext cx="2512060" cy="2365375"/>
                        <a:chOff x="3936" y="0"/>
                        <a:chExt cx="2512060" cy="2365375"/>
                      </a:xfrm>
                    </wpg:grpSpPr>
                    <wps:wsp>
                      <wps:cNvPr id="59" name="tbMMHF"/>
                      <wps:cNvSpPr txBox="1"/>
                      <wps:spPr>
                        <a:xfrm>
                          <a:off x="3936" y="180975"/>
                          <a:ext cx="2512060" cy="304800"/>
                        </a:xfrm>
                        <a:prstGeom prst="rect">
                          <a:avLst/>
                        </a:prstGeom>
                        <a:solidFill>
                          <a:schemeClr val="bg1"/>
                        </a:solidFill>
                        <a:ln w="6350">
                          <a:noFill/>
                        </a:ln>
                      </wps:spPr>
                      <wps:txbx>
                        <w:txbxContent>
                          <w:p w:rsidR="00FA04F8" w:rsidRPr="0062451B" w:rsidRDefault="00FA04F8"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61" name="מלבן 61"/>
                      <wps:cNvSpPr/>
                      <wps:spPr>
                        <a:xfrm>
                          <a:off x="452107"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wgp>
                </a:graphicData>
              </a:graphic>
            </wp:anchor>
          </w:drawing>
        </mc:Choice>
        <mc:Fallback>
          <w:pict>
            <v:group id="קבוצה 58" o:spid="_x0000_s1032" style="position:absolute;left:0;text-align:left;margin-left:125.3pt;margin-top:-30.85pt;width:197.8pt;height:186.25pt;z-index:251654656" coordorigin="39" coordsize="25120,23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">
              <v:shapetype id="_x0000_t202" coordsize="21600,21600" o:spt="202" path="m,l,21600r21600,l21600,xe">
                <v:stroke joinstyle="miter"/>
                <v:path gradientshapeok="t" o:connecttype="rect"/>
              </v:shapetype>
              <v:shape id="tbMMHF" o:spid="_x0000_s1033" type="#_x0000_t202" style="position:absolute;left:39;top:1809;width:2512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" fillcolor="white [3212]" stroked="f" strokeweight=".5pt">
                <v:textbox>
                  <w:txbxContent>
                    <w:p w:rsidR="00FA04F8" w:rsidRPr="0062451B" w:rsidRDefault="00FA04F8" w:rsidP="005E62A6">
                      <w:pPr>
                        <w:spacing w:line="240" w:lineRule="auto"/>
                        <w:jc w:val="center"/>
                        <w:rPr>
                          <w:rFonts w:asciiTheme="minorHAnsi" w:hAnsiTheme="minorHAnsi" w:cstheme="minorHAnsi"/>
                          <w:color w:val="002060"/>
                          <w:spacing w:val="20"/>
                          <w:sz w:val="22"/>
                          <w:szCs w:val="22"/>
                          <w:rtl/>
                        </w:rPr>
                      </w:pP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טבת</w:t>
                      </w:r>
                      <w:r w:rsidRPr="0062451B">
                        <w:rPr>
                          <w:rFonts w:asciiTheme="minorHAnsi" w:hAnsiTheme="minorHAnsi" w:cstheme="minorHAnsi"/>
                          <w:color w:val="002060"/>
                          <w:spacing w:val="20"/>
                          <w:sz w:val="22"/>
                          <w:szCs w:val="22"/>
                          <w:rtl/>
                        </w:rPr>
                        <w:t xml:space="preserve"> התשפ"</w:t>
                      </w:r>
                      <w:r>
                        <w:rPr>
                          <w:rFonts w:asciiTheme="minorHAnsi" w:hAnsiTheme="minorHAnsi" w:cstheme="minorHAnsi" w:hint="cs"/>
                          <w:color w:val="002060"/>
                          <w:spacing w:val="20"/>
                          <w:sz w:val="22"/>
                          <w:szCs w:val="22"/>
                          <w:rtl/>
                        </w:rPr>
                        <w:t>ו</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ינואר</w:t>
                      </w:r>
                      <w:r w:rsidRPr="0062451B">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2026</w:t>
                      </w:r>
                      <w:r w:rsidRPr="0062451B">
                        <w:rPr>
                          <w:rFonts w:asciiTheme="minorHAnsi" w:hAnsiTheme="minorHAnsi" w:cstheme="minorHAnsi"/>
                          <w:color w:val="002060"/>
                          <w:spacing w:val="20"/>
                          <w:sz w:val="22"/>
                          <w:szCs w:val="22"/>
                          <w:rtl/>
                        </w:rPr>
                        <w:t xml:space="preserve"> </w:t>
                      </w:r>
                      <w:r w:rsidRPr="0062451B">
                        <w:rPr>
                          <w:rFonts w:ascii="Wingdings" w:hAnsi="Wingdings" w:cstheme="minorHAnsi"/>
                          <w:color w:val="002060"/>
                          <w:spacing w:val="20"/>
                          <w:sz w:val="22"/>
                          <w:szCs w:val="22"/>
                        </w:rPr>
                        <w:sym w:font="Wingdings" w:char="F0A7"/>
                      </w:r>
                      <w:r w:rsidRPr="0062451B">
                        <w:rPr>
                          <w:rFonts w:asciiTheme="minorHAnsi" w:hAnsiTheme="minorHAnsi" w:cstheme="minorHAnsi"/>
                          <w:color w:val="002060"/>
                          <w:spacing w:val="20"/>
                          <w:sz w:val="22"/>
                          <w:szCs w:val="22"/>
                        </w:rPr>
                        <w:softHyphen/>
                      </w:r>
                    </w:p>
                  </w:txbxContent>
                </v:textbox>
              </v:shape>
              <v:line id="מחבר ישר 60" o:spid="_x0000_s1034" style="position:absolute;visibility:visible;mso-wrap-style:square" from="4286,0" to="2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" strokecolor="#002060" strokeweight="1.25pt"/>
              <v:rect id="מלבן 61" o:spid="_x0000_s1035" style="position:absolute;left:4521;top:5810;width:16910;height:178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" fillcolor="#002060" stroked="f" strokeweight="2pt"/>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Default="00FA04F8">
    <w:pPr>
      <w:pStyle w:val="ac"/>
    </w:pPr>
    <w:r>
      <w:rPr>
        <w:noProof/>
      </w:rPr>
      <mc:AlternateContent>
        <mc:Choice Requires="wps">
          <w:drawing>
            <wp:anchor distT="0" distB="0" distL="114300" distR="114300" simplePos="0" relativeHeight="251656704" behindDoc="0" locked="0" layoutInCell="1" allowOverlap="1">
              <wp:simplePos x="0" y="0"/>
              <wp:positionH relativeFrom="page">
                <wp:align>center</wp:align>
              </wp:positionH>
              <wp:positionV relativeFrom="paragraph">
                <wp:posOffset>-1106656</wp:posOffset>
              </wp:positionV>
              <wp:extent cx="2959100" cy="273050"/>
              <wp:effectExtent l="0" t="0" r="0" b="0"/>
              <wp:wrapNone/>
              <wp:docPr id="24785164" name="תיבת טקסט 24785164"/>
              <wp:cNvGraphicFramePr/>
              <a:graphic xmlns:a="http://schemas.openxmlformats.org/drawingml/2006/main">
                <a:graphicData uri="http://schemas.microsoft.com/office/word/2010/wordprocessingShape">
                  <wps:wsp>
                    <wps:cNvSpPr txBox="1"/>
                    <wps:spPr>
                      <a:xfrm>
                        <a:off x="0" y="0"/>
                        <a:ext cx="2959100" cy="273050"/>
                      </a:xfrm>
                      <a:prstGeom prst="rect">
                        <a:avLst/>
                      </a:prstGeom>
                      <a:noFill/>
                      <a:ln w="6350">
                        <a:noFill/>
                      </a:ln>
                    </wps:spPr>
                    <wps:txbx>
                      <w:txbxContent>
                        <w:p w:rsidR="00FA04F8" w:rsidRPr="00A222E2" w:rsidRDefault="00FA04F8"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24785164" o:spid="_x0000_s1051" type="#_x0000_t202" style="position:absolute;left:0;text-align:left;margin-left:0;margin-top:-87.15pt;width:233pt;height:21.5pt;z-index:251656704;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" filled="f" stroked="f" strokeweight=".5pt">
              <v:textbox>
                <w:txbxContent>
                  <w:p w:rsidR="00FA04F8" w:rsidRPr="00A222E2" w:rsidRDefault="00FA04F8" w:rsidP="00A222E2">
                    <w:pPr>
                      <w:jc w:val="center"/>
                      <w:rPr>
                        <w:rFonts w:ascii="Calibri" w:hAnsi="Calibri" w:cs="Calibri"/>
                        <w:color w:val="FFFFFF" w:themeColor="background1"/>
                        <w:spacing w:val="80"/>
                      </w:rPr>
                    </w:pPr>
                    <w:r w:rsidRPr="00A222E2">
                      <w:rPr>
                        <w:rFonts w:ascii="Calibri" w:hAnsi="Calibri" w:cs="Calibri" w:hint="cs"/>
                        <w:color w:val="FFFFFF" w:themeColor="background1"/>
                        <w:spacing w:val="80"/>
                        <w:rtl/>
                      </w:rPr>
                      <w:t>75 ג</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A04F8" w:rsidRDefault="00FA04F8">
      <w:pPr>
        <w:spacing w:line="240" w:lineRule="auto"/>
      </w:pPr>
      <w:r>
        <w:separator/>
      </w:r>
    </w:p>
  </w:footnote>
  <w:footnote w:type="continuationSeparator" w:id="0">
    <w:p w:rsidR="00FA04F8" w:rsidRDefault="00FA04F8">
      <w:pPr>
        <w:spacing w:line="240" w:lineRule="auto"/>
      </w:pPr>
      <w:r>
        <w:continuationSeparator/>
      </w:r>
    </w:p>
  </w:footnote>
  <w:footnote w:id="1">
    <w:p w:rsidR="00FA04F8" w:rsidRDefault="00FA04F8" w:rsidP="00014C4D">
      <w:pPr>
        <w:pStyle w:val="af0"/>
        <w:spacing w:line="269" w:lineRule="auto"/>
        <w:rPr>
          <w:rtl/>
        </w:rPr>
      </w:pPr>
      <w:r>
        <w:rPr>
          <w:rStyle w:val="af2"/>
        </w:rPr>
        <w:footnoteRef/>
      </w:r>
      <w:r>
        <w:rPr>
          <w:rtl/>
        </w:rPr>
        <w:t xml:space="preserve"> </w:t>
      </w:r>
      <w:r>
        <w:rPr>
          <w:rtl/>
        </w:rPr>
        <w:tab/>
      </w:r>
      <w:r>
        <w:rPr>
          <w:rFonts w:hint="cs"/>
          <w:rtl/>
        </w:rPr>
        <w:t>על פי נתונים של המכון למחקרי ביטחון לאומי (</w:t>
      </w:r>
      <w:r>
        <w:rPr>
          <w:rFonts w:hint="cs"/>
        </w:rPr>
        <w:t>INSS</w:t>
      </w:r>
      <w:r>
        <w:rPr>
          <w:rFonts w:hint="cs"/>
          <w:rtl/>
        </w:rPr>
        <w:t>) לאומי באוניברסיטת תל אביב -</w:t>
      </w:r>
    </w:p>
    <w:p w:rsidR="00FA04F8" w:rsidRDefault="00FA04F8" w:rsidP="00014C4D">
      <w:pPr>
        <w:pStyle w:val="af0"/>
        <w:spacing w:line="269" w:lineRule="auto"/>
        <w:ind w:firstLine="0"/>
      </w:pPr>
      <w:r w:rsidRPr="00D6391D">
        <w:t>https://www.inss.org.il/he/publication/war-data</w:t>
      </w:r>
      <w:r w:rsidRPr="00D6391D">
        <w:rPr>
          <w:rtl/>
        </w:rPr>
        <w:t>/</w:t>
      </w:r>
    </w:p>
  </w:footnote>
  <w:footnote w:id="2">
    <w:p w:rsidR="00FA04F8" w:rsidRDefault="00FA04F8" w:rsidP="00014C4D">
      <w:pPr>
        <w:pStyle w:val="af0"/>
        <w:spacing w:line="269" w:lineRule="auto"/>
        <w:rPr>
          <w:rtl/>
        </w:rPr>
      </w:pPr>
      <w:r>
        <w:rPr>
          <w:rStyle w:val="af2"/>
        </w:rPr>
        <w:footnoteRef/>
      </w:r>
      <w:r>
        <w:rPr>
          <w:rtl/>
        </w:rPr>
        <w:t xml:space="preserve"> </w:t>
      </w:r>
      <w:r>
        <w:rPr>
          <w:rtl/>
        </w:rPr>
        <w:tab/>
      </w:r>
      <w:r w:rsidRPr="009F0E7C">
        <w:rPr>
          <w:rtl/>
        </w:rPr>
        <w:t>דוח זה גובש לפני מבצע עם כלביא, שבמהלכו נהרגו 33 אזרחים ונפצעו כ-3,500 בעקבות מתקפת טילים מאיראן והדבר מדגיש ביתר שאת את החשיבות של מיגון האוכלוסייה.</w:t>
      </w:r>
    </w:p>
  </w:footnote>
  <w:footnote w:id="3">
    <w:p w:rsidR="00FA04F8" w:rsidRDefault="00FA04F8" w:rsidP="00014C4D">
      <w:pPr>
        <w:pStyle w:val="af0"/>
        <w:spacing w:line="269" w:lineRule="auto"/>
        <w:rPr>
          <w:rtl/>
        </w:rPr>
      </w:pPr>
      <w:r>
        <w:rPr>
          <w:rStyle w:val="af2"/>
        </w:rPr>
        <w:footnoteRef/>
      </w:r>
      <w:r>
        <w:rPr>
          <w:rtl/>
        </w:rPr>
        <w:t xml:space="preserve"> </w:t>
      </w:r>
      <w:r>
        <w:rPr>
          <w:rtl/>
        </w:rPr>
        <w:tab/>
      </w:r>
      <w:r w:rsidRPr="003D7E90">
        <w:rPr>
          <w:rtl/>
        </w:rPr>
        <w:t>12 במג'דל שמס, 5 במטולה, 3 בקריית שמונה, 3 בשפרעם, 3 בנהרייה, 2 בכפר יובל, 2 בנחף, 2 במג'ד אל-כרום, 1 בשתולה, 1 ביפתח, 1 בדובב, 1 בנטועה, 1 במרגליות, 1 בהר דב, 1 באדמית, 1 בקיבוץ הגושרים, 1 בעכו, 1 במעלות תרשיחא, 1 בכפר מסריק</w:t>
      </w:r>
      <w:r>
        <w:rPr>
          <w:rFonts w:hint="cs"/>
          <w:rtl/>
        </w:rPr>
        <w:t>.</w:t>
      </w:r>
    </w:p>
  </w:footnote>
  <w:footnote w:id="4">
    <w:p w:rsidR="00FA04F8" w:rsidRDefault="00FA04F8" w:rsidP="00014C4D">
      <w:pPr>
        <w:pStyle w:val="af0"/>
        <w:spacing w:line="269" w:lineRule="auto"/>
      </w:pPr>
      <w:r>
        <w:rPr>
          <w:rStyle w:val="af2"/>
        </w:rPr>
        <w:footnoteRef/>
      </w:r>
      <w:r>
        <w:rPr>
          <w:rtl/>
        </w:rPr>
        <w:t xml:space="preserve"> </w:t>
      </w:r>
      <w:r>
        <w:rPr>
          <w:rtl/>
        </w:rPr>
        <w:tab/>
      </w:r>
      <w:r w:rsidRPr="003D7E90">
        <w:rPr>
          <w:rtl/>
        </w:rPr>
        <w:t>7 בכוחלה, 3 בנתיבות, 3 באשקלון, 1 באשדוד, 1 בערערה, 1 בתל שבע, 1 באבו גוש, 1 בכפר אביב, 1 ברמות מאיר, 1 באבו סנאן</w:t>
      </w:r>
      <w:r>
        <w:rPr>
          <w:rFonts w:hint="cs"/>
          <w:rtl/>
        </w:rPr>
        <w:t>.</w:t>
      </w:r>
    </w:p>
  </w:footnote>
  <w:footnote w:id="5">
    <w:p w:rsidR="00FA04F8" w:rsidRDefault="00FA04F8" w:rsidP="00014C4D">
      <w:pPr>
        <w:pStyle w:val="af0"/>
        <w:spacing w:line="269" w:lineRule="auto"/>
        <w:rPr>
          <w:rtl/>
        </w:rPr>
      </w:pPr>
      <w:r>
        <w:rPr>
          <w:rStyle w:val="af2"/>
        </w:rPr>
        <w:footnoteRef/>
      </w:r>
      <w:r>
        <w:rPr>
          <w:rtl/>
        </w:rPr>
        <w:t xml:space="preserve"> </w:t>
      </w:r>
      <w:r>
        <w:rPr>
          <w:rtl/>
        </w:rPr>
        <w:tab/>
      </w:r>
      <w:r w:rsidRPr="00A03131">
        <w:rPr>
          <w:rtl/>
        </w:rPr>
        <w:t xml:space="preserve">מרחב מוגן הוא מקלט </w:t>
      </w:r>
      <w:r>
        <w:rPr>
          <w:rFonts w:hint="cs"/>
          <w:rtl/>
        </w:rPr>
        <w:t>ש</w:t>
      </w:r>
      <w:r w:rsidRPr="00A03131">
        <w:rPr>
          <w:rtl/>
        </w:rPr>
        <w:t xml:space="preserve">נבנה בתוך מעטפת המבנה </w:t>
      </w:r>
      <w:r>
        <w:rPr>
          <w:rFonts w:hint="cs"/>
          <w:rtl/>
        </w:rPr>
        <w:t>ו</w:t>
      </w:r>
      <w:r w:rsidRPr="00A03131">
        <w:rPr>
          <w:rFonts w:hint="cs"/>
          <w:rtl/>
        </w:rPr>
        <w:t xml:space="preserve">נועד לשרת </w:t>
      </w:r>
      <w:r w:rsidRPr="00A03131">
        <w:rPr>
          <w:rtl/>
        </w:rPr>
        <w:t>את יושביו.</w:t>
      </w:r>
    </w:p>
  </w:footnote>
  <w:footnote w:id="6">
    <w:p w:rsidR="00FA04F8" w:rsidRPr="00F646BC" w:rsidRDefault="00FA04F8" w:rsidP="00014C4D">
      <w:pPr>
        <w:pStyle w:val="af0"/>
        <w:spacing w:line="269" w:lineRule="auto"/>
        <w:rPr>
          <w:rtl/>
        </w:rPr>
      </w:pPr>
      <w:r>
        <w:rPr>
          <w:rStyle w:val="af2"/>
        </w:rPr>
        <w:footnoteRef/>
      </w:r>
      <w:r>
        <w:rPr>
          <w:rtl/>
        </w:rPr>
        <w:t xml:space="preserve"> </w:t>
      </w:r>
      <w:r>
        <w:rPr>
          <w:rtl/>
        </w:rPr>
        <w:tab/>
      </w:r>
      <w:r w:rsidRPr="00F646BC">
        <w:rPr>
          <w:rFonts w:ascii="David" w:hAnsi="David" w:hint="cs"/>
          <w:rtl/>
        </w:rPr>
        <w:t xml:space="preserve">מחסה ציבורי הוא </w:t>
      </w:r>
      <w:r>
        <w:rPr>
          <w:rFonts w:ascii="David" w:hAnsi="David" w:hint="cs"/>
          <w:rtl/>
        </w:rPr>
        <w:t>מקום שאינו מקלט שיכול לשמש מרחב מוגן ארעי לציבור בשעת התקפה</w:t>
      </w:r>
      <w:r>
        <w:rPr>
          <w:rFonts w:hint="cs"/>
          <w:rtl/>
        </w:rPr>
        <w:t xml:space="preserve">, כמו חניון תת-קרקעי או תחנה תת-קרקעית של הרכבת הקלה. </w:t>
      </w:r>
    </w:p>
  </w:footnote>
  <w:footnote w:id="7">
    <w:p w:rsidR="00FA04F8" w:rsidRPr="00F646BC" w:rsidRDefault="00FA04F8" w:rsidP="00014C4D">
      <w:pPr>
        <w:pStyle w:val="af0"/>
        <w:spacing w:line="269" w:lineRule="auto"/>
      </w:pPr>
      <w:r w:rsidRPr="00F646BC">
        <w:rPr>
          <w:rStyle w:val="af2"/>
        </w:rPr>
        <w:footnoteRef/>
      </w:r>
      <w:r w:rsidRPr="00F646BC">
        <w:rPr>
          <w:rtl/>
        </w:rPr>
        <w:t xml:space="preserve"> </w:t>
      </w:r>
      <w:r w:rsidRPr="00F646BC">
        <w:rPr>
          <w:rtl/>
        </w:rPr>
        <w:tab/>
      </w:r>
      <w:r w:rsidRPr="00F646BC">
        <w:rPr>
          <w:rFonts w:ascii="David" w:hAnsi="David" w:hint="cs"/>
          <w:b/>
          <w:rtl/>
        </w:rPr>
        <w:t xml:space="preserve">מבקר המדינה, </w:t>
      </w:r>
      <w:r w:rsidRPr="00E75844">
        <w:rPr>
          <w:rFonts w:ascii="David" w:hAnsi="David" w:hint="eastAsia"/>
          <w:bCs/>
          <w:rtl/>
        </w:rPr>
        <w:t>דוח</w:t>
      </w:r>
      <w:r w:rsidRPr="00E75844">
        <w:rPr>
          <w:rFonts w:ascii="David" w:hAnsi="David"/>
          <w:bCs/>
          <w:rtl/>
        </w:rPr>
        <w:t xml:space="preserve"> </w:t>
      </w:r>
      <w:r w:rsidRPr="00E75844">
        <w:rPr>
          <w:rFonts w:ascii="David" w:hAnsi="David" w:hint="eastAsia"/>
          <w:bCs/>
          <w:rtl/>
        </w:rPr>
        <w:t>שנתי</w:t>
      </w:r>
      <w:r w:rsidRPr="00E75844">
        <w:rPr>
          <w:rFonts w:ascii="David" w:hAnsi="David"/>
          <w:bCs/>
          <w:rtl/>
        </w:rPr>
        <w:t xml:space="preserve"> 70ג</w:t>
      </w:r>
      <w:r w:rsidRPr="00E75844">
        <w:rPr>
          <w:rFonts w:ascii="David" w:hAnsi="David"/>
          <w:b/>
          <w:rtl/>
        </w:rPr>
        <w:t xml:space="preserve"> (2020)</w:t>
      </w:r>
      <w:r w:rsidRPr="00BE75E3">
        <w:rPr>
          <w:rFonts w:ascii="David" w:hAnsi="David" w:hint="cs"/>
          <w:b/>
          <w:rtl/>
        </w:rPr>
        <w:t>,</w:t>
      </w:r>
      <w:r w:rsidRPr="00F646BC">
        <w:rPr>
          <w:rFonts w:ascii="David" w:hAnsi="David" w:hint="cs"/>
          <w:b/>
          <w:rtl/>
        </w:rPr>
        <w:t xml:space="preserve"> "</w:t>
      </w:r>
      <w:r w:rsidRPr="00F646BC">
        <w:rPr>
          <w:rFonts w:ascii="David" w:hAnsi="David"/>
          <w:b/>
          <w:rtl/>
        </w:rPr>
        <w:t>ההיערכות להגנת העורף מפני איום טילים ורקטות</w:t>
      </w:r>
      <w:r w:rsidRPr="00F646BC">
        <w:rPr>
          <w:rFonts w:ascii="David" w:hAnsi="David" w:hint="cs"/>
          <w:b/>
          <w:rtl/>
        </w:rPr>
        <w:t xml:space="preserve"> </w:t>
      </w:r>
      <w:r w:rsidRPr="00F646BC">
        <w:rPr>
          <w:rFonts w:ascii="David" w:hAnsi="David"/>
          <w:b/>
          <w:rtl/>
        </w:rPr>
        <w:t>(מיגון פיזי, התרעה ופינוי אוכלוסייה)</w:t>
      </w:r>
      <w:r w:rsidRPr="00F646BC">
        <w:rPr>
          <w:rFonts w:ascii="David" w:hAnsi="David" w:hint="cs"/>
          <w:b/>
          <w:rtl/>
        </w:rPr>
        <w:t xml:space="preserve"> - ביקורת מעקב</w:t>
      </w:r>
      <w:r>
        <w:rPr>
          <w:rFonts w:ascii="David" w:hAnsi="David" w:hint="cs"/>
          <w:b/>
          <w:rtl/>
        </w:rPr>
        <w:t>"</w:t>
      </w:r>
      <w:r w:rsidRPr="00F646BC">
        <w:rPr>
          <w:rFonts w:ascii="David" w:hAnsi="David" w:hint="cs"/>
          <w:b/>
          <w:rtl/>
        </w:rPr>
        <w:t>, עמ' 19 ואילך.</w:t>
      </w:r>
      <w:r w:rsidRPr="00F646BC">
        <w:rPr>
          <w:rFonts w:hint="cs"/>
          <w:rtl/>
        </w:rPr>
        <w:t xml:space="preserve"> </w:t>
      </w:r>
    </w:p>
  </w:footnote>
  <w:footnote w:id="8">
    <w:p w:rsidR="00FA04F8" w:rsidRDefault="00FA04F8" w:rsidP="00014C4D">
      <w:pPr>
        <w:pStyle w:val="af0"/>
        <w:spacing w:line="269" w:lineRule="auto"/>
      </w:pPr>
      <w:r>
        <w:rPr>
          <w:rStyle w:val="af2"/>
        </w:rPr>
        <w:footnoteRef/>
      </w:r>
      <w:r>
        <w:rPr>
          <w:rtl/>
        </w:rPr>
        <w:t xml:space="preserve"> </w:t>
      </w:r>
      <w:r>
        <w:rPr>
          <w:rtl/>
        </w:rPr>
        <w:tab/>
      </w:r>
      <w:r w:rsidRPr="003D7FE7">
        <w:rPr>
          <w:rtl/>
        </w:rPr>
        <w:t xml:space="preserve">בג"ץ 8592/23 </w:t>
      </w:r>
      <w:r w:rsidRPr="002B1957">
        <w:rPr>
          <w:b/>
          <w:bCs/>
          <w:rtl/>
        </w:rPr>
        <w:t>אורית כהן ואח' נ' מפקד פיקוד העורף ואח'</w:t>
      </w:r>
      <w:r w:rsidRPr="003D7FE7">
        <w:rPr>
          <w:rtl/>
        </w:rPr>
        <w:t xml:space="preserve"> (15.1.24)</w:t>
      </w:r>
    </w:p>
  </w:footnote>
  <w:footnote w:id="9">
    <w:p w:rsidR="00FA04F8" w:rsidRDefault="00FA04F8" w:rsidP="00014C4D">
      <w:pPr>
        <w:pStyle w:val="af0"/>
        <w:spacing w:line="269" w:lineRule="auto"/>
      </w:pPr>
      <w:r>
        <w:rPr>
          <w:rStyle w:val="af2"/>
        </w:rPr>
        <w:footnoteRef/>
      </w:r>
      <w:r>
        <w:rPr>
          <w:rtl/>
        </w:rPr>
        <w:t xml:space="preserve"> </w:t>
      </w:r>
      <w:r>
        <w:rPr>
          <w:rtl/>
        </w:rPr>
        <w:tab/>
      </w:r>
      <w:r w:rsidRPr="00483C2A">
        <w:rPr>
          <w:rtl/>
        </w:rPr>
        <w:t>חוק הג"א</w:t>
      </w:r>
      <w:r w:rsidRPr="00483C2A">
        <w:rPr>
          <w:rFonts w:hint="cs"/>
          <w:rtl/>
        </w:rPr>
        <w:t xml:space="preserve"> </w:t>
      </w:r>
      <w:r w:rsidRPr="00483C2A">
        <w:rPr>
          <w:rtl/>
        </w:rPr>
        <w:t>מגדיר התגוננות אזרחית כ"אמצעים הנקוטים לשם התגוננות מפני כל התקפה או סכנת התקפה על האוכלוסייה האזרחית או לשם צמצום תוצאותיה של התקפה כז</w:t>
      </w:r>
      <w:r>
        <w:rPr>
          <w:rFonts w:hint="cs"/>
          <w:rtl/>
        </w:rPr>
        <w:t xml:space="preserve">את, </w:t>
      </w:r>
      <w:r w:rsidRPr="003D7FE7">
        <w:rPr>
          <w:rtl/>
        </w:rPr>
        <w:t>להוציא אמצעי לחימה שלא להגנה עצמית</w:t>
      </w:r>
      <w:r w:rsidRPr="00483C2A">
        <w:rPr>
          <w:rtl/>
        </w:rPr>
        <w:t>". בחוק נקבע כי האחריות לביצועו מוטלת על שר הביטחון.</w:t>
      </w:r>
      <w:r w:rsidRPr="00483C2A">
        <w:rPr>
          <w:rFonts w:hint="cs"/>
          <w:rtl/>
        </w:rPr>
        <w:t xml:space="preserve"> </w:t>
      </w:r>
      <w:r w:rsidRPr="00483C2A">
        <w:rPr>
          <w:rtl/>
        </w:rPr>
        <w:t>בנובמבר 1991 החליט</w:t>
      </w:r>
      <w:r w:rsidRPr="00483C2A">
        <w:rPr>
          <w:rFonts w:hint="cs"/>
          <w:rtl/>
        </w:rPr>
        <w:t xml:space="preserve">ה ועדת השרים לענייני ביטחון לאומי </w:t>
      </w:r>
      <w:r w:rsidRPr="00483C2A">
        <w:rPr>
          <w:rtl/>
        </w:rPr>
        <w:t xml:space="preserve">להקים בצה"ל את </w:t>
      </w:r>
      <w:r w:rsidRPr="00483C2A">
        <w:rPr>
          <w:rFonts w:hint="cs"/>
          <w:rtl/>
        </w:rPr>
        <w:t>פיקוד העורף</w:t>
      </w:r>
      <w:r w:rsidRPr="00483C2A">
        <w:rPr>
          <w:rtl/>
        </w:rPr>
        <w:t>, כדי שיארגן וינהל את שירות ההתגוננות האזרחית במדינ</w:t>
      </w:r>
      <w:r w:rsidRPr="00483C2A">
        <w:rPr>
          <w:rFonts w:hint="cs"/>
          <w:rtl/>
        </w:rPr>
        <w:t>ת ישראל</w:t>
      </w:r>
      <w:r>
        <w:rPr>
          <w:rFonts w:hint="cs"/>
          <w:rtl/>
        </w:rPr>
        <w:t>.</w:t>
      </w:r>
    </w:p>
  </w:footnote>
  <w:footnote w:id="10">
    <w:p w:rsidR="00FA04F8" w:rsidRDefault="00FA04F8" w:rsidP="00014C4D">
      <w:pPr>
        <w:pStyle w:val="af0"/>
        <w:spacing w:line="269" w:lineRule="auto"/>
        <w:rPr>
          <w:rtl/>
        </w:rPr>
      </w:pPr>
      <w:r>
        <w:rPr>
          <w:rStyle w:val="af2"/>
        </w:rPr>
        <w:footnoteRef/>
      </w:r>
      <w:r>
        <w:rPr>
          <w:rtl/>
        </w:rPr>
        <w:t xml:space="preserve"> </w:t>
      </w:r>
      <w:r>
        <w:rPr>
          <w:rtl/>
        </w:rPr>
        <w:tab/>
      </w:r>
      <w:r w:rsidRPr="000E21F8">
        <w:rPr>
          <w:rtl/>
        </w:rPr>
        <w:t xml:space="preserve">רשות מוסמכת הוא מפקד פקע"ר, מפקד </w:t>
      </w:r>
      <w:r>
        <w:rPr>
          <w:rFonts w:hint="cs"/>
          <w:rtl/>
        </w:rPr>
        <w:t xml:space="preserve">מחוז של </w:t>
      </w:r>
      <w:r w:rsidRPr="000E21F8">
        <w:rPr>
          <w:rtl/>
        </w:rPr>
        <w:t xml:space="preserve">פקע"ר או כל אדם שהוסמך בכתב בידי מפקד פקע"ר להיות רשות מוסמכת לעניין החוק, התקנות או הוראה שבהן. </w:t>
      </w:r>
    </w:p>
  </w:footnote>
  <w:footnote w:id="11">
    <w:p w:rsidR="00FA04F8" w:rsidRDefault="00FA04F8" w:rsidP="00014C4D">
      <w:pPr>
        <w:pStyle w:val="af0"/>
        <w:spacing w:line="269" w:lineRule="auto"/>
      </w:pPr>
      <w:r>
        <w:rPr>
          <w:rStyle w:val="af2"/>
        </w:rPr>
        <w:footnoteRef/>
      </w:r>
      <w:r>
        <w:rPr>
          <w:rtl/>
        </w:rPr>
        <w:t xml:space="preserve"> </w:t>
      </w:r>
      <w:r>
        <w:rPr>
          <w:rtl/>
        </w:rPr>
        <w:tab/>
      </w:r>
      <w:r>
        <w:rPr>
          <w:rFonts w:hint="cs"/>
          <w:rtl/>
        </w:rPr>
        <w:t xml:space="preserve">ראו: </w:t>
      </w:r>
      <w:r w:rsidRPr="00D14B5F">
        <w:rPr>
          <w:rFonts w:hint="cs"/>
          <w:rtl/>
        </w:rPr>
        <w:t>מבקר</w:t>
      </w:r>
      <w:r w:rsidRPr="00D14B5F">
        <w:rPr>
          <w:rtl/>
        </w:rPr>
        <w:t xml:space="preserve"> </w:t>
      </w:r>
      <w:r w:rsidRPr="00D14B5F">
        <w:rPr>
          <w:rFonts w:hint="cs"/>
          <w:rtl/>
        </w:rPr>
        <w:t>המדינה</w:t>
      </w:r>
      <w:r w:rsidRPr="00D14B5F">
        <w:rPr>
          <w:rtl/>
        </w:rPr>
        <w:t xml:space="preserve">, </w:t>
      </w:r>
      <w:r w:rsidRPr="00D14B5F">
        <w:rPr>
          <w:rFonts w:hint="cs"/>
          <w:b/>
          <w:bCs/>
          <w:rtl/>
        </w:rPr>
        <w:t>היערכות</w:t>
      </w:r>
      <w:r w:rsidRPr="00D14B5F">
        <w:rPr>
          <w:b/>
          <w:bCs/>
          <w:rtl/>
        </w:rPr>
        <w:t xml:space="preserve"> </w:t>
      </w:r>
      <w:r w:rsidRPr="00D14B5F">
        <w:rPr>
          <w:rFonts w:hint="cs"/>
          <w:b/>
          <w:bCs/>
          <w:rtl/>
        </w:rPr>
        <w:t>העורף</w:t>
      </w:r>
      <w:r w:rsidRPr="00D14B5F">
        <w:rPr>
          <w:b/>
          <w:bCs/>
          <w:rtl/>
        </w:rPr>
        <w:t xml:space="preserve"> </w:t>
      </w:r>
      <w:r w:rsidRPr="00D14B5F">
        <w:rPr>
          <w:rFonts w:hint="cs"/>
          <w:b/>
          <w:bCs/>
          <w:rtl/>
        </w:rPr>
        <w:t>ותפקודו</w:t>
      </w:r>
      <w:r w:rsidRPr="00D14B5F">
        <w:rPr>
          <w:b/>
          <w:bCs/>
          <w:rtl/>
        </w:rPr>
        <w:t xml:space="preserve"> </w:t>
      </w:r>
      <w:r w:rsidRPr="00D14B5F">
        <w:rPr>
          <w:rFonts w:hint="cs"/>
          <w:b/>
          <w:bCs/>
          <w:rtl/>
        </w:rPr>
        <w:t>במלחמת</w:t>
      </w:r>
      <w:r w:rsidRPr="00D14B5F">
        <w:rPr>
          <w:b/>
          <w:bCs/>
          <w:rtl/>
        </w:rPr>
        <w:t xml:space="preserve"> </w:t>
      </w:r>
      <w:r w:rsidRPr="00D14B5F">
        <w:rPr>
          <w:rFonts w:hint="cs"/>
          <w:b/>
          <w:bCs/>
          <w:rtl/>
        </w:rPr>
        <w:t>לבנון</w:t>
      </w:r>
      <w:r w:rsidRPr="00D14B5F">
        <w:rPr>
          <w:b/>
          <w:bCs/>
          <w:rtl/>
        </w:rPr>
        <w:t xml:space="preserve"> </w:t>
      </w:r>
      <w:r w:rsidRPr="00D14B5F">
        <w:rPr>
          <w:rFonts w:hint="cs"/>
          <w:b/>
          <w:bCs/>
          <w:rtl/>
        </w:rPr>
        <w:t>השנייה</w:t>
      </w:r>
      <w:r w:rsidRPr="00D14B5F">
        <w:rPr>
          <w:rFonts w:hint="cs"/>
          <w:rtl/>
        </w:rPr>
        <w:t xml:space="preserve"> (2007)</w:t>
      </w:r>
      <w:r w:rsidRPr="00D14B5F">
        <w:rPr>
          <w:rtl/>
        </w:rPr>
        <w:t>,</w:t>
      </w:r>
      <w:r w:rsidRPr="00D14B5F">
        <w:rPr>
          <w:b/>
          <w:bCs/>
          <w:rtl/>
        </w:rPr>
        <w:t xml:space="preserve"> </w:t>
      </w:r>
      <w:r w:rsidRPr="00D14B5F">
        <w:rPr>
          <w:rtl/>
        </w:rPr>
        <w:t xml:space="preserve">"מיגון </w:t>
      </w:r>
      <w:r w:rsidRPr="00D14B5F">
        <w:rPr>
          <w:rFonts w:hint="cs"/>
          <w:rtl/>
        </w:rPr>
        <w:t>ומקלוט</w:t>
      </w:r>
      <w:r w:rsidRPr="00D14B5F">
        <w:rPr>
          <w:rtl/>
        </w:rPr>
        <w:t xml:space="preserve"> </w:t>
      </w:r>
      <w:r w:rsidRPr="00D14B5F">
        <w:rPr>
          <w:rFonts w:hint="cs"/>
          <w:rtl/>
        </w:rPr>
        <w:t>ברשויות</w:t>
      </w:r>
      <w:r w:rsidRPr="00D14B5F">
        <w:rPr>
          <w:rtl/>
        </w:rPr>
        <w:t xml:space="preserve"> </w:t>
      </w:r>
      <w:r w:rsidRPr="00D14B5F">
        <w:rPr>
          <w:rFonts w:hint="cs"/>
          <w:rtl/>
        </w:rPr>
        <w:t>המקומיות</w:t>
      </w:r>
      <w:r w:rsidRPr="00D14B5F">
        <w:rPr>
          <w:rtl/>
        </w:rPr>
        <w:t xml:space="preserve"> </w:t>
      </w:r>
      <w:r w:rsidRPr="00D14B5F">
        <w:rPr>
          <w:rFonts w:hint="cs"/>
          <w:rtl/>
        </w:rPr>
        <w:t>בצפון</w:t>
      </w:r>
      <w:r w:rsidRPr="00D14B5F">
        <w:rPr>
          <w:rtl/>
        </w:rPr>
        <w:t xml:space="preserve">", עמ' 451 </w:t>
      </w:r>
      <w:r w:rsidRPr="00D14B5F">
        <w:rPr>
          <w:rFonts w:hint="cs"/>
          <w:rtl/>
        </w:rPr>
        <w:t>עד</w:t>
      </w:r>
      <w:r w:rsidRPr="00D14B5F">
        <w:rPr>
          <w:rtl/>
        </w:rPr>
        <w:t xml:space="preserve"> 492</w:t>
      </w:r>
      <w:r>
        <w:rPr>
          <w:rFonts w:hint="cs"/>
          <w:rtl/>
        </w:rPr>
        <w:t xml:space="preserve">; מבקר המדינה, </w:t>
      </w:r>
      <w:r w:rsidRPr="004A65D4">
        <w:rPr>
          <w:b/>
          <w:bCs/>
          <w:rtl/>
        </w:rPr>
        <w:t>ההיערכות להגנת העורף מפני איום טילים ורקטות (מיגון פיזי, התרעה ופינוי אוכלוסייה)</w:t>
      </w:r>
      <w:r w:rsidRPr="004A65D4">
        <w:rPr>
          <w:rtl/>
        </w:rPr>
        <w:t xml:space="preserve"> (2016)</w:t>
      </w:r>
      <w:r>
        <w:rPr>
          <w:rFonts w:hint="cs"/>
          <w:rtl/>
        </w:rPr>
        <w:t xml:space="preserve">; מבקר המדינה, </w:t>
      </w:r>
      <w:r w:rsidRPr="003E3A42">
        <w:rPr>
          <w:rFonts w:hint="cs"/>
          <w:b/>
          <w:bCs/>
          <w:rtl/>
        </w:rPr>
        <w:t>דוחות על הביקורת בשלטון המקומי</w:t>
      </w:r>
      <w:r w:rsidRPr="003E3A42">
        <w:rPr>
          <w:rFonts w:hint="cs"/>
          <w:rtl/>
        </w:rPr>
        <w:t xml:space="preserve"> (2018)</w:t>
      </w:r>
      <w:r>
        <w:rPr>
          <w:rFonts w:hint="cs"/>
          <w:rtl/>
        </w:rPr>
        <w:t xml:space="preserve">, "מיגון ומקלוט </w:t>
      </w:r>
      <w:r w:rsidRPr="003E3A42">
        <w:rPr>
          <w:rFonts w:hint="cs"/>
          <w:rtl/>
        </w:rPr>
        <w:t>בשטחן של רשויות מקומיות במגזר הלא יהודי בצפון ובדרום",</w:t>
      </w:r>
      <w:r>
        <w:rPr>
          <w:rFonts w:hint="cs"/>
          <w:rtl/>
        </w:rPr>
        <w:t xml:space="preserve"> עמ' 5; </w:t>
      </w:r>
      <w:r w:rsidRPr="004A65D4">
        <w:rPr>
          <w:rtl/>
        </w:rPr>
        <w:t>מבקר המדינה,</w:t>
      </w:r>
      <w:r>
        <w:rPr>
          <w:rFonts w:hint="cs"/>
          <w:rtl/>
        </w:rPr>
        <w:t xml:space="preserve"> </w:t>
      </w:r>
      <w:r w:rsidRPr="00617926">
        <w:rPr>
          <w:rFonts w:hint="eastAsia"/>
          <w:b/>
          <w:bCs/>
          <w:rtl/>
        </w:rPr>
        <w:t>דוח</w:t>
      </w:r>
      <w:r w:rsidRPr="00617926">
        <w:rPr>
          <w:b/>
          <w:bCs/>
          <w:rtl/>
        </w:rPr>
        <w:t xml:space="preserve"> </w:t>
      </w:r>
      <w:r w:rsidRPr="00617926">
        <w:rPr>
          <w:rFonts w:hint="eastAsia"/>
          <w:b/>
          <w:bCs/>
          <w:rtl/>
        </w:rPr>
        <w:t>שנתי</w:t>
      </w:r>
      <w:r w:rsidRPr="00617926">
        <w:rPr>
          <w:b/>
          <w:bCs/>
          <w:rtl/>
        </w:rPr>
        <w:t xml:space="preserve"> 70ג</w:t>
      </w:r>
      <w:r>
        <w:rPr>
          <w:rFonts w:hint="cs"/>
          <w:rtl/>
        </w:rPr>
        <w:t xml:space="preserve"> (2020),</w:t>
      </w:r>
      <w:r w:rsidRPr="004A65D4">
        <w:rPr>
          <w:rtl/>
        </w:rPr>
        <w:t xml:space="preserve"> </w:t>
      </w:r>
      <w:r w:rsidRPr="00617926">
        <w:rPr>
          <w:rtl/>
        </w:rPr>
        <w:t>"ההיערכות להגנת העורף מפני איום טילים ורקטות (מיגון פיזי, התרעה ופינוי אוכלוסייה)",</w:t>
      </w:r>
      <w:r>
        <w:rPr>
          <w:rFonts w:hint="cs"/>
          <w:rtl/>
        </w:rPr>
        <w:t xml:space="preserve"> </w:t>
      </w:r>
      <w:r w:rsidRPr="004A65D4">
        <w:rPr>
          <w:rtl/>
        </w:rPr>
        <w:t>עמ' 19</w:t>
      </w:r>
      <w:r>
        <w:rPr>
          <w:rFonts w:hint="cs"/>
          <w:rtl/>
        </w:rPr>
        <w:t>.</w:t>
      </w:r>
    </w:p>
  </w:footnote>
  <w:footnote w:id="12">
    <w:p w:rsidR="00FA04F8" w:rsidRPr="00D1592A" w:rsidRDefault="00FA04F8" w:rsidP="00014C4D">
      <w:pPr>
        <w:pStyle w:val="af0"/>
      </w:pPr>
      <w:r w:rsidRPr="00F646BC">
        <w:rPr>
          <w:rStyle w:val="af2"/>
        </w:rPr>
        <w:footnoteRef/>
      </w:r>
      <w:r w:rsidRPr="00F646BC">
        <w:rPr>
          <w:rtl/>
        </w:rPr>
        <w:t xml:space="preserve"> </w:t>
      </w:r>
      <w:r w:rsidRPr="00F646BC">
        <w:rPr>
          <w:rtl/>
        </w:rPr>
        <w:tab/>
      </w:r>
      <w:r>
        <w:rPr>
          <w:rFonts w:hint="cs"/>
          <w:rtl/>
        </w:rPr>
        <w:t xml:space="preserve">ראו </w:t>
      </w:r>
      <w:r w:rsidRPr="004A65D4">
        <w:rPr>
          <w:rtl/>
        </w:rPr>
        <w:t>מבקר המדינה,</w:t>
      </w:r>
      <w:r>
        <w:rPr>
          <w:rFonts w:hint="cs"/>
          <w:rtl/>
        </w:rPr>
        <w:t xml:space="preserve"> </w:t>
      </w:r>
      <w:r w:rsidRPr="00AB1F44">
        <w:rPr>
          <w:rFonts w:hint="eastAsia"/>
          <w:b/>
          <w:bCs/>
          <w:rtl/>
        </w:rPr>
        <w:t>דוח</w:t>
      </w:r>
      <w:r w:rsidRPr="00AB1F44">
        <w:rPr>
          <w:b/>
          <w:bCs/>
          <w:rtl/>
        </w:rPr>
        <w:t xml:space="preserve"> </w:t>
      </w:r>
      <w:r w:rsidRPr="00AB1F44">
        <w:rPr>
          <w:rFonts w:hint="eastAsia"/>
          <w:b/>
          <w:bCs/>
          <w:rtl/>
        </w:rPr>
        <w:t>שנתי</w:t>
      </w:r>
      <w:r w:rsidRPr="00AB1F44">
        <w:rPr>
          <w:b/>
          <w:bCs/>
          <w:rtl/>
        </w:rPr>
        <w:t xml:space="preserve"> 70ג</w:t>
      </w:r>
      <w:r>
        <w:rPr>
          <w:rFonts w:hint="cs"/>
          <w:rtl/>
        </w:rPr>
        <w:t xml:space="preserve"> (2020),</w:t>
      </w:r>
      <w:r w:rsidRPr="004A65D4">
        <w:rPr>
          <w:rtl/>
        </w:rPr>
        <w:t xml:space="preserve"> </w:t>
      </w:r>
      <w:r w:rsidRPr="00AB1F44">
        <w:rPr>
          <w:rtl/>
        </w:rPr>
        <w:t>"ההיערכות להגנת העורף מפני איום טילים ורקטות (מיגון פיזי, התרעה ופינוי אוכלוסייה)",</w:t>
      </w:r>
      <w:r>
        <w:rPr>
          <w:rFonts w:hint="cs"/>
          <w:rtl/>
        </w:rPr>
        <w:t xml:space="preserve"> </w:t>
      </w:r>
      <w:r w:rsidRPr="004A65D4">
        <w:rPr>
          <w:rtl/>
        </w:rPr>
        <w:t>עמ' 19</w:t>
      </w:r>
      <w:r>
        <w:rPr>
          <w:rFonts w:hint="cs"/>
          <w:rtl/>
        </w:rPr>
        <w:t>.</w:t>
      </w:r>
    </w:p>
  </w:footnote>
  <w:footnote w:id="13">
    <w:p w:rsidR="00FA04F8" w:rsidRDefault="00FA04F8" w:rsidP="00014C4D">
      <w:pPr>
        <w:pStyle w:val="af0"/>
      </w:pPr>
      <w:r>
        <w:rPr>
          <w:rStyle w:val="af2"/>
        </w:rPr>
        <w:footnoteRef/>
      </w:r>
      <w:r>
        <w:rPr>
          <w:rtl/>
        </w:rPr>
        <w:t xml:space="preserve"> </w:t>
      </w:r>
      <w:r>
        <w:rPr>
          <w:rtl/>
        </w:rPr>
        <w:tab/>
      </w:r>
      <w:r w:rsidRPr="00C9635B">
        <w:rPr>
          <w:rtl/>
        </w:rPr>
        <w:t xml:space="preserve">מבקר המדינה, </w:t>
      </w:r>
      <w:r w:rsidRPr="008939AA">
        <w:rPr>
          <w:b/>
          <w:bCs/>
          <w:rtl/>
        </w:rPr>
        <w:t xml:space="preserve">דוח שנתי 70ג </w:t>
      </w:r>
      <w:r w:rsidRPr="00C9635B">
        <w:rPr>
          <w:rtl/>
        </w:rPr>
        <w:t xml:space="preserve">(2020), </w:t>
      </w:r>
      <w:r w:rsidRPr="008939AA">
        <w:rPr>
          <w:rtl/>
        </w:rPr>
        <w:t>"ההיערכות להגנת העורף מפני איום טילים ורקטות (מיגון פיזי, התרעה ופינוי אוכלוסייה) - ביקורת מעקב"</w:t>
      </w:r>
      <w:r w:rsidRPr="007A4E9F">
        <w:rPr>
          <w:rFonts w:hint="cs"/>
          <w:rtl/>
        </w:rPr>
        <w:t>.</w:t>
      </w:r>
    </w:p>
  </w:footnote>
  <w:footnote w:id="14">
    <w:p w:rsidR="00FA04F8" w:rsidRPr="00F646BC" w:rsidRDefault="00FA04F8" w:rsidP="00014C4D">
      <w:pPr>
        <w:pStyle w:val="af0"/>
      </w:pPr>
      <w:r>
        <w:rPr>
          <w:rStyle w:val="af2"/>
        </w:rPr>
        <w:footnoteRef/>
      </w:r>
      <w:r>
        <w:rPr>
          <w:rtl/>
        </w:rPr>
        <w:t xml:space="preserve"> </w:t>
      </w:r>
      <w:r>
        <w:rPr>
          <w:rtl/>
        </w:rPr>
        <w:tab/>
      </w:r>
      <w:r w:rsidRPr="00F646BC">
        <w:rPr>
          <w:rFonts w:hint="cs"/>
          <w:rtl/>
        </w:rPr>
        <w:t xml:space="preserve">התיק הוצא על ידי משרד הפנים, רשות </w:t>
      </w:r>
      <w:r>
        <w:rPr>
          <w:rFonts w:hint="cs"/>
          <w:rtl/>
        </w:rPr>
        <w:t>ה</w:t>
      </w:r>
      <w:r w:rsidRPr="00F646BC">
        <w:rPr>
          <w:rFonts w:hint="cs"/>
          <w:rtl/>
        </w:rPr>
        <w:t xml:space="preserve">חירום </w:t>
      </w:r>
      <w:r>
        <w:rPr>
          <w:rFonts w:hint="cs"/>
          <w:rtl/>
        </w:rPr>
        <w:t>ה</w:t>
      </w:r>
      <w:r w:rsidRPr="00F646BC">
        <w:rPr>
          <w:rFonts w:hint="cs"/>
          <w:rtl/>
        </w:rPr>
        <w:t>לאומית</w:t>
      </w:r>
      <w:r>
        <w:rPr>
          <w:rFonts w:hint="cs"/>
          <w:rtl/>
        </w:rPr>
        <w:t xml:space="preserve"> שבמשרד הביטחון</w:t>
      </w:r>
      <w:r w:rsidRPr="00F646BC">
        <w:rPr>
          <w:rFonts w:hint="cs"/>
          <w:rtl/>
        </w:rPr>
        <w:t xml:space="preserve">, </w:t>
      </w:r>
      <w:r>
        <w:rPr>
          <w:rFonts w:hint="cs"/>
          <w:rtl/>
        </w:rPr>
        <w:t>פקע"ר</w:t>
      </w:r>
      <w:r w:rsidRPr="00F646BC">
        <w:rPr>
          <w:rFonts w:hint="cs"/>
          <w:rtl/>
        </w:rPr>
        <w:t xml:space="preserve">, מרכז השלטון המקומי בישראל </w:t>
      </w:r>
      <w:r>
        <w:rPr>
          <w:rFonts w:hint="cs"/>
          <w:rtl/>
        </w:rPr>
        <w:t>ו</w:t>
      </w:r>
      <w:r w:rsidRPr="00F646BC">
        <w:rPr>
          <w:rFonts w:hint="cs"/>
          <w:rtl/>
        </w:rPr>
        <w:t xml:space="preserve">מרכז השלטון האזורי בישראל. פורסם לראשונה </w:t>
      </w:r>
      <w:r w:rsidRPr="00657D95">
        <w:rPr>
          <w:rFonts w:hint="cs"/>
          <w:rtl/>
        </w:rPr>
        <w:t>בדצמבר 2002</w:t>
      </w:r>
      <w:r w:rsidRPr="00F646BC">
        <w:rPr>
          <w:rFonts w:hint="cs"/>
          <w:rtl/>
        </w:rPr>
        <w:t xml:space="preserve"> ועודכן לאחרונה ביוני 2021.</w:t>
      </w:r>
    </w:p>
  </w:footnote>
  <w:footnote w:id="15">
    <w:p w:rsidR="00FA04F8" w:rsidRPr="00066C55" w:rsidRDefault="00FA04F8" w:rsidP="00014C4D">
      <w:pPr>
        <w:pStyle w:val="af0"/>
      </w:pPr>
      <w:r w:rsidRPr="00F646BC">
        <w:rPr>
          <w:rStyle w:val="af2"/>
        </w:rPr>
        <w:footnoteRef/>
      </w:r>
      <w:r w:rsidRPr="00F646BC">
        <w:rPr>
          <w:rtl/>
        </w:rPr>
        <w:t xml:space="preserve"> </w:t>
      </w:r>
      <w:r w:rsidRPr="00F646BC">
        <w:rPr>
          <w:rtl/>
        </w:rPr>
        <w:tab/>
      </w:r>
      <w:r w:rsidRPr="00F646BC">
        <w:rPr>
          <w:rFonts w:hint="cs"/>
          <w:rtl/>
        </w:rPr>
        <w:t xml:space="preserve">התיק הוצא על ידי רשות </w:t>
      </w:r>
      <w:r>
        <w:rPr>
          <w:rFonts w:hint="cs"/>
          <w:rtl/>
        </w:rPr>
        <w:t>ה</w:t>
      </w:r>
      <w:r w:rsidRPr="00F646BC">
        <w:rPr>
          <w:rFonts w:hint="cs"/>
          <w:rtl/>
        </w:rPr>
        <w:t xml:space="preserve">חירום </w:t>
      </w:r>
      <w:r>
        <w:rPr>
          <w:rFonts w:hint="cs"/>
          <w:rtl/>
        </w:rPr>
        <w:t>ה</w:t>
      </w:r>
      <w:r w:rsidRPr="00F646BC">
        <w:rPr>
          <w:rFonts w:hint="cs"/>
          <w:rtl/>
        </w:rPr>
        <w:t>לאומית, משרד הפנים</w:t>
      </w:r>
      <w:r w:rsidRPr="00387A34">
        <w:rPr>
          <w:rFonts w:hint="cs"/>
          <w:rtl/>
        </w:rPr>
        <w:t xml:space="preserve">, </w:t>
      </w:r>
      <w:r w:rsidRPr="00387A34">
        <w:rPr>
          <w:rFonts w:hint="eastAsia"/>
          <w:rtl/>
        </w:rPr>
        <w:t>מרכז</w:t>
      </w:r>
      <w:r w:rsidRPr="00387A34">
        <w:rPr>
          <w:rtl/>
        </w:rPr>
        <w:t xml:space="preserve"> המועצות האזוריות בישראל </w:t>
      </w:r>
      <w:r w:rsidRPr="00387A34">
        <w:rPr>
          <w:rFonts w:hint="cs"/>
          <w:rtl/>
        </w:rPr>
        <w:t>ופקע"ר.</w:t>
      </w:r>
      <w:r>
        <w:rPr>
          <w:rFonts w:hint="cs"/>
          <w:color w:val="FF0000"/>
          <w:rtl/>
        </w:rPr>
        <w:t xml:space="preserve"> </w:t>
      </w:r>
      <w:r w:rsidRPr="00066C55">
        <w:rPr>
          <w:rFonts w:hint="cs"/>
          <w:rtl/>
        </w:rPr>
        <w:t>התיק עודכן ב</w:t>
      </w:r>
      <w:r>
        <w:rPr>
          <w:rFonts w:hint="cs"/>
          <w:rtl/>
        </w:rPr>
        <w:t>פברואר</w:t>
      </w:r>
      <w:r w:rsidRPr="00066C55">
        <w:rPr>
          <w:rFonts w:hint="cs"/>
          <w:rtl/>
        </w:rPr>
        <w:t xml:space="preserve"> 2024.</w:t>
      </w:r>
    </w:p>
  </w:footnote>
  <w:footnote w:id="16">
    <w:p w:rsidR="00FA04F8" w:rsidRDefault="00FA04F8" w:rsidP="00014C4D">
      <w:pPr>
        <w:pStyle w:val="af0"/>
        <w:rPr>
          <w:rtl/>
        </w:rPr>
      </w:pPr>
      <w:r w:rsidRPr="00387A34">
        <w:rPr>
          <w:rStyle w:val="af2"/>
        </w:rPr>
        <w:footnoteRef/>
      </w:r>
      <w:r w:rsidRPr="00387A34">
        <w:rPr>
          <w:rtl/>
        </w:rPr>
        <w:t xml:space="preserve"> </w:t>
      </w:r>
      <w:r w:rsidRPr="00387A34">
        <w:rPr>
          <w:rtl/>
        </w:rPr>
        <w:tab/>
      </w:r>
      <w:r w:rsidRPr="00387A34">
        <w:rPr>
          <w:rFonts w:hint="cs"/>
          <w:rtl/>
        </w:rPr>
        <w:t>התיק עודכן בפברואר 2024.</w:t>
      </w:r>
    </w:p>
  </w:footnote>
  <w:footnote w:id="17">
    <w:p w:rsidR="00FA04F8" w:rsidRDefault="00FA04F8" w:rsidP="00014C4D">
      <w:pPr>
        <w:pStyle w:val="af0"/>
      </w:pPr>
      <w:r>
        <w:rPr>
          <w:rStyle w:val="af2"/>
        </w:rPr>
        <w:footnoteRef/>
      </w:r>
      <w:r>
        <w:rPr>
          <w:rtl/>
        </w:rPr>
        <w:t xml:space="preserve"> </w:t>
      </w:r>
      <w:r>
        <w:rPr>
          <w:rtl/>
        </w:rPr>
        <w:tab/>
      </w:r>
      <w:r w:rsidRPr="00134FC5">
        <w:rPr>
          <w:rFonts w:hint="cs"/>
          <w:rtl/>
        </w:rPr>
        <w:t>המועצה ק</w:t>
      </w:r>
      <w:r>
        <w:rPr>
          <w:rFonts w:hint="cs"/>
          <w:rtl/>
        </w:rPr>
        <w:t>י</w:t>
      </w:r>
      <w:r w:rsidRPr="00134FC5">
        <w:rPr>
          <w:rFonts w:hint="cs"/>
          <w:rtl/>
        </w:rPr>
        <w:t>בלה את הנתונים מהוועדה</w:t>
      </w:r>
      <w:r>
        <w:rPr>
          <w:rFonts w:hint="cs"/>
          <w:rtl/>
        </w:rPr>
        <w:t xml:space="preserve"> המקומית</w:t>
      </w:r>
      <w:r w:rsidRPr="00134FC5">
        <w:rPr>
          <w:rFonts w:hint="cs"/>
          <w:rtl/>
        </w:rPr>
        <w:t xml:space="preserve"> לתכנון ו</w:t>
      </w:r>
      <w:r>
        <w:rPr>
          <w:rFonts w:hint="cs"/>
          <w:rtl/>
        </w:rPr>
        <w:t>ל</w:t>
      </w:r>
      <w:r w:rsidRPr="00134FC5">
        <w:rPr>
          <w:rFonts w:hint="cs"/>
          <w:rtl/>
        </w:rPr>
        <w:t>בנייה</w:t>
      </w:r>
      <w:r>
        <w:rPr>
          <w:rFonts w:hint="cs"/>
          <w:rtl/>
        </w:rPr>
        <w:t xml:space="preserve"> בקעת</w:t>
      </w:r>
      <w:r w:rsidRPr="00134FC5">
        <w:rPr>
          <w:rFonts w:hint="cs"/>
          <w:rtl/>
        </w:rPr>
        <w:t xml:space="preserve"> בית הכרם. </w:t>
      </w:r>
    </w:p>
  </w:footnote>
  <w:footnote w:id="18">
    <w:p w:rsidR="00FA04F8" w:rsidRPr="00D20DAF" w:rsidRDefault="00FA04F8" w:rsidP="00014C4D">
      <w:pPr>
        <w:pStyle w:val="af0"/>
        <w:rPr>
          <w:rtl/>
        </w:rPr>
      </w:pPr>
      <w:r>
        <w:rPr>
          <w:rStyle w:val="af2"/>
        </w:rPr>
        <w:footnoteRef/>
      </w:r>
      <w:r>
        <w:rPr>
          <w:rtl/>
        </w:rPr>
        <w:t xml:space="preserve"> </w:t>
      </w:r>
      <w:r>
        <w:rPr>
          <w:rtl/>
        </w:rPr>
        <w:tab/>
      </w:r>
      <w:r>
        <w:rPr>
          <w:rFonts w:hint="cs"/>
          <w:rtl/>
        </w:rPr>
        <w:t>בתוכנית צוין לגבי 159 תושבים נוספים כי אין לגביהם נתונים על המיגון.</w:t>
      </w:r>
    </w:p>
  </w:footnote>
  <w:footnote w:id="19">
    <w:p w:rsidR="00FA04F8" w:rsidRDefault="00FA04F8" w:rsidP="00014C4D">
      <w:pPr>
        <w:pStyle w:val="af0"/>
      </w:pPr>
      <w:r>
        <w:rPr>
          <w:rStyle w:val="af2"/>
        </w:rPr>
        <w:footnoteRef/>
      </w:r>
      <w:r>
        <w:rPr>
          <w:rtl/>
        </w:rPr>
        <w:t xml:space="preserve"> </w:t>
      </w:r>
      <w:r>
        <w:rPr>
          <w:rtl/>
        </w:rPr>
        <w:tab/>
      </w:r>
      <w:r>
        <w:rPr>
          <w:rFonts w:hint="cs"/>
          <w:rtl/>
        </w:rPr>
        <w:t>עובדי משרד מבקר המדינה בדקו את נושא המיגון במועצה בתקופה שבין מרץ ועד ספטמבר 2024.</w:t>
      </w:r>
    </w:p>
  </w:footnote>
  <w:footnote w:id="20">
    <w:p w:rsidR="00FA04F8" w:rsidRDefault="00FA04F8" w:rsidP="00014C4D">
      <w:pPr>
        <w:pStyle w:val="af0"/>
        <w:rPr>
          <w:rtl/>
        </w:rPr>
      </w:pPr>
      <w:r>
        <w:rPr>
          <w:rStyle w:val="af2"/>
        </w:rPr>
        <w:footnoteRef/>
      </w:r>
      <w:r>
        <w:rPr>
          <w:rtl/>
        </w:rPr>
        <w:t xml:space="preserve"> </w:t>
      </w:r>
      <w:r>
        <w:rPr>
          <w:rtl/>
        </w:rPr>
        <w:tab/>
      </w:r>
      <w:r w:rsidRPr="00CD22D6">
        <w:rPr>
          <w:rFonts w:hint="cs"/>
          <w:rtl/>
        </w:rPr>
        <w:t>הנתונים הופקו באמצעות הו</w:t>
      </w:r>
      <w:r>
        <w:rPr>
          <w:rFonts w:hint="cs"/>
          <w:rtl/>
        </w:rPr>
        <w:t>ו</w:t>
      </w:r>
      <w:r w:rsidRPr="00CD22D6">
        <w:rPr>
          <w:rFonts w:hint="cs"/>
          <w:rtl/>
        </w:rPr>
        <w:t>עדה המקומית לתכנון ו</w:t>
      </w:r>
      <w:r>
        <w:rPr>
          <w:rFonts w:hint="cs"/>
          <w:rtl/>
        </w:rPr>
        <w:t>ל</w:t>
      </w:r>
      <w:r w:rsidRPr="00CD22D6">
        <w:rPr>
          <w:rFonts w:hint="cs"/>
          <w:rtl/>
        </w:rPr>
        <w:t>בנייה</w:t>
      </w:r>
      <w:r>
        <w:rPr>
          <w:rFonts w:hint="cs"/>
          <w:rtl/>
        </w:rPr>
        <w:t xml:space="preserve"> גלבוע</w:t>
      </w:r>
      <w:r w:rsidRPr="00CD22D6">
        <w:rPr>
          <w:rFonts w:hint="cs"/>
          <w:rtl/>
        </w:rPr>
        <w:t>.</w:t>
      </w:r>
    </w:p>
  </w:footnote>
  <w:footnote w:id="21">
    <w:p w:rsidR="00FA04F8" w:rsidRDefault="00FA04F8" w:rsidP="00014C4D">
      <w:pPr>
        <w:pStyle w:val="af0"/>
      </w:pPr>
      <w:r>
        <w:rPr>
          <w:rStyle w:val="af2"/>
        </w:rPr>
        <w:footnoteRef/>
      </w:r>
      <w:r>
        <w:rPr>
          <w:rtl/>
        </w:rPr>
        <w:t xml:space="preserve"> </w:t>
      </w:r>
      <w:r>
        <w:rPr>
          <w:rtl/>
        </w:rPr>
        <w:tab/>
      </w:r>
      <w:r>
        <w:rPr>
          <w:rFonts w:hint="cs"/>
          <w:rtl/>
        </w:rPr>
        <w:t xml:space="preserve">על פי המנחה להכנת תיק ניהול מחסה של פקע"ר, שהייה ממושכת מוגדרת יותר 12 שעות. </w:t>
      </w:r>
    </w:p>
  </w:footnote>
  <w:footnote w:id="22">
    <w:p w:rsidR="00FA04F8" w:rsidRDefault="00FA04F8" w:rsidP="00014C4D">
      <w:pPr>
        <w:pStyle w:val="af0"/>
      </w:pPr>
      <w:r>
        <w:rPr>
          <w:rStyle w:val="af2"/>
        </w:rPr>
        <w:footnoteRef/>
      </w:r>
      <w:r>
        <w:rPr>
          <w:rtl/>
        </w:rPr>
        <w:t xml:space="preserve"> </w:t>
      </w:r>
      <w:r>
        <w:rPr>
          <w:rtl/>
        </w:rPr>
        <w:tab/>
      </w:r>
      <w:r>
        <w:rPr>
          <w:rFonts w:hint="cs"/>
          <w:rtl/>
        </w:rPr>
        <w:t>תיק תוכנית המיגון הרשותית של העירייה, שהומצא לצוות הביקורת בינואר 2024.</w:t>
      </w:r>
    </w:p>
  </w:footnote>
  <w:footnote w:id="23">
    <w:p w:rsidR="00FA04F8" w:rsidRDefault="00FA04F8" w:rsidP="00014C4D">
      <w:pPr>
        <w:pStyle w:val="af0"/>
      </w:pPr>
      <w:r>
        <w:rPr>
          <w:rStyle w:val="af2"/>
        </w:rPr>
        <w:footnoteRef/>
      </w:r>
      <w:r>
        <w:rPr>
          <w:rtl/>
        </w:rPr>
        <w:t xml:space="preserve"> </w:t>
      </w:r>
      <w:r>
        <w:rPr>
          <w:rtl/>
        </w:rPr>
        <w:tab/>
      </w:r>
      <w:r w:rsidRPr="00E43F07">
        <w:rPr>
          <w:rtl/>
        </w:rPr>
        <w:t>עיריית גבעתיים סימנה במערכת ה־</w:t>
      </w:r>
      <w:r w:rsidRPr="00E43F07">
        <w:t>GIS</w:t>
      </w:r>
      <w:r w:rsidRPr="00E43F07">
        <w:rPr>
          <w:rtl/>
        </w:rPr>
        <w:t xml:space="preserve"> העירונית רדיוסים של 30 מטרים לדקה וחצי הליכה לכל מקלט ציבורי.</w:t>
      </w:r>
    </w:p>
  </w:footnote>
  <w:footnote w:id="24">
    <w:p w:rsidR="00FA04F8" w:rsidRDefault="00FA04F8" w:rsidP="00014C4D">
      <w:pPr>
        <w:pStyle w:val="af0"/>
      </w:pPr>
      <w:r>
        <w:rPr>
          <w:rStyle w:val="af2"/>
        </w:rPr>
        <w:footnoteRef/>
      </w:r>
      <w:r>
        <w:rPr>
          <w:rtl/>
        </w:rPr>
        <w:t xml:space="preserve"> </w:t>
      </w:r>
      <w:r>
        <w:rPr>
          <w:rtl/>
        </w:rPr>
        <w:tab/>
      </w:r>
      <w:r>
        <w:rPr>
          <w:rFonts w:hint="cs"/>
          <w:rtl/>
        </w:rPr>
        <w:t>עוד נקבע בסעיף 13(א) לחוק הג"א כי "</w:t>
      </w:r>
      <w:r w:rsidRPr="0084168E">
        <w:rPr>
          <w:rFonts w:hint="cs"/>
          <w:rtl/>
        </w:rPr>
        <w:t>אם לדעת הרשות המקומית דרושים תיקונים ושינויים במקום, כדי שיהיה ראוי לשמש מחסה ציבורי, תפרט ההודעה את תכנית השינויים והתיקונים שהיא תעשה, ואלה ייעשו על חשבונה; כן תישא הרשות המקומית בכל ההוצאות הנוספות שייגרמו בשל התאמת המקום למחסה ציבורי".</w:t>
      </w:r>
    </w:p>
  </w:footnote>
  <w:footnote w:id="25">
    <w:p w:rsidR="00FA04F8" w:rsidRPr="00F646BC" w:rsidRDefault="00FA04F8" w:rsidP="00014C4D">
      <w:pPr>
        <w:pStyle w:val="af0"/>
        <w:rPr>
          <w:rtl/>
        </w:rPr>
      </w:pPr>
      <w:r>
        <w:rPr>
          <w:rStyle w:val="af2"/>
        </w:rPr>
        <w:footnoteRef/>
      </w:r>
      <w:r>
        <w:rPr>
          <w:rtl/>
        </w:rPr>
        <w:t xml:space="preserve"> </w:t>
      </w:r>
      <w:r>
        <w:rPr>
          <w:rtl/>
        </w:rPr>
        <w:tab/>
      </w:r>
      <w:r w:rsidRPr="00F646BC">
        <w:rPr>
          <w:rFonts w:hint="cs"/>
          <w:rtl/>
        </w:rPr>
        <w:t xml:space="preserve">עוד נקבע </w:t>
      </w:r>
      <w:r>
        <w:rPr>
          <w:rFonts w:hint="cs"/>
          <w:rtl/>
        </w:rPr>
        <w:t>ב</w:t>
      </w:r>
      <w:r w:rsidRPr="00F646BC">
        <w:rPr>
          <w:rFonts w:hint="cs"/>
          <w:rtl/>
        </w:rPr>
        <w:t xml:space="preserve">סעיף זה כי אם לא קיימה הרשות המקומית את ההוראה </w:t>
      </w:r>
      <w:r>
        <w:rPr>
          <w:rFonts w:hint="cs"/>
          <w:rtl/>
        </w:rPr>
        <w:t>ב</w:t>
      </w:r>
      <w:r w:rsidRPr="00F646BC">
        <w:rPr>
          <w:rFonts w:hint="cs"/>
          <w:rtl/>
        </w:rPr>
        <w:t>תוך הזמן שנקבע בה, רשאי ראש הג"א בעצמו למסור את ההודעה כאמור במקו</w:t>
      </w:r>
      <w:r>
        <w:rPr>
          <w:rFonts w:hint="cs"/>
          <w:rtl/>
        </w:rPr>
        <w:t>ם</w:t>
      </w:r>
      <w:r w:rsidRPr="00F646BC">
        <w:rPr>
          <w:rFonts w:hint="cs"/>
          <w:rtl/>
        </w:rPr>
        <w:t xml:space="preserve"> הרשות המקומית, ומשעשה כן, חייבת הרשות המקומית לעשות באותו מקום את השינויים והתיקונים שפורטו בהודעת ראש הג"א</w:t>
      </w:r>
      <w:r w:rsidRPr="00F646BC">
        <w:rPr>
          <w:rFonts w:hint="cs"/>
        </w:rPr>
        <w:t>.</w:t>
      </w:r>
    </w:p>
  </w:footnote>
  <w:footnote w:id="26">
    <w:p w:rsidR="00FA04F8" w:rsidRPr="00F646BC" w:rsidRDefault="00FA04F8" w:rsidP="00014C4D">
      <w:pPr>
        <w:pStyle w:val="af0"/>
      </w:pPr>
      <w:r w:rsidRPr="00F646BC">
        <w:rPr>
          <w:rStyle w:val="af2"/>
        </w:rPr>
        <w:footnoteRef/>
      </w:r>
      <w:r w:rsidRPr="00F646BC">
        <w:rPr>
          <w:rtl/>
        </w:rPr>
        <w:t xml:space="preserve"> </w:t>
      </w:r>
      <w:r w:rsidRPr="00F646BC">
        <w:rPr>
          <w:rtl/>
        </w:rPr>
        <w:tab/>
      </w:r>
      <w:r w:rsidRPr="00F646BC">
        <w:rPr>
          <w:rFonts w:hint="cs"/>
          <w:rtl/>
        </w:rPr>
        <w:t>חניון "אמריקנה" - 300 תושבים; חניון ה"פניקס" - 500 תושבים; חניון "פרנדלי" - 535 תושבים; חניון "עזריאלי" - 1,400 תושבים.</w:t>
      </w:r>
    </w:p>
  </w:footnote>
  <w:footnote w:id="27">
    <w:p w:rsidR="00FA04F8" w:rsidRPr="00585B18" w:rsidRDefault="00FA04F8" w:rsidP="00014C4D">
      <w:pPr>
        <w:pStyle w:val="af0"/>
        <w:rPr>
          <w:rtl/>
        </w:rPr>
      </w:pPr>
      <w:r>
        <w:rPr>
          <w:rStyle w:val="af2"/>
        </w:rPr>
        <w:footnoteRef/>
      </w:r>
      <w:r>
        <w:rPr>
          <w:rtl/>
        </w:rPr>
        <w:t xml:space="preserve"> </w:t>
      </w:r>
      <w:r>
        <w:rPr>
          <w:rtl/>
        </w:rPr>
        <w:tab/>
      </w:r>
      <w:r>
        <w:rPr>
          <w:rFonts w:hint="cs"/>
          <w:rtl/>
        </w:rPr>
        <w:t xml:space="preserve">מבקר המדינה, </w:t>
      </w:r>
      <w:r w:rsidRPr="002D1DFD">
        <w:rPr>
          <w:rFonts w:ascii="David" w:hAnsi="David" w:hint="eastAsia"/>
          <w:bCs/>
          <w:rtl/>
        </w:rPr>
        <w:t>דוחות</w:t>
      </w:r>
      <w:r w:rsidRPr="002D1DFD">
        <w:rPr>
          <w:rFonts w:ascii="David" w:hAnsi="David"/>
          <w:bCs/>
          <w:rtl/>
        </w:rPr>
        <w:t xml:space="preserve"> </w:t>
      </w:r>
      <w:r w:rsidRPr="002D1DFD">
        <w:rPr>
          <w:rFonts w:ascii="David" w:hAnsi="David" w:hint="eastAsia"/>
          <w:bCs/>
          <w:rtl/>
        </w:rPr>
        <w:t>על</w:t>
      </w:r>
      <w:r w:rsidRPr="002D1DFD">
        <w:rPr>
          <w:rFonts w:ascii="David" w:hAnsi="David"/>
          <w:bCs/>
          <w:rtl/>
        </w:rPr>
        <w:t xml:space="preserve"> </w:t>
      </w:r>
      <w:r w:rsidRPr="002D1DFD">
        <w:rPr>
          <w:rFonts w:ascii="David" w:hAnsi="David" w:hint="eastAsia"/>
          <w:bCs/>
          <w:rtl/>
        </w:rPr>
        <w:t>הביקורת</w:t>
      </w:r>
      <w:r w:rsidRPr="002D1DFD">
        <w:rPr>
          <w:rFonts w:ascii="David" w:hAnsi="David"/>
          <w:bCs/>
          <w:rtl/>
        </w:rPr>
        <w:t xml:space="preserve"> </w:t>
      </w:r>
      <w:r w:rsidRPr="002D1DFD">
        <w:rPr>
          <w:rFonts w:ascii="David" w:hAnsi="David" w:hint="eastAsia"/>
          <w:bCs/>
          <w:rtl/>
        </w:rPr>
        <w:t>בשלטון</w:t>
      </w:r>
      <w:r w:rsidRPr="002D1DFD">
        <w:rPr>
          <w:rFonts w:ascii="David" w:hAnsi="David"/>
          <w:bCs/>
          <w:rtl/>
        </w:rPr>
        <w:t xml:space="preserve"> </w:t>
      </w:r>
      <w:r w:rsidRPr="002D1DFD">
        <w:rPr>
          <w:rFonts w:ascii="David" w:hAnsi="David" w:hint="eastAsia"/>
          <w:bCs/>
          <w:rtl/>
        </w:rPr>
        <w:t>המקומי</w:t>
      </w:r>
      <w:r w:rsidRPr="008A5191">
        <w:rPr>
          <w:rFonts w:ascii="David" w:hAnsi="David" w:hint="cs"/>
          <w:b/>
          <w:rtl/>
        </w:rPr>
        <w:t xml:space="preserve"> </w:t>
      </w:r>
      <w:r w:rsidRPr="00AB1655">
        <w:rPr>
          <w:rFonts w:hint="cs"/>
          <w:rtl/>
        </w:rPr>
        <w:t>(2024),</w:t>
      </w:r>
      <w:r>
        <w:rPr>
          <w:rFonts w:hint="cs"/>
          <w:rtl/>
        </w:rPr>
        <w:t xml:space="preserve"> </w:t>
      </w:r>
      <w:r w:rsidRPr="002D1DFD">
        <w:rPr>
          <w:rtl/>
        </w:rPr>
        <w:t xml:space="preserve">"חופש </w:t>
      </w:r>
      <w:r w:rsidRPr="002D1DFD">
        <w:rPr>
          <w:rFonts w:hint="eastAsia"/>
          <w:rtl/>
        </w:rPr>
        <w:t>המידע</w:t>
      </w:r>
      <w:r w:rsidRPr="002D1DFD">
        <w:rPr>
          <w:rtl/>
        </w:rPr>
        <w:t xml:space="preserve"> </w:t>
      </w:r>
      <w:r w:rsidRPr="002D1DFD">
        <w:rPr>
          <w:rFonts w:hint="eastAsia"/>
          <w:rtl/>
        </w:rPr>
        <w:t>ברשויות</w:t>
      </w:r>
      <w:r w:rsidRPr="002D1DFD">
        <w:rPr>
          <w:rtl/>
        </w:rPr>
        <w:t xml:space="preserve"> </w:t>
      </w:r>
      <w:r w:rsidRPr="002D1DFD">
        <w:rPr>
          <w:rFonts w:hint="eastAsia"/>
          <w:rtl/>
        </w:rPr>
        <w:t>המקומיות</w:t>
      </w:r>
      <w:r w:rsidRPr="002D1DFD">
        <w:rPr>
          <w:rtl/>
        </w:rPr>
        <w:t>",</w:t>
      </w:r>
      <w:r w:rsidRPr="00AB1655">
        <w:rPr>
          <w:rFonts w:hint="cs"/>
          <w:rtl/>
        </w:rPr>
        <w:t xml:space="preserve"> עמ'</w:t>
      </w:r>
      <w:r>
        <w:rPr>
          <w:rFonts w:hint="cs"/>
          <w:b/>
          <w:bCs/>
          <w:rtl/>
        </w:rPr>
        <w:t xml:space="preserve"> </w:t>
      </w:r>
      <w:r w:rsidRPr="00585B18">
        <w:rPr>
          <w:rFonts w:hint="cs"/>
          <w:rtl/>
        </w:rPr>
        <w:t xml:space="preserve">1, 33. </w:t>
      </w:r>
    </w:p>
  </w:footnote>
  <w:footnote w:id="28">
    <w:p w:rsidR="00FA04F8" w:rsidRDefault="00FA04F8" w:rsidP="00014C4D">
      <w:pPr>
        <w:pStyle w:val="af0"/>
      </w:pPr>
      <w:r>
        <w:rPr>
          <w:rStyle w:val="af2"/>
        </w:rPr>
        <w:footnoteRef/>
      </w:r>
      <w:r>
        <w:rPr>
          <w:rtl/>
        </w:rPr>
        <w:t xml:space="preserve"> </w:t>
      </w:r>
      <w:r>
        <w:rPr>
          <w:rtl/>
        </w:rPr>
        <w:tab/>
      </w:r>
      <w:r w:rsidRPr="0010684F">
        <w:rPr>
          <w:rtl/>
        </w:rPr>
        <w:t xml:space="preserve">הרשות לפיתוח והתיישבות הבדואים בנגב </w:t>
      </w:r>
      <w:r>
        <w:rPr>
          <w:rFonts w:hint="cs"/>
          <w:rtl/>
        </w:rPr>
        <w:t>ה</w:t>
      </w:r>
      <w:r w:rsidRPr="0010684F">
        <w:rPr>
          <w:rtl/>
        </w:rPr>
        <w:t xml:space="preserve">וקמה מכוח </w:t>
      </w:r>
      <w:r w:rsidRPr="00AA7CEF">
        <w:rPr>
          <w:rtl/>
        </w:rPr>
        <w:t xml:space="preserve">החלטת </w:t>
      </w:r>
      <w:r w:rsidRPr="00AA7CEF">
        <w:rPr>
          <w:rFonts w:hint="cs"/>
          <w:rtl/>
        </w:rPr>
        <w:t>ה</w:t>
      </w:r>
      <w:r w:rsidRPr="00AA7CEF">
        <w:rPr>
          <w:rtl/>
        </w:rPr>
        <w:t>ממשלה מס' 1999 מיום 15.7.</w:t>
      </w:r>
      <w:r w:rsidRPr="00AA7CEF">
        <w:rPr>
          <w:rFonts w:hint="cs"/>
          <w:rtl/>
        </w:rPr>
        <w:t>07, והיא</w:t>
      </w:r>
      <w:r w:rsidRPr="00AA7CEF">
        <w:rPr>
          <w:rtl/>
        </w:rPr>
        <w:t xml:space="preserve"> פועלת לפיתוח </w:t>
      </w:r>
      <w:r w:rsidRPr="00AA7CEF">
        <w:rPr>
          <w:rFonts w:hint="cs"/>
          <w:rtl/>
        </w:rPr>
        <w:t xml:space="preserve">תשתיות מקומיות ואזוריות ליישובי קבע </w:t>
      </w:r>
      <w:r w:rsidRPr="00AA7CEF">
        <w:rPr>
          <w:rtl/>
        </w:rPr>
        <w:t>והתיישבות</w:t>
      </w:r>
      <w:r w:rsidRPr="00AA7CEF">
        <w:rPr>
          <w:rFonts w:hint="cs"/>
          <w:rtl/>
        </w:rPr>
        <w:t xml:space="preserve"> </w:t>
      </w:r>
      <w:r w:rsidRPr="00AA7CEF">
        <w:rPr>
          <w:rtl/>
        </w:rPr>
        <w:t>הבדואים בנגב ולקידום ת</w:t>
      </w:r>
      <w:r w:rsidRPr="00AA7CEF">
        <w:rPr>
          <w:rFonts w:hint="cs"/>
          <w:rtl/>
        </w:rPr>
        <w:t>ו</w:t>
      </w:r>
      <w:r w:rsidRPr="00AA7CEF">
        <w:rPr>
          <w:rtl/>
        </w:rPr>
        <w:t>כניות סטטוטוריות</w:t>
      </w:r>
      <w:r w:rsidRPr="0010684F">
        <w:rPr>
          <w:rtl/>
        </w:rPr>
        <w:t>.</w:t>
      </w:r>
    </w:p>
  </w:footnote>
  <w:footnote w:id="29">
    <w:p w:rsidR="00FA04F8" w:rsidRDefault="00FA04F8" w:rsidP="00014C4D">
      <w:pPr>
        <w:pStyle w:val="af0"/>
      </w:pPr>
      <w:r>
        <w:rPr>
          <w:rStyle w:val="af2"/>
        </w:rPr>
        <w:footnoteRef/>
      </w:r>
      <w:r>
        <w:rPr>
          <w:rtl/>
        </w:rPr>
        <w:t xml:space="preserve"> </w:t>
      </w:r>
      <w:r>
        <w:rPr>
          <w:rtl/>
        </w:rPr>
        <w:tab/>
      </w:r>
      <w:r>
        <w:rPr>
          <w:rFonts w:hint="cs"/>
          <w:rtl/>
        </w:rPr>
        <w:t>אין</w:t>
      </w:r>
      <w:r w:rsidRPr="00841834">
        <w:rPr>
          <w:rtl/>
        </w:rPr>
        <w:t xml:space="preserve"> מדובר בהגדרה רשמית או מוכרת </w:t>
      </w:r>
      <w:r>
        <w:rPr>
          <w:rFonts w:hint="cs"/>
          <w:rtl/>
        </w:rPr>
        <w:t>על ידי</w:t>
      </w:r>
      <w:r w:rsidRPr="00841834">
        <w:rPr>
          <w:rtl/>
        </w:rPr>
        <w:t xml:space="preserve"> מוסדות המדינה</w:t>
      </w:r>
      <w:r>
        <w:rPr>
          <w:rFonts w:hint="cs"/>
          <w:rtl/>
        </w:rPr>
        <w:t>.</w:t>
      </w:r>
    </w:p>
  </w:footnote>
  <w:footnote w:id="30">
    <w:p w:rsidR="00FA04F8" w:rsidRDefault="00FA04F8" w:rsidP="00014C4D">
      <w:pPr>
        <w:pStyle w:val="af0"/>
        <w:rPr>
          <w:rtl/>
        </w:rPr>
      </w:pPr>
      <w:r>
        <w:rPr>
          <w:rStyle w:val="af2"/>
        </w:rPr>
        <w:footnoteRef/>
      </w:r>
      <w:r>
        <w:rPr>
          <w:rtl/>
        </w:rPr>
        <w:t xml:space="preserve"> </w:t>
      </w:r>
      <w:r>
        <w:rPr>
          <w:rtl/>
        </w:rPr>
        <w:tab/>
      </w:r>
      <w:r w:rsidRPr="00AA7CEF">
        <w:rPr>
          <w:rtl/>
        </w:rPr>
        <w:t>מאיירס-ג'וינט-מכון</w:t>
      </w:r>
      <w:r w:rsidRPr="00AA7CEF">
        <w:rPr>
          <w:rFonts w:hint="cs"/>
          <w:rtl/>
        </w:rPr>
        <w:t>-</w:t>
      </w:r>
      <w:r w:rsidRPr="00AA7CEF">
        <w:rPr>
          <w:rtl/>
        </w:rPr>
        <w:t>ברוקדייל,</w:t>
      </w:r>
      <w:r w:rsidRPr="00AA7CEF">
        <w:rPr>
          <w:rFonts w:hint="cs"/>
          <w:rtl/>
        </w:rPr>
        <w:t xml:space="preserve"> "</w:t>
      </w:r>
      <w:r w:rsidRPr="00AA7CEF">
        <w:rPr>
          <w:rtl/>
        </w:rPr>
        <w:t>ילדים באוכלוסייה הבדואית בנגב: מאפיינים, צרכים ודפוסי שימוש בשירותים</w:t>
      </w:r>
      <w:r w:rsidRPr="00AA7CEF">
        <w:rPr>
          <w:rFonts w:hint="cs"/>
          <w:rtl/>
        </w:rPr>
        <w:t>"</w:t>
      </w:r>
      <w:r w:rsidRPr="00AA7CEF">
        <w:rPr>
          <w:rtl/>
        </w:rPr>
        <w:t xml:space="preserve"> </w:t>
      </w:r>
      <w:r w:rsidRPr="00AA7CEF">
        <w:rPr>
          <w:rFonts w:hint="cs"/>
          <w:rtl/>
        </w:rPr>
        <w:t>(</w:t>
      </w:r>
      <w:r w:rsidRPr="00AA7CEF">
        <w:rPr>
          <w:rtl/>
        </w:rPr>
        <w:t xml:space="preserve">נובמבר </w:t>
      </w:r>
      <w:r w:rsidRPr="00AA7CEF">
        <w:rPr>
          <w:rFonts w:hint="cs"/>
          <w:rtl/>
        </w:rPr>
        <w:t>2009</w:t>
      </w:r>
      <w:r>
        <w:rPr>
          <w:rFonts w:hint="cs"/>
          <w:rtl/>
        </w:rPr>
        <w:t>).</w:t>
      </w:r>
    </w:p>
  </w:footnote>
  <w:footnote w:id="31">
    <w:p w:rsidR="00FA04F8" w:rsidRDefault="00FA04F8" w:rsidP="00014C4D">
      <w:pPr>
        <w:pStyle w:val="af0"/>
        <w:rPr>
          <w:rtl/>
        </w:rPr>
      </w:pPr>
      <w:r>
        <w:rPr>
          <w:rStyle w:val="af2"/>
        </w:rPr>
        <w:footnoteRef/>
      </w:r>
      <w:r>
        <w:rPr>
          <w:rtl/>
        </w:rPr>
        <w:t xml:space="preserve"> </w:t>
      </w:r>
      <w:r>
        <w:rPr>
          <w:rtl/>
        </w:rPr>
        <w:tab/>
      </w:r>
      <w:r>
        <w:rPr>
          <w:rFonts w:hint="cs"/>
          <w:rtl/>
        </w:rPr>
        <w:t>"</w:t>
      </w:r>
      <w:r w:rsidRPr="005C5CB5">
        <w:rPr>
          <w:rtl/>
        </w:rPr>
        <w:t xml:space="preserve">דוח הוועדה להצעת מדיניות להסדרת התיישבות הבדואים בנגב בראשות השופט בדימוס </w:t>
      </w:r>
      <w:r w:rsidRPr="005C5CB5">
        <w:rPr>
          <w:rFonts w:hint="eastAsia"/>
          <w:rtl/>
        </w:rPr>
        <w:t>אליעזר</w:t>
      </w:r>
      <w:r w:rsidRPr="005C5CB5">
        <w:rPr>
          <w:rFonts w:hint="cs"/>
          <w:rtl/>
        </w:rPr>
        <w:t xml:space="preserve"> </w:t>
      </w:r>
      <w:r w:rsidRPr="005C5CB5">
        <w:rPr>
          <w:rtl/>
        </w:rPr>
        <w:t xml:space="preserve">גולדברג </w:t>
      </w:r>
      <w:r w:rsidRPr="005C5CB5">
        <w:rPr>
          <w:rFonts w:hint="cs"/>
          <w:rtl/>
        </w:rPr>
        <w:t>-</w:t>
      </w:r>
      <w:r w:rsidRPr="005C5CB5">
        <w:rPr>
          <w:rtl/>
        </w:rPr>
        <w:t xml:space="preserve"> תמצית הדוח</w:t>
      </w:r>
      <w:r w:rsidRPr="005C5CB5">
        <w:rPr>
          <w:rFonts w:hint="cs"/>
          <w:rtl/>
        </w:rPr>
        <w:t>" (דצמבר 2008</w:t>
      </w:r>
      <w:r>
        <w:rPr>
          <w:rFonts w:hint="cs"/>
          <w:rtl/>
        </w:rPr>
        <w:t>).</w:t>
      </w:r>
    </w:p>
  </w:footnote>
  <w:footnote w:id="32">
    <w:p w:rsidR="00FA04F8" w:rsidRDefault="00FA04F8" w:rsidP="00014C4D">
      <w:pPr>
        <w:pStyle w:val="af0"/>
      </w:pPr>
      <w:r>
        <w:rPr>
          <w:rStyle w:val="af2"/>
        </w:rPr>
        <w:footnoteRef/>
      </w:r>
      <w:r>
        <w:rPr>
          <w:rtl/>
        </w:rPr>
        <w:t xml:space="preserve"> </w:t>
      </w:r>
      <w:r>
        <w:rPr>
          <w:rtl/>
        </w:rPr>
        <w:tab/>
      </w:r>
      <w:r w:rsidRPr="00607490">
        <w:rPr>
          <w:rtl/>
        </w:rPr>
        <w:t xml:space="preserve">אחד מהגופים </w:t>
      </w:r>
      <w:r w:rsidRPr="00607490">
        <w:rPr>
          <w:rFonts w:hint="cs"/>
          <w:rtl/>
        </w:rPr>
        <w:t>הוולונטריי</w:t>
      </w:r>
      <w:r w:rsidRPr="00607490">
        <w:rPr>
          <w:rFonts w:hint="eastAsia"/>
          <w:rtl/>
        </w:rPr>
        <w:t>ם</w:t>
      </w:r>
      <w:r w:rsidRPr="00607490">
        <w:rPr>
          <w:rtl/>
        </w:rPr>
        <w:t xml:space="preserve"> הפועלים לייצוג בדואים בפזורה</w:t>
      </w:r>
      <w:r w:rsidRPr="00607490">
        <w:rPr>
          <w:rFonts w:hint="cs"/>
          <w:rtl/>
        </w:rPr>
        <w:t xml:space="preserve"> </w:t>
      </w:r>
      <w:r w:rsidRPr="00607490">
        <w:rPr>
          <w:rtl/>
        </w:rPr>
        <w:t>לפני מוסדות המדינה</w:t>
      </w:r>
      <w:r>
        <w:rPr>
          <w:rFonts w:hint="cs"/>
          <w:rtl/>
        </w:rPr>
        <w:t>.</w:t>
      </w:r>
      <w:r w:rsidRPr="007408E0">
        <w:rPr>
          <w:rtl/>
        </w:rPr>
        <w:t xml:space="preserve"> העמותה פועלת בין היתר לאספקת שירותים מהמדינה כגון אספקת מים וחשמל לתושבי הפזורה</w:t>
      </w:r>
      <w:r>
        <w:rPr>
          <w:rFonts w:hint="cs"/>
          <w:rtl/>
        </w:rPr>
        <w:t>.</w:t>
      </w:r>
    </w:p>
  </w:footnote>
  <w:footnote w:id="33">
    <w:p w:rsidR="00FA04F8" w:rsidRDefault="00FA04F8" w:rsidP="00014C4D">
      <w:pPr>
        <w:pStyle w:val="af0"/>
      </w:pPr>
      <w:r>
        <w:rPr>
          <w:rStyle w:val="af2"/>
        </w:rPr>
        <w:footnoteRef/>
      </w:r>
      <w:r>
        <w:rPr>
          <w:rtl/>
        </w:rPr>
        <w:t xml:space="preserve"> </w:t>
      </w:r>
      <w:r>
        <w:rPr>
          <w:rtl/>
        </w:rPr>
        <w:tab/>
        <w:t>הרשות לאכיפה במקרקעין (לשעבר היחידה הארצית לאכיפת דיני התכנון והבני</w:t>
      </w:r>
      <w:r>
        <w:rPr>
          <w:rFonts w:hint="cs"/>
          <w:rtl/>
        </w:rPr>
        <w:t>י</w:t>
      </w:r>
      <w:r>
        <w:rPr>
          <w:rtl/>
        </w:rPr>
        <w:t>ה), פועלת בפריסה ארצית בחלוקה לארבעה מחוזות</w:t>
      </w:r>
      <w:r>
        <w:rPr>
          <w:rFonts w:hint="cs"/>
          <w:rtl/>
        </w:rPr>
        <w:t xml:space="preserve"> </w:t>
      </w:r>
      <w:r>
        <w:rPr>
          <w:rtl/>
        </w:rPr>
        <w:t xml:space="preserve">- </w:t>
      </w:r>
      <w:r>
        <w:rPr>
          <w:rFonts w:hint="cs"/>
          <w:rtl/>
        </w:rPr>
        <w:t>ה</w:t>
      </w:r>
      <w:r>
        <w:rPr>
          <w:rtl/>
        </w:rPr>
        <w:t xml:space="preserve">צפון, </w:t>
      </w:r>
      <w:r>
        <w:rPr>
          <w:rFonts w:hint="cs"/>
          <w:rtl/>
        </w:rPr>
        <w:t>ה</w:t>
      </w:r>
      <w:r>
        <w:rPr>
          <w:rtl/>
        </w:rPr>
        <w:t>מרכז, ירושלים ו</w:t>
      </w:r>
      <w:r>
        <w:rPr>
          <w:rFonts w:hint="cs"/>
          <w:rtl/>
        </w:rPr>
        <w:t>ה</w:t>
      </w:r>
      <w:r>
        <w:rPr>
          <w:rtl/>
        </w:rPr>
        <w:t>דרום.</w:t>
      </w:r>
      <w:r>
        <w:rPr>
          <w:rFonts w:hint="cs"/>
          <w:rtl/>
        </w:rPr>
        <w:t xml:space="preserve"> </w:t>
      </w:r>
      <w:r>
        <w:rPr>
          <w:rtl/>
        </w:rPr>
        <w:t>ייעוד הרשות הוא להיאבק בעבירות התכנון והבנ</w:t>
      </w:r>
      <w:r>
        <w:rPr>
          <w:rFonts w:hint="cs"/>
          <w:rtl/>
        </w:rPr>
        <w:t>י</w:t>
      </w:r>
      <w:r>
        <w:rPr>
          <w:rtl/>
        </w:rPr>
        <w:t xml:space="preserve">יה </w:t>
      </w:r>
      <w:r>
        <w:rPr>
          <w:rFonts w:hint="cs"/>
          <w:rtl/>
        </w:rPr>
        <w:t>ולשמש</w:t>
      </w:r>
      <w:r>
        <w:rPr>
          <w:rtl/>
        </w:rPr>
        <w:t xml:space="preserve"> מכווין מקצועי לפעילות האכיפה בוועדות המקומיות.</w:t>
      </w:r>
    </w:p>
  </w:footnote>
  <w:footnote w:id="34">
    <w:p w:rsidR="00FA04F8" w:rsidRDefault="00FA04F8" w:rsidP="00014C4D">
      <w:pPr>
        <w:pStyle w:val="af0"/>
        <w:rPr>
          <w:rtl/>
        </w:rPr>
      </w:pPr>
      <w:r>
        <w:rPr>
          <w:rStyle w:val="af2"/>
        </w:rPr>
        <w:footnoteRef/>
      </w:r>
      <w:r>
        <w:rPr>
          <w:rtl/>
        </w:rPr>
        <w:t xml:space="preserve"> </w:t>
      </w:r>
      <w:r>
        <w:rPr>
          <w:rtl/>
        </w:rPr>
        <w:tab/>
      </w:r>
      <w:r>
        <w:rPr>
          <w:rFonts w:hint="cs"/>
          <w:rtl/>
        </w:rPr>
        <w:t xml:space="preserve">על פי </w:t>
      </w:r>
      <w:r w:rsidRPr="005C5CB5">
        <w:rPr>
          <w:rFonts w:hint="cs"/>
          <w:rtl/>
        </w:rPr>
        <w:t>החלטת הממשלה 1362 מ-10.4.22,</w:t>
      </w:r>
      <w:r>
        <w:rPr>
          <w:rFonts w:hint="cs"/>
          <w:rtl/>
        </w:rPr>
        <w:t xml:space="preserve"> </w:t>
      </w:r>
      <w:r>
        <w:rPr>
          <w:rFonts w:hint="cs"/>
          <w:b/>
          <w:bCs/>
          <w:rtl/>
        </w:rPr>
        <w:t>"</w:t>
      </w:r>
      <w:r w:rsidRPr="002838B5">
        <w:rPr>
          <w:rtl/>
        </w:rPr>
        <w:t>הקמת יישובים חדשים עבור האוכלוסייה הבדואית בנגב</w:t>
      </w:r>
      <w:r>
        <w:rPr>
          <w:rFonts w:hint="cs"/>
          <w:rtl/>
        </w:rPr>
        <w:t>": "</w:t>
      </w:r>
      <w:r>
        <w:rPr>
          <w:rtl/>
        </w:rPr>
        <w:t>עם חתימה על כתבי הסכמה של 70% מהאוכלוסייה וחתימת ראשי המשפחות ניתן יהיה להתקדם לשלב הבא - תכנון מפורט.</w:t>
      </w:r>
      <w:r>
        <w:rPr>
          <w:rFonts w:hint="cs"/>
          <w:rtl/>
        </w:rPr>
        <w:t xml:space="preserve"> </w:t>
      </w:r>
      <w:r>
        <w:rPr>
          <w:rtl/>
        </w:rPr>
        <w:t xml:space="preserve">לעניין שלב זה, </w:t>
      </w:r>
      <w:r>
        <w:rPr>
          <w:rFonts w:hint="cs"/>
          <w:rtl/>
        </w:rPr>
        <w:t>'</w:t>
      </w:r>
      <w:r>
        <w:rPr>
          <w:rtl/>
        </w:rPr>
        <w:t>70% מהאוכלוסייה</w:t>
      </w:r>
      <w:r>
        <w:rPr>
          <w:rFonts w:hint="cs"/>
          <w:rtl/>
        </w:rPr>
        <w:t>'</w:t>
      </w:r>
      <w:r>
        <w:rPr>
          <w:rtl/>
        </w:rPr>
        <w:t xml:space="preserve"> </w:t>
      </w:r>
      <w:r>
        <w:rPr>
          <w:rFonts w:hint="cs"/>
          <w:rtl/>
        </w:rPr>
        <w:t>-</w:t>
      </w:r>
      <w:r>
        <w:rPr>
          <w:rtl/>
        </w:rPr>
        <w:t xml:space="preserve"> 70% ממספר הנפשות הכולל, למעט אוכלוסייה שנמצאת בתוך פוליגון היישוב, אינה נדרשת לתת הסכמתה לוויתור על טענה לזכות בשטח פוליגון היישוב או בתביעת בעלות בשטח אחר ושלא תושפע מהסדרת היישוב בפועל באופן שידרוש ממנה תזוזה אקטיבית בשטח במבנים או ויתור על שטח</w:t>
      </w:r>
      <w:r>
        <w:rPr>
          <w:rFonts w:hint="cs"/>
          <w:rtl/>
        </w:rPr>
        <w:t>"</w:t>
      </w:r>
      <w:r>
        <w:rPr>
          <w:rtl/>
        </w:rPr>
        <w:t>.</w:t>
      </w:r>
    </w:p>
  </w:footnote>
  <w:footnote w:id="35">
    <w:p w:rsidR="00FA04F8" w:rsidRDefault="00FA04F8" w:rsidP="00014C4D">
      <w:pPr>
        <w:pStyle w:val="af0"/>
      </w:pPr>
      <w:r>
        <w:rPr>
          <w:rStyle w:val="af2"/>
        </w:rPr>
        <w:footnoteRef/>
      </w:r>
      <w:r>
        <w:rPr>
          <w:rtl/>
        </w:rPr>
        <w:t xml:space="preserve"> </w:t>
      </w:r>
      <w:r>
        <w:rPr>
          <w:rtl/>
        </w:rPr>
        <w:tab/>
      </w:r>
      <w:r>
        <w:rPr>
          <w:rFonts w:hint="cs"/>
          <w:rtl/>
        </w:rPr>
        <w:t>משרד מבקר המדינה לא בדק בביקורת זו את הסיבות לאי-מימוש החלטות הממשלה בעניין הקמת היישובים והסדרת התיישבות הפזורה הבדואית.</w:t>
      </w:r>
    </w:p>
  </w:footnote>
  <w:footnote w:id="36">
    <w:p w:rsidR="00FA04F8" w:rsidRDefault="00FA04F8" w:rsidP="00014C4D">
      <w:pPr>
        <w:pStyle w:val="af0"/>
        <w:rPr>
          <w:rtl/>
        </w:rPr>
      </w:pPr>
      <w:r>
        <w:rPr>
          <w:rStyle w:val="af2"/>
        </w:rPr>
        <w:footnoteRef/>
      </w:r>
      <w:r>
        <w:rPr>
          <w:rtl/>
        </w:rPr>
        <w:t xml:space="preserve"> </w:t>
      </w:r>
      <w:r>
        <w:rPr>
          <w:rtl/>
        </w:rPr>
        <w:tab/>
      </w:r>
      <w:r>
        <w:rPr>
          <w:rFonts w:hint="cs"/>
          <w:rtl/>
        </w:rPr>
        <w:t xml:space="preserve">בג"ץ 71000-84-24 </w:t>
      </w:r>
      <w:r w:rsidRPr="001D457D">
        <w:rPr>
          <w:rFonts w:hint="cs"/>
          <w:b/>
          <w:bCs/>
          <w:rtl/>
        </w:rPr>
        <w:t>פאתום אבו קוידר ואח' נ</w:t>
      </w:r>
      <w:r>
        <w:rPr>
          <w:rFonts w:hint="cs"/>
          <w:b/>
          <w:bCs/>
          <w:rtl/>
        </w:rPr>
        <w:t>'</w:t>
      </w:r>
      <w:r w:rsidRPr="001D457D">
        <w:rPr>
          <w:rFonts w:hint="cs"/>
          <w:b/>
          <w:bCs/>
          <w:rtl/>
        </w:rPr>
        <w:t xml:space="preserve"> מפקד פיקוד העורף ואח'</w:t>
      </w:r>
      <w:r>
        <w:rPr>
          <w:rFonts w:hint="cs"/>
          <w:rtl/>
        </w:rPr>
        <w:t xml:space="preserve"> (13.1.25).</w:t>
      </w:r>
    </w:p>
  </w:footnote>
  <w:footnote w:id="37">
    <w:p w:rsidR="00FA04F8" w:rsidRDefault="00FA04F8" w:rsidP="00014C4D">
      <w:pPr>
        <w:pStyle w:val="af0"/>
      </w:pPr>
      <w:r>
        <w:rPr>
          <w:rStyle w:val="af2"/>
        </w:rPr>
        <w:footnoteRef/>
      </w:r>
      <w:r>
        <w:rPr>
          <w:rtl/>
        </w:rPr>
        <w:t xml:space="preserve"> </w:t>
      </w:r>
      <w:r>
        <w:rPr>
          <w:rtl/>
        </w:rPr>
        <w:tab/>
        <w:t xml:space="preserve">מיגונית היא מבנה יביל </w:t>
      </w:r>
      <w:r>
        <w:rPr>
          <w:rFonts w:hint="cs"/>
          <w:rtl/>
        </w:rPr>
        <w:t>עשוי מקשה אחת מבטון מזוין המיועד</w:t>
      </w:r>
      <w:r>
        <w:rPr>
          <w:rtl/>
        </w:rPr>
        <w:t xml:space="preserve"> </w:t>
      </w:r>
      <w:r>
        <w:rPr>
          <w:rFonts w:hint="cs"/>
          <w:rtl/>
        </w:rPr>
        <w:t>ל</w:t>
      </w:r>
      <w:r>
        <w:rPr>
          <w:rtl/>
        </w:rPr>
        <w:t xml:space="preserve">מיגון אוכלוסייה. המיגונית אינה </w:t>
      </w:r>
      <w:r>
        <w:rPr>
          <w:rFonts w:hint="cs"/>
          <w:rtl/>
        </w:rPr>
        <w:t>נחשבת</w:t>
      </w:r>
      <w:r>
        <w:rPr>
          <w:rtl/>
        </w:rPr>
        <w:t xml:space="preserve"> מרחב מוגן תקני, אלא נועדה לאפשר שהייה ארעית של עוברי אורח במרחב הציבורי, שאין ביכולתם להגיע למרחב מוגן בזמן העומד לרשותם. א</w:t>
      </w:r>
      <w:r>
        <w:rPr>
          <w:rFonts w:hint="cs"/>
          <w:rtl/>
        </w:rPr>
        <w:t>ו</w:t>
      </w:r>
      <w:r>
        <w:rPr>
          <w:rtl/>
        </w:rPr>
        <w:t xml:space="preserve">מנם מדובר בפתרון התגוננות חלקי, אך בתקופת המלחמה הוא תורם לחיזוק החוסן האזרחי ומסייע בקיום שגרת </w:t>
      </w:r>
      <w:r>
        <w:rPr>
          <w:rFonts w:hint="cs"/>
          <w:rtl/>
        </w:rPr>
        <w:t>ה</w:t>
      </w:r>
      <w:r>
        <w:rPr>
          <w:rtl/>
        </w:rPr>
        <w:t>חיים.</w:t>
      </w:r>
      <w:r>
        <w:rPr>
          <w:rFonts w:hint="cs"/>
          <w:rtl/>
        </w:rPr>
        <w:t xml:space="preserve"> </w:t>
      </w:r>
      <w:r>
        <w:rPr>
          <w:rtl/>
        </w:rPr>
        <w:t xml:space="preserve">המיגונית נועדה לצמצם את הנזק מהדף ורסיסים במרחב הציבורי הפתוח בלבד. </w:t>
      </w:r>
      <w:r>
        <w:rPr>
          <w:rFonts w:hint="cs"/>
          <w:rtl/>
        </w:rPr>
        <w:t xml:space="preserve">מאחר שמיגונית אינה בגדר מרחב מוגן תקני, </w:t>
      </w:r>
      <w:r>
        <w:rPr>
          <w:rtl/>
        </w:rPr>
        <w:t>הצבת</w:t>
      </w:r>
      <w:r>
        <w:rPr>
          <w:rFonts w:hint="cs"/>
          <w:rtl/>
        </w:rPr>
        <w:t>ה</w:t>
      </w:r>
      <w:r>
        <w:rPr>
          <w:rtl/>
        </w:rPr>
        <w:t xml:space="preserve"> בשטח פרטי אינה פוטרת מהדרישה למרחב מוגן תקני לפי חוק הג"א.</w:t>
      </w:r>
      <w:r>
        <w:rPr>
          <w:rFonts w:hint="cs"/>
          <w:rtl/>
        </w:rPr>
        <w:t xml:space="preserve"> </w:t>
      </w:r>
      <w:r w:rsidRPr="005C5CB5">
        <w:rPr>
          <w:rFonts w:hint="cs"/>
          <w:rtl/>
        </w:rPr>
        <w:t>מתוך אתר המרשתת של פקע"ר.</w:t>
      </w:r>
    </w:p>
  </w:footnote>
  <w:footnote w:id="38">
    <w:p w:rsidR="00FA04F8" w:rsidRDefault="00FA04F8" w:rsidP="00014C4D">
      <w:pPr>
        <w:pStyle w:val="af0"/>
      </w:pPr>
      <w:r>
        <w:rPr>
          <w:rStyle w:val="af2"/>
        </w:rPr>
        <w:footnoteRef/>
      </w:r>
      <w:r>
        <w:rPr>
          <w:rtl/>
        </w:rPr>
        <w:t xml:space="preserve"> </w:t>
      </w:r>
      <w:r>
        <w:rPr>
          <w:rtl/>
        </w:rPr>
        <w:tab/>
      </w:r>
      <w:r>
        <w:rPr>
          <w:rFonts w:hint="cs"/>
          <w:rtl/>
        </w:rPr>
        <w:t xml:space="preserve">בג"ץ 71000-08-24 </w:t>
      </w:r>
      <w:r w:rsidRPr="007B3719">
        <w:rPr>
          <w:rFonts w:hint="eastAsia"/>
          <w:b/>
          <w:bCs/>
          <w:rtl/>
        </w:rPr>
        <w:t>אבו</w:t>
      </w:r>
      <w:r w:rsidRPr="007B3719">
        <w:rPr>
          <w:b/>
          <w:bCs/>
          <w:rtl/>
        </w:rPr>
        <w:t xml:space="preserve"> </w:t>
      </w:r>
      <w:r w:rsidRPr="007B3719">
        <w:rPr>
          <w:rFonts w:hint="eastAsia"/>
          <w:b/>
          <w:bCs/>
          <w:rtl/>
        </w:rPr>
        <w:t>קוידר</w:t>
      </w:r>
      <w:r w:rsidRPr="007B3719">
        <w:rPr>
          <w:b/>
          <w:bCs/>
          <w:rtl/>
        </w:rPr>
        <w:t xml:space="preserve"> נ' מפקד פיקוד העורף</w:t>
      </w:r>
      <w:r>
        <w:rPr>
          <w:rFonts w:hint="cs"/>
          <w:rtl/>
        </w:rPr>
        <w:t>.</w:t>
      </w:r>
    </w:p>
  </w:footnote>
  <w:footnote w:id="39">
    <w:p w:rsidR="00FA04F8" w:rsidRDefault="00FA04F8" w:rsidP="00014C4D">
      <w:pPr>
        <w:pStyle w:val="af0"/>
      </w:pPr>
      <w:r>
        <w:rPr>
          <w:rStyle w:val="af2"/>
        </w:rPr>
        <w:footnoteRef/>
      </w:r>
      <w:r>
        <w:rPr>
          <w:rtl/>
        </w:rPr>
        <w:t xml:space="preserve"> </w:t>
      </w:r>
      <w:r>
        <w:rPr>
          <w:rtl/>
        </w:rPr>
        <w:tab/>
      </w:r>
      <w:r w:rsidRPr="00671DBF">
        <w:rPr>
          <w:rtl/>
        </w:rPr>
        <w:t xml:space="preserve">בג״ץ 5019/14 </w:t>
      </w:r>
      <w:r w:rsidRPr="00122756">
        <w:rPr>
          <w:b/>
          <w:bCs/>
          <w:rtl/>
        </w:rPr>
        <w:t>אבו עפאש</w:t>
      </w:r>
      <w:r>
        <w:rPr>
          <w:rFonts w:hint="cs"/>
          <w:b/>
          <w:bCs/>
          <w:rtl/>
        </w:rPr>
        <w:t xml:space="preserve"> </w:t>
      </w:r>
      <w:r w:rsidRPr="00122756">
        <w:rPr>
          <w:b/>
          <w:bCs/>
          <w:rtl/>
        </w:rPr>
        <w:t>נ׳ מפקד פיקוד העורף</w:t>
      </w:r>
      <w:r w:rsidRPr="00671DBF">
        <w:rPr>
          <w:rtl/>
        </w:rPr>
        <w:t xml:space="preserve"> (26.3.17)</w:t>
      </w:r>
      <w:r>
        <w:rPr>
          <w:rFonts w:hint="cs"/>
          <w:rtl/>
        </w:rPr>
        <w:t>.</w:t>
      </w:r>
    </w:p>
  </w:footnote>
  <w:footnote w:id="40">
    <w:p w:rsidR="00FA04F8" w:rsidRPr="006F21A9" w:rsidRDefault="00FA04F8" w:rsidP="00014C4D">
      <w:pPr>
        <w:pStyle w:val="af0"/>
        <w:rPr>
          <w:rtl/>
        </w:rPr>
      </w:pPr>
      <w:r>
        <w:rPr>
          <w:rStyle w:val="af2"/>
        </w:rPr>
        <w:footnoteRef/>
      </w:r>
      <w:r>
        <w:rPr>
          <w:rtl/>
        </w:rPr>
        <w:t xml:space="preserve"> </w:t>
      </w:r>
      <w:r>
        <w:rPr>
          <w:rtl/>
        </w:rPr>
        <w:tab/>
      </w:r>
      <w:r w:rsidRPr="006F21A9">
        <w:rPr>
          <w:rFonts w:hint="cs"/>
          <w:rtl/>
        </w:rPr>
        <w:t>המנחה לתחזוקת מקלטים מפרט את הנושאים הנוגעים לתחזוקת המקלטים כגון תקינות המבנה של המקלט ומערכותיו,</w:t>
      </w:r>
      <w:r>
        <w:rPr>
          <w:rFonts w:hint="cs"/>
          <w:rtl/>
        </w:rPr>
        <w:t xml:space="preserve"> </w:t>
      </w:r>
      <w:r w:rsidRPr="006F21A9">
        <w:rPr>
          <w:rFonts w:hint="cs"/>
          <w:rtl/>
        </w:rPr>
        <w:t xml:space="preserve">ואילו המנחה למיגון רשותי עוסק בהנחיות הקשורות למיפוי אמצעי המיגון שקיימים ברשות המקומית, פערי המיגון, ומתן פתרונות להם. </w:t>
      </w:r>
    </w:p>
  </w:footnote>
  <w:footnote w:id="41">
    <w:p w:rsidR="00FA04F8" w:rsidRDefault="00FA04F8" w:rsidP="00014C4D">
      <w:pPr>
        <w:pStyle w:val="af0"/>
        <w:rPr>
          <w:rtl/>
        </w:rPr>
      </w:pPr>
      <w:r>
        <w:rPr>
          <w:rStyle w:val="af2"/>
        </w:rPr>
        <w:footnoteRef/>
      </w:r>
      <w:r>
        <w:rPr>
          <w:rtl/>
        </w:rPr>
        <w:t xml:space="preserve"> </w:t>
      </w:r>
      <w:r>
        <w:rPr>
          <w:rtl/>
        </w:rPr>
        <w:tab/>
      </w:r>
      <w:r>
        <w:rPr>
          <w:rFonts w:hint="cs"/>
          <w:rtl/>
        </w:rPr>
        <w:t>הבדיקה לא נעשתה ב</w:t>
      </w:r>
      <w:r w:rsidRPr="006A0CCE">
        <w:rPr>
          <w:rtl/>
        </w:rPr>
        <w:t>מועצה המקומית ב</w:t>
      </w:r>
      <w:r>
        <w:rPr>
          <w:rFonts w:hint="cs"/>
          <w:rtl/>
        </w:rPr>
        <w:t>י</w:t>
      </w:r>
      <w:r w:rsidRPr="006A0CCE">
        <w:rPr>
          <w:rtl/>
        </w:rPr>
        <w:t>ענה ו</w:t>
      </w:r>
      <w:r>
        <w:rPr>
          <w:rFonts w:hint="cs"/>
          <w:rtl/>
        </w:rPr>
        <w:t>ב</w:t>
      </w:r>
      <w:r w:rsidRPr="006A0CCE">
        <w:rPr>
          <w:rtl/>
        </w:rPr>
        <w:t xml:space="preserve">מועצה האזורית הגלבוע </w:t>
      </w:r>
      <w:r>
        <w:rPr>
          <w:rFonts w:hint="cs"/>
          <w:rtl/>
        </w:rPr>
        <w:t>מאחר ש</w:t>
      </w:r>
      <w:r w:rsidRPr="006A0CCE">
        <w:rPr>
          <w:rtl/>
        </w:rPr>
        <w:t xml:space="preserve">בתחומן אין </w:t>
      </w:r>
      <w:r>
        <w:rPr>
          <w:rFonts w:hint="cs"/>
          <w:rtl/>
        </w:rPr>
        <w:t>כאמור ב</w:t>
      </w:r>
      <w:r w:rsidRPr="006A0CCE">
        <w:rPr>
          <w:rtl/>
        </w:rPr>
        <w:t>תים משותפים.</w:t>
      </w:r>
    </w:p>
  </w:footnote>
  <w:footnote w:id="42">
    <w:p w:rsidR="00FA04F8" w:rsidRDefault="00FA04F8" w:rsidP="00014C4D">
      <w:pPr>
        <w:pStyle w:val="af0"/>
        <w:rPr>
          <w:rtl/>
        </w:rPr>
      </w:pPr>
      <w:r>
        <w:rPr>
          <w:rStyle w:val="af2"/>
        </w:rPr>
        <w:footnoteRef/>
      </w:r>
      <w:r>
        <w:rPr>
          <w:rtl/>
        </w:rPr>
        <w:t xml:space="preserve"> </w:t>
      </w:r>
      <w:r>
        <w:rPr>
          <w:rtl/>
        </w:rPr>
        <w:tab/>
      </w:r>
      <w:r>
        <w:rPr>
          <w:rFonts w:hint="cs"/>
          <w:rtl/>
        </w:rPr>
        <w:t>נספח ג - טופס בדיקת מקלט.</w:t>
      </w:r>
    </w:p>
  </w:footnote>
  <w:footnote w:id="43">
    <w:p w:rsidR="00FA04F8" w:rsidRDefault="00FA04F8" w:rsidP="00014C4D">
      <w:pPr>
        <w:pStyle w:val="af0"/>
        <w:rPr>
          <w:rtl/>
        </w:rPr>
      </w:pPr>
      <w:r>
        <w:rPr>
          <w:rStyle w:val="af2"/>
        </w:rPr>
        <w:footnoteRef/>
      </w:r>
      <w:r>
        <w:rPr>
          <w:rtl/>
        </w:rPr>
        <w:t xml:space="preserve"> </w:t>
      </w:r>
      <w:r>
        <w:rPr>
          <w:rtl/>
        </w:rPr>
        <w:tab/>
      </w:r>
      <w:r>
        <w:rPr>
          <w:rFonts w:hint="cs"/>
          <w:rtl/>
        </w:rPr>
        <w:t>סעיף 14א(1) לחוק הג"א, וכן חוזר של פקע"ר ממאי 2021 לרשויות המקומיות בדבר מתן אפשרות כניסה ושימוש במקלטים פרטיים וציבוריים ונקיטת פעולות על ידי הרשות המקומית.</w:t>
      </w:r>
    </w:p>
  </w:footnote>
  <w:footnote w:id="44">
    <w:p w:rsidR="00FA04F8" w:rsidRDefault="00FA04F8" w:rsidP="00014C4D">
      <w:pPr>
        <w:pStyle w:val="af0"/>
      </w:pPr>
      <w:r>
        <w:rPr>
          <w:rStyle w:val="af2"/>
        </w:rPr>
        <w:footnoteRef/>
      </w:r>
      <w:r>
        <w:rPr>
          <w:rtl/>
        </w:rPr>
        <w:t xml:space="preserve"> </w:t>
      </w:r>
      <w:r>
        <w:rPr>
          <w:rtl/>
        </w:rPr>
        <w:tab/>
      </w:r>
      <w:r>
        <w:rPr>
          <w:rFonts w:hint="cs"/>
          <w:rtl/>
        </w:rPr>
        <w:t xml:space="preserve">סעיף 20(1) לחוק הג"א, וכן חוזר של פקע"ר ממאי 2021 לרשויות המקומיות בדבר מתן אפשרות כניסה ושימוש במקלטים פרטיים וציבוריים ונקיטת פעולות על ידי הרשות המקומית. </w:t>
      </w:r>
    </w:p>
  </w:footnote>
  <w:footnote w:id="45">
    <w:p w:rsidR="00FA04F8" w:rsidRDefault="00FA04F8" w:rsidP="00014C4D">
      <w:pPr>
        <w:pStyle w:val="af0"/>
        <w:rPr>
          <w:rtl/>
        </w:rPr>
      </w:pPr>
      <w:r>
        <w:rPr>
          <w:rStyle w:val="af2"/>
        </w:rPr>
        <w:footnoteRef/>
      </w:r>
      <w:r>
        <w:rPr>
          <w:rtl/>
        </w:rPr>
        <w:t xml:space="preserve"> </w:t>
      </w:r>
      <w:r>
        <w:rPr>
          <w:rtl/>
        </w:rPr>
        <w:tab/>
      </w:r>
      <w:r>
        <w:rPr>
          <w:rFonts w:hint="cs"/>
          <w:rtl/>
        </w:rPr>
        <w:t xml:space="preserve">פורסם במסגרת </w:t>
      </w:r>
      <w:r w:rsidRPr="001E3E93">
        <w:rPr>
          <w:rFonts w:hint="cs"/>
          <w:rtl/>
        </w:rPr>
        <w:t>חוק עזר לאשקלון (שמירת הסדר והנ</w:t>
      </w:r>
      <w:r>
        <w:rPr>
          <w:rFonts w:hint="cs"/>
          <w:rtl/>
        </w:rPr>
        <w:t>י</w:t>
      </w:r>
      <w:r w:rsidRPr="001E3E93">
        <w:rPr>
          <w:rFonts w:hint="cs"/>
          <w:rtl/>
        </w:rPr>
        <w:t xml:space="preserve">קיון), </w:t>
      </w:r>
      <w:r>
        <w:rPr>
          <w:rFonts w:hint="cs"/>
          <w:rtl/>
        </w:rPr>
        <w:t>ה</w:t>
      </w:r>
      <w:r w:rsidRPr="001E3E93">
        <w:rPr>
          <w:rFonts w:hint="cs"/>
          <w:rtl/>
        </w:rPr>
        <w:t>תשל"ט-1979</w:t>
      </w:r>
      <w:r>
        <w:rPr>
          <w:rFonts w:hint="cs"/>
          <w:rtl/>
        </w:rPr>
        <w:t>.</w:t>
      </w:r>
    </w:p>
  </w:footnote>
  <w:footnote w:id="46">
    <w:p w:rsidR="00FA04F8" w:rsidRDefault="00FA04F8" w:rsidP="00014C4D">
      <w:pPr>
        <w:pStyle w:val="af0"/>
      </w:pPr>
      <w:r>
        <w:rPr>
          <w:rStyle w:val="af2"/>
        </w:rPr>
        <w:footnoteRef/>
      </w:r>
      <w:r>
        <w:rPr>
          <w:rtl/>
        </w:rPr>
        <w:t xml:space="preserve"> </w:t>
      </w:r>
      <w:r>
        <w:rPr>
          <w:rtl/>
        </w:rPr>
        <w:tab/>
      </w:r>
      <w:r>
        <w:rPr>
          <w:rFonts w:hint="cs"/>
          <w:rtl/>
        </w:rPr>
        <w:t>ה</w:t>
      </w:r>
      <w:r w:rsidRPr="00093772">
        <w:rPr>
          <w:rFonts w:hint="cs"/>
          <w:rtl/>
        </w:rPr>
        <w:t xml:space="preserve">פרק </w:t>
      </w:r>
      <w:r>
        <w:rPr>
          <w:rFonts w:hint="cs"/>
          <w:rtl/>
        </w:rPr>
        <w:t>"</w:t>
      </w:r>
      <w:r w:rsidRPr="00093772">
        <w:rPr>
          <w:rFonts w:hint="cs"/>
          <w:rtl/>
        </w:rPr>
        <w:t>תחום המיגון</w:t>
      </w:r>
      <w:r>
        <w:rPr>
          <w:rFonts w:hint="cs"/>
          <w:rtl/>
        </w:rPr>
        <w:t>",</w:t>
      </w:r>
      <w:r w:rsidRPr="00093772">
        <w:rPr>
          <w:rFonts w:hint="cs"/>
          <w:rtl/>
        </w:rPr>
        <w:t xml:space="preserve"> עמ' 51.</w:t>
      </w:r>
    </w:p>
  </w:footnote>
  <w:footnote w:id="47">
    <w:p w:rsidR="00FA04F8" w:rsidRDefault="00FA04F8" w:rsidP="00014C4D">
      <w:pPr>
        <w:pStyle w:val="af0"/>
      </w:pPr>
      <w:r>
        <w:rPr>
          <w:rStyle w:val="af2"/>
        </w:rPr>
        <w:footnoteRef/>
      </w:r>
      <w:r>
        <w:rPr>
          <w:rtl/>
        </w:rPr>
        <w:t xml:space="preserve"> </w:t>
      </w:r>
      <w:r>
        <w:rPr>
          <w:rtl/>
        </w:rPr>
        <w:tab/>
      </w:r>
      <w:r>
        <w:rPr>
          <w:rFonts w:hint="cs"/>
          <w:rtl/>
        </w:rPr>
        <w:t>פרק א', "תחומי אחריות", ב-4.</w:t>
      </w:r>
    </w:p>
  </w:footnote>
  <w:footnote w:id="48">
    <w:p w:rsidR="00FA04F8" w:rsidRPr="002B0679" w:rsidRDefault="00FA04F8" w:rsidP="00014C4D">
      <w:pPr>
        <w:pStyle w:val="af0"/>
        <w:rPr>
          <w:rtl/>
        </w:rPr>
      </w:pPr>
      <w:r>
        <w:rPr>
          <w:rStyle w:val="af2"/>
        </w:rPr>
        <w:footnoteRef/>
      </w:r>
      <w:r>
        <w:rPr>
          <w:rtl/>
        </w:rPr>
        <w:t xml:space="preserve"> </w:t>
      </w:r>
      <w:r>
        <w:rPr>
          <w:rtl/>
        </w:rPr>
        <w:tab/>
      </w:r>
      <w:r w:rsidRPr="002B0679">
        <w:rPr>
          <w:rFonts w:hint="cs"/>
          <w:rtl/>
        </w:rPr>
        <w:t xml:space="preserve">לפי נתונים </w:t>
      </w:r>
      <w:r>
        <w:rPr>
          <w:rFonts w:hint="cs"/>
          <w:rtl/>
        </w:rPr>
        <w:t>שפרסמה</w:t>
      </w:r>
      <w:r w:rsidRPr="002B0679">
        <w:rPr>
          <w:rFonts w:hint="cs"/>
          <w:rtl/>
        </w:rPr>
        <w:t xml:space="preserve"> הלשכה המרכזית לסטטיסטיקה ביוני 2024 בפרק "אוכלוסייה ביישובים שבהם 2,000 תושבים ויותר - אומדנים ארעיים לסוף מאי 2024"</w:t>
      </w:r>
      <w:r>
        <w:rPr>
          <w:rFonts w:hint="cs"/>
          <w:rtl/>
        </w:rPr>
        <w:t>.</w:t>
      </w:r>
      <w:r w:rsidRPr="002B0679">
        <w:rPr>
          <w:rFonts w:hint="cs"/>
          <w:rtl/>
        </w:rPr>
        <w:t xml:space="preserve"> הנתונים לגבי של</w:t>
      </w:r>
      <w:r>
        <w:rPr>
          <w:rFonts w:hint="cs"/>
          <w:rtl/>
        </w:rPr>
        <w:t>ו</w:t>
      </w:r>
      <w:r w:rsidRPr="002B0679">
        <w:rPr>
          <w:rFonts w:hint="cs"/>
          <w:rtl/>
        </w:rPr>
        <w:t>שת היישובים: טייבה</w:t>
      </w:r>
      <w:r>
        <w:rPr>
          <w:rFonts w:hint="cs"/>
          <w:rtl/>
        </w:rPr>
        <w:t xml:space="preserve"> </w:t>
      </w:r>
      <w:r w:rsidRPr="002B0679">
        <w:rPr>
          <w:rFonts w:hint="cs"/>
          <w:rtl/>
        </w:rPr>
        <w:t>- 2,030, נאעורה -</w:t>
      </w:r>
      <w:r>
        <w:rPr>
          <w:rFonts w:hint="cs"/>
          <w:rtl/>
        </w:rPr>
        <w:t xml:space="preserve"> </w:t>
      </w:r>
      <w:r w:rsidRPr="002B0679">
        <w:rPr>
          <w:rFonts w:hint="cs"/>
          <w:rtl/>
        </w:rPr>
        <w:t>2,487, מקב</w:t>
      </w:r>
      <w:r>
        <w:rPr>
          <w:rFonts w:hint="cs"/>
          <w:rtl/>
        </w:rPr>
        <w:t>י</w:t>
      </w:r>
      <w:r w:rsidRPr="002B0679">
        <w:rPr>
          <w:rFonts w:hint="cs"/>
          <w:rtl/>
        </w:rPr>
        <w:t>לה</w:t>
      </w:r>
      <w:r>
        <w:rPr>
          <w:rFonts w:hint="cs"/>
          <w:rtl/>
        </w:rPr>
        <w:t xml:space="preserve"> </w:t>
      </w:r>
      <w:r w:rsidRPr="002B0679">
        <w:rPr>
          <w:rFonts w:hint="cs"/>
          <w:rtl/>
        </w:rPr>
        <w:t xml:space="preserve">- 4,417. היישובים טמרה וסנדלה </w:t>
      </w:r>
      <w:r>
        <w:rPr>
          <w:rFonts w:hint="cs"/>
          <w:rtl/>
        </w:rPr>
        <w:t>מונים 1,705 ו-1795 תושבים בהתאמה נכון לסוף שנת 2023.</w:t>
      </w:r>
    </w:p>
    <w:p w:rsidR="00FA04F8" w:rsidRDefault="00FA04F8" w:rsidP="00014C4D">
      <w:pPr>
        <w:pStyle w:val="af0"/>
        <w:rPr>
          <w:rtl/>
        </w:rPr>
      </w:pPr>
    </w:p>
  </w:footnote>
  <w:footnote w:id="49">
    <w:p w:rsidR="00FA04F8" w:rsidRDefault="00FA04F8" w:rsidP="00014C4D">
      <w:pPr>
        <w:pStyle w:val="af0"/>
        <w:rPr>
          <w:rtl/>
        </w:rPr>
      </w:pPr>
      <w:r>
        <w:rPr>
          <w:rStyle w:val="af2"/>
        </w:rPr>
        <w:footnoteRef/>
      </w:r>
      <w:r>
        <w:rPr>
          <w:rtl/>
        </w:rPr>
        <w:t xml:space="preserve"> </w:t>
      </w:r>
      <w:r>
        <w:rPr>
          <w:rtl/>
        </w:rPr>
        <w:tab/>
      </w:r>
      <w:r>
        <w:rPr>
          <w:rFonts w:hint="cs"/>
          <w:rtl/>
        </w:rPr>
        <w:t>ניתן להשתמש בשעת רגיעה במקלט למטרות: חדרי הלבשה, חדרי אוכל, בית תפילה או בית כנסת, הופעות תרבות, חדרי קריאה ועיון, פעילות ספורטיבית ועוד.</w:t>
      </w:r>
    </w:p>
  </w:footnote>
  <w:footnote w:id="50">
    <w:p w:rsidR="00FA04F8" w:rsidRDefault="00FA04F8" w:rsidP="00014C4D">
      <w:pPr>
        <w:pStyle w:val="af0"/>
        <w:rPr>
          <w:rtl/>
        </w:rPr>
      </w:pPr>
      <w:r>
        <w:rPr>
          <w:rStyle w:val="af2"/>
        </w:rPr>
        <w:footnoteRef/>
      </w:r>
      <w:r>
        <w:rPr>
          <w:rtl/>
        </w:rPr>
        <w:t xml:space="preserve"> </w:t>
      </w:r>
      <w:r>
        <w:rPr>
          <w:rtl/>
        </w:rPr>
        <w:tab/>
      </w:r>
      <w:r>
        <w:rPr>
          <w:rFonts w:hint="cs"/>
          <w:rtl/>
        </w:rPr>
        <w:t>בסעיפים (א)(1)-(3).</w:t>
      </w:r>
    </w:p>
  </w:footnote>
  <w:footnote w:id="51">
    <w:p w:rsidR="00FA04F8" w:rsidRDefault="00FA04F8" w:rsidP="00014C4D">
      <w:pPr>
        <w:pStyle w:val="af0"/>
        <w:rPr>
          <w:rtl/>
        </w:rPr>
      </w:pPr>
      <w:r>
        <w:rPr>
          <w:rStyle w:val="af2"/>
        </w:rPr>
        <w:footnoteRef/>
      </w:r>
      <w:r>
        <w:rPr>
          <w:rtl/>
        </w:rPr>
        <w:t xml:space="preserve"> </w:t>
      </w:r>
      <w:r>
        <w:rPr>
          <w:rtl/>
        </w:rPr>
        <w:tab/>
      </w:r>
      <w:r>
        <w:rPr>
          <w:rFonts w:hint="cs"/>
          <w:rtl/>
        </w:rPr>
        <w:t>תיק האב לרשויות המקומיות, עמ' 51; תיק האב למועצות האזוריות, עמ' ב-4.</w:t>
      </w:r>
    </w:p>
  </w:footnote>
  <w:footnote w:id="52">
    <w:p w:rsidR="00FA04F8" w:rsidRDefault="00FA04F8" w:rsidP="00014C4D">
      <w:pPr>
        <w:pStyle w:val="af0"/>
      </w:pPr>
      <w:r>
        <w:rPr>
          <w:rStyle w:val="af2"/>
        </w:rPr>
        <w:footnoteRef/>
      </w:r>
      <w:r>
        <w:rPr>
          <w:rtl/>
        </w:rPr>
        <w:t xml:space="preserve"> </w:t>
      </w:r>
      <w:r>
        <w:rPr>
          <w:rtl/>
        </w:rPr>
        <w:tab/>
      </w:r>
      <w:r>
        <w:rPr>
          <w:rFonts w:hint="cs"/>
          <w:rtl/>
        </w:rPr>
        <w:t xml:space="preserve">לגבי הנגשת המקלט לאנשים עם מוגבלות - </w:t>
      </w:r>
      <w:r w:rsidRPr="007501A9">
        <w:rPr>
          <w:rtl/>
        </w:rPr>
        <w:t xml:space="preserve">תקנות ההתגוננות האזרחית (התאמות נגישות במקלטים), </w:t>
      </w:r>
      <w:r>
        <w:rPr>
          <w:rFonts w:hint="cs"/>
          <w:rtl/>
        </w:rPr>
        <w:t>ה</w:t>
      </w:r>
      <w:r w:rsidRPr="007501A9">
        <w:rPr>
          <w:rtl/>
        </w:rPr>
        <w:t>תשע"ו-2016</w:t>
      </w:r>
      <w:r>
        <w:rPr>
          <w:rFonts w:hint="cs"/>
          <w:rtl/>
        </w:rPr>
        <w:t xml:space="preserve">, חלות רק </w:t>
      </w:r>
      <w:r w:rsidRPr="007501A9">
        <w:rPr>
          <w:rtl/>
        </w:rPr>
        <w:t xml:space="preserve">על בקשה להיתר שתוגש לאחר יום התחילה </w:t>
      </w:r>
      <w:r>
        <w:rPr>
          <w:rFonts w:hint="cs"/>
          <w:rtl/>
        </w:rPr>
        <w:t>של התקנות (מאי 2016).</w:t>
      </w:r>
    </w:p>
  </w:footnote>
  <w:footnote w:id="53">
    <w:p w:rsidR="00FA04F8" w:rsidRDefault="00FA04F8" w:rsidP="00014C4D">
      <w:pPr>
        <w:pStyle w:val="af0"/>
        <w:rPr>
          <w:rtl/>
        </w:rPr>
      </w:pPr>
      <w:r>
        <w:rPr>
          <w:rStyle w:val="af2"/>
        </w:rPr>
        <w:footnoteRef/>
      </w:r>
      <w:r>
        <w:rPr>
          <w:rtl/>
        </w:rPr>
        <w:t xml:space="preserve"> </w:t>
      </w:r>
      <w:r>
        <w:rPr>
          <w:rtl/>
        </w:rPr>
        <w:tab/>
      </w:r>
      <w:r>
        <w:rPr>
          <w:rFonts w:hint="cs"/>
          <w:rtl/>
        </w:rPr>
        <w:t>עמ' 51.</w:t>
      </w:r>
    </w:p>
  </w:footnote>
  <w:footnote w:id="54">
    <w:p w:rsidR="00FA04F8" w:rsidRDefault="00FA04F8" w:rsidP="00014C4D">
      <w:pPr>
        <w:pStyle w:val="af0"/>
      </w:pPr>
      <w:r>
        <w:rPr>
          <w:rStyle w:val="af2"/>
        </w:rPr>
        <w:footnoteRef/>
      </w:r>
      <w:r>
        <w:rPr>
          <w:rtl/>
        </w:rPr>
        <w:t xml:space="preserve"> </w:t>
      </w:r>
      <w:r>
        <w:rPr>
          <w:rtl/>
        </w:rPr>
        <w:tab/>
      </w:r>
      <w:r>
        <w:rPr>
          <w:rFonts w:hint="cs"/>
          <w:rtl/>
        </w:rPr>
        <w:t>המפרט מ-2011 מתבסס גם על תקנות ההתגוננות האזרחית (ציוד ושילוט במקלטים ומחסים ציבוריים), התשמ"א-1981.</w:t>
      </w:r>
    </w:p>
  </w:footnote>
  <w:footnote w:id="55">
    <w:p w:rsidR="00FA04F8" w:rsidRPr="00FD55D7" w:rsidRDefault="00FA04F8" w:rsidP="00014C4D">
      <w:pPr>
        <w:pStyle w:val="af0"/>
        <w:rPr>
          <w:rFonts w:ascii="David" w:hAnsi="David"/>
          <w:rtl/>
        </w:rPr>
      </w:pPr>
      <w:r w:rsidRPr="00410152">
        <w:rPr>
          <w:rStyle w:val="af2"/>
        </w:rPr>
        <w:footnoteRef/>
      </w:r>
      <w:r w:rsidRPr="00410152">
        <w:rPr>
          <w:rStyle w:val="af2"/>
          <w:rtl/>
        </w:rPr>
        <w:t xml:space="preserve"> </w:t>
      </w:r>
      <w:r w:rsidRPr="00410152">
        <w:rPr>
          <w:rStyle w:val="af2"/>
          <w:rtl/>
        </w:rPr>
        <w:tab/>
      </w:r>
      <w:r>
        <w:rPr>
          <w:rFonts w:ascii="David" w:hAnsi="David" w:hint="cs"/>
          <w:rtl/>
        </w:rPr>
        <w:t xml:space="preserve">מספר </w:t>
      </w:r>
      <w:r w:rsidRPr="00FD55D7">
        <w:rPr>
          <w:rFonts w:ascii="David" w:hAnsi="David" w:hint="cs"/>
          <w:rtl/>
        </w:rPr>
        <w:t>האמצעים</w:t>
      </w:r>
      <w:r w:rsidRPr="00FD55D7">
        <w:rPr>
          <w:rFonts w:ascii="David" w:hAnsi="David"/>
          <w:rtl/>
        </w:rPr>
        <w:t xml:space="preserve"> </w:t>
      </w:r>
      <w:r w:rsidRPr="00FD55D7">
        <w:rPr>
          <w:rFonts w:ascii="David" w:hAnsi="David" w:hint="cs"/>
          <w:rtl/>
        </w:rPr>
        <w:t>הנדרש</w:t>
      </w:r>
      <w:r w:rsidRPr="00FD55D7">
        <w:rPr>
          <w:rFonts w:ascii="David" w:hAnsi="David"/>
          <w:rtl/>
        </w:rPr>
        <w:t xml:space="preserve"> נקבע על פי שטח המקלט. </w:t>
      </w:r>
      <w:r>
        <w:rPr>
          <w:rFonts w:ascii="David" w:hAnsi="David" w:hint="cs"/>
          <w:rtl/>
        </w:rPr>
        <w:t>עד 8 מ"ר - מטפה אחד; עד 32 מ"ר שני מטפים; עד 64 מ"ר - ארבעה מטפים.</w:t>
      </w:r>
    </w:p>
  </w:footnote>
  <w:footnote w:id="56">
    <w:p w:rsidR="00FA04F8" w:rsidRPr="00FD55D7" w:rsidRDefault="00FA04F8" w:rsidP="00014C4D">
      <w:pPr>
        <w:pStyle w:val="af0"/>
        <w:rPr>
          <w:rFonts w:ascii="David" w:hAnsi="David"/>
        </w:rPr>
      </w:pPr>
      <w:r w:rsidRPr="00410152">
        <w:rPr>
          <w:rStyle w:val="af2"/>
        </w:rPr>
        <w:footnoteRef/>
      </w:r>
      <w:r w:rsidRPr="00410152">
        <w:rPr>
          <w:rtl/>
        </w:rPr>
        <w:t xml:space="preserve"> </w:t>
      </w:r>
      <w:r w:rsidRPr="00410152">
        <w:rPr>
          <w:rtl/>
        </w:rPr>
        <w:tab/>
      </w:r>
      <w:r>
        <w:rPr>
          <w:rFonts w:ascii="David" w:hAnsi="David" w:hint="cs"/>
          <w:rtl/>
        </w:rPr>
        <w:t xml:space="preserve">במקלט ששטחו עד 8 מ"ר צריך שיהיו שתי תחבושות אישיות ופנס זרקור מיטלטל; עד 32 מ"ר - שמונה תחבושות אישיות, שתי תחבושות בינוניות ושתי תחבושות נגד כווייה, חוסם עורקים, אלונקה ופנס זרקור מיטלטל; עד 64 מ"ר - 16 תחבושות אישיות, ארבע תחבושות בינוניות וארבע תחבושות נגד כווייה, שני חוסמי עורקים ושתי אלונקות. </w:t>
      </w:r>
    </w:p>
  </w:footnote>
  <w:footnote w:id="57">
    <w:p w:rsidR="00FA04F8" w:rsidRPr="007413C4" w:rsidRDefault="00FA04F8" w:rsidP="00014C4D">
      <w:pPr>
        <w:pStyle w:val="af0"/>
      </w:pPr>
      <w:r>
        <w:rPr>
          <w:rStyle w:val="af2"/>
        </w:rPr>
        <w:footnoteRef/>
      </w:r>
      <w:r>
        <w:rPr>
          <w:rtl/>
        </w:rPr>
        <w:t xml:space="preserve"> </w:t>
      </w:r>
      <w:r>
        <w:rPr>
          <w:rtl/>
        </w:rPr>
        <w:tab/>
      </w:r>
      <w:r>
        <w:rPr>
          <w:rFonts w:ascii="David" w:hAnsi="David" w:hint="cs"/>
          <w:rtl/>
        </w:rPr>
        <w:t xml:space="preserve">במקלט ששטחו עד 64 מ"ר צריך שיהיו שני בתי כיסא ושני פנסי זרקור מיטלטלים. </w:t>
      </w:r>
    </w:p>
  </w:footnote>
  <w:footnote w:id="58">
    <w:p w:rsidR="00FA04F8" w:rsidRDefault="00FA04F8" w:rsidP="00014C4D">
      <w:pPr>
        <w:pStyle w:val="af0"/>
      </w:pPr>
      <w:r>
        <w:rPr>
          <w:rStyle w:val="af2"/>
        </w:rPr>
        <w:footnoteRef/>
      </w:r>
      <w:r>
        <w:rPr>
          <w:rtl/>
        </w:rPr>
        <w:t xml:space="preserve"> </w:t>
      </w:r>
      <w:r>
        <w:rPr>
          <w:rtl/>
        </w:rPr>
        <w:tab/>
      </w:r>
      <w:r>
        <w:rPr>
          <w:rFonts w:hint="cs"/>
          <w:rtl/>
        </w:rPr>
        <w:t>הביקורת באשקלון נערכה ב-3.11.24.</w:t>
      </w:r>
    </w:p>
  </w:footnote>
  <w:footnote w:id="59">
    <w:p w:rsidR="00FA04F8" w:rsidRDefault="00FA04F8" w:rsidP="00014C4D">
      <w:pPr>
        <w:pStyle w:val="af0"/>
      </w:pPr>
      <w:r>
        <w:rPr>
          <w:rStyle w:val="af2"/>
        </w:rPr>
        <w:footnoteRef/>
      </w:r>
      <w:r>
        <w:rPr>
          <w:rtl/>
        </w:rPr>
        <w:t xml:space="preserve"> </w:t>
      </w:r>
      <w:r>
        <w:rPr>
          <w:rtl/>
        </w:rPr>
        <w:tab/>
      </w:r>
      <w:r>
        <w:rPr>
          <w:rFonts w:hint="cs"/>
          <w:rtl/>
        </w:rPr>
        <w:t>הביקורת בגבעתיים נערכה ב-15.7.24.</w:t>
      </w:r>
    </w:p>
  </w:footnote>
  <w:footnote w:id="60">
    <w:p w:rsidR="00FA04F8" w:rsidRDefault="00FA04F8" w:rsidP="00014C4D">
      <w:pPr>
        <w:pStyle w:val="af0"/>
      </w:pPr>
      <w:r>
        <w:rPr>
          <w:rStyle w:val="af2"/>
        </w:rPr>
        <w:footnoteRef/>
      </w:r>
      <w:r>
        <w:rPr>
          <w:rtl/>
        </w:rPr>
        <w:t xml:space="preserve"> </w:t>
      </w:r>
      <w:r>
        <w:rPr>
          <w:rtl/>
        </w:rPr>
        <w:tab/>
      </w:r>
      <w:r w:rsidRPr="004E04F4">
        <w:rPr>
          <w:rFonts w:hint="cs"/>
          <w:rtl/>
        </w:rPr>
        <w:t xml:space="preserve">על פי </w:t>
      </w:r>
      <w:r>
        <w:rPr>
          <w:rFonts w:hint="cs"/>
          <w:rtl/>
        </w:rPr>
        <w:t>ההגדרה ב</w:t>
      </w:r>
      <w:r w:rsidRPr="004E04F4">
        <w:rPr>
          <w:rFonts w:hint="cs"/>
          <w:rtl/>
        </w:rPr>
        <w:t xml:space="preserve">מנחה להכנת תיק ניהול מחסה של </w:t>
      </w:r>
      <w:r>
        <w:rPr>
          <w:rFonts w:hint="cs"/>
          <w:rtl/>
        </w:rPr>
        <w:t>פקע"ר,</w:t>
      </w:r>
      <w:r w:rsidRPr="004E04F4">
        <w:rPr>
          <w:rFonts w:hint="cs"/>
          <w:rtl/>
        </w:rPr>
        <w:t xml:space="preserve"> שהייה ממושכת </w:t>
      </w:r>
      <w:r>
        <w:rPr>
          <w:rFonts w:hint="cs"/>
          <w:rtl/>
        </w:rPr>
        <w:t>היא שהייה של יותר מ-</w:t>
      </w:r>
      <w:r w:rsidRPr="004E04F4">
        <w:rPr>
          <w:rFonts w:hint="cs"/>
          <w:rtl/>
        </w:rPr>
        <w:t>12 שעות.</w:t>
      </w:r>
    </w:p>
  </w:footnote>
  <w:footnote w:id="61">
    <w:p w:rsidR="00FA04F8" w:rsidRPr="00EF6A5B" w:rsidRDefault="00FA04F8" w:rsidP="00014C4D">
      <w:pPr>
        <w:pStyle w:val="af0"/>
        <w:rPr>
          <w:rtl/>
        </w:rPr>
      </w:pPr>
      <w:r>
        <w:rPr>
          <w:rStyle w:val="af2"/>
        </w:rPr>
        <w:footnoteRef/>
      </w:r>
      <w:r>
        <w:rPr>
          <w:rtl/>
        </w:rPr>
        <w:t xml:space="preserve"> </w:t>
      </w:r>
      <w:r>
        <w:rPr>
          <w:rtl/>
        </w:rPr>
        <w:tab/>
      </w:r>
      <w:r>
        <w:rPr>
          <w:rFonts w:hint="cs"/>
          <w:rtl/>
        </w:rPr>
        <w:t>הנחיות בנושא "שהייה במרחב מוגן - הנחיות מצילות חיים" פורסמו באתר המרשתת של פקע"ר ואינן נושאות תאריך פרסום.</w:t>
      </w:r>
    </w:p>
  </w:footnote>
  <w:footnote w:id="62">
    <w:p w:rsidR="00FA04F8" w:rsidRDefault="00FA04F8" w:rsidP="00014C4D">
      <w:pPr>
        <w:pStyle w:val="af0"/>
        <w:rPr>
          <w:rtl/>
        </w:rPr>
      </w:pPr>
      <w:r>
        <w:rPr>
          <w:rStyle w:val="af2"/>
        </w:rPr>
        <w:footnoteRef/>
      </w:r>
      <w:r>
        <w:rPr>
          <w:rtl/>
        </w:rPr>
        <w:t xml:space="preserve"> </w:t>
      </w:r>
      <w:r>
        <w:rPr>
          <w:rtl/>
        </w:rPr>
        <w:tab/>
      </w:r>
      <w:r>
        <w:rPr>
          <w:rFonts w:hint="cs"/>
          <w:rtl/>
        </w:rPr>
        <w:t xml:space="preserve">הנחיות בנושא "מדיניות ההתגוננות לאוכלוסייה", פורסמו באתר המרשתת של פקע"ר בספטמבר 2024. </w:t>
      </w:r>
    </w:p>
  </w:footnote>
  <w:footnote w:id="63">
    <w:p w:rsidR="00FA04F8" w:rsidRDefault="00FA04F8" w:rsidP="00014C4D">
      <w:pPr>
        <w:pStyle w:val="af0"/>
        <w:spacing w:line="312" w:lineRule="auto"/>
      </w:pPr>
      <w:r>
        <w:rPr>
          <w:rStyle w:val="af2"/>
        </w:rPr>
        <w:footnoteRef/>
      </w:r>
      <w:r>
        <w:rPr>
          <w:rtl/>
        </w:rPr>
        <w:t xml:space="preserve"> </w:t>
      </w:r>
      <w:r>
        <w:rPr>
          <w:rtl/>
        </w:rPr>
        <w:tab/>
      </w:r>
      <w:r>
        <w:rPr>
          <w:rFonts w:eastAsia="Times New Roman" w:hint="cs"/>
          <w:rtl/>
          <w:lang w:eastAsia="he-IL"/>
        </w:rPr>
        <w:t xml:space="preserve">מבקר המדינה, </w:t>
      </w:r>
      <w:r w:rsidRPr="00711901">
        <w:rPr>
          <w:rFonts w:hint="eastAsia"/>
          <w:b/>
          <w:bCs/>
          <w:rtl/>
        </w:rPr>
        <w:t>דוחות</w:t>
      </w:r>
      <w:r w:rsidRPr="00711901">
        <w:rPr>
          <w:b/>
          <w:bCs/>
          <w:rtl/>
        </w:rPr>
        <w:t xml:space="preserve"> על הביקורת בשלטון המקומי </w:t>
      </w:r>
      <w:r w:rsidRPr="00711901">
        <w:rPr>
          <w:rFonts w:eastAsia="Times New Roman"/>
          <w:rtl/>
          <w:lang w:eastAsia="he-IL"/>
        </w:rPr>
        <w:t xml:space="preserve">(2018), "מיגון </w:t>
      </w:r>
      <w:r w:rsidRPr="00711901">
        <w:rPr>
          <w:rFonts w:eastAsia="Times New Roman" w:hint="eastAsia"/>
          <w:rtl/>
          <w:lang w:eastAsia="he-IL"/>
        </w:rPr>
        <w:t>ומקלוט</w:t>
      </w:r>
      <w:r w:rsidRPr="00711901">
        <w:rPr>
          <w:rFonts w:eastAsia="Times New Roman"/>
          <w:rtl/>
          <w:lang w:eastAsia="he-IL"/>
        </w:rPr>
        <w:t xml:space="preserve"> </w:t>
      </w:r>
      <w:r w:rsidRPr="00711901">
        <w:rPr>
          <w:rFonts w:eastAsia="Times New Roman" w:hint="eastAsia"/>
          <w:rtl/>
          <w:lang w:eastAsia="he-IL"/>
        </w:rPr>
        <w:t>בשטחן</w:t>
      </w:r>
      <w:r w:rsidRPr="00711901">
        <w:rPr>
          <w:rFonts w:eastAsia="Times New Roman"/>
          <w:rtl/>
          <w:lang w:eastAsia="he-IL"/>
        </w:rPr>
        <w:t xml:space="preserve"> </w:t>
      </w:r>
      <w:r w:rsidRPr="00711901">
        <w:rPr>
          <w:rFonts w:eastAsia="Times New Roman" w:hint="eastAsia"/>
          <w:rtl/>
          <w:lang w:eastAsia="he-IL"/>
        </w:rPr>
        <w:t>של</w:t>
      </w:r>
      <w:r w:rsidRPr="00711901">
        <w:rPr>
          <w:rFonts w:eastAsia="Times New Roman"/>
          <w:rtl/>
          <w:lang w:eastAsia="he-IL"/>
        </w:rPr>
        <w:t xml:space="preserve"> </w:t>
      </w:r>
      <w:r w:rsidRPr="00711901">
        <w:rPr>
          <w:rFonts w:eastAsia="Times New Roman" w:hint="eastAsia"/>
          <w:rtl/>
          <w:lang w:eastAsia="he-IL"/>
        </w:rPr>
        <w:t>רשויות</w:t>
      </w:r>
      <w:r w:rsidRPr="00711901">
        <w:rPr>
          <w:rFonts w:eastAsia="Times New Roman"/>
          <w:rtl/>
          <w:lang w:eastAsia="he-IL"/>
        </w:rPr>
        <w:t xml:space="preserve"> </w:t>
      </w:r>
      <w:r w:rsidRPr="00711901">
        <w:rPr>
          <w:rFonts w:eastAsia="Times New Roman" w:hint="eastAsia"/>
          <w:rtl/>
          <w:lang w:eastAsia="he-IL"/>
        </w:rPr>
        <w:t>מקומיות</w:t>
      </w:r>
      <w:r w:rsidRPr="00711901">
        <w:rPr>
          <w:rFonts w:eastAsia="Times New Roman"/>
          <w:rtl/>
          <w:lang w:eastAsia="he-IL"/>
        </w:rPr>
        <w:t xml:space="preserve"> </w:t>
      </w:r>
      <w:r w:rsidRPr="00711901">
        <w:rPr>
          <w:rFonts w:eastAsia="Times New Roman" w:hint="eastAsia"/>
          <w:rtl/>
          <w:lang w:eastAsia="he-IL"/>
        </w:rPr>
        <w:t>מהמגזר</w:t>
      </w:r>
      <w:r w:rsidRPr="00711901">
        <w:rPr>
          <w:rFonts w:eastAsia="Times New Roman"/>
          <w:rtl/>
          <w:lang w:eastAsia="he-IL"/>
        </w:rPr>
        <w:t xml:space="preserve"> </w:t>
      </w:r>
      <w:r w:rsidRPr="00711901">
        <w:rPr>
          <w:rFonts w:eastAsia="Times New Roman" w:hint="eastAsia"/>
          <w:rtl/>
          <w:lang w:eastAsia="he-IL"/>
        </w:rPr>
        <w:t>הלא</w:t>
      </w:r>
      <w:r w:rsidRPr="00711901">
        <w:rPr>
          <w:rFonts w:eastAsia="Times New Roman"/>
          <w:rtl/>
          <w:lang w:eastAsia="he-IL"/>
        </w:rPr>
        <w:t xml:space="preserve"> </w:t>
      </w:r>
      <w:r w:rsidRPr="00711901">
        <w:rPr>
          <w:rFonts w:eastAsia="Times New Roman" w:hint="eastAsia"/>
          <w:rtl/>
          <w:lang w:eastAsia="he-IL"/>
        </w:rPr>
        <w:t>יהודי</w:t>
      </w:r>
      <w:r w:rsidRPr="00711901">
        <w:rPr>
          <w:rFonts w:eastAsia="Times New Roman"/>
          <w:rtl/>
          <w:lang w:eastAsia="he-IL"/>
        </w:rPr>
        <w:t xml:space="preserve"> </w:t>
      </w:r>
      <w:r w:rsidRPr="00711901">
        <w:rPr>
          <w:rFonts w:eastAsia="Times New Roman" w:hint="eastAsia"/>
          <w:rtl/>
          <w:lang w:eastAsia="he-IL"/>
        </w:rPr>
        <w:t>בצפון</w:t>
      </w:r>
      <w:r w:rsidRPr="00711901">
        <w:rPr>
          <w:rFonts w:eastAsia="Times New Roman"/>
          <w:rtl/>
          <w:lang w:eastAsia="he-IL"/>
        </w:rPr>
        <w:t xml:space="preserve"> </w:t>
      </w:r>
      <w:r w:rsidRPr="00711901">
        <w:rPr>
          <w:rFonts w:eastAsia="Times New Roman" w:hint="eastAsia"/>
          <w:rtl/>
          <w:lang w:eastAsia="he-IL"/>
        </w:rPr>
        <w:t>ובדרום</w:t>
      </w:r>
      <w:r w:rsidRPr="00711901">
        <w:rPr>
          <w:rFonts w:eastAsia="Times New Roman"/>
          <w:rtl/>
          <w:lang w:eastAsia="he-IL"/>
        </w:rPr>
        <w:t>"</w:t>
      </w:r>
      <w:r>
        <w:rPr>
          <w:rFonts w:hint="cs"/>
          <w:rtl/>
        </w:rPr>
        <w:t>,</w:t>
      </w:r>
      <w:r w:rsidRPr="00986967">
        <w:rPr>
          <w:rFonts w:eastAsia="Times New Roman" w:hint="cs"/>
          <w:szCs w:val="24"/>
          <w:rtl/>
          <w:lang w:eastAsia="he-IL"/>
        </w:rPr>
        <w:t xml:space="preserve"> </w:t>
      </w:r>
      <w:r>
        <w:rPr>
          <w:rFonts w:hint="cs"/>
          <w:rtl/>
        </w:rPr>
        <w:t>עמ' 31.</w:t>
      </w:r>
    </w:p>
  </w:footnote>
  <w:footnote w:id="64">
    <w:p w:rsidR="00FA04F8" w:rsidRDefault="00FA04F8" w:rsidP="00014C4D">
      <w:pPr>
        <w:pStyle w:val="af0"/>
        <w:rPr>
          <w:rtl/>
        </w:rPr>
      </w:pPr>
      <w:r>
        <w:rPr>
          <w:rStyle w:val="af2"/>
        </w:rPr>
        <w:footnoteRef/>
      </w:r>
      <w:r>
        <w:rPr>
          <w:rFonts w:hint="cs"/>
          <w:rtl/>
        </w:rPr>
        <w:t xml:space="preserve"> </w:t>
      </w:r>
      <w:r>
        <w:rPr>
          <w:rtl/>
        </w:rPr>
        <w:tab/>
      </w:r>
      <w:r>
        <w:rPr>
          <w:rFonts w:hint="cs"/>
          <w:rtl/>
        </w:rPr>
        <w:t>פקע"ר, מחלקת מיגון, ענף הנדסה ומיגון, 26.5.16.</w:t>
      </w:r>
    </w:p>
  </w:footnote>
  <w:footnote w:id="65">
    <w:p w:rsidR="00FA04F8" w:rsidRDefault="00FA04F8" w:rsidP="00014C4D">
      <w:pPr>
        <w:pStyle w:val="af0"/>
      </w:pPr>
      <w:r>
        <w:rPr>
          <w:rStyle w:val="af2"/>
        </w:rPr>
        <w:footnoteRef/>
      </w:r>
      <w:r>
        <w:rPr>
          <w:rtl/>
        </w:rPr>
        <w:t xml:space="preserve"> </w:t>
      </w:r>
      <w:r>
        <w:rPr>
          <w:rtl/>
        </w:rPr>
        <w:tab/>
      </w:r>
      <w:r>
        <w:rPr>
          <w:rFonts w:hint="cs"/>
          <w:rtl/>
        </w:rPr>
        <w:t>עיריות: אור יהודה (רוב המקלטים נפתחים מרחוק), חיפה (השלימה את הפתיחה מרחוק במהלך המלחמה), עכו (השלימה את הפתיחה מרחוק במהלך המלחמה), רעננה, תל אביב-יפו.</w:t>
      </w:r>
    </w:p>
  </w:footnote>
  <w:footnote w:id="66">
    <w:p w:rsidR="00FA04F8" w:rsidRDefault="00FA04F8" w:rsidP="00014C4D">
      <w:pPr>
        <w:pStyle w:val="af0"/>
        <w:rPr>
          <w:rtl/>
        </w:rPr>
      </w:pPr>
      <w:r>
        <w:rPr>
          <w:rStyle w:val="af2"/>
        </w:rPr>
        <w:footnoteRef/>
      </w:r>
      <w:r>
        <w:rPr>
          <w:rtl/>
        </w:rPr>
        <w:t xml:space="preserve"> </w:t>
      </w:r>
      <w:r>
        <w:rPr>
          <w:rtl/>
        </w:rPr>
        <w:tab/>
      </w:r>
      <w:r>
        <w:rPr>
          <w:rFonts w:hint="cs"/>
          <w:rtl/>
        </w:rPr>
        <w:t>אור יהודה.</w:t>
      </w:r>
    </w:p>
  </w:footnote>
  <w:footnote w:id="67">
    <w:p w:rsidR="00FA04F8" w:rsidRDefault="00FA04F8" w:rsidP="00014C4D">
      <w:pPr>
        <w:pStyle w:val="af0"/>
        <w:rPr>
          <w:rtl/>
        </w:rPr>
      </w:pPr>
      <w:r>
        <w:rPr>
          <w:rStyle w:val="af2"/>
        </w:rPr>
        <w:footnoteRef/>
      </w:r>
      <w:r>
        <w:rPr>
          <w:rtl/>
        </w:rPr>
        <w:t xml:space="preserve"> </w:t>
      </w:r>
      <w:r>
        <w:rPr>
          <w:rtl/>
        </w:rPr>
        <w:tab/>
      </w:r>
      <w:r>
        <w:rPr>
          <w:rFonts w:hint="cs"/>
          <w:rtl/>
        </w:rPr>
        <w:t xml:space="preserve">עיריות אור יהודה וחיפה התקינו את המערכת האוטומטית שלהן לפתיחת המקלטים לפני כחצי שנה; עיריית עכו לפני כשנה; עיריית רעננה לפני כשנתיים וחצי </w:t>
      </w:r>
      <w:r w:rsidRPr="00694A58">
        <w:rPr>
          <w:rFonts w:hint="cs"/>
          <w:rtl/>
        </w:rPr>
        <w:t>ועיריית תל אביב לפני כארבע שנים.</w:t>
      </w:r>
    </w:p>
  </w:footnote>
  <w:footnote w:id="68">
    <w:p w:rsidR="00FA04F8" w:rsidRDefault="00FA04F8" w:rsidP="00014C4D">
      <w:pPr>
        <w:pStyle w:val="af0"/>
        <w:rPr>
          <w:rtl/>
        </w:rPr>
      </w:pPr>
      <w:r>
        <w:rPr>
          <w:rStyle w:val="af2"/>
        </w:rPr>
        <w:footnoteRef/>
      </w:r>
      <w:r>
        <w:rPr>
          <w:rtl/>
        </w:rPr>
        <w:t xml:space="preserve"> </w:t>
      </w:r>
      <w:r>
        <w:rPr>
          <w:rtl/>
        </w:rPr>
        <w:tab/>
      </w:r>
      <w:r>
        <w:rPr>
          <w:rFonts w:hint="cs"/>
          <w:rtl/>
        </w:rPr>
        <w:t>מספר ההוראה 08.06.013</w:t>
      </w:r>
    </w:p>
  </w:footnote>
  <w:footnote w:id="69">
    <w:p w:rsidR="00FA04F8" w:rsidRPr="009B4D7F" w:rsidRDefault="00FA04F8" w:rsidP="00014C4D">
      <w:pPr>
        <w:pStyle w:val="af0"/>
        <w:rPr>
          <w:rtl/>
        </w:rPr>
      </w:pPr>
      <w:r w:rsidRPr="009B4D7F">
        <w:rPr>
          <w:rStyle w:val="af2"/>
        </w:rPr>
        <w:footnoteRef/>
      </w:r>
      <w:r w:rsidRPr="009B4D7F">
        <w:rPr>
          <w:rtl/>
        </w:rPr>
        <w:t xml:space="preserve"> </w:t>
      </w:r>
      <w:r>
        <w:rPr>
          <w:rFonts w:ascii="David" w:eastAsia="Times New Roman" w:hAnsi="David"/>
          <w:rtl/>
        </w:rPr>
        <w:tab/>
      </w:r>
      <w:r w:rsidRPr="009B4D7F">
        <w:rPr>
          <w:rFonts w:ascii="David" w:eastAsia="Times New Roman" w:hAnsi="David" w:hint="cs"/>
          <w:rtl/>
        </w:rPr>
        <w:t>למשל</w:t>
      </w:r>
      <w:r>
        <w:rPr>
          <w:rFonts w:ascii="David" w:eastAsia="Times New Roman" w:hAnsi="David" w:hint="cs"/>
          <w:rtl/>
        </w:rPr>
        <w:t xml:space="preserve"> </w:t>
      </w:r>
      <w:r w:rsidRPr="009B4D7F">
        <w:rPr>
          <w:rFonts w:ascii="David" w:eastAsia="Times New Roman" w:hAnsi="David" w:hint="cs"/>
          <w:rtl/>
        </w:rPr>
        <w:t>עליו לה</w:t>
      </w:r>
      <w:r>
        <w:rPr>
          <w:rFonts w:ascii="David" w:eastAsia="Times New Roman" w:hAnsi="David" w:hint="cs"/>
          <w:rtl/>
        </w:rPr>
        <w:t>י</w:t>
      </w:r>
      <w:r w:rsidRPr="009B4D7F">
        <w:rPr>
          <w:rFonts w:ascii="David" w:eastAsia="Times New Roman" w:hAnsi="David" w:hint="cs"/>
          <w:rtl/>
        </w:rPr>
        <w:t xml:space="preserve">בנות מבטון מזוין עשוי מקשה אחת בכל חלקיו ללא קירות ועמודים, </w:t>
      </w:r>
      <w:r>
        <w:rPr>
          <w:rFonts w:ascii="David" w:eastAsia="Times New Roman" w:hAnsi="David" w:hint="cs"/>
          <w:rtl/>
        </w:rPr>
        <w:t xml:space="preserve">יהיו לו </w:t>
      </w:r>
      <w:r w:rsidRPr="009B4D7F">
        <w:rPr>
          <w:rFonts w:ascii="David" w:eastAsia="Times New Roman" w:hAnsi="David" w:hint="cs"/>
          <w:rtl/>
        </w:rPr>
        <w:t>לא יותר משני קירות חיצוניים</w:t>
      </w:r>
      <w:r>
        <w:rPr>
          <w:rFonts w:ascii="David" w:eastAsia="Times New Roman" w:hAnsi="David" w:hint="cs"/>
          <w:rtl/>
        </w:rPr>
        <w:t>,</w:t>
      </w:r>
      <w:r w:rsidRPr="009B4D7F">
        <w:rPr>
          <w:rFonts w:ascii="David" w:eastAsia="Times New Roman" w:hAnsi="David" w:hint="cs"/>
          <w:rtl/>
        </w:rPr>
        <w:t xml:space="preserve"> ועוביים</w:t>
      </w:r>
      <w:r>
        <w:rPr>
          <w:rFonts w:ascii="David" w:eastAsia="Times New Roman" w:hAnsi="David" w:hint="cs"/>
          <w:rtl/>
        </w:rPr>
        <w:t xml:space="preserve"> </w:t>
      </w:r>
      <w:r w:rsidRPr="009B4D7F">
        <w:rPr>
          <w:rFonts w:ascii="David" w:eastAsia="Times New Roman" w:hAnsi="David" w:hint="cs"/>
          <w:rtl/>
        </w:rPr>
        <w:t>40 ס"מ לפחות.</w:t>
      </w:r>
    </w:p>
  </w:footnote>
  <w:footnote w:id="70">
    <w:p w:rsidR="00FA04F8" w:rsidRPr="009B4D7F" w:rsidRDefault="00FA04F8" w:rsidP="00014C4D">
      <w:pPr>
        <w:pStyle w:val="af0"/>
        <w:rPr>
          <w:rtl/>
        </w:rPr>
      </w:pPr>
      <w:r w:rsidRPr="009B4D7F">
        <w:rPr>
          <w:rStyle w:val="af2"/>
        </w:rPr>
        <w:footnoteRef/>
      </w:r>
      <w:r w:rsidRPr="009B4D7F">
        <w:rPr>
          <w:rtl/>
        </w:rPr>
        <w:t xml:space="preserve"> </w:t>
      </w:r>
      <w:r w:rsidRPr="009B4D7F">
        <w:rPr>
          <w:rtl/>
        </w:rPr>
        <w:tab/>
      </w:r>
      <w:r w:rsidRPr="009B4D7F">
        <w:rPr>
          <w:rFonts w:hint="cs"/>
          <w:rtl/>
        </w:rPr>
        <w:t>בבתי ספר יש להכפיל את שטח המיגון הנדרש שנקבע לכל כ</w:t>
      </w:r>
      <w:r>
        <w:rPr>
          <w:rFonts w:hint="cs"/>
          <w:rtl/>
        </w:rPr>
        <w:t>י</w:t>
      </w:r>
      <w:r w:rsidRPr="009B4D7F">
        <w:rPr>
          <w:rFonts w:hint="cs"/>
          <w:rtl/>
        </w:rPr>
        <w:t>תה במספר הכיתות.</w:t>
      </w:r>
    </w:p>
  </w:footnote>
  <w:footnote w:id="71">
    <w:p w:rsidR="00FA04F8" w:rsidRDefault="00FA04F8" w:rsidP="00014C4D">
      <w:pPr>
        <w:pStyle w:val="af0"/>
      </w:pPr>
      <w:r w:rsidRPr="009B4D7F">
        <w:rPr>
          <w:rStyle w:val="af2"/>
        </w:rPr>
        <w:footnoteRef/>
      </w:r>
      <w:r w:rsidRPr="009B4D7F">
        <w:rPr>
          <w:rtl/>
        </w:rPr>
        <w:t xml:space="preserve"> </w:t>
      </w:r>
      <w:r w:rsidRPr="009B4D7F">
        <w:rPr>
          <w:rtl/>
        </w:rPr>
        <w:tab/>
      </w:r>
      <w:r w:rsidRPr="00AC7736">
        <w:rPr>
          <w:rFonts w:ascii="David" w:hAnsi="David" w:hint="cs"/>
          <w:rtl/>
        </w:rPr>
        <w:t>ב</w:t>
      </w:r>
      <w:r w:rsidRPr="00AC7736">
        <w:rPr>
          <w:rFonts w:ascii="David" w:hAnsi="David"/>
          <w:rtl/>
        </w:rPr>
        <w:t>פרס</w:t>
      </w:r>
      <w:r w:rsidRPr="00AC7736">
        <w:rPr>
          <w:rFonts w:ascii="David" w:hAnsi="David" w:hint="cs"/>
          <w:rtl/>
        </w:rPr>
        <w:t>ו</w:t>
      </w:r>
      <w:r w:rsidRPr="00AC7736">
        <w:rPr>
          <w:rFonts w:ascii="David" w:hAnsi="David"/>
          <w:rtl/>
        </w:rPr>
        <w:t xml:space="preserve">ם </w:t>
      </w:r>
      <w:r w:rsidRPr="00AC7736">
        <w:rPr>
          <w:rFonts w:ascii="David" w:hAnsi="David" w:hint="cs"/>
          <w:rtl/>
        </w:rPr>
        <w:t xml:space="preserve">של משרד החינוך </w:t>
      </w:r>
      <w:r w:rsidRPr="00AC7736">
        <w:rPr>
          <w:rFonts w:ascii="David" w:hAnsi="David"/>
          <w:rtl/>
        </w:rPr>
        <w:t>במרץ 2020 הוראת קבע (מספרה 0255</w:t>
      </w:r>
      <w:r w:rsidRPr="00AC7736">
        <w:rPr>
          <w:rFonts w:ascii="David" w:hAnsi="David" w:hint="cs"/>
          <w:rtl/>
        </w:rPr>
        <w:t xml:space="preserve"> </w:t>
      </w:r>
      <w:r w:rsidRPr="00AC7736">
        <w:rPr>
          <w:rFonts w:ascii="David" w:hAnsi="David"/>
          <w:rtl/>
        </w:rPr>
        <w:t>-</w:t>
      </w:r>
      <w:r w:rsidRPr="00AC7736">
        <w:rPr>
          <w:rFonts w:ascii="David" w:hAnsi="David" w:hint="cs"/>
          <w:rtl/>
        </w:rPr>
        <w:t xml:space="preserve"> </w:t>
      </w:r>
      <w:r w:rsidRPr="00AC7736">
        <w:rPr>
          <w:rFonts w:ascii="David" w:hAnsi="David"/>
          <w:rtl/>
        </w:rPr>
        <w:t>החלפה)</w:t>
      </w:r>
      <w:r w:rsidRPr="009B4D7F">
        <w:rPr>
          <w:rFonts w:ascii="David" w:hAnsi="David"/>
          <w:rtl/>
        </w:rPr>
        <w:t xml:space="preserve"> - מנחה ופורמט לכתיבה ולעריכה של תיק נתונים שטח בטחון חירום ומוסדי</w:t>
      </w:r>
      <w:r>
        <w:rPr>
          <w:rFonts w:ascii="David" w:hAnsi="David" w:hint="cs"/>
          <w:rtl/>
        </w:rPr>
        <w:t>,</w:t>
      </w:r>
      <w:r w:rsidRPr="009B4D7F">
        <w:rPr>
          <w:rFonts w:ascii="David" w:hAnsi="David"/>
          <w:rtl/>
        </w:rPr>
        <w:t xml:space="preserve"> בסעיף 4.5.2(ב)1)</w:t>
      </w:r>
      <w:r w:rsidRPr="009B4D7F">
        <w:rPr>
          <w:rFonts w:ascii="David" w:hAnsi="David" w:hint="cs"/>
          <w:rtl/>
        </w:rPr>
        <w:t xml:space="preserve"> צ</w:t>
      </w:r>
      <w:r>
        <w:rPr>
          <w:rFonts w:ascii="David" w:hAnsi="David" w:hint="cs"/>
          <w:rtl/>
        </w:rPr>
        <w:t>ו</w:t>
      </w:r>
      <w:r w:rsidRPr="009B4D7F">
        <w:rPr>
          <w:rFonts w:ascii="David" w:hAnsi="David" w:hint="cs"/>
          <w:rtl/>
        </w:rPr>
        <w:t>ין</w:t>
      </w:r>
      <w:r w:rsidRPr="009B4D7F">
        <w:rPr>
          <w:rFonts w:ascii="David" w:hAnsi="David"/>
          <w:rtl/>
        </w:rPr>
        <w:t xml:space="preserve"> </w:t>
      </w:r>
      <w:r w:rsidRPr="009B4D7F">
        <w:rPr>
          <w:rFonts w:ascii="David" w:hAnsi="David" w:hint="cs"/>
          <w:rtl/>
        </w:rPr>
        <w:t xml:space="preserve">כי </w:t>
      </w:r>
      <w:r w:rsidRPr="009B4D7F">
        <w:rPr>
          <w:rFonts w:ascii="David" w:eastAsia="Times New Roman" w:hAnsi="David"/>
          <w:color w:val="333333"/>
          <w:rtl/>
        </w:rPr>
        <w:t>מיפוי מקלטים ומרחבים מוגנים תקניים</w:t>
      </w:r>
      <w:r w:rsidRPr="009B4D7F">
        <w:rPr>
          <w:rFonts w:ascii="David" w:eastAsia="Times New Roman" w:hAnsi="David" w:hint="cs"/>
          <w:color w:val="333333"/>
          <w:rtl/>
        </w:rPr>
        <w:t xml:space="preserve"> י</w:t>
      </w:r>
      <w:r>
        <w:rPr>
          <w:rFonts w:ascii="David" w:eastAsia="Times New Roman" w:hAnsi="David" w:hint="cs"/>
          <w:color w:val="333333"/>
          <w:rtl/>
        </w:rPr>
        <w:t>י</w:t>
      </w:r>
      <w:r w:rsidRPr="009B4D7F">
        <w:rPr>
          <w:rFonts w:ascii="David" w:eastAsia="Times New Roman" w:hAnsi="David" w:hint="cs"/>
          <w:color w:val="333333"/>
          <w:rtl/>
        </w:rPr>
        <w:t>עשה</w:t>
      </w:r>
      <w:r>
        <w:rPr>
          <w:rFonts w:ascii="David" w:eastAsia="Times New Roman" w:hAnsi="David" w:hint="cs"/>
          <w:color w:val="333333"/>
          <w:rtl/>
        </w:rPr>
        <w:t xml:space="preserve"> </w:t>
      </w:r>
      <w:r w:rsidRPr="009B4D7F">
        <w:rPr>
          <w:rFonts w:ascii="David" w:eastAsia="Times New Roman" w:hAnsi="David"/>
          <w:color w:val="333333"/>
          <w:rtl/>
        </w:rPr>
        <w:t>לפי 0.5 מ"ר לתלמיד ואיש סגל הוראה.</w:t>
      </w:r>
    </w:p>
  </w:footnote>
  <w:footnote w:id="72">
    <w:p w:rsidR="00FA04F8" w:rsidRDefault="00FA04F8" w:rsidP="00014C4D">
      <w:pPr>
        <w:pStyle w:val="af0"/>
      </w:pPr>
      <w:r>
        <w:rPr>
          <w:rStyle w:val="af2"/>
        </w:rPr>
        <w:footnoteRef/>
      </w:r>
      <w:r>
        <w:rPr>
          <w:rtl/>
        </w:rPr>
        <w:t xml:space="preserve"> </w:t>
      </w:r>
      <w:r>
        <w:rPr>
          <w:rtl/>
        </w:rPr>
        <w:tab/>
      </w:r>
      <w:r>
        <w:rPr>
          <w:rFonts w:ascii="David" w:hAnsi="David" w:hint="cs"/>
          <w:sz w:val="24"/>
          <w:rtl/>
        </w:rPr>
        <w:t>מס' 155 מינואר 2019</w:t>
      </w:r>
      <w:r>
        <w:rPr>
          <w:rFonts w:hint="cs"/>
          <w:rtl/>
        </w:rPr>
        <w:t>.</w:t>
      </w:r>
    </w:p>
  </w:footnote>
  <w:footnote w:id="73">
    <w:p w:rsidR="00FA04F8" w:rsidRDefault="00FA04F8" w:rsidP="00014C4D">
      <w:pPr>
        <w:pStyle w:val="af0"/>
        <w:rPr>
          <w:rtl/>
        </w:rPr>
      </w:pPr>
      <w:r>
        <w:rPr>
          <w:rStyle w:val="af2"/>
        </w:rPr>
        <w:footnoteRef/>
      </w:r>
      <w:r>
        <w:rPr>
          <w:rtl/>
        </w:rPr>
        <w:t xml:space="preserve"> </w:t>
      </w:r>
      <w:r>
        <w:rPr>
          <w:rtl/>
        </w:rPr>
        <w:tab/>
      </w:r>
      <w:r>
        <w:rPr>
          <w:rFonts w:hint="cs"/>
          <w:rtl/>
        </w:rPr>
        <w:t>המפר</w:t>
      </w:r>
      <w:r>
        <w:rPr>
          <w:rtl/>
        </w:rPr>
        <w:t xml:space="preserve">ט </w:t>
      </w:r>
      <w:r>
        <w:rPr>
          <w:rFonts w:hint="cs"/>
          <w:rtl/>
        </w:rPr>
        <w:t xml:space="preserve">בתיקון זה </w:t>
      </w:r>
      <w:r w:rsidRPr="000853AB">
        <w:rPr>
          <w:rtl/>
        </w:rPr>
        <w:t xml:space="preserve">עודכן לאחרונה </w:t>
      </w:r>
      <w:r>
        <w:rPr>
          <w:rFonts w:hint="cs"/>
          <w:rtl/>
        </w:rPr>
        <w:t xml:space="preserve">על ידי פקע"ר - מפרט למיגון מוסדות חינוך ומוסדות להכשרה גבוהה, נובמבר 2023 (חשוון התשפ"ד). </w:t>
      </w:r>
    </w:p>
  </w:footnote>
  <w:footnote w:id="74">
    <w:p w:rsidR="00FA04F8" w:rsidRPr="00753F38" w:rsidRDefault="00FA04F8" w:rsidP="00014C4D">
      <w:pPr>
        <w:pStyle w:val="af0"/>
        <w:rPr>
          <w:rFonts w:ascii="David" w:hAnsi="David"/>
          <w:rtl/>
        </w:rPr>
      </w:pPr>
      <w:r w:rsidRPr="00410152">
        <w:rPr>
          <w:rStyle w:val="af2"/>
        </w:rPr>
        <w:footnoteRef/>
      </w:r>
      <w:r w:rsidRPr="00410152">
        <w:rPr>
          <w:rStyle w:val="af2"/>
          <w:rtl/>
        </w:rPr>
        <w:t xml:space="preserve"> </w:t>
      </w:r>
      <w:r w:rsidRPr="00410152">
        <w:rPr>
          <w:rStyle w:val="af2"/>
          <w:rtl/>
        </w:rPr>
        <w:tab/>
      </w:r>
      <w:r w:rsidRPr="00FD55D7">
        <w:rPr>
          <w:rFonts w:ascii="David" w:hAnsi="David" w:hint="cs"/>
          <w:rtl/>
        </w:rPr>
        <w:t>שטח</w:t>
      </w:r>
      <w:r w:rsidRPr="00FD55D7">
        <w:rPr>
          <w:rFonts w:ascii="David" w:hAnsi="David"/>
          <w:rtl/>
        </w:rPr>
        <w:t xml:space="preserve"> </w:t>
      </w:r>
      <w:r w:rsidRPr="00FD55D7">
        <w:rPr>
          <w:rFonts w:ascii="David" w:hAnsi="David" w:hint="cs"/>
          <w:rtl/>
        </w:rPr>
        <w:t>המרחב</w:t>
      </w:r>
      <w:r w:rsidRPr="00FD55D7">
        <w:rPr>
          <w:rFonts w:ascii="David" w:hAnsi="David"/>
          <w:rtl/>
        </w:rPr>
        <w:t xml:space="preserve"> </w:t>
      </w:r>
      <w:r w:rsidRPr="00FD55D7">
        <w:rPr>
          <w:rFonts w:ascii="David" w:hAnsi="David" w:hint="cs"/>
          <w:rtl/>
        </w:rPr>
        <w:t>המוגן</w:t>
      </w:r>
      <w:r w:rsidRPr="00FD55D7">
        <w:rPr>
          <w:rFonts w:ascii="David" w:hAnsi="David"/>
          <w:rtl/>
        </w:rPr>
        <w:t xml:space="preserve"> </w:t>
      </w:r>
      <w:r w:rsidRPr="00FD55D7">
        <w:rPr>
          <w:rFonts w:ascii="David" w:hAnsi="David" w:hint="cs"/>
          <w:rtl/>
        </w:rPr>
        <w:t>הנדרש</w:t>
      </w:r>
      <w:r w:rsidRPr="00FD55D7">
        <w:rPr>
          <w:rFonts w:ascii="David" w:hAnsi="David"/>
          <w:rtl/>
        </w:rPr>
        <w:t xml:space="preserve"> </w:t>
      </w:r>
      <w:r w:rsidRPr="00FD55D7">
        <w:rPr>
          <w:rFonts w:ascii="David" w:hAnsi="David" w:hint="cs"/>
          <w:rtl/>
        </w:rPr>
        <w:t>בגני</w:t>
      </w:r>
      <w:r w:rsidRPr="00FD55D7">
        <w:rPr>
          <w:rFonts w:ascii="David" w:hAnsi="David"/>
          <w:rtl/>
        </w:rPr>
        <w:t xml:space="preserve"> </w:t>
      </w:r>
      <w:r w:rsidRPr="00FD55D7">
        <w:rPr>
          <w:rFonts w:ascii="David" w:hAnsi="David" w:hint="cs"/>
          <w:rtl/>
        </w:rPr>
        <w:t>ילדים</w:t>
      </w:r>
      <w:r w:rsidRPr="00FD55D7">
        <w:rPr>
          <w:rFonts w:ascii="David" w:hAnsi="David"/>
          <w:rtl/>
        </w:rPr>
        <w:t xml:space="preserve"> </w:t>
      </w:r>
      <w:r w:rsidRPr="00FD55D7">
        <w:rPr>
          <w:rFonts w:ascii="David" w:hAnsi="David" w:hint="cs"/>
          <w:rtl/>
        </w:rPr>
        <w:t>הוא</w:t>
      </w:r>
      <w:r w:rsidRPr="00FD55D7">
        <w:rPr>
          <w:rFonts w:ascii="David" w:hAnsi="David"/>
          <w:rtl/>
        </w:rPr>
        <w:t xml:space="preserve"> 12 </w:t>
      </w:r>
      <w:r w:rsidRPr="00FD55D7">
        <w:rPr>
          <w:rFonts w:ascii="David" w:hAnsi="David" w:hint="cs"/>
          <w:rtl/>
        </w:rPr>
        <w:t>מ</w:t>
      </w:r>
      <w:r w:rsidRPr="00FD55D7">
        <w:rPr>
          <w:rFonts w:ascii="David" w:hAnsi="David"/>
          <w:rtl/>
        </w:rPr>
        <w:t xml:space="preserve">"ר </w:t>
      </w:r>
      <w:r w:rsidRPr="00FD55D7">
        <w:rPr>
          <w:rFonts w:ascii="David" w:hAnsi="David" w:hint="cs"/>
          <w:rtl/>
        </w:rPr>
        <w:t>לכיתת</w:t>
      </w:r>
      <w:r w:rsidRPr="00FD55D7">
        <w:rPr>
          <w:rFonts w:ascii="David" w:hAnsi="David"/>
          <w:rtl/>
        </w:rPr>
        <w:t xml:space="preserve"> </w:t>
      </w:r>
      <w:r w:rsidRPr="00FD55D7">
        <w:rPr>
          <w:rFonts w:ascii="David" w:hAnsi="David" w:hint="cs"/>
          <w:rtl/>
        </w:rPr>
        <w:t>גן</w:t>
      </w:r>
      <w:r w:rsidRPr="00FD55D7">
        <w:rPr>
          <w:rFonts w:ascii="David" w:hAnsi="David"/>
          <w:rtl/>
        </w:rPr>
        <w:t xml:space="preserve"> (</w:t>
      </w:r>
      <w:r w:rsidRPr="00FD55D7">
        <w:rPr>
          <w:rFonts w:ascii="David" w:hAnsi="David" w:hint="cs"/>
          <w:rtl/>
        </w:rPr>
        <w:t>מספר</w:t>
      </w:r>
      <w:r w:rsidRPr="00FD55D7">
        <w:rPr>
          <w:rFonts w:ascii="David" w:hAnsi="David"/>
          <w:rtl/>
        </w:rPr>
        <w:t xml:space="preserve"> </w:t>
      </w:r>
      <w:r w:rsidRPr="00FD55D7">
        <w:rPr>
          <w:rFonts w:ascii="David" w:hAnsi="David" w:hint="cs"/>
          <w:rtl/>
        </w:rPr>
        <w:t>התלמידים</w:t>
      </w:r>
      <w:r w:rsidRPr="00FD55D7">
        <w:rPr>
          <w:rFonts w:ascii="David" w:hAnsi="David"/>
          <w:rtl/>
        </w:rPr>
        <w:t xml:space="preserve"> </w:t>
      </w:r>
      <w:r w:rsidRPr="00FD55D7">
        <w:rPr>
          <w:rFonts w:ascii="David" w:hAnsi="David" w:hint="cs"/>
          <w:rtl/>
        </w:rPr>
        <w:t>המרבי</w:t>
      </w:r>
      <w:r w:rsidRPr="00FD55D7">
        <w:rPr>
          <w:rFonts w:ascii="David" w:hAnsi="David"/>
          <w:rtl/>
        </w:rPr>
        <w:t xml:space="preserve"> </w:t>
      </w:r>
      <w:r>
        <w:rPr>
          <w:rFonts w:ascii="David" w:hAnsi="David" w:hint="cs"/>
          <w:rtl/>
        </w:rPr>
        <w:t xml:space="preserve">בכיתה על פי התקן </w:t>
      </w:r>
      <w:r w:rsidRPr="00FD55D7">
        <w:rPr>
          <w:rFonts w:ascii="David" w:hAnsi="David" w:hint="cs"/>
          <w:rtl/>
        </w:rPr>
        <w:t>הוא</w:t>
      </w:r>
      <w:r w:rsidRPr="00FD55D7">
        <w:rPr>
          <w:rFonts w:ascii="David" w:hAnsi="David"/>
          <w:rtl/>
        </w:rPr>
        <w:t xml:space="preserve"> 35); </w:t>
      </w:r>
      <w:r w:rsidRPr="00FD55D7">
        <w:rPr>
          <w:rFonts w:ascii="David" w:hAnsi="David" w:hint="cs"/>
          <w:rtl/>
        </w:rPr>
        <w:t>בכיתות</w:t>
      </w:r>
      <w:r w:rsidRPr="00FD55D7">
        <w:rPr>
          <w:rFonts w:ascii="David" w:hAnsi="David"/>
          <w:rtl/>
        </w:rPr>
        <w:t xml:space="preserve"> </w:t>
      </w:r>
      <w:r w:rsidRPr="00FD55D7">
        <w:rPr>
          <w:rFonts w:ascii="David" w:hAnsi="David" w:hint="cs"/>
          <w:rtl/>
        </w:rPr>
        <w:t>א</w:t>
      </w:r>
      <w:r w:rsidRPr="00FD55D7">
        <w:rPr>
          <w:rFonts w:ascii="David" w:hAnsi="David"/>
          <w:rtl/>
        </w:rPr>
        <w:t xml:space="preserve">'-י' </w:t>
      </w:r>
      <w:r>
        <w:rPr>
          <w:rFonts w:ascii="David" w:hAnsi="David" w:hint="cs"/>
          <w:rtl/>
        </w:rPr>
        <w:t xml:space="preserve">השטח </w:t>
      </w:r>
      <w:r w:rsidRPr="00753F38">
        <w:rPr>
          <w:rFonts w:ascii="David" w:hAnsi="David" w:hint="cs"/>
          <w:rtl/>
        </w:rPr>
        <w:t>הוא</w:t>
      </w:r>
      <w:r w:rsidRPr="00753F38">
        <w:rPr>
          <w:rFonts w:ascii="David" w:hAnsi="David"/>
          <w:rtl/>
        </w:rPr>
        <w:t xml:space="preserve"> 15 </w:t>
      </w:r>
      <w:r w:rsidRPr="00753F38">
        <w:rPr>
          <w:rFonts w:ascii="David" w:hAnsi="David" w:hint="cs"/>
          <w:rtl/>
        </w:rPr>
        <w:t>מ</w:t>
      </w:r>
      <w:r w:rsidRPr="00753F38">
        <w:rPr>
          <w:rFonts w:ascii="David" w:hAnsi="David"/>
          <w:rtl/>
        </w:rPr>
        <w:t xml:space="preserve">"ר </w:t>
      </w:r>
      <w:r w:rsidRPr="00753F38">
        <w:rPr>
          <w:rFonts w:ascii="David" w:hAnsi="David" w:hint="cs"/>
          <w:rtl/>
        </w:rPr>
        <w:t>לכיתת אם</w:t>
      </w:r>
      <w:r w:rsidRPr="00753F38">
        <w:rPr>
          <w:rFonts w:ascii="David" w:hAnsi="David"/>
          <w:rtl/>
        </w:rPr>
        <w:t xml:space="preserve"> (מספר התלמידים המרבי </w:t>
      </w:r>
      <w:r>
        <w:rPr>
          <w:rFonts w:ascii="David" w:hAnsi="David" w:hint="cs"/>
          <w:rtl/>
        </w:rPr>
        <w:t xml:space="preserve">בכיתה - 32 עד </w:t>
      </w:r>
      <w:r w:rsidRPr="00753F38">
        <w:rPr>
          <w:rFonts w:ascii="David" w:hAnsi="David"/>
          <w:rtl/>
        </w:rPr>
        <w:t xml:space="preserve">40) </w:t>
      </w:r>
      <w:r w:rsidRPr="00753F38">
        <w:rPr>
          <w:rFonts w:ascii="David" w:hAnsi="David" w:hint="cs"/>
          <w:rtl/>
        </w:rPr>
        <w:t>ובכיתות</w:t>
      </w:r>
      <w:r w:rsidRPr="00753F38">
        <w:rPr>
          <w:rFonts w:ascii="David" w:hAnsi="David"/>
          <w:rtl/>
        </w:rPr>
        <w:t xml:space="preserve"> </w:t>
      </w:r>
      <w:r w:rsidRPr="00753F38">
        <w:rPr>
          <w:rFonts w:ascii="David" w:hAnsi="David" w:hint="cs"/>
          <w:rtl/>
        </w:rPr>
        <w:t>י</w:t>
      </w:r>
      <w:r w:rsidRPr="00753F38">
        <w:rPr>
          <w:rFonts w:ascii="David" w:hAnsi="David"/>
          <w:rtl/>
        </w:rPr>
        <w:t xml:space="preserve">"א-י"ב </w:t>
      </w:r>
      <w:r>
        <w:rPr>
          <w:rFonts w:ascii="David" w:hAnsi="David" w:hint="cs"/>
          <w:rtl/>
        </w:rPr>
        <w:t>השטח</w:t>
      </w:r>
      <w:r w:rsidRPr="00753F38">
        <w:rPr>
          <w:rFonts w:ascii="David" w:hAnsi="David"/>
          <w:rtl/>
        </w:rPr>
        <w:t xml:space="preserve"> </w:t>
      </w:r>
      <w:r w:rsidRPr="00753F38">
        <w:rPr>
          <w:rFonts w:ascii="David" w:hAnsi="David" w:hint="cs"/>
          <w:rtl/>
        </w:rPr>
        <w:t>הוא</w:t>
      </w:r>
      <w:r w:rsidRPr="00753F38">
        <w:rPr>
          <w:rFonts w:ascii="David" w:hAnsi="David"/>
          <w:rtl/>
        </w:rPr>
        <w:t xml:space="preserve"> 7.5 </w:t>
      </w:r>
      <w:r w:rsidRPr="00753F38">
        <w:rPr>
          <w:rFonts w:ascii="David" w:hAnsi="David" w:hint="cs"/>
          <w:rtl/>
        </w:rPr>
        <w:t>מ</w:t>
      </w:r>
      <w:r w:rsidRPr="00753F38">
        <w:rPr>
          <w:rFonts w:ascii="David" w:hAnsi="David"/>
          <w:rtl/>
        </w:rPr>
        <w:t xml:space="preserve">"ר </w:t>
      </w:r>
      <w:r w:rsidRPr="00753F38">
        <w:rPr>
          <w:rFonts w:ascii="David" w:hAnsi="David" w:hint="cs"/>
          <w:rtl/>
        </w:rPr>
        <w:t>לכיתת אם</w:t>
      </w:r>
      <w:r w:rsidRPr="00753F38">
        <w:rPr>
          <w:rFonts w:ascii="David" w:hAnsi="David"/>
          <w:rtl/>
        </w:rPr>
        <w:t xml:space="preserve"> (מספר התלמידים המרבי </w:t>
      </w:r>
      <w:r>
        <w:rPr>
          <w:rFonts w:ascii="David" w:hAnsi="David" w:hint="cs"/>
          <w:rtl/>
        </w:rPr>
        <w:t xml:space="preserve">בכיתה - </w:t>
      </w:r>
      <w:r w:rsidRPr="00753F38">
        <w:rPr>
          <w:rFonts w:ascii="David" w:hAnsi="David"/>
          <w:rtl/>
        </w:rPr>
        <w:t>38).</w:t>
      </w:r>
      <w:r>
        <w:rPr>
          <w:rFonts w:ascii="David" w:hAnsi="David" w:hint="cs"/>
          <w:rtl/>
        </w:rPr>
        <w:t xml:space="preserve"> </w:t>
      </w:r>
      <w:r w:rsidRPr="000853AB">
        <w:rPr>
          <w:rFonts w:ascii="David" w:hAnsi="David"/>
          <w:rtl/>
        </w:rPr>
        <w:t xml:space="preserve">אף כי התקן </w:t>
      </w:r>
      <w:r>
        <w:rPr>
          <w:rFonts w:ascii="David" w:hAnsi="David" w:hint="cs"/>
          <w:rtl/>
        </w:rPr>
        <w:t>האמור</w:t>
      </w:r>
      <w:r w:rsidRPr="000853AB">
        <w:rPr>
          <w:rFonts w:ascii="David" w:hAnsi="David"/>
          <w:rtl/>
        </w:rPr>
        <w:t xml:space="preserve"> עוגן במפרט רשמי ומחייב רק בשנת 2011 כאמור, הוא מוסכם על פקע"ר ומשרד החינוך והם פועלים לפיו מאז 1997.</w:t>
      </w:r>
    </w:p>
  </w:footnote>
  <w:footnote w:id="75">
    <w:p w:rsidR="00FA04F8" w:rsidRPr="00FB695C" w:rsidRDefault="00FA04F8" w:rsidP="00014C4D">
      <w:pPr>
        <w:pStyle w:val="af0"/>
        <w:rPr>
          <w:rFonts w:ascii="David" w:hAnsi="David"/>
          <w:rtl/>
        </w:rPr>
      </w:pPr>
      <w:r>
        <w:rPr>
          <w:rStyle w:val="af2"/>
        </w:rPr>
        <w:footnoteRef/>
      </w:r>
      <w:r>
        <w:rPr>
          <w:rtl/>
        </w:rPr>
        <w:t xml:space="preserve"> </w:t>
      </w:r>
      <w:r>
        <w:rPr>
          <w:rtl/>
        </w:rPr>
        <w:tab/>
      </w:r>
      <w:r>
        <w:rPr>
          <w:rFonts w:hint="cs"/>
          <w:rtl/>
        </w:rPr>
        <w:t xml:space="preserve">מבקר המדינה, </w:t>
      </w:r>
      <w:r w:rsidRPr="00320043">
        <w:rPr>
          <w:rFonts w:ascii="David" w:hAnsi="David" w:hint="eastAsia"/>
          <w:b/>
          <w:bCs/>
          <w:rtl/>
        </w:rPr>
        <w:t>דוחות</w:t>
      </w:r>
      <w:r w:rsidRPr="00320043">
        <w:rPr>
          <w:rFonts w:ascii="David" w:hAnsi="David"/>
          <w:b/>
          <w:bCs/>
          <w:rtl/>
        </w:rPr>
        <w:t xml:space="preserve"> על הביקורת בשלטון המקומי </w:t>
      </w:r>
      <w:r w:rsidRPr="00320043">
        <w:rPr>
          <w:rFonts w:ascii="David" w:hAnsi="David"/>
          <w:rtl/>
        </w:rPr>
        <w:t>(</w:t>
      </w:r>
      <w:r w:rsidRPr="00F51980">
        <w:rPr>
          <w:rFonts w:ascii="David" w:hAnsi="David" w:hint="cs"/>
          <w:rtl/>
        </w:rPr>
        <w:t>2018</w:t>
      </w:r>
      <w:r w:rsidRPr="00320043">
        <w:rPr>
          <w:rFonts w:ascii="David" w:hAnsi="David"/>
          <w:rtl/>
        </w:rPr>
        <w:t>)</w:t>
      </w:r>
      <w:r w:rsidRPr="00BE1BF5">
        <w:rPr>
          <w:rFonts w:ascii="David" w:hAnsi="David" w:hint="cs"/>
          <w:rtl/>
        </w:rPr>
        <w:t>, "מיגון</w:t>
      </w:r>
      <w:r w:rsidRPr="00301FEE">
        <w:rPr>
          <w:rFonts w:ascii="David" w:hAnsi="David" w:hint="cs"/>
          <w:sz w:val="24"/>
          <w:rtl/>
          <w:lang w:eastAsia="he-IL"/>
        </w:rPr>
        <w:t xml:space="preserve"> ומקלוט </w:t>
      </w:r>
      <w:r>
        <w:rPr>
          <w:rFonts w:ascii="David" w:hAnsi="David" w:hint="cs"/>
          <w:sz w:val="24"/>
          <w:rtl/>
          <w:lang w:eastAsia="he-IL"/>
        </w:rPr>
        <w:t xml:space="preserve">בשטחן </w:t>
      </w:r>
      <w:r w:rsidRPr="00301FEE">
        <w:rPr>
          <w:rFonts w:ascii="David" w:hAnsi="David" w:hint="cs"/>
          <w:sz w:val="24"/>
          <w:rtl/>
          <w:lang w:eastAsia="he-IL"/>
        </w:rPr>
        <w:t>של רשויות מקומיות מהמגזר הלא יהודי בצפון ובדרום</w:t>
      </w:r>
      <w:r w:rsidRPr="00320043">
        <w:rPr>
          <w:rFonts w:ascii="David" w:hAnsi="David"/>
          <w:b/>
          <w:rtl/>
        </w:rPr>
        <w:t xml:space="preserve">", עמ' </w:t>
      </w:r>
      <w:r>
        <w:rPr>
          <w:rFonts w:ascii="David" w:hAnsi="David" w:hint="cs"/>
          <w:rtl/>
        </w:rPr>
        <w:t xml:space="preserve">42; מבקר המדינה, </w:t>
      </w:r>
      <w:r w:rsidRPr="00753F38">
        <w:rPr>
          <w:rFonts w:ascii="David" w:hAnsi="David" w:hint="cs"/>
          <w:b/>
          <w:bCs/>
          <w:rtl/>
        </w:rPr>
        <w:t>ההיערכות</w:t>
      </w:r>
      <w:r w:rsidRPr="00753F38">
        <w:rPr>
          <w:rFonts w:ascii="David" w:hAnsi="David"/>
          <w:b/>
          <w:bCs/>
          <w:rtl/>
        </w:rPr>
        <w:t xml:space="preserve"> </w:t>
      </w:r>
      <w:r w:rsidRPr="00753F38">
        <w:rPr>
          <w:rFonts w:ascii="David" w:hAnsi="David" w:hint="cs"/>
          <w:b/>
          <w:bCs/>
          <w:rtl/>
        </w:rPr>
        <w:t>להגנת</w:t>
      </w:r>
      <w:r w:rsidRPr="00753F38">
        <w:rPr>
          <w:rFonts w:ascii="David" w:hAnsi="David"/>
          <w:b/>
          <w:bCs/>
          <w:rtl/>
        </w:rPr>
        <w:t xml:space="preserve"> </w:t>
      </w:r>
      <w:r w:rsidRPr="00753F38">
        <w:rPr>
          <w:rFonts w:ascii="David" w:hAnsi="David" w:hint="cs"/>
          <w:b/>
          <w:bCs/>
          <w:rtl/>
        </w:rPr>
        <w:t>העורף</w:t>
      </w:r>
      <w:r w:rsidRPr="00FD55D7">
        <w:rPr>
          <w:rFonts w:ascii="David" w:hAnsi="David"/>
          <w:b/>
          <w:bCs/>
          <w:rtl/>
        </w:rPr>
        <w:t xml:space="preserve"> </w:t>
      </w:r>
      <w:r w:rsidRPr="00FD55D7">
        <w:rPr>
          <w:rFonts w:ascii="David" w:hAnsi="David" w:hint="cs"/>
          <w:b/>
          <w:bCs/>
          <w:rtl/>
        </w:rPr>
        <w:t>מפני</w:t>
      </w:r>
      <w:r w:rsidRPr="00FD55D7">
        <w:rPr>
          <w:rFonts w:ascii="David" w:hAnsi="David"/>
          <w:b/>
          <w:bCs/>
          <w:rtl/>
        </w:rPr>
        <w:t xml:space="preserve"> </w:t>
      </w:r>
      <w:r w:rsidRPr="00FD55D7">
        <w:rPr>
          <w:rFonts w:ascii="David" w:hAnsi="David" w:hint="cs"/>
          <w:b/>
          <w:bCs/>
          <w:rtl/>
        </w:rPr>
        <w:t>איום</w:t>
      </w:r>
      <w:r w:rsidRPr="00FD55D7">
        <w:rPr>
          <w:rFonts w:ascii="David" w:hAnsi="David"/>
          <w:b/>
          <w:bCs/>
          <w:rtl/>
        </w:rPr>
        <w:t xml:space="preserve"> </w:t>
      </w:r>
      <w:r w:rsidRPr="00FD55D7">
        <w:rPr>
          <w:rFonts w:ascii="David" w:hAnsi="David" w:hint="cs"/>
          <w:b/>
          <w:bCs/>
          <w:rtl/>
        </w:rPr>
        <w:t>טילים</w:t>
      </w:r>
      <w:r w:rsidRPr="00FD55D7">
        <w:rPr>
          <w:rFonts w:ascii="David" w:hAnsi="David"/>
          <w:b/>
          <w:bCs/>
          <w:rtl/>
        </w:rPr>
        <w:t xml:space="preserve"> </w:t>
      </w:r>
      <w:r w:rsidRPr="00FD55D7">
        <w:rPr>
          <w:rFonts w:ascii="David" w:hAnsi="David" w:hint="cs"/>
          <w:b/>
          <w:bCs/>
          <w:rtl/>
        </w:rPr>
        <w:t>ורקטות</w:t>
      </w:r>
      <w:r w:rsidRPr="00FD55D7">
        <w:rPr>
          <w:rFonts w:ascii="David" w:hAnsi="David"/>
          <w:b/>
          <w:bCs/>
          <w:rtl/>
        </w:rPr>
        <w:t xml:space="preserve"> (מיגון </w:t>
      </w:r>
      <w:r w:rsidRPr="00FD55D7">
        <w:rPr>
          <w:rFonts w:ascii="David" w:hAnsi="David" w:hint="cs"/>
          <w:b/>
          <w:bCs/>
          <w:rtl/>
        </w:rPr>
        <w:t>פיזי</w:t>
      </w:r>
      <w:r w:rsidRPr="00FD55D7">
        <w:rPr>
          <w:rFonts w:ascii="David" w:hAnsi="David"/>
          <w:b/>
          <w:bCs/>
          <w:rtl/>
        </w:rPr>
        <w:t xml:space="preserve">, </w:t>
      </w:r>
      <w:r w:rsidRPr="00FD55D7">
        <w:rPr>
          <w:rFonts w:ascii="David" w:hAnsi="David" w:hint="cs"/>
          <w:b/>
          <w:bCs/>
          <w:rtl/>
        </w:rPr>
        <w:t>הת</w:t>
      </w:r>
      <w:r>
        <w:rPr>
          <w:rFonts w:ascii="David" w:hAnsi="David" w:hint="cs"/>
          <w:b/>
          <w:bCs/>
          <w:rtl/>
        </w:rPr>
        <w:t>ר</w:t>
      </w:r>
      <w:r w:rsidRPr="00FD55D7">
        <w:rPr>
          <w:rFonts w:ascii="David" w:hAnsi="David" w:hint="cs"/>
          <w:b/>
          <w:bCs/>
          <w:rtl/>
        </w:rPr>
        <w:t>עה</w:t>
      </w:r>
      <w:r w:rsidRPr="00FD55D7">
        <w:rPr>
          <w:rFonts w:ascii="David" w:hAnsi="David"/>
          <w:b/>
          <w:bCs/>
          <w:rtl/>
        </w:rPr>
        <w:t xml:space="preserve"> </w:t>
      </w:r>
      <w:r w:rsidRPr="00FD55D7">
        <w:rPr>
          <w:rFonts w:ascii="David" w:hAnsi="David" w:hint="cs"/>
          <w:b/>
          <w:bCs/>
          <w:rtl/>
        </w:rPr>
        <w:t>ופינוי</w:t>
      </w:r>
      <w:r w:rsidRPr="00FD55D7">
        <w:rPr>
          <w:rFonts w:ascii="David" w:hAnsi="David"/>
          <w:b/>
          <w:bCs/>
          <w:rtl/>
        </w:rPr>
        <w:t xml:space="preserve"> </w:t>
      </w:r>
      <w:r w:rsidRPr="00FD55D7">
        <w:rPr>
          <w:rFonts w:ascii="David" w:hAnsi="David" w:hint="cs"/>
          <w:b/>
          <w:bCs/>
          <w:rtl/>
        </w:rPr>
        <w:t>אוכלוסייה</w:t>
      </w:r>
      <w:r w:rsidRPr="00FD55D7">
        <w:rPr>
          <w:rFonts w:ascii="David" w:hAnsi="David"/>
          <w:b/>
          <w:bCs/>
          <w:rtl/>
        </w:rPr>
        <w:t>)</w:t>
      </w:r>
      <w:r>
        <w:rPr>
          <w:rFonts w:ascii="David" w:hAnsi="David" w:hint="cs"/>
          <w:b/>
          <w:bCs/>
          <w:rtl/>
        </w:rPr>
        <w:t xml:space="preserve"> </w:t>
      </w:r>
      <w:r>
        <w:rPr>
          <w:rFonts w:ascii="David" w:hAnsi="David" w:hint="cs"/>
          <w:rtl/>
        </w:rPr>
        <w:t>(</w:t>
      </w:r>
      <w:r w:rsidRPr="00FD55D7">
        <w:rPr>
          <w:rFonts w:ascii="David" w:hAnsi="David"/>
          <w:rtl/>
        </w:rPr>
        <w:t>2016</w:t>
      </w:r>
      <w:r>
        <w:rPr>
          <w:rFonts w:ascii="David" w:hAnsi="David" w:hint="cs"/>
          <w:rtl/>
        </w:rPr>
        <w:t>),</w:t>
      </w:r>
      <w:r w:rsidRPr="00FD55D7">
        <w:rPr>
          <w:rFonts w:ascii="David" w:hAnsi="David"/>
          <w:rtl/>
        </w:rPr>
        <w:t xml:space="preserve"> </w:t>
      </w:r>
      <w:r w:rsidRPr="00FD55D7">
        <w:rPr>
          <w:rFonts w:ascii="David" w:hAnsi="David" w:hint="cs"/>
          <w:rtl/>
        </w:rPr>
        <w:t>עמ</w:t>
      </w:r>
      <w:r w:rsidRPr="00FD55D7">
        <w:rPr>
          <w:rFonts w:ascii="David" w:hAnsi="David"/>
          <w:rtl/>
        </w:rPr>
        <w:t xml:space="preserve">' </w:t>
      </w:r>
      <w:r>
        <w:rPr>
          <w:rFonts w:ascii="David" w:hAnsi="David" w:hint="cs"/>
          <w:rtl/>
        </w:rPr>
        <w:t>45</w:t>
      </w:r>
      <w:r w:rsidRPr="00FD55D7">
        <w:rPr>
          <w:rFonts w:ascii="David" w:hAnsi="David"/>
          <w:rtl/>
        </w:rPr>
        <w:t>.</w:t>
      </w:r>
    </w:p>
  </w:footnote>
  <w:footnote w:id="76">
    <w:p w:rsidR="00FA04F8" w:rsidRPr="00A369CD" w:rsidRDefault="00FA04F8" w:rsidP="00014C4D">
      <w:pPr>
        <w:pStyle w:val="af0"/>
        <w:rPr>
          <w:rFonts w:ascii="David" w:hAnsi="David"/>
        </w:rPr>
      </w:pPr>
      <w:r>
        <w:rPr>
          <w:rStyle w:val="af2"/>
        </w:rPr>
        <w:footnoteRef/>
      </w:r>
      <w:r>
        <w:rPr>
          <w:rtl/>
        </w:rPr>
        <w:t xml:space="preserve"> </w:t>
      </w:r>
      <w:r>
        <w:rPr>
          <w:rtl/>
        </w:rPr>
        <w:tab/>
      </w:r>
      <w:r w:rsidRPr="00E64893">
        <w:rPr>
          <w:rFonts w:ascii="David" w:hAnsi="David" w:hint="cs"/>
          <w:rtl/>
        </w:rPr>
        <w:t xml:space="preserve">יצוין כי </w:t>
      </w:r>
      <w:r>
        <w:rPr>
          <w:rFonts w:ascii="David" w:hAnsi="David" w:hint="cs"/>
          <w:rtl/>
        </w:rPr>
        <w:t>ב</w:t>
      </w:r>
      <w:r w:rsidRPr="00E64893">
        <w:rPr>
          <w:rFonts w:ascii="David" w:hAnsi="David" w:hint="cs"/>
          <w:rtl/>
        </w:rPr>
        <w:t xml:space="preserve">הנחיות </w:t>
      </w:r>
      <w:r>
        <w:rPr>
          <w:rFonts w:ascii="David" w:hAnsi="David" w:hint="cs"/>
          <w:rtl/>
        </w:rPr>
        <w:t>שפרסם</w:t>
      </w:r>
      <w:r w:rsidRPr="00E64893">
        <w:rPr>
          <w:rFonts w:ascii="David" w:hAnsi="David" w:hint="cs"/>
          <w:rtl/>
        </w:rPr>
        <w:t xml:space="preserve"> משרד החינוך ב</w:t>
      </w:r>
      <w:r>
        <w:rPr>
          <w:rFonts w:ascii="David" w:hAnsi="David" w:hint="cs"/>
          <w:rtl/>
        </w:rPr>
        <w:t>מרץ</w:t>
      </w:r>
      <w:r w:rsidRPr="00E64893">
        <w:rPr>
          <w:rFonts w:ascii="David" w:hAnsi="David" w:hint="cs"/>
          <w:rtl/>
        </w:rPr>
        <w:t xml:space="preserve"> </w:t>
      </w:r>
      <w:r>
        <w:rPr>
          <w:rFonts w:ascii="David" w:hAnsi="David" w:hint="cs"/>
          <w:rtl/>
        </w:rPr>
        <w:t>2</w:t>
      </w:r>
      <w:r w:rsidRPr="00E64893">
        <w:rPr>
          <w:rFonts w:ascii="David" w:hAnsi="David" w:hint="cs"/>
          <w:rtl/>
        </w:rPr>
        <w:t>020</w:t>
      </w:r>
      <w:r>
        <w:rPr>
          <w:rFonts w:ascii="David" w:hAnsi="David" w:hint="cs"/>
          <w:rtl/>
        </w:rPr>
        <w:t xml:space="preserve"> (</w:t>
      </w:r>
      <w:r w:rsidRPr="00A369CD">
        <w:rPr>
          <w:rFonts w:ascii="David" w:hAnsi="David"/>
          <w:rtl/>
        </w:rPr>
        <w:t>הוראת קבע (מספרה 0255 -</w:t>
      </w:r>
      <w:r>
        <w:rPr>
          <w:rFonts w:ascii="David" w:hAnsi="David" w:hint="cs"/>
          <w:rtl/>
        </w:rPr>
        <w:t xml:space="preserve"> </w:t>
      </w:r>
      <w:r w:rsidRPr="00A369CD">
        <w:rPr>
          <w:rFonts w:ascii="David" w:hAnsi="David"/>
          <w:rtl/>
        </w:rPr>
        <w:t xml:space="preserve">החלפה) </w:t>
      </w:r>
      <w:r>
        <w:rPr>
          <w:rFonts w:ascii="David" w:hAnsi="David" w:hint="cs"/>
          <w:rtl/>
        </w:rPr>
        <w:t xml:space="preserve">- </w:t>
      </w:r>
      <w:r w:rsidRPr="00A369CD">
        <w:rPr>
          <w:rFonts w:ascii="David" w:hAnsi="David"/>
          <w:rtl/>
        </w:rPr>
        <w:t>מנחה ופורמט לכתיבה ולעריכה של תיק נתונים שוטח ב</w:t>
      </w:r>
      <w:r>
        <w:rPr>
          <w:rFonts w:ascii="David" w:hAnsi="David" w:hint="cs"/>
          <w:rtl/>
        </w:rPr>
        <w:t>י</w:t>
      </w:r>
      <w:r w:rsidRPr="00A369CD">
        <w:rPr>
          <w:rFonts w:ascii="David" w:hAnsi="David"/>
          <w:rtl/>
        </w:rPr>
        <w:t xml:space="preserve">טחון </w:t>
      </w:r>
      <w:r>
        <w:rPr>
          <w:rFonts w:ascii="David" w:hAnsi="David" w:hint="cs"/>
          <w:rtl/>
        </w:rPr>
        <w:t>ו</w:t>
      </w:r>
      <w:r w:rsidRPr="00A369CD">
        <w:rPr>
          <w:rFonts w:ascii="David" w:hAnsi="David"/>
          <w:rtl/>
        </w:rPr>
        <w:t>חירום מוסדי</w:t>
      </w:r>
      <w:r>
        <w:rPr>
          <w:rFonts w:ascii="David" w:hAnsi="David" w:hint="cs"/>
          <w:rtl/>
        </w:rPr>
        <w:t>(</w:t>
      </w:r>
      <w:r w:rsidRPr="00A369CD">
        <w:rPr>
          <w:rFonts w:ascii="David" w:hAnsi="David"/>
          <w:rtl/>
        </w:rPr>
        <w:t>סעיף 4.5.2(ב)1)</w:t>
      </w:r>
      <w:r>
        <w:rPr>
          <w:rFonts w:ascii="David" w:hAnsi="David" w:hint="cs"/>
          <w:rtl/>
        </w:rPr>
        <w:t xml:space="preserve">), </w:t>
      </w:r>
      <w:r w:rsidRPr="00E64893">
        <w:rPr>
          <w:rFonts w:ascii="David" w:hAnsi="David" w:hint="cs"/>
          <w:rtl/>
        </w:rPr>
        <w:t xml:space="preserve">צוין כי המפתח של 0.5 מ"ר לתלמיד האמור לעיל כולל גם איש סגל הוראה. בהנחיות לא </w:t>
      </w:r>
      <w:r>
        <w:rPr>
          <w:rFonts w:ascii="David" w:hAnsi="David" w:hint="cs"/>
          <w:rtl/>
        </w:rPr>
        <w:t xml:space="preserve">אוזכרו </w:t>
      </w:r>
      <w:r w:rsidRPr="00E64893">
        <w:rPr>
          <w:rFonts w:ascii="David" w:hAnsi="David" w:hint="cs"/>
          <w:rtl/>
        </w:rPr>
        <w:t xml:space="preserve">העובדים האחרים </w:t>
      </w:r>
      <w:r w:rsidRPr="00854BF0">
        <w:rPr>
          <w:rFonts w:hint="cs"/>
          <w:rtl/>
        </w:rPr>
        <w:t>שבבית</w:t>
      </w:r>
      <w:r w:rsidRPr="00E64893">
        <w:rPr>
          <w:rFonts w:ascii="David" w:hAnsi="David" w:hint="cs"/>
          <w:rtl/>
        </w:rPr>
        <w:t xml:space="preserve"> הספר</w:t>
      </w:r>
      <w:r>
        <w:rPr>
          <w:rFonts w:ascii="David" w:hAnsi="David" w:hint="cs"/>
          <w:rtl/>
        </w:rPr>
        <w:t>,</w:t>
      </w:r>
      <w:r w:rsidRPr="00E64893">
        <w:rPr>
          <w:rFonts w:ascii="David" w:hAnsi="David" w:hint="cs"/>
          <w:rtl/>
        </w:rPr>
        <w:t xml:space="preserve"> ולכן לפי הנחיות אלה איש סגל הוראה נכלל ב-30 התלמידים האמורים לעיל</w:t>
      </w:r>
      <w:r>
        <w:rPr>
          <w:rFonts w:ascii="David" w:hAnsi="David" w:hint="cs"/>
          <w:rtl/>
        </w:rPr>
        <w:t>.</w:t>
      </w:r>
    </w:p>
  </w:footnote>
  <w:footnote w:id="77">
    <w:p w:rsidR="00FA04F8" w:rsidRDefault="00FA04F8" w:rsidP="00014C4D">
      <w:pPr>
        <w:pStyle w:val="af0"/>
        <w:rPr>
          <w:rtl/>
        </w:rPr>
      </w:pPr>
      <w:r>
        <w:rPr>
          <w:rStyle w:val="af2"/>
        </w:rPr>
        <w:footnoteRef/>
      </w:r>
      <w:r>
        <w:rPr>
          <w:rtl/>
        </w:rPr>
        <w:t xml:space="preserve"> </w:t>
      </w:r>
      <w:r>
        <w:rPr>
          <w:rtl/>
        </w:rPr>
        <w:tab/>
      </w:r>
      <w:r>
        <w:rPr>
          <w:rFonts w:hint="cs"/>
          <w:rtl/>
        </w:rPr>
        <w:t xml:space="preserve">ב-1.7.24 התקיימה פגישה בהשתתפות ראש מחלקת מיגון וראש ענף הנדסה ורגולציה בפקע"ר ונציגי משרד החינוך בעניין עדכון מדיניות המיגון במוסדות חינוך לאור לקחי מלחמת חרבות ברזל </w:t>
      </w:r>
    </w:p>
  </w:footnote>
  <w:footnote w:id="78">
    <w:p w:rsidR="00FA04F8" w:rsidRDefault="00FA04F8" w:rsidP="00014C4D">
      <w:pPr>
        <w:pStyle w:val="af0"/>
        <w:rPr>
          <w:rtl/>
        </w:rPr>
      </w:pPr>
      <w:r>
        <w:rPr>
          <w:rStyle w:val="af2"/>
        </w:rPr>
        <w:footnoteRef/>
      </w:r>
      <w:r>
        <w:rPr>
          <w:rtl/>
        </w:rPr>
        <w:t xml:space="preserve"> </w:t>
      </w:r>
      <w:r>
        <w:rPr>
          <w:rtl/>
        </w:rPr>
        <w:tab/>
      </w:r>
      <w:r>
        <w:rPr>
          <w:rFonts w:ascii="David" w:hAnsi="David" w:hint="cs"/>
          <w:sz w:val="24"/>
          <w:rtl/>
        </w:rPr>
        <w:t>מס' 155 מינואר 2019</w:t>
      </w:r>
      <w:r>
        <w:rPr>
          <w:rFonts w:hint="cs"/>
          <w:rtl/>
        </w:rPr>
        <w:t>.</w:t>
      </w:r>
    </w:p>
  </w:footnote>
  <w:footnote w:id="79">
    <w:p w:rsidR="00FA04F8" w:rsidRDefault="00FA04F8" w:rsidP="00014C4D">
      <w:pPr>
        <w:pStyle w:val="af0"/>
        <w:rPr>
          <w:rtl/>
        </w:rPr>
      </w:pPr>
      <w:r>
        <w:rPr>
          <w:rStyle w:val="af2"/>
        </w:rPr>
        <w:footnoteRef/>
      </w:r>
      <w:r>
        <w:rPr>
          <w:rtl/>
        </w:rPr>
        <w:t xml:space="preserve"> </w:t>
      </w:r>
      <w:r>
        <w:rPr>
          <w:rtl/>
        </w:rPr>
        <w:tab/>
      </w:r>
      <w:r>
        <w:rPr>
          <w:rFonts w:hint="cs"/>
          <w:rtl/>
        </w:rPr>
        <w:t>הסקר הקיף 5,146 מתוך 5,500 בתי הספר בישראל (94%).</w:t>
      </w:r>
    </w:p>
  </w:footnote>
  <w:footnote w:id="80">
    <w:p w:rsidR="00FA04F8" w:rsidRPr="00162CC4" w:rsidRDefault="00FA04F8" w:rsidP="00014C4D">
      <w:pPr>
        <w:pStyle w:val="af0"/>
      </w:pPr>
      <w:r>
        <w:rPr>
          <w:rStyle w:val="af2"/>
        </w:rPr>
        <w:footnoteRef/>
      </w:r>
      <w:r>
        <w:rPr>
          <w:rtl/>
        </w:rPr>
        <w:t xml:space="preserve"> </w:t>
      </w:r>
      <w:r>
        <w:rPr>
          <w:rtl/>
        </w:rPr>
        <w:tab/>
      </w:r>
      <w:r w:rsidRPr="00112E97">
        <w:rPr>
          <w:rFonts w:hint="cs"/>
          <w:rtl/>
        </w:rPr>
        <w:t>משרד החינוך מסר לעובדי משרד מב</w:t>
      </w:r>
      <w:r>
        <w:rPr>
          <w:rFonts w:hint="cs"/>
          <w:rtl/>
        </w:rPr>
        <w:t>ק</w:t>
      </w:r>
      <w:r w:rsidRPr="00112E97">
        <w:rPr>
          <w:rFonts w:hint="cs"/>
          <w:rtl/>
        </w:rPr>
        <w:t>ר המדינה במהלך הביקורת באוגוסט 2024 לגבי שאר 10,444 כיתות גני הילדים כי הן נבנו החל משנת 1992 ועל כן יש בהן מיגון תקני.</w:t>
      </w:r>
      <w:r w:rsidRPr="00112E97">
        <w:rPr>
          <w:rFonts w:hint="cs"/>
          <w:b/>
          <w:bCs/>
          <w:rtl/>
        </w:rPr>
        <w:t xml:space="preserve"> </w:t>
      </w:r>
      <w:r w:rsidRPr="00112E97">
        <w:rPr>
          <w:rFonts w:hint="cs"/>
          <w:rtl/>
        </w:rPr>
        <w:t xml:space="preserve">עוד מסר המשרד כי ערך סקר ב-5,052 כיתות גני ילדים ולפיו ב-2,728 </w:t>
      </w:r>
      <w:r>
        <w:rPr>
          <w:rFonts w:hint="cs"/>
          <w:rtl/>
        </w:rPr>
        <w:t>מהן</w:t>
      </w:r>
      <w:r w:rsidRPr="00112E97">
        <w:rPr>
          <w:rFonts w:hint="cs"/>
          <w:rtl/>
        </w:rPr>
        <w:t xml:space="preserve"> יש מיגון תקני. ואולם </w:t>
      </w:r>
      <w:r>
        <w:rPr>
          <w:rFonts w:hint="cs"/>
          <w:rtl/>
        </w:rPr>
        <w:t>הוא לא מסר למשרד מבקר המדינה</w:t>
      </w:r>
      <w:r w:rsidRPr="00112E97">
        <w:rPr>
          <w:rFonts w:hint="cs"/>
          <w:rtl/>
        </w:rPr>
        <w:t xml:space="preserve"> </w:t>
      </w:r>
      <w:r>
        <w:rPr>
          <w:rFonts w:hint="cs"/>
          <w:rtl/>
        </w:rPr>
        <w:t xml:space="preserve">כמה מאותן 2,728 כיתות גני ילדים שיש בהן מיגון נבנו מאז שנת 1992, אם בכלל, </w:t>
      </w:r>
      <w:r w:rsidRPr="00112E97">
        <w:rPr>
          <w:rFonts w:hint="cs"/>
          <w:rtl/>
        </w:rPr>
        <w:t>ו</w:t>
      </w:r>
      <w:r>
        <w:rPr>
          <w:rFonts w:hint="cs"/>
          <w:rtl/>
        </w:rPr>
        <w:t>לכן לא ידוע אם</w:t>
      </w:r>
      <w:r w:rsidRPr="00112E97">
        <w:rPr>
          <w:rFonts w:hint="cs"/>
          <w:rtl/>
        </w:rPr>
        <w:t xml:space="preserve"> </w:t>
      </w:r>
      <w:r>
        <w:rPr>
          <w:rFonts w:hint="cs"/>
          <w:rtl/>
        </w:rPr>
        <w:t xml:space="preserve">הן </w:t>
      </w:r>
      <w:r w:rsidRPr="00112E97">
        <w:rPr>
          <w:rFonts w:hint="cs"/>
          <w:rtl/>
        </w:rPr>
        <w:t>כבר כלול</w:t>
      </w:r>
      <w:r>
        <w:rPr>
          <w:rFonts w:hint="cs"/>
          <w:rtl/>
        </w:rPr>
        <w:t>ות</w:t>
      </w:r>
      <w:r w:rsidRPr="00112E97">
        <w:rPr>
          <w:rFonts w:hint="cs"/>
          <w:rtl/>
        </w:rPr>
        <w:t xml:space="preserve"> </w:t>
      </w:r>
      <w:r>
        <w:rPr>
          <w:rFonts w:hint="cs"/>
          <w:rtl/>
        </w:rPr>
        <w:t>ב</w:t>
      </w:r>
      <w:r w:rsidRPr="00112E97">
        <w:rPr>
          <w:rFonts w:hint="cs"/>
          <w:rtl/>
        </w:rPr>
        <w:t>נתונים שמסר לגבי 10,444</w:t>
      </w:r>
      <w:r>
        <w:rPr>
          <w:rFonts w:hint="cs"/>
          <w:rtl/>
        </w:rPr>
        <w:t xml:space="preserve"> הכיתות שנבנו מאז 1992.</w:t>
      </w:r>
      <w:r w:rsidRPr="00112E97">
        <w:rPr>
          <w:rFonts w:hint="cs"/>
          <w:rtl/>
        </w:rPr>
        <w:t xml:space="preserve"> </w:t>
      </w:r>
    </w:p>
  </w:footnote>
  <w:footnote w:id="81">
    <w:p w:rsidR="00FA04F8" w:rsidRPr="006150F4" w:rsidRDefault="00FA04F8" w:rsidP="00014C4D">
      <w:pPr>
        <w:pStyle w:val="af0"/>
      </w:pPr>
      <w:r>
        <w:rPr>
          <w:rStyle w:val="af2"/>
        </w:rPr>
        <w:footnoteRef/>
      </w:r>
      <w:r>
        <w:rPr>
          <w:rtl/>
        </w:rPr>
        <w:t xml:space="preserve"> </w:t>
      </w:r>
      <w:r>
        <w:rPr>
          <w:rtl/>
        </w:rPr>
        <w:tab/>
      </w:r>
      <w:r>
        <w:rPr>
          <w:rFonts w:hint="cs"/>
          <w:rtl/>
        </w:rPr>
        <w:t xml:space="preserve">לפי </w:t>
      </w:r>
      <w:r w:rsidRPr="008D08E5">
        <w:rPr>
          <w:rFonts w:hint="cs"/>
          <w:rtl/>
        </w:rPr>
        <w:t>נתוני משרד החינוך</w:t>
      </w:r>
      <w:r>
        <w:rPr>
          <w:rFonts w:hint="cs"/>
          <w:rtl/>
        </w:rPr>
        <w:t>,</w:t>
      </w:r>
      <w:r w:rsidRPr="008D08E5">
        <w:rPr>
          <w:rFonts w:hint="cs"/>
          <w:rtl/>
        </w:rPr>
        <w:t xml:space="preserve"> שהתבססו על ד</w:t>
      </w:r>
      <w:r>
        <w:rPr>
          <w:rFonts w:hint="cs"/>
          <w:rtl/>
        </w:rPr>
        <w:t>י</w:t>
      </w:r>
      <w:r w:rsidRPr="008D08E5">
        <w:rPr>
          <w:rFonts w:hint="cs"/>
          <w:rtl/>
        </w:rPr>
        <w:t>ווחים שקיבל ממעונות היום.</w:t>
      </w:r>
    </w:p>
  </w:footnote>
  <w:footnote w:id="82">
    <w:p w:rsidR="00FA04F8" w:rsidRDefault="00FA04F8" w:rsidP="00014C4D">
      <w:pPr>
        <w:pStyle w:val="af0"/>
        <w:rPr>
          <w:rtl/>
        </w:rPr>
      </w:pPr>
      <w:r>
        <w:rPr>
          <w:rStyle w:val="af2"/>
        </w:rPr>
        <w:footnoteRef/>
      </w:r>
      <w:r>
        <w:rPr>
          <w:rtl/>
        </w:rPr>
        <w:t xml:space="preserve"> </w:t>
      </w:r>
      <w:r>
        <w:rPr>
          <w:rtl/>
        </w:rPr>
        <w:tab/>
      </w:r>
      <w:r w:rsidRPr="00F21D8B">
        <w:rPr>
          <w:rFonts w:hint="cs"/>
          <w:rtl/>
        </w:rPr>
        <w:t>מערכת שליטה ובקרה ממוחשבת (דשבורד)</w:t>
      </w:r>
      <w:r>
        <w:rPr>
          <w:rFonts w:hint="cs"/>
          <w:rtl/>
        </w:rPr>
        <w:t>.</w:t>
      </w:r>
    </w:p>
  </w:footnote>
  <w:footnote w:id="83">
    <w:p w:rsidR="00FA04F8" w:rsidRDefault="00FA04F8" w:rsidP="00014C4D">
      <w:pPr>
        <w:pStyle w:val="af0"/>
        <w:rPr>
          <w:rtl/>
        </w:rPr>
      </w:pPr>
      <w:r>
        <w:rPr>
          <w:rStyle w:val="af2"/>
        </w:rPr>
        <w:footnoteRef/>
      </w:r>
      <w:r>
        <w:rPr>
          <w:rtl/>
        </w:rPr>
        <w:t xml:space="preserve"> </w:t>
      </w:r>
      <w:r>
        <w:rPr>
          <w:rtl/>
        </w:rPr>
        <w:tab/>
      </w:r>
      <w:r>
        <w:rPr>
          <w:rFonts w:hint="cs"/>
          <w:rtl/>
        </w:rPr>
        <w:t>המרחב המוגן המוסדי הוא חדר מוגן הנמצא בתוך הגן במקביל למרחב מוגן דירתי (ממ"ד) הנמצא בדירת מגורים.</w:t>
      </w:r>
    </w:p>
  </w:footnote>
  <w:footnote w:id="84">
    <w:p w:rsidR="00FA04F8" w:rsidRDefault="00FA04F8" w:rsidP="00014C4D">
      <w:pPr>
        <w:pStyle w:val="af0"/>
        <w:rPr>
          <w:rtl/>
        </w:rPr>
      </w:pPr>
      <w:r>
        <w:rPr>
          <w:rStyle w:val="af2"/>
        </w:rPr>
        <w:footnoteRef/>
      </w:r>
      <w:r>
        <w:rPr>
          <w:rtl/>
        </w:rPr>
        <w:t xml:space="preserve"> </w:t>
      </w:r>
      <w:r>
        <w:rPr>
          <w:rtl/>
        </w:rPr>
        <w:tab/>
      </w:r>
      <w:r>
        <w:rPr>
          <w:rFonts w:hint="cs"/>
          <w:rtl/>
        </w:rPr>
        <w:t xml:space="preserve">לא כולל גן "חבצלת", שבו לומדים 32 תלמידים ובנייתו טרם הסתיימה במועד הביקורת ביוני 2024. </w:t>
      </w:r>
    </w:p>
  </w:footnote>
  <w:footnote w:id="85">
    <w:p w:rsidR="00FA04F8" w:rsidRDefault="00FA04F8" w:rsidP="00014C4D">
      <w:pPr>
        <w:pStyle w:val="af0"/>
        <w:rPr>
          <w:rtl/>
        </w:rPr>
      </w:pPr>
      <w:r>
        <w:rPr>
          <w:rStyle w:val="af2"/>
        </w:rPr>
        <w:footnoteRef/>
      </w:r>
      <w:r>
        <w:rPr>
          <w:rtl/>
        </w:rPr>
        <w:t xml:space="preserve"> </w:t>
      </w:r>
      <w:r>
        <w:rPr>
          <w:rtl/>
        </w:rPr>
        <w:tab/>
      </w:r>
      <w:r>
        <w:rPr>
          <w:rFonts w:hint="cs"/>
          <w:rtl/>
        </w:rPr>
        <w:t>כולל חווה חקלאית.</w:t>
      </w:r>
    </w:p>
  </w:footnote>
  <w:footnote w:id="86">
    <w:p w:rsidR="00FA04F8" w:rsidRDefault="00FA04F8" w:rsidP="00014C4D">
      <w:pPr>
        <w:pStyle w:val="af0"/>
      </w:pPr>
      <w:r>
        <w:rPr>
          <w:rStyle w:val="af2"/>
        </w:rPr>
        <w:footnoteRef/>
      </w:r>
      <w:r>
        <w:rPr>
          <w:rtl/>
        </w:rPr>
        <w:t xml:space="preserve"> </w:t>
      </w:r>
      <w:r>
        <w:rPr>
          <w:rtl/>
        </w:rPr>
        <w:tab/>
      </w:r>
      <w:r w:rsidRPr="002C0CD9">
        <w:rPr>
          <w:rtl/>
        </w:rPr>
        <w:t>בשל מיגון מצומצם והיווצרות "צו</w:t>
      </w:r>
      <w:r>
        <w:rPr>
          <w:rFonts w:hint="cs"/>
          <w:rtl/>
        </w:rPr>
        <w:t>ו</w:t>
      </w:r>
      <w:r w:rsidRPr="002C0CD9">
        <w:rPr>
          <w:rtl/>
        </w:rPr>
        <w:t>אר בקבוק" בכניסה למקלט</w:t>
      </w:r>
      <w:r>
        <w:rPr>
          <w:rFonts w:hint="cs"/>
          <w:rtl/>
        </w:rPr>
        <w:t>ים המאריכה את</w:t>
      </w:r>
      <w:r w:rsidRPr="002C0CD9">
        <w:rPr>
          <w:rtl/>
        </w:rPr>
        <w:t xml:space="preserve"> </w:t>
      </w:r>
      <w:r>
        <w:rPr>
          <w:rFonts w:hint="cs"/>
          <w:rtl/>
        </w:rPr>
        <w:t>משך</w:t>
      </w:r>
      <w:r w:rsidRPr="002C0CD9">
        <w:rPr>
          <w:rtl/>
        </w:rPr>
        <w:t xml:space="preserve"> הכניסה של התלמידים</w:t>
      </w:r>
      <w:r>
        <w:rPr>
          <w:rFonts w:hint="cs"/>
          <w:rtl/>
        </w:rPr>
        <w:t xml:space="preserve"> </w:t>
      </w:r>
      <w:r w:rsidRPr="002C0CD9">
        <w:rPr>
          <w:rtl/>
        </w:rPr>
        <w:t>למקלט</w:t>
      </w:r>
      <w:r>
        <w:rPr>
          <w:rFonts w:hint="cs"/>
          <w:rtl/>
        </w:rPr>
        <w:t>, הלימודים במבני מוסדות החינוך התקיימו בהתאם ל</w:t>
      </w:r>
      <w:r w:rsidRPr="002C0CD9">
        <w:rPr>
          <w:rFonts w:hint="cs"/>
          <w:rtl/>
        </w:rPr>
        <w:t>יכולת המיגון של גני הילדים ובתי הספר ולשיקול הדעת של המנהלים.</w:t>
      </w:r>
    </w:p>
  </w:footnote>
  <w:footnote w:id="87">
    <w:p w:rsidR="00FA04F8" w:rsidRDefault="00FA04F8" w:rsidP="00014C4D">
      <w:pPr>
        <w:pStyle w:val="af0"/>
        <w:rPr>
          <w:rtl/>
        </w:rPr>
      </w:pPr>
      <w:r>
        <w:rPr>
          <w:rStyle w:val="af2"/>
        </w:rPr>
        <w:footnoteRef/>
      </w:r>
      <w:r>
        <w:rPr>
          <w:rtl/>
        </w:rPr>
        <w:t xml:space="preserve"> </w:t>
      </w:r>
      <w:r>
        <w:rPr>
          <w:rtl/>
        </w:rPr>
        <w:tab/>
      </w:r>
      <w:r>
        <w:rPr>
          <w:rFonts w:hint="cs"/>
          <w:rtl/>
        </w:rPr>
        <w:t>כולל חטיבות ביניים.</w:t>
      </w:r>
    </w:p>
  </w:footnote>
  <w:footnote w:id="88">
    <w:p w:rsidR="00FA04F8" w:rsidRPr="007B16DD" w:rsidRDefault="00FA04F8" w:rsidP="00014C4D">
      <w:pPr>
        <w:pStyle w:val="af0"/>
      </w:pPr>
      <w:r>
        <w:rPr>
          <w:rStyle w:val="af2"/>
        </w:rPr>
        <w:footnoteRef/>
      </w:r>
      <w:r>
        <w:rPr>
          <w:rtl/>
        </w:rPr>
        <w:t xml:space="preserve"> </w:t>
      </w:r>
      <w:r>
        <w:rPr>
          <w:rtl/>
        </w:rPr>
        <w:tab/>
      </w:r>
      <w:r w:rsidRPr="007B16DD">
        <w:rPr>
          <w:rFonts w:hint="cs"/>
          <w:rtl/>
        </w:rPr>
        <w:t>מאחר שמדובר בחלק מהכ</w:t>
      </w:r>
      <w:r>
        <w:rPr>
          <w:rFonts w:hint="cs"/>
          <w:rtl/>
        </w:rPr>
        <w:t>י</w:t>
      </w:r>
      <w:r w:rsidRPr="007B16DD">
        <w:rPr>
          <w:rFonts w:hint="cs"/>
          <w:rtl/>
        </w:rPr>
        <w:t>תות או חלק מבתי הספר ובחלק מהימים, לא ניתן לכמת את מספר התלמידים.</w:t>
      </w:r>
    </w:p>
  </w:footnote>
  <w:footnote w:id="89">
    <w:p w:rsidR="00FA04F8" w:rsidRDefault="00FA04F8" w:rsidP="00014C4D">
      <w:pPr>
        <w:pStyle w:val="af0"/>
      </w:pPr>
      <w:r>
        <w:rPr>
          <w:rStyle w:val="af2"/>
        </w:rPr>
        <w:footnoteRef/>
      </w:r>
      <w:r>
        <w:rPr>
          <w:rtl/>
        </w:rPr>
        <w:t xml:space="preserve"> </w:t>
      </w:r>
      <w:r>
        <w:rPr>
          <w:rtl/>
        </w:rPr>
        <w:tab/>
      </w:r>
      <w:r>
        <w:rPr>
          <w:rFonts w:hint="cs"/>
          <w:rtl/>
        </w:rPr>
        <w:t xml:space="preserve">למועצה אין תאריכים מדויקים. </w:t>
      </w:r>
    </w:p>
  </w:footnote>
  <w:footnote w:id="90">
    <w:p w:rsidR="00FA04F8" w:rsidRDefault="00FA04F8" w:rsidP="00014C4D">
      <w:pPr>
        <w:pStyle w:val="af0"/>
        <w:rPr>
          <w:rtl/>
        </w:rPr>
      </w:pPr>
      <w:r>
        <w:rPr>
          <w:rStyle w:val="af2"/>
        </w:rPr>
        <w:footnoteRef/>
      </w:r>
      <w:r>
        <w:rPr>
          <w:rtl/>
        </w:rPr>
        <w:t xml:space="preserve"> </w:t>
      </w:r>
      <w:r>
        <w:rPr>
          <w:rtl/>
        </w:rPr>
        <w:tab/>
      </w:r>
      <w:r>
        <w:rPr>
          <w:rFonts w:hint="cs"/>
          <w:rtl/>
        </w:rPr>
        <w:t xml:space="preserve">יסודי א' ויסודי ב' ותיכון ביענה. </w:t>
      </w:r>
    </w:p>
  </w:footnote>
  <w:footnote w:id="91">
    <w:p w:rsidR="00FA04F8" w:rsidRDefault="00FA04F8" w:rsidP="00014C4D">
      <w:pPr>
        <w:pStyle w:val="af0"/>
      </w:pPr>
      <w:r>
        <w:rPr>
          <w:rStyle w:val="af2"/>
        </w:rPr>
        <w:footnoteRef/>
      </w:r>
      <w:r>
        <w:rPr>
          <w:rtl/>
        </w:rPr>
        <w:t xml:space="preserve"> </w:t>
      </w:r>
      <w:r>
        <w:rPr>
          <w:rtl/>
        </w:rPr>
        <w:tab/>
      </w:r>
      <w:r>
        <w:rPr>
          <w:rFonts w:hint="cs"/>
          <w:rtl/>
        </w:rPr>
        <w:t>גן אלנג'אח.</w:t>
      </w:r>
    </w:p>
  </w:footnote>
  <w:footnote w:id="92">
    <w:p w:rsidR="00FA04F8" w:rsidRPr="00AA76F0" w:rsidRDefault="00FA04F8" w:rsidP="00014C4D">
      <w:pPr>
        <w:pStyle w:val="af0"/>
        <w:rPr>
          <w:rtl/>
        </w:rPr>
      </w:pPr>
      <w:r>
        <w:rPr>
          <w:rStyle w:val="af2"/>
        </w:rPr>
        <w:footnoteRef/>
      </w:r>
      <w:r>
        <w:rPr>
          <w:rtl/>
        </w:rPr>
        <w:t xml:space="preserve"> </w:t>
      </w:r>
      <w:r>
        <w:rPr>
          <w:rtl/>
        </w:rPr>
        <w:tab/>
      </w:r>
      <w:r>
        <w:rPr>
          <w:rFonts w:hint="cs"/>
          <w:rtl/>
        </w:rPr>
        <w:t xml:space="preserve">מתחילת המלחמה ועד תאריך זה העיר הוגדרה אזור אדום, והלימודים התקיימו באמצעות למידה מרחוק. </w:t>
      </w:r>
      <w:r w:rsidRPr="00BA2073">
        <w:rPr>
          <w:rFonts w:hint="cs"/>
          <w:rtl/>
        </w:rPr>
        <w:t>בתי הספר וגני הילדים חזרו</w:t>
      </w:r>
      <w:r w:rsidRPr="00AA76F0">
        <w:rPr>
          <w:rFonts w:hint="cs"/>
          <w:rtl/>
        </w:rPr>
        <w:t xml:space="preserve"> </w:t>
      </w:r>
      <w:r>
        <w:rPr>
          <w:rFonts w:hint="cs"/>
          <w:rtl/>
        </w:rPr>
        <w:t>ל</w:t>
      </w:r>
      <w:r w:rsidRPr="00AA76F0">
        <w:rPr>
          <w:rFonts w:hint="cs"/>
          <w:rtl/>
        </w:rPr>
        <w:t>למוד ב-22.10.23.</w:t>
      </w:r>
    </w:p>
  </w:footnote>
  <w:footnote w:id="93">
    <w:p w:rsidR="00FA04F8" w:rsidRPr="00AA76F0" w:rsidRDefault="00FA04F8" w:rsidP="00014C4D">
      <w:pPr>
        <w:pStyle w:val="af0"/>
      </w:pPr>
      <w:r w:rsidRPr="00AA76F0">
        <w:rPr>
          <w:rStyle w:val="af2"/>
        </w:rPr>
        <w:footnoteRef/>
      </w:r>
      <w:r w:rsidRPr="00AA76F0">
        <w:rPr>
          <w:rtl/>
        </w:rPr>
        <w:t xml:space="preserve"> </w:t>
      </w:r>
      <w:r w:rsidRPr="00AA76F0">
        <w:rPr>
          <w:rtl/>
        </w:rPr>
        <w:tab/>
      </w:r>
      <w:r w:rsidRPr="00AA76F0">
        <w:rPr>
          <w:rFonts w:hint="cs"/>
          <w:rtl/>
        </w:rPr>
        <w:t>הלימודים היו לפי שכבות</w:t>
      </w:r>
      <w:r>
        <w:rPr>
          <w:rFonts w:hint="cs"/>
          <w:rtl/>
        </w:rPr>
        <w:t>.</w:t>
      </w:r>
      <w:r w:rsidRPr="00AA76F0">
        <w:rPr>
          <w:rFonts w:hint="cs"/>
          <w:rtl/>
        </w:rPr>
        <w:t xml:space="preserve"> לדוגמ</w:t>
      </w:r>
      <w:r w:rsidRPr="00887031">
        <w:rPr>
          <w:rFonts w:hint="cs"/>
          <w:rtl/>
        </w:rPr>
        <w:t>ה, ביום אחד למדו</w:t>
      </w:r>
      <w:r w:rsidRPr="00AA76F0">
        <w:rPr>
          <w:rFonts w:hint="cs"/>
          <w:rtl/>
        </w:rPr>
        <w:t xml:space="preserve"> כל כיתות א-ב, </w:t>
      </w:r>
      <w:r>
        <w:rPr>
          <w:rFonts w:hint="cs"/>
          <w:rtl/>
        </w:rPr>
        <w:t xml:space="preserve">ביום אחר </w:t>
      </w:r>
      <w:r w:rsidRPr="00AA76F0">
        <w:rPr>
          <w:rFonts w:hint="cs"/>
          <w:rtl/>
        </w:rPr>
        <w:t>כל כיתות ג-ד וכו'.</w:t>
      </w:r>
    </w:p>
  </w:footnote>
  <w:footnote w:id="94">
    <w:p w:rsidR="00FA04F8" w:rsidRPr="00AA76F0" w:rsidRDefault="00FA04F8" w:rsidP="00014C4D">
      <w:pPr>
        <w:pStyle w:val="af0"/>
      </w:pPr>
      <w:r w:rsidRPr="00AA76F0">
        <w:rPr>
          <w:rStyle w:val="af2"/>
        </w:rPr>
        <w:footnoteRef/>
      </w:r>
      <w:r w:rsidRPr="00AA76F0">
        <w:rPr>
          <w:rtl/>
        </w:rPr>
        <w:t xml:space="preserve"> </w:t>
      </w:r>
      <w:r w:rsidRPr="00AA76F0">
        <w:rPr>
          <w:rtl/>
        </w:rPr>
        <w:tab/>
      </w:r>
      <w:r w:rsidRPr="00AA76F0">
        <w:rPr>
          <w:rFonts w:hint="cs"/>
          <w:rtl/>
        </w:rPr>
        <w:t>בשאר 11 גני הילדים (ההפרש שבין 50 ל-39 גני ילדים) היה מיגון לא</w:t>
      </w:r>
      <w:r>
        <w:rPr>
          <w:rFonts w:hint="cs"/>
          <w:rtl/>
        </w:rPr>
        <w:t>-</w:t>
      </w:r>
      <w:r w:rsidRPr="00AA76F0">
        <w:rPr>
          <w:rFonts w:hint="cs"/>
          <w:rtl/>
        </w:rPr>
        <w:t xml:space="preserve">תקני בהיקפים נמוכים שבין 1 ל-5 מ"ר. </w:t>
      </w:r>
    </w:p>
  </w:footnote>
  <w:footnote w:id="95">
    <w:p w:rsidR="00FA04F8" w:rsidRDefault="00FA04F8" w:rsidP="00014C4D">
      <w:pPr>
        <w:pStyle w:val="af0"/>
      </w:pPr>
      <w:r w:rsidRPr="00AA76F0">
        <w:rPr>
          <w:rStyle w:val="af2"/>
        </w:rPr>
        <w:footnoteRef/>
      </w:r>
      <w:r w:rsidRPr="00AA76F0">
        <w:rPr>
          <w:rtl/>
        </w:rPr>
        <w:t xml:space="preserve"> </w:t>
      </w:r>
      <w:r w:rsidRPr="00AA76F0">
        <w:rPr>
          <w:rtl/>
        </w:rPr>
        <w:tab/>
      </w:r>
      <w:r w:rsidRPr="00AA76F0">
        <w:rPr>
          <w:rFonts w:hint="cs"/>
          <w:rtl/>
        </w:rPr>
        <w:t>הלימודים היו לפי שכבות</w:t>
      </w:r>
      <w:r>
        <w:rPr>
          <w:rFonts w:hint="cs"/>
          <w:rtl/>
        </w:rPr>
        <w:t>.</w:t>
      </w:r>
      <w:r w:rsidRPr="00AA76F0">
        <w:rPr>
          <w:rFonts w:hint="cs"/>
          <w:rtl/>
        </w:rPr>
        <w:t xml:space="preserve"> </w:t>
      </w:r>
      <w:r w:rsidRPr="00887031">
        <w:rPr>
          <w:rFonts w:hint="cs"/>
          <w:rtl/>
        </w:rPr>
        <w:t>לדוגמה, ביום אחד למדו כל כיתות א-ב, ביום אחר כל כיתות ג-ד וכו'</w:t>
      </w:r>
      <w:r>
        <w:rPr>
          <w:rFonts w:hint="cs"/>
          <w:rtl/>
        </w:rPr>
        <w:t>.</w:t>
      </w:r>
    </w:p>
  </w:footnote>
  <w:footnote w:id="96">
    <w:p w:rsidR="00FA04F8" w:rsidRDefault="00FA04F8" w:rsidP="00014C4D">
      <w:pPr>
        <w:pStyle w:val="af0"/>
      </w:pPr>
      <w:r>
        <w:rPr>
          <w:rStyle w:val="af2"/>
        </w:rPr>
        <w:footnoteRef/>
      </w:r>
      <w:r>
        <w:rPr>
          <w:rtl/>
        </w:rPr>
        <w:t xml:space="preserve"> </w:t>
      </w:r>
      <w:r>
        <w:rPr>
          <w:rtl/>
        </w:rPr>
        <w:tab/>
      </w:r>
      <w:r>
        <w:rPr>
          <w:rFonts w:hint="cs"/>
          <w:rtl/>
        </w:rPr>
        <w:t xml:space="preserve">ניר העמק וקידום </w:t>
      </w:r>
      <w:r w:rsidRPr="00632C6D">
        <w:rPr>
          <w:rFonts w:hint="cs"/>
          <w:rtl/>
        </w:rPr>
        <w:t xml:space="preserve">נוער </w:t>
      </w:r>
      <w:r w:rsidRPr="00632C6D">
        <w:rPr>
          <w:rFonts w:hint="eastAsia"/>
          <w:rtl/>
        </w:rPr>
        <w:t>מקב</w:t>
      </w:r>
      <w:r w:rsidRPr="00632C6D">
        <w:rPr>
          <w:rFonts w:hint="cs"/>
          <w:rtl/>
        </w:rPr>
        <w:t>י</w:t>
      </w:r>
      <w:r w:rsidRPr="00632C6D">
        <w:rPr>
          <w:rFonts w:hint="eastAsia"/>
          <w:rtl/>
        </w:rPr>
        <w:t>לה</w:t>
      </w:r>
      <w:r w:rsidRPr="00632C6D">
        <w:rPr>
          <w:rFonts w:hint="cs"/>
          <w:rtl/>
        </w:rPr>
        <w:t>.</w:t>
      </w:r>
    </w:p>
  </w:footnote>
  <w:footnote w:id="97">
    <w:p w:rsidR="00FA04F8" w:rsidRDefault="00FA04F8" w:rsidP="00014C4D">
      <w:pPr>
        <w:pStyle w:val="af0"/>
      </w:pPr>
      <w:r>
        <w:rPr>
          <w:rStyle w:val="af2"/>
        </w:rPr>
        <w:footnoteRef/>
      </w:r>
      <w:r>
        <w:rPr>
          <w:rtl/>
        </w:rPr>
        <w:t xml:space="preserve"> </w:t>
      </w:r>
      <w:r>
        <w:rPr>
          <w:rtl/>
        </w:rPr>
        <w:tab/>
      </w:r>
      <w:r w:rsidRPr="00E911E1">
        <w:rPr>
          <w:rtl/>
        </w:rPr>
        <w:t>חבל תַּעְנַךְ הוא גוש התיישבות בדרום עמק יזרעאל, בין עפולה בצפון לפאתי ג'נין בדרום</w:t>
      </w:r>
      <w:r>
        <w:rPr>
          <w:rFonts w:hint="cs"/>
          <w:rtl/>
        </w:rPr>
        <w:t xml:space="preserve"> שבתחום המועצה האזורית הגלבוע. </w:t>
      </w:r>
    </w:p>
  </w:footnote>
  <w:footnote w:id="98">
    <w:p w:rsidR="00FA04F8" w:rsidRDefault="00FA04F8" w:rsidP="00014C4D">
      <w:pPr>
        <w:pStyle w:val="af0"/>
        <w:rPr>
          <w:rtl/>
        </w:rPr>
      </w:pPr>
      <w:r>
        <w:rPr>
          <w:rStyle w:val="af2"/>
        </w:rPr>
        <w:footnoteRef/>
      </w:r>
      <w:r>
        <w:rPr>
          <w:rFonts w:hint="cs"/>
          <w:rtl/>
        </w:rPr>
        <w:t xml:space="preserve"> </w:t>
      </w:r>
      <w:r>
        <w:rPr>
          <w:rtl/>
        </w:rPr>
        <w:tab/>
      </w:r>
      <w:r>
        <w:rPr>
          <w:rFonts w:hint="cs"/>
          <w:rtl/>
        </w:rPr>
        <w:t>על פי אתר המרשתת של הגלבוע בחבל תענך מצויים 12 יישובים: אביטל, אדירים, אומן, ברק, גדיש, דבורה, יעל, מיטב, מלאה, מגן שאול, ניר יפה, פרזון.</w:t>
      </w:r>
    </w:p>
  </w:footnote>
  <w:footnote w:id="99">
    <w:p w:rsidR="00FA04F8" w:rsidRDefault="00FA04F8" w:rsidP="00014C4D">
      <w:pPr>
        <w:pStyle w:val="af0"/>
        <w:rPr>
          <w:rtl/>
        </w:rPr>
      </w:pPr>
      <w:r>
        <w:rPr>
          <w:rStyle w:val="af2"/>
        </w:rPr>
        <w:footnoteRef/>
      </w:r>
      <w:r>
        <w:rPr>
          <w:rtl/>
        </w:rPr>
        <w:t xml:space="preserve"> </w:t>
      </w:r>
      <w:r>
        <w:rPr>
          <w:rtl/>
        </w:rPr>
        <w:tab/>
      </w:r>
      <w:r>
        <w:rPr>
          <w:rFonts w:hint="cs"/>
          <w:rtl/>
        </w:rPr>
        <w:t xml:space="preserve">דבורה, יד לחמישה, שבילים בגלבוע, שלהבות חב"ד. </w:t>
      </w:r>
    </w:p>
  </w:footnote>
  <w:footnote w:id="100">
    <w:p w:rsidR="00FA04F8" w:rsidRDefault="00FA04F8" w:rsidP="00014C4D">
      <w:pPr>
        <w:pStyle w:val="af0"/>
        <w:rPr>
          <w:rtl/>
        </w:rPr>
      </w:pPr>
      <w:r>
        <w:rPr>
          <w:rStyle w:val="af2"/>
        </w:rPr>
        <w:footnoteRef/>
      </w:r>
      <w:r>
        <w:rPr>
          <w:rtl/>
        </w:rPr>
        <w:t xml:space="preserve"> </w:t>
      </w:r>
      <w:r>
        <w:rPr>
          <w:rtl/>
        </w:rPr>
        <w:tab/>
      </w:r>
      <w:r w:rsidRPr="00FC2BDE">
        <w:rPr>
          <w:rtl/>
        </w:rPr>
        <w:t>אביטל ממ"ד</w:t>
      </w:r>
      <w:r w:rsidRPr="00FC2BDE">
        <w:rPr>
          <w:rFonts w:hint="cs"/>
          <w:rtl/>
        </w:rPr>
        <w:t>,</w:t>
      </w:r>
      <w:r w:rsidRPr="00FC2BDE">
        <w:rPr>
          <w:rtl/>
        </w:rPr>
        <w:t xml:space="preserve"> אדירים</w:t>
      </w:r>
      <w:r>
        <w:rPr>
          <w:rFonts w:hint="cs"/>
          <w:rtl/>
        </w:rPr>
        <w:t>,</w:t>
      </w:r>
      <w:r w:rsidRPr="00FC2BDE">
        <w:rPr>
          <w:rFonts w:hint="cs"/>
          <w:rtl/>
        </w:rPr>
        <w:t xml:space="preserve"> </w:t>
      </w:r>
      <w:r w:rsidRPr="00FC2BDE">
        <w:rPr>
          <w:rtl/>
        </w:rPr>
        <w:t>אומן</w:t>
      </w:r>
      <w:r w:rsidRPr="00FC2BDE">
        <w:rPr>
          <w:rFonts w:hint="cs"/>
          <w:rtl/>
        </w:rPr>
        <w:t>,</w:t>
      </w:r>
      <w:r>
        <w:rPr>
          <w:rFonts w:hint="cs"/>
          <w:rtl/>
        </w:rPr>
        <w:t xml:space="preserve"> </w:t>
      </w:r>
      <w:r w:rsidRPr="00FC2BDE">
        <w:rPr>
          <w:rtl/>
        </w:rPr>
        <w:t>ברק</w:t>
      </w:r>
      <w:r w:rsidRPr="00FC2BDE">
        <w:rPr>
          <w:rFonts w:hint="cs"/>
          <w:rtl/>
        </w:rPr>
        <w:t xml:space="preserve">, </w:t>
      </w:r>
      <w:r w:rsidRPr="00FC2BDE">
        <w:rPr>
          <w:rtl/>
        </w:rPr>
        <w:t>גדיש ממ"ד</w:t>
      </w:r>
      <w:r w:rsidRPr="00FC2BDE">
        <w:rPr>
          <w:rFonts w:hint="cs"/>
          <w:rtl/>
        </w:rPr>
        <w:t xml:space="preserve">, </w:t>
      </w:r>
      <w:r w:rsidRPr="00FC2BDE">
        <w:rPr>
          <w:rtl/>
        </w:rPr>
        <w:t>מגן שאול ט</w:t>
      </w:r>
      <w:r>
        <w:rPr>
          <w:rFonts w:hint="cs"/>
          <w:rtl/>
        </w:rPr>
        <w:t xml:space="preserve">' </w:t>
      </w:r>
      <w:r w:rsidRPr="00FC2BDE">
        <w:rPr>
          <w:rtl/>
        </w:rPr>
        <w:t>חובה</w:t>
      </w:r>
      <w:r>
        <w:rPr>
          <w:rFonts w:hint="cs"/>
          <w:rtl/>
        </w:rPr>
        <w:t>,</w:t>
      </w:r>
      <w:r w:rsidRPr="00FC2BDE">
        <w:rPr>
          <w:rtl/>
        </w:rPr>
        <w:t xml:space="preserve"> מגן שאול חובה</w:t>
      </w:r>
      <w:r w:rsidRPr="00FC2BDE">
        <w:rPr>
          <w:rFonts w:hint="cs"/>
          <w:rtl/>
        </w:rPr>
        <w:t xml:space="preserve">, </w:t>
      </w:r>
      <w:r w:rsidRPr="00FC2BDE">
        <w:rPr>
          <w:rtl/>
        </w:rPr>
        <w:t>מיטב ממ"ד</w:t>
      </w:r>
      <w:r w:rsidRPr="00FC2BDE">
        <w:rPr>
          <w:rFonts w:hint="cs"/>
          <w:rtl/>
        </w:rPr>
        <w:t xml:space="preserve">, </w:t>
      </w:r>
      <w:r w:rsidRPr="00FC2BDE">
        <w:rPr>
          <w:rtl/>
        </w:rPr>
        <w:t>מלאה ממ"ד</w:t>
      </w:r>
      <w:r w:rsidRPr="00FC2BDE">
        <w:rPr>
          <w:rFonts w:hint="cs"/>
          <w:rtl/>
        </w:rPr>
        <w:t xml:space="preserve">, </w:t>
      </w:r>
      <w:r w:rsidRPr="00FC2BDE">
        <w:rPr>
          <w:rtl/>
        </w:rPr>
        <w:t xml:space="preserve">ניר יפה </w:t>
      </w:r>
      <w:r>
        <w:rPr>
          <w:rFonts w:hint="cs"/>
          <w:rtl/>
        </w:rPr>
        <w:t xml:space="preserve">- </w:t>
      </w:r>
      <w:r w:rsidRPr="00FC2BDE">
        <w:rPr>
          <w:rtl/>
        </w:rPr>
        <w:t>חובה</w:t>
      </w:r>
      <w:r>
        <w:rPr>
          <w:rFonts w:hint="cs"/>
          <w:rtl/>
        </w:rPr>
        <w:t xml:space="preserve"> (2)</w:t>
      </w:r>
      <w:r w:rsidRPr="00FC2BDE">
        <w:rPr>
          <w:rFonts w:hint="cs"/>
          <w:rtl/>
        </w:rPr>
        <w:t xml:space="preserve">, </w:t>
      </w:r>
      <w:r w:rsidRPr="00FC2BDE">
        <w:rPr>
          <w:rtl/>
        </w:rPr>
        <w:t>פרזון</w:t>
      </w:r>
      <w:r w:rsidRPr="00FC2BDE">
        <w:rPr>
          <w:rFonts w:hint="cs"/>
          <w:rtl/>
        </w:rPr>
        <w:t>.</w:t>
      </w:r>
    </w:p>
  </w:footnote>
  <w:footnote w:id="101">
    <w:p w:rsidR="00FA04F8" w:rsidRDefault="00FA04F8" w:rsidP="00014C4D">
      <w:pPr>
        <w:pStyle w:val="af0"/>
        <w:rPr>
          <w:rtl/>
        </w:rPr>
      </w:pPr>
      <w:r>
        <w:rPr>
          <w:rStyle w:val="af2"/>
        </w:rPr>
        <w:footnoteRef/>
      </w:r>
      <w:r>
        <w:rPr>
          <w:rtl/>
        </w:rPr>
        <w:t xml:space="preserve"> </w:t>
      </w:r>
      <w:r>
        <w:rPr>
          <w:rtl/>
        </w:rPr>
        <w:tab/>
      </w:r>
      <w:r>
        <w:rPr>
          <w:rFonts w:hint="cs"/>
          <w:rtl/>
        </w:rPr>
        <w:t xml:space="preserve">תלמידי </w:t>
      </w:r>
      <w:r w:rsidRPr="00E85BD3">
        <w:rPr>
          <w:rFonts w:hint="cs"/>
          <w:rtl/>
        </w:rPr>
        <w:t>בית הספר יד לחמישה ושבילים בגלבוע למדו פעם ביומיים</w:t>
      </w:r>
      <w:r>
        <w:rPr>
          <w:rFonts w:hint="cs"/>
          <w:rtl/>
        </w:rPr>
        <w:t xml:space="preserve">. </w:t>
      </w:r>
    </w:p>
  </w:footnote>
  <w:footnote w:id="102">
    <w:p w:rsidR="00FA04F8" w:rsidRDefault="00FA04F8" w:rsidP="00014C4D">
      <w:pPr>
        <w:pStyle w:val="af0"/>
        <w:rPr>
          <w:rtl/>
        </w:rPr>
      </w:pPr>
      <w:r>
        <w:rPr>
          <w:rStyle w:val="af2"/>
        </w:rPr>
        <w:footnoteRef/>
      </w:r>
      <w:r>
        <w:rPr>
          <w:rtl/>
        </w:rPr>
        <w:t xml:space="preserve"> </w:t>
      </w:r>
      <w:r>
        <w:rPr>
          <w:rtl/>
        </w:rPr>
        <w:tab/>
      </w:r>
      <w:r>
        <w:rPr>
          <w:rFonts w:hint="cs"/>
          <w:rtl/>
        </w:rPr>
        <w:t>למועצה לא הייתה רשימה המפרטת כמה מגני הילדים שהיה בהם מיגון תקני חלקי התארחו בגני ילדים אחרים וכמה למדו במוסדות אחרים.</w:t>
      </w:r>
    </w:p>
  </w:footnote>
  <w:footnote w:id="103">
    <w:p w:rsidR="00FA04F8" w:rsidRDefault="00FA04F8" w:rsidP="00014C4D">
      <w:pPr>
        <w:pStyle w:val="af0"/>
      </w:pPr>
      <w:r>
        <w:rPr>
          <w:rStyle w:val="af2"/>
        </w:rPr>
        <w:footnoteRef/>
      </w:r>
      <w:r>
        <w:rPr>
          <w:rtl/>
        </w:rPr>
        <w:t xml:space="preserve"> </w:t>
      </w:r>
      <w:r>
        <w:rPr>
          <w:rtl/>
        </w:rPr>
        <w:tab/>
      </w:r>
      <w:r>
        <w:rPr>
          <w:rFonts w:hint="cs"/>
          <w:rtl/>
        </w:rPr>
        <w:t>כגון בתי כנסת, אולם ספורט, וילות פרטיות.</w:t>
      </w:r>
    </w:p>
  </w:footnote>
  <w:footnote w:id="104">
    <w:p w:rsidR="00FA04F8" w:rsidRDefault="00FA04F8" w:rsidP="00014C4D">
      <w:pPr>
        <w:pStyle w:val="af0"/>
        <w:rPr>
          <w:rtl/>
        </w:rPr>
      </w:pPr>
      <w:r w:rsidRPr="006556E1">
        <w:rPr>
          <w:rStyle w:val="af2"/>
        </w:rPr>
        <w:footnoteRef/>
      </w:r>
      <w:r w:rsidRPr="006556E1">
        <w:rPr>
          <w:rtl/>
        </w:rPr>
        <w:t xml:space="preserve"> </w:t>
      </w:r>
      <w:r w:rsidRPr="006556E1">
        <w:rPr>
          <w:rtl/>
        </w:rPr>
        <w:tab/>
      </w:r>
      <w:r w:rsidRPr="00BD67C0">
        <w:rPr>
          <w:rFonts w:hint="cs"/>
          <w:rtl/>
        </w:rPr>
        <w:t>מתחילת המלחמה ועד תאריך זה הוגדרה העיר אזור</w:t>
      </w:r>
      <w:r w:rsidRPr="00BD67C0">
        <w:rPr>
          <w:rtl/>
        </w:rPr>
        <w:t xml:space="preserve"> </w:t>
      </w:r>
      <w:r w:rsidRPr="00BD67C0">
        <w:rPr>
          <w:rFonts w:hint="eastAsia"/>
          <w:rtl/>
        </w:rPr>
        <w:t>אדום</w:t>
      </w:r>
      <w:r w:rsidRPr="00BD67C0">
        <w:rPr>
          <w:rFonts w:hint="cs"/>
          <w:rtl/>
        </w:rPr>
        <w:t>,</w:t>
      </w:r>
      <w:r w:rsidRPr="006556E1">
        <w:rPr>
          <w:rtl/>
        </w:rPr>
        <w:t xml:space="preserve"> </w:t>
      </w:r>
      <w:r w:rsidRPr="00BD67C0">
        <w:rPr>
          <w:rFonts w:hint="cs"/>
          <w:rtl/>
        </w:rPr>
        <w:t xml:space="preserve">והלימודים התקיימו </w:t>
      </w:r>
      <w:r>
        <w:rPr>
          <w:rFonts w:hint="cs"/>
          <w:rtl/>
        </w:rPr>
        <w:t>באמצעות למידה מרחוק.</w:t>
      </w:r>
    </w:p>
  </w:footnote>
  <w:footnote w:id="105">
    <w:p w:rsidR="00FA04F8" w:rsidRDefault="00FA04F8" w:rsidP="00014C4D">
      <w:pPr>
        <w:pStyle w:val="af0"/>
        <w:rPr>
          <w:rtl/>
        </w:rPr>
      </w:pPr>
      <w:r>
        <w:rPr>
          <w:rStyle w:val="af2"/>
        </w:rPr>
        <w:footnoteRef/>
      </w:r>
      <w:r>
        <w:rPr>
          <w:rtl/>
        </w:rPr>
        <w:t xml:space="preserve"> </w:t>
      </w:r>
      <w:r>
        <w:rPr>
          <w:rtl/>
        </w:rPr>
        <w:tab/>
      </w:r>
      <w:r>
        <w:rPr>
          <w:rFonts w:hint="cs"/>
          <w:rtl/>
        </w:rPr>
        <w:t>בתי הספר גורדון, תיכון הייטק, תיכון שש-שנתי אורט וטומשין.</w:t>
      </w:r>
    </w:p>
  </w:footnote>
  <w:footnote w:id="106">
    <w:p w:rsidR="00FA04F8" w:rsidRDefault="00FA04F8" w:rsidP="00014C4D">
      <w:pPr>
        <w:pStyle w:val="af0"/>
      </w:pPr>
      <w:r>
        <w:rPr>
          <w:rStyle w:val="af2"/>
        </w:rPr>
        <w:footnoteRef/>
      </w:r>
      <w:r>
        <w:rPr>
          <w:rtl/>
        </w:rPr>
        <w:t xml:space="preserve"> </w:t>
      </w:r>
      <w:r>
        <w:rPr>
          <w:rtl/>
        </w:rPr>
        <w:tab/>
      </w:r>
      <w:r>
        <w:rPr>
          <w:rFonts w:hint="cs"/>
          <w:rtl/>
        </w:rPr>
        <w:t>כאמור, מאחר</w:t>
      </w:r>
      <w:r w:rsidRPr="00B57F13">
        <w:rPr>
          <w:rFonts w:hint="cs"/>
          <w:rtl/>
        </w:rPr>
        <w:t xml:space="preserve"> שמדובר בחלק מהכ</w:t>
      </w:r>
      <w:r>
        <w:rPr>
          <w:rFonts w:hint="cs"/>
          <w:rtl/>
        </w:rPr>
        <w:t>י</w:t>
      </w:r>
      <w:r w:rsidRPr="00B57F13">
        <w:rPr>
          <w:rFonts w:hint="cs"/>
          <w:rtl/>
        </w:rPr>
        <w:t xml:space="preserve">תות או </w:t>
      </w:r>
      <w:r>
        <w:rPr>
          <w:rFonts w:hint="cs"/>
          <w:rtl/>
        </w:rPr>
        <w:t>ב</w:t>
      </w:r>
      <w:r w:rsidRPr="00B57F13">
        <w:rPr>
          <w:rFonts w:hint="cs"/>
          <w:rtl/>
        </w:rPr>
        <w:t>חלק מבתי הספר ובחלק מהימים, לא ניתן לכמת את מספר התלמידים</w:t>
      </w:r>
      <w:r>
        <w:rPr>
          <w:rFonts w:hint="cs"/>
          <w:rtl/>
        </w:rPr>
        <w:t>.</w:t>
      </w:r>
    </w:p>
  </w:footnote>
  <w:footnote w:id="107">
    <w:p w:rsidR="00FA04F8" w:rsidRDefault="00FA04F8" w:rsidP="00014C4D">
      <w:pPr>
        <w:pStyle w:val="af0"/>
      </w:pPr>
      <w:r>
        <w:rPr>
          <w:rStyle w:val="af2"/>
        </w:rPr>
        <w:footnoteRef/>
      </w:r>
      <w:r>
        <w:rPr>
          <w:rtl/>
        </w:rPr>
        <w:t xml:space="preserve"> </w:t>
      </w:r>
      <w:r>
        <w:rPr>
          <w:rtl/>
        </w:rPr>
        <w:tab/>
      </w:r>
      <w:r w:rsidRPr="00E85BD3">
        <w:rPr>
          <w:rFonts w:hint="cs"/>
          <w:rtl/>
        </w:rPr>
        <w:t>סעיפים 4.3 א.13; נספח ו, המקלט - סעיף א;</w:t>
      </w:r>
      <w:r>
        <w:rPr>
          <w:rFonts w:hint="cs"/>
          <w:rtl/>
        </w:rPr>
        <w:t xml:space="preserve"> הוראות דומות קיימות גם בנוגע לגני ילדים. ראו חוזר המנהלת הכללית - הוראת קבע של משרד החינוך, נובמבר 2016.</w:t>
      </w:r>
    </w:p>
  </w:footnote>
  <w:footnote w:id="108">
    <w:p w:rsidR="00FA04F8" w:rsidRDefault="00FA04F8" w:rsidP="00014C4D">
      <w:pPr>
        <w:pStyle w:val="af0"/>
        <w:rPr>
          <w:rtl/>
        </w:rPr>
      </w:pPr>
      <w:r>
        <w:rPr>
          <w:rStyle w:val="af2"/>
        </w:rPr>
        <w:footnoteRef/>
      </w:r>
      <w:r>
        <w:rPr>
          <w:rtl/>
        </w:rPr>
        <w:t xml:space="preserve"> </w:t>
      </w:r>
      <w:r>
        <w:rPr>
          <w:rtl/>
        </w:rPr>
        <w:tab/>
      </w:r>
      <w:r w:rsidRPr="00E85BD3">
        <w:rPr>
          <w:rFonts w:hint="cs"/>
          <w:rtl/>
        </w:rPr>
        <w:t>נובמבר 2016 -הוראת קבע מס' 6</w:t>
      </w:r>
      <w:r>
        <w:rPr>
          <w:rFonts w:hint="cs"/>
          <w:rtl/>
        </w:rPr>
        <w:t>.</w:t>
      </w:r>
    </w:p>
  </w:footnote>
  <w:footnote w:id="109">
    <w:p w:rsidR="00FA04F8" w:rsidRPr="00770BA2" w:rsidRDefault="00FA04F8" w:rsidP="00014C4D">
      <w:pPr>
        <w:pStyle w:val="af0"/>
        <w:rPr>
          <w:color w:val="FF0000"/>
          <w:rtl/>
        </w:rPr>
      </w:pPr>
      <w:r>
        <w:rPr>
          <w:rStyle w:val="af2"/>
        </w:rPr>
        <w:footnoteRef/>
      </w:r>
      <w:r>
        <w:rPr>
          <w:rtl/>
        </w:rPr>
        <w:t xml:space="preserve"> </w:t>
      </w:r>
      <w:r>
        <w:rPr>
          <w:rtl/>
        </w:rPr>
        <w:tab/>
      </w:r>
      <w:r w:rsidRPr="00FD0C77">
        <w:rPr>
          <w:rFonts w:ascii="David" w:eastAsia="Times New Roman" w:hAnsi="David"/>
          <w:sz w:val="24"/>
          <w:rtl/>
        </w:rPr>
        <w:t>תקן ציוד למקלט/למרחב מוגן בגודל של עד 50 מ"ר עפ"י תקנות ההתגוננות האזרחית (ציוד ושילוט במקלטים ובמחסנים ציבוריים) (התשמ"א-1981)</w:t>
      </w:r>
      <w:r w:rsidRPr="00FD0C77">
        <w:rPr>
          <w:rFonts w:hint="cs"/>
          <w:rtl/>
        </w:rPr>
        <w:t>.</w:t>
      </w:r>
    </w:p>
  </w:footnote>
  <w:footnote w:id="110">
    <w:p w:rsidR="00FA04F8" w:rsidRDefault="00FA04F8" w:rsidP="00014C4D">
      <w:pPr>
        <w:pStyle w:val="af0"/>
      </w:pPr>
      <w:r w:rsidRPr="00FD0C77">
        <w:rPr>
          <w:rStyle w:val="af2"/>
        </w:rPr>
        <w:footnoteRef/>
      </w:r>
      <w:r w:rsidRPr="00FD0C77">
        <w:rPr>
          <w:rtl/>
        </w:rPr>
        <w:t xml:space="preserve"> </w:t>
      </w:r>
      <w:r w:rsidRPr="00770BA2">
        <w:rPr>
          <w:color w:val="FF0000"/>
          <w:rtl/>
        </w:rPr>
        <w:tab/>
      </w:r>
      <w:r w:rsidRPr="00FD0C77">
        <w:rPr>
          <w:rFonts w:ascii="David" w:eastAsia="Times New Roman" w:hAnsi="David"/>
          <w:sz w:val="24"/>
          <w:rtl/>
        </w:rPr>
        <w:t xml:space="preserve">תקן הציוד למקלט/למרחב מוגן בגודל של עד 20 מ"ר </w:t>
      </w:r>
      <w:r>
        <w:rPr>
          <w:rFonts w:ascii="David" w:eastAsia="Times New Roman" w:hAnsi="David" w:hint="cs"/>
          <w:sz w:val="24"/>
          <w:rtl/>
        </w:rPr>
        <w:t>-</w:t>
      </w:r>
      <w:r w:rsidRPr="00FD0C77">
        <w:rPr>
          <w:rFonts w:ascii="David" w:eastAsia="Times New Roman" w:hAnsi="David"/>
          <w:sz w:val="24"/>
          <w:rtl/>
        </w:rPr>
        <w:t xml:space="preserve"> גן ילדים </w:t>
      </w:r>
      <w:r>
        <w:rPr>
          <w:rFonts w:ascii="David" w:eastAsia="Times New Roman" w:hAnsi="David" w:hint="cs"/>
          <w:sz w:val="24"/>
          <w:rtl/>
        </w:rPr>
        <w:t>-</w:t>
      </w:r>
      <w:r w:rsidRPr="00FD0C77">
        <w:rPr>
          <w:rFonts w:ascii="David" w:eastAsia="Times New Roman" w:hAnsi="David"/>
          <w:sz w:val="24"/>
          <w:rtl/>
        </w:rPr>
        <w:t xml:space="preserve"> על פי תקנות ההתגוננות האזרחית (ציוד ושילוט במקלטים ובמחסנים ציבוריים), התשמ"א</w:t>
      </w:r>
      <w:r>
        <w:rPr>
          <w:rFonts w:ascii="David" w:eastAsia="Times New Roman" w:hAnsi="David" w:hint="cs"/>
          <w:sz w:val="24"/>
          <w:rtl/>
        </w:rPr>
        <w:t>-</w:t>
      </w:r>
      <w:r w:rsidRPr="00FD0C77">
        <w:rPr>
          <w:rFonts w:ascii="David" w:eastAsia="Times New Roman" w:hAnsi="David"/>
          <w:sz w:val="24"/>
          <w:rtl/>
        </w:rPr>
        <w:t>1981</w:t>
      </w:r>
      <w:r>
        <w:rPr>
          <w:rFonts w:ascii="David" w:eastAsia="Times New Roman" w:hAnsi="David" w:hint="cs"/>
          <w:sz w:val="24"/>
          <w:rtl/>
        </w:rPr>
        <w:t>.</w:t>
      </w:r>
    </w:p>
  </w:footnote>
  <w:footnote w:id="111">
    <w:p w:rsidR="00FA04F8" w:rsidRDefault="00FA04F8" w:rsidP="00014C4D">
      <w:pPr>
        <w:pStyle w:val="af0"/>
      </w:pPr>
      <w:r>
        <w:rPr>
          <w:rStyle w:val="af2"/>
        </w:rPr>
        <w:footnoteRef/>
      </w:r>
      <w:r>
        <w:rPr>
          <w:rtl/>
        </w:rPr>
        <w:t xml:space="preserve"> </w:t>
      </w:r>
      <w:r>
        <w:rPr>
          <w:rtl/>
        </w:rPr>
        <w:tab/>
      </w:r>
      <w:r>
        <w:rPr>
          <w:rFonts w:ascii="David" w:eastAsia="Times New Roman" w:hAnsi="David" w:hint="cs"/>
          <w:sz w:val="24"/>
          <w:rtl/>
        </w:rPr>
        <w:t>תכולת תיק</w:t>
      </w:r>
      <w:r w:rsidRPr="00A00C03">
        <w:rPr>
          <w:rFonts w:ascii="David" w:eastAsia="Times New Roman" w:hAnsi="David"/>
          <w:sz w:val="24"/>
          <w:rtl/>
        </w:rPr>
        <w:t xml:space="preserve"> </w:t>
      </w:r>
      <w:r>
        <w:rPr>
          <w:rFonts w:ascii="David" w:eastAsia="Times New Roman" w:hAnsi="David" w:hint="cs"/>
          <w:sz w:val="24"/>
          <w:rtl/>
        </w:rPr>
        <w:t>ה</w:t>
      </w:r>
      <w:r w:rsidRPr="00A00C03">
        <w:rPr>
          <w:rFonts w:ascii="David" w:eastAsia="Times New Roman" w:hAnsi="David"/>
          <w:sz w:val="24"/>
          <w:rtl/>
        </w:rPr>
        <w:t>עזר</w:t>
      </w:r>
      <w:r>
        <w:rPr>
          <w:rFonts w:ascii="David" w:eastAsia="Times New Roman" w:hAnsi="David" w:hint="cs"/>
          <w:sz w:val="24"/>
          <w:rtl/>
        </w:rPr>
        <w:t>ה</w:t>
      </w:r>
      <w:r w:rsidRPr="00A00C03">
        <w:rPr>
          <w:rFonts w:ascii="David" w:eastAsia="Times New Roman" w:hAnsi="David"/>
          <w:sz w:val="24"/>
          <w:rtl/>
        </w:rPr>
        <w:t xml:space="preserve"> </w:t>
      </w:r>
      <w:r>
        <w:rPr>
          <w:rFonts w:ascii="David" w:eastAsia="Times New Roman" w:hAnsi="David" w:hint="cs"/>
          <w:sz w:val="24"/>
          <w:rtl/>
        </w:rPr>
        <w:t>ה</w:t>
      </w:r>
      <w:r w:rsidRPr="00A00C03">
        <w:rPr>
          <w:rFonts w:ascii="David" w:eastAsia="Times New Roman" w:hAnsi="David"/>
          <w:sz w:val="24"/>
          <w:rtl/>
        </w:rPr>
        <w:t>ראשונה</w:t>
      </w:r>
      <w:r>
        <w:rPr>
          <w:rFonts w:ascii="David" w:eastAsia="Times New Roman" w:hAnsi="David" w:hint="cs"/>
          <w:sz w:val="24"/>
          <w:rtl/>
        </w:rPr>
        <w:t>: בית ספר</w:t>
      </w:r>
      <w:r>
        <w:rPr>
          <w:rFonts w:ascii="David" w:hAnsi="David" w:hint="cs"/>
          <w:sz w:val="24"/>
          <w:rtl/>
        </w:rPr>
        <w:t xml:space="preserve"> </w:t>
      </w:r>
      <w:r w:rsidRPr="00763EA8">
        <w:rPr>
          <w:rFonts w:ascii="David" w:hAnsi="David" w:hint="cs"/>
          <w:sz w:val="24"/>
          <w:rtl/>
        </w:rPr>
        <w:t xml:space="preserve">- </w:t>
      </w:r>
      <w:r w:rsidRPr="00763EA8">
        <w:rPr>
          <w:rFonts w:ascii="David" w:hAnsi="David" w:hint="eastAsia"/>
          <w:sz w:val="24"/>
          <w:rtl/>
        </w:rPr>
        <w:t>תרמיל</w:t>
      </w:r>
      <w:r>
        <w:rPr>
          <w:rFonts w:ascii="David" w:hAnsi="David" w:hint="cs"/>
          <w:sz w:val="24"/>
          <w:rtl/>
        </w:rPr>
        <w:t xml:space="preserve"> עזרה ראשונה, </w:t>
      </w:r>
      <w:r w:rsidRPr="003968A3">
        <w:rPr>
          <w:rFonts w:ascii="David" w:hAnsi="David" w:hint="cs"/>
          <w:sz w:val="24"/>
          <w:rtl/>
        </w:rPr>
        <w:t>אגדים, מסור ומספריים לחיתוך ברזל, מספריים, שמיכת צמר,</w:t>
      </w:r>
      <w:r>
        <w:rPr>
          <w:rFonts w:ascii="David" w:hAnsi="David" w:hint="cs"/>
          <w:sz w:val="24"/>
          <w:rtl/>
        </w:rPr>
        <w:t xml:space="preserve"> </w:t>
      </w:r>
      <w:r w:rsidRPr="003968A3">
        <w:rPr>
          <w:rFonts w:ascii="David" w:hAnsi="David" w:hint="cs"/>
          <w:sz w:val="24"/>
          <w:rtl/>
        </w:rPr>
        <w:t>חוסם עורקים, סד רשת, פד גזה, תחבושת אישית קטנה, תחבושת בינונית, תחבושת נגד כוויות</w:t>
      </w:r>
      <w:r>
        <w:rPr>
          <w:rFonts w:hint="cs"/>
          <w:rtl/>
        </w:rPr>
        <w:t xml:space="preserve">; גני ילדים </w:t>
      </w:r>
      <w:r w:rsidRPr="008242C7">
        <w:rPr>
          <w:rFonts w:ascii="David" w:eastAsia="Times New Roman" w:hAnsi="David" w:hint="cs"/>
          <w:sz w:val="24"/>
          <w:rtl/>
        </w:rPr>
        <w:t xml:space="preserve">- </w:t>
      </w:r>
      <w:r w:rsidRPr="008242C7">
        <w:rPr>
          <w:rFonts w:ascii="David" w:eastAsia="Times New Roman" w:hAnsi="David"/>
          <w:sz w:val="24"/>
          <w:rtl/>
        </w:rPr>
        <w:t xml:space="preserve">תרמיל גב </w:t>
      </w:r>
      <w:r>
        <w:rPr>
          <w:rFonts w:ascii="David" w:eastAsia="Times New Roman" w:hAnsi="David" w:hint="cs"/>
          <w:sz w:val="24"/>
          <w:rtl/>
        </w:rPr>
        <w:t>ה</w:t>
      </w:r>
      <w:r w:rsidRPr="008242C7">
        <w:rPr>
          <w:rFonts w:ascii="David" w:eastAsia="Times New Roman" w:hAnsi="David"/>
          <w:sz w:val="24"/>
          <w:rtl/>
        </w:rPr>
        <w:t>תואם לתכולה</w:t>
      </w:r>
      <w:r w:rsidRPr="008242C7">
        <w:rPr>
          <w:rFonts w:ascii="David" w:eastAsia="Times New Roman" w:hAnsi="David" w:hint="cs"/>
          <w:sz w:val="24"/>
          <w:rtl/>
        </w:rPr>
        <w:t xml:space="preserve">, </w:t>
      </w:r>
      <w:r w:rsidRPr="008242C7">
        <w:rPr>
          <w:rFonts w:ascii="David" w:eastAsia="Times New Roman" w:hAnsi="David"/>
          <w:sz w:val="24"/>
          <w:rtl/>
        </w:rPr>
        <w:t>תחבושת אישית</w:t>
      </w:r>
      <w:r w:rsidRPr="008242C7">
        <w:rPr>
          <w:rFonts w:ascii="David" w:eastAsia="Times New Roman" w:hAnsi="David" w:hint="cs"/>
          <w:sz w:val="24"/>
          <w:rtl/>
        </w:rPr>
        <w:t xml:space="preserve">, </w:t>
      </w:r>
      <w:r w:rsidRPr="008242C7">
        <w:rPr>
          <w:rFonts w:ascii="David" w:eastAsia="Times New Roman" w:hAnsi="David"/>
          <w:sz w:val="24"/>
          <w:rtl/>
        </w:rPr>
        <w:t>תחבושת בינונית</w:t>
      </w:r>
      <w:r w:rsidRPr="008242C7">
        <w:rPr>
          <w:rFonts w:ascii="David" w:eastAsia="Times New Roman" w:hAnsi="David" w:hint="cs"/>
          <w:sz w:val="24"/>
          <w:rtl/>
        </w:rPr>
        <w:t xml:space="preserve">, </w:t>
      </w:r>
      <w:r w:rsidRPr="008242C7">
        <w:rPr>
          <w:rFonts w:ascii="David" w:eastAsia="Times New Roman" w:hAnsi="David"/>
          <w:sz w:val="24"/>
          <w:rtl/>
        </w:rPr>
        <w:t>חסם עורקים</w:t>
      </w:r>
      <w:r w:rsidRPr="008242C7">
        <w:rPr>
          <w:rFonts w:ascii="David" w:eastAsia="Times New Roman" w:hAnsi="David" w:hint="cs"/>
          <w:sz w:val="24"/>
          <w:rtl/>
        </w:rPr>
        <w:t xml:space="preserve">, </w:t>
      </w:r>
      <w:r w:rsidRPr="008242C7">
        <w:rPr>
          <w:rFonts w:ascii="David" w:eastAsia="Times New Roman" w:hAnsi="David"/>
          <w:sz w:val="24"/>
          <w:rtl/>
        </w:rPr>
        <w:t>אגד (תחבושת)</w:t>
      </w:r>
      <w:r w:rsidRPr="008242C7">
        <w:rPr>
          <w:rFonts w:ascii="David" w:eastAsia="Times New Roman" w:hAnsi="David" w:hint="cs"/>
          <w:sz w:val="24"/>
          <w:rtl/>
        </w:rPr>
        <w:t xml:space="preserve">, </w:t>
      </w:r>
      <w:r w:rsidRPr="008242C7">
        <w:rPr>
          <w:rFonts w:ascii="David" w:eastAsia="Times New Roman" w:hAnsi="David"/>
          <w:sz w:val="24"/>
          <w:rtl/>
        </w:rPr>
        <w:t>אספלנית (מיקרופור)</w:t>
      </w:r>
      <w:r w:rsidRPr="008242C7">
        <w:rPr>
          <w:rFonts w:ascii="David" w:eastAsia="Times New Roman" w:hAnsi="David" w:hint="cs"/>
          <w:sz w:val="24"/>
          <w:rtl/>
        </w:rPr>
        <w:t xml:space="preserve">, </w:t>
      </w:r>
      <w:r w:rsidRPr="008242C7">
        <w:rPr>
          <w:rFonts w:ascii="David" w:eastAsia="Times New Roman" w:hAnsi="David"/>
          <w:sz w:val="24"/>
          <w:rtl/>
        </w:rPr>
        <w:t>פלסטר</w:t>
      </w:r>
      <w:r w:rsidRPr="008242C7">
        <w:rPr>
          <w:rFonts w:ascii="David" w:eastAsia="Times New Roman" w:hAnsi="David" w:hint="cs"/>
          <w:sz w:val="24"/>
          <w:rtl/>
        </w:rPr>
        <w:t xml:space="preserve">, </w:t>
      </w:r>
      <w:r>
        <w:rPr>
          <w:rFonts w:ascii="David" w:eastAsia="Times New Roman" w:hAnsi="David" w:hint="cs"/>
          <w:sz w:val="24"/>
          <w:rtl/>
        </w:rPr>
        <w:t xml:space="preserve">מספריים </w:t>
      </w:r>
      <w:r w:rsidRPr="009636AB">
        <w:rPr>
          <w:rFonts w:ascii="David" w:eastAsia="Times New Roman" w:hAnsi="David" w:hint="cs"/>
          <w:sz w:val="24"/>
          <w:rtl/>
        </w:rPr>
        <w:t>מסוג</w:t>
      </w:r>
      <w:r w:rsidRPr="00FD2EF9">
        <w:rPr>
          <w:rFonts w:ascii="David" w:eastAsia="Times New Roman" w:hAnsi="David" w:hint="cs"/>
          <w:sz w:val="24"/>
          <w:rtl/>
        </w:rPr>
        <w:t xml:space="preserve"> "</w:t>
      </w:r>
      <w:r w:rsidRPr="00FD2EF9">
        <w:rPr>
          <w:rFonts w:ascii="David" w:eastAsia="Times New Roman" w:hAnsi="David"/>
          <w:sz w:val="24"/>
          <w:rtl/>
        </w:rPr>
        <w:t>מלע"</w:t>
      </w:r>
      <w:r w:rsidRPr="00FD2EF9">
        <w:rPr>
          <w:rFonts w:ascii="David" w:eastAsia="Times New Roman" w:hAnsi="David" w:hint="cs"/>
          <w:sz w:val="24"/>
          <w:rtl/>
        </w:rPr>
        <w:t>כ"</w:t>
      </w:r>
      <w:r w:rsidRPr="009636AB">
        <w:rPr>
          <w:rFonts w:ascii="David" w:eastAsia="Times New Roman" w:hAnsi="David"/>
          <w:sz w:val="24"/>
          <w:rtl/>
        </w:rPr>
        <w:t xml:space="preserve"> </w:t>
      </w:r>
      <w:r w:rsidRPr="008242C7">
        <w:rPr>
          <w:rFonts w:ascii="David" w:eastAsia="Times New Roman" w:hAnsi="David"/>
          <w:sz w:val="24"/>
          <w:rtl/>
        </w:rPr>
        <w:t>(</w:t>
      </w:r>
      <w:r>
        <w:rPr>
          <w:rFonts w:ascii="David" w:eastAsia="Times New Roman" w:hAnsi="David" w:hint="cs"/>
          <w:sz w:val="24"/>
          <w:rtl/>
        </w:rPr>
        <w:t>"</w:t>
      </w:r>
      <w:r w:rsidRPr="008242C7">
        <w:rPr>
          <w:rFonts w:ascii="David" w:eastAsia="Times New Roman" w:hAnsi="David"/>
          <w:sz w:val="24"/>
          <w:rtl/>
        </w:rPr>
        <w:t>מספרי</w:t>
      </w:r>
      <w:r>
        <w:rPr>
          <w:rFonts w:ascii="David" w:eastAsia="Times New Roman" w:hAnsi="David" w:hint="cs"/>
          <w:sz w:val="24"/>
          <w:rtl/>
        </w:rPr>
        <w:t xml:space="preserve"> טראומה"</w:t>
      </w:r>
      <w:r w:rsidRPr="008242C7">
        <w:rPr>
          <w:rFonts w:ascii="David" w:eastAsia="Times New Roman" w:hAnsi="David"/>
          <w:sz w:val="24"/>
          <w:rtl/>
        </w:rPr>
        <w:t>)</w:t>
      </w:r>
      <w:r w:rsidRPr="008242C7">
        <w:rPr>
          <w:rFonts w:ascii="David" w:eastAsia="Times New Roman" w:hAnsi="David" w:hint="cs"/>
          <w:sz w:val="24"/>
          <w:rtl/>
        </w:rPr>
        <w:t xml:space="preserve">, </w:t>
      </w:r>
      <w:r w:rsidRPr="008242C7">
        <w:rPr>
          <w:rFonts w:ascii="David" w:eastAsia="Times New Roman" w:hAnsi="David"/>
          <w:sz w:val="24"/>
          <w:rtl/>
        </w:rPr>
        <w:t>סד קשיח לקיבוע</w:t>
      </w:r>
      <w:r w:rsidRPr="008242C7">
        <w:rPr>
          <w:rFonts w:ascii="David" w:eastAsia="Times New Roman" w:hAnsi="David" w:hint="cs"/>
          <w:sz w:val="24"/>
          <w:rtl/>
        </w:rPr>
        <w:t xml:space="preserve">, </w:t>
      </w:r>
      <w:r w:rsidRPr="008242C7">
        <w:rPr>
          <w:rFonts w:ascii="David" w:eastAsia="Times New Roman" w:hAnsi="David"/>
          <w:sz w:val="24"/>
          <w:rtl/>
        </w:rPr>
        <w:t>מזרק אפיפן לילד</w:t>
      </w:r>
      <w:r w:rsidRPr="008242C7">
        <w:rPr>
          <w:rFonts w:ascii="David" w:eastAsia="Times New Roman" w:hAnsi="David" w:hint="cs"/>
          <w:sz w:val="24"/>
          <w:rtl/>
        </w:rPr>
        <w:t xml:space="preserve">, </w:t>
      </w:r>
      <w:r w:rsidRPr="008242C7">
        <w:rPr>
          <w:rFonts w:ascii="David" w:eastAsia="Times New Roman" w:hAnsi="David"/>
          <w:sz w:val="24"/>
          <w:rtl/>
        </w:rPr>
        <w:t>מסכת כיס להנשמה</w:t>
      </w:r>
      <w:r w:rsidRPr="008242C7">
        <w:rPr>
          <w:rFonts w:ascii="David" w:eastAsia="Times New Roman" w:hAnsi="David" w:hint="cs"/>
          <w:sz w:val="24"/>
          <w:rtl/>
        </w:rPr>
        <w:t xml:space="preserve">, </w:t>
      </w:r>
      <w:r w:rsidRPr="008242C7">
        <w:rPr>
          <w:rFonts w:ascii="David" w:eastAsia="Times New Roman" w:hAnsi="David"/>
          <w:sz w:val="24"/>
          <w:rtl/>
        </w:rPr>
        <w:t>תחבושת לכוויות (כדוגמת ברנשילד)</w:t>
      </w:r>
      <w:r w:rsidRPr="008242C7">
        <w:rPr>
          <w:rFonts w:ascii="David" w:eastAsia="Times New Roman" w:hAnsi="David" w:hint="cs"/>
          <w:sz w:val="24"/>
          <w:rtl/>
        </w:rPr>
        <w:t xml:space="preserve">, </w:t>
      </w:r>
      <w:r w:rsidRPr="008242C7">
        <w:rPr>
          <w:rFonts w:ascii="David" w:eastAsia="Times New Roman" w:hAnsi="David"/>
          <w:sz w:val="24"/>
          <w:rtl/>
        </w:rPr>
        <w:t>שמיכה היפו</w:t>
      </w:r>
      <w:r>
        <w:rPr>
          <w:rFonts w:ascii="David" w:eastAsia="Times New Roman" w:hAnsi="David" w:hint="cs"/>
          <w:sz w:val="24"/>
          <w:rtl/>
        </w:rPr>
        <w:t>ת</w:t>
      </w:r>
      <w:r w:rsidRPr="008242C7">
        <w:rPr>
          <w:rFonts w:ascii="David" w:eastAsia="Times New Roman" w:hAnsi="David"/>
          <w:sz w:val="24"/>
          <w:rtl/>
        </w:rPr>
        <w:t>רמית</w:t>
      </w:r>
      <w:r w:rsidRPr="008242C7">
        <w:rPr>
          <w:rFonts w:ascii="David" w:eastAsia="Times New Roman" w:hAnsi="David" w:hint="cs"/>
          <w:sz w:val="24"/>
          <w:rtl/>
        </w:rPr>
        <w:t xml:space="preserve">, </w:t>
      </w:r>
      <w:r w:rsidRPr="008242C7">
        <w:rPr>
          <w:rFonts w:ascii="David" w:eastAsia="Times New Roman" w:hAnsi="David"/>
          <w:sz w:val="24"/>
          <w:rtl/>
        </w:rPr>
        <w:t>כפפות חד-פעמיות</w:t>
      </w:r>
      <w:r w:rsidRPr="008242C7">
        <w:rPr>
          <w:rFonts w:ascii="David" w:eastAsia="Times New Roman" w:hAnsi="David" w:hint="cs"/>
          <w:sz w:val="24"/>
          <w:rtl/>
        </w:rPr>
        <w:t xml:space="preserve">, </w:t>
      </w:r>
      <w:r w:rsidRPr="008242C7">
        <w:rPr>
          <w:rFonts w:ascii="David" w:eastAsia="Times New Roman" w:hAnsi="David"/>
          <w:sz w:val="24"/>
          <w:rtl/>
        </w:rPr>
        <w:t>פנס ראש</w:t>
      </w:r>
      <w:r w:rsidRPr="008242C7">
        <w:rPr>
          <w:rFonts w:ascii="David" w:eastAsia="Times New Roman" w:hAnsi="David" w:hint="cs"/>
          <w:sz w:val="24"/>
          <w:rtl/>
        </w:rPr>
        <w:t xml:space="preserve">, </w:t>
      </w:r>
      <w:r w:rsidRPr="008242C7">
        <w:rPr>
          <w:rFonts w:ascii="David" w:eastAsia="Times New Roman" w:hAnsi="David"/>
          <w:sz w:val="24"/>
          <w:rtl/>
        </w:rPr>
        <w:t>תחבושות אלסטיות ברוחב 8 ס"מ</w:t>
      </w:r>
      <w:r>
        <w:rPr>
          <w:rFonts w:hint="cs"/>
          <w:rtl/>
        </w:rPr>
        <w:t>.</w:t>
      </w:r>
    </w:p>
  </w:footnote>
  <w:footnote w:id="112">
    <w:p w:rsidR="00FA04F8" w:rsidRPr="00987285" w:rsidRDefault="00FA04F8" w:rsidP="00014C4D">
      <w:pPr>
        <w:pStyle w:val="af0"/>
      </w:pPr>
      <w:r>
        <w:rPr>
          <w:rStyle w:val="af2"/>
        </w:rPr>
        <w:footnoteRef/>
      </w:r>
      <w:r>
        <w:rPr>
          <w:rtl/>
        </w:rPr>
        <w:t xml:space="preserve"> </w:t>
      </w:r>
      <w:r>
        <w:rPr>
          <w:rtl/>
        </w:rPr>
        <w:tab/>
      </w:r>
      <w:r w:rsidRPr="00987285">
        <w:rPr>
          <w:rFonts w:hint="cs"/>
          <w:rtl/>
        </w:rPr>
        <w:t>רשימת ציוד</w:t>
      </w:r>
      <w:r>
        <w:rPr>
          <w:rFonts w:hint="cs"/>
          <w:rtl/>
        </w:rPr>
        <w:t xml:space="preserve"> </w:t>
      </w:r>
      <w:r w:rsidRPr="00987285">
        <w:rPr>
          <w:rFonts w:hint="cs"/>
          <w:rtl/>
        </w:rPr>
        <w:t xml:space="preserve">כיבוי אש: </w:t>
      </w:r>
      <w:r>
        <w:rPr>
          <w:rFonts w:hint="cs"/>
          <w:rtl/>
        </w:rPr>
        <w:t>ב</w:t>
      </w:r>
      <w:r w:rsidRPr="00987285">
        <w:rPr>
          <w:rFonts w:hint="cs"/>
          <w:rtl/>
        </w:rPr>
        <w:t>ב</w:t>
      </w:r>
      <w:r>
        <w:rPr>
          <w:rFonts w:hint="cs"/>
          <w:rtl/>
        </w:rPr>
        <w:t>י</w:t>
      </w:r>
      <w:r w:rsidRPr="00987285">
        <w:rPr>
          <w:rFonts w:hint="cs"/>
          <w:rtl/>
        </w:rPr>
        <w:t>ת ספר -</w:t>
      </w:r>
      <w:r w:rsidRPr="00987285">
        <w:rPr>
          <w:rFonts w:ascii="David" w:eastAsia="Times New Roman" w:hAnsi="David"/>
          <w:rtl/>
        </w:rPr>
        <w:t xml:space="preserve"> שתי עמדות כיבוי אש</w:t>
      </w:r>
      <w:r>
        <w:rPr>
          <w:rFonts w:ascii="David" w:eastAsia="Times New Roman" w:hAnsi="David" w:hint="cs"/>
          <w:rtl/>
        </w:rPr>
        <w:t>, ו</w:t>
      </w:r>
      <w:r w:rsidRPr="00987285">
        <w:rPr>
          <w:rFonts w:ascii="David" w:eastAsia="Times New Roman" w:hAnsi="David" w:hint="cs"/>
          <w:rtl/>
        </w:rPr>
        <w:t>ב</w:t>
      </w:r>
      <w:r w:rsidRPr="00987285">
        <w:rPr>
          <w:rFonts w:ascii="David" w:eastAsia="Times New Roman" w:hAnsi="David"/>
          <w:rtl/>
        </w:rPr>
        <w:t xml:space="preserve">כל עמדה מחבט כיבוי </w:t>
      </w:r>
      <w:r>
        <w:rPr>
          <w:rFonts w:ascii="David" w:eastAsia="Times New Roman" w:hAnsi="David" w:hint="cs"/>
          <w:rtl/>
        </w:rPr>
        <w:t>ו</w:t>
      </w:r>
      <w:r w:rsidRPr="00987285">
        <w:rPr>
          <w:rFonts w:ascii="David" w:eastAsia="Times New Roman" w:hAnsi="David"/>
          <w:rtl/>
        </w:rPr>
        <w:t>את חפירה</w:t>
      </w:r>
      <w:r w:rsidRPr="00987285">
        <w:rPr>
          <w:rFonts w:hint="cs"/>
          <w:rtl/>
        </w:rPr>
        <w:t>; בג</w:t>
      </w:r>
      <w:r>
        <w:rPr>
          <w:rFonts w:hint="cs"/>
          <w:rtl/>
        </w:rPr>
        <w:t>ן</w:t>
      </w:r>
      <w:r w:rsidRPr="00987285">
        <w:rPr>
          <w:rFonts w:hint="cs"/>
          <w:rtl/>
        </w:rPr>
        <w:t xml:space="preserve"> ילדים</w:t>
      </w:r>
      <w:r>
        <w:rPr>
          <w:rFonts w:hint="cs"/>
          <w:rtl/>
        </w:rPr>
        <w:t xml:space="preserve"> -</w:t>
      </w:r>
      <w:r w:rsidRPr="00987285">
        <w:rPr>
          <w:rFonts w:hint="cs"/>
          <w:rtl/>
        </w:rPr>
        <w:t xml:space="preserve"> </w:t>
      </w:r>
      <w:r w:rsidRPr="00987285">
        <w:rPr>
          <w:rtl/>
        </w:rPr>
        <w:t>ברז שר</w:t>
      </w:r>
      <w:r>
        <w:rPr>
          <w:rFonts w:hint="cs"/>
          <w:rtl/>
        </w:rPr>
        <w:t>י</w:t>
      </w:r>
      <w:r w:rsidRPr="00987285">
        <w:rPr>
          <w:rtl/>
        </w:rPr>
        <w:t>פה</w:t>
      </w:r>
      <w:r w:rsidRPr="00987285">
        <w:rPr>
          <w:rFonts w:hint="cs"/>
          <w:rtl/>
        </w:rPr>
        <w:t xml:space="preserve">, </w:t>
      </w:r>
      <w:r w:rsidRPr="00987285">
        <w:rPr>
          <w:rtl/>
        </w:rPr>
        <w:t>גלגלון באורך 25 מ'</w:t>
      </w:r>
      <w:r w:rsidRPr="00987285">
        <w:rPr>
          <w:rFonts w:hint="cs"/>
          <w:rtl/>
        </w:rPr>
        <w:t xml:space="preserve">, </w:t>
      </w:r>
      <w:r>
        <w:rPr>
          <w:rFonts w:hint="cs"/>
          <w:rtl/>
        </w:rPr>
        <w:t xml:space="preserve">שני </w:t>
      </w:r>
      <w:r w:rsidRPr="00987285">
        <w:rPr>
          <w:rtl/>
        </w:rPr>
        <w:t>זרנוק</w:t>
      </w:r>
      <w:r>
        <w:rPr>
          <w:rFonts w:hint="cs"/>
          <w:rtl/>
        </w:rPr>
        <w:t>ים</w:t>
      </w:r>
      <w:r w:rsidRPr="00987285">
        <w:rPr>
          <w:rFonts w:hint="cs"/>
          <w:rtl/>
        </w:rPr>
        <w:t xml:space="preserve">, </w:t>
      </w:r>
      <w:r w:rsidRPr="00987285">
        <w:rPr>
          <w:rtl/>
        </w:rPr>
        <w:t>מזנק רב</w:t>
      </w:r>
      <w:r>
        <w:rPr>
          <w:rFonts w:hint="cs"/>
          <w:rtl/>
        </w:rPr>
        <w:t>-</w:t>
      </w:r>
      <w:r w:rsidRPr="00987285">
        <w:rPr>
          <w:rtl/>
        </w:rPr>
        <w:t>שימושי</w:t>
      </w:r>
      <w:r w:rsidRPr="00987285">
        <w:rPr>
          <w:rFonts w:hint="cs"/>
          <w:rtl/>
        </w:rPr>
        <w:t xml:space="preserve">, </w:t>
      </w:r>
      <w:r>
        <w:rPr>
          <w:rFonts w:hint="cs"/>
          <w:rtl/>
        </w:rPr>
        <w:t>שני</w:t>
      </w:r>
      <w:r w:rsidRPr="00987285">
        <w:rPr>
          <w:rtl/>
        </w:rPr>
        <w:t xml:space="preserve"> מטפי כיבוי מסוג אבקה של 6 ק"ג או </w:t>
      </w:r>
      <w:r>
        <w:rPr>
          <w:rFonts w:hint="cs"/>
          <w:rtl/>
        </w:rPr>
        <w:t>ארבעה</w:t>
      </w:r>
      <w:r w:rsidRPr="00987285">
        <w:rPr>
          <w:rtl/>
        </w:rPr>
        <w:t xml:space="preserve"> מטפים של 3 ק"ג</w:t>
      </w:r>
      <w:r w:rsidRPr="00987285">
        <w:rPr>
          <w:rFonts w:hint="cs"/>
          <w:rtl/>
        </w:rPr>
        <w:t>.</w:t>
      </w:r>
    </w:p>
  </w:footnote>
  <w:footnote w:id="113">
    <w:p w:rsidR="00FA04F8" w:rsidRPr="00AF0E46" w:rsidRDefault="00FA04F8" w:rsidP="00014C4D">
      <w:pPr>
        <w:pStyle w:val="af0"/>
      </w:pPr>
      <w:r>
        <w:rPr>
          <w:rStyle w:val="af2"/>
        </w:rPr>
        <w:footnoteRef/>
      </w:r>
      <w:r>
        <w:rPr>
          <w:rtl/>
        </w:rPr>
        <w:t xml:space="preserve"> </w:t>
      </w:r>
      <w:r>
        <w:rPr>
          <w:rtl/>
        </w:rPr>
        <w:tab/>
      </w:r>
      <w:r>
        <w:rPr>
          <w:rFonts w:hint="cs"/>
          <w:rtl/>
        </w:rPr>
        <w:t xml:space="preserve">בבית הספר יד לחמישה. קצין הביטחון של מוסדות החינוך מסר לעובדי משרד מבקר </w:t>
      </w:r>
      <w:r w:rsidRPr="00AF0E46">
        <w:rPr>
          <w:rFonts w:hint="cs"/>
          <w:rtl/>
        </w:rPr>
        <w:t>המדינה כי בשל מחסור בתקציב לא ניתן לסיים את השיפוץ</w:t>
      </w:r>
      <w:r>
        <w:rPr>
          <w:rFonts w:hint="cs"/>
          <w:rtl/>
        </w:rPr>
        <w:t>,</w:t>
      </w:r>
      <w:r w:rsidRPr="00AF0E46">
        <w:rPr>
          <w:rFonts w:hint="cs"/>
          <w:rtl/>
        </w:rPr>
        <w:t xml:space="preserve"> והמקלט לא יהיה מוכן</w:t>
      </w:r>
      <w:r>
        <w:rPr>
          <w:rFonts w:hint="cs"/>
          <w:rtl/>
        </w:rPr>
        <w:t xml:space="preserve"> </w:t>
      </w:r>
      <w:r w:rsidRPr="00AF0E46">
        <w:rPr>
          <w:rFonts w:hint="cs"/>
          <w:rtl/>
        </w:rPr>
        <w:t xml:space="preserve">לשימוש בשנת הלימודים </w:t>
      </w:r>
      <w:r>
        <w:rPr>
          <w:rFonts w:hint="cs"/>
          <w:rtl/>
        </w:rPr>
        <w:t>התשפ"ה.</w:t>
      </w:r>
    </w:p>
  </w:footnote>
  <w:footnote w:id="114">
    <w:p w:rsidR="00FA04F8" w:rsidRPr="00856AF2" w:rsidRDefault="00FA04F8" w:rsidP="00014C4D">
      <w:pPr>
        <w:pStyle w:val="af0"/>
        <w:spacing w:line="312" w:lineRule="auto"/>
      </w:pPr>
      <w:r>
        <w:rPr>
          <w:rStyle w:val="af2"/>
        </w:rPr>
        <w:footnoteRef/>
      </w:r>
      <w:r>
        <w:rPr>
          <w:rtl/>
        </w:rPr>
        <w:t xml:space="preserve"> </w:t>
      </w:r>
      <w:r>
        <w:rPr>
          <w:rFonts w:hint="cs"/>
          <w:rtl/>
        </w:rPr>
        <w:tab/>
      </w:r>
      <w:r w:rsidRPr="000605E1">
        <w:rPr>
          <w:rFonts w:eastAsia="Times New Roman" w:hint="cs"/>
          <w:rtl/>
          <w:lang w:eastAsia="he-IL"/>
        </w:rPr>
        <w:t>החלטה ב/</w:t>
      </w:r>
      <w:r w:rsidRPr="00856AF2">
        <w:rPr>
          <w:rFonts w:eastAsia="Times New Roman" w:hint="cs"/>
          <w:rtl/>
          <w:lang w:eastAsia="he-IL"/>
        </w:rPr>
        <w:t>302</w:t>
      </w:r>
      <w:r w:rsidRPr="00856AF2">
        <w:rPr>
          <w:rFonts w:hint="cs"/>
          <w:rtl/>
        </w:rPr>
        <w:t xml:space="preserve"> של ועדת השרים לענייני ביטחון לאומי "מוכנות העורף למצבי חירום" (16.7.18).</w:t>
      </w:r>
    </w:p>
  </w:footnote>
  <w:footnote w:id="115">
    <w:p w:rsidR="00FA04F8" w:rsidRDefault="00FA04F8" w:rsidP="00014C4D">
      <w:pPr>
        <w:pStyle w:val="af0"/>
        <w:rPr>
          <w:rtl/>
        </w:rPr>
      </w:pPr>
      <w:r>
        <w:rPr>
          <w:rStyle w:val="af2"/>
        </w:rPr>
        <w:footnoteRef/>
      </w:r>
      <w:r>
        <w:rPr>
          <w:rtl/>
        </w:rPr>
        <w:t xml:space="preserve"> </w:t>
      </w:r>
      <w:r>
        <w:rPr>
          <w:rtl/>
        </w:rPr>
        <w:tab/>
      </w:r>
      <w:r w:rsidRPr="003F595D">
        <w:rPr>
          <w:rFonts w:hint="cs"/>
          <w:rtl/>
        </w:rPr>
        <w:t>לפי חוק יסודות התקציב, התשמ"ה-1985, "הממשלה רשאית להוציא בשנת כספים פלונית את הסכום הנקוב כהוצאה בחוק התקציב השנתי לאותה שנה".</w:t>
      </w:r>
    </w:p>
  </w:footnote>
  <w:footnote w:id="116">
    <w:p w:rsidR="00FA04F8" w:rsidRDefault="00FA04F8" w:rsidP="00014C4D">
      <w:pPr>
        <w:pStyle w:val="af0"/>
        <w:rPr>
          <w:rtl/>
        </w:rPr>
      </w:pPr>
      <w:r>
        <w:rPr>
          <w:rStyle w:val="af2"/>
        </w:rPr>
        <w:footnoteRef/>
      </w:r>
      <w:r>
        <w:rPr>
          <w:rtl/>
        </w:rPr>
        <w:t xml:space="preserve"> </w:t>
      </w:r>
      <w:r>
        <w:rPr>
          <w:rtl/>
        </w:rPr>
        <w:tab/>
      </w:r>
      <w:r w:rsidRPr="00500913">
        <w:rPr>
          <w:rtl/>
        </w:rPr>
        <w:t xml:space="preserve">לצורך מימוש תוכנית "מגן הצפון" קיבל פקע"ר בפועל בשנים 2019 - </w:t>
      </w:r>
      <w:r>
        <w:rPr>
          <w:rFonts w:hint="cs"/>
          <w:rtl/>
        </w:rPr>
        <w:t>2023</w:t>
      </w:r>
      <w:r w:rsidRPr="00500913">
        <w:rPr>
          <w:rtl/>
        </w:rPr>
        <w:t xml:space="preserve"> - סך של </w:t>
      </w:r>
      <w:r>
        <w:rPr>
          <w:rFonts w:hint="cs"/>
          <w:rtl/>
        </w:rPr>
        <w:t>536.6</w:t>
      </w:r>
      <w:r w:rsidRPr="00500913">
        <w:rPr>
          <w:rtl/>
        </w:rPr>
        <w:t xml:space="preserve"> מ</w:t>
      </w:r>
      <w:r>
        <w:rPr>
          <w:rFonts w:hint="cs"/>
          <w:rtl/>
        </w:rPr>
        <w:t>יליון</w:t>
      </w:r>
      <w:r w:rsidRPr="00500913">
        <w:rPr>
          <w:rtl/>
        </w:rPr>
        <w:t xml:space="preserve"> ש"ח, לצורך מימוש התוכנית היה צורך להקצות במהלך תקופה זו סכום של </w:t>
      </w:r>
      <w:r>
        <w:rPr>
          <w:rFonts w:hint="cs"/>
          <w:rtl/>
        </w:rPr>
        <w:t>2.5</w:t>
      </w:r>
      <w:r w:rsidRPr="00500913">
        <w:rPr>
          <w:rtl/>
        </w:rPr>
        <w:t xml:space="preserve"> מיליארד ש"ח (500 מיליון ש"ח בכל שנה</w:t>
      </w:r>
      <w:r>
        <w:rPr>
          <w:rFonts w:hint="cs"/>
          <w:rtl/>
        </w:rPr>
        <w:t>).</w:t>
      </w:r>
    </w:p>
  </w:footnote>
  <w:footnote w:id="117">
    <w:p w:rsidR="00FA04F8" w:rsidRPr="0028036C" w:rsidRDefault="00FA04F8" w:rsidP="00014C4D">
      <w:pPr>
        <w:pStyle w:val="af0"/>
        <w:rPr>
          <w:rtl/>
        </w:rPr>
      </w:pPr>
      <w:r>
        <w:rPr>
          <w:rStyle w:val="af2"/>
        </w:rPr>
        <w:footnoteRef/>
      </w:r>
      <w:r>
        <w:rPr>
          <w:rtl/>
        </w:rPr>
        <w:t xml:space="preserve"> </w:t>
      </w:r>
      <w:r>
        <w:rPr>
          <w:rtl/>
        </w:rPr>
        <w:tab/>
      </w:r>
      <w:r w:rsidRPr="0028036C">
        <w:rPr>
          <w:rtl/>
        </w:rPr>
        <w:t xml:space="preserve">מבקר המדינה, דוח שנתי 70ג (2020), </w:t>
      </w:r>
      <w:r w:rsidRPr="0028036C">
        <w:rPr>
          <w:b/>
          <w:bCs/>
          <w:rtl/>
        </w:rPr>
        <w:t>"ההיערכות להגנת העורף מפני איום טילים ורקטות (מיגון פיזי, התרעה ופינוי אוכלוסייה) - ביקורת מעקב"</w:t>
      </w:r>
      <w:r w:rsidRPr="0028036C">
        <w:rPr>
          <w:rFonts w:hint="cs"/>
          <w:rtl/>
        </w:rPr>
        <w:t>.</w:t>
      </w:r>
    </w:p>
  </w:footnote>
  <w:footnote w:id="118">
    <w:p w:rsidR="00FA04F8" w:rsidRDefault="00FA04F8" w:rsidP="00014C4D">
      <w:pPr>
        <w:pStyle w:val="af0"/>
      </w:pPr>
      <w:r>
        <w:rPr>
          <w:rStyle w:val="af2"/>
        </w:rPr>
        <w:footnoteRef/>
      </w:r>
      <w:r>
        <w:rPr>
          <w:rtl/>
        </w:rPr>
        <w:t xml:space="preserve"> </w:t>
      </w:r>
      <w:r>
        <w:rPr>
          <w:rtl/>
        </w:rPr>
        <w:tab/>
      </w:r>
      <w:r w:rsidRPr="00061C5B">
        <w:rPr>
          <w:rFonts w:ascii="David" w:hAnsi="David" w:hint="cs"/>
          <w:rtl/>
        </w:rPr>
        <w:t>התקציב האמור נועד לביצוע עבודות חשמל, מים, ביוב, שאיבת מים ועוד.</w:t>
      </w:r>
    </w:p>
  </w:footnote>
  <w:footnote w:id="119">
    <w:p w:rsidR="00FA04F8" w:rsidRDefault="00FA04F8" w:rsidP="00014C4D">
      <w:pPr>
        <w:pStyle w:val="af0"/>
        <w:rPr>
          <w:rtl/>
        </w:rPr>
      </w:pPr>
      <w:r>
        <w:rPr>
          <w:rStyle w:val="af2"/>
        </w:rPr>
        <w:footnoteRef/>
      </w:r>
      <w:r>
        <w:rPr>
          <w:rtl/>
        </w:rPr>
        <w:t xml:space="preserve"> </w:t>
      </w:r>
      <w:r>
        <w:rPr>
          <w:rtl/>
        </w:rPr>
        <w:tab/>
      </w:r>
      <w:r w:rsidRPr="007B4AB1">
        <w:rPr>
          <w:rFonts w:hint="cs"/>
          <w:rtl/>
        </w:rPr>
        <w:t>לגבי ערים ומ</w:t>
      </w:r>
      <w:r>
        <w:rPr>
          <w:rFonts w:hint="cs"/>
          <w:rtl/>
        </w:rPr>
        <w:t>ו</w:t>
      </w:r>
      <w:r w:rsidRPr="007B4AB1">
        <w:rPr>
          <w:rFonts w:hint="cs"/>
          <w:rtl/>
        </w:rPr>
        <w:t xml:space="preserve">עצות מקומיות נקבע כי </w:t>
      </w:r>
      <w:r>
        <w:rPr>
          <w:rFonts w:hint="cs"/>
          <w:rtl/>
        </w:rPr>
        <w:t>"</w:t>
      </w:r>
      <w:r w:rsidRPr="007B4AB1">
        <w:rPr>
          <w:rFonts w:hint="cs"/>
          <w:rtl/>
        </w:rPr>
        <w:t xml:space="preserve">הסכום </w:t>
      </w:r>
      <w:r w:rsidRPr="0042194B">
        <w:rPr>
          <w:rFonts w:hint="cs"/>
          <w:rtl/>
        </w:rPr>
        <w:t>יינת</w:t>
      </w:r>
      <w:r w:rsidRPr="0042194B">
        <w:rPr>
          <w:rFonts w:hint="eastAsia"/>
          <w:rtl/>
        </w:rPr>
        <w:t>ן</w:t>
      </w:r>
      <w:r w:rsidRPr="0042194B">
        <w:rPr>
          <w:rFonts w:hint="cs"/>
          <w:rtl/>
        </w:rPr>
        <w:t xml:space="preserve"> </w:t>
      </w:r>
      <w:r w:rsidRPr="0042194B">
        <w:rPr>
          <w:rFonts w:ascii="David" w:hAnsi="David" w:hint="eastAsia"/>
          <w:rtl/>
        </w:rPr>
        <w:t>בהתאם</w:t>
      </w:r>
      <w:r w:rsidRPr="0042194B">
        <w:rPr>
          <w:rFonts w:ascii="David" w:hAnsi="David"/>
          <w:rtl/>
        </w:rPr>
        <w:t xml:space="preserve"> </w:t>
      </w:r>
      <w:r w:rsidRPr="0042194B">
        <w:rPr>
          <w:rFonts w:ascii="David" w:hAnsi="David" w:hint="eastAsia"/>
          <w:rtl/>
        </w:rPr>
        <w:t>למספר</w:t>
      </w:r>
      <w:r w:rsidRPr="0042194B">
        <w:rPr>
          <w:rFonts w:ascii="David" w:hAnsi="David"/>
          <w:rtl/>
        </w:rPr>
        <w:t xml:space="preserve"> </w:t>
      </w:r>
      <w:r w:rsidRPr="0042194B">
        <w:rPr>
          <w:rFonts w:ascii="David" w:hAnsi="David" w:hint="eastAsia"/>
          <w:rtl/>
        </w:rPr>
        <w:t>המקלטים</w:t>
      </w:r>
      <w:r w:rsidRPr="0042194B">
        <w:rPr>
          <w:rFonts w:ascii="David" w:hAnsi="David"/>
          <w:rtl/>
        </w:rPr>
        <w:t xml:space="preserve"> </w:t>
      </w:r>
      <w:r w:rsidRPr="0042194B">
        <w:rPr>
          <w:rFonts w:ascii="David" w:hAnsi="David" w:hint="eastAsia"/>
          <w:rtl/>
        </w:rPr>
        <w:t>היחסי</w:t>
      </w:r>
      <w:r w:rsidRPr="0042194B">
        <w:rPr>
          <w:rFonts w:ascii="David" w:hAnsi="David"/>
          <w:rtl/>
        </w:rPr>
        <w:t xml:space="preserve"> </w:t>
      </w:r>
      <w:r w:rsidRPr="0042194B">
        <w:rPr>
          <w:rFonts w:ascii="David" w:hAnsi="David" w:hint="eastAsia"/>
          <w:rtl/>
        </w:rPr>
        <w:t>שבתחומן</w:t>
      </w:r>
      <w:r w:rsidRPr="0042194B">
        <w:rPr>
          <w:rFonts w:ascii="David" w:hAnsi="David"/>
          <w:rtl/>
        </w:rPr>
        <w:t xml:space="preserve"> </w:t>
      </w:r>
      <w:r w:rsidRPr="0042194B">
        <w:rPr>
          <w:rFonts w:ascii="David" w:hAnsi="David" w:hint="eastAsia"/>
          <w:rtl/>
        </w:rPr>
        <w:t>מסך</w:t>
      </w:r>
      <w:r w:rsidRPr="0042194B">
        <w:rPr>
          <w:rFonts w:ascii="David" w:hAnsi="David"/>
          <w:rtl/>
        </w:rPr>
        <w:t xml:space="preserve"> </w:t>
      </w:r>
      <w:r w:rsidRPr="0042194B">
        <w:rPr>
          <w:rFonts w:ascii="David" w:hAnsi="David" w:hint="eastAsia"/>
          <w:rtl/>
        </w:rPr>
        <w:t>כלל</w:t>
      </w:r>
      <w:r w:rsidRPr="0042194B">
        <w:rPr>
          <w:rFonts w:ascii="David" w:hAnsi="David"/>
          <w:rtl/>
        </w:rPr>
        <w:t xml:space="preserve"> </w:t>
      </w:r>
      <w:r w:rsidRPr="0042194B">
        <w:rPr>
          <w:rFonts w:ascii="David" w:hAnsi="David" w:hint="eastAsia"/>
          <w:rtl/>
        </w:rPr>
        <w:t>המקלטים</w:t>
      </w:r>
      <w:r w:rsidRPr="0042194B">
        <w:rPr>
          <w:rFonts w:ascii="David" w:hAnsi="David"/>
          <w:rtl/>
        </w:rPr>
        <w:t xml:space="preserve"> </w:t>
      </w:r>
      <w:r w:rsidRPr="0042194B">
        <w:rPr>
          <w:rFonts w:ascii="David" w:hAnsi="David" w:hint="eastAsia"/>
          <w:rtl/>
        </w:rPr>
        <w:t>הנדרשים</w:t>
      </w:r>
      <w:r w:rsidRPr="0042194B">
        <w:rPr>
          <w:rFonts w:ascii="David" w:hAnsi="David"/>
          <w:rtl/>
        </w:rPr>
        <w:t xml:space="preserve"> </w:t>
      </w:r>
      <w:r w:rsidRPr="0042194B">
        <w:rPr>
          <w:rFonts w:ascii="David" w:hAnsi="David" w:hint="eastAsia"/>
          <w:rtl/>
        </w:rPr>
        <w:t>לשיפוץ</w:t>
      </w:r>
      <w:r w:rsidRPr="0042194B">
        <w:rPr>
          <w:rFonts w:ascii="David" w:hAnsi="David" w:hint="cs"/>
          <w:rtl/>
        </w:rPr>
        <w:t xml:space="preserve"> או בהתאם לצרכים בפועל </w:t>
      </w:r>
      <w:r w:rsidRPr="0042194B">
        <w:rPr>
          <w:rFonts w:ascii="David" w:hAnsi="David"/>
          <w:rtl/>
        </w:rPr>
        <w:t>(בכתב)</w:t>
      </w:r>
      <w:r w:rsidRPr="0042194B">
        <w:rPr>
          <w:rFonts w:ascii="David" w:hAnsi="David" w:hint="cs"/>
          <w:rtl/>
        </w:rPr>
        <w:t>, הנמוך מביניהם</w:t>
      </w:r>
      <w:r w:rsidRPr="0042194B">
        <w:rPr>
          <w:rFonts w:hint="cs"/>
          <w:rtl/>
        </w:rPr>
        <w:t xml:space="preserve">. לגבי מועצות אזוריות נקבע כי סך 200,000 ש"ח יינתן לכל רשות </w:t>
      </w:r>
      <w:r w:rsidRPr="0042194B">
        <w:rPr>
          <w:rFonts w:ascii="David" w:hAnsi="David" w:hint="eastAsia"/>
          <w:rtl/>
        </w:rPr>
        <w:t>או</w:t>
      </w:r>
      <w:r w:rsidRPr="0042194B">
        <w:rPr>
          <w:rFonts w:ascii="David" w:hAnsi="David"/>
          <w:rtl/>
        </w:rPr>
        <w:t xml:space="preserve"> </w:t>
      </w:r>
      <w:r w:rsidRPr="0042194B">
        <w:rPr>
          <w:rFonts w:ascii="David" w:hAnsi="David" w:hint="eastAsia"/>
          <w:rtl/>
        </w:rPr>
        <w:t>בהתאם</w:t>
      </w:r>
      <w:r w:rsidRPr="0042194B">
        <w:rPr>
          <w:rFonts w:ascii="David" w:hAnsi="David"/>
          <w:rtl/>
        </w:rPr>
        <w:t xml:space="preserve"> </w:t>
      </w:r>
      <w:r w:rsidRPr="0042194B">
        <w:rPr>
          <w:rFonts w:ascii="David" w:hAnsi="David" w:hint="eastAsia"/>
          <w:rtl/>
        </w:rPr>
        <w:t>לדרישתן</w:t>
      </w:r>
      <w:r w:rsidRPr="0042194B">
        <w:rPr>
          <w:rFonts w:ascii="David" w:hAnsi="David"/>
          <w:rtl/>
        </w:rPr>
        <w:t xml:space="preserve"> </w:t>
      </w:r>
      <w:r w:rsidRPr="0042194B">
        <w:rPr>
          <w:rFonts w:ascii="David" w:hAnsi="David" w:hint="eastAsia"/>
          <w:rtl/>
        </w:rPr>
        <w:t>לצרכים</w:t>
      </w:r>
      <w:r w:rsidRPr="0042194B">
        <w:rPr>
          <w:rFonts w:ascii="David" w:hAnsi="David"/>
          <w:rtl/>
        </w:rPr>
        <w:t xml:space="preserve"> </w:t>
      </w:r>
      <w:r w:rsidRPr="0042194B">
        <w:rPr>
          <w:rFonts w:ascii="David" w:hAnsi="David" w:hint="eastAsia"/>
          <w:rtl/>
        </w:rPr>
        <w:t>בפועל</w:t>
      </w:r>
      <w:r w:rsidRPr="0042194B">
        <w:rPr>
          <w:rFonts w:ascii="David" w:hAnsi="David" w:hint="cs"/>
          <w:rtl/>
        </w:rPr>
        <w:t>, לפי</w:t>
      </w:r>
      <w:r w:rsidRPr="007B4AB1">
        <w:rPr>
          <w:rFonts w:ascii="David" w:hAnsi="David" w:hint="cs"/>
          <w:rtl/>
        </w:rPr>
        <w:t xml:space="preserve"> הנמוך שבהן</w:t>
      </w:r>
      <w:r>
        <w:rPr>
          <w:rFonts w:ascii="David" w:hAnsi="David" w:hint="cs"/>
          <w:rtl/>
        </w:rPr>
        <w:t>"</w:t>
      </w:r>
      <w:r w:rsidRPr="007B4AB1">
        <w:rPr>
          <w:rFonts w:ascii="David" w:hAnsi="David" w:hint="cs"/>
          <w:rtl/>
        </w:rPr>
        <w:t>.</w:t>
      </w:r>
      <w:r>
        <w:rPr>
          <w:rFonts w:ascii="David" w:hAnsi="David" w:hint="cs"/>
          <w:rtl/>
        </w:rPr>
        <w:t xml:space="preserve"> </w:t>
      </w:r>
    </w:p>
  </w:footnote>
  <w:footnote w:id="120">
    <w:p w:rsidR="00FA04F8" w:rsidRDefault="00FA04F8" w:rsidP="00014C4D">
      <w:pPr>
        <w:pStyle w:val="af0"/>
        <w:rPr>
          <w:rtl/>
        </w:rPr>
      </w:pPr>
      <w:r>
        <w:rPr>
          <w:rStyle w:val="af2"/>
        </w:rPr>
        <w:footnoteRef/>
      </w:r>
      <w:r>
        <w:rPr>
          <w:rtl/>
        </w:rPr>
        <w:t xml:space="preserve"> </w:t>
      </w:r>
      <w:r>
        <w:rPr>
          <w:rtl/>
        </w:rPr>
        <w:tab/>
      </w:r>
      <w:r w:rsidRPr="00722ABE">
        <w:rPr>
          <w:rtl/>
        </w:rPr>
        <w:t>סכומי</w:t>
      </w:r>
      <w:r>
        <w:rPr>
          <w:rFonts w:hint="cs"/>
          <w:rtl/>
        </w:rPr>
        <w:t xml:space="preserve"> ההקצאה </w:t>
      </w:r>
      <w:r w:rsidRPr="00722ABE">
        <w:rPr>
          <w:rtl/>
        </w:rPr>
        <w:t>ש</w:t>
      </w:r>
      <w:r>
        <w:rPr>
          <w:rFonts w:hint="cs"/>
          <w:rtl/>
        </w:rPr>
        <w:t>י</w:t>
      </w:r>
      <w:r w:rsidRPr="00722ABE">
        <w:rPr>
          <w:rtl/>
        </w:rPr>
        <w:t xml:space="preserve">משו גם </w:t>
      </w:r>
      <w:r>
        <w:rPr>
          <w:rFonts w:hint="cs"/>
          <w:rtl/>
        </w:rPr>
        <w:t>ל</w:t>
      </w:r>
      <w:r w:rsidRPr="00722ABE">
        <w:rPr>
          <w:rtl/>
        </w:rPr>
        <w:t>שיפוץ מקלטים ציבוריים. למשרד השיכון אין נתוני</w:t>
      </w:r>
      <w:r>
        <w:rPr>
          <w:rFonts w:hint="cs"/>
          <w:rtl/>
        </w:rPr>
        <w:t>ם</w:t>
      </w:r>
      <w:r w:rsidRPr="00722ABE">
        <w:rPr>
          <w:rtl/>
        </w:rPr>
        <w:t xml:space="preserve"> נפרדים לגבי היקף המקלטים הציבוריים </w:t>
      </w:r>
      <w:r>
        <w:rPr>
          <w:rFonts w:hint="cs"/>
          <w:rtl/>
        </w:rPr>
        <w:t>שה</w:t>
      </w:r>
      <w:r w:rsidRPr="00722ABE">
        <w:rPr>
          <w:rtl/>
        </w:rPr>
        <w:t>כספים</w:t>
      </w:r>
      <w:r>
        <w:rPr>
          <w:rFonts w:hint="cs"/>
          <w:rtl/>
        </w:rPr>
        <w:t xml:space="preserve"> שימשו לשיפוצם,</w:t>
      </w:r>
      <w:r w:rsidRPr="00722ABE">
        <w:rPr>
          <w:rtl/>
        </w:rPr>
        <w:t xml:space="preserve"> למעט </w:t>
      </w:r>
      <w:r>
        <w:rPr>
          <w:rFonts w:hint="cs"/>
          <w:rtl/>
        </w:rPr>
        <w:t>ב</w:t>
      </w:r>
      <w:r w:rsidRPr="00722ABE">
        <w:rPr>
          <w:rtl/>
        </w:rPr>
        <w:t xml:space="preserve">מועצות </w:t>
      </w:r>
      <w:r>
        <w:rPr>
          <w:rFonts w:hint="cs"/>
          <w:rtl/>
        </w:rPr>
        <w:t>ה</w:t>
      </w:r>
      <w:r w:rsidRPr="00722ABE">
        <w:rPr>
          <w:rtl/>
        </w:rPr>
        <w:t>אזוריות.</w:t>
      </w:r>
    </w:p>
  </w:footnote>
  <w:footnote w:id="121">
    <w:p w:rsidR="00FA04F8" w:rsidRDefault="00FA04F8" w:rsidP="00014C4D">
      <w:pPr>
        <w:pStyle w:val="af0"/>
      </w:pPr>
      <w:r>
        <w:rPr>
          <w:rStyle w:val="af2"/>
        </w:rPr>
        <w:footnoteRef/>
      </w:r>
      <w:r>
        <w:rPr>
          <w:rtl/>
        </w:rPr>
        <w:t xml:space="preserve"> </w:t>
      </w:r>
      <w:r>
        <w:rPr>
          <w:rtl/>
        </w:rPr>
        <w:tab/>
      </w:r>
      <w:r w:rsidRPr="00F3053E">
        <w:rPr>
          <w:rFonts w:hint="cs"/>
          <w:rtl/>
        </w:rPr>
        <w:t>הפרסום באתר המרשתת של משרד הבינוי והשיכון מיום 29.7.21 בנושא "סיוע במשכנתא ומענק ביטחוני לבניית ממ"ד ביישובי קו העימות".</w:t>
      </w:r>
      <w:r>
        <w:rPr>
          <w:rFonts w:hint="cs"/>
          <w:rtl/>
        </w:rPr>
        <w:t xml:space="preserve"> </w:t>
      </w:r>
    </w:p>
  </w:footnote>
  <w:footnote w:id="122">
    <w:p w:rsidR="00FA04F8" w:rsidRPr="00DF74CB" w:rsidRDefault="00FA04F8" w:rsidP="00014C4D">
      <w:pPr>
        <w:pStyle w:val="af0"/>
        <w:rPr>
          <w:rtl/>
        </w:rPr>
      </w:pPr>
      <w:r>
        <w:rPr>
          <w:rStyle w:val="af2"/>
        </w:rPr>
        <w:footnoteRef/>
      </w:r>
      <w:r>
        <w:rPr>
          <w:rtl/>
        </w:rPr>
        <w:t xml:space="preserve"> </w:t>
      </w:r>
      <w:r>
        <w:rPr>
          <w:rtl/>
        </w:rPr>
        <w:tab/>
      </w:r>
      <w:r>
        <w:rPr>
          <w:rFonts w:ascii="David" w:hAnsi="David" w:hint="cs"/>
          <w:sz w:val="24"/>
          <w:rtl/>
        </w:rPr>
        <w:t>לדוגמה: רכישת חומרים וחלפים, עבודות תחזוקה ובדק, טיפול בצירי דלתות וידיות, החלפת גומיות של דלתות וברזים, עבודות רתכות, חשמל, מים וניקיון.</w:t>
      </w:r>
      <w:r>
        <w:rPr>
          <w:rFonts w:hint="cs"/>
          <w:rtl/>
        </w:rPr>
        <w:t xml:space="preserve"> על פי ההנחיות להכנת תקציב הג"א שמשרד הפנים מפרסם מדי שנה.</w:t>
      </w:r>
    </w:p>
  </w:footnote>
  <w:footnote w:id="123">
    <w:p w:rsidR="00FA04F8" w:rsidRPr="00DF74CB" w:rsidRDefault="00FA04F8" w:rsidP="00014C4D">
      <w:pPr>
        <w:pStyle w:val="af0"/>
        <w:rPr>
          <w:rtl/>
        </w:rPr>
      </w:pPr>
      <w:r>
        <w:rPr>
          <w:rStyle w:val="af2"/>
        </w:rPr>
        <w:footnoteRef/>
      </w:r>
      <w:r>
        <w:rPr>
          <w:rtl/>
        </w:rPr>
        <w:t xml:space="preserve"> </w:t>
      </w:r>
      <w:r>
        <w:rPr>
          <w:rtl/>
        </w:rPr>
        <w:tab/>
      </w:r>
      <w:r>
        <w:rPr>
          <w:rFonts w:ascii="David" w:hAnsi="David" w:hint="cs"/>
          <w:sz w:val="24"/>
          <w:rtl/>
        </w:rPr>
        <w:t>לדוגמה: עבודות ריצוף, איטום, התקנת דלתות, התקנה או החלפה של שירותים</w:t>
      </w:r>
      <w:r>
        <w:rPr>
          <w:rFonts w:hint="cs"/>
          <w:rtl/>
        </w:rPr>
        <w:t>. על פי ההנחיות להכנת תקציב הג"א שמשרד הפנים מפרסם מדי שנה.</w:t>
      </w:r>
    </w:p>
  </w:footnote>
  <w:footnote w:id="124">
    <w:p w:rsidR="00FA04F8" w:rsidRDefault="00FA04F8" w:rsidP="00014C4D">
      <w:pPr>
        <w:pStyle w:val="af0"/>
        <w:rPr>
          <w:rtl/>
        </w:rPr>
      </w:pPr>
      <w:r>
        <w:rPr>
          <w:rStyle w:val="af2"/>
        </w:rPr>
        <w:footnoteRef/>
      </w:r>
      <w:r>
        <w:rPr>
          <w:rtl/>
        </w:rPr>
        <w:t xml:space="preserve"> </w:t>
      </w:r>
      <w:r>
        <w:rPr>
          <w:rtl/>
        </w:rPr>
        <w:tab/>
      </w:r>
      <w:r>
        <w:rPr>
          <w:rFonts w:hint="cs"/>
          <w:rtl/>
        </w:rPr>
        <w:t xml:space="preserve">לא מוצגים נתונים לגבי ביענה מאחר שבביענה אין מקלטים ציבוריים, והמקלטים שבמוסדות החינוך הם ממ"דים שנבנו בשנים האחרונות ולא היה צורך לשפצם. תחזוקת הממ"דים נעשית במסגרת התחזוקה השוטפת של בית הספר. </w:t>
      </w:r>
    </w:p>
  </w:footnote>
  <w:footnote w:id="125">
    <w:p w:rsidR="00FA04F8" w:rsidRDefault="00FA04F8" w:rsidP="00014C4D">
      <w:pPr>
        <w:pStyle w:val="af0"/>
        <w:rPr>
          <w:rtl/>
        </w:rPr>
      </w:pPr>
      <w:r>
        <w:rPr>
          <w:rStyle w:val="af2"/>
        </w:rPr>
        <w:footnoteRef/>
      </w:r>
      <w:r>
        <w:rPr>
          <w:rFonts w:hint="cs"/>
          <w:rtl/>
        </w:rPr>
        <w:t xml:space="preserve"> </w:t>
      </w:r>
      <w:r>
        <w:rPr>
          <w:rtl/>
        </w:rPr>
        <w:tab/>
      </w:r>
      <w:r>
        <w:rPr>
          <w:rFonts w:hint="cs"/>
          <w:rtl/>
        </w:rPr>
        <w:t xml:space="preserve">העירייה רשמה את שני סוגי ההוצאות (שיפוץ מקלטים ציבוריים ומקלטים בבתי ספר וגני ילדים) בתב"ר ללא הבחנה ביניהם. </w:t>
      </w:r>
    </w:p>
  </w:footnote>
  <w:footnote w:id="126">
    <w:p w:rsidR="00FA04F8" w:rsidRDefault="00FA04F8" w:rsidP="00014C4D">
      <w:pPr>
        <w:pStyle w:val="af0"/>
        <w:rPr>
          <w:rtl/>
        </w:rPr>
      </w:pPr>
      <w:r>
        <w:rPr>
          <w:rStyle w:val="af2"/>
        </w:rPr>
        <w:footnoteRef/>
      </w:r>
      <w:r>
        <w:rPr>
          <w:rFonts w:hint="cs"/>
          <w:rtl/>
        </w:rPr>
        <w:t xml:space="preserve"> </w:t>
      </w:r>
      <w:r>
        <w:rPr>
          <w:rtl/>
        </w:rPr>
        <w:tab/>
      </w:r>
      <w:r>
        <w:rPr>
          <w:rFonts w:hint="cs"/>
          <w:rtl/>
        </w:rPr>
        <w:t>ההפרש שבין כ-785</w:t>
      </w:r>
      <w:r w:rsidRPr="008C7DF0">
        <w:rPr>
          <w:rFonts w:hint="cs"/>
          <w:rtl/>
        </w:rPr>
        <w:t>,000</w:t>
      </w:r>
      <w:r>
        <w:rPr>
          <w:rFonts w:hint="cs"/>
          <w:rtl/>
        </w:rPr>
        <w:t xml:space="preserve"> ל-460</w:t>
      </w:r>
      <w:r w:rsidRPr="008C7DF0">
        <w:rPr>
          <w:rFonts w:hint="cs"/>
          <w:rtl/>
        </w:rPr>
        <w:t>,000</w:t>
      </w:r>
      <w:r>
        <w:rPr>
          <w:rFonts w:hint="cs"/>
          <w:rtl/>
        </w:rPr>
        <w:t xml:space="preserve"> ש"ח בתב"ר מס' 2011902750 לשנת 2023, וסך 1.622 מיליון ש"ח לתקופה ינואר עד אוגוסט 2024 באותו תב"ר.</w:t>
      </w:r>
    </w:p>
  </w:footnote>
  <w:footnote w:id="127">
    <w:p w:rsidR="00FA04F8" w:rsidRDefault="00FA04F8" w:rsidP="00014C4D">
      <w:pPr>
        <w:pStyle w:val="af0"/>
      </w:pPr>
      <w:r>
        <w:rPr>
          <w:rStyle w:val="af2"/>
        </w:rPr>
        <w:footnoteRef/>
      </w:r>
      <w:r>
        <w:rPr>
          <w:rtl/>
        </w:rPr>
        <w:t xml:space="preserve"> </w:t>
      </w:r>
      <w:r>
        <w:rPr>
          <w:rtl/>
        </w:rPr>
        <w:tab/>
      </w:r>
      <w:r w:rsidRPr="00F40C0C">
        <w:rPr>
          <w:rFonts w:hint="cs"/>
          <w:rtl/>
        </w:rPr>
        <w:t>השיפוץ כלל בעיקר: ניקיון מקלטים, החלפת גופי תאורה, צביעה חיצונית של המקלטים, חיבור למערכת</w:t>
      </w:r>
      <w:r>
        <w:rPr>
          <w:rFonts w:hint="cs"/>
          <w:rtl/>
        </w:rPr>
        <w:t xml:space="preserve"> </w:t>
      </w:r>
      <w:r w:rsidRPr="00F40C0C">
        <w:rPr>
          <w:rFonts w:hint="cs"/>
          <w:rtl/>
        </w:rPr>
        <w:t xml:space="preserve">הביוב, החלפת לוחות חשמל, צביעת המקלטים, והתקנת אסלות וכיורים. </w:t>
      </w:r>
    </w:p>
  </w:footnote>
  <w:footnote w:id="128">
    <w:p w:rsidR="00FA04F8" w:rsidRDefault="00FA04F8" w:rsidP="00014C4D">
      <w:pPr>
        <w:pStyle w:val="af0"/>
      </w:pPr>
      <w:r>
        <w:rPr>
          <w:rStyle w:val="af2"/>
        </w:rPr>
        <w:footnoteRef/>
      </w:r>
      <w:r>
        <w:rPr>
          <w:rtl/>
        </w:rPr>
        <w:t xml:space="preserve"> </w:t>
      </w:r>
      <w:r>
        <w:rPr>
          <w:rtl/>
        </w:rPr>
        <w:tab/>
      </w:r>
      <w:r w:rsidRPr="00F40C0C">
        <w:rPr>
          <w:rFonts w:hint="cs"/>
          <w:rtl/>
        </w:rPr>
        <w:t>השיפוץ כלל בעיקר: ניקיון מקלטים, החלפת גופי תאורה, צביעה חיצונית של המקלטים, חיבור למערכת</w:t>
      </w:r>
      <w:r>
        <w:rPr>
          <w:rFonts w:hint="cs"/>
          <w:rtl/>
        </w:rPr>
        <w:t xml:space="preserve"> </w:t>
      </w:r>
      <w:r w:rsidRPr="00F40C0C">
        <w:rPr>
          <w:rFonts w:hint="cs"/>
          <w:rtl/>
        </w:rPr>
        <w:t xml:space="preserve">הביוב, החלפת לוחות חשמל, צביעת המקלטים והתקנת אסלות וכיורים. </w:t>
      </w:r>
    </w:p>
  </w:footnote>
  <w:footnote w:id="129">
    <w:p w:rsidR="00FA04F8" w:rsidRDefault="00FA04F8" w:rsidP="00014C4D">
      <w:pPr>
        <w:pStyle w:val="af0"/>
        <w:rPr>
          <w:rtl/>
        </w:rPr>
      </w:pPr>
      <w:r>
        <w:rPr>
          <w:rStyle w:val="af2"/>
        </w:rPr>
        <w:footnoteRef/>
      </w:r>
      <w:r>
        <w:rPr>
          <w:rFonts w:hint="cs"/>
          <w:rtl/>
        </w:rPr>
        <w:t xml:space="preserve"> </w:t>
      </w:r>
      <w:r>
        <w:rPr>
          <w:rtl/>
        </w:rPr>
        <w:tab/>
      </w:r>
      <w:r>
        <w:rPr>
          <w:rFonts w:hint="cs"/>
          <w:rtl/>
        </w:rPr>
        <w:t>לצורך שיפוץ המקלטים קיבלה המועצה לאחר תחילת המלחמה 440</w:t>
      </w:r>
      <w:r w:rsidRPr="008C7DF0">
        <w:rPr>
          <w:rFonts w:hint="cs"/>
          <w:rtl/>
        </w:rPr>
        <w:t>,000</w:t>
      </w:r>
      <w:r>
        <w:rPr>
          <w:rFonts w:hint="cs"/>
          <w:rtl/>
        </w:rPr>
        <w:t xml:space="preserve"> ש"ח ממשרד הבינוי. </w:t>
      </w:r>
    </w:p>
  </w:footnote>
  <w:footnote w:id="130">
    <w:p w:rsidR="00FA04F8" w:rsidRDefault="00FA04F8" w:rsidP="00014C4D">
      <w:pPr>
        <w:pStyle w:val="af0"/>
        <w:rPr>
          <w:rtl/>
        </w:rPr>
      </w:pPr>
      <w:r>
        <w:rPr>
          <w:rStyle w:val="af2"/>
        </w:rPr>
        <w:footnoteRef/>
      </w:r>
      <w:r>
        <w:rPr>
          <w:rFonts w:hint="cs"/>
          <w:rtl/>
        </w:rPr>
        <w:t xml:space="preserve"> </w:t>
      </w:r>
      <w:r>
        <w:rPr>
          <w:rtl/>
        </w:rPr>
        <w:tab/>
      </w:r>
      <w:r w:rsidRPr="00AF31C8">
        <w:rPr>
          <w:rFonts w:hint="cs"/>
          <w:rtl/>
        </w:rPr>
        <w:t>מזה כ-331</w:t>
      </w:r>
      <w:r w:rsidRPr="008C7DF0">
        <w:rPr>
          <w:rFonts w:hint="cs"/>
          <w:rtl/>
        </w:rPr>
        <w:t>,000</w:t>
      </w:r>
      <w:r w:rsidRPr="00AF31C8">
        <w:rPr>
          <w:rFonts w:hint="cs"/>
          <w:rtl/>
        </w:rPr>
        <w:t xml:space="preserve"> ש"ח באוקטובר עד דצמבר</w:t>
      </w:r>
      <w:r>
        <w:rPr>
          <w:rFonts w:hint="cs"/>
          <w:rtl/>
        </w:rPr>
        <w:t xml:space="preserve"> </w:t>
      </w:r>
      <w:r w:rsidRPr="00AF31C8">
        <w:rPr>
          <w:rFonts w:hint="cs"/>
          <w:rtl/>
        </w:rPr>
        <w:t>2023</w:t>
      </w:r>
      <w:r>
        <w:rPr>
          <w:rFonts w:hint="cs"/>
          <w:rtl/>
        </w:rPr>
        <w:t xml:space="preserve"> </w:t>
      </w:r>
      <w:r w:rsidRPr="00AF31C8">
        <w:rPr>
          <w:rFonts w:hint="cs"/>
          <w:rtl/>
        </w:rPr>
        <w:t>ו-238</w:t>
      </w:r>
      <w:r w:rsidRPr="008C7DF0">
        <w:rPr>
          <w:rFonts w:hint="cs"/>
          <w:rtl/>
        </w:rPr>
        <w:t>,000</w:t>
      </w:r>
      <w:r w:rsidRPr="00AF31C8">
        <w:rPr>
          <w:rFonts w:hint="cs"/>
          <w:rtl/>
        </w:rPr>
        <w:t xml:space="preserve"> ש"ח בינואר עד אפריל </w:t>
      </w:r>
      <w:r>
        <w:rPr>
          <w:rFonts w:hint="cs"/>
          <w:rtl/>
        </w:rPr>
        <w:t>2024.</w:t>
      </w:r>
    </w:p>
  </w:footnote>
  <w:footnote w:id="131">
    <w:p w:rsidR="00FA04F8" w:rsidRDefault="00FA04F8" w:rsidP="00014C4D">
      <w:pPr>
        <w:pStyle w:val="af0"/>
      </w:pPr>
      <w:r>
        <w:rPr>
          <w:rStyle w:val="af2"/>
        </w:rPr>
        <w:footnoteRef/>
      </w:r>
      <w:r>
        <w:rPr>
          <w:rFonts w:hint="cs"/>
          <w:rtl/>
        </w:rPr>
        <w:t xml:space="preserve"> </w:t>
      </w:r>
      <w:r>
        <w:rPr>
          <w:rtl/>
        </w:rPr>
        <w:tab/>
      </w:r>
      <w:r>
        <w:rPr>
          <w:rFonts w:hint="cs"/>
          <w:rtl/>
        </w:rPr>
        <w:t>מתחילת</w:t>
      </w:r>
      <w:r w:rsidRPr="00E023CC">
        <w:rPr>
          <w:rFonts w:hint="cs"/>
          <w:rtl/>
        </w:rPr>
        <w:t xml:space="preserve"> 2021 ועד אוקטובר 2023 לא שיפצה </w:t>
      </w:r>
      <w:r>
        <w:rPr>
          <w:rFonts w:hint="cs"/>
          <w:rtl/>
        </w:rPr>
        <w:t xml:space="preserve">העירייה </w:t>
      </w:r>
      <w:r w:rsidRPr="00E023CC">
        <w:rPr>
          <w:rFonts w:hint="cs"/>
          <w:rtl/>
        </w:rPr>
        <w:t>מקלטים למעט ת</w:t>
      </w:r>
      <w:r>
        <w:rPr>
          <w:rFonts w:hint="cs"/>
          <w:rtl/>
        </w:rPr>
        <w:t>י</w:t>
      </w:r>
      <w:r w:rsidRPr="00E023CC">
        <w:rPr>
          <w:rFonts w:hint="cs"/>
          <w:rtl/>
        </w:rPr>
        <w:t>קוני שבר קטנים.</w:t>
      </w:r>
    </w:p>
  </w:footnote>
  <w:footnote w:id="132">
    <w:p w:rsidR="00FA04F8" w:rsidRDefault="00FA04F8" w:rsidP="00014C4D">
      <w:pPr>
        <w:pStyle w:val="af0"/>
      </w:pPr>
      <w:r>
        <w:rPr>
          <w:rStyle w:val="af2"/>
        </w:rPr>
        <w:footnoteRef/>
      </w:r>
      <w:r>
        <w:rPr>
          <w:rtl/>
        </w:rPr>
        <w:t xml:space="preserve"> </w:t>
      </w:r>
      <w:r>
        <w:rPr>
          <w:rFonts w:ascii="David" w:hAnsi="David"/>
          <w:sz w:val="24"/>
          <w:rtl/>
        </w:rPr>
        <w:tab/>
      </w:r>
      <w:r w:rsidRPr="00572734">
        <w:rPr>
          <w:rFonts w:ascii="David" w:hAnsi="David" w:hint="cs"/>
          <w:sz w:val="24"/>
          <w:rtl/>
        </w:rPr>
        <w:t>מזה כ-</w:t>
      </w:r>
      <w:r>
        <w:rPr>
          <w:rFonts w:ascii="David" w:hAnsi="David" w:hint="cs"/>
          <w:sz w:val="24"/>
          <w:rtl/>
        </w:rPr>
        <w:t>9</w:t>
      </w:r>
      <w:r w:rsidRPr="00572734">
        <w:rPr>
          <w:rFonts w:ascii="David" w:hAnsi="David" w:hint="cs"/>
          <w:sz w:val="24"/>
          <w:rtl/>
        </w:rPr>
        <w:t xml:space="preserve"> </w:t>
      </w:r>
      <w:r>
        <w:rPr>
          <w:rFonts w:ascii="David" w:hAnsi="David" w:hint="cs"/>
          <w:sz w:val="24"/>
          <w:rtl/>
        </w:rPr>
        <w:t xml:space="preserve">מיליון </w:t>
      </w:r>
      <w:r w:rsidRPr="00572734">
        <w:rPr>
          <w:rFonts w:ascii="David" w:hAnsi="David" w:hint="cs"/>
          <w:sz w:val="24"/>
          <w:rtl/>
        </w:rPr>
        <w:t>ש"ח בנובמבר עד דצמבר 2023 וכ</w:t>
      </w:r>
      <w:r>
        <w:rPr>
          <w:rFonts w:ascii="David" w:hAnsi="David" w:hint="cs"/>
          <w:sz w:val="24"/>
          <w:rtl/>
        </w:rPr>
        <w:t>-11.384</w:t>
      </w:r>
      <w:r w:rsidRPr="00572734">
        <w:rPr>
          <w:rFonts w:ascii="David" w:hAnsi="David" w:hint="cs"/>
          <w:sz w:val="24"/>
          <w:rtl/>
        </w:rPr>
        <w:t xml:space="preserve"> </w:t>
      </w:r>
      <w:r>
        <w:rPr>
          <w:rFonts w:ascii="David" w:hAnsi="David" w:hint="cs"/>
          <w:sz w:val="24"/>
          <w:rtl/>
        </w:rPr>
        <w:t xml:space="preserve">מיליון </w:t>
      </w:r>
      <w:r w:rsidRPr="00572734">
        <w:rPr>
          <w:rFonts w:ascii="David" w:hAnsi="David" w:hint="cs"/>
          <w:sz w:val="24"/>
          <w:rtl/>
        </w:rPr>
        <w:t xml:space="preserve">ש"ח </w:t>
      </w:r>
      <w:r>
        <w:rPr>
          <w:rFonts w:ascii="David" w:hAnsi="David" w:hint="cs"/>
          <w:sz w:val="24"/>
          <w:rtl/>
        </w:rPr>
        <w:t xml:space="preserve">(9.050 ו-2.334 מיליון ש"ח) </w:t>
      </w:r>
      <w:r w:rsidRPr="00572734">
        <w:rPr>
          <w:rFonts w:ascii="David" w:hAnsi="David" w:hint="cs"/>
          <w:sz w:val="24"/>
          <w:rtl/>
        </w:rPr>
        <w:t xml:space="preserve">בינואר ועד יולי </w:t>
      </w:r>
      <w:r>
        <w:rPr>
          <w:rFonts w:ascii="David" w:hAnsi="David" w:hint="cs"/>
          <w:sz w:val="24"/>
          <w:rtl/>
        </w:rPr>
        <w:t xml:space="preserve">2024. </w:t>
      </w:r>
    </w:p>
  </w:footnote>
  <w:footnote w:id="133">
    <w:p w:rsidR="00FA04F8" w:rsidRDefault="00FA04F8" w:rsidP="00014C4D">
      <w:pPr>
        <w:pStyle w:val="af0"/>
      </w:pPr>
      <w:r>
        <w:rPr>
          <w:rStyle w:val="af2"/>
        </w:rPr>
        <w:footnoteRef/>
      </w:r>
      <w:r>
        <w:rPr>
          <w:rtl/>
        </w:rPr>
        <w:t xml:space="preserve"> </w:t>
      </w:r>
      <w:r>
        <w:rPr>
          <w:rtl/>
        </w:rPr>
        <w:tab/>
      </w:r>
      <w:r>
        <w:rPr>
          <w:rFonts w:hint="cs"/>
          <w:rtl/>
        </w:rPr>
        <w:t xml:space="preserve">כולל רכישת </w:t>
      </w:r>
      <w:r w:rsidRPr="00E069AC">
        <w:rPr>
          <w:rFonts w:hint="eastAsia"/>
          <w:rtl/>
        </w:rPr>
        <w:t>צינו</w:t>
      </w:r>
      <w:r w:rsidRPr="00E069AC">
        <w:rPr>
          <w:rFonts w:hint="cs"/>
          <w:rtl/>
        </w:rPr>
        <w:t>רו</w:t>
      </w:r>
      <w:r w:rsidRPr="00E069AC">
        <w:rPr>
          <w:rFonts w:hint="eastAsia"/>
          <w:rtl/>
        </w:rPr>
        <w:t>ת</w:t>
      </w:r>
      <w:r>
        <w:rPr>
          <w:rFonts w:hint="cs"/>
          <w:rtl/>
        </w:rPr>
        <w:t xml:space="preserve"> מיגון על ידי הגלבוע.</w:t>
      </w:r>
    </w:p>
  </w:footnote>
  <w:footnote w:id="134">
    <w:p w:rsidR="00FA04F8" w:rsidRDefault="00FA04F8" w:rsidP="00014C4D">
      <w:pPr>
        <w:pStyle w:val="af0"/>
        <w:rPr>
          <w:rtl/>
        </w:rPr>
      </w:pPr>
      <w:r>
        <w:rPr>
          <w:rStyle w:val="af2"/>
        </w:rPr>
        <w:footnoteRef/>
      </w:r>
      <w:r>
        <w:rPr>
          <w:rtl/>
        </w:rPr>
        <w:t xml:space="preserve"> </w:t>
      </w:r>
      <w:r>
        <w:rPr>
          <w:rtl/>
        </w:rPr>
        <w:tab/>
      </w:r>
      <w:r>
        <w:rPr>
          <w:rFonts w:hint="cs"/>
          <w:rtl/>
        </w:rPr>
        <w:t>כאמור לעיל ההוצאות של גבעתיים לשיפוץ גני ילדים נרשמו עם הוצאותיה לשיפוץ מקלטים ציבוריים והסכום הכולל היה נמוך כאמור לעיל.</w:t>
      </w:r>
    </w:p>
  </w:footnote>
  <w:footnote w:id="135">
    <w:p w:rsidR="00FA04F8" w:rsidRDefault="00FA04F8" w:rsidP="00014C4D">
      <w:pPr>
        <w:pStyle w:val="af0"/>
      </w:pPr>
      <w:r>
        <w:rPr>
          <w:rStyle w:val="af2"/>
        </w:rPr>
        <w:footnoteRef/>
      </w:r>
      <w:r>
        <w:rPr>
          <w:rtl/>
        </w:rPr>
        <w:t xml:space="preserve"> </w:t>
      </w:r>
      <w:r>
        <w:rPr>
          <w:rtl/>
        </w:rPr>
        <w:tab/>
      </w:r>
      <w:r>
        <w:rPr>
          <w:rFonts w:hint="cs"/>
          <w:rtl/>
        </w:rPr>
        <w:t>היום: משרד הרווחה והביטחון החברתי.</w:t>
      </w:r>
    </w:p>
  </w:footnote>
  <w:footnote w:id="136">
    <w:p w:rsidR="00FA04F8" w:rsidRPr="00AF31C8" w:rsidRDefault="00FA04F8" w:rsidP="00014C4D">
      <w:pPr>
        <w:pStyle w:val="af0"/>
      </w:pPr>
      <w:r>
        <w:rPr>
          <w:rStyle w:val="af2"/>
        </w:rPr>
        <w:footnoteRef/>
      </w:r>
      <w:r>
        <w:rPr>
          <w:rtl/>
        </w:rPr>
        <w:t xml:space="preserve"> </w:t>
      </w:r>
      <w:r>
        <w:rPr>
          <w:rtl/>
        </w:rPr>
        <w:tab/>
      </w:r>
      <w:r w:rsidRPr="00AF31C8">
        <w:rPr>
          <w:rFonts w:hint="cs"/>
          <w:rtl/>
        </w:rPr>
        <w:t xml:space="preserve">בפברואר </w:t>
      </w:r>
      <w:r w:rsidRPr="00057253">
        <w:rPr>
          <w:rFonts w:hint="cs"/>
          <w:rtl/>
        </w:rPr>
        <w:t>2023</w:t>
      </w:r>
      <w:r>
        <w:rPr>
          <w:rFonts w:hint="cs"/>
          <w:highlight w:val="lightGray"/>
          <w:rtl/>
        </w:rPr>
        <w:t xml:space="preserve"> </w:t>
      </w:r>
      <w:r w:rsidRPr="00AF31C8">
        <w:rPr>
          <w:rFonts w:hint="cs"/>
          <w:rtl/>
        </w:rPr>
        <w:t>שונה שם המשרד ל</w:t>
      </w:r>
      <w:r w:rsidRPr="00AF31C8">
        <w:rPr>
          <w:rtl/>
        </w:rPr>
        <w:t>משרד הנגב, הגליל והחוסן הלאומי</w:t>
      </w:r>
      <w:r>
        <w:rPr>
          <w:rFonts w:hint="cs"/>
          <w:rtl/>
        </w:rPr>
        <w:t xml:space="preserve"> (להלן - המשרד לחוסן לאומי)</w:t>
      </w:r>
      <w:r w:rsidRPr="00AF31C8">
        <w:rPr>
          <w:rFonts w:hint="cs"/>
          <w:rtl/>
        </w:rPr>
        <w:t>.</w:t>
      </w:r>
      <w:r>
        <w:rPr>
          <w:rFonts w:hint="cs"/>
          <w:rtl/>
        </w:rPr>
        <w:t xml:space="preserve"> </w:t>
      </w:r>
    </w:p>
    <w:p w:rsidR="00FA04F8" w:rsidRPr="00AF31C8" w:rsidRDefault="00FA04F8" w:rsidP="00014C4D">
      <w:pPr>
        <w:pStyle w:val="af0"/>
        <w:rPr>
          <w:rtl/>
        </w:rPr>
      </w:pPr>
    </w:p>
  </w:footnote>
  <w:footnote w:id="137">
    <w:p w:rsidR="00FA04F8" w:rsidRPr="00FE287E" w:rsidRDefault="00FA04F8" w:rsidP="00014C4D">
      <w:pPr>
        <w:pStyle w:val="af0"/>
        <w:rPr>
          <w:rtl/>
        </w:rPr>
      </w:pPr>
      <w:r>
        <w:rPr>
          <w:rStyle w:val="af2"/>
        </w:rPr>
        <w:footnoteRef/>
      </w:r>
      <w:r>
        <w:rPr>
          <w:rtl/>
        </w:rPr>
        <w:t xml:space="preserve"> </w:t>
      </w:r>
      <w:r>
        <w:rPr>
          <w:rtl/>
        </w:rPr>
        <w:tab/>
      </w:r>
      <w:r w:rsidRPr="00FE287E">
        <w:rPr>
          <w:rtl/>
        </w:rPr>
        <w:t xml:space="preserve">העירייה מסרה למשרד מבקר המדינה </w:t>
      </w:r>
      <w:r w:rsidRPr="00F3053E">
        <w:rPr>
          <w:rtl/>
        </w:rPr>
        <w:t>במהלך הביקורת באוקטובר 2024</w:t>
      </w:r>
      <w:r w:rsidRPr="00FE287E">
        <w:rPr>
          <w:rtl/>
        </w:rPr>
        <w:t xml:space="preserve"> כי עם קבלת החלטת הממשלה היא</w:t>
      </w:r>
      <w:r>
        <w:rPr>
          <w:rFonts w:hint="cs"/>
          <w:rtl/>
        </w:rPr>
        <w:t xml:space="preserve"> </w:t>
      </w:r>
      <w:r w:rsidRPr="00FE287E">
        <w:rPr>
          <w:rtl/>
        </w:rPr>
        <w:t xml:space="preserve">החלה בשיתוף פקע"ר </w:t>
      </w:r>
      <w:r>
        <w:rPr>
          <w:rFonts w:hint="cs"/>
          <w:rtl/>
        </w:rPr>
        <w:t>לשפץ את</w:t>
      </w:r>
      <w:r w:rsidRPr="00FE287E">
        <w:rPr>
          <w:rtl/>
        </w:rPr>
        <w:t xml:space="preserve"> המקלטים המשותפים </w:t>
      </w:r>
      <w:r>
        <w:rPr>
          <w:rFonts w:hint="cs"/>
          <w:rtl/>
        </w:rPr>
        <w:t>באמצעות</w:t>
      </w:r>
      <w:r w:rsidRPr="00FE287E">
        <w:rPr>
          <w:rtl/>
        </w:rPr>
        <w:t xml:space="preserve"> קבלני מסגרת של העירייה</w:t>
      </w:r>
      <w:r>
        <w:rPr>
          <w:rFonts w:hint="cs"/>
          <w:rtl/>
        </w:rPr>
        <w:t>.</w:t>
      </w:r>
    </w:p>
  </w:footnote>
  <w:footnote w:id="138">
    <w:p w:rsidR="00FA04F8" w:rsidRDefault="00FA04F8" w:rsidP="00014C4D">
      <w:pPr>
        <w:pStyle w:val="af0"/>
      </w:pPr>
      <w:r>
        <w:rPr>
          <w:rStyle w:val="af2"/>
        </w:rPr>
        <w:footnoteRef/>
      </w:r>
      <w:r>
        <w:rPr>
          <w:rtl/>
        </w:rPr>
        <w:t xml:space="preserve"> </w:t>
      </w:r>
      <w:r>
        <w:rPr>
          <w:rtl/>
        </w:rPr>
        <w:tab/>
      </w:r>
      <w:r w:rsidRPr="00DA0E88">
        <w:rPr>
          <w:rFonts w:hint="cs"/>
          <w:rtl/>
        </w:rPr>
        <w:t xml:space="preserve">נכה </w:t>
      </w:r>
      <w:r>
        <w:rPr>
          <w:rFonts w:hint="cs"/>
          <w:rtl/>
        </w:rPr>
        <w:t>ה</w:t>
      </w:r>
      <w:r w:rsidRPr="00DA0E88">
        <w:rPr>
          <w:rFonts w:hint="cs"/>
          <w:rtl/>
        </w:rPr>
        <w:t xml:space="preserve">מלחמה בנאצים, נכה רדיפות </w:t>
      </w:r>
      <w:r>
        <w:rPr>
          <w:rFonts w:hint="cs"/>
          <w:rtl/>
        </w:rPr>
        <w:t>ה</w:t>
      </w:r>
      <w:r w:rsidRPr="00DA0E88">
        <w:rPr>
          <w:rFonts w:hint="cs"/>
          <w:rtl/>
        </w:rPr>
        <w:t>נאצים</w:t>
      </w:r>
      <w:r>
        <w:rPr>
          <w:rFonts w:hint="cs"/>
          <w:rtl/>
        </w:rPr>
        <w:t xml:space="preserve"> ששיעור נכותו </w:t>
      </w:r>
      <w:r w:rsidRPr="00DA0E88">
        <w:rPr>
          <w:rFonts w:hint="cs"/>
          <w:rtl/>
        </w:rPr>
        <w:t>עד 49%</w:t>
      </w:r>
      <w:r>
        <w:rPr>
          <w:rFonts w:hint="cs"/>
          <w:rtl/>
        </w:rPr>
        <w:t>;</w:t>
      </w:r>
      <w:r w:rsidRPr="00DA0E88">
        <w:rPr>
          <w:rFonts w:hint="cs"/>
          <w:rtl/>
        </w:rPr>
        <w:t xml:space="preserve"> רתוק לכיסא גלגלים הזכאי לקצבת נכות של הביטוח הלאומי עם כושר אי</w:t>
      </w:r>
      <w:r>
        <w:rPr>
          <w:rFonts w:hint="cs"/>
          <w:rtl/>
        </w:rPr>
        <w:t>-</w:t>
      </w:r>
      <w:r w:rsidRPr="00DA0E88">
        <w:rPr>
          <w:rFonts w:hint="cs"/>
          <w:rtl/>
        </w:rPr>
        <w:t>השתכרות בשיעור של 75%</w:t>
      </w:r>
      <w:r>
        <w:rPr>
          <w:rFonts w:hint="cs"/>
          <w:rtl/>
        </w:rPr>
        <w:t xml:space="preserve">; </w:t>
      </w:r>
      <w:r w:rsidRPr="0075408E">
        <w:rPr>
          <w:rtl/>
        </w:rPr>
        <w:t>זכאי לקצבת ניידות לצמיתות</w:t>
      </w:r>
      <w:r>
        <w:rPr>
          <w:rFonts w:hint="cs"/>
          <w:rtl/>
        </w:rPr>
        <w:t xml:space="preserve"> </w:t>
      </w:r>
      <w:r w:rsidRPr="0075408E">
        <w:rPr>
          <w:rtl/>
        </w:rPr>
        <w:t>בשיעור של 100%</w:t>
      </w:r>
      <w:r w:rsidRPr="00DA0E88">
        <w:rPr>
          <w:rFonts w:hint="cs"/>
          <w:rtl/>
        </w:rPr>
        <w:t>.</w:t>
      </w:r>
      <w:r>
        <w:rPr>
          <w:rFonts w:hint="cs"/>
          <w:rtl/>
        </w:rPr>
        <w:t xml:space="preserve"> </w:t>
      </w:r>
    </w:p>
  </w:footnote>
  <w:footnote w:id="139">
    <w:p w:rsidR="00FA04F8" w:rsidRDefault="00FA04F8" w:rsidP="00014C4D">
      <w:pPr>
        <w:pStyle w:val="af0"/>
        <w:rPr>
          <w:rtl/>
        </w:rPr>
      </w:pPr>
      <w:r>
        <w:rPr>
          <w:rStyle w:val="af2"/>
        </w:rPr>
        <w:footnoteRef/>
      </w:r>
      <w:r>
        <w:rPr>
          <w:rtl/>
        </w:rPr>
        <w:t xml:space="preserve"> </w:t>
      </w:r>
      <w:r>
        <w:rPr>
          <w:rtl/>
        </w:rPr>
        <w:tab/>
      </w:r>
      <w:r w:rsidRPr="008E2FC2">
        <w:rPr>
          <w:rtl/>
        </w:rPr>
        <w:t xml:space="preserve">משרד השיכון מסר למשרד מבקר המדינה בספטמבר 2024 כי </w:t>
      </w:r>
      <w:r>
        <w:rPr>
          <w:rFonts w:hint="cs"/>
          <w:rtl/>
        </w:rPr>
        <w:t>מ</w:t>
      </w:r>
      <w:r w:rsidRPr="008E2FC2">
        <w:rPr>
          <w:rtl/>
        </w:rPr>
        <w:t>יולי 2023 עד אוגוסט 2024 בוצע מיפוי של התושבים הזכאים לסיוע בבנייה רוויה.</w:t>
      </w:r>
    </w:p>
  </w:footnote>
  <w:footnote w:id="140">
    <w:p w:rsidR="00FA04F8" w:rsidRDefault="00FA04F8" w:rsidP="00014C4D">
      <w:pPr>
        <w:pStyle w:val="af0"/>
        <w:jc w:val="left"/>
      </w:pPr>
      <w:r>
        <w:rPr>
          <w:rStyle w:val="af2"/>
        </w:rPr>
        <w:footnoteRef/>
      </w:r>
      <w:r>
        <w:rPr>
          <w:rFonts w:hint="cs"/>
          <w:rtl/>
        </w:rPr>
        <w:t xml:space="preserve"> </w:t>
      </w:r>
      <w:r>
        <w:rPr>
          <w:rtl/>
        </w:rPr>
        <w:tab/>
      </w:r>
      <w:r>
        <w:rPr>
          <w:rFonts w:hint="cs"/>
          <w:rtl/>
        </w:rPr>
        <w:t>ההחלטה על סבסוד ריבית להלוואות התקבלה על ידי משרד הבינוי והשיכון לאחר פרסום החלטת הממשלה בעקבות משא ומתן עם הבנקים לקראת הוצאת הנוהל לקבלת סיוע במענקים והלוואות שפרסם ביוני 2023.</w:t>
      </w:r>
    </w:p>
  </w:footnote>
  <w:footnote w:id="141">
    <w:p w:rsidR="00FA04F8" w:rsidRDefault="00FA04F8" w:rsidP="00014C4D">
      <w:pPr>
        <w:pStyle w:val="af0"/>
        <w:rPr>
          <w:rtl/>
        </w:rPr>
      </w:pPr>
      <w:r>
        <w:rPr>
          <w:rStyle w:val="af2"/>
        </w:rPr>
        <w:footnoteRef/>
      </w:r>
      <w:r>
        <w:rPr>
          <w:rtl/>
        </w:rPr>
        <w:t xml:space="preserve"> </w:t>
      </w:r>
      <w:r>
        <w:rPr>
          <w:rtl/>
        </w:rPr>
        <w:tab/>
      </w:r>
      <w:r>
        <w:rPr>
          <w:rFonts w:hint="cs"/>
          <w:rtl/>
        </w:rPr>
        <w:t>סכומי המענקים וההלוואות נקבעים סופית רק בעת מימוש המענק או ההלוואה.</w:t>
      </w:r>
    </w:p>
  </w:footnote>
  <w:footnote w:id="142">
    <w:p w:rsidR="00FA04F8" w:rsidRPr="00A6231A" w:rsidRDefault="00FA04F8" w:rsidP="00014C4D">
      <w:pPr>
        <w:pStyle w:val="af0"/>
        <w:rPr>
          <w:rtl/>
        </w:rPr>
      </w:pPr>
      <w:r>
        <w:rPr>
          <w:rStyle w:val="af2"/>
        </w:rPr>
        <w:footnoteRef/>
      </w:r>
      <w:r>
        <w:rPr>
          <w:rtl/>
        </w:rPr>
        <w:t xml:space="preserve"> </w:t>
      </w:r>
      <w:r>
        <w:rPr>
          <w:rtl/>
        </w:rPr>
        <w:tab/>
      </w:r>
      <w:r w:rsidRPr="00740D9F">
        <w:rPr>
          <w:rtl/>
        </w:rPr>
        <w:t>הרשות לפיתוח כלכלי של מגזר המיעוטים היא רשות ממשלתית הכפופה למשרד לשוויון חברתי</w:t>
      </w:r>
      <w:r>
        <w:rPr>
          <w:rFonts w:hint="cs"/>
          <w:rtl/>
        </w:rPr>
        <w:t xml:space="preserve">. הרשות </w:t>
      </w:r>
      <w:r w:rsidRPr="00A6231A">
        <w:rPr>
          <w:rtl/>
        </w:rPr>
        <w:t xml:space="preserve">הוקמה </w:t>
      </w:r>
      <w:r>
        <w:rPr>
          <w:rFonts w:hint="cs"/>
          <w:rtl/>
        </w:rPr>
        <w:t xml:space="preserve">מתוקף </w:t>
      </w:r>
      <w:r w:rsidRPr="00AA46E9">
        <w:rPr>
          <w:rFonts w:hint="cs"/>
          <w:rtl/>
        </w:rPr>
        <w:t>ה</w:t>
      </w:r>
      <w:r w:rsidRPr="00AA46E9">
        <w:rPr>
          <w:rtl/>
        </w:rPr>
        <w:t xml:space="preserve">חלטת </w:t>
      </w:r>
      <w:r w:rsidRPr="00AA46E9">
        <w:rPr>
          <w:rFonts w:hint="cs"/>
          <w:rtl/>
        </w:rPr>
        <w:t>ה</w:t>
      </w:r>
      <w:r w:rsidRPr="00AA46E9">
        <w:rPr>
          <w:rtl/>
        </w:rPr>
        <w:t>ממשלה מס' 1204 מיום 28.01.</w:t>
      </w:r>
      <w:r w:rsidRPr="00AA46E9">
        <w:rPr>
          <w:rFonts w:hint="cs"/>
          <w:rtl/>
        </w:rPr>
        <w:t>07</w:t>
      </w:r>
      <w:r w:rsidRPr="00AA46E9">
        <w:rPr>
          <w:rtl/>
        </w:rPr>
        <w:t>.</w:t>
      </w:r>
      <w:r w:rsidRPr="00A6231A">
        <w:rPr>
          <w:rtl/>
        </w:rPr>
        <w:t xml:space="preserve"> בהחלטה זו נקבע כי</w:t>
      </w:r>
      <w:r w:rsidRPr="003D1D61">
        <w:rPr>
          <w:rtl/>
        </w:rPr>
        <w:t xml:space="preserve"> </w:t>
      </w:r>
      <w:r w:rsidRPr="00330613">
        <w:rPr>
          <w:rFonts w:hint="cs"/>
          <w:rtl/>
        </w:rPr>
        <w:t xml:space="preserve">מטרת הרשות </w:t>
      </w:r>
      <w:r w:rsidRPr="00A6231A">
        <w:rPr>
          <w:rtl/>
        </w:rPr>
        <w:t>להביא למיצוי הפוטנציאל הכלכלי של החברה הערבית</w:t>
      </w:r>
      <w:r>
        <w:rPr>
          <w:rFonts w:hint="cs"/>
          <w:rtl/>
        </w:rPr>
        <w:t xml:space="preserve"> </w:t>
      </w:r>
      <w:r w:rsidRPr="00A6231A">
        <w:rPr>
          <w:rtl/>
        </w:rPr>
        <w:t xml:space="preserve">בדרך של עידוד פעילות כלכלית יצרנית ועסקית והגברת שילוב מגזר המיעוטים בכלכלה הלאומית הרחבה. בהמשך </w:t>
      </w:r>
      <w:r>
        <w:rPr>
          <w:rFonts w:hint="cs"/>
          <w:rtl/>
        </w:rPr>
        <w:t>ההחלטה</w:t>
      </w:r>
      <w:r w:rsidRPr="00A6231A">
        <w:rPr>
          <w:rtl/>
        </w:rPr>
        <w:t>, פורטו הנושאים שעל הרשות לקדם כדי למצות את הפוטנציאל הכלכלי האמור ולהגביר את השילוב</w:t>
      </w:r>
      <w:r w:rsidRPr="00A6231A">
        <w:t>.</w:t>
      </w:r>
    </w:p>
  </w:footnote>
  <w:footnote w:id="143">
    <w:p w:rsidR="00FA04F8" w:rsidRDefault="00FA04F8" w:rsidP="00014C4D">
      <w:pPr>
        <w:pStyle w:val="af0"/>
      </w:pPr>
      <w:r>
        <w:rPr>
          <w:rStyle w:val="af2"/>
        </w:rPr>
        <w:footnoteRef/>
      </w:r>
      <w:r>
        <w:rPr>
          <w:rtl/>
        </w:rPr>
        <w:t xml:space="preserve"> </w:t>
      </w:r>
      <w:r>
        <w:rPr>
          <w:rtl/>
        </w:rPr>
        <w:tab/>
      </w:r>
      <w:r>
        <w:rPr>
          <w:rFonts w:hint="cs"/>
          <w:rtl/>
        </w:rPr>
        <w:t xml:space="preserve">עיריית </w:t>
      </w:r>
      <w:r w:rsidRPr="007C2BEE">
        <w:rPr>
          <w:rtl/>
        </w:rPr>
        <w:t xml:space="preserve">כפר קאסם </w:t>
      </w:r>
      <w:r w:rsidRPr="007C2BEE">
        <w:rPr>
          <w:rFonts w:hint="cs"/>
          <w:rtl/>
        </w:rPr>
        <w:t>ח</w:t>
      </w:r>
      <w:r w:rsidRPr="007C2BEE">
        <w:rPr>
          <w:rtl/>
        </w:rPr>
        <w:t xml:space="preserve">תמה הסכם </w:t>
      </w:r>
      <w:r w:rsidRPr="007C2BEE">
        <w:rPr>
          <w:rFonts w:hint="cs"/>
          <w:rtl/>
        </w:rPr>
        <w:t>ל</w:t>
      </w:r>
      <w:r w:rsidRPr="007C2BEE">
        <w:rPr>
          <w:rtl/>
        </w:rPr>
        <w:t>הפעל</w:t>
      </w:r>
      <w:r w:rsidRPr="007C2BEE">
        <w:rPr>
          <w:rFonts w:hint="cs"/>
          <w:rtl/>
        </w:rPr>
        <w:t>ת</w:t>
      </w:r>
      <w:r w:rsidRPr="007C2BEE">
        <w:rPr>
          <w:rtl/>
        </w:rPr>
        <w:t xml:space="preserve"> </w:t>
      </w:r>
      <w:r>
        <w:rPr>
          <w:rFonts w:hint="cs"/>
          <w:rtl/>
        </w:rPr>
        <w:t>חדר המצב</w:t>
      </w:r>
      <w:r w:rsidRPr="007C2BEE">
        <w:rPr>
          <w:rFonts w:hint="cs"/>
          <w:rtl/>
        </w:rPr>
        <w:t xml:space="preserve"> </w:t>
      </w:r>
      <w:r w:rsidRPr="007C2BEE">
        <w:rPr>
          <w:rtl/>
        </w:rPr>
        <w:t>עם החברה הכלכלית</w:t>
      </w:r>
      <w:r w:rsidRPr="007C2BEE">
        <w:rPr>
          <w:rFonts w:hint="cs"/>
          <w:rtl/>
        </w:rPr>
        <w:t xml:space="preserve"> כפר קאסם</w:t>
      </w:r>
      <w:r>
        <w:rPr>
          <w:rFonts w:hint="cs"/>
          <w:rtl/>
        </w:rPr>
        <w:t>.</w:t>
      </w:r>
    </w:p>
  </w:footnote>
  <w:footnote w:id="144">
    <w:p w:rsidR="00FA04F8" w:rsidRDefault="00FA04F8" w:rsidP="00014C4D">
      <w:pPr>
        <w:pStyle w:val="af0"/>
      </w:pPr>
      <w:r>
        <w:rPr>
          <w:rStyle w:val="af2"/>
        </w:rPr>
        <w:footnoteRef/>
      </w:r>
      <w:r>
        <w:rPr>
          <w:rtl/>
        </w:rPr>
        <w:t xml:space="preserve"> </w:t>
      </w:r>
      <w:r>
        <w:rPr>
          <w:rtl/>
        </w:rPr>
        <w:tab/>
      </w:r>
      <w:r w:rsidRPr="00AA46E9">
        <w:rPr>
          <w:rFonts w:hint="cs"/>
          <w:rtl/>
        </w:rPr>
        <w:t>עמותת סיכוי-אופוק, יוזמות אברהם, מרכז אינג'אז, פורום דו-קיום בנגב, עמותת איתך - משפטניות למען צדק חברתי, גבעת חביבה</w:t>
      </w:r>
      <w:r>
        <w:rPr>
          <w:rFonts w:hint="cs"/>
          <w:rtl/>
        </w:rPr>
        <w:t>.</w:t>
      </w:r>
    </w:p>
  </w:footnote>
  <w:footnote w:id="145">
    <w:p w:rsidR="00FA04F8" w:rsidRDefault="00FA04F8" w:rsidP="00014C4D">
      <w:pPr>
        <w:pStyle w:val="af0"/>
        <w:rPr>
          <w:rtl/>
        </w:rPr>
      </w:pPr>
      <w:r>
        <w:rPr>
          <w:rStyle w:val="af2"/>
        </w:rPr>
        <w:footnoteRef/>
      </w:r>
      <w:r>
        <w:rPr>
          <w:rtl/>
        </w:rPr>
        <w:t xml:space="preserve"> </w:t>
      </w:r>
      <w:r>
        <w:rPr>
          <w:rtl/>
        </w:rPr>
        <w:tab/>
      </w:r>
      <w:r>
        <w:rPr>
          <w:rFonts w:hint="cs"/>
          <w:rtl/>
        </w:rPr>
        <w:t>מבוסס על נתוני הרשות לפיתוח כלכלי.</w:t>
      </w:r>
    </w:p>
  </w:footnote>
  <w:footnote w:id="146">
    <w:p w:rsidR="00FA04F8" w:rsidRDefault="00FA04F8" w:rsidP="00014C4D">
      <w:pPr>
        <w:pStyle w:val="af0"/>
        <w:rPr>
          <w:rtl/>
        </w:rPr>
      </w:pPr>
      <w:r>
        <w:rPr>
          <w:rStyle w:val="af2"/>
        </w:rPr>
        <w:footnoteRef/>
      </w:r>
      <w:r>
        <w:rPr>
          <w:rtl/>
        </w:rPr>
        <w:t xml:space="preserve"> </w:t>
      </w:r>
      <w:r>
        <w:rPr>
          <w:rtl/>
        </w:rPr>
        <w:tab/>
      </w:r>
      <w:r>
        <w:rPr>
          <w:rFonts w:hint="cs"/>
          <w:rtl/>
        </w:rPr>
        <w:t>נכון למועד סיום הביקורת, התושבים המפונים מיישובי גבול הצפון עדיין לא חזרו לבתיהם.</w:t>
      </w:r>
    </w:p>
  </w:footnote>
  <w:footnote w:id="147">
    <w:p w:rsidR="00FA04F8" w:rsidRDefault="00FA04F8" w:rsidP="00014C4D">
      <w:pPr>
        <w:pStyle w:val="af0"/>
        <w:rPr>
          <w:rtl/>
        </w:rPr>
      </w:pPr>
      <w:r>
        <w:rPr>
          <w:rStyle w:val="af2"/>
        </w:rPr>
        <w:footnoteRef/>
      </w:r>
      <w:r>
        <w:rPr>
          <w:rtl/>
        </w:rPr>
        <w:t xml:space="preserve"> </w:t>
      </w:r>
      <w:r>
        <w:rPr>
          <w:rtl/>
        </w:rPr>
        <w:tab/>
      </w:r>
      <w:r w:rsidRPr="00954596">
        <w:rPr>
          <w:rFonts w:hint="eastAsia"/>
          <w:rtl/>
        </w:rPr>
        <w:t>החלטה</w:t>
      </w:r>
      <w:r w:rsidRPr="00954596">
        <w:rPr>
          <w:rtl/>
        </w:rPr>
        <w:t xml:space="preserve"> מ-24.10.21. היישובים שנכללו בהחלטה במחוז צפון: אכסאל, א</w:t>
      </w:r>
      <w:r w:rsidRPr="00954596">
        <w:rPr>
          <w:rFonts w:hint="eastAsia"/>
          <w:rtl/>
        </w:rPr>
        <w:t>י</w:t>
      </w:r>
      <w:r w:rsidRPr="00954596">
        <w:rPr>
          <w:rtl/>
        </w:rPr>
        <w:t>עבלין, עין א-סהלה, מעאויה, ב</w:t>
      </w:r>
      <w:r w:rsidRPr="00954596">
        <w:rPr>
          <w:rFonts w:hint="eastAsia"/>
          <w:rtl/>
        </w:rPr>
        <w:t>י</w:t>
      </w:r>
      <w:r w:rsidRPr="00954596">
        <w:rPr>
          <w:rtl/>
        </w:rPr>
        <w:t xml:space="preserve">ענה, </w:t>
      </w:r>
      <w:r w:rsidRPr="00954596">
        <w:rPr>
          <w:rFonts w:hint="eastAsia"/>
          <w:rtl/>
        </w:rPr>
        <w:t>ג</w:t>
      </w:r>
      <w:r w:rsidRPr="00954596">
        <w:rPr>
          <w:rtl/>
        </w:rPr>
        <w:t>'דידה-מכר, ג'</w:t>
      </w:r>
      <w:r w:rsidRPr="00954596">
        <w:rPr>
          <w:rFonts w:hint="eastAsia"/>
          <w:rtl/>
        </w:rPr>
        <w:t>י</w:t>
      </w:r>
      <w:r w:rsidRPr="00954596">
        <w:rPr>
          <w:rtl/>
        </w:rPr>
        <w:t>ש (גוש חלב), דבוריה, דיר חנא, טורעאן, יפיע, כאבול, כ</w:t>
      </w:r>
      <w:r w:rsidRPr="00954596">
        <w:rPr>
          <w:rFonts w:hint="eastAsia"/>
          <w:rtl/>
        </w:rPr>
        <w:t>ו</w:t>
      </w:r>
      <w:r w:rsidRPr="00954596">
        <w:rPr>
          <w:rtl/>
        </w:rPr>
        <w:t xml:space="preserve">וכב אבו אל-היג'א, כפר יאסיף, כפר כנא, כפר מנדא, מג'ד אל-כרום, מזרעה, מעליא, מוס'מוס', מושירפה, ביאדה, סאלם, משהד, נחף, </w:t>
      </w:r>
      <w:r w:rsidRPr="00954596">
        <w:rPr>
          <w:rFonts w:hint="eastAsia"/>
          <w:rtl/>
        </w:rPr>
        <w:t>ר</w:t>
      </w:r>
      <w:r w:rsidRPr="00954596">
        <w:rPr>
          <w:rtl/>
        </w:rPr>
        <w:t>'ג'ר, עילבון, עילוט, עין מאהל, עארה, פסוטה, ריינה, שעב, טמרה, נצרת, סח'נין, עראבה, שפרעם, דחי, כפר מ</w:t>
      </w:r>
      <w:r w:rsidRPr="00954596">
        <w:rPr>
          <w:rFonts w:hint="eastAsia"/>
          <w:rtl/>
        </w:rPr>
        <w:t>יס</w:t>
      </w:r>
      <w:r w:rsidRPr="00954596">
        <w:rPr>
          <w:rtl/>
        </w:rPr>
        <w:t>'ר, נין, סולם, טייבה (בעמק), טמרה (</w:t>
      </w:r>
      <w:r w:rsidRPr="00954596">
        <w:rPr>
          <w:rFonts w:hint="eastAsia"/>
          <w:rtl/>
        </w:rPr>
        <w:t>בעמק</w:t>
      </w:r>
      <w:r w:rsidRPr="00954596">
        <w:rPr>
          <w:rtl/>
        </w:rPr>
        <w:t>), מקב</w:t>
      </w:r>
      <w:r w:rsidRPr="00954596">
        <w:rPr>
          <w:rFonts w:hint="eastAsia"/>
          <w:rtl/>
        </w:rPr>
        <w:t>י</w:t>
      </w:r>
      <w:r w:rsidRPr="00954596">
        <w:rPr>
          <w:rtl/>
        </w:rPr>
        <w:t xml:space="preserve">לה, נאעורה, </w:t>
      </w:r>
      <w:r w:rsidRPr="00954596">
        <w:rPr>
          <w:rFonts w:hint="eastAsia"/>
          <w:rtl/>
        </w:rPr>
        <w:t>ס</w:t>
      </w:r>
      <w:r w:rsidRPr="00954596">
        <w:rPr>
          <w:rtl/>
        </w:rPr>
        <w:t>'נדלה, שייח' דנון, בועינה-נג'ידאת, ביר אל-מכסור, בסמת טבעון, זרזיר, טובא-זנגרייה, כעבי</w:t>
      </w:r>
      <w:r w:rsidRPr="00954596">
        <w:rPr>
          <w:rFonts w:hint="eastAsia"/>
          <w:rtl/>
        </w:rPr>
        <w:t>י</w:t>
      </w:r>
      <w:r w:rsidRPr="00954596">
        <w:rPr>
          <w:rtl/>
        </w:rPr>
        <w:t>ה-טבאש-חג'אג'רה, ש</w:t>
      </w:r>
      <w:r w:rsidRPr="00954596">
        <w:rPr>
          <w:rFonts w:hint="eastAsia"/>
          <w:rtl/>
        </w:rPr>
        <w:t>י</w:t>
      </w:r>
      <w:r w:rsidRPr="00954596">
        <w:rPr>
          <w:rtl/>
        </w:rPr>
        <w:t>בלי - אום אל-</w:t>
      </w:r>
      <w:r w:rsidRPr="00954596">
        <w:rPr>
          <w:rFonts w:hint="eastAsia"/>
          <w:rtl/>
        </w:rPr>
        <w:t>ר</w:t>
      </w:r>
      <w:r w:rsidRPr="00954596">
        <w:rPr>
          <w:rtl/>
        </w:rPr>
        <w:t>'נם, עראמשה, ראס אל-עין, סל</w:t>
      </w:r>
      <w:r w:rsidRPr="00954596">
        <w:rPr>
          <w:rFonts w:hint="eastAsia"/>
          <w:rtl/>
        </w:rPr>
        <w:t>א</w:t>
      </w:r>
      <w:r w:rsidRPr="00954596">
        <w:rPr>
          <w:rtl/>
        </w:rPr>
        <w:t>מה, ד</w:t>
      </w:r>
      <w:r w:rsidRPr="00954596">
        <w:rPr>
          <w:rFonts w:hint="eastAsia"/>
          <w:rtl/>
        </w:rPr>
        <w:t>ו</w:t>
      </w:r>
      <w:r w:rsidRPr="00954596">
        <w:rPr>
          <w:rtl/>
        </w:rPr>
        <w:t>מידה, חוסנייה, כמאנה, ערב א</w:t>
      </w:r>
      <w:r>
        <w:rPr>
          <w:rFonts w:hint="cs"/>
          <w:rtl/>
        </w:rPr>
        <w:t>-</w:t>
      </w:r>
      <w:r w:rsidRPr="00954596">
        <w:rPr>
          <w:rtl/>
        </w:rPr>
        <w:t>נעים, מנשי</w:t>
      </w:r>
      <w:r w:rsidRPr="00954596">
        <w:rPr>
          <w:rFonts w:hint="eastAsia"/>
          <w:rtl/>
        </w:rPr>
        <w:t>י</w:t>
      </w:r>
      <w:r w:rsidRPr="00954596">
        <w:rPr>
          <w:rtl/>
        </w:rPr>
        <w:t xml:space="preserve">ת </w:t>
      </w:r>
      <w:r w:rsidRPr="00954596">
        <w:rPr>
          <w:rFonts w:hint="eastAsia"/>
          <w:rtl/>
        </w:rPr>
        <w:t>א</w:t>
      </w:r>
      <w:r w:rsidRPr="00954596">
        <w:rPr>
          <w:rtl/>
        </w:rPr>
        <w:t>-זבדה, חמאם</w:t>
      </w:r>
      <w:r w:rsidRPr="009D687D">
        <w:rPr>
          <w:rtl/>
        </w:rPr>
        <w:t xml:space="preserve">, עזיר, רומאנה, רומת </w:t>
      </w:r>
      <w:r>
        <w:rPr>
          <w:rFonts w:hint="cs"/>
          <w:rtl/>
        </w:rPr>
        <w:t>אל-</w:t>
      </w:r>
      <w:r w:rsidRPr="009D687D">
        <w:rPr>
          <w:rtl/>
        </w:rPr>
        <w:t>היב.</w:t>
      </w:r>
    </w:p>
  </w:footnote>
  <w:footnote w:id="148">
    <w:p w:rsidR="00FA04F8" w:rsidRDefault="00FA04F8" w:rsidP="00014C4D">
      <w:pPr>
        <w:pStyle w:val="af0"/>
        <w:rPr>
          <w:rtl/>
        </w:rPr>
      </w:pPr>
      <w:r>
        <w:rPr>
          <w:rStyle w:val="af2"/>
        </w:rPr>
        <w:footnoteRef/>
      </w:r>
      <w:r>
        <w:rPr>
          <w:rtl/>
        </w:rPr>
        <w:t xml:space="preserve"> </w:t>
      </w:r>
      <w:r>
        <w:rPr>
          <w:rtl/>
        </w:rPr>
        <w:tab/>
      </w:r>
      <w:r>
        <w:rPr>
          <w:rFonts w:hint="cs"/>
          <w:rtl/>
        </w:rPr>
        <w:t xml:space="preserve">הודעת המשרד לשוויון חברתי מ-5.11.23. </w:t>
      </w:r>
    </w:p>
    <w:p w:rsidR="00FA04F8" w:rsidRDefault="00FA04F8" w:rsidP="00014C4D">
      <w:pPr>
        <w:pStyle w:val="af0"/>
        <w:ind w:firstLine="7"/>
      </w:pPr>
      <w:r w:rsidRPr="00D6391D">
        <w:rPr>
          <w:rFonts w:eastAsia="Calibri"/>
          <w:szCs w:val="24"/>
        </w:rPr>
        <w:t>https://www.gov.il/he/pages/arabs_emergency_needs_survey_news</w:t>
      </w:r>
    </w:p>
  </w:footnote>
  <w:footnote w:id="149">
    <w:p w:rsidR="00FA04F8" w:rsidRDefault="00FA04F8" w:rsidP="00014C4D">
      <w:pPr>
        <w:pStyle w:val="af0"/>
      </w:pPr>
      <w:r>
        <w:rPr>
          <w:rStyle w:val="af2"/>
        </w:rPr>
        <w:footnoteRef/>
      </w:r>
      <w:r>
        <w:rPr>
          <w:rtl/>
        </w:rPr>
        <w:t xml:space="preserve"> </w:t>
      </w:r>
      <w:r>
        <w:rPr>
          <w:rtl/>
        </w:rPr>
        <w:tab/>
      </w:r>
      <w:r w:rsidRPr="00D6391D">
        <w:rPr>
          <w:rFonts w:hint="cs"/>
          <w:rtl/>
        </w:rPr>
        <w:t>בנק ישראל, "השפעת מלחמת "חרבות ברזל" על תשומות העבודה בחברה הערבית" (דצמבר 2023).</w:t>
      </w:r>
    </w:p>
  </w:footnote>
  <w:footnote w:id="150">
    <w:p w:rsidR="00FA04F8" w:rsidRPr="002C4B19" w:rsidRDefault="00FA04F8" w:rsidP="00014C4D">
      <w:pPr>
        <w:pStyle w:val="af0"/>
      </w:pPr>
      <w:r>
        <w:rPr>
          <w:rStyle w:val="af2"/>
        </w:rPr>
        <w:footnoteRef/>
      </w:r>
      <w:r>
        <w:rPr>
          <w:rtl/>
        </w:rPr>
        <w:t xml:space="preserve"> </w:t>
      </w:r>
      <w:r>
        <w:rPr>
          <w:rtl/>
        </w:rPr>
        <w:tab/>
      </w:r>
      <w:r w:rsidRPr="00D6391D">
        <w:t xml:space="preserve">Yoav Groweiss et al., "The mental health impact of the October 7th terror attack on Jews and Arabs in Israel: A nationwide prospective study", </w:t>
      </w:r>
      <w:r w:rsidRPr="00D6391D">
        <w:rPr>
          <w:b/>
          <w:bCs/>
        </w:rPr>
        <w:t>Psychiatry Research</w:t>
      </w:r>
      <w:r w:rsidRPr="00D6391D">
        <w:t>, Volume 337 (2024)</w:t>
      </w:r>
      <w:r w:rsidRPr="00D6391D">
        <w:rPr>
          <w:rtl/>
        </w:rPr>
        <w:t>.</w:t>
      </w:r>
    </w:p>
  </w:footnote>
  <w:footnote w:id="151">
    <w:p w:rsidR="00FA04F8" w:rsidRDefault="00FA04F8" w:rsidP="00014C4D">
      <w:pPr>
        <w:pStyle w:val="af0"/>
        <w:rPr>
          <w:rtl/>
        </w:rPr>
      </w:pPr>
      <w:r>
        <w:rPr>
          <w:rStyle w:val="af2"/>
        </w:rPr>
        <w:footnoteRef/>
      </w:r>
      <w:r>
        <w:rPr>
          <w:rtl/>
        </w:rPr>
        <w:t xml:space="preserve"> </w:t>
      </w:r>
      <w:r>
        <w:rPr>
          <w:rtl/>
        </w:rPr>
        <w:tab/>
      </w:r>
      <w:r>
        <w:rPr>
          <w:rFonts w:hint="cs"/>
          <w:rtl/>
        </w:rPr>
        <w:t xml:space="preserve">שיעור </w:t>
      </w:r>
      <w:r w:rsidRPr="001859B3">
        <w:rPr>
          <w:rtl/>
        </w:rPr>
        <w:t xml:space="preserve">הדירות שנבנו </w:t>
      </w:r>
      <w:r>
        <w:rPr>
          <w:rFonts w:hint="cs"/>
          <w:rtl/>
        </w:rPr>
        <w:t xml:space="preserve">ביישוב </w:t>
      </w:r>
      <w:r w:rsidRPr="001859B3">
        <w:rPr>
          <w:rtl/>
        </w:rPr>
        <w:t>משנת 1995 והלאה</w:t>
      </w:r>
      <w:r>
        <w:rPr>
          <w:rFonts w:hint="cs"/>
          <w:rtl/>
        </w:rPr>
        <w:t xml:space="preserve"> מכלל הדירות. </w:t>
      </w:r>
      <w:r>
        <w:rPr>
          <w:rtl/>
        </w:rPr>
        <w:t>מבני מגורים שנבנו החל משנות ה-90 מחויבים בבניית מרחב מוגן</w:t>
      </w:r>
      <w:r>
        <w:rPr>
          <w:rFonts w:hint="cs"/>
          <w:rtl/>
        </w:rPr>
        <w:t xml:space="preserve"> (</w:t>
      </w:r>
      <w:r>
        <w:rPr>
          <w:rtl/>
        </w:rPr>
        <w:t>ברמת הדירה, הקומה או המבנה</w:t>
      </w:r>
      <w:r>
        <w:rPr>
          <w:rFonts w:hint="cs"/>
          <w:rtl/>
        </w:rPr>
        <w:t>)</w:t>
      </w:r>
      <w:r>
        <w:rPr>
          <w:rtl/>
        </w:rPr>
        <w:t>.</w:t>
      </w:r>
      <w:r>
        <w:rPr>
          <w:rFonts w:hint="cs"/>
          <w:rtl/>
        </w:rPr>
        <w:t xml:space="preserve"> </w:t>
      </w:r>
      <w:r>
        <w:rPr>
          <w:rtl/>
        </w:rPr>
        <w:t>לכן שיעור יחידות הדיור שנבנו משנות ה-90 ואילך מתוך סך יחידות הדיור ברשות עשוי לשמש</w:t>
      </w:r>
      <w:r>
        <w:rPr>
          <w:rFonts w:hint="cs"/>
          <w:rtl/>
        </w:rPr>
        <w:t xml:space="preserve"> </w:t>
      </w:r>
      <w:r>
        <w:rPr>
          <w:rtl/>
        </w:rPr>
        <w:t>אינדיקטור מהימן לשיעור יחידות הדיור שיש להן מרחב מוגן.</w:t>
      </w:r>
      <w:r>
        <w:rPr>
          <w:rFonts w:hint="cs"/>
          <w:rtl/>
        </w:rPr>
        <w:t xml:space="preserve"> </w:t>
      </w:r>
      <w:r>
        <w:rPr>
          <w:rtl/>
        </w:rPr>
        <w:t xml:space="preserve">לצורך אומדן זה, הנתונים אודות </w:t>
      </w:r>
      <w:r>
        <w:rPr>
          <w:rFonts w:hint="cs"/>
          <w:rtl/>
        </w:rPr>
        <w:t xml:space="preserve">על </w:t>
      </w:r>
      <w:r>
        <w:rPr>
          <w:rtl/>
        </w:rPr>
        <w:t>דיור ומועד בנייתן נאספו ממחולל הנתונים של הלמ"ס בנושא</w:t>
      </w:r>
      <w:r>
        <w:rPr>
          <w:rFonts w:hint="cs"/>
          <w:rtl/>
        </w:rPr>
        <w:t xml:space="preserve"> </w:t>
      </w:r>
      <w:r>
        <w:rPr>
          <w:rtl/>
        </w:rPr>
        <w:t>בינוי. הלמ"ס מנגישה נתונים על יחידות הדיור ב</w:t>
      </w:r>
      <w:r>
        <w:rPr>
          <w:rFonts w:hint="cs"/>
          <w:rtl/>
        </w:rPr>
        <w:t>י</w:t>
      </w:r>
      <w:r>
        <w:rPr>
          <w:rtl/>
        </w:rPr>
        <w:t>ישובים ברחבי ישראל, לרבות מספר הדירות, התחלות</w:t>
      </w:r>
      <w:r>
        <w:rPr>
          <w:rFonts w:hint="cs"/>
          <w:rtl/>
        </w:rPr>
        <w:t xml:space="preserve"> ה</w:t>
      </w:r>
      <w:r>
        <w:rPr>
          <w:rtl/>
        </w:rPr>
        <w:t>בנ</w:t>
      </w:r>
      <w:r>
        <w:rPr>
          <w:rFonts w:hint="cs"/>
          <w:rtl/>
        </w:rPr>
        <w:t>י</w:t>
      </w:r>
      <w:r>
        <w:rPr>
          <w:rtl/>
        </w:rPr>
        <w:t xml:space="preserve">יה וגמר </w:t>
      </w:r>
      <w:r>
        <w:rPr>
          <w:rFonts w:hint="cs"/>
          <w:rtl/>
        </w:rPr>
        <w:t>ה</w:t>
      </w:r>
      <w:r>
        <w:rPr>
          <w:rtl/>
        </w:rPr>
        <w:t>בני</w:t>
      </w:r>
      <w:r>
        <w:rPr>
          <w:rFonts w:hint="cs"/>
          <w:rtl/>
        </w:rPr>
        <w:t>י</w:t>
      </w:r>
      <w:r>
        <w:rPr>
          <w:rtl/>
        </w:rPr>
        <w:t xml:space="preserve">ה. אולם הנתון המוקדם ביותר שנגיש הוא מ-1995, ולכן </w:t>
      </w:r>
      <w:r>
        <w:rPr>
          <w:rFonts w:hint="cs"/>
          <w:rtl/>
        </w:rPr>
        <w:t xml:space="preserve">נעשה שימוש </w:t>
      </w:r>
      <w:r>
        <w:rPr>
          <w:rtl/>
        </w:rPr>
        <w:t>בנתונים אלה לצורך אומדן זה.</w:t>
      </w:r>
    </w:p>
  </w:footnote>
  <w:footnote w:id="152">
    <w:p w:rsidR="00FA04F8" w:rsidRDefault="00FA04F8" w:rsidP="00014C4D">
      <w:pPr>
        <w:pStyle w:val="af0"/>
      </w:pPr>
      <w:r>
        <w:rPr>
          <w:rStyle w:val="af2"/>
        </w:rPr>
        <w:footnoteRef/>
      </w:r>
      <w:r>
        <w:rPr>
          <w:rtl/>
        </w:rPr>
        <w:t xml:space="preserve"> </w:t>
      </w:r>
      <w:r>
        <w:rPr>
          <w:rtl/>
        </w:rPr>
        <w:tab/>
      </w:r>
      <w:r w:rsidRPr="00890C9F">
        <w:rPr>
          <w:rtl/>
        </w:rPr>
        <w:t>עמותת סיכוי-אופוק, יוזמות אברהם, מרכז אינג'אז, פורום דו</w:t>
      </w:r>
      <w:r>
        <w:rPr>
          <w:rFonts w:hint="cs"/>
          <w:rtl/>
        </w:rPr>
        <w:t>-</w:t>
      </w:r>
      <w:r w:rsidRPr="00890C9F">
        <w:rPr>
          <w:rtl/>
        </w:rPr>
        <w:t>קיום בנגב, עמותת איתך</w:t>
      </w:r>
      <w:r>
        <w:rPr>
          <w:rFonts w:hint="cs"/>
          <w:rtl/>
        </w:rPr>
        <w:t xml:space="preserve"> </w:t>
      </w:r>
      <w:r w:rsidRPr="00890C9F">
        <w:rPr>
          <w:rtl/>
        </w:rPr>
        <w:t>-</w:t>
      </w:r>
      <w:r>
        <w:rPr>
          <w:rFonts w:hint="cs"/>
          <w:rtl/>
        </w:rPr>
        <w:t xml:space="preserve"> </w:t>
      </w:r>
      <w:r w:rsidRPr="00890C9F">
        <w:rPr>
          <w:rtl/>
        </w:rPr>
        <w:t>משפטניות למען צדק חברתי, גבעת חביבה.</w:t>
      </w:r>
    </w:p>
  </w:footnote>
  <w:footnote w:id="153">
    <w:p w:rsidR="00FA04F8" w:rsidRDefault="00FA04F8" w:rsidP="00014C4D">
      <w:pPr>
        <w:pStyle w:val="af0"/>
      </w:pPr>
      <w:r>
        <w:rPr>
          <w:rStyle w:val="af2"/>
        </w:rPr>
        <w:footnoteRef/>
      </w:r>
      <w:r>
        <w:rPr>
          <w:rtl/>
        </w:rPr>
        <w:t xml:space="preserve"> </w:t>
      </w:r>
      <w:r>
        <w:rPr>
          <w:rtl/>
        </w:rPr>
        <w:tab/>
      </w:r>
      <w:r w:rsidRPr="00925BD6">
        <w:rPr>
          <w:rtl/>
        </w:rPr>
        <w:t>סעיף 3ט בהחלטת הממשלה</w:t>
      </w:r>
      <w:r>
        <w:rPr>
          <w:rFonts w:hint="cs"/>
          <w:rtl/>
        </w:rPr>
        <w:t>.</w:t>
      </w:r>
    </w:p>
  </w:footnote>
  <w:footnote w:id="154">
    <w:p w:rsidR="00FA04F8" w:rsidRDefault="00FA04F8" w:rsidP="00014C4D">
      <w:pPr>
        <w:pStyle w:val="af0"/>
        <w:rPr>
          <w:rtl/>
        </w:rPr>
      </w:pPr>
      <w:r>
        <w:rPr>
          <w:rStyle w:val="af2"/>
        </w:rPr>
        <w:footnoteRef/>
      </w:r>
      <w:r>
        <w:rPr>
          <w:rtl/>
        </w:rPr>
        <w:t xml:space="preserve"> </w:t>
      </w:r>
      <w:r>
        <w:rPr>
          <w:rtl/>
        </w:rPr>
        <w:tab/>
      </w:r>
      <w:r w:rsidRPr="00925BD6">
        <w:rPr>
          <w:rtl/>
        </w:rPr>
        <w:t>סעיף 23יח בהחלטת הממשלה</w:t>
      </w:r>
      <w:r>
        <w:rPr>
          <w:rFonts w:hint="cs"/>
          <w:rtl/>
        </w:rPr>
        <w:t>.</w:t>
      </w:r>
    </w:p>
  </w:footnote>
  <w:footnote w:id="155">
    <w:p w:rsidR="00FA04F8" w:rsidRDefault="00FA04F8" w:rsidP="00014C4D">
      <w:pPr>
        <w:pStyle w:val="af0"/>
      </w:pPr>
      <w:r>
        <w:rPr>
          <w:rStyle w:val="af2"/>
        </w:rPr>
        <w:footnoteRef/>
      </w:r>
      <w:r>
        <w:rPr>
          <w:rtl/>
        </w:rPr>
        <w:t xml:space="preserve"> </w:t>
      </w:r>
      <w:r>
        <w:rPr>
          <w:rtl/>
        </w:rPr>
        <w:tab/>
      </w:r>
      <w:r>
        <w:rPr>
          <w:rFonts w:hint="cs"/>
          <w:rtl/>
        </w:rPr>
        <w:t>ב</w:t>
      </w:r>
      <w:r>
        <w:rPr>
          <w:rtl/>
        </w:rPr>
        <w:t>החלט</w:t>
      </w:r>
      <w:r>
        <w:rPr>
          <w:rFonts w:hint="cs"/>
          <w:rtl/>
        </w:rPr>
        <w:t>ת ממשלה 550 נקבע כי תוקם</w:t>
      </w:r>
      <w:r>
        <w:rPr>
          <w:rtl/>
        </w:rPr>
        <w:t xml:space="preserve"> ועדה מתמדת, שבראשה </w:t>
      </w:r>
      <w:r>
        <w:rPr>
          <w:rFonts w:hint="cs"/>
          <w:rtl/>
        </w:rPr>
        <w:t xml:space="preserve">תעמוד </w:t>
      </w:r>
      <w:r>
        <w:rPr>
          <w:rtl/>
        </w:rPr>
        <w:t>מנכ"לית המשרד לשוויון חברתי, ויהיו חברים בה מנהל הרשות לפיתוח כלכלי, מנכ"ל משרד ראש הממשלה, הממונה על התקציבים או נציג בכיר מטעמם. הוועדה תכונס, לכל הפחות, פעמיים בשנה. לישיבות הוועדה המתמדת יוזמן, דרך קבע, נציג קבוע מטעם ועד ראשי הרשויות המקומיות הערביות. יו"ר הוועדה תהיה רשאית להזמין לישיבות הוועדה נציגים נוספים על פי צורך וכן לכנס את הוועדה בהרכב מצומצם.</w:t>
      </w:r>
    </w:p>
  </w:footnote>
  <w:footnote w:id="156">
    <w:p w:rsidR="00FA04F8" w:rsidRDefault="00FA04F8" w:rsidP="00014C4D">
      <w:pPr>
        <w:pStyle w:val="af0"/>
      </w:pPr>
      <w:r>
        <w:rPr>
          <w:rStyle w:val="af2"/>
        </w:rPr>
        <w:footnoteRef/>
      </w:r>
      <w:r>
        <w:rPr>
          <w:rtl/>
        </w:rPr>
        <w:t xml:space="preserve"> </w:t>
      </w:r>
      <w:r>
        <w:rPr>
          <w:rtl/>
        </w:rPr>
        <w:tab/>
      </w:r>
      <w:r>
        <w:rPr>
          <w:rFonts w:hint="cs"/>
          <w:rtl/>
        </w:rPr>
        <w:t>מכתבם של עמותת סיכוי-אופוק, יוזמות אברהם, מרכז אינג'אז, פורום דו-קיום בנגב, עמותת איתך - משפטניות למען צדק חברתי וגבעת חביבה למשרד מבקר המדינה מ-10.6.24.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Pr="0062451B" w:rsidRDefault="00FA04F8"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568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1" name="קבוצה 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4" name="מחבר ישר 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7"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04F8" w:rsidRPr="0062451B" w:rsidRDefault="00FA04F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6"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04F8" w:rsidRPr="0062451B" w:rsidRDefault="00FA04F8"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7"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04F8" w:rsidRPr="001E204F" w:rsidRDefault="00FA04F8" w:rsidP="00B4321D">
                            <w:pPr>
                              <w:rPr>
                                <w:rFonts w:ascii="Calibri" w:hAnsi="Calibri" w:cs="Calibri"/>
                                <w:color w:val="002060"/>
                                <w:szCs w:val="20"/>
                                <w:rtl/>
                              </w:rPr>
                            </w:pPr>
                            <w:r>
                              <w:rPr>
                                <w:rFonts w:ascii="Calibri" w:hAnsi="Calibri" w:cs="Calibri" w:hint="cs"/>
                                <w:color w:val="002060"/>
                                <w:szCs w:val="20"/>
                                <w:rtl/>
                              </w:rPr>
                              <w:t>שם הדוח שם הדוח</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1" o:spid="_x0000_s1026" style="position:absolute;margin-left:-15.2pt;margin-top:-7.45pt;width:484.3pt;height:47.6pt;z-index:25165568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">
              <v:line id="מחבר ישר 4" o:spid="_x0000_s102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" strokecolor="#4579b8 [3044]"/>
              <v:shapetype id="_x0000_t202" coordsize="21600,21600" o:spt="202" path="m,l,21600r21600,l21600,xe">
                <v:stroke joinstyle="miter"/>
                <v:path gradientshapeok="t" o:connecttype="rect"/>
              </v:shapetype>
              <v:shape id="תיבת טקסט 2" o:spid="_x0000_s102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" filled="f" stroked="f">
                <v:textbox>
                  <w:txbxContent>
                    <w:p w:rsidR="00FA04F8" w:rsidRPr="0062451B" w:rsidRDefault="00FA04F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2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" filled="f" stroked="f">
                <v:textbox>
                  <w:txbxContent>
                    <w:p w:rsidR="00FA04F8" w:rsidRPr="0062451B" w:rsidRDefault="00FA04F8" w:rsidP="00276705">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3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" filled="f" stroked="f">
                <v:textbox>
                  <w:txbxContent>
                    <w:p w:rsidR="00FA04F8" w:rsidRPr="001E204F" w:rsidRDefault="00FA04F8" w:rsidP="00B4321D">
                      <w:pPr>
                        <w:rPr>
                          <w:rFonts w:ascii="Calibri" w:hAnsi="Calibri" w:cs="Calibri"/>
                          <w:color w:val="002060"/>
                          <w:szCs w:val="20"/>
                          <w:rtl/>
                        </w:rPr>
                      </w:pPr>
                      <w:r>
                        <w:rPr>
                          <w:rFonts w:ascii="Calibri" w:hAnsi="Calibri" w:cs="Calibri" w:hint="cs"/>
                          <w:color w:val="002060"/>
                          <w:szCs w:val="20"/>
                          <w:rtl/>
                        </w:rPr>
                        <w:t>שם הדוח שם הדוח</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Default="00FA04F8" w:rsidP="005E62A6">
    <w:pPr>
      <w:pStyle w:val="aa"/>
      <w:tabs>
        <w:tab w:val="clear" w:pos="8306"/>
      </w:tabs>
    </w:pPr>
    <w:r>
      <w:rPr>
        <w:noProof/>
      </w:rPr>
      <w:drawing>
        <wp:anchor distT="0" distB="0" distL="114300" distR="114300" simplePos="0" relativeHeight="251663872" behindDoc="0" locked="0" layoutInCell="1" allowOverlap="1" wp14:anchorId="6EC3A4AB" wp14:editId="62913705">
          <wp:simplePos x="0" y="0"/>
          <wp:positionH relativeFrom="column">
            <wp:posOffset>2346960</wp:posOffset>
          </wp:positionH>
          <wp:positionV relativeFrom="paragraph">
            <wp:posOffset>978535</wp:posOffset>
          </wp:positionV>
          <wp:extent cx="871220" cy="570865"/>
          <wp:effectExtent l="0" t="0" r="0" b="0"/>
          <wp:wrapNone/>
          <wp:docPr id="55" name="גרפיק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גרפיקה 55"/>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71220" cy="570865"/>
                  </a:xfrm>
                  <a:prstGeom prst="rect">
                    <a:avLst/>
                  </a:prstGeom>
                </pic:spPr>
              </pic:pic>
            </a:graphicData>
          </a:graphic>
        </wp:anchor>
      </w:drawing>
    </w:r>
    <w:r>
      <w:rPr>
        <w:noProof/>
      </w:rPr>
      <mc:AlternateContent>
        <mc:Choice Requires="wpg">
          <w:drawing>
            <wp:anchor distT="0" distB="0" distL="114300" distR="114300" simplePos="0" relativeHeight="251653632" behindDoc="0" locked="0" layoutInCell="1" allowOverlap="1">
              <wp:simplePos x="0" y="0"/>
              <wp:positionH relativeFrom="column">
                <wp:posOffset>1946910</wp:posOffset>
              </wp:positionH>
              <wp:positionV relativeFrom="paragraph">
                <wp:posOffset>-462915</wp:posOffset>
              </wp:positionV>
              <wp:extent cx="1695450" cy="3009900"/>
              <wp:effectExtent l="0" t="0" r="19050" b="19050"/>
              <wp:wrapNone/>
              <wp:docPr id="53" name="קבוצה 53"/>
              <wp:cNvGraphicFramePr/>
              <a:graphic xmlns:a="http://schemas.openxmlformats.org/drawingml/2006/main">
                <a:graphicData uri="http://schemas.microsoft.com/office/word/2010/wordprocessingGroup">
                  <wpg:wgp>
                    <wpg:cNvGrpSpPr/>
                    <wpg:grpSpPr>
                      <a:xfrm>
                        <a:off x="0" y="0"/>
                        <a:ext cx="1695450" cy="3009900"/>
                        <a:chOff x="628650" y="0"/>
                        <a:chExt cx="1695450" cy="3009900"/>
                      </a:xfrm>
                    </wpg:grpSpPr>
                    <wps:wsp>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s:wsp>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D5E595" id="קבוצה 53" o:spid="_x0000_s1026" style="position:absolute;left:0;text-align:left;margin-left:153.3pt;margin-top:-36.45pt;width:133.5pt;height:237pt;z-index:251653632" coordorigin="6286" coordsize="16954,30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">
              <v:rect id="מלבן 54" o:spid="_x0000_s1027" style="position:absolute;left:6286;width:16910;height:2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" fillcolor="#002060" stroked="f" strokeweight="2pt"/>
              <v:line id="מחבר ישר 56" o:spid="_x0000_s1028" style="position:absolute;visibility:visible;mso-wrap-style:square" from="6477,30099" to="23241,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" strokecolor="#002060" strokeweight="2pt"/>
            </v:group>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1304713</wp:posOffset>
              </wp:positionH>
              <wp:positionV relativeFrom="paragraph">
                <wp:posOffset>2090420</wp:posOffset>
              </wp:positionV>
              <wp:extent cx="2959100" cy="455930"/>
              <wp:effectExtent l="0" t="0" r="0" b="1270"/>
              <wp:wrapNone/>
              <wp:docPr id="57" name="תיבת טקסט 57"/>
              <wp:cNvGraphicFramePr/>
              <a:graphic xmlns:a="http://schemas.openxmlformats.org/drawingml/2006/main">
                <a:graphicData uri="http://schemas.microsoft.com/office/word/2010/wordprocessingShape">
                  <wps:wsp>
                    <wps:cNvSpPr txBox="1"/>
                    <wps:spPr>
                      <a:xfrm>
                        <a:off x="0" y="0"/>
                        <a:ext cx="2959100" cy="455930"/>
                      </a:xfrm>
                      <a:prstGeom prst="rect">
                        <a:avLst/>
                      </a:prstGeom>
                      <a:noFill/>
                      <a:ln w="6350">
                        <a:noFill/>
                      </a:ln>
                    </wps:spPr>
                    <wps:txbx>
                      <w:txbxContent>
                        <w:p w:rsidR="00FA04F8" w:rsidRPr="00CE6B6A" w:rsidRDefault="00FA04F8"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57" o:spid="_x0000_s1031" type="#_x0000_t202" style="position:absolute;left:0;text-align:left;margin-left:102.75pt;margin-top:164.6pt;width:233pt;height:35.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" filled="f" stroked="f" strokeweight=".5pt">
              <v:textbox>
                <w:txbxContent>
                  <w:p w:rsidR="00FA04F8" w:rsidRPr="00CE6B6A" w:rsidRDefault="00FA04F8" w:rsidP="006A646E">
                    <w:pPr>
                      <w:jc w:val="center"/>
                      <w:rPr>
                        <w:rFonts w:ascii="Calibri" w:hAnsi="Calibri" w:cs="Calibri"/>
                        <w:color w:val="002060"/>
                        <w:spacing w:val="80"/>
                        <w:sz w:val="28"/>
                        <w:szCs w:val="36"/>
                      </w:rPr>
                    </w:pPr>
                    <w:r w:rsidRPr="00CE6B6A">
                      <w:rPr>
                        <w:rFonts w:ascii="Calibri" w:hAnsi="Calibri" w:cs="Calibri"/>
                        <w:color w:val="002060"/>
                        <w:spacing w:val="80"/>
                        <w:sz w:val="28"/>
                        <w:szCs w:val="36"/>
                        <w:rtl/>
                      </w:rPr>
                      <w:t>מבקר המדינה</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Pr="005C3049" w:rsidRDefault="00FA04F8"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0800"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453847227" name="קבוצה 45384722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1834351669" name="מחבר ישר 1834351669"/>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11176935"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04F8" w:rsidRPr="0062451B" w:rsidRDefault="00FA04F8"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1940763087"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04F8" w:rsidRPr="0062451B" w:rsidRDefault="00FA04F8"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052732476"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04F8" w:rsidRPr="001E204F" w:rsidRDefault="00FA04F8"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453847227" o:spid="_x0000_s1036" style="position:absolute;margin-left:-15.2pt;margin-top:-7.45pt;width:484.3pt;height:47.6pt;z-index:251660800;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">
              <v:line id="מחבר ישר 1834351669" o:spid="_x0000_s103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" strokecolor="#4579b8 [3044]"/>
              <v:shapetype id="_x0000_t202" coordsize="21600,21600" o:spt="202" path="m,l,21600r21600,l21600,xe">
                <v:stroke joinstyle="miter"/>
                <v:path gradientshapeok="t" o:connecttype="rect"/>
              </v:shapetype>
              <v:shape id="תיבת טקסט 2" o:spid="_x0000_s103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" filled="f" stroked="f">
                <v:textbox>
                  <w:txbxContent>
                    <w:p w:rsidR="00FA04F8" w:rsidRPr="0062451B" w:rsidRDefault="00FA04F8"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3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" filled="f" stroked="f">
                <v:textbox>
                  <w:txbxContent>
                    <w:p w:rsidR="00FA04F8" w:rsidRPr="0062451B" w:rsidRDefault="00FA04F8"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4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" filled="f" stroked="f">
                <v:textbox>
                  <w:txbxContent>
                    <w:p w:rsidR="00FA04F8" w:rsidRPr="001E204F" w:rsidRDefault="00FA04F8"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Pr="0062451B" w:rsidRDefault="00FA04F8" w:rsidP="00DA67CB">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8752"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37" name="קבוצה 37"/>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8" name="מחבר ישר 38"/>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04F8" w:rsidRPr="0062451B" w:rsidRDefault="00FA04F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4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04F8" w:rsidRPr="0062451B" w:rsidRDefault="00FA04F8"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41"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04F8" w:rsidRPr="001E204F" w:rsidRDefault="00FA04F8" w:rsidP="00B4321D">
                            <w:pPr>
                              <w:rPr>
                                <w:rFonts w:ascii="Calibri" w:hAnsi="Calibri" w:cs="Calibri"/>
                                <w:color w:val="002060"/>
                                <w:szCs w:val="20"/>
                                <w:rtl/>
                              </w:rPr>
                            </w:pPr>
                            <w:r w:rsidRPr="00014C4D">
                              <w:rPr>
                                <w:rFonts w:ascii="Calibri" w:hAnsi="Calibri" w:cs="Calibri"/>
                                <w:color w:val="002060"/>
                                <w:szCs w:val="20"/>
                                <w:rtl/>
                              </w:rPr>
                              <w:t>מיגון ומקלוט ברשויות המקומיות</w:t>
                            </w: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37" o:spid="_x0000_s1041" style="position:absolute;margin-left:-15.2pt;margin-top:-7.45pt;width:484.3pt;height:47.6pt;z-index:251658752;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">
              <v:line id="מחבר ישר 38" o:spid="_x0000_s1042"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" strokecolor="#4579b8 [3044]"/>
              <v:shapetype id="_x0000_t202" coordsize="21600,21600" o:spt="202" path="m,l,21600r21600,l21600,xe">
                <v:stroke joinstyle="miter"/>
                <v:path gradientshapeok="t" o:connecttype="rect"/>
              </v:shapetype>
              <v:shape id="תיבת טקסט 2" o:spid="_x0000_s1043"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" filled="f" stroked="f">
                <v:textbox>
                  <w:txbxContent>
                    <w:p w:rsidR="00FA04F8" w:rsidRPr="0062451B" w:rsidRDefault="00FA04F8">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4"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" filled="f" stroked="f">
                <v:textbox>
                  <w:txbxContent>
                    <w:p w:rsidR="00FA04F8" w:rsidRPr="0062451B" w:rsidRDefault="00FA04F8" w:rsidP="00276705">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45"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" filled="f" stroked="f">
                <v:textbox>
                  <w:txbxContent>
                    <w:p w:rsidR="00FA04F8" w:rsidRPr="001E204F" w:rsidRDefault="00FA04F8" w:rsidP="00B4321D">
                      <w:pPr>
                        <w:rPr>
                          <w:rFonts w:ascii="Calibri" w:hAnsi="Calibri" w:cs="Calibri"/>
                          <w:color w:val="002060"/>
                          <w:szCs w:val="20"/>
                          <w:rtl/>
                        </w:rPr>
                      </w:pPr>
                      <w:r w:rsidRPr="00014C4D">
                        <w:rPr>
                          <w:rFonts w:ascii="Calibri" w:hAnsi="Calibri" w:cs="Calibri"/>
                          <w:color w:val="002060"/>
                          <w:szCs w:val="20"/>
                          <w:rtl/>
                        </w:rPr>
                        <w:t>מיגון ומקלוט ברשויות המקומיות</w:t>
                      </w: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Pr="00FB414E" w:rsidRDefault="00FA04F8" w:rsidP="00FB414E">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59776"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2084162802" name="קבוצה 2084162802"/>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10852764" name="מחבר ישר 310852764"/>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6523369"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04F8" w:rsidRPr="0062451B" w:rsidRDefault="00FA04F8"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376496201"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04F8" w:rsidRPr="0062451B" w:rsidRDefault="00FA04F8"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243057793"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04F8" w:rsidRPr="001E204F" w:rsidRDefault="00FA04F8" w:rsidP="00FB414E">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2084162802" o:spid="_x0000_s1046" style="position:absolute;margin-left:-15.2pt;margin-top:-7.45pt;width:484.3pt;height:47.6pt;z-index:251659776;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">
              <v:line id="מחבר ישר 310852764" o:spid="_x0000_s1047"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48"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" filled="f" stroked="f">
                <v:textbox>
                  <w:txbxContent>
                    <w:p w:rsidR="00FA04F8" w:rsidRPr="0062451B" w:rsidRDefault="00FA04F8" w:rsidP="00FB414E">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49"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" filled="f" stroked="f">
                <v:textbox>
                  <w:txbxContent>
                    <w:p w:rsidR="00FA04F8" w:rsidRPr="0062451B" w:rsidRDefault="00FA04F8" w:rsidP="00FB414E">
                      <w:pPr>
                        <w:spacing w:line="240" w:lineRule="auto"/>
                        <w:jc w:val="right"/>
                        <w:rPr>
                          <w:rFonts w:ascii="Calibri" w:hAnsi="Calibri" w:cs="Calibri"/>
                          <w:color w:val="002060"/>
                          <w:szCs w:val="20"/>
                          <w:rtl/>
                        </w:rPr>
                      </w:pPr>
                      <w:r>
                        <w:rPr>
                          <w:rFonts w:ascii="Calibri" w:hAnsi="Calibri" w:cs="Calibri" w:hint="cs"/>
                          <w:color w:val="002060"/>
                          <w:szCs w:val="20"/>
                          <w:rtl/>
                        </w:rPr>
                        <w:t>טבת התשפ"ו</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ינואר 2026</w:t>
                      </w:r>
                      <w:r w:rsidRPr="0062451B">
                        <w:rPr>
                          <w:rFonts w:ascii="Calibri" w:hAnsi="Calibri" w:cs="Calibri" w:hint="cs"/>
                          <w:color w:val="002060"/>
                          <w:szCs w:val="20"/>
                          <w:rtl/>
                        </w:rPr>
                        <w:t xml:space="preserve"> </w:t>
                      </w:r>
                    </w:p>
                  </w:txbxContent>
                </v:textbox>
              </v:shape>
              <v:shape id="תיבת טקסט 2" o:spid="_x0000_s1050"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" filled="f" stroked="f">
                <v:textbox>
                  <w:txbxContent>
                    <w:p w:rsidR="00FA04F8" w:rsidRPr="001E204F" w:rsidRDefault="00FA04F8" w:rsidP="00FB414E">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4F8" w:rsidRPr="005C3049" w:rsidRDefault="00FA04F8" w:rsidP="005C3049">
    <w:pPr>
      <w:pStyle w:val="aa"/>
      <w:tabs>
        <w:tab w:val="clear" w:pos="8306"/>
      </w:tabs>
      <w:ind w:right="-142"/>
      <w:jc w:val="right"/>
      <w:rPr>
        <w:rFonts w:asciiTheme="minorHAnsi" w:hAnsiTheme="minorHAnsi" w:cstheme="minorHAnsi"/>
        <w:color w:val="002060"/>
        <w:szCs w:val="20"/>
      </w:rPr>
    </w:pPr>
    <w:r>
      <w:rPr>
        <w:rFonts w:asciiTheme="minorHAnsi" w:hAnsiTheme="minorHAnsi" w:cstheme="minorHAnsi"/>
        <w:noProof/>
        <w:color w:val="002060"/>
        <w:szCs w:val="20"/>
        <w:rtl/>
        <w:lang w:val="he-IL"/>
      </w:rPr>
      <mc:AlternateContent>
        <mc:Choice Requires="wpg">
          <w:drawing>
            <wp:anchor distT="0" distB="0" distL="114300" distR="114300" simplePos="0" relativeHeight="251661824" behindDoc="0" locked="0" layoutInCell="1" allowOverlap="1">
              <wp:simplePos x="0" y="0"/>
              <wp:positionH relativeFrom="column">
                <wp:posOffset>-193040</wp:posOffset>
              </wp:positionH>
              <wp:positionV relativeFrom="paragraph">
                <wp:posOffset>-94615</wp:posOffset>
              </wp:positionV>
              <wp:extent cx="6150310" cy="604586"/>
              <wp:effectExtent l="0" t="0" r="3175" b="5080"/>
              <wp:wrapNone/>
              <wp:docPr id="89213021" name="קבוצה 89213021"/>
              <wp:cNvGraphicFramePr/>
              <a:graphic xmlns:a="http://schemas.openxmlformats.org/drawingml/2006/main">
                <a:graphicData uri="http://schemas.microsoft.com/office/word/2010/wordprocessingGroup">
                  <wpg:wgp>
                    <wpg:cNvGrpSpPr/>
                    <wpg:grpSpPr>
                      <a:xfrm>
                        <a:off x="0" y="0"/>
                        <a:ext cx="6150310" cy="604586"/>
                        <a:chOff x="31750" y="0"/>
                        <a:chExt cx="6150310" cy="604586"/>
                      </a:xfrm>
                    </wpg:grpSpPr>
                    <wps:wsp>
                      <wps:cNvPr id="347956213" name="מחבר ישר 347956213"/>
                      <wps:cNvCnPr/>
                      <wps:spPr>
                        <a:xfrm>
                          <a:off x="100483" y="304800"/>
                          <a:ext cx="6019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49674053" name="תיבת טקסט 2"/>
                      <wps:cNvSpPr txBox="1">
                        <a:spLocks noChangeArrowheads="1"/>
                      </wps:cNvSpPr>
                      <wps:spPr bwMode="auto">
                        <a:xfrm flipH="1">
                          <a:off x="3017855" y="0"/>
                          <a:ext cx="3164205" cy="285750"/>
                        </a:xfrm>
                        <a:prstGeom prst="rect">
                          <a:avLst/>
                        </a:prstGeom>
                        <a:noFill/>
                        <a:ln w="9525">
                          <a:noFill/>
                          <a:miter lim="800000"/>
                          <a:headEnd/>
                          <a:tailEnd/>
                        </a:ln>
                      </wps:spPr>
                      <wps:txbx>
                        <w:txbxContent>
                          <w:p w:rsidR="00FA04F8" w:rsidRPr="0062451B" w:rsidRDefault="00FA04F8"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wps:txbx>
                      <wps:bodyPr rot="0" vert="horz" wrap="square" lIns="91440" tIns="45720" rIns="91440" bIns="45720" anchor="t" anchorCtr="0"/>
                    </wps:wsp>
                    <wps:wsp>
                      <wps:cNvPr id="525218000" name="תיבת טקסט 2"/>
                      <wps:cNvSpPr txBox="1">
                        <a:spLocks noChangeArrowheads="1"/>
                      </wps:cNvSpPr>
                      <wps:spPr bwMode="auto">
                        <a:xfrm flipH="1">
                          <a:off x="31750" y="318836"/>
                          <a:ext cx="3164205" cy="285750"/>
                        </a:xfrm>
                        <a:prstGeom prst="rect">
                          <a:avLst/>
                        </a:prstGeom>
                        <a:noFill/>
                        <a:ln w="9525">
                          <a:noFill/>
                          <a:miter lim="800000"/>
                          <a:headEnd/>
                          <a:tailEnd/>
                        </a:ln>
                      </wps:spPr>
                      <wps:txbx>
                        <w:txbxContent>
                          <w:p w:rsidR="00FA04F8" w:rsidRPr="0062451B" w:rsidRDefault="00FA04F8"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wps:txbx>
                      <wps:bodyPr rot="0" vert="horz" wrap="square" lIns="91440" tIns="45720" rIns="91440" bIns="45720" anchor="t" anchorCtr="0"/>
                    </wps:wsp>
                    <wps:wsp>
                      <wps:cNvPr id="1769145022" name="תיבת טקסט 2"/>
                      <wps:cNvSpPr txBox="1">
                        <a:spLocks noChangeArrowheads="1"/>
                      </wps:cNvSpPr>
                      <wps:spPr bwMode="auto">
                        <a:xfrm flipH="1">
                          <a:off x="2632668" y="318198"/>
                          <a:ext cx="3545205" cy="285750"/>
                        </a:xfrm>
                        <a:prstGeom prst="rect">
                          <a:avLst/>
                        </a:prstGeom>
                        <a:noFill/>
                        <a:ln w="9525">
                          <a:noFill/>
                          <a:miter lim="800000"/>
                          <a:headEnd/>
                          <a:tailEnd/>
                        </a:ln>
                      </wps:spPr>
                      <wps:txbx>
                        <w:txbxContent>
                          <w:p w:rsidR="00FA04F8" w:rsidRPr="001E204F" w:rsidRDefault="00FA04F8" w:rsidP="005C3049">
                            <w:pPr>
                              <w:rPr>
                                <w:rFonts w:ascii="Calibri" w:hAnsi="Calibri" w:cs="Calibri"/>
                                <w:color w:val="002060"/>
                                <w:szCs w:val="20"/>
                                <w:rtl/>
                              </w:rPr>
                            </w:pPr>
                          </w:p>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id="קבוצה 89213021" o:spid="_x0000_s1052" style="position:absolute;margin-left:-15.2pt;margin-top:-7.45pt;width:484.3pt;height:47.6pt;z-index:251661824;mso-width-relative:margin;mso-height-relative:margin" coordorigin="317" coordsize="61503,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">
              <v:line id="מחבר ישר 347956213" o:spid="_x0000_s1053" style="position:absolute;visibility:visible;mso-wrap-style:square" from="1004,3048" to="61202,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" strokecolor="#4579b8 [3044]"/>
              <v:shapetype id="_x0000_t202" coordsize="21600,21600" o:spt="202" path="m,l,21600r21600,l21600,xe">
                <v:stroke joinstyle="miter"/>
                <v:path gradientshapeok="t" o:connecttype="rect"/>
              </v:shapetype>
              <v:shape id="תיבת טקסט 2" o:spid="_x0000_s1054" type="#_x0000_t202" style="position:absolute;left:3017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" filled="f" stroked="f">
                <v:textbox>
                  <w:txbxContent>
                    <w:p w:rsidR="00014C4D" w:rsidRPr="0062451B" w:rsidRDefault="00014C4D" w:rsidP="005C3049">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דוח מיוחד </w:t>
                      </w:r>
                    </w:p>
                  </w:txbxContent>
                </v:textbox>
              </v:shape>
              <v:shape id="תיבת טקסט 2" o:spid="_x0000_s1055" type="#_x0000_t202" style="position:absolute;left:317;top:3188;width:31642;height:28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" filled="f" stroked="f">
                <v:textbox>
                  <w:txbxContent>
                    <w:p w:rsidR="00014C4D" w:rsidRPr="0062451B" w:rsidRDefault="00014C4D" w:rsidP="005C3049">
                      <w:pPr>
                        <w:spacing w:line="240" w:lineRule="auto"/>
                        <w:jc w:val="right"/>
                        <w:rPr>
                          <w:rFonts w:ascii="Calibri" w:hAnsi="Calibri" w:cs="Calibri"/>
                          <w:color w:val="002060"/>
                          <w:szCs w:val="20"/>
                          <w:rtl/>
                        </w:rPr>
                      </w:pPr>
                      <w:r>
                        <w:rPr>
                          <w:rFonts w:ascii="Calibri" w:hAnsi="Calibri" w:cs="Calibri" w:hint="cs"/>
                          <w:color w:val="002060"/>
                          <w:szCs w:val="20"/>
                          <w:rtl/>
                        </w:rPr>
                        <w:t>אלול התשפ"ה</w:t>
                      </w:r>
                      <w:r w:rsidRPr="0062451B">
                        <w:rPr>
                          <w:rFonts w:ascii="Calibri" w:hAnsi="Calibri" w:cs="Calibri" w:hint="cs"/>
                          <w:color w:val="002060"/>
                          <w:szCs w:val="20"/>
                          <w:rtl/>
                        </w:rPr>
                        <w:t xml:space="preserve"> </w:t>
                      </w:r>
                      <w:r w:rsidRPr="0062451B">
                        <w:rPr>
                          <w:rFonts w:asciiTheme="minorHAnsi" w:hAnsiTheme="minorHAnsi" w:cstheme="minorHAnsi"/>
                          <w:color w:val="002060"/>
                          <w:spacing w:val="20"/>
                          <w:sz w:val="22"/>
                          <w:szCs w:val="22"/>
                        </w:rPr>
                        <w:t xml:space="preserve"> </w:t>
                      </w:r>
                      <w:r w:rsidRPr="0062451B">
                        <w:rPr>
                          <w:rFonts w:ascii="Wingdings" w:hAnsi="Wingdings" w:cstheme="minorHAnsi"/>
                          <w:color w:val="002060"/>
                          <w:spacing w:val="20"/>
                          <w:sz w:val="22"/>
                          <w:szCs w:val="22"/>
                        </w:rPr>
                        <w:sym w:font="Wingdings" w:char="F0A7"/>
                      </w:r>
                      <w:r>
                        <w:rPr>
                          <w:rFonts w:ascii="Calibri" w:hAnsi="Calibri" w:cs="Calibri" w:hint="cs"/>
                          <w:color w:val="002060"/>
                          <w:szCs w:val="20"/>
                          <w:rtl/>
                        </w:rPr>
                        <w:t>ספטמבר  2025</w:t>
                      </w:r>
                      <w:r w:rsidRPr="0062451B">
                        <w:rPr>
                          <w:rFonts w:ascii="Calibri" w:hAnsi="Calibri" w:cs="Calibri" w:hint="cs"/>
                          <w:color w:val="002060"/>
                          <w:szCs w:val="20"/>
                          <w:rtl/>
                        </w:rPr>
                        <w:t xml:space="preserve"> </w:t>
                      </w:r>
                    </w:p>
                  </w:txbxContent>
                </v:textbox>
              </v:shape>
              <v:shape id="תיבת טקסט 2" o:spid="_x0000_s1056" type="#_x0000_t202" style="position:absolute;left:26326;top:3181;width:35452;height:28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" filled="f" stroked="f">
                <v:textbox>
                  <w:txbxContent>
                    <w:p w:rsidR="00014C4D" w:rsidRPr="001E204F" w:rsidRDefault="00014C4D" w:rsidP="005C3049">
                      <w:pPr>
                        <w:rPr>
                          <w:rFonts w:ascii="Calibri" w:hAnsi="Calibri" w:cs="Calibri"/>
                          <w:color w:val="002060"/>
                          <w:szCs w:val="20"/>
                          <w:rtl/>
                        </w:rPr>
                      </w:pPr>
                    </w:p>
                  </w:txbxContent>
                </v:textbox>
              </v:shape>
            </v:group>
          </w:pict>
        </mc:Fallback>
      </mc:AlternateContent>
    </w:r>
    <w:r w:rsidRPr="0062451B">
      <w:rPr>
        <w:rFonts w:asciiTheme="minorHAnsi" w:hAnsiTheme="minorHAnsi" w:cstheme="minorHAnsi"/>
        <w:color w:val="002060"/>
        <w:szCs w:val="20"/>
        <w:rtl/>
      </w:rPr>
      <w:t xml:space="preserve"> </w: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Pr>
        <w:rFonts w:asciiTheme="minorHAnsi" w:hAnsiTheme="minorHAnsi" w:cstheme="minorHAnsi"/>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8.4pt;height:8.4pt" o:bullet="t">
        <v:imagedata r:id="rId1" o:title="hand-red"/>
      </v:shape>
    </w:pict>
  </w:numPicBullet>
  <w:numPicBullet w:numPicBulletId="1">
    <w:pict>
      <v:shape id="_x0000_i1109" type="#_x0000_t75" style="width:384pt;height:384pt" o:bullet="t">
        <v:imagedata r:id="rId2" o:title=""/>
      </v:shape>
    </w:pict>
  </w:numPicBullet>
  <w:abstractNum w:abstractNumId="0" w15:restartNumberingAfterBreak="0">
    <w:nsid w:val="02215012"/>
    <w:multiLevelType w:val="multilevel"/>
    <w:tmpl w:val="DAEC39A8"/>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5D3195D"/>
    <w:multiLevelType w:val="multilevel"/>
    <w:tmpl w:val="548A8DE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15:restartNumberingAfterBreak="0">
    <w:nsid w:val="05E677A8"/>
    <w:multiLevelType w:val="hybridMultilevel"/>
    <w:tmpl w:val="E7C04276"/>
    <w:lvl w:ilvl="0" w:tplc="29AE4DD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8216AB"/>
    <w:multiLevelType w:val="hybridMultilevel"/>
    <w:tmpl w:val="BB7ADECA"/>
    <w:lvl w:ilvl="0" w:tplc="51FCC494">
      <w:start w:val="1"/>
      <w:numFmt w:val="hebrew1"/>
      <w:pStyle w:val="1"/>
      <w:lvlText w:val="%1."/>
      <w:lvlJc w:val="center"/>
      <w:pPr>
        <w:ind w:left="1915" w:hanging="360"/>
      </w:pPr>
    </w:lvl>
    <w:lvl w:ilvl="1" w:tplc="ED464D04" w:tentative="1">
      <w:start w:val="1"/>
      <w:numFmt w:val="lowerLetter"/>
      <w:lvlText w:val="%2."/>
      <w:lvlJc w:val="left"/>
      <w:pPr>
        <w:ind w:left="2635" w:hanging="360"/>
      </w:pPr>
    </w:lvl>
    <w:lvl w:ilvl="2" w:tplc="0CF6A778" w:tentative="1">
      <w:start w:val="1"/>
      <w:numFmt w:val="lowerRoman"/>
      <w:lvlText w:val="%3."/>
      <w:lvlJc w:val="right"/>
      <w:pPr>
        <w:ind w:left="3355" w:hanging="180"/>
      </w:pPr>
    </w:lvl>
    <w:lvl w:ilvl="3" w:tplc="2C541640" w:tentative="1">
      <w:start w:val="1"/>
      <w:numFmt w:val="decimal"/>
      <w:lvlText w:val="%4."/>
      <w:lvlJc w:val="left"/>
      <w:pPr>
        <w:ind w:left="4075" w:hanging="360"/>
      </w:pPr>
    </w:lvl>
    <w:lvl w:ilvl="4" w:tplc="1B9C8998" w:tentative="1">
      <w:start w:val="1"/>
      <w:numFmt w:val="lowerLetter"/>
      <w:lvlText w:val="%5."/>
      <w:lvlJc w:val="left"/>
      <w:pPr>
        <w:ind w:left="4795" w:hanging="360"/>
      </w:pPr>
    </w:lvl>
    <w:lvl w:ilvl="5" w:tplc="F4BA2640" w:tentative="1">
      <w:start w:val="1"/>
      <w:numFmt w:val="lowerRoman"/>
      <w:lvlText w:val="%6."/>
      <w:lvlJc w:val="right"/>
      <w:pPr>
        <w:ind w:left="5515" w:hanging="180"/>
      </w:pPr>
    </w:lvl>
    <w:lvl w:ilvl="6" w:tplc="D89A468A" w:tentative="1">
      <w:start w:val="1"/>
      <w:numFmt w:val="decimal"/>
      <w:lvlText w:val="%7."/>
      <w:lvlJc w:val="left"/>
      <w:pPr>
        <w:ind w:left="6235" w:hanging="360"/>
      </w:pPr>
    </w:lvl>
    <w:lvl w:ilvl="7" w:tplc="6B7AAB5C" w:tentative="1">
      <w:start w:val="1"/>
      <w:numFmt w:val="lowerLetter"/>
      <w:lvlText w:val="%8."/>
      <w:lvlJc w:val="left"/>
      <w:pPr>
        <w:ind w:left="6955" w:hanging="360"/>
      </w:pPr>
    </w:lvl>
    <w:lvl w:ilvl="8" w:tplc="782EE7DE" w:tentative="1">
      <w:start w:val="1"/>
      <w:numFmt w:val="lowerRoman"/>
      <w:lvlText w:val="%9."/>
      <w:lvlJc w:val="right"/>
      <w:pPr>
        <w:ind w:left="7675" w:hanging="180"/>
      </w:pPr>
    </w:lvl>
  </w:abstractNum>
  <w:abstractNum w:abstractNumId="4" w15:restartNumberingAfterBreak="0">
    <w:nsid w:val="0CBD5F52"/>
    <w:multiLevelType w:val="hybridMultilevel"/>
    <w:tmpl w:val="D94CDEE4"/>
    <w:lvl w:ilvl="0" w:tplc="275C5C5E">
      <w:start w:val="1"/>
      <w:numFmt w:val="decimal"/>
      <w:lvlText w:val="%1."/>
      <w:lvlJc w:val="left"/>
      <w:pPr>
        <w:ind w:left="397" w:hanging="397"/>
      </w:pPr>
      <w:rPr>
        <w:rFonts w:hint="default"/>
      </w:rPr>
    </w:lvl>
    <w:lvl w:ilvl="1" w:tplc="F2E2768C" w:tentative="1">
      <w:start w:val="1"/>
      <w:numFmt w:val="lowerLetter"/>
      <w:lvlText w:val="%2."/>
      <w:lvlJc w:val="left"/>
      <w:pPr>
        <w:ind w:left="1440" w:hanging="360"/>
      </w:pPr>
    </w:lvl>
    <w:lvl w:ilvl="2" w:tplc="39FCC4C0" w:tentative="1">
      <w:start w:val="1"/>
      <w:numFmt w:val="lowerRoman"/>
      <w:lvlText w:val="%3."/>
      <w:lvlJc w:val="right"/>
      <w:pPr>
        <w:ind w:left="2160" w:hanging="180"/>
      </w:pPr>
    </w:lvl>
    <w:lvl w:ilvl="3" w:tplc="81200A5C" w:tentative="1">
      <w:start w:val="1"/>
      <w:numFmt w:val="decimal"/>
      <w:lvlText w:val="%4."/>
      <w:lvlJc w:val="left"/>
      <w:pPr>
        <w:ind w:left="2880" w:hanging="360"/>
      </w:pPr>
    </w:lvl>
    <w:lvl w:ilvl="4" w:tplc="E2E06E28" w:tentative="1">
      <w:start w:val="1"/>
      <w:numFmt w:val="lowerLetter"/>
      <w:lvlText w:val="%5."/>
      <w:lvlJc w:val="left"/>
      <w:pPr>
        <w:ind w:left="3600" w:hanging="360"/>
      </w:pPr>
    </w:lvl>
    <w:lvl w:ilvl="5" w:tplc="77242468" w:tentative="1">
      <w:start w:val="1"/>
      <w:numFmt w:val="lowerRoman"/>
      <w:lvlText w:val="%6."/>
      <w:lvlJc w:val="right"/>
      <w:pPr>
        <w:ind w:left="4320" w:hanging="180"/>
      </w:pPr>
    </w:lvl>
    <w:lvl w:ilvl="6" w:tplc="EDC2D74C" w:tentative="1">
      <w:start w:val="1"/>
      <w:numFmt w:val="decimal"/>
      <w:lvlText w:val="%7."/>
      <w:lvlJc w:val="left"/>
      <w:pPr>
        <w:ind w:left="5040" w:hanging="360"/>
      </w:pPr>
    </w:lvl>
    <w:lvl w:ilvl="7" w:tplc="1C0C4A86" w:tentative="1">
      <w:start w:val="1"/>
      <w:numFmt w:val="lowerLetter"/>
      <w:lvlText w:val="%8."/>
      <w:lvlJc w:val="left"/>
      <w:pPr>
        <w:ind w:left="5760" w:hanging="360"/>
      </w:pPr>
    </w:lvl>
    <w:lvl w:ilvl="8" w:tplc="65B071CE" w:tentative="1">
      <w:start w:val="1"/>
      <w:numFmt w:val="lowerRoman"/>
      <w:lvlText w:val="%9."/>
      <w:lvlJc w:val="right"/>
      <w:pPr>
        <w:ind w:left="6480" w:hanging="180"/>
      </w:pPr>
    </w:lvl>
  </w:abstractNum>
  <w:abstractNum w:abstractNumId="5" w15:restartNumberingAfterBreak="0">
    <w:nsid w:val="0D065725"/>
    <w:multiLevelType w:val="hybridMultilevel"/>
    <w:tmpl w:val="FE6C3234"/>
    <w:lvl w:ilvl="0" w:tplc="AB60306A">
      <w:start w:val="1"/>
      <w:numFmt w:val="hebrew1"/>
      <w:lvlText w:val="%1."/>
      <w:lvlJc w:val="left"/>
      <w:pPr>
        <w:ind w:left="643" w:hanging="360"/>
      </w:pPr>
      <w:rPr>
        <w:rFonts w:hint="default"/>
      </w:rPr>
    </w:lvl>
    <w:lvl w:ilvl="1" w:tplc="B3D22DFC" w:tentative="1">
      <w:start w:val="1"/>
      <w:numFmt w:val="lowerLetter"/>
      <w:lvlText w:val="%2."/>
      <w:lvlJc w:val="left"/>
      <w:pPr>
        <w:ind w:left="1363" w:hanging="360"/>
      </w:pPr>
    </w:lvl>
    <w:lvl w:ilvl="2" w:tplc="72DCE888" w:tentative="1">
      <w:start w:val="1"/>
      <w:numFmt w:val="lowerRoman"/>
      <w:lvlText w:val="%3."/>
      <w:lvlJc w:val="right"/>
      <w:pPr>
        <w:ind w:left="2083" w:hanging="180"/>
      </w:pPr>
    </w:lvl>
    <w:lvl w:ilvl="3" w:tplc="412C8A78" w:tentative="1">
      <w:start w:val="1"/>
      <w:numFmt w:val="decimal"/>
      <w:lvlText w:val="%4."/>
      <w:lvlJc w:val="left"/>
      <w:pPr>
        <w:ind w:left="2803" w:hanging="360"/>
      </w:pPr>
    </w:lvl>
    <w:lvl w:ilvl="4" w:tplc="8C702884" w:tentative="1">
      <w:start w:val="1"/>
      <w:numFmt w:val="lowerLetter"/>
      <w:lvlText w:val="%5."/>
      <w:lvlJc w:val="left"/>
      <w:pPr>
        <w:ind w:left="3523" w:hanging="360"/>
      </w:pPr>
    </w:lvl>
    <w:lvl w:ilvl="5" w:tplc="B2F4DE16" w:tentative="1">
      <w:start w:val="1"/>
      <w:numFmt w:val="lowerRoman"/>
      <w:lvlText w:val="%6."/>
      <w:lvlJc w:val="right"/>
      <w:pPr>
        <w:ind w:left="4243" w:hanging="180"/>
      </w:pPr>
    </w:lvl>
    <w:lvl w:ilvl="6" w:tplc="86AE408C" w:tentative="1">
      <w:start w:val="1"/>
      <w:numFmt w:val="decimal"/>
      <w:lvlText w:val="%7."/>
      <w:lvlJc w:val="left"/>
      <w:pPr>
        <w:ind w:left="4963" w:hanging="360"/>
      </w:pPr>
    </w:lvl>
    <w:lvl w:ilvl="7" w:tplc="94AE7348" w:tentative="1">
      <w:start w:val="1"/>
      <w:numFmt w:val="lowerLetter"/>
      <w:lvlText w:val="%8."/>
      <w:lvlJc w:val="left"/>
      <w:pPr>
        <w:ind w:left="5683" w:hanging="360"/>
      </w:pPr>
    </w:lvl>
    <w:lvl w:ilvl="8" w:tplc="FC7248B4" w:tentative="1">
      <w:start w:val="1"/>
      <w:numFmt w:val="lowerRoman"/>
      <w:lvlText w:val="%9."/>
      <w:lvlJc w:val="right"/>
      <w:pPr>
        <w:ind w:left="6403" w:hanging="180"/>
      </w:pPr>
    </w:lvl>
  </w:abstractNum>
  <w:abstractNum w:abstractNumId="6" w15:restartNumberingAfterBreak="0">
    <w:nsid w:val="0E697B12"/>
    <w:multiLevelType w:val="hybridMultilevel"/>
    <w:tmpl w:val="30EA0890"/>
    <w:lvl w:ilvl="0" w:tplc="64FC6F7A">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3AF2C020" w:tentative="1">
      <w:start w:val="1"/>
      <w:numFmt w:val="bullet"/>
      <w:lvlText w:val="o"/>
      <w:lvlJc w:val="left"/>
      <w:pPr>
        <w:ind w:left="1440" w:hanging="360"/>
      </w:pPr>
      <w:rPr>
        <w:rFonts w:ascii="Courier New" w:hAnsi="Courier New" w:cs="Courier New" w:hint="default"/>
      </w:rPr>
    </w:lvl>
    <w:lvl w:ilvl="2" w:tplc="120A4C94" w:tentative="1">
      <w:start w:val="1"/>
      <w:numFmt w:val="bullet"/>
      <w:lvlText w:val=""/>
      <w:lvlJc w:val="left"/>
      <w:pPr>
        <w:ind w:left="2160" w:hanging="360"/>
      </w:pPr>
      <w:rPr>
        <w:rFonts w:ascii="Wingdings" w:hAnsi="Wingdings" w:hint="default"/>
      </w:rPr>
    </w:lvl>
    <w:lvl w:ilvl="3" w:tplc="23B2D4E0" w:tentative="1">
      <w:start w:val="1"/>
      <w:numFmt w:val="bullet"/>
      <w:lvlText w:val=""/>
      <w:lvlJc w:val="left"/>
      <w:pPr>
        <w:ind w:left="2880" w:hanging="360"/>
      </w:pPr>
      <w:rPr>
        <w:rFonts w:ascii="Symbol" w:hAnsi="Symbol" w:hint="default"/>
      </w:rPr>
    </w:lvl>
    <w:lvl w:ilvl="4" w:tplc="17B49F02" w:tentative="1">
      <w:start w:val="1"/>
      <w:numFmt w:val="bullet"/>
      <w:lvlText w:val="o"/>
      <w:lvlJc w:val="left"/>
      <w:pPr>
        <w:ind w:left="3600" w:hanging="360"/>
      </w:pPr>
      <w:rPr>
        <w:rFonts w:ascii="Courier New" w:hAnsi="Courier New" w:cs="Courier New" w:hint="default"/>
      </w:rPr>
    </w:lvl>
    <w:lvl w:ilvl="5" w:tplc="B82052C6" w:tentative="1">
      <w:start w:val="1"/>
      <w:numFmt w:val="bullet"/>
      <w:lvlText w:val=""/>
      <w:lvlJc w:val="left"/>
      <w:pPr>
        <w:ind w:left="4320" w:hanging="360"/>
      </w:pPr>
      <w:rPr>
        <w:rFonts w:ascii="Wingdings" w:hAnsi="Wingdings" w:hint="default"/>
      </w:rPr>
    </w:lvl>
    <w:lvl w:ilvl="6" w:tplc="085884E6" w:tentative="1">
      <w:start w:val="1"/>
      <w:numFmt w:val="bullet"/>
      <w:lvlText w:val=""/>
      <w:lvlJc w:val="left"/>
      <w:pPr>
        <w:ind w:left="5040" w:hanging="360"/>
      </w:pPr>
      <w:rPr>
        <w:rFonts w:ascii="Symbol" w:hAnsi="Symbol" w:hint="default"/>
      </w:rPr>
    </w:lvl>
    <w:lvl w:ilvl="7" w:tplc="0C94F372" w:tentative="1">
      <w:start w:val="1"/>
      <w:numFmt w:val="bullet"/>
      <w:lvlText w:val="o"/>
      <w:lvlJc w:val="left"/>
      <w:pPr>
        <w:ind w:left="5760" w:hanging="360"/>
      </w:pPr>
      <w:rPr>
        <w:rFonts w:ascii="Courier New" w:hAnsi="Courier New" w:cs="Courier New" w:hint="default"/>
      </w:rPr>
    </w:lvl>
    <w:lvl w:ilvl="8" w:tplc="0DB2A130" w:tentative="1">
      <w:start w:val="1"/>
      <w:numFmt w:val="bullet"/>
      <w:lvlText w:val=""/>
      <w:lvlJc w:val="left"/>
      <w:pPr>
        <w:ind w:left="6480" w:hanging="360"/>
      </w:pPr>
      <w:rPr>
        <w:rFonts w:ascii="Wingdings" w:hAnsi="Wingdings" w:hint="default"/>
      </w:rPr>
    </w:lvl>
  </w:abstractNum>
  <w:abstractNum w:abstractNumId="7" w15:restartNumberingAfterBreak="0">
    <w:nsid w:val="12806966"/>
    <w:multiLevelType w:val="hybridMultilevel"/>
    <w:tmpl w:val="FC6ED52C"/>
    <w:lvl w:ilvl="0" w:tplc="DA1AACF8">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4CB2E09E" w:tentative="1">
      <w:start w:val="1"/>
      <w:numFmt w:val="bullet"/>
      <w:lvlText w:val="o"/>
      <w:lvlJc w:val="left"/>
      <w:pPr>
        <w:ind w:left="1440" w:hanging="360"/>
      </w:pPr>
      <w:rPr>
        <w:rFonts w:ascii="Courier New" w:hAnsi="Courier New" w:cs="Courier New" w:hint="default"/>
      </w:rPr>
    </w:lvl>
    <w:lvl w:ilvl="2" w:tplc="96469410" w:tentative="1">
      <w:start w:val="1"/>
      <w:numFmt w:val="bullet"/>
      <w:lvlText w:val=""/>
      <w:lvlJc w:val="left"/>
      <w:pPr>
        <w:ind w:left="2160" w:hanging="360"/>
      </w:pPr>
      <w:rPr>
        <w:rFonts w:ascii="Wingdings" w:hAnsi="Wingdings" w:hint="default"/>
      </w:rPr>
    </w:lvl>
    <w:lvl w:ilvl="3" w:tplc="BDFAC886" w:tentative="1">
      <w:start w:val="1"/>
      <w:numFmt w:val="bullet"/>
      <w:lvlText w:val=""/>
      <w:lvlJc w:val="left"/>
      <w:pPr>
        <w:ind w:left="2880" w:hanging="360"/>
      </w:pPr>
      <w:rPr>
        <w:rFonts w:ascii="Symbol" w:hAnsi="Symbol" w:hint="default"/>
      </w:rPr>
    </w:lvl>
    <w:lvl w:ilvl="4" w:tplc="39D61AB2" w:tentative="1">
      <w:start w:val="1"/>
      <w:numFmt w:val="bullet"/>
      <w:lvlText w:val="o"/>
      <w:lvlJc w:val="left"/>
      <w:pPr>
        <w:ind w:left="3600" w:hanging="360"/>
      </w:pPr>
      <w:rPr>
        <w:rFonts w:ascii="Courier New" w:hAnsi="Courier New" w:cs="Courier New" w:hint="default"/>
      </w:rPr>
    </w:lvl>
    <w:lvl w:ilvl="5" w:tplc="85C69190" w:tentative="1">
      <w:start w:val="1"/>
      <w:numFmt w:val="bullet"/>
      <w:lvlText w:val=""/>
      <w:lvlJc w:val="left"/>
      <w:pPr>
        <w:ind w:left="4320" w:hanging="360"/>
      </w:pPr>
      <w:rPr>
        <w:rFonts w:ascii="Wingdings" w:hAnsi="Wingdings" w:hint="default"/>
      </w:rPr>
    </w:lvl>
    <w:lvl w:ilvl="6" w:tplc="AC8C1662" w:tentative="1">
      <w:start w:val="1"/>
      <w:numFmt w:val="bullet"/>
      <w:lvlText w:val=""/>
      <w:lvlJc w:val="left"/>
      <w:pPr>
        <w:ind w:left="5040" w:hanging="360"/>
      </w:pPr>
      <w:rPr>
        <w:rFonts w:ascii="Symbol" w:hAnsi="Symbol" w:hint="default"/>
      </w:rPr>
    </w:lvl>
    <w:lvl w:ilvl="7" w:tplc="269CA060" w:tentative="1">
      <w:start w:val="1"/>
      <w:numFmt w:val="bullet"/>
      <w:lvlText w:val="o"/>
      <w:lvlJc w:val="left"/>
      <w:pPr>
        <w:ind w:left="5760" w:hanging="360"/>
      </w:pPr>
      <w:rPr>
        <w:rFonts w:ascii="Courier New" w:hAnsi="Courier New" w:cs="Courier New" w:hint="default"/>
      </w:rPr>
    </w:lvl>
    <w:lvl w:ilvl="8" w:tplc="F0720184" w:tentative="1">
      <w:start w:val="1"/>
      <w:numFmt w:val="bullet"/>
      <w:lvlText w:val=""/>
      <w:lvlJc w:val="left"/>
      <w:pPr>
        <w:ind w:left="6480" w:hanging="360"/>
      </w:pPr>
      <w:rPr>
        <w:rFonts w:ascii="Wingdings" w:hAnsi="Wingdings" w:hint="default"/>
      </w:rPr>
    </w:lvl>
  </w:abstractNum>
  <w:abstractNum w:abstractNumId="8" w15:restartNumberingAfterBreak="0">
    <w:nsid w:val="19CE3B8D"/>
    <w:multiLevelType w:val="multilevel"/>
    <w:tmpl w:val="D9E26F16"/>
    <w:lvl w:ilvl="0">
      <w:start w:val="1"/>
      <w:numFmt w:val="decimal"/>
      <w:lvlRestart w:val="0"/>
      <w:lvlText w:val="%1."/>
      <w:lvlJc w:val="left"/>
      <w:pPr>
        <w:ind w:left="340" w:hanging="340"/>
      </w:pPr>
      <w:rPr>
        <w:rFonts w:hint="default"/>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15:restartNumberingAfterBreak="0">
    <w:nsid w:val="1CF648D2"/>
    <w:multiLevelType w:val="hybridMultilevel"/>
    <w:tmpl w:val="E2B6F6AA"/>
    <w:lvl w:ilvl="0" w:tplc="4732C6BE">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rPr>
    </w:lvl>
    <w:lvl w:ilvl="1" w:tplc="020CCCAC" w:tentative="1">
      <w:start w:val="1"/>
      <w:numFmt w:val="bullet"/>
      <w:lvlText w:val="o"/>
      <w:lvlJc w:val="left"/>
      <w:pPr>
        <w:ind w:left="1837" w:hanging="360"/>
      </w:pPr>
      <w:rPr>
        <w:rFonts w:ascii="Courier New" w:hAnsi="Courier New" w:cs="Courier New" w:hint="default"/>
      </w:rPr>
    </w:lvl>
    <w:lvl w:ilvl="2" w:tplc="8904FF70" w:tentative="1">
      <w:start w:val="1"/>
      <w:numFmt w:val="bullet"/>
      <w:lvlText w:val=""/>
      <w:lvlJc w:val="left"/>
      <w:pPr>
        <w:ind w:left="2557" w:hanging="360"/>
      </w:pPr>
      <w:rPr>
        <w:rFonts w:ascii="Wingdings" w:hAnsi="Wingdings" w:hint="default"/>
      </w:rPr>
    </w:lvl>
    <w:lvl w:ilvl="3" w:tplc="2E26C360" w:tentative="1">
      <w:start w:val="1"/>
      <w:numFmt w:val="bullet"/>
      <w:lvlText w:val=""/>
      <w:lvlJc w:val="left"/>
      <w:pPr>
        <w:ind w:left="3277" w:hanging="360"/>
      </w:pPr>
      <w:rPr>
        <w:rFonts w:ascii="Symbol" w:hAnsi="Symbol" w:hint="default"/>
      </w:rPr>
    </w:lvl>
    <w:lvl w:ilvl="4" w:tplc="BFA228A2" w:tentative="1">
      <w:start w:val="1"/>
      <w:numFmt w:val="bullet"/>
      <w:lvlText w:val="o"/>
      <w:lvlJc w:val="left"/>
      <w:pPr>
        <w:ind w:left="3997" w:hanging="360"/>
      </w:pPr>
      <w:rPr>
        <w:rFonts w:ascii="Courier New" w:hAnsi="Courier New" w:cs="Courier New" w:hint="default"/>
      </w:rPr>
    </w:lvl>
    <w:lvl w:ilvl="5" w:tplc="20281344" w:tentative="1">
      <w:start w:val="1"/>
      <w:numFmt w:val="bullet"/>
      <w:lvlText w:val=""/>
      <w:lvlJc w:val="left"/>
      <w:pPr>
        <w:ind w:left="4717" w:hanging="360"/>
      </w:pPr>
      <w:rPr>
        <w:rFonts w:ascii="Wingdings" w:hAnsi="Wingdings" w:hint="default"/>
      </w:rPr>
    </w:lvl>
    <w:lvl w:ilvl="6" w:tplc="80AEFC3C" w:tentative="1">
      <w:start w:val="1"/>
      <w:numFmt w:val="bullet"/>
      <w:lvlText w:val=""/>
      <w:lvlJc w:val="left"/>
      <w:pPr>
        <w:ind w:left="5437" w:hanging="360"/>
      </w:pPr>
      <w:rPr>
        <w:rFonts w:ascii="Symbol" w:hAnsi="Symbol" w:hint="default"/>
      </w:rPr>
    </w:lvl>
    <w:lvl w:ilvl="7" w:tplc="527CBDA2" w:tentative="1">
      <w:start w:val="1"/>
      <w:numFmt w:val="bullet"/>
      <w:lvlText w:val="o"/>
      <w:lvlJc w:val="left"/>
      <w:pPr>
        <w:ind w:left="6157" w:hanging="360"/>
      </w:pPr>
      <w:rPr>
        <w:rFonts w:ascii="Courier New" w:hAnsi="Courier New" w:cs="Courier New" w:hint="default"/>
      </w:rPr>
    </w:lvl>
    <w:lvl w:ilvl="8" w:tplc="AA6EE90A" w:tentative="1">
      <w:start w:val="1"/>
      <w:numFmt w:val="bullet"/>
      <w:lvlText w:val=""/>
      <w:lvlJc w:val="left"/>
      <w:pPr>
        <w:ind w:left="6877" w:hanging="360"/>
      </w:pPr>
      <w:rPr>
        <w:rFonts w:ascii="Wingdings" w:hAnsi="Wingdings" w:hint="default"/>
      </w:rPr>
    </w:lvl>
  </w:abstractNum>
  <w:abstractNum w:abstractNumId="10" w15:restartNumberingAfterBreak="0">
    <w:nsid w:val="1D587F94"/>
    <w:multiLevelType w:val="hybridMultilevel"/>
    <w:tmpl w:val="FF2AB340"/>
    <w:lvl w:ilvl="0" w:tplc="760653F8">
      <w:start w:val="1"/>
      <w:numFmt w:val="decimal"/>
      <w:lvlText w:val="%1."/>
      <w:lvlJc w:val="left"/>
      <w:pPr>
        <w:ind w:left="397" w:hanging="397"/>
      </w:pPr>
      <w:rPr>
        <w:rFonts w:hint="default"/>
        <w:b/>
        <w:i w:val="0"/>
        <w:caps w:val="0"/>
        <w:strike w:val="0"/>
        <w:dstrike w:val="0"/>
        <w:vanish w:val="0"/>
        <w:color w:val="FF0000"/>
        <w:sz w:val="40"/>
        <w:szCs w:val="25"/>
        <w:vertAlign w:val="baseline"/>
      </w:rPr>
    </w:lvl>
    <w:lvl w:ilvl="1" w:tplc="CC92931A" w:tentative="1">
      <w:start w:val="1"/>
      <w:numFmt w:val="bullet"/>
      <w:lvlText w:val="o"/>
      <w:lvlJc w:val="left"/>
      <w:pPr>
        <w:ind w:left="1440" w:hanging="360"/>
      </w:pPr>
      <w:rPr>
        <w:rFonts w:ascii="Courier New" w:hAnsi="Courier New" w:cs="Courier New" w:hint="default"/>
      </w:rPr>
    </w:lvl>
    <w:lvl w:ilvl="2" w:tplc="EB50F090" w:tentative="1">
      <w:start w:val="1"/>
      <w:numFmt w:val="bullet"/>
      <w:lvlText w:val=""/>
      <w:lvlJc w:val="left"/>
      <w:pPr>
        <w:ind w:left="2160" w:hanging="360"/>
      </w:pPr>
      <w:rPr>
        <w:rFonts w:ascii="Wingdings" w:hAnsi="Wingdings" w:hint="default"/>
      </w:rPr>
    </w:lvl>
    <w:lvl w:ilvl="3" w:tplc="6534090A" w:tentative="1">
      <w:start w:val="1"/>
      <w:numFmt w:val="bullet"/>
      <w:lvlText w:val=""/>
      <w:lvlJc w:val="left"/>
      <w:pPr>
        <w:ind w:left="2880" w:hanging="360"/>
      </w:pPr>
      <w:rPr>
        <w:rFonts w:ascii="Symbol" w:hAnsi="Symbol" w:hint="default"/>
      </w:rPr>
    </w:lvl>
    <w:lvl w:ilvl="4" w:tplc="495EE894" w:tentative="1">
      <w:start w:val="1"/>
      <w:numFmt w:val="bullet"/>
      <w:lvlText w:val="o"/>
      <w:lvlJc w:val="left"/>
      <w:pPr>
        <w:ind w:left="3600" w:hanging="360"/>
      </w:pPr>
      <w:rPr>
        <w:rFonts w:ascii="Courier New" w:hAnsi="Courier New" w:cs="Courier New" w:hint="default"/>
      </w:rPr>
    </w:lvl>
    <w:lvl w:ilvl="5" w:tplc="FDF65812" w:tentative="1">
      <w:start w:val="1"/>
      <w:numFmt w:val="bullet"/>
      <w:lvlText w:val=""/>
      <w:lvlJc w:val="left"/>
      <w:pPr>
        <w:ind w:left="4320" w:hanging="360"/>
      </w:pPr>
      <w:rPr>
        <w:rFonts w:ascii="Wingdings" w:hAnsi="Wingdings" w:hint="default"/>
      </w:rPr>
    </w:lvl>
    <w:lvl w:ilvl="6" w:tplc="13EC8772" w:tentative="1">
      <w:start w:val="1"/>
      <w:numFmt w:val="bullet"/>
      <w:lvlText w:val=""/>
      <w:lvlJc w:val="left"/>
      <w:pPr>
        <w:ind w:left="5040" w:hanging="360"/>
      </w:pPr>
      <w:rPr>
        <w:rFonts w:ascii="Symbol" w:hAnsi="Symbol" w:hint="default"/>
      </w:rPr>
    </w:lvl>
    <w:lvl w:ilvl="7" w:tplc="C19892F6" w:tentative="1">
      <w:start w:val="1"/>
      <w:numFmt w:val="bullet"/>
      <w:lvlText w:val="o"/>
      <w:lvlJc w:val="left"/>
      <w:pPr>
        <w:ind w:left="5760" w:hanging="360"/>
      </w:pPr>
      <w:rPr>
        <w:rFonts w:ascii="Courier New" w:hAnsi="Courier New" w:cs="Courier New" w:hint="default"/>
      </w:rPr>
    </w:lvl>
    <w:lvl w:ilvl="8" w:tplc="4FE2F02A" w:tentative="1">
      <w:start w:val="1"/>
      <w:numFmt w:val="bullet"/>
      <w:lvlText w:val=""/>
      <w:lvlJc w:val="left"/>
      <w:pPr>
        <w:ind w:left="6480" w:hanging="360"/>
      </w:pPr>
      <w:rPr>
        <w:rFonts w:ascii="Wingdings" w:hAnsi="Wingdings" w:hint="default"/>
      </w:rPr>
    </w:lvl>
  </w:abstractNum>
  <w:abstractNum w:abstractNumId="11" w15:restartNumberingAfterBreak="0">
    <w:nsid w:val="22E55D56"/>
    <w:multiLevelType w:val="hybridMultilevel"/>
    <w:tmpl w:val="DFB6D314"/>
    <w:lvl w:ilvl="0" w:tplc="25B27668">
      <w:start w:val="1"/>
      <w:numFmt w:val="decimal"/>
      <w:pStyle w:val="a"/>
      <w:suff w:val="space"/>
      <w:lvlText w:val="תרשים %1:"/>
      <w:lvlJc w:val="left"/>
      <w:pPr>
        <w:ind w:left="2628" w:hanging="360"/>
      </w:pPr>
      <w:rPr>
        <w:rFonts w:ascii="David" w:hAnsi="David" w:cs="David" w:hint="cs"/>
        <w:b w:val="0"/>
        <w:bCs w:val="0"/>
        <w:i w:val="0"/>
        <w:iCs w:val="0"/>
        <w:sz w:val="24"/>
        <w:szCs w:val="24"/>
      </w:rPr>
    </w:lvl>
    <w:lvl w:ilvl="1" w:tplc="F23231C6" w:tentative="1">
      <w:start w:val="1"/>
      <w:numFmt w:val="lowerLetter"/>
      <w:lvlText w:val="%2."/>
      <w:lvlJc w:val="left"/>
      <w:pPr>
        <w:ind w:left="1440" w:hanging="360"/>
      </w:pPr>
    </w:lvl>
    <w:lvl w:ilvl="2" w:tplc="03F2D8C4" w:tentative="1">
      <w:start w:val="1"/>
      <w:numFmt w:val="lowerRoman"/>
      <w:lvlText w:val="%3."/>
      <w:lvlJc w:val="right"/>
      <w:pPr>
        <w:ind w:left="2160" w:hanging="180"/>
      </w:pPr>
    </w:lvl>
    <w:lvl w:ilvl="3" w:tplc="7924B826" w:tentative="1">
      <w:start w:val="1"/>
      <w:numFmt w:val="decimal"/>
      <w:lvlText w:val="%4."/>
      <w:lvlJc w:val="left"/>
      <w:pPr>
        <w:ind w:left="2880" w:hanging="360"/>
      </w:pPr>
    </w:lvl>
    <w:lvl w:ilvl="4" w:tplc="04347F4E" w:tentative="1">
      <w:start w:val="1"/>
      <w:numFmt w:val="lowerLetter"/>
      <w:lvlText w:val="%5."/>
      <w:lvlJc w:val="left"/>
      <w:pPr>
        <w:ind w:left="3600" w:hanging="360"/>
      </w:pPr>
    </w:lvl>
    <w:lvl w:ilvl="5" w:tplc="37D6566C" w:tentative="1">
      <w:start w:val="1"/>
      <w:numFmt w:val="lowerRoman"/>
      <w:lvlText w:val="%6."/>
      <w:lvlJc w:val="right"/>
      <w:pPr>
        <w:ind w:left="4320" w:hanging="180"/>
      </w:pPr>
    </w:lvl>
    <w:lvl w:ilvl="6" w:tplc="FF784D36" w:tentative="1">
      <w:start w:val="1"/>
      <w:numFmt w:val="decimal"/>
      <w:lvlText w:val="%7."/>
      <w:lvlJc w:val="left"/>
      <w:pPr>
        <w:ind w:left="5040" w:hanging="360"/>
      </w:pPr>
    </w:lvl>
    <w:lvl w:ilvl="7" w:tplc="7F684F80" w:tentative="1">
      <w:start w:val="1"/>
      <w:numFmt w:val="lowerLetter"/>
      <w:lvlText w:val="%8."/>
      <w:lvlJc w:val="left"/>
      <w:pPr>
        <w:ind w:left="5760" w:hanging="360"/>
      </w:pPr>
    </w:lvl>
    <w:lvl w:ilvl="8" w:tplc="46F6BDF2" w:tentative="1">
      <w:start w:val="1"/>
      <w:numFmt w:val="lowerRoman"/>
      <w:lvlText w:val="%9."/>
      <w:lvlJc w:val="right"/>
      <w:pPr>
        <w:ind w:left="6480" w:hanging="180"/>
      </w:pPr>
    </w:lvl>
  </w:abstractNum>
  <w:abstractNum w:abstractNumId="12" w15:restartNumberingAfterBreak="0">
    <w:nsid w:val="2DB951A8"/>
    <w:multiLevelType w:val="hybridMultilevel"/>
    <w:tmpl w:val="477266D6"/>
    <w:lvl w:ilvl="0" w:tplc="F170F7CC">
      <w:start w:val="1"/>
      <w:numFmt w:val="bullet"/>
      <w:lvlText w:val=""/>
      <w:lvlJc w:val="left"/>
      <w:pPr>
        <w:ind w:left="1117" w:hanging="360"/>
      </w:pPr>
      <w:rPr>
        <w:rFonts w:ascii="Wingdings" w:hAnsi="Wingdings" w:cs="Wingdings" w:hint="default"/>
        <w:b/>
        <w:i w:val="0"/>
        <w:caps w:val="0"/>
        <w:strike w:val="0"/>
        <w:dstrike w:val="0"/>
        <w:vanish w:val="0"/>
        <w:color w:val="FF0000"/>
        <w:sz w:val="40"/>
        <w:szCs w:val="25"/>
        <w:vertAlign w:val="baseline"/>
        <w:lang w:bidi="he-IL"/>
      </w:rPr>
    </w:lvl>
    <w:lvl w:ilvl="1" w:tplc="DB12EAD0" w:tentative="1">
      <w:start w:val="1"/>
      <w:numFmt w:val="bullet"/>
      <w:lvlText w:val="o"/>
      <w:lvlJc w:val="left"/>
      <w:pPr>
        <w:ind w:left="1837" w:hanging="360"/>
      </w:pPr>
      <w:rPr>
        <w:rFonts w:ascii="Courier New" w:hAnsi="Courier New" w:cs="Courier New" w:hint="default"/>
      </w:rPr>
    </w:lvl>
    <w:lvl w:ilvl="2" w:tplc="E84A1BC0" w:tentative="1">
      <w:start w:val="1"/>
      <w:numFmt w:val="bullet"/>
      <w:lvlText w:val=""/>
      <w:lvlJc w:val="left"/>
      <w:pPr>
        <w:ind w:left="2557" w:hanging="360"/>
      </w:pPr>
      <w:rPr>
        <w:rFonts w:ascii="Wingdings" w:hAnsi="Wingdings" w:hint="default"/>
      </w:rPr>
    </w:lvl>
    <w:lvl w:ilvl="3" w:tplc="E48C6DBE" w:tentative="1">
      <w:start w:val="1"/>
      <w:numFmt w:val="bullet"/>
      <w:lvlText w:val=""/>
      <w:lvlJc w:val="left"/>
      <w:pPr>
        <w:ind w:left="3277" w:hanging="360"/>
      </w:pPr>
      <w:rPr>
        <w:rFonts w:ascii="Symbol" w:hAnsi="Symbol" w:hint="default"/>
      </w:rPr>
    </w:lvl>
    <w:lvl w:ilvl="4" w:tplc="7E5E6FB8" w:tentative="1">
      <w:start w:val="1"/>
      <w:numFmt w:val="bullet"/>
      <w:lvlText w:val="o"/>
      <w:lvlJc w:val="left"/>
      <w:pPr>
        <w:ind w:left="3997" w:hanging="360"/>
      </w:pPr>
      <w:rPr>
        <w:rFonts w:ascii="Courier New" w:hAnsi="Courier New" w:cs="Courier New" w:hint="default"/>
      </w:rPr>
    </w:lvl>
    <w:lvl w:ilvl="5" w:tplc="62E2EE2E" w:tentative="1">
      <w:start w:val="1"/>
      <w:numFmt w:val="bullet"/>
      <w:lvlText w:val=""/>
      <w:lvlJc w:val="left"/>
      <w:pPr>
        <w:ind w:left="4717" w:hanging="360"/>
      </w:pPr>
      <w:rPr>
        <w:rFonts w:ascii="Wingdings" w:hAnsi="Wingdings" w:hint="default"/>
      </w:rPr>
    </w:lvl>
    <w:lvl w:ilvl="6" w:tplc="2182D912" w:tentative="1">
      <w:start w:val="1"/>
      <w:numFmt w:val="bullet"/>
      <w:lvlText w:val=""/>
      <w:lvlJc w:val="left"/>
      <w:pPr>
        <w:ind w:left="5437" w:hanging="360"/>
      </w:pPr>
      <w:rPr>
        <w:rFonts w:ascii="Symbol" w:hAnsi="Symbol" w:hint="default"/>
      </w:rPr>
    </w:lvl>
    <w:lvl w:ilvl="7" w:tplc="09C4257C" w:tentative="1">
      <w:start w:val="1"/>
      <w:numFmt w:val="bullet"/>
      <w:lvlText w:val="o"/>
      <w:lvlJc w:val="left"/>
      <w:pPr>
        <w:ind w:left="6157" w:hanging="360"/>
      </w:pPr>
      <w:rPr>
        <w:rFonts w:ascii="Courier New" w:hAnsi="Courier New" w:cs="Courier New" w:hint="default"/>
      </w:rPr>
    </w:lvl>
    <w:lvl w:ilvl="8" w:tplc="5E94DD20" w:tentative="1">
      <w:start w:val="1"/>
      <w:numFmt w:val="bullet"/>
      <w:lvlText w:val=""/>
      <w:lvlJc w:val="left"/>
      <w:pPr>
        <w:ind w:left="6877" w:hanging="360"/>
      </w:pPr>
      <w:rPr>
        <w:rFonts w:ascii="Wingdings" w:hAnsi="Wingdings" w:hint="default"/>
      </w:rPr>
    </w:lvl>
  </w:abstractNum>
  <w:abstractNum w:abstractNumId="13" w15:restartNumberingAfterBreak="0">
    <w:nsid w:val="2EC744C3"/>
    <w:multiLevelType w:val="hybridMultilevel"/>
    <w:tmpl w:val="4A68CCE0"/>
    <w:lvl w:ilvl="0" w:tplc="4A68C9E8">
      <w:start w:val="1"/>
      <w:numFmt w:val="bullet"/>
      <w:lvlText w:val=""/>
      <w:lvlJc w:val="left"/>
      <w:pPr>
        <w:ind w:left="794" w:hanging="397"/>
      </w:pPr>
      <w:rPr>
        <w:rFonts w:ascii="Wingdings" w:hAnsi="Wingdings" w:cs="Wingdings" w:hint="default"/>
        <w:b/>
        <w:i w:val="0"/>
        <w:caps w:val="0"/>
        <w:strike w:val="0"/>
        <w:dstrike w:val="0"/>
        <w:vanish w:val="0"/>
        <w:color w:val="FF0000"/>
        <w:sz w:val="40"/>
        <w:szCs w:val="25"/>
        <w:vertAlign w:val="baseline"/>
      </w:rPr>
    </w:lvl>
    <w:lvl w:ilvl="1" w:tplc="5160229A" w:tentative="1">
      <w:start w:val="1"/>
      <w:numFmt w:val="bullet"/>
      <w:lvlText w:val="o"/>
      <w:lvlJc w:val="left"/>
      <w:pPr>
        <w:ind w:left="1440" w:hanging="360"/>
      </w:pPr>
      <w:rPr>
        <w:rFonts w:ascii="Courier New" w:hAnsi="Courier New" w:cs="Courier New" w:hint="default"/>
      </w:rPr>
    </w:lvl>
    <w:lvl w:ilvl="2" w:tplc="F286988E" w:tentative="1">
      <w:start w:val="1"/>
      <w:numFmt w:val="bullet"/>
      <w:lvlText w:val=""/>
      <w:lvlJc w:val="left"/>
      <w:pPr>
        <w:ind w:left="2160" w:hanging="360"/>
      </w:pPr>
      <w:rPr>
        <w:rFonts w:ascii="Wingdings" w:hAnsi="Wingdings" w:hint="default"/>
      </w:rPr>
    </w:lvl>
    <w:lvl w:ilvl="3" w:tplc="F87430BC" w:tentative="1">
      <w:start w:val="1"/>
      <w:numFmt w:val="bullet"/>
      <w:lvlText w:val=""/>
      <w:lvlJc w:val="left"/>
      <w:pPr>
        <w:ind w:left="2880" w:hanging="360"/>
      </w:pPr>
      <w:rPr>
        <w:rFonts w:ascii="Symbol" w:hAnsi="Symbol" w:hint="default"/>
      </w:rPr>
    </w:lvl>
    <w:lvl w:ilvl="4" w:tplc="280A6D04" w:tentative="1">
      <w:start w:val="1"/>
      <w:numFmt w:val="bullet"/>
      <w:lvlText w:val="o"/>
      <w:lvlJc w:val="left"/>
      <w:pPr>
        <w:ind w:left="3600" w:hanging="360"/>
      </w:pPr>
      <w:rPr>
        <w:rFonts w:ascii="Courier New" w:hAnsi="Courier New" w:cs="Courier New" w:hint="default"/>
      </w:rPr>
    </w:lvl>
    <w:lvl w:ilvl="5" w:tplc="9D60E156" w:tentative="1">
      <w:start w:val="1"/>
      <w:numFmt w:val="bullet"/>
      <w:lvlText w:val=""/>
      <w:lvlJc w:val="left"/>
      <w:pPr>
        <w:ind w:left="4320" w:hanging="360"/>
      </w:pPr>
      <w:rPr>
        <w:rFonts w:ascii="Wingdings" w:hAnsi="Wingdings" w:hint="default"/>
      </w:rPr>
    </w:lvl>
    <w:lvl w:ilvl="6" w:tplc="21C4DCA6" w:tentative="1">
      <w:start w:val="1"/>
      <w:numFmt w:val="bullet"/>
      <w:lvlText w:val=""/>
      <w:lvlJc w:val="left"/>
      <w:pPr>
        <w:ind w:left="5040" w:hanging="360"/>
      </w:pPr>
      <w:rPr>
        <w:rFonts w:ascii="Symbol" w:hAnsi="Symbol" w:hint="default"/>
      </w:rPr>
    </w:lvl>
    <w:lvl w:ilvl="7" w:tplc="5D1424DA" w:tentative="1">
      <w:start w:val="1"/>
      <w:numFmt w:val="bullet"/>
      <w:lvlText w:val="o"/>
      <w:lvlJc w:val="left"/>
      <w:pPr>
        <w:ind w:left="5760" w:hanging="360"/>
      </w:pPr>
      <w:rPr>
        <w:rFonts w:ascii="Courier New" w:hAnsi="Courier New" w:cs="Courier New" w:hint="default"/>
      </w:rPr>
    </w:lvl>
    <w:lvl w:ilvl="8" w:tplc="3FCA92F8" w:tentative="1">
      <w:start w:val="1"/>
      <w:numFmt w:val="bullet"/>
      <w:lvlText w:val=""/>
      <w:lvlJc w:val="left"/>
      <w:pPr>
        <w:ind w:left="6480" w:hanging="360"/>
      </w:pPr>
      <w:rPr>
        <w:rFonts w:ascii="Wingdings" w:hAnsi="Wingdings" w:hint="default"/>
      </w:rPr>
    </w:lvl>
  </w:abstractNum>
  <w:abstractNum w:abstractNumId="14" w15:restartNumberingAfterBreak="0">
    <w:nsid w:val="30D17255"/>
    <w:multiLevelType w:val="hybridMultilevel"/>
    <w:tmpl w:val="F1AE1FFC"/>
    <w:lvl w:ilvl="0" w:tplc="5B7876C0">
      <w:start w:val="1"/>
      <w:numFmt w:val="decimal"/>
      <w:pStyle w:val="a0"/>
      <w:lvlText w:val="לוח %1:"/>
      <w:lvlJc w:val="left"/>
      <w:pPr>
        <w:ind w:left="1854" w:hanging="360"/>
      </w:pPr>
      <w:rPr>
        <w:rFonts w:ascii="Calibri" w:hAnsi="Calibri" w:cs="Calibri" w:hint="default"/>
        <w:b w:val="0"/>
        <w:bCs w:val="0"/>
        <w:i w:val="0"/>
        <w:iCs w:val="0"/>
        <w:color w:val="002060"/>
        <w:sz w:val="24"/>
        <w:szCs w:val="24"/>
      </w:rPr>
    </w:lvl>
    <w:lvl w:ilvl="1" w:tplc="13AC0250" w:tentative="1">
      <w:start w:val="1"/>
      <w:numFmt w:val="lowerLetter"/>
      <w:lvlText w:val="%2."/>
      <w:lvlJc w:val="left"/>
      <w:pPr>
        <w:ind w:left="2574" w:hanging="360"/>
      </w:pPr>
    </w:lvl>
    <w:lvl w:ilvl="2" w:tplc="23446ED4" w:tentative="1">
      <w:start w:val="1"/>
      <w:numFmt w:val="lowerRoman"/>
      <w:lvlText w:val="%3."/>
      <w:lvlJc w:val="right"/>
      <w:pPr>
        <w:ind w:left="3294" w:hanging="180"/>
      </w:pPr>
    </w:lvl>
    <w:lvl w:ilvl="3" w:tplc="35FA18FC" w:tentative="1">
      <w:start w:val="1"/>
      <w:numFmt w:val="decimal"/>
      <w:lvlText w:val="%4."/>
      <w:lvlJc w:val="left"/>
      <w:pPr>
        <w:ind w:left="4014" w:hanging="360"/>
      </w:pPr>
    </w:lvl>
    <w:lvl w:ilvl="4" w:tplc="D1008A62" w:tentative="1">
      <w:start w:val="1"/>
      <w:numFmt w:val="lowerLetter"/>
      <w:lvlText w:val="%5."/>
      <w:lvlJc w:val="left"/>
      <w:pPr>
        <w:ind w:left="4734" w:hanging="360"/>
      </w:pPr>
    </w:lvl>
    <w:lvl w:ilvl="5" w:tplc="5DA4D774" w:tentative="1">
      <w:start w:val="1"/>
      <w:numFmt w:val="lowerRoman"/>
      <w:lvlText w:val="%6."/>
      <w:lvlJc w:val="right"/>
      <w:pPr>
        <w:ind w:left="5454" w:hanging="180"/>
      </w:pPr>
    </w:lvl>
    <w:lvl w:ilvl="6" w:tplc="08F4CB5A" w:tentative="1">
      <w:start w:val="1"/>
      <w:numFmt w:val="decimal"/>
      <w:lvlText w:val="%7."/>
      <w:lvlJc w:val="left"/>
      <w:pPr>
        <w:ind w:left="6174" w:hanging="360"/>
      </w:pPr>
    </w:lvl>
    <w:lvl w:ilvl="7" w:tplc="B114C324" w:tentative="1">
      <w:start w:val="1"/>
      <w:numFmt w:val="lowerLetter"/>
      <w:lvlText w:val="%8."/>
      <w:lvlJc w:val="left"/>
      <w:pPr>
        <w:ind w:left="6894" w:hanging="360"/>
      </w:pPr>
    </w:lvl>
    <w:lvl w:ilvl="8" w:tplc="E2D6EFDE" w:tentative="1">
      <w:start w:val="1"/>
      <w:numFmt w:val="lowerRoman"/>
      <w:lvlText w:val="%9."/>
      <w:lvlJc w:val="right"/>
      <w:pPr>
        <w:ind w:left="7614" w:hanging="180"/>
      </w:pPr>
    </w:lvl>
  </w:abstractNum>
  <w:abstractNum w:abstractNumId="15" w15:restartNumberingAfterBreak="0">
    <w:nsid w:val="316B14B9"/>
    <w:multiLevelType w:val="hybridMultilevel"/>
    <w:tmpl w:val="378E9214"/>
    <w:lvl w:ilvl="0" w:tplc="C50E4C78">
      <w:start w:val="1"/>
      <w:numFmt w:val="decimal"/>
      <w:pStyle w:val="a1"/>
      <w:lvlText w:val="תמונה %1:"/>
      <w:lvlJc w:val="left"/>
      <w:pPr>
        <w:ind w:left="1494" w:hanging="360"/>
      </w:pPr>
      <w:rPr>
        <w:rFonts w:ascii="Calibri" w:hAnsi="Calibri" w:cs="Calibri" w:hint="default"/>
        <w:b w:val="0"/>
        <w:bCs w:val="0"/>
        <w:i w:val="0"/>
        <w:iCs w:val="0"/>
        <w:color w:val="002060"/>
        <w:sz w:val="24"/>
        <w:szCs w:val="24"/>
      </w:rPr>
    </w:lvl>
    <w:lvl w:ilvl="1" w:tplc="23283050" w:tentative="1">
      <w:start w:val="1"/>
      <w:numFmt w:val="lowerLetter"/>
      <w:lvlText w:val="%2."/>
      <w:lvlJc w:val="left"/>
      <w:pPr>
        <w:ind w:left="2578" w:hanging="360"/>
      </w:pPr>
    </w:lvl>
    <w:lvl w:ilvl="2" w:tplc="CBD2F198" w:tentative="1">
      <w:start w:val="1"/>
      <w:numFmt w:val="lowerRoman"/>
      <w:lvlText w:val="%3."/>
      <w:lvlJc w:val="right"/>
      <w:pPr>
        <w:ind w:left="3298" w:hanging="180"/>
      </w:pPr>
    </w:lvl>
    <w:lvl w:ilvl="3" w:tplc="F856BEE4" w:tentative="1">
      <w:start w:val="1"/>
      <w:numFmt w:val="decimal"/>
      <w:lvlText w:val="%4."/>
      <w:lvlJc w:val="left"/>
      <w:pPr>
        <w:ind w:left="4018" w:hanging="360"/>
      </w:pPr>
    </w:lvl>
    <w:lvl w:ilvl="4" w:tplc="E0C231DA" w:tentative="1">
      <w:start w:val="1"/>
      <w:numFmt w:val="lowerLetter"/>
      <w:lvlText w:val="%5."/>
      <w:lvlJc w:val="left"/>
      <w:pPr>
        <w:ind w:left="4738" w:hanging="360"/>
      </w:pPr>
    </w:lvl>
    <w:lvl w:ilvl="5" w:tplc="C9705D18" w:tentative="1">
      <w:start w:val="1"/>
      <w:numFmt w:val="lowerRoman"/>
      <w:lvlText w:val="%6."/>
      <w:lvlJc w:val="right"/>
      <w:pPr>
        <w:ind w:left="5458" w:hanging="180"/>
      </w:pPr>
    </w:lvl>
    <w:lvl w:ilvl="6" w:tplc="E43C6160" w:tentative="1">
      <w:start w:val="1"/>
      <w:numFmt w:val="decimal"/>
      <w:lvlText w:val="%7."/>
      <w:lvlJc w:val="left"/>
      <w:pPr>
        <w:ind w:left="6178" w:hanging="360"/>
      </w:pPr>
    </w:lvl>
    <w:lvl w:ilvl="7" w:tplc="1A3EFC6C" w:tentative="1">
      <w:start w:val="1"/>
      <w:numFmt w:val="lowerLetter"/>
      <w:lvlText w:val="%8."/>
      <w:lvlJc w:val="left"/>
      <w:pPr>
        <w:ind w:left="6898" w:hanging="360"/>
      </w:pPr>
    </w:lvl>
    <w:lvl w:ilvl="8" w:tplc="6F8E1D6E" w:tentative="1">
      <w:start w:val="1"/>
      <w:numFmt w:val="lowerRoman"/>
      <w:lvlText w:val="%9."/>
      <w:lvlJc w:val="right"/>
      <w:pPr>
        <w:ind w:left="7618" w:hanging="180"/>
      </w:pPr>
    </w:lvl>
  </w:abstractNum>
  <w:abstractNum w:abstractNumId="16" w15:restartNumberingAfterBreak="0">
    <w:nsid w:val="33A86F96"/>
    <w:multiLevelType w:val="hybridMultilevel"/>
    <w:tmpl w:val="220A2AB2"/>
    <w:lvl w:ilvl="0" w:tplc="738C6200">
      <w:start w:val="1"/>
      <w:numFmt w:val="decimal"/>
      <w:pStyle w:val="a2"/>
      <w:lvlText w:val="מפה %1:"/>
      <w:lvlJc w:val="left"/>
      <w:pPr>
        <w:ind w:left="1858" w:hanging="360"/>
      </w:pPr>
      <w:rPr>
        <w:rFonts w:ascii="Calibri" w:hAnsi="Calibri" w:cs="Calibri" w:hint="default"/>
        <w:b w:val="0"/>
        <w:bCs w:val="0"/>
        <w:i w:val="0"/>
        <w:iCs w:val="0"/>
        <w:color w:val="002060"/>
        <w:sz w:val="24"/>
        <w:szCs w:val="24"/>
      </w:rPr>
    </w:lvl>
    <w:lvl w:ilvl="1" w:tplc="0BC0017E" w:tentative="1">
      <w:start w:val="1"/>
      <w:numFmt w:val="lowerLetter"/>
      <w:lvlText w:val="%2."/>
      <w:lvlJc w:val="left"/>
      <w:pPr>
        <w:ind w:left="2934" w:hanging="360"/>
      </w:pPr>
    </w:lvl>
    <w:lvl w:ilvl="2" w:tplc="B72A7164" w:tentative="1">
      <w:start w:val="1"/>
      <w:numFmt w:val="lowerRoman"/>
      <w:lvlText w:val="%3."/>
      <w:lvlJc w:val="right"/>
      <w:pPr>
        <w:ind w:left="3654" w:hanging="180"/>
      </w:pPr>
    </w:lvl>
    <w:lvl w:ilvl="3" w:tplc="8ED27B00" w:tentative="1">
      <w:start w:val="1"/>
      <w:numFmt w:val="decimal"/>
      <w:lvlText w:val="%4."/>
      <w:lvlJc w:val="left"/>
      <w:pPr>
        <w:ind w:left="4374" w:hanging="360"/>
      </w:pPr>
    </w:lvl>
    <w:lvl w:ilvl="4" w:tplc="10D4E1E4" w:tentative="1">
      <w:start w:val="1"/>
      <w:numFmt w:val="lowerLetter"/>
      <w:lvlText w:val="%5."/>
      <w:lvlJc w:val="left"/>
      <w:pPr>
        <w:ind w:left="5094" w:hanging="360"/>
      </w:pPr>
    </w:lvl>
    <w:lvl w:ilvl="5" w:tplc="7A582222" w:tentative="1">
      <w:start w:val="1"/>
      <w:numFmt w:val="lowerRoman"/>
      <w:lvlText w:val="%6."/>
      <w:lvlJc w:val="right"/>
      <w:pPr>
        <w:ind w:left="5814" w:hanging="180"/>
      </w:pPr>
    </w:lvl>
    <w:lvl w:ilvl="6" w:tplc="DC82F020" w:tentative="1">
      <w:start w:val="1"/>
      <w:numFmt w:val="decimal"/>
      <w:lvlText w:val="%7."/>
      <w:lvlJc w:val="left"/>
      <w:pPr>
        <w:ind w:left="6534" w:hanging="360"/>
      </w:pPr>
    </w:lvl>
    <w:lvl w:ilvl="7" w:tplc="BD3AD36A" w:tentative="1">
      <w:start w:val="1"/>
      <w:numFmt w:val="lowerLetter"/>
      <w:lvlText w:val="%8."/>
      <w:lvlJc w:val="left"/>
      <w:pPr>
        <w:ind w:left="7254" w:hanging="360"/>
      </w:pPr>
    </w:lvl>
    <w:lvl w:ilvl="8" w:tplc="442EF450" w:tentative="1">
      <w:start w:val="1"/>
      <w:numFmt w:val="lowerRoman"/>
      <w:lvlText w:val="%9."/>
      <w:lvlJc w:val="right"/>
      <w:pPr>
        <w:ind w:left="7974" w:hanging="180"/>
      </w:pPr>
    </w:lvl>
  </w:abstractNum>
  <w:abstractNum w:abstractNumId="17" w15:restartNumberingAfterBreak="0">
    <w:nsid w:val="355B1DDE"/>
    <w:multiLevelType w:val="hybridMultilevel"/>
    <w:tmpl w:val="0382FD12"/>
    <w:lvl w:ilvl="0" w:tplc="4F641BE8">
      <w:start w:val="1"/>
      <w:numFmt w:val="bullet"/>
      <w:lvlText w:val=""/>
      <w:lvlJc w:val="left"/>
      <w:pPr>
        <w:ind w:left="397" w:hanging="397"/>
      </w:pPr>
      <w:rPr>
        <w:rFonts w:ascii="Segoe MDL2 Assets" w:hAnsi="Segoe MDL2 Assets" w:cs="Segoe MDL2 Assets" w:hint="default"/>
        <w:b/>
        <w:bCs/>
        <w:i w:val="0"/>
        <w:iCs w:val="0"/>
        <w:color w:val="FFC000"/>
        <w:position w:val="-6"/>
        <w:sz w:val="28"/>
        <w:szCs w:val="32"/>
        <w:lang w:bidi="he-IL"/>
      </w:rPr>
    </w:lvl>
    <w:lvl w:ilvl="1" w:tplc="E23822D2" w:tentative="1">
      <w:start w:val="1"/>
      <w:numFmt w:val="bullet"/>
      <w:lvlText w:val="o"/>
      <w:lvlJc w:val="left"/>
      <w:pPr>
        <w:ind w:left="1080" w:hanging="360"/>
      </w:pPr>
      <w:rPr>
        <w:rFonts w:ascii="Courier New" w:hAnsi="Courier New" w:cs="Courier New" w:hint="default"/>
      </w:rPr>
    </w:lvl>
    <w:lvl w:ilvl="2" w:tplc="33CC644C" w:tentative="1">
      <w:start w:val="1"/>
      <w:numFmt w:val="bullet"/>
      <w:lvlText w:val=""/>
      <w:lvlJc w:val="left"/>
      <w:pPr>
        <w:ind w:left="1800" w:hanging="360"/>
      </w:pPr>
      <w:rPr>
        <w:rFonts w:ascii="Wingdings" w:hAnsi="Wingdings" w:hint="default"/>
      </w:rPr>
    </w:lvl>
    <w:lvl w:ilvl="3" w:tplc="14B851E8" w:tentative="1">
      <w:start w:val="1"/>
      <w:numFmt w:val="bullet"/>
      <w:lvlText w:val=""/>
      <w:lvlJc w:val="left"/>
      <w:pPr>
        <w:ind w:left="2520" w:hanging="360"/>
      </w:pPr>
      <w:rPr>
        <w:rFonts w:ascii="Symbol" w:hAnsi="Symbol" w:hint="default"/>
      </w:rPr>
    </w:lvl>
    <w:lvl w:ilvl="4" w:tplc="ADB8F21A" w:tentative="1">
      <w:start w:val="1"/>
      <w:numFmt w:val="bullet"/>
      <w:lvlText w:val="o"/>
      <w:lvlJc w:val="left"/>
      <w:pPr>
        <w:ind w:left="3240" w:hanging="360"/>
      </w:pPr>
      <w:rPr>
        <w:rFonts w:ascii="Courier New" w:hAnsi="Courier New" w:cs="Courier New" w:hint="default"/>
      </w:rPr>
    </w:lvl>
    <w:lvl w:ilvl="5" w:tplc="5F98CD0C" w:tentative="1">
      <w:start w:val="1"/>
      <w:numFmt w:val="bullet"/>
      <w:lvlText w:val=""/>
      <w:lvlJc w:val="left"/>
      <w:pPr>
        <w:ind w:left="3960" w:hanging="360"/>
      </w:pPr>
      <w:rPr>
        <w:rFonts w:ascii="Wingdings" w:hAnsi="Wingdings" w:hint="default"/>
      </w:rPr>
    </w:lvl>
    <w:lvl w:ilvl="6" w:tplc="E05819F4" w:tentative="1">
      <w:start w:val="1"/>
      <w:numFmt w:val="bullet"/>
      <w:lvlText w:val=""/>
      <w:lvlJc w:val="left"/>
      <w:pPr>
        <w:ind w:left="4680" w:hanging="360"/>
      </w:pPr>
      <w:rPr>
        <w:rFonts w:ascii="Symbol" w:hAnsi="Symbol" w:hint="default"/>
      </w:rPr>
    </w:lvl>
    <w:lvl w:ilvl="7" w:tplc="F48AFEA4" w:tentative="1">
      <w:start w:val="1"/>
      <w:numFmt w:val="bullet"/>
      <w:lvlText w:val="o"/>
      <w:lvlJc w:val="left"/>
      <w:pPr>
        <w:ind w:left="5400" w:hanging="360"/>
      </w:pPr>
      <w:rPr>
        <w:rFonts w:ascii="Courier New" w:hAnsi="Courier New" w:cs="Courier New" w:hint="default"/>
      </w:rPr>
    </w:lvl>
    <w:lvl w:ilvl="8" w:tplc="8D7EAEB4" w:tentative="1">
      <w:start w:val="1"/>
      <w:numFmt w:val="bullet"/>
      <w:lvlText w:val=""/>
      <w:lvlJc w:val="left"/>
      <w:pPr>
        <w:ind w:left="6120" w:hanging="360"/>
      </w:pPr>
      <w:rPr>
        <w:rFonts w:ascii="Wingdings" w:hAnsi="Wingdings" w:hint="default"/>
      </w:rPr>
    </w:lvl>
  </w:abstractNum>
  <w:abstractNum w:abstractNumId="18" w15:restartNumberingAfterBreak="0">
    <w:nsid w:val="392E622D"/>
    <w:multiLevelType w:val="hybridMultilevel"/>
    <w:tmpl w:val="7D5E01EA"/>
    <w:lvl w:ilvl="0" w:tplc="0734A782">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9494890E" w:tentative="1">
      <w:start w:val="1"/>
      <w:numFmt w:val="bullet"/>
      <w:lvlText w:val="o"/>
      <w:lvlJc w:val="left"/>
      <w:pPr>
        <w:ind w:left="1837" w:hanging="360"/>
      </w:pPr>
      <w:rPr>
        <w:rFonts w:ascii="Courier New" w:hAnsi="Courier New" w:cs="Courier New" w:hint="default"/>
      </w:rPr>
    </w:lvl>
    <w:lvl w:ilvl="2" w:tplc="74DED302" w:tentative="1">
      <w:start w:val="1"/>
      <w:numFmt w:val="bullet"/>
      <w:lvlText w:val=""/>
      <w:lvlJc w:val="left"/>
      <w:pPr>
        <w:ind w:left="2557" w:hanging="360"/>
      </w:pPr>
      <w:rPr>
        <w:rFonts w:ascii="Wingdings" w:hAnsi="Wingdings" w:hint="default"/>
      </w:rPr>
    </w:lvl>
    <w:lvl w:ilvl="3" w:tplc="762CFF86" w:tentative="1">
      <w:start w:val="1"/>
      <w:numFmt w:val="bullet"/>
      <w:lvlText w:val=""/>
      <w:lvlJc w:val="left"/>
      <w:pPr>
        <w:ind w:left="3277" w:hanging="360"/>
      </w:pPr>
      <w:rPr>
        <w:rFonts w:ascii="Symbol" w:hAnsi="Symbol" w:hint="default"/>
      </w:rPr>
    </w:lvl>
    <w:lvl w:ilvl="4" w:tplc="789A2D9C" w:tentative="1">
      <w:start w:val="1"/>
      <w:numFmt w:val="bullet"/>
      <w:lvlText w:val="o"/>
      <w:lvlJc w:val="left"/>
      <w:pPr>
        <w:ind w:left="3997" w:hanging="360"/>
      </w:pPr>
      <w:rPr>
        <w:rFonts w:ascii="Courier New" w:hAnsi="Courier New" w:cs="Courier New" w:hint="default"/>
      </w:rPr>
    </w:lvl>
    <w:lvl w:ilvl="5" w:tplc="38D83108" w:tentative="1">
      <w:start w:val="1"/>
      <w:numFmt w:val="bullet"/>
      <w:lvlText w:val=""/>
      <w:lvlJc w:val="left"/>
      <w:pPr>
        <w:ind w:left="4717" w:hanging="360"/>
      </w:pPr>
      <w:rPr>
        <w:rFonts w:ascii="Wingdings" w:hAnsi="Wingdings" w:hint="default"/>
      </w:rPr>
    </w:lvl>
    <w:lvl w:ilvl="6" w:tplc="4664E16C" w:tentative="1">
      <w:start w:val="1"/>
      <w:numFmt w:val="bullet"/>
      <w:lvlText w:val=""/>
      <w:lvlJc w:val="left"/>
      <w:pPr>
        <w:ind w:left="5437" w:hanging="360"/>
      </w:pPr>
      <w:rPr>
        <w:rFonts w:ascii="Symbol" w:hAnsi="Symbol" w:hint="default"/>
      </w:rPr>
    </w:lvl>
    <w:lvl w:ilvl="7" w:tplc="B14C3A78" w:tentative="1">
      <w:start w:val="1"/>
      <w:numFmt w:val="bullet"/>
      <w:lvlText w:val="o"/>
      <w:lvlJc w:val="left"/>
      <w:pPr>
        <w:ind w:left="6157" w:hanging="360"/>
      </w:pPr>
      <w:rPr>
        <w:rFonts w:ascii="Courier New" w:hAnsi="Courier New" w:cs="Courier New" w:hint="default"/>
      </w:rPr>
    </w:lvl>
    <w:lvl w:ilvl="8" w:tplc="72E67046" w:tentative="1">
      <w:start w:val="1"/>
      <w:numFmt w:val="bullet"/>
      <w:lvlText w:val=""/>
      <w:lvlJc w:val="left"/>
      <w:pPr>
        <w:ind w:left="6877" w:hanging="360"/>
      </w:pPr>
      <w:rPr>
        <w:rFonts w:ascii="Wingdings" w:hAnsi="Wingdings" w:hint="default"/>
      </w:rPr>
    </w:lvl>
  </w:abstractNum>
  <w:abstractNum w:abstractNumId="19" w15:restartNumberingAfterBreak="0">
    <w:nsid w:val="3A923526"/>
    <w:multiLevelType w:val="hybridMultilevel"/>
    <w:tmpl w:val="4E74417E"/>
    <w:lvl w:ilvl="0" w:tplc="0368237A">
      <w:start w:val="1"/>
      <w:numFmt w:val="decimal"/>
      <w:pStyle w:val="a3"/>
      <w:lvlText w:val="תרשים %1:"/>
      <w:lvlJc w:val="left"/>
      <w:pPr>
        <w:ind w:left="1494" w:hanging="360"/>
      </w:pPr>
      <w:rPr>
        <w:rFonts w:ascii="Calibri" w:hAnsi="Calibri" w:cs="Calibri" w:hint="default"/>
        <w:b w:val="0"/>
        <w:bCs w:val="0"/>
        <w:i w:val="0"/>
        <w:iCs w:val="0"/>
        <w:color w:val="002060"/>
        <w:sz w:val="24"/>
        <w:szCs w:val="24"/>
      </w:rPr>
    </w:lvl>
    <w:lvl w:ilvl="1" w:tplc="74F2E368" w:tentative="1">
      <w:start w:val="1"/>
      <w:numFmt w:val="lowerLetter"/>
      <w:lvlText w:val="%2."/>
      <w:lvlJc w:val="left"/>
      <w:pPr>
        <w:ind w:left="2578" w:hanging="360"/>
      </w:pPr>
    </w:lvl>
    <w:lvl w:ilvl="2" w:tplc="8BAA935E" w:tentative="1">
      <w:start w:val="1"/>
      <w:numFmt w:val="lowerRoman"/>
      <w:lvlText w:val="%3."/>
      <w:lvlJc w:val="right"/>
      <w:pPr>
        <w:ind w:left="3298" w:hanging="180"/>
      </w:pPr>
    </w:lvl>
    <w:lvl w:ilvl="3" w:tplc="EB3AC694" w:tentative="1">
      <w:start w:val="1"/>
      <w:numFmt w:val="decimal"/>
      <w:lvlText w:val="%4."/>
      <w:lvlJc w:val="left"/>
      <w:pPr>
        <w:ind w:left="4018" w:hanging="360"/>
      </w:pPr>
    </w:lvl>
    <w:lvl w:ilvl="4" w:tplc="92868A74" w:tentative="1">
      <w:start w:val="1"/>
      <w:numFmt w:val="lowerLetter"/>
      <w:lvlText w:val="%5."/>
      <w:lvlJc w:val="left"/>
      <w:pPr>
        <w:ind w:left="4738" w:hanging="360"/>
      </w:pPr>
    </w:lvl>
    <w:lvl w:ilvl="5" w:tplc="E5D485D4" w:tentative="1">
      <w:start w:val="1"/>
      <w:numFmt w:val="lowerRoman"/>
      <w:lvlText w:val="%6."/>
      <w:lvlJc w:val="right"/>
      <w:pPr>
        <w:ind w:left="5458" w:hanging="180"/>
      </w:pPr>
    </w:lvl>
    <w:lvl w:ilvl="6" w:tplc="C07A9F8A" w:tentative="1">
      <w:start w:val="1"/>
      <w:numFmt w:val="decimal"/>
      <w:lvlText w:val="%7."/>
      <w:lvlJc w:val="left"/>
      <w:pPr>
        <w:ind w:left="6178" w:hanging="360"/>
      </w:pPr>
    </w:lvl>
    <w:lvl w:ilvl="7" w:tplc="16C4D6E4" w:tentative="1">
      <w:start w:val="1"/>
      <w:numFmt w:val="lowerLetter"/>
      <w:lvlText w:val="%8."/>
      <w:lvlJc w:val="left"/>
      <w:pPr>
        <w:ind w:left="6898" w:hanging="360"/>
      </w:pPr>
    </w:lvl>
    <w:lvl w:ilvl="8" w:tplc="948E7BB4" w:tentative="1">
      <w:start w:val="1"/>
      <w:numFmt w:val="lowerRoman"/>
      <w:lvlText w:val="%9."/>
      <w:lvlJc w:val="right"/>
      <w:pPr>
        <w:ind w:left="7618" w:hanging="180"/>
      </w:pPr>
    </w:lvl>
  </w:abstractNum>
  <w:abstractNum w:abstractNumId="20" w15:restartNumberingAfterBreak="0">
    <w:nsid w:val="3B0B597E"/>
    <w:multiLevelType w:val="hybridMultilevel"/>
    <w:tmpl w:val="C582C6B2"/>
    <w:lvl w:ilvl="0" w:tplc="D6589448">
      <w:numFmt w:val="bullet"/>
      <w:lvlText w:val="•"/>
      <w:lvlJc w:val="left"/>
      <w:pPr>
        <w:ind w:left="1003" w:hanging="360"/>
      </w:pPr>
      <w:rPr>
        <w:rFonts w:ascii="Tahoma" w:eastAsiaTheme="minorHAnsi" w:hAnsi="Tahoma" w:cs="Tahoma" w:hint="default"/>
        <w:b/>
        <w:i w:val="0"/>
        <w:caps w:val="0"/>
        <w:strike w:val="0"/>
        <w:dstrike w:val="0"/>
        <w:vanish w:val="0"/>
        <w:color w:val="FF0000"/>
        <w:position w:val="0"/>
        <w:sz w:val="21"/>
        <w:szCs w:val="25"/>
        <w:vertAlign w:val="baseline"/>
        <w14:ligatures w14:val="all"/>
        <w14:numForm w14:val="default"/>
        <w14:numSpacing w14:val="default"/>
        <w14:stylisticSets/>
      </w:rPr>
    </w:lvl>
    <w:lvl w:ilvl="1" w:tplc="217E3EB0">
      <w:numFmt w:val="bullet"/>
      <w:lvlText w:val="•"/>
      <w:lvlJc w:val="left"/>
      <w:pPr>
        <w:ind w:left="1528" w:hanging="165"/>
      </w:pPr>
      <w:rPr>
        <w:rFonts w:ascii="Tahoma" w:eastAsiaTheme="minorHAnsi" w:hAnsi="Tahoma" w:cs="Tahoma" w:hint="default"/>
        <w:b/>
        <w:color w:val="FF0000"/>
        <w:sz w:val="21"/>
      </w:rPr>
    </w:lvl>
    <w:lvl w:ilvl="2" w:tplc="4D74BF36" w:tentative="1">
      <w:start w:val="1"/>
      <w:numFmt w:val="bullet"/>
      <w:lvlText w:val=""/>
      <w:lvlJc w:val="left"/>
      <w:pPr>
        <w:ind w:left="2443" w:hanging="360"/>
      </w:pPr>
      <w:rPr>
        <w:rFonts w:ascii="Wingdings" w:hAnsi="Wingdings" w:hint="default"/>
      </w:rPr>
    </w:lvl>
    <w:lvl w:ilvl="3" w:tplc="1CC2B206" w:tentative="1">
      <w:start w:val="1"/>
      <w:numFmt w:val="bullet"/>
      <w:lvlText w:val=""/>
      <w:lvlJc w:val="left"/>
      <w:pPr>
        <w:ind w:left="3163" w:hanging="360"/>
      </w:pPr>
      <w:rPr>
        <w:rFonts w:ascii="Symbol" w:hAnsi="Symbol" w:hint="default"/>
      </w:rPr>
    </w:lvl>
    <w:lvl w:ilvl="4" w:tplc="0E8086E0" w:tentative="1">
      <w:start w:val="1"/>
      <w:numFmt w:val="bullet"/>
      <w:lvlText w:val="o"/>
      <w:lvlJc w:val="left"/>
      <w:pPr>
        <w:ind w:left="3883" w:hanging="360"/>
      </w:pPr>
      <w:rPr>
        <w:rFonts w:ascii="Courier New" w:hAnsi="Courier New" w:cs="Courier New" w:hint="default"/>
      </w:rPr>
    </w:lvl>
    <w:lvl w:ilvl="5" w:tplc="E77886EE" w:tentative="1">
      <w:start w:val="1"/>
      <w:numFmt w:val="bullet"/>
      <w:lvlText w:val=""/>
      <w:lvlJc w:val="left"/>
      <w:pPr>
        <w:ind w:left="4603" w:hanging="360"/>
      </w:pPr>
      <w:rPr>
        <w:rFonts w:ascii="Wingdings" w:hAnsi="Wingdings" w:hint="default"/>
      </w:rPr>
    </w:lvl>
    <w:lvl w:ilvl="6" w:tplc="EC90D628" w:tentative="1">
      <w:start w:val="1"/>
      <w:numFmt w:val="bullet"/>
      <w:lvlText w:val=""/>
      <w:lvlJc w:val="left"/>
      <w:pPr>
        <w:ind w:left="5323" w:hanging="360"/>
      </w:pPr>
      <w:rPr>
        <w:rFonts w:ascii="Symbol" w:hAnsi="Symbol" w:hint="default"/>
      </w:rPr>
    </w:lvl>
    <w:lvl w:ilvl="7" w:tplc="4A5870D0" w:tentative="1">
      <w:start w:val="1"/>
      <w:numFmt w:val="bullet"/>
      <w:lvlText w:val="o"/>
      <w:lvlJc w:val="left"/>
      <w:pPr>
        <w:ind w:left="6043" w:hanging="360"/>
      </w:pPr>
      <w:rPr>
        <w:rFonts w:ascii="Courier New" w:hAnsi="Courier New" w:cs="Courier New" w:hint="default"/>
      </w:rPr>
    </w:lvl>
    <w:lvl w:ilvl="8" w:tplc="5A549E44" w:tentative="1">
      <w:start w:val="1"/>
      <w:numFmt w:val="bullet"/>
      <w:lvlText w:val=""/>
      <w:lvlJc w:val="left"/>
      <w:pPr>
        <w:ind w:left="6763" w:hanging="360"/>
      </w:pPr>
      <w:rPr>
        <w:rFonts w:ascii="Wingdings" w:hAnsi="Wingdings" w:hint="default"/>
      </w:rPr>
    </w:lvl>
  </w:abstractNum>
  <w:abstractNum w:abstractNumId="21" w15:restartNumberingAfterBreak="0">
    <w:nsid w:val="3DFC3F2B"/>
    <w:multiLevelType w:val="hybridMultilevel"/>
    <w:tmpl w:val="27902D54"/>
    <w:lvl w:ilvl="0" w:tplc="36781B2A">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rPr>
    </w:lvl>
    <w:lvl w:ilvl="1" w:tplc="72CA09D0" w:tentative="1">
      <w:start w:val="1"/>
      <w:numFmt w:val="bullet"/>
      <w:lvlText w:val="o"/>
      <w:lvlJc w:val="left"/>
      <w:pPr>
        <w:ind w:left="1440" w:hanging="360"/>
      </w:pPr>
      <w:rPr>
        <w:rFonts w:ascii="Courier New" w:hAnsi="Courier New" w:cs="Courier New" w:hint="default"/>
      </w:rPr>
    </w:lvl>
    <w:lvl w:ilvl="2" w:tplc="DD127F2C" w:tentative="1">
      <w:start w:val="1"/>
      <w:numFmt w:val="bullet"/>
      <w:lvlText w:val=""/>
      <w:lvlJc w:val="left"/>
      <w:pPr>
        <w:ind w:left="2160" w:hanging="360"/>
      </w:pPr>
      <w:rPr>
        <w:rFonts w:ascii="Wingdings" w:hAnsi="Wingdings" w:hint="default"/>
      </w:rPr>
    </w:lvl>
    <w:lvl w:ilvl="3" w:tplc="4A400230" w:tentative="1">
      <w:start w:val="1"/>
      <w:numFmt w:val="bullet"/>
      <w:lvlText w:val=""/>
      <w:lvlJc w:val="left"/>
      <w:pPr>
        <w:ind w:left="2880" w:hanging="360"/>
      </w:pPr>
      <w:rPr>
        <w:rFonts w:ascii="Symbol" w:hAnsi="Symbol" w:hint="default"/>
      </w:rPr>
    </w:lvl>
    <w:lvl w:ilvl="4" w:tplc="5860DFAC" w:tentative="1">
      <w:start w:val="1"/>
      <w:numFmt w:val="bullet"/>
      <w:lvlText w:val="o"/>
      <w:lvlJc w:val="left"/>
      <w:pPr>
        <w:ind w:left="3600" w:hanging="360"/>
      </w:pPr>
      <w:rPr>
        <w:rFonts w:ascii="Courier New" w:hAnsi="Courier New" w:cs="Courier New" w:hint="default"/>
      </w:rPr>
    </w:lvl>
    <w:lvl w:ilvl="5" w:tplc="78E69A44" w:tentative="1">
      <w:start w:val="1"/>
      <w:numFmt w:val="bullet"/>
      <w:lvlText w:val=""/>
      <w:lvlJc w:val="left"/>
      <w:pPr>
        <w:ind w:left="4320" w:hanging="360"/>
      </w:pPr>
      <w:rPr>
        <w:rFonts w:ascii="Wingdings" w:hAnsi="Wingdings" w:hint="default"/>
      </w:rPr>
    </w:lvl>
    <w:lvl w:ilvl="6" w:tplc="A6D4C232" w:tentative="1">
      <w:start w:val="1"/>
      <w:numFmt w:val="bullet"/>
      <w:lvlText w:val=""/>
      <w:lvlJc w:val="left"/>
      <w:pPr>
        <w:ind w:left="5040" w:hanging="360"/>
      </w:pPr>
      <w:rPr>
        <w:rFonts w:ascii="Symbol" w:hAnsi="Symbol" w:hint="default"/>
      </w:rPr>
    </w:lvl>
    <w:lvl w:ilvl="7" w:tplc="8E12C9FC" w:tentative="1">
      <w:start w:val="1"/>
      <w:numFmt w:val="bullet"/>
      <w:lvlText w:val="o"/>
      <w:lvlJc w:val="left"/>
      <w:pPr>
        <w:ind w:left="5760" w:hanging="360"/>
      </w:pPr>
      <w:rPr>
        <w:rFonts w:ascii="Courier New" w:hAnsi="Courier New" w:cs="Courier New" w:hint="default"/>
      </w:rPr>
    </w:lvl>
    <w:lvl w:ilvl="8" w:tplc="7E2CE06E" w:tentative="1">
      <w:start w:val="1"/>
      <w:numFmt w:val="bullet"/>
      <w:lvlText w:val=""/>
      <w:lvlJc w:val="left"/>
      <w:pPr>
        <w:ind w:left="6480" w:hanging="360"/>
      </w:pPr>
      <w:rPr>
        <w:rFonts w:ascii="Wingdings" w:hAnsi="Wingdings" w:hint="default"/>
      </w:rPr>
    </w:lvl>
  </w:abstractNum>
  <w:abstractNum w:abstractNumId="22" w15:restartNumberingAfterBreak="0">
    <w:nsid w:val="40DC7E01"/>
    <w:multiLevelType w:val="hybridMultilevel"/>
    <w:tmpl w:val="5D24C320"/>
    <w:lvl w:ilvl="0" w:tplc="CF0EE2E4">
      <w:start w:val="1"/>
      <w:numFmt w:val="decimal"/>
      <w:pStyle w:val="3"/>
      <w:lvlText w:val="%1.1.1"/>
      <w:lvlJc w:val="left"/>
      <w:pPr>
        <w:ind w:left="1854" w:hanging="360"/>
      </w:pPr>
      <w:rPr>
        <w:rFonts w:hint="default"/>
      </w:rPr>
    </w:lvl>
    <w:lvl w:ilvl="1" w:tplc="D5F47040" w:tentative="1">
      <w:start w:val="1"/>
      <w:numFmt w:val="lowerLetter"/>
      <w:lvlText w:val="%2."/>
      <w:lvlJc w:val="left"/>
      <w:pPr>
        <w:ind w:left="2574" w:hanging="360"/>
      </w:pPr>
    </w:lvl>
    <w:lvl w:ilvl="2" w:tplc="B9986F56" w:tentative="1">
      <w:start w:val="1"/>
      <w:numFmt w:val="lowerRoman"/>
      <w:lvlText w:val="%3."/>
      <w:lvlJc w:val="right"/>
      <w:pPr>
        <w:ind w:left="3294" w:hanging="180"/>
      </w:pPr>
    </w:lvl>
    <w:lvl w:ilvl="3" w:tplc="BFFCC2E4" w:tentative="1">
      <w:start w:val="1"/>
      <w:numFmt w:val="decimal"/>
      <w:lvlText w:val="%4."/>
      <w:lvlJc w:val="left"/>
      <w:pPr>
        <w:ind w:left="4014" w:hanging="360"/>
      </w:pPr>
    </w:lvl>
    <w:lvl w:ilvl="4" w:tplc="525E7254" w:tentative="1">
      <w:start w:val="1"/>
      <w:numFmt w:val="lowerLetter"/>
      <w:lvlText w:val="%5."/>
      <w:lvlJc w:val="left"/>
      <w:pPr>
        <w:ind w:left="4734" w:hanging="360"/>
      </w:pPr>
    </w:lvl>
    <w:lvl w:ilvl="5" w:tplc="854088D6" w:tentative="1">
      <w:start w:val="1"/>
      <w:numFmt w:val="lowerRoman"/>
      <w:lvlText w:val="%6."/>
      <w:lvlJc w:val="right"/>
      <w:pPr>
        <w:ind w:left="5454" w:hanging="180"/>
      </w:pPr>
    </w:lvl>
    <w:lvl w:ilvl="6" w:tplc="15747D34" w:tentative="1">
      <w:start w:val="1"/>
      <w:numFmt w:val="decimal"/>
      <w:lvlText w:val="%7."/>
      <w:lvlJc w:val="left"/>
      <w:pPr>
        <w:ind w:left="6174" w:hanging="360"/>
      </w:pPr>
    </w:lvl>
    <w:lvl w:ilvl="7" w:tplc="A6826E0A" w:tentative="1">
      <w:start w:val="1"/>
      <w:numFmt w:val="lowerLetter"/>
      <w:lvlText w:val="%8."/>
      <w:lvlJc w:val="left"/>
      <w:pPr>
        <w:ind w:left="6894" w:hanging="360"/>
      </w:pPr>
    </w:lvl>
    <w:lvl w:ilvl="8" w:tplc="106EB362" w:tentative="1">
      <w:start w:val="1"/>
      <w:numFmt w:val="lowerRoman"/>
      <w:lvlText w:val="%9."/>
      <w:lvlJc w:val="right"/>
      <w:pPr>
        <w:ind w:left="7614" w:hanging="180"/>
      </w:pPr>
    </w:lvl>
  </w:abstractNum>
  <w:abstractNum w:abstractNumId="23" w15:restartNumberingAfterBreak="0">
    <w:nsid w:val="441A6670"/>
    <w:multiLevelType w:val="hybridMultilevel"/>
    <w:tmpl w:val="369C82D6"/>
    <w:lvl w:ilvl="0" w:tplc="6DCA7DC2">
      <w:start w:val="1"/>
      <w:numFmt w:val="hebrew1"/>
      <w:pStyle w:val="30"/>
      <w:lvlText w:val="%1."/>
      <w:lvlJc w:val="center"/>
      <w:pPr>
        <w:ind w:left="2705" w:hanging="360"/>
      </w:pPr>
    </w:lvl>
    <w:lvl w:ilvl="1" w:tplc="F2286B36" w:tentative="1">
      <w:start w:val="1"/>
      <w:numFmt w:val="lowerLetter"/>
      <w:lvlText w:val="%2."/>
      <w:lvlJc w:val="left"/>
      <w:pPr>
        <w:ind w:left="3425" w:hanging="360"/>
      </w:pPr>
    </w:lvl>
    <w:lvl w:ilvl="2" w:tplc="57E686D2" w:tentative="1">
      <w:start w:val="1"/>
      <w:numFmt w:val="lowerRoman"/>
      <w:lvlText w:val="%3."/>
      <w:lvlJc w:val="right"/>
      <w:pPr>
        <w:ind w:left="4145" w:hanging="180"/>
      </w:pPr>
    </w:lvl>
    <w:lvl w:ilvl="3" w:tplc="B3B6D222" w:tentative="1">
      <w:start w:val="1"/>
      <w:numFmt w:val="decimal"/>
      <w:lvlText w:val="%4."/>
      <w:lvlJc w:val="left"/>
      <w:pPr>
        <w:ind w:left="4865" w:hanging="360"/>
      </w:pPr>
    </w:lvl>
    <w:lvl w:ilvl="4" w:tplc="161C839C" w:tentative="1">
      <w:start w:val="1"/>
      <w:numFmt w:val="lowerLetter"/>
      <w:lvlText w:val="%5."/>
      <w:lvlJc w:val="left"/>
      <w:pPr>
        <w:ind w:left="5585" w:hanging="360"/>
      </w:pPr>
    </w:lvl>
    <w:lvl w:ilvl="5" w:tplc="7DE09600" w:tentative="1">
      <w:start w:val="1"/>
      <w:numFmt w:val="lowerRoman"/>
      <w:lvlText w:val="%6."/>
      <w:lvlJc w:val="right"/>
      <w:pPr>
        <w:ind w:left="6305" w:hanging="180"/>
      </w:pPr>
    </w:lvl>
    <w:lvl w:ilvl="6" w:tplc="23442B76" w:tentative="1">
      <w:start w:val="1"/>
      <w:numFmt w:val="decimal"/>
      <w:lvlText w:val="%7."/>
      <w:lvlJc w:val="left"/>
      <w:pPr>
        <w:ind w:left="7025" w:hanging="360"/>
      </w:pPr>
    </w:lvl>
    <w:lvl w:ilvl="7" w:tplc="B364B690" w:tentative="1">
      <w:start w:val="1"/>
      <w:numFmt w:val="lowerLetter"/>
      <w:lvlText w:val="%8."/>
      <w:lvlJc w:val="left"/>
      <w:pPr>
        <w:ind w:left="7745" w:hanging="360"/>
      </w:pPr>
    </w:lvl>
    <w:lvl w:ilvl="8" w:tplc="48CAF43E" w:tentative="1">
      <w:start w:val="1"/>
      <w:numFmt w:val="lowerRoman"/>
      <w:lvlText w:val="%9."/>
      <w:lvlJc w:val="right"/>
      <w:pPr>
        <w:ind w:left="8465" w:hanging="180"/>
      </w:pPr>
    </w:lvl>
  </w:abstractNum>
  <w:abstractNum w:abstractNumId="24" w15:restartNumberingAfterBreak="0">
    <w:nsid w:val="490174A0"/>
    <w:multiLevelType w:val="multilevel"/>
    <w:tmpl w:val="49F84124"/>
    <w:lvl w:ilvl="0">
      <w:start w:val="1"/>
      <w:numFmt w:val="decimal"/>
      <w:lvlRestart w:val="0"/>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4DD35436"/>
    <w:multiLevelType w:val="hybridMultilevel"/>
    <w:tmpl w:val="EC1EC164"/>
    <w:lvl w:ilvl="0" w:tplc="CA0A9C68">
      <w:start w:val="1"/>
      <w:numFmt w:val="decimal"/>
      <w:pStyle w:val="2"/>
      <w:lvlText w:val="%1.1"/>
      <w:lvlJc w:val="left"/>
      <w:pPr>
        <w:ind w:left="1860" w:hanging="360"/>
      </w:pPr>
      <w:rPr>
        <w:rFonts w:hint="default"/>
      </w:rPr>
    </w:lvl>
    <w:lvl w:ilvl="1" w:tplc="E996B1D8" w:tentative="1">
      <w:start w:val="1"/>
      <w:numFmt w:val="lowerLetter"/>
      <w:lvlText w:val="%2."/>
      <w:lvlJc w:val="left"/>
      <w:pPr>
        <w:ind w:left="2580" w:hanging="360"/>
      </w:pPr>
    </w:lvl>
    <w:lvl w:ilvl="2" w:tplc="3056D902" w:tentative="1">
      <w:start w:val="1"/>
      <w:numFmt w:val="lowerRoman"/>
      <w:lvlText w:val="%3."/>
      <w:lvlJc w:val="right"/>
      <w:pPr>
        <w:ind w:left="3300" w:hanging="180"/>
      </w:pPr>
    </w:lvl>
    <w:lvl w:ilvl="3" w:tplc="D17C4076" w:tentative="1">
      <w:start w:val="1"/>
      <w:numFmt w:val="decimal"/>
      <w:lvlText w:val="%4."/>
      <w:lvlJc w:val="left"/>
      <w:pPr>
        <w:ind w:left="4020" w:hanging="360"/>
      </w:pPr>
    </w:lvl>
    <w:lvl w:ilvl="4" w:tplc="3FA4C742" w:tentative="1">
      <w:start w:val="1"/>
      <w:numFmt w:val="lowerLetter"/>
      <w:lvlText w:val="%5."/>
      <w:lvlJc w:val="left"/>
      <w:pPr>
        <w:ind w:left="4740" w:hanging="360"/>
      </w:pPr>
    </w:lvl>
    <w:lvl w:ilvl="5" w:tplc="DF321970" w:tentative="1">
      <w:start w:val="1"/>
      <w:numFmt w:val="lowerRoman"/>
      <w:lvlText w:val="%6."/>
      <w:lvlJc w:val="right"/>
      <w:pPr>
        <w:ind w:left="5460" w:hanging="180"/>
      </w:pPr>
    </w:lvl>
    <w:lvl w:ilvl="6" w:tplc="26B6638E" w:tentative="1">
      <w:start w:val="1"/>
      <w:numFmt w:val="decimal"/>
      <w:lvlText w:val="%7."/>
      <w:lvlJc w:val="left"/>
      <w:pPr>
        <w:ind w:left="6180" w:hanging="360"/>
      </w:pPr>
    </w:lvl>
    <w:lvl w:ilvl="7" w:tplc="CF602F52" w:tentative="1">
      <w:start w:val="1"/>
      <w:numFmt w:val="lowerLetter"/>
      <w:lvlText w:val="%8."/>
      <w:lvlJc w:val="left"/>
      <w:pPr>
        <w:ind w:left="6900" w:hanging="360"/>
      </w:pPr>
    </w:lvl>
    <w:lvl w:ilvl="8" w:tplc="A7F038CA" w:tentative="1">
      <w:start w:val="1"/>
      <w:numFmt w:val="lowerRoman"/>
      <w:lvlText w:val="%9."/>
      <w:lvlJc w:val="right"/>
      <w:pPr>
        <w:ind w:left="7620" w:hanging="180"/>
      </w:pPr>
    </w:lvl>
  </w:abstractNum>
  <w:abstractNum w:abstractNumId="26" w15:restartNumberingAfterBreak="0">
    <w:nsid w:val="566245D6"/>
    <w:multiLevelType w:val="multilevel"/>
    <w:tmpl w:val="28B04710"/>
    <w:lvl w:ilvl="0">
      <w:start w:val="1"/>
      <w:numFmt w:val="decimal"/>
      <w:lvlRestart w:val="0"/>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15:restartNumberingAfterBreak="0">
    <w:nsid w:val="59F011FB"/>
    <w:multiLevelType w:val="hybridMultilevel"/>
    <w:tmpl w:val="FBB8779C"/>
    <w:lvl w:ilvl="0" w:tplc="27F64D04">
      <w:start w:val="1"/>
      <w:numFmt w:val="bullet"/>
      <w:lvlText w:val=""/>
      <w:lvlJc w:val="left"/>
      <w:pPr>
        <w:ind w:left="720" w:hanging="360"/>
      </w:pPr>
      <w:rPr>
        <w:rFonts w:ascii="Wingdings" w:hAnsi="Wingdings" w:cs="Wingdings" w:hint="default"/>
        <w:b/>
        <w:i w:val="0"/>
        <w:caps w:val="0"/>
        <w:strike w:val="0"/>
        <w:dstrike w:val="0"/>
        <w:vanish w:val="0"/>
        <w:color w:val="FF0000"/>
        <w:sz w:val="40"/>
        <w:szCs w:val="25"/>
        <w:vertAlign w:val="baseline"/>
        <w:lang w:bidi="he-IL"/>
      </w:rPr>
    </w:lvl>
    <w:lvl w:ilvl="1" w:tplc="E8186B36" w:tentative="1">
      <w:start w:val="1"/>
      <w:numFmt w:val="bullet"/>
      <w:lvlText w:val="o"/>
      <w:lvlJc w:val="left"/>
      <w:pPr>
        <w:ind w:left="1440" w:hanging="360"/>
      </w:pPr>
      <w:rPr>
        <w:rFonts w:ascii="Courier New" w:hAnsi="Courier New" w:cs="Courier New" w:hint="default"/>
      </w:rPr>
    </w:lvl>
    <w:lvl w:ilvl="2" w:tplc="52CAA99E" w:tentative="1">
      <w:start w:val="1"/>
      <w:numFmt w:val="bullet"/>
      <w:lvlText w:val=""/>
      <w:lvlJc w:val="left"/>
      <w:pPr>
        <w:ind w:left="2160" w:hanging="360"/>
      </w:pPr>
      <w:rPr>
        <w:rFonts w:ascii="Wingdings" w:hAnsi="Wingdings" w:hint="default"/>
      </w:rPr>
    </w:lvl>
    <w:lvl w:ilvl="3" w:tplc="88907C6C" w:tentative="1">
      <w:start w:val="1"/>
      <w:numFmt w:val="bullet"/>
      <w:lvlText w:val=""/>
      <w:lvlJc w:val="left"/>
      <w:pPr>
        <w:ind w:left="2880" w:hanging="360"/>
      </w:pPr>
      <w:rPr>
        <w:rFonts w:ascii="Symbol" w:hAnsi="Symbol" w:hint="default"/>
      </w:rPr>
    </w:lvl>
    <w:lvl w:ilvl="4" w:tplc="ADA8B14A" w:tentative="1">
      <w:start w:val="1"/>
      <w:numFmt w:val="bullet"/>
      <w:lvlText w:val="o"/>
      <w:lvlJc w:val="left"/>
      <w:pPr>
        <w:ind w:left="3600" w:hanging="360"/>
      </w:pPr>
      <w:rPr>
        <w:rFonts w:ascii="Courier New" w:hAnsi="Courier New" w:cs="Courier New" w:hint="default"/>
      </w:rPr>
    </w:lvl>
    <w:lvl w:ilvl="5" w:tplc="FF0C2700" w:tentative="1">
      <w:start w:val="1"/>
      <w:numFmt w:val="bullet"/>
      <w:lvlText w:val=""/>
      <w:lvlJc w:val="left"/>
      <w:pPr>
        <w:ind w:left="4320" w:hanging="360"/>
      </w:pPr>
      <w:rPr>
        <w:rFonts w:ascii="Wingdings" w:hAnsi="Wingdings" w:hint="default"/>
      </w:rPr>
    </w:lvl>
    <w:lvl w:ilvl="6" w:tplc="98986FC2" w:tentative="1">
      <w:start w:val="1"/>
      <w:numFmt w:val="bullet"/>
      <w:lvlText w:val=""/>
      <w:lvlJc w:val="left"/>
      <w:pPr>
        <w:ind w:left="5040" w:hanging="360"/>
      </w:pPr>
      <w:rPr>
        <w:rFonts w:ascii="Symbol" w:hAnsi="Symbol" w:hint="default"/>
      </w:rPr>
    </w:lvl>
    <w:lvl w:ilvl="7" w:tplc="C60AE3FE" w:tentative="1">
      <w:start w:val="1"/>
      <w:numFmt w:val="bullet"/>
      <w:lvlText w:val="o"/>
      <w:lvlJc w:val="left"/>
      <w:pPr>
        <w:ind w:left="5760" w:hanging="360"/>
      </w:pPr>
      <w:rPr>
        <w:rFonts w:ascii="Courier New" w:hAnsi="Courier New" w:cs="Courier New" w:hint="default"/>
      </w:rPr>
    </w:lvl>
    <w:lvl w:ilvl="8" w:tplc="14462EE2" w:tentative="1">
      <w:start w:val="1"/>
      <w:numFmt w:val="bullet"/>
      <w:lvlText w:val=""/>
      <w:lvlJc w:val="left"/>
      <w:pPr>
        <w:ind w:left="6480" w:hanging="360"/>
      </w:pPr>
      <w:rPr>
        <w:rFonts w:ascii="Wingdings" w:hAnsi="Wingdings" w:hint="default"/>
      </w:rPr>
    </w:lvl>
  </w:abstractNum>
  <w:abstractNum w:abstractNumId="28" w15:restartNumberingAfterBreak="0">
    <w:nsid w:val="6079445E"/>
    <w:multiLevelType w:val="hybridMultilevel"/>
    <w:tmpl w:val="CDCA638E"/>
    <w:lvl w:ilvl="0" w:tplc="DE32D0C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lang w:bidi="he-IL"/>
      </w:rPr>
    </w:lvl>
    <w:lvl w:ilvl="1" w:tplc="2D9AC20E" w:tentative="1">
      <w:start w:val="1"/>
      <w:numFmt w:val="bullet"/>
      <w:lvlText w:val="o"/>
      <w:lvlJc w:val="left"/>
      <w:pPr>
        <w:ind w:left="1080" w:hanging="360"/>
      </w:pPr>
      <w:rPr>
        <w:rFonts w:ascii="Courier New" w:hAnsi="Courier New" w:cs="Courier New" w:hint="default"/>
      </w:rPr>
    </w:lvl>
    <w:lvl w:ilvl="2" w:tplc="0EDE9FB4" w:tentative="1">
      <w:start w:val="1"/>
      <w:numFmt w:val="bullet"/>
      <w:lvlText w:val=""/>
      <w:lvlJc w:val="left"/>
      <w:pPr>
        <w:ind w:left="1800" w:hanging="360"/>
      </w:pPr>
      <w:rPr>
        <w:rFonts w:ascii="Wingdings" w:hAnsi="Wingdings" w:hint="default"/>
      </w:rPr>
    </w:lvl>
    <w:lvl w:ilvl="3" w:tplc="358E0596" w:tentative="1">
      <w:start w:val="1"/>
      <w:numFmt w:val="bullet"/>
      <w:lvlText w:val=""/>
      <w:lvlJc w:val="left"/>
      <w:pPr>
        <w:ind w:left="2520" w:hanging="360"/>
      </w:pPr>
      <w:rPr>
        <w:rFonts w:ascii="Symbol" w:hAnsi="Symbol" w:hint="default"/>
      </w:rPr>
    </w:lvl>
    <w:lvl w:ilvl="4" w:tplc="ADA2BCB8" w:tentative="1">
      <w:start w:val="1"/>
      <w:numFmt w:val="bullet"/>
      <w:lvlText w:val="o"/>
      <w:lvlJc w:val="left"/>
      <w:pPr>
        <w:ind w:left="3240" w:hanging="360"/>
      </w:pPr>
      <w:rPr>
        <w:rFonts w:ascii="Courier New" w:hAnsi="Courier New" w:cs="Courier New" w:hint="default"/>
      </w:rPr>
    </w:lvl>
    <w:lvl w:ilvl="5" w:tplc="6A84C5E4" w:tentative="1">
      <w:start w:val="1"/>
      <w:numFmt w:val="bullet"/>
      <w:lvlText w:val=""/>
      <w:lvlJc w:val="left"/>
      <w:pPr>
        <w:ind w:left="3960" w:hanging="360"/>
      </w:pPr>
      <w:rPr>
        <w:rFonts w:ascii="Wingdings" w:hAnsi="Wingdings" w:hint="default"/>
      </w:rPr>
    </w:lvl>
    <w:lvl w:ilvl="6" w:tplc="3262222C" w:tentative="1">
      <w:start w:val="1"/>
      <w:numFmt w:val="bullet"/>
      <w:lvlText w:val=""/>
      <w:lvlJc w:val="left"/>
      <w:pPr>
        <w:ind w:left="4680" w:hanging="360"/>
      </w:pPr>
      <w:rPr>
        <w:rFonts w:ascii="Symbol" w:hAnsi="Symbol" w:hint="default"/>
      </w:rPr>
    </w:lvl>
    <w:lvl w:ilvl="7" w:tplc="7D50E47A" w:tentative="1">
      <w:start w:val="1"/>
      <w:numFmt w:val="bullet"/>
      <w:lvlText w:val="o"/>
      <w:lvlJc w:val="left"/>
      <w:pPr>
        <w:ind w:left="5400" w:hanging="360"/>
      </w:pPr>
      <w:rPr>
        <w:rFonts w:ascii="Courier New" w:hAnsi="Courier New" w:cs="Courier New" w:hint="default"/>
      </w:rPr>
    </w:lvl>
    <w:lvl w:ilvl="8" w:tplc="B0A40114" w:tentative="1">
      <w:start w:val="1"/>
      <w:numFmt w:val="bullet"/>
      <w:lvlText w:val=""/>
      <w:lvlJc w:val="left"/>
      <w:pPr>
        <w:ind w:left="6120" w:hanging="360"/>
      </w:pPr>
      <w:rPr>
        <w:rFonts w:ascii="Wingdings" w:hAnsi="Wingdings" w:hint="default"/>
      </w:rPr>
    </w:lvl>
  </w:abstractNum>
  <w:abstractNum w:abstractNumId="29" w15:restartNumberingAfterBreak="0">
    <w:nsid w:val="65D5678F"/>
    <w:multiLevelType w:val="hybridMultilevel"/>
    <w:tmpl w:val="8844FB18"/>
    <w:lvl w:ilvl="0" w:tplc="A6604DD2">
      <w:start w:val="1"/>
      <w:numFmt w:val="bullet"/>
      <w:lvlText w:val=""/>
      <w:lvlJc w:val="left"/>
      <w:pPr>
        <w:ind w:left="1080" w:hanging="360"/>
      </w:pPr>
      <w:rPr>
        <w:rFonts w:ascii="Symbol" w:hAnsi="Symbol" w:hint="default"/>
        <w:color w:val="FF0000"/>
        <w:lang w:val="en-US"/>
      </w:rPr>
    </w:lvl>
    <w:lvl w:ilvl="1" w:tplc="C914BEE6" w:tentative="1">
      <w:start w:val="1"/>
      <w:numFmt w:val="lowerLetter"/>
      <w:lvlText w:val="%2."/>
      <w:lvlJc w:val="left"/>
      <w:pPr>
        <w:ind w:left="1800" w:hanging="360"/>
      </w:pPr>
    </w:lvl>
    <w:lvl w:ilvl="2" w:tplc="0B16A66A" w:tentative="1">
      <w:start w:val="1"/>
      <w:numFmt w:val="lowerRoman"/>
      <w:lvlText w:val="%3."/>
      <w:lvlJc w:val="right"/>
      <w:pPr>
        <w:ind w:left="2520" w:hanging="180"/>
      </w:pPr>
    </w:lvl>
    <w:lvl w:ilvl="3" w:tplc="AC64151C" w:tentative="1">
      <w:start w:val="1"/>
      <w:numFmt w:val="decimal"/>
      <w:lvlText w:val="%4."/>
      <w:lvlJc w:val="left"/>
      <w:pPr>
        <w:ind w:left="3240" w:hanging="360"/>
      </w:pPr>
    </w:lvl>
    <w:lvl w:ilvl="4" w:tplc="199A8E26" w:tentative="1">
      <w:start w:val="1"/>
      <w:numFmt w:val="lowerLetter"/>
      <w:lvlText w:val="%5."/>
      <w:lvlJc w:val="left"/>
      <w:pPr>
        <w:ind w:left="3960" w:hanging="360"/>
      </w:pPr>
    </w:lvl>
    <w:lvl w:ilvl="5" w:tplc="EEE6B6F6" w:tentative="1">
      <w:start w:val="1"/>
      <w:numFmt w:val="lowerRoman"/>
      <w:lvlText w:val="%6."/>
      <w:lvlJc w:val="right"/>
      <w:pPr>
        <w:ind w:left="4680" w:hanging="180"/>
      </w:pPr>
    </w:lvl>
    <w:lvl w:ilvl="6" w:tplc="8FBCC6A2" w:tentative="1">
      <w:start w:val="1"/>
      <w:numFmt w:val="decimal"/>
      <w:lvlText w:val="%7."/>
      <w:lvlJc w:val="left"/>
      <w:pPr>
        <w:ind w:left="5400" w:hanging="360"/>
      </w:pPr>
    </w:lvl>
    <w:lvl w:ilvl="7" w:tplc="EDD47186" w:tentative="1">
      <w:start w:val="1"/>
      <w:numFmt w:val="lowerLetter"/>
      <w:lvlText w:val="%8."/>
      <w:lvlJc w:val="left"/>
      <w:pPr>
        <w:ind w:left="6120" w:hanging="360"/>
      </w:pPr>
    </w:lvl>
    <w:lvl w:ilvl="8" w:tplc="9BE892AA" w:tentative="1">
      <w:start w:val="1"/>
      <w:numFmt w:val="lowerRoman"/>
      <w:lvlText w:val="%9."/>
      <w:lvlJc w:val="right"/>
      <w:pPr>
        <w:ind w:left="6840" w:hanging="180"/>
      </w:pPr>
    </w:lvl>
  </w:abstractNum>
  <w:abstractNum w:abstractNumId="30" w15:restartNumberingAfterBreak="0">
    <w:nsid w:val="665B09CB"/>
    <w:multiLevelType w:val="hybridMultilevel"/>
    <w:tmpl w:val="F98283A0"/>
    <w:lvl w:ilvl="0" w:tplc="FB9A0848">
      <w:start w:val="1"/>
      <w:numFmt w:val="bullet"/>
      <w:pStyle w:val="5"/>
      <w:lvlText w:val=""/>
      <w:lvlJc w:val="left"/>
      <w:pPr>
        <w:ind w:left="1854" w:hanging="360"/>
      </w:pPr>
      <w:rPr>
        <w:rFonts w:ascii="Wingdings" w:hAnsi="Wingdings" w:hint="default"/>
        <w:color w:val="FFF400"/>
      </w:rPr>
    </w:lvl>
    <w:lvl w:ilvl="1" w:tplc="32845B70" w:tentative="1">
      <w:start w:val="1"/>
      <w:numFmt w:val="lowerLetter"/>
      <w:lvlText w:val="%2."/>
      <w:lvlJc w:val="left"/>
      <w:pPr>
        <w:ind w:left="2574" w:hanging="360"/>
      </w:pPr>
    </w:lvl>
    <w:lvl w:ilvl="2" w:tplc="50A41BDE" w:tentative="1">
      <w:start w:val="1"/>
      <w:numFmt w:val="lowerRoman"/>
      <w:lvlText w:val="%3."/>
      <w:lvlJc w:val="right"/>
      <w:pPr>
        <w:ind w:left="3294" w:hanging="180"/>
      </w:pPr>
    </w:lvl>
    <w:lvl w:ilvl="3" w:tplc="728E55F8" w:tentative="1">
      <w:start w:val="1"/>
      <w:numFmt w:val="decimal"/>
      <w:lvlText w:val="%4."/>
      <w:lvlJc w:val="left"/>
      <w:pPr>
        <w:ind w:left="4014" w:hanging="360"/>
      </w:pPr>
    </w:lvl>
    <w:lvl w:ilvl="4" w:tplc="7B60AA1A" w:tentative="1">
      <w:start w:val="1"/>
      <w:numFmt w:val="lowerLetter"/>
      <w:lvlText w:val="%5."/>
      <w:lvlJc w:val="left"/>
      <w:pPr>
        <w:ind w:left="4734" w:hanging="360"/>
      </w:pPr>
    </w:lvl>
    <w:lvl w:ilvl="5" w:tplc="372C138A" w:tentative="1">
      <w:start w:val="1"/>
      <w:numFmt w:val="lowerRoman"/>
      <w:lvlText w:val="%6."/>
      <w:lvlJc w:val="right"/>
      <w:pPr>
        <w:ind w:left="5454" w:hanging="180"/>
      </w:pPr>
    </w:lvl>
    <w:lvl w:ilvl="6" w:tplc="E3C20884" w:tentative="1">
      <w:start w:val="1"/>
      <w:numFmt w:val="decimal"/>
      <w:lvlText w:val="%7."/>
      <w:lvlJc w:val="left"/>
      <w:pPr>
        <w:ind w:left="6174" w:hanging="360"/>
      </w:pPr>
    </w:lvl>
    <w:lvl w:ilvl="7" w:tplc="252C72EC" w:tentative="1">
      <w:start w:val="1"/>
      <w:numFmt w:val="lowerLetter"/>
      <w:lvlText w:val="%8."/>
      <w:lvlJc w:val="left"/>
      <w:pPr>
        <w:ind w:left="6894" w:hanging="360"/>
      </w:pPr>
    </w:lvl>
    <w:lvl w:ilvl="8" w:tplc="2E36372C" w:tentative="1">
      <w:start w:val="1"/>
      <w:numFmt w:val="lowerRoman"/>
      <w:lvlText w:val="%9."/>
      <w:lvlJc w:val="right"/>
      <w:pPr>
        <w:ind w:left="7614" w:hanging="180"/>
      </w:pPr>
    </w:lvl>
  </w:abstractNum>
  <w:abstractNum w:abstractNumId="31" w15:restartNumberingAfterBreak="0">
    <w:nsid w:val="6699458C"/>
    <w:multiLevelType w:val="hybridMultilevel"/>
    <w:tmpl w:val="B9E2BA98"/>
    <w:lvl w:ilvl="0" w:tplc="4808C98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9B1C12CE" w:tentative="1">
      <w:start w:val="1"/>
      <w:numFmt w:val="bullet"/>
      <w:lvlText w:val="o"/>
      <w:lvlJc w:val="left"/>
      <w:pPr>
        <w:ind w:left="1080" w:hanging="360"/>
      </w:pPr>
      <w:rPr>
        <w:rFonts w:ascii="Courier New" w:hAnsi="Courier New" w:cs="Courier New" w:hint="default"/>
      </w:rPr>
    </w:lvl>
    <w:lvl w:ilvl="2" w:tplc="D9007814" w:tentative="1">
      <w:start w:val="1"/>
      <w:numFmt w:val="bullet"/>
      <w:lvlText w:val=""/>
      <w:lvlJc w:val="left"/>
      <w:pPr>
        <w:ind w:left="1800" w:hanging="360"/>
      </w:pPr>
      <w:rPr>
        <w:rFonts w:ascii="Wingdings" w:hAnsi="Wingdings" w:hint="default"/>
      </w:rPr>
    </w:lvl>
    <w:lvl w:ilvl="3" w:tplc="F8A449BA" w:tentative="1">
      <w:start w:val="1"/>
      <w:numFmt w:val="bullet"/>
      <w:lvlText w:val=""/>
      <w:lvlJc w:val="left"/>
      <w:pPr>
        <w:ind w:left="2520" w:hanging="360"/>
      </w:pPr>
      <w:rPr>
        <w:rFonts w:ascii="Symbol" w:hAnsi="Symbol" w:hint="default"/>
      </w:rPr>
    </w:lvl>
    <w:lvl w:ilvl="4" w:tplc="BFD018D8" w:tentative="1">
      <w:start w:val="1"/>
      <w:numFmt w:val="bullet"/>
      <w:lvlText w:val="o"/>
      <w:lvlJc w:val="left"/>
      <w:pPr>
        <w:ind w:left="3240" w:hanging="360"/>
      </w:pPr>
      <w:rPr>
        <w:rFonts w:ascii="Courier New" w:hAnsi="Courier New" w:cs="Courier New" w:hint="default"/>
      </w:rPr>
    </w:lvl>
    <w:lvl w:ilvl="5" w:tplc="6674F740" w:tentative="1">
      <w:start w:val="1"/>
      <w:numFmt w:val="bullet"/>
      <w:lvlText w:val=""/>
      <w:lvlJc w:val="left"/>
      <w:pPr>
        <w:ind w:left="3960" w:hanging="360"/>
      </w:pPr>
      <w:rPr>
        <w:rFonts w:ascii="Wingdings" w:hAnsi="Wingdings" w:hint="default"/>
      </w:rPr>
    </w:lvl>
    <w:lvl w:ilvl="6" w:tplc="ED74408C" w:tentative="1">
      <w:start w:val="1"/>
      <w:numFmt w:val="bullet"/>
      <w:lvlText w:val=""/>
      <w:lvlJc w:val="left"/>
      <w:pPr>
        <w:ind w:left="4680" w:hanging="360"/>
      </w:pPr>
      <w:rPr>
        <w:rFonts w:ascii="Symbol" w:hAnsi="Symbol" w:hint="default"/>
      </w:rPr>
    </w:lvl>
    <w:lvl w:ilvl="7" w:tplc="AD1A5A6E" w:tentative="1">
      <w:start w:val="1"/>
      <w:numFmt w:val="bullet"/>
      <w:lvlText w:val="o"/>
      <w:lvlJc w:val="left"/>
      <w:pPr>
        <w:ind w:left="5400" w:hanging="360"/>
      </w:pPr>
      <w:rPr>
        <w:rFonts w:ascii="Courier New" w:hAnsi="Courier New" w:cs="Courier New" w:hint="default"/>
      </w:rPr>
    </w:lvl>
    <w:lvl w:ilvl="8" w:tplc="B922D94E" w:tentative="1">
      <w:start w:val="1"/>
      <w:numFmt w:val="bullet"/>
      <w:lvlText w:val=""/>
      <w:lvlJc w:val="left"/>
      <w:pPr>
        <w:ind w:left="6120" w:hanging="360"/>
      </w:pPr>
      <w:rPr>
        <w:rFonts w:ascii="Wingdings" w:hAnsi="Wingdings" w:hint="default"/>
      </w:rPr>
    </w:lvl>
  </w:abstractNum>
  <w:abstractNum w:abstractNumId="32" w15:restartNumberingAfterBreak="0">
    <w:nsid w:val="75B45A6E"/>
    <w:multiLevelType w:val="hybridMultilevel"/>
    <w:tmpl w:val="0B7836AC"/>
    <w:lvl w:ilvl="0" w:tplc="FE188CAE">
      <w:start w:val="1"/>
      <w:numFmt w:val="bullet"/>
      <w:lvlText w:val=""/>
      <w:lvlJc w:val="left"/>
      <w:pPr>
        <w:ind w:left="360" w:hanging="360"/>
      </w:pPr>
      <w:rPr>
        <w:rFonts w:ascii="Symbol" w:hAnsi="Symbol" w:hint="default"/>
      </w:rPr>
    </w:lvl>
    <w:lvl w:ilvl="1" w:tplc="6E900CC2" w:tentative="1">
      <w:start w:val="1"/>
      <w:numFmt w:val="bullet"/>
      <w:lvlText w:val="o"/>
      <w:lvlJc w:val="left"/>
      <w:pPr>
        <w:ind w:left="1080" w:hanging="360"/>
      </w:pPr>
      <w:rPr>
        <w:rFonts w:ascii="Courier New" w:hAnsi="Courier New" w:cs="Courier New" w:hint="default"/>
      </w:rPr>
    </w:lvl>
    <w:lvl w:ilvl="2" w:tplc="DB4C8ECA" w:tentative="1">
      <w:start w:val="1"/>
      <w:numFmt w:val="bullet"/>
      <w:lvlText w:val=""/>
      <w:lvlJc w:val="left"/>
      <w:pPr>
        <w:ind w:left="1800" w:hanging="360"/>
      </w:pPr>
      <w:rPr>
        <w:rFonts w:ascii="Wingdings" w:hAnsi="Wingdings" w:hint="default"/>
      </w:rPr>
    </w:lvl>
    <w:lvl w:ilvl="3" w:tplc="5A00482C" w:tentative="1">
      <w:start w:val="1"/>
      <w:numFmt w:val="bullet"/>
      <w:lvlText w:val=""/>
      <w:lvlJc w:val="left"/>
      <w:pPr>
        <w:ind w:left="2520" w:hanging="360"/>
      </w:pPr>
      <w:rPr>
        <w:rFonts w:ascii="Symbol" w:hAnsi="Symbol" w:hint="default"/>
      </w:rPr>
    </w:lvl>
    <w:lvl w:ilvl="4" w:tplc="30A2084C" w:tentative="1">
      <w:start w:val="1"/>
      <w:numFmt w:val="bullet"/>
      <w:lvlText w:val="o"/>
      <w:lvlJc w:val="left"/>
      <w:pPr>
        <w:ind w:left="3240" w:hanging="360"/>
      </w:pPr>
      <w:rPr>
        <w:rFonts w:ascii="Courier New" w:hAnsi="Courier New" w:cs="Courier New" w:hint="default"/>
      </w:rPr>
    </w:lvl>
    <w:lvl w:ilvl="5" w:tplc="8C5C1630" w:tentative="1">
      <w:start w:val="1"/>
      <w:numFmt w:val="bullet"/>
      <w:lvlText w:val=""/>
      <w:lvlJc w:val="left"/>
      <w:pPr>
        <w:ind w:left="3960" w:hanging="360"/>
      </w:pPr>
      <w:rPr>
        <w:rFonts w:ascii="Wingdings" w:hAnsi="Wingdings" w:hint="default"/>
      </w:rPr>
    </w:lvl>
    <w:lvl w:ilvl="6" w:tplc="799A7B78" w:tentative="1">
      <w:start w:val="1"/>
      <w:numFmt w:val="bullet"/>
      <w:lvlText w:val=""/>
      <w:lvlJc w:val="left"/>
      <w:pPr>
        <w:ind w:left="4680" w:hanging="360"/>
      </w:pPr>
      <w:rPr>
        <w:rFonts w:ascii="Symbol" w:hAnsi="Symbol" w:hint="default"/>
      </w:rPr>
    </w:lvl>
    <w:lvl w:ilvl="7" w:tplc="38BCECFE" w:tentative="1">
      <w:start w:val="1"/>
      <w:numFmt w:val="bullet"/>
      <w:lvlText w:val="o"/>
      <w:lvlJc w:val="left"/>
      <w:pPr>
        <w:ind w:left="5400" w:hanging="360"/>
      </w:pPr>
      <w:rPr>
        <w:rFonts w:ascii="Courier New" w:hAnsi="Courier New" w:cs="Courier New" w:hint="default"/>
      </w:rPr>
    </w:lvl>
    <w:lvl w:ilvl="8" w:tplc="61009E54" w:tentative="1">
      <w:start w:val="1"/>
      <w:numFmt w:val="bullet"/>
      <w:lvlText w:val=""/>
      <w:lvlJc w:val="left"/>
      <w:pPr>
        <w:ind w:left="6120" w:hanging="360"/>
      </w:pPr>
      <w:rPr>
        <w:rFonts w:ascii="Wingdings" w:hAnsi="Wingdings" w:hint="default"/>
      </w:rPr>
    </w:lvl>
  </w:abstractNum>
  <w:abstractNum w:abstractNumId="33" w15:restartNumberingAfterBreak="0">
    <w:nsid w:val="76E15830"/>
    <w:multiLevelType w:val="hybridMultilevel"/>
    <w:tmpl w:val="47D29AAC"/>
    <w:lvl w:ilvl="0" w:tplc="4A6A122A">
      <w:start w:val="2"/>
      <w:numFmt w:val="bullet"/>
      <w:lvlText w:val=""/>
      <w:lvlJc w:val="left"/>
      <w:pPr>
        <w:ind w:left="360" w:hanging="360"/>
      </w:pPr>
      <w:rPr>
        <w:rFonts w:ascii="Symbol" w:eastAsiaTheme="minorHAnsi" w:hAnsi="Symbol" w:cs="David"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78F7677"/>
    <w:multiLevelType w:val="hybridMultilevel"/>
    <w:tmpl w:val="257EC434"/>
    <w:lvl w:ilvl="0" w:tplc="91E204A6">
      <w:start w:val="1"/>
      <w:numFmt w:val="bullet"/>
      <w:lvlText w:val=""/>
      <w:lvlJc w:val="left"/>
      <w:pPr>
        <w:ind w:left="397" w:hanging="397"/>
      </w:pPr>
      <w:rPr>
        <w:rFonts w:ascii="Wingdings" w:hAnsi="Wingdings" w:cs="Wingdings" w:hint="default"/>
        <w:b/>
        <w:i w:val="0"/>
        <w:caps w:val="0"/>
        <w:strike w:val="0"/>
        <w:dstrike w:val="0"/>
        <w:vanish w:val="0"/>
        <w:color w:val="FF0000"/>
        <w:sz w:val="40"/>
        <w:szCs w:val="25"/>
        <w:vertAlign w:val="baseline"/>
      </w:rPr>
    </w:lvl>
    <w:lvl w:ilvl="1" w:tplc="B4F841D6" w:tentative="1">
      <w:start w:val="1"/>
      <w:numFmt w:val="bullet"/>
      <w:lvlText w:val="o"/>
      <w:lvlJc w:val="left"/>
      <w:pPr>
        <w:ind w:left="1440" w:hanging="360"/>
      </w:pPr>
      <w:rPr>
        <w:rFonts w:ascii="Courier New" w:hAnsi="Courier New" w:cs="Courier New" w:hint="default"/>
      </w:rPr>
    </w:lvl>
    <w:lvl w:ilvl="2" w:tplc="19B45C0A" w:tentative="1">
      <w:start w:val="1"/>
      <w:numFmt w:val="bullet"/>
      <w:lvlText w:val=""/>
      <w:lvlJc w:val="left"/>
      <w:pPr>
        <w:ind w:left="2160" w:hanging="360"/>
      </w:pPr>
      <w:rPr>
        <w:rFonts w:ascii="Wingdings" w:hAnsi="Wingdings" w:hint="default"/>
      </w:rPr>
    </w:lvl>
    <w:lvl w:ilvl="3" w:tplc="480095E2" w:tentative="1">
      <w:start w:val="1"/>
      <w:numFmt w:val="bullet"/>
      <w:lvlText w:val=""/>
      <w:lvlJc w:val="left"/>
      <w:pPr>
        <w:ind w:left="2880" w:hanging="360"/>
      </w:pPr>
      <w:rPr>
        <w:rFonts w:ascii="Symbol" w:hAnsi="Symbol" w:hint="default"/>
      </w:rPr>
    </w:lvl>
    <w:lvl w:ilvl="4" w:tplc="6998583A" w:tentative="1">
      <w:start w:val="1"/>
      <w:numFmt w:val="bullet"/>
      <w:lvlText w:val="o"/>
      <w:lvlJc w:val="left"/>
      <w:pPr>
        <w:ind w:left="3600" w:hanging="360"/>
      </w:pPr>
      <w:rPr>
        <w:rFonts w:ascii="Courier New" w:hAnsi="Courier New" w:cs="Courier New" w:hint="default"/>
      </w:rPr>
    </w:lvl>
    <w:lvl w:ilvl="5" w:tplc="2258DB9C" w:tentative="1">
      <w:start w:val="1"/>
      <w:numFmt w:val="bullet"/>
      <w:lvlText w:val=""/>
      <w:lvlJc w:val="left"/>
      <w:pPr>
        <w:ind w:left="4320" w:hanging="360"/>
      </w:pPr>
      <w:rPr>
        <w:rFonts w:ascii="Wingdings" w:hAnsi="Wingdings" w:hint="default"/>
      </w:rPr>
    </w:lvl>
    <w:lvl w:ilvl="6" w:tplc="A33E06C8" w:tentative="1">
      <w:start w:val="1"/>
      <w:numFmt w:val="bullet"/>
      <w:lvlText w:val=""/>
      <w:lvlJc w:val="left"/>
      <w:pPr>
        <w:ind w:left="5040" w:hanging="360"/>
      </w:pPr>
      <w:rPr>
        <w:rFonts w:ascii="Symbol" w:hAnsi="Symbol" w:hint="default"/>
      </w:rPr>
    </w:lvl>
    <w:lvl w:ilvl="7" w:tplc="9DC8A082" w:tentative="1">
      <w:start w:val="1"/>
      <w:numFmt w:val="bullet"/>
      <w:lvlText w:val="o"/>
      <w:lvlJc w:val="left"/>
      <w:pPr>
        <w:ind w:left="5760" w:hanging="360"/>
      </w:pPr>
      <w:rPr>
        <w:rFonts w:ascii="Courier New" w:hAnsi="Courier New" w:cs="Courier New" w:hint="default"/>
      </w:rPr>
    </w:lvl>
    <w:lvl w:ilvl="8" w:tplc="3E720C0C" w:tentative="1">
      <w:start w:val="1"/>
      <w:numFmt w:val="bullet"/>
      <w:lvlText w:val=""/>
      <w:lvlJc w:val="left"/>
      <w:pPr>
        <w:ind w:left="6480" w:hanging="360"/>
      </w:pPr>
      <w:rPr>
        <w:rFonts w:ascii="Wingdings" w:hAnsi="Wingdings" w:hint="default"/>
      </w:rPr>
    </w:lvl>
  </w:abstractNum>
  <w:abstractNum w:abstractNumId="35" w15:restartNumberingAfterBreak="0">
    <w:nsid w:val="7E431D00"/>
    <w:multiLevelType w:val="hybridMultilevel"/>
    <w:tmpl w:val="7576C230"/>
    <w:lvl w:ilvl="0" w:tplc="0220D996">
      <w:start w:val="1"/>
      <w:numFmt w:val="decimal"/>
      <w:pStyle w:val="10"/>
      <w:lvlText w:val="%1."/>
      <w:lvlJc w:val="left"/>
      <w:pPr>
        <w:ind w:left="1858" w:hanging="360"/>
      </w:pPr>
      <w:rPr>
        <w:rFonts w:ascii="Calibri" w:hAnsi="Calibri" w:cs="Calibri" w:hint="default"/>
        <w:b/>
        <w:bCs/>
        <w:i w:val="0"/>
        <w:iCs w:val="0"/>
        <w:color w:val="002060"/>
        <w:sz w:val="40"/>
        <w:szCs w:val="40"/>
      </w:rPr>
    </w:lvl>
    <w:lvl w:ilvl="1" w:tplc="D00E39FE" w:tentative="1">
      <w:start w:val="1"/>
      <w:numFmt w:val="lowerLetter"/>
      <w:lvlText w:val="%2."/>
      <w:lvlJc w:val="left"/>
      <w:pPr>
        <w:ind w:left="2578" w:hanging="360"/>
      </w:pPr>
    </w:lvl>
    <w:lvl w:ilvl="2" w:tplc="37202504" w:tentative="1">
      <w:start w:val="1"/>
      <w:numFmt w:val="lowerRoman"/>
      <w:lvlText w:val="%3."/>
      <w:lvlJc w:val="right"/>
      <w:pPr>
        <w:ind w:left="3298" w:hanging="180"/>
      </w:pPr>
    </w:lvl>
    <w:lvl w:ilvl="3" w:tplc="60B80394" w:tentative="1">
      <w:start w:val="1"/>
      <w:numFmt w:val="decimal"/>
      <w:lvlText w:val="%4."/>
      <w:lvlJc w:val="left"/>
      <w:pPr>
        <w:ind w:left="4018" w:hanging="360"/>
      </w:pPr>
    </w:lvl>
    <w:lvl w:ilvl="4" w:tplc="A33CD8D4" w:tentative="1">
      <w:start w:val="1"/>
      <w:numFmt w:val="lowerLetter"/>
      <w:lvlText w:val="%5."/>
      <w:lvlJc w:val="left"/>
      <w:pPr>
        <w:ind w:left="4738" w:hanging="360"/>
      </w:pPr>
    </w:lvl>
    <w:lvl w:ilvl="5" w:tplc="E9CCD126" w:tentative="1">
      <w:start w:val="1"/>
      <w:numFmt w:val="lowerRoman"/>
      <w:lvlText w:val="%6."/>
      <w:lvlJc w:val="right"/>
      <w:pPr>
        <w:ind w:left="5458" w:hanging="180"/>
      </w:pPr>
    </w:lvl>
    <w:lvl w:ilvl="6" w:tplc="5CB2A52C" w:tentative="1">
      <w:start w:val="1"/>
      <w:numFmt w:val="decimal"/>
      <w:lvlText w:val="%7."/>
      <w:lvlJc w:val="left"/>
      <w:pPr>
        <w:ind w:left="6178" w:hanging="360"/>
      </w:pPr>
    </w:lvl>
    <w:lvl w:ilvl="7" w:tplc="16E24C18" w:tentative="1">
      <w:start w:val="1"/>
      <w:numFmt w:val="lowerLetter"/>
      <w:lvlText w:val="%8."/>
      <w:lvlJc w:val="left"/>
      <w:pPr>
        <w:ind w:left="6898" w:hanging="360"/>
      </w:pPr>
    </w:lvl>
    <w:lvl w:ilvl="8" w:tplc="83C469C8" w:tentative="1">
      <w:start w:val="1"/>
      <w:numFmt w:val="lowerRoman"/>
      <w:lvlText w:val="%9."/>
      <w:lvlJc w:val="right"/>
      <w:pPr>
        <w:ind w:left="7618" w:hanging="180"/>
      </w:pPr>
    </w:lvl>
  </w:abstractNum>
  <w:num w:numId="1">
    <w:abstractNumId w:val="35"/>
  </w:num>
  <w:num w:numId="2">
    <w:abstractNumId w:val="25"/>
  </w:num>
  <w:num w:numId="3">
    <w:abstractNumId w:val="22"/>
  </w:num>
  <w:num w:numId="4">
    <w:abstractNumId w:val="3"/>
  </w:num>
  <w:num w:numId="5">
    <w:abstractNumId w:val="23"/>
  </w:num>
  <w:num w:numId="6">
    <w:abstractNumId w:val="30"/>
  </w:num>
  <w:num w:numId="7">
    <w:abstractNumId w:val="19"/>
  </w:num>
  <w:num w:numId="8">
    <w:abstractNumId w:val="15"/>
  </w:num>
  <w:num w:numId="9">
    <w:abstractNumId w:val="14"/>
  </w:num>
  <w:num w:numId="10">
    <w:abstractNumId w:val="16"/>
  </w:num>
  <w:num w:numId="11">
    <w:abstractNumId w:val="31"/>
  </w:num>
  <w:num w:numId="12">
    <w:abstractNumId w:val="28"/>
  </w:num>
  <w:num w:numId="13">
    <w:abstractNumId w:val="27"/>
  </w:num>
  <w:num w:numId="14">
    <w:abstractNumId w:val="29"/>
  </w:num>
  <w:num w:numId="15">
    <w:abstractNumId w:val="4"/>
  </w:num>
  <w:num w:numId="16">
    <w:abstractNumId w:val="12"/>
  </w:num>
  <w:num w:numId="17">
    <w:abstractNumId w:val="13"/>
  </w:num>
  <w:num w:numId="18">
    <w:abstractNumId w:val="6"/>
  </w:num>
  <w:num w:numId="19">
    <w:abstractNumId w:val="17"/>
  </w:num>
  <w:num w:numId="20">
    <w:abstractNumId w:val="21"/>
  </w:num>
  <w:num w:numId="21">
    <w:abstractNumId w:val="10"/>
  </w:num>
  <w:num w:numId="22">
    <w:abstractNumId w:val="7"/>
  </w:num>
  <w:num w:numId="23">
    <w:abstractNumId w:val="34"/>
  </w:num>
  <w:num w:numId="24">
    <w:abstractNumId w:val="9"/>
  </w:num>
  <w:num w:numId="25">
    <w:abstractNumId w:val="18"/>
  </w:num>
  <w:num w:numId="26">
    <w:abstractNumId w:val="20"/>
  </w:num>
  <w:num w:numId="27">
    <w:abstractNumId w:val="32"/>
  </w:num>
  <w:num w:numId="28">
    <w:abstractNumId w:val="11"/>
  </w:num>
  <w:num w:numId="29">
    <w:abstractNumId w:val="8"/>
  </w:num>
  <w:num w:numId="30">
    <w:abstractNumId w:val="26"/>
  </w:num>
  <w:num w:numId="31">
    <w:abstractNumId w:val="5"/>
  </w:num>
  <w:num w:numId="32">
    <w:abstractNumId w:val="2"/>
  </w:num>
  <w:num w:numId="33">
    <w:abstractNumId w:val="33"/>
  </w:num>
  <w:num w:numId="34">
    <w:abstractNumId w:val="24"/>
  </w:num>
  <w:num w:numId="35">
    <w:abstractNumId w:val="0"/>
  </w:num>
  <w:num w:numId="36">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vug" w:val="1"/>
    <w:docVar w:name="space" w:val="True"/>
  </w:docVars>
  <w:rsids>
    <w:rsidRoot w:val="0062451B"/>
    <w:rsid w:val="00001576"/>
    <w:rsid w:val="00003B77"/>
    <w:rsid w:val="00014C4D"/>
    <w:rsid w:val="0001735B"/>
    <w:rsid w:val="00042837"/>
    <w:rsid w:val="000501A4"/>
    <w:rsid w:val="000532AA"/>
    <w:rsid w:val="000756B7"/>
    <w:rsid w:val="00092F16"/>
    <w:rsid w:val="000B06DD"/>
    <w:rsid w:val="000B1102"/>
    <w:rsid w:val="000C6528"/>
    <w:rsid w:val="000C7459"/>
    <w:rsid w:val="000D221E"/>
    <w:rsid w:val="000E013E"/>
    <w:rsid w:val="000F08A0"/>
    <w:rsid w:val="000F7725"/>
    <w:rsid w:val="00101D0F"/>
    <w:rsid w:val="00113E28"/>
    <w:rsid w:val="00114325"/>
    <w:rsid w:val="00164D9B"/>
    <w:rsid w:val="00166477"/>
    <w:rsid w:val="001730B0"/>
    <w:rsid w:val="001960B4"/>
    <w:rsid w:val="001A613C"/>
    <w:rsid w:val="001B2821"/>
    <w:rsid w:val="001C057E"/>
    <w:rsid w:val="001C6185"/>
    <w:rsid w:val="001E204F"/>
    <w:rsid w:val="00203604"/>
    <w:rsid w:val="002064F7"/>
    <w:rsid w:val="00212D9D"/>
    <w:rsid w:val="00240887"/>
    <w:rsid w:val="0025200C"/>
    <w:rsid w:val="00263521"/>
    <w:rsid w:val="00276705"/>
    <w:rsid w:val="002A7D21"/>
    <w:rsid w:val="002C0C75"/>
    <w:rsid w:val="002C0FD0"/>
    <w:rsid w:val="002C1EE0"/>
    <w:rsid w:val="002C4139"/>
    <w:rsid w:val="00301153"/>
    <w:rsid w:val="0030602D"/>
    <w:rsid w:val="00310345"/>
    <w:rsid w:val="00313DEA"/>
    <w:rsid w:val="00323027"/>
    <w:rsid w:val="0036735A"/>
    <w:rsid w:val="0037370B"/>
    <w:rsid w:val="0037752E"/>
    <w:rsid w:val="0037780B"/>
    <w:rsid w:val="00380052"/>
    <w:rsid w:val="00386E9B"/>
    <w:rsid w:val="0039415D"/>
    <w:rsid w:val="0039635D"/>
    <w:rsid w:val="003B12F0"/>
    <w:rsid w:val="003D61C6"/>
    <w:rsid w:val="003E58C2"/>
    <w:rsid w:val="00450C77"/>
    <w:rsid w:val="004672FB"/>
    <w:rsid w:val="004779AA"/>
    <w:rsid w:val="0048779B"/>
    <w:rsid w:val="004A0385"/>
    <w:rsid w:val="004C7D9F"/>
    <w:rsid w:val="004E2733"/>
    <w:rsid w:val="004E488A"/>
    <w:rsid w:val="004F0AB4"/>
    <w:rsid w:val="005006C5"/>
    <w:rsid w:val="00524C99"/>
    <w:rsid w:val="00551B42"/>
    <w:rsid w:val="00551FF7"/>
    <w:rsid w:val="00574579"/>
    <w:rsid w:val="00580C5C"/>
    <w:rsid w:val="005A021D"/>
    <w:rsid w:val="005A09B4"/>
    <w:rsid w:val="005A3F71"/>
    <w:rsid w:val="005B2688"/>
    <w:rsid w:val="005B3801"/>
    <w:rsid w:val="005C3049"/>
    <w:rsid w:val="005C568B"/>
    <w:rsid w:val="005E62A6"/>
    <w:rsid w:val="005F4A6D"/>
    <w:rsid w:val="00602674"/>
    <w:rsid w:val="006049F8"/>
    <w:rsid w:val="0062451B"/>
    <w:rsid w:val="00634DAD"/>
    <w:rsid w:val="00640B60"/>
    <w:rsid w:val="006457EB"/>
    <w:rsid w:val="006531CB"/>
    <w:rsid w:val="00653A21"/>
    <w:rsid w:val="00666E5B"/>
    <w:rsid w:val="006A0446"/>
    <w:rsid w:val="006A646E"/>
    <w:rsid w:val="006B1593"/>
    <w:rsid w:val="006B7706"/>
    <w:rsid w:val="006C4033"/>
    <w:rsid w:val="006D4161"/>
    <w:rsid w:val="006D786C"/>
    <w:rsid w:val="006E1414"/>
    <w:rsid w:val="006F285F"/>
    <w:rsid w:val="00716AFD"/>
    <w:rsid w:val="0072219B"/>
    <w:rsid w:val="007474F0"/>
    <w:rsid w:val="00753ADE"/>
    <w:rsid w:val="00773F61"/>
    <w:rsid w:val="007A2205"/>
    <w:rsid w:val="007A4EBD"/>
    <w:rsid w:val="007B112B"/>
    <w:rsid w:val="007B5B26"/>
    <w:rsid w:val="007B691A"/>
    <w:rsid w:val="007C1FF6"/>
    <w:rsid w:val="007D61B8"/>
    <w:rsid w:val="007E24BD"/>
    <w:rsid w:val="007F7FF2"/>
    <w:rsid w:val="00805B42"/>
    <w:rsid w:val="008102AD"/>
    <w:rsid w:val="00812D99"/>
    <w:rsid w:val="00824AB2"/>
    <w:rsid w:val="00837997"/>
    <w:rsid w:val="008654CB"/>
    <w:rsid w:val="00867FC5"/>
    <w:rsid w:val="00892F80"/>
    <w:rsid w:val="0089507B"/>
    <w:rsid w:val="00897698"/>
    <w:rsid w:val="008A2E0E"/>
    <w:rsid w:val="008B3CAB"/>
    <w:rsid w:val="008B4F41"/>
    <w:rsid w:val="008C1428"/>
    <w:rsid w:val="008C6F75"/>
    <w:rsid w:val="008F388B"/>
    <w:rsid w:val="009015B2"/>
    <w:rsid w:val="00906E90"/>
    <w:rsid w:val="0091051D"/>
    <w:rsid w:val="00936F84"/>
    <w:rsid w:val="00940851"/>
    <w:rsid w:val="00960A4D"/>
    <w:rsid w:val="009679D9"/>
    <w:rsid w:val="009A6817"/>
    <w:rsid w:val="009B497A"/>
    <w:rsid w:val="009C6066"/>
    <w:rsid w:val="009D45C5"/>
    <w:rsid w:val="009D73F5"/>
    <w:rsid w:val="009E1A3F"/>
    <w:rsid w:val="009E53CF"/>
    <w:rsid w:val="009F0BD3"/>
    <w:rsid w:val="00A055D0"/>
    <w:rsid w:val="00A222E2"/>
    <w:rsid w:val="00A30B00"/>
    <w:rsid w:val="00A35383"/>
    <w:rsid w:val="00A61AD5"/>
    <w:rsid w:val="00A73038"/>
    <w:rsid w:val="00A76C99"/>
    <w:rsid w:val="00A81EBE"/>
    <w:rsid w:val="00A857BE"/>
    <w:rsid w:val="00AB465B"/>
    <w:rsid w:val="00AB66C8"/>
    <w:rsid w:val="00AC6B95"/>
    <w:rsid w:val="00AE741B"/>
    <w:rsid w:val="00B00E5C"/>
    <w:rsid w:val="00B14FC8"/>
    <w:rsid w:val="00B30966"/>
    <w:rsid w:val="00B4321D"/>
    <w:rsid w:val="00B666B9"/>
    <w:rsid w:val="00B76DC1"/>
    <w:rsid w:val="00B862C0"/>
    <w:rsid w:val="00BD291C"/>
    <w:rsid w:val="00BE22D7"/>
    <w:rsid w:val="00BE2DD8"/>
    <w:rsid w:val="00C2305A"/>
    <w:rsid w:val="00C23CC9"/>
    <w:rsid w:val="00C30B3D"/>
    <w:rsid w:val="00C33AE2"/>
    <w:rsid w:val="00C36C5E"/>
    <w:rsid w:val="00C4664C"/>
    <w:rsid w:val="00C73E3F"/>
    <w:rsid w:val="00C75A49"/>
    <w:rsid w:val="00C8096C"/>
    <w:rsid w:val="00C8100B"/>
    <w:rsid w:val="00CA41D2"/>
    <w:rsid w:val="00CA4F20"/>
    <w:rsid w:val="00CD397F"/>
    <w:rsid w:val="00CD5320"/>
    <w:rsid w:val="00CD6EEC"/>
    <w:rsid w:val="00CE6B6A"/>
    <w:rsid w:val="00D22748"/>
    <w:rsid w:val="00D26918"/>
    <w:rsid w:val="00D37121"/>
    <w:rsid w:val="00D71966"/>
    <w:rsid w:val="00D779F7"/>
    <w:rsid w:val="00D87542"/>
    <w:rsid w:val="00D95C20"/>
    <w:rsid w:val="00D97C16"/>
    <w:rsid w:val="00D97D95"/>
    <w:rsid w:val="00DA3406"/>
    <w:rsid w:val="00DA67CB"/>
    <w:rsid w:val="00DB2E3A"/>
    <w:rsid w:val="00DB6E18"/>
    <w:rsid w:val="00DE1DAB"/>
    <w:rsid w:val="00DE20A2"/>
    <w:rsid w:val="00DF0B89"/>
    <w:rsid w:val="00E15680"/>
    <w:rsid w:val="00E35682"/>
    <w:rsid w:val="00E46EA3"/>
    <w:rsid w:val="00E51C1B"/>
    <w:rsid w:val="00E53DA7"/>
    <w:rsid w:val="00E657C5"/>
    <w:rsid w:val="00E678C7"/>
    <w:rsid w:val="00E86B8F"/>
    <w:rsid w:val="00EA2DDA"/>
    <w:rsid w:val="00EC160A"/>
    <w:rsid w:val="00EC6B44"/>
    <w:rsid w:val="00EE37A3"/>
    <w:rsid w:val="00F30558"/>
    <w:rsid w:val="00F4385E"/>
    <w:rsid w:val="00F56CE4"/>
    <w:rsid w:val="00F627EB"/>
    <w:rsid w:val="00F66FC8"/>
    <w:rsid w:val="00F75A10"/>
    <w:rsid w:val="00F77276"/>
    <w:rsid w:val="00F92629"/>
    <w:rsid w:val="00F95853"/>
    <w:rsid w:val="00FA04F8"/>
    <w:rsid w:val="00FA48C8"/>
    <w:rsid w:val="00FB3044"/>
    <w:rsid w:val="00FB3F26"/>
    <w:rsid w:val="00FB414E"/>
    <w:rsid w:val="00FC3213"/>
    <w:rsid w:val="00FC48C6"/>
    <w:rsid w:val="00FF5E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544338"/>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0501A4"/>
    <w:pPr>
      <w:bidi/>
      <w:spacing w:after="0" w:line="312" w:lineRule="auto"/>
    </w:pPr>
  </w:style>
  <w:style w:type="paragraph" w:styleId="11">
    <w:name w:val="heading 1"/>
    <w:basedOn w:val="a4"/>
    <w:next w:val="a4"/>
    <w:link w:val="12"/>
    <w:uiPriority w:val="1"/>
    <w:qFormat/>
    <w:rsid w:val="000501A4"/>
    <w:pPr>
      <w:keepNext/>
      <w:keepLines/>
      <w:jc w:val="center"/>
      <w:outlineLvl w:val="0"/>
    </w:pPr>
    <w:rPr>
      <w:rFonts w:eastAsiaTheme="majorEastAsia"/>
      <w:bCs/>
      <w:szCs w:val="36"/>
      <w:u w:val="single"/>
    </w:rPr>
  </w:style>
  <w:style w:type="paragraph" w:styleId="20">
    <w:name w:val="heading 2"/>
    <w:basedOn w:val="a4"/>
    <w:next w:val="a4"/>
    <w:link w:val="21"/>
    <w:uiPriority w:val="1"/>
    <w:qFormat/>
    <w:rsid w:val="000501A4"/>
    <w:pPr>
      <w:keepNext/>
      <w:keepLines/>
      <w:spacing w:before="480"/>
      <w:jc w:val="center"/>
      <w:outlineLvl w:val="1"/>
    </w:pPr>
    <w:rPr>
      <w:rFonts w:eastAsiaTheme="majorEastAsia"/>
      <w:bCs/>
      <w:szCs w:val="32"/>
    </w:rPr>
  </w:style>
  <w:style w:type="paragraph" w:styleId="31">
    <w:name w:val="heading 3"/>
    <w:basedOn w:val="a4"/>
    <w:next w:val="a4"/>
    <w:link w:val="32"/>
    <w:uiPriority w:val="1"/>
    <w:qFormat/>
    <w:rsid w:val="006D786C"/>
    <w:pPr>
      <w:keepNext/>
      <w:keepLines/>
      <w:spacing w:before="120"/>
      <w:outlineLvl w:val="2"/>
    </w:pPr>
    <w:rPr>
      <w:rFonts w:eastAsiaTheme="majorEastAsia"/>
      <w:bCs/>
      <w:szCs w:val="28"/>
      <w:u w:val="single"/>
    </w:rPr>
  </w:style>
  <w:style w:type="paragraph" w:styleId="4">
    <w:name w:val="heading 4"/>
    <w:basedOn w:val="a4"/>
    <w:next w:val="a4"/>
    <w:link w:val="40"/>
    <w:uiPriority w:val="1"/>
    <w:qFormat/>
    <w:rsid w:val="006D786C"/>
    <w:pPr>
      <w:keepNext/>
      <w:keepLines/>
      <w:spacing w:before="120"/>
      <w:outlineLvl w:val="3"/>
    </w:pPr>
    <w:rPr>
      <w:rFonts w:eastAsiaTheme="majorEastAsia"/>
      <w:bCs/>
      <w:szCs w:val="26"/>
    </w:rPr>
  </w:style>
  <w:style w:type="paragraph" w:styleId="50">
    <w:name w:val="heading 5"/>
    <w:basedOn w:val="a4"/>
    <w:next w:val="a4"/>
    <w:link w:val="51"/>
    <w:uiPriority w:val="1"/>
    <w:qFormat/>
    <w:rsid w:val="000501A4"/>
    <w:pPr>
      <w:keepNext/>
      <w:keepLines/>
      <w:outlineLvl w:val="4"/>
    </w:pPr>
    <w:rPr>
      <w:rFonts w:eastAsiaTheme="majorEastAsia"/>
      <w:bCs/>
      <w:spacing w:val="40"/>
    </w:rPr>
  </w:style>
  <w:style w:type="paragraph" w:styleId="6">
    <w:name w:val="heading 6"/>
    <w:basedOn w:val="a4"/>
    <w:next w:val="a4"/>
    <w:link w:val="60"/>
    <w:uiPriority w:val="1"/>
    <w:qFormat/>
    <w:rsid w:val="000501A4"/>
    <w:pPr>
      <w:keepNext/>
      <w:keepLines/>
      <w:outlineLvl w:val="5"/>
    </w:pPr>
    <w:rPr>
      <w:rFonts w:eastAsiaTheme="majorEastAsia"/>
      <w:spacing w:val="40"/>
    </w:rPr>
  </w:style>
  <w:style w:type="paragraph" w:styleId="7">
    <w:name w:val="heading 7"/>
    <w:basedOn w:val="a4"/>
    <w:next w:val="a4"/>
    <w:link w:val="70"/>
    <w:uiPriority w:val="1"/>
    <w:qFormat/>
    <w:rsid w:val="000501A4"/>
    <w:pPr>
      <w:keepNext/>
      <w:keepLines/>
      <w:outlineLvl w:val="6"/>
    </w:pPr>
    <w:rPr>
      <w:rFonts w:eastAsiaTheme="majorEastAsia"/>
      <w:bCs/>
      <w:spacing w:val="40"/>
    </w:rPr>
  </w:style>
  <w:style w:type="paragraph" w:styleId="8">
    <w:name w:val="heading 8"/>
    <w:basedOn w:val="a4"/>
    <w:next w:val="a4"/>
    <w:link w:val="80"/>
    <w:uiPriority w:val="1"/>
    <w:qFormat/>
    <w:rsid w:val="000501A4"/>
    <w:pPr>
      <w:keepNext/>
      <w:keepLines/>
      <w:outlineLvl w:val="7"/>
    </w:pPr>
    <w:rPr>
      <w:rFonts w:eastAsiaTheme="majorEastAsia"/>
      <w:spacing w:val="40"/>
    </w:rPr>
  </w:style>
  <w:style w:type="character" w:default="1" w:styleId="a5">
    <w:name w:val="Default Paragraph Font"/>
    <w:uiPriority w:val="1"/>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כותרת 1 תו"/>
    <w:basedOn w:val="a5"/>
    <w:link w:val="11"/>
    <w:uiPriority w:val="1"/>
    <w:rsid w:val="000501A4"/>
    <w:rPr>
      <w:rFonts w:eastAsiaTheme="majorEastAsia"/>
      <w:bCs/>
      <w:szCs w:val="36"/>
      <w:u w:val="single"/>
    </w:rPr>
  </w:style>
  <w:style w:type="character" w:customStyle="1" w:styleId="21">
    <w:name w:val="כותרת 2 תו"/>
    <w:basedOn w:val="a5"/>
    <w:link w:val="20"/>
    <w:uiPriority w:val="1"/>
    <w:rsid w:val="000501A4"/>
    <w:rPr>
      <w:rFonts w:eastAsiaTheme="majorEastAsia"/>
      <w:bCs/>
      <w:szCs w:val="32"/>
    </w:rPr>
  </w:style>
  <w:style w:type="character" w:customStyle="1" w:styleId="32">
    <w:name w:val="כותרת 3 תו"/>
    <w:basedOn w:val="a5"/>
    <w:link w:val="31"/>
    <w:uiPriority w:val="1"/>
    <w:rsid w:val="006D786C"/>
    <w:rPr>
      <w:rFonts w:eastAsiaTheme="majorEastAsia"/>
      <w:bCs/>
      <w:szCs w:val="28"/>
      <w:u w:val="single"/>
    </w:rPr>
  </w:style>
  <w:style w:type="character" w:customStyle="1" w:styleId="40">
    <w:name w:val="כותרת 4 תו"/>
    <w:basedOn w:val="a5"/>
    <w:link w:val="4"/>
    <w:uiPriority w:val="1"/>
    <w:rsid w:val="006D786C"/>
    <w:rPr>
      <w:rFonts w:eastAsiaTheme="majorEastAsia"/>
      <w:bCs/>
      <w:szCs w:val="26"/>
    </w:rPr>
  </w:style>
  <w:style w:type="character" w:customStyle="1" w:styleId="51">
    <w:name w:val="כותרת 5 תו"/>
    <w:basedOn w:val="a5"/>
    <w:link w:val="50"/>
    <w:uiPriority w:val="1"/>
    <w:rsid w:val="000501A4"/>
    <w:rPr>
      <w:rFonts w:eastAsiaTheme="majorEastAsia"/>
      <w:bCs/>
      <w:spacing w:val="40"/>
    </w:rPr>
  </w:style>
  <w:style w:type="character" w:customStyle="1" w:styleId="60">
    <w:name w:val="כותרת 6 תו"/>
    <w:basedOn w:val="a5"/>
    <w:link w:val="6"/>
    <w:uiPriority w:val="1"/>
    <w:rsid w:val="000501A4"/>
    <w:rPr>
      <w:rFonts w:eastAsiaTheme="majorEastAsia"/>
      <w:spacing w:val="40"/>
    </w:rPr>
  </w:style>
  <w:style w:type="character" w:customStyle="1" w:styleId="70">
    <w:name w:val="כותרת 7 תו"/>
    <w:basedOn w:val="a5"/>
    <w:link w:val="7"/>
    <w:uiPriority w:val="1"/>
    <w:rsid w:val="000501A4"/>
    <w:rPr>
      <w:rFonts w:eastAsiaTheme="majorEastAsia"/>
      <w:bCs/>
      <w:spacing w:val="40"/>
    </w:rPr>
  </w:style>
  <w:style w:type="character" w:customStyle="1" w:styleId="80">
    <w:name w:val="כותרת 8 תו"/>
    <w:basedOn w:val="a5"/>
    <w:link w:val="8"/>
    <w:uiPriority w:val="1"/>
    <w:rsid w:val="000501A4"/>
    <w:rPr>
      <w:rFonts w:eastAsiaTheme="majorEastAsia"/>
      <w:spacing w:val="40"/>
    </w:rPr>
  </w:style>
  <w:style w:type="paragraph" w:customStyle="1" w:styleId="a8">
    <w:name w:val="נבנצאל"/>
    <w:basedOn w:val="a4"/>
    <w:next w:val="a4"/>
    <w:link w:val="a9"/>
    <w:uiPriority w:val="99"/>
    <w:rsid w:val="000501A4"/>
    <w:pPr>
      <w:ind w:left="-567"/>
    </w:pPr>
    <w:rPr>
      <w:szCs w:val="20"/>
    </w:rPr>
  </w:style>
  <w:style w:type="character" w:customStyle="1" w:styleId="a9">
    <w:name w:val="נבנצאל תו"/>
    <w:basedOn w:val="a5"/>
    <w:link w:val="a8"/>
    <w:uiPriority w:val="99"/>
    <w:rsid w:val="000501A4"/>
    <w:rPr>
      <w:szCs w:val="20"/>
    </w:rPr>
  </w:style>
  <w:style w:type="paragraph" w:styleId="aa">
    <w:name w:val="header"/>
    <w:basedOn w:val="a4"/>
    <w:link w:val="ab"/>
    <w:uiPriority w:val="99"/>
    <w:unhideWhenUsed/>
    <w:rsid w:val="000501A4"/>
    <w:pPr>
      <w:tabs>
        <w:tab w:val="center" w:pos="4153"/>
        <w:tab w:val="right" w:pos="8306"/>
      </w:tabs>
      <w:spacing w:line="240" w:lineRule="auto"/>
    </w:pPr>
  </w:style>
  <w:style w:type="character" w:customStyle="1" w:styleId="ab">
    <w:name w:val="כותרת עליונה תו"/>
    <w:basedOn w:val="a5"/>
    <w:link w:val="aa"/>
    <w:uiPriority w:val="99"/>
    <w:rsid w:val="000501A4"/>
  </w:style>
  <w:style w:type="paragraph" w:styleId="ac">
    <w:name w:val="footer"/>
    <w:basedOn w:val="a4"/>
    <w:link w:val="ad"/>
    <w:uiPriority w:val="99"/>
    <w:unhideWhenUsed/>
    <w:rsid w:val="000501A4"/>
    <w:pPr>
      <w:tabs>
        <w:tab w:val="center" w:pos="4153"/>
        <w:tab w:val="right" w:pos="8306"/>
      </w:tabs>
      <w:spacing w:line="240" w:lineRule="auto"/>
    </w:pPr>
  </w:style>
  <w:style w:type="character" w:customStyle="1" w:styleId="ad">
    <w:name w:val="כותרת תחתונה תו"/>
    <w:basedOn w:val="a5"/>
    <w:link w:val="ac"/>
    <w:uiPriority w:val="99"/>
    <w:rsid w:val="000501A4"/>
  </w:style>
  <w:style w:type="paragraph" w:styleId="ae">
    <w:name w:val="Date"/>
    <w:basedOn w:val="a4"/>
    <w:next w:val="a4"/>
    <w:link w:val="af"/>
    <w:uiPriority w:val="99"/>
    <w:unhideWhenUsed/>
    <w:rsid w:val="000501A4"/>
    <w:pPr>
      <w:spacing w:before="120" w:line="240" w:lineRule="auto"/>
    </w:pPr>
  </w:style>
  <w:style w:type="character" w:customStyle="1" w:styleId="af">
    <w:name w:val="תאריך תו"/>
    <w:basedOn w:val="a5"/>
    <w:link w:val="ae"/>
    <w:uiPriority w:val="99"/>
    <w:rsid w:val="000501A4"/>
  </w:style>
  <w:style w:type="paragraph" w:styleId="af0">
    <w:name w:val="footnote text"/>
    <w:aliases w:val=" Char,Char,F1,FOOTNOTES,Footnote Text - Sharp,Footnote Text - Sharp Char,Footnote Text - Sharp Char Char,Footnote Text Char Char Char Char Char,Footnote reference,Sharp - Footnote Text,Sharp - Footnote Text1 Char,fn,footnote text"/>
    <w:basedOn w:val="a4"/>
    <w:link w:val="af1"/>
    <w:uiPriority w:val="99"/>
    <w:qFormat/>
    <w:rsid w:val="00574579"/>
    <w:pPr>
      <w:spacing w:line="240" w:lineRule="auto"/>
      <w:ind w:left="720" w:hanging="720"/>
    </w:pPr>
    <w:rPr>
      <w:szCs w:val="20"/>
    </w:rPr>
  </w:style>
  <w:style w:type="character" w:customStyle="1" w:styleId="af1">
    <w:name w:val="טקסט הערת שוליים תו"/>
    <w:aliases w:val=" Char תו,Char תו,F1 תו,FOOTNOTES תו,Footnote Text - Sharp תו,Footnote Text - Sharp Char תו,Footnote Text - Sharp Char Char תו,Footnote Text Char Char Char Char Char תו,Footnote reference תו,Sharp - Footnote Text תו,fn תו"/>
    <w:basedOn w:val="a5"/>
    <w:link w:val="af0"/>
    <w:uiPriority w:val="99"/>
    <w:rsid w:val="00574579"/>
    <w:rPr>
      <w:szCs w:val="20"/>
    </w:rPr>
  </w:style>
  <w:style w:type="character" w:styleId="af2">
    <w:name w:val="footnote reference"/>
    <w:aliases w:val="Footnote Reference_0,Footnote Reference_0_0,Footnote Reference_0_0_0,Footnote Reference_0_0_0_0,Footnote Reference_1,Footnote Reference_2,Footnote Reference_3,Footnote Reference_3_0,Footnote Reference_4,Footnote text,fr,מ"/>
    <w:basedOn w:val="a5"/>
    <w:uiPriority w:val="99"/>
    <w:unhideWhenUsed/>
    <w:rsid w:val="000501A4"/>
    <w:rPr>
      <w:vertAlign w:val="superscript"/>
    </w:rPr>
  </w:style>
  <w:style w:type="paragraph" w:styleId="af3">
    <w:name w:val="List Paragraph"/>
    <w:aliases w:val="Bullet Number,Num Bullet 1,Use Case List Paragraph,style 2,פיסקת רשימה1"/>
    <w:basedOn w:val="a4"/>
    <w:link w:val="af4"/>
    <w:uiPriority w:val="34"/>
    <w:qFormat/>
    <w:rsid w:val="00B4321D"/>
    <w:pPr>
      <w:ind w:left="720"/>
      <w:contextualSpacing/>
    </w:pPr>
  </w:style>
  <w:style w:type="table" w:styleId="af5">
    <w:name w:val="Table Grid"/>
    <w:basedOn w:val="a6"/>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4"/>
    <w:link w:val="af7"/>
    <w:uiPriority w:val="99"/>
    <w:unhideWhenUsed/>
    <w:rsid w:val="00B4321D"/>
    <w:pPr>
      <w:spacing w:line="240" w:lineRule="auto"/>
    </w:pPr>
    <w:rPr>
      <w:rFonts w:ascii="Tahoma" w:hAnsi="Tahoma" w:cs="Tahoma"/>
      <w:sz w:val="18"/>
      <w:szCs w:val="18"/>
    </w:rPr>
  </w:style>
  <w:style w:type="character" w:customStyle="1" w:styleId="af7">
    <w:name w:val="טקסט בלונים תו"/>
    <w:basedOn w:val="a5"/>
    <w:link w:val="af6"/>
    <w:uiPriority w:val="99"/>
    <w:rsid w:val="00B4321D"/>
    <w:rPr>
      <w:rFonts w:ascii="Tahoma" w:hAnsi="Tahoma" w:cs="Tahoma"/>
      <w:sz w:val="18"/>
      <w:szCs w:val="18"/>
    </w:rPr>
  </w:style>
  <w:style w:type="character" w:styleId="af8">
    <w:name w:val="annotation reference"/>
    <w:basedOn w:val="a5"/>
    <w:uiPriority w:val="99"/>
    <w:semiHidden/>
    <w:unhideWhenUsed/>
    <w:rsid w:val="00B4321D"/>
    <w:rPr>
      <w:sz w:val="16"/>
      <w:szCs w:val="16"/>
    </w:rPr>
  </w:style>
  <w:style w:type="paragraph" w:styleId="af9">
    <w:name w:val="annotation text"/>
    <w:basedOn w:val="a4"/>
    <w:link w:val="afa"/>
    <w:uiPriority w:val="99"/>
    <w:unhideWhenUsed/>
    <w:rsid w:val="00B4321D"/>
    <w:pPr>
      <w:spacing w:line="240" w:lineRule="auto"/>
    </w:pPr>
    <w:rPr>
      <w:szCs w:val="20"/>
    </w:rPr>
  </w:style>
  <w:style w:type="character" w:customStyle="1" w:styleId="afa">
    <w:name w:val="טקסט הערה תו"/>
    <w:basedOn w:val="a5"/>
    <w:link w:val="af9"/>
    <w:uiPriority w:val="99"/>
    <w:rsid w:val="00B4321D"/>
    <w:rPr>
      <w:szCs w:val="20"/>
    </w:rPr>
  </w:style>
  <w:style w:type="paragraph" w:styleId="afb">
    <w:name w:val="annotation subject"/>
    <w:basedOn w:val="af9"/>
    <w:next w:val="af9"/>
    <w:link w:val="afc"/>
    <w:uiPriority w:val="99"/>
    <w:semiHidden/>
    <w:unhideWhenUsed/>
    <w:rsid w:val="00B4321D"/>
    <w:rPr>
      <w:b/>
      <w:bCs/>
    </w:rPr>
  </w:style>
  <w:style w:type="character" w:customStyle="1" w:styleId="afc">
    <w:name w:val="נושא הערה תו"/>
    <w:basedOn w:val="afa"/>
    <w:link w:val="afb"/>
    <w:uiPriority w:val="99"/>
    <w:semiHidden/>
    <w:rsid w:val="00B4321D"/>
    <w:rPr>
      <w:b/>
      <w:bCs/>
      <w:szCs w:val="20"/>
    </w:rPr>
  </w:style>
  <w:style w:type="paragraph" w:styleId="afd">
    <w:name w:val="Revision"/>
    <w:hidden/>
    <w:uiPriority w:val="99"/>
    <w:semiHidden/>
    <w:rsid w:val="00B4321D"/>
    <w:pPr>
      <w:spacing w:after="0" w:line="240" w:lineRule="auto"/>
      <w:jc w:val="left"/>
    </w:pPr>
  </w:style>
  <w:style w:type="paragraph" w:styleId="afe">
    <w:name w:val="No Spacing"/>
    <w:aliases w:val="מספורנוהל"/>
    <w:basedOn w:val="a4"/>
    <w:link w:val="aff"/>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ff">
    <w:name w:val="ללא מרווח תו"/>
    <w:aliases w:val="מספורנוהל תו"/>
    <w:basedOn w:val="a5"/>
    <w:link w:val="afe"/>
    <w:uiPriority w:val="1"/>
    <w:rsid w:val="00B4321D"/>
    <w:rPr>
      <w:rFonts w:ascii="David" w:eastAsia="Times New Roman" w:hAnsi="David"/>
      <w:b/>
      <w:sz w:val="24"/>
      <w:lang w:eastAsia="he-IL"/>
    </w:rPr>
  </w:style>
  <w:style w:type="paragraph" w:styleId="NormalWeb">
    <w:name w:val="Normal (Web)"/>
    <w:basedOn w:val="a4"/>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a6"/>
    <w:next w:val="af5"/>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4">
    <w:name w:val="פיסקת רשימה תו"/>
    <w:aliases w:val="Bullet Number תו,Num Bullet 1 תו,Use Case List Paragraph תו,style 2 תו,פיסקת רשימה1 תו"/>
    <w:link w:val="af3"/>
    <w:uiPriority w:val="34"/>
    <w:rsid w:val="00B4321D"/>
  </w:style>
  <w:style w:type="table" w:styleId="1-5">
    <w:name w:val="Grid Table 1 Light Accent 5"/>
    <w:basedOn w:val="a6"/>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a5"/>
    <w:uiPriority w:val="99"/>
    <w:unhideWhenUsed/>
    <w:rsid w:val="00B4321D"/>
    <w:rPr>
      <w:color w:val="0000FF" w:themeColor="hyperlink"/>
      <w:u w:val="single"/>
    </w:rPr>
  </w:style>
  <w:style w:type="paragraph" w:customStyle="1" w:styleId="75">
    <w:name w:val="75א מספור הערות שוליים"/>
    <w:basedOn w:val="a4"/>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a5"/>
    <w:uiPriority w:val="99"/>
    <w:semiHidden/>
    <w:unhideWhenUsed/>
    <w:rsid w:val="00B4321D"/>
    <w:rPr>
      <w:color w:val="800080" w:themeColor="followedHyperlink"/>
      <w:u w:val="single"/>
    </w:rPr>
  </w:style>
  <w:style w:type="character" w:styleId="aff0">
    <w:name w:val="Unresolved Mention"/>
    <w:basedOn w:val="a5"/>
    <w:uiPriority w:val="99"/>
    <w:semiHidden/>
    <w:unhideWhenUsed/>
    <w:rsid w:val="00B4321D"/>
    <w:rPr>
      <w:color w:val="605E5C"/>
      <w:shd w:val="clear" w:color="auto" w:fill="E1DFDD"/>
    </w:rPr>
  </w:style>
  <w:style w:type="paragraph" w:customStyle="1" w:styleId="aff1">
    <w:name w:val="פרטי הדוח ממה"/>
    <w:basedOn w:val="a4"/>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ff2">
    <w:name w:val="כותרת הדוח ממה"/>
    <w:basedOn w:val="a4"/>
    <w:link w:val="aff3"/>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ff3">
    <w:name w:val="כותרת הדוח ממה תו"/>
    <w:basedOn w:val="a5"/>
    <w:link w:val="aff2"/>
    <w:rsid w:val="00B4321D"/>
    <w:rPr>
      <w:rFonts w:ascii="Calibri" w:hAnsi="Calibri" w:cs="Calibri"/>
      <w:b/>
      <w:bCs/>
      <w:color w:val="FFFFFF" w:themeColor="background1"/>
      <w:sz w:val="60"/>
      <w:szCs w:val="60"/>
    </w:rPr>
  </w:style>
  <w:style w:type="paragraph" w:customStyle="1" w:styleId="aff4">
    <w:name w:val="טקסט שם מונח ממה"/>
    <w:basedOn w:val="a4"/>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ff5">
    <w:name w:val="טקסט הגדרת מונח ממה"/>
    <w:link w:val="aff6"/>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ff6">
    <w:name w:val="טקסט הגדרת מונח ממה תו"/>
    <w:basedOn w:val="a5"/>
    <w:link w:val="aff5"/>
    <w:rsid w:val="00B4321D"/>
    <w:rPr>
      <w:rFonts w:ascii="Calibri" w:eastAsia="DengXian" w:hAnsi="Calibri" w:cs="Calibri"/>
      <w:color w:val="002060"/>
      <w:sz w:val="24"/>
      <w:lang w:val="en-GB"/>
    </w:rPr>
  </w:style>
  <w:style w:type="paragraph" w:customStyle="1" w:styleId="aff7">
    <w:name w:val="מבוא ממה"/>
    <w:basedOn w:val="a4"/>
    <w:next w:val="a4"/>
    <w:link w:val="aff8"/>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ff8">
    <w:name w:val="מבוא ממה תו"/>
    <w:basedOn w:val="a5"/>
    <w:link w:val="aff7"/>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ff9">
    <w:name w:val="מראה מקום ממה"/>
    <w:basedOn w:val="a4"/>
    <w:next w:val="a4"/>
    <w:link w:val="affa"/>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ffa">
    <w:name w:val="מראה מקום ממה תו"/>
    <w:basedOn w:val="a5"/>
    <w:link w:val="aff9"/>
    <w:rsid w:val="00B4321D"/>
    <w:rPr>
      <w:rFonts w:ascii="Calibri" w:eastAsia="Calibri" w:hAnsi="Calibri" w:cs="Calibri"/>
      <w:b/>
      <w:bCs/>
      <w:color w:val="002060"/>
      <w:sz w:val="18"/>
      <w:szCs w:val="18"/>
      <w:shd w:val="solid" w:color="F3F7FF" w:fill="auto"/>
    </w:rPr>
  </w:style>
  <w:style w:type="paragraph" w:customStyle="1" w:styleId="affb">
    <w:name w:val="כותרת עליונה ממה"/>
    <w:basedOn w:val="a4"/>
    <w:next w:val="a4"/>
    <w:link w:val="affc"/>
    <w:qFormat/>
    <w:rsid w:val="00B4321D"/>
    <w:pPr>
      <w:spacing w:line="240" w:lineRule="auto"/>
      <w:ind w:left="737"/>
      <w:jc w:val="left"/>
    </w:pPr>
    <w:rPr>
      <w:rFonts w:ascii="Calibri" w:eastAsia="Calibri" w:hAnsi="Calibri" w:cs="Calibri"/>
      <w:color w:val="002060"/>
      <w:sz w:val="18"/>
      <w:szCs w:val="18"/>
    </w:rPr>
  </w:style>
  <w:style w:type="character" w:customStyle="1" w:styleId="affc">
    <w:name w:val="כותרת עליונה ממה תו"/>
    <w:basedOn w:val="a5"/>
    <w:link w:val="affb"/>
    <w:rsid w:val="00B4321D"/>
    <w:rPr>
      <w:rFonts w:ascii="Calibri" w:eastAsia="Calibri" w:hAnsi="Calibri" w:cs="Calibri"/>
      <w:color w:val="002060"/>
      <w:sz w:val="18"/>
      <w:szCs w:val="18"/>
    </w:rPr>
  </w:style>
  <w:style w:type="paragraph" w:customStyle="1" w:styleId="10">
    <w:name w:val="כותרת 1 ממה"/>
    <w:basedOn w:val="a4"/>
    <w:next w:val="a4"/>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a5"/>
    <w:link w:val="10"/>
    <w:rsid w:val="00B4321D"/>
    <w:rPr>
      <w:rFonts w:ascii="Calibri" w:eastAsia="Calibri" w:hAnsi="Calibri" w:cs="Calibri"/>
      <w:b/>
      <w:bCs/>
      <w:color w:val="002060"/>
      <w:sz w:val="40"/>
      <w:szCs w:val="40"/>
    </w:rPr>
  </w:style>
  <w:style w:type="paragraph" w:customStyle="1" w:styleId="2">
    <w:name w:val="כותרת 2 ממה"/>
    <w:basedOn w:val="a4"/>
    <w:next w:val="a4"/>
    <w:link w:val="22"/>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2">
    <w:name w:val="כותרת 2 ממה תו"/>
    <w:basedOn w:val="21"/>
    <w:link w:val="2"/>
    <w:rsid w:val="00B4321D"/>
    <w:rPr>
      <w:rFonts w:ascii="Calibri" w:eastAsia="Calibri" w:hAnsi="Calibri" w:cs="Calibri"/>
      <w:b/>
      <w:bCs/>
      <w:color w:val="002060"/>
      <w:sz w:val="36"/>
      <w:szCs w:val="36"/>
    </w:rPr>
  </w:style>
  <w:style w:type="paragraph" w:customStyle="1" w:styleId="3">
    <w:name w:val="כותרת 3 ממה"/>
    <w:basedOn w:val="a4"/>
    <w:next w:val="a4"/>
    <w:link w:val="33"/>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3">
    <w:name w:val="כותרת 3 ממה תו"/>
    <w:basedOn w:val="32"/>
    <w:link w:val="3"/>
    <w:rsid w:val="00B4321D"/>
    <w:rPr>
      <w:rFonts w:ascii="Calibri" w:eastAsia="Calibri" w:hAnsi="Calibri" w:cs="Calibri"/>
      <w:b/>
      <w:bCs/>
      <w:color w:val="002060"/>
      <w:sz w:val="28"/>
      <w:szCs w:val="28"/>
      <w:u w:val="single"/>
    </w:rPr>
  </w:style>
  <w:style w:type="paragraph" w:customStyle="1" w:styleId="41">
    <w:name w:val="כותרת 4 ממה"/>
    <w:basedOn w:val="a4"/>
    <w:next w:val="a4"/>
    <w:link w:val="42"/>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2">
    <w:name w:val="כותרת 4 ממה תו"/>
    <w:basedOn w:val="a5"/>
    <w:link w:val="41"/>
    <w:rsid w:val="00B4321D"/>
    <w:rPr>
      <w:rFonts w:ascii="Calibri" w:eastAsia="Calibri" w:hAnsi="Calibri" w:cs="Calibri"/>
      <w:color w:val="002060"/>
      <w:sz w:val="28"/>
      <w:szCs w:val="28"/>
    </w:rPr>
  </w:style>
  <w:style w:type="paragraph" w:customStyle="1" w:styleId="1">
    <w:name w:val="רשימה1 ממה"/>
    <w:basedOn w:val="a4"/>
    <w:link w:val="15"/>
    <w:qFormat/>
    <w:rsid w:val="00B4321D"/>
    <w:pPr>
      <w:widowControl w:val="0"/>
      <w:numPr>
        <w:numId w:val="4"/>
      </w:numPr>
      <w:spacing w:line="280" w:lineRule="exact"/>
    </w:pPr>
    <w:rPr>
      <w:rFonts w:ascii="Calibri" w:eastAsia="Calibri" w:hAnsi="Calibri" w:cs="Calibri"/>
      <w:color w:val="002060"/>
      <w:sz w:val="24"/>
    </w:rPr>
  </w:style>
  <w:style w:type="character" w:customStyle="1" w:styleId="15">
    <w:name w:val="רשימה1 ממה תו"/>
    <w:basedOn w:val="a5"/>
    <w:link w:val="1"/>
    <w:rsid w:val="00B4321D"/>
    <w:rPr>
      <w:rFonts w:ascii="Calibri" w:eastAsia="Calibri" w:hAnsi="Calibri" w:cs="Calibri"/>
      <w:color w:val="002060"/>
      <w:sz w:val="24"/>
    </w:rPr>
  </w:style>
  <w:style w:type="paragraph" w:customStyle="1" w:styleId="23">
    <w:name w:val="רשימה2 ממה"/>
    <w:basedOn w:val="a4"/>
    <w:link w:val="24"/>
    <w:qFormat/>
    <w:rsid w:val="00B4321D"/>
    <w:pPr>
      <w:widowControl w:val="0"/>
      <w:spacing w:line="280" w:lineRule="exact"/>
      <w:ind w:left="1871"/>
    </w:pPr>
    <w:rPr>
      <w:rFonts w:ascii="Calibri" w:eastAsia="Calibri" w:hAnsi="Calibri" w:cs="Calibri"/>
      <w:color w:val="002060"/>
      <w:sz w:val="24"/>
    </w:rPr>
  </w:style>
  <w:style w:type="character" w:customStyle="1" w:styleId="24">
    <w:name w:val="רשימה2 ממה תו"/>
    <w:basedOn w:val="a5"/>
    <w:link w:val="23"/>
    <w:rsid w:val="00B4321D"/>
    <w:rPr>
      <w:rFonts w:ascii="Calibri" w:eastAsia="Calibri" w:hAnsi="Calibri" w:cs="Calibri"/>
      <w:color w:val="002060"/>
      <w:sz w:val="24"/>
    </w:rPr>
  </w:style>
  <w:style w:type="paragraph" w:customStyle="1" w:styleId="30">
    <w:name w:val="רשימה3 ממה"/>
    <w:basedOn w:val="a4"/>
    <w:link w:val="34"/>
    <w:qFormat/>
    <w:rsid w:val="00B4321D"/>
    <w:pPr>
      <w:widowControl w:val="0"/>
      <w:numPr>
        <w:numId w:val="5"/>
      </w:numPr>
      <w:spacing w:line="280" w:lineRule="exact"/>
    </w:pPr>
    <w:rPr>
      <w:rFonts w:ascii="Calibri" w:eastAsia="Calibri" w:hAnsi="Calibri" w:cs="Calibri"/>
      <w:color w:val="002060"/>
      <w:sz w:val="24"/>
    </w:rPr>
  </w:style>
  <w:style w:type="character" w:customStyle="1" w:styleId="34">
    <w:name w:val="רשימה3 ממה תו"/>
    <w:basedOn w:val="a5"/>
    <w:link w:val="30"/>
    <w:rsid w:val="00B4321D"/>
    <w:rPr>
      <w:rFonts w:ascii="Calibri" w:eastAsia="Calibri" w:hAnsi="Calibri" w:cs="Calibri"/>
      <w:color w:val="002060"/>
      <w:sz w:val="24"/>
    </w:rPr>
  </w:style>
  <w:style w:type="paragraph" w:customStyle="1" w:styleId="43">
    <w:name w:val="רשימה4 ממה"/>
    <w:basedOn w:val="a4"/>
    <w:link w:val="44"/>
    <w:qFormat/>
    <w:rsid w:val="00B4321D"/>
    <w:pPr>
      <w:widowControl w:val="0"/>
      <w:spacing w:line="280" w:lineRule="exact"/>
      <w:ind w:left="2552"/>
    </w:pPr>
    <w:rPr>
      <w:rFonts w:ascii="Calibri" w:eastAsia="Calibri" w:hAnsi="Calibri" w:cs="Calibri"/>
      <w:color w:val="002060"/>
      <w:sz w:val="24"/>
    </w:rPr>
  </w:style>
  <w:style w:type="character" w:customStyle="1" w:styleId="44">
    <w:name w:val="רשימה4 ממה תו"/>
    <w:basedOn w:val="a5"/>
    <w:link w:val="43"/>
    <w:rsid w:val="00B4321D"/>
    <w:rPr>
      <w:rFonts w:ascii="Calibri" w:eastAsia="Calibri" w:hAnsi="Calibri" w:cs="Calibri"/>
      <w:color w:val="002060"/>
      <w:sz w:val="24"/>
    </w:rPr>
  </w:style>
  <w:style w:type="paragraph" w:customStyle="1" w:styleId="5">
    <w:name w:val="רשימה5 ממה"/>
    <w:basedOn w:val="a4"/>
    <w:link w:val="52"/>
    <w:qFormat/>
    <w:rsid w:val="00B4321D"/>
    <w:pPr>
      <w:widowControl w:val="0"/>
      <w:numPr>
        <w:numId w:val="6"/>
      </w:numPr>
      <w:spacing w:line="280" w:lineRule="exact"/>
    </w:pPr>
    <w:rPr>
      <w:rFonts w:ascii="Calibri" w:eastAsia="Calibri" w:hAnsi="Calibri" w:cs="Calibri"/>
      <w:color w:val="002060"/>
      <w:sz w:val="24"/>
    </w:rPr>
  </w:style>
  <w:style w:type="character" w:customStyle="1" w:styleId="52">
    <w:name w:val="רשימה5 ממה תו"/>
    <w:basedOn w:val="a5"/>
    <w:link w:val="5"/>
    <w:rsid w:val="00B4321D"/>
    <w:rPr>
      <w:rFonts w:ascii="Calibri" w:eastAsia="Calibri" w:hAnsi="Calibri" w:cs="Calibri"/>
      <w:color w:val="002060"/>
      <w:sz w:val="24"/>
    </w:rPr>
  </w:style>
  <w:style w:type="paragraph" w:customStyle="1" w:styleId="affd">
    <w:name w:val="הערת שוליים ממה"/>
    <w:basedOn w:val="a4"/>
    <w:link w:val="affe"/>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ffe">
    <w:name w:val="הערת שוליים ממה תו"/>
    <w:basedOn w:val="a5"/>
    <w:link w:val="affd"/>
    <w:rsid w:val="00B4321D"/>
    <w:rPr>
      <w:rFonts w:ascii="Calibri" w:eastAsia="Calibri" w:hAnsi="Calibri" w:cs="Calibri"/>
      <w:color w:val="002060"/>
      <w:sz w:val="24"/>
      <w:szCs w:val="20"/>
    </w:rPr>
  </w:style>
  <w:style w:type="paragraph" w:customStyle="1" w:styleId="afff">
    <w:name w:val="הערת סיום ממה"/>
    <w:basedOn w:val="a4"/>
    <w:link w:val="afff0"/>
    <w:qFormat/>
    <w:rsid w:val="00B4321D"/>
    <w:pPr>
      <w:widowControl w:val="0"/>
      <w:spacing w:line="240" w:lineRule="auto"/>
      <w:ind w:left="1134"/>
    </w:pPr>
    <w:rPr>
      <w:rFonts w:ascii="Calibri" w:eastAsia="Calibri" w:hAnsi="Calibri" w:cs="Calibri"/>
      <w:color w:val="002060"/>
      <w:sz w:val="24"/>
      <w:szCs w:val="20"/>
    </w:rPr>
  </w:style>
  <w:style w:type="character" w:customStyle="1" w:styleId="afff0">
    <w:name w:val="הערת סיום ממה תו"/>
    <w:basedOn w:val="a5"/>
    <w:link w:val="afff"/>
    <w:rsid w:val="00B4321D"/>
    <w:rPr>
      <w:rFonts w:ascii="Calibri" w:eastAsia="Calibri" w:hAnsi="Calibri" w:cs="Calibri"/>
      <w:color w:val="002060"/>
      <w:sz w:val="24"/>
      <w:szCs w:val="20"/>
    </w:rPr>
  </w:style>
  <w:style w:type="paragraph" w:customStyle="1" w:styleId="16">
    <w:name w:val="ליקוי/ממצא חיובי/המלצה1 ממה"/>
    <w:next w:val="a4"/>
    <w:link w:val="17"/>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7">
    <w:name w:val="ליקוי/ממצא חיובי/המלצה1 ממה תו"/>
    <w:basedOn w:val="a5"/>
    <w:link w:val="16"/>
    <w:rsid w:val="00B4321D"/>
    <w:rPr>
      <w:rFonts w:ascii="Calibri" w:eastAsia="Calibri" w:hAnsi="Calibri" w:cs="Calibri"/>
      <w:color w:val="002060"/>
      <w:sz w:val="24"/>
    </w:rPr>
  </w:style>
  <w:style w:type="paragraph" w:customStyle="1" w:styleId="25">
    <w:name w:val="ליקוי/ממצא חיובי/המלצה2 ממה"/>
    <w:basedOn w:val="a4"/>
    <w:next w:val="a4"/>
    <w:link w:val="26"/>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6">
    <w:name w:val="ליקוי/ממצא חיובי/המלצה2 ממה תו"/>
    <w:basedOn w:val="17"/>
    <w:link w:val="25"/>
    <w:rsid w:val="00B4321D"/>
    <w:rPr>
      <w:rFonts w:ascii="Calibri" w:eastAsia="Calibri" w:hAnsi="Calibri" w:cs="Calibri"/>
      <w:color w:val="002060"/>
      <w:sz w:val="24"/>
    </w:rPr>
  </w:style>
  <w:style w:type="paragraph" w:customStyle="1" w:styleId="35">
    <w:name w:val="ליקוי/ממצא חיובי/המלצה3 ממה"/>
    <w:basedOn w:val="a4"/>
    <w:link w:val="36"/>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6">
    <w:name w:val="ליקוי/ממצא חיובי/המלצה3 ממה תו"/>
    <w:basedOn w:val="a5"/>
    <w:link w:val="35"/>
    <w:rsid w:val="00B4321D"/>
    <w:rPr>
      <w:rFonts w:ascii="Calibri" w:eastAsia="Calibri" w:hAnsi="Calibri" w:cs="Calibri"/>
      <w:color w:val="002060"/>
      <w:sz w:val="24"/>
    </w:rPr>
  </w:style>
  <w:style w:type="paragraph" w:customStyle="1" w:styleId="afff1">
    <w:name w:val="נבנצאל ממה"/>
    <w:basedOn w:val="a4"/>
    <w:next w:val="a4"/>
    <w:link w:val="afff2"/>
    <w:uiPriority w:val="99"/>
    <w:qFormat/>
    <w:rsid w:val="00B4321D"/>
    <w:pPr>
      <w:keepNext/>
      <w:spacing w:line="280" w:lineRule="exact"/>
      <w:jc w:val="left"/>
    </w:pPr>
    <w:rPr>
      <w:rFonts w:ascii="Calibri" w:eastAsia="Calibri" w:hAnsi="Calibri" w:cs="Calibri"/>
      <w:color w:val="002060"/>
      <w:szCs w:val="20"/>
    </w:rPr>
  </w:style>
  <w:style w:type="character" w:customStyle="1" w:styleId="afff2">
    <w:name w:val="נבנצאל ממה תו"/>
    <w:basedOn w:val="a5"/>
    <w:link w:val="afff1"/>
    <w:uiPriority w:val="99"/>
    <w:rsid w:val="00B4321D"/>
    <w:rPr>
      <w:rFonts w:ascii="Calibri" w:eastAsia="Calibri" w:hAnsi="Calibri" w:cs="Calibri"/>
      <w:color w:val="002060"/>
      <w:szCs w:val="20"/>
    </w:rPr>
  </w:style>
  <w:style w:type="paragraph" w:customStyle="1" w:styleId="afff3">
    <w:name w:val="רגיל ממה"/>
    <w:basedOn w:val="a4"/>
    <w:link w:val="afff4"/>
    <w:qFormat/>
    <w:rsid w:val="00B4321D"/>
    <w:pPr>
      <w:widowControl w:val="0"/>
      <w:spacing w:line="280" w:lineRule="exact"/>
      <w:ind w:left="1134"/>
    </w:pPr>
    <w:rPr>
      <w:rFonts w:ascii="Calibri" w:eastAsia="Calibri" w:hAnsi="Calibri" w:cs="Calibri"/>
      <w:color w:val="002060"/>
      <w:sz w:val="24"/>
    </w:rPr>
  </w:style>
  <w:style w:type="character" w:customStyle="1" w:styleId="afff4">
    <w:name w:val="רגיל ממה תו"/>
    <w:basedOn w:val="a5"/>
    <w:link w:val="afff3"/>
    <w:rsid w:val="00B4321D"/>
    <w:rPr>
      <w:rFonts w:ascii="Calibri" w:eastAsia="Calibri" w:hAnsi="Calibri" w:cs="Calibri"/>
      <w:color w:val="002060"/>
      <w:sz w:val="24"/>
    </w:rPr>
  </w:style>
  <w:style w:type="paragraph" w:customStyle="1" w:styleId="afff5">
    <w:name w:val="סיכום ממה"/>
    <w:basedOn w:val="a4"/>
    <w:next w:val="a4"/>
    <w:link w:val="afff6"/>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fff6">
    <w:name w:val="סיכום ממה תו"/>
    <w:basedOn w:val="a5"/>
    <w:link w:val="afff5"/>
    <w:rsid w:val="00B4321D"/>
    <w:rPr>
      <w:rFonts w:ascii="Calibri" w:eastAsia="Calibri" w:hAnsi="Calibri" w:cs="Calibri"/>
      <w:b/>
      <w:bCs/>
      <w:color w:val="FFFFFF" w:themeColor="background1"/>
      <w:sz w:val="2"/>
      <w:szCs w:val="2"/>
    </w:rPr>
  </w:style>
  <w:style w:type="paragraph" w:customStyle="1" w:styleId="afff7">
    <w:name w:val="טקסט סיכום ממה"/>
    <w:basedOn w:val="a4"/>
    <w:next w:val="a4"/>
    <w:qFormat/>
    <w:rsid w:val="00B4321D"/>
    <w:pPr>
      <w:widowControl w:val="0"/>
      <w:spacing w:after="240" w:line="280" w:lineRule="exact"/>
      <w:ind w:left="1140"/>
    </w:pPr>
    <w:rPr>
      <w:rFonts w:ascii="Calibri" w:eastAsia="Calibri" w:hAnsi="Calibri" w:cs="Calibri"/>
      <w:bCs/>
      <w:color w:val="002060"/>
      <w:sz w:val="24"/>
    </w:rPr>
  </w:style>
  <w:style w:type="paragraph" w:customStyle="1" w:styleId="afff8">
    <w:name w:val="סיכום ביניים ממה"/>
    <w:basedOn w:val="a4"/>
    <w:next w:val="a4"/>
    <w:qFormat/>
    <w:rsid w:val="00B4321D"/>
    <w:pPr>
      <w:widowControl w:val="0"/>
      <w:spacing w:before="240" w:after="240"/>
      <w:ind w:left="1134"/>
    </w:pPr>
    <w:rPr>
      <w:rFonts w:ascii="Calibri" w:eastAsia="Calibri" w:hAnsi="Calibri" w:cs="Calibri"/>
      <w:noProof/>
      <w:color w:val="002060"/>
      <w:sz w:val="24"/>
    </w:rPr>
  </w:style>
  <w:style w:type="paragraph" w:customStyle="1" w:styleId="afff9">
    <w:name w:val="טקסט סיכום ביניים ממה"/>
    <w:basedOn w:val="a4"/>
    <w:next w:val="a4"/>
    <w:qFormat/>
    <w:rsid w:val="00B4321D"/>
    <w:pPr>
      <w:widowControl w:val="0"/>
      <w:spacing w:after="240" w:line="280" w:lineRule="exact"/>
      <w:ind w:left="1134"/>
    </w:pPr>
    <w:rPr>
      <w:rFonts w:ascii="Calibri" w:eastAsia="Calibri" w:hAnsi="Calibri" w:cs="Calibri"/>
      <w:bCs/>
      <w:color w:val="002060"/>
      <w:sz w:val="24"/>
    </w:rPr>
  </w:style>
  <w:style w:type="paragraph" w:customStyle="1" w:styleId="a3">
    <w:name w:val="תרשים ממה"/>
    <w:basedOn w:val="a4"/>
    <w:next w:val="a4"/>
    <w:link w:val="afffa"/>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fffa">
    <w:name w:val="תרשים ממה תו"/>
    <w:basedOn w:val="a5"/>
    <w:link w:val="a3"/>
    <w:rsid w:val="00B4321D"/>
    <w:rPr>
      <w:rFonts w:ascii="Calibri" w:eastAsia="Calibri" w:hAnsi="Calibri" w:cs="Calibri"/>
      <w:b/>
      <w:bCs/>
      <w:color w:val="002060"/>
      <w:sz w:val="24"/>
    </w:rPr>
  </w:style>
  <w:style w:type="paragraph" w:customStyle="1" w:styleId="a1">
    <w:name w:val="תמונה ממה"/>
    <w:basedOn w:val="a4"/>
    <w:next w:val="a4"/>
    <w:link w:val="afffb"/>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fffb">
    <w:name w:val="תמונה ממה תו"/>
    <w:basedOn w:val="a5"/>
    <w:link w:val="a1"/>
    <w:rsid w:val="00B4321D"/>
    <w:rPr>
      <w:rFonts w:ascii="Calibri" w:eastAsia="Calibri" w:hAnsi="Calibri" w:cs="Calibri"/>
      <w:b/>
      <w:bCs/>
      <w:color w:val="002060"/>
      <w:sz w:val="24"/>
    </w:rPr>
  </w:style>
  <w:style w:type="paragraph" w:customStyle="1" w:styleId="a0">
    <w:name w:val="לוח ממה"/>
    <w:basedOn w:val="a4"/>
    <w:next w:val="a4"/>
    <w:link w:val="afffc"/>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fffc">
    <w:name w:val="לוח ממה תו"/>
    <w:basedOn w:val="a5"/>
    <w:link w:val="a0"/>
    <w:rsid w:val="00B4321D"/>
    <w:rPr>
      <w:rFonts w:ascii="Calibri" w:eastAsia="Calibri" w:hAnsi="Calibri" w:cs="Calibri"/>
      <w:b/>
      <w:bCs/>
      <w:color w:val="002060"/>
      <w:sz w:val="24"/>
    </w:rPr>
  </w:style>
  <w:style w:type="paragraph" w:customStyle="1" w:styleId="a2">
    <w:name w:val="מפה ממה"/>
    <w:basedOn w:val="a4"/>
    <w:next w:val="a4"/>
    <w:link w:val="afffd"/>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fffd">
    <w:name w:val="מפה ממה תו"/>
    <w:basedOn w:val="a5"/>
    <w:link w:val="a2"/>
    <w:rsid w:val="00B4321D"/>
    <w:rPr>
      <w:rFonts w:ascii="Calibri" w:eastAsia="Calibri" w:hAnsi="Calibri" w:cs="Calibri"/>
      <w:b/>
      <w:bCs/>
      <w:color w:val="002060"/>
      <w:sz w:val="24"/>
    </w:rPr>
  </w:style>
  <w:style w:type="paragraph" w:customStyle="1" w:styleId="afffe">
    <w:name w:val="מקור ממה"/>
    <w:basedOn w:val="a4"/>
    <w:next w:val="a4"/>
    <w:qFormat/>
    <w:rsid w:val="00B4321D"/>
    <w:pPr>
      <w:keepNext/>
      <w:keepLines/>
      <w:widowControl w:val="0"/>
      <w:ind w:left="1134"/>
    </w:pPr>
    <w:rPr>
      <w:rFonts w:ascii="Calibri" w:eastAsia="Calibri" w:hAnsi="Calibri" w:cs="Calibri"/>
      <w:color w:val="002060"/>
      <w:szCs w:val="20"/>
    </w:rPr>
  </w:style>
  <w:style w:type="paragraph" w:customStyle="1" w:styleId="affff">
    <w:name w:val="אובייקט ממה"/>
    <w:basedOn w:val="a4"/>
    <w:next w:val="a4"/>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ffff0">
    <w:name w:val="רכיבי המבוא ממה"/>
    <w:basedOn w:val="a4"/>
    <w:link w:val="affff1"/>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ffff1">
    <w:name w:val="רכיבי המבוא ממה תו"/>
    <w:basedOn w:val="a5"/>
    <w:link w:val="affff0"/>
    <w:rsid w:val="00B4321D"/>
    <w:rPr>
      <w:rFonts w:ascii="Calibri" w:eastAsia="Calibri" w:hAnsi="Calibri" w:cs="Calibri"/>
      <w:color w:val="002060"/>
      <w:szCs w:val="20"/>
    </w:rPr>
  </w:style>
  <w:style w:type="paragraph" w:customStyle="1" w:styleId="affff2">
    <w:name w:val="אייקון במבוא ממה"/>
    <w:basedOn w:val="a4"/>
    <w:link w:val="affff3"/>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ffff3">
    <w:name w:val="אייקון במבוא ממה תו"/>
    <w:basedOn w:val="a5"/>
    <w:link w:val="affff2"/>
    <w:rsid w:val="00B4321D"/>
    <w:rPr>
      <w:rFonts w:ascii="Calibri" w:eastAsia="Calibri" w:hAnsi="Calibri" w:cs="Calibri"/>
      <w:bCs/>
      <w:color w:val="002060"/>
      <w:sz w:val="24"/>
      <w:szCs w:val="20"/>
    </w:rPr>
  </w:style>
  <w:style w:type="paragraph" w:customStyle="1" w:styleId="739">
    <w:name w:val="73א טקסט רץ 9"/>
    <w:basedOn w:val="a4"/>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a5"/>
    <w:link w:val="739"/>
    <w:rsid w:val="00B4321D"/>
    <w:rPr>
      <w:rFonts w:ascii="Tahoma" w:hAnsi="Tahoma" w:cs="Tahoma"/>
      <w:color w:val="0D0D0D" w:themeColor="text1" w:themeTint="F2"/>
      <w:sz w:val="18"/>
      <w:szCs w:val="18"/>
    </w:rPr>
  </w:style>
  <w:style w:type="paragraph" w:customStyle="1" w:styleId="71">
    <w:name w:val="71ג הערות שוליים"/>
    <w:basedOn w:val="af0"/>
    <w:link w:val="71Char"/>
    <w:qFormat/>
    <w:rsid w:val="009A6817"/>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a5"/>
    <w:link w:val="71"/>
    <w:rsid w:val="009A6817"/>
    <w:rPr>
      <w:rFonts w:ascii="Tahoma" w:hAnsi="Tahoma" w:cs="Tahoma"/>
      <w:color w:val="0D0D0D" w:themeColor="text1" w:themeTint="F2"/>
      <w:sz w:val="14"/>
      <w:szCs w:val="14"/>
    </w:rPr>
  </w:style>
  <w:style w:type="paragraph" w:customStyle="1" w:styleId="2021">
    <w:name w:val="מספרים גדולים בטבלת תקציר 2021"/>
    <w:basedOn w:val="a4"/>
    <w:link w:val="2021Char"/>
    <w:qFormat/>
    <w:rsid w:val="00BE22D7"/>
    <w:pPr>
      <w:spacing w:before="120" w:line="240" w:lineRule="auto"/>
      <w:jc w:val="left"/>
      <w:outlineLvl w:val="0"/>
    </w:pPr>
    <w:rPr>
      <w:rFonts w:ascii="Tahoma" w:eastAsiaTheme="minorEastAsia" w:hAnsi="Tahoma" w:cs="Tahoma"/>
      <w:b/>
      <w:bCs/>
      <w:color w:val="0D0D0D" w:themeColor="text1" w:themeTint="F2"/>
      <w:sz w:val="36"/>
      <w:szCs w:val="36"/>
    </w:rPr>
  </w:style>
  <w:style w:type="character" w:customStyle="1" w:styleId="2021Char">
    <w:name w:val="מספרים גדולים בטבלת תקציר 2021 Char"/>
    <w:basedOn w:val="a5"/>
    <w:link w:val="2021"/>
    <w:rsid w:val="00BE22D7"/>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a4"/>
    <w:link w:val="7320210"/>
    <w:qFormat/>
    <w:rsid w:val="00BE22D7"/>
    <w:pPr>
      <w:keepNext/>
      <w:spacing w:before="60" w:after="180" w:line="260" w:lineRule="exact"/>
      <w:jc w:val="left"/>
      <w:outlineLvl w:val="0"/>
    </w:pPr>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a5"/>
    <w:link w:val="732021"/>
    <w:rsid w:val="00BE22D7"/>
    <w:rPr>
      <w:rFonts w:ascii="Tahoma" w:eastAsiaTheme="minorEastAsia" w:hAnsi="Tahoma" w:cs="Tahoma"/>
      <w:color w:val="0D0D0D" w:themeColor="text1" w:themeTint="F2"/>
      <w:w w:val="90"/>
      <w:sz w:val="18"/>
      <w:szCs w:val="18"/>
    </w:rPr>
  </w:style>
  <w:style w:type="paragraph" w:customStyle="1" w:styleId="73">
    <w:name w:val="73א הזחה ראשונה ללא מספר"/>
    <w:basedOn w:val="a4"/>
    <w:qFormat/>
    <w:rsid w:val="00BE22D7"/>
    <w:pPr>
      <w:spacing w:after="180" w:line="260" w:lineRule="exact"/>
      <w:ind w:left="397"/>
    </w:pPr>
    <w:rPr>
      <w:rFonts w:ascii="Tahoma" w:hAnsi="Tahoma" w:cs="Tahoma"/>
      <w:color w:val="0D0D0D" w:themeColor="text1" w:themeTint="F2"/>
      <w:sz w:val="18"/>
      <w:szCs w:val="18"/>
    </w:rPr>
  </w:style>
  <w:style w:type="paragraph" w:customStyle="1" w:styleId="730">
    <w:name w:val="73א פעולות ביקורת"/>
    <w:basedOn w:val="a4"/>
    <w:qFormat/>
    <w:rsid w:val="00BE22D7"/>
    <w:pPr>
      <w:keepNext/>
      <w:keepLines/>
      <w:pBdr>
        <w:top w:val="double" w:sz="12" w:space="5" w:color="auto"/>
      </w:pBdr>
      <w:spacing w:before="480" w:after="360" w:line="240" w:lineRule="atLeast"/>
      <w:jc w:val="left"/>
    </w:pPr>
    <w:rPr>
      <w:rFonts w:ascii="Tahoma" w:eastAsiaTheme="minorEastAsia" w:hAnsi="Tahoma" w:cs="Tahoma"/>
      <w:b/>
      <w:bCs/>
      <w:noProof/>
      <w:color w:val="00305F"/>
      <w:sz w:val="31"/>
      <w:szCs w:val="31"/>
      <w:lang w:val="he-IL"/>
    </w:rPr>
  </w:style>
  <w:style w:type="character" w:customStyle="1" w:styleId="737">
    <w:name w:val="73א כותרת 7 הדגשת קטע בטקסט רץ תו"/>
    <w:basedOn w:val="a5"/>
    <w:link w:val="7370"/>
    <w:rsid w:val="00BE22D7"/>
    <w:rPr>
      <w:rFonts w:ascii="Tahoma" w:hAnsi="Tahoma" w:cs="Tahoma"/>
      <w:bCs/>
      <w:color w:val="0D0D0D" w:themeColor="text1" w:themeTint="F2"/>
      <w:sz w:val="18"/>
      <w:szCs w:val="18"/>
    </w:rPr>
  </w:style>
  <w:style w:type="paragraph" w:customStyle="1" w:styleId="7370">
    <w:name w:val="73א כותרת 7 הדגשת קטע בטקסט רץ"/>
    <w:basedOn w:val="739"/>
    <w:link w:val="737"/>
    <w:qFormat/>
    <w:rsid w:val="00BE22D7"/>
    <w:rPr>
      <w:bCs/>
    </w:rPr>
  </w:style>
  <w:style w:type="paragraph" w:customStyle="1" w:styleId="731">
    <w:name w:val="73א מקרא+הערות לתרשים/לוח/תמונה"/>
    <w:basedOn w:val="a4"/>
    <w:link w:val="732"/>
    <w:qFormat/>
    <w:rsid w:val="00BE22D7"/>
    <w:pPr>
      <w:spacing w:before="120" w:after="240" w:line="260" w:lineRule="exact"/>
    </w:pPr>
    <w:rPr>
      <w:rFonts w:ascii="Tahoma" w:hAnsi="Tahoma" w:cs="Tahoma"/>
      <w:color w:val="0D0D0D" w:themeColor="text1" w:themeTint="F2"/>
      <w:sz w:val="16"/>
      <w:szCs w:val="16"/>
    </w:rPr>
  </w:style>
  <w:style w:type="character" w:customStyle="1" w:styleId="732">
    <w:name w:val="73א מקרא+הערות לתרשים/לוח/תמונה תו"/>
    <w:basedOn w:val="a5"/>
    <w:link w:val="731"/>
    <w:rsid w:val="00BE22D7"/>
    <w:rPr>
      <w:rFonts w:ascii="Tahoma" w:hAnsi="Tahoma" w:cs="Tahoma"/>
      <w:color w:val="0D0D0D" w:themeColor="text1" w:themeTint="F2"/>
      <w:sz w:val="16"/>
      <w:szCs w:val="16"/>
    </w:rPr>
  </w:style>
  <w:style w:type="paragraph" w:customStyle="1" w:styleId="733">
    <w:name w:val="73א כותרת לבנה בתוך תבנית אדומה בתקציר"/>
    <w:basedOn w:val="a4"/>
    <w:link w:val="734"/>
    <w:qFormat/>
    <w:rsid w:val="00BE22D7"/>
    <w:pPr>
      <w:keepNext/>
      <w:keepLines/>
      <w:spacing w:line="240" w:lineRule="atLeast"/>
      <w:ind w:left="170" w:right="113"/>
      <w:jc w:val="left"/>
    </w:pPr>
    <w:rPr>
      <w:rFonts w:ascii="Tahoma" w:hAnsi="Tahoma" w:cs="Tahoma"/>
      <w:b/>
      <w:bCs/>
      <w:color w:val="FFFFFF" w:themeColor="background1"/>
      <w:sz w:val="22"/>
      <w:szCs w:val="22"/>
    </w:rPr>
  </w:style>
  <w:style w:type="character" w:customStyle="1" w:styleId="734">
    <w:name w:val="73א כותרת לבנה בתוך תבנית אדומה בתקציר תו"/>
    <w:basedOn w:val="a5"/>
    <w:link w:val="733"/>
    <w:rsid w:val="00BE22D7"/>
    <w:rPr>
      <w:rFonts w:ascii="Tahoma" w:hAnsi="Tahoma" w:cs="Tahoma"/>
      <w:b/>
      <w:bCs/>
      <w:color w:val="FFFFFF" w:themeColor="background1"/>
      <w:sz w:val="22"/>
      <w:szCs w:val="22"/>
    </w:rPr>
  </w:style>
  <w:style w:type="character" w:styleId="affff4">
    <w:name w:val="page number"/>
    <w:basedOn w:val="a5"/>
    <w:uiPriority w:val="99"/>
    <w:semiHidden/>
    <w:unhideWhenUsed/>
    <w:rsid w:val="005C3049"/>
  </w:style>
  <w:style w:type="paragraph" w:customStyle="1" w:styleId="a">
    <w:name w:val="כותרת תרשים"/>
    <w:basedOn w:val="a4"/>
    <w:next w:val="a4"/>
    <w:link w:val="affff5"/>
    <w:qFormat/>
    <w:rsid w:val="00960A4D"/>
    <w:pPr>
      <w:keepNext/>
      <w:keepLines/>
      <w:numPr>
        <w:numId w:val="28"/>
      </w:numPr>
      <w:ind w:left="717"/>
      <w:jc w:val="center"/>
      <w:outlineLvl w:val="4"/>
    </w:pPr>
    <w:rPr>
      <w:bCs/>
      <w:sz w:val="24"/>
    </w:rPr>
  </w:style>
  <w:style w:type="character" w:customStyle="1" w:styleId="affff5">
    <w:name w:val="כותרת תרשים תו"/>
    <w:basedOn w:val="a5"/>
    <w:link w:val="a"/>
    <w:rsid w:val="00960A4D"/>
    <w:rPr>
      <w:bCs/>
      <w:sz w:val="24"/>
    </w:rPr>
  </w:style>
  <w:style w:type="table" w:styleId="1-1">
    <w:name w:val="Grid Table 1 Light Accent 1"/>
    <w:basedOn w:val="a6"/>
    <w:uiPriority w:val="46"/>
    <w:rsid w:val="00014C4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00">
    <w:name w:val="p00"/>
    <w:basedOn w:val="a4"/>
    <w:rsid w:val="00014C4D"/>
    <w:pPr>
      <w:bidi w:val="0"/>
      <w:spacing w:before="100" w:beforeAutospacing="1" w:after="100" w:afterAutospacing="1" w:line="240" w:lineRule="auto"/>
      <w:jc w:val="left"/>
    </w:pPr>
    <w:rPr>
      <w:rFonts w:eastAsia="Times New Roman" w:cs="Times New Roman"/>
      <w:sz w:val="24"/>
    </w:rPr>
  </w:style>
  <w:style w:type="character" w:customStyle="1" w:styleId="big-number">
    <w:name w:val="big-number"/>
    <w:basedOn w:val="a5"/>
    <w:rsid w:val="00014C4D"/>
  </w:style>
  <w:style w:type="character" w:customStyle="1" w:styleId="default">
    <w:name w:val="default"/>
    <w:basedOn w:val="a5"/>
    <w:rsid w:val="00014C4D"/>
  </w:style>
  <w:style w:type="paragraph" w:customStyle="1" w:styleId="p22">
    <w:name w:val="p22"/>
    <w:basedOn w:val="a4"/>
    <w:rsid w:val="00014C4D"/>
    <w:pPr>
      <w:bidi w:val="0"/>
      <w:spacing w:before="100" w:beforeAutospacing="1" w:after="100" w:afterAutospacing="1" w:line="240" w:lineRule="auto"/>
      <w:jc w:val="left"/>
    </w:pPr>
    <w:rPr>
      <w:rFonts w:eastAsia="Times New Roman" w:cs="Times New Roman"/>
      <w:sz w:val="24"/>
    </w:rPr>
  </w:style>
  <w:style w:type="paragraph" w:customStyle="1" w:styleId="RESHET">
    <w:name w:val="RESHET"/>
    <w:basedOn w:val="a4"/>
    <w:rsid w:val="00014C4D"/>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CharChar1CharCharCharChar">
    <w:name w:val="Char תו Char תו1 Char תו Char תו Char תו Char תו"/>
    <w:basedOn w:val="a4"/>
    <w:rsid w:val="00014C4D"/>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paragraph" w:styleId="affff6">
    <w:name w:val="endnote text"/>
    <w:basedOn w:val="a4"/>
    <w:link w:val="affff7"/>
    <w:semiHidden/>
    <w:rsid w:val="00014C4D"/>
    <w:pPr>
      <w:widowControl w:val="0"/>
    </w:pPr>
    <w:rPr>
      <w:rFonts w:eastAsia="Times New Roman"/>
      <w:szCs w:val="20"/>
      <w:lang w:eastAsia="he-IL"/>
    </w:rPr>
  </w:style>
  <w:style w:type="character" w:customStyle="1" w:styleId="affff7">
    <w:name w:val="טקסט הערת סיום תו"/>
    <w:basedOn w:val="a5"/>
    <w:link w:val="affff6"/>
    <w:semiHidden/>
    <w:rsid w:val="00014C4D"/>
    <w:rPr>
      <w:rFonts w:eastAsia="Times New Roman"/>
      <w:szCs w:val="20"/>
      <w:lang w:eastAsia="he-IL"/>
    </w:rPr>
  </w:style>
  <w:style w:type="paragraph" w:customStyle="1" w:styleId="KOT5">
    <w:name w:val="KOT5"/>
    <w:basedOn w:val="a4"/>
    <w:rsid w:val="00014C4D"/>
    <w:pPr>
      <w:keepNext/>
      <w:spacing w:before="120" w:after="120" w:line="320" w:lineRule="exact"/>
      <w:ind w:right="2268"/>
      <w:jc w:val="left"/>
      <w:outlineLvl w:val="2"/>
    </w:pPr>
    <w:rPr>
      <w:rFonts w:ascii="Tahoma" w:eastAsiaTheme="majorEastAsia" w:hAnsi="Tahoma" w:cs="Tahoma"/>
      <w:color w:val="387026"/>
      <w:sz w:val="26"/>
      <w:szCs w:val="26"/>
    </w:rPr>
  </w:style>
  <w:style w:type="paragraph" w:customStyle="1" w:styleId="tab-name">
    <w:name w:val="tab-name"/>
    <w:basedOn w:val="KOT5"/>
    <w:qFormat/>
    <w:rsid w:val="00014C4D"/>
    <w:pPr>
      <w:outlineLvl w:val="9"/>
    </w:pPr>
    <w:rPr>
      <w:rFonts w:eastAsiaTheme="minorEastAsia"/>
      <w:color w:val="365F91" w:themeColor="accent1" w:themeShade="BF"/>
      <w:sz w:val="18"/>
      <w:szCs w:val="18"/>
    </w:rPr>
  </w:style>
  <w:style w:type="paragraph" w:customStyle="1" w:styleId="affff8">
    <w:name w:val="כותרת ראשית"/>
    <w:basedOn w:val="a4"/>
    <w:next w:val="a4"/>
    <w:rsid w:val="00014C4D"/>
    <w:pPr>
      <w:spacing w:line="480" w:lineRule="auto"/>
      <w:jc w:val="left"/>
    </w:pPr>
    <w:rPr>
      <w:rFonts w:eastAsia="Times New Roman" w:cs="Times New Roman"/>
      <w:bCs/>
      <w:w w:val="90"/>
      <w:sz w:val="24"/>
      <w:szCs w:val="48"/>
    </w:rPr>
  </w:style>
  <w:style w:type="paragraph" w:customStyle="1" w:styleId="affff9">
    <w:name w:val="כתיבה בסעיף"/>
    <w:basedOn w:val="a4"/>
    <w:rsid w:val="00014C4D"/>
    <w:pPr>
      <w:overflowPunct w:val="0"/>
      <w:autoSpaceDE w:val="0"/>
      <w:autoSpaceDN w:val="0"/>
      <w:adjustRightInd w:val="0"/>
      <w:spacing w:line="360" w:lineRule="auto"/>
      <w:ind w:left="567"/>
      <w:jc w:val="left"/>
      <w:textAlignment w:val="baseline"/>
    </w:pPr>
    <w:rPr>
      <w:rFonts w:eastAsia="Times New Roman"/>
      <w:spacing w:val="10"/>
      <w:szCs w:val="22"/>
    </w:rPr>
  </w:style>
  <w:style w:type="paragraph" w:customStyle="1" w:styleId="X-X-X">
    <w:name w:val="X-X-X"/>
    <w:basedOn w:val="a4"/>
    <w:link w:val="X-X-X0"/>
    <w:rsid w:val="00014C4D"/>
    <w:pPr>
      <w:tabs>
        <w:tab w:val="left" w:pos="1134"/>
        <w:tab w:val="left" w:pos="1417"/>
        <w:tab w:val="left" w:pos="1700"/>
        <w:tab w:val="left" w:pos="1984"/>
        <w:tab w:val="left" w:pos="2267"/>
        <w:tab w:val="left" w:pos="2551"/>
        <w:tab w:val="left" w:pos="2834"/>
        <w:tab w:val="left" w:pos="3118"/>
        <w:tab w:val="left" w:pos="3401"/>
        <w:tab w:val="right" w:pos="7654"/>
        <w:tab w:val="right" w:pos="7938"/>
        <w:tab w:val="right" w:pos="8221"/>
        <w:tab w:val="right" w:pos="8505"/>
        <w:tab w:val="right" w:pos="8788"/>
        <w:tab w:val="right" w:pos="9072"/>
        <w:tab w:val="right" w:pos="9355"/>
      </w:tabs>
      <w:overflowPunct w:val="0"/>
      <w:autoSpaceDE w:val="0"/>
      <w:autoSpaceDN w:val="0"/>
      <w:adjustRightInd w:val="0"/>
      <w:spacing w:line="360" w:lineRule="auto"/>
      <w:ind w:left="851"/>
      <w:jc w:val="left"/>
      <w:textAlignment w:val="baseline"/>
    </w:pPr>
    <w:rPr>
      <w:rFonts w:eastAsia="Times New Roman" w:cs="Times New Roman"/>
      <w:spacing w:val="10"/>
      <w:szCs w:val="22"/>
      <w:lang w:val="x-none" w:eastAsia="x-none"/>
    </w:rPr>
  </w:style>
  <w:style w:type="character" w:customStyle="1" w:styleId="X-X-X0">
    <w:name w:val="X-X-X תו"/>
    <w:link w:val="X-X-X"/>
    <w:rsid w:val="00014C4D"/>
    <w:rPr>
      <w:rFonts w:eastAsia="Times New Roman" w:cs="Times New Roman"/>
      <w:spacing w:val="10"/>
      <w:szCs w:val="22"/>
      <w:lang w:val="x-none" w:eastAsia="x-none"/>
    </w:rPr>
  </w:style>
  <w:style w:type="paragraph" w:customStyle="1" w:styleId="KOT4">
    <w:name w:val="KOT4"/>
    <w:basedOn w:val="a4"/>
    <w:rsid w:val="00014C4D"/>
    <w:pPr>
      <w:keepNext/>
      <w:spacing w:before="120" w:after="120" w:line="360" w:lineRule="exact"/>
      <w:ind w:right="2268"/>
      <w:jc w:val="left"/>
      <w:outlineLvl w:val="1"/>
    </w:pPr>
    <w:rPr>
      <w:rFonts w:ascii="Tahoma" w:eastAsia="Times New Roman" w:hAnsi="Tahoma" w:cs="Tahoma"/>
      <w:color w:val="009692"/>
      <w:sz w:val="32"/>
      <w:szCs w:val="32"/>
    </w:rPr>
  </w:style>
  <w:style w:type="paragraph" w:styleId="affffa">
    <w:name w:val="Plain Text"/>
    <w:basedOn w:val="a4"/>
    <w:link w:val="affffb"/>
    <w:uiPriority w:val="99"/>
    <w:unhideWhenUsed/>
    <w:rsid w:val="00014C4D"/>
    <w:pPr>
      <w:spacing w:line="240" w:lineRule="auto"/>
      <w:jc w:val="left"/>
    </w:pPr>
    <w:rPr>
      <w:rFonts w:ascii="Calibri" w:hAnsi="Calibri" w:cstheme="minorBidi"/>
      <w:sz w:val="22"/>
      <w:szCs w:val="21"/>
    </w:rPr>
  </w:style>
  <w:style w:type="character" w:customStyle="1" w:styleId="affffb">
    <w:name w:val="טקסט רגיל תו"/>
    <w:basedOn w:val="a5"/>
    <w:link w:val="affffa"/>
    <w:uiPriority w:val="99"/>
    <w:rsid w:val="00014C4D"/>
    <w:rPr>
      <w:rFonts w:ascii="Calibri" w:hAnsi="Calibri" w:cstheme="minorBidi"/>
      <w:sz w:val="22"/>
      <w:szCs w:val="21"/>
    </w:rPr>
  </w:style>
  <w:style w:type="paragraph" w:customStyle="1" w:styleId="big-header">
    <w:name w:val="big-header"/>
    <w:basedOn w:val="a4"/>
    <w:rsid w:val="00014C4D"/>
    <w:pPr>
      <w:bidi w:val="0"/>
      <w:spacing w:before="100" w:beforeAutospacing="1" w:after="100" w:afterAutospacing="1" w:line="240" w:lineRule="auto"/>
      <w:jc w:val="left"/>
    </w:pPr>
    <w:rPr>
      <w:rFonts w:eastAsia="Times New Roman" w:cs="Times New Roman"/>
      <w:sz w:val="24"/>
    </w:rPr>
  </w:style>
  <w:style w:type="paragraph" w:customStyle="1" w:styleId="xmsonormal">
    <w:name w:val="x_msonormal"/>
    <w:basedOn w:val="a4"/>
    <w:rsid w:val="00014C4D"/>
    <w:pPr>
      <w:spacing w:line="240" w:lineRule="auto"/>
      <w:jc w:val="left"/>
    </w:pPr>
    <w:rPr>
      <w:rFonts w:ascii="Calibri" w:hAnsi="Calibri" w:cs="Calibri"/>
      <w:sz w:val="22"/>
      <w:szCs w:val="22"/>
    </w:rPr>
  </w:style>
  <w:style w:type="character" w:styleId="affffc">
    <w:name w:val="Emphasis"/>
    <w:basedOn w:val="a5"/>
    <w:uiPriority w:val="20"/>
    <w:qFormat/>
    <w:rsid w:val="00014C4D"/>
    <w:rPr>
      <w:i/>
      <w:iCs/>
    </w:rPr>
  </w:style>
  <w:style w:type="character" w:styleId="affffd">
    <w:name w:val="Strong"/>
    <w:basedOn w:val="a5"/>
    <w:uiPriority w:val="22"/>
    <w:qFormat/>
    <w:rsid w:val="00014C4D"/>
    <w:rPr>
      <w:b/>
      <w:bCs/>
    </w:rPr>
  </w:style>
  <w:style w:type="paragraph" w:styleId="affffe">
    <w:name w:val="Body Text"/>
    <w:basedOn w:val="a4"/>
    <w:link w:val="afffff"/>
    <w:uiPriority w:val="99"/>
    <w:semiHidden/>
    <w:unhideWhenUsed/>
    <w:rsid w:val="00014C4D"/>
    <w:pPr>
      <w:spacing w:after="120"/>
    </w:pPr>
  </w:style>
  <w:style w:type="character" w:customStyle="1" w:styleId="afffff">
    <w:name w:val="גוף טקסט תו"/>
    <w:basedOn w:val="a5"/>
    <w:link w:val="affffe"/>
    <w:uiPriority w:val="99"/>
    <w:semiHidden/>
    <w:rsid w:val="00014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header" Target="header3.xml"/><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diagramLayout" Target="diagrams/layout1.xml"/><Relationship Id="rId56" Type="http://schemas.openxmlformats.org/officeDocument/2006/relationships/footer" Target="footer2.xml"/><Relationship Id="rId8" Type="http://schemas.openxmlformats.org/officeDocument/2006/relationships/header" Target="header1.xm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header" Target="header4.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diagramQuickStyle" Target="diagrams/quickStyle1.xml"/><Relationship Id="rId57" Type="http://schemas.openxmlformats.org/officeDocument/2006/relationships/header" Target="header6.xml"/><Relationship Id="rId10" Type="http://schemas.openxmlformats.org/officeDocument/2006/relationships/footer" Target="footer1.xm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1.png"/><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82B5AE-EB0B-4687-97E8-330BFEE6A1B1}" type="doc">
      <dgm:prSet loTypeId="urn:microsoft.com/office/officeart/2005/8/layout/StepDownProcess" loCatId="process" qsTypeId="urn:microsoft.com/office/officeart/2005/8/quickstyle/simple5" qsCatId="simple" csTypeId="urn:microsoft.com/office/officeart/2005/8/colors/accent1_2" csCatId="accent1" phldr="1"/>
      <dgm:spPr/>
      <dgm:t>
        <a:bodyPr/>
        <a:lstStyle/>
        <a:p>
          <a:pPr rtl="1"/>
          <a:endParaRPr lang="he-IL"/>
        </a:p>
      </dgm:t>
    </dgm:pt>
    <dgm:pt modelId="{DCC2FCC3-B2B4-4C84-90FF-2DC619AFE6DF}">
      <dgm:prSet phldrT="[טקסט]"/>
      <dgm:spPr>
        <a:xfrm>
          <a:off x="1144865" y="2681279"/>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rtl="1">
            <a:buNone/>
          </a:pPr>
          <a:r>
            <a:rPr lang="he-IL">
              <a:solidFill>
                <a:sysClr val="window" lastClr="FFFFFF"/>
              </a:solidFill>
              <a:latin typeface="Calibri"/>
              <a:ea typeface="+mn-ea"/>
              <a:cs typeface="Arial" panose="020B0604020202020204" pitchFamily="34" charset="0"/>
            </a:rPr>
            <a:t>זכאי אחד מימש את הסיוע</a:t>
          </a:r>
          <a:r>
            <a:rPr lang="en-US">
              <a:solidFill>
                <a:sysClr val="window" lastClr="FFFFFF"/>
              </a:solidFill>
              <a:latin typeface="Calibri"/>
              <a:ea typeface="+mn-ea"/>
              <a:cs typeface="Calibri"/>
            </a:rPr>
            <a:t>;</a:t>
          </a:r>
          <a:r>
            <a:rPr lang="he-IL">
              <a:solidFill>
                <a:sysClr val="window" lastClr="FFFFFF"/>
              </a:solidFill>
              <a:latin typeface="Calibri"/>
              <a:ea typeface="+mn-ea"/>
              <a:cs typeface="Arial" panose="020B0604020202020204" pitchFamily="34" charset="0"/>
            </a:rPr>
            <a:t> מענק בסך 158,000 ש"ח</a:t>
          </a:r>
        </a:p>
      </dgm:t>
      <dgm:extLst>
        <a:ext uri="{E40237B7-FDA0-4F09-8148-C483321AD2D9}">
          <dgm14:cNvPr xmlns:dgm14="http://schemas.microsoft.com/office/drawing/2010/diagram" id="0" name="" descr="החלטת הממשלה 1278 לשנים 2027-2022&#10;התקציב לשנת 2023: 50 מיליון ש&quot;ח&#10;35 זכאים הגישו בקשות לאישור מענקים וסבסוד ריבית להלוואות&#10;כולן אושרו; 13 זכאים למענקים &#10;ו-22 זכאים להלוואות&#10;זכאי אחד מימש את הסיוע; מענק בסך 158,000 ש&quot;ח&#10;49.84 מיליון ש&quot;ח לא נוצלו&#10;"/>
        </a:ext>
      </dgm:extLst>
    </dgm:pt>
    <dgm:pt modelId="{A4B542AB-C717-4F55-8F44-F500C6A354B4}" type="parTrans" cxnId="{404C2155-4977-45AD-BCB3-A3F38B5E55C0}">
      <dgm:prSet/>
      <dgm:spPr/>
      <dgm:t>
        <a:bodyPr/>
        <a:lstStyle/>
        <a:p>
          <a:pPr rtl="1"/>
          <a:endParaRPr lang="he-IL"/>
        </a:p>
      </dgm:t>
    </dgm:pt>
    <dgm:pt modelId="{E90791AB-5173-41A7-BA4C-E229D11F6648}" type="sibTrans" cxnId="{404C2155-4977-45AD-BCB3-A3F38B5E55C0}">
      <dgm:prSet/>
      <dgm:spPr/>
      <dgm:t>
        <a:bodyPr/>
        <a:lstStyle/>
        <a:p>
          <a:pPr rtl="1"/>
          <a:endParaRPr lang="he-IL"/>
        </a:p>
      </dgm:t>
    </dgm:pt>
    <dgm:pt modelId="{4723CA8A-22C1-40AD-AD2C-E0C48491624F}">
      <dgm:prSet phldrT="[טקסט]"/>
      <dgm:spPr>
        <a:xfrm>
          <a:off x="2535921" y="1353982"/>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rtl="1">
            <a:buNone/>
          </a:pPr>
          <a:r>
            <a:rPr lang="he-IL">
              <a:solidFill>
                <a:sysClr val="window" lastClr="FFFFFF"/>
              </a:solidFill>
              <a:latin typeface="Calibri"/>
              <a:ea typeface="+mn-ea"/>
              <a:cs typeface="Arial" panose="020B0604020202020204" pitchFamily="34" charset="0"/>
            </a:rPr>
            <a:t>35 זכאים הגישו בקשות לאישור מענקים וסבסוד ריבית להלוואות</a:t>
          </a:r>
        </a:p>
      </dgm:t>
      <dgm:extLst>
        <a:ext uri="{E40237B7-FDA0-4F09-8148-C483321AD2D9}">
          <dgm14:cNvPr xmlns:dgm14="http://schemas.microsoft.com/office/drawing/2010/diagram" id="0" name="" descr="החלטת הממשלה 1278 לשנים 2027-2022&#10;התקציב לשנת 2023: 50 מיליון ש&quot;ח&#10;35 זכאים הגישו בקשות לאישור מענקים וסבסוד ריבית להלוואות&#10;כולן אושרו; 13 זכאים למענקים &#10;ו-22 זכאים להלוואות&#10;זכאי אחד מימש את הסיוע; מענק בסך 158,000 ש&quot;ח&#10;49.84 מיליון ש&quot;ח לא נוצלו&#10;"/>
        </a:ext>
      </dgm:extLst>
    </dgm:pt>
    <dgm:pt modelId="{0614D498-5641-4055-A470-5AA59989B2C3}" type="parTrans" cxnId="{46116B28-E49D-478A-B7B3-30B18E335E31}">
      <dgm:prSet/>
      <dgm:spPr/>
      <dgm:t>
        <a:bodyPr/>
        <a:lstStyle/>
        <a:p>
          <a:pPr rtl="1"/>
          <a:endParaRPr lang="he-IL"/>
        </a:p>
      </dgm:t>
    </dgm:pt>
    <dgm:pt modelId="{E61F480B-4886-404C-AC49-7A2AEBAA01F8}" type="sibTrans" cxnId="{46116B28-E49D-478A-B7B3-30B18E335E31}">
      <dgm:prSet/>
      <dgm:spPr/>
      <dgm:t>
        <a:bodyPr/>
        <a:lstStyle/>
        <a:p>
          <a:pPr rtl="1"/>
          <a:endParaRPr lang="he-IL"/>
        </a:p>
      </dgm:t>
    </dgm:pt>
    <dgm:pt modelId="{A5CE5C72-BDE8-478B-9ECE-301EF02F1F5B}">
      <dgm:prSet phldrT="[טקסט]"/>
      <dgm:spPr>
        <a:xfrm>
          <a:off x="1840393" y="2017630"/>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rtl="1">
            <a:buNone/>
          </a:pPr>
          <a:r>
            <a:rPr lang="he-IL">
              <a:solidFill>
                <a:sysClr val="window" lastClr="FFFFFF"/>
              </a:solidFill>
              <a:latin typeface="Calibri"/>
              <a:ea typeface="+mn-ea"/>
              <a:cs typeface="Arial" panose="020B0604020202020204" pitchFamily="34" charset="0"/>
            </a:rPr>
            <a:t>כולן אושרו</a:t>
          </a:r>
          <a:r>
            <a:rPr lang="en-US">
              <a:solidFill>
                <a:sysClr val="window" lastClr="FFFFFF"/>
              </a:solidFill>
              <a:latin typeface="Calibri"/>
              <a:ea typeface="+mn-ea"/>
              <a:cs typeface="Calibri"/>
            </a:rPr>
            <a:t>;</a:t>
          </a:r>
          <a:r>
            <a:rPr lang="he-IL">
              <a:solidFill>
                <a:sysClr val="window" lastClr="FFFFFF"/>
              </a:solidFill>
              <a:latin typeface="Calibri"/>
              <a:ea typeface="+mn-ea"/>
              <a:cs typeface="Arial" panose="020B0604020202020204" pitchFamily="34" charset="0"/>
            </a:rPr>
            <a:t> 13 זכאים למענקים </a:t>
          </a:r>
          <a:br>
            <a:rPr lang="en-US">
              <a:solidFill>
                <a:sysClr val="window" lastClr="FFFFFF"/>
              </a:solidFill>
              <a:latin typeface="Calibri"/>
              <a:ea typeface="+mn-ea"/>
              <a:cs typeface="Calibri"/>
            </a:rPr>
          </a:br>
          <a:r>
            <a:rPr lang="he-IL">
              <a:solidFill>
                <a:sysClr val="window" lastClr="FFFFFF"/>
              </a:solidFill>
              <a:latin typeface="Calibri"/>
              <a:ea typeface="+mn-ea"/>
              <a:cs typeface="Arial" panose="020B0604020202020204" pitchFamily="34" charset="0"/>
            </a:rPr>
            <a:t>ו-22 זכאים להלוואות</a:t>
          </a:r>
        </a:p>
      </dgm:t>
      <dgm:extLst>
        <a:ext uri="{E40237B7-FDA0-4F09-8148-C483321AD2D9}">
          <dgm14:cNvPr xmlns:dgm14="http://schemas.microsoft.com/office/drawing/2010/diagram" id="0" name="" descr="החלטת הממשלה 1278 לשנים 2027-2022&#10;התקציב לשנת 2023: 50 מיליון ש&quot;ח&#10;35 זכאים הגישו בקשות לאישור מענקים וסבסוד ריבית להלוואות&#10;כולן אושרו; 13 זכאים למענקים &#10;ו-22 זכאים להלוואות&#10;זכאי אחד מימש את הסיוע; מענק בסך 158,000 ש&quot;ח&#10;49.84 מיליון ש&quot;ח לא נוצלו&#10;"/>
        </a:ext>
      </dgm:extLst>
    </dgm:pt>
    <dgm:pt modelId="{527F6AC2-3281-42D4-A19B-2A8E96E2D26C}" type="parTrans" cxnId="{8AD65E6F-E683-4741-B725-55607B4B4A26}">
      <dgm:prSet/>
      <dgm:spPr/>
      <dgm:t>
        <a:bodyPr/>
        <a:lstStyle/>
        <a:p>
          <a:pPr rtl="1"/>
          <a:endParaRPr lang="he-IL"/>
        </a:p>
      </dgm:t>
    </dgm:pt>
    <dgm:pt modelId="{82D6D052-3342-4F97-A83A-847ADAEB40C2}" type="sibTrans" cxnId="{8AD65E6F-E683-4741-B725-55607B4B4A26}">
      <dgm:prSet/>
      <dgm:spPr/>
      <dgm:t>
        <a:bodyPr/>
        <a:lstStyle/>
        <a:p>
          <a:pPr rtl="1"/>
          <a:endParaRPr lang="he-IL"/>
        </a:p>
      </dgm:t>
    </dgm:pt>
    <dgm:pt modelId="{3323B701-77F0-445E-B293-B162D12C5F5D}">
      <dgm:prSet/>
      <dgm:spPr>
        <a:xfrm>
          <a:off x="3926977" y="26684"/>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rtl="1">
            <a:buNone/>
          </a:pPr>
          <a:r>
            <a:rPr lang="he-IL">
              <a:solidFill>
                <a:sysClr val="window" lastClr="FFFFFF"/>
              </a:solidFill>
              <a:latin typeface="Calibri"/>
              <a:ea typeface="+mn-ea"/>
              <a:cs typeface="Arial" panose="020B0604020202020204" pitchFamily="34" charset="0"/>
            </a:rPr>
            <a:t>החלטת הממשלה 1278 לשנים 2027-2022</a:t>
          </a:r>
        </a:p>
      </dgm:t>
      <dgm:extLst>
        <a:ext uri="{E40237B7-FDA0-4F09-8148-C483321AD2D9}">
          <dgm14:cNvPr xmlns:dgm14="http://schemas.microsoft.com/office/drawing/2010/diagram" id="0" name="" descr="החלטת הממשלה 1278 לשנים 2027-2022&#10;התקציב לשנת 2023: 50 מיליון ש&quot;ח&#10;35 זכאים הגישו בקשות לאישור מענקים וסבסוד ריבית להלוואות&#10;כולן אושרו; 13 זכאים למענקים &#10;ו-22 זכאים להלוואות&#10;זכאי אחד מימש את הסיוע; מענק בסך 158,000 ש&quot;ח&#10;49.84 מיליון ש&quot;ח לא נוצלו&#10;"/>
        </a:ext>
      </dgm:extLst>
    </dgm:pt>
    <dgm:pt modelId="{2A8B214E-1D1A-4FA3-9A54-14B84659FF45}" type="parTrans" cxnId="{E3B0946F-DBFE-4159-A7E7-A94BAA286239}">
      <dgm:prSet/>
      <dgm:spPr/>
      <dgm:t>
        <a:bodyPr/>
        <a:lstStyle/>
        <a:p>
          <a:pPr rtl="1"/>
          <a:endParaRPr lang="he-IL"/>
        </a:p>
      </dgm:t>
    </dgm:pt>
    <dgm:pt modelId="{2E2D52F9-562C-4C48-B494-241F653C0840}" type="sibTrans" cxnId="{E3B0946F-DBFE-4159-A7E7-A94BAA286239}">
      <dgm:prSet/>
      <dgm:spPr/>
      <dgm:t>
        <a:bodyPr/>
        <a:lstStyle/>
        <a:p>
          <a:pPr rtl="1"/>
          <a:endParaRPr lang="he-IL"/>
        </a:p>
      </dgm:t>
    </dgm:pt>
    <dgm:pt modelId="{5CFA24BC-1C5B-434C-B52E-7B82C27616DC}">
      <dgm:prSet/>
      <dgm:spPr>
        <a:xfrm>
          <a:off x="449337" y="3344928"/>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rtl="1">
            <a:buNone/>
          </a:pPr>
          <a:r>
            <a:rPr lang="he-IL">
              <a:solidFill>
                <a:sysClr val="window" lastClr="FFFFFF"/>
              </a:solidFill>
              <a:latin typeface="Calibri"/>
              <a:ea typeface="+mn-ea"/>
              <a:cs typeface="Arial" panose="020B0604020202020204" pitchFamily="34" charset="0"/>
            </a:rPr>
            <a:t>49.84 מיליון ש"ח לא נוצלו</a:t>
          </a:r>
        </a:p>
      </dgm:t>
      <dgm:extLst>
        <a:ext uri="{E40237B7-FDA0-4F09-8148-C483321AD2D9}">
          <dgm14:cNvPr xmlns:dgm14="http://schemas.microsoft.com/office/drawing/2010/diagram" id="0" name="" descr="החלטת הממשלה 1278 לשנים 2027-2022&#10;התקציב לשנת 2023: 50 מיליון ש&quot;ח&#10;35 זכאים הגישו בקשות לאישור מענקים וסבסוד ריבית להלוואות&#10;כולן אושרו; 13 זכאים למענקים &#10;ו-22 זכאים להלוואות&#10;זכאי אחד מימש את הסיוע; מענק בסך 158,000 ש&quot;ח&#10;49.84 מיליון ש&quot;ח לא נוצלו&#10;"/>
        </a:ext>
      </dgm:extLst>
    </dgm:pt>
    <dgm:pt modelId="{3E608A2D-BBC2-406D-A76D-A02CD0BD9A6C}" type="parTrans" cxnId="{D92AD2B5-BA78-428E-BB91-43EAC5630171}">
      <dgm:prSet/>
      <dgm:spPr/>
      <dgm:t>
        <a:bodyPr/>
        <a:lstStyle/>
        <a:p>
          <a:pPr rtl="1"/>
          <a:endParaRPr lang="he-IL"/>
        </a:p>
      </dgm:t>
    </dgm:pt>
    <dgm:pt modelId="{A3F23246-843F-449B-8C75-D4CE277B1D9C}" type="sibTrans" cxnId="{D92AD2B5-BA78-428E-BB91-43EAC5630171}">
      <dgm:prSet/>
      <dgm:spPr/>
      <dgm:t>
        <a:bodyPr/>
        <a:lstStyle/>
        <a:p>
          <a:pPr rtl="1"/>
          <a:endParaRPr lang="he-IL"/>
        </a:p>
      </dgm:t>
    </dgm:pt>
    <dgm:pt modelId="{AD1FF847-5413-4631-860F-87E7AB293B11}">
      <dgm:prSet/>
      <dgm:spPr>
        <a:xfrm>
          <a:off x="3231449" y="690333"/>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rtl="1">
            <a:buNone/>
          </a:pPr>
          <a:r>
            <a:rPr lang="he-IL">
              <a:solidFill>
                <a:sysClr val="window" lastClr="FFFFFF"/>
              </a:solidFill>
              <a:latin typeface="Calibri"/>
              <a:ea typeface="+mn-ea"/>
              <a:cs typeface="Arial" panose="020B0604020202020204" pitchFamily="34" charset="0"/>
            </a:rPr>
            <a:t>התקציב לשנת 2023: 50 מיליון ש"ח</a:t>
          </a:r>
        </a:p>
      </dgm:t>
      <dgm:extLst>
        <a:ext uri="{E40237B7-FDA0-4F09-8148-C483321AD2D9}">
          <dgm14:cNvPr xmlns:dgm14="http://schemas.microsoft.com/office/drawing/2010/diagram" id="0" name="" descr="החלטת הממשלה 1278 לשנים 2027-2022&#10;התקציב לשנת 2023: 50 מיליון ש&quot;ח&#10;35 זכאים הגישו בקשות לאישור מענקים וסבסוד ריבית להלוואות&#10;כולן אושרו; 13 זכאים למענקים &#10;ו-22 זכאים להלוואות&#10;זכאי אחד מימש את הסיוע; מענק בסך 158,000 ש&quot;ח&#10;49.84 מיליון ש&quot;ח לא נוצלו&#10;"/>
        </a:ext>
      </dgm:extLst>
    </dgm:pt>
    <dgm:pt modelId="{1424BB25-BF8F-49C2-95ED-9EEB0E798E2F}" type="parTrans" cxnId="{8EE01C99-8CFC-4737-9B92-AECD66FDD05D}">
      <dgm:prSet/>
      <dgm:spPr/>
      <dgm:t>
        <a:bodyPr/>
        <a:lstStyle/>
        <a:p>
          <a:pPr rtl="1"/>
          <a:endParaRPr lang="he-IL"/>
        </a:p>
      </dgm:t>
    </dgm:pt>
    <dgm:pt modelId="{38E87066-FA9E-4E49-BD97-1ABBA802B1C8}" type="sibTrans" cxnId="{8EE01C99-8CFC-4737-9B92-AECD66FDD05D}">
      <dgm:prSet/>
      <dgm:spPr/>
      <dgm:t>
        <a:bodyPr/>
        <a:lstStyle/>
        <a:p>
          <a:pPr rtl="1"/>
          <a:endParaRPr lang="he-IL"/>
        </a:p>
      </dgm:t>
    </dgm:pt>
    <dgm:pt modelId="{6F0BF13D-D522-4CAE-AF98-71EA2362C117}" type="pres">
      <dgm:prSet presAssocID="{3482B5AE-EB0B-4687-97E8-330BFEE6A1B1}" presName="rootnode" presStyleCnt="0">
        <dgm:presLayoutVars>
          <dgm:chMax/>
          <dgm:chPref/>
          <dgm:dir val="rev"/>
          <dgm:animLvl val="lvl"/>
        </dgm:presLayoutVars>
      </dgm:prSet>
      <dgm:spPr/>
    </dgm:pt>
    <dgm:pt modelId="{40260BBD-2E9E-4AC0-862D-8D689607BC1D}" type="pres">
      <dgm:prSet presAssocID="{3323B701-77F0-445E-B293-B162D12C5F5D}" presName="composite" presStyleCnt="0"/>
      <dgm:spPr/>
    </dgm:pt>
    <dgm:pt modelId="{A4546CE4-79E5-47FF-A705-9B971619E77E}" type="pres">
      <dgm:prSet presAssocID="{3323B701-77F0-445E-B293-B162D12C5F5D}" presName="bentUpArrow1" presStyleLbl="alignImgPlace1" presStyleIdx="0" presStyleCnt="5"/>
      <dgm:spPr>
        <a:xfrm rot="10800000">
          <a:off x="4110882" y="617180"/>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E34845BE-947D-4CB8-AF2A-888B5F33F8A8}" type="pres">
      <dgm:prSet presAssocID="{3323B701-77F0-445E-B293-B162D12C5F5D}" presName="ParentText" presStyleLbl="node1" presStyleIdx="0" presStyleCnt="6">
        <dgm:presLayoutVars>
          <dgm:chMax val="1"/>
          <dgm:chPref val="1"/>
          <dgm:bulletEnabled val="1"/>
        </dgm:presLayoutVars>
      </dgm:prSet>
      <dgm:spPr/>
    </dgm:pt>
    <dgm:pt modelId="{608A1C7E-06F1-4359-B321-2FF6184D5038}" type="pres">
      <dgm:prSet presAssocID="{3323B701-77F0-445E-B293-B162D12C5F5D}" presName="ChildText" presStyleLbl="revTx" presStyleIdx="0" presStyleCnt="5">
        <dgm:presLayoutVars>
          <dgm:chMax val="0"/>
          <dgm:chPref val="0"/>
          <dgm:bulletEnabled val="1"/>
        </dgm:presLayoutVars>
      </dgm:prSet>
      <dgm:spPr>
        <a:xfrm>
          <a:off x="3321981" y="83029"/>
          <a:ext cx="613860" cy="477500"/>
        </a:xfrm>
        <a:prstGeom prst="rect">
          <a:avLst/>
        </a:prstGeom>
        <a:noFill/>
        <a:ln>
          <a:noFill/>
        </a:ln>
        <a:effectLst/>
      </dgm:spPr>
    </dgm:pt>
    <dgm:pt modelId="{040B1118-9F74-420B-A41C-37A394A4F623}" type="pres">
      <dgm:prSet presAssocID="{2E2D52F9-562C-4C48-B494-241F653C0840}" presName="sibTrans" presStyleCnt="0"/>
      <dgm:spPr/>
    </dgm:pt>
    <dgm:pt modelId="{19560F48-DD5E-445E-87A2-D56036347C75}" type="pres">
      <dgm:prSet presAssocID="{AD1FF847-5413-4631-860F-87E7AB293B11}" presName="composite" presStyleCnt="0"/>
      <dgm:spPr/>
    </dgm:pt>
    <dgm:pt modelId="{6DDD5E2E-25F3-4EA2-B962-664BE2213DFD}" type="pres">
      <dgm:prSet presAssocID="{AD1FF847-5413-4631-860F-87E7AB293B11}" presName="bentUpArrow1" presStyleLbl="alignImgPlace1" presStyleIdx="1" presStyleCnt="5"/>
      <dgm:spPr>
        <a:xfrm rot="10800000">
          <a:off x="3415354" y="1280829"/>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97926BDF-476D-4588-BB1A-4C2FD6428713}" type="pres">
      <dgm:prSet presAssocID="{AD1FF847-5413-4631-860F-87E7AB293B11}" presName="ParentText" presStyleLbl="node1" presStyleIdx="1" presStyleCnt="6">
        <dgm:presLayoutVars>
          <dgm:chMax val="1"/>
          <dgm:chPref val="1"/>
          <dgm:bulletEnabled val="1"/>
        </dgm:presLayoutVars>
      </dgm:prSet>
      <dgm:spPr/>
    </dgm:pt>
    <dgm:pt modelId="{2FD84DE9-C658-429B-BEDF-916447823AFC}" type="pres">
      <dgm:prSet presAssocID="{AD1FF847-5413-4631-860F-87E7AB293B11}" presName="ChildText" presStyleLbl="revTx" presStyleIdx="1" presStyleCnt="5">
        <dgm:presLayoutVars>
          <dgm:chMax val="0"/>
          <dgm:chPref val="0"/>
          <dgm:bulletEnabled val="1"/>
        </dgm:presLayoutVars>
      </dgm:prSet>
      <dgm:spPr>
        <a:xfrm>
          <a:off x="2626453" y="746678"/>
          <a:ext cx="613860" cy="477500"/>
        </a:xfrm>
        <a:prstGeom prst="rect">
          <a:avLst/>
        </a:prstGeom>
        <a:noFill/>
        <a:ln>
          <a:noFill/>
        </a:ln>
        <a:effectLst/>
      </dgm:spPr>
    </dgm:pt>
    <dgm:pt modelId="{9378805D-C789-40E0-93A6-9104782523DD}" type="pres">
      <dgm:prSet presAssocID="{38E87066-FA9E-4E49-BD97-1ABBA802B1C8}" presName="sibTrans" presStyleCnt="0"/>
      <dgm:spPr/>
    </dgm:pt>
    <dgm:pt modelId="{17C89331-727A-4ADB-8AD8-B2561B597752}" type="pres">
      <dgm:prSet presAssocID="{4723CA8A-22C1-40AD-AD2C-E0C48491624F}" presName="composite" presStyleCnt="0"/>
      <dgm:spPr/>
    </dgm:pt>
    <dgm:pt modelId="{16B3345E-D4D1-493D-8146-9632D17B5DFD}" type="pres">
      <dgm:prSet presAssocID="{4723CA8A-22C1-40AD-AD2C-E0C48491624F}" presName="bentUpArrow1" presStyleLbl="alignImgPlace1" presStyleIdx="2" presStyleCnt="5"/>
      <dgm:spPr>
        <a:xfrm rot="10800000">
          <a:off x="2719826" y="1944477"/>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20CCB371-7B54-4C61-BB26-9E47F5383932}" type="pres">
      <dgm:prSet presAssocID="{4723CA8A-22C1-40AD-AD2C-E0C48491624F}" presName="ParentText" presStyleLbl="node1" presStyleIdx="2" presStyleCnt="6">
        <dgm:presLayoutVars>
          <dgm:chMax val="1"/>
          <dgm:chPref val="1"/>
          <dgm:bulletEnabled val="1"/>
        </dgm:presLayoutVars>
      </dgm:prSet>
      <dgm:spPr/>
    </dgm:pt>
    <dgm:pt modelId="{ACB8AE98-3A73-4389-A6E9-B8B1BD8EBE13}" type="pres">
      <dgm:prSet presAssocID="{4723CA8A-22C1-40AD-AD2C-E0C48491624F}" presName="ChildText" presStyleLbl="revTx" presStyleIdx="2" presStyleCnt="5">
        <dgm:presLayoutVars>
          <dgm:chMax val="0"/>
          <dgm:chPref val="0"/>
          <dgm:bulletEnabled val="1"/>
        </dgm:presLayoutVars>
      </dgm:prSet>
      <dgm:spPr>
        <a:xfrm>
          <a:off x="1930925" y="1410327"/>
          <a:ext cx="613860" cy="477500"/>
        </a:xfrm>
        <a:prstGeom prst="rect">
          <a:avLst/>
        </a:prstGeom>
        <a:noFill/>
        <a:ln>
          <a:noFill/>
        </a:ln>
        <a:effectLst/>
      </dgm:spPr>
    </dgm:pt>
    <dgm:pt modelId="{92980555-C066-43D3-9F0B-87A315096DC9}" type="pres">
      <dgm:prSet presAssocID="{E61F480B-4886-404C-AC49-7A2AEBAA01F8}" presName="sibTrans" presStyleCnt="0"/>
      <dgm:spPr/>
    </dgm:pt>
    <dgm:pt modelId="{BB68B6F3-9095-4FFE-B099-FE1D00F2F76A}" type="pres">
      <dgm:prSet presAssocID="{A5CE5C72-BDE8-478B-9ECE-301EF02F1F5B}" presName="composite" presStyleCnt="0"/>
      <dgm:spPr/>
    </dgm:pt>
    <dgm:pt modelId="{1657795B-9564-44C5-95C7-F38530C85934}" type="pres">
      <dgm:prSet presAssocID="{A5CE5C72-BDE8-478B-9ECE-301EF02F1F5B}" presName="bentUpArrow1" presStyleLbl="alignImgPlace1" presStyleIdx="3" presStyleCnt="5"/>
      <dgm:spPr>
        <a:xfrm rot="10800000">
          <a:off x="2024298" y="2608126"/>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041132FB-A276-4BBE-A532-FD1E33726745}" type="pres">
      <dgm:prSet presAssocID="{A5CE5C72-BDE8-478B-9ECE-301EF02F1F5B}" presName="ParentText" presStyleLbl="node1" presStyleIdx="3" presStyleCnt="6">
        <dgm:presLayoutVars>
          <dgm:chMax val="1"/>
          <dgm:chPref val="1"/>
          <dgm:bulletEnabled val="1"/>
        </dgm:presLayoutVars>
      </dgm:prSet>
      <dgm:spPr/>
    </dgm:pt>
    <dgm:pt modelId="{9DD771CC-A101-4859-8324-926451D7A8D9}" type="pres">
      <dgm:prSet presAssocID="{A5CE5C72-BDE8-478B-9ECE-301EF02F1F5B}" presName="ChildText" presStyleLbl="revTx" presStyleIdx="3" presStyleCnt="5">
        <dgm:presLayoutVars>
          <dgm:chMax val="0"/>
          <dgm:chPref val="0"/>
          <dgm:bulletEnabled val="1"/>
        </dgm:presLayoutVars>
      </dgm:prSet>
      <dgm:spPr>
        <a:xfrm>
          <a:off x="1235397" y="2073975"/>
          <a:ext cx="613860" cy="477500"/>
        </a:xfrm>
        <a:prstGeom prst="rect">
          <a:avLst/>
        </a:prstGeom>
        <a:noFill/>
        <a:ln>
          <a:noFill/>
        </a:ln>
        <a:effectLst/>
      </dgm:spPr>
    </dgm:pt>
    <dgm:pt modelId="{D973A5E6-558D-4633-B829-984FD6B901AB}" type="pres">
      <dgm:prSet presAssocID="{82D6D052-3342-4F97-A83A-847ADAEB40C2}" presName="sibTrans" presStyleCnt="0"/>
      <dgm:spPr/>
    </dgm:pt>
    <dgm:pt modelId="{56EFC04E-A46B-435A-A459-B3D22B055FF4}" type="pres">
      <dgm:prSet presAssocID="{DCC2FCC3-B2B4-4C84-90FF-2DC619AFE6DF}" presName="composite" presStyleCnt="0"/>
      <dgm:spPr/>
    </dgm:pt>
    <dgm:pt modelId="{CD637EAE-36A9-40D4-9204-2CDC040989E2}" type="pres">
      <dgm:prSet presAssocID="{DCC2FCC3-B2B4-4C84-90FF-2DC619AFE6DF}" presName="bentUpArrow1" presStyleLbl="alignImgPlace1" presStyleIdx="4" presStyleCnt="5"/>
      <dgm:spPr>
        <a:xfrm rot="10800000">
          <a:off x="1328770" y="3271775"/>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4A7ECEA7-0AA7-437E-93AC-DB7BE4E50516}" type="pres">
      <dgm:prSet presAssocID="{DCC2FCC3-B2B4-4C84-90FF-2DC619AFE6DF}" presName="ParentText" presStyleLbl="node1" presStyleIdx="4" presStyleCnt="6">
        <dgm:presLayoutVars>
          <dgm:chMax val="1"/>
          <dgm:chPref val="1"/>
          <dgm:bulletEnabled val="1"/>
        </dgm:presLayoutVars>
      </dgm:prSet>
      <dgm:spPr/>
    </dgm:pt>
    <dgm:pt modelId="{2832EDC6-63C9-4250-934C-BC268D90AE11}" type="pres">
      <dgm:prSet presAssocID="{DCC2FCC3-B2B4-4C84-90FF-2DC619AFE6DF}" presName="ChildText" presStyleLbl="revTx" presStyleIdx="4" presStyleCnt="5">
        <dgm:presLayoutVars>
          <dgm:chMax val="0"/>
          <dgm:chPref val="0"/>
          <dgm:bulletEnabled val="1"/>
        </dgm:presLayoutVars>
      </dgm:prSet>
      <dgm:spPr>
        <a:xfrm>
          <a:off x="539869" y="2737624"/>
          <a:ext cx="613860" cy="477500"/>
        </a:xfrm>
        <a:prstGeom prst="rect">
          <a:avLst/>
        </a:prstGeom>
        <a:noFill/>
        <a:ln>
          <a:noFill/>
        </a:ln>
        <a:effectLst/>
      </dgm:spPr>
    </dgm:pt>
    <dgm:pt modelId="{C638D2FD-FEEF-418B-A33A-5B660D9EE04E}" type="pres">
      <dgm:prSet presAssocID="{E90791AB-5173-41A7-BA4C-E229D11F6648}" presName="sibTrans" presStyleCnt="0"/>
      <dgm:spPr/>
    </dgm:pt>
    <dgm:pt modelId="{D3634AD3-642F-4047-AF52-24ED1B475AD9}" type="pres">
      <dgm:prSet presAssocID="{5CFA24BC-1C5B-434C-B52E-7B82C27616DC}" presName="composite" presStyleCnt="0"/>
      <dgm:spPr/>
    </dgm:pt>
    <dgm:pt modelId="{F659B238-C63F-42D6-BCCA-DC2634AFDF5F}" type="pres">
      <dgm:prSet presAssocID="{5CFA24BC-1C5B-434C-B52E-7B82C27616DC}" presName="ParentText" presStyleLbl="node1" presStyleIdx="5" presStyleCnt="6">
        <dgm:presLayoutVars>
          <dgm:chMax val="1"/>
          <dgm:chPref val="1"/>
          <dgm:bulletEnabled val="1"/>
        </dgm:presLayoutVars>
      </dgm:prSet>
      <dgm:spPr/>
    </dgm:pt>
  </dgm:ptLst>
  <dgm:cxnLst>
    <dgm:cxn modelId="{C31D8204-243C-49FE-92D4-D050AA017503}" type="presOf" srcId="{5CFA24BC-1C5B-434C-B52E-7B82C27616DC}" destId="{F659B238-C63F-42D6-BCCA-DC2634AFDF5F}" srcOrd="0" destOrd="0" presId="urn:microsoft.com/office/officeart/2005/8/layout/StepDownProcess"/>
    <dgm:cxn modelId="{46116B28-E49D-478A-B7B3-30B18E335E31}" srcId="{3482B5AE-EB0B-4687-97E8-330BFEE6A1B1}" destId="{4723CA8A-22C1-40AD-AD2C-E0C48491624F}" srcOrd="2" destOrd="0" parTransId="{0614D498-5641-4055-A470-5AA59989B2C3}" sibTransId="{E61F480B-4886-404C-AC49-7A2AEBAA01F8}"/>
    <dgm:cxn modelId="{2628AB2E-14BE-4AA9-9336-C56A78F04A91}" type="presOf" srcId="{3323B701-77F0-445E-B293-B162D12C5F5D}" destId="{E34845BE-947D-4CB8-AF2A-888B5F33F8A8}" srcOrd="0" destOrd="0" presId="urn:microsoft.com/office/officeart/2005/8/layout/StepDownProcess"/>
    <dgm:cxn modelId="{8CCB5530-A5C2-4B34-AF30-BF5102E3D1D7}" type="presOf" srcId="{3482B5AE-EB0B-4687-97E8-330BFEE6A1B1}" destId="{6F0BF13D-D522-4CAE-AF98-71EA2362C117}" srcOrd="0" destOrd="0" presId="urn:microsoft.com/office/officeart/2005/8/layout/StepDownProcess"/>
    <dgm:cxn modelId="{8AD65E6F-E683-4741-B725-55607B4B4A26}" srcId="{3482B5AE-EB0B-4687-97E8-330BFEE6A1B1}" destId="{A5CE5C72-BDE8-478B-9ECE-301EF02F1F5B}" srcOrd="3" destOrd="0" parTransId="{527F6AC2-3281-42D4-A19B-2A8E96E2D26C}" sibTransId="{82D6D052-3342-4F97-A83A-847ADAEB40C2}"/>
    <dgm:cxn modelId="{E3B0946F-DBFE-4159-A7E7-A94BAA286239}" srcId="{3482B5AE-EB0B-4687-97E8-330BFEE6A1B1}" destId="{3323B701-77F0-445E-B293-B162D12C5F5D}" srcOrd="0" destOrd="0" parTransId="{2A8B214E-1D1A-4FA3-9A54-14B84659FF45}" sibTransId="{2E2D52F9-562C-4C48-B494-241F653C0840}"/>
    <dgm:cxn modelId="{404C2155-4977-45AD-BCB3-A3F38B5E55C0}" srcId="{3482B5AE-EB0B-4687-97E8-330BFEE6A1B1}" destId="{DCC2FCC3-B2B4-4C84-90FF-2DC619AFE6DF}" srcOrd="4" destOrd="0" parTransId="{A4B542AB-C717-4F55-8F44-F500C6A354B4}" sibTransId="{E90791AB-5173-41A7-BA4C-E229D11F6648}"/>
    <dgm:cxn modelId="{F8D67076-E3C2-45DD-A6C0-223BC22ABB4E}" type="presOf" srcId="{4723CA8A-22C1-40AD-AD2C-E0C48491624F}" destId="{20CCB371-7B54-4C61-BB26-9E47F5383932}" srcOrd="0" destOrd="0" presId="urn:microsoft.com/office/officeart/2005/8/layout/StepDownProcess"/>
    <dgm:cxn modelId="{20CDAB94-31D9-438F-8252-724F280B1CB6}" type="presOf" srcId="{A5CE5C72-BDE8-478B-9ECE-301EF02F1F5B}" destId="{041132FB-A276-4BBE-A532-FD1E33726745}" srcOrd="0" destOrd="0" presId="urn:microsoft.com/office/officeart/2005/8/layout/StepDownProcess"/>
    <dgm:cxn modelId="{8EE01C99-8CFC-4737-9B92-AECD66FDD05D}" srcId="{3482B5AE-EB0B-4687-97E8-330BFEE6A1B1}" destId="{AD1FF847-5413-4631-860F-87E7AB293B11}" srcOrd="1" destOrd="0" parTransId="{1424BB25-BF8F-49C2-95ED-9EEB0E798E2F}" sibTransId="{38E87066-FA9E-4E49-BD97-1ABBA802B1C8}"/>
    <dgm:cxn modelId="{D92AD2B5-BA78-428E-BB91-43EAC5630171}" srcId="{3482B5AE-EB0B-4687-97E8-330BFEE6A1B1}" destId="{5CFA24BC-1C5B-434C-B52E-7B82C27616DC}" srcOrd="5" destOrd="0" parTransId="{3E608A2D-BBC2-406D-A76D-A02CD0BD9A6C}" sibTransId="{A3F23246-843F-449B-8C75-D4CE277B1D9C}"/>
    <dgm:cxn modelId="{3C2938E1-ACF5-4F69-AC04-EDC51452F725}" type="presOf" srcId="{DCC2FCC3-B2B4-4C84-90FF-2DC619AFE6DF}" destId="{4A7ECEA7-0AA7-437E-93AC-DB7BE4E50516}" srcOrd="0" destOrd="0" presId="urn:microsoft.com/office/officeart/2005/8/layout/StepDownProcess"/>
    <dgm:cxn modelId="{D29E02EB-A118-4205-A637-551C1063CBD1}" type="presOf" srcId="{AD1FF847-5413-4631-860F-87E7AB293B11}" destId="{97926BDF-476D-4588-BB1A-4C2FD6428713}" srcOrd="0" destOrd="0" presId="urn:microsoft.com/office/officeart/2005/8/layout/StepDownProcess"/>
    <dgm:cxn modelId="{956BEDB9-8D6E-4E16-862C-030D1AE3C31E}" type="presParOf" srcId="{6F0BF13D-D522-4CAE-AF98-71EA2362C117}" destId="{40260BBD-2E9E-4AC0-862D-8D689607BC1D}" srcOrd="0" destOrd="0" presId="urn:microsoft.com/office/officeart/2005/8/layout/StepDownProcess"/>
    <dgm:cxn modelId="{5A8671EF-5F8B-4E9B-B948-7A199831B44B}" type="presParOf" srcId="{40260BBD-2E9E-4AC0-862D-8D689607BC1D}" destId="{A4546CE4-79E5-47FF-A705-9B971619E77E}" srcOrd="0" destOrd="0" presId="urn:microsoft.com/office/officeart/2005/8/layout/StepDownProcess"/>
    <dgm:cxn modelId="{EF802D14-BF5C-4340-B616-0FD676F34605}" type="presParOf" srcId="{40260BBD-2E9E-4AC0-862D-8D689607BC1D}" destId="{E34845BE-947D-4CB8-AF2A-888B5F33F8A8}" srcOrd="1" destOrd="0" presId="urn:microsoft.com/office/officeart/2005/8/layout/StepDownProcess"/>
    <dgm:cxn modelId="{315C3CE0-44D9-4482-A2E4-D1C692B2B4A5}" type="presParOf" srcId="{40260BBD-2E9E-4AC0-862D-8D689607BC1D}" destId="{608A1C7E-06F1-4359-B321-2FF6184D5038}" srcOrd="2" destOrd="0" presId="urn:microsoft.com/office/officeart/2005/8/layout/StepDownProcess"/>
    <dgm:cxn modelId="{F7D5F315-21BC-463E-BCD1-0888BFC3B7B0}" type="presParOf" srcId="{6F0BF13D-D522-4CAE-AF98-71EA2362C117}" destId="{040B1118-9F74-420B-A41C-37A394A4F623}" srcOrd="1" destOrd="0" presId="urn:microsoft.com/office/officeart/2005/8/layout/StepDownProcess"/>
    <dgm:cxn modelId="{692570BC-9606-4451-90AE-2BED698091C9}" type="presParOf" srcId="{6F0BF13D-D522-4CAE-AF98-71EA2362C117}" destId="{19560F48-DD5E-445E-87A2-D56036347C75}" srcOrd="2" destOrd="0" presId="urn:microsoft.com/office/officeart/2005/8/layout/StepDownProcess"/>
    <dgm:cxn modelId="{7FFD970B-E5A6-4A05-9D5B-F5E57206D2D2}" type="presParOf" srcId="{19560F48-DD5E-445E-87A2-D56036347C75}" destId="{6DDD5E2E-25F3-4EA2-B962-664BE2213DFD}" srcOrd="0" destOrd="0" presId="urn:microsoft.com/office/officeart/2005/8/layout/StepDownProcess"/>
    <dgm:cxn modelId="{C39D700B-2430-4E3F-A2CE-800F1DCA1AF0}" type="presParOf" srcId="{19560F48-DD5E-445E-87A2-D56036347C75}" destId="{97926BDF-476D-4588-BB1A-4C2FD6428713}" srcOrd="1" destOrd="0" presId="urn:microsoft.com/office/officeart/2005/8/layout/StepDownProcess"/>
    <dgm:cxn modelId="{5AFB8558-805D-46AD-8490-541ACEC48906}" type="presParOf" srcId="{19560F48-DD5E-445E-87A2-D56036347C75}" destId="{2FD84DE9-C658-429B-BEDF-916447823AFC}" srcOrd="2" destOrd="0" presId="urn:microsoft.com/office/officeart/2005/8/layout/StepDownProcess"/>
    <dgm:cxn modelId="{01F6E15C-88B5-4F18-B418-E222D8C5AD02}" type="presParOf" srcId="{6F0BF13D-D522-4CAE-AF98-71EA2362C117}" destId="{9378805D-C789-40E0-93A6-9104782523DD}" srcOrd="3" destOrd="0" presId="urn:microsoft.com/office/officeart/2005/8/layout/StepDownProcess"/>
    <dgm:cxn modelId="{F3FC66AB-56C2-4B62-AEFE-B1040011F305}" type="presParOf" srcId="{6F0BF13D-D522-4CAE-AF98-71EA2362C117}" destId="{17C89331-727A-4ADB-8AD8-B2561B597752}" srcOrd="4" destOrd="0" presId="urn:microsoft.com/office/officeart/2005/8/layout/StepDownProcess"/>
    <dgm:cxn modelId="{7651FAF5-8B26-4ABD-AC86-98D818EEE78C}" type="presParOf" srcId="{17C89331-727A-4ADB-8AD8-B2561B597752}" destId="{16B3345E-D4D1-493D-8146-9632D17B5DFD}" srcOrd="0" destOrd="0" presId="urn:microsoft.com/office/officeart/2005/8/layout/StepDownProcess"/>
    <dgm:cxn modelId="{14479AF4-B849-431E-BD13-66E7EF314F54}" type="presParOf" srcId="{17C89331-727A-4ADB-8AD8-B2561B597752}" destId="{20CCB371-7B54-4C61-BB26-9E47F5383932}" srcOrd="1" destOrd="0" presId="urn:microsoft.com/office/officeart/2005/8/layout/StepDownProcess"/>
    <dgm:cxn modelId="{1D9D7B4F-6927-49CD-B601-B9978A208A87}" type="presParOf" srcId="{17C89331-727A-4ADB-8AD8-B2561B597752}" destId="{ACB8AE98-3A73-4389-A6E9-B8B1BD8EBE13}" srcOrd="2" destOrd="0" presId="urn:microsoft.com/office/officeart/2005/8/layout/StepDownProcess"/>
    <dgm:cxn modelId="{85090173-38C4-4535-A611-029A2C7D43C5}" type="presParOf" srcId="{6F0BF13D-D522-4CAE-AF98-71EA2362C117}" destId="{92980555-C066-43D3-9F0B-87A315096DC9}" srcOrd="5" destOrd="0" presId="urn:microsoft.com/office/officeart/2005/8/layout/StepDownProcess"/>
    <dgm:cxn modelId="{CAF7AF11-D45B-4D75-9FB9-B5AACF52114D}" type="presParOf" srcId="{6F0BF13D-D522-4CAE-AF98-71EA2362C117}" destId="{BB68B6F3-9095-4FFE-B099-FE1D00F2F76A}" srcOrd="6" destOrd="0" presId="urn:microsoft.com/office/officeart/2005/8/layout/StepDownProcess"/>
    <dgm:cxn modelId="{CA6D6CEA-B26B-4C30-A3A7-B4FE3C70CCCF}" type="presParOf" srcId="{BB68B6F3-9095-4FFE-B099-FE1D00F2F76A}" destId="{1657795B-9564-44C5-95C7-F38530C85934}" srcOrd="0" destOrd="0" presId="urn:microsoft.com/office/officeart/2005/8/layout/StepDownProcess"/>
    <dgm:cxn modelId="{CC1B1355-5E04-4E59-AF99-B41628FB743C}" type="presParOf" srcId="{BB68B6F3-9095-4FFE-B099-FE1D00F2F76A}" destId="{041132FB-A276-4BBE-A532-FD1E33726745}" srcOrd="1" destOrd="0" presId="urn:microsoft.com/office/officeart/2005/8/layout/StepDownProcess"/>
    <dgm:cxn modelId="{8F84F646-14A8-4A6E-8419-ACE4ADB3520C}" type="presParOf" srcId="{BB68B6F3-9095-4FFE-B099-FE1D00F2F76A}" destId="{9DD771CC-A101-4859-8324-926451D7A8D9}" srcOrd="2" destOrd="0" presId="urn:microsoft.com/office/officeart/2005/8/layout/StepDownProcess"/>
    <dgm:cxn modelId="{B69C21E8-6CF5-446F-9B5B-211E9A47DC92}" type="presParOf" srcId="{6F0BF13D-D522-4CAE-AF98-71EA2362C117}" destId="{D973A5E6-558D-4633-B829-984FD6B901AB}" srcOrd="7" destOrd="0" presId="urn:microsoft.com/office/officeart/2005/8/layout/StepDownProcess"/>
    <dgm:cxn modelId="{53840C97-CCCB-4E85-8E41-728C18392AE2}" type="presParOf" srcId="{6F0BF13D-D522-4CAE-AF98-71EA2362C117}" destId="{56EFC04E-A46B-435A-A459-B3D22B055FF4}" srcOrd="8" destOrd="0" presId="urn:microsoft.com/office/officeart/2005/8/layout/StepDownProcess"/>
    <dgm:cxn modelId="{3DFBC4B2-1503-49EE-A7D4-0AF5B12A0728}" type="presParOf" srcId="{56EFC04E-A46B-435A-A459-B3D22B055FF4}" destId="{CD637EAE-36A9-40D4-9204-2CDC040989E2}" srcOrd="0" destOrd="0" presId="urn:microsoft.com/office/officeart/2005/8/layout/StepDownProcess"/>
    <dgm:cxn modelId="{72E395D4-DADF-4716-B5B0-1A4661D10D7B}" type="presParOf" srcId="{56EFC04E-A46B-435A-A459-B3D22B055FF4}" destId="{4A7ECEA7-0AA7-437E-93AC-DB7BE4E50516}" srcOrd="1" destOrd="0" presId="urn:microsoft.com/office/officeart/2005/8/layout/StepDownProcess"/>
    <dgm:cxn modelId="{A1896935-0C98-48EE-9C66-5F4842632CB8}" type="presParOf" srcId="{56EFC04E-A46B-435A-A459-B3D22B055FF4}" destId="{2832EDC6-63C9-4250-934C-BC268D90AE11}" srcOrd="2" destOrd="0" presId="urn:microsoft.com/office/officeart/2005/8/layout/StepDownProcess"/>
    <dgm:cxn modelId="{57C4555C-45B6-459A-A1D4-0038A176ACF6}" type="presParOf" srcId="{6F0BF13D-D522-4CAE-AF98-71EA2362C117}" destId="{C638D2FD-FEEF-418B-A33A-5B660D9EE04E}" srcOrd="9" destOrd="0" presId="urn:microsoft.com/office/officeart/2005/8/layout/StepDownProcess"/>
    <dgm:cxn modelId="{B06719D6-E149-4009-8B34-85AFD1634AC1}" type="presParOf" srcId="{6F0BF13D-D522-4CAE-AF98-71EA2362C117}" destId="{D3634AD3-642F-4047-AF52-24ED1B475AD9}" srcOrd="10" destOrd="0" presId="urn:microsoft.com/office/officeart/2005/8/layout/StepDownProcess"/>
    <dgm:cxn modelId="{3DFED72C-9C20-458A-9E54-790F7CD34E5B}" type="presParOf" srcId="{D3634AD3-642F-4047-AF52-24ED1B475AD9}" destId="{F659B238-C63F-42D6-BCCA-DC2634AFDF5F}" srcOrd="0" destOrd="0" presId="urn:microsoft.com/office/officeart/2005/8/layout/StepDownProces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546CE4-79E5-47FF-A705-9B971619E77E}">
      <dsp:nvSpPr>
        <dsp:cNvPr id="0" name=""/>
        <dsp:cNvSpPr/>
      </dsp:nvSpPr>
      <dsp:spPr>
        <a:xfrm rot="10800000">
          <a:off x="4110882" y="617180"/>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E34845BE-947D-4CB8-AF2A-888B5F33F8A8}">
      <dsp:nvSpPr>
        <dsp:cNvPr id="0" name=""/>
        <dsp:cNvSpPr/>
      </dsp:nvSpPr>
      <dsp:spPr>
        <a:xfrm>
          <a:off x="3926977" y="26684"/>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החלטת הממשלה 1278 לשנים 2027-2022</a:t>
          </a:r>
        </a:p>
      </dsp:txBody>
      <dsp:txXfrm>
        <a:off x="3955822" y="55529"/>
        <a:ext cx="786330" cy="533097"/>
      </dsp:txXfrm>
    </dsp:sp>
    <dsp:sp modelId="{608A1C7E-06F1-4359-B321-2FF6184D5038}">
      <dsp:nvSpPr>
        <dsp:cNvPr id="0" name=""/>
        <dsp:cNvSpPr/>
      </dsp:nvSpPr>
      <dsp:spPr>
        <a:xfrm>
          <a:off x="3321981" y="83029"/>
          <a:ext cx="613860" cy="477500"/>
        </a:xfrm>
        <a:prstGeom prst="rect">
          <a:avLst/>
        </a:prstGeom>
        <a:noFill/>
        <a:ln>
          <a:noFill/>
        </a:ln>
        <a:effectLst/>
      </dsp:spPr>
      <dsp:style>
        <a:lnRef idx="0">
          <a:scrgbClr r="0" g="0" b="0"/>
        </a:lnRef>
        <a:fillRef idx="0">
          <a:scrgbClr r="0" g="0" b="0"/>
        </a:fillRef>
        <a:effectRef idx="0">
          <a:scrgbClr r="0" g="0" b="0"/>
        </a:effectRef>
        <a:fontRef idx="minor"/>
      </dsp:style>
    </dsp:sp>
    <dsp:sp modelId="{6DDD5E2E-25F3-4EA2-B962-664BE2213DFD}">
      <dsp:nvSpPr>
        <dsp:cNvPr id="0" name=""/>
        <dsp:cNvSpPr/>
      </dsp:nvSpPr>
      <dsp:spPr>
        <a:xfrm rot="10800000">
          <a:off x="3415354" y="1280829"/>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97926BDF-476D-4588-BB1A-4C2FD6428713}">
      <dsp:nvSpPr>
        <dsp:cNvPr id="0" name=""/>
        <dsp:cNvSpPr/>
      </dsp:nvSpPr>
      <dsp:spPr>
        <a:xfrm>
          <a:off x="3231449" y="690333"/>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התקציב לשנת 2023: 50 מיליון ש"ח</a:t>
          </a:r>
        </a:p>
      </dsp:txBody>
      <dsp:txXfrm>
        <a:off x="3260294" y="719178"/>
        <a:ext cx="786330" cy="533097"/>
      </dsp:txXfrm>
    </dsp:sp>
    <dsp:sp modelId="{2FD84DE9-C658-429B-BEDF-916447823AFC}">
      <dsp:nvSpPr>
        <dsp:cNvPr id="0" name=""/>
        <dsp:cNvSpPr/>
      </dsp:nvSpPr>
      <dsp:spPr>
        <a:xfrm>
          <a:off x="2626453" y="746678"/>
          <a:ext cx="613860" cy="477500"/>
        </a:xfrm>
        <a:prstGeom prst="rect">
          <a:avLst/>
        </a:prstGeom>
        <a:noFill/>
        <a:ln>
          <a:noFill/>
        </a:ln>
        <a:effectLst/>
      </dsp:spPr>
      <dsp:style>
        <a:lnRef idx="0">
          <a:scrgbClr r="0" g="0" b="0"/>
        </a:lnRef>
        <a:fillRef idx="0">
          <a:scrgbClr r="0" g="0" b="0"/>
        </a:fillRef>
        <a:effectRef idx="0">
          <a:scrgbClr r="0" g="0" b="0"/>
        </a:effectRef>
        <a:fontRef idx="minor"/>
      </dsp:style>
    </dsp:sp>
    <dsp:sp modelId="{16B3345E-D4D1-493D-8146-9632D17B5DFD}">
      <dsp:nvSpPr>
        <dsp:cNvPr id="0" name=""/>
        <dsp:cNvSpPr/>
      </dsp:nvSpPr>
      <dsp:spPr>
        <a:xfrm rot="10800000">
          <a:off x="2719826" y="1944477"/>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20CCB371-7B54-4C61-BB26-9E47F5383932}">
      <dsp:nvSpPr>
        <dsp:cNvPr id="0" name=""/>
        <dsp:cNvSpPr/>
      </dsp:nvSpPr>
      <dsp:spPr>
        <a:xfrm>
          <a:off x="2535921" y="1353982"/>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35 זכאים הגישו בקשות לאישור מענקים וסבסוד ריבית להלוואות</a:t>
          </a:r>
        </a:p>
      </dsp:txBody>
      <dsp:txXfrm>
        <a:off x="2564766" y="1382827"/>
        <a:ext cx="786330" cy="533097"/>
      </dsp:txXfrm>
    </dsp:sp>
    <dsp:sp modelId="{ACB8AE98-3A73-4389-A6E9-B8B1BD8EBE13}">
      <dsp:nvSpPr>
        <dsp:cNvPr id="0" name=""/>
        <dsp:cNvSpPr/>
      </dsp:nvSpPr>
      <dsp:spPr>
        <a:xfrm>
          <a:off x="1930925" y="1410327"/>
          <a:ext cx="613860" cy="477500"/>
        </a:xfrm>
        <a:prstGeom prst="rect">
          <a:avLst/>
        </a:prstGeom>
        <a:noFill/>
        <a:ln>
          <a:noFill/>
        </a:ln>
        <a:effectLst/>
      </dsp:spPr>
      <dsp:style>
        <a:lnRef idx="0">
          <a:scrgbClr r="0" g="0" b="0"/>
        </a:lnRef>
        <a:fillRef idx="0">
          <a:scrgbClr r="0" g="0" b="0"/>
        </a:fillRef>
        <a:effectRef idx="0">
          <a:scrgbClr r="0" g="0" b="0"/>
        </a:effectRef>
        <a:fontRef idx="minor"/>
      </dsp:style>
    </dsp:sp>
    <dsp:sp modelId="{1657795B-9564-44C5-95C7-F38530C85934}">
      <dsp:nvSpPr>
        <dsp:cNvPr id="0" name=""/>
        <dsp:cNvSpPr/>
      </dsp:nvSpPr>
      <dsp:spPr>
        <a:xfrm rot="10800000">
          <a:off x="2024298" y="2608126"/>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041132FB-A276-4BBE-A532-FD1E33726745}">
      <dsp:nvSpPr>
        <dsp:cNvPr id="0" name=""/>
        <dsp:cNvSpPr/>
      </dsp:nvSpPr>
      <dsp:spPr>
        <a:xfrm>
          <a:off x="1840393" y="2017630"/>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כולן אושרו</a:t>
          </a:r>
          <a:r>
            <a:rPr lang="en-US" sz="800" kern="1200">
              <a:solidFill>
                <a:sysClr val="window" lastClr="FFFFFF"/>
              </a:solidFill>
              <a:latin typeface="Calibri"/>
              <a:ea typeface="+mn-ea"/>
              <a:cs typeface="Calibri"/>
            </a:rPr>
            <a:t>;</a:t>
          </a:r>
          <a:r>
            <a:rPr lang="he-IL" sz="800" kern="1200">
              <a:solidFill>
                <a:sysClr val="window" lastClr="FFFFFF"/>
              </a:solidFill>
              <a:latin typeface="Calibri"/>
              <a:ea typeface="+mn-ea"/>
              <a:cs typeface="Arial" panose="020B0604020202020204" pitchFamily="34" charset="0"/>
            </a:rPr>
            <a:t> 13 זכאים למענקים </a:t>
          </a:r>
          <a:br>
            <a:rPr lang="en-US" sz="800" kern="1200">
              <a:solidFill>
                <a:sysClr val="window" lastClr="FFFFFF"/>
              </a:solidFill>
              <a:latin typeface="Calibri"/>
              <a:ea typeface="+mn-ea"/>
              <a:cs typeface="Calibri"/>
            </a:rPr>
          </a:br>
          <a:r>
            <a:rPr lang="he-IL" sz="800" kern="1200">
              <a:solidFill>
                <a:sysClr val="window" lastClr="FFFFFF"/>
              </a:solidFill>
              <a:latin typeface="Calibri"/>
              <a:ea typeface="+mn-ea"/>
              <a:cs typeface="Arial" panose="020B0604020202020204" pitchFamily="34" charset="0"/>
            </a:rPr>
            <a:t>ו-22 זכאים להלוואות</a:t>
          </a:r>
        </a:p>
      </dsp:txBody>
      <dsp:txXfrm>
        <a:off x="1869238" y="2046475"/>
        <a:ext cx="786330" cy="533097"/>
      </dsp:txXfrm>
    </dsp:sp>
    <dsp:sp modelId="{9DD771CC-A101-4859-8324-926451D7A8D9}">
      <dsp:nvSpPr>
        <dsp:cNvPr id="0" name=""/>
        <dsp:cNvSpPr/>
      </dsp:nvSpPr>
      <dsp:spPr>
        <a:xfrm>
          <a:off x="1235397" y="2073975"/>
          <a:ext cx="613860" cy="477500"/>
        </a:xfrm>
        <a:prstGeom prst="rect">
          <a:avLst/>
        </a:prstGeom>
        <a:noFill/>
        <a:ln>
          <a:noFill/>
        </a:ln>
        <a:effectLst/>
      </dsp:spPr>
      <dsp:style>
        <a:lnRef idx="0">
          <a:scrgbClr r="0" g="0" b="0"/>
        </a:lnRef>
        <a:fillRef idx="0">
          <a:scrgbClr r="0" g="0" b="0"/>
        </a:fillRef>
        <a:effectRef idx="0">
          <a:scrgbClr r="0" g="0" b="0"/>
        </a:effectRef>
        <a:fontRef idx="minor"/>
      </dsp:style>
    </dsp:sp>
    <dsp:sp modelId="{CD637EAE-36A9-40D4-9204-2CDC040989E2}">
      <dsp:nvSpPr>
        <dsp:cNvPr id="0" name=""/>
        <dsp:cNvSpPr/>
      </dsp:nvSpPr>
      <dsp:spPr>
        <a:xfrm rot="10800000">
          <a:off x="1328770" y="3271775"/>
          <a:ext cx="570797" cy="501375"/>
        </a:xfrm>
        <a:prstGeom prst="bentArrow">
          <a:avLst>
            <a:gd name="adj1" fmla="val 32840"/>
            <a:gd name="adj2" fmla="val 25000"/>
            <a:gd name="adj3" fmla="val 35780"/>
            <a:gd name="adj4" fmla="val 0"/>
          </a:avLst>
        </a:prstGeom>
        <a:solidFill>
          <a:srgbClr val="4F81BD">
            <a:tint val="50000"/>
            <a:hueOff val="0"/>
            <a:satOff val="0"/>
            <a:lumOff val="0"/>
            <a:alphaOff val="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4A7ECEA7-0AA7-437E-93AC-DB7BE4E50516}">
      <dsp:nvSpPr>
        <dsp:cNvPr id="0" name=""/>
        <dsp:cNvSpPr/>
      </dsp:nvSpPr>
      <dsp:spPr>
        <a:xfrm>
          <a:off x="1144865" y="2681279"/>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זכאי אחד מימש את הסיוע</a:t>
          </a:r>
          <a:r>
            <a:rPr lang="en-US" sz="800" kern="1200">
              <a:solidFill>
                <a:sysClr val="window" lastClr="FFFFFF"/>
              </a:solidFill>
              <a:latin typeface="Calibri"/>
              <a:ea typeface="+mn-ea"/>
              <a:cs typeface="Calibri"/>
            </a:rPr>
            <a:t>;</a:t>
          </a:r>
          <a:r>
            <a:rPr lang="he-IL" sz="800" kern="1200">
              <a:solidFill>
                <a:sysClr val="window" lastClr="FFFFFF"/>
              </a:solidFill>
              <a:latin typeface="Calibri"/>
              <a:ea typeface="+mn-ea"/>
              <a:cs typeface="Arial" panose="020B0604020202020204" pitchFamily="34" charset="0"/>
            </a:rPr>
            <a:t> מענק בסך 158,000 ש"ח</a:t>
          </a:r>
        </a:p>
      </dsp:txBody>
      <dsp:txXfrm>
        <a:off x="1173710" y="2710124"/>
        <a:ext cx="786330" cy="533097"/>
      </dsp:txXfrm>
    </dsp:sp>
    <dsp:sp modelId="{2832EDC6-63C9-4250-934C-BC268D90AE11}">
      <dsp:nvSpPr>
        <dsp:cNvPr id="0" name=""/>
        <dsp:cNvSpPr/>
      </dsp:nvSpPr>
      <dsp:spPr>
        <a:xfrm>
          <a:off x="539869" y="2737624"/>
          <a:ext cx="613860" cy="477500"/>
        </a:xfrm>
        <a:prstGeom prst="rect">
          <a:avLst/>
        </a:prstGeom>
        <a:noFill/>
        <a:ln>
          <a:noFill/>
        </a:ln>
        <a:effectLst/>
      </dsp:spPr>
      <dsp:style>
        <a:lnRef idx="0">
          <a:scrgbClr r="0" g="0" b="0"/>
        </a:lnRef>
        <a:fillRef idx="0">
          <a:scrgbClr r="0" g="0" b="0"/>
        </a:fillRef>
        <a:effectRef idx="0">
          <a:scrgbClr r="0" g="0" b="0"/>
        </a:effectRef>
        <a:fontRef idx="minor"/>
      </dsp:style>
    </dsp:sp>
    <dsp:sp modelId="{F659B238-C63F-42D6-BCCA-DC2634AFDF5F}">
      <dsp:nvSpPr>
        <dsp:cNvPr id="0" name=""/>
        <dsp:cNvSpPr/>
      </dsp:nvSpPr>
      <dsp:spPr>
        <a:xfrm>
          <a:off x="449337" y="3344928"/>
          <a:ext cx="844020" cy="590787"/>
        </a:xfrm>
        <a:prstGeom prst="roundRect">
          <a:avLst>
            <a:gd name="adj" fmla="val 1667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rtl="1">
            <a:lnSpc>
              <a:spcPct val="90000"/>
            </a:lnSpc>
            <a:spcBef>
              <a:spcPct val="0"/>
            </a:spcBef>
            <a:spcAft>
              <a:spcPct val="35000"/>
            </a:spcAft>
            <a:buNone/>
          </a:pPr>
          <a:r>
            <a:rPr lang="he-IL" sz="800" kern="1200">
              <a:solidFill>
                <a:sysClr val="window" lastClr="FFFFFF"/>
              </a:solidFill>
              <a:latin typeface="Calibri"/>
              <a:ea typeface="+mn-ea"/>
              <a:cs typeface="Arial" panose="020B0604020202020204" pitchFamily="34" charset="0"/>
            </a:rPr>
            <a:t>49.84 מיליון ש"ח לא נוצלו</a:t>
          </a:r>
        </a:p>
      </dsp:txBody>
      <dsp:txXfrm>
        <a:off x="478182" y="3373773"/>
        <a:ext cx="786330" cy="533097"/>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B5E1FAE-6044-41D8-929F-99663C7E91BD}">
  <ds:schemaRefs>
    <ds:schemaRef ds:uri="http://schemas.openxmlformats.org/officeDocument/2006/bibliography"/>
  </ds:schemaRefs>
</ds:datastoreItem>
</file>

<file path=customXml/itemProps2.xml><?xml version="1.0" encoding="utf-8"?>
<ds:datastoreItem xmlns:ds="http://schemas.openxmlformats.org/officeDocument/2006/customXml" ds:itemID="{C0BEB2BB-509E-40A7-8A9F-96AB69207DFE}"/>
</file>

<file path=customXml/itemProps3.xml><?xml version="1.0" encoding="utf-8"?>
<ds:datastoreItem xmlns:ds="http://schemas.openxmlformats.org/officeDocument/2006/customXml" ds:itemID="{D79320D6-9D94-410B-A50E-DD3EC265A2F4}"/>
</file>

<file path=customXml/itemProps4.xml><?xml version="1.0" encoding="utf-8"?>
<ds:datastoreItem xmlns:ds="http://schemas.openxmlformats.org/officeDocument/2006/customXml" ds:itemID="{DCA979ED-59C2-4919-BF84-80DA4E4D2A93}"/>
</file>

<file path=docProps/app.xml><?xml version="1.0" encoding="utf-8"?>
<Properties xmlns="http://schemas.openxmlformats.org/officeDocument/2006/extended-properties" xmlns:vt="http://schemas.openxmlformats.org/officeDocument/2006/docPropsVTypes">
  <Template>Normal</Template>
  <TotalTime>36</TotalTime>
  <Pages>107</Pages>
  <Words>28927</Words>
  <Characters>144637</Characters>
  <Application>Microsoft Office Word</Application>
  <DocSecurity>0</DocSecurity>
  <Lines>1205</Lines>
  <Paragraphs>346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173218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מירב יקיר</dc:creator>
  <cp:lastModifiedBy>שלומית סבן</cp:lastModifiedBy>
  <cp:revision>10</cp:revision>
  <dcterms:created xsi:type="dcterms:W3CDTF">2025-12-30T06:56:00Z</dcterms:created>
  <dcterms:modified xsi:type="dcterms:W3CDTF">2026-01-01T11:59:00Z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