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414E" w:rsidRDefault="00C71BCA" w:rsidP="006E1414">
      <w:pPr>
        <w:spacing w:before="3480" w:after="2040" w:line="800" w:lineRule="exact"/>
        <w:jc w:val="center"/>
        <w:rPr>
          <w:rFonts w:ascii="Calibri" w:hAnsi="Calibri" w:cs="Calibri"/>
          <w:b/>
          <w:bCs/>
          <w:color w:val="002060"/>
          <w:sz w:val="80"/>
          <w:szCs w:val="80"/>
          <w:rtl/>
        </w:rPr>
        <w:sectPr w:rsidR="00FB414E" w:rsidSect="00FB414E">
          <w:headerReference w:type="even" r:id="rId8"/>
          <w:headerReference w:type="default" r:id="rId9"/>
          <w:footerReference w:type="even" r:id="rId10"/>
          <w:footerReference w:type="default" r:id="rId11"/>
          <w:headerReference w:type="first" r:id="rId12"/>
          <w:footerReference w:type="first" r:id="rId13"/>
          <w:pgSz w:w="11340" w:h="14175" w:code="9"/>
          <w:pgMar w:top="2268" w:right="1276" w:bottom="1588" w:left="1134" w:header="709" w:footer="709" w:gutter="0"/>
          <w:cols w:space="708"/>
          <w:titlePg/>
          <w:bidi/>
          <w:rtlGutter/>
          <w:docGrid w:linePitch="360"/>
        </w:sectPr>
      </w:pPr>
      <w:r>
        <w:rPr>
          <w:rFonts w:ascii="Calibri" w:hAnsi="Calibri" w:cs="Calibri" w:hint="cs"/>
          <w:b/>
          <w:bCs/>
          <w:color w:val="002060"/>
          <w:sz w:val="80"/>
          <w:szCs w:val="80"/>
          <w:rtl/>
        </w:rPr>
        <w:t>פינוי אוכלוסייה וקליטתה</w:t>
      </w:r>
      <w:r w:rsidR="00A52A7A">
        <w:rPr>
          <w:rFonts w:ascii="Calibri" w:hAnsi="Calibri" w:cs="Calibri" w:hint="cs"/>
          <w:b/>
          <w:bCs/>
          <w:color w:val="002060"/>
          <w:sz w:val="80"/>
          <w:szCs w:val="80"/>
          <w:rtl/>
        </w:rPr>
        <w:t xml:space="preserve"> ברשויות המקומיות</w:t>
      </w:r>
    </w:p>
    <w:p w:rsidR="00A5605A" w:rsidRDefault="00A5605A" w:rsidP="00A30B00">
      <w:pPr>
        <w:spacing w:after="160" w:line="259" w:lineRule="auto"/>
        <w:jc w:val="left"/>
        <w:rPr>
          <w:rFonts w:ascii="Tahoma" w:hAnsi="Tahoma" w:cs="Tahoma"/>
          <w:sz w:val="19"/>
          <w:szCs w:val="19"/>
          <w:rtl/>
        </w:rPr>
      </w:pPr>
      <w:bookmarkStart w:id="0" w:name="_Hlk192594390"/>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1C33F8" w:rsidRDefault="00901CAD" w:rsidP="00901CAD">
      <w:pPr>
        <w:spacing w:line="560" w:lineRule="exact"/>
        <w:ind w:left="1701" w:right="1843"/>
        <w:jc w:val="center"/>
        <w:rPr>
          <w:rFonts w:ascii="Tahoma" w:hAnsi="Tahoma" w:cs="Tahoma"/>
          <w:sz w:val="19"/>
          <w:szCs w:val="19"/>
          <w:rtl/>
        </w:rPr>
      </w:pPr>
      <w:r w:rsidRPr="00901CAD">
        <w:rPr>
          <w:rFonts w:ascii="Calibri" w:hAnsi="Calibri" w:cs="Calibri"/>
          <w:b/>
          <w:bCs/>
          <w:color w:val="002060"/>
          <w:sz w:val="56"/>
          <w:szCs w:val="56"/>
          <w:rtl/>
        </w:rPr>
        <w:t>מהלך האירועים, הנורמות והגופים המבוקרים</w:t>
      </w: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jc w:val="center"/>
        <w:rPr>
          <w:rFonts w:ascii="Tahoma" w:hAnsi="Tahoma" w:cs="Tahoma"/>
          <w:sz w:val="19"/>
          <w:szCs w:val="19"/>
          <w:rtl/>
        </w:rPr>
      </w:pPr>
    </w:p>
    <w:p w:rsidR="001C33F8" w:rsidRDefault="001C33F8" w:rsidP="001C33F8">
      <w:pPr>
        <w:bidi w:val="0"/>
        <w:spacing w:after="200" w:line="276" w:lineRule="auto"/>
        <w:jc w:val="center"/>
        <w:rPr>
          <w:rFonts w:ascii="Tahoma" w:hAnsi="Tahoma" w:cs="Tahoma"/>
          <w:sz w:val="19"/>
          <w:szCs w:val="19"/>
          <w:rtl/>
        </w:rPr>
      </w:pPr>
    </w:p>
    <w:p w:rsidR="001C33F8" w:rsidRDefault="001C33F8" w:rsidP="001C33F8">
      <w:pPr>
        <w:bidi w:val="0"/>
        <w:spacing w:after="200" w:line="276" w:lineRule="auto"/>
        <w:jc w:val="center"/>
        <w:rPr>
          <w:rFonts w:ascii="Tahoma" w:hAnsi="Tahoma" w:cs="Tahoma"/>
          <w:sz w:val="19"/>
          <w:szCs w:val="19"/>
          <w:rtl/>
        </w:rPr>
      </w:pPr>
    </w:p>
    <w:p w:rsidR="001C33F8" w:rsidRDefault="001C33F8" w:rsidP="001C33F8">
      <w:pPr>
        <w:spacing w:after="200" w:line="276" w:lineRule="auto"/>
        <w:jc w:val="center"/>
        <w:rPr>
          <w:rFonts w:asciiTheme="minorBidi" w:hAnsiTheme="minorBidi" w:cstheme="minorBidi"/>
          <w:color w:val="0F243E" w:themeColor="text2" w:themeShade="80"/>
          <w:sz w:val="22"/>
          <w:szCs w:val="22"/>
          <w:rtl/>
        </w:rPr>
      </w:pPr>
    </w:p>
    <w:p w:rsidR="00FA6EDC" w:rsidRDefault="00FA6EDC" w:rsidP="001C33F8">
      <w:pPr>
        <w:spacing w:after="200" w:line="276" w:lineRule="auto"/>
        <w:jc w:val="center"/>
        <w:rPr>
          <w:rFonts w:asciiTheme="minorBidi" w:hAnsiTheme="minorBidi" w:cstheme="minorBidi"/>
          <w:color w:val="0F243E" w:themeColor="text2" w:themeShade="80"/>
          <w:sz w:val="22"/>
          <w:szCs w:val="22"/>
          <w:rtl/>
        </w:rPr>
      </w:pPr>
    </w:p>
    <w:p w:rsidR="00F521BA" w:rsidRDefault="00F521BA" w:rsidP="001C33F8">
      <w:pPr>
        <w:spacing w:after="200" w:line="276" w:lineRule="auto"/>
        <w:jc w:val="center"/>
        <w:rPr>
          <w:rFonts w:asciiTheme="minorBidi" w:hAnsiTheme="minorBidi" w:cstheme="minorBidi"/>
          <w:color w:val="0F243E" w:themeColor="text2" w:themeShade="80"/>
          <w:sz w:val="22"/>
          <w:szCs w:val="22"/>
          <w:rtl/>
        </w:rPr>
      </w:pPr>
    </w:p>
    <w:p w:rsidR="00F521BA" w:rsidRDefault="007F10C5" w:rsidP="001C33F8">
      <w:pPr>
        <w:spacing w:after="200" w:line="276" w:lineRule="auto"/>
        <w:jc w:val="center"/>
        <w:rPr>
          <w:rFonts w:asciiTheme="minorBidi" w:hAnsiTheme="minorBidi" w:cstheme="minorBidi" w:hint="cs"/>
          <w:color w:val="0F243E" w:themeColor="text2" w:themeShade="80"/>
          <w:sz w:val="22"/>
          <w:szCs w:val="22"/>
          <w:rtl/>
        </w:rPr>
      </w:pPr>
      <w:r w:rsidRPr="008D557C">
        <w:rPr>
          <w:rFonts w:asciiTheme="minorBidi" w:hAnsiTheme="minorBidi" w:cstheme="minorBidi"/>
          <w:color w:val="0F243E" w:themeColor="text2" w:themeShade="80"/>
          <w:sz w:val="22"/>
          <w:szCs w:val="22"/>
          <w:rtl/>
        </w:rPr>
        <w:t xml:space="preserve">גופן הכותרת מעוצב בכתב </w:t>
      </w:r>
      <w:bookmarkStart w:id="1" w:name="_GoBack"/>
      <w:bookmarkEnd w:id="1"/>
      <w:r w:rsidRPr="008D557C">
        <w:rPr>
          <w:rFonts w:asciiTheme="minorBidi" w:hAnsiTheme="minorBidi" w:cstheme="minorBidi"/>
          <w:color w:val="0F243E" w:themeColor="text2" w:themeShade="80"/>
          <w:sz w:val="22"/>
          <w:szCs w:val="22"/>
          <w:rtl/>
        </w:rPr>
        <w:t xml:space="preserve">ידו של סרן </w:t>
      </w:r>
      <w:r w:rsidRPr="008D557C">
        <w:rPr>
          <w:rFonts w:asciiTheme="minorBidi" w:hAnsiTheme="minorBidi" w:cstheme="minorBidi"/>
          <w:b/>
          <w:bCs/>
          <w:color w:val="0F243E" w:themeColor="text2" w:themeShade="80"/>
          <w:sz w:val="22"/>
          <w:szCs w:val="22"/>
          <w:rtl/>
        </w:rPr>
        <w:t xml:space="preserve">שילה </w:t>
      </w:r>
      <w:proofErr w:type="spellStart"/>
      <w:r w:rsidRPr="008D557C">
        <w:rPr>
          <w:rFonts w:asciiTheme="minorBidi" w:hAnsiTheme="minorBidi" w:cstheme="minorBidi"/>
          <w:b/>
          <w:bCs/>
          <w:color w:val="0F243E" w:themeColor="text2" w:themeShade="80"/>
          <w:sz w:val="22"/>
          <w:szCs w:val="22"/>
          <w:rtl/>
        </w:rPr>
        <w:t>ראוכברגר</w:t>
      </w:r>
      <w:proofErr w:type="spellEnd"/>
      <w:r w:rsidRPr="008D557C">
        <w:rPr>
          <w:rFonts w:asciiTheme="minorBidi" w:hAnsiTheme="minorBidi" w:cstheme="minorBidi"/>
          <w:color w:val="0F243E" w:themeColor="text2" w:themeShade="80"/>
          <w:sz w:val="22"/>
          <w:szCs w:val="22"/>
          <w:rtl/>
        </w:rPr>
        <w:t xml:space="preserve"> ז"ל, אשר נפל בשבעה באוקטובר</w:t>
      </w:r>
      <w:r>
        <w:rPr>
          <w:rFonts w:asciiTheme="minorBidi" w:hAnsiTheme="minorBidi" w:cstheme="minorBidi" w:hint="cs"/>
          <w:color w:val="0F243E" w:themeColor="text2" w:themeShade="80"/>
          <w:sz w:val="22"/>
          <w:szCs w:val="22"/>
          <w:rtl/>
        </w:rPr>
        <w:t xml:space="preserve">. </w:t>
      </w:r>
      <w:r w:rsidRPr="008D557C">
        <w:rPr>
          <w:rFonts w:asciiTheme="minorBidi" w:hAnsiTheme="minorBidi" w:cstheme="minorBidi"/>
          <w:color w:val="0F243E" w:themeColor="text2" w:themeShade="80"/>
          <w:sz w:val="22"/>
          <w:szCs w:val="22"/>
          <w:rtl/>
        </w:rPr>
        <w:t>שילה האמין בעשייה למען האחר והתנדב בעמותות שונות. בבוקר שבעה באוקטובר שילה לחם עם חייליו והציל את מוצב מו"פ דרום ואת היישובים הסמוכים לו</w:t>
      </w:r>
      <w:r>
        <w:rPr>
          <w:rFonts w:asciiTheme="minorBidi" w:hAnsiTheme="minorBidi" w:cstheme="minorBidi" w:hint="cs"/>
          <w:color w:val="0F243E" w:themeColor="text2" w:themeShade="80"/>
          <w:sz w:val="22"/>
          <w:szCs w:val="22"/>
          <w:rtl/>
        </w:rPr>
        <w:t>.</w:t>
      </w:r>
    </w:p>
    <w:p w:rsidR="00FA6EDC" w:rsidRDefault="00FA6EDC" w:rsidP="00F521BA">
      <w:pPr>
        <w:spacing w:after="200" w:line="240" w:lineRule="auto"/>
        <w:jc w:val="center"/>
        <w:rPr>
          <w:rFonts w:asciiTheme="minorBidi" w:hAnsiTheme="minorBidi" w:cstheme="minorBidi" w:hint="cs"/>
          <w:color w:val="0F243E" w:themeColor="text2" w:themeShade="80"/>
          <w:sz w:val="22"/>
          <w:szCs w:val="22"/>
          <w:rtl/>
        </w:rPr>
      </w:pPr>
    </w:p>
    <w:tbl>
      <w:tblPr>
        <w:tblStyle w:val="af4"/>
        <w:tblpPr w:leftFromText="180" w:rightFromText="180" w:vertAnchor="text" w:tblpXSpec="center" w:tblpY="1"/>
        <w:tblOverlap w:val="never"/>
        <w:bidiVisual/>
        <w:tblW w:w="9076"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6"/>
      </w:tblGrid>
      <w:tr w:rsidR="00AE4BB7" w:rsidTr="009E37AC">
        <w:trPr>
          <w:trHeight w:val="77"/>
        </w:trPr>
        <w:tc>
          <w:tcPr>
            <w:tcW w:w="9076" w:type="dxa"/>
          </w:tcPr>
          <w:p w:rsidR="00AE4BB7" w:rsidRPr="005F4A6D" w:rsidRDefault="00AE4BB7" w:rsidP="009E37AC">
            <w:pPr>
              <w:tabs>
                <w:tab w:val="left" w:pos="1122"/>
              </w:tabs>
              <w:spacing w:line="288" w:lineRule="auto"/>
              <w:jc w:val="left"/>
              <w:rPr>
                <w:rFonts w:hint="cs"/>
                <w:sz w:val="2"/>
                <w:szCs w:val="4"/>
                <w:rtl/>
              </w:rPr>
            </w:pPr>
          </w:p>
        </w:tc>
      </w:tr>
      <w:tr w:rsidR="00AE4BB7" w:rsidTr="009E37AC">
        <w:trPr>
          <w:trHeight w:val="1644"/>
        </w:trPr>
        <w:tc>
          <w:tcPr>
            <w:tcW w:w="9076" w:type="dxa"/>
          </w:tcPr>
          <w:p w:rsidR="00AE4BB7" w:rsidRDefault="00901CAD" w:rsidP="00091165">
            <w:pPr>
              <w:spacing w:before="120" w:after="120" w:line="288" w:lineRule="auto"/>
              <w:jc w:val="left"/>
            </w:pPr>
            <w:r w:rsidRPr="00901CAD">
              <w:rPr>
                <w:rFonts w:ascii="Tahoma" w:hAnsi="Tahoma" w:cs="Tahoma"/>
                <w:b/>
                <w:bCs/>
                <w:sz w:val="40"/>
                <w:szCs w:val="40"/>
                <w:rtl/>
              </w:rPr>
              <w:t xml:space="preserve">מהלך האירועים, הנורמות והגופים המבוקרים </w:t>
            </w:r>
            <w:r w:rsidR="00AE4BB7">
              <w:rPr>
                <w:rFonts w:ascii="Tahoma" w:hAnsi="Tahoma" w:cs="Tahoma"/>
                <w:sz w:val="36"/>
                <w:szCs w:val="36"/>
                <w:rtl/>
              </w:rPr>
              <w:t>תקציר</w:t>
            </w:r>
          </w:p>
          <w:p w:rsidR="00AE4BB7" w:rsidRPr="006C4033" w:rsidRDefault="00AE4BB7" w:rsidP="009E37AC">
            <w:pPr>
              <w:spacing w:line="288" w:lineRule="auto"/>
              <w:ind w:left="-851"/>
              <w:jc w:val="left"/>
              <w:rPr>
                <w:rtl/>
              </w:rPr>
            </w:pPr>
          </w:p>
        </w:tc>
      </w:tr>
    </w:tbl>
    <w:p w:rsidR="00AE4BB7" w:rsidRPr="006C4033" w:rsidRDefault="00AE4BB7" w:rsidP="00AE4BB7">
      <w:pPr>
        <w:spacing w:line="288" w:lineRule="auto"/>
        <w:ind w:left="-284"/>
        <w:rPr>
          <w:rtl/>
        </w:rPr>
      </w:pPr>
      <w:r w:rsidRPr="006C4033">
        <w:rPr>
          <w:rFonts w:ascii="Tahoma" w:hAnsi="Tahoma" w:cs="Tahoma"/>
          <w:noProof/>
          <w:rtl/>
        </w:rPr>
        <w:drawing>
          <wp:inline distT="0" distB="0" distL="0" distR="0" wp14:anchorId="3734391D" wp14:editId="697FEDAA">
            <wp:extent cx="1638300" cy="411480"/>
            <wp:effectExtent l="0" t="0" r="0" b="762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תקציר-05.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38300" cy="411480"/>
                    </a:xfrm>
                    <a:prstGeom prst="rect">
                      <a:avLst/>
                    </a:prstGeom>
                  </pic:spPr>
                </pic:pic>
              </a:graphicData>
            </a:graphic>
          </wp:inline>
        </w:drawing>
      </w:r>
    </w:p>
    <w:p w:rsidR="00B1135E" w:rsidRPr="00B1135E" w:rsidRDefault="00B1135E" w:rsidP="00091165">
      <w:pPr>
        <w:pStyle w:val="739"/>
        <w:spacing w:after="120"/>
        <w:rPr>
          <w:rFonts w:eastAsia="Calibri"/>
          <w:sz w:val="19"/>
          <w:szCs w:val="19"/>
          <w:rtl/>
        </w:rPr>
      </w:pPr>
      <w:r w:rsidRPr="00B1135E">
        <w:rPr>
          <w:rFonts w:eastAsia="Calibri"/>
          <w:sz w:val="19"/>
          <w:szCs w:val="19"/>
          <w:rtl/>
        </w:rPr>
        <w:t xml:space="preserve">בבוקר יום שבת, חג שמחת </w:t>
      </w:r>
      <w:r w:rsidRPr="00B1135E">
        <w:rPr>
          <w:sz w:val="19"/>
          <w:szCs w:val="19"/>
          <w:rtl/>
        </w:rPr>
        <w:t>תורה</w:t>
      </w:r>
      <w:r w:rsidRPr="00B1135E">
        <w:rPr>
          <w:rFonts w:eastAsia="Calibri"/>
          <w:sz w:val="19"/>
          <w:szCs w:val="19"/>
          <w:rtl/>
        </w:rPr>
        <w:t xml:space="preserve">, שבעה באוקטובר 2023, חוותה מדינת ישראל התקפה רצחנית בהיקף חסר תקדים. ההתקפה החלה בירי כבד של אלפי </w:t>
      </w:r>
      <w:r w:rsidR="00D57861">
        <w:rPr>
          <w:rFonts w:eastAsia="Calibri" w:hint="cs"/>
          <w:sz w:val="19"/>
          <w:szCs w:val="19"/>
          <w:rtl/>
        </w:rPr>
        <w:t xml:space="preserve">טילים </w:t>
      </w:r>
      <w:r w:rsidRPr="00B1135E">
        <w:rPr>
          <w:rFonts w:eastAsia="Calibri"/>
          <w:sz w:val="19"/>
          <w:szCs w:val="19"/>
          <w:rtl/>
        </w:rPr>
        <w:t xml:space="preserve">ורקטות על דרום הארץ ומרכזה, ובחסות מטחים אלו חדרו </w:t>
      </w:r>
      <w:r w:rsidR="00091165">
        <w:rPr>
          <w:rFonts w:eastAsia="Calibri"/>
          <w:sz w:val="19"/>
          <w:szCs w:val="19"/>
          <w:rtl/>
        </w:rPr>
        <w:br/>
      </w:r>
      <w:r w:rsidRPr="00B1135E">
        <w:rPr>
          <w:rFonts w:eastAsia="Calibri"/>
          <w:sz w:val="19"/>
          <w:szCs w:val="19"/>
          <w:rtl/>
        </w:rPr>
        <w:t xml:space="preserve">כ-5,500 מחבלים לבסיסי צה"ל, לערים וליישובים בנגב המערבי (יישובי עוטף עזה), פגעו, רצחו ואנסו אלפי אזרחים. בעקבות כך החלה מלחמת חרבות ברזל. </w:t>
      </w:r>
    </w:p>
    <w:p w:rsidR="00B1135E" w:rsidRPr="00B1135E" w:rsidRDefault="00B1135E" w:rsidP="00091165">
      <w:pPr>
        <w:pStyle w:val="739"/>
        <w:spacing w:after="120"/>
        <w:rPr>
          <w:rFonts w:eastAsia="Calibri"/>
          <w:sz w:val="19"/>
          <w:szCs w:val="19"/>
          <w:rtl/>
        </w:rPr>
      </w:pPr>
      <w:r w:rsidRPr="00B1135E">
        <w:rPr>
          <w:rFonts w:eastAsia="Calibri"/>
          <w:sz w:val="19"/>
          <w:szCs w:val="19"/>
          <w:rtl/>
        </w:rPr>
        <w:t xml:space="preserve">נוכח ההתקפות שאירעו מפרוץ המלחמה ומול איומים של התקפות נוספות, הן בגבול עם רצועת עזה והן בגבול עם לבנון (גם - גבול הצפון או גזרת הצפון), הממשלה קיבלה שורת החלטות בעניין פינוי אוכלוסייה מ-15 יישובים מהדרום ומהצפון. בגזרת הדרום פונו יישובים המרוחקים 0 - 7 ק"מ מגבול רצועת עזה (עבור כלל הרשויות המקומיות שמהן פונו תושבים - רשויות מפונות). מפונים מיישובים אלו נחלקו קטגורית לשתי קבוצות: מפונים מזירות הלוחמה ביישובים הסמוכים לגבול רצועת עזה, שבתחום המועצות האזוריות, שביתם נהרס כליל ולא יוכלו לחזור אליו במשך תקופה ארוכה, ומפונים מיישובים אחרים ובכלל זה העיר </w:t>
      </w:r>
      <w:r w:rsidRPr="00B1135E">
        <w:rPr>
          <w:rFonts w:eastAsia="Calibri"/>
          <w:b/>
          <w:bCs/>
          <w:sz w:val="19"/>
          <w:szCs w:val="19"/>
          <w:rtl/>
        </w:rPr>
        <w:t>שדרות</w:t>
      </w:r>
      <w:r w:rsidRPr="00B1135E">
        <w:rPr>
          <w:rFonts w:eastAsia="Calibri"/>
          <w:sz w:val="19"/>
          <w:szCs w:val="19"/>
          <w:rtl/>
        </w:rPr>
        <w:t xml:space="preserve">, שעזבו את ביתם בהתראה קצרה ושבו אליו במהלך שנת 2024. כמו כן, הפינוי כלל אוכלוסיות ייעודיות בעיר </w:t>
      </w:r>
      <w:r w:rsidRPr="00B1135E">
        <w:rPr>
          <w:rFonts w:eastAsia="Calibri"/>
          <w:b/>
          <w:bCs/>
          <w:sz w:val="19"/>
          <w:szCs w:val="19"/>
          <w:rtl/>
        </w:rPr>
        <w:t>אשקלון</w:t>
      </w:r>
      <w:r w:rsidRPr="00B1135E">
        <w:rPr>
          <w:rFonts w:eastAsia="Calibri"/>
          <w:sz w:val="19"/>
          <w:szCs w:val="19"/>
          <w:rtl/>
        </w:rPr>
        <w:t xml:space="preserve"> לתקופה קצובה. העיר </w:t>
      </w:r>
      <w:r w:rsidRPr="00B1135E">
        <w:rPr>
          <w:rFonts w:eastAsia="Calibri"/>
          <w:b/>
          <w:bCs/>
          <w:sz w:val="19"/>
          <w:szCs w:val="19"/>
          <w:rtl/>
        </w:rPr>
        <w:t>אופקים</w:t>
      </w:r>
      <w:r w:rsidRPr="00B1135E">
        <w:rPr>
          <w:rFonts w:eastAsia="Calibri"/>
          <w:sz w:val="19"/>
          <w:szCs w:val="19"/>
          <w:rtl/>
        </w:rPr>
        <w:t xml:space="preserve"> לא נכללה בתוכניות המדינה לפינוי תושבים בעקבות מלחמת חרבות ברזל, והעירייה פינתה תושבים מהעיר לצורך ריענון במימון העירייה, משרד הפנים ותרומות. בגזרת הצפון פונו יישובי קו העימות הצפוני המרוחקים 0 - 3 ק"מ מגבול הצפון, ובכללם העיר </w:t>
      </w:r>
      <w:r w:rsidRPr="00B1135E">
        <w:rPr>
          <w:rFonts w:eastAsia="Calibri"/>
          <w:b/>
          <w:bCs/>
          <w:sz w:val="19"/>
          <w:szCs w:val="19"/>
          <w:rtl/>
        </w:rPr>
        <w:t>קריית שמונה</w:t>
      </w:r>
      <w:r w:rsidRPr="00B1135E">
        <w:rPr>
          <w:rFonts w:eastAsia="Calibri"/>
          <w:sz w:val="19"/>
          <w:szCs w:val="19"/>
          <w:rtl/>
        </w:rPr>
        <w:t xml:space="preserve">. נכון למאי 2025, מקצת התושבים המפונים בגזרת הצפון שבו לבתיהם, והאחרים היו צפויים לשוב עד יולי 2025. תושבי הרשויות המפונות פונו מבתיהם (המפונים) בהחלטת גורמים מוסמכים (ממשלת ישראל, משרד הביטחון, צה"ל) ובהמשך להחלטות הממשלה, כמפורט להלן. </w:t>
      </w:r>
    </w:p>
    <w:p w:rsidR="00B1135E" w:rsidRPr="00B1135E" w:rsidRDefault="00B1135E" w:rsidP="00091165">
      <w:pPr>
        <w:pStyle w:val="739"/>
        <w:spacing w:after="120"/>
        <w:rPr>
          <w:rFonts w:eastAsia="Calibri"/>
          <w:sz w:val="19"/>
          <w:szCs w:val="19"/>
          <w:rtl/>
        </w:rPr>
      </w:pPr>
      <w:r w:rsidRPr="00B1135E">
        <w:rPr>
          <w:rFonts w:eastAsia="Calibri"/>
          <w:sz w:val="19"/>
          <w:szCs w:val="19"/>
          <w:rtl/>
        </w:rPr>
        <w:t>המפונים עברו לפתרונות דיור זמניים - בתחומי השיפוט של רשויות מקומיות אחרות, שסיפקו שירותים שונים למפונים בתחומי שיפוטן (גם - הרשויות הקולטות). פתרונות הדיור למפונים כללו דיור במלונות, באכסניות ובדירות אירוח (מלונות או מתקני אירוח) באמצעות התקשרות עם המדינה ובמימון ישיר שלה (מפונים במלונות). מי שפונה בהחלטת המדינה למקום לינה שאינו במימון המדינה אלא למקום שאיתר באופן עצמאי (מפונים בקהילה) היה זכאי לקבל, באמצעות המוסד לביטוח לאומי, דמי השתתפות בהוצאות בהתאם לתחשיב שקבעה הממשלה (מענק אכלוס).</w:t>
      </w:r>
    </w:p>
    <w:p w:rsidR="00B1135E" w:rsidRPr="00B1135E" w:rsidRDefault="00B1135E" w:rsidP="00091165">
      <w:pPr>
        <w:pStyle w:val="739"/>
        <w:spacing w:after="120"/>
        <w:rPr>
          <w:rFonts w:eastAsia="Calibri"/>
          <w:sz w:val="19"/>
          <w:szCs w:val="19"/>
          <w:rtl/>
        </w:rPr>
      </w:pPr>
      <w:r w:rsidRPr="00B1135E">
        <w:rPr>
          <w:rFonts w:eastAsia="Calibri"/>
          <w:sz w:val="19"/>
          <w:szCs w:val="19"/>
          <w:rtl/>
        </w:rPr>
        <w:t xml:space="preserve">נוסף על המפונים שנדרשו להתפנות מביתם בעקבות החלטות הממשלה, השתכנו ברשויות הקולטות גם תושבי רשויות מקומיות מאזור הדרום או הצפון שלא נכללו בהחלטות הממשלה לפינוי, אולם בשל קרבת הרשויות לחזית הלחימה הם התפנו מביתם ביוזמתם ובאופן עצמאי למקום שבחרו, ולא ניתנה להם הנחיה כזאת מטעם הגורמים המוסמכים (גם - מתפנים עצמאית). תושבים אלו לא היו זכאים למימון שהותם במלונות </w:t>
      </w:r>
      <w:r w:rsidRPr="00B1135E">
        <w:rPr>
          <w:rFonts w:eastAsia="Calibri"/>
          <w:sz w:val="19"/>
          <w:szCs w:val="19"/>
          <w:rtl/>
        </w:rPr>
        <w:lastRenderedPageBreak/>
        <w:t>או במתקני אירוח וגם לא למענק אכלוס. עם זאת, הרשויות הקולטות סיפקו גם להם שירותים שונים. מספרם הכולל של המפונים במלונות, בקהילה והמתפנים עצמאית עמד בתחילת נובמבר 2023 על כ-246,000 נפש לפי נתוני מערכת אמו"ן (איחוד מידע ונתונים)</w:t>
      </w:r>
      <w:r w:rsidRPr="00B1135E">
        <w:rPr>
          <w:rFonts w:eastAsia="Calibri"/>
          <w:sz w:val="19"/>
          <w:szCs w:val="19"/>
          <w:vertAlign w:val="superscript"/>
          <w:rtl/>
        </w:rPr>
        <w:footnoteReference w:id="1"/>
      </w:r>
      <w:r w:rsidRPr="00B1135E">
        <w:rPr>
          <w:rFonts w:eastAsia="Calibri"/>
          <w:sz w:val="19"/>
          <w:szCs w:val="19"/>
          <w:rtl/>
        </w:rPr>
        <w:t>.</w:t>
      </w:r>
    </w:p>
    <w:p w:rsidR="00B1135E" w:rsidRPr="00B1135E" w:rsidRDefault="00B1135E" w:rsidP="00091165">
      <w:pPr>
        <w:pStyle w:val="739"/>
        <w:spacing w:after="120"/>
        <w:rPr>
          <w:rFonts w:eastAsia="Calibri"/>
          <w:sz w:val="19"/>
          <w:szCs w:val="19"/>
          <w:rtl/>
        </w:rPr>
      </w:pPr>
      <w:r w:rsidRPr="00B1135E">
        <w:rPr>
          <w:rFonts w:eastAsia="Calibri"/>
          <w:sz w:val="19"/>
          <w:szCs w:val="19"/>
          <w:rtl/>
        </w:rPr>
        <w:t>נוכח הפינוי חסר התקדים בהיקפו של מאות אלפי תושבים מצפון הארץ ומדרומה וקליטתם בעשרות רשויות מקומיות ברחבי הארץ, משרד מבקר המדינה ביצע ביקורת על היבטים שונים של הנושא, וזאת כדי להצביע על ליקויים ולהביא לתיקונם ולהפקת לקחים.</w:t>
      </w:r>
    </w:p>
    <w:p w:rsidR="00AE4BB7" w:rsidRDefault="00B1135E" w:rsidP="00091165">
      <w:pPr>
        <w:pStyle w:val="739"/>
        <w:rPr>
          <w:rtl/>
        </w:rPr>
      </w:pPr>
      <w:r w:rsidRPr="00B1135E">
        <w:rPr>
          <w:rFonts w:eastAsia="Calibri"/>
          <w:sz w:val="19"/>
          <w:szCs w:val="19"/>
          <w:rtl/>
        </w:rPr>
        <w:t>למשימה הלאומית של פינוי אוכלוסייה וקליטתה שותפים גורמים רבים. בין אלו משרדי ממשלה ובפרט משרד הביטחון, לרבות רשות החירום הלאומית (רח"ל)</w:t>
      </w:r>
      <w:r w:rsidR="005215FE">
        <w:rPr>
          <w:rFonts w:eastAsia="Calibri" w:hint="cs"/>
          <w:sz w:val="19"/>
          <w:szCs w:val="19"/>
          <w:rtl/>
        </w:rPr>
        <w:t>,</w:t>
      </w:r>
      <w:r w:rsidRPr="00B1135E">
        <w:rPr>
          <w:rFonts w:eastAsia="Calibri"/>
          <w:sz w:val="19"/>
          <w:szCs w:val="19"/>
          <w:rtl/>
        </w:rPr>
        <w:t xml:space="preserve"> ומשרד הפנים, לרבות אגף הרשות העליונה לפס"ח (פינוי, סעד, חללים), וכן משטרת ישראל, צה"ל לרבות פיקוד העורף (פקע"ר) והרשויות המקומיות. במצבי חירום הממשלה וגופי החירום והביטחון אחראים לשלומה של האוכלוסייה הנתונה בסכנה, אולם הגוף המקיים קשר ישיר ושוטף עם האוכלוסייה הוא הרשות המקומית, ולכן מעורבותה במעקב אחר מצב האוכלוסייה ו</w:t>
      </w:r>
      <w:r w:rsidR="005215FE">
        <w:rPr>
          <w:rFonts w:eastAsia="Calibri" w:hint="cs"/>
          <w:sz w:val="19"/>
          <w:szCs w:val="19"/>
          <w:rtl/>
        </w:rPr>
        <w:t>ב</w:t>
      </w:r>
      <w:r w:rsidRPr="00B1135E">
        <w:rPr>
          <w:rFonts w:eastAsia="Calibri"/>
          <w:sz w:val="19"/>
          <w:szCs w:val="19"/>
          <w:rtl/>
        </w:rPr>
        <w:t xml:space="preserve">פינויה במקרה </w:t>
      </w:r>
      <w:r w:rsidR="005215FE">
        <w:rPr>
          <w:rFonts w:eastAsia="Calibri" w:hint="cs"/>
          <w:sz w:val="19"/>
          <w:szCs w:val="19"/>
          <w:rtl/>
        </w:rPr>
        <w:t>ה</w:t>
      </w:r>
      <w:r w:rsidRPr="00B1135E">
        <w:rPr>
          <w:rFonts w:eastAsia="Calibri"/>
          <w:sz w:val="19"/>
          <w:szCs w:val="19"/>
          <w:rtl/>
        </w:rPr>
        <w:t xml:space="preserve">צורך הכרחית. לרשויות המקומיות תפקיד חיוני בהיערכות הזירה האזרחית לאירועי חירום, והרשות המקומית נחשבת ל"לבנת היסוד" בכל הנוגע לקשר הישיר והקבוע עם הציבור בתחומה. </w:t>
      </w:r>
    </w:p>
    <w:p w:rsidR="00091165" w:rsidRPr="00C4789A" w:rsidRDefault="00091165" w:rsidP="00091165">
      <w:pPr>
        <w:pStyle w:val="739"/>
        <w:rPr>
          <w:rtl/>
        </w:rPr>
      </w:pPr>
    </w:p>
    <w:p w:rsidR="00AE4BB7" w:rsidRPr="007E24BD" w:rsidRDefault="00AE4BB7" w:rsidP="00FA6EDC">
      <w:pPr>
        <w:spacing w:line="288" w:lineRule="auto"/>
        <w:ind w:left="566"/>
        <w:rPr>
          <w:sz w:val="12"/>
          <w:szCs w:val="16"/>
          <w:rtl/>
        </w:rPr>
      </w:pPr>
      <w:r w:rsidRPr="006C4033">
        <w:rPr>
          <w:rFonts w:ascii="Tahoma" w:hAnsi="Tahoma" w:cs="Tahoma"/>
          <w:noProof/>
          <w:rtl/>
        </w:rPr>
        <w:drawing>
          <wp:inline distT="0" distB="0" distL="0" distR="0" wp14:anchorId="6BCD94AE" wp14:editId="48CDD610">
            <wp:extent cx="1674111" cy="381000"/>
            <wp:effectExtent l="0" t="0" r="254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תקציר-0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p w:rsidR="00AE4BB7" w:rsidRPr="005F4A6D" w:rsidRDefault="00AE4BB7" w:rsidP="00AE4BB7">
      <w:pPr>
        <w:spacing w:line="288" w:lineRule="auto"/>
        <w:ind w:left="-1"/>
        <w:rPr>
          <w:sz w:val="10"/>
          <w:szCs w:val="14"/>
          <w:rtl/>
        </w:rPr>
      </w:pPr>
    </w:p>
    <w:tbl>
      <w:tblPr>
        <w:tblStyle w:val="130"/>
        <w:tblpPr w:leftFromText="180" w:rightFromText="180" w:vertAnchor="text" w:tblpXSpec="center" w:tblpY="1"/>
        <w:tblOverlap w:val="never"/>
        <w:bidiVisual/>
        <w:tblW w:w="7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416"/>
        <w:gridCol w:w="2135"/>
        <w:gridCol w:w="417"/>
        <w:gridCol w:w="2135"/>
      </w:tblGrid>
      <w:tr w:rsidR="004F1148" w:rsidRPr="004F1148" w:rsidTr="00286335">
        <w:trPr>
          <w:trHeight w:val="571"/>
        </w:trPr>
        <w:tc>
          <w:tcPr>
            <w:tcW w:w="2132" w:type="dxa"/>
            <w:tcBorders>
              <w:bottom w:val="single" w:sz="12" w:space="0" w:color="auto"/>
            </w:tcBorders>
            <w:shd w:val="clear" w:color="auto" w:fill="auto"/>
            <w:vAlign w:val="bottom"/>
          </w:tcPr>
          <w:p w:rsidR="004F1148" w:rsidRPr="004F1148" w:rsidRDefault="004F1148" w:rsidP="004F1148">
            <w:pPr>
              <w:spacing w:line="288" w:lineRule="auto"/>
              <w:rPr>
                <w:rFonts w:ascii="Tahoma" w:hAnsi="Tahoma" w:cs="Tahoma"/>
                <w:spacing w:val="-10"/>
                <w:sz w:val="36"/>
                <w:szCs w:val="36"/>
                <w:rtl/>
              </w:rPr>
            </w:pPr>
            <w:r w:rsidRPr="004F1148">
              <w:rPr>
                <w:rFonts w:ascii="Tahoma" w:hAnsi="Tahoma" w:cs="Tahoma"/>
                <w:spacing w:val="-10"/>
                <w:sz w:val="26"/>
                <w:szCs w:val="26"/>
                <w:rtl/>
              </w:rPr>
              <w:t>כ-</w:t>
            </w:r>
            <w:r w:rsidRPr="004F1148">
              <w:rPr>
                <w:rFonts w:ascii="Tahoma" w:hAnsi="Tahoma" w:cs="Tahoma"/>
                <w:spacing w:val="-10"/>
                <w:sz w:val="36"/>
                <w:szCs w:val="36"/>
                <w:rtl/>
              </w:rPr>
              <w:t xml:space="preserve">115,000 </w:t>
            </w:r>
          </w:p>
        </w:tc>
        <w:tc>
          <w:tcPr>
            <w:tcW w:w="416" w:type="dxa"/>
          </w:tcPr>
          <w:p w:rsidR="004F1148" w:rsidRPr="004F1148" w:rsidRDefault="004F1148" w:rsidP="004F1148">
            <w:pPr>
              <w:spacing w:line="288" w:lineRule="auto"/>
              <w:rPr>
                <w:rFonts w:ascii="Tahoma" w:hAnsi="Tahoma" w:cs="Tahoma"/>
                <w:spacing w:val="-10"/>
              </w:rPr>
            </w:pPr>
          </w:p>
        </w:tc>
        <w:tc>
          <w:tcPr>
            <w:tcW w:w="2135" w:type="dxa"/>
            <w:tcBorders>
              <w:bottom w:val="single" w:sz="12" w:space="0" w:color="auto"/>
            </w:tcBorders>
            <w:vAlign w:val="bottom"/>
          </w:tcPr>
          <w:p w:rsidR="004F1148" w:rsidRPr="004F1148" w:rsidRDefault="004F1148" w:rsidP="004F1148">
            <w:pPr>
              <w:spacing w:line="288" w:lineRule="auto"/>
              <w:rPr>
                <w:rFonts w:ascii="Tahoma" w:hAnsi="Tahoma" w:cs="Tahoma"/>
                <w:spacing w:val="-10"/>
                <w:sz w:val="36"/>
                <w:szCs w:val="36"/>
                <w:rtl/>
              </w:rPr>
            </w:pPr>
            <w:r w:rsidRPr="004F1148">
              <w:rPr>
                <w:rFonts w:ascii="Tahoma" w:hAnsi="Tahoma" w:cs="Tahoma"/>
                <w:spacing w:val="-10"/>
                <w:sz w:val="26"/>
                <w:szCs w:val="26"/>
                <w:rtl/>
              </w:rPr>
              <w:t>כ-</w:t>
            </w:r>
            <w:r w:rsidRPr="004F1148">
              <w:rPr>
                <w:rFonts w:ascii="Tahoma" w:hAnsi="Tahoma" w:cs="Tahoma"/>
                <w:spacing w:val="-10"/>
                <w:sz w:val="36"/>
                <w:szCs w:val="36"/>
                <w:rtl/>
              </w:rPr>
              <w:t>93,800</w:t>
            </w:r>
          </w:p>
        </w:tc>
        <w:tc>
          <w:tcPr>
            <w:tcW w:w="417" w:type="dxa"/>
          </w:tcPr>
          <w:p w:rsidR="004F1148" w:rsidRPr="004F1148" w:rsidRDefault="004F1148" w:rsidP="004F1148">
            <w:pPr>
              <w:spacing w:line="288" w:lineRule="auto"/>
              <w:rPr>
                <w:rFonts w:ascii="Tahoma" w:hAnsi="Tahoma" w:cs="Tahoma"/>
                <w:spacing w:val="-10"/>
              </w:rPr>
            </w:pPr>
          </w:p>
        </w:tc>
        <w:tc>
          <w:tcPr>
            <w:tcW w:w="2135" w:type="dxa"/>
            <w:tcBorders>
              <w:bottom w:val="single" w:sz="12" w:space="0" w:color="auto"/>
            </w:tcBorders>
            <w:vAlign w:val="bottom"/>
          </w:tcPr>
          <w:p w:rsidR="004F1148" w:rsidRPr="004F1148" w:rsidRDefault="004F1148" w:rsidP="004F1148">
            <w:pPr>
              <w:spacing w:line="288" w:lineRule="auto"/>
              <w:rPr>
                <w:rFonts w:ascii="Tahoma" w:hAnsi="Tahoma" w:cs="Tahoma"/>
                <w:spacing w:val="-10"/>
                <w:sz w:val="36"/>
                <w:szCs w:val="36"/>
              </w:rPr>
            </w:pPr>
            <w:r w:rsidRPr="004F1148">
              <w:rPr>
                <w:rFonts w:ascii="Tahoma" w:hAnsi="Tahoma" w:cs="Tahoma"/>
                <w:spacing w:val="-10"/>
                <w:sz w:val="26"/>
                <w:szCs w:val="26"/>
                <w:rtl/>
              </w:rPr>
              <w:t>כ-</w:t>
            </w:r>
            <w:r w:rsidRPr="004F1148">
              <w:rPr>
                <w:rFonts w:ascii="Tahoma" w:hAnsi="Tahoma" w:cs="Tahoma"/>
                <w:spacing w:val="-10"/>
                <w:sz w:val="36"/>
                <w:szCs w:val="36"/>
                <w:rtl/>
              </w:rPr>
              <w:t xml:space="preserve">300,000 </w:t>
            </w:r>
          </w:p>
        </w:tc>
      </w:tr>
      <w:tr w:rsidR="004F1148" w:rsidRPr="004F1148" w:rsidTr="00286335">
        <w:trPr>
          <w:trHeight w:val="1155"/>
        </w:trPr>
        <w:tc>
          <w:tcPr>
            <w:tcW w:w="2132" w:type="dxa"/>
          </w:tcPr>
          <w:p w:rsidR="004F1148" w:rsidRPr="004F1148" w:rsidRDefault="004F1148" w:rsidP="004F1148">
            <w:pPr>
              <w:spacing w:line="240" w:lineRule="auto"/>
              <w:ind w:right="23"/>
              <w:rPr>
                <w:rFonts w:ascii="Tahoma" w:hAnsi="Tahoma" w:cs="Tahoma"/>
                <w:sz w:val="19"/>
                <w:szCs w:val="19"/>
                <w:rtl/>
              </w:rPr>
            </w:pPr>
            <w:r w:rsidRPr="004F1148">
              <w:rPr>
                <w:rFonts w:ascii="Tahoma" w:hAnsi="Tahoma" w:cs="Tahoma"/>
                <w:sz w:val="19"/>
                <w:szCs w:val="19"/>
                <w:rtl/>
              </w:rPr>
              <w:t>הנתון הראשוני המוערך לגבי מספר המפונים על פי החלטות הממשלה, לפי נתוני רח"ל</w:t>
            </w:r>
          </w:p>
        </w:tc>
        <w:tc>
          <w:tcPr>
            <w:tcW w:w="416" w:type="dxa"/>
          </w:tcPr>
          <w:p w:rsidR="004F1148" w:rsidRPr="004F1148" w:rsidRDefault="004F1148" w:rsidP="004F1148">
            <w:pPr>
              <w:spacing w:line="240" w:lineRule="auto"/>
              <w:rPr>
                <w:rFonts w:ascii="Tahoma" w:hAnsi="Tahoma" w:cs="Tahoma"/>
                <w:rtl/>
              </w:rPr>
            </w:pPr>
          </w:p>
        </w:tc>
        <w:tc>
          <w:tcPr>
            <w:tcW w:w="2135" w:type="dxa"/>
          </w:tcPr>
          <w:p w:rsidR="004F1148" w:rsidRPr="004F1148" w:rsidRDefault="004F1148" w:rsidP="004F1148">
            <w:pPr>
              <w:spacing w:line="240" w:lineRule="auto"/>
              <w:ind w:right="23"/>
              <w:rPr>
                <w:rFonts w:ascii="Tahoma" w:hAnsi="Tahoma" w:cs="Tahoma"/>
                <w:sz w:val="19"/>
                <w:szCs w:val="19"/>
                <w:rtl/>
              </w:rPr>
            </w:pPr>
            <w:r w:rsidRPr="004F1148">
              <w:rPr>
                <w:rFonts w:ascii="Tahoma" w:hAnsi="Tahoma" w:cs="Tahoma"/>
                <w:sz w:val="19"/>
                <w:szCs w:val="19"/>
                <w:rtl/>
              </w:rPr>
              <w:t>מספר המפונים במלונות בתחילת נובמבר 2023</w:t>
            </w:r>
            <w:r w:rsidRPr="004F1148">
              <w:rPr>
                <w:rFonts w:ascii="Tahoma" w:hAnsi="Tahoma" w:cs="Tahoma" w:hint="cs"/>
                <w:sz w:val="19"/>
                <w:szCs w:val="19"/>
                <w:rtl/>
              </w:rPr>
              <w:t>,</w:t>
            </w:r>
            <w:r w:rsidRPr="004F1148">
              <w:rPr>
                <w:rFonts w:ascii="Tahoma" w:hAnsi="Tahoma" w:cs="Tahoma"/>
                <w:sz w:val="19"/>
                <w:szCs w:val="19"/>
                <w:rtl/>
              </w:rPr>
              <w:t xml:space="preserve"> לפי מערכת אמו"ן </w:t>
            </w:r>
          </w:p>
        </w:tc>
        <w:tc>
          <w:tcPr>
            <w:tcW w:w="417" w:type="dxa"/>
          </w:tcPr>
          <w:p w:rsidR="004F1148" w:rsidRPr="004F1148" w:rsidRDefault="004F1148" w:rsidP="004F1148">
            <w:pPr>
              <w:spacing w:line="240" w:lineRule="auto"/>
              <w:rPr>
                <w:rFonts w:ascii="Tahoma" w:hAnsi="Tahoma" w:cs="Tahoma"/>
                <w:sz w:val="19"/>
                <w:szCs w:val="19"/>
                <w:rtl/>
              </w:rPr>
            </w:pPr>
          </w:p>
        </w:tc>
        <w:tc>
          <w:tcPr>
            <w:tcW w:w="2135" w:type="dxa"/>
          </w:tcPr>
          <w:p w:rsidR="004F1148" w:rsidRPr="004F1148" w:rsidRDefault="004F1148" w:rsidP="004F1148">
            <w:pPr>
              <w:spacing w:line="240" w:lineRule="auto"/>
              <w:ind w:right="23"/>
              <w:rPr>
                <w:rFonts w:ascii="Tahoma" w:hAnsi="Tahoma" w:cs="Tahoma"/>
                <w:sz w:val="19"/>
                <w:szCs w:val="19"/>
                <w:rtl/>
              </w:rPr>
            </w:pPr>
            <w:r w:rsidRPr="004F1148">
              <w:rPr>
                <w:rFonts w:ascii="Tahoma" w:hAnsi="Tahoma" w:cs="Tahoma"/>
                <w:sz w:val="19"/>
                <w:szCs w:val="19"/>
                <w:rtl/>
              </w:rPr>
              <w:t>אנשים אמורים להתפנות על פי תוכנית "מלון אורחים" משנת 2012. בתוכנית שגיבשה רח"ל מספר המפונים המרבי הוא 45,000</w:t>
            </w:r>
          </w:p>
        </w:tc>
      </w:tr>
    </w:tbl>
    <w:p w:rsidR="00AE4BB7" w:rsidRDefault="00AE4BB7" w:rsidP="00AE4BB7">
      <w:pPr>
        <w:spacing w:line="288" w:lineRule="auto"/>
        <w:ind w:left="-1"/>
        <w:rPr>
          <w:sz w:val="18"/>
          <w:szCs w:val="22"/>
          <w:rtl/>
        </w:rPr>
      </w:pPr>
    </w:p>
    <w:p w:rsidR="004F1148" w:rsidRDefault="004F1148" w:rsidP="00AE4BB7">
      <w:pPr>
        <w:spacing w:line="288" w:lineRule="auto"/>
        <w:ind w:left="-1"/>
        <w:rPr>
          <w:sz w:val="18"/>
          <w:szCs w:val="22"/>
          <w:rtl/>
        </w:rPr>
      </w:pPr>
    </w:p>
    <w:p w:rsidR="004F1148" w:rsidRDefault="004F1148" w:rsidP="00AE4BB7">
      <w:pPr>
        <w:spacing w:line="288" w:lineRule="auto"/>
        <w:ind w:left="-1"/>
        <w:rPr>
          <w:sz w:val="18"/>
          <w:szCs w:val="22"/>
          <w:rtl/>
        </w:rPr>
      </w:pPr>
    </w:p>
    <w:p w:rsidR="004F1148" w:rsidRDefault="004F1148" w:rsidP="00AE4BB7">
      <w:pPr>
        <w:spacing w:line="288" w:lineRule="auto"/>
        <w:ind w:left="-1"/>
        <w:rPr>
          <w:sz w:val="18"/>
          <w:szCs w:val="22"/>
          <w:rtl/>
        </w:rPr>
      </w:pPr>
    </w:p>
    <w:p w:rsidR="004F1148" w:rsidRDefault="004F1148" w:rsidP="00AE4BB7">
      <w:pPr>
        <w:spacing w:line="288" w:lineRule="auto"/>
        <w:ind w:left="-1"/>
        <w:rPr>
          <w:sz w:val="18"/>
          <w:szCs w:val="22"/>
          <w:rtl/>
        </w:rPr>
      </w:pPr>
    </w:p>
    <w:p w:rsidR="004F1148" w:rsidRDefault="004F1148" w:rsidP="00AE4BB7">
      <w:pPr>
        <w:spacing w:line="288" w:lineRule="auto"/>
        <w:ind w:left="-1"/>
        <w:rPr>
          <w:sz w:val="18"/>
          <w:szCs w:val="22"/>
          <w:rtl/>
        </w:rPr>
      </w:pPr>
    </w:p>
    <w:p w:rsidR="004F1148" w:rsidRDefault="004F1148" w:rsidP="00AE4BB7">
      <w:pPr>
        <w:spacing w:line="288" w:lineRule="auto"/>
        <w:ind w:left="-1"/>
        <w:rPr>
          <w:sz w:val="18"/>
          <w:szCs w:val="22"/>
          <w:rtl/>
        </w:rPr>
      </w:pPr>
    </w:p>
    <w:p w:rsidR="004F1148" w:rsidRDefault="004F1148" w:rsidP="00AE4BB7">
      <w:pPr>
        <w:spacing w:line="288" w:lineRule="auto"/>
        <w:ind w:left="-1"/>
        <w:rPr>
          <w:sz w:val="18"/>
          <w:szCs w:val="22"/>
          <w:rtl/>
        </w:rPr>
      </w:pPr>
    </w:p>
    <w:p w:rsidR="004F1148" w:rsidRDefault="004F1148" w:rsidP="00AE4BB7">
      <w:pPr>
        <w:spacing w:line="288" w:lineRule="auto"/>
        <w:ind w:left="-1"/>
        <w:rPr>
          <w:sz w:val="18"/>
          <w:szCs w:val="22"/>
          <w:rtl/>
        </w:rPr>
      </w:pPr>
    </w:p>
    <w:p w:rsidR="004F1148" w:rsidRPr="004F1148" w:rsidRDefault="004F1148" w:rsidP="00AE4BB7">
      <w:pPr>
        <w:spacing w:line="288" w:lineRule="auto"/>
        <w:ind w:left="-1"/>
        <w:rPr>
          <w:sz w:val="2"/>
          <w:szCs w:val="2"/>
          <w:rtl/>
        </w:rPr>
      </w:pPr>
    </w:p>
    <w:tbl>
      <w:tblPr>
        <w:tblStyle w:val="130"/>
        <w:tblpPr w:leftFromText="180" w:rightFromText="180" w:vertAnchor="text" w:tblpXSpec="center" w:tblpY="1"/>
        <w:tblOverlap w:val="never"/>
        <w:bidiVisual/>
        <w:tblW w:w="7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416"/>
        <w:gridCol w:w="2135"/>
        <w:gridCol w:w="417"/>
        <w:gridCol w:w="2135"/>
      </w:tblGrid>
      <w:tr w:rsidR="004F1148" w:rsidRPr="004F1148" w:rsidTr="00286335">
        <w:trPr>
          <w:trHeight w:val="227"/>
        </w:trPr>
        <w:tc>
          <w:tcPr>
            <w:tcW w:w="2132" w:type="dxa"/>
            <w:tcBorders>
              <w:bottom w:val="single" w:sz="12" w:space="0" w:color="auto"/>
            </w:tcBorders>
            <w:vAlign w:val="bottom"/>
          </w:tcPr>
          <w:p w:rsidR="004F1148" w:rsidRPr="004F1148" w:rsidRDefault="004F1148" w:rsidP="004F1148">
            <w:pPr>
              <w:spacing w:line="288" w:lineRule="auto"/>
              <w:rPr>
                <w:rFonts w:ascii="Tahoma" w:hAnsi="Tahoma" w:cs="Tahoma"/>
                <w:spacing w:val="-10"/>
                <w:sz w:val="36"/>
                <w:szCs w:val="36"/>
              </w:rPr>
            </w:pPr>
            <w:r w:rsidRPr="004F1148">
              <w:rPr>
                <w:rFonts w:ascii="Tahoma" w:hAnsi="Tahoma" w:cs="Tahoma"/>
                <w:spacing w:val="-10"/>
                <w:sz w:val="26"/>
                <w:szCs w:val="26"/>
                <w:rtl/>
              </w:rPr>
              <w:t>כ-</w:t>
            </w:r>
            <w:r w:rsidRPr="004F1148">
              <w:rPr>
                <w:rFonts w:ascii="Tahoma" w:hAnsi="Tahoma" w:cs="Tahoma"/>
                <w:spacing w:val="-10"/>
                <w:sz w:val="36"/>
                <w:szCs w:val="36"/>
                <w:rtl/>
              </w:rPr>
              <w:t>116,590</w:t>
            </w:r>
          </w:p>
        </w:tc>
        <w:tc>
          <w:tcPr>
            <w:tcW w:w="416" w:type="dxa"/>
          </w:tcPr>
          <w:p w:rsidR="004F1148" w:rsidRPr="004F1148" w:rsidRDefault="004F1148" w:rsidP="004F1148">
            <w:pPr>
              <w:spacing w:line="288" w:lineRule="auto"/>
              <w:rPr>
                <w:rFonts w:ascii="Tahoma" w:hAnsi="Tahoma" w:cs="Tahoma"/>
                <w:spacing w:val="-10"/>
              </w:rPr>
            </w:pPr>
          </w:p>
        </w:tc>
        <w:tc>
          <w:tcPr>
            <w:tcW w:w="2135" w:type="dxa"/>
            <w:tcBorders>
              <w:bottom w:val="single" w:sz="12" w:space="0" w:color="auto"/>
            </w:tcBorders>
            <w:vAlign w:val="bottom"/>
          </w:tcPr>
          <w:p w:rsidR="004F1148" w:rsidRPr="004F1148" w:rsidRDefault="004F1148" w:rsidP="004F1148">
            <w:pPr>
              <w:spacing w:line="288" w:lineRule="auto"/>
              <w:rPr>
                <w:rFonts w:ascii="Tahoma" w:hAnsi="Tahoma" w:cs="Tahoma"/>
                <w:spacing w:val="-10"/>
                <w:sz w:val="36"/>
                <w:szCs w:val="36"/>
              </w:rPr>
            </w:pPr>
            <w:r w:rsidRPr="004F1148">
              <w:rPr>
                <w:rFonts w:ascii="Tahoma" w:hAnsi="Tahoma" w:cs="Tahoma"/>
                <w:spacing w:val="-10"/>
                <w:sz w:val="36"/>
                <w:szCs w:val="36"/>
                <w:rtl/>
              </w:rPr>
              <w:t>15</w:t>
            </w:r>
          </w:p>
        </w:tc>
        <w:tc>
          <w:tcPr>
            <w:tcW w:w="417" w:type="dxa"/>
          </w:tcPr>
          <w:p w:rsidR="004F1148" w:rsidRPr="004F1148" w:rsidRDefault="004F1148" w:rsidP="004F1148">
            <w:pPr>
              <w:spacing w:line="288" w:lineRule="auto"/>
              <w:rPr>
                <w:rFonts w:ascii="Tahoma" w:hAnsi="Tahoma" w:cs="Tahoma"/>
                <w:spacing w:val="-10"/>
              </w:rPr>
            </w:pPr>
          </w:p>
        </w:tc>
        <w:tc>
          <w:tcPr>
            <w:tcW w:w="2135" w:type="dxa"/>
            <w:tcBorders>
              <w:bottom w:val="single" w:sz="12" w:space="0" w:color="auto"/>
            </w:tcBorders>
            <w:vAlign w:val="bottom"/>
          </w:tcPr>
          <w:p w:rsidR="004F1148" w:rsidRPr="004F1148" w:rsidRDefault="004F1148" w:rsidP="004F1148">
            <w:pPr>
              <w:spacing w:line="288" w:lineRule="auto"/>
              <w:rPr>
                <w:rFonts w:ascii="Tahoma" w:hAnsi="Tahoma" w:cs="Tahoma"/>
                <w:spacing w:val="-10"/>
                <w:sz w:val="36"/>
                <w:szCs w:val="36"/>
              </w:rPr>
            </w:pPr>
            <w:r w:rsidRPr="004F1148">
              <w:rPr>
                <w:rFonts w:ascii="Tahoma" w:hAnsi="Tahoma" w:cs="Tahoma"/>
                <w:spacing w:val="-10"/>
                <w:sz w:val="36"/>
                <w:szCs w:val="36"/>
                <w:rtl/>
              </w:rPr>
              <w:t>90</w:t>
            </w:r>
          </w:p>
        </w:tc>
      </w:tr>
      <w:tr w:rsidR="004F1148" w:rsidRPr="004F1148" w:rsidTr="00286335">
        <w:trPr>
          <w:trHeight w:val="1426"/>
        </w:trPr>
        <w:tc>
          <w:tcPr>
            <w:tcW w:w="2132" w:type="dxa"/>
          </w:tcPr>
          <w:p w:rsidR="004F1148" w:rsidRPr="004F1148" w:rsidRDefault="004F1148" w:rsidP="004F1148">
            <w:pPr>
              <w:spacing w:line="240" w:lineRule="auto"/>
              <w:ind w:right="23"/>
              <w:rPr>
                <w:rFonts w:ascii="Tahoma" w:hAnsi="Tahoma" w:cs="Tahoma"/>
                <w:sz w:val="19"/>
                <w:szCs w:val="19"/>
                <w:rtl/>
              </w:rPr>
            </w:pPr>
            <w:r w:rsidRPr="004F1148">
              <w:rPr>
                <w:rFonts w:ascii="Tahoma" w:hAnsi="Tahoma" w:cs="Tahoma"/>
                <w:sz w:val="19"/>
                <w:szCs w:val="19"/>
                <w:rtl/>
              </w:rPr>
              <w:t>מספר המתפנים עצמאית בתחילת נובמבר 2023</w:t>
            </w:r>
            <w:r w:rsidRPr="004F1148">
              <w:rPr>
                <w:rFonts w:ascii="Tahoma" w:hAnsi="Tahoma" w:cs="Tahoma" w:hint="cs"/>
                <w:sz w:val="19"/>
                <w:szCs w:val="19"/>
                <w:rtl/>
              </w:rPr>
              <w:t>,</w:t>
            </w:r>
            <w:r w:rsidRPr="004F1148">
              <w:rPr>
                <w:rFonts w:ascii="Tahoma" w:hAnsi="Tahoma" w:cs="Tahoma"/>
                <w:sz w:val="19"/>
                <w:szCs w:val="19"/>
                <w:rtl/>
              </w:rPr>
              <w:t xml:space="preserve"> לפי מערכת אמו"ן</w:t>
            </w:r>
          </w:p>
        </w:tc>
        <w:tc>
          <w:tcPr>
            <w:tcW w:w="416" w:type="dxa"/>
          </w:tcPr>
          <w:p w:rsidR="004F1148" w:rsidRPr="004F1148" w:rsidRDefault="004F1148" w:rsidP="004F1148">
            <w:pPr>
              <w:spacing w:line="240" w:lineRule="auto"/>
              <w:rPr>
                <w:rFonts w:ascii="Tahoma" w:hAnsi="Tahoma" w:cs="Tahoma"/>
                <w:sz w:val="19"/>
                <w:szCs w:val="19"/>
                <w:rtl/>
              </w:rPr>
            </w:pPr>
          </w:p>
        </w:tc>
        <w:tc>
          <w:tcPr>
            <w:tcW w:w="2135" w:type="dxa"/>
          </w:tcPr>
          <w:p w:rsidR="004F1148" w:rsidRPr="004F1148" w:rsidRDefault="004F1148" w:rsidP="004F1148">
            <w:pPr>
              <w:spacing w:line="240" w:lineRule="auto"/>
              <w:ind w:right="23"/>
              <w:rPr>
                <w:rFonts w:ascii="Tahoma" w:hAnsi="Tahoma" w:cs="Tahoma"/>
                <w:sz w:val="19"/>
                <w:szCs w:val="19"/>
                <w:rtl/>
              </w:rPr>
            </w:pPr>
            <w:r w:rsidRPr="004F1148">
              <w:rPr>
                <w:rFonts w:ascii="Tahoma" w:hAnsi="Tahoma" w:cs="Tahoma"/>
                <w:sz w:val="19"/>
                <w:szCs w:val="19"/>
                <w:rtl/>
              </w:rPr>
              <w:t>מספר הרשויות המקומיות שתושביהן פונו - כולם או חלקם</w:t>
            </w:r>
          </w:p>
          <w:p w:rsidR="004F1148" w:rsidRPr="004F1148" w:rsidRDefault="004F1148" w:rsidP="004F1148">
            <w:pPr>
              <w:spacing w:line="240" w:lineRule="auto"/>
              <w:rPr>
                <w:rFonts w:ascii="Tahoma" w:hAnsi="Tahoma" w:cs="Tahoma"/>
                <w:sz w:val="19"/>
                <w:szCs w:val="19"/>
                <w:rtl/>
              </w:rPr>
            </w:pPr>
          </w:p>
        </w:tc>
        <w:tc>
          <w:tcPr>
            <w:tcW w:w="417" w:type="dxa"/>
          </w:tcPr>
          <w:p w:rsidR="004F1148" w:rsidRPr="004F1148" w:rsidRDefault="004F1148" w:rsidP="004F1148">
            <w:pPr>
              <w:spacing w:line="240" w:lineRule="auto"/>
              <w:rPr>
                <w:rFonts w:ascii="Tahoma" w:hAnsi="Tahoma" w:cs="Tahoma"/>
                <w:sz w:val="19"/>
                <w:szCs w:val="19"/>
                <w:rtl/>
              </w:rPr>
            </w:pPr>
          </w:p>
        </w:tc>
        <w:tc>
          <w:tcPr>
            <w:tcW w:w="2135" w:type="dxa"/>
          </w:tcPr>
          <w:p w:rsidR="004F1148" w:rsidRPr="004F1148" w:rsidRDefault="004F1148" w:rsidP="004F1148">
            <w:pPr>
              <w:spacing w:line="240" w:lineRule="auto"/>
              <w:ind w:right="23"/>
              <w:rPr>
                <w:rFonts w:ascii="Tahoma" w:hAnsi="Tahoma" w:cs="Tahoma"/>
                <w:sz w:val="19"/>
                <w:szCs w:val="19"/>
                <w:rtl/>
              </w:rPr>
            </w:pPr>
            <w:r w:rsidRPr="004F1148">
              <w:rPr>
                <w:rFonts w:ascii="Tahoma" w:hAnsi="Tahoma" w:cs="Tahoma"/>
                <w:sz w:val="19"/>
                <w:szCs w:val="19"/>
                <w:rtl/>
              </w:rPr>
              <w:t>רשויות מקומיות דיווחו באוקטובר 2023 על קליטת כ-200,000 מפונים ומתפנים עצמאית, על פי נתוני משרד הפנים</w:t>
            </w:r>
          </w:p>
        </w:tc>
      </w:tr>
    </w:tbl>
    <w:p w:rsidR="004F1148" w:rsidRPr="004F1148" w:rsidRDefault="004F1148" w:rsidP="00AE4BB7">
      <w:pPr>
        <w:spacing w:line="288" w:lineRule="auto"/>
        <w:ind w:left="-1"/>
        <w:rPr>
          <w:sz w:val="18"/>
          <w:szCs w:val="22"/>
          <w:rtl/>
        </w:rPr>
      </w:pPr>
    </w:p>
    <w:p w:rsidR="00AE4BB7" w:rsidRDefault="00AE4BB7" w:rsidP="00091165">
      <w:pPr>
        <w:rPr>
          <w:rtl/>
        </w:rPr>
      </w:pPr>
    </w:p>
    <w:tbl>
      <w:tblPr>
        <w:tblStyle w:val="af4"/>
        <w:tblpPr w:leftFromText="180" w:rightFromText="180" w:vertAnchor="text" w:tblpXSpec="center" w:tblpY="1"/>
        <w:tblOverlap w:val="never"/>
        <w:bidiVisual/>
        <w:tblW w:w="8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65"/>
      </w:tblGrid>
      <w:tr w:rsidR="00AE4BB7" w:rsidTr="009E37AC">
        <w:trPr>
          <w:trHeight w:val="495"/>
        </w:trPr>
        <w:tc>
          <w:tcPr>
            <w:tcW w:w="8865" w:type="dxa"/>
            <w:vAlign w:val="center"/>
          </w:tcPr>
          <w:p w:rsidR="00AE4BB7" w:rsidRPr="006C4033" w:rsidRDefault="00AE4BB7" w:rsidP="00FA6EDC">
            <w:pPr>
              <w:spacing w:line="360" w:lineRule="auto"/>
              <w:ind w:left="-1"/>
              <w:rPr>
                <w:rFonts w:ascii="Tahoma" w:hAnsi="Tahoma" w:cs="Tahoma"/>
                <w:sz w:val="17"/>
                <w:szCs w:val="17"/>
                <w:rtl/>
              </w:rPr>
            </w:pPr>
            <w:r w:rsidRPr="006C4033">
              <w:rPr>
                <w:rFonts w:ascii="Tahoma" w:hAnsi="Tahoma" w:cs="Tahoma"/>
                <w:noProof/>
              </w:rPr>
              <w:lastRenderedPageBreak/>
              <w:drawing>
                <wp:inline distT="0" distB="0" distL="0" distR="0" wp14:anchorId="1B9A1196" wp14:editId="00A15EF1">
                  <wp:extent cx="6482715" cy="497814"/>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תקציר תמונה 3.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02444" cy="530045"/>
                          </a:xfrm>
                          <a:prstGeom prst="rect">
                            <a:avLst/>
                          </a:prstGeom>
                        </pic:spPr>
                      </pic:pic>
                    </a:graphicData>
                  </a:graphic>
                </wp:inline>
              </w:drawing>
            </w:r>
          </w:p>
        </w:tc>
      </w:tr>
    </w:tbl>
    <w:p w:rsidR="004F1148" w:rsidRDefault="00AE4BB7" w:rsidP="00091165">
      <w:pPr>
        <w:pStyle w:val="73"/>
        <w:spacing w:after="120"/>
        <w:ind w:left="851"/>
        <w:rPr>
          <w:rFonts w:eastAsia="Calibri"/>
          <w:rtl/>
        </w:rPr>
      </w:pPr>
      <w:r w:rsidRPr="00084768">
        <w:rPr>
          <w:noProof/>
          <w:sz w:val="19"/>
          <w:szCs w:val="19"/>
        </w:rPr>
        <w:drawing>
          <wp:anchor distT="0" distB="0" distL="71755" distR="71755" simplePos="0" relativeHeight="251659264" behindDoc="0" locked="0" layoutInCell="1" allowOverlap="1" wp14:anchorId="49C406E9" wp14:editId="0049FDCE">
            <wp:simplePos x="0" y="0"/>
            <wp:positionH relativeFrom="column">
              <wp:posOffset>5200015</wp:posOffset>
            </wp:positionH>
            <wp:positionV relativeFrom="paragraph">
              <wp:posOffset>677545</wp:posOffset>
            </wp:positionV>
            <wp:extent cx="384175" cy="384175"/>
            <wp:effectExtent l="0" t="0" r="0" b="0"/>
            <wp:wrapSquare wrapText="bothSides"/>
            <wp:docPr id="25" name="תמונה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5" name="תמונה 33">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84175" cy="384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1148" w:rsidRPr="004F1148">
        <w:rPr>
          <w:rFonts w:eastAsia="Calibri"/>
          <w:sz w:val="19"/>
          <w:szCs w:val="19"/>
          <w:rtl/>
        </w:rPr>
        <w:t>בחודשים דצמבר 2023 עד יולי 2024 בדק משרד מבקר המדינה את הפינוי והקליטה של אוכלוסייה בעקבות מלחמת חרבות ברזל. הביקורת נעשתה ב-13 רשויות מקומיות שהיה בהן פינוי של תושבים</w:t>
      </w:r>
      <w:r w:rsidR="004F1148" w:rsidRPr="004F1148">
        <w:rPr>
          <w:rFonts w:eastAsia="Calibri"/>
          <w:sz w:val="19"/>
          <w:szCs w:val="19"/>
          <w:vertAlign w:val="superscript"/>
          <w:rtl/>
        </w:rPr>
        <w:footnoteReference w:id="2"/>
      </w:r>
      <w:r w:rsidR="004F1148" w:rsidRPr="004F1148">
        <w:rPr>
          <w:rFonts w:eastAsia="Calibri"/>
          <w:sz w:val="19"/>
          <w:szCs w:val="19"/>
          <w:rtl/>
        </w:rPr>
        <w:t xml:space="preserve">: העיריות </w:t>
      </w:r>
      <w:r w:rsidR="004F1148" w:rsidRPr="004F1148">
        <w:rPr>
          <w:rFonts w:eastAsia="Calibri"/>
          <w:b/>
          <w:bCs/>
          <w:sz w:val="19"/>
          <w:szCs w:val="19"/>
          <w:rtl/>
        </w:rPr>
        <w:t>אופקים</w:t>
      </w:r>
      <w:r w:rsidR="004F1148" w:rsidRPr="004F1148">
        <w:rPr>
          <w:rFonts w:eastAsia="Calibri"/>
          <w:sz w:val="19"/>
          <w:szCs w:val="19"/>
          <w:rtl/>
        </w:rPr>
        <w:t xml:space="preserve">, </w:t>
      </w:r>
      <w:r w:rsidR="004F1148" w:rsidRPr="004F1148">
        <w:rPr>
          <w:rFonts w:eastAsia="Calibri"/>
          <w:b/>
          <w:bCs/>
          <w:sz w:val="19"/>
          <w:szCs w:val="19"/>
          <w:rtl/>
        </w:rPr>
        <w:t>אשקלון</w:t>
      </w:r>
      <w:r w:rsidR="004F1148" w:rsidRPr="004F1148">
        <w:rPr>
          <w:rFonts w:eastAsia="Calibri"/>
          <w:sz w:val="19"/>
          <w:szCs w:val="19"/>
          <w:rtl/>
        </w:rPr>
        <w:t xml:space="preserve">, </w:t>
      </w:r>
      <w:r w:rsidR="004F1148" w:rsidRPr="004F1148">
        <w:rPr>
          <w:rFonts w:eastAsia="Calibri"/>
          <w:b/>
          <w:bCs/>
          <w:sz w:val="19"/>
          <w:szCs w:val="19"/>
          <w:rtl/>
        </w:rPr>
        <w:t>קריית שמונה</w:t>
      </w:r>
      <w:r w:rsidR="004F1148" w:rsidRPr="004F1148">
        <w:rPr>
          <w:rFonts w:eastAsia="Calibri"/>
          <w:sz w:val="19"/>
          <w:szCs w:val="19"/>
          <w:rtl/>
        </w:rPr>
        <w:t xml:space="preserve"> ו</w:t>
      </w:r>
      <w:r w:rsidR="004F1148" w:rsidRPr="004F1148">
        <w:rPr>
          <w:rFonts w:eastAsia="Calibri"/>
          <w:b/>
          <w:bCs/>
          <w:sz w:val="19"/>
          <w:szCs w:val="19"/>
          <w:rtl/>
        </w:rPr>
        <w:t>שדרות</w:t>
      </w:r>
      <w:r w:rsidR="004F1148" w:rsidRPr="004F1148">
        <w:rPr>
          <w:rFonts w:eastAsia="Calibri"/>
          <w:sz w:val="19"/>
          <w:szCs w:val="19"/>
          <w:rtl/>
        </w:rPr>
        <w:t xml:space="preserve">; המועצות המקומיות </w:t>
      </w:r>
      <w:r w:rsidR="004F1148" w:rsidRPr="004F1148">
        <w:rPr>
          <w:rFonts w:eastAsia="Calibri"/>
          <w:b/>
          <w:bCs/>
          <w:sz w:val="19"/>
          <w:szCs w:val="19"/>
          <w:rtl/>
        </w:rPr>
        <w:t>מטולה</w:t>
      </w:r>
      <w:r w:rsidR="004F1148" w:rsidRPr="004F1148">
        <w:rPr>
          <w:rFonts w:eastAsia="Calibri"/>
          <w:sz w:val="19"/>
          <w:szCs w:val="19"/>
          <w:rtl/>
        </w:rPr>
        <w:t xml:space="preserve"> ו</w:t>
      </w:r>
      <w:r w:rsidR="004F1148" w:rsidRPr="004F1148">
        <w:rPr>
          <w:rFonts w:eastAsia="Calibri"/>
          <w:b/>
          <w:bCs/>
          <w:sz w:val="19"/>
          <w:szCs w:val="19"/>
          <w:rtl/>
        </w:rPr>
        <w:t>שלומי</w:t>
      </w:r>
      <w:r w:rsidR="004F1148" w:rsidRPr="004F1148">
        <w:rPr>
          <w:rFonts w:eastAsia="Calibri"/>
          <w:sz w:val="19"/>
          <w:szCs w:val="19"/>
          <w:rtl/>
        </w:rPr>
        <w:t xml:space="preserve">; והמועצות האזוריות </w:t>
      </w:r>
      <w:r w:rsidR="004F1148" w:rsidRPr="004F1148">
        <w:rPr>
          <w:rFonts w:eastAsia="Calibri"/>
          <w:b/>
          <w:bCs/>
          <w:sz w:val="19"/>
          <w:szCs w:val="19"/>
          <w:rtl/>
        </w:rPr>
        <w:t>אשכול</w:t>
      </w:r>
      <w:r w:rsidR="004F1148" w:rsidRPr="004F1148">
        <w:rPr>
          <w:rFonts w:eastAsia="Calibri"/>
          <w:sz w:val="19"/>
          <w:szCs w:val="19"/>
          <w:rtl/>
        </w:rPr>
        <w:t xml:space="preserve">, </w:t>
      </w:r>
      <w:r w:rsidR="004F1148" w:rsidRPr="004F1148">
        <w:rPr>
          <w:rFonts w:eastAsia="Calibri"/>
          <w:b/>
          <w:bCs/>
          <w:sz w:val="19"/>
          <w:szCs w:val="19"/>
          <w:rtl/>
        </w:rPr>
        <w:t>הגליל העליון</w:t>
      </w:r>
      <w:r w:rsidR="004F1148" w:rsidRPr="004F1148">
        <w:rPr>
          <w:rFonts w:eastAsia="Calibri"/>
          <w:sz w:val="19"/>
          <w:szCs w:val="19"/>
          <w:rtl/>
        </w:rPr>
        <w:t xml:space="preserve">, </w:t>
      </w:r>
      <w:r w:rsidR="004F1148" w:rsidRPr="004F1148">
        <w:rPr>
          <w:rFonts w:eastAsia="Calibri"/>
          <w:b/>
          <w:bCs/>
          <w:sz w:val="19"/>
          <w:szCs w:val="19"/>
          <w:rtl/>
        </w:rPr>
        <w:t>חוף אשקלון</w:t>
      </w:r>
      <w:r w:rsidR="004F1148" w:rsidRPr="004F1148">
        <w:rPr>
          <w:rFonts w:eastAsia="Calibri"/>
          <w:sz w:val="19"/>
          <w:szCs w:val="19"/>
          <w:rtl/>
        </w:rPr>
        <w:t xml:space="preserve">, </w:t>
      </w:r>
      <w:r w:rsidR="004F1148" w:rsidRPr="004F1148">
        <w:rPr>
          <w:rFonts w:eastAsia="Calibri"/>
          <w:b/>
          <w:bCs/>
          <w:sz w:val="19"/>
          <w:szCs w:val="19"/>
          <w:rtl/>
        </w:rPr>
        <w:t>מבואות החרמון</w:t>
      </w:r>
      <w:r w:rsidR="004F1148" w:rsidRPr="004F1148">
        <w:rPr>
          <w:rFonts w:eastAsia="Calibri"/>
          <w:sz w:val="19"/>
          <w:szCs w:val="19"/>
          <w:rtl/>
        </w:rPr>
        <w:t xml:space="preserve">, </w:t>
      </w:r>
      <w:r w:rsidR="004F1148" w:rsidRPr="004F1148">
        <w:rPr>
          <w:rFonts w:eastAsia="Calibri"/>
          <w:b/>
          <w:bCs/>
          <w:sz w:val="19"/>
          <w:szCs w:val="19"/>
          <w:rtl/>
        </w:rPr>
        <w:t>מטה אשר</w:t>
      </w:r>
      <w:r w:rsidR="004F1148" w:rsidRPr="004F1148">
        <w:rPr>
          <w:rFonts w:eastAsia="Calibri"/>
          <w:sz w:val="19"/>
          <w:szCs w:val="19"/>
          <w:rtl/>
        </w:rPr>
        <w:t xml:space="preserve">, </w:t>
      </w:r>
      <w:r w:rsidR="004F1148" w:rsidRPr="004F1148">
        <w:rPr>
          <w:rFonts w:eastAsia="Calibri"/>
          <w:b/>
          <w:bCs/>
          <w:sz w:val="19"/>
          <w:szCs w:val="19"/>
          <w:rtl/>
        </w:rPr>
        <w:t>מעלה יוסף</w:t>
      </w:r>
      <w:r w:rsidR="004F1148" w:rsidRPr="004F1148">
        <w:rPr>
          <w:rFonts w:eastAsia="Calibri"/>
          <w:sz w:val="19"/>
          <w:szCs w:val="19"/>
          <w:rtl/>
        </w:rPr>
        <w:t xml:space="preserve"> ו</w:t>
      </w:r>
      <w:r w:rsidR="004F1148" w:rsidRPr="004F1148">
        <w:rPr>
          <w:rFonts w:eastAsia="Calibri"/>
          <w:b/>
          <w:bCs/>
          <w:sz w:val="19"/>
          <w:szCs w:val="19"/>
          <w:rtl/>
        </w:rPr>
        <w:t>מרום הגליל</w:t>
      </w:r>
      <w:r w:rsidR="004F1148" w:rsidRPr="004F1148">
        <w:rPr>
          <w:rFonts w:eastAsia="Calibri"/>
          <w:sz w:val="19"/>
          <w:szCs w:val="19"/>
          <w:rtl/>
        </w:rPr>
        <w:t xml:space="preserve">; וכן ב-14 רשויות שקלטו בתחומיהן מפונים: העיריות </w:t>
      </w:r>
      <w:r w:rsidR="004F1148" w:rsidRPr="004F1148">
        <w:rPr>
          <w:rFonts w:eastAsia="Calibri"/>
          <w:b/>
          <w:bCs/>
          <w:sz w:val="19"/>
          <w:szCs w:val="19"/>
          <w:rtl/>
        </w:rPr>
        <w:t>אילת</w:t>
      </w:r>
      <w:r w:rsidR="004F1148" w:rsidRPr="004F1148">
        <w:rPr>
          <w:rFonts w:eastAsia="Calibri"/>
          <w:sz w:val="19"/>
          <w:szCs w:val="19"/>
          <w:rtl/>
        </w:rPr>
        <w:t xml:space="preserve">, </w:t>
      </w:r>
      <w:r w:rsidR="004F1148" w:rsidRPr="004F1148">
        <w:rPr>
          <w:rFonts w:eastAsia="Calibri"/>
          <w:b/>
          <w:bCs/>
          <w:sz w:val="19"/>
          <w:szCs w:val="19"/>
          <w:rtl/>
        </w:rPr>
        <w:t>הרצלייה</w:t>
      </w:r>
      <w:r w:rsidR="004F1148" w:rsidRPr="004F1148">
        <w:rPr>
          <w:rFonts w:eastAsia="Calibri"/>
          <w:sz w:val="19"/>
          <w:szCs w:val="19"/>
          <w:rtl/>
        </w:rPr>
        <w:t xml:space="preserve">, </w:t>
      </w:r>
      <w:r w:rsidR="004F1148" w:rsidRPr="004F1148">
        <w:rPr>
          <w:rFonts w:eastAsia="Calibri"/>
          <w:b/>
          <w:bCs/>
          <w:sz w:val="19"/>
          <w:szCs w:val="19"/>
          <w:rtl/>
        </w:rPr>
        <w:t>חיפה</w:t>
      </w:r>
      <w:r w:rsidR="004F1148" w:rsidRPr="004F1148">
        <w:rPr>
          <w:rFonts w:eastAsia="Calibri"/>
          <w:sz w:val="19"/>
          <w:szCs w:val="19"/>
          <w:rtl/>
        </w:rPr>
        <w:t xml:space="preserve">, </w:t>
      </w:r>
      <w:r w:rsidR="004F1148" w:rsidRPr="004F1148">
        <w:rPr>
          <w:rFonts w:eastAsia="Calibri"/>
          <w:b/>
          <w:bCs/>
          <w:sz w:val="19"/>
          <w:szCs w:val="19"/>
          <w:rtl/>
        </w:rPr>
        <w:t>טבריה</w:t>
      </w:r>
      <w:r w:rsidR="004F1148" w:rsidRPr="004F1148">
        <w:rPr>
          <w:rFonts w:eastAsia="Calibri"/>
          <w:sz w:val="19"/>
          <w:szCs w:val="19"/>
          <w:rtl/>
        </w:rPr>
        <w:t xml:space="preserve">, </w:t>
      </w:r>
      <w:r w:rsidR="004F1148" w:rsidRPr="004F1148">
        <w:rPr>
          <w:rFonts w:eastAsia="Calibri"/>
          <w:b/>
          <w:bCs/>
          <w:sz w:val="19"/>
          <w:szCs w:val="19"/>
          <w:rtl/>
        </w:rPr>
        <w:t>ירושלים</w:t>
      </w:r>
      <w:r w:rsidR="004F1148" w:rsidRPr="004F1148">
        <w:rPr>
          <w:rFonts w:eastAsia="Calibri"/>
          <w:sz w:val="19"/>
          <w:szCs w:val="19"/>
          <w:rtl/>
        </w:rPr>
        <w:t xml:space="preserve">, </w:t>
      </w:r>
      <w:r w:rsidR="004F1148" w:rsidRPr="004F1148">
        <w:rPr>
          <w:rFonts w:eastAsia="Calibri"/>
          <w:b/>
          <w:bCs/>
          <w:sz w:val="19"/>
          <w:szCs w:val="19"/>
          <w:rtl/>
        </w:rPr>
        <w:t>נוף הגליל</w:t>
      </w:r>
      <w:r w:rsidR="004F1148" w:rsidRPr="004F1148">
        <w:rPr>
          <w:rFonts w:eastAsia="Calibri"/>
          <w:sz w:val="19"/>
          <w:szCs w:val="19"/>
          <w:rtl/>
        </w:rPr>
        <w:t xml:space="preserve">, </w:t>
      </w:r>
      <w:r w:rsidR="004F1148" w:rsidRPr="004F1148">
        <w:rPr>
          <w:rFonts w:eastAsia="Calibri"/>
          <w:b/>
          <w:bCs/>
          <w:sz w:val="19"/>
          <w:szCs w:val="19"/>
          <w:rtl/>
        </w:rPr>
        <w:t>נתניה</w:t>
      </w:r>
      <w:r w:rsidR="004F1148" w:rsidRPr="004F1148">
        <w:rPr>
          <w:rFonts w:eastAsia="Calibri"/>
          <w:sz w:val="19"/>
          <w:szCs w:val="19"/>
          <w:rtl/>
        </w:rPr>
        <w:t xml:space="preserve">, </w:t>
      </w:r>
      <w:r w:rsidR="004F1148" w:rsidRPr="004F1148">
        <w:rPr>
          <w:rFonts w:eastAsia="Calibri"/>
          <w:b/>
          <w:bCs/>
          <w:sz w:val="19"/>
          <w:szCs w:val="19"/>
          <w:rtl/>
        </w:rPr>
        <w:t xml:space="preserve">רמת גן </w:t>
      </w:r>
      <w:r w:rsidR="004F1148" w:rsidRPr="004F1148">
        <w:rPr>
          <w:rFonts w:eastAsia="Calibri"/>
          <w:sz w:val="19"/>
          <w:szCs w:val="19"/>
          <w:rtl/>
        </w:rPr>
        <w:t>ו</w:t>
      </w:r>
      <w:r w:rsidR="004F1148" w:rsidRPr="004F1148">
        <w:rPr>
          <w:rFonts w:eastAsia="Calibri"/>
          <w:b/>
          <w:bCs/>
          <w:sz w:val="19"/>
          <w:szCs w:val="19"/>
          <w:rtl/>
        </w:rPr>
        <w:t xml:space="preserve">תל אביב-יפו </w:t>
      </w:r>
      <w:r w:rsidR="004F1148" w:rsidRPr="004F1148">
        <w:rPr>
          <w:rFonts w:eastAsia="Calibri"/>
          <w:sz w:val="19"/>
          <w:szCs w:val="19"/>
          <w:rtl/>
        </w:rPr>
        <w:t xml:space="preserve">; המועצה המקומית </w:t>
      </w:r>
      <w:r w:rsidR="004F1148" w:rsidRPr="004F1148">
        <w:rPr>
          <w:rFonts w:eastAsia="Calibri"/>
          <w:b/>
          <w:bCs/>
          <w:sz w:val="19"/>
          <w:szCs w:val="19"/>
          <w:rtl/>
        </w:rPr>
        <w:t>זיכרון יעקב</w:t>
      </w:r>
      <w:r w:rsidR="004F1148" w:rsidRPr="004F1148">
        <w:rPr>
          <w:rFonts w:eastAsia="Calibri"/>
          <w:sz w:val="19"/>
          <w:szCs w:val="19"/>
          <w:rtl/>
        </w:rPr>
        <w:t xml:space="preserve">; והמועצות האזוריות </w:t>
      </w:r>
      <w:r w:rsidR="004F1148" w:rsidRPr="004F1148">
        <w:rPr>
          <w:rFonts w:eastAsia="Calibri"/>
          <w:b/>
          <w:bCs/>
          <w:sz w:val="19"/>
          <w:szCs w:val="19"/>
          <w:rtl/>
        </w:rPr>
        <w:t>חוף הכרמל</w:t>
      </w:r>
      <w:r w:rsidR="004F1148" w:rsidRPr="004F1148">
        <w:rPr>
          <w:rFonts w:eastAsia="Calibri"/>
          <w:sz w:val="19"/>
          <w:szCs w:val="19"/>
          <w:rtl/>
        </w:rPr>
        <w:t xml:space="preserve">, </w:t>
      </w:r>
      <w:r w:rsidR="004F1148" w:rsidRPr="004F1148">
        <w:rPr>
          <w:rFonts w:eastAsia="Calibri"/>
          <w:b/>
          <w:bCs/>
          <w:sz w:val="19"/>
          <w:szCs w:val="19"/>
          <w:rtl/>
        </w:rPr>
        <w:t>מטה יהודה</w:t>
      </w:r>
      <w:r w:rsidR="004F1148" w:rsidRPr="004F1148">
        <w:rPr>
          <w:rFonts w:eastAsia="Calibri"/>
          <w:sz w:val="19"/>
          <w:szCs w:val="19"/>
          <w:rtl/>
        </w:rPr>
        <w:t xml:space="preserve">, </w:t>
      </w:r>
      <w:r w:rsidR="004F1148" w:rsidRPr="004F1148">
        <w:rPr>
          <w:rFonts w:eastAsia="Calibri"/>
          <w:b/>
          <w:bCs/>
          <w:sz w:val="19"/>
          <w:szCs w:val="19"/>
          <w:rtl/>
        </w:rPr>
        <w:t>עמק הירדן</w:t>
      </w:r>
      <w:r w:rsidR="004F1148" w:rsidRPr="004F1148">
        <w:rPr>
          <w:rFonts w:eastAsia="Calibri"/>
          <w:sz w:val="19"/>
          <w:szCs w:val="19"/>
          <w:rtl/>
        </w:rPr>
        <w:t xml:space="preserve"> ו</w:t>
      </w:r>
      <w:r w:rsidR="004F1148" w:rsidRPr="004F1148">
        <w:rPr>
          <w:rFonts w:eastAsia="Calibri"/>
          <w:b/>
          <w:bCs/>
          <w:sz w:val="19"/>
          <w:szCs w:val="19"/>
          <w:rtl/>
        </w:rPr>
        <w:t>תמר</w:t>
      </w:r>
      <w:r w:rsidR="004F1148" w:rsidRPr="004F1148">
        <w:rPr>
          <w:rFonts w:eastAsia="Calibri"/>
          <w:sz w:val="19"/>
          <w:szCs w:val="19"/>
          <w:rtl/>
        </w:rPr>
        <w:t xml:space="preserve">. בדיקות השלמה נעשו ברשות החירום הלאומית שבמשרד הביטחון, בפיקוד העורף, במשרד הפנים, במשרד החינוך, במשרד הרווחה והביטחון החברתי ובמשרד התיירות. במסגרת הביקורת נבדקו היערכות הרשויות המקומיות לפינוי ולקליטה של תושבים לפני פרוץ מלחמת חרבות ברזל; הליכי הפינוי והקליטה מפרוץ המלחמה; מתן שירותים למפונים </w:t>
      </w:r>
      <w:r w:rsidR="004F1148" w:rsidRPr="004F1148">
        <w:rPr>
          <w:rFonts w:eastAsia="Calibri" w:hint="cs"/>
          <w:sz w:val="19"/>
          <w:szCs w:val="19"/>
          <w:rtl/>
        </w:rPr>
        <w:t>-</w:t>
      </w:r>
      <w:r w:rsidR="004F1148" w:rsidRPr="004F1148">
        <w:rPr>
          <w:rFonts w:eastAsia="Calibri"/>
          <w:sz w:val="19"/>
          <w:szCs w:val="19"/>
          <w:rtl/>
        </w:rPr>
        <w:t xml:space="preserve"> שירותים בסיסיים ומיידיים ושירותי חינוך ורווחה; והסיוע הכלכלי לרשויות המפונות והקולטות בחודשים הראשונים של המלחמה.</w:t>
      </w:r>
      <w:r w:rsidR="004F1148" w:rsidRPr="004F1148">
        <w:rPr>
          <w:rFonts w:eastAsia="Calibri"/>
          <w:szCs w:val="24"/>
          <w:rtl/>
        </w:rPr>
        <w:t xml:space="preserve"> </w:t>
      </w:r>
    </w:p>
    <w:p w:rsidR="004F1148" w:rsidRPr="004F1148" w:rsidRDefault="004F1148" w:rsidP="00091165">
      <w:pPr>
        <w:pStyle w:val="73"/>
        <w:spacing w:after="120"/>
        <w:ind w:left="851"/>
        <w:rPr>
          <w:rFonts w:eastAsia="Calibri"/>
          <w:szCs w:val="24"/>
          <w:rtl/>
        </w:rPr>
      </w:pPr>
      <w:r w:rsidRPr="004F1148">
        <w:rPr>
          <w:rFonts w:eastAsia="Calibri"/>
          <w:sz w:val="19"/>
          <w:szCs w:val="19"/>
          <w:rtl/>
        </w:rPr>
        <w:t>בחודשים אוקטובר עד דצמבר 2023 ביקרו נציגי משרד מבקר המדינה במלונות שבהם שהו מפונים. הביקור הראשון נערך כשבועיים לאחר פרוץ המלחמה,</w:t>
      </w:r>
      <w:r w:rsidRPr="004F1148">
        <w:rPr>
          <w:rFonts w:eastAsia="Calibri"/>
          <w:szCs w:val="24"/>
          <w:rtl/>
        </w:rPr>
        <w:t xml:space="preserve"> </w:t>
      </w:r>
      <w:r w:rsidRPr="004F1148">
        <w:rPr>
          <w:rFonts w:eastAsia="Calibri"/>
          <w:sz w:val="19"/>
          <w:szCs w:val="19"/>
          <w:rtl/>
        </w:rPr>
        <w:t xml:space="preserve">ב-22.10.23. בסך הכול נערכו 20 ביקורים, כל ביקור במלון אחד או שניים. המלונות נמצאו בתחומי הרשויות הקולטות שנבדקו: העיריות </w:t>
      </w:r>
      <w:r w:rsidRPr="004F1148">
        <w:rPr>
          <w:rFonts w:eastAsia="Calibri" w:hint="eastAsia"/>
          <w:b/>
          <w:bCs/>
          <w:sz w:val="19"/>
          <w:szCs w:val="19"/>
          <w:rtl/>
        </w:rPr>
        <w:t>אילת</w:t>
      </w:r>
      <w:r w:rsidRPr="004F1148">
        <w:rPr>
          <w:rFonts w:eastAsia="Calibri" w:hint="cs"/>
          <w:sz w:val="19"/>
          <w:szCs w:val="19"/>
          <w:rtl/>
        </w:rPr>
        <w:t xml:space="preserve">, </w:t>
      </w:r>
      <w:r w:rsidRPr="004F1148">
        <w:rPr>
          <w:rFonts w:eastAsia="Calibri"/>
          <w:b/>
          <w:bCs/>
          <w:sz w:val="19"/>
          <w:szCs w:val="19"/>
          <w:rtl/>
        </w:rPr>
        <w:t>הרצלייה</w:t>
      </w:r>
      <w:r w:rsidRPr="004F1148">
        <w:rPr>
          <w:rFonts w:eastAsia="Calibri"/>
          <w:sz w:val="19"/>
          <w:szCs w:val="19"/>
          <w:rtl/>
        </w:rPr>
        <w:t xml:space="preserve">, </w:t>
      </w:r>
      <w:r w:rsidRPr="004F1148">
        <w:rPr>
          <w:rFonts w:eastAsia="Calibri"/>
          <w:b/>
          <w:bCs/>
          <w:sz w:val="19"/>
          <w:szCs w:val="19"/>
          <w:rtl/>
        </w:rPr>
        <w:t>חיפה</w:t>
      </w:r>
      <w:r w:rsidRPr="004F1148">
        <w:rPr>
          <w:rFonts w:eastAsia="Calibri"/>
          <w:sz w:val="19"/>
          <w:szCs w:val="19"/>
          <w:rtl/>
        </w:rPr>
        <w:t xml:space="preserve">, </w:t>
      </w:r>
      <w:r w:rsidRPr="004F1148">
        <w:rPr>
          <w:rFonts w:eastAsia="Calibri"/>
          <w:b/>
          <w:bCs/>
          <w:sz w:val="19"/>
          <w:szCs w:val="19"/>
          <w:rtl/>
        </w:rPr>
        <w:t>טבריה</w:t>
      </w:r>
      <w:r w:rsidRPr="004F1148">
        <w:rPr>
          <w:rFonts w:eastAsia="Calibri"/>
          <w:sz w:val="19"/>
          <w:szCs w:val="19"/>
          <w:rtl/>
        </w:rPr>
        <w:t xml:space="preserve">, </w:t>
      </w:r>
      <w:r w:rsidRPr="004F1148">
        <w:rPr>
          <w:rFonts w:eastAsia="Calibri"/>
          <w:b/>
          <w:bCs/>
          <w:sz w:val="19"/>
          <w:szCs w:val="19"/>
          <w:rtl/>
        </w:rPr>
        <w:t>ירושלים</w:t>
      </w:r>
      <w:r w:rsidRPr="004F1148">
        <w:rPr>
          <w:rFonts w:eastAsia="Calibri"/>
          <w:sz w:val="19"/>
          <w:szCs w:val="19"/>
          <w:rtl/>
        </w:rPr>
        <w:t xml:space="preserve">, </w:t>
      </w:r>
      <w:r w:rsidRPr="004F1148">
        <w:rPr>
          <w:rFonts w:eastAsia="Calibri"/>
          <w:b/>
          <w:bCs/>
          <w:sz w:val="19"/>
          <w:szCs w:val="19"/>
          <w:rtl/>
        </w:rPr>
        <w:t>נתניה</w:t>
      </w:r>
      <w:r w:rsidRPr="004F1148">
        <w:rPr>
          <w:rFonts w:eastAsia="Calibri"/>
          <w:sz w:val="19"/>
          <w:szCs w:val="19"/>
          <w:rtl/>
        </w:rPr>
        <w:t xml:space="preserve"> ו</w:t>
      </w:r>
      <w:r w:rsidRPr="004F1148">
        <w:rPr>
          <w:rFonts w:eastAsia="Calibri"/>
          <w:b/>
          <w:bCs/>
          <w:sz w:val="19"/>
          <w:szCs w:val="19"/>
          <w:rtl/>
        </w:rPr>
        <w:t>תל אביב-יפו</w:t>
      </w:r>
      <w:r w:rsidRPr="004F1148">
        <w:rPr>
          <w:rFonts w:eastAsia="Calibri"/>
          <w:sz w:val="19"/>
          <w:szCs w:val="19"/>
          <w:rtl/>
        </w:rPr>
        <w:t xml:space="preserve">; המועצה המקומית </w:t>
      </w:r>
      <w:r w:rsidRPr="004F1148">
        <w:rPr>
          <w:rFonts w:eastAsia="Calibri"/>
          <w:b/>
          <w:bCs/>
          <w:sz w:val="19"/>
          <w:szCs w:val="19"/>
          <w:rtl/>
        </w:rPr>
        <w:t>זיכרון יעקב</w:t>
      </w:r>
      <w:r w:rsidRPr="004F1148">
        <w:rPr>
          <w:rFonts w:eastAsia="Calibri"/>
          <w:sz w:val="19"/>
          <w:szCs w:val="19"/>
          <w:rtl/>
        </w:rPr>
        <w:t xml:space="preserve">; והמועצות האזוריות </w:t>
      </w:r>
      <w:r w:rsidRPr="004F1148">
        <w:rPr>
          <w:rFonts w:eastAsia="Calibri"/>
          <w:b/>
          <w:bCs/>
          <w:sz w:val="19"/>
          <w:szCs w:val="19"/>
          <w:rtl/>
        </w:rPr>
        <w:t>חוף הכרמל</w:t>
      </w:r>
      <w:r w:rsidRPr="004F1148">
        <w:rPr>
          <w:rFonts w:eastAsia="Calibri"/>
          <w:sz w:val="19"/>
          <w:szCs w:val="19"/>
          <w:rtl/>
        </w:rPr>
        <w:t xml:space="preserve">, </w:t>
      </w:r>
      <w:r w:rsidRPr="004F1148">
        <w:rPr>
          <w:rFonts w:eastAsia="Calibri"/>
          <w:b/>
          <w:bCs/>
          <w:sz w:val="19"/>
          <w:szCs w:val="19"/>
          <w:rtl/>
        </w:rPr>
        <w:t>עמק הירדן</w:t>
      </w:r>
      <w:r w:rsidRPr="004F1148">
        <w:rPr>
          <w:rFonts w:eastAsia="Calibri"/>
          <w:sz w:val="19"/>
          <w:szCs w:val="19"/>
          <w:rtl/>
        </w:rPr>
        <w:t xml:space="preserve"> ו</w:t>
      </w:r>
      <w:r w:rsidRPr="004F1148">
        <w:rPr>
          <w:rFonts w:eastAsia="Calibri"/>
          <w:b/>
          <w:bCs/>
          <w:sz w:val="19"/>
          <w:szCs w:val="19"/>
          <w:rtl/>
        </w:rPr>
        <w:t>תמר</w:t>
      </w:r>
      <w:r w:rsidRPr="004F1148">
        <w:rPr>
          <w:rFonts w:eastAsia="Calibri"/>
          <w:sz w:val="19"/>
          <w:szCs w:val="19"/>
          <w:rtl/>
        </w:rPr>
        <w:t xml:space="preserve">. כן נערכו ביקורים במלונות שבתחומי עיריית </w:t>
      </w:r>
      <w:r w:rsidRPr="004F1148">
        <w:rPr>
          <w:rFonts w:eastAsia="Calibri"/>
          <w:b/>
          <w:bCs/>
          <w:sz w:val="19"/>
          <w:szCs w:val="19"/>
          <w:rtl/>
        </w:rPr>
        <w:t>רעננה</w:t>
      </w:r>
      <w:r w:rsidRPr="004F1148">
        <w:rPr>
          <w:rFonts w:eastAsia="Calibri"/>
          <w:sz w:val="19"/>
          <w:szCs w:val="19"/>
          <w:rtl/>
        </w:rPr>
        <w:t xml:space="preserve">, המועצה המקומית </w:t>
      </w:r>
      <w:r w:rsidRPr="004F1148">
        <w:rPr>
          <w:rFonts w:eastAsia="Calibri"/>
          <w:b/>
          <w:bCs/>
          <w:sz w:val="19"/>
          <w:szCs w:val="19"/>
          <w:rtl/>
        </w:rPr>
        <w:t>מגדל</w:t>
      </w:r>
      <w:r w:rsidRPr="004F1148">
        <w:rPr>
          <w:rFonts w:eastAsia="Calibri"/>
          <w:sz w:val="19"/>
          <w:szCs w:val="19"/>
          <w:rtl/>
        </w:rPr>
        <w:t xml:space="preserve"> והמועצות האזוריות </w:t>
      </w:r>
      <w:r w:rsidRPr="004F1148">
        <w:rPr>
          <w:rFonts w:eastAsia="Calibri"/>
          <w:b/>
          <w:bCs/>
          <w:sz w:val="19"/>
          <w:szCs w:val="19"/>
          <w:rtl/>
        </w:rPr>
        <w:t>גולן</w:t>
      </w:r>
      <w:r w:rsidRPr="004F1148">
        <w:rPr>
          <w:rFonts w:eastAsia="Calibri"/>
          <w:sz w:val="19"/>
          <w:szCs w:val="19"/>
          <w:rtl/>
        </w:rPr>
        <w:t xml:space="preserve">, </w:t>
      </w:r>
      <w:r w:rsidRPr="004F1148">
        <w:rPr>
          <w:rFonts w:eastAsia="Calibri"/>
          <w:b/>
          <w:bCs/>
          <w:sz w:val="19"/>
          <w:szCs w:val="19"/>
          <w:rtl/>
        </w:rPr>
        <w:t>מגילות ים המלח</w:t>
      </w:r>
      <w:r w:rsidRPr="004F1148">
        <w:rPr>
          <w:rFonts w:eastAsia="Calibri"/>
          <w:sz w:val="19"/>
          <w:szCs w:val="19"/>
          <w:rtl/>
        </w:rPr>
        <w:t xml:space="preserve"> ו</w:t>
      </w:r>
      <w:r w:rsidRPr="004F1148">
        <w:rPr>
          <w:rFonts w:eastAsia="Calibri"/>
          <w:b/>
          <w:bCs/>
          <w:sz w:val="19"/>
          <w:szCs w:val="19"/>
          <w:rtl/>
        </w:rPr>
        <w:t>עמק יזרעאל</w:t>
      </w:r>
      <w:r w:rsidRPr="004F1148">
        <w:rPr>
          <w:rFonts w:eastAsia="Calibri"/>
          <w:sz w:val="19"/>
          <w:szCs w:val="19"/>
          <w:rtl/>
        </w:rPr>
        <w:t>, אשר</w:t>
      </w:r>
      <w:r>
        <w:rPr>
          <w:rFonts w:eastAsia="Calibri" w:hint="cs"/>
          <w:rtl/>
        </w:rPr>
        <w:t xml:space="preserve"> </w:t>
      </w:r>
      <w:r w:rsidRPr="004F1148">
        <w:rPr>
          <w:rFonts w:eastAsia="Calibri"/>
          <w:sz w:val="19"/>
          <w:szCs w:val="19"/>
          <w:rtl/>
        </w:rPr>
        <w:t>לא נבדקו בביקורת. במלונות שהו מפונים מיישובי הדרום והצפון. בשניים מהמלונות שהו רק מתפנים עצמא</w:t>
      </w:r>
      <w:r w:rsidRPr="004F1148">
        <w:rPr>
          <w:rFonts w:eastAsia="Calibri" w:hint="cs"/>
          <w:sz w:val="19"/>
          <w:szCs w:val="19"/>
          <w:rtl/>
        </w:rPr>
        <w:t>ית</w:t>
      </w:r>
      <w:r w:rsidRPr="004F1148">
        <w:rPr>
          <w:rFonts w:eastAsia="Calibri"/>
          <w:sz w:val="19"/>
          <w:szCs w:val="19"/>
          <w:rtl/>
        </w:rPr>
        <w:t>. ביקורים נוספים במלונות נערכו על ידי מבקר המדינה וצוותים נוספים ממשרד מבקר המדינה.</w:t>
      </w:r>
      <w:r w:rsidRPr="004F1148">
        <w:rPr>
          <w:rFonts w:eastAsia="Calibri"/>
          <w:szCs w:val="24"/>
          <w:rtl/>
        </w:rPr>
        <w:t xml:space="preserve"> </w:t>
      </w:r>
    </w:p>
    <w:p w:rsidR="004F1148" w:rsidRPr="004F1148" w:rsidRDefault="004F1148" w:rsidP="003765AE">
      <w:pPr>
        <w:pStyle w:val="73"/>
        <w:ind w:left="851"/>
        <w:rPr>
          <w:rFonts w:eastAsia="Calibri"/>
          <w:sz w:val="19"/>
          <w:szCs w:val="19"/>
          <w:rtl/>
        </w:rPr>
      </w:pPr>
      <w:r w:rsidRPr="004F1148">
        <w:rPr>
          <w:rFonts w:eastAsia="Calibri"/>
          <w:sz w:val="19"/>
          <w:szCs w:val="19"/>
          <w:rtl/>
        </w:rPr>
        <w:t xml:space="preserve">כמו כן, בחודשים פברואר-מרץ 2024 ערך משרד מבקר המדינה מפגשים של קבוצות מיקוד מקרב אוכלוסיית המפונים מהדרום ומהצפון שנקלטו </w:t>
      </w:r>
      <w:r w:rsidR="009F477C">
        <w:rPr>
          <w:rFonts w:eastAsia="Calibri" w:hint="cs"/>
          <w:sz w:val="19"/>
          <w:szCs w:val="19"/>
          <w:rtl/>
        </w:rPr>
        <w:t>בערים</w:t>
      </w:r>
      <w:r w:rsidRPr="004F1148">
        <w:rPr>
          <w:rFonts w:eastAsia="Calibri"/>
          <w:sz w:val="19"/>
          <w:szCs w:val="19"/>
          <w:rtl/>
        </w:rPr>
        <w:t xml:space="preserve"> </w:t>
      </w:r>
      <w:r w:rsidRPr="004F1148">
        <w:rPr>
          <w:rFonts w:eastAsia="Calibri"/>
          <w:b/>
          <w:bCs/>
          <w:sz w:val="19"/>
          <w:szCs w:val="19"/>
          <w:rtl/>
        </w:rPr>
        <w:t>טבריה</w:t>
      </w:r>
      <w:r w:rsidRPr="004F1148">
        <w:rPr>
          <w:rFonts w:eastAsia="Calibri"/>
          <w:sz w:val="19"/>
          <w:szCs w:val="19"/>
          <w:rtl/>
        </w:rPr>
        <w:t xml:space="preserve">, </w:t>
      </w:r>
      <w:r w:rsidRPr="004F1148">
        <w:rPr>
          <w:rFonts w:eastAsia="Calibri"/>
          <w:b/>
          <w:bCs/>
          <w:sz w:val="19"/>
          <w:szCs w:val="19"/>
          <w:rtl/>
        </w:rPr>
        <w:t>נתניה</w:t>
      </w:r>
      <w:r w:rsidRPr="004F1148">
        <w:rPr>
          <w:rFonts w:eastAsia="Calibri"/>
          <w:sz w:val="19"/>
          <w:szCs w:val="19"/>
          <w:rtl/>
        </w:rPr>
        <w:t xml:space="preserve"> ו</w:t>
      </w:r>
      <w:r w:rsidRPr="004F1148">
        <w:rPr>
          <w:rFonts w:eastAsia="Calibri"/>
          <w:b/>
          <w:bCs/>
          <w:sz w:val="19"/>
          <w:szCs w:val="19"/>
          <w:rtl/>
        </w:rPr>
        <w:t xml:space="preserve">רמת גן </w:t>
      </w:r>
      <w:r w:rsidRPr="004F1148">
        <w:rPr>
          <w:rFonts w:eastAsia="Calibri"/>
          <w:sz w:val="19"/>
          <w:szCs w:val="19"/>
          <w:rtl/>
        </w:rPr>
        <w:t xml:space="preserve">ובמועצות האזוריות </w:t>
      </w:r>
      <w:r w:rsidRPr="004F1148">
        <w:rPr>
          <w:rFonts w:eastAsia="Calibri"/>
          <w:b/>
          <w:bCs/>
          <w:sz w:val="19"/>
          <w:szCs w:val="19"/>
          <w:rtl/>
        </w:rPr>
        <w:t>עמק הירדן</w:t>
      </w:r>
      <w:r w:rsidRPr="004F1148">
        <w:rPr>
          <w:rFonts w:eastAsia="Calibri"/>
          <w:sz w:val="19"/>
          <w:szCs w:val="19"/>
          <w:rtl/>
        </w:rPr>
        <w:t xml:space="preserve"> ו</w:t>
      </w:r>
      <w:r w:rsidRPr="004F1148">
        <w:rPr>
          <w:rFonts w:eastAsia="Calibri"/>
          <w:b/>
          <w:bCs/>
          <w:sz w:val="19"/>
          <w:szCs w:val="19"/>
          <w:rtl/>
        </w:rPr>
        <w:t>תמר</w:t>
      </w:r>
      <w:r w:rsidRPr="004F1148">
        <w:rPr>
          <w:rFonts w:eastAsia="Calibri"/>
          <w:sz w:val="19"/>
          <w:szCs w:val="19"/>
          <w:rtl/>
        </w:rPr>
        <w:t>.</w:t>
      </w:r>
    </w:p>
    <w:p w:rsidR="004F1148" w:rsidRPr="004F1148" w:rsidRDefault="004F1148" w:rsidP="004F1148">
      <w:pPr>
        <w:spacing w:after="120" w:line="288" w:lineRule="auto"/>
        <w:rPr>
          <w:rFonts w:ascii="Tahoma" w:eastAsia="Calibri" w:hAnsi="Tahoma" w:cs="Tahoma"/>
          <w:rtl/>
        </w:rPr>
      </w:pPr>
    </w:p>
    <w:p w:rsidR="00AE4BB7" w:rsidRPr="006C4033" w:rsidRDefault="00AE4BB7" w:rsidP="00AE4BB7">
      <w:pPr>
        <w:spacing w:before="600" w:line="288" w:lineRule="auto"/>
        <w:ind w:left="-1"/>
        <w:rPr>
          <w:rFonts w:ascii="Tahoma" w:hAnsi="Tahoma" w:cs="Tahoma"/>
          <w:noProof/>
          <w:rtl/>
        </w:rPr>
      </w:pPr>
      <w:r w:rsidRPr="006C4033">
        <w:rPr>
          <w:rFonts w:ascii="Tahoma" w:hAnsi="Tahoma" w:cs="Tahoma"/>
          <w:noProof/>
        </w:rPr>
        <w:lastRenderedPageBreak/>
        <w:drawing>
          <wp:inline distT="0" distB="0" distL="0" distR="0" wp14:anchorId="319A68A8" wp14:editId="0BADBDF1">
            <wp:extent cx="5685790" cy="533400"/>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קציר תמונה 2.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06362" cy="619761"/>
                    </a:xfrm>
                    <a:prstGeom prst="rect">
                      <a:avLst/>
                    </a:prstGeom>
                  </pic:spPr>
                </pic:pic>
              </a:graphicData>
            </a:graphic>
          </wp:inline>
        </w:drawing>
      </w:r>
    </w:p>
    <w:p w:rsidR="00AE4BB7" w:rsidRPr="00CF6518" w:rsidRDefault="00AE4BB7" w:rsidP="00EE67C7">
      <w:pPr>
        <w:spacing w:before="240" w:after="160"/>
        <w:rPr>
          <w:rtl/>
        </w:rPr>
      </w:pPr>
      <w:r>
        <w:rPr>
          <w:noProof/>
          <w:rtl/>
          <w:lang w:val="he-IL"/>
        </w:rPr>
        <w:drawing>
          <wp:inline distT="0" distB="0" distL="0" distR="0" wp14:anchorId="235C7E4D" wp14:editId="2E6608D8">
            <wp:extent cx="1981200" cy="190500"/>
            <wp:effectExtent l="0" t="0" r="0" b="0"/>
            <wp:docPr id="1310143038" name="תמונה 4" descr="ליקויים">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43038" name="תמונה 4" descr="ליקויים">
                      <a:extLst>
                        <a:ext uri="{C183D7F6-B498-43B3-948B-1728B52AA6E4}">
                          <adec:decorative xmlns:adec="http://schemas.microsoft.com/office/drawing/2017/decorative" val="0"/>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81200" cy="190500"/>
                    </a:xfrm>
                    <a:prstGeom prst="rect">
                      <a:avLst/>
                    </a:prstGeom>
                  </pic:spPr>
                </pic:pic>
              </a:graphicData>
            </a:graphic>
          </wp:inline>
        </w:drawing>
      </w:r>
    </w:p>
    <w:p w:rsidR="003765AE" w:rsidRPr="00AE3616" w:rsidRDefault="003765AE" w:rsidP="003765AE">
      <w:pPr>
        <w:spacing w:line="288" w:lineRule="auto"/>
        <w:rPr>
          <w:rFonts w:ascii="Tahoma" w:eastAsia="Calibri" w:hAnsi="Tahoma" w:cs="Tahoma"/>
          <w:noProof/>
          <w:sz w:val="19"/>
          <w:szCs w:val="19"/>
          <w:rtl/>
        </w:rPr>
      </w:pPr>
      <w:r w:rsidRPr="00AE3616">
        <w:rPr>
          <w:rFonts w:ascii="Tahoma" w:eastAsia="Calibri" w:hAnsi="Tahoma" w:cs="Tahoma"/>
          <w:b/>
          <w:bCs/>
          <w:sz w:val="19"/>
          <w:szCs w:val="19"/>
          <w:rtl/>
        </w:rPr>
        <w:t>תוכניות לפינוי אוכלוסייה ולקליטתה</w:t>
      </w:r>
    </w:p>
    <w:p w:rsidR="003765AE" w:rsidRPr="00AE3616" w:rsidRDefault="003765AE" w:rsidP="003765AE">
      <w:pPr>
        <w:spacing w:line="288" w:lineRule="auto"/>
        <w:ind w:left="-710"/>
        <w:rPr>
          <w:rFonts w:ascii="Tahoma" w:eastAsia="Calibri" w:hAnsi="Tahoma" w:cs="Tahoma"/>
          <w:noProof/>
          <w:sz w:val="19"/>
          <w:szCs w:val="19"/>
          <w:rtl/>
        </w:rPr>
      </w:pPr>
    </w:p>
    <w:p w:rsidR="003765AE" w:rsidRPr="00AE3616" w:rsidRDefault="003765AE" w:rsidP="00FA6EDC">
      <w:pPr>
        <w:pStyle w:val="73"/>
        <w:ind w:left="0"/>
        <w:rPr>
          <w:rFonts w:eastAsia="Calibri"/>
          <w:sz w:val="19"/>
          <w:szCs w:val="19"/>
          <w:rtl/>
        </w:rPr>
      </w:pPr>
      <w:r w:rsidRPr="00AE3616">
        <w:rPr>
          <w:b/>
          <w:bCs/>
          <w:sz w:val="19"/>
          <w:szCs w:val="19"/>
          <w:rtl/>
        </w:rPr>
        <w:t>תוכנית "מלון אורחים"</w:t>
      </w:r>
      <w:r w:rsidRPr="00AE3616">
        <w:rPr>
          <w:rFonts w:hint="cs"/>
          <w:b/>
          <w:bCs/>
          <w:sz w:val="19"/>
          <w:szCs w:val="19"/>
          <w:rtl/>
        </w:rPr>
        <w:t xml:space="preserve"> -</w:t>
      </w:r>
      <w:r w:rsidRPr="00AE3616">
        <w:rPr>
          <w:b/>
          <w:bCs/>
          <w:sz w:val="19"/>
          <w:szCs w:val="19"/>
          <w:rtl/>
        </w:rPr>
        <w:t xml:space="preserve"> </w:t>
      </w:r>
      <w:r w:rsidRPr="00AE3616">
        <w:rPr>
          <w:sz w:val="19"/>
          <w:szCs w:val="19"/>
          <w:rtl/>
        </w:rPr>
        <w:t>"החלטת ממשלה מלון אורחים" משנת 2012 קובעת</w:t>
      </w:r>
      <w:r w:rsidRPr="00AE3616">
        <w:rPr>
          <w:rFonts w:eastAsia="Calibri"/>
          <w:sz w:val="19"/>
          <w:szCs w:val="19"/>
          <w:rtl/>
        </w:rPr>
        <w:t xml:space="preserve"> תוכנית לאומית לפינוי ולקליטה של אוכלוסייה במצבי חירום מחייבים. התוכנית קובעת את חלוקת האחריות ל"ביצוע פינוי המוני מאורגן של אוכלוסייה ולקליטתה בשל סיכון המאיים עליה או משום שנותרה ללא קורת גג". בהחלטת הממשלה נקבע כי פינוי בחירום יבוצע על ידי צה"ל או הרשויות המקומית </w:t>
      </w:r>
      <w:r w:rsidRPr="003765AE">
        <w:rPr>
          <w:sz w:val="19"/>
          <w:szCs w:val="19"/>
          <w:rtl/>
        </w:rPr>
        <w:t>בהתאם</w:t>
      </w:r>
      <w:r w:rsidRPr="00AE3616">
        <w:rPr>
          <w:rFonts w:eastAsia="Calibri"/>
          <w:sz w:val="19"/>
          <w:szCs w:val="19"/>
          <w:rtl/>
        </w:rPr>
        <w:t xml:space="preserve"> לאירוע, וכי על צה"ל והרשויות המקומיות להכין, תוך תיאום ביניהם, תוכניות מגירה לפינוי אוכלוסייה. תוכנית "מלון אורחים" נועדה לתת מענה לצורך באספקת מקום מגורים זמני לאוכלוסייה מפונה באמצעות הסדרת מערך של מתקני קליטה. בתוכנית נקבעו סדרי העדיפויות לקליטת מפונים: העדיפות הראשית היא תשתית בתי הספר ומוסדות הציבור שבתחומי הרשויות המקומיות, ואם לא יהיה די במקומות אלו, תישקל האפשרות להרחיב את הקליטה לפנימיות ולאכסניות, ובמקרה הצורך למלונות, בכפוף לתיאום מקדים עם משרד האוצר. במסגרת התוכנית הוטל על משרד הפנים לאתר מתקני קליטה בפריסה ארצית העומדים בהנחיות המיגון של פקע"ר</w:t>
      </w:r>
      <w:r>
        <w:rPr>
          <w:rFonts w:eastAsia="Calibri" w:hint="cs"/>
          <w:sz w:val="19"/>
          <w:szCs w:val="19"/>
          <w:rtl/>
        </w:rPr>
        <w:t>, ה</w:t>
      </w:r>
      <w:r w:rsidRPr="00AE3616">
        <w:rPr>
          <w:rFonts w:eastAsia="Calibri"/>
          <w:sz w:val="19"/>
          <w:szCs w:val="19"/>
          <w:rtl/>
        </w:rPr>
        <w:t xml:space="preserve">מסוגלים לקלוט כ-300,000 נפש. </w:t>
      </w:r>
    </w:p>
    <w:p w:rsidR="003765AE" w:rsidRPr="00AE3616" w:rsidRDefault="003765AE" w:rsidP="00091165">
      <w:pPr>
        <w:pStyle w:val="73"/>
        <w:numPr>
          <w:ilvl w:val="0"/>
          <w:numId w:val="25"/>
        </w:numPr>
        <w:rPr>
          <w:b/>
          <w:bCs/>
          <w:sz w:val="19"/>
          <w:szCs w:val="19"/>
          <w:rtl/>
        </w:rPr>
      </w:pPr>
      <w:r w:rsidRPr="001061AC">
        <w:rPr>
          <w:b/>
          <w:bCs/>
          <w:sz w:val="19"/>
          <w:szCs w:val="19"/>
          <w:rtl/>
        </w:rPr>
        <w:t>החלטת</w:t>
      </w:r>
      <w:r w:rsidRPr="00AE3616">
        <w:rPr>
          <w:rFonts w:eastAsia="Calibri"/>
          <w:b/>
          <w:bCs/>
          <w:sz w:val="19"/>
          <w:szCs w:val="19"/>
          <w:rtl/>
        </w:rPr>
        <w:t xml:space="preserve"> </w:t>
      </w:r>
      <w:r w:rsidRPr="003765AE">
        <w:rPr>
          <w:rStyle w:val="737"/>
          <w:b/>
          <w:sz w:val="19"/>
          <w:szCs w:val="19"/>
          <w:rtl/>
        </w:rPr>
        <w:t>הממשלה</w:t>
      </w:r>
      <w:r w:rsidRPr="00AE3616">
        <w:rPr>
          <w:rFonts w:eastAsia="Calibri"/>
          <w:b/>
          <w:bCs/>
          <w:sz w:val="19"/>
          <w:szCs w:val="19"/>
          <w:rtl/>
        </w:rPr>
        <w:t xml:space="preserve"> "מלון אורחים" המעודכנת גובשה לאחר עבודת מטה של שנה וחצי והייתה בשלה לאישור בשנת 2022, אך זו לא הועלתה לאישור ועדת השרים לענייני העורף עקב התנגדות משרד</w:t>
      </w:r>
      <w:r w:rsidRPr="00AE3616">
        <w:rPr>
          <w:rFonts w:eastAsia="Calibri" w:hint="cs"/>
          <w:b/>
          <w:bCs/>
          <w:sz w:val="19"/>
          <w:szCs w:val="19"/>
          <w:rtl/>
        </w:rPr>
        <w:t xml:space="preserve"> </w:t>
      </w:r>
      <w:r w:rsidRPr="00AE3616">
        <w:rPr>
          <w:rFonts w:eastAsia="Calibri"/>
          <w:b/>
          <w:bCs/>
          <w:sz w:val="19"/>
          <w:szCs w:val="19"/>
          <w:rtl/>
        </w:rPr>
        <w:t>האוצר</w:t>
      </w:r>
      <w:r w:rsidRPr="00AE3616">
        <w:rPr>
          <w:b/>
          <w:bCs/>
          <w:sz w:val="19"/>
          <w:szCs w:val="19"/>
          <w:rtl/>
        </w:rPr>
        <w:t xml:space="preserve">, </w:t>
      </w:r>
      <w:r w:rsidRPr="00AE3616">
        <w:rPr>
          <w:rFonts w:eastAsia="Calibri"/>
          <w:b/>
          <w:bCs/>
          <w:sz w:val="19"/>
          <w:szCs w:val="19"/>
          <w:rtl/>
        </w:rPr>
        <w:t>כיוון שעל פי חוק, נדרש היה שיהיה לתוכנית מקור תקציבי, דבר שלא נכלל בה.</w:t>
      </w:r>
      <w:bookmarkStart w:id="2" w:name="_Hlk183349588"/>
      <w:r w:rsidRPr="00AE3616">
        <w:rPr>
          <w:rFonts w:eastAsia="Calibri"/>
          <w:b/>
          <w:bCs/>
          <w:sz w:val="19"/>
          <w:szCs w:val="19"/>
          <w:rtl/>
        </w:rPr>
        <w:t xml:space="preserve"> כך, בהיעדר הסכמה עם משרד האוצר על מקור תקציבי-ממשלתי לתוכנית שאמורה לתקף ולעדכן את הטיפול בפינוי וקליטת האוכלוסייה כחלק מהסדרת הטיפול בעורף, עם פרוץ מלחמת חרבות ברזל לא הייתה תוכנית מעודכנת לפינוי ולקליטה.</w:t>
      </w:r>
      <w:bookmarkEnd w:id="2"/>
      <w:r w:rsidRPr="00AE3616">
        <w:rPr>
          <w:rFonts w:eastAsia="Calibri"/>
          <w:b/>
          <w:bCs/>
          <w:sz w:val="19"/>
          <w:szCs w:val="19"/>
          <w:rtl/>
        </w:rPr>
        <w:t xml:space="preserve"> </w:t>
      </w:r>
      <w:r w:rsidRPr="00AE3616">
        <w:rPr>
          <w:b/>
          <w:bCs/>
          <w:sz w:val="19"/>
          <w:szCs w:val="19"/>
          <w:rtl/>
        </w:rPr>
        <w:t>עדכון תוכנית "מלון אורחים" ואישורה, לרבות הסדרת המנגנון התקציבי ליישומה, יכול היה להוות בסיס למתן מענה הולם לאוכלוסייה המפונה בהיבטים של מתן שירותים בסיסיים, שירותי חינוך, שירותי רווחה ושירותי בריאות לקליטת המפונים במלחמת חרבות ברזל</w:t>
      </w:r>
      <w:r w:rsidRPr="00AE3616">
        <w:rPr>
          <w:rStyle w:val="af1"/>
          <w:b/>
          <w:bCs/>
          <w:sz w:val="19"/>
          <w:szCs w:val="19"/>
          <w:rtl/>
        </w:rPr>
        <w:footnoteReference w:id="3"/>
      </w:r>
      <w:r w:rsidRPr="00AE3616">
        <w:rPr>
          <w:b/>
          <w:bCs/>
          <w:sz w:val="19"/>
          <w:szCs w:val="19"/>
          <w:rtl/>
        </w:rPr>
        <w:t xml:space="preserve">, ואולם זו לא אושרה. </w:t>
      </w:r>
    </w:p>
    <w:p w:rsidR="003765AE" w:rsidRPr="00AE3616" w:rsidRDefault="003765AE" w:rsidP="003765AE">
      <w:pPr>
        <w:pStyle w:val="73"/>
        <w:rPr>
          <w:rFonts w:eastAsia="Calibri"/>
          <w:b/>
          <w:bCs/>
          <w:sz w:val="19"/>
          <w:szCs w:val="19"/>
          <w:rtl/>
        </w:rPr>
      </w:pPr>
      <w:r w:rsidRPr="00AE3616">
        <w:rPr>
          <w:rFonts w:eastAsia="Calibri"/>
          <w:b/>
          <w:bCs/>
          <w:sz w:val="19"/>
          <w:szCs w:val="19"/>
          <w:rtl/>
        </w:rPr>
        <w:t>תוכנית "מרחק בטוח" הלאומית</w:t>
      </w:r>
      <w:r w:rsidRPr="00AE3616">
        <w:rPr>
          <w:rFonts w:eastAsia="Calibri"/>
          <w:sz w:val="19"/>
          <w:szCs w:val="19"/>
          <w:rtl/>
        </w:rPr>
        <w:t xml:space="preserve"> היא תוכנית המענה הלאומית לפינוי ולקליטה של אוכלוסייה מיישובים הסמוכים לגבול בצפון הארץ ובדרומה, בשל סיכון המאיים עליה או משום שנותרה ללא קורת גג. מטרת התוכנית לתת מענה למפונים עד לחזרתם למגורי הקבע (תקופה מוערכת של 21 ימים). </w:t>
      </w:r>
      <w:r w:rsidRPr="00AE3616">
        <w:rPr>
          <w:sz w:val="19"/>
          <w:szCs w:val="19"/>
          <w:rtl/>
        </w:rPr>
        <w:t xml:space="preserve">תוכנית זו משותפת לצה"ל, רח"ל, משרדי הממשלה והרשויות המקומיות וגורמי החירום האזרחיים (השותפים), </w:t>
      </w:r>
      <w:r w:rsidRPr="00AE3616">
        <w:rPr>
          <w:sz w:val="19"/>
          <w:szCs w:val="19"/>
          <w:rtl/>
        </w:rPr>
        <w:lastRenderedPageBreak/>
        <w:t xml:space="preserve">כאשר על כל גוף להוציא תוכנית אופרטיבית משלו הנגזרת מתוכנית המענה הלאומית. רח"ל יזמה את התוכנית כדי לקיים תיאום ובקרה מול משרדי הממשלה האמונים על שלב הקליטה. </w:t>
      </w:r>
      <w:r w:rsidRPr="00AE3616">
        <w:rPr>
          <w:rFonts w:eastAsia="Calibri"/>
          <w:sz w:val="19"/>
          <w:szCs w:val="19"/>
          <w:rtl/>
        </w:rPr>
        <w:t>התוכנית משלימה את תוכנית "מלון אורחים"</w:t>
      </w:r>
      <w:r w:rsidR="00EC0F3A">
        <w:rPr>
          <w:rFonts w:eastAsia="Calibri" w:hint="cs"/>
          <w:sz w:val="19"/>
          <w:szCs w:val="19"/>
          <w:rtl/>
        </w:rPr>
        <w:t>,</w:t>
      </w:r>
      <w:r w:rsidRPr="00AE3616">
        <w:rPr>
          <w:rFonts w:eastAsia="Calibri"/>
          <w:sz w:val="19"/>
          <w:szCs w:val="19"/>
          <w:rtl/>
        </w:rPr>
        <w:t xml:space="preserve"> והיא מתבססת עליה כלקח וכצורך מבצעי בעקבות מבצע "צוק איתן" בשנת 2014. </w:t>
      </w:r>
      <w:r w:rsidRPr="00AE3616">
        <w:rPr>
          <w:sz w:val="19"/>
          <w:szCs w:val="19"/>
          <w:rtl/>
        </w:rPr>
        <w:t xml:space="preserve">התוכנית חלה על יישובים בגזרת הדרום (יישובים בטווח 0 - 4 ק"מ מהגבול, ללא העיר </w:t>
      </w:r>
      <w:r w:rsidRPr="00AE3616">
        <w:rPr>
          <w:b/>
          <w:bCs/>
          <w:sz w:val="19"/>
          <w:szCs w:val="19"/>
          <w:rtl/>
        </w:rPr>
        <w:t>שדרות</w:t>
      </w:r>
      <w:r w:rsidRPr="00AE3616">
        <w:rPr>
          <w:sz w:val="19"/>
          <w:szCs w:val="19"/>
          <w:rtl/>
        </w:rPr>
        <w:t xml:space="preserve">) ובגזרת הצפון (יישובים בטווח 0 - 5 ק"מ מהגבול, ללא העיר </w:t>
      </w:r>
      <w:r w:rsidRPr="00AE3616">
        <w:rPr>
          <w:b/>
          <w:bCs/>
          <w:sz w:val="19"/>
          <w:szCs w:val="19"/>
          <w:rtl/>
        </w:rPr>
        <w:t>קריית שמונה</w:t>
      </w:r>
      <w:r w:rsidRPr="00AE3616">
        <w:rPr>
          <w:sz w:val="19"/>
          <w:szCs w:val="19"/>
          <w:rtl/>
        </w:rPr>
        <w:t xml:space="preserve">). התוכנית נועדה לתת מענה לכ-45,000 תושבים - בצפון הארץ כ-35,000 ובדרומה כ-10,000. </w:t>
      </w:r>
    </w:p>
    <w:p w:rsidR="003765AE" w:rsidRPr="00AE3616" w:rsidRDefault="003765AE" w:rsidP="00091165">
      <w:pPr>
        <w:pStyle w:val="73"/>
        <w:numPr>
          <w:ilvl w:val="0"/>
          <w:numId w:val="25"/>
        </w:numPr>
        <w:spacing w:after="120"/>
        <w:rPr>
          <w:rFonts w:eastAsia="Calibri"/>
          <w:sz w:val="19"/>
          <w:szCs w:val="19"/>
          <w:rtl/>
        </w:rPr>
      </w:pPr>
      <w:r w:rsidRPr="00AE3616">
        <w:rPr>
          <w:b/>
          <w:bCs/>
          <w:sz w:val="19"/>
          <w:szCs w:val="19"/>
          <w:rtl/>
        </w:rPr>
        <w:t xml:space="preserve">התוכנית </w:t>
      </w:r>
      <w:r w:rsidRPr="001061AC">
        <w:rPr>
          <w:rFonts w:eastAsia="Calibri"/>
          <w:b/>
          <w:bCs/>
          <w:sz w:val="19"/>
          <w:szCs w:val="19"/>
          <w:rtl/>
        </w:rPr>
        <w:t>הלאומית</w:t>
      </w:r>
      <w:r w:rsidRPr="00AE3616">
        <w:rPr>
          <w:b/>
          <w:bCs/>
          <w:sz w:val="19"/>
          <w:szCs w:val="19"/>
          <w:rtl/>
        </w:rPr>
        <w:t xml:space="preserve"> המעודכנת הופצה על ידי רח"ל לשותפים להתייחסותם בפברואר 2021. </w:t>
      </w:r>
      <w:r w:rsidRPr="00AE3616">
        <w:rPr>
          <w:rFonts w:eastAsia="Calibri"/>
          <w:b/>
          <w:bCs/>
          <w:sz w:val="19"/>
          <w:szCs w:val="19"/>
          <w:rtl/>
        </w:rPr>
        <w:t>התוכנית אושרה בידי סגן שר הביטחון דאז בנובמבר 2021. משרדי הממשלה לא אישרו אותה</w:t>
      </w:r>
      <w:r w:rsidR="00EC0F3A">
        <w:rPr>
          <w:rFonts w:eastAsia="Calibri" w:hint="cs"/>
          <w:b/>
          <w:bCs/>
          <w:sz w:val="19"/>
          <w:szCs w:val="19"/>
          <w:rtl/>
        </w:rPr>
        <w:t>,</w:t>
      </w:r>
      <w:r w:rsidRPr="00AE3616">
        <w:rPr>
          <w:rFonts w:eastAsia="Calibri"/>
          <w:b/>
          <w:bCs/>
          <w:sz w:val="19"/>
          <w:szCs w:val="19"/>
          <w:rtl/>
        </w:rPr>
        <w:t xml:space="preserve"> וגם ועדת השרים לענייני ביטחון לאומי (הקבינט המדיני-בטחוני)</w:t>
      </w:r>
      <w:r w:rsidR="00EC0F3A">
        <w:rPr>
          <w:rFonts w:eastAsia="Calibri" w:hint="cs"/>
          <w:b/>
          <w:bCs/>
          <w:sz w:val="19"/>
          <w:szCs w:val="19"/>
          <w:rtl/>
        </w:rPr>
        <w:t>,</w:t>
      </w:r>
      <w:r w:rsidRPr="00AE3616">
        <w:rPr>
          <w:rFonts w:eastAsia="Calibri"/>
          <w:b/>
          <w:bCs/>
          <w:sz w:val="19"/>
          <w:szCs w:val="19"/>
          <w:rtl/>
        </w:rPr>
        <w:t xml:space="preserve"> שקיבלה את התוכנית</w:t>
      </w:r>
      <w:r w:rsidR="00EC0F3A">
        <w:rPr>
          <w:rFonts w:eastAsia="Calibri" w:hint="cs"/>
          <w:b/>
          <w:bCs/>
          <w:sz w:val="19"/>
          <w:szCs w:val="19"/>
          <w:rtl/>
        </w:rPr>
        <w:t>,</w:t>
      </w:r>
      <w:r w:rsidRPr="00AE3616">
        <w:rPr>
          <w:rFonts w:eastAsia="Calibri"/>
          <w:b/>
          <w:bCs/>
          <w:sz w:val="19"/>
          <w:szCs w:val="19"/>
          <w:rtl/>
        </w:rPr>
        <w:t xml:space="preserve"> לא אישרה אותה; לכן נכון למתקפת הטרור בשבעה באוקטובר היא נשארה בגדר טיוטה לא מאושרת.</w:t>
      </w:r>
      <w:r w:rsidRPr="00AE3616">
        <w:rPr>
          <w:rFonts w:eastAsia="Calibri"/>
          <w:sz w:val="19"/>
          <w:szCs w:val="19"/>
          <w:rtl/>
        </w:rPr>
        <w:t xml:space="preserve"> </w:t>
      </w:r>
      <w:bookmarkStart w:id="3" w:name="_Hlk218431669"/>
    </w:p>
    <w:p w:rsidR="003765AE" w:rsidRPr="00AE3616" w:rsidRDefault="003765AE" w:rsidP="003765AE">
      <w:pPr>
        <w:pStyle w:val="73"/>
        <w:rPr>
          <w:rFonts w:eastAsia="Calibri"/>
          <w:b/>
          <w:bCs/>
          <w:sz w:val="19"/>
          <w:szCs w:val="19"/>
          <w:rtl/>
        </w:rPr>
      </w:pPr>
      <w:r w:rsidRPr="00AE3616">
        <w:rPr>
          <w:rFonts w:eastAsia="Calibri"/>
          <w:sz w:val="19"/>
          <w:szCs w:val="19"/>
          <w:rtl/>
        </w:rPr>
        <w:t>עם זאת, התוכנית תואמת את תוכנית "מרחק בטוח" של צה"ל ומצויה בהלימה ע</w:t>
      </w:r>
      <w:r w:rsidR="00EC0F3A">
        <w:rPr>
          <w:rFonts w:eastAsia="Calibri" w:hint="cs"/>
          <w:sz w:val="19"/>
          <w:szCs w:val="19"/>
          <w:rtl/>
        </w:rPr>
        <w:t>י</w:t>
      </w:r>
      <w:r w:rsidRPr="00AE3616">
        <w:rPr>
          <w:rFonts w:eastAsia="Calibri"/>
          <w:sz w:val="19"/>
          <w:szCs w:val="19"/>
          <w:rtl/>
        </w:rPr>
        <w:t xml:space="preserve">מה </w:t>
      </w:r>
      <w:r w:rsidRPr="00AE3616">
        <w:rPr>
          <w:sz w:val="19"/>
          <w:szCs w:val="19"/>
          <w:rtl/>
        </w:rPr>
        <w:t xml:space="preserve">(כל אחת מהתוכניות בהקשרים </w:t>
      </w:r>
      <w:r>
        <w:rPr>
          <w:rFonts w:hint="cs"/>
          <w:sz w:val="19"/>
          <w:szCs w:val="19"/>
          <w:rtl/>
        </w:rPr>
        <w:t>ש</w:t>
      </w:r>
      <w:r w:rsidRPr="00AE3616">
        <w:rPr>
          <w:sz w:val="19"/>
          <w:szCs w:val="19"/>
          <w:rtl/>
        </w:rPr>
        <w:t>בהם התוכניות חופפות - "תוכנית מרחק בטוח").</w:t>
      </w:r>
      <w:r w:rsidRPr="00AE3616">
        <w:rPr>
          <w:rFonts w:eastAsia="Calibri"/>
          <w:sz w:val="19"/>
          <w:szCs w:val="19"/>
          <w:rtl/>
        </w:rPr>
        <w:t xml:space="preserve"> </w:t>
      </w:r>
      <w:bookmarkEnd w:id="3"/>
      <w:r w:rsidRPr="00AE3616">
        <w:rPr>
          <w:rFonts w:eastAsia="Calibri"/>
          <w:sz w:val="19"/>
          <w:szCs w:val="19"/>
          <w:rtl/>
        </w:rPr>
        <w:t xml:space="preserve">תוכנית מרחק בטוח שימשה בסיס להיערכות הרשויות המקומיות. על פי מסמכי תוכנית "מרחק בטוח" הלאומית, היא תצא לפועל בהנחיית הדרג המדיני, תופעל על ידי צה"ל ופקע"ר ותתואם על ידי רח"ל עם משרדי הממשלה. לפי תוכנית "מרחק בטוח" הלאומית, משימת הפינוי היא באחריות כוללת של צה"ל, ואילו משימת הקליטה היא באחריות משרד הפנים ומערך פס"ח. תוכנית "מרחק בטוח" הלאומית מתייחסת לתקופת שהייה של 21 יום, וגם מעבר לכך אם נדרש, עד לחזרתם של המפונים לבתיהם או עד להסדרת פתרון מגורים חלופי למגורי קבע. </w:t>
      </w:r>
    </w:p>
    <w:p w:rsidR="003765AE" w:rsidRPr="00C06852" w:rsidRDefault="003765AE" w:rsidP="003765AE">
      <w:pPr>
        <w:pStyle w:val="73"/>
        <w:numPr>
          <w:ilvl w:val="0"/>
          <w:numId w:val="25"/>
        </w:numPr>
        <w:ind w:hanging="398"/>
        <w:rPr>
          <w:rFonts w:eastAsia="Calibri"/>
          <w:b/>
          <w:bCs/>
          <w:sz w:val="19"/>
          <w:szCs w:val="19"/>
          <w:rtl/>
        </w:rPr>
      </w:pPr>
      <w:r w:rsidRPr="001061AC">
        <w:rPr>
          <w:b/>
          <w:bCs/>
          <w:sz w:val="19"/>
          <w:szCs w:val="19"/>
          <w:rtl/>
        </w:rPr>
        <w:t>תוכניות</w:t>
      </w:r>
      <w:r w:rsidRPr="00AE3616">
        <w:rPr>
          <w:rFonts w:eastAsia="Calibri"/>
          <w:b/>
          <w:bCs/>
          <w:sz w:val="19"/>
          <w:szCs w:val="19"/>
          <w:rtl/>
        </w:rPr>
        <w:t xml:space="preserve"> "מרחק בטוח" - הלאומית והצה"לית - אינן נותנות מענה לפינוי ערים סמוכות גבול</w:t>
      </w:r>
      <w:r w:rsidRPr="00AE3616">
        <w:rPr>
          <w:rFonts w:eastAsia="Calibri"/>
          <w:sz w:val="19"/>
          <w:szCs w:val="19"/>
          <w:rtl/>
        </w:rPr>
        <w:t xml:space="preserve"> </w:t>
      </w:r>
      <w:r w:rsidRPr="00C06852">
        <w:rPr>
          <w:rFonts w:eastAsia="Calibri"/>
          <w:b/>
          <w:bCs/>
          <w:sz w:val="19"/>
          <w:szCs w:val="19"/>
          <w:rtl/>
        </w:rPr>
        <w:t>(קריית שמונה ושדרות).</w:t>
      </w:r>
    </w:p>
    <w:p w:rsidR="003765AE" w:rsidRPr="00AE3616" w:rsidRDefault="003765AE" w:rsidP="003765AE">
      <w:pPr>
        <w:pStyle w:val="73"/>
        <w:rPr>
          <w:rFonts w:eastAsia="Calibri"/>
          <w:sz w:val="19"/>
          <w:szCs w:val="19"/>
        </w:rPr>
      </w:pPr>
      <w:r w:rsidRPr="00AE3616">
        <w:rPr>
          <w:rFonts w:eastAsia="Calibri"/>
          <w:b/>
          <w:bCs/>
          <w:sz w:val="19"/>
          <w:szCs w:val="19"/>
          <w:rtl/>
        </w:rPr>
        <w:t>תוכנית "משב רוח"</w:t>
      </w:r>
      <w:r w:rsidRPr="00AE3616">
        <w:rPr>
          <w:rFonts w:eastAsia="Calibri" w:hint="cs"/>
          <w:b/>
          <w:bCs/>
          <w:sz w:val="19"/>
          <w:szCs w:val="19"/>
          <w:rtl/>
        </w:rPr>
        <w:t xml:space="preserve"> -</w:t>
      </w:r>
      <w:r w:rsidRPr="00AE3616">
        <w:rPr>
          <w:rFonts w:eastAsia="Calibri"/>
          <w:sz w:val="19"/>
          <w:szCs w:val="19"/>
          <w:rtl/>
        </w:rPr>
        <w:t xml:space="preserve"> תוכנית "משב רוח" דרום היא תוכנית של רח"ל ומשרד הביטחון לפינוי קצר טווח לתקופה מוגבלת לצורך ריענון או פעילות הפגה (פינוי לריענון). התוכנית חלה במקורה על יישובים במרחק 0 עד 4 ק"מ מגבול רצועת עזה ועל </w:t>
      </w:r>
      <w:r w:rsidRPr="003765AE">
        <w:rPr>
          <w:sz w:val="19"/>
          <w:szCs w:val="19"/>
          <w:rtl/>
        </w:rPr>
        <w:t>השכונות</w:t>
      </w:r>
      <w:r w:rsidRPr="00AE3616">
        <w:rPr>
          <w:rFonts w:eastAsia="Calibri"/>
          <w:sz w:val="19"/>
          <w:szCs w:val="19"/>
          <w:rtl/>
        </w:rPr>
        <w:t xml:space="preserve"> המערביות של העיר </w:t>
      </w:r>
      <w:r w:rsidRPr="00AE3616">
        <w:rPr>
          <w:rFonts w:eastAsia="Calibri"/>
          <w:b/>
          <w:bCs/>
          <w:sz w:val="19"/>
          <w:szCs w:val="19"/>
          <w:rtl/>
        </w:rPr>
        <w:t>שדרות</w:t>
      </w:r>
      <w:r w:rsidRPr="00AE3616">
        <w:rPr>
          <w:rFonts w:eastAsia="Calibri"/>
          <w:sz w:val="19"/>
          <w:szCs w:val="19"/>
          <w:rtl/>
        </w:rPr>
        <w:t xml:space="preserve">. מטרתה של התוכנית היא למסד את האפשרות לריענון האוכלוסייה ממרחב הלחימה עבור האוכלוסייה הגרה בסמיכות לגבול עם רצועת עזה, </w:t>
      </w:r>
      <w:r w:rsidRPr="00AE3616">
        <w:rPr>
          <w:sz w:val="19"/>
          <w:szCs w:val="19"/>
          <w:rtl/>
        </w:rPr>
        <w:t>גם בה</w:t>
      </w:r>
      <w:r w:rsidR="004C3C85">
        <w:rPr>
          <w:rFonts w:hint="cs"/>
          <w:sz w:val="19"/>
          <w:szCs w:val="19"/>
          <w:rtl/>
        </w:rPr>
        <w:t>י</w:t>
      </w:r>
      <w:r w:rsidRPr="00AE3616">
        <w:rPr>
          <w:sz w:val="19"/>
          <w:szCs w:val="19"/>
          <w:rtl/>
        </w:rPr>
        <w:t>עדר החלטת ממשלה על פינוי מאורגן של האוכלוסייה</w:t>
      </w:r>
      <w:r w:rsidRPr="00AE3616">
        <w:rPr>
          <w:rFonts w:eastAsia="Calibri"/>
          <w:sz w:val="19"/>
          <w:szCs w:val="19"/>
          <w:rtl/>
        </w:rPr>
        <w:t xml:space="preserve">. על פי התוכנית, קליטת המפונים תהיה במתקני אירוח בהובלה ובתיאום של הרשויות המקומיות ובמימון המדינה. התוכנית הופעלה במאי 2021 </w:t>
      </w:r>
      <w:r w:rsidR="004C3C85">
        <w:rPr>
          <w:rFonts w:eastAsia="Calibri" w:hint="cs"/>
          <w:sz w:val="19"/>
          <w:szCs w:val="19"/>
          <w:rtl/>
        </w:rPr>
        <w:t>ו</w:t>
      </w:r>
      <w:r w:rsidRPr="00AE3616">
        <w:rPr>
          <w:rFonts w:eastAsia="Calibri"/>
          <w:sz w:val="19"/>
          <w:szCs w:val="19"/>
          <w:rtl/>
        </w:rPr>
        <w:t xml:space="preserve">במבצע "שומר חומות" באוגוסט 2022, בניהול המועצות האזוריות בגבול רצועת עזה ועיריית </w:t>
      </w:r>
      <w:r w:rsidRPr="00AE3616">
        <w:rPr>
          <w:rFonts w:eastAsia="Calibri"/>
          <w:b/>
          <w:bCs/>
          <w:sz w:val="19"/>
          <w:szCs w:val="19"/>
          <w:rtl/>
        </w:rPr>
        <w:t>שדרות</w:t>
      </w:r>
      <w:r w:rsidRPr="00AE3616">
        <w:rPr>
          <w:rFonts w:eastAsia="Calibri"/>
          <w:sz w:val="19"/>
          <w:szCs w:val="19"/>
          <w:rtl/>
        </w:rPr>
        <w:t xml:space="preserve">, ועודכנה בספטמבר 2023. </w:t>
      </w:r>
    </w:p>
    <w:p w:rsidR="00091165" w:rsidRDefault="00091165" w:rsidP="003765AE">
      <w:pPr>
        <w:spacing w:line="288" w:lineRule="auto"/>
        <w:rPr>
          <w:rFonts w:ascii="Tahoma" w:eastAsia="Calibri" w:hAnsi="Tahoma" w:cs="Tahoma"/>
          <w:b/>
          <w:bCs/>
          <w:sz w:val="19"/>
          <w:szCs w:val="19"/>
          <w:rtl/>
        </w:rPr>
      </w:pPr>
      <w:r>
        <w:rPr>
          <w:rFonts w:ascii="Tahoma" w:eastAsia="Calibri" w:hAnsi="Tahoma" w:cs="Tahoma"/>
          <w:b/>
          <w:bCs/>
          <w:sz w:val="19"/>
          <w:szCs w:val="19"/>
          <w:rtl/>
        </w:rPr>
        <w:br/>
      </w:r>
    </w:p>
    <w:p w:rsidR="00091165" w:rsidRDefault="00091165">
      <w:pPr>
        <w:bidi w:val="0"/>
        <w:spacing w:after="200" w:line="276" w:lineRule="auto"/>
        <w:rPr>
          <w:rFonts w:ascii="Tahoma" w:eastAsia="Calibri" w:hAnsi="Tahoma" w:cs="Tahoma"/>
          <w:b/>
          <w:bCs/>
          <w:sz w:val="19"/>
          <w:szCs w:val="19"/>
        </w:rPr>
      </w:pPr>
      <w:r>
        <w:rPr>
          <w:rFonts w:ascii="Tahoma" w:eastAsia="Calibri" w:hAnsi="Tahoma" w:cs="Tahoma"/>
          <w:b/>
          <w:bCs/>
          <w:sz w:val="19"/>
          <w:szCs w:val="19"/>
          <w:rtl/>
        </w:rPr>
        <w:br w:type="page"/>
      </w:r>
    </w:p>
    <w:p w:rsidR="003765AE" w:rsidRPr="00AE3616" w:rsidRDefault="003765AE" w:rsidP="003765AE">
      <w:pPr>
        <w:spacing w:line="288" w:lineRule="auto"/>
        <w:rPr>
          <w:rFonts w:ascii="Tahoma" w:eastAsia="Calibri" w:hAnsi="Tahoma" w:cs="Tahoma"/>
          <w:sz w:val="19"/>
          <w:szCs w:val="19"/>
          <w:rtl/>
        </w:rPr>
      </w:pPr>
      <w:r w:rsidRPr="00AE3616">
        <w:rPr>
          <w:rFonts w:ascii="Tahoma" w:eastAsia="Calibri" w:hAnsi="Tahoma" w:cs="Tahoma"/>
          <w:b/>
          <w:bCs/>
          <w:sz w:val="19"/>
          <w:szCs w:val="19"/>
          <w:rtl/>
        </w:rPr>
        <w:lastRenderedPageBreak/>
        <w:t xml:space="preserve">פינוי </w:t>
      </w:r>
      <w:r w:rsidRPr="001061AC">
        <w:rPr>
          <w:rFonts w:ascii="Tahoma" w:hAnsi="Tahoma" w:cs="Tahoma"/>
          <w:b/>
          <w:bCs/>
          <w:sz w:val="19"/>
          <w:szCs w:val="19"/>
          <w:rtl/>
        </w:rPr>
        <w:t>היישובים</w:t>
      </w:r>
      <w:r w:rsidRPr="00AE3616">
        <w:rPr>
          <w:rFonts w:ascii="Tahoma" w:eastAsia="Calibri" w:hAnsi="Tahoma" w:cs="Tahoma"/>
          <w:b/>
          <w:bCs/>
          <w:sz w:val="19"/>
          <w:szCs w:val="19"/>
          <w:rtl/>
        </w:rPr>
        <w:t xml:space="preserve"> הסמוכים לגבול רצועת עזה ולגבול הצפון </w:t>
      </w:r>
    </w:p>
    <w:p w:rsidR="003765AE" w:rsidRPr="00AE3616" w:rsidRDefault="003765AE" w:rsidP="003765AE">
      <w:pPr>
        <w:pStyle w:val="af2"/>
        <w:spacing w:line="288" w:lineRule="auto"/>
        <w:ind w:left="-142" w:right="-567"/>
        <w:rPr>
          <w:rFonts w:ascii="Tahoma" w:eastAsia="Calibri" w:hAnsi="Tahoma" w:cs="Tahoma"/>
          <w:sz w:val="19"/>
          <w:szCs w:val="19"/>
        </w:rPr>
      </w:pPr>
    </w:p>
    <w:p w:rsidR="003765AE" w:rsidRPr="00AE3616" w:rsidRDefault="003765AE" w:rsidP="00FA6EDC">
      <w:pPr>
        <w:pStyle w:val="73"/>
        <w:spacing w:after="120"/>
        <w:ind w:left="0"/>
        <w:rPr>
          <w:rFonts w:eastAsia="Calibri"/>
          <w:sz w:val="19"/>
          <w:szCs w:val="19"/>
        </w:rPr>
      </w:pPr>
      <w:r w:rsidRPr="00AE3616">
        <w:rPr>
          <w:rFonts w:eastAsia="Calibri"/>
          <w:sz w:val="19"/>
          <w:szCs w:val="19"/>
          <w:rtl/>
        </w:rPr>
        <w:t xml:space="preserve">נוכח החדירה רחבת ההיקף אל היישובים הסמוכים לגבול רצועת עזה והירי האינטנסיבי כלפיהם, שהעמיד את התושבים בסכנה ברורה ומיידית, ביצע צה"ל החל בשבעה באוקטובר, במשך שלושה ימים, פינוי חירום של </w:t>
      </w:r>
      <w:r w:rsidRPr="00AE3616">
        <w:rPr>
          <w:rFonts w:eastAsia="Calibri"/>
          <w:b/>
          <w:bCs/>
          <w:sz w:val="19"/>
          <w:szCs w:val="19"/>
          <w:rtl/>
        </w:rPr>
        <w:t>היישובים המצויים בטווח 0 - 4 ק"מ מגבול רצועת עזה</w:t>
      </w:r>
      <w:r w:rsidRPr="00AE3616">
        <w:rPr>
          <w:rFonts w:eastAsia="Calibri"/>
          <w:sz w:val="19"/>
          <w:szCs w:val="19"/>
          <w:rtl/>
        </w:rPr>
        <w:t xml:space="preserve"> בהתאם לתוכנית הצה"לית "מרחק בטוח". התושבים נקלטו במלונות. הפינוי אושר בדיעבד בהחלטת הממשלה 950, שבה נקבעו עקרונות תוכנית הפעולה הלאומית לפינוי ולקליטה ואופן תקצובה. חלק מהתושבים התפנו עצמאית ואחרים באמצעות מערך פינוי שהפעילו המועצות האזוריות. בשונה מסדר העדיפויות במערך מתקני הקליטה בתוכנית "מלון אורחים", בהחלטה 950 ובהחלטות שבאו בעקבותיה, נקבע כי מערך הקליטה יתבסס על מלונות ובתי הארחה ולא על מתקני הקליטה המקומיים - בתי ספר ומוסדות ציבור. השיקולים לכך היו</w:t>
      </w:r>
      <w:r w:rsidRPr="00AE3616">
        <w:rPr>
          <w:rFonts w:eastAsia="Calibri"/>
          <w:sz w:val="19"/>
          <w:szCs w:val="19"/>
        </w:rPr>
        <w:t xml:space="preserve"> </w:t>
      </w:r>
      <w:r w:rsidRPr="00AE3616">
        <w:rPr>
          <w:rFonts w:eastAsia="Calibri"/>
          <w:sz w:val="19"/>
          <w:szCs w:val="19"/>
          <w:rtl/>
        </w:rPr>
        <w:t>זמינות בתי המלון ובתי ההארחה, הצפי כי משך הפינוי יהיה ארוך, הרצון לאפשר תנאי מחיה הולמים למפונים שנפגעו באופן קשה פיזית ונפשית, וכדי לאפשר את המשך הלימודים בבתי הספר ברחבי הארץ בהמשך. כחלק מפינוי זה של התושבים פעלו הרשויות המקומיות לאיתור מלונות, אכסניות ובתי הארחה. הפינוי בוצע למלונות ברחבי הארץ שהיו זמינים באופן מיידי, וברוב המקרים לא ליעדי הקליטה שנקבעו לפי תוכנית "מרחק בטוח" הלאומית.</w:t>
      </w:r>
    </w:p>
    <w:p w:rsidR="003765AE" w:rsidRPr="00AE3616" w:rsidRDefault="003765AE" w:rsidP="00FA6EDC">
      <w:pPr>
        <w:pStyle w:val="73"/>
        <w:spacing w:after="120"/>
        <w:ind w:left="0"/>
        <w:rPr>
          <w:rFonts w:eastAsia="Calibri"/>
          <w:sz w:val="19"/>
          <w:szCs w:val="19"/>
          <w:rtl/>
        </w:rPr>
      </w:pPr>
      <w:r w:rsidRPr="00AE3616">
        <w:rPr>
          <w:rFonts w:eastAsia="Calibri"/>
          <w:sz w:val="19"/>
          <w:szCs w:val="19"/>
          <w:rtl/>
        </w:rPr>
        <w:t xml:space="preserve">לגבי תושבי העיר </w:t>
      </w:r>
      <w:r w:rsidRPr="00AE3616">
        <w:rPr>
          <w:rFonts w:eastAsia="Calibri"/>
          <w:b/>
          <w:bCs/>
          <w:sz w:val="19"/>
          <w:szCs w:val="19"/>
          <w:rtl/>
        </w:rPr>
        <w:t>שדרות ותושבי היישובים במרחק 4 - 7 ק"מ מגבול רצועת עזה</w:t>
      </w:r>
      <w:r w:rsidRPr="00AE3616">
        <w:rPr>
          <w:rFonts w:eastAsia="Calibri"/>
          <w:sz w:val="19"/>
          <w:szCs w:val="19"/>
          <w:rtl/>
        </w:rPr>
        <w:t xml:space="preserve"> הופעלה תוכנית "משב רוח" של משרד הביטחון על פי החלטת המשרד מ-10.10.23.</w:t>
      </w:r>
      <w:r w:rsidRPr="00AE3616">
        <w:rPr>
          <w:sz w:val="19"/>
          <w:szCs w:val="19"/>
          <w:rtl/>
        </w:rPr>
        <w:t xml:space="preserve"> </w:t>
      </w:r>
      <w:r w:rsidRPr="00AE3616">
        <w:rPr>
          <w:rFonts w:eastAsia="Calibri"/>
          <w:sz w:val="19"/>
          <w:szCs w:val="19"/>
          <w:rtl/>
        </w:rPr>
        <w:t xml:space="preserve">הפינוי היזום בוצע על ידי עיריית </w:t>
      </w:r>
      <w:r w:rsidRPr="00AE3616">
        <w:rPr>
          <w:rFonts w:eastAsia="Calibri"/>
          <w:b/>
          <w:bCs/>
          <w:sz w:val="19"/>
          <w:szCs w:val="19"/>
          <w:rtl/>
        </w:rPr>
        <w:t>שדרות</w:t>
      </w:r>
      <w:r w:rsidRPr="00AE3616">
        <w:rPr>
          <w:rFonts w:eastAsia="Calibri"/>
          <w:sz w:val="19"/>
          <w:szCs w:val="19"/>
          <w:rtl/>
        </w:rPr>
        <w:t>. תושבים מיישובי קו העימות הדרומי בטווח של 4 - 7</w:t>
      </w:r>
      <w:r w:rsidR="004C3C85">
        <w:rPr>
          <w:rFonts w:eastAsia="Calibri" w:hint="cs"/>
          <w:sz w:val="19"/>
          <w:szCs w:val="19"/>
          <w:rtl/>
        </w:rPr>
        <w:t xml:space="preserve"> </w:t>
      </w:r>
      <w:r w:rsidRPr="00AE3616">
        <w:rPr>
          <w:rFonts w:eastAsia="Calibri"/>
          <w:sz w:val="19"/>
          <w:szCs w:val="19"/>
          <w:rtl/>
        </w:rPr>
        <w:t xml:space="preserve">ק"מ מגבול רצועת עזה התפנו באופן עצמאי או באמצעות המועצות האזוריות, והחל ב-13.10.23 הפעיל משרד הביטחון את תוכנית "משב רוח" גם לגביהם. </w:t>
      </w:r>
      <w:r w:rsidRPr="00AE3616">
        <w:rPr>
          <w:sz w:val="19"/>
          <w:szCs w:val="19"/>
          <w:rtl/>
        </w:rPr>
        <w:t xml:space="preserve">תושבי </w:t>
      </w:r>
      <w:r w:rsidRPr="00AE3616">
        <w:rPr>
          <w:rFonts w:eastAsia="Calibri"/>
          <w:sz w:val="19"/>
          <w:szCs w:val="19"/>
          <w:rtl/>
        </w:rPr>
        <w:t xml:space="preserve">הרשויות המקומיות שבגבול הצפון החלו בחלקם להתפנות באופן עצמאי כבר ב-8.10.23 וב-9.10.23. החל ב-16.10.23 הנחה שר הביטחון כי מדינת ישראל תפנה את תושבי גבול הצפון לשם הצלת חיים ולביטחונם: ב-16.10.23 תושבי 28 יישובים במרחק 0 - 2 ק"מ מגבול הצפון; ב-20.10.23 תושבי העיר </w:t>
      </w:r>
      <w:r w:rsidRPr="00AE3616">
        <w:rPr>
          <w:rFonts w:eastAsia="Calibri"/>
          <w:b/>
          <w:bCs/>
          <w:sz w:val="19"/>
          <w:szCs w:val="19"/>
          <w:rtl/>
        </w:rPr>
        <w:t xml:space="preserve">קריית שמונה; </w:t>
      </w:r>
      <w:r w:rsidRPr="00AE3616">
        <w:rPr>
          <w:rFonts w:eastAsia="Calibri"/>
          <w:sz w:val="19"/>
          <w:szCs w:val="19"/>
          <w:rtl/>
        </w:rPr>
        <w:t>ב-22.10.23 תושבי</w:t>
      </w:r>
      <w:r w:rsidRPr="00AE3616">
        <w:rPr>
          <w:rFonts w:eastAsia="Calibri"/>
          <w:b/>
          <w:bCs/>
          <w:sz w:val="19"/>
          <w:szCs w:val="19"/>
          <w:rtl/>
        </w:rPr>
        <w:t xml:space="preserve"> היישובים שבמרחק 2 - 3 ק"מ מגבול הצפון.</w:t>
      </w:r>
      <w:r w:rsidRPr="00AE3616">
        <w:rPr>
          <w:rFonts w:eastAsia="Calibri"/>
          <w:sz w:val="19"/>
          <w:szCs w:val="19"/>
          <w:rtl/>
        </w:rPr>
        <w:t xml:space="preserve"> הפינוי אושר בהחלטת הממשלה 975. </w:t>
      </w:r>
    </w:p>
    <w:p w:rsidR="003765AE" w:rsidRPr="00AE3616" w:rsidRDefault="003765AE" w:rsidP="00FA6EDC">
      <w:pPr>
        <w:pStyle w:val="73"/>
        <w:spacing w:after="120"/>
        <w:ind w:left="0"/>
        <w:rPr>
          <w:rFonts w:eastAsia="Calibri"/>
          <w:sz w:val="19"/>
          <w:szCs w:val="19"/>
          <w:rtl/>
        </w:rPr>
      </w:pPr>
      <w:r w:rsidRPr="00AE3616">
        <w:rPr>
          <w:rFonts w:eastAsia="Calibri"/>
          <w:sz w:val="19"/>
          <w:szCs w:val="19"/>
          <w:rtl/>
        </w:rPr>
        <w:t xml:space="preserve">במסגרת החלטת הממשלה 988 נקבע כי ניהול ההתקשרות עם מתקני הקליטה, שכאמור הייתה באחריות משרד הפנים בהתאם להחלטות הממשלה 950 ו-975, יועבר לאחריות משרד התיירות. בהמשך לכך, </w:t>
      </w:r>
      <w:r w:rsidRPr="00AE3616">
        <w:rPr>
          <w:rFonts w:eastAsia="Calibri"/>
          <w:sz w:val="19"/>
          <w:szCs w:val="19"/>
          <w:rtl/>
        </w:rPr>
        <w:br/>
        <w:t>ב-24.10.23 נעשתה "העברת מקל", והאחריות לניהול ההתקשרויות עם מתקני הקליטה הועברה ממשרד הפנים למשרד התיירות</w:t>
      </w:r>
      <w:r w:rsidRPr="00AE3616">
        <w:rPr>
          <w:rFonts w:eastAsia="Calibri"/>
          <w:sz w:val="19"/>
          <w:szCs w:val="19"/>
        </w:rPr>
        <w:t>.</w:t>
      </w:r>
      <w:r w:rsidRPr="00AE3616">
        <w:rPr>
          <w:rFonts w:eastAsia="Calibri"/>
          <w:sz w:val="19"/>
          <w:szCs w:val="19"/>
          <w:rtl/>
        </w:rPr>
        <w:t xml:space="preserve"> משרד התיירות עסק בהתקשרויות מול מלונות ומתקני אירוח אחרים ובשיבוץ מפונים לבתי המלון. </w:t>
      </w:r>
    </w:p>
    <w:p w:rsidR="003765AE" w:rsidRPr="00AE3616" w:rsidRDefault="003765AE" w:rsidP="00FA6EDC">
      <w:pPr>
        <w:pStyle w:val="73"/>
        <w:ind w:left="0"/>
        <w:rPr>
          <w:rFonts w:eastAsia="Calibri"/>
          <w:sz w:val="19"/>
          <w:szCs w:val="19"/>
          <w:rtl/>
        </w:rPr>
      </w:pPr>
      <w:r w:rsidRPr="00AE3616">
        <w:rPr>
          <w:rFonts w:eastAsia="Calibri"/>
          <w:sz w:val="19"/>
          <w:szCs w:val="19"/>
          <w:rtl/>
        </w:rPr>
        <w:t xml:space="preserve">בהחלטת הממשלה 978 הוגדרו שתי אוכלוסיות מקרב תושבי העיר </w:t>
      </w:r>
      <w:r w:rsidRPr="00F11D6C">
        <w:rPr>
          <w:rFonts w:eastAsia="Calibri"/>
          <w:b/>
          <w:bCs/>
          <w:sz w:val="19"/>
          <w:szCs w:val="19"/>
          <w:rtl/>
        </w:rPr>
        <w:t xml:space="preserve">אשקלון </w:t>
      </w:r>
      <w:r w:rsidRPr="00AE3616">
        <w:rPr>
          <w:rFonts w:eastAsia="Calibri"/>
          <w:sz w:val="19"/>
          <w:szCs w:val="19"/>
          <w:rtl/>
        </w:rPr>
        <w:t xml:space="preserve">שהן החשופות ביותר לפגיעה בשל ירי טילים בלתי פוסק מתחילת המלחמה, ולפיכך הוחלט לזכות אותן בסיוע לטובת </w:t>
      </w:r>
      <w:r w:rsidRPr="00AE3616">
        <w:rPr>
          <w:rFonts w:eastAsia="Calibri"/>
          <w:sz w:val="19"/>
          <w:szCs w:val="19"/>
        </w:rPr>
        <w:t>"</w:t>
      </w:r>
      <w:r w:rsidRPr="00AE3616">
        <w:rPr>
          <w:rFonts w:eastAsia="Calibri"/>
          <w:sz w:val="19"/>
          <w:szCs w:val="19"/>
          <w:rtl/>
        </w:rPr>
        <w:t>חיזוק חוסנן" באמצעות ריענון במתקני אירוח תיירותיים. האוכלוסייה הראשונה הייתה של מחוסרי מיגון, קרי אזרחים המתגוררים במבנים ללא מרחב מוגן דירתי או קומתי - בהיקף של עד 24,000 תושבים; האוכלוסייה השנייה - קשישים ומחוסרי עורף משפחתי יציב - בהיקף של עד 3,000 תושבים</w:t>
      </w:r>
      <w:r w:rsidRPr="00AE3616">
        <w:rPr>
          <w:rFonts w:eastAsia="Calibri"/>
          <w:sz w:val="19"/>
          <w:szCs w:val="19"/>
        </w:rPr>
        <w:t>.</w:t>
      </w:r>
      <w:r w:rsidRPr="00AE3616">
        <w:rPr>
          <w:rFonts w:eastAsia="Calibri"/>
          <w:sz w:val="19"/>
          <w:szCs w:val="19"/>
          <w:rtl/>
        </w:rPr>
        <w:t xml:space="preserve"> בהחלטה נכתב כי בשיבוץ במתקני האירוח תינתן עדיפות למפונים מגזרת הצפון מכוח החלטה 975 על פני תושבים הזכאים לסיוע מכוח החלטה זו. לתושבים מאשקלון שיבחרו להיקלט עצמאית בכל מסגרת אחרת יינתן מענק אכלוס. כמו כן, בעיר </w:t>
      </w:r>
      <w:r w:rsidRPr="00FF7428">
        <w:rPr>
          <w:rFonts w:eastAsia="Calibri"/>
          <w:b/>
          <w:bCs/>
          <w:sz w:val="19"/>
          <w:szCs w:val="19"/>
          <w:rtl/>
        </w:rPr>
        <w:t>אופקים</w:t>
      </w:r>
      <w:r w:rsidRPr="00AE3616">
        <w:rPr>
          <w:rFonts w:eastAsia="Calibri"/>
          <w:sz w:val="19"/>
          <w:szCs w:val="19"/>
          <w:rtl/>
        </w:rPr>
        <w:t xml:space="preserve"> פונו תושבים לצורך ריענון שלא לפי החלטת ממשלה ובמימון עיריית אופקים, משרד הפנים ותרומות. </w:t>
      </w:r>
    </w:p>
    <w:p w:rsidR="003765AE" w:rsidRPr="00AE3616" w:rsidRDefault="003765AE" w:rsidP="003765AE">
      <w:pPr>
        <w:pStyle w:val="73"/>
        <w:numPr>
          <w:ilvl w:val="0"/>
          <w:numId w:val="25"/>
        </w:numPr>
        <w:ind w:hanging="398"/>
        <w:rPr>
          <w:sz w:val="19"/>
          <w:szCs w:val="19"/>
        </w:rPr>
      </w:pPr>
      <w:r w:rsidRPr="00AE3616">
        <w:rPr>
          <w:b/>
          <w:bCs/>
          <w:sz w:val="19"/>
          <w:szCs w:val="19"/>
          <w:rtl/>
        </w:rPr>
        <w:lastRenderedPageBreak/>
        <w:t xml:space="preserve">פערים בין הגופים </w:t>
      </w:r>
      <w:r w:rsidRPr="003765AE">
        <w:rPr>
          <w:rFonts w:eastAsia="Calibri"/>
          <w:b/>
          <w:bCs/>
          <w:sz w:val="19"/>
          <w:szCs w:val="19"/>
          <w:rtl/>
        </w:rPr>
        <w:t>האחראיים</w:t>
      </w:r>
      <w:r w:rsidRPr="00AE3616">
        <w:rPr>
          <w:b/>
          <w:bCs/>
          <w:sz w:val="19"/>
          <w:szCs w:val="19"/>
          <w:rtl/>
        </w:rPr>
        <w:t xml:space="preserve"> לפינוי וקליטת אוכלוסייה באשר לאחריותם </w:t>
      </w:r>
    </w:p>
    <w:p w:rsidR="003765AE" w:rsidRPr="00AE3616" w:rsidRDefault="003765AE" w:rsidP="003765AE">
      <w:pPr>
        <w:pStyle w:val="73"/>
        <w:rPr>
          <w:rFonts w:eastAsia="Calibri"/>
          <w:sz w:val="19"/>
          <w:szCs w:val="19"/>
          <w:rtl/>
        </w:rPr>
      </w:pPr>
      <w:r w:rsidRPr="00AE3616">
        <w:rPr>
          <w:rFonts w:eastAsia="Calibri"/>
          <w:b/>
          <w:bCs/>
          <w:sz w:val="19"/>
          <w:szCs w:val="19"/>
          <w:rtl/>
        </w:rPr>
        <w:t>היערכות לפינוי אוכלוסייה</w:t>
      </w:r>
      <w:r w:rsidRPr="00AE3616">
        <w:rPr>
          <w:rFonts w:eastAsia="Calibri" w:hint="cs"/>
          <w:b/>
          <w:bCs/>
          <w:sz w:val="19"/>
          <w:szCs w:val="19"/>
          <w:rtl/>
        </w:rPr>
        <w:t xml:space="preserve"> -</w:t>
      </w:r>
      <w:r w:rsidRPr="00AE3616">
        <w:rPr>
          <w:rFonts w:eastAsia="Calibri"/>
          <w:sz w:val="19"/>
          <w:szCs w:val="19"/>
          <w:rtl/>
        </w:rPr>
        <w:t xml:space="preserve"> על פי רח"ל הגדרת המרחב, היישובים והיקף התושבים לפינוי בגזרות השונות ומשך הזמן לקליטה היא באחריות ובסמכות בלעדית של צה"ל, וכנגזרת </w:t>
      </w:r>
      <w:r w:rsidR="007059A8">
        <w:rPr>
          <w:rFonts w:eastAsia="Calibri" w:hint="cs"/>
          <w:sz w:val="19"/>
          <w:szCs w:val="19"/>
          <w:rtl/>
        </w:rPr>
        <w:t>מ</w:t>
      </w:r>
      <w:r w:rsidRPr="00AE3616">
        <w:rPr>
          <w:rFonts w:eastAsia="Calibri"/>
          <w:sz w:val="19"/>
          <w:szCs w:val="19"/>
          <w:rtl/>
        </w:rPr>
        <w:t>כך נבנות תוכניות הפינוי והקליטה של צה"ל ושל המדינה. הפינוי הנדרש ויעדי הפינוי נקבעים על ידי צה"ל. על פי צה"ל תוכנית "מרחק בטוח" הצה"לית היא נגזרת של תוכנית "מרחק בטוח" הלאומית שנכתבה על ידי רח"ל. עולה כי ל</w:t>
      </w:r>
      <w:r w:rsidR="007059A8">
        <w:rPr>
          <w:rFonts w:eastAsia="Calibri" w:hint="cs"/>
          <w:sz w:val="19"/>
          <w:szCs w:val="19"/>
          <w:rtl/>
        </w:rPr>
        <w:t xml:space="preserve">פי </w:t>
      </w:r>
      <w:r w:rsidRPr="00AE3616">
        <w:rPr>
          <w:rFonts w:eastAsia="Calibri"/>
          <w:sz w:val="19"/>
          <w:szCs w:val="19"/>
          <w:rtl/>
        </w:rPr>
        <w:t>עמדת רח"ל, התוכנית הלאומית נגזרת מהתוכנית הצה"לית; ואילו ל</w:t>
      </w:r>
      <w:r w:rsidR="007059A8">
        <w:rPr>
          <w:rFonts w:eastAsia="Calibri" w:hint="cs"/>
          <w:sz w:val="19"/>
          <w:szCs w:val="19"/>
          <w:rtl/>
        </w:rPr>
        <w:t xml:space="preserve">פי </w:t>
      </w:r>
      <w:r w:rsidRPr="00AE3616">
        <w:rPr>
          <w:rFonts w:eastAsia="Calibri"/>
          <w:sz w:val="19"/>
          <w:szCs w:val="19"/>
          <w:rtl/>
        </w:rPr>
        <w:t xml:space="preserve">עמדת צה"ל, התוכנית הצה"לית נגזרת מהתוכנית הלאומית. </w:t>
      </w:r>
    </w:p>
    <w:p w:rsidR="003765AE" w:rsidRPr="00AE3616" w:rsidRDefault="003765AE" w:rsidP="00077BE0">
      <w:pPr>
        <w:pStyle w:val="73"/>
        <w:spacing w:after="120"/>
        <w:rPr>
          <w:rFonts w:eastAsia="Calibri"/>
          <w:sz w:val="19"/>
          <w:szCs w:val="19"/>
          <w:rtl/>
        </w:rPr>
      </w:pPr>
      <w:r w:rsidRPr="00AE3616">
        <w:rPr>
          <w:rFonts w:eastAsia="Calibri"/>
          <w:b/>
          <w:bCs/>
          <w:sz w:val="19"/>
          <w:szCs w:val="19"/>
          <w:rtl/>
        </w:rPr>
        <w:t>קליטת אוכלוסייה במהלך מלחמת חרבות ברזל</w:t>
      </w:r>
      <w:r w:rsidRPr="00AE3616">
        <w:rPr>
          <w:rFonts w:eastAsia="Calibri" w:hint="cs"/>
          <w:b/>
          <w:bCs/>
          <w:sz w:val="19"/>
          <w:szCs w:val="19"/>
          <w:rtl/>
        </w:rPr>
        <w:t xml:space="preserve"> -</w:t>
      </w:r>
      <w:r w:rsidRPr="00AE3616">
        <w:rPr>
          <w:rFonts w:eastAsia="Calibri"/>
          <w:sz w:val="19"/>
          <w:szCs w:val="19"/>
          <w:rtl/>
        </w:rPr>
        <w:t xml:space="preserve"> בין משרד הפנים לבין רח"ל התעוררה מחלוקת בשאלה אם ההחלטה על קליטת מפונים שלא על פי המתווה בתוכנית "מלון אורחים", משמעה שהתוכנית ככל ש</w:t>
      </w:r>
      <w:r w:rsidR="007059A8">
        <w:rPr>
          <w:rFonts w:eastAsia="Calibri" w:hint="cs"/>
          <w:sz w:val="19"/>
          <w:szCs w:val="19"/>
          <w:rtl/>
        </w:rPr>
        <w:t xml:space="preserve">היא </w:t>
      </w:r>
      <w:r w:rsidRPr="00AE3616">
        <w:rPr>
          <w:rFonts w:eastAsia="Calibri"/>
          <w:sz w:val="19"/>
          <w:szCs w:val="19"/>
          <w:rtl/>
        </w:rPr>
        <w:t>נוגעת לאחריות משרד הפנים לקליטת מפונים אינה חלה. חרף היותו של משרד הפנים הגורם האמון על מערך הקליטה בחירום, הוא לא הפעיל את מערך פס"ח, אלא רק סייע בניהול מערך ההתקשרויות עם בתי המלון. זאת נוכח עמדתו כי משהוחלט על מתווה שונה לקליטת מפונים מזה שנקבע בתוכנית "מלון אורחים", הרי שלא קמה אחריותו לקליטה</w:t>
      </w:r>
      <w:r w:rsidR="007059A8">
        <w:rPr>
          <w:rFonts w:eastAsia="Calibri" w:hint="cs"/>
          <w:sz w:val="19"/>
          <w:szCs w:val="19"/>
          <w:rtl/>
        </w:rPr>
        <w:t>,</w:t>
      </w:r>
      <w:r w:rsidRPr="00AE3616">
        <w:rPr>
          <w:rFonts w:eastAsia="Calibri"/>
          <w:sz w:val="19"/>
          <w:szCs w:val="19"/>
          <w:rtl/>
        </w:rPr>
        <w:t xml:space="preserve"> וכי אין לו ערך מוסף או יתרון בניהול קליטת אוכלוסייה ושהייתה במתקני הקליטה נוכח החריגה מהתוכנית המקורית. רח"ל </w:t>
      </w:r>
      <w:r w:rsidR="007059A8">
        <w:rPr>
          <w:rFonts w:eastAsia="Calibri" w:hint="cs"/>
          <w:sz w:val="19"/>
          <w:szCs w:val="19"/>
          <w:rtl/>
        </w:rPr>
        <w:t>קיבלה עליה</w:t>
      </w:r>
      <w:r w:rsidRPr="00AE3616">
        <w:rPr>
          <w:rFonts w:eastAsia="Calibri"/>
          <w:sz w:val="19"/>
          <w:szCs w:val="19"/>
          <w:rtl/>
        </w:rPr>
        <w:t xml:space="preserve"> את האחריות על ההפעלה ו</w:t>
      </w:r>
      <w:r w:rsidR="007059A8">
        <w:rPr>
          <w:rFonts w:eastAsia="Calibri" w:hint="cs"/>
          <w:sz w:val="19"/>
          <w:szCs w:val="19"/>
          <w:rtl/>
        </w:rPr>
        <w:t>ה</w:t>
      </w:r>
      <w:r w:rsidRPr="00AE3616">
        <w:rPr>
          <w:rFonts w:eastAsia="Calibri"/>
          <w:sz w:val="19"/>
          <w:szCs w:val="19"/>
          <w:rtl/>
        </w:rPr>
        <w:t>ניהול של קליטת המפונים ושהייתם במתקני הקליטה</w:t>
      </w:r>
      <w:r>
        <w:rPr>
          <w:rFonts w:eastAsia="Calibri" w:hint="cs"/>
          <w:sz w:val="19"/>
          <w:szCs w:val="19"/>
          <w:rtl/>
        </w:rPr>
        <w:t>,</w:t>
      </w:r>
      <w:r w:rsidRPr="00AE3616">
        <w:rPr>
          <w:rFonts w:eastAsia="Calibri"/>
          <w:sz w:val="19"/>
          <w:szCs w:val="19"/>
          <w:rtl/>
        </w:rPr>
        <w:t xml:space="preserve"> והדבר קיבל ביטוי בהחלטות הממשלה הראשונות בעניין הפינוי - החלטות 950 ו-975. צה"ל טען כי לאורך כל המלחמה לא התקבלה כל בקשת סיוע מטעם רח"ל לעניין ניהול וקליטת אוכלוסייה מפונה, ולא התקבלה ממנה בקשה להקצאת כוח אדם צבאי למשימה זו. כשלושה שבועות מפרוץ המלחמה, בהחלטת ממשלה 1006 מ-29.10.23, החליטה הממשלה לתקן את החלטות 950 ו-975 כך שבמקום שרח"ל תהיה אחראית על "הפעלת וניהול קליטת המפונים ושהייתם" אחריותה תצומצם ל"ניהול קליטת המפונים", וכל השאר יהיה בהתאם להחלטת "מלון אורחים". בזאת, הוטלה לכאורה על משרד הפנים האחריות להפעלת הקליטה החל מאותו מועד, אך הוא הסתייג מהדבר. </w:t>
      </w:r>
    </w:p>
    <w:p w:rsidR="003765AE" w:rsidRPr="00AE3616" w:rsidRDefault="003765AE" w:rsidP="003765AE">
      <w:pPr>
        <w:pStyle w:val="73"/>
        <w:rPr>
          <w:rFonts w:eastAsia="Calibri"/>
          <w:sz w:val="19"/>
          <w:szCs w:val="19"/>
          <w:rtl/>
        </w:rPr>
      </w:pPr>
      <w:r w:rsidRPr="00AE3616">
        <w:rPr>
          <w:rFonts w:eastAsia="Calibri"/>
          <w:sz w:val="19"/>
          <w:szCs w:val="19"/>
          <w:rtl/>
        </w:rPr>
        <w:t xml:space="preserve">גם אם תוכנית "מלון אורחים" לא הופעלה בנסיבות מצב החירום, לא ניתן לקבל את גישתו של משרד הפנים שאין לו אחריות על קליטת האוכלוסייה ושהוא איננו נדרש להפעיל את מערך פס"ח. גם אם אין לו לדעתו ערך מוסף או יתרון בניהול קליטת אוכלוסייה ושהייתה במתקני הקליטה נוכח החריגה מהתוכנית המקורית, הדבר אינו מסיר ממשרד הפנים אחריות זו, כגורם שמופקד על תחום הקליטה והשהייה של האוכלוסייה המפונה. במקום דוגמטיות מחשבתית תוך היצמדות עיקשת ובלתי מתפשרת להחלטת "מלון אורחים" ככתבה וכלשונה, היה עליו, לכל הפחות, לעשות כל מאמץ לרתום כמה שיותר ממשאבי מערך פס"ח ויכולותיו לטובת הפעלת הקליטה. בהתחשב בניסיונו המצטבר בהיערכות לשעת חירום ובתפקידו המרכזי כגורם המנחה את הרשויות המקומיות ומפקח עליהן, משרד הפנים נדרש לספק הנחיה ותמיכה בזמן אמת. בפועל, דווקא בשעת מבחן המשרד נעדר מתפקוד, והרשויות המקומיות נותרו ללא גורם מנחה ומכוון, אף שבשגרה הוא משמש להן כתובת מרכזית לפתרון בעיות רבות ומגוונות. </w:t>
      </w:r>
    </w:p>
    <w:p w:rsidR="003765AE" w:rsidRPr="00AE3616" w:rsidRDefault="003765AE" w:rsidP="00077BE0">
      <w:pPr>
        <w:pStyle w:val="73"/>
        <w:numPr>
          <w:ilvl w:val="0"/>
          <w:numId w:val="25"/>
        </w:numPr>
        <w:spacing w:after="120"/>
        <w:rPr>
          <w:rFonts w:eastAsia="Calibri"/>
          <w:sz w:val="19"/>
          <w:szCs w:val="19"/>
          <w:rtl/>
        </w:rPr>
      </w:pPr>
      <w:r w:rsidRPr="00AE3616">
        <w:rPr>
          <w:rFonts w:eastAsia="Calibri"/>
          <w:sz w:val="19"/>
          <w:szCs w:val="19"/>
          <w:rtl/>
        </w:rPr>
        <w:lastRenderedPageBreak/>
        <w:t xml:space="preserve">רח"ל זיהתה את חוסר המוכנות ואת </w:t>
      </w:r>
      <w:r w:rsidR="00D26A9F">
        <w:rPr>
          <w:rFonts w:eastAsia="Calibri" w:hint="cs"/>
          <w:sz w:val="19"/>
          <w:szCs w:val="19"/>
          <w:rtl/>
        </w:rPr>
        <w:t>ה</w:t>
      </w:r>
      <w:r w:rsidRPr="00AE3616">
        <w:rPr>
          <w:rFonts w:eastAsia="Calibri"/>
          <w:sz w:val="19"/>
          <w:szCs w:val="19"/>
          <w:rtl/>
        </w:rPr>
        <w:t xml:space="preserve">הימנעות </w:t>
      </w:r>
      <w:r w:rsidR="00D26A9F">
        <w:rPr>
          <w:rFonts w:eastAsia="Calibri" w:hint="cs"/>
          <w:sz w:val="19"/>
          <w:szCs w:val="19"/>
          <w:rtl/>
        </w:rPr>
        <w:t xml:space="preserve">של </w:t>
      </w:r>
      <w:r w:rsidRPr="00AE3616">
        <w:rPr>
          <w:rFonts w:eastAsia="Calibri"/>
          <w:sz w:val="19"/>
          <w:szCs w:val="19"/>
          <w:rtl/>
        </w:rPr>
        <w:t xml:space="preserve">משרד הפנים ממילוי אחריותו </w:t>
      </w:r>
      <w:r w:rsidR="00D26A9F">
        <w:rPr>
          <w:rFonts w:eastAsia="Calibri" w:hint="cs"/>
          <w:sz w:val="19"/>
          <w:szCs w:val="19"/>
          <w:rtl/>
        </w:rPr>
        <w:t xml:space="preserve">וקיבלה עליה </w:t>
      </w:r>
      <w:r w:rsidRPr="00AE3616">
        <w:rPr>
          <w:rFonts w:eastAsia="Calibri"/>
          <w:sz w:val="19"/>
          <w:szCs w:val="19"/>
          <w:rtl/>
        </w:rPr>
        <w:t>את ניהול האירוע. רח"ל אף פעלה לקידום עיגון אחריות זו בהחלטות ממשלה. עם זאת, כאשר ניסתה להחזיר למשרד הפנים את האחריות לניהול קליטת המפונים, היה עליה להבין כי המשרד אינו נכון לכך באותה עת ולפעול למציאת פתרון אחר.</w:t>
      </w:r>
    </w:p>
    <w:p w:rsidR="003765AE" w:rsidRPr="00AE3616" w:rsidRDefault="003765AE" w:rsidP="003765AE">
      <w:pPr>
        <w:pStyle w:val="73"/>
        <w:rPr>
          <w:rFonts w:eastAsia="Calibri"/>
          <w:bCs/>
          <w:sz w:val="19"/>
          <w:szCs w:val="19"/>
          <w:rtl/>
        </w:rPr>
      </w:pPr>
      <w:bookmarkStart w:id="4" w:name="_Hlk220329963"/>
      <w:r w:rsidRPr="00AE3616">
        <w:rPr>
          <w:rFonts w:eastAsia="Calibri"/>
          <w:sz w:val="19"/>
          <w:szCs w:val="19"/>
          <w:rtl/>
        </w:rPr>
        <w:t>פינוי וקליטה של אוכלוסייה הם תהליכים מורכבים המחייבים ה</w:t>
      </w:r>
      <w:r>
        <w:rPr>
          <w:rFonts w:eastAsia="Calibri" w:hint="cs"/>
          <w:sz w:val="19"/>
          <w:szCs w:val="19"/>
          <w:rtl/>
        </w:rPr>
        <w:t>י</w:t>
      </w:r>
      <w:r w:rsidRPr="00AE3616">
        <w:rPr>
          <w:rFonts w:eastAsia="Calibri"/>
          <w:sz w:val="19"/>
          <w:szCs w:val="19"/>
          <w:rtl/>
        </w:rPr>
        <w:t>ערכות מוקדמת ותיאום בין הגופים בעלי התפקידים בה</w:t>
      </w:r>
      <w:r>
        <w:rPr>
          <w:rFonts w:eastAsia="Calibri" w:hint="cs"/>
          <w:sz w:val="19"/>
          <w:szCs w:val="19"/>
          <w:rtl/>
        </w:rPr>
        <w:t>י</w:t>
      </w:r>
      <w:r w:rsidRPr="00AE3616">
        <w:rPr>
          <w:rFonts w:eastAsia="Calibri"/>
          <w:sz w:val="19"/>
          <w:szCs w:val="19"/>
          <w:rtl/>
        </w:rPr>
        <w:t>ערכות לחירום ובחירום. הביקורת העלתה פערים בין הגופים באשר לאחריותם</w:t>
      </w:r>
      <w:r>
        <w:rPr>
          <w:rFonts w:eastAsia="Calibri" w:hint="cs"/>
          <w:sz w:val="19"/>
          <w:szCs w:val="19"/>
          <w:rtl/>
        </w:rPr>
        <w:t>,</w:t>
      </w:r>
      <w:r w:rsidRPr="00AE3616">
        <w:rPr>
          <w:rFonts w:eastAsia="Calibri"/>
          <w:sz w:val="19"/>
          <w:szCs w:val="19"/>
          <w:rtl/>
        </w:rPr>
        <w:t xml:space="preserve"> שפוגעים ביכולת של המדינה להיערך באופן מיטבי לפינוי ולקליטת אוכלוסייה במצבי חירום ולביצוע הפינוי והקליטה בחירום. כך, לפי רח"ל תוכנית המענה הלאומית לפינוי ולקליטה נגזרת מהתוכנית הצה"לית, </w:t>
      </w:r>
      <w:r w:rsidR="00D8780E">
        <w:rPr>
          <w:rFonts w:eastAsia="Calibri" w:hint="cs"/>
          <w:sz w:val="19"/>
          <w:szCs w:val="19"/>
          <w:rtl/>
        </w:rPr>
        <w:t xml:space="preserve">ואילו </w:t>
      </w:r>
      <w:r w:rsidRPr="00AE3616">
        <w:rPr>
          <w:rFonts w:eastAsia="Calibri"/>
          <w:sz w:val="19"/>
          <w:szCs w:val="19"/>
          <w:rtl/>
        </w:rPr>
        <w:t xml:space="preserve">לפי צה"ל, התוכנית הצה"לית נגזרת מהתוכנית הלאומית; לפי רח"ל, בעקבות ועדת מזרחי היא כבר </w:t>
      </w:r>
      <w:r w:rsidR="00D26A9F">
        <w:rPr>
          <w:rFonts w:eastAsia="Calibri" w:hint="cs"/>
          <w:sz w:val="19"/>
          <w:szCs w:val="19"/>
          <w:rtl/>
        </w:rPr>
        <w:t>אינה</w:t>
      </w:r>
      <w:r w:rsidRPr="00AE3616">
        <w:rPr>
          <w:rFonts w:eastAsia="Calibri"/>
          <w:sz w:val="19"/>
          <w:szCs w:val="19"/>
          <w:rtl/>
        </w:rPr>
        <w:t xml:space="preserve"> הגורם שמתפקידו להוביל את הפעילויות בהיערכות ומוכנות הרשויות המקומיות לחירום, אלא פקע"ר, </w:t>
      </w:r>
      <w:r w:rsidR="00D8780E">
        <w:rPr>
          <w:rFonts w:eastAsia="Calibri" w:hint="cs"/>
          <w:sz w:val="19"/>
          <w:szCs w:val="19"/>
          <w:rtl/>
        </w:rPr>
        <w:t xml:space="preserve">ואילו </w:t>
      </w:r>
      <w:r w:rsidRPr="00AE3616">
        <w:rPr>
          <w:rFonts w:eastAsia="Calibri"/>
          <w:sz w:val="19"/>
          <w:szCs w:val="19"/>
          <w:rtl/>
        </w:rPr>
        <w:t xml:space="preserve">על פי פקע"ר, לא חל כל שינוי במצב הנורמטיבי בעקבות המלצות הוועדה, למעט מתן אישור לפקע"ר על ידי שר הביטחון מכוח סמכותו לפי חוק הג"א לסייע לרשויות המקומיות בתחום המל"ח ו"לשם הצלת נפש ורכוש בלבד". לפי רח"ל אחריות לקליטת מפונים בבתי מלון חלה על משרד הפנים, </w:t>
      </w:r>
      <w:r w:rsidR="00D8780E">
        <w:rPr>
          <w:rFonts w:eastAsia="Calibri" w:hint="cs"/>
          <w:sz w:val="19"/>
          <w:szCs w:val="19"/>
          <w:rtl/>
        </w:rPr>
        <w:t xml:space="preserve">ואילו </w:t>
      </w:r>
      <w:r w:rsidRPr="00AE3616">
        <w:rPr>
          <w:rFonts w:eastAsia="Calibri"/>
          <w:sz w:val="19"/>
          <w:szCs w:val="19"/>
          <w:rtl/>
        </w:rPr>
        <w:t>לפי משרד הפנים אחריותו חלה רק לגבי קליטה במתקני קליטה מקומיים. בה בעת, מערך החירום נעדר מנגנון להכרעה באופן מי</w:t>
      </w:r>
      <w:r>
        <w:rPr>
          <w:rFonts w:eastAsia="Calibri" w:hint="cs"/>
          <w:sz w:val="19"/>
          <w:szCs w:val="19"/>
          <w:rtl/>
        </w:rPr>
        <w:t>י</w:t>
      </w:r>
      <w:r w:rsidRPr="00AE3616">
        <w:rPr>
          <w:rFonts w:eastAsia="Calibri"/>
          <w:sz w:val="19"/>
          <w:szCs w:val="19"/>
          <w:rtl/>
        </w:rPr>
        <w:t>די כמתחייב בשעת חירום במחלוקת הגופים השונים הפועלים בחירום.</w:t>
      </w:r>
    </w:p>
    <w:bookmarkEnd w:id="4"/>
    <w:p w:rsidR="003765AE" w:rsidRPr="00AE3616" w:rsidRDefault="003765AE" w:rsidP="003765AE">
      <w:pPr>
        <w:pStyle w:val="73"/>
        <w:numPr>
          <w:ilvl w:val="0"/>
          <w:numId w:val="25"/>
        </w:numPr>
        <w:ind w:hanging="398"/>
        <w:rPr>
          <w:rFonts w:eastAsia="Calibri"/>
          <w:sz w:val="19"/>
          <w:szCs w:val="19"/>
          <w:rtl/>
        </w:rPr>
      </w:pPr>
      <w:r w:rsidRPr="00AE3616">
        <w:rPr>
          <w:rFonts w:eastAsia="Calibri"/>
          <w:b/>
          <w:sz w:val="19"/>
          <w:szCs w:val="19"/>
          <w:rtl/>
        </w:rPr>
        <w:t>מכלל האמור עולה תמונה מצערת של פערים בין גופי החירום באשר לאחריותם לטיפול בעורף בשעת חירום. בהיעדר גורם מתכלל בעל סמכויות מתאימות וללא היערכות מוקדמת בשיתוף גופי החירום המשיקים, גם</w:t>
      </w:r>
      <w:r w:rsidRPr="00AE3616">
        <w:rPr>
          <w:rFonts w:eastAsia="Calibri"/>
          <w:bCs/>
          <w:sz w:val="19"/>
          <w:szCs w:val="19"/>
          <w:rtl/>
        </w:rPr>
        <w:t xml:space="preserve"> </w:t>
      </w:r>
      <w:r w:rsidRPr="00AE3616">
        <w:rPr>
          <w:rFonts w:eastAsia="Calibri"/>
          <w:sz w:val="19"/>
          <w:szCs w:val="19"/>
          <w:rtl/>
        </w:rPr>
        <w:t xml:space="preserve">פקע"ר כגוף חירום, שלו כוח האדם הגדול ביותר לאחר שגייס מילואים בהיקף של אלפי אנשי מילואים עם פרוץ המלחמה, לא מימש באופן מיטבי </w:t>
      </w:r>
      <w:r w:rsidR="00D8780E" w:rsidRPr="00AE3616">
        <w:rPr>
          <w:rFonts w:eastAsia="Calibri"/>
          <w:sz w:val="19"/>
          <w:szCs w:val="19"/>
          <w:rtl/>
        </w:rPr>
        <w:t xml:space="preserve">את המשימה </w:t>
      </w:r>
      <w:r w:rsidRPr="00AE3616">
        <w:rPr>
          <w:rFonts w:eastAsia="Calibri"/>
          <w:sz w:val="19"/>
          <w:szCs w:val="19"/>
          <w:rtl/>
        </w:rPr>
        <w:t>- לנהל ולתאם את המענה המשולב עבור המפונים במתקני הקליטה ולסייע לרח"ל, למשרדי הממשלה ולרשויות המקומיות לתת שירות מיטבי למפונים שנקלטו בבתי המלון בשעתם הקשה ביותר.</w:t>
      </w:r>
    </w:p>
    <w:p w:rsidR="003765AE" w:rsidRDefault="003765AE" w:rsidP="003765AE">
      <w:pPr>
        <w:pStyle w:val="73"/>
        <w:numPr>
          <w:ilvl w:val="0"/>
          <w:numId w:val="25"/>
        </w:numPr>
        <w:ind w:hanging="398"/>
        <w:rPr>
          <w:rFonts w:eastAsia="Calibri"/>
          <w:sz w:val="19"/>
          <w:szCs w:val="19"/>
          <w:rtl/>
        </w:rPr>
      </w:pPr>
      <w:r w:rsidRPr="00EC54DD">
        <w:rPr>
          <w:rFonts w:eastAsia="Calibri"/>
          <w:b/>
          <w:sz w:val="19"/>
          <w:szCs w:val="19"/>
          <w:rtl/>
        </w:rPr>
        <w:t>מתקפת</w:t>
      </w:r>
      <w:r w:rsidRPr="00AE3616">
        <w:rPr>
          <w:sz w:val="19"/>
          <w:szCs w:val="19"/>
          <w:rtl/>
        </w:rPr>
        <w:t xml:space="preserve"> הטרור בשבעה באוקטובר חשפה, באופן חד וברור, את מחדל ההיערכות ואת המחיר הכבד של היעדר הסדרה של ההיערכות לחירום וקביעת גורם מתכלל של הטיפול בעורף בשעת חירום, שיבטיחו כי בעת משבר לאומי כלל הגופים הייעודים יממשו את אחריותם באופן מלא, לצד שמירה על שיתוף פעולה הדוק, תוך מתן פרשנות מרחיבה לתחומי אחריותו של כל גורם, תיאום רציף ומחייב ומניעת כל ניסיון להעברת אחריות לגורם אחר</w:t>
      </w:r>
      <w:r>
        <w:rPr>
          <w:rFonts w:hint="cs"/>
          <w:sz w:val="19"/>
          <w:szCs w:val="19"/>
          <w:rtl/>
        </w:rPr>
        <w:t>,</w:t>
      </w:r>
      <w:r w:rsidRPr="00AE3616">
        <w:rPr>
          <w:sz w:val="19"/>
          <w:szCs w:val="19"/>
          <w:rtl/>
        </w:rPr>
        <w:t xml:space="preserve"> ויצירת ודאות בקרב הציבור לגבי אחריותו של כל גורם כלפיו בפועל</w:t>
      </w:r>
      <w:r w:rsidRPr="00AE3616">
        <w:rPr>
          <w:bCs/>
          <w:sz w:val="19"/>
          <w:szCs w:val="19"/>
        </w:rPr>
        <w:t>.</w:t>
      </w:r>
      <w:r w:rsidRPr="00AE3616">
        <w:rPr>
          <w:bCs/>
          <w:sz w:val="19"/>
          <w:szCs w:val="19"/>
          <w:rtl/>
        </w:rPr>
        <w:t xml:space="preserve"> </w:t>
      </w:r>
    </w:p>
    <w:p w:rsidR="003765AE" w:rsidRPr="00084768" w:rsidRDefault="003765AE" w:rsidP="003765AE">
      <w:pPr>
        <w:pStyle w:val="73"/>
        <w:rPr>
          <w:sz w:val="19"/>
          <w:szCs w:val="19"/>
          <w:rtl/>
        </w:rPr>
      </w:pPr>
    </w:p>
    <w:p w:rsidR="00AE4BB7" w:rsidRPr="00084768" w:rsidRDefault="00AE4BB7" w:rsidP="00AE4BB7">
      <w:pPr>
        <w:pStyle w:val="73"/>
        <w:rPr>
          <w:sz w:val="19"/>
          <w:szCs w:val="19"/>
        </w:rPr>
      </w:pPr>
    </w:p>
    <w:tbl>
      <w:tblPr>
        <w:tblStyle w:val="af4"/>
        <w:tblpPr w:leftFromText="180" w:rightFromText="180" w:vertAnchor="text" w:tblpXSpec="center" w:tblpY="1"/>
        <w:tblOverlap w:val="never"/>
        <w:bidiVisual/>
        <w:tblW w:w="9074" w:type="dxa"/>
        <w:tblLayout w:type="fixed"/>
        <w:tblLook w:val="04A0" w:firstRow="1" w:lastRow="0" w:firstColumn="1" w:lastColumn="0" w:noHBand="0" w:noVBand="1"/>
      </w:tblPr>
      <w:tblGrid>
        <w:gridCol w:w="9074"/>
      </w:tblGrid>
      <w:tr w:rsidR="00AE4BB7" w:rsidTr="009E37AC">
        <w:trPr>
          <w:trHeight w:val="851"/>
        </w:trPr>
        <w:tc>
          <w:tcPr>
            <w:tcW w:w="9074" w:type="dxa"/>
            <w:tcBorders>
              <w:top w:val="nil"/>
              <w:left w:val="nil"/>
              <w:bottom w:val="nil"/>
              <w:right w:val="nil"/>
            </w:tcBorders>
          </w:tcPr>
          <w:p w:rsidR="00AE4BB7" w:rsidRPr="00F66FC8" w:rsidRDefault="00AE4BB7" w:rsidP="009E37AC">
            <w:pPr>
              <w:spacing w:before="240" w:after="180" w:line="288" w:lineRule="auto"/>
              <w:rPr>
                <w:rFonts w:ascii="Tahoma" w:hAnsi="Tahoma" w:cs="Tahoma"/>
                <w:sz w:val="19"/>
                <w:szCs w:val="19"/>
                <w:rtl/>
              </w:rPr>
            </w:pPr>
            <w:r w:rsidRPr="00F66FC8">
              <w:rPr>
                <w:rFonts w:ascii="Tahoma" w:hAnsi="Tahoma" w:cs="Tahoma"/>
                <w:noProof/>
                <w:sz w:val="19"/>
                <w:szCs w:val="19"/>
                <w:rtl/>
              </w:rPr>
              <w:lastRenderedPageBreak/>
              <w:drawing>
                <wp:inline distT="0" distB="0" distL="0" distR="0" wp14:anchorId="1A1CB373" wp14:editId="5A1CF727">
                  <wp:extent cx="5574030" cy="438784"/>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קציר תמונה 3.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19160" cy="450209"/>
                          </a:xfrm>
                          <a:prstGeom prst="rect">
                            <a:avLst/>
                          </a:prstGeom>
                        </pic:spPr>
                      </pic:pic>
                    </a:graphicData>
                  </a:graphic>
                </wp:inline>
              </w:drawing>
            </w:r>
          </w:p>
        </w:tc>
      </w:tr>
      <w:tr w:rsidR="00AE4BB7" w:rsidTr="009E37AC">
        <w:trPr>
          <w:trHeight w:val="2156"/>
        </w:trPr>
        <w:tc>
          <w:tcPr>
            <w:tcW w:w="9074" w:type="dxa"/>
            <w:tcBorders>
              <w:top w:val="nil"/>
              <w:left w:val="nil"/>
              <w:bottom w:val="nil"/>
              <w:right w:val="nil"/>
            </w:tcBorders>
            <w:shd w:val="clear" w:color="auto" w:fill="F1F5F9"/>
          </w:tcPr>
          <w:p w:rsidR="003765AE" w:rsidRDefault="003765AE" w:rsidP="003765AE">
            <w:pPr>
              <w:pStyle w:val="73"/>
              <w:numPr>
                <w:ilvl w:val="0"/>
                <w:numId w:val="19"/>
              </w:numPr>
              <w:spacing w:before="120"/>
              <w:ind w:right="312"/>
              <w:rPr>
                <w:sz w:val="19"/>
                <w:szCs w:val="19"/>
              </w:rPr>
            </w:pPr>
            <w:r w:rsidRPr="001F13F1">
              <w:rPr>
                <w:sz w:val="19"/>
                <w:szCs w:val="19"/>
                <w:rtl/>
              </w:rPr>
              <w:t>על רח"ל ומשרד הפנים לתת את הדעת לתרחישים שונים שבהם עולה צורך לפנות את האוכלוסייה למשך זמן ארוך משלושה שבועות, כפי שמצוין בתוכנית "מרחק בטוח" הלאומית וכפי שקרה בפועל במלחמת חרבות ברזל, ולתת את המענה המתאים לתרחיש כגון זה</w:t>
            </w:r>
            <w:r>
              <w:rPr>
                <w:rFonts w:hint="cs"/>
                <w:sz w:val="19"/>
                <w:szCs w:val="19"/>
                <w:rtl/>
              </w:rPr>
              <w:t>,</w:t>
            </w:r>
            <w:r w:rsidRPr="001F13F1">
              <w:rPr>
                <w:sz w:val="19"/>
                <w:szCs w:val="19"/>
                <w:rtl/>
              </w:rPr>
              <w:t xml:space="preserve"> בפרט כאשר הסדרת דיור חלופי לאוכלוסייה מפונה עשויה לקחת זמן ולהתארך ככל שהיקף האוכלוסייה המפונה גדול יותר.</w:t>
            </w:r>
          </w:p>
          <w:p w:rsidR="00AE4BB7" w:rsidRPr="00FA6EDC" w:rsidRDefault="003765AE" w:rsidP="00FA6EDC">
            <w:pPr>
              <w:pStyle w:val="73"/>
              <w:numPr>
                <w:ilvl w:val="0"/>
                <w:numId w:val="19"/>
              </w:numPr>
              <w:ind w:right="314"/>
              <w:rPr>
                <w:sz w:val="19"/>
                <w:szCs w:val="19"/>
                <w:rtl/>
              </w:rPr>
            </w:pPr>
            <w:r w:rsidRPr="001F13F1">
              <w:rPr>
                <w:sz w:val="19"/>
                <w:szCs w:val="19"/>
                <w:rtl/>
              </w:rPr>
              <w:t>משרד מבקר המדינה שב וממליץ כי ראש ממשלת ישראל, בשיתוף שר הביטחון, יקדמו באופן מיידי את ההסדרה של תחומי האחריות של גופים אלה ובאופן שיאפשר היערכות לפינוי אוכלוסייה והכנת תוכניות לאומיות לפינוי, וכן ניהול מערך הקליטה ברשויות המקומיות כפעולה צופה פני עתיד.</w:t>
            </w:r>
          </w:p>
        </w:tc>
      </w:tr>
    </w:tbl>
    <w:p w:rsidR="00AE4BB7" w:rsidRPr="00DA3406" w:rsidRDefault="00AE4BB7" w:rsidP="00AE4BB7">
      <w:pPr>
        <w:bidi w:val="0"/>
        <w:spacing w:after="160" w:line="259" w:lineRule="auto"/>
        <w:ind w:left="-1"/>
        <w:jc w:val="left"/>
        <w:rPr>
          <w:sz w:val="2"/>
          <w:szCs w:val="2"/>
          <w:rtl/>
        </w:rPr>
      </w:pPr>
    </w:p>
    <w:p w:rsidR="00AE4BB7" w:rsidRDefault="00AE4BB7" w:rsidP="00AE4BB7">
      <w:pPr>
        <w:bidi w:val="0"/>
        <w:spacing w:after="200" w:line="276" w:lineRule="auto"/>
        <w:ind w:left="-1"/>
        <w:rPr>
          <w:rtl/>
        </w:rPr>
      </w:pPr>
      <w:r>
        <w:rPr>
          <w:rtl/>
        </w:rPr>
        <w:br w:type="page"/>
      </w:r>
    </w:p>
    <w:p w:rsidR="00AE4BB7" w:rsidRPr="00D57BE9" w:rsidRDefault="00AE4BB7" w:rsidP="00AE4BB7">
      <w:pPr>
        <w:rPr>
          <w:rtl/>
        </w:rPr>
      </w:pPr>
      <w:r w:rsidRPr="00D527BD">
        <w:rPr>
          <w:noProof/>
          <w:szCs w:val="20"/>
          <w:rtl/>
        </w:rPr>
        <w:lastRenderedPageBreak/>
        <w:drawing>
          <wp:anchor distT="0" distB="0" distL="114300" distR="114300" simplePos="0" relativeHeight="251660288" behindDoc="0" locked="0" layoutInCell="1" allowOverlap="1" wp14:anchorId="24426BBC" wp14:editId="232BD999">
            <wp:simplePos x="0" y="0"/>
            <wp:positionH relativeFrom="column">
              <wp:posOffset>-127635</wp:posOffset>
            </wp:positionH>
            <wp:positionV relativeFrom="paragraph">
              <wp:posOffset>-1905</wp:posOffset>
            </wp:positionV>
            <wp:extent cx="6015355" cy="761365"/>
            <wp:effectExtent l="0" t="0" r="0" b="0"/>
            <wp:wrapNone/>
            <wp:docPr id="1451066646"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66646" name="Picture 54">
                      <a:extLst>
                        <a:ext uri="{C183D7F6-B498-43B3-948B-1728B52AA6E4}">
                          <adec:decorative xmlns:adec="http://schemas.microsoft.com/office/drawing/2017/decorative" val="1"/>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15355" cy="761365"/>
                    </a:xfrm>
                    <a:prstGeom prst="rect">
                      <a:avLst/>
                    </a:prstGeom>
                  </pic:spPr>
                </pic:pic>
              </a:graphicData>
            </a:graphic>
            <wp14:sizeRelH relativeFrom="margin">
              <wp14:pctWidth>0</wp14:pctWidth>
            </wp14:sizeRelH>
            <wp14:sizeRelV relativeFrom="margin">
              <wp14:pctHeight>0</wp14:pctHeight>
            </wp14:sizeRelV>
          </wp:anchor>
        </w:drawing>
      </w:r>
      <w:r w:rsidRPr="00D527BD">
        <w:rPr>
          <w:noProof/>
          <w:szCs w:val="20"/>
          <w:rtl/>
        </w:rPr>
        <mc:AlternateContent>
          <mc:Choice Requires="wps">
            <w:drawing>
              <wp:anchor distT="0" distB="0" distL="114300" distR="114300" simplePos="0" relativeHeight="251661312" behindDoc="0" locked="0" layoutInCell="1" allowOverlap="1" wp14:anchorId="6447954D" wp14:editId="29379932">
                <wp:simplePos x="0" y="0"/>
                <wp:positionH relativeFrom="column">
                  <wp:posOffset>241935</wp:posOffset>
                </wp:positionH>
                <wp:positionV relativeFrom="paragraph">
                  <wp:posOffset>102870</wp:posOffset>
                </wp:positionV>
                <wp:extent cx="5417820" cy="434975"/>
                <wp:effectExtent l="0" t="0" r="5080" b="0"/>
                <wp:wrapNone/>
                <wp:docPr id="1451066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7820" cy="434975"/>
                        </a:xfrm>
                        <a:prstGeom prst="rect">
                          <a:avLst/>
                        </a:prstGeom>
                        <a:solidFill>
                          <a:srgbClr val="F05260"/>
                        </a:solidFill>
                        <a:ln w="9525">
                          <a:noFill/>
                          <a:miter lim="800000"/>
                          <a:headEnd/>
                          <a:tailEnd/>
                        </a:ln>
                      </wps:spPr>
                      <wps:txbx>
                        <w:txbxContent>
                          <w:p w:rsidR="00AE4BB7" w:rsidRPr="005C7ABF" w:rsidRDefault="007D4A0E" w:rsidP="00AE4BB7">
                            <w:pPr>
                              <w:pStyle w:val="733"/>
                              <w:rPr>
                                <w:rtl/>
                              </w:rPr>
                            </w:pPr>
                            <w:r w:rsidRPr="007D4A0E">
                              <w:rPr>
                                <w:rtl/>
                              </w:rPr>
                              <w:t>החלטות הממשלה והפעולות העיקריות הנוגעות לפינוי תושבים בציר הזמן של האירועים</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6447954D" id="_x0000_t202" coordsize="21600,21600" o:spt="202" path="m,l,21600r21600,l21600,xe">
                <v:stroke joinstyle="miter"/>
                <v:path gradientshapeok="t" o:connecttype="rect"/>
              </v:shapetype>
              <v:shape id="Text Box 2" o:spid="_x0000_s1026" type="#_x0000_t202" style="position:absolute;left:0;text-align:left;margin-left:19.05pt;margin-top:8.1pt;width:426.6pt;height:3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" fillcolor="#f05260" stroked="f">
                <v:textbox>
                  <w:txbxContent>
                    <w:p w:rsidR="00AE4BB7" w:rsidRPr="005C7ABF" w:rsidRDefault="007D4A0E" w:rsidP="00AE4BB7">
                      <w:pPr>
                        <w:pStyle w:val="733"/>
                        <w:rPr>
                          <w:rtl/>
                        </w:rPr>
                      </w:pPr>
                      <w:r w:rsidRPr="007D4A0E">
                        <w:rPr>
                          <w:rtl/>
                        </w:rPr>
                        <w:t>החלטות הממשלה והפעולות העיקריות הנוגעות לפינוי תושבים בציר הזמן של האירועים</w:t>
                      </w:r>
                    </w:p>
                  </w:txbxContent>
                </v:textbox>
              </v:shape>
            </w:pict>
          </mc:Fallback>
        </mc:AlternateContent>
      </w:r>
    </w:p>
    <w:p w:rsidR="00AE4BB7" w:rsidRPr="00D57BE9" w:rsidRDefault="00580234" w:rsidP="00077BE0">
      <w:pPr>
        <w:spacing w:before="840"/>
        <w:jc w:val="center"/>
        <w:rPr>
          <w:rtl/>
        </w:rPr>
      </w:pPr>
      <w:r>
        <w:rPr>
          <w:noProof/>
        </w:rPr>
        <w:drawing>
          <wp:inline distT="0" distB="0" distL="0" distR="0" wp14:anchorId="6CEE7CAE">
            <wp:extent cx="4802943" cy="5638364"/>
            <wp:effectExtent l="0" t="0" r="0" b="635"/>
            <wp:docPr id="3" name="תמונה 3" descr="פירוט החלטות הממשלה והפעולות העיקריות הנוגעות לפינוי תושבים בציר הזמן של האירועים בין התאריכים 7.10.23 עד 19.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a:extLst>
                        <a:ext uri="{28A0092B-C50C-407E-A947-70E740481C1C}">
                          <a14:useLocalDpi xmlns:a14="http://schemas.microsoft.com/office/drawing/2010/main" val="0"/>
                        </a:ext>
                      </a:extLst>
                    </a:blip>
                    <a:srcRect t="3298"/>
                    <a:stretch/>
                  </pic:blipFill>
                  <pic:spPr bwMode="auto">
                    <a:xfrm>
                      <a:off x="0" y="0"/>
                      <a:ext cx="4813883" cy="5651207"/>
                    </a:xfrm>
                    <a:prstGeom prst="rect">
                      <a:avLst/>
                    </a:prstGeom>
                    <a:noFill/>
                    <a:ln>
                      <a:noFill/>
                    </a:ln>
                    <a:extLst>
                      <a:ext uri="{53640926-AAD7-44D8-BBD7-CCE9431645EC}">
                        <a14:shadowObscured xmlns:a14="http://schemas.microsoft.com/office/drawing/2010/main"/>
                      </a:ext>
                    </a:extLst>
                  </pic:spPr>
                </pic:pic>
              </a:graphicData>
            </a:graphic>
          </wp:inline>
        </w:drawing>
      </w:r>
    </w:p>
    <w:p w:rsidR="00580234" w:rsidRDefault="00580234" w:rsidP="00077BE0">
      <w:pPr>
        <w:bidi w:val="0"/>
        <w:spacing w:after="200" w:line="276" w:lineRule="auto"/>
        <w:jc w:val="center"/>
        <w:rPr>
          <w:rtl/>
        </w:rPr>
      </w:pPr>
      <w:r w:rsidRPr="00580234">
        <w:rPr>
          <w:rFonts w:eastAsia="Calibri"/>
          <w:noProof/>
          <w:sz w:val="16"/>
          <w:szCs w:val="16"/>
          <w:rtl/>
          <w:lang w:val="he-IL"/>
        </w:rPr>
        <w:lastRenderedPageBreak/>
        <w:drawing>
          <wp:inline distT="0" distB="0" distL="0" distR="0" wp14:anchorId="77220E6E" wp14:editId="70907D68">
            <wp:extent cx="5545776" cy="5983957"/>
            <wp:effectExtent l="0" t="0" r="0" b="0"/>
            <wp:docPr id="7" name="תמונה 7" descr="פירוט החלטות הממשלה והפעולות העיקריות הנוגעות לפינוי תושבים בציר הזמן של האירועים בין התאריכים 20.10.23 עד 29.11.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פרק א - תרשים 4 - חלק 2 - סופי.jpg"/>
                    <pic:cNvPicPr/>
                  </pic:nvPicPr>
                  <pic:blipFill rotWithShape="1">
                    <a:blip r:embed="rId23" cstate="print">
                      <a:extLst>
                        <a:ext uri="{28A0092B-C50C-407E-A947-70E740481C1C}">
                          <a14:useLocalDpi xmlns:a14="http://schemas.microsoft.com/office/drawing/2010/main" val="0"/>
                        </a:ext>
                      </a:extLst>
                    </a:blip>
                    <a:srcRect t="3881" b="7240"/>
                    <a:stretch/>
                  </pic:blipFill>
                  <pic:spPr bwMode="auto">
                    <a:xfrm>
                      <a:off x="0" y="0"/>
                      <a:ext cx="5567240" cy="6007117"/>
                    </a:xfrm>
                    <a:prstGeom prst="rect">
                      <a:avLst/>
                    </a:prstGeom>
                    <a:ln>
                      <a:noFill/>
                    </a:ln>
                    <a:extLst>
                      <a:ext uri="{53640926-AAD7-44D8-BBD7-CCE9431645EC}">
                        <a14:shadowObscured xmlns:a14="http://schemas.microsoft.com/office/drawing/2010/main"/>
                      </a:ext>
                    </a:extLst>
                  </pic:spPr>
                </pic:pic>
              </a:graphicData>
            </a:graphic>
          </wp:inline>
        </w:drawing>
      </w:r>
    </w:p>
    <w:p w:rsidR="00580234" w:rsidRDefault="00580234" w:rsidP="00580234">
      <w:pPr>
        <w:bidi w:val="0"/>
        <w:spacing w:after="200" w:line="276" w:lineRule="auto"/>
        <w:rPr>
          <w:rtl/>
        </w:rPr>
      </w:pPr>
    </w:p>
    <w:p w:rsidR="00AE4BB7" w:rsidRDefault="00580234" w:rsidP="00077BE0">
      <w:pPr>
        <w:bidi w:val="0"/>
        <w:spacing w:after="200" w:line="276" w:lineRule="auto"/>
        <w:jc w:val="center"/>
        <w:rPr>
          <w:rtl/>
        </w:rPr>
      </w:pPr>
      <w:r w:rsidRPr="00580234">
        <w:rPr>
          <w:rFonts w:ascii="Tahoma" w:eastAsia="Calibri" w:hAnsi="Tahoma" w:cs="Tahoma"/>
          <w:b/>
          <w:bCs/>
          <w:noProof/>
          <w:color w:val="FFFFFF"/>
          <w:sz w:val="28"/>
          <w:szCs w:val="28"/>
          <w:rtl/>
          <w:lang w:val="he-IL"/>
        </w:rPr>
        <w:lastRenderedPageBreak/>
        <w:drawing>
          <wp:inline distT="0" distB="0" distL="0" distR="0" wp14:anchorId="3F3F7059" wp14:editId="7FC5ED94">
            <wp:extent cx="5349273" cy="6011162"/>
            <wp:effectExtent l="0" t="0" r="3810" b="8890"/>
            <wp:docPr id="14" name="תמונה 14" descr="פירוט החלטות הממשלה והפעולות העיקריות הנוגעות לפינוי תושבים בציר הזמן של האירועים בין התאריכים 29.12.23 עד 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פרק א - תרשים 4 - חלק 3.jpg"/>
                    <pic:cNvPicPr/>
                  </pic:nvPicPr>
                  <pic:blipFill rotWithShape="1">
                    <a:blip r:embed="rId24" cstate="print">
                      <a:extLst>
                        <a:ext uri="{28A0092B-C50C-407E-A947-70E740481C1C}">
                          <a14:useLocalDpi xmlns:a14="http://schemas.microsoft.com/office/drawing/2010/main" val="0"/>
                        </a:ext>
                      </a:extLst>
                    </a:blip>
                    <a:srcRect t="3245"/>
                    <a:stretch/>
                  </pic:blipFill>
                  <pic:spPr bwMode="auto">
                    <a:xfrm>
                      <a:off x="0" y="0"/>
                      <a:ext cx="5354029" cy="6016506"/>
                    </a:xfrm>
                    <a:prstGeom prst="rect">
                      <a:avLst/>
                    </a:prstGeom>
                    <a:ln>
                      <a:noFill/>
                    </a:ln>
                    <a:extLst>
                      <a:ext uri="{53640926-AAD7-44D8-BBD7-CCE9431645EC}">
                        <a14:shadowObscured xmlns:a14="http://schemas.microsoft.com/office/drawing/2010/main"/>
                      </a:ext>
                    </a:extLst>
                  </pic:spPr>
                </pic:pic>
              </a:graphicData>
            </a:graphic>
          </wp:inline>
        </w:drawing>
      </w:r>
      <w:r w:rsidR="00AE4BB7">
        <w:rPr>
          <w:rtl/>
        </w:rPr>
        <w:br w:type="page"/>
      </w:r>
    </w:p>
    <w:p w:rsidR="00AE4BB7" w:rsidRPr="006B7706" w:rsidRDefault="00AE4BB7" w:rsidP="009A196A">
      <w:pPr>
        <w:spacing w:after="160" w:line="360" w:lineRule="auto"/>
        <w:ind w:left="-1"/>
        <w:rPr>
          <w:rFonts w:ascii="Tahoma" w:hAnsi="Tahoma" w:cs="Tahoma"/>
          <w:rtl/>
        </w:rPr>
      </w:pPr>
      <w:r w:rsidRPr="006C4033">
        <w:rPr>
          <w:rFonts w:ascii="Tahoma" w:hAnsi="Tahoma" w:cs="Tahoma"/>
          <w:noProof/>
        </w:rPr>
        <w:lastRenderedPageBreak/>
        <w:drawing>
          <wp:inline distT="0" distB="0" distL="0" distR="0" wp14:anchorId="3C8A8AD1" wp14:editId="29FC40E1">
            <wp:extent cx="5689600" cy="303530"/>
            <wp:effectExtent l="0" t="0" r="6350" b="127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4"/>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706621" cy="304438"/>
                    </a:xfrm>
                    <a:prstGeom prst="rect">
                      <a:avLst/>
                    </a:prstGeom>
                    <a:noFill/>
                    <a:ln>
                      <a:noFill/>
                    </a:ln>
                  </pic:spPr>
                </pic:pic>
              </a:graphicData>
            </a:graphic>
          </wp:inline>
        </w:drawing>
      </w:r>
    </w:p>
    <w:p w:rsidR="00580234" w:rsidRPr="00580234" w:rsidRDefault="00580234" w:rsidP="00871F34">
      <w:pPr>
        <w:pStyle w:val="739"/>
        <w:spacing w:after="120"/>
        <w:rPr>
          <w:sz w:val="19"/>
          <w:szCs w:val="19"/>
          <w:rtl/>
        </w:rPr>
      </w:pPr>
      <w:r w:rsidRPr="00580234">
        <w:rPr>
          <w:sz w:val="19"/>
          <w:szCs w:val="19"/>
          <w:rtl/>
        </w:rPr>
        <w:t xml:space="preserve">בבוקר שבעה באוקטובר חוותה מדינת ישראל התקפה רצחנית בהיקף חסר תקדים, שהובילה לפתיחת מלחמת חרבות ברזל. עם פתיחת המערכה הוכרז מצב מיוחד בעורף, שהוארך בהחלטות ממשלה שונות. הממשלה וגורמי הביטחון קיבלו שורה של החלטות על פינוי עשרות יישובים מדרום ומצפון ובכללם הערים שדרות וקריית שמונה. המפונים שוכנו במקומות אירוח במימון המדינה, וחלקם קיבלו מענקי אכלוס ושוכנו בקהילה. במקביל היו מתפנים עצמאית רבים שלא נכללו בהחלטות הממשלה ולא קיבלו מימון. </w:t>
      </w:r>
    </w:p>
    <w:p w:rsidR="00580234" w:rsidRPr="00580234" w:rsidRDefault="00580234" w:rsidP="00C230DE">
      <w:pPr>
        <w:pStyle w:val="739"/>
        <w:spacing w:after="120"/>
        <w:rPr>
          <w:sz w:val="19"/>
          <w:szCs w:val="19"/>
          <w:rtl/>
        </w:rPr>
      </w:pPr>
      <w:r w:rsidRPr="00580234">
        <w:rPr>
          <w:sz w:val="19"/>
          <w:szCs w:val="19"/>
          <w:rtl/>
        </w:rPr>
        <w:t>תרומתם של מתנדבים ועמותות הייתה קריטית למתן המענה הראשוני המהיר לאוכלוסיית המפונים, ואלו פעלו לעיתים במקום גורמים רשמיים.</w:t>
      </w:r>
    </w:p>
    <w:p w:rsidR="00580234" w:rsidRPr="00580234" w:rsidRDefault="00580234" w:rsidP="00C230DE">
      <w:pPr>
        <w:pStyle w:val="739"/>
        <w:spacing w:after="120"/>
        <w:rPr>
          <w:sz w:val="19"/>
          <w:szCs w:val="19"/>
          <w:rtl/>
        </w:rPr>
      </w:pPr>
      <w:r w:rsidRPr="00580234">
        <w:rPr>
          <w:sz w:val="19"/>
          <w:szCs w:val="19"/>
          <w:rtl/>
        </w:rPr>
        <w:t>מתקפת הטרור בשבעה באוקטובר חשפה, באופן חד וברור, את מחדל ההיערכות ואת המחיר הכבד של היעדר הסדרה של ההיערכות לחירום וקביעת גורם מתכלל של הטיפול בעורף בשעת חירום, שיבטיחו כי בעת משבר לאומי כלל הגופים הייעודיים יממשו את אחריותם באופן מלא, לצד שמירה על שיתוף פעולה הדוק, תוך מתן פרשנות מרחיבה לתחומי אחריותו של כל גורם. בפועל התגלעה מחלוקת בין משרד הפנים לרח"ל בשאלת האחריות על המפונים וקליטתם, ומחלוקת זו גרמה לוו</w:t>
      </w:r>
      <w:r w:rsidR="00866DDB">
        <w:rPr>
          <w:rFonts w:hint="cs"/>
          <w:sz w:val="19"/>
          <w:szCs w:val="19"/>
          <w:rtl/>
        </w:rPr>
        <w:t>א</w:t>
      </w:r>
      <w:r w:rsidRPr="00580234">
        <w:rPr>
          <w:sz w:val="19"/>
          <w:szCs w:val="19"/>
          <w:rtl/>
        </w:rPr>
        <w:t>קום ניהולי ולחוסר תיאום משווע. הרשויות המקומיות - המפונות והקולטות כאחד - ובעיקר התושבים המפונים, מצאו עצמם ללא כתובת מרכזית ברורה.</w:t>
      </w:r>
    </w:p>
    <w:p w:rsidR="00C4789A" w:rsidRDefault="00580234" w:rsidP="00C06852">
      <w:pPr>
        <w:pStyle w:val="739"/>
        <w:rPr>
          <w:sz w:val="19"/>
          <w:szCs w:val="19"/>
          <w:rtl/>
        </w:rPr>
        <w:sectPr w:rsidR="00C4789A" w:rsidSect="008654CB">
          <w:headerReference w:type="even" r:id="rId26"/>
          <w:headerReference w:type="default" r:id="rId27"/>
          <w:headerReference w:type="first" r:id="rId28"/>
          <w:footerReference w:type="first" r:id="rId29"/>
          <w:pgSz w:w="11340" w:h="14175" w:code="9"/>
          <w:pgMar w:top="2268" w:right="1276" w:bottom="1588" w:left="1134" w:header="709" w:footer="709" w:gutter="0"/>
          <w:cols w:space="708"/>
          <w:titlePg/>
          <w:bidi/>
          <w:rtlGutter/>
          <w:docGrid w:linePitch="360"/>
        </w:sectPr>
      </w:pPr>
      <w:r w:rsidRPr="00580234">
        <w:rPr>
          <w:sz w:val="19"/>
          <w:szCs w:val="19"/>
          <w:rtl/>
        </w:rPr>
        <w:t xml:space="preserve">בעת משבר לאומי מצופה כי כלל הגופים הייעודיים לחירום יפעלו למימוש מלא של אחריותם, תוך מתן פרשנות מרחיבה לתחומי אחריותו של כל גורם, לצד שיתוף פעולה הדוק </w:t>
      </w:r>
      <w:r w:rsidR="00866DDB">
        <w:rPr>
          <w:rFonts w:hint="cs"/>
          <w:sz w:val="19"/>
          <w:szCs w:val="19"/>
          <w:rtl/>
        </w:rPr>
        <w:t>ו</w:t>
      </w:r>
      <w:r w:rsidRPr="00580234">
        <w:rPr>
          <w:sz w:val="19"/>
          <w:szCs w:val="19"/>
          <w:rtl/>
        </w:rPr>
        <w:t>תיאום רציף ומחייב ויימנעו מניסיון להעברת אחריות לגורם אחר. לפיכך, על ראש ממשלת ישראל להסדיר באופן מיידי את תחומי האחריות של גופים אלה, לרבות בכל הנוגע להיערכות לפינוי אוכלוסייה ולהכנת תוכניות לאומיות לפינוי, וכן לניהול מערך הקליטה ברשויות המקומיות כפעולה צופה פני עתיד. מבקר המדינה קובע כי היעדר גוף מתכלל הוביל לכאוס ולפגיעה במענה שניתן למפונים. המבקר ממליץ להסדיר באופן מיידי את תחומי האחריות ולגבש תוכניות לאומיות מעודכנות לפינוי ולקליטה</w:t>
      </w:r>
      <w:r w:rsidR="00C06852">
        <w:rPr>
          <w:rFonts w:hint="cs"/>
          <w:sz w:val="19"/>
          <w:szCs w:val="19"/>
          <w:rtl/>
        </w:rPr>
        <w:t>.</w:t>
      </w:r>
    </w:p>
    <w:bookmarkEnd w:id="0"/>
    <w:p w:rsidR="009A6817" w:rsidRPr="001C33F8" w:rsidRDefault="009A6817" w:rsidP="00871F34">
      <w:pPr>
        <w:spacing w:after="160" w:line="259" w:lineRule="auto"/>
        <w:jc w:val="left"/>
        <w:rPr>
          <w:rFonts w:ascii="Tahoma" w:hAnsi="Tahoma" w:cs="Tahoma"/>
          <w:noProof/>
          <w:rtl/>
        </w:rPr>
      </w:pPr>
    </w:p>
    <w:sectPr w:rsidR="009A6817" w:rsidRPr="001C33F8" w:rsidSect="00030DCF">
      <w:headerReference w:type="first" r:id="rId30"/>
      <w:type w:val="continuous"/>
      <w:pgSz w:w="11340" w:h="14175" w:code="9"/>
      <w:pgMar w:top="2268" w:right="1276" w:bottom="1588"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110" w:rsidRDefault="00B64110">
      <w:pPr>
        <w:spacing w:line="240" w:lineRule="auto"/>
      </w:pPr>
      <w:r>
        <w:separator/>
      </w:r>
    </w:p>
  </w:endnote>
  <w:endnote w:type="continuationSeparator" w:id="0">
    <w:p w:rsidR="00B64110" w:rsidRDefault="00B641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13" w:rsidRDefault="00564413">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13" w:rsidRDefault="00564413">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22E2" w:rsidRDefault="009961E8">
    <w:pPr>
      <w:pStyle w:val="ab"/>
      <w:rPr>
        <w:rtl/>
      </w:rPr>
    </w:pPr>
    <w:r>
      <w:rPr>
        <w:noProof/>
      </w:rPr>
      <mc:AlternateContent>
        <mc:Choice Requires="wpg">
          <w:drawing>
            <wp:anchor distT="0" distB="0" distL="114300" distR="114300" simplePos="0" relativeHeight="251651072" behindDoc="0" locked="0" layoutInCell="1" allowOverlap="1">
              <wp:simplePos x="0" y="0"/>
              <wp:positionH relativeFrom="column">
                <wp:posOffset>1591311</wp:posOffset>
              </wp:positionH>
              <wp:positionV relativeFrom="paragraph">
                <wp:posOffset>-391583</wp:posOffset>
              </wp:positionV>
              <wp:extent cx="2512060" cy="2365375"/>
              <wp:effectExtent l="0" t="0" r="2540" b="0"/>
              <wp:wrapNone/>
              <wp:docPr id="58" name="קבוצה 58"/>
              <wp:cNvGraphicFramePr/>
              <a:graphic xmlns:a="http://schemas.openxmlformats.org/drawingml/2006/main">
                <a:graphicData uri="http://schemas.microsoft.com/office/word/2010/wordprocessingGroup">
                  <wpg:wgp>
                    <wpg:cNvGrpSpPr/>
                    <wpg:grpSpPr>
                      <a:xfrm>
                        <a:off x="0" y="0"/>
                        <a:ext cx="2512060" cy="2365375"/>
                        <a:chOff x="3936" y="0"/>
                        <a:chExt cx="2512060" cy="2365375"/>
                      </a:xfrm>
                    </wpg:grpSpPr>
                    <wps:wsp>
                      <wps:cNvPr id="59" name="tbMMHF"/>
                      <wps:cNvSpPr txBox="1"/>
                      <wps:spPr>
                        <a:xfrm>
                          <a:off x="3936" y="180975"/>
                          <a:ext cx="2512060" cy="304800"/>
                        </a:xfrm>
                        <a:prstGeom prst="rect">
                          <a:avLst/>
                        </a:prstGeom>
                        <a:solidFill>
                          <a:schemeClr val="bg1"/>
                        </a:solidFill>
                        <a:ln w="6350">
                          <a:noFill/>
                        </a:ln>
                      </wps:spPr>
                      <wps:txbx>
                        <w:txbxContent>
                          <w:p w:rsidR="0062451B" w:rsidRPr="0062451B" w:rsidRDefault="009961E8"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sidR="00961F73">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sidR="009912C8">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sidR="00961F73">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sidR="009912C8">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wps:cNvPr id="60" name="מחבר ישר 60"/>
                      <wps:cNvCnPr/>
                      <wps:spPr>
                        <a:xfrm>
                          <a:off x="428625" y="0"/>
                          <a:ext cx="1676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61" name="מלבן 61"/>
                      <wps:cNvSpPr/>
                      <wps:spPr>
                        <a:xfrm>
                          <a:off x="452107"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anchor>
          </w:drawing>
        </mc:Choice>
        <mc:Fallback>
          <w:pict>
            <v:group id="קבוצה 58" o:spid="_x0000_s1033" style="position:absolute;left:0;text-align:left;margin-left:125.3pt;margin-top:-30.85pt;width:197.8pt;height:186.25pt;z-index:251651072" coordorigin="39" coordsize="25120,23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">
              <v:shapetype id="_x0000_t202" coordsize="21600,21600" o:spt="202" path="m,l,21600r21600,l21600,xe">
                <v:stroke joinstyle="miter"/>
                <v:path gradientshapeok="t" o:connecttype="rect"/>
              </v:shapetype>
              <v:shape id="_x0000_s1034" type="#_x0000_t202" style="position:absolute;left:39;top:1809;width:2512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" fillcolor="white [3212]" stroked="f" strokeweight=".5pt">
                <v:textbox>
                  <w:txbxContent>
                    <w:p w:rsidR="0062451B" w:rsidRPr="0062451B" w:rsidRDefault="009961E8"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sidR="00961F73">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sidR="009912C8">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sidR="00961F73">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sidR="009912C8">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v:textbox>
              </v:shape>
              <v:line id="מחבר ישר 60" o:spid="_x0000_s1035" style="position:absolute;visibility:visible;mso-wrap-style:square" from="4286,0" to="2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" strokecolor="#002060" strokeweight="1.25pt"/>
              <v:rect id="מלבן 61" o:spid="_x0000_s1036" style="position:absolute;left:4521;top:5810;width:16910;height:17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" fillcolor="#002060" stroked="f" strokeweight="2pt"/>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CE4" w:rsidRDefault="00EE06A0">
    <w:pPr>
      <w:pStyle w:val="ab"/>
    </w:pPr>
    <w:r>
      <w:rPr>
        <w:noProof/>
      </w:rPr>
      <mc:AlternateContent>
        <mc:Choice Requires="wps">
          <w:drawing>
            <wp:anchor distT="0" distB="0" distL="114300" distR="114300" simplePos="0" relativeHeight="251665408" behindDoc="0" locked="0" layoutInCell="1" allowOverlap="1">
              <wp:simplePos x="0" y="0"/>
              <wp:positionH relativeFrom="column">
                <wp:posOffset>1384662</wp:posOffset>
              </wp:positionH>
              <wp:positionV relativeFrom="paragraph">
                <wp:posOffset>-352879</wp:posOffset>
              </wp:positionV>
              <wp:extent cx="2996838" cy="0"/>
              <wp:effectExtent l="0" t="0" r="0" b="0"/>
              <wp:wrapNone/>
              <wp:docPr id="21" name="מחבר ישר 21"/>
              <wp:cNvGraphicFramePr/>
              <a:graphic xmlns:a="http://schemas.openxmlformats.org/drawingml/2006/main">
                <a:graphicData uri="http://schemas.microsoft.com/office/word/2010/wordprocessingShape">
                  <wps:wsp>
                    <wps:cNvCnPr/>
                    <wps:spPr>
                      <a:xfrm>
                        <a:off x="0" y="0"/>
                        <a:ext cx="2996838"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C41520" id="מחבר ישר 21" o:spid="_x0000_s1026" style="position:absolute;left:0;text-align:lef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9.05pt,-27.8pt" to="34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" strokecolor="#002060" strokeweight="1.25p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1624330</wp:posOffset>
              </wp:positionH>
              <wp:positionV relativeFrom="paragraph">
                <wp:posOffset>-169545</wp:posOffset>
              </wp:positionV>
              <wp:extent cx="2512060" cy="304800"/>
              <wp:effectExtent l="0" t="0" r="2540" b="0"/>
              <wp:wrapNone/>
              <wp:docPr id="20" name="tbMMHF"/>
              <wp:cNvGraphicFramePr/>
              <a:graphic xmlns:a="http://schemas.openxmlformats.org/drawingml/2006/main">
                <a:graphicData uri="http://schemas.microsoft.com/office/word/2010/wordprocessingShape">
                  <wps:wsp>
                    <wps:cNvSpPr txBox="1"/>
                    <wps:spPr>
                      <a:xfrm>
                        <a:off x="0" y="0"/>
                        <a:ext cx="2512060" cy="304800"/>
                      </a:xfrm>
                      <a:prstGeom prst="rect">
                        <a:avLst/>
                      </a:prstGeom>
                      <a:solidFill>
                        <a:schemeClr val="bg1"/>
                      </a:solidFill>
                      <a:ln w="6350">
                        <a:noFill/>
                      </a:ln>
                    </wps:spPr>
                    <wps:txbx>
                      <w:txbxContent>
                        <w:p w:rsidR="0011074F" w:rsidRPr="0011074F" w:rsidRDefault="0011074F" w:rsidP="0011074F">
                          <w:pPr>
                            <w:jc w:val="center"/>
                            <w:rPr>
                              <w:rFonts w:ascii="Calibri" w:hAnsi="Calibri" w:cs="Calibri"/>
                              <w:color w:val="002060"/>
                              <w:sz w:val="24"/>
                              <w:rtl/>
                            </w:rPr>
                          </w:pPr>
                          <w:r w:rsidRPr="0011074F">
                            <w:rPr>
                              <w:rFonts w:ascii="Calibri" w:hAnsi="Calibri" w:cs="Calibri" w:hint="cs"/>
                              <w:color w:val="002060"/>
                              <w:sz w:val="24"/>
                              <w:rtl/>
                            </w:rPr>
                            <w:t>דוח מיוחד - פינוי אוכלוסייה וקליטתה</w:t>
                          </w:r>
                        </w:p>
                        <w:p w:rsidR="00A5605A" w:rsidRPr="0011074F" w:rsidRDefault="00A5605A" w:rsidP="0011074F">
                          <w:pPr>
                            <w:spacing w:line="240" w:lineRule="auto"/>
                            <w:jc w:val="center"/>
                            <w:rPr>
                              <w:rFonts w:asciiTheme="minorHAnsi" w:hAnsiTheme="minorHAnsi" w:cstheme="minorHAnsi"/>
                              <w:color w:val="002060"/>
                              <w:spacing w:val="20"/>
                              <w:sz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bMMHF" o:spid="_x0000_s1048" type="#_x0000_t202" style="position:absolute;left:0;text-align:left;margin-left:127.9pt;margin-top:-13.35pt;width:197.8pt;height:2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" fillcolor="white [3212]" stroked="f" strokeweight=".5pt">
              <v:textbox>
                <w:txbxContent>
                  <w:p w:rsidR="0011074F" w:rsidRPr="0011074F" w:rsidRDefault="0011074F" w:rsidP="0011074F">
                    <w:pPr>
                      <w:jc w:val="center"/>
                      <w:rPr>
                        <w:rFonts w:ascii="Calibri" w:hAnsi="Calibri" w:cs="Calibri"/>
                        <w:color w:val="002060"/>
                        <w:sz w:val="24"/>
                        <w:rtl/>
                      </w:rPr>
                    </w:pPr>
                    <w:r w:rsidRPr="0011074F">
                      <w:rPr>
                        <w:rFonts w:ascii="Calibri" w:hAnsi="Calibri" w:cs="Calibri" w:hint="cs"/>
                        <w:color w:val="002060"/>
                        <w:sz w:val="24"/>
                        <w:rtl/>
                      </w:rPr>
                      <w:t>דוח מיוחד - פינוי אוכלוסייה וקליטתה</w:t>
                    </w:r>
                  </w:p>
                  <w:p w:rsidR="00A5605A" w:rsidRPr="0011074F" w:rsidRDefault="00A5605A" w:rsidP="0011074F">
                    <w:pPr>
                      <w:spacing w:line="240" w:lineRule="auto"/>
                      <w:jc w:val="center"/>
                      <w:rPr>
                        <w:rFonts w:asciiTheme="minorHAnsi" w:hAnsiTheme="minorHAnsi" w:cstheme="minorHAnsi"/>
                        <w:color w:val="002060"/>
                        <w:spacing w:val="20"/>
                        <w:sz w:val="24"/>
                        <w:rtl/>
                      </w:rPr>
                    </w:pPr>
                  </w:p>
                </w:txbxContent>
              </v:textbox>
            </v:shape>
          </w:pict>
        </mc:Fallback>
      </mc:AlternateContent>
    </w:r>
    <w:r w:rsidR="009961E8">
      <w:rPr>
        <w:noProof/>
      </w:rPr>
      <mc:AlternateContent>
        <mc:Choice Requires="wps">
          <w:drawing>
            <wp:anchor distT="0" distB="0" distL="114300" distR="114300" simplePos="0" relativeHeight="251653120"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24785164" name="תיבת טקסט 24785164"/>
              <wp:cNvGraphicFramePr/>
              <a:graphic xmlns:a="http://schemas.openxmlformats.org/drawingml/2006/main">
                <a:graphicData uri="http://schemas.microsoft.com/office/word/2010/wordprocessingShape">
                  <wps:wsp>
                    <wps:cNvSpPr txBox="1"/>
                    <wps:spPr>
                      <a:xfrm>
                        <a:off x="0" y="0"/>
                        <a:ext cx="2959100" cy="273050"/>
                      </a:xfrm>
                      <a:prstGeom prst="rect">
                        <a:avLst/>
                      </a:prstGeom>
                      <a:noFill/>
                      <a:ln w="6350">
                        <a:noFill/>
                      </a:ln>
                    </wps:spPr>
                    <wps:txbx>
                      <w:txbxContent>
                        <w:p w:rsidR="00F56CE4" w:rsidRPr="00A222E2" w:rsidRDefault="009961E8"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תיבת טקסט 24785164" o:spid="_x0000_s1049" type="#_x0000_t202" style="position:absolute;left:0;text-align:left;margin-left:0;margin-top:-87.15pt;width:233pt;height:21.5pt;z-index:251653120;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" filled="f" stroked="f" strokeweight=".5pt">
              <v:textbox>
                <w:txbxContent>
                  <w:p w:rsidR="00F56CE4" w:rsidRPr="00A222E2" w:rsidRDefault="009961E8"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110" w:rsidRDefault="00B64110">
      <w:pPr>
        <w:spacing w:line="240" w:lineRule="auto"/>
      </w:pPr>
      <w:r>
        <w:separator/>
      </w:r>
    </w:p>
  </w:footnote>
  <w:footnote w:type="continuationSeparator" w:id="0">
    <w:p w:rsidR="00B64110" w:rsidRDefault="00B64110">
      <w:pPr>
        <w:spacing w:line="240" w:lineRule="auto"/>
      </w:pPr>
      <w:r>
        <w:continuationSeparator/>
      </w:r>
    </w:p>
  </w:footnote>
  <w:footnote w:id="1">
    <w:p w:rsidR="00B1135E" w:rsidRPr="00667276" w:rsidRDefault="00B1135E" w:rsidP="00B1135E">
      <w:pPr>
        <w:pStyle w:val="af"/>
        <w:rPr>
          <w:sz w:val="16"/>
          <w:szCs w:val="16"/>
        </w:rPr>
      </w:pPr>
      <w:r>
        <w:rPr>
          <w:rStyle w:val="af1"/>
        </w:rPr>
        <w:footnoteRef/>
      </w:r>
      <w:r>
        <w:rPr>
          <w:rtl/>
        </w:rPr>
        <w:t xml:space="preserve"> </w:t>
      </w:r>
      <w:r>
        <w:rPr>
          <w:rtl/>
        </w:rPr>
        <w:tab/>
      </w:r>
      <w:r w:rsidRPr="00667276">
        <w:rPr>
          <w:rFonts w:ascii="Tahoma" w:hAnsi="Tahoma" w:cs="Tahoma"/>
          <w:sz w:val="16"/>
          <w:szCs w:val="16"/>
          <w:rtl/>
        </w:rPr>
        <w:t>מערכת שפיתח מערך הדיגיטל הלאומי, השואבת נתונים מבסיסי מידע שונים.</w:t>
      </w:r>
      <w:r w:rsidRPr="00667276">
        <w:rPr>
          <w:rFonts w:hint="cs"/>
          <w:sz w:val="16"/>
          <w:szCs w:val="16"/>
          <w:rtl/>
        </w:rPr>
        <w:t xml:space="preserve"> </w:t>
      </w:r>
    </w:p>
  </w:footnote>
  <w:footnote w:id="2">
    <w:p w:rsidR="004F1148" w:rsidRDefault="004F1148" w:rsidP="00091165">
      <w:pPr>
        <w:pStyle w:val="af"/>
        <w:rPr>
          <w:rtl/>
        </w:rPr>
      </w:pPr>
      <w:r w:rsidRPr="00667276">
        <w:rPr>
          <w:rStyle w:val="af1"/>
          <w:sz w:val="16"/>
          <w:szCs w:val="16"/>
        </w:rPr>
        <w:footnoteRef/>
      </w:r>
      <w:r w:rsidRPr="00667276">
        <w:rPr>
          <w:sz w:val="16"/>
          <w:szCs w:val="16"/>
          <w:rtl/>
        </w:rPr>
        <w:t xml:space="preserve"> </w:t>
      </w:r>
      <w:r w:rsidRPr="00667276">
        <w:rPr>
          <w:sz w:val="16"/>
          <w:szCs w:val="16"/>
          <w:rtl/>
        </w:rPr>
        <w:tab/>
      </w:r>
      <w:r w:rsidRPr="00667276">
        <w:rPr>
          <w:rFonts w:ascii="Tahoma" w:hAnsi="Tahoma" w:cs="Tahoma" w:hint="eastAsia"/>
          <w:sz w:val="16"/>
          <w:szCs w:val="16"/>
          <w:rtl/>
        </w:rPr>
        <w:t>בס</w:t>
      </w:r>
      <w:r w:rsidR="00091165">
        <w:rPr>
          <w:rFonts w:ascii="Tahoma" w:hAnsi="Tahoma" w:cs="Tahoma" w:hint="cs"/>
          <w:sz w:val="16"/>
          <w:szCs w:val="16"/>
          <w:rtl/>
        </w:rPr>
        <w:t xml:space="preserve">ך </w:t>
      </w:r>
      <w:r w:rsidRPr="00667276">
        <w:rPr>
          <w:rFonts w:ascii="Tahoma" w:hAnsi="Tahoma" w:cs="Tahoma" w:hint="eastAsia"/>
          <w:sz w:val="16"/>
          <w:szCs w:val="16"/>
          <w:rtl/>
        </w:rPr>
        <w:t>ה</w:t>
      </w:r>
      <w:r w:rsidRPr="00667276">
        <w:rPr>
          <w:rFonts w:ascii="Tahoma" w:hAnsi="Tahoma" w:cs="Tahoma"/>
          <w:sz w:val="16"/>
          <w:szCs w:val="16"/>
          <w:rtl/>
        </w:rPr>
        <w:t>כ</w:t>
      </w:r>
      <w:r w:rsidR="00091165">
        <w:rPr>
          <w:rFonts w:ascii="Tahoma" w:hAnsi="Tahoma" w:cs="Tahoma" w:hint="cs"/>
          <w:sz w:val="16"/>
          <w:szCs w:val="16"/>
          <w:rtl/>
        </w:rPr>
        <w:t>ול</w:t>
      </w:r>
      <w:r w:rsidRPr="00667276">
        <w:rPr>
          <w:rFonts w:ascii="Tahoma" w:hAnsi="Tahoma" w:cs="Tahoma"/>
          <w:sz w:val="16"/>
          <w:szCs w:val="16"/>
          <w:rtl/>
        </w:rPr>
        <w:t xml:space="preserve"> </w:t>
      </w:r>
      <w:r w:rsidRPr="00667276">
        <w:rPr>
          <w:rFonts w:ascii="Tahoma" w:hAnsi="Tahoma" w:cs="Tahoma" w:hint="eastAsia"/>
          <w:sz w:val="16"/>
          <w:szCs w:val="16"/>
          <w:rtl/>
        </w:rPr>
        <w:t>היו</w:t>
      </w:r>
      <w:r w:rsidRPr="00667276">
        <w:rPr>
          <w:rFonts w:ascii="Tahoma" w:hAnsi="Tahoma" w:cs="Tahoma"/>
          <w:sz w:val="16"/>
          <w:szCs w:val="16"/>
          <w:rtl/>
        </w:rPr>
        <w:t xml:space="preserve"> 15 </w:t>
      </w:r>
      <w:r w:rsidRPr="00667276">
        <w:rPr>
          <w:rFonts w:ascii="Tahoma" w:hAnsi="Tahoma" w:cs="Tahoma" w:hint="eastAsia"/>
          <w:sz w:val="16"/>
          <w:szCs w:val="16"/>
          <w:rtl/>
        </w:rPr>
        <w:t>רשויות</w:t>
      </w:r>
      <w:r w:rsidRPr="00667276">
        <w:rPr>
          <w:rFonts w:ascii="Tahoma" w:hAnsi="Tahoma" w:cs="Tahoma"/>
          <w:sz w:val="16"/>
          <w:szCs w:val="16"/>
          <w:rtl/>
        </w:rPr>
        <w:t xml:space="preserve"> </w:t>
      </w:r>
      <w:r w:rsidRPr="00667276">
        <w:rPr>
          <w:rFonts w:ascii="Tahoma" w:hAnsi="Tahoma" w:cs="Tahoma" w:hint="eastAsia"/>
          <w:sz w:val="16"/>
          <w:szCs w:val="16"/>
          <w:rtl/>
        </w:rPr>
        <w:t>מקומיות</w:t>
      </w:r>
      <w:r w:rsidRPr="00667276">
        <w:rPr>
          <w:rFonts w:ascii="Tahoma" w:hAnsi="Tahoma" w:cs="Tahoma"/>
          <w:sz w:val="16"/>
          <w:szCs w:val="16"/>
          <w:rtl/>
        </w:rPr>
        <w:t xml:space="preserve"> </w:t>
      </w:r>
      <w:r w:rsidRPr="00667276">
        <w:rPr>
          <w:rFonts w:ascii="Tahoma" w:hAnsi="Tahoma" w:cs="Tahoma" w:hint="eastAsia"/>
          <w:sz w:val="16"/>
          <w:szCs w:val="16"/>
          <w:rtl/>
        </w:rPr>
        <w:t>שהיה</w:t>
      </w:r>
      <w:r w:rsidRPr="00667276">
        <w:rPr>
          <w:rFonts w:ascii="Tahoma" w:hAnsi="Tahoma" w:cs="Tahoma"/>
          <w:sz w:val="16"/>
          <w:szCs w:val="16"/>
          <w:rtl/>
        </w:rPr>
        <w:t xml:space="preserve"> </w:t>
      </w:r>
      <w:r w:rsidRPr="00667276">
        <w:rPr>
          <w:rFonts w:ascii="Tahoma" w:hAnsi="Tahoma" w:cs="Tahoma" w:hint="eastAsia"/>
          <w:sz w:val="16"/>
          <w:szCs w:val="16"/>
          <w:rtl/>
        </w:rPr>
        <w:t>בהן</w:t>
      </w:r>
      <w:r w:rsidRPr="00667276">
        <w:rPr>
          <w:rFonts w:ascii="Tahoma" w:hAnsi="Tahoma" w:cs="Tahoma"/>
          <w:sz w:val="16"/>
          <w:szCs w:val="16"/>
          <w:rtl/>
        </w:rPr>
        <w:t xml:space="preserve"> </w:t>
      </w:r>
      <w:r w:rsidRPr="00667276">
        <w:rPr>
          <w:rFonts w:ascii="Tahoma" w:hAnsi="Tahoma" w:cs="Tahoma" w:hint="eastAsia"/>
          <w:sz w:val="16"/>
          <w:szCs w:val="16"/>
          <w:rtl/>
        </w:rPr>
        <w:t>פינוי</w:t>
      </w:r>
      <w:r w:rsidRPr="00667276">
        <w:rPr>
          <w:rFonts w:ascii="Tahoma" w:hAnsi="Tahoma" w:cs="Tahoma"/>
          <w:sz w:val="16"/>
          <w:szCs w:val="16"/>
          <w:rtl/>
        </w:rPr>
        <w:t xml:space="preserve"> </w:t>
      </w:r>
      <w:r w:rsidRPr="00667276">
        <w:rPr>
          <w:rFonts w:ascii="Tahoma" w:hAnsi="Tahoma" w:cs="Tahoma" w:hint="eastAsia"/>
          <w:sz w:val="16"/>
          <w:szCs w:val="16"/>
          <w:rtl/>
        </w:rPr>
        <w:t>תושבים</w:t>
      </w:r>
      <w:r w:rsidRPr="00667276">
        <w:rPr>
          <w:rFonts w:ascii="Tahoma" w:hAnsi="Tahoma" w:cs="Tahoma"/>
          <w:sz w:val="16"/>
          <w:szCs w:val="16"/>
          <w:rtl/>
        </w:rPr>
        <w:t xml:space="preserve">. </w:t>
      </w:r>
      <w:r w:rsidRPr="00667276">
        <w:rPr>
          <w:rFonts w:ascii="Tahoma" w:hAnsi="Tahoma" w:cs="Tahoma" w:hint="eastAsia"/>
          <w:sz w:val="16"/>
          <w:szCs w:val="16"/>
          <w:rtl/>
        </w:rPr>
        <w:t>המועצות</w:t>
      </w:r>
      <w:r w:rsidRPr="00667276">
        <w:rPr>
          <w:rFonts w:ascii="Tahoma" w:hAnsi="Tahoma" w:cs="Tahoma"/>
          <w:sz w:val="16"/>
          <w:szCs w:val="16"/>
          <w:rtl/>
        </w:rPr>
        <w:t xml:space="preserve"> </w:t>
      </w:r>
      <w:r w:rsidRPr="00667276">
        <w:rPr>
          <w:rFonts w:ascii="Tahoma" w:hAnsi="Tahoma" w:cs="Tahoma" w:hint="eastAsia"/>
          <w:sz w:val="16"/>
          <w:szCs w:val="16"/>
          <w:rtl/>
        </w:rPr>
        <w:t>האזוריות</w:t>
      </w:r>
      <w:r w:rsidRPr="00667276">
        <w:rPr>
          <w:rFonts w:ascii="Tahoma" w:hAnsi="Tahoma" w:cs="Tahoma"/>
          <w:sz w:val="16"/>
          <w:szCs w:val="16"/>
          <w:rtl/>
        </w:rPr>
        <w:t xml:space="preserve"> </w:t>
      </w:r>
      <w:r w:rsidRPr="00667276">
        <w:rPr>
          <w:rFonts w:ascii="Tahoma" w:hAnsi="Tahoma" w:cs="Tahoma" w:hint="eastAsia"/>
          <w:sz w:val="16"/>
          <w:szCs w:val="16"/>
          <w:rtl/>
        </w:rPr>
        <w:t>המפונות</w:t>
      </w:r>
      <w:r w:rsidRPr="00667276">
        <w:rPr>
          <w:rFonts w:ascii="Tahoma" w:hAnsi="Tahoma" w:cs="Tahoma"/>
          <w:sz w:val="16"/>
          <w:szCs w:val="16"/>
          <w:rtl/>
        </w:rPr>
        <w:t xml:space="preserve"> </w:t>
      </w:r>
      <w:r w:rsidRPr="00667276">
        <w:rPr>
          <w:rFonts w:ascii="Tahoma" w:hAnsi="Tahoma" w:cs="Tahoma" w:hint="eastAsia"/>
          <w:sz w:val="16"/>
          <w:szCs w:val="16"/>
          <w:rtl/>
        </w:rPr>
        <w:t>שער</w:t>
      </w:r>
      <w:r w:rsidRPr="00667276">
        <w:rPr>
          <w:rFonts w:ascii="Tahoma" w:hAnsi="Tahoma" w:cs="Tahoma"/>
          <w:sz w:val="16"/>
          <w:szCs w:val="16"/>
          <w:rtl/>
        </w:rPr>
        <w:t xml:space="preserve"> </w:t>
      </w:r>
      <w:r w:rsidRPr="00667276">
        <w:rPr>
          <w:rFonts w:ascii="Tahoma" w:hAnsi="Tahoma" w:cs="Tahoma" w:hint="eastAsia"/>
          <w:sz w:val="16"/>
          <w:szCs w:val="16"/>
          <w:rtl/>
        </w:rPr>
        <w:t>הנגב</w:t>
      </w:r>
      <w:r w:rsidRPr="00667276">
        <w:rPr>
          <w:rFonts w:ascii="Tahoma" w:hAnsi="Tahoma" w:cs="Tahoma"/>
          <w:sz w:val="16"/>
          <w:szCs w:val="16"/>
          <w:rtl/>
        </w:rPr>
        <w:t xml:space="preserve"> </w:t>
      </w:r>
      <w:r w:rsidRPr="00667276">
        <w:rPr>
          <w:rFonts w:ascii="Tahoma" w:hAnsi="Tahoma" w:cs="Tahoma" w:hint="eastAsia"/>
          <w:sz w:val="16"/>
          <w:szCs w:val="16"/>
          <w:rtl/>
        </w:rPr>
        <w:t>ושדות</w:t>
      </w:r>
      <w:r w:rsidRPr="00667276">
        <w:rPr>
          <w:rFonts w:ascii="Tahoma" w:hAnsi="Tahoma" w:cs="Tahoma"/>
          <w:sz w:val="16"/>
          <w:szCs w:val="16"/>
          <w:rtl/>
        </w:rPr>
        <w:t xml:space="preserve"> </w:t>
      </w:r>
      <w:r w:rsidRPr="00667276">
        <w:rPr>
          <w:rFonts w:ascii="Tahoma" w:hAnsi="Tahoma" w:cs="Tahoma" w:hint="eastAsia"/>
          <w:sz w:val="16"/>
          <w:szCs w:val="16"/>
          <w:rtl/>
        </w:rPr>
        <w:t>נגב</w:t>
      </w:r>
      <w:r w:rsidRPr="00667276">
        <w:rPr>
          <w:rFonts w:ascii="Tahoma" w:hAnsi="Tahoma" w:cs="Tahoma"/>
          <w:sz w:val="16"/>
          <w:szCs w:val="16"/>
          <w:rtl/>
        </w:rPr>
        <w:t xml:space="preserve"> </w:t>
      </w:r>
      <w:r w:rsidRPr="00667276">
        <w:rPr>
          <w:rFonts w:ascii="Tahoma" w:hAnsi="Tahoma" w:cs="Tahoma" w:hint="eastAsia"/>
          <w:sz w:val="16"/>
          <w:szCs w:val="16"/>
          <w:rtl/>
        </w:rPr>
        <w:t>לא</w:t>
      </w:r>
      <w:r w:rsidRPr="00667276">
        <w:rPr>
          <w:rFonts w:ascii="Tahoma" w:hAnsi="Tahoma" w:cs="Tahoma"/>
          <w:sz w:val="16"/>
          <w:szCs w:val="16"/>
          <w:rtl/>
        </w:rPr>
        <w:t xml:space="preserve"> </w:t>
      </w:r>
      <w:r w:rsidRPr="00667276">
        <w:rPr>
          <w:rFonts w:ascii="Tahoma" w:hAnsi="Tahoma" w:cs="Tahoma" w:hint="eastAsia"/>
          <w:sz w:val="16"/>
          <w:szCs w:val="16"/>
          <w:rtl/>
        </w:rPr>
        <w:t>נכללו</w:t>
      </w:r>
      <w:r w:rsidRPr="00667276">
        <w:rPr>
          <w:rFonts w:ascii="Tahoma" w:hAnsi="Tahoma" w:cs="Tahoma"/>
          <w:sz w:val="16"/>
          <w:szCs w:val="16"/>
          <w:rtl/>
        </w:rPr>
        <w:t xml:space="preserve"> </w:t>
      </w:r>
      <w:r w:rsidRPr="00667276">
        <w:rPr>
          <w:rFonts w:ascii="Tahoma" w:hAnsi="Tahoma" w:cs="Tahoma" w:hint="eastAsia"/>
          <w:sz w:val="16"/>
          <w:szCs w:val="16"/>
          <w:rtl/>
        </w:rPr>
        <w:t>בביקורת</w:t>
      </w:r>
      <w:r w:rsidRPr="00667276">
        <w:rPr>
          <w:rFonts w:ascii="Tahoma" w:hAnsi="Tahoma" w:cs="Tahoma"/>
          <w:sz w:val="16"/>
          <w:szCs w:val="16"/>
          <w:rtl/>
        </w:rPr>
        <w:t xml:space="preserve"> </w:t>
      </w:r>
      <w:r w:rsidRPr="00667276">
        <w:rPr>
          <w:rFonts w:ascii="Tahoma" w:hAnsi="Tahoma" w:cs="Tahoma" w:hint="eastAsia"/>
          <w:sz w:val="16"/>
          <w:szCs w:val="16"/>
          <w:rtl/>
        </w:rPr>
        <w:t>זו</w:t>
      </w:r>
      <w:r w:rsidRPr="00667276">
        <w:rPr>
          <w:rFonts w:ascii="Tahoma" w:hAnsi="Tahoma" w:cs="Tahoma"/>
          <w:sz w:val="16"/>
          <w:szCs w:val="16"/>
          <w:rtl/>
        </w:rPr>
        <w:t>.</w:t>
      </w:r>
    </w:p>
  </w:footnote>
  <w:footnote w:id="3">
    <w:p w:rsidR="003765AE" w:rsidRDefault="003765AE" w:rsidP="003765AE">
      <w:pPr>
        <w:pStyle w:val="af"/>
      </w:pPr>
      <w:r w:rsidRPr="006B6CFF">
        <w:rPr>
          <w:rStyle w:val="af1"/>
        </w:rPr>
        <w:footnoteRef/>
      </w:r>
      <w:r w:rsidRPr="006B6CFF">
        <w:rPr>
          <w:rtl/>
        </w:rPr>
        <w:t xml:space="preserve"> </w:t>
      </w:r>
      <w:r w:rsidRPr="006B6CFF">
        <w:rPr>
          <w:rtl/>
        </w:rPr>
        <w:tab/>
      </w:r>
      <w:r w:rsidRPr="001961A1">
        <w:rPr>
          <w:rFonts w:ascii="Tahoma" w:hAnsi="Tahoma" w:cs="Tahoma"/>
          <w:sz w:val="16"/>
          <w:szCs w:val="16"/>
          <w:rtl/>
        </w:rPr>
        <w:t xml:space="preserve">ראו הרחבה </w:t>
      </w:r>
      <w:r w:rsidRPr="001961A1">
        <w:rPr>
          <w:rFonts w:ascii="Tahoma" w:hAnsi="Tahoma" w:cs="Tahoma" w:hint="eastAsia"/>
          <w:sz w:val="16"/>
          <w:szCs w:val="16"/>
          <w:rtl/>
        </w:rPr>
        <w:t>בקובץ</w:t>
      </w:r>
      <w:r w:rsidRPr="001961A1">
        <w:rPr>
          <w:rFonts w:ascii="Tahoma" w:hAnsi="Tahoma" w:cs="Tahoma"/>
          <w:sz w:val="16"/>
          <w:szCs w:val="16"/>
          <w:rtl/>
        </w:rPr>
        <w:t xml:space="preserve"> </w:t>
      </w:r>
      <w:r w:rsidRPr="001961A1">
        <w:rPr>
          <w:rFonts w:ascii="Tahoma" w:hAnsi="Tahoma" w:cs="Tahoma" w:hint="eastAsia"/>
          <w:sz w:val="16"/>
          <w:szCs w:val="16"/>
          <w:rtl/>
        </w:rPr>
        <w:t>דוחות</w:t>
      </w:r>
      <w:r w:rsidRPr="001961A1">
        <w:rPr>
          <w:rFonts w:ascii="Tahoma" w:hAnsi="Tahoma" w:cs="Tahoma"/>
          <w:sz w:val="16"/>
          <w:szCs w:val="16"/>
          <w:rtl/>
        </w:rPr>
        <w:t xml:space="preserve"> </w:t>
      </w:r>
      <w:r w:rsidRPr="001961A1">
        <w:rPr>
          <w:rFonts w:ascii="Tahoma" w:hAnsi="Tahoma" w:cs="Tahoma" w:hint="eastAsia"/>
          <w:sz w:val="16"/>
          <w:szCs w:val="16"/>
          <w:rtl/>
        </w:rPr>
        <w:t>זה</w:t>
      </w:r>
      <w:r w:rsidRPr="001961A1">
        <w:rPr>
          <w:rFonts w:ascii="Tahoma" w:hAnsi="Tahoma" w:cs="Tahoma"/>
          <w:sz w:val="16"/>
          <w:szCs w:val="16"/>
          <w:rtl/>
        </w:rPr>
        <w:t xml:space="preserve"> בפרקים "מתן שירותים למפונים - סיוע בצרכים בסיסיים ומיידיים", "מתן שירותי חינוך למפונים על ידי הרשויות המפונות והקולטות" ו"מתן </w:t>
      </w:r>
      <w:r w:rsidRPr="001961A1">
        <w:rPr>
          <w:rFonts w:ascii="Tahoma" w:hAnsi="Tahoma" w:cs="Tahoma" w:hint="eastAsia"/>
          <w:sz w:val="16"/>
          <w:szCs w:val="16"/>
          <w:rtl/>
        </w:rPr>
        <w:t>שירותי</w:t>
      </w:r>
      <w:r w:rsidRPr="001961A1">
        <w:rPr>
          <w:rFonts w:ascii="Tahoma" w:hAnsi="Tahoma" w:cs="Tahoma"/>
          <w:sz w:val="16"/>
          <w:szCs w:val="16"/>
          <w:rtl/>
        </w:rPr>
        <w:t xml:space="preserve"> </w:t>
      </w:r>
      <w:r w:rsidRPr="001961A1">
        <w:rPr>
          <w:rFonts w:ascii="Tahoma" w:hAnsi="Tahoma" w:cs="Tahoma" w:hint="eastAsia"/>
          <w:sz w:val="16"/>
          <w:szCs w:val="16"/>
          <w:rtl/>
        </w:rPr>
        <w:t>רווחה</w:t>
      </w:r>
      <w:r w:rsidRPr="001961A1">
        <w:rPr>
          <w:rFonts w:ascii="Tahoma" w:hAnsi="Tahoma" w:cs="Tahoma"/>
          <w:sz w:val="16"/>
          <w:szCs w:val="16"/>
          <w:rtl/>
        </w:rPr>
        <w:t xml:space="preserve"> </w:t>
      </w:r>
      <w:r w:rsidRPr="001961A1">
        <w:rPr>
          <w:rFonts w:ascii="Tahoma" w:hAnsi="Tahoma" w:cs="Tahoma" w:hint="eastAsia"/>
          <w:sz w:val="16"/>
          <w:szCs w:val="16"/>
          <w:rtl/>
        </w:rPr>
        <w:t>למפונים</w:t>
      </w:r>
      <w:r w:rsidRPr="001961A1">
        <w:rPr>
          <w:rFonts w:ascii="Tahoma" w:hAnsi="Tahoma" w:cs="Tahoma"/>
          <w:sz w:val="16"/>
          <w:szCs w:val="16"/>
          <w:rtl/>
        </w:rPr>
        <w:t xml:space="preserve"> </w:t>
      </w:r>
      <w:r w:rsidRPr="001961A1">
        <w:rPr>
          <w:rFonts w:ascii="Tahoma" w:hAnsi="Tahoma" w:cs="Tahoma" w:hint="eastAsia"/>
          <w:sz w:val="16"/>
          <w:szCs w:val="16"/>
          <w:rtl/>
        </w:rPr>
        <w:t>על</w:t>
      </w:r>
      <w:r w:rsidRPr="001961A1">
        <w:rPr>
          <w:rFonts w:ascii="Tahoma" w:hAnsi="Tahoma" w:cs="Tahoma"/>
          <w:sz w:val="16"/>
          <w:szCs w:val="16"/>
          <w:rtl/>
        </w:rPr>
        <w:t xml:space="preserve"> </w:t>
      </w:r>
      <w:r w:rsidRPr="001961A1">
        <w:rPr>
          <w:rFonts w:ascii="Tahoma" w:hAnsi="Tahoma" w:cs="Tahoma" w:hint="eastAsia"/>
          <w:sz w:val="16"/>
          <w:szCs w:val="16"/>
          <w:rtl/>
        </w:rPr>
        <w:t>ידי</w:t>
      </w:r>
      <w:r w:rsidRPr="001961A1">
        <w:rPr>
          <w:rFonts w:ascii="Tahoma" w:hAnsi="Tahoma" w:cs="Tahoma"/>
          <w:sz w:val="16"/>
          <w:szCs w:val="16"/>
          <w:rtl/>
        </w:rPr>
        <w:t xml:space="preserve"> </w:t>
      </w:r>
      <w:r w:rsidRPr="001961A1">
        <w:rPr>
          <w:rFonts w:ascii="Tahoma" w:hAnsi="Tahoma" w:cs="Tahoma" w:hint="eastAsia"/>
          <w:sz w:val="16"/>
          <w:szCs w:val="16"/>
          <w:rtl/>
        </w:rPr>
        <w:t>הרשויות</w:t>
      </w:r>
      <w:r w:rsidRPr="001961A1">
        <w:rPr>
          <w:rFonts w:ascii="Tahoma" w:hAnsi="Tahoma" w:cs="Tahoma"/>
          <w:sz w:val="16"/>
          <w:szCs w:val="16"/>
          <w:rtl/>
        </w:rPr>
        <w:t xml:space="preserve"> </w:t>
      </w:r>
      <w:r w:rsidRPr="001961A1">
        <w:rPr>
          <w:rFonts w:ascii="Tahoma" w:hAnsi="Tahoma" w:cs="Tahoma" w:hint="eastAsia"/>
          <w:sz w:val="16"/>
          <w:szCs w:val="16"/>
          <w:rtl/>
        </w:rPr>
        <w:t>המפונות</w:t>
      </w:r>
      <w:r w:rsidRPr="001961A1">
        <w:rPr>
          <w:rFonts w:ascii="Tahoma" w:hAnsi="Tahoma" w:cs="Tahoma"/>
          <w:sz w:val="16"/>
          <w:szCs w:val="16"/>
          <w:rtl/>
        </w:rPr>
        <w:t xml:space="preserve"> </w:t>
      </w:r>
      <w:r w:rsidRPr="001961A1">
        <w:rPr>
          <w:rFonts w:ascii="Tahoma" w:hAnsi="Tahoma" w:cs="Tahoma" w:hint="eastAsia"/>
          <w:sz w:val="16"/>
          <w:szCs w:val="16"/>
          <w:rtl/>
        </w:rPr>
        <w:t>והקולטות</w:t>
      </w:r>
      <w:r w:rsidRPr="001961A1">
        <w:rPr>
          <w:rFonts w:ascii="Tahoma" w:hAnsi="Tahoma" w:cs="Tahoma"/>
          <w:sz w:val="16"/>
          <w:szCs w:val="16"/>
          <w:rtl/>
        </w:rPr>
        <w:t>".</w:t>
      </w:r>
      <w:r>
        <w:rPr>
          <w:rFonts w:hint="cs"/>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4413" w:rsidRDefault="00564413">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6F75" w:rsidRPr="0062451B" w:rsidRDefault="009961E8" w:rsidP="00DA67CB">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2096"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1" name="קבוצה 1"/>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4" name="מחבר ישר 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7"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62451B" w:rsidRPr="0062451B" w:rsidRDefault="009961E8">
                            <w:pPr>
                              <w:rPr>
                                <w:rFonts w:ascii="Calibri" w:hAnsi="Calibri" w:cs="Calibri"/>
                                <w:color w:val="002060"/>
                                <w:sz w:val="22"/>
                                <w:szCs w:val="22"/>
                                <w:rtl/>
                              </w:rPr>
                            </w:pPr>
                            <w:r w:rsidRPr="0062451B">
                              <w:rPr>
                                <w:rFonts w:ascii="Calibri" w:hAnsi="Calibri" w:cs="Calibri"/>
                                <w:color w:val="002060"/>
                                <w:sz w:val="22"/>
                                <w:szCs w:val="22"/>
                                <w:rtl/>
                              </w:rPr>
                              <w:t>מבקר המדינה</w:t>
                            </w:r>
                            <w:r w:rsidR="00001576">
                              <w:rPr>
                                <w:rFonts w:ascii="Calibri" w:hAnsi="Calibri" w:cs="Calibri" w:hint="cs"/>
                                <w:color w:val="002060"/>
                                <w:sz w:val="22"/>
                                <w:szCs w:val="22"/>
                                <w:rtl/>
                              </w:rPr>
                              <w:t xml:space="preserve"> | דוח מיוחד</w:t>
                            </w:r>
                            <w:r w:rsidR="00A222E2">
                              <w:rPr>
                                <w:rFonts w:ascii="Calibri" w:hAnsi="Calibri" w:cs="Calibri" w:hint="cs"/>
                                <w:color w:val="002060"/>
                                <w:sz w:val="22"/>
                                <w:szCs w:val="22"/>
                                <w:rtl/>
                              </w:rPr>
                              <w:t xml:space="preserve"> </w:t>
                            </w:r>
                          </w:p>
                        </w:txbxContent>
                      </wps:txbx>
                      <wps:bodyPr rot="0" vert="horz" wrap="square" lIns="91440" tIns="45720" rIns="91440" bIns="45720" anchor="t" anchorCtr="0"/>
                    </wps:wsp>
                    <wps:wsp>
                      <wps:cNvPr id="6"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62451B" w:rsidRPr="0062451B" w:rsidRDefault="009961E8" w:rsidP="00276705">
                            <w:pPr>
                              <w:spacing w:line="240" w:lineRule="auto"/>
                              <w:jc w:val="right"/>
                              <w:rPr>
                                <w:rFonts w:ascii="Calibri" w:hAnsi="Calibri" w:cs="Calibri"/>
                                <w:color w:val="002060"/>
                                <w:szCs w:val="20"/>
                                <w:rtl/>
                              </w:rPr>
                            </w:pPr>
                            <w:r>
                              <w:rPr>
                                <w:rFonts w:ascii="Calibri" w:hAnsi="Calibri" w:cs="Calibri" w:hint="cs"/>
                                <w:color w:val="002060"/>
                                <w:szCs w:val="20"/>
                                <w:rtl/>
                              </w:rPr>
                              <w:t>אלול</w:t>
                            </w:r>
                            <w:r w:rsidR="00B4321D">
                              <w:rPr>
                                <w:rFonts w:ascii="Calibri" w:hAnsi="Calibri" w:cs="Calibri" w:hint="cs"/>
                                <w:color w:val="002060"/>
                                <w:szCs w:val="20"/>
                                <w:rtl/>
                              </w:rPr>
                              <w:t xml:space="preserve"> </w:t>
                            </w:r>
                            <w:proofErr w:type="spellStart"/>
                            <w:r w:rsidR="00B4321D">
                              <w:rPr>
                                <w:rFonts w:ascii="Calibri" w:hAnsi="Calibri" w:cs="Calibri" w:hint="cs"/>
                                <w:color w:val="002060"/>
                                <w:szCs w:val="20"/>
                                <w:rtl/>
                              </w:rPr>
                              <w:t>התשפ"ה</w:t>
                            </w:r>
                            <w:proofErr w:type="spellEnd"/>
                            <w:r w:rsidRPr="0062451B">
                              <w:rPr>
                                <w:rFonts w:ascii="Calibri" w:hAnsi="Calibri" w:cs="Calibri" w:hint="cs"/>
                                <w:color w:val="002060"/>
                                <w:szCs w:val="20"/>
                                <w:rtl/>
                              </w:rPr>
                              <w:t xml:space="preserve"> </w:t>
                            </w:r>
                            <w:r w:rsidR="001E204F" w:rsidRPr="0062451B">
                              <w:rPr>
                                <w:rFonts w:asciiTheme="minorHAnsi" w:hAnsiTheme="minorHAnsi" w:cstheme="minorHAnsi"/>
                                <w:color w:val="002060"/>
                                <w:spacing w:val="20"/>
                                <w:sz w:val="22"/>
                                <w:szCs w:val="22"/>
                              </w:rPr>
                              <w:t xml:space="preserve"> </w:t>
                            </w:r>
                            <w:r w:rsidR="001E204F"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 xml:space="preserve">ספטמבר </w:t>
                            </w:r>
                            <w:r w:rsidR="0039415D">
                              <w:rPr>
                                <w:rFonts w:ascii="Calibri" w:hAnsi="Calibri" w:cs="Calibri" w:hint="cs"/>
                                <w:color w:val="002060"/>
                                <w:szCs w:val="20"/>
                                <w:rtl/>
                              </w:rPr>
                              <w:t xml:space="preserve">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7"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1E204F" w:rsidRPr="001E204F" w:rsidRDefault="009961E8" w:rsidP="00B4321D">
                            <w:pPr>
                              <w:rPr>
                                <w:rFonts w:ascii="Calibri" w:hAnsi="Calibri" w:cs="Calibri"/>
                                <w:color w:val="002060"/>
                                <w:szCs w:val="20"/>
                                <w:rtl/>
                              </w:rPr>
                            </w:pPr>
                            <w:r>
                              <w:rPr>
                                <w:rFonts w:ascii="Calibri" w:hAnsi="Calibri" w:cs="Calibri" w:hint="cs"/>
                                <w:color w:val="002060"/>
                                <w:szCs w:val="20"/>
                                <w:rtl/>
                              </w:rPr>
                              <w:t>שם הדוח שם הדוח</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1" o:spid="_x0000_s1027" style="position:absolute;margin-left:-15.2pt;margin-top:-7.45pt;width:484.3pt;height:47.6pt;z-index:251652096;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">
              <v:line id="מחבר ישר 4" o:spid="_x0000_s1028"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" strokecolor="#4579b8 [3044]"/>
              <v:shapetype id="_x0000_t202" coordsize="21600,21600" o:spt="202" path="m,l,21600r21600,l21600,xe">
                <v:stroke joinstyle="miter"/>
                <v:path gradientshapeok="t" o:connecttype="rect"/>
              </v:shapetype>
              <v:shape id="תיבת טקסט 2" o:spid="_x0000_s1029"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" filled="f" stroked="f">
                <v:textbox>
                  <w:txbxContent>
                    <w:p w:rsidR="0062451B" w:rsidRPr="0062451B" w:rsidRDefault="009961E8">
                      <w:pPr>
                        <w:rPr>
                          <w:rFonts w:ascii="Calibri" w:hAnsi="Calibri" w:cs="Calibri"/>
                          <w:color w:val="002060"/>
                          <w:sz w:val="22"/>
                          <w:szCs w:val="22"/>
                          <w:rtl/>
                        </w:rPr>
                      </w:pPr>
                      <w:r w:rsidRPr="0062451B">
                        <w:rPr>
                          <w:rFonts w:ascii="Calibri" w:hAnsi="Calibri" w:cs="Calibri"/>
                          <w:color w:val="002060"/>
                          <w:sz w:val="22"/>
                          <w:szCs w:val="22"/>
                          <w:rtl/>
                        </w:rPr>
                        <w:t>מבקר המדינה</w:t>
                      </w:r>
                      <w:r w:rsidR="00001576">
                        <w:rPr>
                          <w:rFonts w:ascii="Calibri" w:hAnsi="Calibri" w:cs="Calibri" w:hint="cs"/>
                          <w:color w:val="002060"/>
                          <w:sz w:val="22"/>
                          <w:szCs w:val="22"/>
                          <w:rtl/>
                        </w:rPr>
                        <w:t xml:space="preserve"> | דוח מיוחד</w:t>
                      </w:r>
                      <w:r w:rsidR="00A222E2">
                        <w:rPr>
                          <w:rFonts w:ascii="Calibri" w:hAnsi="Calibri" w:cs="Calibri" w:hint="cs"/>
                          <w:color w:val="002060"/>
                          <w:sz w:val="22"/>
                          <w:szCs w:val="22"/>
                          <w:rtl/>
                        </w:rPr>
                        <w:t xml:space="preserve"> </w:t>
                      </w:r>
                    </w:p>
                  </w:txbxContent>
                </v:textbox>
              </v:shape>
              <v:shape id="תיבת טקסט 2" o:spid="_x0000_s1030"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" filled="f" stroked="f">
                <v:textbox>
                  <w:txbxContent>
                    <w:p w:rsidR="0062451B" w:rsidRPr="0062451B" w:rsidRDefault="009961E8" w:rsidP="00276705">
                      <w:pPr>
                        <w:spacing w:line="240" w:lineRule="auto"/>
                        <w:jc w:val="right"/>
                        <w:rPr>
                          <w:rFonts w:ascii="Calibri" w:hAnsi="Calibri" w:cs="Calibri"/>
                          <w:color w:val="002060"/>
                          <w:szCs w:val="20"/>
                          <w:rtl/>
                        </w:rPr>
                      </w:pPr>
                      <w:r>
                        <w:rPr>
                          <w:rFonts w:ascii="Calibri" w:hAnsi="Calibri" w:cs="Calibri" w:hint="cs"/>
                          <w:color w:val="002060"/>
                          <w:szCs w:val="20"/>
                          <w:rtl/>
                        </w:rPr>
                        <w:t>אלול</w:t>
                      </w:r>
                      <w:r w:rsidR="00B4321D">
                        <w:rPr>
                          <w:rFonts w:ascii="Calibri" w:hAnsi="Calibri" w:cs="Calibri" w:hint="cs"/>
                          <w:color w:val="002060"/>
                          <w:szCs w:val="20"/>
                          <w:rtl/>
                        </w:rPr>
                        <w:t xml:space="preserve"> </w:t>
                      </w:r>
                      <w:proofErr w:type="spellStart"/>
                      <w:r w:rsidR="00B4321D">
                        <w:rPr>
                          <w:rFonts w:ascii="Calibri" w:hAnsi="Calibri" w:cs="Calibri" w:hint="cs"/>
                          <w:color w:val="002060"/>
                          <w:szCs w:val="20"/>
                          <w:rtl/>
                        </w:rPr>
                        <w:t>התשפ"ה</w:t>
                      </w:r>
                      <w:proofErr w:type="spellEnd"/>
                      <w:r w:rsidRPr="0062451B">
                        <w:rPr>
                          <w:rFonts w:ascii="Calibri" w:hAnsi="Calibri" w:cs="Calibri" w:hint="cs"/>
                          <w:color w:val="002060"/>
                          <w:szCs w:val="20"/>
                          <w:rtl/>
                        </w:rPr>
                        <w:t xml:space="preserve"> </w:t>
                      </w:r>
                      <w:r w:rsidR="001E204F" w:rsidRPr="0062451B">
                        <w:rPr>
                          <w:rFonts w:asciiTheme="minorHAnsi" w:hAnsiTheme="minorHAnsi" w:cstheme="minorHAnsi"/>
                          <w:color w:val="002060"/>
                          <w:spacing w:val="20"/>
                          <w:sz w:val="22"/>
                          <w:szCs w:val="22"/>
                        </w:rPr>
                        <w:t xml:space="preserve"> </w:t>
                      </w:r>
                      <w:r w:rsidR="001E204F"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 xml:space="preserve">ספטמבר </w:t>
                      </w:r>
                      <w:r w:rsidR="0039415D">
                        <w:rPr>
                          <w:rFonts w:ascii="Calibri" w:hAnsi="Calibri" w:cs="Calibri" w:hint="cs"/>
                          <w:color w:val="002060"/>
                          <w:szCs w:val="20"/>
                          <w:rtl/>
                        </w:rPr>
                        <w:t xml:space="preserve"> 2025</w:t>
                      </w:r>
                      <w:r w:rsidRPr="0062451B">
                        <w:rPr>
                          <w:rFonts w:ascii="Calibri" w:hAnsi="Calibri" w:cs="Calibri" w:hint="cs"/>
                          <w:color w:val="002060"/>
                          <w:szCs w:val="20"/>
                          <w:rtl/>
                        </w:rPr>
                        <w:t xml:space="preserve"> </w:t>
                      </w:r>
                    </w:p>
                  </w:txbxContent>
                </v:textbox>
              </v:shape>
              <v:shape id="תיבת טקסט 2" o:spid="_x0000_s1031"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" filled="f" stroked="f">
                <v:textbox>
                  <w:txbxContent>
                    <w:p w:rsidR="001E204F" w:rsidRPr="001E204F" w:rsidRDefault="009961E8" w:rsidP="00B4321D">
                      <w:pPr>
                        <w:rPr>
                          <w:rFonts w:ascii="Calibri" w:hAnsi="Calibri" w:cs="Calibri"/>
                          <w:color w:val="002060"/>
                          <w:szCs w:val="20"/>
                          <w:rtl/>
                        </w:rPr>
                      </w:pPr>
                      <w:r>
                        <w:rPr>
                          <w:rFonts w:ascii="Calibri" w:hAnsi="Calibri" w:cs="Calibri" w:hint="cs"/>
                          <w:color w:val="002060"/>
                          <w:szCs w:val="20"/>
                          <w:rtl/>
                        </w:rPr>
                        <w:t>שם הדוח שם הדוח</w:t>
                      </w:r>
                    </w:p>
                  </w:txbxContent>
                </v:textbox>
              </v:shape>
            </v:group>
          </w:pict>
        </mc:Fallback>
      </mc:AlternateContent>
    </w:r>
    <w:r w:rsidR="0062451B" w:rsidRPr="0062451B">
      <w:rPr>
        <w:rFonts w:asciiTheme="minorHAnsi" w:hAnsiTheme="minorHAnsi" w:cstheme="minorHAnsi"/>
        <w:color w:val="002060"/>
        <w:szCs w:val="20"/>
        <w:rtl/>
      </w:rPr>
      <w:t xml:space="preserve"> </w:t>
    </w:r>
    <w:r w:rsidR="0062451B" w:rsidRPr="0062451B">
      <w:rPr>
        <w:rFonts w:asciiTheme="minorHAnsi" w:hAnsiTheme="minorHAnsi" w:cstheme="minorHAnsi"/>
        <w:color w:val="002060"/>
        <w:szCs w:val="20"/>
        <w:rtl/>
      </w:rPr>
      <w:fldChar w:fldCharType="begin"/>
    </w:r>
    <w:r w:rsidR="0062451B" w:rsidRPr="0062451B">
      <w:rPr>
        <w:rFonts w:asciiTheme="minorHAnsi" w:hAnsiTheme="minorHAnsi" w:cstheme="minorHAnsi"/>
        <w:color w:val="002060"/>
        <w:szCs w:val="20"/>
        <w:rtl/>
      </w:rPr>
      <w:instrText xml:space="preserve"> </w:instrText>
    </w:r>
    <w:r w:rsidR="0062451B" w:rsidRPr="0062451B">
      <w:rPr>
        <w:rFonts w:asciiTheme="minorHAnsi" w:hAnsiTheme="minorHAnsi" w:cstheme="minorHAnsi"/>
        <w:color w:val="002060"/>
        <w:szCs w:val="20"/>
      </w:rPr>
      <w:instrText>PAGE</w:instrText>
    </w:r>
    <w:r w:rsidR="0062451B" w:rsidRPr="0062451B">
      <w:rPr>
        <w:rFonts w:asciiTheme="minorHAnsi" w:hAnsiTheme="minorHAnsi" w:cstheme="minorHAnsi"/>
        <w:color w:val="002060"/>
        <w:szCs w:val="20"/>
        <w:rtl/>
      </w:rPr>
      <w:instrText xml:space="preserve">  \* </w:instrText>
    </w:r>
    <w:r w:rsidR="0062451B" w:rsidRPr="0062451B">
      <w:rPr>
        <w:rFonts w:asciiTheme="minorHAnsi" w:hAnsiTheme="minorHAnsi" w:cstheme="minorHAnsi"/>
        <w:color w:val="002060"/>
        <w:szCs w:val="20"/>
      </w:rPr>
      <w:instrText>MERGEFORMAT</w:instrText>
    </w:r>
    <w:r w:rsidR="0062451B" w:rsidRPr="0062451B">
      <w:rPr>
        <w:rFonts w:asciiTheme="minorHAnsi" w:hAnsiTheme="minorHAnsi" w:cstheme="minorHAnsi"/>
        <w:color w:val="002060"/>
        <w:szCs w:val="20"/>
        <w:rtl/>
      </w:rPr>
      <w:instrText xml:space="preserve"> </w:instrText>
    </w:r>
    <w:r w:rsidR="0062451B" w:rsidRPr="0062451B">
      <w:rPr>
        <w:rFonts w:asciiTheme="minorHAnsi" w:hAnsiTheme="minorHAnsi" w:cstheme="minorHAnsi"/>
        <w:color w:val="002060"/>
        <w:szCs w:val="20"/>
        <w:rtl/>
      </w:rPr>
      <w:fldChar w:fldCharType="separate"/>
    </w:r>
    <w:r w:rsidR="0062451B" w:rsidRPr="0062451B">
      <w:rPr>
        <w:rFonts w:asciiTheme="minorHAnsi" w:hAnsiTheme="minorHAnsi" w:cstheme="minorHAnsi"/>
        <w:noProof/>
        <w:color w:val="002060"/>
        <w:szCs w:val="20"/>
        <w:rtl/>
      </w:rPr>
      <w:t>2</w:t>
    </w:r>
    <w:r w:rsidR="0062451B" w:rsidRPr="0062451B">
      <w:rPr>
        <w:rFonts w:asciiTheme="minorHAnsi" w:hAnsiTheme="minorHAnsi" w:cstheme="minorHAnsi"/>
        <w:color w:val="002060"/>
        <w:szCs w:val="20"/>
        <w:rtl/>
      </w:rPr>
      <w:fldChar w:fldCharType="end"/>
    </w:r>
    <w:r w:rsidR="0062451B" w:rsidRPr="0062451B">
      <w:rPr>
        <w:rFonts w:asciiTheme="minorHAnsi" w:hAnsiTheme="minorHAnsi" w:cstheme="minorHAnsi"/>
        <w:color w:val="002060"/>
        <w:szCs w:val="2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6F75" w:rsidRDefault="0019747C" w:rsidP="005E62A6">
    <w:pPr>
      <w:pStyle w:val="a9"/>
      <w:tabs>
        <w:tab w:val="clear" w:pos="8306"/>
      </w:tabs>
    </w:pPr>
    <w:r>
      <w:rPr>
        <w:noProof/>
      </w:rPr>
      <w:drawing>
        <wp:anchor distT="0" distB="0" distL="114300" distR="114300" simplePos="0" relativeHeight="251659264" behindDoc="0" locked="0" layoutInCell="1" allowOverlap="1" wp14:anchorId="32491AD6" wp14:editId="399756B0">
          <wp:simplePos x="0" y="0"/>
          <wp:positionH relativeFrom="margin">
            <wp:align>center</wp:align>
          </wp:positionH>
          <wp:positionV relativeFrom="paragraph">
            <wp:posOffset>984885</wp:posOffset>
          </wp:positionV>
          <wp:extent cx="871220" cy="570865"/>
          <wp:effectExtent l="0" t="0" r="5080" b="635"/>
          <wp:wrapNone/>
          <wp:docPr id="24" name="גרפיק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גרפיקה 55"/>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71220" cy="570865"/>
                  </a:xfrm>
                  <a:prstGeom prst="rect">
                    <a:avLst/>
                  </a:prstGeom>
                </pic:spPr>
              </pic:pic>
            </a:graphicData>
          </a:graphic>
        </wp:anchor>
      </w:drawing>
    </w:r>
    <w:r>
      <w:rPr>
        <w:noProof/>
      </w:rPr>
      <mc:AlternateContent>
        <mc:Choice Requires="wpg">
          <w:drawing>
            <wp:anchor distT="0" distB="0" distL="114300" distR="114300" simplePos="0" relativeHeight="251650048" behindDoc="0" locked="0" layoutInCell="1" allowOverlap="1">
              <wp:simplePos x="0" y="0"/>
              <wp:positionH relativeFrom="column">
                <wp:posOffset>1946910</wp:posOffset>
              </wp:positionH>
              <wp:positionV relativeFrom="paragraph">
                <wp:posOffset>-462915</wp:posOffset>
              </wp:positionV>
              <wp:extent cx="1695450" cy="3009900"/>
              <wp:effectExtent l="0" t="0" r="19050" b="19050"/>
              <wp:wrapNone/>
              <wp:docPr id="53" name="קבוצה 53"/>
              <wp:cNvGraphicFramePr/>
              <a:graphic xmlns:a="http://schemas.openxmlformats.org/drawingml/2006/main">
                <a:graphicData uri="http://schemas.microsoft.com/office/word/2010/wordprocessingGroup">
                  <wpg:wgp>
                    <wpg:cNvGrpSpPr/>
                    <wpg:grpSpPr>
                      <a:xfrm>
                        <a:off x="0" y="0"/>
                        <a:ext cx="1695450" cy="3009900"/>
                        <a:chOff x="628650" y="0"/>
                        <a:chExt cx="1695450" cy="3009900"/>
                      </a:xfrm>
                    </wpg:grpSpPr>
                    <wps:wsp>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0FD49CE" id="קבוצה 53" o:spid="_x0000_s1026" style="position:absolute;left:0;text-align:left;margin-left:153.3pt;margin-top:-36.45pt;width:133.5pt;height:237pt;z-index:251650048" coordorigin="6286" coordsize="16954,30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">
              <v:rect id="מלבן 54" o:spid="_x0000_s1027" style="position:absolute;left:6286;width:16910;height:24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" fillcolor="#002060" stroked="f" strokeweight="2pt"/>
              <v:line id="מחבר ישר 56" o:spid="_x0000_s1028" style="position:absolute;visibility:visible;mso-wrap-style:square" from="6477,30099" to="23241,30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" strokecolor="#002060" strokeweight="2pt"/>
            </v:group>
          </w:pict>
        </mc:Fallback>
      </mc:AlternateContent>
    </w:r>
    <w:r w:rsidR="009961E8">
      <w:rPr>
        <w:noProof/>
      </w:rPr>
      <mc:AlternateContent>
        <mc:Choice Requires="wps">
          <w:drawing>
            <wp:anchor distT="0" distB="0" distL="114300" distR="114300" simplePos="0" relativeHeight="251654144" behindDoc="0" locked="0" layoutInCell="1" allowOverlap="1">
              <wp:simplePos x="0" y="0"/>
              <wp:positionH relativeFrom="column">
                <wp:posOffset>1304713</wp:posOffset>
              </wp:positionH>
              <wp:positionV relativeFrom="paragraph">
                <wp:posOffset>2090420</wp:posOffset>
              </wp:positionV>
              <wp:extent cx="2959100" cy="455930"/>
              <wp:effectExtent l="0" t="0" r="0" b="1270"/>
              <wp:wrapNone/>
              <wp:docPr id="57" name="תיבת טקסט 57"/>
              <wp:cNvGraphicFramePr/>
              <a:graphic xmlns:a="http://schemas.openxmlformats.org/drawingml/2006/main">
                <a:graphicData uri="http://schemas.microsoft.com/office/word/2010/wordprocessingShape">
                  <wps:wsp>
                    <wps:cNvSpPr txBox="1"/>
                    <wps:spPr>
                      <a:xfrm>
                        <a:off x="0" y="0"/>
                        <a:ext cx="2959100" cy="455930"/>
                      </a:xfrm>
                      <a:prstGeom prst="rect">
                        <a:avLst/>
                      </a:prstGeom>
                      <a:noFill/>
                      <a:ln w="6350">
                        <a:noFill/>
                      </a:ln>
                    </wps:spPr>
                    <wps:txbx>
                      <w:txbxContent>
                        <w:p w:rsidR="006A646E" w:rsidRPr="0019747C" w:rsidRDefault="009961E8" w:rsidP="006A646E">
                          <w:pPr>
                            <w:jc w:val="center"/>
                            <w:rPr>
                              <w:rFonts w:ascii="Calibri" w:hAnsi="Calibri" w:cs="Calibri"/>
                              <w:color w:val="002060"/>
                              <w:spacing w:val="80"/>
                              <w:sz w:val="28"/>
                              <w:szCs w:val="36"/>
                            </w:rPr>
                          </w:pPr>
                          <w:r w:rsidRPr="0019747C">
                            <w:rPr>
                              <w:rFonts w:ascii="Calibri" w:hAnsi="Calibri" w:cs="Calibri"/>
                              <w:color w:val="002060"/>
                              <w:spacing w:val="80"/>
                              <w:sz w:val="28"/>
                              <w:szCs w:val="36"/>
                              <w:rtl/>
                            </w:rPr>
                            <w:t>מבקר המדינה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57" o:spid="_x0000_s1032" type="#_x0000_t202" style="position:absolute;left:0;text-align:left;margin-left:102.75pt;margin-top:164.6pt;width:233pt;height:35.9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" filled="f" stroked="f" strokeweight=".5pt">
              <v:textbox>
                <w:txbxContent>
                  <w:p w:rsidR="006A646E" w:rsidRPr="0019747C" w:rsidRDefault="009961E8" w:rsidP="006A646E">
                    <w:pPr>
                      <w:jc w:val="center"/>
                      <w:rPr>
                        <w:rFonts w:ascii="Calibri" w:hAnsi="Calibri" w:cs="Calibri"/>
                        <w:color w:val="002060"/>
                        <w:spacing w:val="80"/>
                        <w:sz w:val="28"/>
                        <w:szCs w:val="36"/>
                      </w:rPr>
                    </w:pPr>
                    <w:r w:rsidRPr="0019747C">
                      <w:rPr>
                        <w:rFonts w:ascii="Calibri" w:hAnsi="Calibri" w:cs="Calibri"/>
                        <w:color w:val="002060"/>
                        <w:spacing w:val="80"/>
                        <w:sz w:val="28"/>
                        <w:szCs w:val="36"/>
                        <w:rtl/>
                      </w:rPr>
                      <w:t>מבקר המדינה</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049" w:rsidRPr="005C3049" w:rsidRDefault="009961E8" w:rsidP="005C3049">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6192"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453847227" name="קבוצה 453847227"/>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834351669" name="מחבר ישר 183435166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11176935"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5C3049" w:rsidRPr="0062451B" w:rsidRDefault="009961E8"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940763087"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5C3049" w:rsidRPr="0062451B" w:rsidRDefault="009961E8"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05273247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5C3049" w:rsidRPr="001E204F" w:rsidRDefault="005C3049"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453847227" o:spid="_x0000_s1037" style="position:absolute;margin-left:-15.2pt;margin-top:-7.45pt;width:484.3pt;height:47.6pt;z-index:251656192;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">
              <v:line id="מחבר ישר 1834351669" o:spid="_x0000_s1038"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" strokecolor="#4579b8 [3044]"/>
              <v:shapetype id="_x0000_t202" coordsize="21600,21600" o:spt="202" path="m,l,21600r21600,l21600,xe">
                <v:stroke joinstyle="miter"/>
                <v:path gradientshapeok="t" o:connecttype="rect"/>
              </v:shapetype>
              <v:shape id="תיבת טקסט 2" o:spid="_x0000_s1039"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" filled="f" stroked="f">
                <v:textbox>
                  <w:txbxContent>
                    <w:p w:rsidR="005C3049" w:rsidRPr="0062451B" w:rsidRDefault="009961E8"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0"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" filled="f" stroked="f">
                <v:textbox>
                  <w:txbxContent>
                    <w:p w:rsidR="005C3049" w:rsidRPr="0062451B" w:rsidRDefault="009961E8" w:rsidP="005C3049">
                      <w:pPr>
                        <w:spacing w:line="240" w:lineRule="auto"/>
                        <w:jc w:val="right"/>
                        <w:rPr>
                          <w:rFonts w:ascii="Calibri" w:hAnsi="Calibri" w:cs="Calibri"/>
                          <w:color w:val="002060"/>
                          <w:szCs w:val="20"/>
                          <w:rtl/>
                        </w:rPr>
                      </w:pPr>
                      <w:r>
                        <w:rPr>
                          <w:rFonts w:ascii="Calibri" w:hAnsi="Calibri" w:cs="Calibri" w:hint="cs"/>
                          <w:color w:val="002060"/>
                          <w:szCs w:val="20"/>
                          <w:rtl/>
                        </w:rPr>
                        <w:t xml:space="preserve">אלול </w:t>
                      </w:r>
                      <w:proofErr w:type="spellStart"/>
                      <w:r>
                        <w:rPr>
                          <w:rFonts w:ascii="Calibri" w:hAnsi="Calibri" w:cs="Calibri" w:hint="cs"/>
                          <w:color w:val="002060"/>
                          <w:szCs w:val="20"/>
                          <w:rtl/>
                        </w:rPr>
                        <w:t>התשפ"ה</w:t>
                      </w:r>
                      <w:proofErr w:type="spellEnd"/>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41"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" filled="f" stroked="f">
                <v:textbox>
                  <w:txbxContent>
                    <w:p w:rsidR="005C3049" w:rsidRPr="001E204F" w:rsidRDefault="005C3049"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8C7" w:rsidRPr="0062451B" w:rsidRDefault="009961E8" w:rsidP="00DA67CB">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5168" behindDoc="0" locked="0" layoutInCell="1" allowOverlap="1">
              <wp:simplePos x="0" y="0"/>
              <wp:positionH relativeFrom="column">
                <wp:posOffset>-193879</wp:posOffset>
              </wp:positionH>
              <wp:positionV relativeFrom="paragraph">
                <wp:posOffset>-96532</wp:posOffset>
              </wp:positionV>
              <wp:extent cx="6150310" cy="828136"/>
              <wp:effectExtent l="0" t="0" r="3175" b="0"/>
              <wp:wrapNone/>
              <wp:docPr id="37" name="קבוצה 37"/>
              <wp:cNvGraphicFramePr/>
              <a:graphic xmlns:a="http://schemas.openxmlformats.org/drawingml/2006/main">
                <a:graphicData uri="http://schemas.microsoft.com/office/word/2010/wordprocessingGroup">
                  <wpg:wgp>
                    <wpg:cNvGrpSpPr/>
                    <wpg:grpSpPr>
                      <a:xfrm>
                        <a:off x="0" y="0"/>
                        <a:ext cx="6150310" cy="828136"/>
                        <a:chOff x="31750" y="0"/>
                        <a:chExt cx="6150310" cy="828136"/>
                      </a:xfrm>
                    </wpg:grpSpPr>
                    <wps:wsp>
                      <wps:cNvPr id="38" name="מחבר ישר 3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E678C7" w:rsidRPr="0062451B" w:rsidRDefault="009961E8">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w:t>
                            </w:r>
                          </w:p>
                        </w:txbxContent>
                      </wps:txbx>
                      <wps:bodyPr rot="0" vert="horz" wrap="square" lIns="91440" tIns="45720" rIns="91440" bIns="45720" anchor="t" anchorCtr="0"/>
                    </wps:wsp>
                    <wps:wsp>
                      <wps:cNvPr id="4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E678C7" w:rsidRPr="0062451B" w:rsidRDefault="00B1135E" w:rsidP="00276705">
                            <w:pPr>
                              <w:spacing w:line="240" w:lineRule="auto"/>
                              <w:jc w:val="right"/>
                              <w:rPr>
                                <w:rFonts w:ascii="Calibri" w:hAnsi="Calibri" w:cs="Calibri"/>
                                <w:color w:val="002060"/>
                                <w:szCs w:val="20"/>
                                <w:rtl/>
                              </w:rPr>
                            </w:pPr>
                            <w:r>
                              <w:rPr>
                                <w:rFonts w:ascii="Calibri" w:hAnsi="Calibri" w:cs="Calibri" w:hint="cs"/>
                                <w:color w:val="002060"/>
                                <w:szCs w:val="20"/>
                                <w:rtl/>
                              </w:rPr>
                              <w:t>אדר</w:t>
                            </w:r>
                            <w:r w:rsidR="009961E8" w:rsidRPr="00FA6EDC">
                              <w:rPr>
                                <w:rFonts w:ascii="Calibri" w:hAnsi="Calibri" w:cs="Calibri" w:hint="cs"/>
                                <w:color w:val="002060"/>
                                <w:sz w:val="32"/>
                                <w:szCs w:val="32"/>
                                <w:rtl/>
                              </w:rPr>
                              <w:t xml:space="preserve"> </w:t>
                            </w:r>
                            <w:r w:rsidR="009961E8">
                              <w:rPr>
                                <w:rFonts w:ascii="Calibri" w:hAnsi="Calibri" w:cs="Calibri" w:hint="cs"/>
                                <w:color w:val="002060"/>
                                <w:szCs w:val="20"/>
                                <w:rtl/>
                              </w:rPr>
                              <w:t>התשפ"</w:t>
                            </w:r>
                            <w:r w:rsidR="0019747C">
                              <w:rPr>
                                <w:rFonts w:ascii="Calibri" w:hAnsi="Calibri" w:cs="Calibri" w:hint="cs"/>
                                <w:color w:val="002060"/>
                                <w:szCs w:val="20"/>
                                <w:rtl/>
                              </w:rPr>
                              <w:t>ו</w:t>
                            </w:r>
                            <w:r w:rsidR="009961E8" w:rsidRPr="0062451B">
                              <w:rPr>
                                <w:rFonts w:ascii="Calibri" w:hAnsi="Calibri" w:cs="Calibri" w:hint="cs"/>
                                <w:color w:val="002060"/>
                                <w:szCs w:val="20"/>
                                <w:rtl/>
                              </w:rPr>
                              <w:t xml:space="preserve"> </w:t>
                            </w:r>
                            <w:r w:rsidR="009961E8" w:rsidRPr="0062451B">
                              <w:rPr>
                                <w:rFonts w:asciiTheme="minorHAnsi" w:hAnsiTheme="minorHAnsi" w:cstheme="minorHAnsi"/>
                                <w:color w:val="002060"/>
                                <w:spacing w:val="20"/>
                                <w:sz w:val="22"/>
                                <w:szCs w:val="22"/>
                              </w:rPr>
                              <w:t xml:space="preserve"> </w:t>
                            </w:r>
                            <w:r w:rsidR="009961E8" w:rsidRPr="0062451B">
                              <w:rPr>
                                <w:rFonts w:ascii="Wingdings" w:hAnsi="Wingdings" w:cstheme="minorHAnsi"/>
                                <w:color w:val="002060"/>
                                <w:spacing w:val="20"/>
                                <w:sz w:val="22"/>
                                <w:szCs w:val="22"/>
                              </w:rPr>
                              <w:sym w:font="Wingdings" w:char="F0A7"/>
                            </w:r>
                            <w:r w:rsidR="00C230DE">
                              <w:rPr>
                                <w:rFonts w:ascii="Calibri" w:hAnsi="Calibri" w:cs="Calibri" w:hint="cs"/>
                                <w:color w:val="002060"/>
                                <w:szCs w:val="20"/>
                                <w:rtl/>
                              </w:rPr>
                              <w:t>פברואר</w:t>
                            </w:r>
                            <w:r w:rsidR="009961E8" w:rsidRPr="00FA6EDC">
                              <w:rPr>
                                <w:rFonts w:ascii="Calibri" w:hAnsi="Calibri" w:cs="Calibri" w:hint="cs"/>
                                <w:color w:val="002060"/>
                                <w:sz w:val="32"/>
                                <w:szCs w:val="32"/>
                                <w:rtl/>
                              </w:rPr>
                              <w:t xml:space="preserve"> </w:t>
                            </w:r>
                            <w:r w:rsidR="009912C8">
                              <w:rPr>
                                <w:rFonts w:ascii="Calibri" w:hAnsi="Calibri" w:cs="Calibri" w:hint="cs"/>
                                <w:color w:val="002060"/>
                                <w:szCs w:val="20"/>
                                <w:rtl/>
                              </w:rPr>
                              <w:t>2026</w:t>
                            </w:r>
                          </w:p>
                        </w:txbxContent>
                      </wps:txbx>
                      <wps:bodyPr rot="0" vert="horz" wrap="square" lIns="91440" tIns="45720" rIns="91440" bIns="45720" anchor="t" anchorCtr="0"/>
                    </wps:wsp>
                    <wps:wsp>
                      <wps:cNvPr id="41" name="תיבת טקסט 2"/>
                      <wps:cNvSpPr txBox="1">
                        <a:spLocks noChangeArrowheads="1"/>
                      </wps:cNvSpPr>
                      <wps:spPr bwMode="auto">
                        <a:xfrm flipH="1">
                          <a:off x="1782817" y="318093"/>
                          <a:ext cx="4394290" cy="510043"/>
                        </a:xfrm>
                        <a:prstGeom prst="rect">
                          <a:avLst/>
                        </a:prstGeom>
                        <a:noFill/>
                        <a:ln w="9525">
                          <a:noFill/>
                          <a:miter lim="800000"/>
                          <a:headEnd/>
                          <a:tailEnd/>
                        </a:ln>
                      </wps:spPr>
                      <wps:txbx>
                        <w:txbxContent>
                          <w:p w:rsidR="0063663E" w:rsidRDefault="0063663E" w:rsidP="0063663E">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r w:rsidR="009341C1">
                              <w:rPr>
                                <w:rFonts w:ascii="Calibri" w:hAnsi="Calibri" w:cs="Calibri" w:hint="cs"/>
                                <w:color w:val="002060"/>
                                <w:szCs w:val="20"/>
                                <w:rtl/>
                              </w:rPr>
                              <w:t xml:space="preserve"> ברשויות המקומיות</w:t>
                            </w:r>
                          </w:p>
                          <w:p w:rsidR="00E678C7" w:rsidRPr="00564413" w:rsidRDefault="00901CAD" w:rsidP="00901CAD">
                            <w:pPr>
                              <w:spacing w:line="240" w:lineRule="auto"/>
                              <w:rPr>
                                <w:rFonts w:ascii="Calibri" w:hAnsi="Calibri" w:cs="Calibri"/>
                                <w:color w:val="002060"/>
                                <w:sz w:val="19"/>
                                <w:szCs w:val="19"/>
                                <w:rtl/>
                              </w:rPr>
                            </w:pPr>
                            <w:r w:rsidRPr="00564413">
                              <w:rPr>
                                <w:rFonts w:ascii="Calibri" w:hAnsi="Calibri" w:cs="Calibri"/>
                                <w:color w:val="002060"/>
                                <w:sz w:val="19"/>
                                <w:szCs w:val="19"/>
                                <w:rtl/>
                              </w:rPr>
                              <w:t>מהלך האירועים, הנורמות והגופים המבוקרים</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7" o:spid="_x0000_s1042" style="position:absolute;margin-left:-15.25pt;margin-top:-7.6pt;width:484.3pt;height:65.2pt;z-index:251655168;mso-width-relative:margin;mso-height-relative:margin" coordorigin="317" coordsize="61503,8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">
              <v:line id="מחבר ישר 38" o:spid="_x0000_s1043"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" strokecolor="#4579b8 [3044]"/>
              <v:shapetype id="_x0000_t202" coordsize="21600,21600" o:spt="202" path="m,l,21600r21600,l21600,xe">
                <v:stroke joinstyle="miter"/>
                <v:path gradientshapeok="t" o:connecttype="rect"/>
              </v:shapetype>
              <v:shape id="תיבת טקסט 2" o:spid="_x0000_s1044"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" filled="f" stroked="f">
                <v:textbox>
                  <w:txbxContent>
                    <w:p w:rsidR="00E678C7" w:rsidRPr="0062451B" w:rsidRDefault="009961E8">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w:t>
                      </w:r>
                    </w:p>
                  </w:txbxContent>
                </v:textbox>
              </v:shape>
              <v:shape id="תיבת טקסט 2" o:spid="_x0000_s1045"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" filled="f" stroked="f">
                <v:textbox>
                  <w:txbxContent>
                    <w:p w:rsidR="00E678C7" w:rsidRPr="0062451B" w:rsidRDefault="00B1135E" w:rsidP="00276705">
                      <w:pPr>
                        <w:spacing w:line="240" w:lineRule="auto"/>
                        <w:jc w:val="right"/>
                        <w:rPr>
                          <w:rFonts w:ascii="Calibri" w:hAnsi="Calibri" w:cs="Calibri"/>
                          <w:color w:val="002060"/>
                          <w:szCs w:val="20"/>
                          <w:rtl/>
                        </w:rPr>
                      </w:pPr>
                      <w:r>
                        <w:rPr>
                          <w:rFonts w:ascii="Calibri" w:hAnsi="Calibri" w:cs="Calibri" w:hint="cs"/>
                          <w:color w:val="002060"/>
                          <w:szCs w:val="20"/>
                          <w:rtl/>
                        </w:rPr>
                        <w:t>אדר</w:t>
                      </w:r>
                      <w:r w:rsidR="009961E8" w:rsidRPr="00FA6EDC">
                        <w:rPr>
                          <w:rFonts w:ascii="Calibri" w:hAnsi="Calibri" w:cs="Calibri" w:hint="cs"/>
                          <w:color w:val="002060"/>
                          <w:sz w:val="32"/>
                          <w:szCs w:val="32"/>
                          <w:rtl/>
                        </w:rPr>
                        <w:t xml:space="preserve"> </w:t>
                      </w:r>
                      <w:r w:rsidR="009961E8">
                        <w:rPr>
                          <w:rFonts w:ascii="Calibri" w:hAnsi="Calibri" w:cs="Calibri" w:hint="cs"/>
                          <w:color w:val="002060"/>
                          <w:szCs w:val="20"/>
                          <w:rtl/>
                        </w:rPr>
                        <w:t>התשפ"</w:t>
                      </w:r>
                      <w:r w:rsidR="0019747C">
                        <w:rPr>
                          <w:rFonts w:ascii="Calibri" w:hAnsi="Calibri" w:cs="Calibri" w:hint="cs"/>
                          <w:color w:val="002060"/>
                          <w:szCs w:val="20"/>
                          <w:rtl/>
                        </w:rPr>
                        <w:t>ו</w:t>
                      </w:r>
                      <w:r w:rsidR="009961E8" w:rsidRPr="0062451B">
                        <w:rPr>
                          <w:rFonts w:ascii="Calibri" w:hAnsi="Calibri" w:cs="Calibri" w:hint="cs"/>
                          <w:color w:val="002060"/>
                          <w:szCs w:val="20"/>
                          <w:rtl/>
                        </w:rPr>
                        <w:t xml:space="preserve"> </w:t>
                      </w:r>
                      <w:r w:rsidR="009961E8" w:rsidRPr="0062451B">
                        <w:rPr>
                          <w:rFonts w:asciiTheme="minorHAnsi" w:hAnsiTheme="minorHAnsi" w:cstheme="minorHAnsi"/>
                          <w:color w:val="002060"/>
                          <w:spacing w:val="20"/>
                          <w:sz w:val="22"/>
                          <w:szCs w:val="22"/>
                        </w:rPr>
                        <w:t xml:space="preserve"> </w:t>
                      </w:r>
                      <w:r w:rsidR="009961E8" w:rsidRPr="0062451B">
                        <w:rPr>
                          <w:rFonts w:ascii="Wingdings" w:hAnsi="Wingdings" w:cstheme="minorHAnsi"/>
                          <w:color w:val="002060"/>
                          <w:spacing w:val="20"/>
                          <w:sz w:val="22"/>
                          <w:szCs w:val="22"/>
                        </w:rPr>
                        <w:sym w:font="Wingdings" w:char="F0A7"/>
                      </w:r>
                      <w:r w:rsidR="00C230DE">
                        <w:rPr>
                          <w:rFonts w:ascii="Calibri" w:hAnsi="Calibri" w:cs="Calibri" w:hint="cs"/>
                          <w:color w:val="002060"/>
                          <w:szCs w:val="20"/>
                          <w:rtl/>
                        </w:rPr>
                        <w:t>פברואר</w:t>
                      </w:r>
                      <w:r w:rsidR="009961E8" w:rsidRPr="00FA6EDC">
                        <w:rPr>
                          <w:rFonts w:ascii="Calibri" w:hAnsi="Calibri" w:cs="Calibri" w:hint="cs"/>
                          <w:color w:val="002060"/>
                          <w:sz w:val="32"/>
                          <w:szCs w:val="32"/>
                          <w:rtl/>
                        </w:rPr>
                        <w:t xml:space="preserve"> </w:t>
                      </w:r>
                      <w:r w:rsidR="009912C8">
                        <w:rPr>
                          <w:rFonts w:ascii="Calibri" w:hAnsi="Calibri" w:cs="Calibri" w:hint="cs"/>
                          <w:color w:val="002060"/>
                          <w:szCs w:val="20"/>
                          <w:rtl/>
                        </w:rPr>
                        <w:t>2026</w:t>
                      </w:r>
                    </w:p>
                  </w:txbxContent>
                </v:textbox>
              </v:shape>
              <v:shape id="תיבת טקסט 2" o:spid="_x0000_s1046" type="#_x0000_t202" style="position:absolute;left:17828;top:3180;width:43943;height:510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" filled="f" stroked="f">
                <v:textbox>
                  <w:txbxContent>
                    <w:p w:rsidR="0063663E" w:rsidRDefault="0063663E" w:rsidP="0063663E">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r w:rsidR="009341C1">
                        <w:rPr>
                          <w:rFonts w:ascii="Calibri" w:hAnsi="Calibri" w:cs="Calibri" w:hint="cs"/>
                          <w:color w:val="002060"/>
                          <w:szCs w:val="20"/>
                          <w:rtl/>
                        </w:rPr>
                        <w:t xml:space="preserve"> ברשויות המקומיות</w:t>
                      </w:r>
                    </w:p>
                    <w:p w:rsidR="00E678C7" w:rsidRPr="00564413" w:rsidRDefault="00901CAD" w:rsidP="00901CAD">
                      <w:pPr>
                        <w:spacing w:line="240" w:lineRule="auto"/>
                        <w:rPr>
                          <w:rFonts w:ascii="Calibri" w:hAnsi="Calibri" w:cs="Calibri"/>
                          <w:color w:val="002060"/>
                          <w:sz w:val="19"/>
                          <w:szCs w:val="19"/>
                          <w:rtl/>
                        </w:rPr>
                      </w:pPr>
                      <w:bookmarkStart w:id="5" w:name="_GoBack"/>
                      <w:r w:rsidRPr="00564413">
                        <w:rPr>
                          <w:rFonts w:ascii="Calibri" w:hAnsi="Calibri" w:cs="Calibri"/>
                          <w:color w:val="002060"/>
                          <w:sz w:val="19"/>
                          <w:szCs w:val="19"/>
                          <w:rtl/>
                        </w:rPr>
                        <w:t>מהלך האירועים, הנורמות והגופים המבוקרים</w:t>
                      </w:r>
                      <w:bookmarkEnd w:id="5"/>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CE4" w:rsidRPr="00FB414E" w:rsidRDefault="00EE06A0" w:rsidP="00FB414E">
    <w:pPr>
      <w:pStyle w:val="a9"/>
      <w:tabs>
        <w:tab w:val="clear" w:pos="8306"/>
      </w:tabs>
      <w:ind w:right="-142"/>
      <w:jc w:val="right"/>
      <w:rPr>
        <w:rFonts w:asciiTheme="minorHAnsi" w:hAnsiTheme="minorHAnsi" w:cstheme="minorHAnsi"/>
        <w:color w:val="002060"/>
        <w:szCs w:val="20"/>
      </w:rPr>
    </w:pPr>
    <w:r>
      <w:rPr>
        <w:noProof/>
      </w:rPr>
      <mc:AlternateContent>
        <mc:Choice Requires="wps">
          <w:drawing>
            <wp:anchor distT="0" distB="0" distL="114300" distR="114300" simplePos="0" relativeHeight="251669504" behindDoc="0" locked="0" layoutInCell="1" allowOverlap="1" wp14:anchorId="7CB849E6" wp14:editId="44F7F617">
              <wp:simplePos x="0" y="0"/>
              <wp:positionH relativeFrom="page">
                <wp:posOffset>2022475</wp:posOffset>
              </wp:positionH>
              <wp:positionV relativeFrom="paragraph">
                <wp:posOffset>2412365</wp:posOffset>
              </wp:positionV>
              <wp:extent cx="3156858" cy="10886"/>
              <wp:effectExtent l="0" t="0" r="24765" b="27305"/>
              <wp:wrapNone/>
              <wp:docPr id="10" name="מחבר ישר 10"/>
              <wp:cNvGraphicFramePr/>
              <a:graphic xmlns:a="http://schemas.openxmlformats.org/drawingml/2006/main">
                <a:graphicData uri="http://schemas.microsoft.com/office/word/2010/wordprocessingShape">
                  <wps:wsp>
                    <wps:cNvCnPr/>
                    <wps:spPr>
                      <a:xfrm>
                        <a:off x="0" y="0"/>
                        <a:ext cx="3156858" cy="10886"/>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69FE2" id="מחבר ישר 10"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9.25pt,189.95pt" to="407.8pt,1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" strokecolor="#002060" strokeweight="1.25pt">
              <w10:wrap anchorx="page"/>
            </v:line>
          </w:pict>
        </mc:Fallback>
      </mc:AlternateContent>
    </w:r>
    <w:r>
      <w:rPr>
        <w:noProof/>
      </w:rPr>
      <mc:AlternateContent>
        <mc:Choice Requires="wps">
          <w:drawing>
            <wp:anchor distT="0" distB="0" distL="114300" distR="114300" simplePos="0" relativeHeight="251649023" behindDoc="0" locked="0" layoutInCell="1" allowOverlap="1" wp14:anchorId="24C9CFC1" wp14:editId="6D33ECE3">
              <wp:simplePos x="0" y="0"/>
              <wp:positionH relativeFrom="column">
                <wp:posOffset>2029934</wp:posOffset>
              </wp:positionH>
              <wp:positionV relativeFrom="paragraph">
                <wp:posOffset>1269402</wp:posOffset>
              </wp:positionV>
              <wp:extent cx="1691005" cy="719825"/>
              <wp:effectExtent l="0" t="0" r="4445" b="4445"/>
              <wp:wrapNone/>
              <wp:docPr id="2" name="מלבן 2"/>
              <wp:cNvGraphicFramePr/>
              <a:graphic xmlns:a="http://schemas.openxmlformats.org/drawingml/2006/main">
                <a:graphicData uri="http://schemas.microsoft.com/office/word/2010/wordprocessingShape">
                  <wps:wsp>
                    <wps:cNvSpPr/>
                    <wps:spPr>
                      <a:xfrm>
                        <a:off x="0" y="0"/>
                        <a:ext cx="1691005" cy="71982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w14:anchorId="61269790" id="מלבן 2" o:spid="_x0000_s1026" style="position:absolute;left:0;text-align:left;margin-left:159.85pt;margin-top:99.95pt;width:133.15pt;height:56.7pt;z-index:2516490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" fillcolor="#002060" stroked="f" strokeweight="2pt"/>
          </w:pict>
        </mc:Fallback>
      </mc:AlternateContent>
    </w:r>
    <w:r w:rsidRPr="00A5605A">
      <w:rPr>
        <w:rFonts w:asciiTheme="minorHAnsi" w:hAnsiTheme="minorHAnsi" w:cs="Calibri"/>
        <w:noProof/>
        <w:color w:val="002060"/>
        <w:szCs w:val="20"/>
        <w:rtl/>
      </w:rPr>
      <mc:AlternateContent>
        <mc:Choice Requires="wps">
          <w:drawing>
            <wp:anchor distT="0" distB="0" distL="114300" distR="114300" simplePos="0" relativeHeight="251667456" behindDoc="0" locked="0" layoutInCell="1" allowOverlap="1" wp14:anchorId="499EF13E" wp14:editId="7199A9CB">
              <wp:simplePos x="0" y="0"/>
              <wp:positionH relativeFrom="page">
                <wp:align>center</wp:align>
              </wp:positionH>
              <wp:positionV relativeFrom="paragraph">
                <wp:posOffset>1447070</wp:posOffset>
              </wp:positionV>
              <wp:extent cx="2959100" cy="455930"/>
              <wp:effectExtent l="0" t="0" r="0" b="1270"/>
              <wp:wrapNone/>
              <wp:docPr id="23" name="תיבת טקסט 23"/>
              <wp:cNvGraphicFramePr/>
              <a:graphic xmlns:a="http://schemas.openxmlformats.org/drawingml/2006/main">
                <a:graphicData uri="http://schemas.microsoft.com/office/word/2010/wordprocessingShape">
                  <wps:wsp>
                    <wps:cNvSpPr txBox="1"/>
                    <wps:spPr>
                      <a:xfrm>
                        <a:off x="0" y="0"/>
                        <a:ext cx="2959100" cy="455930"/>
                      </a:xfrm>
                      <a:prstGeom prst="rect">
                        <a:avLst/>
                      </a:prstGeom>
                      <a:noFill/>
                      <a:ln w="6350">
                        <a:noFill/>
                      </a:ln>
                    </wps:spPr>
                    <wps:txbx>
                      <w:txbxContent>
                        <w:p w:rsidR="00A5605A" w:rsidRPr="00EE06A0" w:rsidRDefault="00846FFB" w:rsidP="00846FFB">
                          <w:pPr>
                            <w:jc w:val="center"/>
                            <w:rPr>
                              <w:rFonts w:ascii="Calibri" w:hAnsi="Calibri" w:cs="Calibri"/>
                              <w:color w:val="FFFFFF" w:themeColor="background1"/>
                              <w:spacing w:val="80"/>
                              <w:sz w:val="28"/>
                              <w:szCs w:val="36"/>
                            </w:rPr>
                          </w:pPr>
                          <w:r>
                            <w:rPr>
                              <w:rFonts w:ascii="Calibri" w:hAnsi="Calibri" w:cs="Calibri" w:hint="cs"/>
                              <w:color w:val="FFFFFF" w:themeColor="background1"/>
                              <w:spacing w:val="80"/>
                              <w:sz w:val="28"/>
                              <w:szCs w:val="36"/>
                              <w:rtl/>
                            </w:rPr>
                            <w:t>פרק</w:t>
                          </w:r>
                          <w:r w:rsidR="00EE67C7">
                            <w:rPr>
                              <w:rFonts w:ascii="Calibri" w:hAnsi="Calibri" w:cs="Calibri" w:hint="cs"/>
                              <w:color w:val="FFFFFF" w:themeColor="background1"/>
                              <w:spacing w:val="80"/>
                              <w:sz w:val="28"/>
                              <w:szCs w:val="36"/>
                              <w:rtl/>
                            </w:rPr>
                            <w:t xml:space="preserve"> א'</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w14:anchorId="499EF13E" id="_x0000_t202" coordsize="21600,21600" o:spt="202" path="m,l,21600r21600,l21600,xe">
              <v:stroke joinstyle="miter"/>
              <v:path gradientshapeok="t" o:connecttype="rect"/>
            </v:shapetype>
            <v:shape id="תיבת טקסט 23" o:spid="_x0000_s1047" type="#_x0000_t202" style="position:absolute;margin-left:0;margin-top:113.95pt;width:233pt;height:35.9pt;z-index:25166745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" filled="f" stroked="f" strokeweight=".5pt">
              <v:textbox>
                <w:txbxContent>
                  <w:p w:rsidR="00A5605A" w:rsidRPr="00EE06A0" w:rsidRDefault="00846FFB" w:rsidP="00846FFB">
                    <w:pPr>
                      <w:jc w:val="center"/>
                      <w:rPr>
                        <w:rFonts w:ascii="Calibri" w:hAnsi="Calibri" w:cs="Calibri"/>
                        <w:color w:val="FFFFFF" w:themeColor="background1"/>
                        <w:spacing w:val="80"/>
                        <w:sz w:val="28"/>
                        <w:szCs w:val="36"/>
                      </w:rPr>
                    </w:pPr>
                    <w:r>
                      <w:rPr>
                        <w:rFonts w:ascii="Calibri" w:hAnsi="Calibri" w:cs="Calibri" w:hint="cs"/>
                        <w:color w:val="FFFFFF" w:themeColor="background1"/>
                        <w:spacing w:val="80"/>
                        <w:sz w:val="28"/>
                        <w:szCs w:val="36"/>
                        <w:rtl/>
                      </w:rPr>
                      <w:t>פרק</w:t>
                    </w:r>
                    <w:r w:rsidR="00EE67C7">
                      <w:rPr>
                        <w:rFonts w:ascii="Calibri" w:hAnsi="Calibri" w:cs="Calibri" w:hint="cs"/>
                        <w:color w:val="FFFFFF" w:themeColor="background1"/>
                        <w:spacing w:val="80"/>
                        <w:sz w:val="28"/>
                        <w:szCs w:val="36"/>
                        <w:rtl/>
                      </w:rPr>
                      <w:t xml:space="preserve"> א'</w:t>
                    </w:r>
                  </w:p>
                </w:txbxContent>
              </v:textbox>
              <w10:wrap anchorx="page"/>
            </v:shape>
          </w:pict>
        </mc:Fallback>
      </mc:AlternateContent>
    </w:r>
    <w:r w:rsidR="0011074F">
      <w:rPr>
        <w:rFonts w:asciiTheme="minorHAnsi" w:hAnsiTheme="minorHAnsi" w:cs="Calibri"/>
        <w:noProof/>
        <w:color w:val="002060"/>
        <w:szCs w:val="20"/>
        <w:rtl/>
        <w:lang w:val="he-IL"/>
      </w:rPr>
      <mc:AlternateContent>
        <mc:Choice Requires="wps">
          <w:drawing>
            <wp:anchor distT="0" distB="0" distL="114300" distR="114300" simplePos="0" relativeHeight="251662336" behindDoc="0" locked="0" layoutInCell="1" allowOverlap="1">
              <wp:simplePos x="0" y="0"/>
              <wp:positionH relativeFrom="column">
                <wp:posOffset>2042160</wp:posOffset>
              </wp:positionH>
              <wp:positionV relativeFrom="paragraph">
                <wp:posOffset>1979930</wp:posOffset>
              </wp:positionV>
              <wp:extent cx="1676400" cy="0"/>
              <wp:effectExtent l="0" t="0" r="0" b="0"/>
              <wp:wrapNone/>
              <wp:docPr id="16" name="מחבר ישר 16"/>
              <wp:cNvGraphicFramePr/>
              <a:graphic xmlns:a="http://schemas.openxmlformats.org/drawingml/2006/main">
                <a:graphicData uri="http://schemas.microsoft.com/office/word/2010/wordprocessingShape">
                  <wps:wsp>
                    <wps:cNvCnPr/>
                    <wps:spPr>
                      <a:xfrm>
                        <a:off x="0" y="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D5069C" id="מחבר ישר 16"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160.8pt,155.9pt" to="292.8pt,1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" strokecolor="#002060" strokeweight="2p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89A" w:rsidRPr="00FB414E" w:rsidRDefault="009961E8" w:rsidP="00FB414E">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7216"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701308960" name="קבוצה 701308960"/>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166979208" name="מחבר ישר 116697920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6116240"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C4789A" w:rsidRPr="0062451B" w:rsidRDefault="009961E8"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059587155"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C4789A" w:rsidRPr="0062451B" w:rsidRDefault="009961E8" w:rsidP="00FB414E">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60023683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C4789A" w:rsidRPr="001E204F" w:rsidRDefault="009961E8" w:rsidP="00C4789A">
                            <w:pPr>
                              <w:rPr>
                                <w:rFonts w:ascii="Calibri" w:hAnsi="Calibri" w:cs="Calibri"/>
                                <w:color w:val="002060"/>
                                <w:szCs w:val="20"/>
                                <w:rtl/>
                              </w:rPr>
                            </w:pPr>
                            <w:r w:rsidRPr="00001576">
                              <w:rPr>
                                <w:rFonts w:ascii="Calibri" w:hAnsi="Calibri" w:cs="Calibri"/>
                                <w:color w:val="002060"/>
                                <w:szCs w:val="20"/>
                                <w:rtl/>
                              </w:rPr>
                              <w:t>ענף החקלאות ב</w:t>
                            </w:r>
                            <w:r>
                              <w:rPr>
                                <w:rFonts w:ascii="Calibri" w:hAnsi="Calibri" w:cs="Calibri" w:hint="cs"/>
                                <w:color w:val="002060"/>
                                <w:szCs w:val="20"/>
                                <w:rtl/>
                              </w:rPr>
                              <w:t>מ</w:t>
                            </w:r>
                            <w:r w:rsidRPr="00001576">
                              <w:rPr>
                                <w:rFonts w:ascii="Calibri" w:hAnsi="Calibri" w:cs="Calibri"/>
                                <w:color w:val="002060"/>
                                <w:szCs w:val="20"/>
                                <w:rtl/>
                              </w:rPr>
                              <w:t>לחמת חרבות ברזל</w:t>
                            </w:r>
                            <w:r>
                              <w:rPr>
                                <w:rFonts w:ascii="Calibri" w:hAnsi="Calibri" w:cs="Calibri" w:hint="cs"/>
                                <w:color w:val="002060"/>
                                <w:szCs w:val="20"/>
                                <w:rtl/>
                              </w:rPr>
                              <w:t xml:space="preserve"> </w:t>
                            </w:r>
                            <w:r w:rsidR="003E6853">
                              <w:rPr>
                                <w:rFonts w:ascii="Calibri" w:hAnsi="Calibri" w:cs="Calibri" w:hint="cs"/>
                                <w:color w:val="002060"/>
                                <w:szCs w:val="20"/>
                                <w:rtl/>
                              </w:rPr>
                              <w:t>222</w:t>
                            </w:r>
                            <w:r>
                              <w:rPr>
                                <w:rFonts w:ascii="Calibri" w:hAnsi="Calibri" w:cs="Calibri" w:hint="cs"/>
                                <w:color w:val="002060"/>
                                <w:szCs w:val="20"/>
                                <w:rtl/>
                              </w:rPr>
                              <w:t xml:space="preserve"> </w:t>
                            </w:r>
                          </w:p>
                          <w:p w:rsidR="00C4789A" w:rsidRPr="001E204F" w:rsidRDefault="00C4789A" w:rsidP="00FB414E">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701308960" o:spid="_x0000_s1050" style="position:absolute;margin-left:-15.2pt;margin-top:-7.45pt;width:484.3pt;height:47.6pt;z-index:251657216;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">
              <v:line id="מחבר ישר 1166979208" o:spid="_x0000_s1051"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" strokecolor="#4579b8 [3044]"/>
              <v:shapetype id="_x0000_t202" coordsize="21600,21600" o:spt="202" path="m,l,21600r21600,l21600,xe">
                <v:stroke joinstyle="miter"/>
                <v:path gradientshapeok="t" o:connecttype="rect"/>
              </v:shapetype>
              <v:shape id="תיבת טקסט 2" o:spid="_x0000_s1052"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" filled="f" stroked="f">
                <v:textbox>
                  <w:txbxContent>
                    <w:p w:rsidR="00C4789A" w:rsidRPr="0062451B" w:rsidRDefault="009961E8"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53"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" filled="f" stroked="f">
                <v:textbox>
                  <w:txbxContent>
                    <w:p w:rsidR="00C4789A" w:rsidRPr="0062451B" w:rsidRDefault="009961E8" w:rsidP="00FB414E">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54"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" filled="f" stroked="f">
                <v:textbox>
                  <w:txbxContent>
                    <w:p w:rsidR="00C4789A" w:rsidRPr="001E204F" w:rsidRDefault="009961E8" w:rsidP="00C4789A">
                      <w:pPr>
                        <w:rPr>
                          <w:rFonts w:ascii="Calibri" w:hAnsi="Calibri" w:cs="Calibri"/>
                          <w:color w:val="002060"/>
                          <w:szCs w:val="20"/>
                          <w:rtl/>
                        </w:rPr>
                      </w:pPr>
                      <w:r w:rsidRPr="00001576">
                        <w:rPr>
                          <w:rFonts w:ascii="Calibri" w:hAnsi="Calibri" w:cs="Calibri"/>
                          <w:color w:val="002060"/>
                          <w:szCs w:val="20"/>
                          <w:rtl/>
                        </w:rPr>
                        <w:t>ענף החקלאות ב</w:t>
                      </w:r>
                      <w:r>
                        <w:rPr>
                          <w:rFonts w:ascii="Calibri" w:hAnsi="Calibri" w:cs="Calibri" w:hint="cs"/>
                          <w:color w:val="002060"/>
                          <w:szCs w:val="20"/>
                          <w:rtl/>
                        </w:rPr>
                        <w:t>מ</w:t>
                      </w:r>
                      <w:r w:rsidRPr="00001576">
                        <w:rPr>
                          <w:rFonts w:ascii="Calibri" w:hAnsi="Calibri" w:cs="Calibri"/>
                          <w:color w:val="002060"/>
                          <w:szCs w:val="20"/>
                          <w:rtl/>
                        </w:rPr>
                        <w:t>לחמת חרבות ברזל</w:t>
                      </w:r>
                      <w:r>
                        <w:rPr>
                          <w:rFonts w:ascii="Calibri" w:hAnsi="Calibri" w:cs="Calibri" w:hint="cs"/>
                          <w:color w:val="002060"/>
                          <w:szCs w:val="20"/>
                          <w:rtl/>
                        </w:rPr>
                        <w:t xml:space="preserve"> </w:t>
                      </w:r>
                      <w:r w:rsidR="003E6853">
                        <w:rPr>
                          <w:rFonts w:ascii="Calibri" w:hAnsi="Calibri" w:cs="Calibri" w:hint="cs"/>
                          <w:color w:val="002060"/>
                          <w:szCs w:val="20"/>
                          <w:rtl/>
                        </w:rPr>
                        <w:t>222</w:t>
                      </w:r>
                      <w:r>
                        <w:rPr>
                          <w:rFonts w:ascii="Calibri" w:hAnsi="Calibri" w:cs="Calibri" w:hint="cs"/>
                          <w:color w:val="002060"/>
                          <w:szCs w:val="20"/>
                          <w:rtl/>
                        </w:rPr>
                        <w:t xml:space="preserve"> </w:t>
                      </w:r>
                    </w:p>
                    <w:p w:rsidR="00C4789A" w:rsidRPr="001E204F" w:rsidRDefault="00C4789A" w:rsidP="00FB414E">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18.15pt;height:16.3pt" o:bullet="t">
        <v:imagedata r:id="rId1" o:title="hand-red"/>
      </v:shape>
    </w:pict>
  </w:numPicBullet>
  <w:numPicBullet w:numPicBulletId="1">
    <w:pict>
      <v:shape id="_x0000_i1082" type="#_x0000_t75" style="width:255.45pt;height:255.45pt" o:bullet="t">
        <v:imagedata r:id="rId2" o:title=""/>
      </v:shape>
    </w:pict>
  </w:numPicBullet>
  <w:abstractNum w:abstractNumId="0" w15:restartNumberingAfterBreak="0">
    <w:nsid w:val="088216AB"/>
    <w:multiLevelType w:val="hybridMultilevel"/>
    <w:tmpl w:val="BB7ADECA"/>
    <w:lvl w:ilvl="0" w:tplc="3A38C5B0">
      <w:start w:val="1"/>
      <w:numFmt w:val="hebrew1"/>
      <w:pStyle w:val="1"/>
      <w:lvlText w:val="%1."/>
      <w:lvlJc w:val="center"/>
      <w:pPr>
        <w:ind w:left="1915" w:hanging="360"/>
      </w:pPr>
    </w:lvl>
    <w:lvl w:ilvl="1" w:tplc="A9EEA3BA" w:tentative="1">
      <w:start w:val="1"/>
      <w:numFmt w:val="lowerLetter"/>
      <w:lvlText w:val="%2."/>
      <w:lvlJc w:val="left"/>
      <w:pPr>
        <w:ind w:left="2635" w:hanging="360"/>
      </w:pPr>
    </w:lvl>
    <w:lvl w:ilvl="2" w:tplc="9CC25F30" w:tentative="1">
      <w:start w:val="1"/>
      <w:numFmt w:val="lowerRoman"/>
      <w:lvlText w:val="%3."/>
      <w:lvlJc w:val="right"/>
      <w:pPr>
        <w:ind w:left="3355" w:hanging="180"/>
      </w:pPr>
    </w:lvl>
    <w:lvl w:ilvl="3" w:tplc="1D4C38E0" w:tentative="1">
      <w:start w:val="1"/>
      <w:numFmt w:val="decimal"/>
      <w:lvlText w:val="%4."/>
      <w:lvlJc w:val="left"/>
      <w:pPr>
        <w:ind w:left="4075" w:hanging="360"/>
      </w:pPr>
    </w:lvl>
    <w:lvl w:ilvl="4" w:tplc="54FE2B0E" w:tentative="1">
      <w:start w:val="1"/>
      <w:numFmt w:val="lowerLetter"/>
      <w:lvlText w:val="%5."/>
      <w:lvlJc w:val="left"/>
      <w:pPr>
        <w:ind w:left="4795" w:hanging="360"/>
      </w:pPr>
    </w:lvl>
    <w:lvl w:ilvl="5" w:tplc="142A03FE" w:tentative="1">
      <w:start w:val="1"/>
      <w:numFmt w:val="lowerRoman"/>
      <w:lvlText w:val="%6."/>
      <w:lvlJc w:val="right"/>
      <w:pPr>
        <w:ind w:left="5515" w:hanging="180"/>
      </w:pPr>
    </w:lvl>
    <w:lvl w:ilvl="6" w:tplc="AB48969C" w:tentative="1">
      <w:start w:val="1"/>
      <w:numFmt w:val="decimal"/>
      <w:lvlText w:val="%7."/>
      <w:lvlJc w:val="left"/>
      <w:pPr>
        <w:ind w:left="6235" w:hanging="360"/>
      </w:pPr>
    </w:lvl>
    <w:lvl w:ilvl="7" w:tplc="5BF07B4C" w:tentative="1">
      <w:start w:val="1"/>
      <w:numFmt w:val="lowerLetter"/>
      <w:lvlText w:val="%8."/>
      <w:lvlJc w:val="left"/>
      <w:pPr>
        <w:ind w:left="6955" w:hanging="360"/>
      </w:pPr>
    </w:lvl>
    <w:lvl w:ilvl="8" w:tplc="9D682F6E" w:tentative="1">
      <w:start w:val="1"/>
      <w:numFmt w:val="lowerRoman"/>
      <w:lvlText w:val="%9."/>
      <w:lvlJc w:val="right"/>
      <w:pPr>
        <w:ind w:left="7675" w:hanging="180"/>
      </w:pPr>
    </w:lvl>
  </w:abstractNum>
  <w:abstractNum w:abstractNumId="1" w15:restartNumberingAfterBreak="0">
    <w:nsid w:val="0CBD5F52"/>
    <w:multiLevelType w:val="hybridMultilevel"/>
    <w:tmpl w:val="D94CDEE4"/>
    <w:lvl w:ilvl="0" w:tplc="F01860D2">
      <w:start w:val="1"/>
      <w:numFmt w:val="decimal"/>
      <w:lvlText w:val="%1."/>
      <w:lvlJc w:val="left"/>
      <w:pPr>
        <w:ind w:left="397" w:hanging="397"/>
      </w:pPr>
      <w:rPr>
        <w:rFonts w:hint="default"/>
      </w:rPr>
    </w:lvl>
    <w:lvl w:ilvl="1" w:tplc="DF48574C" w:tentative="1">
      <w:start w:val="1"/>
      <w:numFmt w:val="lowerLetter"/>
      <w:lvlText w:val="%2."/>
      <w:lvlJc w:val="left"/>
      <w:pPr>
        <w:ind w:left="1440" w:hanging="360"/>
      </w:pPr>
    </w:lvl>
    <w:lvl w:ilvl="2" w:tplc="95E4D03A" w:tentative="1">
      <w:start w:val="1"/>
      <w:numFmt w:val="lowerRoman"/>
      <w:lvlText w:val="%3."/>
      <w:lvlJc w:val="right"/>
      <w:pPr>
        <w:ind w:left="2160" w:hanging="180"/>
      </w:pPr>
    </w:lvl>
    <w:lvl w:ilvl="3" w:tplc="D2E6577E" w:tentative="1">
      <w:start w:val="1"/>
      <w:numFmt w:val="decimal"/>
      <w:lvlText w:val="%4."/>
      <w:lvlJc w:val="left"/>
      <w:pPr>
        <w:ind w:left="2880" w:hanging="360"/>
      </w:pPr>
    </w:lvl>
    <w:lvl w:ilvl="4" w:tplc="164A9528" w:tentative="1">
      <w:start w:val="1"/>
      <w:numFmt w:val="lowerLetter"/>
      <w:lvlText w:val="%5."/>
      <w:lvlJc w:val="left"/>
      <w:pPr>
        <w:ind w:left="3600" w:hanging="360"/>
      </w:pPr>
    </w:lvl>
    <w:lvl w:ilvl="5" w:tplc="AE2675E6" w:tentative="1">
      <w:start w:val="1"/>
      <w:numFmt w:val="lowerRoman"/>
      <w:lvlText w:val="%6."/>
      <w:lvlJc w:val="right"/>
      <w:pPr>
        <w:ind w:left="4320" w:hanging="180"/>
      </w:pPr>
    </w:lvl>
    <w:lvl w:ilvl="6" w:tplc="96B65B04" w:tentative="1">
      <w:start w:val="1"/>
      <w:numFmt w:val="decimal"/>
      <w:lvlText w:val="%7."/>
      <w:lvlJc w:val="left"/>
      <w:pPr>
        <w:ind w:left="5040" w:hanging="360"/>
      </w:pPr>
    </w:lvl>
    <w:lvl w:ilvl="7" w:tplc="23E2F8F0" w:tentative="1">
      <w:start w:val="1"/>
      <w:numFmt w:val="lowerLetter"/>
      <w:lvlText w:val="%8."/>
      <w:lvlJc w:val="left"/>
      <w:pPr>
        <w:ind w:left="5760" w:hanging="360"/>
      </w:pPr>
    </w:lvl>
    <w:lvl w:ilvl="8" w:tplc="D352B236" w:tentative="1">
      <w:start w:val="1"/>
      <w:numFmt w:val="lowerRoman"/>
      <w:lvlText w:val="%9."/>
      <w:lvlJc w:val="right"/>
      <w:pPr>
        <w:ind w:left="6480" w:hanging="180"/>
      </w:pPr>
    </w:lvl>
  </w:abstractNum>
  <w:abstractNum w:abstractNumId="2" w15:restartNumberingAfterBreak="0">
    <w:nsid w:val="0E697B12"/>
    <w:multiLevelType w:val="hybridMultilevel"/>
    <w:tmpl w:val="30EA0890"/>
    <w:lvl w:ilvl="0" w:tplc="98FEDA48">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8992058E" w:tentative="1">
      <w:start w:val="1"/>
      <w:numFmt w:val="bullet"/>
      <w:lvlText w:val="o"/>
      <w:lvlJc w:val="left"/>
      <w:pPr>
        <w:ind w:left="1440" w:hanging="360"/>
      </w:pPr>
      <w:rPr>
        <w:rFonts w:ascii="Courier New" w:hAnsi="Courier New" w:cs="Courier New" w:hint="default"/>
      </w:rPr>
    </w:lvl>
    <w:lvl w:ilvl="2" w:tplc="5510C730" w:tentative="1">
      <w:start w:val="1"/>
      <w:numFmt w:val="bullet"/>
      <w:lvlText w:val=""/>
      <w:lvlJc w:val="left"/>
      <w:pPr>
        <w:ind w:left="2160" w:hanging="360"/>
      </w:pPr>
      <w:rPr>
        <w:rFonts w:ascii="Wingdings" w:hAnsi="Wingdings" w:hint="default"/>
      </w:rPr>
    </w:lvl>
    <w:lvl w:ilvl="3" w:tplc="0B226DD8" w:tentative="1">
      <w:start w:val="1"/>
      <w:numFmt w:val="bullet"/>
      <w:lvlText w:val=""/>
      <w:lvlJc w:val="left"/>
      <w:pPr>
        <w:ind w:left="2880" w:hanging="360"/>
      </w:pPr>
      <w:rPr>
        <w:rFonts w:ascii="Symbol" w:hAnsi="Symbol" w:hint="default"/>
      </w:rPr>
    </w:lvl>
    <w:lvl w:ilvl="4" w:tplc="81BEF50C" w:tentative="1">
      <w:start w:val="1"/>
      <w:numFmt w:val="bullet"/>
      <w:lvlText w:val="o"/>
      <w:lvlJc w:val="left"/>
      <w:pPr>
        <w:ind w:left="3600" w:hanging="360"/>
      </w:pPr>
      <w:rPr>
        <w:rFonts w:ascii="Courier New" w:hAnsi="Courier New" w:cs="Courier New" w:hint="default"/>
      </w:rPr>
    </w:lvl>
    <w:lvl w:ilvl="5" w:tplc="5A12E166" w:tentative="1">
      <w:start w:val="1"/>
      <w:numFmt w:val="bullet"/>
      <w:lvlText w:val=""/>
      <w:lvlJc w:val="left"/>
      <w:pPr>
        <w:ind w:left="4320" w:hanging="360"/>
      </w:pPr>
      <w:rPr>
        <w:rFonts w:ascii="Wingdings" w:hAnsi="Wingdings" w:hint="default"/>
      </w:rPr>
    </w:lvl>
    <w:lvl w:ilvl="6" w:tplc="93664AB4" w:tentative="1">
      <w:start w:val="1"/>
      <w:numFmt w:val="bullet"/>
      <w:lvlText w:val=""/>
      <w:lvlJc w:val="left"/>
      <w:pPr>
        <w:ind w:left="5040" w:hanging="360"/>
      </w:pPr>
      <w:rPr>
        <w:rFonts w:ascii="Symbol" w:hAnsi="Symbol" w:hint="default"/>
      </w:rPr>
    </w:lvl>
    <w:lvl w:ilvl="7" w:tplc="4DDA35FE" w:tentative="1">
      <w:start w:val="1"/>
      <w:numFmt w:val="bullet"/>
      <w:lvlText w:val="o"/>
      <w:lvlJc w:val="left"/>
      <w:pPr>
        <w:ind w:left="5760" w:hanging="360"/>
      </w:pPr>
      <w:rPr>
        <w:rFonts w:ascii="Courier New" w:hAnsi="Courier New" w:cs="Courier New" w:hint="default"/>
      </w:rPr>
    </w:lvl>
    <w:lvl w:ilvl="8" w:tplc="B81C7A88" w:tentative="1">
      <w:start w:val="1"/>
      <w:numFmt w:val="bullet"/>
      <w:lvlText w:val=""/>
      <w:lvlJc w:val="left"/>
      <w:pPr>
        <w:ind w:left="6480" w:hanging="360"/>
      </w:pPr>
      <w:rPr>
        <w:rFonts w:ascii="Wingdings" w:hAnsi="Wingdings" w:hint="default"/>
      </w:rPr>
    </w:lvl>
  </w:abstractNum>
  <w:abstractNum w:abstractNumId="3" w15:restartNumberingAfterBreak="0">
    <w:nsid w:val="12806966"/>
    <w:multiLevelType w:val="hybridMultilevel"/>
    <w:tmpl w:val="FC6ED52C"/>
    <w:lvl w:ilvl="0" w:tplc="48681146">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1A1C0A16" w:tentative="1">
      <w:start w:val="1"/>
      <w:numFmt w:val="bullet"/>
      <w:lvlText w:val="o"/>
      <w:lvlJc w:val="left"/>
      <w:pPr>
        <w:ind w:left="1440" w:hanging="360"/>
      </w:pPr>
      <w:rPr>
        <w:rFonts w:ascii="Courier New" w:hAnsi="Courier New" w:cs="Courier New" w:hint="default"/>
      </w:rPr>
    </w:lvl>
    <w:lvl w:ilvl="2" w:tplc="29FC0FAA" w:tentative="1">
      <w:start w:val="1"/>
      <w:numFmt w:val="bullet"/>
      <w:lvlText w:val=""/>
      <w:lvlJc w:val="left"/>
      <w:pPr>
        <w:ind w:left="2160" w:hanging="360"/>
      </w:pPr>
      <w:rPr>
        <w:rFonts w:ascii="Wingdings" w:hAnsi="Wingdings" w:hint="default"/>
      </w:rPr>
    </w:lvl>
    <w:lvl w:ilvl="3" w:tplc="6E66C352" w:tentative="1">
      <w:start w:val="1"/>
      <w:numFmt w:val="bullet"/>
      <w:lvlText w:val=""/>
      <w:lvlJc w:val="left"/>
      <w:pPr>
        <w:ind w:left="2880" w:hanging="360"/>
      </w:pPr>
      <w:rPr>
        <w:rFonts w:ascii="Symbol" w:hAnsi="Symbol" w:hint="default"/>
      </w:rPr>
    </w:lvl>
    <w:lvl w:ilvl="4" w:tplc="969EC8C2" w:tentative="1">
      <w:start w:val="1"/>
      <w:numFmt w:val="bullet"/>
      <w:lvlText w:val="o"/>
      <w:lvlJc w:val="left"/>
      <w:pPr>
        <w:ind w:left="3600" w:hanging="360"/>
      </w:pPr>
      <w:rPr>
        <w:rFonts w:ascii="Courier New" w:hAnsi="Courier New" w:cs="Courier New" w:hint="default"/>
      </w:rPr>
    </w:lvl>
    <w:lvl w:ilvl="5" w:tplc="749E3A52" w:tentative="1">
      <w:start w:val="1"/>
      <w:numFmt w:val="bullet"/>
      <w:lvlText w:val=""/>
      <w:lvlJc w:val="left"/>
      <w:pPr>
        <w:ind w:left="4320" w:hanging="360"/>
      </w:pPr>
      <w:rPr>
        <w:rFonts w:ascii="Wingdings" w:hAnsi="Wingdings" w:hint="default"/>
      </w:rPr>
    </w:lvl>
    <w:lvl w:ilvl="6" w:tplc="BBE84E80" w:tentative="1">
      <w:start w:val="1"/>
      <w:numFmt w:val="bullet"/>
      <w:lvlText w:val=""/>
      <w:lvlJc w:val="left"/>
      <w:pPr>
        <w:ind w:left="5040" w:hanging="360"/>
      </w:pPr>
      <w:rPr>
        <w:rFonts w:ascii="Symbol" w:hAnsi="Symbol" w:hint="default"/>
      </w:rPr>
    </w:lvl>
    <w:lvl w:ilvl="7" w:tplc="F8C2DFB4" w:tentative="1">
      <w:start w:val="1"/>
      <w:numFmt w:val="bullet"/>
      <w:lvlText w:val="o"/>
      <w:lvlJc w:val="left"/>
      <w:pPr>
        <w:ind w:left="5760" w:hanging="360"/>
      </w:pPr>
      <w:rPr>
        <w:rFonts w:ascii="Courier New" w:hAnsi="Courier New" w:cs="Courier New" w:hint="default"/>
      </w:rPr>
    </w:lvl>
    <w:lvl w:ilvl="8" w:tplc="9AC603B6" w:tentative="1">
      <w:start w:val="1"/>
      <w:numFmt w:val="bullet"/>
      <w:lvlText w:val=""/>
      <w:lvlJc w:val="left"/>
      <w:pPr>
        <w:ind w:left="6480" w:hanging="360"/>
      </w:pPr>
      <w:rPr>
        <w:rFonts w:ascii="Wingdings" w:hAnsi="Wingdings" w:hint="default"/>
      </w:rPr>
    </w:lvl>
  </w:abstractNum>
  <w:abstractNum w:abstractNumId="4" w15:restartNumberingAfterBreak="0">
    <w:nsid w:val="1CF648D2"/>
    <w:multiLevelType w:val="hybridMultilevel"/>
    <w:tmpl w:val="E2B6F6AA"/>
    <w:lvl w:ilvl="0" w:tplc="97FABDBA">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rPr>
    </w:lvl>
    <w:lvl w:ilvl="1" w:tplc="1F58ECD6" w:tentative="1">
      <w:start w:val="1"/>
      <w:numFmt w:val="bullet"/>
      <w:lvlText w:val="o"/>
      <w:lvlJc w:val="left"/>
      <w:pPr>
        <w:ind w:left="1837" w:hanging="360"/>
      </w:pPr>
      <w:rPr>
        <w:rFonts w:ascii="Courier New" w:hAnsi="Courier New" w:cs="Courier New" w:hint="default"/>
      </w:rPr>
    </w:lvl>
    <w:lvl w:ilvl="2" w:tplc="59F2F6B6" w:tentative="1">
      <w:start w:val="1"/>
      <w:numFmt w:val="bullet"/>
      <w:lvlText w:val=""/>
      <w:lvlJc w:val="left"/>
      <w:pPr>
        <w:ind w:left="2557" w:hanging="360"/>
      </w:pPr>
      <w:rPr>
        <w:rFonts w:ascii="Wingdings" w:hAnsi="Wingdings" w:hint="default"/>
      </w:rPr>
    </w:lvl>
    <w:lvl w:ilvl="3" w:tplc="62720D1C" w:tentative="1">
      <w:start w:val="1"/>
      <w:numFmt w:val="bullet"/>
      <w:lvlText w:val=""/>
      <w:lvlJc w:val="left"/>
      <w:pPr>
        <w:ind w:left="3277" w:hanging="360"/>
      </w:pPr>
      <w:rPr>
        <w:rFonts w:ascii="Symbol" w:hAnsi="Symbol" w:hint="default"/>
      </w:rPr>
    </w:lvl>
    <w:lvl w:ilvl="4" w:tplc="679A1012" w:tentative="1">
      <w:start w:val="1"/>
      <w:numFmt w:val="bullet"/>
      <w:lvlText w:val="o"/>
      <w:lvlJc w:val="left"/>
      <w:pPr>
        <w:ind w:left="3997" w:hanging="360"/>
      </w:pPr>
      <w:rPr>
        <w:rFonts w:ascii="Courier New" w:hAnsi="Courier New" w:cs="Courier New" w:hint="default"/>
      </w:rPr>
    </w:lvl>
    <w:lvl w:ilvl="5" w:tplc="CE26FBDA" w:tentative="1">
      <w:start w:val="1"/>
      <w:numFmt w:val="bullet"/>
      <w:lvlText w:val=""/>
      <w:lvlJc w:val="left"/>
      <w:pPr>
        <w:ind w:left="4717" w:hanging="360"/>
      </w:pPr>
      <w:rPr>
        <w:rFonts w:ascii="Wingdings" w:hAnsi="Wingdings" w:hint="default"/>
      </w:rPr>
    </w:lvl>
    <w:lvl w:ilvl="6" w:tplc="7DF0CE40" w:tentative="1">
      <w:start w:val="1"/>
      <w:numFmt w:val="bullet"/>
      <w:lvlText w:val=""/>
      <w:lvlJc w:val="left"/>
      <w:pPr>
        <w:ind w:left="5437" w:hanging="360"/>
      </w:pPr>
      <w:rPr>
        <w:rFonts w:ascii="Symbol" w:hAnsi="Symbol" w:hint="default"/>
      </w:rPr>
    </w:lvl>
    <w:lvl w:ilvl="7" w:tplc="0BC850FC" w:tentative="1">
      <w:start w:val="1"/>
      <w:numFmt w:val="bullet"/>
      <w:lvlText w:val="o"/>
      <w:lvlJc w:val="left"/>
      <w:pPr>
        <w:ind w:left="6157" w:hanging="360"/>
      </w:pPr>
      <w:rPr>
        <w:rFonts w:ascii="Courier New" w:hAnsi="Courier New" w:cs="Courier New" w:hint="default"/>
      </w:rPr>
    </w:lvl>
    <w:lvl w:ilvl="8" w:tplc="35124644" w:tentative="1">
      <w:start w:val="1"/>
      <w:numFmt w:val="bullet"/>
      <w:lvlText w:val=""/>
      <w:lvlJc w:val="left"/>
      <w:pPr>
        <w:ind w:left="6877" w:hanging="360"/>
      </w:pPr>
      <w:rPr>
        <w:rFonts w:ascii="Wingdings" w:hAnsi="Wingdings" w:hint="default"/>
      </w:rPr>
    </w:lvl>
  </w:abstractNum>
  <w:abstractNum w:abstractNumId="5" w15:restartNumberingAfterBreak="0">
    <w:nsid w:val="1D587F94"/>
    <w:multiLevelType w:val="hybridMultilevel"/>
    <w:tmpl w:val="FF2AB340"/>
    <w:lvl w:ilvl="0" w:tplc="7EF883A4">
      <w:start w:val="1"/>
      <w:numFmt w:val="decimal"/>
      <w:lvlText w:val="%1."/>
      <w:lvlJc w:val="left"/>
      <w:pPr>
        <w:ind w:left="397" w:hanging="397"/>
      </w:pPr>
      <w:rPr>
        <w:rFonts w:hint="default"/>
        <w:b/>
        <w:i w:val="0"/>
        <w:caps w:val="0"/>
        <w:strike w:val="0"/>
        <w:dstrike w:val="0"/>
        <w:vanish w:val="0"/>
        <w:color w:val="FF0000"/>
        <w:sz w:val="40"/>
        <w:szCs w:val="25"/>
        <w:vertAlign w:val="baseline"/>
      </w:rPr>
    </w:lvl>
    <w:lvl w:ilvl="1" w:tplc="9F3C496A" w:tentative="1">
      <w:start w:val="1"/>
      <w:numFmt w:val="bullet"/>
      <w:lvlText w:val="o"/>
      <w:lvlJc w:val="left"/>
      <w:pPr>
        <w:ind w:left="1440" w:hanging="360"/>
      </w:pPr>
      <w:rPr>
        <w:rFonts w:ascii="Courier New" w:hAnsi="Courier New" w:cs="Courier New" w:hint="default"/>
      </w:rPr>
    </w:lvl>
    <w:lvl w:ilvl="2" w:tplc="DDD26712" w:tentative="1">
      <w:start w:val="1"/>
      <w:numFmt w:val="bullet"/>
      <w:lvlText w:val=""/>
      <w:lvlJc w:val="left"/>
      <w:pPr>
        <w:ind w:left="2160" w:hanging="360"/>
      </w:pPr>
      <w:rPr>
        <w:rFonts w:ascii="Wingdings" w:hAnsi="Wingdings" w:hint="default"/>
      </w:rPr>
    </w:lvl>
    <w:lvl w:ilvl="3" w:tplc="A1E41774" w:tentative="1">
      <w:start w:val="1"/>
      <w:numFmt w:val="bullet"/>
      <w:lvlText w:val=""/>
      <w:lvlJc w:val="left"/>
      <w:pPr>
        <w:ind w:left="2880" w:hanging="360"/>
      </w:pPr>
      <w:rPr>
        <w:rFonts w:ascii="Symbol" w:hAnsi="Symbol" w:hint="default"/>
      </w:rPr>
    </w:lvl>
    <w:lvl w:ilvl="4" w:tplc="0666EAC8" w:tentative="1">
      <w:start w:val="1"/>
      <w:numFmt w:val="bullet"/>
      <w:lvlText w:val="o"/>
      <w:lvlJc w:val="left"/>
      <w:pPr>
        <w:ind w:left="3600" w:hanging="360"/>
      </w:pPr>
      <w:rPr>
        <w:rFonts w:ascii="Courier New" w:hAnsi="Courier New" w:cs="Courier New" w:hint="default"/>
      </w:rPr>
    </w:lvl>
    <w:lvl w:ilvl="5" w:tplc="973ED118" w:tentative="1">
      <w:start w:val="1"/>
      <w:numFmt w:val="bullet"/>
      <w:lvlText w:val=""/>
      <w:lvlJc w:val="left"/>
      <w:pPr>
        <w:ind w:left="4320" w:hanging="360"/>
      </w:pPr>
      <w:rPr>
        <w:rFonts w:ascii="Wingdings" w:hAnsi="Wingdings" w:hint="default"/>
      </w:rPr>
    </w:lvl>
    <w:lvl w:ilvl="6" w:tplc="2B56CE7C" w:tentative="1">
      <w:start w:val="1"/>
      <w:numFmt w:val="bullet"/>
      <w:lvlText w:val=""/>
      <w:lvlJc w:val="left"/>
      <w:pPr>
        <w:ind w:left="5040" w:hanging="360"/>
      </w:pPr>
      <w:rPr>
        <w:rFonts w:ascii="Symbol" w:hAnsi="Symbol" w:hint="default"/>
      </w:rPr>
    </w:lvl>
    <w:lvl w:ilvl="7" w:tplc="F808DC1C" w:tentative="1">
      <w:start w:val="1"/>
      <w:numFmt w:val="bullet"/>
      <w:lvlText w:val="o"/>
      <w:lvlJc w:val="left"/>
      <w:pPr>
        <w:ind w:left="5760" w:hanging="360"/>
      </w:pPr>
      <w:rPr>
        <w:rFonts w:ascii="Courier New" w:hAnsi="Courier New" w:cs="Courier New" w:hint="default"/>
      </w:rPr>
    </w:lvl>
    <w:lvl w:ilvl="8" w:tplc="BF4086AC" w:tentative="1">
      <w:start w:val="1"/>
      <w:numFmt w:val="bullet"/>
      <w:lvlText w:val=""/>
      <w:lvlJc w:val="left"/>
      <w:pPr>
        <w:ind w:left="6480" w:hanging="360"/>
      </w:pPr>
      <w:rPr>
        <w:rFonts w:ascii="Wingdings" w:hAnsi="Wingdings" w:hint="default"/>
      </w:rPr>
    </w:lvl>
  </w:abstractNum>
  <w:abstractNum w:abstractNumId="6" w15:restartNumberingAfterBreak="0">
    <w:nsid w:val="2DB951A8"/>
    <w:multiLevelType w:val="hybridMultilevel"/>
    <w:tmpl w:val="477266D6"/>
    <w:lvl w:ilvl="0" w:tplc="5ACCC4C6">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lang w:bidi="he-IL"/>
      </w:rPr>
    </w:lvl>
    <w:lvl w:ilvl="1" w:tplc="92CAFB02" w:tentative="1">
      <w:start w:val="1"/>
      <w:numFmt w:val="bullet"/>
      <w:lvlText w:val="o"/>
      <w:lvlJc w:val="left"/>
      <w:pPr>
        <w:ind w:left="1837" w:hanging="360"/>
      </w:pPr>
      <w:rPr>
        <w:rFonts w:ascii="Courier New" w:hAnsi="Courier New" w:cs="Courier New" w:hint="default"/>
      </w:rPr>
    </w:lvl>
    <w:lvl w:ilvl="2" w:tplc="158CFFC2" w:tentative="1">
      <w:start w:val="1"/>
      <w:numFmt w:val="bullet"/>
      <w:lvlText w:val=""/>
      <w:lvlJc w:val="left"/>
      <w:pPr>
        <w:ind w:left="2557" w:hanging="360"/>
      </w:pPr>
      <w:rPr>
        <w:rFonts w:ascii="Wingdings" w:hAnsi="Wingdings" w:hint="default"/>
      </w:rPr>
    </w:lvl>
    <w:lvl w:ilvl="3" w:tplc="5D02ADC2" w:tentative="1">
      <w:start w:val="1"/>
      <w:numFmt w:val="bullet"/>
      <w:lvlText w:val=""/>
      <w:lvlJc w:val="left"/>
      <w:pPr>
        <w:ind w:left="3277" w:hanging="360"/>
      </w:pPr>
      <w:rPr>
        <w:rFonts w:ascii="Symbol" w:hAnsi="Symbol" w:hint="default"/>
      </w:rPr>
    </w:lvl>
    <w:lvl w:ilvl="4" w:tplc="86063D80" w:tentative="1">
      <w:start w:val="1"/>
      <w:numFmt w:val="bullet"/>
      <w:lvlText w:val="o"/>
      <w:lvlJc w:val="left"/>
      <w:pPr>
        <w:ind w:left="3997" w:hanging="360"/>
      </w:pPr>
      <w:rPr>
        <w:rFonts w:ascii="Courier New" w:hAnsi="Courier New" w:cs="Courier New" w:hint="default"/>
      </w:rPr>
    </w:lvl>
    <w:lvl w:ilvl="5" w:tplc="DC2AC304" w:tentative="1">
      <w:start w:val="1"/>
      <w:numFmt w:val="bullet"/>
      <w:lvlText w:val=""/>
      <w:lvlJc w:val="left"/>
      <w:pPr>
        <w:ind w:left="4717" w:hanging="360"/>
      </w:pPr>
      <w:rPr>
        <w:rFonts w:ascii="Wingdings" w:hAnsi="Wingdings" w:hint="default"/>
      </w:rPr>
    </w:lvl>
    <w:lvl w:ilvl="6" w:tplc="EF96DC64" w:tentative="1">
      <w:start w:val="1"/>
      <w:numFmt w:val="bullet"/>
      <w:lvlText w:val=""/>
      <w:lvlJc w:val="left"/>
      <w:pPr>
        <w:ind w:left="5437" w:hanging="360"/>
      </w:pPr>
      <w:rPr>
        <w:rFonts w:ascii="Symbol" w:hAnsi="Symbol" w:hint="default"/>
      </w:rPr>
    </w:lvl>
    <w:lvl w:ilvl="7" w:tplc="9258E0B0" w:tentative="1">
      <w:start w:val="1"/>
      <w:numFmt w:val="bullet"/>
      <w:lvlText w:val="o"/>
      <w:lvlJc w:val="left"/>
      <w:pPr>
        <w:ind w:left="6157" w:hanging="360"/>
      </w:pPr>
      <w:rPr>
        <w:rFonts w:ascii="Courier New" w:hAnsi="Courier New" w:cs="Courier New" w:hint="default"/>
      </w:rPr>
    </w:lvl>
    <w:lvl w:ilvl="8" w:tplc="68202F4A" w:tentative="1">
      <w:start w:val="1"/>
      <w:numFmt w:val="bullet"/>
      <w:lvlText w:val=""/>
      <w:lvlJc w:val="left"/>
      <w:pPr>
        <w:ind w:left="6877" w:hanging="360"/>
      </w:pPr>
      <w:rPr>
        <w:rFonts w:ascii="Wingdings" w:hAnsi="Wingdings" w:hint="default"/>
      </w:rPr>
    </w:lvl>
  </w:abstractNum>
  <w:abstractNum w:abstractNumId="7" w15:restartNumberingAfterBreak="0">
    <w:nsid w:val="2EC744C3"/>
    <w:multiLevelType w:val="hybridMultilevel"/>
    <w:tmpl w:val="4A68CCE0"/>
    <w:lvl w:ilvl="0" w:tplc="D0D88004">
      <w:start w:val="1"/>
      <w:numFmt w:val="bullet"/>
      <w:lvlText w:val=""/>
      <w:lvlJc w:val="left"/>
      <w:pPr>
        <w:ind w:left="794" w:hanging="397"/>
      </w:pPr>
      <w:rPr>
        <w:rFonts w:ascii="Wingdings" w:hAnsi="Wingdings" w:cs="Wingdings" w:hint="default"/>
        <w:b/>
        <w:i w:val="0"/>
        <w:caps w:val="0"/>
        <w:strike w:val="0"/>
        <w:dstrike w:val="0"/>
        <w:vanish w:val="0"/>
        <w:color w:val="FF0000"/>
        <w:sz w:val="40"/>
        <w:szCs w:val="25"/>
        <w:vertAlign w:val="baseline"/>
      </w:rPr>
    </w:lvl>
    <w:lvl w:ilvl="1" w:tplc="A524F886" w:tentative="1">
      <w:start w:val="1"/>
      <w:numFmt w:val="bullet"/>
      <w:lvlText w:val="o"/>
      <w:lvlJc w:val="left"/>
      <w:pPr>
        <w:ind w:left="1440" w:hanging="360"/>
      </w:pPr>
      <w:rPr>
        <w:rFonts w:ascii="Courier New" w:hAnsi="Courier New" w:cs="Courier New" w:hint="default"/>
      </w:rPr>
    </w:lvl>
    <w:lvl w:ilvl="2" w:tplc="B12C6784" w:tentative="1">
      <w:start w:val="1"/>
      <w:numFmt w:val="bullet"/>
      <w:lvlText w:val=""/>
      <w:lvlJc w:val="left"/>
      <w:pPr>
        <w:ind w:left="2160" w:hanging="360"/>
      </w:pPr>
      <w:rPr>
        <w:rFonts w:ascii="Wingdings" w:hAnsi="Wingdings" w:hint="default"/>
      </w:rPr>
    </w:lvl>
    <w:lvl w:ilvl="3" w:tplc="BFDAA40A" w:tentative="1">
      <w:start w:val="1"/>
      <w:numFmt w:val="bullet"/>
      <w:lvlText w:val=""/>
      <w:lvlJc w:val="left"/>
      <w:pPr>
        <w:ind w:left="2880" w:hanging="360"/>
      </w:pPr>
      <w:rPr>
        <w:rFonts w:ascii="Symbol" w:hAnsi="Symbol" w:hint="default"/>
      </w:rPr>
    </w:lvl>
    <w:lvl w:ilvl="4" w:tplc="ABA0A2B2" w:tentative="1">
      <w:start w:val="1"/>
      <w:numFmt w:val="bullet"/>
      <w:lvlText w:val="o"/>
      <w:lvlJc w:val="left"/>
      <w:pPr>
        <w:ind w:left="3600" w:hanging="360"/>
      </w:pPr>
      <w:rPr>
        <w:rFonts w:ascii="Courier New" w:hAnsi="Courier New" w:cs="Courier New" w:hint="default"/>
      </w:rPr>
    </w:lvl>
    <w:lvl w:ilvl="5" w:tplc="27506C20" w:tentative="1">
      <w:start w:val="1"/>
      <w:numFmt w:val="bullet"/>
      <w:lvlText w:val=""/>
      <w:lvlJc w:val="left"/>
      <w:pPr>
        <w:ind w:left="4320" w:hanging="360"/>
      </w:pPr>
      <w:rPr>
        <w:rFonts w:ascii="Wingdings" w:hAnsi="Wingdings" w:hint="default"/>
      </w:rPr>
    </w:lvl>
    <w:lvl w:ilvl="6" w:tplc="A16C437E" w:tentative="1">
      <w:start w:val="1"/>
      <w:numFmt w:val="bullet"/>
      <w:lvlText w:val=""/>
      <w:lvlJc w:val="left"/>
      <w:pPr>
        <w:ind w:left="5040" w:hanging="360"/>
      </w:pPr>
      <w:rPr>
        <w:rFonts w:ascii="Symbol" w:hAnsi="Symbol" w:hint="default"/>
      </w:rPr>
    </w:lvl>
    <w:lvl w:ilvl="7" w:tplc="B2120F30" w:tentative="1">
      <w:start w:val="1"/>
      <w:numFmt w:val="bullet"/>
      <w:lvlText w:val="o"/>
      <w:lvlJc w:val="left"/>
      <w:pPr>
        <w:ind w:left="5760" w:hanging="360"/>
      </w:pPr>
      <w:rPr>
        <w:rFonts w:ascii="Courier New" w:hAnsi="Courier New" w:cs="Courier New" w:hint="default"/>
      </w:rPr>
    </w:lvl>
    <w:lvl w:ilvl="8" w:tplc="E612D94C" w:tentative="1">
      <w:start w:val="1"/>
      <w:numFmt w:val="bullet"/>
      <w:lvlText w:val=""/>
      <w:lvlJc w:val="left"/>
      <w:pPr>
        <w:ind w:left="6480" w:hanging="360"/>
      </w:pPr>
      <w:rPr>
        <w:rFonts w:ascii="Wingdings" w:hAnsi="Wingdings" w:hint="default"/>
      </w:rPr>
    </w:lvl>
  </w:abstractNum>
  <w:abstractNum w:abstractNumId="8" w15:restartNumberingAfterBreak="0">
    <w:nsid w:val="30D17255"/>
    <w:multiLevelType w:val="hybridMultilevel"/>
    <w:tmpl w:val="F1AE1FFC"/>
    <w:lvl w:ilvl="0" w:tplc="7CD6B5E2">
      <w:start w:val="1"/>
      <w:numFmt w:val="decimal"/>
      <w:pStyle w:val="a"/>
      <w:lvlText w:val="לוח %1:"/>
      <w:lvlJc w:val="left"/>
      <w:pPr>
        <w:ind w:left="1854" w:hanging="360"/>
      </w:pPr>
      <w:rPr>
        <w:rFonts w:ascii="Calibri" w:hAnsi="Calibri" w:cs="Calibri" w:hint="default"/>
        <w:b w:val="0"/>
        <w:bCs w:val="0"/>
        <w:i w:val="0"/>
        <w:iCs w:val="0"/>
        <w:color w:val="002060"/>
        <w:sz w:val="24"/>
        <w:szCs w:val="24"/>
      </w:rPr>
    </w:lvl>
    <w:lvl w:ilvl="1" w:tplc="54A47290" w:tentative="1">
      <w:start w:val="1"/>
      <w:numFmt w:val="lowerLetter"/>
      <w:lvlText w:val="%2."/>
      <w:lvlJc w:val="left"/>
      <w:pPr>
        <w:ind w:left="2574" w:hanging="360"/>
      </w:pPr>
    </w:lvl>
    <w:lvl w:ilvl="2" w:tplc="92321110" w:tentative="1">
      <w:start w:val="1"/>
      <w:numFmt w:val="lowerRoman"/>
      <w:lvlText w:val="%3."/>
      <w:lvlJc w:val="right"/>
      <w:pPr>
        <w:ind w:left="3294" w:hanging="180"/>
      </w:pPr>
    </w:lvl>
    <w:lvl w:ilvl="3" w:tplc="F1608DDE" w:tentative="1">
      <w:start w:val="1"/>
      <w:numFmt w:val="decimal"/>
      <w:lvlText w:val="%4."/>
      <w:lvlJc w:val="left"/>
      <w:pPr>
        <w:ind w:left="4014" w:hanging="360"/>
      </w:pPr>
    </w:lvl>
    <w:lvl w:ilvl="4" w:tplc="EB0E27A6" w:tentative="1">
      <w:start w:val="1"/>
      <w:numFmt w:val="lowerLetter"/>
      <w:lvlText w:val="%5."/>
      <w:lvlJc w:val="left"/>
      <w:pPr>
        <w:ind w:left="4734" w:hanging="360"/>
      </w:pPr>
    </w:lvl>
    <w:lvl w:ilvl="5" w:tplc="6C56B332" w:tentative="1">
      <w:start w:val="1"/>
      <w:numFmt w:val="lowerRoman"/>
      <w:lvlText w:val="%6."/>
      <w:lvlJc w:val="right"/>
      <w:pPr>
        <w:ind w:left="5454" w:hanging="180"/>
      </w:pPr>
    </w:lvl>
    <w:lvl w:ilvl="6" w:tplc="3A6803F0" w:tentative="1">
      <w:start w:val="1"/>
      <w:numFmt w:val="decimal"/>
      <w:lvlText w:val="%7."/>
      <w:lvlJc w:val="left"/>
      <w:pPr>
        <w:ind w:left="6174" w:hanging="360"/>
      </w:pPr>
    </w:lvl>
    <w:lvl w:ilvl="7" w:tplc="507C1F72" w:tentative="1">
      <w:start w:val="1"/>
      <w:numFmt w:val="lowerLetter"/>
      <w:lvlText w:val="%8."/>
      <w:lvlJc w:val="left"/>
      <w:pPr>
        <w:ind w:left="6894" w:hanging="360"/>
      </w:pPr>
    </w:lvl>
    <w:lvl w:ilvl="8" w:tplc="CBB69EF2" w:tentative="1">
      <w:start w:val="1"/>
      <w:numFmt w:val="lowerRoman"/>
      <w:lvlText w:val="%9."/>
      <w:lvlJc w:val="right"/>
      <w:pPr>
        <w:ind w:left="7614" w:hanging="180"/>
      </w:pPr>
    </w:lvl>
  </w:abstractNum>
  <w:abstractNum w:abstractNumId="9" w15:restartNumberingAfterBreak="0">
    <w:nsid w:val="316B14B9"/>
    <w:multiLevelType w:val="hybridMultilevel"/>
    <w:tmpl w:val="378E9214"/>
    <w:lvl w:ilvl="0" w:tplc="28D8300C">
      <w:start w:val="1"/>
      <w:numFmt w:val="decimal"/>
      <w:pStyle w:val="a0"/>
      <w:lvlText w:val="תמונה %1:"/>
      <w:lvlJc w:val="left"/>
      <w:pPr>
        <w:ind w:left="1494" w:hanging="360"/>
      </w:pPr>
      <w:rPr>
        <w:rFonts w:ascii="Calibri" w:hAnsi="Calibri" w:cs="Calibri" w:hint="default"/>
        <w:b w:val="0"/>
        <w:bCs w:val="0"/>
        <w:i w:val="0"/>
        <w:iCs w:val="0"/>
        <w:color w:val="002060"/>
        <w:sz w:val="24"/>
        <w:szCs w:val="24"/>
      </w:rPr>
    </w:lvl>
    <w:lvl w:ilvl="1" w:tplc="CD0AAEC2" w:tentative="1">
      <w:start w:val="1"/>
      <w:numFmt w:val="lowerLetter"/>
      <w:lvlText w:val="%2."/>
      <w:lvlJc w:val="left"/>
      <w:pPr>
        <w:ind w:left="2578" w:hanging="360"/>
      </w:pPr>
    </w:lvl>
    <w:lvl w:ilvl="2" w:tplc="D8304FAC" w:tentative="1">
      <w:start w:val="1"/>
      <w:numFmt w:val="lowerRoman"/>
      <w:lvlText w:val="%3."/>
      <w:lvlJc w:val="right"/>
      <w:pPr>
        <w:ind w:left="3298" w:hanging="180"/>
      </w:pPr>
    </w:lvl>
    <w:lvl w:ilvl="3" w:tplc="133E9A4C" w:tentative="1">
      <w:start w:val="1"/>
      <w:numFmt w:val="decimal"/>
      <w:lvlText w:val="%4."/>
      <w:lvlJc w:val="left"/>
      <w:pPr>
        <w:ind w:left="4018" w:hanging="360"/>
      </w:pPr>
    </w:lvl>
    <w:lvl w:ilvl="4" w:tplc="BF9EA782" w:tentative="1">
      <w:start w:val="1"/>
      <w:numFmt w:val="lowerLetter"/>
      <w:lvlText w:val="%5."/>
      <w:lvlJc w:val="left"/>
      <w:pPr>
        <w:ind w:left="4738" w:hanging="360"/>
      </w:pPr>
    </w:lvl>
    <w:lvl w:ilvl="5" w:tplc="8F8C7C52" w:tentative="1">
      <w:start w:val="1"/>
      <w:numFmt w:val="lowerRoman"/>
      <w:lvlText w:val="%6."/>
      <w:lvlJc w:val="right"/>
      <w:pPr>
        <w:ind w:left="5458" w:hanging="180"/>
      </w:pPr>
    </w:lvl>
    <w:lvl w:ilvl="6" w:tplc="B23C2082" w:tentative="1">
      <w:start w:val="1"/>
      <w:numFmt w:val="decimal"/>
      <w:lvlText w:val="%7."/>
      <w:lvlJc w:val="left"/>
      <w:pPr>
        <w:ind w:left="6178" w:hanging="360"/>
      </w:pPr>
    </w:lvl>
    <w:lvl w:ilvl="7" w:tplc="5F166C10" w:tentative="1">
      <w:start w:val="1"/>
      <w:numFmt w:val="lowerLetter"/>
      <w:lvlText w:val="%8."/>
      <w:lvlJc w:val="left"/>
      <w:pPr>
        <w:ind w:left="6898" w:hanging="360"/>
      </w:pPr>
    </w:lvl>
    <w:lvl w:ilvl="8" w:tplc="16BA2384" w:tentative="1">
      <w:start w:val="1"/>
      <w:numFmt w:val="lowerRoman"/>
      <w:lvlText w:val="%9."/>
      <w:lvlJc w:val="right"/>
      <w:pPr>
        <w:ind w:left="7618" w:hanging="180"/>
      </w:pPr>
    </w:lvl>
  </w:abstractNum>
  <w:abstractNum w:abstractNumId="10" w15:restartNumberingAfterBreak="0">
    <w:nsid w:val="33A86F96"/>
    <w:multiLevelType w:val="hybridMultilevel"/>
    <w:tmpl w:val="220A2AB2"/>
    <w:lvl w:ilvl="0" w:tplc="DB26D242">
      <w:start w:val="1"/>
      <w:numFmt w:val="decimal"/>
      <w:pStyle w:val="a1"/>
      <w:lvlText w:val="מפה %1:"/>
      <w:lvlJc w:val="left"/>
      <w:pPr>
        <w:ind w:left="1858" w:hanging="360"/>
      </w:pPr>
      <w:rPr>
        <w:rFonts w:ascii="Calibri" w:hAnsi="Calibri" w:cs="Calibri" w:hint="default"/>
        <w:b w:val="0"/>
        <w:bCs w:val="0"/>
        <w:i w:val="0"/>
        <w:iCs w:val="0"/>
        <w:color w:val="002060"/>
        <w:sz w:val="24"/>
        <w:szCs w:val="24"/>
      </w:rPr>
    </w:lvl>
    <w:lvl w:ilvl="1" w:tplc="D8E0949C" w:tentative="1">
      <w:start w:val="1"/>
      <w:numFmt w:val="lowerLetter"/>
      <w:lvlText w:val="%2."/>
      <w:lvlJc w:val="left"/>
      <w:pPr>
        <w:ind w:left="2934" w:hanging="360"/>
      </w:pPr>
    </w:lvl>
    <w:lvl w:ilvl="2" w:tplc="D30A9EDC" w:tentative="1">
      <w:start w:val="1"/>
      <w:numFmt w:val="lowerRoman"/>
      <w:lvlText w:val="%3."/>
      <w:lvlJc w:val="right"/>
      <w:pPr>
        <w:ind w:left="3654" w:hanging="180"/>
      </w:pPr>
    </w:lvl>
    <w:lvl w:ilvl="3" w:tplc="EC808DC6" w:tentative="1">
      <w:start w:val="1"/>
      <w:numFmt w:val="decimal"/>
      <w:lvlText w:val="%4."/>
      <w:lvlJc w:val="left"/>
      <w:pPr>
        <w:ind w:left="4374" w:hanging="360"/>
      </w:pPr>
    </w:lvl>
    <w:lvl w:ilvl="4" w:tplc="6882D456" w:tentative="1">
      <w:start w:val="1"/>
      <w:numFmt w:val="lowerLetter"/>
      <w:lvlText w:val="%5."/>
      <w:lvlJc w:val="left"/>
      <w:pPr>
        <w:ind w:left="5094" w:hanging="360"/>
      </w:pPr>
    </w:lvl>
    <w:lvl w:ilvl="5" w:tplc="86700D02" w:tentative="1">
      <w:start w:val="1"/>
      <w:numFmt w:val="lowerRoman"/>
      <w:lvlText w:val="%6."/>
      <w:lvlJc w:val="right"/>
      <w:pPr>
        <w:ind w:left="5814" w:hanging="180"/>
      </w:pPr>
    </w:lvl>
    <w:lvl w:ilvl="6" w:tplc="6A92EBD6" w:tentative="1">
      <w:start w:val="1"/>
      <w:numFmt w:val="decimal"/>
      <w:lvlText w:val="%7."/>
      <w:lvlJc w:val="left"/>
      <w:pPr>
        <w:ind w:left="6534" w:hanging="360"/>
      </w:pPr>
    </w:lvl>
    <w:lvl w:ilvl="7" w:tplc="FCF4D092" w:tentative="1">
      <w:start w:val="1"/>
      <w:numFmt w:val="lowerLetter"/>
      <w:lvlText w:val="%8."/>
      <w:lvlJc w:val="left"/>
      <w:pPr>
        <w:ind w:left="7254" w:hanging="360"/>
      </w:pPr>
    </w:lvl>
    <w:lvl w:ilvl="8" w:tplc="22D217C2" w:tentative="1">
      <w:start w:val="1"/>
      <w:numFmt w:val="lowerRoman"/>
      <w:lvlText w:val="%9."/>
      <w:lvlJc w:val="right"/>
      <w:pPr>
        <w:ind w:left="7974" w:hanging="180"/>
      </w:pPr>
    </w:lvl>
  </w:abstractNum>
  <w:abstractNum w:abstractNumId="11" w15:restartNumberingAfterBreak="0">
    <w:nsid w:val="355B1DDE"/>
    <w:multiLevelType w:val="hybridMultilevel"/>
    <w:tmpl w:val="0382FD12"/>
    <w:lvl w:ilvl="0" w:tplc="160E9BD0">
      <w:start w:val="1"/>
      <w:numFmt w:val="bullet"/>
      <w:lvlText w:val=""/>
      <w:lvlJc w:val="left"/>
      <w:pPr>
        <w:ind w:left="397" w:hanging="397"/>
      </w:pPr>
      <w:rPr>
        <w:rFonts w:ascii="Segoe MDL2 Assets" w:hAnsi="Segoe MDL2 Assets" w:cs="Segoe MDL2 Assets" w:hint="default"/>
        <w:b/>
        <w:bCs/>
        <w:i w:val="0"/>
        <w:iCs w:val="0"/>
        <w:color w:val="FFC000"/>
        <w:position w:val="-6"/>
        <w:sz w:val="28"/>
        <w:szCs w:val="32"/>
        <w:lang w:bidi="he-IL"/>
      </w:rPr>
    </w:lvl>
    <w:lvl w:ilvl="1" w:tplc="FF728216" w:tentative="1">
      <w:start w:val="1"/>
      <w:numFmt w:val="bullet"/>
      <w:lvlText w:val="o"/>
      <w:lvlJc w:val="left"/>
      <w:pPr>
        <w:ind w:left="1080" w:hanging="360"/>
      </w:pPr>
      <w:rPr>
        <w:rFonts w:ascii="Courier New" w:hAnsi="Courier New" w:cs="Courier New" w:hint="default"/>
      </w:rPr>
    </w:lvl>
    <w:lvl w:ilvl="2" w:tplc="2DBC06AC" w:tentative="1">
      <w:start w:val="1"/>
      <w:numFmt w:val="bullet"/>
      <w:lvlText w:val=""/>
      <w:lvlJc w:val="left"/>
      <w:pPr>
        <w:ind w:left="1800" w:hanging="360"/>
      </w:pPr>
      <w:rPr>
        <w:rFonts w:ascii="Wingdings" w:hAnsi="Wingdings" w:hint="default"/>
      </w:rPr>
    </w:lvl>
    <w:lvl w:ilvl="3" w:tplc="44CC9D74" w:tentative="1">
      <w:start w:val="1"/>
      <w:numFmt w:val="bullet"/>
      <w:lvlText w:val=""/>
      <w:lvlJc w:val="left"/>
      <w:pPr>
        <w:ind w:left="2520" w:hanging="360"/>
      </w:pPr>
      <w:rPr>
        <w:rFonts w:ascii="Symbol" w:hAnsi="Symbol" w:hint="default"/>
      </w:rPr>
    </w:lvl>
    <w:lvl w:ilvl="4" w:tplc="D3284F14" w:tentative="1">
      <w:start w:val="1"/>
      <w:numFmt w:val="bullet"/>
      <w:lvlText w:val="o"/>
      <w:lvlJc w:val="left"/>
      <w:pPr>
        <w:ind w:left="3240" w:hanging="360"/>
      </w:pPr>
      <w:rPr>
        <w:rFonts w:ascii="Courier New" w:hAnsi="Courier New" w:cs="Courier New" w:hint="default"/>
      </w:rPr>
    </w:lvl>
    <w:lvl w:ilvl="5" w:tplc="2C02C66E" w:tentative="1">
      <w:start w:val="1"/>
      <w:numFmt w:val="bullet"/>
      <w:lvlText w:val=""/>
      <w:lvlJc w:val="left"/>
      <w:pPr>
        <w:ind w:left="3960" w:hanging="360"/>
      </w:pPr>
      <w:rPr>
        <w:rFonts w:ascii="Wingdings" w:hAnsi="Wingdings" w:hint="default"/>
      </w:rPr>
    </w:lvl>
    <w:lvl w:ilvl="6" w:tplc="0674D49E" w:tentative="1">
      <w:start w:val="1"/>
      <w:numFmt w:val="bullet"/>
      <w:lvlText w:val=""/>
      <w:lvlJc w:val="left"/>
      <w:pPr>
        <w:ind w:left="4680" w:hanging="360"/>
      </w:pPr>
      <w:rPr>
        <w:rFonts w:ascii="Symbol" w:hAnsi="Symbol" w:hint="default"/>
      </w:rPr>
    </w:lvl>
    <w:lvl w:ilvl="7" w:tplc="3F52BD7A" w:tentative="1">
      <w:start w:val="1"/>
      <w:numFmt w:val="bullet"/>
      <w:lvlText w:val="o"/>
      <w:lvlJc w:val="left"/>
      <w:pPr>
        <w:ind w:left="5400" w:hanging="360"/>
      </w:pPr>
      <w:rPr>
        <w:rFonts w:ascii="Courier New" w:hAnsi="Courier New" w:cs="Courier New" w:hint="default"/>
      </w:rPr>
    </w:lvl>
    <w:lvl w:ilvl="8" w:tplc="876E1FD2" w:tentative="1">
      <w:start w:val="1"/>
      <w:numFmt w:val="bullet"/>
      <w:lvlText w:val=""/>
      <w:lvlJc w:val="left"/>
      <w:pPr>
        <w:ind w:left="6120" w:hanging="360"/>
      </w:pPr>
      <w:rPr>
        <w:rFonts w:ascii="Wingdings" w:hAnsi="Wingdings" w:hint="default"/>
      </w:rPr>
    </w:lvl>
  </w:abstractNum>
  <w:abstractNum w:abstractNumId="12" w15:restartNumberingAfterBreak="0">
    <w:nsid w:val="392E622D"/>
    <w:multiLevelType w:val="hybridMultilevel"/>
    <w:tmpl w:val="4D483F10"/>
    <w:lvl w:ilvl="0" w:tplc="C882BE22">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lang w:bidi="he-IL"/>
      </w:rPr>
    </w:lvl>
    <w:lvl w:ilvl="1" w:tplc="D9C27C78" w:tentative="1">
      <w:start w:val="1"/>
      <w:numFmt w:val="bullet"/>
      <w:lvlText w:val="o"/>
      <w:lvlJc w:val="left"/>
      <w:pPr>
        <w:ind w:left="1837" w:hanging="360"/>
      </w:pPr>
      <w:rPr>
        <w:rFonts w:ascii="Courier New" w:hAnsi="Courier New" w:cs="Courier New" w:hint="default"/>
      </w:rPr>
    </w:lvl>
    <w:lvl w:ilvl="2" w:tplc="662283E8" w:tentative="1">
      <w:start w:val="1"/>
      <w:numFmt w:val="bullet"/>
      <w:lvlText w:val=""/>
      <w:lvlJc w:val="left"/>
      <w:pPr>
        <w:ind w:left="2557" w:hanging="360"/>
      </w:pPr>
      <w:rPr>
        <w:rFonts w:ascii="Wingdings" w:hAnsi="Wingdings" w:hint="default"/>
      </w:rPr>
    </w:lvl>
    <w:lvl w:ilvl="3" w:tplc="EF3EA802" w:tentative="1">
      <w:start w:val="1"/>
      <w:numFmt w:val="bullet"/>
      <w:lvlText w:val=""/>
      <w:lvlJc w:val="left"/>
      <w:pPr>
        <w:ind w:left="3277" w:hanging="360"/>
      </w:pPr>
      <w:rPr>
        <w:rFonts w:ascii="Symbol" w:hAnsi="Symbol" w:hint="default"/>
      </w:rPr>
    </w:lvl>
    <w:lvl w:ilvl="4" w:tplc="061848C6" w:tentative="1">
      <w:start w:val="1"/>
      <w:numFmt w:val="bullet"/>
      <w:lvlText w:val="o"/>
      <w:lvlJc w:val="left"/>
      <w:pPr>
        <w:ind w:left="3997" w:hanging="360"/>
      </w:pPr>
      <w:rPr>
        <w:rFonts w:ascii="Courier New" w:hAnsi="Courier New" w:cs="Courier New" w:hint="default"/>
      </w:rPr>
    </w:lvl>
    <w:lvl w:ilvl="5" w:tplc="3BE88EEC" w:tentative="1">
      <w:start w:val="1"/>
      <w:numFmt w:val="bullet"/>
      <w:lvlText w:val=""/>
      <w:lvlJc w:val="left"/>
      <w:pPr>
        <w:ind w:left="4717" w:hanging="360"/>
      </w:pPr>
      <w:rPr>
        <w:rFonts w:ascii="Wingdings" w:hAnsi="Wingdings" w:hint="default"/>
      </w:rPr>
    </w:lvl>
    <w:lvl w:ilvl="6" w:tplc="91B69234" w:tentative="1">
      <w:start w:val="1"/>
      <w:numFmt w:val="bullet"/>
      <w:lvlText w:val=""/>
      <w:lvlJc w:val="left"/>
      <w:pPr>
        <w:ind w:left="5437" w:hanging="360"/>
      </w:pPr>
      <w:rPr>
        <w:rFonts w:ascii="Symbol" w:hAnsi="Symbol" w:hint="default"/>
      </w:rPr>
    </w:lvl>
    <w:lvl w:ilvl="7" w:tplc="8150720E" w:tentative="1">
      <w:start w:val="1"/>
      <w:numFmt w:val="bullet"/>
      <w:lvlText w:val="o"/>
      <w:lvlJc w:val="left"/>
      <w:pPr>
        <w:ind w:left="6157" w:hanging="360"/>
      </w:pPr>
      <w:rPr>
        <w:rFonts w:ascii="Courier New" w:hAnsi="Courier New" w:cs="Courier New" w:hint="default"/>
      </w:rPr>
    </w:lvl>
    <w:lvl w:ilvl="8" w:tplc="0C8CDAEC" w:tentative="1">
      <w:start w:val="1"/>
      <w:numFmt w:val="bullet"/>
      <w:lvlText w:val=""/>
      <w:lvlJc w:val="left"/>
      <w:pPr>
        <w:ind w:left="6877" w:hanging="360"/>
      </w:pPr>
      <w:rPr>
        <w:rFonts w:ascii="Wingdings" w:hAnsi="Wingdings" w:hint="default"/>
      </w:rPr>
    </w:lvl>
  </w:abstractNum>
  <w:abstractNum w:abstractNumId="13" w15:restartNumberingAfterBreak="0">
    <w:nsid w:val="3A923526"/>
    <w:multiLevelType w:val="hybridMultilevel"/>
    <w:tmpl w:val="4E74417E"/>
    <w:lvl w:ilvl="0" w:tplc="EB54A402">
      <w:start w:val="1"/>
      <w:numFmt w:val="decimal"/>
      <w:pStyle w:val="a2"/>
      <w:lvlText w:val="תרשים %1:"/>
      <w:lvlJc w:val="left"/>
      <w:pPr>
        <w:ind w:left="1494" w:hanging="360"/>
      </w:pPr>
      <w:rPr>
        <w:rFonts w:ascii="Calibri" w:hAnsi="Calibri" w:cs="Calibri" w:hint="default"/>
        <w:b w:val="0"/>
        <w:bCs w:val="0"/>
        <w:i w:val="0"/>
        <w:iCs w:val="0"/>
        <w:color w:val="002060"/>
        <w:sz w:val="24"/>
        <w:szCs w:val="24"/>
      </w:rPr>
    </w:lvl>
    <w:lvl w:ilvl="1" w:tplc="59988DA6" w:tentative="1">
      <w:start w:val="1"/>
      <w:numFmt w:val="lowerLetter"/>
      <w:lvlText w:val="%2."/>
      <w:lvlJc w:val="left"/>
      <w:pPr>
        <w:ind w:left="2578" w:hanging="360"/>
      </w:pPr>
    </w:lvl>
    <w:lvl w:ilvl="2" w:tplc="82FA166E" w:tentative="1">
      <w:start w:val="1"/>
      <w:numFmt w:val="lowerRoman"/>
      <w:lvlText w:val="%3."/>
      <w:lvlJc w:val="right"/>
      <w:pPr>
        <w:ind w:left="3298" w:hanging="180"/>
      </w:pPr>
    </w:lvl>
    <w:lvl w:ilvl="3" w:tplc="E9842300" w:tentative="1">
      <w:start w:val="1"/>
      <w:numFmt w:val="decimal"/>
      <w:lvlText w:val="%4."/>
      <w:lvlJc w:val="left"/>
      <w:pPr>
        <w:ind w:left="4018" w:hanging="360"/>
      </w:pPr>
    </w:lvl>
    <w:lvl w:ilvl="4" w:tplc="3AF8C768" w:tentative="1">
      <w:start w:val="1"/>
      <w:numFmt w:val="lowerLetter"/>
      <w:lvlText w:val="%5."/>
      <w:lvlJc w:val="left"/>
      <w:pPr>
        <w:ind w:left="4738" w:hanging="360"/>
      </w:pPr>
    </w:lvl>
    <w:lvl w:ilvl="5" w:tplc="99583DFA" w:tentative="1">
      <w:start w:val="1"/>
      <w:numFmt w:val="lowerRoman"/>
      <w:lvlText w:val="%6."/>
      <w:lvlJc w:val="right"/>
      <w:pPr>
        <w:ind w:left="5458" w:hanging="180"/>
      </w:pPr>
    </w:lvl>
    <w:lvl w:ilvl="6" w:tplc="F95AAF56" w:tentative="1">
      <w:start w:val="1"/>
      <w:numFmt w:val="decimal"/>
      <w:lvlText w:val="%7."/>
      <w:lvlJc w:val="left"/>
      <w:pPr>
        <w:ind w:left="6178" w:hanging="360"/>
      </w:pPr>
    </w:lvl>
    <w:lvl w:ilvl="7" w:tplc="2CD8BB24" w:tentative="1">
      <w:start w:val="1"/>
      <w:numFmt w:val="lowerLetter"/>
      <w:lvlText w:val="%8."/>
      <w:lvlJc w:val="left"/>
      <w:pPr>
        <w:ind w:left="6898" w:hanging="360"/>
      </w:pPr>
    </w:lvl>
    <w:lvl w:ilvl="8" w:tplc="FC087994" w:tentative="1">
      <w:start w:val="1"/>
      <w:numFmt w:val="lowerRoman"/>
      <w:lvlText w:val="%9."/>
      <w:lvlJc w:val="right"/>
      <w:pPr>
        <w:ind w:left="7618" w:hanging="180"/>
      </w:pPr>
    </w:lvl>
  </w:abstractNum>
  <w:abstractNum w:abstractNumId="14" w15:restartNumberingAfterBreak="0">
    <w:nsid w:val="3B0B597E"/>
    <w:multiLevelType w:val="hybridMultilevel"/>
    <w:tmpl w:val="C582C6B2"/>
    <w:lvl w:ilvl="0" w:tplc="00341AC4">
      <w:numFmt w:val="bullet"/>
      <w:lvlText w:val="•"/>
      <w:lvlJc w:val="left"/>
      <w:pPr>
        <w:ind w:left="1003" w:hanging="360"/>
      </w:pPr>
      <w:rPr>
        <w:rFonts w:ascii="Tahoma" w:eastAsiaTheme="minorHAnsi" w:hAnsi="Tahoma" w:cs="Tahoma" w:hint="default"/>
        <w:b/>
        <w:i w:val="0"/>
        <w:caps w:val="0"/>
        <w:strike w:val="0"/>
        <w:dstrike w:val="0"/>
        <w:vanish w:val="0"/>
        <w:color w:val="FF0000"/>
        <w:position w:val="0"/>
        <w:sz w:val="21"/>
        <w:szCs w:val="25"/>
        <w:vertAlign w:val="baseline"/>
        <w14:ligatures w14:val="all"/>
        <w14:numForm w14:val="default"/>
        <w14:numSpacing w14:val="default"/>
        <w14:stylisticSets/>
      </w:rPr>
    </w:lvl>
    <w:lvl w:ilvl="1" w:tplc="1494B1E4">
      <w:numFmt w:val="bullet"/>
      <w:lvlText w:val="•"/>
      <w:lvlJc w:val="left"/>
      <w:pPr>
        <w:ind w:left="1528" w:hanging="165"/>
      </w:pPr>
      <w:rPr>
        <w:rFonts w:ascii="Tahoma" w:eastAsiaTheme="minorHAnsi" w:hAnsi="Tahoma" w:cs="Tahoma" w:hint="default"/>
        <w:b/>
        <w:color w:val="FF0000"/>
        <w:sz w:val="21"/>
      </w:rPr>
    </w:lvl>
    <w:lvl w:ilvl="2" w:tplc="F8E87C48" w:tentative="1">
      <w:start w:val="1"/>
      <w:numFmt w:val="bullet"/>
      <w:lvlText w:val=""/>
      <w:lvlJc w:val="left"/>
      <w:pPr>
        <w:ind w:left="2443" w:hanging="360"/>
      </w:pPr>
      <w:rPr>
        <w:rFonts w:ascii="Wingdings" w:hAnsi="Wingdings" w:hint="default"/>
      </w:rPr>
    </w:lvl>
    <w:lvl w:ilvl="3" w:tplc="468CF052" w:tentative="1">
      <w:start w:val="1"/>
      <w:numFmt w:val="bullet"/>
      <w:lvlText w:val=""/>
      <w:lvlJc w:val="left"/>
      <w:pPr>
        <w:ind w:left="3163" w:hanging="360"/>
      </w:pPr>
      <w:rPr>
        <w:rFonts w:ascii="Symbol" w:hAnsi="Symbol" w:hint="default"/>
      </w:rPr>
    </w:lvl>
    <w:lvl w:ilvl="4" w:tplc="2D0EC768" w:tentative="1">
      <w:start w:val="1"/>
      <w:numFmt w:val="bullet"/>
      <w:lvlText w:val="o"/>
      <w:lvlJc w:val="left"/>
      <w:pPr>
        <w:ind w:left="3883" w:hanging="360"/>
      </w:pPr>
      <w:rPr>
        <w:rFonts w:ascii="Courier New" w:hAnsi="Courier New" w:cs="Courier New" w:hint="default"/>
      </w:rPr>
    </w:lvl>
    <w:lvl w:ilvl="5" w:tplc="62D274AC" w:tentative="1">
      <w:start w:val="1"/>
      <w:numFmt w:val="bullet"/>
      <w:lvlText w:val=""/>
      <w:lvlJc w:val="left"/>
      <w:pPr>
        <w:ind w:left="4603" w:hanging="360"/>
      </w:pPr>
      <w:rPr>
        <w:rFonts w:ascii="Wingdings" w:hAnsi="Wingdings" w:hint="default"/>
      </w:rPr>
    </w:lvl>
    <w:lvl w:ilvl="6" w:tplc="85A212DE" w:tentative="1">
      <w:start w:val="1"/>
      <w:numFmt w:val="bullet"/>
      <w:lvlText w:val=""/>
      <w:lvlJc w:val="left"/>
      <w:pPr>
        <w:ind w:left="5323" w:hanging="360"/>
      </w:pPr>
      <w:rPr>
        <w:rFonts w:ascii="Symbol" w:hAnsi="Symbol" w:hint="default"/>
      </w:rPr>
    </w:lvl>
    <w:lvl w:ilvl="7" w:tplc="1158BF2A" w:tentative="1">
      <w:start w:val="1"/>
      <w:numFmt w:val="bullet"/>
      <w:lvlText w:val="o"/>
      <w:lvlJc w:val="left"/>
      <w:pPr>
        <w:ind w:left="6043" w:hanging="360"/>
      </w:pPr>
      <w:rPr>
        <w:rFonts w:ascii="Courier New" w:hAnsi="Courier New" w:cs="Courier New" w:hint="default"/>
      </w:rPr>
    </w:lvl>
    <w:lvl w:ilvl="8" w:tplc="3FC27B4C" w:tentative="1">
      <w:start w:val="1"/>
      <w:numFmt w:val="bullet"/>
      <w:lvlText w:val=""/>
      <w:lvlJc w:val="left"/>
      <w:pPr>
        <w:ind w:left="6763" w:hanging="360"/>
      </w:pPr>
      <w:rPr>
        <w:rFonts w:ascii="Wingdings" w:hAnsi="Wingdings" w:hint="default"/>
      </w:rPr>
    </w:lvl>
  </w:abstractNum>
  <w:abstractNum w:abstractNumId="15" w15:restartNumberingAfterBreak="0">
    <w:nsid w:val="3DFC3F2B"/>
    <w:multiLevelType w:val="hybridMultilevel"/>
    <w:tmpl w:val="27902D54"/>
    <w:lvl w:ilvl="0" w:tplc="2DBCCB8C">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rPr>
    </w:lvl>
    <w:lvl w:ilvl="1" w:tplc="531E28B6" w:tentative="1">
      <w:start w:val="1"/>
      <w:numFmt w:val="bullet"/>
      <w:lvlText w:val="o"/>
      <w:lvlJc w:val="left"/>
      <w:pPr>
        <w:ind w:left="1440" w:hanging="360"/>
      </w:pPr>
      <w:rPr>
        <w:rFonts w:ascii="Courier New" w:hAnsi="Courier New" w:cs="Courier New" w:hint="default"/>
      </w:rPr>
    </w:lvl>
    <w:lvl w:ilvl="2" w:tplc="252EA49E" w:tentative="1">
      <w:start w:val="1"/>
      <w:numFmt w:val="bullet"/>
      <w:lvlText w:val=""/>
      <w:lvlJc w:val="left"/>
      <w:pPr>
        <w:ind w:left="2160" w:hanging="360"/>
      </w:pPr>
      <w:rPr>
        <w:rFonts w:ascii="Wingdings" w:hAnsi="Wingdings" w:hint="default"/>
      </w:rPr>
    </w:lvl>
    <w:lvl w:ilvl="3" w:tplc="ADA05E64" w:tentative="1">
      <w:start w:val="1"/>
      <w:numFmt w:val="bullet"/>
      <w:lvlText w:val=""/>
      <w:lvlJc w:val="left"/>
      <w:pPr>
        <w:ind w:left="2880" w:hanging="360"/>
      </w:pPr>
      <w:rPr>
        <w:rFonts w:ascii="Symbol" w:hAnsi="Symbol" w:hint="default"/>
      </w:rPr>
    </w:lvl>
    <w:lvl w:ilvl="4" w:tplc="754ED1F0" w:tentative="1">
      <w:start w:val="1"/>
      <w:numFmt w:val="bullet"/>
      <w:lvlText w:val="o"/>
      <w:lvlJc w:val="left"/>
      <w:pPr>
        <w:ind w:left="3600" w:hanging="360"/>
      </w:pPr>
      <w:rPr>
        <w:rFonts w:ascii="Courier New" w:hAnsi="Courier New" w:cs="Courier New" w:hint="default"/>
      </w:rPr>
    </w:lvl>
    <w:lvl w:ilvl="5" w:tplc="6BDC6DA8" w:tentative="1">
      <w:start w:val="1"/>
      <w:numFmt w:val="bullet"/>
      <w:lvlText w:val=""/>
      <w:lvlJc w:val="left"/>
      <w:pPr>
        <w:ind w:left="4320" w:hanging="360"/>
      </w:pPr>
      <w:rPr>
        <w:rFonts w:ascii="Wingdings" w:hAnsi="Wingdings" w:hint="default"/>
      </w:rPr>
    </w:lvl>
    <w:lvl w:ilvl="6" w:tplc="57F4984C" w:tentative="1">
      <w:start w:val="1"/>
      <w:numFmt w:val="bullet"/>
      <w:lvlText w:val=""/>
      <w:lvlJc w:val="left"/>
      <w:pPr>
        <w:ind w:left="5040" w:hanging="360"/>
      </w:pPr>
      <w:rPr>
        <w:rFonts w:ascii="Symbol" w:hAnsi="Symbol" w:hint="default"/>
      </w:rPr>
    </w:lvl>
    <w:lvl w:ilvl="7" w:tplc="3C2A67A8" w:tentative="1">
      <w:start w:val="1"/>
      <w:numFmt w:val="bullet"/>
      <w:lvlText w:val="o"/>
      <w:lvlJc w:val="left"/>
      <w:pPr>
        <w:ind w:left="5760" w:hanging="360"/>
      </w:pPr>
      <w:rPr>
        <w:rFonts w:ascii="Courier New" w:hAnsi="Courier New" w:cs="Courier New" w:hint="default"/>
      </w:rPr>
    </w:lvl>
    <w:lvl w:ilvl="8" w:tplc="19A07C06" w:tentative="1">
      <w:start w:val="1"/>
      <w:numFmt w:val="bullet"/>
      <w:lvlText w:val=""/>
      <w:lvlJc w:val="left"/>
      <w:pPr>
        <w:ind w:left="6480" w:hanging="360"/>
      </w:pPr>
      <w:rPr>
        <w:rFonts w:ascii="Wingdings" w:hAnsi="Wingdings" w:hint="default"/>
      </w:rPr>
    </w:lvl>
  </w:abstractNum>
  <w:abstractNum w:abstractNumId="16" w15:restartNumberingAfterBreak="0">
    <w:nsid w:val="40DC7E01"/>
    <w:multiLevelType w:val="hybridMultilevel"/>
    <w:tmpl w:val="5D24C320"/>
    <w:lvl w:ilvl="0" w:tplc="0832B974">
      <w:start w:val="1"/>
      <w:numFmt w:val="decimal"/>
      <w:pStyle w:val="3"/>
      <w:lvlText w:val="%1.1.1"/>
      <w:lvlJc w:val="left"/>
      <w:pPr>
        <w:ind w:left="1854" w:hanging="360"/>
      </w:pPr>
      <w:rPr>
        <w:rFonts w:hint="default"/>
      </w:rPr>
    </w:lvl>
    <w:lvl w:ilvl="1" w:tplc="19D08F5A" w:tentative="1">
      <w:start w:val="1"/>
      <w:numFmt w:val="lowerLetter"/>
      <w:lvlText w:val="%2."/>
      <w:lvlJc w:val="left"/>
      <w:pPr>
        <w:ind w:left="2574" w:hanging="360"/>
      </w:pPr>
    </w:lvl>
    <w:lvl w:ilvl="2" w:tplc="EEDABCE0" w:tentative="1">
      <w:start w:val="1"/>
      <w:numFmt w:val="lowerRoman"/>
      <w:lvlText w:val="%3."/>
      <w:lvlJc w:val="right"/>
      <w:pPr>
        <w:ind w:left="3294" w:hanging="180"/>
      </w:pPr>
    </w:lvl>
    <w:lvl w:ilvl="3" w:tplc="93A21126" w:tentative="1">
      <w:start w:val="1"/>
      <w:numFmt w:val="decimal"/>
      <w:lvlText w:val="%4."/>
      <w:lvlJc w:val="left"/>
      <w:pPr>
        <w:ind w:left="4014" w:hanging="360"/>
      </w:pPr>
    </w:lvl>
    <w:lvl w:ilvl="4" w:tplc="1E089406" w:tentative="1">
      <w:start w:val="1"/>
      <w:numFmt w:val="lowerLetter"/>
      <w:lvlText w:val="%5."/>
      <w:lvlJc w:val="left"/>
      <w:pPr>
        <w:ind w:left="4734" w:hanging="360"/>
      </w:pPr>
    </w:lvl>
    <w:lvl w:ilvl="5" w:tplc="0E24C566" w:tentative="1">
      <w:start w:val="1"/>
      <w:numFmt w:val="lowerRoman"/>
      <w:lvlText w:val="%6."/>
      <w:lvlJc w:val="right"/>
      <w:pPr>
        <w:ind w:left="5454" w:hanging="180"/>
      </w:pPr>
    </w:lvl>
    <w:lvl w:ilvl="6" w:tplc="4EB62EA4" w:tentative="1">
      <w:start w:val="1"/>
      <w:numFmt w:val="decimal"/>
      <w:lvlText w:val="%7."/>
      <w:lvlJc w:val="left"/>
      <w:pPr>
        <w:ind w:left="6174" w:hanging="360"/>
      </w:pPr>
    </w:lvl>
    <w:lvl w:ilvl="7" w:tplc="A5368160" w:tentative="1">
      <w:start w:val="1"/>
      <w:numFmt w:val="lowerLetter"/>
      <w:lvlText w:val="%8."/>
      <w:lvlJc w:val="left"/>
      <w:pPr>
        <w:ind w:left="6894" w:hanging="360"/>
      </w:pPr>
    </w:lvl>
    <w:lvl w:ilvl="8" w:tplc="D0A293B2" w:tentative="1">
      <w:start w:val="1"/>
      <w:numFmt w:val="lowerRoman"/>
      <w:lvlText w:val="%9."/>
      <w:lvlJc w:val="right"/>
      <w:pPr>
        <w:ind w:left="7614" w:hanging="180"/>
      </w:pPr>
    </w:lvl>
  </w:abstractNum>
  <w:abstractNum w:abstractNumId="17" w15:restartNumberingAfterBreak="0">
    <w:nsid w:val="441A6670"/>
    <w:multiLevelType w:val="hybridMultilevel"/>
    <w:tmpl w:val="369C82D6"/>
    <w:lvl w:ilvl="0" w:tplc="C5C6EA24">
      <w:start w:val="1"/>
      <w:numFmt w:val="hebrew1"/>
      <w:pStyle w:val="30"/>
      <w:lvlText w:val="%1."/>
      <w:lvlJc w:val="center"/>
      <w:pPr>
        <w:ind w:left="2705" w:hanging="360"/>
      </w:pPr>
    </w:lvl>
    <w:lvl w:ilvl="1" w:tplc="043A797C" w:tentative="1">
      <w:start w:val="1"/>
      <w:numFmt w:val="lowerLetter"/>
      <w:lvlText w:val="%2."/>
      <w:lvlJc w:val="left"/>
      <w:pPr>
        <w:ind w:left="3425" w:hanging="360"/>
      </w:pPr>
    </w:lvl>
    <w:lvl w:ilvl="2" w:tplc="FDBE140C" w:tentative="1">
      <w:start w:val="1"/>
      <w:numFmt w:val="lowerRoman"/>
      <w:lvlText w:val="%3."/>
      <w:lvlJc w:val="right"/>
      <w:pPr>
        <w:ind w:left="4145" w:hanging="180"/>
      </w:pPr>
    </w:lvl>
    <w:lvl w:ilvl="3" w:tplc="9678E576" w:tentative="1">
      <w:start w:val="1"/>
      <w:numFmt w:val="decimal"/>
      <w:lvlText w:val="%4."/>
      <w:lvlJc w:val="left"/>
      <w:pPr>
        <w:ind w:left="4865" w:hanging="360"/>
      </w:pPr>
    </w:lvl>
    <w:lvl w:ilvl="4" w:tplc="618EF346" w:tentative="1">
      <w:start w:val="1"/>
      <w:numFmt w:val="lowerLetter"/>
      <w:lvlText w:val="%5."/>
      <w:lvlJc w:val="left"/>
      <w:pPr>
        <w:ind w:left="5585" w:hanging="360"/>
      </w:pPr>
    </w:lvl>
    <w:lvl w:ilvl="5" w:tplc="7428B7F6" w:tentative="1">
      <w:start w:val="1"/>
      <w:numFmt w:val="lowerRoman"/>
      <w:lvlText w:val="%6."/>
      <w:lvlJc w:val="right"/>
      <w:pPr>
        <w:ind w:left="6305" w:hanging="180"/>
      </w:pPr>
    </w:lvl>
    <w:lvl w:ilvl="6" w:tplc="053E9288" w:tentative="1">
      <w:start w:val="1"/>
      <w:numFmt w:val="decimal"/>
      <w:lvlText w:val="%7."/>
      <w:lvlJc w:val="left"/>
      <w:pPr>
        <w:ind w:left="7025" w:hanging="360"/>
      </w:pPr>
    </w:lvl>
    <w:lvl w:ilvl="7" w:tplc="EBFCD4CC" w:tentative="1">
      <w:start w:val="1"/>
      <w:numFmt w:val="lowerLetter"/>
      <w:lvlText w:val="%8."/>
      <w:lvlJc w:val="left"/>
      <w:pPr>
        <w:ind w:left="7745" w:hanging="360"/>
      </w:pPr>
    </w:lvl>
    <w:lvl w:ilvl="8" w:tplc="0F12A3F6" w:tentative="1">
      <w:start w:val="1"/>
      <w:numFmt w:val="lowerRoman"/>
      <w:lvlText w:val="%9."/>
      <w:lvlJc w:val="right"/>
      <w:pPr>
        <w:ind w:left="8465" w:hanging="180"/>
      </w:pPr>
    </w:lvl>
  </w:abstractNum>
  <w:abstractNum w:abstractNumId="18" w15:restartNumberingAfterBreak="0">
    <w:nsid w:val="4DD35436"/>
    <w:multiLevelType w:val="hybridMultilevel"/>
    <w:tmpl w:val="EC1EC164"/>
    <w:lvl w:ilvl="0" w:tplc="7A4E6818">
      <w:start w:val="1"/>
      <w:numFmt w:val="decimal"/>
      <w:pStyle w:val="2"/>
      <w:lvlText w:val="%1.1"/>
      <w:lvlJc w:val="left"/>
      <w:pPr>
        <w:ind w:left="1860" w:hanging="360"/>
      </w:pPr>
      <w:rPr>
        <w:rFonts w:hint="default"/>
      </w:rPr>
    </w:lvl>
    <w:lvl w:ilvl="1" w:tplc="C1EAE648" w:tentative="1">
      <w:start w:val="1"/>
      <w:numFmt w:val="lowerLetter"/>
      <w:lvlText w:val="%2."/>
      <w:lvlJc w:val="left"/>
      <w:pPr>
        <w:ind w:left="2580" w:hanging="360"/>
      </w:pPr>
    </w:lvl>
    <w:lvl w:ilvl="2" w:tplc="1BC0DFA2" w:tentative="1">
      <w:start w:val="1"/>
      <w:numFmt w:val="lowerRoman"/>
      <w:lvlText w:val="%3."/>
      <w:lvlJc w:val="right"/>
      <w:pPr>
        <w:ind w:left="3300" w:hanging="180"/>
      </w:pPr>
    </w:lvl>
    <w:lvl w:ilvl="3" w:tplc="D7BE3C76" w:tentative="1">
      <w:start w:val="1"/>
      <w:numFmt w:val="decimal"/>
      <w:lvlText w:val="%4."/>
      <w:lvlJc w:val="left"/>
      <w:pPr>
        <w:ind w:left="4020" w:hanging="360"/>
      </w:pPr>
    </w:lvl>
    <w:lvl w:ilvl="4" w:tplc="E35E12E0" w:tentative="1">
      <w:start w:val="1"/>
      <w:numFmt w:val="lowerLetter"/>
      <w:lvlText w:val="%5."/>
      <w:lvlJc w:val="left"/>
      <w:pPr>
        <w:ind w:left="4740" w:hanging="360"/>
      </w:pPr>
    </w:lvl>
    <w:lvl w:ilvl="5" w:tplc="72245E1E" w:tentative="1">
      <w:start w:val="1"/>
      <w:numFmt w:val="lowerRoman"/>
      <w:lvlText w:val="%6."/>
      <w:lvlJc w:val="right"/>
      <w:pPr>
        <w:ind w:left="5460" w:hanging="180"/>
      </w:pPr>
    </w:lvl>
    <w:lvl w:ilvl="6" w:tplc="12ACC07C" w:tentative="1">
      <w:start w:val="1"/>
      <w:numFmt w:val="decimal"/>
      <w:lvlText w:val="%7."/>
      <w:lvlJc w:val="left"/>
      <w:pPr>
        <w:ind w:left="6180" w:hanging="360"/>
      </w:pPr>
    </w:lvl>
    <w:lvl w:ilvl="7" w:tplc="E0E41D94" w:tentative="1">
      <w:start w:val="1"/>
      <w:numFmt w:val="lowerLetter"/>
      <w:lvlText w:val="%8."/>
      <w:lvlJc w:val="left"/>
      <w:pPr>
        <w:ind w:left="6900" w:hanging="360"/>
      </w:pPr>
    </w:lvl>
    <w:lvl w:ilvl="8" w:tplc="24E0FA28" w:tentative="1">
      <w:start w:val="1"/>
      <w:numFmt w:val="lowerRoman"/>
      <w:lvlText w:val="%9."/>
      <w:lvlJc w:val="right"/>
      <w:pPr>
        <w:ind w:left="7620" w:hanging="180"/>
      </w:pPr>
    </w:lvl>
  </w:abstractNum>
  <w:abstractNum w:abstractNumId="19" w15:restartNumberingAfterBreak="0">
    <w:nsid w:val="59F011FB"/>
    <w:multiLevelType w:val="hybridMultilevel"/>
    <w:tmpl w:val="FBB8779C"/>
    <w:lvl w:ilvl="0" w:tplc="02467CF8">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lang w:bidi="he-IL"/>
      </w:rPr>
    </w:lvl>
    <w:lvl w:ilvl="1" w:tplc="C2560EBA" w:tentative="1">
      <w:start w:val="1"/>
      <w:numFmt w:val="bullet"/>
      <w:lvlText w:val="o"/>
      <w:lvlJc w:val="left"/>
      <w:pPr>
        <w:ind w:left="1440" w:hanging="360"/>
      </w:pPr>
      <w:rPr>
        <w:rFonts w:ascii="Courier New" w:hAnsi="Courier New" w:cs="Courier New" w:hint="default"/>
      </w:rPr>
    </w:lvl>
    <w:lvl w:ilvl="2" w:tplc="39B086C2" w:tentative="1">
      <w:start w:val="1"/>
      <w:numFmt w:val="bullet"/>
      <w:lvlText w:val=""/>
      <w:lvlJc w:val="left"/>
      <w:pPr>
        <w:ind w:left="2160" w:hanging="360"/>
      </w:pPr>
      <w:rPr>
        <w:rFonts w:ascii="Wingdings" w:hAnsi="Wingdings" w:hint="default"/>
      </w:rPr>
    </w:lvl>
    <w:lvl w:ilvl="3" w:tplc="49B8A30C" w:tentative="1">
      <w:start w:val="1"/>
      <w:numFmt w:val="bullet"/>
      <w:lvlText w:val=""/>
      <w:lvlJc w:val="left"/>
      <w:pPr>
        <w:ind w:left="2880" w:hanging="360"/>
      </w:pPr>
      <w:rPr>
        <w:rFonts w:ascii="Symbol" w:hAnsi="Symbol" w:hint="default"/>
      </w:rPr>
    </w:lvl>
    <w:lvl w:ilvl="4" w:tplc="6BCE3440" w:tentative="1">
      <w:start w:val="1"/>
      <w:numFmt w:val="bullet"/>
      <w:lvlText w:val="o"/>
      <w:lvlJc w:val="left"/>
      <w:pPr>
        <w:ind w:left="3600" w:hanging="360"/>
      </w:pPr>
      <w:rPr>
        <w:rFonts w:ascii="Courier New" w:hAnsi="Courier New" w:cs="Courier New" w:hint="default"/>
      </w:rPr>
    </w:lvl>
    <w:lvl w:ilvl="5" w:tplc="DF8CAB42" w:tentative="1">
      <w:start w:val="1"/>
      <w:numFmt w:val="bullet"/>
      <w:lvlText w:val=""/>
      <w:lvlJc w:val="left"/>
      <w:pPr>
        <w:ind w:left="4320" w:hanging="360"/>
      </w:pPr>
      <w:rPr>
        <w:rFonts w:ascii="Wingdings" w:hAnsi="Wingdings" w:hint="default"/>
      </w:rPr>
    </w:lvl>
    <w:lvl w:ilvl="6" w:tplc="B544743C" w:tentative="1">
      <w:start w:val="1"/>
      <w:numFmt w:val="bullet"/>
      <w:lvlText w:val=""/>
      <w:lvlJc w:val="left"/>
      <w:pPr>
        <w:ind w:left="5040" w:hanging="360"/>
      </w:pPr>
      <w:rPr>
        <w:rFonts w:ascii="Symbol" w:hAnsi="Symbol" w:hint="default"/>
      </w:rPr>
    </w:lvl>
    <w:lvl w:ilvl="7" w:tplc="7C1A751E" w:tentative="1">
      <w:start w:val="1"/>
      <w:numFmt w:val="bullet"/>
      <w:lvlText w:val="o"/>
      <w:lvlJc w:val="left"/>
      <w:pPr>
        <w:ind w:left="5760" w:hanging="360"/>
      </w:pPr>
      <w:rPr>
        <w:rFonts w:ascii="Courier New" w:hAnsi="Courier New" w:cs="Courier New" w:hint="default"/>
      </w:rPr>
    </w:lvl>
    <w:lvl w:ilvl="8" w:tplc="9DFC61DC" w:tentative="1">
      <w:start w:val="1"/>
      <w:numFmt w:val="bullet"/>
      <w:lvlText w:val=""/>
      <w:lvlJc w:val="left"/>
      <w:pPr>
        <w:ind w:left="6480" w:hanging="360"/>
      </w:pPr>
      <w:rPr>
        <w:rFonts w:ascii="Wingdings" w:hAnsi="Wingdings" w:hint="default"/>
      </w:rPr>
    </w:lvl>
  </w:abstractNum>
  <w:abstractNum w:abstractNumId="20" w15:restartNumberingAfterBreak="0">
    <w:nsid w:val="6079445E"/>
    <w:multiLevelType w:val="hybridMultilevel"/>
    <w:tmpl w:val="CDCA638E"/>
    <w:lvl w:ilvl="0" w:tplc="429CB010">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lang w:bidi="he-IL"/>
      </w:rPr>
    </w:lvl>
    <w:lvl w:ilvl="1" w:tplc="FD1EF0D8" w:tentative="1">
      <w:start w:val="1"/>
      <w:numFmt w:val="bullet"/>
      <w:lvlText w:val="o"/>
      <w:lvlJc w:val="left"/>
      <w:pPr>
        <w:ind w:left="1080" w:hanging="360"/>
      </w:pPr>
      <w:rPr>
        <w:rFonts w:ascii="Courier New" w:hAnsi="Courier New" w:cs="Courier New" w:hint="default"/>
      </w:rPr>
    </w:lvl>
    <w:lvl w:ilvl="2" w:tplc="50BC8F94" w:tentative="1">
      <w:start w:val="1"/>
      <w:numFmt w:val="bullet"/>
      <w:lvlText w:val=""/>
      <w:lvlJc w:val="left"/>
      <w:pPr>
        <w:ind w:left="1800" w:hanging="360"/>
      </w:pPr>
      <w:rPr>
        <w:rFonts w:ascii="Wingdings" w:hAnsi="Wingdings" w:hint="default"/>
      </w:rPr>
    </w:lvl>
    <w:lvl w:ilvl="3" w:tplc="C052BE52" w:tentative="1">
      <w:start w:val="1"/>
      <w:numFmt w:val="bullet"/>
      <w:lvlText w:val=""/>
      <w:lvlJc w:val="left"/>
      <w:pPr>
        <w:ind w:left="2520" w:hanging="360"/>
      </w:pPr>
      <w:rPr>
        <w:rFonts w:ascii="Symbol" w:hAnsi="Symbol" w:hint="default"/>
      </w:rPr>
    </w:lvl>
    <w:lvl w:ilvl="4" w:tplc="CB9EF022" w:tentative="1">
      <w:start w:val="1"/>
      <w:numFmt w:val="bullet"/>
      <w:lvlText w:val="o"/>
      <w:lvlJc w:val="left"/>
      <w:pPr>
        <w:ind w:left="3240" w:hanging="360"/>
      </w:pPr>
      <w:rPr>
        <w:rFonts w:ascii="Courier New" w:hAnsi="Courier New" w:cs="Courier New" w:hint="default"/>
      </w:rPr>
    </w:lvl>
    <w:lvl w:ilvl="5" w:tplc="036A7524" w:tentative="1">
      <w:start w:val="1"/>
      <w:numFmt w:val="bullet"/>
      <w:lvlText w:val=""/>
      <w:lvlJc w:val="left"/>
      <w:pPr>
        <w:ind w:left="3960" w:hanging="360"/>
      </w:pPr>
      <w:rPr>
        <w:rFonts w:ascii="Wingdings" w:hAnsi="Wingdings" w:hint="default"/>
      </w:rPr>
    </w:lvl>
    <w:lvl w:ilvl="6" w:tplc="3F783808" w:tentative="1">
      <w:start w:val="1"/>
      <w:numFmt w:val="bullet"/>
      <w:lvlText w:val=""/>
      <w:lvlJc w:val="left"/>
      <w:pPr>
        <w:ind w:left="4680" w:hanging="360"/>
      </w:pPr>
      <w:rPr>
        <w:rFonts w:ascii="Symbol" w:hAnsi="Symbol" w:hint="default"/>
      </w:rPr>
    </w:lvl>
    <w:lvl w:ilvl="7" w:tplc="1DFC937C" w:tentative="1">
      <w:start w:val="1"/>
      <w:numFmt w:val="bullet"/>
      <w:lvlText w:val="o"/>
      <w:lvlJc w:val="left"/>
      <w:pPr>
        <w:ind w:left="5400" w:hanging="360"/>
      </w:pPr>
      <w:rPr>
        <w:rFonts w:ascii="Courier New" w:hAnsi="Courier New" w:cs="Courier New" w:hint="default"/>
      </w:rPr>
    </w:lvl>
    <w:lvl w:ilvl="8" w:tplc="6512EBE8" w:tentative="1">
      <w:start w:val="1"/>
      <w:numFmt w:val="bullet"/>
      <w:lvlText w:val=""/>
      <w:lvlJc w:val="left"/>
      <w:pPr>
        <w:ind w:left="6120" w:hanging="360"/>
      </w:pPr>
      <w:rPr>
        <w:rFonts w:ascii="Wingdings" w:hAnsi="Wingdings" w:hint="default"/>
      </w:rPr>
    </w:lvl>
  </w:abstractNum>
  <w:abstractNum w:abstractNumId="21" w15:restartNumberingAfterBreak="0">
    <w:nsid w:val="65D5678F"/>
    <w:multiLevelType w:val="hybridMultilevel"/>
    <w:tmpl w:val="8844FB18"/>
    <w:lvl w:ilvl="0" w:tplc="4AF60F5A">
      <w:start w:val="1"/>
      <w:numFmt w:val="bullet"/>
      <w:lvlText w:val=""/>
      <w:lvlJc w:val="left"/>
      <w:pPr>
        <w:ind w:left="1080" w:hanging="360"/>
      </w:pPr>
      <w:rPr>
        <w:rFonts w:ascii="Symbol" w:hAnsi="Symbol" w:hint="default"/>
        <w:color w:val="FF0000"/>
        <w:lang w:val="en-US"/>
      </w:rPr>
    </w:lvl>
    <w:lvl w:ilvl="1" w:tplc="5776A818" w:tentative="1">
      <w:start w:val="1"/>
      <w:numFmt w:val="lowerLetter"/>
      <w:lvlText w:val="%2."/>
      <w:lvlJc w:val="left"/>
      <w:pPr>
        <w:ind w:left="1800" w:hanging="360"/>
      </w:pPr>
    </w:lvl>
    <w:lvl w:ilvl="2" w:tplc="44C0D0AE" w:tentative="1">
      <w:start w:val="1"/>
      <w:numFmt w:val="lowerRoman"/>
      <w:lvlText w:val="%3."/>
      <w:lvlJc w:val="right"/>
      <w:pPr>
        <w:ind w:left="2520" w:hanging="180"/>
      </w:pPr>
    </w:lvl>
    <w:lvl w:ilvl="3" w:tplc="2780DA22" w:tentative="1">
      <w:start w:val="1"/>
      <w:numFmt w:val="decimal"/>
      <w:lvlText w:val="%4."/>
      <w:lvlJc w:val="left"/>
      <w:pPr>
        <w:ind w:left="3240" w:hanging="360"/>
      </w:pPr>
    </w:lvl>
    <w:lvl w:ilvl="4" w:tplc="F75C2932" w:tentative="1">
      <w:start w:val="1"/>
      <w:numFmt w:val="lowerLetter"/>
      <w:lvlText w:val="%5."/>
      <w:lvlJc w:val="left"/>
      <w:pPr>
        <w:ind w:left="3960" w:hanging="360"/>
      </w:pPr>
    </w:lvl>
    <w:lvl w:ilvl="5" w:tplc="C74C3B3E" w:tentative="1">
      <w:start w:val="1"/>
      <w:numFmt w:val="lowerRoman"/>
      <w:lvlText w:val="%6."/>
      <w:lvlJc w:val="right"/>
      <w:pPr>
        <w:ind w:left="4680" w:hanging="180"/>
      </w:pPr>
    </w:lvl>
    <w:lvl w:ilvl="6" w:tplc="1DCC7D52" w:tentative="1">
      <w:start w:val="1"/>
      <w:numFmt w:val="decimal"/>
      <w:lvlText w:val="%7."/>
      <w:lvlJc w:val="left"/>
      <w:pPr>
        <w:ind w:left="5400" w:hanging="360"/>
      </w:pPr>
    </w:lvl>
    <w:lvl w:ilvl="7" w:tplc="47E2FC74" w:tentative="1">
      <w:start w:val="1"/>
      <w:numFmt w:val="lowerLetter"/>
      <w:lvlText w:val="%8."/>
      <w:lvlJc w:val="left"/>
      <w:pPr>
        <w:ind w:left="6120" w:hanging="360"/>
      </w:pPr>
    </w:lvl>
    <w:lvl w:ilvl="8" w:tplc="9D462710" w:tentative="1">
      <w:start w:val="1"/>
      <w:numFmt w:val="lowerRoman"/>
      <w:lvlText w:val="%9."/>
      <w:lvlJc w:val="right"/>
      <w:pPr>
        <w:ind w:left="6840" w:hanging="180"/>
      </w:pPr>
    </w:lvl>
  </w:abstractNum>
  <w:abstractNum w:abstractNumId="22" w15:restartNumberingAfterBreak="0">
    <w:nsid w:val="665B09CB"/>
    <w:multiLevelType w:val="hybridMultilevel"/>
    <w:tmpl w:val="F98283A0"/>
    <w:lvl w:ilvl="0" w:tplc="DD102DDE">
      <w:start w:val="1"/>
      <w:numFmt w:val="bullet"/>
      <w:pStyle w:val="5"/>
      <w:lvlText w:val=""/>
      <w:lvlJc w:val="left"/>
      <w:pPr>
        <w:ind w:left="1854" w:hanging="360"/>
      </w:pPr>
      <w:rPr>
        <w:rFonts w:ascii="Wingdings" w:hAnsi="Wingdings" w:hint="default"/>
        <w:color w:val="FFF400"/>
      </w:rPr>
    </w:lvl>
    <w:lvl w:ilvl="1" w:tplc="FBC666D6" w:tentative="1">
      <w:start w:val="1"/>
      <w:numFmt w:val="lowerLetter"/>
      <w:lvlText w:val="%2."/>
      <w:lvlJc w:val="left"/>
      <w:pPr>
        <w:ind w:left="2574" w:hanging="360"/>
      </w:pPr>
    </w:lvl>
    <w:lvl w:ilvl="2" w:tplc="885EED60" w:tentative="1">
      <w:start w:val="1"/>
      <w:numFmt w:val="lowerRoman"/>
      <w:lvlText w:val="%3."/>
      <w:lvlJc w:val="right"/>
      <w:pPr>
        <w:ind w:left="3294" w:hanging="180"/>
      </w:pPr>
    </w:lvl>
    <w:lvl w:ilvl="3" w:tplc="16F050CC" w:tentative="1">
      <w:start w:val="1"/>
      <w:numFmt w:val="decimal"/>
      <w:lvlText w:val="%4."/>
      <w:lvlJc w:val="left"/>
      <w:pPr>
        <w:ind w:left="4014" w:hanging="360"/>
      </w:pPr>
    </w:lvl>
    <w:lvl w:ilvl="4" w:tplc="FD2C2C4A" w:tentative="1">
      <w:start w:val="1"/>
      <w:numFmt w:val="lowerLetter"/>
      <w:lvlText w:val="%5."/>
      <w:lvlJc w:val="left"/>
      <w:pPr>
        <w:ind w:left="4734" w:hanging="360"/>
      </w:pPr>
    </w:lvl>
    <w:lvl w:ilvl="5" w:tplc="A28A1B94" w:tentative="1">
      <w:start w:val="1"/>
      <w:numFmt w:val="lowerRoman"/>
      <w:lvlText w:val="%6."/>
      <w:lvlJc w:val="right"/>
      <w:pPr>
        <w:ind w:left="5454" w:hanging="180"/>
      </w:pPr>
    </w:lvl>
    <w:lvl w:ilvl="6" w:tplc="7A1C02A0" w:tentative="1">
      <w:start w:val="1"/>
      <w:numFmt w:val="decimal"/>
      <w:lvlText w:val="%7."/>
      <w:lvlJc w:val="left"/>
      <w:pPr>
        <w:ind w:left="6174" w:hanging="360"/>
      </w:pPr>
    </w:lvl>
    <w:lvl w:ilvl="7" w:tplc="2E0A939A" w:tentative="1">
      <w:start w:val="1"/>
      <w:numFmt w:val="lowerLetter"/>
      <w:lvlText w:val="%8."/>
      <w:lvlJc w:val="left"/>
      <w:pPr>
        <w:ind w:left="6894" w:hanging="360"/>
      </w:pPr>
    </w:lvl>
    <w:lvl w:ilvl="8" w:tplc="03A41422" w:tentative="1">
      <w:start w:val="1"/>
      <w:numFmt w:val="lowerRoman"/>
      <w:lvlText w:val="%9."/>
      <w:lvlJc w:val="right"/>
      <w:pPr>
        <w:ind w:left="7614" w:hanging="180"/>
      </w:pPr>
    </w:lvl>
  </w:abstractNum>
  <w:abstractNum w:abstractNumId="23" w15:restartNumberingAfterBreak="0">
    <w:nsid w:val="6699458C"/>
    <w:multiLevelType w:val="hybridMultilevel"/>
    <w:tmpl w:val="B9E2BA98"/>
    <w:lvl w:ilvl="0" w:tplc="B0564092">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8F6EE154" w:tentative="1">
      <w:start w:val="1"/>
      <w:numFmt w:val="bullet"/>
      <w:lvlText w:val="o"/>
      <w:lvlJc w:val="left"/>
      <w:pPr>
        <w:ind w:left="1080" w:hanging="360"/>
      </w:pPr>
      <w:rPr>
        <w:rFonts w:ascii="Courier New" w:hAnsi="Courier New" w:cs="Courier New" w:hint="default"/>
      </w:rPr>
    </w:lvl>
    <w:lvl w:ilvl="2" w:tplc="034607C4" w:tentative="1">
      <w:start w:val="1"/>
      <w:numFmt w:val="bullet"/>
      <w:lvlText w:val=""/>
      <w:lvlJc w:val="left"/>
      <w:pPr>
        <w:ind w:left="1800" w:hanging="360"/>
      </w:pPr>
      <w:rPr>
        <w:rFonts w:ascii="Wingdings" w:hAnsi="Wingdings" w:hint="default"/>
      </w:rPr>
    </w:lvl>
    <w:lvl w:ilvl="3" w:tplc="66369092" w:tentative="1">
      <w:start w:val="1"/>
      <w:numFmt w:val="bullet"/>
      <w:lvlText w:val=""/>
      <w:lvlJc w:val="left"/>
      <w:pPr>
        <w:ind w:left="2520" w:hanging="360"/>
      </w:pPr>
      <w:rPr>
        <w:rFonts w:ascii="Symbol" w:hAnsi="Symbol" w:hint="default"/>
      </w:rPr>
    </w:lvl>
    <w:lvl w:ilvl="4" w:tplc="AB3CCE0E" w:tentative="1">
      <w:start w:val="1"/>
      <w:numFmt w:val="bullet"/>
      <w:lvlText w:val="o"/>
      <w:lvlJc w:val="left"/>
      <w:pPr>
        <w:ind w:left="3240" w:hanging="360"/>
      </w:pPr>
      <w:rPr>
        <w:rFonts w:ascii="Courier New" w:hAnsi="Courier New" w:cs="Courier New" w:hint="default"/>
      </w:rPr>
    </w:lvl>
    <w:lvl w:ilvl="5" w:tplc="856C2816" w:tentative="1">
      <w:start w:val="1"/>
      <w:numFmt w:val="bullet"/>
      <w:lvlText w:val=""/>
      <w:lvlJc w:val="left"/>
      <w:pPr>
        <w:ind w:left="3960" w:hanging="360"/>
      </w:pPr>
      <w:rPr>
        <w:rFonts w:ascii="Wingdings" w:hAnsi="Wingdings" w:hint="default"/>
      </w:rPr>
    </w:lvl>
    <w:lvl w:ilvl="6" w:tplc="5652F9D2" w:tentative="1">
      <w:start w:val="1"/>
      <w:numFmt w:val="bullet"/>
      <w:lvlText w:val=""/>
      <w:lvlJc w:val="left"/>
      <w:pPr>
        <w:ind w:left="4680" w:hanging="360"/>
      </w:pPr>
      <w:rPr>
        <w:rFonts w:ascii="Symbol" w:hAnsi="Symbol" w:hint="default"/>
      </w:rPr>
    </w:lvl>
    <w:lvl w:ilvl="7" w:tplc="81A03430" w:tentative="1">
      <w:start w:val="1"/>
      <w:numFmt w:val="bullet"/>
      <w:lvlText w:val="o"/>
      <w:lvlJc w:val="left"/>
      <w:pPr>
        <w:ind w:left="5400" w:hanging="360"/>
      </w:pPr>
      <w:rPr>
        <w:rFonts w:ascii="Courier New" w:hAnsi="Courier New" w:cs="Courier New" w:hint="default"/>
      </w:rPr>
    </w:lvl>
    <w:lvl w:ilvl="8" w:tplc="9AA40BD4" w:tentative="1">
      <w:start w:val="1"/>
      <w:numFmt w:val="bullet"/>
      <w:lvlText w:val=""/>
      <w:lvlJc w:val="left"/>
      <w:pPr>
        <w:ind w:left="6120" w:hanging="360"/>
      </w:pPr>
      <w:rPr>
        <w:rFonts w:ascii="Wingdings" w:hAnsi="Wingdings" w:hint="default"/>
      </w:rPr>
    </w:lvl>
  </w:abstractNum>
  <w:abstractNum w:abstractNumId="24" w15:restartNumberingAfterBreak="0">
    <w:nsid w:val="778F7677"/>
    <w:multiLevelType w:val="hybridMultilevel"/>
    <w:tmpl w:val="257EC434"/>
    <w:lvl w:ilvl="0" w:tplc="5992A226">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180E49DE" w:tentative="1">
      <w:start w:val="1"/>
      <w:numFmt w:val="bullet"/>
      <w:lvlText w:val="o"/>
      <w:lvlJc w:val="left"/>
      <w:pPr>
        <w:ind w:left="1440" w:hanging="360"/>
      </w:pPr>
      <w:rPr>
        <w:rFonts w:ascii="Courier New" w:hAnsi="Courier New" w:cs="Courier New" w:hint="default"/>
      </w:rPr>
    </w:lvl>
    <w:lvl w:ilvl="2" w:tplc="5AD88EF4" w:tentative="1">
      <w:start w:val="1"/>
      <w:numFmt w:val="bullet"/>
      <w:lvlText w:val=""/>
      <w:lvlJc w:val="left"/>
      <w:pPr>
        <w:ind w:left="2160" w:hanging="360"/>
      </w:pPr>
      <w:rPr>
        <w:rFonts w:ascii="Wingdings" w:hAnsi="Wingdings" w:hint="default"/>
      </w:rPr>
    </w:lvl>
    <w:lvl w:ilvl="3" w:tplc="BCF240EA" w:tentative="1">
      <w:start w:val="1"/>
      <w:numFmt w:val="bullet"/>
      <w:lvlText w:val=""/>
      <w:lvlJc w:val="left"/>
      <w:pPr>
        <w:ind w:left="2880" w:hanging="360"/>
      </w:pPr>
      <w:rPr>
        <w:rFonts w:ascii="Symbol" w:hAnsi="Symbol" w:hint="default"/>
      </w:rPr>
    </w:lvl>
    <w:lvl w:ilvl="4" w:tplc="D8F25C9C" w:tentative="1">
      <w:start w:val="1"/>
      <w:numFmt w:val="bullet"/>
      <w:lvlText w:val="o"/>
      <w:lvlJc w:val="left"/>
      <w:pPr>
        <w:ind w:left="3600" w:hanging="360"/>
      </w:pPr>
      <w:rPr>
        <w:rFonts w:ascii="Courier New" w:hAnsi="Courier New" w:cs="Courier New" w:hint="default"/>
      </w:rPr>
    </w:lvl>
    <w:lvl w:ilvl="5" w:tplc="65A859D6" w:tentative="1">
      <w:start w:val="1"/>
      <w:numFmt w:val="bullet"/>
      <w:lvlText w:val=""/>
      <w:lvlJc w:val="left"/>
      <w:pPr>
        <w:ind w:left="4320" w:hanging="360"/>
      </w:pPr>
      <w:rPr>
        <w:rFonts w:ascii="Wingdings" w:hAnsi="Wingdings" w:hint="default"/>
      </w:rPr>
    </w:lvl>
    <w:lvl w:ilvl="6" w:tplc="CC904CC2" w:tentative="1">
      <w:start w:val="1"/>
      <w:numFmt w:val="bullet"/>
      <w:lvlText w:val=""/>
      <w:lvlJc w:val="left"/>
      <w:pPr>
        <w:ind w:left="5040" w:hanging="360"/>
      </w:pPr>
      <w:rPr>
        <w:rFonts w:ascii="Symbol" w:hAnsi="Symbol" w:hint="default"/>
      </w:rPr>
    </w:lvl>
    <w:lvl w:ilvl="7" w:tplc="3F30906A" w:tentative="1">
      <w:start w:val="1"/>
      <w:numFmt w:val="bullet"/>
      <w:lvlText w:val="o"/>
      <w:lvlJc w:val="left"/>
      <w:pPr>
        <w:ind w:left="5760" w:hanging="360"/>
      </w:pPr>
      <w:rPr>
        <w:rFonts w:ascii="Courier New" w:hAnsi="Courier New" w:cs="Courier New" w:hint="default"/>
      </w:rPr>
    </w:lvl>
    <w:lvl w:ilvl="8" w:tplc="B1466458" w:tentative="1">
      <w:start w:val="1"/>
      <w:numFmt w:val="bullet"/>
      <w:lvlText w:val=""/>
      <w:lvlJc w:val="left"/>
      <w:pPr>
        <w:ind w:left="6480" w:hanging="360"/>
      </w:pPr>
      <w:rPr>
        <w:rFonts w:ascii="Wingdings" w:hAnsi="Wingdings" w:hint="default"/>
      </w:rPr>
    </w:lvl>
  </w:abstractNum>
  <w:abstractNum w:abstractNumId="25" w15:restartNumberingAfterBreak="0">
    <w:nsid w:val="7E431D00"/>
    <w:multiLevelType w:val="hybridMultilevel"/>
    <w:tmpl w:val="7576C230"/>
    <w:lvl w:ilvl="0" w:tplc="B9BCF9F4">
      <w:start w:val="1"/>
      <w:numFmt w:val="decimal"/>
      <w:pStyle w:val="10"/>
      <w:lvlText w:val="%1."/>
      <w:lvlJc w:val="left"/>
      <w:pPr>
        <w:ind w:left="1858" w:hanging="360"/>
      </w:pPr>
      <w:rPr>
        <w:rFonts w:ascii="Calibri" w:hAnsi="Calibri" w:cs="Calibri" w:hint="default"/>
        <w:b/>
        <w:bCs/>
        <w:i w:val="0"/>
        <w:iCs w:val="0"/>
        <w:color w:val="002060"/>
        <w:sz w:val="40"/>
        <w:szCs w:val="40"/>
      </w:rPr>
    </w:lvl>
    <w:lvl w:ilvl="1" w:tplc="A788AC88" w:tentative="1">
      <w:start w:val="1"/>
      <w:numFmt w:val="lowerLetter"/>
      <w:lvlText w:val="%2."/>
      <w:lvlJc w:val="left"/>
      <w:pPr>
        <w:ind w:left="2578" w:hanging="360"/>
      </w:pPr>
    </w:lvl>
    <w:lvl w:ilvl="2" w:tplc="807EDF1E" w:tentative="1">
      <w:start w:val="1"/>
      <w:numFmt w:val="lowerRoman"/>
      <w:lvlText w:val="%3."/>
      <w:lvlJc w:val="right"/>
      <w:pPr>
        <w:ind w:left="3298" w:hanging="180"/>
      </w:pPr>
    </w:lvl>
    <w:lvl w:ilvl="3" w:tplc="17F09038" w:tentative="1">
      <w:start w:val="1"/>
      <w:numFmt w:val="decimal"/>
      <w:lvlText w:val="%4."/>
      <w:lvlJc w:val="left"/>
      <w:pPr>
        <w:ind w:left="4018" w:hanging="360"/>
      </w:pPr>
    </w:lvl>
    <w:lvl w:ilvl="4" w:tplc="2AB260C6" w:tentative="1">
      <w:start w:val="1"/>
      <w:numFmt w:val="lowerLetter"/>
      <w:lvlText w:val="%5."/>
      <w:lvlJc w:val="left"/>
      <w:pPr>
        <w:ind w:left="4738" w:hanging="360"/>
      </w:pPr>
    </w:lvl>
    <w:lvl w:ilvl="5" w:tplc="FF96A898" w:tentative="1">
      <w:start w:val="1"/>
      <w:numFmt w:val="lowerRoman"/>
      <w:lvlText w:val="%6."/>
      <w:lvlJc w:val="right"/>
      <w:pPr>
        <w:ind w:left="5458" w:hanging="180"/>
      </w:pPr>
    </w:lvl>
    <w:lvl w:ilvl="6" w:tplc="75362FEC" w:tentative="1">
      <w:start w:val="1"/>
      <w:numFmt w:val="decimal"/>
      <w:lvlText w:val="%7."/>
      <w:lvlJc w:val="left"/>
      <w:pPr>
        <w:ind w:left="6178" w:hanging="360"/>
      </w:pPr>
    </w:lvl>
    <w:lvl w:ilvl="7" w:tplc="B7CE04BA" w:tentative="1">
      <w:start w:val="1"/>
      <w:numFmt w:val="lowerLetter"/>
      <w:lvlText w:val="%8."/>
      <w:lvlJc w:val="left"/>
      <w:pPr>
        <w:ind w:left="6898" w:hanging="360"/>
      </w:pPr>
    </w:lvl>
    <w:lvl w:ilvl="8" w:tplc="A658FC16" w:tentative="1">
      <w:start w:val="1"/>
      <w:numFmt w:val="lowerRoman"/>
      <w:lvlText w:val="%9."/>
      <w:lvlJc w:val="right"/>
      <w:pPr>
        <w:ind w:left="7618" w:hanging="180"/>
      </w:pPr>
    </w:lvl>
  </w:abstractNum>
  <w:num w:numId="1">
    <w:abstractNumId w:val="25"/>
  </w:num>
  <w:num w:numId="2">
    <w:abstractNumId w:val="18"/>
  </w:num>
  <w:num w:numId="3">
    <w:abstractNumId w:val="16"/>
  </w:num>
  <w:num w:numId="4">
    <w:abstractNumId w:val="0"/>
  </w:num>
  <w:num w:numId="5">
    <w:abstractNumId w:val="17"/>
  </w:num>
  <w:num w:numId="6">
    <w:abstractNumId w:val="22"/>
  </w:num>
  <w:num w:numId="7">
    <w:abstractNumId w:val="13"/>
  </w:num>
  <w:num w:numId="8">
    <w:abstractNumId w:val="9"/>
  </w:num>
  <w:num w:numId="9">
    <w:abstractNumId w:val="8"/>
  </w:num>
  <w:num w:numId="10">
    <w:abstractNumId w:val="10"/>
  </w:num>
  <w:num w:numId="11">
    <w:abstractNumId w:val="23"/>
  </w:num>
  <w:num w:numId="12">
    <w:abstractNumId w:val="20"/>
  </w:num>
  <w:num w:numId="13">
    <w:abstractNumId w:val="19"/>
  </w:num>
  <w:num w:numId="14">
    <w:abstractNumId w:val="21"/>
  </w:num>
  <w:num w:numId="15">
    <w:abstractNumId w:val="1"/>
  </w:num>
  <w:num w:numId="16">
    <w:abstractNumId w:val="6"/>
  </w:num>
  <w:num w:numId="17">
    <w:abstractNumId w:val="7"/>
  </w:num>
  <w:num w:numId="18">
    <w:abstractNumId w:val="2"/>
  </w:num>
  <w:num w:numId="19">
    <w:abstractNumId w:val="11"/>
  </w:num>
  <w:num w:numId="20">
    <w:abstractNumId w:val="15"/>
  </w:num>
  <w:num w:numId="21">
    <w:abstractNumId w:val="5"/>
  </w:num>
  <w:num w:numId="22">
    <w:abstractNumId w:val="3"/>
  </w:num>
  <w:num w:numId="23">
    <w:abstractNumId w:val="24"/>
  </w:num>
  <w:num w:numId="24">
    <w:abstractNumId w:val="4"/>
  </w:num>
  <w:num w:numId="25">
    <w:abstractNumId w:val="12"/>
  </w:num>
  <w:num w:numId="26">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SortMethod w:val="000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ivug" w:val="1"/>
    <w:docVar w:name="space" w:val="True"/>
  </w:docVars>
  <w:rsids>
    <w:rsidRoot w:val="0062451B"/>
    <w:rsid w:val="00001576"/>
    <w:rsid w:val="00003B77"/>
    <w:rsid w:val="000132A8"/>
    <w:rsid w:val="0001735B"/>
    <w:rsid w:val="00030DCF"/>
    <w:rsid w:val="000314B9"/>
    <w:rsid w:val="00042837"/>
    <w:rsid w:val="000501A4"/>
    <w:rsid w:val="000532AA"/>
    <w:rsid w:val="00077BE0"/>
    <w:rsid w:val="00084768"/>
    <w:rsid w:val="00091165"/>
    <w:rsid w:val="00092F16"/>
    <w:rsid w:val="000B1102"/>
    <w:rsid w:val="000B463F"/>
    <w:rsid w:val="000C6528"/>
    <w:rsid w:val="000C69B2"/>
    <w:rsid w:val="000C7459"/>
    <w:rsid w:val="000D221E"/>
    <w:rsid w:val="000E013E"/>
    <w:rsid w:val="000F7725"/>
    <w:rsid w:val="00101958"/>
    <w:rsid w:val="00101D0F"/>
    <w:rsid w:val="0011074F"/>
    <w:rsid w:val="00113E28"/>
    <w:rsid w:val="00114325"/>
    <w:rsid w:val="00164D9B"/>
    <w:rsid w:val="00166477"/>
    <w:rsid w:val="001730B0"/>
    <w:rsid w:val="001960B4"/>
    <w:rsid w:val="0019747C"/>
    <w:rsid w:val="001A3BBC"/>
    <w:rsid w:val="001A613C"/>
    <w:rsid w:val="001B2821"/>
    <w:rsid w:val="001C057E"/>
    <w:rsid w:val="001C33F8"/>
    <w:rsid w:val="001C6185"/>
    <w:rsid w:val="001D3DA9"/>
    <w:rsid w:val="001E204F"/>
    <w:rsid w:val="001F0CD9"/>
    <w:rsid w:val="00203604"/>
    <w:rsid w:val="002064F7"/>
    <w:rsid w:val="00212D9D"/>
    <w:rsid w:val="0023497D"/>
    <w:rsid w:val="00240887"/>
    <w:rsid w:val="002602F0"/>
    <w:rsid w:val="00263521"/>
    <w:rsid w:val="00276705"/>
    <w:rsid w:val="00291629"/>
    <w:rsid w:val="002A7D21"/>
    <w:rsid w:val="002B55E8"/>
    <w:rsid w:val="002C0C75"/>
    <w:rsid w:val="002C0FD0"/>
    <w:rsid w:val="002C1EE0"/>
    <w:rsid w:val="002C4139"/>
    <w:rsid w:val="002F0686"/>
    <w:rsid w:val="002F770E"/>
    <w:rsid w:val="00301153"/>
    <w:rsid w:val="0030602D"/>
    <w:rsid w:val="00310345"/>
    <w:rsid w:val="00313DEA"/>
    <w:rsid w:val="0032268D"/>
    <w:rsid w:val="00323027"/>
    <w:rsid w:val="00330009"/>
    <w:rsid w:val="00340353"/>
    <w:rsid w:val="0036735A"/>
    <w:rsid w:val="0037370B"/>
    <w:rsid w:val="003765AE"/>
    <w:rsid w:val="0037752E"/>
    <w:rsid w:val="0037780B"/>
    <w:rsid w:val="00380052"/>
    <w:rsid w:val="00386E9B"/>
    <w:rsid w:val="0039415D"/>
    <w:rsid w:val="003D0994"/>
    <w:rsid w:val="003D61C6"/>
    <w:rsid w:val="003E32D2"/>
    <w:rsid w:val="003E58C2"/>
    <w:rsid w:val="003E6853"/>
    <w:rsid w:val="00411396"/>
    <w:rsid w:val="0042177E"/>
    <w:rsid w:val="00450C77"/>
    <w:rsid w:val="004562F8"/>
    <w:rsid w:val="004672FB"/>
    <w:rsid w:val="004779AA"/>
    <w:rsid w:val="00493AB8"/>
    <w:rsid w:val="00494826"/>
    <w:rsid w:val="004A0385"/>
    <w:rsid w:val="004A0D80"/>
    <w:rsid w:val="004C3C85"/>
    <w:rsid w:val="004C7D9F"/>
    <w:rsid w:val="004E2733"/>
    <w:rsid w:val="004E488A"/>
    <w:rsid w:val="004F0AB4"/>
    <w:rsid w:val="004F1148"/>
    <w:rsid w:val="005006C5"/>
    <w:rsid w:val="005215FE"/>
    <w:rsid w:val="00524C99"/>
    <w:rsid w:val="00551B42"/>
    <w:rsid w:val="00551FF7"/>
    <w:rsid w:val="00564413"/>
    <w:rsid w:val="00574579"/>
    <w:rsid w:val="00577CAE"/>
    <w:rsid w:val="00580234"/>
    <w:rsid w:val="00580C5C"/>
    <w:rsid w:val="005A021D"/>
    <w:rsid w:val="005A09B4"/>
    <w:rsid w:val="005A7EB5"/>
    <w:rsid w:val="005B2688"/>
    <w:rsid w:val="005C3049"/>
    <w:rsid w:val="005C7ABF"/>
    <w:rsid w:val="005D135D"/>
    <w:rsid w:val="005D2CBD"/>
    <w:rsid w:val="005D7324"/>
    <w:rsid w:val="005E62A6"/>
    <w:rsid w:val="005F4A6D"/>
    <w:rsid w:val="00602674"/>
    <w:rsid w:val="0062451B"/>
    <w:rsid w:val="0062456C"/>
    <w:rsid w:val="00634DAD"/>
    <w:rsid w:val="0063556C"/>
    <w:rsid w:val="0063663E"/>
    <w:rsid w:val="006378E0"/>
    <w:rsid w:val="00640B60"/>
    <w:rsid w:val="006457EB"/>
    <w:rsid w:val="006531CB"/>
    <w:rsid w:val="006569CD"/>
    <w:rsid w:val="006615C6"/>
    <w:rsid w:val="006A0446"/>
    <w:rsid w:val="006A56C2"/>
    <w:rsid w:val="006A646E"/>
    <w:rsid w:val="006B1593"/>
    <w:rsid w:val="006B7706"/>
    <w:rsid w:val="006C4033"/>
    <w:rsid w:val="006D4161"/>
    <w:rsid w:val="006D4240"/>
    <w:rsid w:val="006D786C"/>
    <w:rsid w:val="006E1414"/>
    <w:rsid w:val="006F285F"/>
    <w:rsid w:val="007059A8"/>
    <w:rsid w:val="00716AFD"/>
    <w:rsid w:val="0072219B"/>
    <w:rsid w:val="007474F0"/>
    <w:rsid w:val="00753ADE"/>
    <w:rsid w:val="00773F61"/>
    <w:rsid w:val="007A4EBD"/>
    <w:rsid w:val="007B112B"/>
    <w:rsid w:val="007B5B26"/>
    <w:rsid w:val="007B691A"/>
    <w:rsid w:val="007C1FF6"/>
    <w:rsid w:val="007D4A0E"/>
    <w:rsid w:val="007D61B8"/>
    <w:rsid w:val="007E24BD"/>
    <w:rsid w:val="007F10C5"/>
    <w:rsid w:val="007F7FF2"/>
    <w:rsid w:val="00805B42"/>
    <w:rsid w:val="008102AD"/>
    <w:rsid w:val="00824AB2"/>
    <w:rsid w:val="0083106F"/>
    <w:rsid w:val="00837997"/>
    <w:rsid w:val="00846FFB"/>
    <w:rsid w:val="008654CB"/>
    <w:rsid w:val="00866DDB"/>
    <w:rsid w:val="00867FC5"/>
    <w:rsid w:val="00871F34"/>
    <w:rsid w:val="00882E16"/>
    <w:rsid w:val="0088743F"/>
    <w:rsid w:val="00892F80"/>
    <w:rsid w:val="00893573"/>
    <w:rsid w:val="00897698"/>
    <w:rsid w:val="008A2E0E"/>
    <w:rsid w:val="008B4F41"/>
    <w:rsid w:val="008B5B82"/>
    <w:rsid w:val="008C1428"/>
    <w:rsid w:val="008C6F75"/>
    <w:rsid w:val="008D557C"/>
    <w:rsid w:val="008D750B"/>
    <w:rsid w:val="009015B2"/>
    <w:rsid w:val="00901CAD"/>
    <w:rsid w:val="00906E90"/>
    <w:rsid w:val="0091051D"/>
    <w:rsid w:val="009341C1"/>
    <w:rsid w:val="00936F84"/>
    <w:rsid w:val="00940851"/>
    <w:rsid w:val="00961F73"/>
    <w:rsid w:val="009679D9"/>
    <w:rsid w:val="009912C8"/>
    <w:rsid w:val="009961E8"/>
    <w:rsid w:val="009A11FF"/>
    <w:rsid w:val="009A196A"/>
    <w:rsid w:val="009A6817"/>
    <w:rsid w:val="009B0AEC"/>
    <w:rsid w:val="009B497A"/>
    <w:rsid w:val="009C6066"/>
    <w:rsid w:val="009D45C5"/>
    <w:rsid w:val="009D73F5"/>
    <w:rsid w:val="009E1A3F"/>
    <w:rsid w:val="009E53CF"/>
    <w:rsid w:val="009F0BD3"/>
    <w:rsid w:val="009F477C"/>
    <w:rsid w:val="00A055D0"/>
    <w:rsid w:val="00A222E2"/>
    <w:rsid w:val="00A30B00"/>
    <w:rsid w:val="00A52A7A"/>
    <w:rsid w:val="00A5605A"/>
    <w:rsid w:val="00A61AD5"/>
    <w:rsid w:val="00A73038"/>
    <w:rsid w:val="00A76C99"/>
    <w:rsid w:val="00A81EBE"/>
    <w:rsid w:val="00AB465B"/>
    <w:rsid w:val="00AB66C8"/>
    <w:rsid w:val="00AC6B95"/>
    <w:rsid w:val="00AD1000"/>
    <w:rsid w:val="00AE4BB7"/>
    <w:rsid w:val="00AE741B"/>
    <w:rsid w:val="00AF3B73"/>
    <w:rsid w:val="00B00E5C"/>
    <w:rsid w:val="00B04068"/>
    <w:rsid w:val="00B1135E"/>
    <w:rsid w:val="00B14FC8"/>
    <w:rsid w:val="00B40090"/>
    <w:rsid w:val="00B4321D"/>
    <w:rsid w:val="00B64110"/>
    <w:rsid w:val="00B666B9"/>
    <w:rsid w:val="00B75E06"/>
    <w:rsid w:val="00B76DC1"/>
    <w:rsid w:val="00B862C0"/>
    <w:rsid w:val="00BD2291"/>
    <w:rsid w:val="00BD291C"/>
    <w:rsid w:val="00BE22D7"/>
    <w:rsid w:val="00BE2DD8"/>
    <w:rsid w:val="00C06852"/>
    <w:rsid w:val="00C2305A"/>
    <w:rsid w:val="00C230DE"/>
    <w:rsid w:val="00C23CC9"/>
    <w:rsid w:val="00C30B3D"/>
    <w:rsid w:val="00C33AE2"/>
    <w:rsid w:val="00C34319"/>
    <w:rsid w:val="00C36C5E"/>
    <w:rsid w:val="00C4664C"/>
    <w:rsid w:val="00C4789A"/>
    <w:rsid w:val="00C66ECA"/>
    <w:rsid w:val="00C71BCA"/>
    <w:rsid w:val="00C75A49"/>
    <w:rsid w:val="00C8096C"/>
    <w:rsid w:val="00C8100B"/>
    <w:rsid w:val="00C92141"/>
    <w:rsid w:val="00C9448C"/>
    <w:rsid w:val="00CA38DE"/>
    <w:rsid w:val="00CA41D2"/>
    <w:rsid w:val="00CA4EB1"/>
    <w:rsid w:val="00CA4F20"/>
    <w:rsid w:val="00CD5320"/>
    <w:rsid w:val="00CD6EEC"/>
    <w:rsid w:val="00CF6518"/>
    <w:rsid w:val="00D22748"/>
    <w:rsid w:val="00D26918"/>
    <w:rsid w:val="00D26A9F"/>
    <w:rsid w:val="00D37121"/>
    <w:rsid w:val="00D57861"/>
    <w:rsid w:val="00D57BE9"/>
    <w:rsid w:val="00D71966"/>
    <w:rsid w:val="00D779F7"/>
    <w:rsid w:val="00D87542"/>
    <w:rsid w:val="00D8780E"/>
    <w:rsid w:val="00D95C20"/>
    <w:rsid w:val="00D97C16"/>
    <w:rsid w:val="00DA3406"/>
    <w:rsid w:val="00DA67CB"/>
    <w:rsid w:val="00DB2E3A"/>
    <w:rsid w:val="00DB6E18"/>
    <w:rsid w:val="00DE1DAB"/>
    <w:rsid w:val="00DE20A2"/>
    <w:rsid w:val="00DF0B89"/>
    <w:rsid w:val="00E3168E"/>
    <w:rsid w:val="00E35682"/>
    <w:rsid w:val="00E46EA3"/>
    <w:rsid w:val="00E51C1B"/>
    <w:rsid w:val="00E52143"/>
    <w:rsid w:val="00E53DA7"/>
    <w:rsid w:val="00E678C7"/>
    <w:rsid w:val="00E725B9"/>
    <w:rsid w:val="00EC0F3A"/>
    <w:rsid w:val="00EC6B44"/>
    <w:rsid w:val="00EE06A0"/>
    <w:rsid w:val="00EE37A3"/>
    <w:rsid w:val="00EE407E"/>
    <w:rsid w:val="00EE67C7"/>
    <w:rsid w:val="00F30558"/>
    <w:rsid w:val="00F4385E"/>
    <w:rsid w:val="00F51DD6"/>
    <w:rsid w:val="00F521BA"/>
    <w:rsid w:val="00F56CE4"/>
    <w:rsid w:val="00F627EB"/>
    <w:rsid w:val="00F66FC8"/>
    <w:rsid w:val="00F75A10"/>
    <w:rsid w:val="00F77276"/>
    <w:rsid w:val="00F86C1B"/>
    <w:rsid w:val="00F92629"/>
    <w:rsid w:val="00F95853"/>
    <w:rsid w:val="00FA48C8"/>
    <w:rsid w:val="00FA6EDC"/>
    <w:rsid w:val="00FB3F26"/>
    <w:rsid w:val="00FB414E"/>
    <w:rsid w:val="00FC020A"/>
    <w:rsid w:val="00FC3213"/>
    <w:rsid w:val="00FC48C6"/>
    <w:rsid w:val="00FF5E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1B188C"/>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0501A4"/>
    <w:pPr>
      <w:bidi/>
      <w:spacing w:after="0" w:line="312" w:lineRule="auto"/>
    </w:pPr>
  </w:style>
  <w:style w:type="paragraph" w:styleId="11">
    <w:name w:val="heading 1"/>
    <w:basedOn w:val="a3"/>
    <w:next w:val="a3"/>
    <w:link w:val="12"/>
    <w:uiPriority w:val="9"/>
    <w:qFormat/>
    <w:rsid w:val="000501A4"/>
    <w:pPr>
      <w:keepNext/>
      <w:keepLines/>
      <w:jc w:val="center"/>
      <w:outlineLvl w:val="0"/>
    </w:pPr>
    <w:rPr>
      <w:rFonts w:eastAsiaTheme="majorEastAsia"/>
      <w:bCs/>
      <w:szCs w:val="36"/>
      <w:u w:val="single"/>
    </w:rPr>
  </w:style>
  <w:style w:type="paragraph" w:styleId="20">
    <w:name w:val="heading 2"/>
    <w:basedOn w:val="a3"/>
    <w:next w:val="a3"/>
    <w:link w:val="21"/>
    <w:uiPriority w:val="1"/>
    <w:qFormat/>
    <w:rsid w:val="000501A4"/>
    <w:pPr>
      <w:keepNext/>
      <w:keepLines/>
      <w:spacing w:before="480"/>
      <w:jc w:val="center"/>
      <w:outlineLvl w:val="1"/>
    </w:pPr>
    <w:rPr>
      <w:rFonts w:eastAsiaTheme="majorEastAsia"/>
      <w:bCs/>
      <w:szCs w:val="32"/>
    </w:rPr>
  </w:style>
  <w:style w:type="paragraph" w:styleId="31">
    <w:name w:val="heading 3"/>
    <w:basedOn w:val="a3"/>
    <w:next w:val="a3"/>
    <w:link w:val="32"/>
    <w:uiPriority w:val="9"/>
    <w:qFormat/>
    <w:rsid w:val="006D786C"/>
    <w:pPr>
      <w:keepNext/>
      <w:keepLines/>
      <w:spacing w:before="120"/>
      <w:outlineLvl w:val="2"/>
    </w:pPr>
    <w:rPr>
      <w:rFonts w:eastAsiaTheme="majorEastAsia"/>
      <w:bCs/>
      <w:szCs w:val="28"/>
      <w:u w:val="single"/>
    </w:rPr>
  </w:style>
  <w:style w:type="paragraph" w:styleId="4">
    <w:name w:val="heading 4"/>
    <w:basedOn w:val="a3"/>
    <w:next w:val="a3"/>
    <w:link w:val="40"/>
    <w:uiPriority w:val="9"/>
    <w:qFormat/>
    <w:rsid w:val="006D786C"/>
    <w:pPr>
      <w:keepNext/>
      <w:keepLines/>
      <w:spacing w:before="120"/>
      <w:outlineLvl w:val="3"/>
    </w:pPr>
    <w:rPr>
      <w:rFonts w:eastAsiaTheme="majorEastAsia"/>
      <w:bCs/>
      <w:szCs w:val="26"/>
    </w:rPr>
  </w:style>
  <w:style w:type="paragraph" w:styleId="50">
    <w:name w:val="heading 5"/>
    <w:basedOn w:val="a3"/>
    <w:next w:val="a3"/>
    <w:link w:val="51"/>
    <w:uiPriority w:val="1"/>
    <w:qFormat/>
    <w:rsid w:val="000501A4"/>
    <w:pPr>
      <w:keepNext/>
      <w:keepLines/>
      <w:outlineLvl w:val="4"/>
    </w:pPr>
    <w:rPr>
      <w:rFonts w:eastAsiaTheme="majorEastAsia"/>
      <w:bCs/>
      <w:spacing w:val="40"/>
    </w:rPr>
  </w:style>
  <w:style w:type="paragraph" w:styleId="6">
    <w:name w:val="heading 6"/>
    <w:basedOn w:val="a3"/>
    <w:next w:val="a3"/>
    <w:link w:val="60"/>
    <w:uiPriority w:val="1"/>
    <w:qFormat/>
    <w:rsid w:val="000501A4"/>
    <w:pPr>
      <w:keepNext/>
      <w:keepLines/>
      <w:outlineLvl w:val="5"/>
    </w:pPr>
    <w:rPr>
      <w:rFonts w:eastAsiaTheme="majorEastAsia"/>
      <w:spacing w:val="40"/>
    </w:rPr>
  </w:style>
  <w:style w:type="paragraph" w:styleId="7">
    <w:name w:val="heading 7"/>
    <w:basedOn w:val="a3"/>
    <w:next w:val="a3"/>
    <w:link w:val="70"/>
    <w:uiPriority w:val="9"/>
    <w:qFormat/>
    <w:rsid w:val="000501A4"/>
    <w:pPr>
      <w:keepNext/>
      <w:keepLines/>
      <w:outlineLvl w:val="6"/>
    </w:pPr>
    <w:rPr>
      <w:rFonts w:eastAsiaTheme="majorEastAsia"/>
      <w:bCs/>
      <w:spacing w:val="40"/>
    </w:rPr>
  </w:style>
  <w:style w:type="paragraph" w:styleId="8">
    <w:name w:val="heading 8"/>
    <w:basedOn w:val="a3"/>
    <w:next w:val="a3"/>
    <w:link w:val="80"/>
    <w:uiPriority w:val="1"/>
    <w:qFormat/>
    <w:rsid w:val="000501A4"/>
    <w:pPr>
      <w:keepNext/>
      <w:keepLines/>
      <w:outlineLvl w:val="7"/>
    </w:pPr>
    <w:rPr>
      <w:rFonts w:eastAsiaTheme="majorEastAsia"/>
      <w:spacing w:val="4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basedOn w:val="a4"/>
    <w:link w:val="11"/>
    <w:uiPriority w:val="9"/>
    <w:rsid w:val="000501A4"/>
    <w:rPr>
      <w:rFonts w:eastAsiaTheme="majorEastAsia"/>
      <w:bCs/>
      <w:szCs w:val="36"/>
      <w:u w:val="single"/>
    </w:rPr>
  </w:style>
  <w:style w:type="character" w:customStyle="1" w:styleId="21">
    <w:name w:val="כותרת 2 תו"/>
    <w:basedOn w:val="a4"/>
    <w:link w:val="20"/>
    <w:uiPriority w:val="1"/>
    <w:rsid w:val="000501A4"/>
    <w:rPr>
      <w:rFonts w:eastAsiaTheme="majorEastAsia"/>
      <w:bCs/>
      <w:szCs w:val="32"/>
    </w:rPr>
  </w:style>
  <w:style w:type="character" w:customStyle="1" w:styleId="32">
    <w:name w:val="כותרת 3 תו"/>
    <w:basedOn w:val="a4"/>
    <w:link w:val="31"/>
    <w:uiPriority w:val="9"/>
    <w:rsid w:val="006D786C"/>
    <w:rPr>
      <w:rFonts w:eastAsiaTheme="majorEastAsia"/>
      <w:bCs/>
      <w:szCs w:val="28"/>
      <w:u w:val="single"/>
    </w:rPr>
  </w:style>
  <w:style w:type="character" w:customStyle="1" w:styleId="40">
    <w:name w:val="כותרת 4 תו"/>
    <w:basedOn w:val="a4"/>
    <w:link w:val="4"/>
    <w:uiPriority w:val="9"/>
    <w:rsid w:val="006D786C"/>
    <w:rPr>
      <w:rFonts w:eastAsiaTheme="majorEastAsia"/>
      <w:bCs/>
      <w:szCs w:val="26"/>
    </w:rPr>
  </w:style>
  <w:style w:type="character" w:customStyle="1" w:styleId="51">
    <w:name w:val="כותרת 5 תו"/>
    <w:basedOn w:val="a4"/>
    <w:link w:val="50"/>
    <w:uiPriority w:val="1"/>
    <w:rsid w:val="000501A4"/>
    <w:rPr>
      <w:rFonts w:eastAsiaTheme="majorEastAsia"/>
      <w:bCs/>
      <w:spacing w:val="40"/>
    </w:rPr>
  </w:style>
  <w:style w:type="character" w:customStyle="1" w:styleId="60">
    <w:name w:val="כותרת 6 תו"/>
    <w:basedOn w:val="a4"/>
    <w:link w:val="6"/>
    <w:uiPriority w:val="1"/>
    <w:rsid w:val="000501A4"/>
    <w:rPr>
      <w:rFonts w:eastAsiaTheme="majorEastAsia"/>
      <w:spacing w:val="40"/>
    </w:rPr>
  </w:style>
  <w:style w:type="character" w:customStyle="1" w:styleId="70">
    <w:name w:val="כותרת 7 תו"/>
    <w:basedOn w:val="a4"/>
    <w:link w:val="7"/>
    <w:uiPriority w:val="1"/>
    <w:rsid w:val="000501A4"/>
    <w:rPr>
      <w:rFonts w:eastAsiaTheme="majorEastAsia"/>
      <w:bCs/>
      <w:spacing w:val="40"/>
    </w:rPr>
  </w:style>
  <w:style w:type="character" w:customStyle="1" w:styleId="80">
    <w:name w:val="כותרת 8 תו"/>
    <w:basedOn w:val="a4"/>
    <w:link w:val="8"/>
    <w:uiPriority w:val="1"/>
    <w:rsid w:val="000501A4"/>
    <w:rPr>
      <w:rFonts w:eastAsiaTheme="majorEastAsia"/>
      <w:spacing w:val="40"/>
    </w:rPr>
  </w:style>
  <w:style w:type="paragraph" w:customStyle="1" w:styleId="a7">
    <w:name w:val="נבנצאל"/>
    <w:basedOn w:val="a3"/>
    <w:next w:val="a3"/>
    <w:link w:val="a8"/>
    <w:uiPriority w:val="99"/>
    <w:rsid w:val="000501A4"/>
    <w:pPr>
      <w:ind w:left="-567"/>
    </w:pPr>
    <w:rPr>
      <w:szCs w:val="20"/>
    </w:rPr>
  </w:style>
  <w:style w:type="character" w:customStyle="1" w:styleId="a8">
    <w:name w:val="נבנצאל תו"/>
    <w:basedOn w:val="a4"/>
    <w:link w:val="a7"/>
    <w:uiPriority w:val="99"/>
    <w:rsid w:val="000501A4"/>
    <w:rPr>
      <w:szCs w:val="20"/>
    </w:rPr>
  </w:style>
  <w:style w:type="paragraph" w:styleId="a9">
    <w:name w:val="header"/>
    <w:basedOn w:val="a3"/>
    <w:link w:val="aa"/>
    <w:uiPriority w:val="99"/>
    <w:unhideWhenUsed/>
    <w:rsid w:val="000501A4"/>
    <w:pPr>
      <w:tabs>
        <w:tab w:val="center" w:pos="4153"/>
        <w:tab w:val="right" w:pos="8306"/>
      </w:tabs>
      <w:spacing w:line="240" w:lineRule="auto"/>
    </w:pPr>
  </w:style>
  <w:style w:type="character" w:customStyle="1" w:styleId="aa">
    <w:name w:val="כותרת עליונה תו"/>
    <w:basedOn w:val="a4"/>
    <w:link w:val="a9"/>
    <w:uiPriority w:val="99"/>
    <w:rsid w:val="000501A4"/>
  </w:style>
  <w:style w:type="paragraph" w:styleId="ab">
    <w:name w:val="footer"/>
    <w:basedOn w:val="a3"/>
    <w:link w:val="ac"/>
    <w:uiPriority w:val="99"/>
    <w:unhideWhenUsed/>
    <w:rsid w:val="000501A4"/>
    <w:pPr>
      <w:tabs>
        <w:tab w:val="center" w:pos="4153"/>
        <w:tab w:val="right" w:pos="8306"/>
      </w:tabs>
      <w:spacing w:line="240" w:lineRule="auto"/>
    </w:pPr>
  </w:style>
  <w:style w:type="character" w:customStyle="1" w:styleId="ac">
    <w:name w:val="כותרת תחתונה תו"/>
    <w:basedOn w:val="a4"/>
    <w:link w:val="ab"/>
    <w:uiPriority w:val="99"/>
    <w:rsid w:val="000501A4"/>
  </w:style>
  <w:style w:type="paragraph" w:styleId="ad">
    <w:name w:val="Date"/>
    <w:basedOn w:val="a3"/>
    <w:next w:val="a3"/>
    <w:link w:val="ae"/>
    <w:uiPriority w:val="99"/>
    <w:unhideWhenUsed/>
    <w:rsid w:val="000501A4"/>
    <w:pPr>
      <w:spacing w:before="120" w:line="240" w:lineRule="auto"/>
    </w:pPr>
  </w:style>
  <w:style w:type="character" w:customStyle="1" w:styleId="ae">
    <w:name w:val="תאריך תו"/>
    <w:basedOn w:val="a4"/>
    <w:link w:val="ad"/>
    <w:uiPriority w:val="99"/>
    <w:rsid w:val="000501A4"/>
  </w:style>
  <w:style w:type="paragraph" w:styleId="af">
    <w:name w:val="footnote text"/>
    <w:aliases w:val=" Char,Char,F1,FOOTNOTES,Footnote Text - Sharp,Footnote Text - Sharp Char,Footnote Text - Sharp Char Char,Footnote Text Char Char Char Char Char,Footnote reference,Sharp - Footnote Text,Sharp - Footnote Text1 Char,fn,footnote text"/>
    <w:basedOn w:val="a3"/>
    <w:link w:val="af0"/>
    <w:uiPriority w:val="99"/>
    <w:qFormat/>
    <w:rsid w:val="00574579"/>
    <w:pPr>
      <w:spacing w:line="240" w:lineRule="auto"/>
      <w:ind w:left="720" w:hanging="720"/>
    </w:pPr>
    <w:rPr>
      <w:szCs w:val="20"/>
    </w:rPr>
  </w:style>
  <w:style w:type="character" w:customStyle="1" w:styleId="af0">
    <w:name w:val="טקסט הערת שוליים תו"/>
    <w:aliases w:val=" Char תו,Char תו,F1 תו,FOOTNOTES תו,Footnote Text - Sharp תו,Footnote Text - Sharp Char תו,Footnote Text - Sharp Char Char תו,Footnote Text Char Char Char Char Char תו,Footnote reference תו,Sharp - Footnote Text תו,fn תו"/>
    <w:basedOn w:val="a4"/>
    <w:link w:val="af"/>
    <w:uiPriority w:val="99"/>
    <w:rsid w:val="00574579"/>
    <w:rPr>
      <w:szCs w:val="20"/>
    </w:rPr>
  </w:style>
  <w:style w:type="character" w:styleId="af1">
    <w:name w:val="footnote reference"/>
    <w:aliases w:val="Footnote Reference_0,Footnote Reference_0_0,Footnote Reference_0_0_0,Footnote Reference_0_0_0_0,Footnote Reference_1,Footnote Reference_2,Footnote Reference_3,Footnote Reference_3_0,Footnote Reference_4,Footnote text,fr,מ"/>
    <w:basedOn w:val="a4"/>
    <w:uiPriority w:val="99"/>
    <w:unhideWhenUsed/>
    <w:rsid w:val="000501A4"/>
    <w:rPr>
      <w:vertAlign w:val="superscript"/>
    </w:rPr>
  </w:style>
  <w:style w:type="paragraph" w:styleId="af2">
    <w:name w:val="List Paragraph"/>
    <w:aliases w:val="Bullet Number,Num Bullet 1,Use Case List Paragraph,style 2,פיסקת רשימה1"/>
    <w:basedOn w:val="a3"/>
    <w:link w:val="af3"/>
    <w:uiPriority w:val="34"/>
    <w:qFormat/>
    <w:rsid w:val="00B4321D"/>
    <w:pPr>
      <w:ind w:left="720"/>
      <w:contextualSpacing/>
    </w:pPr>
  </w:style>
  <w:style w:type="table" w:styleId="af4">
    <w:name w:val="Table Grid"/>
    <w:basedOn w:val="a5"/>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3"/>
    <w:link w:val="af6"/>
    <w:uiPriority w:val="99"/>
    <w:unhideWhenUsed/>
    <w:rsid w:val="00B4321D"/>
    <w:pPr>
      <w:spacing w:line="240" w:lineRule="auto"/>
    </w:pPr>
    <w:rPr>
      <w:rFonts w:ascii="Tahoma" w:hAnsi="Tahoma" w:cs="Tahoma"/>
      <w:sz w:val="18"/>
      <w:szCs w:val="18"/>
    </w:rPr>
  </w:style>
  <w:style w:type="character" w:customStyle="1" w:styleId="af6">
    <w:name w:val="טקסט בלונים תו"/>
    <w:basedOn w:val="a4"/>
    <w:link w:val="af5"/>
    <w:uiPriority w:val="99"/>
    <w:rsid w:val="00B4321D"/>
    <w:rPr>
      <w:rFonts w:ascii="Tahoma" w:hAnsi="Tahoma" w:cs="Tahoma"/>
      <w:sz w:val="18"/>
      <w:szCs w:val="18"/>
    </w:rPr>
  </w:style>
  <w:style w:type="character" w:styleId="af7">
    <w:name w:val="annotation reference"/>
    <w:basedOn w:val="a4"/>
    <w:uiPriority w:val="99"/>
    <w:semiHidden/>
    <w:unhideWhenUsed/>
    <w:rsid w:val="00B4321D"/>
    <w:rPr>
      <w:sz w:val="16"/>
      <w:szCs w:val="16"/>
    </w:rPr>
  </w:style>
  <w:style w:type="paragraph" w:styleId="af8">
    <w:name w:val="annotation text"/>
    <w:basedOn w:val="a3"/>
    <w:link w:val="af9"/>
    <w:uiPriority w:val="99"/>
    <w:unhideWhenUsed/>
    <w:rsid w:val="00B4321D"/>
    <w:pPr>
      <w:spacing w:line="240" w:lineRule="auto"/>
    </w:pPr>
    <w:rPr>
      <w:szCs w:val="20"/>
    </w:rPr>
  </w:style>
  <w:style w:type="character" w:customStyle="1" w:styleId="af9">
    <w:name w:val="טקסט הערה תו"/>
    <w:basedOn w:val="a4"/>
    <w:link w:val="af8"/>
    <w:uiPriority w:val="99"/>
    <w:rsid w:val="00B4321D"/>
    <w:rPr>
      <w:szCs w:val="20"/>
    </w:rPr>
  </w:style>
  <w:style w:type="paragraph" w:styleId="afa">
    <w:name w:val="annotation subject"/>
    <w:basedOn w:val="af8"/>
    <w:next w:val="af8"/>
    <w:link w:val="afb"/>
    <w:uiPriority w:val="99"/>
    <w:semiHidden/>
    <w:unhideWhenUsed/>
    <w:rsid w:val="00B4321D"/>
    <w:rPr>
      <w:b/>
      <w:bCs/>
    </w:rPr>
  </w:style>
  <w:style w:type="character" w:customStyle="1" w:styleId="afb">
    <w:name w:val="נושא הערה תו"/>
    <w:basedOn w:val="af9"/>
    <w:link w:val="afa"/>
    <w:uiPriority w:val="99"/>
    <w:semiHidden/>
    <w:rsid w:val="00B4321D"/>
    <w:rPr>
      <w:b/>
      <w:bCs/>
      <w:szCs w:val="20"/>
    </w:rPr>
  </w:style>
  <w:style w:type="paragraph" w:styleId="afc">
    <w:name w:val="Revision"/>
    <w:hidden/>
    <w:uiPriority w:val="99"/>
    <w:semiHidden/>
    <w:rsid w:val="00B4321D"/>
    <w:pPr>
      <w:spacing w:after="0" w:line="240" w:lineRule="auto"/>
      <w:jc w:val="left"/>
    </w:pPr>
  </w:style>
  <w:style w:type="paragraph" w:styleId="afd">
    <w:name w:val="No Spacing"/>
    <w:aliases w:val="מספורנוהל"/>
    <w:basedOn w:val="a3"/>
    <w:link w:val="afe"/>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fe">
    <w:name w:val="ללא מרווח תו"/>
    <w:aliases w:val="מספורנוהל תו"/>
    <w:basedOn w:val="a4"/>
    <w:link w:val="afd"/>
    <w:uiPriority w:val="1"/>
    <w:rsid w:val="00B4321D"/>
    <w:rPr>
      <w:rFonts w:ascii="David" w:eastAsia="Times New Roman" w:hAnsi="David"/>
      <w:b/>
      <w:sz w:val="24"/>
      <w:lang w:eastAsia="he-IL"/>
    </w:rPr>
  </w:style>
  <w:style w:type="paragraph" w:styleId="NormalWeb">
    <w:name w:val="Normal (Web)"/>
    <w:basedOn w:val="a3"/>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3">
    <w:name w:val="רשת טבלה1"/>
    <w:basedOn w:val="a5"/>
    <w:next w:val="af4"/>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פיסקת רשימה תו"/>
    <w:aliases w:val="Bullet Number תו,Num Bullet 1 תו,Use Case List Paragraph תו,style 2 תו,פיסקת רשימה1 תו"/>
    <w:link w:val="af2"/>
    <w:uiPriority w:val="34"/>
    <w:rsid w:val="00B4321D"/>
  </w:style>
  <w:style w:type="table" w:styleId="1-5">
    <w:name w:val="Grid Table 1 Light Accent 5"/>
    <w:basedOn w:val="a5"/>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a4"/>
    <w:uiPriority w:val="99"/>
    <w:unhideWhenUsed/>
    <w:rsid w:val="00B4321D"/>
    <w:rPr>
      <w:color w:val="0000FF" w:themeColor="hyperlink"/>
      <w:u w:val="single"/>
    </w:rPr>
  </w:style>
  <w:style w:type="paragraph" w:customStyle="1" w:styleId="75">
    <w:name w:val="75א מספור הערות שוליים"/>
    <w:basedOn w:val="a3"/>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a4"/>
    <w:uiPriority w:val="99"/>
    <w:semiHidden/>
    <w:unhideWhenUsed/>
    <w:rsid w:val="00B4321D"/>
    <w:rPr>
      <w:color w:val="800080" w:themeColor="followedHyperlink"/>
      <w:u w:val="single"/>
    </w:rPr>
  </w:style>
  <w:style w:type="character" w:styleId="aff">
    <w:name w:val="Unresolved Mention"/>
    <w:basedOn w:val="a4"/>
    <w:uiPriority w:val="99"/>
    <w:semiHidden/>
    <w:unhideWhenUsed/>
    <w:rsid w:val="00B4321D"/>
    <w:rPr>
      <w:color w:val="605E5C"/>
      <w:shd w:val="clear" w:color="auto" w:fill="E1DFDD"/>
    </w:rPr>
  </w:style>
  <w:style w:type="paragraph" w:customStyle="1" w:styleId="aff0">
    <w:name w:val="פרטי הדוח ממה"/>
    <w:basedOn w:val="a3"/>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ff1">
    <w:name w:val="כותרת הדוח ממה"/>
    <w:basedOn w:val="a3"/>
    <w:link w:val="aff2"/>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ff2">
    <w:name w:val="כותרת הדוח ממה תו"/>
    <w:basedOn w:val="a4"/>
    <w:link w:val="aff1"/>
    <w:rsid w:val="00B4321D"/>
    <w:rPr>
      <w:rFonts w:ascii="Calibri" w:hAnsi="Calibri" w:cs="Calibri"/>
      <w:b/>
      <w:bCs/>
      <w:color w:val="FFFFFF" w:themeColor="background1"/>
      <w:sz w:val="60"/>
      <w:szCs w:val="60"/>
    </w:rPr>
  </w:style>
  <w:style w:type="paragraph" w:customStyle="1" w:styleId="aff3">
    <w:name w:val="טקסט שם מונח ממה"/>
    <w:basedOn w:val="a3"/>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ff4">
    <w:name w:val="טקסט הגדרת מונח ממה"/>
    <w:link w:val="aff5"/>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ff5">
    <w:name w:val="טקסט הגדרת מונח ממה תו"/>
    <w:basedOn w:val="a4"/>
    <w:link w:val="aff4"/>
    <w:rsid w:val="00B4321D"/>
    <w:rPr>
      <w:rFonts w:ascii="Calibri" w:eastAsia="DengXian" w:hAnsi="Calibri" w:cs="Calibri"/>
      <w:color w:val="002060"/>
      <w:sz w:val="24"/>
      <w:lang w:val="en-GB"/>
    </w:rPr>
  </w:style>
  <w:style w:type="paragraph" w:customStyle="1" w:styleId="aff6">
    <w:name w:val="מבוא ממה"/>
    <w:basedOn w:val="a3"/>
    <w:next w:val="a3"/>
    <w:link w:val="aff7"/>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ff7">
    <w:name w:val="מבוא ממה תו"/>
    <w:basedOn w:val="a4"/>
    <w:link w:val="aff6"/>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ff8">
    <w:name w:val="מראה מקום ממה"/>
    <w:basedOn w:val="a3"/>
    <w:next w:val="a3"/>
    <w:link w:val="aff9"/>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ff9">
    <w:name w:val="מראה מקום ממה תו"/>
    <w:basedOn w:val="a4"/>
    <w:link w:val="aff8"/>
    <w:rsid w:val="00B4321D"/>
    <w:rPr>
      <w:rFonts w:ascii="Calibri" w:eastAsia="Calibri" w:hAnsi="Calibri" w:cs="Calibri"/>
      <w:b/>
      <w:bCs/>
      <w:color w:val="002060"/>
      <w:sz w:val="18"/>
      <w:szCs w:val="18"/>
      <w:shd w:val="solid" w:color="F3F7FF" w:fill="auto"/>
    </w:rPr>
  </w:style>
  <w:style w:type="paragraph" w:customStyle="1" w:styleId="affa">
    <w:name w:val="כותרת עליונה ממה"/>
    <w:basedOn w:val="a3"/>
    <w:next w:val="a3"/>
    <w:link w:val="affb"/>
    <w:qFormat/>
    <w:rsid w:val="00B4321D"/>
    <w:pPr>
      <w:spacing w:line="240" w:lineRule="auto"/>
      <w:ind w:left="737"/>
      <w:jc w:val="left"/>
    </w:pPr>
    <w:rPr>
      <w:rFonts w:ascii="Calibri" w:eastAsia="Calibri" w:hAnsi="Calibri" w:cs="Calibri"/>
      <w:color w:val="002060"/>
      <w:sz w:val="18"/>
      <w:szCs w:val="18"/>
    </w:rPr>
  </w:style>
  <w:style w:type="character" w:customStyle="1" w:styleId="affb">
    <w:name w:val="כותרת עליונה ממה תו"/>
    <w:basedOn w:val="a4"/>
    <w:link w:val="affa"/>
    <w:rsid w:val="00B4321D"/>
    <w:rPr>
      <w:rFonts w:ascii="Calibri" w:eastAsia="Calibri" w:hAnsi="Calibri" w:cs="Calibri"/>
      <w:color w:val="002060"/>
      <w:sz w:val="18"/>
      <w:szCs w:val="18"/>
    </w:rPr>
  </w:style>
  <w:style w:type="paragraph" w:customStyle="1" w:styleId="10">
    <w:name w:val="כותרת 1 ממה"/>
    <w:basedOn w:val="a3"/>
    <w:next w:val="a3"/>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a4"/>
    <w:link w:val="10"/>
    <w:rsid w:val="00B4321D"/>
    <w:rPr>
      <w:rFonts w:ascii="Calibri" w:eastAsia="Calibri" w:hAnsi="Calibri" w:cs="Calibri"/>
      <w:b/>
      <w:bCs/>
      <w:color w:val="002060"/>
      <w:sz w:val="40"/>
      <w:szCs w:val="40"/>
    </w:rPr>
  </w:style>
  <w:style w:type="paragraph" w:customStyle="1" w:styleId="2">
    <w:name w:val="כותרת 2 ממה"/>
    <w:basedOn w:val="a3"/>
    <w:next w:val="a3"/>
    <w:link w:val="22"/>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2">
    <w:name w:val="כותרת 2 ממה תו"/>
    <w:basedOn w:val="21"/>
    <w:link w:val="2"/>
    <w:rsid w:val="00B4321D"/>
    <w:rPr>
      <w:rFonts w:ascii="Calibri" w:eastAsia="Calibri" w:hAnsi="Calibri" w:cs="Calibri"/>
      <w:b/>
      <w:bCs/>
      <w:color w:val="002060"/>
      <w:sz w:val="36"/>
      <w:szCs w:val="36"/>
    </w:rPr>
  </w:style>
  <w:style w:type="paragraph" w:customStyle="1" w:styleId="3">
    <w:name w:val="כותרת 3 ממה"/>
    <w:basedOn w:val="a3"/>
    <w:next w:val="a3"/>
    <w:link w:val="33"/>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3">
    <w:name w:val="כותרת 3 ממה תו"/>
    <w:basedOn w:val="32"/>
    <w:link w:val="3"/>
    <w:rsid w:val="00B4321D"/>
    <w:rPr>
      <w:rFonts w:ascii="Calibri" w:eastAsia="Calibri" w:hAnsi="Calibri" w:cs="Calibri"/>
      <w:b/>
      <w:bCs/>
      <w:color w:val="002060"/>
      <w:sz w:val="28"/>
      <w:szCs w:val="28"/>
      <w:u w:val="single"/>
    </w:rPr>
  </w:style>
  <w:style w:type="paragraph" w:customStyle="1" w:styleId="41">
    <w:name w:val="כותרת 4 ממה"/>
    <w:basedOn w:val="a3"/>
    <w:next w:val="a3"/>
    <w:link w:val="42"/>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2">
    <w:name w:val="כותרת 4 ממה תו"/>
    <w:basedOn w:val="a4"/>
    <w:link w:val="41"/>
    <w:rsid w:val="00B4321D"/>
    <w:rPr>
      <w:rFonts w:ascii="Calibri" w:eastAsia="Calibri" w:hAnsi="Calibri" w:cs="Calibri"/>
      <w:color w:val="002060"/>
      <w:sz w:val="28"/>
      <w:szCs w:val="28"/>
    </w:rPr>
  </w:style>
  <w:style w:type="paragraph" w:customStyle="1" w:styleId="1">
    <w:name w:val="רשימה1 ממה"/>
    <w:basedOn w:val="a3"/>
    <w:link w:val="15"/>
    <w:qFormat/>
    <w:rsid w:val="00B4321D"/>
    <w:pPr>
      <w:widowControl w:val="0"/>
      <w:numPr>
        <w:numId w:val="4"/>
      </w:numPr>
      <w:spacing w:line="280" w:lineRule="exact"/>
    </w:pPr>
    <w:rPr>
      <w:rFonts w:ascii="Calibri" w:eastAsia="Calibri" w:hAnsi="Calibri" w:cs="Calibri"/>
      <w:color w:val="002060"/>
      <w:sz w:val="24"/>
    </w:rPr>
  </w:style>
  <w:style w:type="character" w:customStyle="1" w:styleId="15">
    <w:name w:val="רשימה1 ממה תו"/>
    <w:basedOn w:val="a4"/>
    <w:link w:val="1"/>
    <w:rsid w:val="00B4321D"/>
    <w:rPr>
      <w:rFonts w:ascii="Calibri" w:eastAsia="Calibri" w:hAnsi="Calibri" w:cs="Calibri"/>
      <w:color w:val="002060"/>
      <w:sz w:val="24"/>
    </w:rPr>
  </w:style>
  <w:style w:type="paragraph" w:customStyle="1" w:styleId="23">
    <w:name w:val="רשימה2 ממה"/>
    <w:basedOn w:val="a3"/>
    <w:link w:val="24"/>
    <w:qFormat/>
    <w:rsid w:val="00B4321D"/>
    <w:pPr>
      <w:widowControl w:val="0"/>
      <w:spacing w:line="280" w:lineRule="exact"/>
      <w:ind w:left="1871"/>
    </w:pPr>
    <w:rPr>
      <w:rFonts w:ascii="Calibri" w:eastAsia="Calibri" w:hAnsi="Calibri" w:cs="Calibri"/>
      <w:color w:val="002060"/>
      <w:sz w:val="24"/>
    </w:rPr>
  </w:style>
  <w:style w:type="character" w:customStyle="1" w:styleId="24">
    <w:name w:val="רשימה2 ממה תו"/>
    <w:basedOn w:val="a4"/>
    <w:link w:val="23"/>
    <w:rsid w:val="00B4321D"/>
    <w:rPr>
      <w:rFonts w:ascii="Calibri" w:eastAsia="Calibri" w:hAnsi="Calibri" w:cs="Calibri"/>
      <w:color w:val="002060"/>
      <w:sz w:val="24"/>
    </w:rPr>
  </w:style>
  <w:style w:type="paragraph" w:customStyle="1" w:styleId="30">
    <w:name w:val="רשימה3 ממה"/>
    <w:basedOn w:val="a3"/>
    <w:link w:val="34"/>
    <w:qFormat/>
    <w:rsid w:val="00B4321D"/>
    <w:pPr>
      <w:widowControl w:val="0"/>
      <w:numPr>
        <w:numId w:val="5"/>
      </w:numPr>
      <w:spacing w:line="280" w:lineRule="exact"/>
    </w:pPr>
    <w:rPr>
      <w:rFonts w:ascii="Calibri" w:eastAsia="Calibri" w:hAnsi="Calibri" w:cs="Calibri"/>
      <w:color w:val="002060"/>
      <w:sz w:val="24"/>
    </w:rPr>
  </w:style>
  <w:style w:type="character" w:customStyle="1" w:styleId="34">
    <w:name w:val="רשימה3 ממה תו"/>
    <w:basedOn w:val="a4"/>
    <w:link w:val="30"/>
    <w:rsid w:val="00B4321D"/>
    <w:rPr>
      <w:rFonts w:ascii="Calibri" w:eastAsia="Calibri" w:hAnsi="Calibri" w:cs="Calibri"/>
      <w:color w:val="002060"/>
      <w:sz w:val="24"/>
    </w:rPr>
  </w:style>
  <w:style w:type="paragraph" w:customStyle="1" w:styleId="43">
    <w:name w:val="רשימה4 ממה"/>
    <w:basedOn w:val="a3"/>
    <w:link w:val="44"/>
    <w:qFormat/>
    <w:rsid w:val="00B4321D"/>
    <w:pPr>
      <w:widowControl w:val="0"/>
      <w:spacing w:line="280" w:lineRule="exact"/>
      <w:ind w:left="2552"/>
    </w:pPr>
    <w:rPr>
      <w:rFonts w:ascii="Calibri" w:eastAsia="Calibri" w:hAnsi="Calibri" w:cs="Calibri"/>
      <w:color w:val="002060"/>
      <w:sz w:val="24"/>
    </w:rPr>
  </w:style>
  <w:style w:type="character" w:customStyle="1" w:styleId="44">
    <w:name w:val="רשימה4 ממה תו"/>
    <w:basedOn w:val="a4"/>
    <w:link w:val="43"/>
    <w:rsid w:val="00B4321D"/>
    <w:rPr>
      <w:rFonts w:ascii="Calibri" w:eastAsia="Calibri" w:hAnsi="Calibri" w:cs="Calibri"/>
      <w:color w:val="002060"/>
      <w:sz w:val="24"/>
    </w:rPr>
  </w:style>
  <w:style w:type="paragraph" w:customStyle="1" w:styleId="5">
    <w:name w:val="רשימה5 ממה"/>
    <w:basedOn w:val="a3"/>
    <w:link w:val="52"/>
    <w:qFormat/>
    <w:rsid w:val="00B4321D"/>
    <w:pPr>
      <w:widowControl w:val="0"/>
      <w:numPr>
        <w:numId w:val="6"/>
      </w:numPr>
      <w:spacing w:line="280" w:lineRule="exact"/>
    </w:pPr>
    <w:rPr>
      <w:rFonts w:ascii="Calibri" w:eastAsia="Calibri" w:hAnsi="Calibri" w:cs="Calibri"/>
      <w:color w:val="002060"/>
      <w:sz w:val="24"/>
    </w:rPr>
  </w:style>
  <w:style w:type="character" w:customStyle="1" w:styleId="52">
    <w:name w:val="רשימה5 ממה תו"/>
    <w:basedOn w:val="a4"/>
    <w:link w:val="5"/>
    <w:rsid w:val="00B4321D"/>
    <w:rPr>
      <w:rFonts w:ascii="Calibri" w:eastAsia="Calibri" w:hAnsi="Calibri" w:cs="Calibri"/>
      <w:color w:val="002060"/>
      <w:sz w:val="24"/>
    </w:rPr>
  </w:style>
  <w:style w:type="paragraph" w:customStyle="1" w:styleId="affc">
    <w:name w:val="הערת שוליים ממה"/>
    <w:basedOn w:val="a3"/>
    <w:link w:val="affd"/>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ffd">
    <w:name w:val="הערת שוליים ממה תו"/>
    <w:basedOn w:val="a4"/>
    <w:link w:val="affc"/>
    <w:rsid w:val="00B4321D"/>
    <w:rPr>
      <w:rFonts w:ascii="Calibri" w:eastAsia="Calibri" w:hAnsi="Calibri" w:cs="Calibri"/>
      <w:color w:val="002060"/>
      <w:sz w:val="24"/>
      <w:szCs w:val="20"/>
    </w:rPr>
  </w:style>
  <w:style w:type="paragraph" w:customStyle="1" w:styleId="affe">
    <w:name w:val="הערת סיום ממה"/>
    <w:basedOn w:val="a3"/>
    <w:link w:val="afff"/>
    <w:qFormat/>
    <w:rsid w:val="00B4321D"/>
    <w:pPr>
      <w:widowControl w:val="0"/>
      <w:spacing w:line="240" w:lineRule="auto"/>
      <w:ind w:left="1134"/>
    </w:pPr>
    <w:rPr>
      <w:rFonts w:ascii="Calibri" w:eastAsia="Calibri" w:hAnsi="Calibri" w:cs="Calibri"/>
      <w:color w:val="002060"/>
      <w:sz w:val="24"/>
      <w:szCs w:val="20"/>
    </w:rPr>
  </w:style>
  <w:style w:type="character" w:customStyle="1" w:styleId="afff">
    <w:name w:val="הערת סיום ממה תו"/>
    <w:basedOn w:val="a4"/>
    <w:link w:val="affe"/>
    <w:rsid w:val="00B4321D"/>
    <w:rPr>
      <w:rFonts w:ascii="Calibri" w:eastAsia="Calibri" w:hAnsi="Calibri" w:cs="Calibri"/>
      <w:color w:val="002060"/>
      <w:sz w:val="24"/>
      <w:szCs w:val="20"/>
    </w:rPr>
  </w:style>
  <w:style w:type="paragraph" w:customStyle="1" w:styleId="16">
    <w:name w:val="ליקוי/ממצא חיובי/המלצה1 ממה"/>
    <w:next w:val="a3"/>
    <w:link w:val="17"/>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7">
    <w:name w:val="ליקוי/ממצא חיובי/המלצה1 ממה תו"/>
    <w:basedOn w:val="a4"/>
    <w:link w:val="16"/>
    <w:rsid w:val="00B4321D"/>
    <w:rPr>
      <w:rFonts w:ascii="Calibri" w:eastAsia="Calibri" w:hAnsi="Calibri" w:cs="Calibri"/>
      <w:color w:val="002060"/>
      <w:sz w:val="24"/>
    </w:rPr>
  </w:style>
  <w:style w:type="paragraph" w:customStyle="1" w:styleId="25">
    <w:name w:val="ליקוי/ממצא חיובי/המלצה2 ממה"/>
    <w:basedOn w:val="a3"/>
    <w:next w:val="a3"/>
    <w:link w:val="26"/>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6">
    <w:name w:val="ליקוי/ממצא חיובי/המלצה2 ממה תו"/>
    <w:basedOn w:val="17"/>
    <w:link w:val="25"/>
    <w:rsid w:val="00B4321D"/>
    <w:rPr>
      <w:rFonts w:ascii="Calibri" w:eastAsia="Calibri" w:hAnsi="Calibri" w:cs="Calibri"/>
      <w:color w:val="002060"/>
      <w:sz w:val="24"/>
    </w:rPr>
  </w:style>
  <w:style w:type="paragraph" w:customStyle="1" w:styleId="35">
    <w:name w:val="ליקוי/ממצא חיובי/המלצה3 ממה"/>
    <w:basedOn w:val="a3"/>
    <w:link w:val="36"/>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6">
    <w:name w:val="ליקוי/ממצא חיובי/המלצה3 ממה תו"/>
    <w:basedOn w:val="a4"/>
    <w:link w:val="35"/>
    <w:rsid w:val="00B4321D"/>
    <w:rPr>
      <w:rFonts w:ascii="Calibri" w:eastAsia="Calibri" w:hAnsi="Calibri" w:cs="Calibri"/>
      <w:color w:val="002060"/>
      <w:sz w:val="24"/>
    </w:rPr>
  </w:style>
  <w:style w:type="paragraph" w:customStyle="1" w:styleId="afff0">
    <w:name w:val="נבנצאל ממה"/>
    <w:basedOn w:val="a3"/>
    <w:next w:val="a3"/>
    <w:link w:val="afff1"/>
    <w:uiPriority w:val="99"/>
    <w:qFormat/>
    <w:rsid w:val="00B4321D"/>
    <w:pPr>
      <w:keepNext/>
      <w:spacing w:line="280" w:lineRule="exact"/>
      <w:jc w:val="left"/>
    </w:pPr>
    <w:rPr>
      <w:rFonts w:ascii="Calibri" w:eastAsia="Calibri" w:hAnsi="Calibri" w:cs="Calibri"/>
      <w:color w:val="002060"/>
      <w:szCs w:val="20"/>
    </w:rPr>
  </w:style>
  <w:style w:type="character" w:customStyle="1" w:styleId="afff1">
    <w:name w:val="נבנצאל ממה תו"/>
    <w:basedOn w:val="a4"/>
    <w:link w:val="afff0"/>
    <w:uiPriority w:val="99"/>
    <w:rsid w:val="00B4321D"/>
    <w:rPr>
      <w:rFonts w:ascii="Calibri" w:eastAsia="Calibri" w:hAnsi="Calibri" w:cs="Calibri"/>
      <w:color w:val="002060"/>
      <w:szCs w:val="20"/>
    </w:rPr>
  </w:style>
  <w:style w:type="paragraph" w:customStyle="1" w:styleId="afff2">
    <w:name w:val="רגיל ממה"/>
    <w:basedOn w:val="a3"/>
    <w:link w:val="afff3"/>
    <w:qFormat/>
    <w:rsid w:val="00B4321D"/>
    <w:pPr>
      <w:widowControl w:val="0"/>
      <w:spacing w:line="280" w:lineRule="exact"/>
      <w:ind w:left="1134"/>
    </w:pPr>
    <w:rPr>
      <w:rFonts w:ascii="Calibri" w:eastAsia="Calibri" w:hAnsi="Calibri" w:cs="Calibri"/>
      <w:color w:val="002060"/>
      <w:sz w:val="24"/>
    </w:rPr>
  </w:style>
  <w:style w:type="character" w:customStyle="1" w:styleId="afff3">
    <w:name w:val="רגיל ממה תו"/>
    <w:basedOn w:val="a4"/>
    <w:link w:val="afff2"/>
    <w:rsid w:val="00B4321D"/>
    <w:rPr>
      <w:rFonts w:ascii="Calibri" w:eastAsia="Calibri" w:hAnsi="Calibri" w:cs="Calibri"/>
      <w:color w:val="002060"/>
      <w:sz w:val="24"/>
    </w:rPr>
  </w:style>
  <w:style w:type="paragraph" w:customStyle="1" w:styleId="afff4">
    <w:name w:val="סיכום ממה"/>
    <w:basedOn w:val="a3"/>
    <w:next w:val="a3"/>
    <w:link w:val="afff5"/>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fff5">
    <w:name w:val="סיכום ממה תו"/>
    <w:basedOn w:val="a4"/>
    <w:link w:val="afff4"/>
    <w:rsid w:val="00B4321D"/>
    <w:rPr>
      <w:rFonts w:ascii="Calibri" w:eastAsia="Calibri" w:hAnsi="Calibri" w:cs="Calibri"/>
      <w:b/>
      <w:bCs/>
      <w:color w:val="FFFFFF" w:themeColor="background1"/>
      <w:sz w:val="2"/>
      <w:szCs w:val="2"/>
    </w:rPr>
  </w:style>
  <w:style w:type="paragraph" w:customStyle="1" w:styleId="afff6">
    <w:name w:val="טקסט סיכום ממה"/>
    <w:basedOn w:val="a3"/>
    <w:next w:val="a3"/>
    <w:qFormat/>
    <w:rsid w:val="00B4321D"/>
    <w:pPr>
      <w:widowControl w:val="0"/>
      <w:spacing w:after="240" w:line="280" w:lineRule="exact"/>
      <w:ind w:left="1140"/>
    </w:pPr>
    <w:rPr>
      <w:rFonts w:ascii="Calibri" w:eastAsia="Calibri" w:hAnsi="Calibri" w:cs="Calibri"/>
      <w:bCs/>
      <w:color w:val="002060"/>
      <w:sz w:val="24"/>
    </w:rPr>
  </w:style>
  <w:style w:type="paragraph" w:customStyle="1" w:styleId="afff7">
    <w:name w:val="סיכום ביניים ממה"/>
    <w:basedOn w:val="a3"/>
    <w:next w:val="a3"/>
    <w:qFormat/>
    <w:rsid w:val="00B4321D"/>
    <w:pPr>
      <w:widowControl w:val="0"/>
      <w:spacing w:before="240" w:after="240"/>
      <w:ind w:left="1134"/>
    </w:pPr>
    <w:rPr>
      <w:rFonts w:ascii="Calibri" w:eastAsia="Calibri" w:hAnsi="Calibri" w:cs="Calibri"/>
      <w:noProof/>
      <w:color w:val="002060"/>
      <w:sz w:val="24"/>
    </w:rPr>
  </w:style>
  <w:style w:type="paragraph" w:customStyle="1" w:styleId="afff8">
    <w:name w:val="טקסט סיכום ביניים ממה"/>
    <w:basedOn w:val="a3"/>
    <w:next w:val="a3"/>
    <w:qFormat/>
    <w:rsid w:val="00B4321D"/>
    <w:pPr>
      <w:widowControl w:val="0"/>
      <w:spacing w:after="240" w:line="280" w:lineRule="exact"/>
      <w:ind w:left="1134"/>
    </w:pPr>
    <w:rPr>
      <w:rFonts w:ascii="Calibri" w:eastAsia="Calibri" w:hAnsi="Calibri" w:cs="Calibri"/>
      <w:bCs/>
      <w:color w:val="002060"/>
      <w:sz w:val="24"/>
    </w:rPr>
  </w:style>
  <w:style w:type="paragraph" w:customStyle="1" w:styleId="a2">
    <w:name w:val="תרשים ממה"/>
    <w:basedOn w:val="a3"/>
    <w:next w:val="a3"/>
    <w:link w:val="afff9"/>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fff9">
    <w:name w:val="תרשים ממה תו"/>
    <w:basedOn w:val="a4"/>
    <w:link w:val="a2"/>
    <w:rsid w:val="00B4321D"/>
    <w:rPr>
      <w:rFonts w:ascii="Calibri" w:eastAsia="Calibri" w:hAnsi="Calibri" w:cs="Calibri"/>
      <w:b/>
      <w:bCs/>
      <w:color w:val="002060"/>
      <w:sz w:val="24"/>
    </w:rPr>
  </w:style>
  <w:style w:type="paragraph" w:customStyle="1" w:styleId="a0">
    <w:name w:val="תמונה ממה"/>
    <w:basedOn w:val="a3"/>
    <w:next w:val="a3"/>
    <w:link w:val="afffa"/>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fffa">
    <w:name w:val="תמונה ממה תו"/>
    <w:basedOn w:val="a4"/>
    <w:link w:val="a0"/>
    <w:rsid w:val="00B4321D"/>
    <w:rPr>
      <w:rFonts w:ascii="Calibri" w:eastAsia="Calibri" w:hAnsi="Calibri" w:cs="Calibri"/>
      <w:b/>
      <w:bCs/>
      <w:color w:val="002060"/>
      <w:sz w:val="24"/>
    </w:rPr>
  </w:style>
  <w:style w:type="paragraph" w:customStyle="1" w:styleId="a">
    <w:name w:val="לוח ממה"/>
    <w:basedOn w:val="a3"/>
    <w:next w:val="a3"/>
    <w:link w:val="afffb"/>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fffb">
    <w:name w:val="לוח ממה תו"/>
    <w:basedOn w:val="a4"/>
    <w:link w:val="a"/>
    <w:rsid w:val="00B4321D"/>
    <w:rPr>
      <w:rFonts w:ascii="Calibri" w:eastAsia="Calibri" w:hAnsi="Calibri" w:cs="Calibri"/>
      <w:b/>
      <w:bCs/>
      <w:color w:val="002060"/>
      <w:sz w:val="24"/>
    </w:rPr>
  </w:style>
  <w:style w:type="paragraph" w:customStyle="1" w:styleId="a1">
    <w:name w:val="מפה ממה"/>
    <w:basedOn w:val="a3"/>
    <w:next w:val="a3"/>
    <w:link w:val="afffc"/>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fffc">
    <w:name w:val="מפה ממה תו"/>
    <w:basedOn w:val="a4"/>
    <w:link w:val="a1"/>
    <w:rsid w:val="00B4321D"/>
    <w:rPr>
      <w:rFonts w:ascii="Calibri" w:eastAsia="Calibri" w:hAnsi="Calibri" w:cs="Calibri"/>
      <w:b/>
      <w:bCs/>
      <w:color w:val="002060"/>
      <w:sz w:val="24"/>
    </w:rPr>
  </w:style>
  <w:style w:type="paragraph" w:customStyle="1" w:styleId="afffd">
    <w:name w:val="מקור ממה"/>
    <w:basedOn w:val="a3"/>
    <w:next w:val="a3"/>
    <w:qFormat/>
    <w:rsid w:val="00B4321D"/>
    <w:pPr>
      <w:keepNext/>
      <w:keepLines/>
      <w:widowControl w:val="0"/>
      <w:ind w:left="1134"/>
    </w:pPr>
    <w:rPr>
      <w:rFonts w:ascii="Calibri" w:eastAsia="Calibri" w:hAnsi="Calibri" w:cs="Calibri"/>
      <w:color w:val="002060"/>
      <w:szCs w:val="20"/>
    </w:rPr>
  </w:style>
  <w:style w:type="paragraph" w:customStyle="1" w:styleId="afffe">
    <w:name w:val="אובייקט ממה"/>
    <w:basedOn w:val="a3"/>
    <w:next w:val="a3"/>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ffff">
    <w:name w:val="רכיבי המבוא ממה"/>
    <w:basedOn w:val="a3"/>
    <w:link w:val="affff0"/>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ffff0">
    <w:name w:val="רכיבי המבוא ממה תו"/>
    <w:basedOn w:val="a4"/>
    <w:link w:val="affff"/>
    <w:rsid w:val="00B4321D"/>
    <w:rPr>
      <w:rFonts w:ascii="Calibri" w:eastAsia="Calibri" w:hAnsi="Calibri" w:cs="Calibri"/>
      <w:color w:val="002060"/>
      <w:szCs w:val="20"/>
    </w:rPr>
  </w:style>
  <w:style w:type="paragraph" w:customStyle="1" w:styleId="affff1">
    <w:name w:val="אייקון במבוא ממה"/>
    <w:basedOn w:val="a3"/>
    <w:link w:val="affff2"/>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ffff2">
    <w:name w:val="אייקון במבוא ממה תו"/>
    <w:basedOn w:val="a4"/>
    <w:link w:val="affff1"/>
    <w:rsid w:val="00B4321D"/>
    <w:rPr>
      <w:rFonts w:ascii="Calibri" w:eastAsia="Calibri" w:hAnsi="Calibri" w:cs="Calibri"/>
      <w:bCs/>
      <w:color w:val="002060"/>
      <w:sz w:val="24"/>
      <w:szCs w:val="20"/>
    </w:rPr>
  </w:style>
  <w:style w:type="paragraph" w:customStyle="1" w:styleId="739">
    <w:name w:val="73א טקסט רץ 9"/>
    <w:basedOn w:val="a3"/>
    <w:link w:val="7390"/>
    <w:qFormat/>
    <w:rsid w:val="0032268D"/>
    <w:pPr>
      <w:spacing w:after="180" w:line="288" w:lineRule="auto"/>
    </w:pPr>
    <w:rPr>
      <w:rFonts w:ascii="Tahoma" w:hAnsi="Tahoma" w:cs="Tahoma"/>
      <w:color w:val="0D0D0D" w:themeColor="text1" w:themeTint="F2"/>
      <w:sz w:val="18"/>
      <w:szCs w:val="18"/>
    </w:rPr>
  </w:style>
  <w:style w:type="character" w:customStyle="1" w:styleId="7390">
    <w:name w:val="73א טקסט רץ 9 תו"/>
    <w:basedOn w:val="a4"/>
    <w:link w:val="739"/>
    <w:rsid w:val="0032268D"/>
    <w:rPr>
      <w:rFonts w:ascii="Tahoma" w:hAnsi="Tahoma" w:cs="Tahoma"/>
      <w:color w:val="0D0D0D" w:themeColor="text1" w:themeTint="F2"/>
      <w:sz w:val="18"/>
      <w:szCs w:val="18"/>
    </w:rPr>
  </w:style>
  <w:style w:type="paragraph" w:customStyle="1" w:styleId="71">
    <w:name w:val="71ג הערות שוליים"/>
    <w:basedOn w:val="af"/>
    <w:link w:val="71Char"/>
    <w:qFormat/>
    <w:rsid w:val="009A6817"/>
    <w:pPr>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a4"/>
    <w:link w:val="71"/>
    <w:rsid w:val="009A6817"/>
    <w:rPr>
      <w:rFonts w:ascii="Tahoma" w:hAnsi="Tahoma" w:cs="Tahoma"/>
      <w:color w:val="0D0D0D" w:themeColor="text1" w:themeTint="F2"/>
      <w:sz w:val="14"/>
      <w:szCs w:val="14"/>
    </w:rPr>
  </w:style>
  <w:style w:type="paragraph" w:customStyle="1" w:styleId="2021">
    <w:name w:val="מספרים גדולים בטבלת תקציר 2021"/>
    <w:basedOn w:val="a3"/>
    <w:link w:val="2021Char"/>
    <w:qFormat/>
    <w:rsid w:val="00BE22D7"/>
    <w:pPr>
      <w:spacing w:before="120" w:line="240" w:lineRule="auto"/>
      <w:jc w:val="left"/>
      <w:outlineLvl w:val="0"/>
    </w:pPr>
    <w:rPr>
      <w:rFonts w:ascii="Tahoma" w:eastAsiaTheme="minorEastAsia" w:hAnsi="Tahoma" w:cs="Tahoma"/>
      <w:b/>
      <w:bCs/>
      <w:color w:val="0D0D0D" w:themeColor="text1" w:themeTint="F2"/>
      <w:sz w:val="36"/>
      <w:szCs w:val="36"/>
    </w:rPr>
  </w:style>
  <w:style w:type="character" w:customStyle="1" w:styleId="2021Char">
    <w:name w:val="מספרים גדולים בטבלת תקציר 2021 Char"/>
    <w:basedOn w:val="a4"/>
    <w:link w:val="2021"/>
    <w:rsid w:val="00BE22D7"/>
    <w:rPr>
      <w:rFonts w:ascii="Tahoma" w:eastAsiaTheme="minorEastAsia" w:hAnsi="Tahoma" w:cs="Tahoma"/>
      <w:b/>
      <w:bCs/>
      <w:color w:val="0D0D0D" w:themeColor="text1" w:themeTint="F2"/>
      <w:sz w:val="36"/>
      <w:szCs w:val="36"/>
    </w:rPr>
  </w:style>
  <w:style w:type="paragraph" w:customStyle="1" w:styleId="732021">
    <w:name w:val="73א כיתוב בתוך טבלת תקציר 2021"/>
    <w:basedOn w:val="a3"/>
    <w:link w:val="7320210"/>
    <w:qFormat/>
    <w:rsid w:val="00BE22D7"/>
    <w:pPr>
      <w:keepNext/>
      <w:spacing w:before="60" w:after="180" w:line="260" w:lineRule="exact"/>
      <w:jc w:val="left"/>
      <w:outlineLvl w:val="0"/>
    </w:pPr>
    <w:rPr>
      <w:rFonts w:ascii="Tahoma" w:eastAsiaTheme="minorEastAsia" w:hAnsi="Tahoma" w:cs="Tahoma"/>
      <w:color w:val="0D0D0D" w:themeColor="text1" w:themeTint="F2"/>
      <w:w w:val="90"/>
      <w:sz w:val="18"/>
      <w:szCs w:val="18"/>
    </w:rPr>
  </w:style>
  <w:style w:type="character" w:customStyle="1" w:styleId="7320210">
    <w:name w:val="73א כיתוב בתוך טבלת תקציר 2021 תו"/>
    <w:basedOn w:val="a4"/>
    <w:link w:val="732021"/>
    <w:rsid w:val="00BE22D7"/>
    <w:rPr>
      <w:rFonts w:ascii="Tahoma" w:eastAsiaTheme="minorEastAsia" w:hAnsi="Tahoma" w:cs="Tahoma"/>
      <w:color w:val="0D0D0D" w:themeColor="text1" w:themeTint="F2"/>
      <w:w w:val="90"/>
      <w:sz w:val="18"/>
      <w:szCs w:val="18"/>
    </w:rPr>
  </w:style>
  <w:style w:type="paragraph" w:customStyle="1" w:styleId="73">
    <w:name w:val="73א הזחה ראשונה ללא מספר"/>
    <w:basedOn w:val="a3"/>
    <w:qFormat/>
    <w:rsid w:val="0032268D"/>
    <w:pPr>
      <w:spacing w:after="240" w:line="288" w:lineRule="auto"/>
      <w:ind w:left="397"/>
    </w:pPr>
    <w:rPr>
      <w:rFonts w:ascii="Tahoma" w:hAnsi="Tahoma" w:cs="Tahoma"/>
      <w:color w:val="0D0D0D" w:themeColor="text1" w:themeTint="F2"/>
      <w:sz w:val="18"/>
      <w:szCs w:val="18"/>
    </w:rPr>
  </w:style>
  <w:style w:type="paragraph" w:customStyle="1" w:styleId="730">
    <w:name w:val="73א פעולות ביקורת"/>
    <w:basedOn w:val="a3"/>
    <w:qFormat/>
    <w:rsid w:val="00BE22D7"/>
    <w:pPr>
      <w:keepNext/>
      <w:keepLines/>
      <w:pBdr>
        <w:top w:val="double" w:sz="12" w:space="5" w:color="auto"/>
      </w:pBdr>
      <w:spacing w:before="480" w:after="360" w:line="240" w:lineRule="atLeast"/>
      <w:jc w:val="left"/>
    </w:pPr>
    <w:rPr>
      <w:rFonts w:ascii="Tahoma" w:eastAsiaTheme="minorEastAsia" w:hAnsi="Tahoma" w:cs="Tahoma"/>
      <w:b/>
      <w:bCs/>
      <w:noProof/>
      <w:color w:val="00305F"/>
      <w:sz w:val="31"/>
      <w:szCs w:val="31"/>
      <w:lang w:val="he-IL"/>
    </w:rPr>
  </w:style>
  <w:style w:type="character" w:customStyle="1" w:styleId="737">
    <w:name w:val="73א כותרת 7 הדגשת קטע בטקסט רץ תו"/>
    <w:basedOn w:val="a4"/>
    <w:link w:val="7370"/>
    <w:rsid w:val="00BE22D7"/>
    <w:rPr>
      <w:rFonts w:ascii="Tahoma" w:hAnsi="Tahoma" w:cs="Tahoma"/>
      <w:bCs/>
      <w:color w:val="0D0D0D" w:themeColor="text1" w:themeTint="F2"/>
      <w:sz w:val="18"/>
      <w:szCs w:val="18"/>
    </w:rPr>
  </w:style>
  <w:style w:type="paragraph" w:customStyle="1" w:styleId="7370">
    <w:name w:val="73א כותרת 7 הדגשת קטע בטקסט רץ"/>
    <w:basedOn w:val="739"/>
    <w:link w:val="737"/>
    <w:qFormat/>
    <w:rsid w:val="00BE22D7"/>
    <w:rPr>
      <w:bCs/>
    </w:rPr>
  </w:style>
  <w:style w:type="paragraph" w:customStyle="1" w:styleId="731">
    <w:name w:val="73א מקרא+הערות לתרשים/לוח/תמונה"/>
    <w:basedOn w:val="a3"/>
    <w:link w:val="732"/>
    <w:qFormat/>
    <w:rsid w:val="00BE22D7"/>
    <w:pPr>
      <w:spacing w:before="120" w:after="240" w:line="260" w:lineRule="exact"/>
    </w:pPr>
    <w:rPr>
      <w:rFonts w:ascii="Tahoma" w:hAnsi="Tahoma" w:cs="Tahoma"/>
      <w:color w:val="0D0D0D" w:themeColor="text1" w:themeTint="F2"/>
      <w:sz w:val="16"/>
      <w:szCs w:val="16"/>
    </w:rPr>
  </w:style>
  <w:style w:type="character" w:customStyle="1" w:styleId="732">
    <w:name w:val="73א מקרא+הערות לתרשים/לוח/תמונה תו"/>
    <w:basedOn w:val="a4"/>
    <w:link w:val="731"/>
    <w:rsid w:val="00BE22D7"/>
    <w:rPr>
      <w:rFonts w:ascii="Tahoma" w:hAnsi="Tahoma" w:cs="Tahoma"/>
      <w:color w:val="0D0D0D" w:themeColor="text1" w:themeTint="F2"/>
      <w:sz w:val="16"/>
      <w:szCs w:val="16"/>
    </w:rPr>
  </w:style>
  <w:style w:type="paragraph" w:customStyle="1" w:styleId="733">
    <w:name w:val="73א כותרת לבנה בתוך תבנית אדומה בתקציר"/>
    <w:basedOn w:val="a3"/>
    <w:link w:val="734"/>
    <w:qFormat/>
    <w:rsid w:val="00BE22D7"/>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4">
    <w:name w:val="73א כותרת לבנה בתוך תבנית אדומה בתקציר תו"/>
    <w:basedOn w:val="a4"/>
    <w:link w:val="733"/>
    <w:rsid w:val="00BE22D7"/>
    <w:rPr>
      <w:rFonts w:ascii="Tahoma" w:hAnsi="Tahoma" w:cs="Tahoma"/>
      <w:b/>
      <w:bCs/>
      <w:color w:val="FFFFFF" w:themeColor="background1"/>
      <w:sz w:val="22"/>
      <w:szCs w:val="22"/>
    </w:rPr>
  </w:style>
  <w:style w:type="character" w:styleId="affff3">
    <w:name w:val="page number"/>
    <w:basedOn w:val="a4"/>
    <w:uiPriority w:val="99"/>
    <w:semiHidden/>
    <w:unhideWhenUsed/>
    <w:rsid w:val="005C3049"/>
  </w:style>
  <w:style w:type="table" w:customStyle="1" w:styleId="27">
    <w:name w:val="רשת טבלה2"/>
    <w:basedOn w:val="a5"/>
    <w:next w:val="af4"/>
    <w:uiPriority w:val="59"/>
    <w:rsid w:val="005D7324"/>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רשת טבלה13"/>
    <w:basedOn w:val="a5"/>
    <w:next w:val="af4"/>
    <w:uiPriority w:val="59"/>
    <w:rsid w:val="004F1148"/>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9.jpe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eader" Target="header6.xml"/><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customXml" Target="../customXml/item4.xml"/><Relationship Id="rId8"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E3FCA47-1477-4D41-9238-BE7D65D7CDC0}">
  <ds:schemaRefs>
    <ds:schemaRef ds:uri="http://schemas.openxmlformats.org/officeDocument/2006/bibliography"/>
  </ds:schemaRefs>
</ds:datastoreItem>
</file>

<file path=customXml/itemProps2.xml><?xml version="1.0" encoding="utf-8"?>
<ds:datastoreItem xmlns:ds="http://schemas.openxmlformats.org/officeDocument/2006/customXml" ds:itemID="{583E06E8-35E0-40E8-942D-A94420C6C5E6}"/>
</file>

<file path=customXml/itemProps3.xml><?xml version="1.0" encoding="utf-8"?>
<ds:datastoreItem xmlns:ds="http://schemas.openxmlformats.org/officeDocument/2006/customXml" ds:itemID="{6DEE3413-CEDE-483E-B283-87C10318B73C}"/>
</file>

<file path=customXml/itemProps4.xml><?xml version="1.0" encoding="utf-8"?>
<ds:datastoreItem xmlns:ds="http://schemas.openxmlformats.org/officeDocument/2006/customXml" ds:itemID="{BBA2BA73-FF7D-43BB-83AA-5B01F6B12D7F}"/>
</file>

<file path=docProps/app.xml><?xml version="1.0" encoding="utf-8"?>
<Properties xmlns="http://schemas.openxmlformats.org/officeDocument/2006/extended-properties" xmlns:vt="http://schemas.openxmlformats.org/officeDocument/2006/docPropsVTypes">
  <Template>Normal.dotm</Template>
  <TotalTime>9</TotalTime>
  <Pages>15</Pages>
  <Words>3406</Words>
  <Characters>17030</Characters>
  <Application>Microsoft Office Word</Application>
  <DocSecurity>0</DocSecurity>
  <Lines>141</Lines>
  <Paragraphs>40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מירב יקיר</dc:creator>
  <cp:lastModifiedBy>גיתית עטר</cp:lastModifiedBy>
  <cp:revision>5</cp:revision>
  <cp:lastPrinted>2026-02-17T08:34:00Z</cp:lastPrinted>
  <dcterms:created xsi:type="dcterms:W3CDTF">2026-02-17T08:58:00Z</dcterms:created>
  <dcterms:modified xsi:type="dcterms:W3CDTF">2026-02-17T10:11:00Z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