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AAAF5" w14:textId="77777777" w:rsidR="00A5605A" w:rsidRDefault="00A5605A" w:rsidP="00A30B00">
      <w:pPr>
        <w:spacing w:after="160" w:line="259" w:lineRule="auto"/>
        <w:jc w:val="left"/>
        <w:rPr>
          <w:rFonts w:ascii="Tahoma" w:hAnsi="Tahoma" w:cs="Tahoma"/>
          <w:sz w:val="19"/>
          <w:szCs w:val="19"/>
        </w:rPr>
      </w:pPr>
      <w:bookmarkStart w:id="0" w:name="_Hlk192594390"/>
    </w:p>
    <w:p w14:paraId="19AD5684" w14:textId="77777777" w:rsidR="00A5605A" w:rsidRPr="00A5605A" w:rsidRDefault="00A5605A" w:rsidP="00A5605A">
      <w:pPr>
        <w:rPr>
          <w:rFonts w:ascii="Tahoma" w:hAnsi="Tahoma" w:cs="Tahoma"/>
          <w:sz w:val="19"/>
          <w:szCs w:val="19"/>
          <w:rtl/>
        </w:rPr>
      </w:pPr>
    </w:p>
    <w:p w14:paraId="29DCD3CE" w14:textId="77777777" w:rsidR="00A5605A" w:rsidRPr="00A5605A" w:rsidRDefault="00A5605A" w:rsidP="00A5605A">
      <w:pPr>
        <w:rPr>
          <w:rFonts w:ascii="Tahoma" w:hAnsi="Tahoma" w:cs="Tahoma"/>
          <w:sz w:val="19"/>
          <w:szCs w:val="19"/>
          <w:rtl/>
        </w:rPr>
      </w:pPr>
    </w:p>
    <w:p w14:paraId="17B6551D" w14:textId="77777777" w:rsidR="00A5605A" w:rsidRPr="00A5605A" w:rsidRDefault="00A5605A" w:rsidP="00A5605A">
      <w:pPr>
        <w:rPr>
          <w:rFonts w:ascii="Tahoma" w:hAnsi="Tahoma" w:cs="Tahoma"/>
          <w:sz w:val="19"/>
          <w:szCs w:val="19"/>
          <w:rtl/>
        </w:rPr>
      </w:pPr>
    </w:p>
    <w:p w14:paraId="48EBF3C1" w14:textId="77777777" w:rsidR="00A5605A" w:rsidRPr="00A5605A" w:rsidRDefault="00A5605A" w:rsidP="00A5605A">
      <w:pPr>
        <w:rPr>
          <w:rFonts w:ascii="Tahoma" w:hAnsi="Tahoma" w:cs="Tahoma"/>
          <w:sz w:val="19"/>
          <w:szCs w:val="19"/>
          <w:rtl/>
        </w:rPr>
      </w:pPr>
    </w:p>
    <w:p w14:paraId="1EF31220" w14:textId="77777777" w:rsidR="00A5605A" w:rsidRPr="00A5605A" w:rsidRDefault="00A5605A" w:rsidP="00A5605A">
      <w:pPr>
        <w:rPr>
          <w:rFonts w:ascii="Tahoma" w:hAnsi="Tahoma" w:cs="Tahoma"/>
          <w:sz w:val="19"/>
          <w:szCs w:val="19"/>
          <w:rtl/>
        </w:rPr>
      </w:pPr>
    </w:p>
    <w:p w14:paraId="6E0B1563" w14:textId="77777777" w:rsidR="00A5605A" w:rsidRPr="00A5605A" w:rsidRDefault="00A5605A" w:rsidP="00A5605A">
      <w:pPr>
        <w:rPr>
          <w:rFonts w:ascii="Tahoma" w:hAnsi="Tahoma" w:cs="Tahoma"/>
          <w:sz w:val="19"/>
          <w:szCs w:val="19"/>
          <w:rtl/>
        </w:rPr>
      </w:pPr>
    </w:p>
    <w:p w14:paraId="3A4066E9" w14:textId="77777777" w:rsidR="00A5605A" w:rsidRPr="00A5605A" w:rsidRDefault="00A5605A" w:rsidP="00A5605A">
      <w:pPr>
        <w:rPr>
          <w:rFonts w:ascii="Tahoma" w:hAnsi="Tahoma" w:cs="Tahoma"/>
          <w:sz w:val="19"/>
          <w:szCs w:val="19"/>
          <w:rtl/>
        </w:rPr>
      </w:pPr>
    </w:p>
    <w:p w14:paraId="53B8BA81" w14:textId="77777777" w:rsidR="001C33F8" w:rsidRDefault="009D2B68" w:rsidP="009D2B68">
      <w:pPr>
        <w:spacing w:line="560" w:lineRule="exact"/>
        <w:ind w:left="1701" w:right="1843"/>
        <w:jc w:val="center"/>
        <w:rPr>
          <w:rFonts w:ascii="Tahoma" w:hAnsi="Tahoma" w:cs="Tahoma"/>
          <w:sz w:val="19"/>
          <w:szCs w:val="19"/>
          <w:rtl/>
        </w:rPr>
      </w:pPr>
      <w:r w:rsidRPr="009D2B68">
        <w:rPr>
          <w:rFonts w:ascii="Calibri" w:hAnsi="Calibri" w:cs="Calibri"/>
          <w:b/>
          <w:bCs/>
          <w:color w:val="002060"/>
          <w:sz w:val="56"/>
          <w:szCs w:val="56"/>
          <w:rtl/>
        </w:rPr>
        <w:t>ההיערכות לפינוי אוכלוסייה ברשויות מקומיות בדרום הארץ</w:t>
      </w:r>
    </w:p>
    <w:p w14:paraId="70D7DA1A" w14:textId="77777777" w:rsidR="001C33F8" w:rsidRDefault="001C33F8" w:rsidP="001C33F8">
      <w:pPr>
        <w:bidi w:val="0"/>
        <w:spacing w:after="200" w:line="276" w:lineRule="auto"/>
        <w:rPr>
          <w:rFonts w:ascii="Tahoma" w:hAnsi="Tahoma" w:cs="Tahoma"/>
          <w:sz w:val="19"/>
          <w:szCs w:val="19"/>
          <w:rtl/>
        </w:rPr>
      </w:pPr>
    </w:p>
    <w:p w14:paraId="23D6FF39" w14:textId="77777777" w:rsidR="001C33F8" w:rsidRDefault="001C33F8" w:rsidP="001C33F8">
      <w:pPr>
        <w:bidi w:val="0"/>
        <w:spacing w:after="200" w:line="276" w:lineRule="auto"/>
        <w:rPr>
          <w:rFonts w:ascii="Tahoma" w:hAnsi="Tahoma" w:cs="Tahoma"/>
          <w:sz w:val="19"/>
          <w:szCs w:val="19"/>
          <w:rtl/>
        </w:rPr>
      </w:pPr>
    </w:p>
    <w:p w14:paraId="0A09F737" w14:textId="77777777" w:rsidR="001C33F8" w:rsidRDefault="001C33F8" w:rsidP="001C33F8">
      <w:pPr>
        <w:bidi w:val="0"/>
        <w:spacing w:after="200" w:line="276" w:lineRule="auto"/>
        <w:rPr>
          <w:rFonts w:ascii="Tahoma" w:hAnsi="Tahoma" w:cs="Tahoma"/>
          <w:sz w:val="19"/>
          <w:szCs w:val="19"/>
          <w:rtl/>
        </w:rPr>
      </w:pPr>
    </w:p>
    <w:p w14:paraId="3B5DB3BA" w14:textId="77777777" w:rsidR="001C33F8" w:rsidRDefault="001C33F8" w:rsidP="001C33F8">
      <w:pPr>
        <w:bidi w:val="0"/>
        <w:spacing w:after="200" w:line="276" w:lineRule="auto"/>
        <w:rPr>
          <w:rFonts w:ascii="Tahoma" w:hAnsi="Tahoma" w:cs="Tahoma"/>
          <w:sz w:val="19"/>
          <w:szCs w:val="19"/>
          <w:rtl/>
        </w:rPr>
      </w:pPr>
    </w:p>
    <w:p w14:paraId="14C4A9A2" w14:textId="77777777" w:rsidR="001C33F8" w:rsidRDefault="001C33F8" w:rsidP="001C33F8">
      <w:pPr>
        <w:bidi w:val="0"/>
        <w:spacing w:after="200" w:line="276" w:lineRule="auto"/>
        <w:rPr>
          <w:rFonts w:ascii="Tahoma" w:hAnsi="Tahoma" w:cs="Tahoma"/>
          <w:sz w:val="19"/>
          <w:szCs w:val="19"/>
          <w:rtl/>
        </w:rPr>
      </w:pPr>
    </w:p>
    <w:p w14:paraId="57AC7521" w14:textId="77777777" w:rsidR="001C33F8" w:rsidRDefault="001C33F8" w:rsidP="001C33F8">
      <w:pPr>
        <w:bidi w:val="0"/>
        <w:spacing w:after="200" w:line="276" w:lineRule="auto"/>
        <w:jc w:val="center"/>
        <w:rPr>
          <w:rFonts w:ascii="Tahoma" w:hAnsi="Tahoma" w:cs="Tahoma"/>
          <w:sz w:val="19"/>
          <w:szCs w:val="19"/>
          <w:rtl/>
        </w:rPr>
      </w:pPr>
    </w:p>
    <w:p w14:paraId="0E16658F" w14:textId="77777777" w:rsidR="001C33F8" w:rsidRDefault="001C33F8" w:rsidP="001C33F8">
      <w:pPr>
        <w:bidi w:val="0"/>
        <w:spacing w:after="200" w:line="276" w:lineRule="auto"/>
        <w:jc w:val="center"/>
        <w:rPr>
          <w:rFonts w:ascii="Tahoma" w:hAnsi="Tahoma" w:cs="Tahoma"/>
          <w:sz w:val="19"/>
          <w:szCs w:val="19"/>
          <w:rtl/>
        </w:rPr>
      </w:pPr>
    </w:p>
    <w:p w14:paraId="0C42C803" w14:textId="77777777" w:rsidR="001C33F8" w:rsidRDefault="001C33F8" w:rsidP="001C33F8">
      <w:pPr>
        <w:bidi w:val="0"/>
        <w:spacing w:after="200" w:line="276" w:lineRule="auto"/>
        <w:jc w:val="center"/>
        <w:rPr>
          <w:rFonts w:ascii="Tahoma" w:hAnsi="Tahoma" w:cs="Tahoma"/>
          <w:sz w:val="19"/>
          <w:szCs w:val="19"/>
          <w:rtl/>
        </w:rPr>
      </w:pPr>
    </w:p>
    <w:p w14:paraId="78FFE33E" w14:textId="77777777" w:rsidR="001C33F8" w:rsidRDefault="001C33F8" w:rsidP="001C33F8">
      <w:pPr>
        <w:spacing w:after="200" w:line="276" w:lineRule="auto"/>
        <w:jc w:val="center"/>
        <w:rPr>
          <w:rFonts w:asciiTheme="minorBidi" w:hAnsiTheme="minorBidi" w:cstheme="minorBidi"/>
          <w:color w:val="0F243E" w:themeColor="text2" w:themeShade="80"/>
          <w:sz w:val="22"/>
          <w:szCs w:val="22"/>
          <w:rtl/>
        </w:rPr>
      </w:pPr>
    </w:p>
    <w:p w14:paraId="0BBDBEA8" w14:textId="77777777" w:rsidR="00DE14D1" w:rsidRDefault="00DE14D1" w:rsidP="001C33F8">
      <w:pPr>
        <w:spacing w:after="200" w:line="276" w:lineRule="auto"/>
        <w:jc w:val="center"/>
        <w:rPr>
          <w:rFonts w:asciiTheme="minorBidi" w:hAnsiTheme="minorBidi" w:cstheme="minorBidi"/>
          <w:color w:val="0F243E" w:themeColor="text2" w:themeShade="80"/>
          <w:sz w:val="22"/>
          <w:szCs w:val="22"/>
          <w:rtl/>
        </w:rPr>
      </w:pPr>
    </w:p>
    <w:p w14:paraId="2841E2A7" w14:textId="77777777" w:rsidR="00EF3125" w:rsidRPr="001C33F8" w:rsidRDefault="00EF3125" w:rsidP="00EF3125">
      <w:pPr>
        <w:spacing w:after="200" w:line="276" w:lineRule="auto"/>
        <w:jc w:val="center"/>
        <w:rPr>
          <w:rFonts w:asciiTheme="minorBidi" w:hAnsiTheme="minorBidi" w:cstheme="minorBidi"/>
          <w:color w:val="0F243E" w:themeColor="text2" w:themeShade="80"/>
          <w:sz w:val="22"/>
          <w:szCs w:val="22"/>
          <w:rtl/>
        </w:rPr>
      </w:pPr>
      <w:r w:rsidRPr="006B16D1">
        <w:rPr>
          <w:rFonts w:asciiTheme="minorBidi" w:hAnsiTheme="minorBidi" w:cstheme="minorBidi"/>
          <w:color w:val="0F243E" w:themeColor="text2" w:themeShade="80"/>
          <w:sz w:val="22"/>
          <w:szCs w:val="22"/>
          <w:rtl/>
        </w:rPr>
        <w:t xml:space="preserve">גופן הכותרת מעוצב בכתב ידו של סמ"ר </w:t>
      </w:r>
      <w:proofErr w:type="spellStart"/>
      <w:r w:rsidRPr="006B16D1">
        <w:rPr>
          <w:rFonts w:asciiTheme="minorBidi" w:hAnsiTheme="minorBidi" w:cstheme="minorBidi"/>
          <w:b/>
          <w:bCs/>
          <w:color w:val="0F243E" w:themeColor="text2" w:themeShade="80"/>
          <w:sz w:val="22"/>
          <w:szCs w:val="22"/>
          <w:rtl/>
        </w:rPr>
        <w:t>עלמנאו</w:t>
      </w:r>
      <w:proofErr w:type="spellEnd"/>
      <w:r w:rsidRPr="006B16D1">
        <w:rPr>
          <w:rFonts w:asciiTheme="minorBidi" w:hAnsiTheme="minorBidi" w:cstheme="minorBidi"/>
          <w:b/>
          <w:bCs/>
          <w:color w:val="0F243E" w:themeColor="text2" w:themeShade="80"/>
          <w:sz w:val="22"/>
          <w:szCs w:val="22"/>
          <w:rtl/>
        </w:rPr>
        <w:t xml:space="preserve"> עמנואל פלקה</w:t>
      </w:r>
      <w:r w:rsidRPr="006B16D1">
        <w:rPr>
          <w:rFonts w:asciiTheme="minorBidi" w:hAnsiTheme="minorBidi" w:cstheme="minorBidi"/>
          <w:color w:val="0F243E" w:themeColor="text2" w:themeShade="80"/>
          <w:sz w:val="22"/>
          <w:szCs w:val="22"/>
          <w:rtl/>
        </w:rPr>
        <w:t xml:space="preserve"> ז"ל, אשר נפל בדצמבר 2023. </w:t>
      </w:r>
      <w:proofErr w:type="spellStart"/>
      <w:r w:rsidRPr="006B16D1">
        <w:rPr>
          <w:rFonts w:asciiTheme="minorBidi" w:hAnsiTheme="minorBidi" w:cstheme="minorBidi"/>
          <w:color w:val="0F243E" w:themeColor="text2" w:themeShade="80"/>
          <w:sz w:val="22"/>
          <w:szCs w:val="22"/>
          <w:rtl/>
        </w:rPr>
        <w:t>עלמנאו</w:t>
      </w:r>
      <w:proofErr w:type="spellEnd"/>
      <w:r w:rsidRPr="006B16D1">
        <w:rPr>
          <w:rFonts w:asciiTheme="minorBidi" w:hAnsiTheme="minorBidi" w:cstheme="minorBidi"/>
          <w:color w:val="0F243E" w:themeColor="text2" w:themeShade="80"/>
          <w:sz w:val="22"/>
          <w:szCs w:val="22"/>
          <w:rtl/>
        </w:rPr>
        <w:t xml:space="preserve"> עלה מאתיופיה לישראל, גדל בקריית גת, התנדב בכבאות והצלה לישר</w:t>
      </w:r>
      <w:bookmarkStart w:id="1" w:name="_GoBack"/>
      <w:bookmarkEnd w:id="1"/>
      <w:r w:rsidRPr="006B16D1">
        <w:rPr>
          <w:rFonts w:asciiTheme="minorBidi" w:hAnsiTheme="minorBidi" w:cstheme="minorBidi"/>
          <w:color w:val="0F243E" w:themeColor="text2" w:themeShade="80"/>
          <w:sz w:val="22"/>
          <w:szCs w:val="22"/>
          <w:rtl/>
        </w:rPr>
        <w:t>אל והיה חייל מצטיין. לאחר מותו נתרמו איבריו, וחייהם של ארבעה אנשים ניצלו</w:t>
      </w:r>
      <w:r w:rsidRPr="006B16D1">
        <w:rPr>
          <w:rFonts w:asciiTheme="minorBidi" w:hAnsiTheme="minorBidi" w:cstheme="minorBidi" w:hint="cs"/>
          <w:color w:val="0F243E" w:themeColor="text2" w:themeShade="80"/>
          <w:sz w:val="22"/>
          <w:szCs w:val="22"/>
          <w:rtl/>
        </w:rPr>
        <w:t>.</w:t>
      </w:r>
    </w:p>
    <w:p w14:paraId="285CC424" w14:textId="02A0F21E" w:rsidR="001C33F8" w:rsidRPr="001C33F8" w:rsidRDefault="001C33F8" w:rsidP="00EF3125">
      <w:pPr>
        <w:spacing w:after="200" w:line="276" w:lineRule="auto"/>
        <w:rPr>
          <w:rFonts w:asciiTheme="minorBidi" w:hAnsiTheme="minorBidi" w:cstheme="minorBidi"/>
          <w:color w:val="0F243E" w:themeColor="text2" w:themeShade="80"/>
          <w:sz w:val="22"/>
          <w:szCs w:val="22"/>
          <w:rtl/>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14:paraId="7199DDC5" w14:textId="77777777" w:rsidTr="009E37AC">
        <w:trPr>
          <w:trHeight w:val="77"/>
        </w:trPr>
        <w:tc>
          <w:tcPr>
            <w:tcW w:w="9076" w:type="dxa"/>
          </w:tcPr>
          <w:p w14:paraId="0A476FD4" w14:textId="77777777" w:rsidR="00AE4BB7" w:rsidRPr="005F4A6D" w:rsidRDefault="00AE4BB7" w:rsidP="009E37AC">
            <w:pPr>
              <w:tabs>
                <w:tab w:val="left" w:pos="1122"/>
              </w:tabs>
              <w:spacing w:line="288" w:lineRule="auto"/>
              <w:jc w:val="left"/>
              <w:rPr>
                <w:sz w:val="2"/>
                <w:szCs w:val="4"/>
                <w:rtl/>
              </w:rPr>
            </w:pPr>
          </w:p>
        </w:tc>
      </w:tr>
      <w:tr w:rsidR="00AE4BB7" w14:paraId="6C5D3C87" w14:textId="77777777" w:rsidTr="009E37AC">
        <w:trPr>
          <w:trHeight w:val="1644"/>
        </w:trPr>
        <w:tc>
          <w:tcPr>
            <w:tcW w:w="9076" w:type="dxa"/>
          </w:tcPr>
          <w:p w14:paraId="36DDD2E4" w14:textId="77777777" w:rsidR="009D2B68" w:rsidRDefault="009D2B68" w:rsidP="009D2B68">
            <w:pPr>
              <w:spacing w:before="120" w:line="240" w:lineRule="auto"/>
              <w:jc w:val="left"/>
              <w:rPr>
                <w:rFonts w:ascii="Tahoma" w:hAnsi="Tahoma" w:cs="Tahoma"/>
                <w:sz w:val="36"/>
                <w:szCs w:val="36"/>
                <w:rtl/>
              </w:rPr>
            </w:pPr>
            <w:r w:rsidRPr="009D2B68">
              <w:rPr>
                <w:rFonts w:ascii="Tahoma" w:hAnsi="Tahoma" w:cs="Tahoma"/>
                <w:b/>
                <w:bCs/>
                <w:sz w:val="40"/>
                <w:szCs w:val="40"/>
                <w:rtl/>
              </w:rPr>
              <w:t xml:space="preserve">ההיערכות לפינוי אוכלוסייה ברשויות מקומיות בדרום הארץ </w:t>
            </w:r>
          </w:p>
          <w:p w14:paraId="76F04646" w14:textId="77777777" w:rsidR="00AE4BB7" w:rsidRDefault="00AE4BB7" w:rsidP="009E37AC">
            <w:pPr>
              <w:spacing w:before="120" w:line="288" w:lineRule="auto"/>
              <w:jc w:val="left"/>
            </w:pPr>
            <w:r>
              <w:rPr>
                <w:rFonts w:ascii="Tahoma" w:hAnsi="Tahoma" w:cs="Tahoma"/>
                <w:sz w:val="36"/>
                <w:szCs w:val="36"/>
                <w:rtl/>
              </w:rPr>
              <w:t>תקציר</w:t>
            </w:r>
          </w:p>
          <w:p w14:paraId="7AC4D646" w14:textId="77777777" w:rsidR="00AE4BB7" w:rsidRPr="006C4033" w:rsidRDefault="00AE4BB7" w:rsidP="009E37AC">
            <w:pPr>
              <w:spacing w:line="288" w:lineRule="auto"/>
              <w:ind w:left="-851"/>
              <w:jc w:val="left"/>
              <w:rPr>
                <w:rtl/>
              </w:rPr>
            </w:pPr>
          </w:p>
        </w:tc>
      </w:tr>
    </w:tbl>
    <w:p w14:paraId="4FE8060C" w14:textId="77777777"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5554556E" wp14:editId="1F5E3F92">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14:paraId="133CCFB5" w14:textId="77777777" w:rsidR="009D2B68" w:rsidRPr="009D2B68" w:rsidRDefault="009D2B68" w:rsidP="00425665">
      <w:pPr>
        <w:pStyle w:val="739"/>
        <w:spacing w:after="120"/>
        <w:rPr>
          <w:rFonts w:eastAsia="Calibri"/>
          <w:sz w:val="19"/>
          <w:szCs w:val="19"/>
          <w:rtl/>
        </w:rPr>
      </w:pPr>
      <w:bookmarkStart w:id="2" w:name="_Hlk219790566"/>
      <w:r w:rsidRPr="009D2B68">
        <w:rPr>
          <w:rFonts w:eastAsia="Calibri" w:hint="cs"/>
          <w:sz w:val="19"/>
          <w:szCs w:val="19"/>
          <w:rtl/>
        </w:rPr>
        <w:t>ל</w:t>
      </w:r>
      <w:r w:rsidRPr="009D2B68">
        <w:rPr>
          <w:rFonts w:eastAsia="Calibri"/>
          <w:sz w:val="19"/>
          <w:szCs w:val="19"/>
          <w:rtl/>
        </w:rPr>
        <w:t xml:space="preserve">היערכות </w:t>
      </w:r>
      <w:r w:rsidRPr="009D2B68">
        <w:rPr>
          <w:rFonts w:eastAsia="Calibri" w:hint="cs"/>
          <w:sz w:val="19"/>
          <w:szCs w:val="19"/>
          <w:rtl/>
        </w:rPr>
        <w:t>ו</w:t>
      </w:r>
      <w:r w:rsidRPr="009D2B68">
        <w:rPr>
          <w:rFonts w:eastAsia="Calibri"/>
          <w:sz w:val="19"/>
          <w:szCs w:val="19"/>
          <w:rtl/>
        </w:rPr>
        <w:t xml:space="preserve">להתארגנות מקדימה של הרשויות המקומיות לשעת </w:t>
      </w:r>
      <w:r w:rsidRPr="009D2B68">
        <w:rPr>
          <w:rFonts w:eastAsia="Calibri" w:hint="cs"/>
          <w:sz w:val="19"/>
          <w:szCs w:val="19"/>
          <w:rtl/>
        </w:rPr>
        <w:t xml:space="preserve">חירום יש חשיבות רבה. פעולות אלו כוללות </w:t>
      </w:r>
      <w:r w:rsidRPr="009D2B68">
        <w:rPr>
          <w:rFonts w:eastAsia="Calibri"/>
          <w:sz w:val="19"/>
          <w:szCs w:val="19"/>
          <w:rtl/>
        </w:rPr>
        <w:t xml:space="preserve">בין היתר פינוי </w:t>
      </w:r>
      <w:r w:rsidRPr="009D2B68">
        <w:rPr>
          <w:rFonts w:eastAsia="Calibri" w:hint="cs"/>
          <w:sz w:val="19"/>
          <w:szCs w:val="19"/>
          <w:rtl/>
        </w:rPr>
        <w:t xml:space="preserve">של </w:t>
      </w:r>
      <w:r w:rsidRPr="009D2B68">
        <w:rPr>
          <w:rFonts w:eastAsia="Calibri"/>
          <w:sz w:val="19"/>
          <w:szCs w:val="19"/>
          <w:rtl/>
        </w:rPr>
        <w:t>האוכלוסייה וקליטתה</w:t>
      </w:r>
      <w:r w:rsidRPr="009D2B68">
        <w:rPr>
          <w:rFonts w:eastAsia="Calibri" w:hint="cs"/>
          <w:sz w:val="19"/>
          <w:szCs w:val="19"/>
          <w:rtl/>
        </w:rPr>
        <w:t xml:space="preserve"> </w:t>
      </w:r>
      <w:r w:rsidRPr="009D2B68">
        <w:rPr>
          <w:rFonts w:hint="cs"/>
          <w:sz w:val="19"/>
          <w:szCs w:val="19"/>
          <w:rtl/>
        </w:rPr>
        <w:t>כיאות</w:t>
      </w:r>
      <w:r w:rsidRPr="009D2B68">
        <w:rPr>
          <w:rFonts w:eastAsia="Calibri"/>
          <w:sz w:val="19"/>
          <w:szCs w:val="19"/>
          <w:rtl/>
        </w:rPr>
        <w:t>. תוכניות עדכניות ותרגול נכון עשויים למנוע מצבי אי-סדר בשעת דחק ולהציל חיי אדם. היערכות מתאימה תסייע לרשות המקומית להתמודד עם מצבי חירום במלחמה, כמו גם עם מצבי חירום אזרחיים</w:t>
      </w:r>
      <w:r w:rsidRPr="009D2B68">
        <w:rPr>
          <w:rFonts w:eastAsia="Calibri" w:hint="cs"/>
          <w:sz w:val="19"/>
          <w:szCs w:val="19"/>
          <w:rtl/>
        </w:rPr>
        <w:t>. ה</w:t>
      </w:r>
      <w:r w:rsidRPr="009D2B68">
        <w:rPr>
          <w:rFonts w:eastAsia="Calibri"/>
          <w:sz w:val="19"/>
          <w:szCs w:val="19"/>
          <w:rtl/>
        </w:rPr>
        <w:t xml:space="preserve">היערכות </w:t>
      </w:r>
      <w:r w:rsidRPr="009D2B68">
        <w:rPr>
          <w:rFonts w:eastAsia="Calibri" w:hint="cs"/>
          <w:sz w:val="19"/>
          <w:szCs w:val="19"/>
          <w:rtl/>
        </w:rPr>
        <w:t xml:space="preserve">של </w:t>
      </w:r>
      <w:r w:rsidRPr="009D2B68">
        <w:rPr>
          <w:rFonts w:eastAsia="Calibri"/>
          <w:sz w:val="19"/>
          <w:szCs w:val="19"/>
          <w:rtl/>
        </w:rPr>
        <w:t xml:space="preserve">הרשויות המקומיות לשעת חירום </w:t>
      </w:r>
      <w:r w:rsidRPr="009D2B68">
        <w:rPr>
          <w:rFonts w:eastAsia="Calibri" w:hint="cs"/>
          <w:sz w:val="19"/>
          <w:szCs w:val="19"/>
          <w:rtl/>
        </w:rPr>
        <w:t xml:space="preserve">כוללת </w:t>
      </w:r>
      <w:r w:rsidRPr="009D2B68">
        <w:rPr>
          <w:rFonts w:eastAsia="Calibri"/>
          <w:sz w:val="19"/>
          <w:szCs w:val="19"/>
          <w:rtl/>
        </w:rPr>
        <w:t>הכנת תיקי חירום ותוכניות לשעת חירום, הכשרת כוח אדם ייעודי</w:t>
      </w:r>
      <w:r w:rsidRPr="009D2B68">
        <w:rPr>
          <w:rFonts w:eastAsia="Calibri" w:hint="cs"/>
          <w:sz w:val="19"/>
          <w:szCs w:val="19"/>
          <w:rtl/>
        </w:rPr>
        <w:t>,</w:t>
      </w:r>
      <w:r w:rsidRPr="009D2B68">
        <w:rPr>
          <w:rFonts w:eastAsia="Calibri"/>
          <w:sz w:val="19"/>
          <w:szCs w:val="19"/>
          <w:rtl/>
        </w:rPr>
        <w:t xml:space="preserve"> הכנת מאגרי מידע, בדיקת מוכנות</w:t>
      </w:r>
      <w:r w:rsidRPr="009D2B68">
        <w:rPr>
          <w:rFonts w:eastAsia="Calibri" w:hint="cs"/>
          <w:sz w:val="19"/>
          <w:szCs w:val="19"/>
          <w:rtl/>
        </w:rPr>
        <w:t xml:space="preserve"> הרשויות המקומיות</w:t>
      </w:r>
      <w:r w:rsidRPr="009D2B68">
        <w:rPr>
          <w:rFonts w:eastAsia="Calibri"/>
          <w:sz w:val="19"/>
          <w:szCs w:val="19"/>
          <w:rtl/>
        </w:rPr>
        <w:t xml:space="preserve"> לשעת חירום ותרגולן לפי תרחישים שונים.</w:t>
      </w:r>
    </w:p>
    <w:bookmarkEnd w:id="2"/>
    <w:p w14:paraId="1EF901F6" w14:textId="77777777" w:rsidR="009D2B68" w:rsidRPr="009D2B68" w:rsidRDefault="009D2B68" w:rsidP="009D2B68">
      <w:pPr>
        <w:pStyle w:val="739"/>
        <w:rPr>
          <w:rFonts w:eastAsia="Calibri"/>
          <w:sz w:val="19"/>
          <w:szCs w:val="19"/>
          <w:rtl/>
        </w:rPr>
      </w:pPr>
      <w:r w:rsidRPr="009D2B68">
        <w:rPr>
          <w:rFonts w:eastAsia="Calibri"/>
          <w:sz w:val="19"/>
          <w:szCs w:val="19"/>
          <w:rtl/>
        </w:rPr>
        <w:t xml:space="preserve">האופן שבו רשויות מקומיות צריכות להיערך ולתפקד בשעת חירום מוסדר עבור עיריות ומועצות מקומיות ב"תיק האב להיערכות העירייה והמועצה </w:t>
      </w:r>
      <w:r w:rsidRPr="009D2B68">
        <w:rPr>
          <w:sz w:val="19"/>
          <w:szCs w:val="19"/>
          <w:rtl/>
        </w:rPr>
        <w:t>המקומית</w:t>
      </w:r>
      <w:r w:rsidRPr="009D2B68">
        <w:rPr>
          <w:rFonts w:eastAsia="Calibri"/>
          <w:sz w:val="19"/>
          <w:szCs w:val="19"/>
          <w:rtl/>
        </w:rPr>
        <w:t xml:space="preserve"> לחירום"</w:t>
      </w:r>
      <w:r w:rsidRPr="009D2B68">
        <w:rPr>
          <w:rFonts w:eastAsia="Calibri" w:hint="cs"/>
          <w:sz w:val="19"/>
          <w:szCs w:val="19"/>
          <w:rtl/>
        </w:rPr>
        <w:t xml:space="preserve">, שעודכן לאחרונה בשנת 2021 </w:t>
      </w:r>
      <w:r w:rsidRPr="009D2B68">
        <w:rPr>
          <w:rFonts w:eastAsia="Calibri"/>
          <w:sz w:val="19"/>
          <w:szCs w:val="19"/>
          <w:rtl/>
        </w:rPr>
        <w:t>(</w:t>
      </w:r>
      <w:r w:rsidRPr="009D2B68">
        <w:rPr>
          <w:rFonts w:eastAsia="Calibri" w:hint="cs"/>
          <w:sz w:val="19"/>
          <w:szCs w:val="19"/>
          <w:rtl/>
        </w:rPr>
        <w:t>תיק האב</w:t>
      </w:r>
      <w:r w:rsidRPr="009D2B68">
        <w:rPr>
          <w:rFonts w:eastAsia="Calibri"/>
          <w:sz w:val="19"/>
          <w:szCs w:val="19"/>
          <w:rtl/>
        </w:rPr>
        <w:t>)</w:t>
      </w:r>
      <w:r w:rsidRPr="009D2B68">
        <w:rPr>
          <w:rFonts w:eastAsia="Calibri" w:hint="cs"/>
          <w:sz w:val="19"/>
          <w:szCs w:val="19"/>
          <w:rtl/>
        </w:rPr>
        <w:t xml:space="preserve">, </w:t>
      </w:r>
      <w:r w:rsidRPr="009D2B68">
        <w:rPr>
          <w:rFonts w:eastAsia="Calibri"/>
          <w:sz w:val="19"/>
          <w:szCs w:val="19"/>
          <w:rtl/>
        </w:rPr>
        <w:t>ועבור מועצות אזוריות</w:t>
      </w:r>
      <w:r w:rsidRPr="009D2B68">
        <w:rPr>
          <w:rFonts w:eastAsia="Calibri" w:hint="cs"/>
          <w:sz w:val="19"/>
          <w:szCs w:val="19"/>
          <w:rtl/>
        </w:rPr>
        <w:t xml:space="preserve"> -</w:t>
      </w:r>
      <w:r w:rsidRPr="009D2B68">
        <w:rPr>
          <w:rFonts w:eastAsia="Calibri"/>
          <w:sz w:val="19"/>
          <w:szCs w:val="19"/>
          <w:rtl/>
        </w:rPr>
        <w:t xml:space="preserve"> בתיק אב להפעלת הרשות המקומית</w:t>
      </w:r>
      <w:r w:rsidRPr="009D2B68">
        <w:rPr>
          <w:rFonts w:eastAsia="Calibri" w:hint="cs"/>
          <w:sz w:val="19"/>
          <w:szCs w:val="19"/>
          <w:rtl/>
        </w:rPr>
        <w:t xml:space="preserve"> </w:t>
      </w:r>
      <w:r w:rsidRPr="009D2B68">
        <w:rPr>
          <w:rFonts w:eastAsia="Calibri"/>
          <w:sz w:val="19"/>
          <w:szCs w:val="19"/>
          <w:rtl/>
        </w:rPr>
        <w:t xml:space="preserve">בחירום </w:t>
      </w:r>
      <w:r w:rsidRPr="009D2B68">
        <w:rPr>
          <w:rFonts w:eastAsia="Calibri" w:hint="cs"/>
          <w:sz w:val="19"/>
          <w:szCs w:val="19"/>
          <w:rtl/>
        </w:rPr>
        <w:t>(</w:t>
      </w:r>
      <w:r w:rsidRPr="009D2B68">
        <w:rPr>
          <w:rFonts w:eastAsia="Calibri"/>
          <w:sz w:val="19"/>
          <w:szCs w:val="19"/>
          <w:rtl/>
        </w:rPr>
        <w:t>מועצה אזורית</w:t>
      </w:r>
      <w:r w:rsidRPr="009D2B68">
        <w:rPr>
          <w:rFonts w:eastAsia="Calibri" w:hint="cs"/>
          <w:sz w:val="19"/>
          <w:szCs w:val="19"/>
          <w:rtl/>
        </w:rPr>
        <w:t>), שעודכן לאחרונה בפברואר 2024</w:t>
      </w:r>
      <w:r w:rsidRPr="009D2B68">
        <w:rPr>
          <w:rFonts w:eastAsia="Calibri"/>
          <w:sz w:val="19"/>
          <w:szCs w:val="19"/>
          <w:vertAlign w:val="superscript"/>
          <w:rtl/>
        </w:rPr>
        <w:footnoteReference w:id="1"/>
      </w:r>
      <w:r w:rsidRPr="009D2B68">
        <w:rPr>
          <w:rFonts w:eastAsia="Calibri" w:hint="cs"/>
          <w:sz w:val="19"/>
          <w:szCs w:val="19"/>
          <w:rtl/>
        </w:rPr>
        <w:t xml:space="preserve">. </w:t>
      </w:r>
      <w:r w:rsidRPr="009D2B68">
        <w:rPr>
          <w:rFonts w:eastAsia="Calibri"/>
          <w:sz w:val="19"/>
          <w:szCs w:val="19"/>
          <w:rtl/>
        </w:rPr>
        <w:t xml:space="preserve">בתיק האב מרוכזות כלל המשימות והאחריות של הרשות, וזאת לפי </w:t>
      </w:r>
      <w:r w:rsidRPr="009D2B68">
        <w:rPr>
          <w:rFonts w:eastAsia="Calibri" w:hint="cs"/>
          <w:sz w:val="19"/>
          <w:szCs w:val="19"/>
          <w:rtl/>
        </w:rPr>
        <w:t xml:space="preserve">- בין היתר - </w:t>
      </w:r>
      <w:r w:rsidRPr="009D2B68">
        <w:rPr>
          <w:rFonts w:eastAsia="Calibri"/>
          <w:sz w:val="19"/>
          <w:szCs w:val="19"/>
          <w:rtl/>
        </w:rPr>
        <w:t xml:space="preserve">חוקים, תקנות </w:t>
      </w:r>
      <w:r w:rsidRPr="009D2B68">
        <w:rPr>
          <w:rFonts w:eastAsia="Calibri" w:hint="cs"/>
          <w:sz w:val="19"/>
          <w:szCs w:val="19"/>
          <w:rtl/>
        </w:rPr>
        <w:t>ו</w:t>
      </w:r>
      <w:r w:rsidRPr="009D2B68">
        <w:rPr>
          <w:rFonts w:eastAsia="Calibri"/>
          <w:sz w:val="19"/>
          <w:szCs w:val="19"/>
          <w:rtl/>
        </w:rPr>
        <w:t>החלטות ממשלה. התיק מגדיר את המשימות העיקריות של הרשות בתחום ההיערכות לשעת חירום ואת אופן הטיפול באירוע חירום, וב</w:t>
      </w:r>
      <w:r w:rsidR="00E5711C">
        <w:rPr>
          <w:rFonts w:eastAsia="Calibri" w:hint="cs"/>
          <w:sz w:val="19"/>
          <w:szCs w:val="19"/>
          <w:rtl/>
        </w:rPr>
        <w:t>כלל זה</w:t>
      </w:r>
      <w:r w:rsidRPr="009D2B68">
        <w:rPr>
          <w:rFonts w:eastAsia="Calibri"/>
          <w:sz w:val="19"/>
          <w:szCs w:val="19"/>
          <w:rtl/>
        </w:rPr>
        <w:t xml:space="preserve"> ההיערכות לפינוי ולקליטה של אוכלוסייה.</w:t>
      </w:r>
      <w:r w:rsidRPr="009D2B68">
        <w:rPr>
          <w:rFonts w:eastAsia="Calibri" w:hint="cs"/>
          <w:sz w:val="19"/>
          <w:szCs w:val="19"/>
          <w:rtl/>
        </w:rPr>
        <w:t xml:space="preserve"> </w:t>
      </w:r>
      <w:r w:rsidRPr="009D2B68">
        <w:rPr>
          <w:rFonts w:eastAsia="Calibri"/>
          <w:sz w:val="19"/>
          <w:szCs w:val="19"/>
          <w:rtl/>
        </w:rPr>
        <w:t>למדינת ישראל יש תרחישי ייחוס למצבי חירום בעלי מאפיינים שונים מבחינת המיקום הגיאוגרפי, סוג האיום, היקף הנזק, מאפייני הנפגעים ועוד.</w:t>
      </w:r>
      <w:r w:rsidRPr="009D2B68">
        <w:rPr>
          <w:rFonts w:eastAsia="Calibri" w:hint="cs"/>
          <w:sz w:val="19"/>
          <w:szCs w:val="19"/>
          <w:rtl/>
        </w:rPr>
        <w:t xml:space="preserve"> </w:t>
      </w:r>
      <w:r w:rsidRPr="009D2B68">
        <w:rPr>
          <w:rFonts w:eastAsia="Calibri" w:hint="eastAsia"/>
          <w:sz w:val="19"/>
          <w:szCs w:val="19"/>
          <w:rtl/>
        </w:rPr>
        <w:t>צה</w:t>
      </w:r>
      <w:r w:rsidRPr="009D2B68">
        <w:rPr>
          <w:rFonts w:eastAsia="Calibri"/>
          <w:sz w:val="19"/>
          <w:szCs w:val="19"/>
          <w:rtl/>
        </w:rPr>
        <w:t>"ל מכין תרחיש ייחוס מלחמתי לעורף</w:t>
      </w:r>
      <w:r w:rsidRPr="009D2B68">
        <w:rPr>
          <w:rFonts w:eastAsia="Calibri" w:hint="cs"/>
          <w:sz w:val="19"/>
          <w:szCs w:val="19"/>
          <w:rtl/>
        </w:rPr>
        <w:t>,</w:t>
      </w:r>
      <w:r w:rsidRPr="009D2B68">
        <w:rPr>
          <w:rFonts w:eastAsia="Calibri"/>
          <w:sz w:val="19"/>
          <w:szCs w:val="19"/>
          <w:rtl/>
        </w:rPr>
        <w:t xml:space="preserve"> </w:t>
      </w:r>
      <w:r w:rsidRPr="009D2B68">
        <w:rPr>
          <w:rFonts w:eastAsia="Calibri" w:hint="cs"/>
          <w:sz w:val="19"/>
          <w:szCs w:val="19"/>
          <w:rtl/>
        </w:rPr>
        <w:t>שהוא</w:t>
      </w:r>
      <w:r w:rsidRPr="009D2B68">
        <w:rPr>
          <w:rFonts w:eastAsia="Calibri"/>
          <w:sz w:val="19"/>
          <w:szCs w:val="19"/>
          <w:rtl/>
        </w:rPr>
        <w:t xml:space="preserve"> קביעה פיקודית להכוונת מענה צה"לי בבניין כוח בהיבטי הגנת העורף האזרחי והצבאי.</w:t>
      </w:r>
      <w:r w:rsidRPr="009D2B68">
        <w:rPr>
          <w:rFonts w:eastAsia="Calibri" w:hint="cs"/>
          <w:sz w:val="19"/>
          <w:szCs w:val="19"/>
          <w:rtl/>
        </w:rPr>
        <w:t xml:space="preserve"> ייעודה</w:t>
      </w:r>
      <w:r w:rsidRPr="009D2B68">
        <w:rPr>
          <w:rFonts w:eastAsia="Calibri"/>
          <w:sz w:val="19"/>
          <w:szCs w:val="19"/>
          <w:rtl/>
        </w:rPr>
        <w:t xml:space="preserve"> של רשות החירום הלאומית (רח"ל) הוא לשמש רשות ממלכתית לחירום, ליד שר הביטחון, למימוש אחריותו הכוללת לכלל מצבי החירום במרחב האזרחי.</w:t>
      </w:r>
      <w:r w:rsidRPr="009D2B68">
        <w:rPr>
          <w:rFonts w:eastAsia="Calibri" w:hint="cs"/>
          <w:sz w:val="19"/>
          <w:szCs w:val="19"/>
          <w:rtl/>
        </w:rPr>
        <w:t xml:space="preserve"> זאת באמצעות </w:t>
      </w:r>
      <w:r w:rsidRPr="009D2B68">
        <w:rPr>
          <w:rFonts w:eastAsia="Calibri"/>
          <w:sz w:val="19"/>
          <w:szCs w:val="19"/>
          <w:rtl/>
        </w:rPr>
        <w:t>תכנ</w:t>
      </w:r>
      <w:r w:rsidRPr="009D2B68">
        <w:rPr>
          <w:rFonts w:eastAsia="Calibri" w:hint="cs"/>
          <w:sz w:val="19"/>
          <w:szCs w:val="19"/>
          <w:rtl/>
        </w:rPr>
        <w:t>ו</w:t>
      </w:r>
      <w:r w:rsidRPr="009D2B68">
        <w:rPr>
          <w:rFonts w:eastAsia="Calibri"/>
          <w:sz w:val="19"/>
          <w:szCs w:val="19"/>
          <w:rtl/>
        </w:rPr>
        <w:t>ן, ת</w:t>
      </w:r>
      <w:r w:rsidRPr="009D2B68">
        <w:rPr>
          <w:rFonts w:eastAsia="Calibri" w:hint="cs"/>
          <w:sz w:val="19"/>
          <w:szCs w:val="19"/>
          <w:rtl/>
        </w:rPr>
        <w:t>י</w:t>
      </w:r>
      <w:r w:rsidRPr="009D2B68">
        <w:rPr>
          <w:rFonts w:eastAsia="Calibri"/>
          <w:sz w:val="19"/>
          <w:szCs w:val="19"/>
          <w:rtl/>
        </w:rPr>
        <w:t>א</w:t>
      </w:r>
      <w:r w:rsidRPr="009D2B68">
        <w:rPr>
          <w:rFonts w:eastAsia="Calibri" w:hint="cs"/>
          <w:sz w:val="19"/>
          <w:szCs w:val="19"/>
          <w:rtl/>
        </w:rPr>
        <w:t>ו</w:t>
      </w:r>
      <w:r w:rsidRPr="009D2B68">
        <w:rPr>
          <w:rFonts w:eastAsia="Calibri"/>
          <w:sz w:val="19"/>
          <w:szCs w:val="19"/>
          <w:rtl/>
        </w:rPr>
        <w:t xml:space="preserve">ם, </w:t>
      </w:r>
      <w:r w:rsidRPr="009D2B68">
        <w:rPr>
          <w:rFonts w:eastAsia="Calibri" w:hint="cs"/>
          <w:sz w:val="19"/>
          <w:szCs w:val="19"/>
          <w:rtl/>
        </w:rPr>
        <w:t>הכוונה ו</w:t>
      </w:r>
      <w:r w:rsidRPr="009D2B68">
        <w:rPr>
          <w:rFonts w:eastAsia="Calibri"/>
          <w:sz w:val="19"/>
          <w:szCs w:val="19"/>
          <w:rtl/>
        </w:rPr>
        <w:t xml:space="preserve">בקרה של כלל המשרדים, הגופים הייעודיים </w:t>
      </w:r>
      <w:r w:rsidRPr="009D2B68">
        <w:rPr>
          <w:rFonts w:eastAsia="Calibri" w:hint="cs"/>
          <w:sz w:val="19"/>
          <w:szCs w:val="19"/>
          <w:rtl/>
        </w:rPr>
        <w:t>ו</w:t>
      </w:r>
      <w:r w:rsidRPr="009D2B68">
        <w:rPr>
          <w:rFonts w:eastAsia="Calibri"/>
          <w:sz w:val="19"/>
          <w:szCs w:val="19"/>
          <w:rtl/>
        </w:rPr>
        <w:t>המערכות הלאומיות העוסק</w:t>
      </w:r>
      <w:r w:rsidRPr="009D2B68">
        <w:rPr>
          <w:rFonts w:eastAsia="Calibri" w:hint="cs"/>
          <w:sz w:val="19"/>
          <w:szCs w:val="19"/>
          <w:rtl/>
        </w:rPr>
        <w:t>ים</w:t>
      </w:r>
      <w:r w:rsidRPr="009D2B68">
        <w:rPr>
          <w:rFonts w:eastAsia="Calibri"/>
          <w:sz w:val="19"/>
          <w:szCs w:val="19"/>
          <w:rtl/>
        </w:rPr>
        <w:t xml:space="preserve"> </w:t>
      </w:r>
      <w:r w:rsidRPr="009D2B68">
        <w:rPr>
          <w:rFonts w:eastAsia="Calibri" w:hint="cs"/>
          <w:sz w:val="19"/>
          <w:szCs w:val="19"/>
          <w:rtl/>
        </w:rPr>
        <w:t>ב</w:t>
      </w:r>
      <w:r w:rsidRPr="009D2B68">
        <w:rPr>
          <w:rFonts w:eastAsia="Calibri"/>
          <w:sz w:val="19"/>
          <w:szCs w:val="19"/>
          <w:rtl/>
        </w:rPr>
        <w:t xml:space="preserve">הכנת המרחב האזרחי. </w:t>
      </w:r>
      <w:r w:rsidRPr="009D2B68">
        <w:rPr>
          <w:rFonts w:eastAsia="Calibri" w:hint="cs"/>
          <w:sz w:val="19"/>
          <w:szCs w:val="19"/>
          <w:rtl/>
        </w:rPr>
        <w:t xml:space="preserve">כמו כן, </w:t>
      </w:r>
      <w:r w:rsidRPr="009D2B68">
        <w:rPr>
          <w:rFonts w:eastAsia="Calibri"/>
          <w:sz w:val="19"/>
          <w:szCs w:val="19"/>
          <w:rtl/>
        </w:rPr>
        <w:t xml:space="preserve">להביא למיצוי מרבי של המשאבים הלאומיים להבטחת החוסן והרציפות התפקודית במצבי משבר וחירום שונים, </w:t>
      </w:r>
      <w:r w:rsidRPr="009D2B68">
        <w:rPr>
          <w:rFonts w:eastAsia="Calibri" w:hint="cs"/>
          <w:sz w:val="19"/>
          <w:szCs w:val="19"/>
          <w:rtl/>
        </w:rPr>
        <w:t>ובכללם</w:t>
      </w:r>
      <w:r w:rsidRPr="009D2B68">
        <w:rPr>
          <w:rFonts w:eastAsia="Calibri"/>
          <w:sz w:val="19"/>
          <w:szCs w:val="19"/>
          <w:rtl/>
        </w:rPr>
        <w:t xml:space="preserve"> מצב חירום בעורף כתוצאה ממלחמה.</w:t>
      </w:r>
      <w:r w:rsidRPr="009D2B68">
        <w:rPr>
          <w:rFonts w:eastAsia="Calibri" w:hint="cs"/>
          <w:sz w:val="19"/>
          <w:szCs w:val="19"/>
          <w:rtl/>
        </w:rPr>
        <w:t xml:space="preserve"> אחת ממשימותיה היא להכין ולהציג לאישורה של הממשלה את איום הייחוס ותרחיש הייחוס </w:t>
      </w:r>
      <w:r w:rsidRPr="009D2B68">
        <w:rPr>
          <w:rFonts w:eastAsia="Calibri" w:hint="eastAsia"/>
          <w:sz w:val="19"/>
          <w:szCs w:val="19"/>
          <w:rtl/>
        </w:rPr>
        <w:t>המשקי</w:t>
      </w:r>
      <w:r w:rsidRPr="009D2B68">
        <w:rPr>
          <w:rFonts w:eastAsia="Calibri" w:hint="cs"/>
          <w:sz w:val="19"/>
          <w:szCs w:val="19"/>
          <w:rtl/>
        </w:rPr>
        <w:t xml:space="preserve"> (</w:t>
      </w:r>
      <w:r w:rsidRPr="009D2B68">
        <w:rPr>
          <w:rFonts w:eastAsia="Calibri"/>
          <w:sz w:val="19"/>
          <w:szCs w:val="19"/>
          <w:rtl/>
        </w:rPr>
        <w:t>הלאומי</w:t>
      </w:r>
      <w:r w:rsidRPr="009D2B68">
        <w:rPr>
          <w:rFonts w:eastAsia="Calibri" w:hint="cs"/>
          <w:sz w:val="19"/>
          <w:szCs w:val="19"/>
          <w:rtl/>
        </w:rPr>
        <w:t>),</w:t>
      </w:r>
      <w:r w:rsidRPr="009D2B68">
        <w:rPr>
          <w:rFonts w:eastAsia="Calibri"/>
          <w:sz w:val="19"/>
          <w:szCs w:val="19"/>
          <w:rtl/>
        </w:rPr>
        <w:t xml:space="preserve"> </w:t>
      </w:r>
      <w:r w:rsidRPr="009D2B68">
        <w:rPr>
          <w:rFonts w:eastAsia="Calibri" w:hint="cs"/>
          <w:sz w:val="19"/>
          <w:szCs w:val="19"/>
          <w:rtl/>
        </w:rPr>
        <w:t>הכולל את ניתוח האיומים וסך כל השפעותיהם על המרחב האזרחי. הלכה למעשה, תרחיש הייחוס</w:t>
      </w:r>
      <w:r w:rsidRPr="009D2B68">
        <w:rPr>
          <w:rFonts w:eastAsia="Calibri"/>
          <w:sz w:val="19"/>
          <w:szCs w:val="19"/>
          <w:rtl/>
        </w:rPr>
        <w:t xml:space="preserve"> משמש בסיס לבניין הכוח של הגופים השונים בשורה של היבטים: כוח אדם, תשתיות נדרשות לשעת חירום, הצטיידות, אימונים, תורה ונהלים.</w:t>
      </w:r>
      <w:r w:rsidRPr="009D2B68">
        <w:rPr>
          <w:rFonts w:eastAsia="Calibri" w:hint="cs"/>
          <w:sz w:val="19"/>
          <w:szCs w:val="19"/>
          <w:rtl/>
        </w:rPr>
        <w:t xml:space="preserve"> </w:t>
      </w:r>
      <w:r w:rsidRPr="009D2B68">
        <w:rPr>
          <w:rFonts w:eastAsia="Calibri"/>
          <w:sz w:val="19"/>
          <w:szCs w:val="19"/>
          <w:rtl/>
        </w:rPr>
        <w:t xml:space="preserve">בהתאם לכך, </w:t>
      </w:r>
      <w:r w:rsidRPr="009D2B68">
        <w:rPr>
          <w:rFonts w:eastAsia="Calibri"/>
          <w:sz w:val="19"/>
          <w:szCs w:val="19"/>
          <w:rtl/>
        </w:rPr>
        <w:lastRenderedPageBreak/>
        <w:t>כאשר נערכים לתוכניות חירום, לרבות פינוי אוכלוסייה, יש צורך להביא בחשבון את המאפיינים של כל תרחיש ייחוס.</w:t>
      </w:r>
    </w:p>
    <w:p w14:paraId="51CCFE7A" w14:textId="77777777" w:rsidR="009D2B68" w:rsidRDefault="009D2B68" w:rsidP="009D2B68">
      <w:pPr>
        <w:pStyle w:val="739"/>
        <w:rPr>
          <w:rFonts w:eastAsia="Calibri"/>
          <w:sz w:val="19"/>
          <w:szCs w:val="19"/>
          <w:rtl/>
        </w:rPr>
      </w:pPr>
      <w:r w:rsidRPr="009D2B68">
        <w:rPr>
          <w:rFonts w:eastAsia="Calibri"/>
          <w:sz w:val="19"/>
          <w:szCs w:val="19"/>
          <w:rtl/>
        </w:rPr>
        <w:t xml:space="preserve">נוכח </w:t>
      </w:r>
      <w:r w:rsidRPr="009D2B68">
        <w:rPr>
          <w:rFonts w:eastAsia="Calibri" w:hint="cs"/>
          <w:sz w:val="19"/>
          <w:szCs w:val="19"/>
          <w:rtl/>
        </w:rPr>
        <w:t xml:space="preserve">מתקפת הטרור בשבעה באוקטובר ופרוץ המלחמה </w:t>
      </w:r>
      <w:r w:rsidRPr="009D2B68">
        <w:rPr>
          <w:rFonts w:eastAsia="Calibri"/>
          <w:sz w:val="19"/>
          <w:szCs w:val="19"/>
          <w:rtl/>
        </w:rPr>
        <w:t xml:space="preserve">ומול איומים של התקפות נוספות, הן בגבול רצועת עזה (גזרת הדרום) והן בגבול עם לבנון, </w:t>
      </w:r>
      <w:r w:rsidRPr="009D2B68">
        <w:rPr>
          <w:sz w:val="19"/>
          <w:szCs w:val="19"/>
          <w:rtl/>
        </w:rPr>
        <w:t>קיבלה</w:t>
      </w:r>
      <w:r w:rsidRPr="009D2B68">
        <w:rPr>
          <w:rFonts w:eastAsia="Calibri"/>
          <w:sz w:val="19"/>
          <w:szCs w:val="19"/>
          <w:rtl/>
        </w:rPr>
        <w:t xml:space="preserve"> הממשלה שורת החלטות בעניין פינוי אוכלוסייה מיישובים בשתי הגזרות</w:t>
      </w:r>
      <w:r w:rsidRPr="009D2B68">
        <w:rPr>
          <w:rFonts w:eastAsia="Calibri" w:hint="cs"/>
          <w:sz w:val="19"/>
          <w:szCs w:val="19"/>
          <w:rtl/>
        </w:rPr>
        <w:t>.</w:t>
      </w:r>
      <w:r w:rsidRPr="009D2B68">
        <w:rPr>
          <w:rFonts w:eastAsia="Calibri"/>
          <w:sz w:val="19"/>
          <w:szCs w:val="19"/>
          <w:rtl/>
        </w:rPr>
        <w:t xml:space="preserve"> בגזרת הדרום פונו תושבי יישובי קו העימות הדרומי מהעיר </w:t>
      </w:r>
      <w:r w:rsidRPr="009D2B68">
        <w:rPr>
          <w:rFonts w:eastAsia="Calibri"/>
          <w:b/>
          <w:bCs/>
          <w:sz w:val="19"/>
          <w:szCs w:val="19"/>
          <w:rtl/>
        </w:rPr>
        <w:t xml:space="preserve">שדרות </w:t>
      </w:r>
      <w:r w:rsidRPr="009D2B68">
        <w:rPr>
          <w:rFonts w:eastAsia="Calibri"/>
          <w:sz w:val="19"/>
          <w:szCs w:val="19"/>
          <w:rtl/>
        </w:rPr>
        <w:t xml:space="preserve">ומיישובים בתחום המועצות </w:t>
      </w:r>
      <w:r w:rsidRPr="009D2B68">
        <w:rPr>
          <w:rFonts w:eastAsia="Calibri" w:hint="cs"/>
          <w:sz w:val="19"/>
          <w:szCs w:val="19"/>
          <w:rtl/>
        </w:rPr>
        <w:t>ה</w:t>
      </w:r>
      <w:r w:rsidRPr="009D2B68">
        <w:rPr>
          <w:rFonts w:eastAsia="Calibri"/>
          <w:sz w:val="19"/>
          <w:szCs w:val="19"/>
          <w:rtl/>
        </w:rPr>
        <w:t>אזוריות בעוטף עזה (</w:t>
      </w:r>
      <w:r w:rsidRPr="009D2B68">
        <w:rPr>
          <w:rFonts w:eastAsia="Calibri"/>
          <w:b/>
          <w:bCs/>
          <w:sz w:val="19"/>
          <w:szCs w:val="19"/>
          <w:rtl/>
        </w:rPr>
        <w:t>אשכול</w:t>
      </w:r>
      <w:r w:rsidRPr="009D2B68">
        <w:rPr>
          <w:rFonts w:eastAsia="Calibri"/>
          <w:sz w:val="19"/>
          <w:szCs w:val="19"/>
          <w:rtl/>
        </w:rPr>
        <w:t>,</w:t>
      </w:r>
      <w:r w:rsidRPr="009D2B68">
        <w:rPr>
          <w:rFonts w:eastAsia="Calibri"/>
          <w:b/>
          <w:bCs/>
          <w:sz w:val="19"/>
          <w:szCs w:val="19"/>
          <w:rtl/>
        </w:rPr>
        <w:t xml:space="preserve"> חוף אשקלון</w:t>
      </w:r>
      <w:r w:rsidRPr="009D2B68">
        <w:rPr>
          <w:rFonts w:eastAsia="Calibri"/>
          <w:sz w:val="19"/>
          <w:szCs w:val="19"/>
          <w:rtl/>
        </w:rPr>
        <w:t>,</w:t>
      </w:r>
      <w:r w:rsidRPr="009D2B68">
        <w:rPr>
          <w:rFonts w:eastAsia="Calibri"/>
          <w:b/>
          <w:bCs/>
          <w:sz w:val="19"/>
          <w:szCs w:val="19"/>
          <w:rtl/>
        </w:rPr>
        <w:t xml:space="preserve"> שדות נגב</w:t>
      </w:r>
      <w:r w:rsidRPr="009D2B68">
        <w:rPr>
          <w:rFonts w:eastAsia="Calibri"/>
          <w:sz w:val="19"/>
          <w:szCs w:val="19"/>
          <w:rtl/>
        </w:rPr>
        <w:t>,</w:t>
      </w:r>
      <w:r w:rsidRPr="009D2B68">
        <w:rPr>
          <w:rFonts w:eastAsia="Calibri"/>
          <w:b/>
          <w:bCs/>
          <w:sz w:val="19"/>
          <w:szCs w:val="19"/>
          <w:rtl/>
        </w:rPr>
        <w:t xml:space="preserve"> שער הנגב</w:t>
      </w:r>
      <w:r w:rsidRPr="009D2B68">
        <w:rPr>
          <w:rFonts w:eastAsia="Calibri"/>
          <w:sz w:val="19"/>
          <w:szCs w:val="19"/>
          <w:rtl/>
        </w:rPr>
        <w:t xml:space="preserve">) המרוחקים 0 - 7 ק"מ מגבול רצועת עזה. כמו כן, הפינוי כלל אוכלוסיות ייעודיות בעיר </w:t>
      </w:r>
      <w:r w:rsidRPr="009D2B68">
        <w:rPr>
          <w:rFonts w:eastAsia="Calibri"/>
          <w:b/>
          <w:bCs/>
          <w:sz w:val="19"/>
          <w:szCs w:val="19"/>
          <w:rtl/>
        </w:rPr>
        <w:t>אשקלון</w:t>
      </w:r>
      <w:r w:rsidRPr="009D2B68">
        <w:rPr>
          <w:rFonts w:eastAsia="Calibri"/>
          <w:sz w:val="19"/>
          <w:szCs w:val="19"/>
          <w:rtl/>
        </w:rPr>
        <w:t xml:space="preserve"> לתקופה קצובה</w:t>
      </w:r>
      <w:r w:rsidRPr="009D2B68">
        <w:rPr>
          <w:rFonts w:eastAsia="Calibri" w:hint="cs"/>
          <w:sz w:val="19"/>
          <w:szCs w:val="19"/>
          <w:rtl/>
        </w:rPr>
        <w:t xml:space="preserve"> </w:t>
      </w:r>
      <w:r w:rsidRPr="009D2B68">
        <w:rPr>
          <w:rFonts w:eastAsia="Calibri"/>
          <w:sz w:val="19"/>
          <w:szCs w:val="19"/>
          <w:rtl/>
        </w:rPr>
        <w:t>לצורך ריענון</w:t>
      </w:r>
      <w:r w:rsidRPr="009D2B68">
        <w:rPr>
          <w:rFonts w:eastAsia="Calibri" w:hint="cs"/>
          <w:sz w:val="19"/>
          <w:szCs w:val="19"/>
          <w:rtl/>
        </w:rPr>
        <w:t xml:space="preserve">. </w:t>
      </w:r>
      <w:bookmarkStart w:id="3" w:name="_Hlk208737114"/>
      <w:r w:rsidRPr="009D2B68">
        <w:rPr>
          <w:rFonts w:eastAsia="Calibri" w:hint="eastAsia"/>
          <w:sz w:val="19"/>
          <w:szCs w:val="19"/>
          <w:rtl/>
        </w:rPr>
        <w:t>העיר</w:t>
      </w:r>
      <w:r w:rsidRPr="009D2B68">
        <w:rPr>
          <w:rFonts w:eastAsia="Calibri"/>
          <w:sz w:val="19"/>
          <w:szCs w:val="19"/>
          <w:rtl/>
        </w:rPr>
        <w:t xml:space="preserve"> </w:t>
      </w:r>
      <w:r w:rsidRPr="009D2B68">
        <w:rPr>
          <w:rFonts w:eastAsia="Calibri" w:hint="eastAsia"/>
          <w:b/>
          <w:bCs/>
          <w:sz w:val="19"/>
          <w:szCs w:val="19"/>
          <w:rtl/>
        </w:rPr>
        <w:t>אופקים</w:t>
      </w:r>
      <w:r w:rsidRPr="009D2B68">
        <w:rPr>
          <w:rFonts w:eastAsia="Calibri"/>
          <w:sz w:val="19"/>
          <w:szCs w:val="19"/>
          <w:rtl/>
        </w:rPr>
        <w:t xml:space="preserve"> </w:t>
      </w:r>
      <w:r w:rsidRPr="009D2B68">
        <w:rPr>
          <w:rFonts w:eastAsia="Calibri" w:hint="eastAsia"/>
          <w:sz w:val="19"/>
          <w:szCs w:val="19"/>
          <w:rtl/>
        </w:rPr>
        <w:t>לא</w:t>
      </w:r>
      <w:r w:rsidRPr="009D2B68">
        <w:rPr>
          <w:rFonts w:eastAsia="Calibri"/>
          <w:sz w:val="19"/>
          <w:szCs w:val="19"/>
          <w:rtl/>
        </w:rPr>
        <w:t xml:space="preserve"> </w:t>
      </w:r>
      <w:r w:rsidRPr="009D2B68">
        <w:rPr>
          <w:rFonts w:eastAsia="Calibri" w:hint="eastAsia"/>
          <w:sz w:val="19"/>
          <w:szCs w:val="19"/>
          <w:rtl/>
        </w:rPr>
        <w:t>נכללה</w:t>
      </w:r>
      <w:r w:rsidRPr="009D2B68">
        <w:rPr>
          <w:rFonts w:eastAsia="Calibri"/>
          <w:sz w:val="19"/>
          <w:szCs w:val="19"/>
          <w:rtl/>
        </w:rPr>
        <w:t xml:space="preserve"> </w:t>
      </w:r>
      <w:r w:rsidRPr="009D2B68">
        <w:rPr>
          <w:rFonts w:eastAsia="Calibri" w:hint="eastAsia"/>
          <w:sz w:val="19"/>
          <w:szCs w:val="19"/>
          <w:rtl/>
        </w:rPr>
        <w:t>בתוכניות</w:t>
      </w:r>
      <w:r w:rsidRPr="009D2B68">
        <w:rPr>
          <w:rFonts w:eastAsia="Calibri"/>
          <w:sz w:val="19"/>
          <w:szCs w:val="19"/>
          <w:rtl/>
        </w:rPr>
        <w:t xml:space="preserve"> </w:t>
      </w:r>
      <w:r w:rsidRPr="009D2B68">
        <w:rPr>
          <w:rFonts w:eastAsia="Calibri" w:hint="eastAsia"/>
          <w:sz w:val="19"/>
          <w:szCs w:val="19"/>
          <w:rtl/>
        </w:rPr>
        <w:t>המדינה</w:t>
      </w:r>
      <w:r w:rsidRPr="009D2B68">
        <w:rPr>
          <w:rFonts w:eastAsia="Calibri" w:hint="cs"/>
          <w:sz w:val="19"/>
          <w:szCs w:val="19"/>
        </w:rPr>
        <w:t xml:space="preserve"> </w:t>
      </w:r>
      <w:r w:rsidRPr="009D2B68">
        <w:rPr>
          <w:rFonts w:eastAsia="Calibri"/>
          <w:sz w:val="19"/>
          <w:szCs w:val="19"/>
          <w:rtl/>
        </w:rPr>
        <w:t xml:space="preserve">ובהחלטות הממשלה </w:t>
      </w:r>
      <w:r w:rsidRPr="009D2B68">
        <w:rPr>
          <w:rFonts w:eastAsia="Calibri" w:hint="cs"/>
          <w:sz w:val="19"/>
          <w:szCs w:val="19"/>
          <w:rtl/>
        </w:rPr>
        <w:t>לפינוי תושבים</w:t>
      </w:r>
      <w:r w:rsidRPr="009D2B68">
        <w:rPr>
          <w:rFonts w:eastAsia="Calibri"/>
          <w:sz w:val="19"/>
          <w:szCs w:val="19"/>
          <w:rtl/>
        </w:rPr>
        <w:t xml:space="preserve"> </w:t>
      </w:r>
      <w:r w:rsidRPr="009D2B68">
        <w:rPr>
          <w:rFonts w:eastAsia="Calibri" w:hint="eastAsia"/>
          <w:sz w:val="19"/>
          <w:szCs w:val="19"/>
          <w:rtl/>
        </w:rPr>
        <w:t>בעקבות</w:t>
      </w:r>
      <w:r w:rsidRPr="009D2B68">
        <w:rPr>
          <w:rFonts w:eastAsia="Calibri"/>
          <w:sz w:val="19"/>
          <w:szCs w:val="19"/>
          <w:rtl/>
        </w:rPr>
        <w:t xml:space="preserve"> </w:t>
      </w:r>
      <w:r w:rsidRPr="009D2B68">
        <w:rPr>
          <w:rFonts w:eastAsia="Calibri" w:hint="eastAsia"/>
          <w:sz w:val="19"/>
          <w:szCs w:val="19"/>
          <w:rtl/>
        </w:rPr>
        <w:t>מלחמת</w:t>
      </w:r>
      <w:r w:rsidRPr="009D2B68">
        <w:rPr>
          <w:rFonts w:eastAsia="Calibri"/>
          <w:sz w:val="19"/>
          <w:szCs w:val="19"/>
          <w:rtl/>
        </w:rPr>
        <w:t xml:space="preserve"> </w:t>
      </w:r>
      <w:r w:rsidRPr="009D2B68">
        <w:rPr>
          <w:rFonts w:eastAsia="Calibri" w:hint="eastAsia"/>
          <w:sz w:val="19"/>
          <w:szCs w:val="19"/>
          <w:rtl/>
        </w:rPr>
        <w:t>חרבות</w:t>
      </w:r>
      <w:r w:rsidRPr="009D2B68">
        <w:rPr>
          <w:rFonts w:eastAsia="Calibri"/>
          <w:sz w:val="19"/>
          <w:szCs w:val="19"/>
          <w:rtl/>
        </w:rPr>
        <w:t xml:space="preserve"> </w:t>
      </w:r>
      <w:r w:rsidRPr="009D2B68">
        <w:rPr>
          <w:rFonts w:eastAsia="Calibri" w:hint="eastAsia"/>
          <w:sz w:val="19"/>
          <w:szCs w:val="19"/>
          <w:rtl/>
        </w:rPr>
        <w:t>ברזל</w:t>
      </w:r>
      <w:r w:rsidRPr="009D2B68">
        <w:rPr>
          <w:rFonts w:eastAsia="Calibri" w:hint="cs"/>
          <w:sz w:val="19"/>
          <w:szCs w:val="19"/>
          <w:rtl/>
        </w:rPr>
        <w:t>,</w:t>
      </w:r>
      <w:r w:rsidRPr="009D2B68">
        <w:rPr>
          <w:rFonts w:eastAsia="Calibri"/>
          <w:sz w:val="19"/>
          <w:szCs w:val="19"/>
          <w:rtl/>
        </w:rPr>
        <w:t xml:space="preserve"> ו</w:t>
      </w:r>
      <w:r w:rsidRPr="009D2B68">
        <w:rPr>
          <w:rFonts w:eastAsia="Calibri" w:hint="cs"/>
          <w:sz w:val="19"/>
          <w:szCs w:val="19"/>
          <w:rtl/>
        </w:rPr>
        <w:t>העירייה פינתה ת</w:t>
      </w:r>
      <w:r w:rsidRPr="009D2B68">
        <w:rPr>
          <w:rFonts w:eastAsia="Calibri"/>
          <w:sz w:val="19"/>
          <w:szCs w:val="19"/>
          <w:rtl/>
        </w:rPr>
        <w:t xml:space="preserve">ושבים מהעיר לצורך ריענון </w:t>
      </w:r>
      <w:r w:rsidRPr="009D2B68">
        <w:rPr>
          <w:rFonts w:eastAsia="Calibri" w:hint="cs"/>
          <w:sz w:val="19"/>
          <w:szCs w:val="19"/>
          <w:rtl/>
        </w:rPr>
        <w:t>במימון העירייה, משרד הפנים ותרומות.</w:t>
      </w:r>
    </w:p>
    <w:p w14:paraId="404B6C6E" w14:textId="77777777" w:rsidR="00935C41" w:rsidRDefault="00935C41" w:rsidP="009D2B68">
      <w:pPr>
        <w:pStyle w:val="739"/>
        <w:rPr>
          <w:rFonts w:eastAsia="Calibri"/>
          <w:sz w:val="19"/>
          <w:szCs w:val="19"/>
          <w:rtl/>
        </w:rPr>
      </w:pPr>
    </w:p>
    <w:p w14:paraId="288B9732" w14:textId="77777777" w:rsidR="00935C41" w:rsidRPr="009D2B68" w:rsidRDefault="00935C41" w:rsidP="009D2B68">
      <w:pPr>
        <w:pStyle w:val="739"/>
        <w:rPr>
          <w:rFonts w:eastAsia="Calibri"/>
          <w:sz w:val="19"/>
          <w:szCs w:val="19"/>
          <w:rtl/>
        </w:rPr>
      </w:pPr>
    </w:p>
    <w:bookmarkEnd w:id="3"/>
    <w:p w14:paraId="0E342DD6" w14:textId="77777777" w:rsidR="009D2B68" w:rsidRDefault="009D2B68" w:rsidP="00AE4BB7">
      <w:pPr>
        <w:spacing w:line="288" w:lineRule="auto"/>
        <w:ind w:left="-284"/>
        <w:rPr>
          <w:sz w:val="12"/>
          <w:szCs w:val="16"/>
          <w:rtl/>
        </w:rPr>
      </w:pPr>
    </w:p>
    <w:p w14:paraId="02CF27F6" w14:textId="77777777" w:rsidR="00AE4BB7" w:rsidRPr="007E24BD" w:rsidRDefault="00AE4BB7" w:rsidP="00AE4BB7">
      <w:pPr>
        <w:spacing w:line="288" w:lineRule="auto"/>
        <w:ind w:left="-284"/>
        <w:rPr>
          <w:sz w:val="12"/>
          <w:szCs w:val="16"/>
          <w:rtl/>
        </w:rPr>
      </w:pPr>
      <w:r w:rsidRPr="006C4033">
        <w:rPr>
          <w:rFonts w:ascii="Tahoma" w:hAnsi="Tahoma" w:cs="Tahoma"/>
          <w:noProof/>
          <w:rtl/>
        </w:rPr>
        <w:drawing>
          <wp:inline distT="0" distB="0" distL="0" distR="0" wp14:anchorId="7DB97903" wp14:editId="4F64520A">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af4"/>
        <w:tblpPr w:leftFromText="180" w:rightFromText="180" w:vertAnchor="text" w:tblpXSpec="center" w:tblpY="1"/>
        <w:tblOverlap w:val="never"/>
        <w:bidiVisual/>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80"/>
        <w:gridCol w:w="2274"/>
        <w:gridCol w:w="283"/>
        <w:gridCol w:w="2266"/>
        <w:gridCol w:w="280"/>
        <w:gridCol w:w="1846"/>
      </w:tblGrid>
      <w:tr w:rsidR="009D2B68" w:rsidRPr="009D2B68" w14:paraId="4519B23F" w14:textId="77777777" w:rsidTr="00040D0B">
        <w:trPr>
          <w:trHeight w:val="283"/>
        </w:trPr>
        <w:tc>
          <w:tcPr>
            <w:tcW w:w="1838" w:type="dxa"/>
            <w:tcBorders>
              <w:bottom w:val="single" w:sz="12" w:space="0" w:color="auto"/>
            </w:tcBorders>
            <w:shd w:val="clear" w:color="auto" w:fill="auto"/>
            <w:vAlign w:val="bottom"/>
          </w:tcPr>
          <w:p w14:paraId="603CCB34" w14:textId="77777777" w:rsidR="009D2B68" w:rsidRPr="009D2B68" w:rsidRDefault="009D2B68" w:rsidP="009D2B68">
            <w:pPr>
              <w:spacing w:after="60" w:line="240" w:lineRule="auto"/>
              <w:jc w:val="left"/>
              <w:rPr>
                <w:rFonts w:ascii="Tahoma" w:eastAsia="Calibri" w:hAnsi="Tahoma" w:cs="Tahoma"/>
                <w:spacing w:val="-10"/>
                <w:sz w:val="36"/>
                <w:szCs w:val="36"/>
                <w:rtl/>
              </w:rPr>
            </w:pPr>
            <w:bookmarkStart w:id="4" w:name="_Hlk222130106"/>
            <w:r w:rsidRPr="009D2B68">
              <w:rPr>
                <w:rFonts w:ascii="Tahoma" w:eastAsia="Calibri" w:hAnsi="Tahoma" w:cs="Tahoma"/>
                <w:spacing w:val="-10"/>
                <w:sz w:val="36"/>
                <w:szCs w:val="36"/>
                <w:rtl/>
              </w:rPr>
              <w:t>80%</w:t>
            </w:r>
          </w:p>
        </w:tc>
        <w:tc>
          <w:tcPr>
            <w:tcW w:w="280" w:type="dxa"/>
          </w:tcPr>
          <w:p w14:paraId="174C64A2" w14:textId="77777777" w:rsidR="009D2B68" w:rsidRPr="009D2B68" w:rsidRDefault="009D2B68" w:rsidP="009D2B68">
            <w:pPr>
              <w:spacing w:line="240" w:lineRule="auto"/>
              <w:rPr>
                <w:rFonts w:ascii="Tahoma" w:eastAsia="Calibri" w:hAnsi="Tahoma" w:cs="Tahoma"/>
                <w:spacing w:val="-10"/>
              </w:rPr>
            </w:pPr>
          </w:p>
        </w:tc>
        <w:tc>
          <w:tcPr>
            <w:tcW w:w="2274" w:type="dxa"/>
            <w:tcBorders>
              <w:bottom w:val="single" w:sz="12" w:space="0" w:color="auto"/>
            </w:tcBorders>
            <w:vAlign w:val="bottom"/>
          </w:tcPr>
          <w:p w14:paraId="68BD640E" w14:textId="77777777" w:rsidR="009D2B68" w:rsidRPr="009D2B68" w:rsidRDefault="009D2B68" w:rsidP="009D2B68">
            <w:pPr>
              <w:spacing w:after="60" w:line="240" w:lineRule="auto"/>
              <w:jc w:val="left"/>
              <w:rPr>
                <w:rFonts w:ascii="Tahoma" w:eastAsia="Calibri" w:hAnsi="Tahoma" w:cs="Tahoma"/>
                <w:spacing w:val="-10"/>
                <w:sz w:val="36"/>
                <w:szCs w:val="36"/>
                <w:rtl/>
              </w:rPr>
            </w:pPr>
            <w:r w:rsidRPr="009D2B68">
              <w:rPr>
                <w:rFonts w:ascii="Tahoma" w:eastAsia="Calibri" w:hAnsi="Tahoma" w:cs="Tahoma"/>
                <w:spacing w:val="-10"/>
                <w:sz w:val="36"/>
                <w:szCs w:val="36"/>
                <w:rtl/>
              </w:rPr>
              <w:t>5</w:t>
            </w:r>
          </w:p>
        </w:tc>
        <w:tc>
          <w:tcPr>
            <w:tcW w:w="283" w:type="dxa"/>
          </w:tcPr>
          <w:p w14:paraId="44B458AF" w14:textId="77777777" w:rsidR="009D2B68" w:rsidRPr="009D2B68" w:rsidRDefault="009D2B68" w:rsidP="009D2B68">
            <w:pPr>
              <w:spacing w:line="240" w:lineRule="auto"/>
              <w:rPr>
                <w:rFonts w:ascii="Tahoma" w:eastAsia="Calibri" w:hAnsi="Tahoma" w:cs="Tahoma"/>
                <w:spacing w:val="-10"/>
              </w:rPr>
            </w:pPr>
          </w:p>
        </w:tc>
        <w:tc>
          <w:tcPr>
            <w:tcW w:w="2266" w:type="dxa"/>
            <w:tcBorders>
              <w:bottom w:val="single" w:sz="12" w:space="0" w:color="auto"/>
            </w:tcBorders>
            <w:vAlign w:val="bottom"/>
          </w:tcPr>
          <w:p w14:paraId="55BB051E" w14:textId="77777777" w:rsidR="009D2B68" w:rsidRPr="009D2B68" w:rsidRDefault="009D2B68" w:rsidP="009D2B68">
            <w:pPr>
              <w:spacing w:line="240" w:lineRule="auto"/>
              <w:jc w:val="left"/>
              <w:rPr>
                <w:rFonts w:ascii="Tahoma" w:eastAsia="Calibri" w:hAnsi="Tahoma" w:cs="Tahoma"/>
                <w:spacing w:val="-10"/>
                <w:sz w:val="36"/>
                <w:szCs w:val="36"/>
                <w:rtl/>
              </w:rPr>
            </w:pPr>
          </w:p>
          <w:p w14:paraId="02C03E0C" w14:textId="77777777" w:rsidR="009D2B68" w:rsidRPr="009D2B68" w:rsidRDefault="009D2B68" w:rsidP="009D2B68">
            <w:pPr>
              <w:spacing w:after="60" w:line="240" w:lineRule="auto"/>
              <w:jc w:val="left"/>
              <w:rPr>
                <w:rFonts w:ascii="Tahoma" w:eastAsia="Calibri" w:hAnsi="Tahoma" w:cs="Tahoma"/>
                <w:spacing w:val="-10"/>
                <w:sz w:val="36"/>
                <w:szCs w:val="36"/>
              </w:rPr>
            </w:pPr>
            <w:r w:rsidRPr="009D2B68">
              <w:rPr>
                <w:rFonts w:ascii="Tahoma" w:eastAsia="Calibri" w:hAnsi="Tahoma" w:cs="Tahoma"/>
                <w:spacing w:val="-10"/>
                <w:sz w:val="36"/>
                <w:szCs w:val="36"/>
                <w:rtl/>
              </w:rPr>
              <w:t xml:space="preserve">21 </w:t>
            </w:r>
            <w:r w:rsidRPr="009D2B68">
              <w:rPr>
                <w:rFonts w:ascii="Tahoma" w:eastAsia="Calibri" w:hAnsi="Tahoma" w:cs="Tahoma"/>
                <w:spacing w:val="-10"/>
                <w:sz w:val="26"/>
                <w:szCs w:val="26"/>
                <w:rtl/>
              </w:rPr>
              <w:t>יישובים</w:t>
            </w:r>
          </w:p>
        </w:tc>
        <w:tc>
          <w:tcPr>
            <w:tcW w:w="280" w:type="dxa"/>
          </w:tcPr>
          <w:p w14:paraId="24190649" w14:textId="77777777" w:rsidR="009D2B68" w:rsidRPr="009D2B68" w:rsidRDefault="009D2B68" w:rsidP="009D2B68">
            <w:pPr>
              <w:spacing w:line="240" w:lineRule="auto"/>
              <w:rPr>
                <w:rFonts w:ascii="Tahoma" w:eastAsia="Calibri" w:hAnsi="Tahoma" w:cs="Tahoma"/>
                <w:spacing w:val="-10"/>
              </w:rPr>
            </w:pPr>
          </w:p>
        </w:tc>
        <w:tc>
          <w:tcPr>
            <w:tcW w:w="1846" w:type="dxa"/>
            <w:tcBorders>
              <w:bottom w:val="single" w:sz="12" w:space="0" w:color="auto"/>
            </w:tcBorders>
            <w:vAlign w:val="bottom"/>
          </w:tcPr>
          <w:p w14:paraId="6F12F3A3" w14:textId="77777777" w:rsidR="009D2B68" w:rsidRPr="009D2B68" w:rsidRDefault="009D2B68" w:rsidP="00040D0B">
            <w:pPr>
              <w:spacing w:after="60" w:line="240" w:lineRule="auto"/>
              <w:jc w:val="left"/>
              <w:rPr>
                <w:rFonts w:ascii="Tahoma" w:eastAsia="Calibri" w:hAnsi="Tahoma" w:cs="Tahoma"/>
                <w:spacing w:val="-10"/>
                <w:sz w:val="36"/>
                <w:szCs w:val="36"/>
                <w:rtl/>
              </w:rPr>
            </w:pPr>
            <w:r w:rsidRPr="009D2B68">
              <w:rPr>
                <w:rFonts w:ascii="Tahoma" w:eastAsia="Calibri" w:hAnsi="Tahoma" w:cs="Tahoma"/>
                <w:spacing w:val="-10"/>
                <w:sz w:val="36"/>
                <w:szCs w:val="36"/>
                <w:rtl/>
              </w:rPr>
              <w:t xml:space="preserve">19% </w:t>
            </w:r>
            <w:r w:rsidRPr="009D2B68">
              <w:rPr>
                <w:rFonts w:ascii="Tahoma" w:eastAsia="Calibri" w:hAnsi="Tahoma" w:cs="Tahoma"/>
                <w:spacing w:val="-10"/>
                <w:sz w:val="26"/>
                <w:szCs w:val="26"/>
                <w:rtl/>
              </w:rPr>
              <w:t>(33,500)</w:t>
            </w:r>
          </w:p>
        </w:tc>
      </w:tr>
      <w:tr w:rsidR="009D2B68" w:rsidRPr="009D2B68" w14:paraId="4616F4CC" w14:textId="77777777" w:rsidTr="00DE14D1">
        <w:trPr>
          <w:trHeight w:val="85"/>
        </w:trPr>
        <w:tc>
          <w:tcPr>
            <w:tcW w:w="9067" w:type="dxa"/>
            <w:gridSpan w:val="7"/>
            <w:shd w:val="clear" w:color="auto" w:fill="auto"/>
            <w:vAlign w:val="center"/>
          </w:tcPr>
          <w:p w14:paraId="05D7E272" w14:textId="77777777" w:rsidR="009D2B68" w:rsidRPr="009D2B68" w:rsidRDefault="009D2B68" w:rsidP="009D2B68">
            <w:pPr>
              <w:spacing w:line="288" w:lineRule="auto"/>
              <w:rPr>
                <w:rFonts w:eastAsia="Calibri"/>
                <w:spacing w:val="-10"/>
                <w:sz w:val="6"/>
                <w:szCs w:val="6"/>
                <w:rtl/>
              </w:rPr>
            </w:pPr>
          </w:p>
        </w:tc>
      </w:tr>
      <w:tr w:rsidR="009D2B68" w:rsidRPr="009D2B68" w14:paraId="760146F0" w14:textId="77777777" w:rsidTr="00040D0B">
        <w:trPr>
          <w:trHeight w:val="1155"/>
        </w:trPr>
        <w:tc>
          <w:tcPr>
            <w:tcW w:w="1838" w:type="dxa"/>
          </w:tcPr>
          <w:p w14:paraId="79BA1796" w14:textId="77777777" w:rsidR="009D2B68" w:rsidRPr="009D2B68" w:rsidRDefault="009D2B68" w:rsidP="00040D0B">
            <w:pPr>
              <w:spacing w:line="240" w:lineRule="auto"/>
              <w:ind w:right="23"/>
              <w:jc w:val="left"/>
              <w:rPr>
                <w:rFonts w:ascii="Tahoma" w:eastAsia="Calibri" w:hAnsi="Tahoma" w:cs="Tahoma"/>
                <w:sz w:val="19"/>
                <w:szCs w:val="19"/>
                <w:rtl/>
              </w:rPr>
            </w:pPr>
            <w:bookmarkStart w:id="5" w:name="_Hlk219898444"/>
            <w:r w:rsidRPr="009D2B68">
              <w:rPr>
                <w:rFonts w:ascii="Tahoma" w:eastAsia="Calibri" w:hAnsi="Tahoma" w:cs="Tahoma"/>
                <w:sz w:val="19"/>
                <w:szCs w:val="19"/>
                <w:rtl/>
              </w:rPr>
              <w:t>מהרשויות המקומיות שנבדקו (4 מתוך 5 רשויות) לא תרגלו פינוי תושבים אל מחוץ לתחומי הרשות</w:t>
            </w:r>
            <w:bookmarkEnd w:id="5"/>
          </w:p>
        </w:tc>
        <w:tc>
          <w:tcPr>
            <w:tcW w:w="280" w:type="dxa"/>
          </w:tcPr>
          <w:p w14:paraId="7327E1C1" w14:textId="77777777" w:rsidR="009D2B68" w:rsidRPr="007670F7" w:rsidRDefault="009D2B68" w:rsidP="00040D0B">
            <w:pPr>
              <w:spacing w:line="240" w:lineRule="auto"/>
              <w:jc w:val="left"/>
              <w:rPr>
                <w:rFonts w:ascii="Tahoma" w:eastAsia="Calibri" w:hAnsi="Tahoma" w:cs="Tahoma"/>
                <w:rtl/>
              </w:rPr>
            </w:pPr>
          </w:p>
        </w:tc>
        <w:tc>
          <w:tcPr>
            <w:tcW w:w="2274" w:type="dxa"/>
          </w:tcPr>
          <w:p w14:paraId="5C0CAA83" w14:textId="77777777" w:rsidR="009D2B68" w:rsidRPr="007670F7" w:rsidRDefault="009D2B68" w:rsidP="00040D0B">
            <w:pPr>
              <w:spacing w:line="240" w:lineRule="auto"/>
              <w:ind w:right="23"/>
              <w:jc w:val="left"/>
              <w:rPr>
                <w:rFonts w:ascii="Tahoma" w:eastAsia="Calibri" w:hAnsi="Tahoma" w:cs="Tahoma"/>
                <w:sz w:val="19"/>
                <w:szCs w:val="19"/>
                <w:rtl/>
              </w:rPr>
            </w:pPr>
            <w:r w:rsidRPr="007670F7">
              <w:rPr>
                <w:rFonts w:ascii="Tahoma" w:eastAsia="Calibri" w:hAnsi="Tahoma" w:cs="Tahoma"/>
                <w:sz w:val="19"/>
                <w:szCs w:val="19"/>
                <w:rtl/>
              </w:rPr>
              <w:t>תרחישי הייחוס לחמש הרשויות המקומיות בדרום הארץ שנבדקו לא כללו פירוט של איומים, נזקי גוף ורכוש בהיקפים עצימים כגון אלו שהתרחשו בפועל</w:t>
            </w:r>
            <w:r w:rsidRPr="007670F7">
              <w:rPr>
                <w:rFonts w:ascii="Tahoma" w:eastAsia="Calibri" w:hAnsi="Tahoma" w:cs="Tahoma"/>
                <w:rtl/>
              </w:rPr>
              <w:t xml:space="preserve"> </w:t>
            </w:r>
            <w:r w:rsidRPr="007670F7">
              <w:rPr>
                <w:rFonts w:ascii="Tahoma" w:eastAsia="Calibri" w:hAnsi="Tahoma" w:cs="Tahoma"/>
                <w:sz w:val="19"/>
                <w:szCs w:val="19"/>
                <w:rtl/>
              </w:rPr>
              <w:t>במתקפת הטרור בשבעה באוקטובר.</w:t>
            </w:r>
            <w:r w:rsidRPr="007670F7">
              <w:rPr>
                <w:rFonts w:ascii="Tahoma" w:eastAsia="Calibri" w:hAnsi="Tahoma" w:cs="Tahoma"/>
                <w:rtl/>
              </w:rPr>
              <w:t xml:space="preserve"> </w:t>
            </w:r>
            <w:r w:rsidRPr="007670F7">
              <w:rPr>
                <w:rFonts w:ascii="Tahoma" w:eastAsia="Calibri" w:hAnsi="Tahoma" w:cs="Tahoma"/>
                <w:sz w:val="19"/>
                <w:szCs w:val="19"/>
                <w:rtl/>
              </w:rPr>
              <w:t xml:space="preserve">תוכנית "מרחק בטוח" לפינוי ולקליטה של אוכלוסייה לא כללה את כל היישובים שפונו (פרט לחלק מיישובי המועצות האזוריות </w:t>
            </w:r>
            <w:r w:rsidRPr="007670F7">
              <w:rPr>
                <w:rFonts w:ascii="Tahoma" w:eastAsia="Calibri" w:hAnsi="Tahoma" w:cs="Tahoma"/>
                <w:b/>
                <w:bCs/>
                <w:sz w:val="19"/>
                <w:szCs w:val="19"/>
                <w:rtl/>
              </w:rPr>
              <w:t>אשכול</w:t>
            </w:r>
            <w:r w:rsidRPr="007670F7">
              <w:rPr>
                <w:rFonts w:ascii="Tahoma" w:eastAsia="Calibri" w:hAnsi="Tahoma" w:cs="Tahoma"/>
                <w:sz w:val="19"/>
                <w:szCs w:val="19"/>
                <w:rtl/>
              </w:rPr>
              <w:t xml:space="preserve"> ו</w:t>
            </w:r>
            <w:r w:rsidRPr="007670F7">
              <w:rPr>
                <w:rFonts w:ascii="Tahoma" w:eastAsia="Calibri" w:hAnsi="Tahoma" w:cs="Tahoma"/>
                <w:b/>
                <w:bCs/>
                <w:sz w:val="19"/>
                <w:szCs w:val="19"/>
                <w:rtl/>
              </w:rPr>
              <w:t>חוף אשקלון</w:t>
            </w:r>
            <w:r w:rsidRPr="007670F7">
              <w:rPr>
                <w:rFonts w:ascii="Tahoma" w:eastAsia="Calibri" w:hAnsi="Tahoma" w:cs="Tahoma"/>
                <w:sz w:val="19"/>
                <w:szCs w:val="19"/>
                <w:rtl/>
              </w:rPr>
              <w:t>)</w:t>
            </w:r>
          </w:p>
        </w:tc>
        <w:tc>
          <w:tcPr>
            <w:tcW w:w="283" w:type="dxa"/>
          </w:tcPr>
          <w:p w14:paraId="6CF6581A" w14:textId="77777777" w:rsidR="009D2B68" w:rsidRPr="009D2B68" w:rsidRDefault="009D2B68" w:rsidP="00040D0B">
            <w:pPr>
              <w:spacing w:line="240" w:lineRule="auto"/>
              <w:jc w:val="left"/>
              <w:rPr>
                <w:rFonts w:ascii="Tahoma" w:eastAsia="Calibri" w:hAnsi="Tahoma" w:cs="Tahoma"/>
                <w:sz w:val="19"/>
                <w:szCs w:val="19"/>
                <w:rtl/>
              </w:rPr>
            </w:pPr>
          </w:p>
        </w:tc>
        <w:tc>
          <w:tcPr>
            <w:tcW w:w="2266" w:type="dxa"/>
          </w:tcPr>
          <w:p w14:paraId="419EC898" w14:textId="77777777" w:rsidR="009D2B68" w:rsidRPr="009D2B68" w:rsidRDefault="009D2B68" w:rsidP="00040D0B">
            <w:pPr>
              <w:spacing w:line="240" w:lineRule="auto"/>
              <w:ind w:right="23"/>
              <w:jc w:val="left"/>
              <w:rPr>
                <w:rFonts w:ascii="Tahoma" w:eastAsia="Calibri" w:hAnsi="Tahoma" w:cs="Tahoma"/>
                <w:sz w:val="19"/>
                <w:szCs w:val="19"/>
                <w:rtl/>
              </w:rPr>
            </w:pPr>
            <w:r w:rsidRPr="009D2B68">
              <w:rPr>
                <w:rFonts w:ascii="Tahoma" w:eastAsia="Calibri" w:hAnsi="Tahoma" w:cs="Tahoma"/>
                <w:sz w:val="19"/>
                <w:szCs w:val="19"/>
                <w:rtl/>
              </w:rPr>
              <w:t xml:space="preserve">השייכים למועצה האזורית </w:t>
            </w:r>
            <w:r w:rsidRPr="009D2B68">
              <w:rPr>
                <w:rFonts w:ascii="Tahoma" w:eastAsia="Calibri" w:hAnsi="Tahoma" w:cs="Tahoma"/>
                <w:b/>
                <w:bCs/>
                <w:sz w:val="19"/>
                <w:szCs w:val="19"/>
                <w:rtl/>
              </w:rPr>
              <w:t xml:space="preserve">אשכול </w:t>
            </w:r>
            <w:r w:rsidR="00066291">
              <w:rPr>
                <w:rFonts w:ascii="Tahoma" w:eastAsia="Calibri" w:hAnsi="Tahoma" w:cs="Tahoma" w:hint="cs"/>
                <w:sz w:val="19"/>
                <w:szCs w:val="19"/>
                <w:rtl/>
              </w:rPr>
              <w:t>ומרוחקים</w:t>
            </w:r>
            <w:r w:rsidRPr="009D2B68">
              <w:rPr>
                <w:rFonts w:ascii="Tahoma" w:eastAsia="Calibri" w:hAnsi="Tahoma" w:cs="Tahoma"/>
                <w:sz w:val="19"/>
                <w:szCs w:val="19"/>
                <w:rtl/>
              </w:rPr>
              <w:t xml:space="preserve"> יותר מ-4 ק"מ מהגבול - לא הוכנה עבורם תוכנית לפינוי.</w:t>
            </w:r>
            <w:r w:rsidRPr="009D2B68">
              <w:rPr>
                <w:rFonts w:ascii="Tahoma" w:eastAsia="Calibri" w:hAnsi="Tahoma" w:cs="Tahoma"/>
                <w:rtl/>
              </w:rPr>
              <w:t xml:space="preserve"> </w:t>
            </w:r>
            <w:r w:rsidRPr="009D2B68">
              <w:rPr>
                <w:rFonts w:ascii="Tahoma" w:eastAsia="Calibri" w:hAnsi="Tahoma" w:cs="Tahoma"/>
                <w:sz w:val="19"/>
                <w:szCs w:val="19"/>
                <w:rtl/>
              </w:rPr>
              <w:t xml:space="preserve">ליתר 11 יישובי המועצה סמוכי הגדר, כן הוכנה תוכנית לפינוי </w:t>
            </w:r>
          </w:p>
        </w:tc>
        <w:tc>
          <w:tcPr>
            <w:tcW w:w="280" w:type="dxa"/>
          </w:tcPr>
          <w:p w14:paraId="03823F79" w14:textId="77777777" w:rsidR="009D2B68" w:rsidRPr="009D2B68" w:rsidRDefault="009D2B68" w:rsidP="00040D0B">
            <w:pPr>
              <w:spacing w:line="240" w:lineRule="auto"/>
              <w:jc w:val="left"/>
              <w:rPr>
                <w:rFonts w:ascii="Tahoma" w:eastAsia="Calibri" w:hAnsi="Tahoma" w:cs="Tahoma"/>
                <w:sz w:val="19"/>
                <w:szCs w:val="19"/>
                <w:rtl/>
              </w:rPr>
            </w:pPr>
          </w:p>
        </w:tc>
        <w:tc>
          <w:tcPr>
            <w:tcW w:w="1846" w:type="dxa"/>
          </w:tcPr>
          <w:p w14:paraId="36C9A6AD" w14:textId="77777777" w:rsidR="009D2B68" w:rsidRPr="009D2B68" w:rsidRDefault="009D2B68" w:rsidP="00040D0B">
            <w:pPr>
              <w:spacing w:line="240" w:lineRule="auto"/>
              <w:ind w:right="23"/>
              <w:jc w:val="left"/>
              <w:rPr>
                <w:rFonts w:ascii="Tahoma" w:eastAsia="Calibri" w:hAnsi="Tahoma" w:cs="Tahoma"/>
                <w:sz w:val="19"/>
                <w:szCs w:val="19"/>
                <w:rtl/>
              </w:rPr>
            </w:pPr>
            <w:r w:rsidRPr="009D2B68">
              <w:rPr>
                <w:rFonts w:ascii="Tahoma" w:eastAsia="Calibri" w:hAnsi="Tahoma" w:cs="Tahoma"/>
                <w:sz w:val="19"/>
                <w:szCs w:val="19"/>
                <w:rtl/>
              </w:rPr>
              <w:t xml:space="preserve">מתושבי </w:t>
            </w:r>
            <w:r w:rsidRPr="009D2B68">
              <w:rPr>
                <w:rFonts w:ascii="Tahoma" w:eastAsia="Calibri" w:hAnsi="Tahoma" w:cs="Tahoma"/>
                <w:b/>
                <w:bCs/>
                <w:sz w:val="19"/>
                <w:szCs w:val="19"/>
                <w:rtl/>
              </w:rPr>
              <w:t>אשקלון</w:t>
            </w:r>
            <w:r w:rsidRPr="009D2B68">
              <w:rPr>
                <w:rFonts w:ascii="Tahoma" w:eastAsia="Calibri" w:hAnsi="Tahoma" w:cs="Tahoma"/>
                <w:sz w:val="19"/>
                <w:szCs w:val="19"/>
                <w:rtl/>
              </w:rPr>
              <w:t xml:space="preserve"> היו מחוסרי מיגון; </w:t>
            </w:r>
          </w:p>
          <w:p w14:paraId="710C0AA5" w14:textId="77777777" w:rsidR="009D2B68" w:rsidRPr="009D2B68" w:rsidRDefault="009D2B68" w:rsidP="00040D0B">
            <w:pPr>
              <w:spacing w:line="240" w:lineRule="auto"/>
              <w:ind w:right="23"/>
              <w:jc w:val="left"/>
              <w:rPr>
                <w:rFonts w:ascii="Tahoma" w:eastAsia="Calibri" w:hAnsi="Tahoma" w:cs="Tahoma"/>
                <w:sz w:val="19"/>
                <w:szCs w:val="19"/>
                <w:rtl/>
              </w:rPr>
            </w:pPr>
            <w:r w:rsidRPr="009D2B68">
              <w:rPr>
                <w:rFonts w:ascii="Tahoma" w:eastAsia="Calibri" w:hAnsi="Tahoma" w:cs="Tahoma"/>
                <w:sz w:val="19"/>
                <w:szCs w:val="19"/>
                <w:rtl/>
              </w:rPr>
              <w:t>ל-52% מתושבי העיר היה ממ"ד; 22.5% התגוררו בבתים עם מקלט משותף; ל-6.5% היה מקלט ציבורי</w:t>
            </w:r>
          </w:p>
        </w:tc>
      </w:tr>
      <w:bookmarkEnd w:id="4"/>
    </w:tbl>
    <w:p w14:paraId="2A0B4DB7" w14:textId="77777777" w:rsidR="00AE4BB7" w:rsidRDefault="00AE4BB7" w:rsidP="00AE4BB7">
      <w:pPr>
        <w:ind w:left="-1"/>
        <w:rPr>
          <w:rtl/>
        </w:rPr>
      </w:pPr>
    </w:p>
    <w:p w14:paraId="0EB127F2" w14:textId="77777777" w:rsidR="009D2B68" w:rsidRDefault="009D2B68" w:rsidP="00AE4BB7">
      <w:pPr>
        <w:ind w:left="-1"/>
        <w:rPr>
          <w:rtl/>
        </w:rPr>
      </w:pPr>
    </w:p>
    <w:p w14:paraId="3D5626D0" w14:textId="77777777" w:rsidR="009D2B68" w:rsidRDefault="009D2B68" w:rsidP="00AE4BB7">
      <w:pPr>
        <w:ind w:left="-1"/>
        <w:rPr>
          <w:rtl/>
        </w:rPr>
      </w:pPr>
    </w:p>
    <w:p w14:paraId="2D1BC05F" w14:textId="77777777" w:rsidR="009D2B68" w:rsidRDefault="009D2B68" w:rsidP="00AE4BB7">
      <w:pPr>
        <w:ind w:left="-1"/>
        <w:rPr>
          <w:rtl/>
        </w:rPr>
      </w:pPr>
    </w:p>
    <w:p w14:paraId="1CAFC8F1" w14:textId="77777777" w:rsidR="009D2B68" w:rsidRDefault="009D2B68" w:rsidP="00AE4BB7">
      <w:pPr>
        <w:ind w:left="-1"/>
        <w:rPr>
          <w:rtl/>
        </w:rPr>
      </w:pP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14:paraId="410E411C" w14:textId="77777777" w:rsidTr="009E37AC">
        <w:trPr>
          <w:trHeight w:val="495"/>
        </w:trPr>
        <w:tc>
          <w:tcPr>
            <w:tcW w:w="8865" w:type="dxa"/>
            <w:vAlign w:val="center"/>
          </w:tcPr>
          <w:p w14:paraId="1EBC8385" w14:textId="77777777" w:rsidR="00AE4BB7" w:rsidRPr="006C4033" w:rsidRDefault="00AE4BB7" w:rsidP="00935C41">
            <w:pPr>
              <w:spacing w:line="360" w:lineRule="auto"/>
              <w:ind w:left="-1"/>
              <w:rPr>
                <w:rFonts w:ascii="Tahoma" w:hAnsi="Tahoma" w:cs="Tahoma"/>
                <w:sz w:val="17"/>
                <w:szCs w:val="17"/>
                <w:rtl/>
              </w:rPr>
            </w:pPr>
            <w:r w:rsidRPr="006C4033">
              <w:rPr>
                <w:rFonts w:ascii="Tahoma" w:hAnsi="Tahoma" w:cs="Tahoma"/>
                <w:noProof/>
              </w:rPr>
              <w:drawing>
                <wp:inline distT="0" distB="0" distL="0" distR="0" wp14:anchorId="56AC1D7A" wp14:editId="23F3B4FA">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14:paraId="5AE4A710" w14:textId="77777777" w:rsidR="0004088F" w:rsidRDefault="00AE4BB7" w:rsidP="006D38A7">
      <w:pPr>
        <w:pStyle w:val="73"/>
        <w:ind w:left="851"/>
        <w:rPr>
          <w:rFonts w:eastAsia="Calibri"/>
          <w:color w:val="auto"/>
          <w:sz w:val="19"/>
          <w:szCs w:val="19"/>
          <w:rtl/>
        </w:rPr>
      </w:pPr>
      <w:r w:rsidRPr="00084768">
        <w:rPr>
          <w:noProof/>
          <w:sz w:val="19"/>
          <w:szCs w:val="19"/>
        </w:rPr>
        <w:drawing>
          <wp:anchor distT="0" distB="0" distL="71755" distR="71755" simplePos="0" relativeHeight="251659264" behindDoc="0" locked="0" layoutInCell="1" allowOverlap="1" wp14:anchorId="5772A4A0" wp14:editId="642264BD">
            <wp:simplePos x="0" y="0"/>
            <wp:positionH relativeFrom="column">
              <wp:posOffset>5283200</wp:posOffset>
            </wp:positionH>
            <wp:positionV relativeFrom="paragraph">
              <wp:posOffset>637540</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8A7" w:rsidRPr="006D38A7">
        <w:rPr>
          <w:rFonts w:eastAsia="Calibri"/>
          <w:color w:val="auto"/>
          <w:sz w:val="19"/>
          <w:szCs w:val="19"/>
          <w:rtl/>
        </w:rPr>
        <w:t xml:space="preserve">בחודשים דצמבר 2023 עד יולי 2024 בדק משרד מבקר המדינה את </w:t>
      </w:r>
      <w:r w:rsidR="006D38A7" w:rsidRPr="006D38A7">
        <w:rPr>
          <w:rFonts w:eastAsia="Calibri" w:hint="cs"/>
          <w:color w:val="auto"/>
          <w:sz w:val="19"/>
          <w:szCs w:val="19"/>
          <w:rtl/>
        </w:rPr>
        <w:t>הפינוי והקליטה של המפונים</w:t>
      </w:r>
      <w:r w:rsidR="006D38A7" w:rsidRPr="006D38A7">
        <w:rPr>
          <w:rFonts w:eastAsia="Calibri"/>
          <w:color w:val="auto"/>
          <w:sz w:val="19"/>
          <w:szCs w:val="19"/>
          <w:rtl/>
        </w:rPr>
        <w:t>. הביקורת</w:t>
      </w:r>
      <w:r w:rsidR="006D38A7" w:rsidRPr="006D38A7">
        <w:rPr>
          <w:rFonts w:eastAsia="Calibri" w:hint="cs"/>
          <w:color w:val="auto"/>
          <w:sz w:val="19"/>
          <w:szCs w:val="19"/>
          <w:rtl/>
        </w:rPr>
        <w:t xml:space="preserve"> בדרום הארץ</w:t>
      </w:r>
      <w:r w:rsidR="006D38A7" w:rsidRPr="006D38A7">
        <w:rPr>
          <w:rFonts w:eastAsia="Calibri"/>
          <w:color w:val="auto"/>
          <w:sz w:val="19"/>
          <w:szCs w:val="19"/>
          <w:rtl/>
        </w:rPr>
        <w:t xml:space="preserve"> נעשתה </w:t>
      </w:r>
      <w:r w:rsidR="006D38A7" w:rsidRPr="006D38A7">
        <w:rPr>
          <w:rFonts w:eastAsia="Calibri" w:hint="cs"/>
          <w:color w:val="auto"/>
          <w:sz w:val="19"/>
          <w:szCs w:val="19"/>
          <w:rtl/>
        </w:rPr>
        <w:t>בחמש</w:t>
      </w:r>
      <w:r w:rsidR="006D38A7" w:rsidRPr="006D38A7">
        <w:rPr>
          <w:rFonts w:eastAsia="Calibri"/>
          <w:color w:val="auto"/>
          <w:sz w:val="19"/>
          <w:szCs w:val="19"/>
          <w:rtl/>
        </w:rPr>
        <w:t xml:space="preserve"> רשויות מקומיות </w:t>
      </w:r>
      <w:r w:rsidR="006D38A7" w:rsidRPr="006D38A7">
        <w:rPr>
          <w:rFonts w:eastAsia="Calibri" w:hint="cs"/>
          <w:color w:val="auto"/>
          <w:sz w:val="19"/>
          <w:szCs w:val="19"/>
          <w:rtl/>
        </w:rPr>
        <w:t xml:space="preserve">שהיה בהן פינוי אוכלוסייה </w:t>
      </w:r>
      <w:r w:rsidR="006D38A7" w:rsidRPr="006D38A7">
        <w:rPr>
          <w:rFonts w:eastAsia="Calibri"/>
          <w:color w:val="auto"/>
          <w:sz w:val="19"/>
          <w:szCs w:val="19"/>
          <w:rtl/>
        </w:rPr>
        <w:t>על פי החלטות ממשלה</w:t>
      </w:r>
      <w:r w:rsidR="006D38A7" w:rsidRPr="006D38A7">
        <w:rPr>
          <w:rFonts w:eastAsia="Calibri" w:hint="cs"/>
          <w:color w:val="auto"/>
          <w:sz w:val="19"/>
          <w:szCs w:val="19"/>
          <w:rtl/>
        </w:rPr>
        <w:t xml:space="preserve"> או פינוי מאורגן אחר במימון רשויות מקומיות ותרומות, לרבות </w:t>
      </w:r>
      <w:r w:rsidR="006D38A7" w:rsidRPr="006D38A7">
        <w:rPr>
          <w:rFonts w:eastAsia="Calibri"/>
          <w:color w:val="auto"/>
          <w:sz w:val="19"/>
          <w:szCs w:val="19"/>
          <w:rtl/>
        </w:rPr>
        <w:t xml:space="preserve">פינוי קצר טווח לצורך </w:t>
      </w:r>
      <w:r w:rsidR="006D38A7" w:rsidRPr="006D38A7">
        <w:rPr>
          <w:rFonts w:eastAsia="Calibri" w:hint="cs"/>
          <w:color w:val="auto"/>
          <w:sz w:val="19"/>
          <w:szCs w:val="19"/>
          <w:rtl/>
        </w:rPr>
        <w:t>ריענון</w:t>
      </w:r>
      <w:r w:rsidR="006D38A7" w:rsidRPr="006D38A7">
        <w:rPr>
          <w:rFonts w:eastAsia="Calibri"/>
          <w:color w:val="auto"/>
          <w:sz w:val="19"/>
          <w:szCs w:val="19"/>
          <w:rtl/>
        </w:rPr>
        <w:t>: עירי</w:t>
      </w:r>
      <w:r w:rsidR="006D38A7" w:rsidRPr="006D38A7">
        <w:rPr>
          <w:rFonts w:eastAsia="Calibri" w:hint="cs"/>
          <w:color w:val="auto"/>
          <w:sz w:val="19"/>
          <w:szCs w:val="19"/>
          <w:rtl/>
        </w:rPr>
        <w:t>ו</w:t>
      </w:r>
      <w:r w:rsidR="006D38A7" w:rsidRPr="006D38A7">
        <w:rPr>
          <w:rFonts w:eastAsia="Calibri"/>
          <w:color w:val="auto"/>
          <w:sz w:val="19"/>
          <w:szCs w:val="19"/>
          <w:rtl/>
        </w:rPr>
        <w:t xml:space="preserve">ת </w:t>
      </w:r>
      <w:r w:rsidR="006D38A7" w:rsidRPr="006D38A7">
        <w:rPr>
          <w:rFonts w:eastAsia="Calibri" w:hint="cs"/>
          <w:b/>
          <w:bCs/>
          <w:color w:val="auto"/>
          <w:sz w:val="19"/>
          <w:szCs w:val="19"/>
          <w:rtl/>
        </w:rPr>
        <w:t>אופקים</w:t>
      </w:r>
      <w:r w:rsidR="006D38A7" w:rsidRPr="006D38A7">
        <w:rPr>
          <w:rFonts w:eastAsia="Calibri"/>
          <w:color w:val="auto"/>
          <w:sz w:val="19"/>
          <w:szCs w:val="19"/>
          <w:rtl/>
        </w:rPr>
        <w:t xml:space="preserve">, </w:t>
      </w:r>
      <w:r w:rsidR="006D38A7" w:rsidRPr="006D38A7">
        <w:rPr>
          <w:rFonts w:eastAsia="Calibri" w:hint="cs"/>
          <w:b/>
          <w:bCs/>
          <w:color w:val="auto"/>
          <w:sz w:val="19"/>
          <w:szCs w:val="19"/>
          <w:rtl/>
        </w:rPr>
        <w:t>אשקלון</w:t>
      </w:r>
      <w:r w:rsidR="006D38A7" w:rsidRPr="006D38A7">
        <w:rPr>
          <w:rFonts w:eastAsia="Calibri"/>
          <w:color w:val="auto"/>
          <w:sz w:val="19"/>
          <w:szCs w:val="19"/>
          <w:rtl/>
        </w:rPr>
        <w:t xml:space="preserve"> </w:t>
      </w:r>
      <w:r w:rsidR="006D38A7" w:rsidRPr="006D38A7">
        <w:rPr>
          <w:rFonts w:eastAsia="Calibri" w:hint="cs"/>
          <w:color w:val="auto"/>
          <w:sz w:val="19"/>
          <w:szCs w:val="19"/>
          <w:rtl/>
        </w:rPr>
        <w:t>ו</w:t>
      </w:r>
      <w:r w:rsidR="006D38A7" w:rsidRPr="006D38A7">
        <w:rPr>
          <w:rFonts w:eastAsia="Calibri" w:hint="cs"/>
          <w:b/>
          <w:bCs/>
          <w:color w:val="auto"/>
          <w:sz w:val="19"/>
          <w:szCs w:val="19"/>
          <w:rtl/>
        </w:rPr>
        <w:t>שדרות</w:t>
      </w:r>
      <w:r w:rsidR="006D38A7" w:rsidRPr="006D38A7">
        <w:rPr>
          <w:rFonts w:eastAsia="Calibri"/>
          <w:color w:val="auto"/>
          <w:sz w:val="19"/>
          <w:szCs w:val="19"/>
          <w:rtl/>
        </w:rPr>
        <w:t xml:space="preserve"> </w:t>
      </w:r>
      <w:r w:rsidR="006D38A7" w:rsidRPr="006D38A7">
        <w:rPr>
          <w:rFonts w:eastAsia="Calibri" w:hint="cs"/>
          <w:color w:val="auto"/>
          <w:sz w:val="19"/>
          <w:szCs w:val="19"/>
          <w:rtl/>
        </w:rPr>
        <w:t xml:space="preserve">והמועצות האזוריות </w:t>
      </w:r>
      <w:r w:rsidR="006D38A7" w:rsidRPr="006D38A7">
        <w:rPr>
          <w:rFonts w:eastAsia="Calibri" w:hint="cs"/>
          <w:b/>
          <w:bCs/>
          <w:color w:val="auto"/>
          <w:sz w:val="19"/>
          <w:szCs w:val="19"/>
          <w:rtl/>
        </w:rPr>
        <w:t>אשכול</w:t>
      </w:r>
      <w:r w:rsidR="006D38A7" w:rsidRPr="006D38A7">
        <w:rPr>
          <w:rFonts w:eastAsia="Calibri"/>
          <w:color w:val="auto"/>
          <w:sz w:val="19"/>
          <w:szCs w:val="19"/>
          <w:rtl/>
        </w:rPr>
        <w:t xml:space="preserve"> </w:t>
      </w:r>
      <w:r w:rsidR="006D38A7" w:rsidRPr="006D38A7">
        <w:rPr>
          <w:rFonts w:eastAsia="Calibri" w:hint="cs"/>
          <w:color w:val="auto"/>
          <w:sz w:val="19"/>
          <w:szCs w:val="19"/>
          <w:rtl/>
        </w:rPr>
        <w:t>ו</w:t>
      </w:r>
      <w:r w:rsidR="006D38A7" w:rsidRPr="006D38A7">
        <w:rPr>
          <w:rFonts w:eastAsia="Calibri" w:hint="cs"/>
          <w:b/>
          <w:bCs/>
          <w:color w:val="auto"/>
          <w:sz w:val="19"/>
          <w:szCs w:val="19"/>
          <w:rtl/>
        </w:rPr>
        <w:t>חוף אשקלון</w:t>
      </w:r>
      <w:r w:rsidR="006D38A7" w:rsidRPr="006D38A7">
        <w:rPr>
          <w:rFonts w:eastAsia="Calibri"/>
          <w:color w:val="auto"/>
          <w:sz w:val="19"/>
          <w:szCs w:val="19"/>
          <w:rtl/>
        </w:rPr>
        <w:t xml:space="preserve"> (הרשויות שנבדקו). </w:t>
      </w:r>
      <w:r w:rsidR="006D38A7" w:rsidRPr="006D38A7">
        <w:rPr>
          <w:rFonts w:eastAsia="Calibri" w:hint="cs"/>
          <w:color w:val="auto"/>
          <w:sz w:val="19"/>
          <w:szCs w:val="19"/>
          <w:rtl/>
        </w:rPr>
        <w:t>פרק זה</w:t>
      </w:r>
      <w:r w:rsidR="006D38A7" w:rsidRPr="006D38A7">
        <w:rPr>
          <w:rFonts w:eastAsia="Calibri"/>
          <w:color w:val="auto"/>
          <w:sz w:val="19"/>
          <w:szCs w:val="19"/>
          <w:rtl/>
        </w:rPr>
        <w:t xml:space="preserve"> </w:t>
      </w:r>
      <w:r w:rsidR="006D38A7" w:rsidRPr="006D38A7">
        <w:rPr>
          <w:rFonts w:eastAsia="Calibri" w:hint="cs"/>
          <w:color w:val="auto"/>
          <w:sz w:val="19"/>
          <w:szCs w:val="19"/>
          <w:rtl/>
        </w:rPr>
        <w:t>עוסק ב</w:t>
      </w:r>
      <w:r w:rsidR="006D38A7" w:rsidRPr="006D38A7">
        <w:rPr>
          <w:rFonts w:eastAsia="Calibri"/>
          <w:color w:val="auto"/>
          <w:sz w:val="19"/>
          <w:szCs w:val="19"/>
          <w:rtl/>
        </w:rPr>
        <w:t>היערכות הרשויות המקומיות לפינוי ולקליטה של תושבים.</w:t>
      </w:r>
      <w:r w:rsidR="006D38A7" w:rsidRPr="006D38A7">
        <w:rPr>
          <w:rFonts w:eastAsia="Calibri" w:hint="cs"/>
          <w:color w:val="auto"/>
          <w:sz w:val="19"/>
          <w:szCs w:val="19"/>
          <w:rtl/>
        </w:rPr>
        <w:t xml:space="preserve"> </w:t>
      </w:r>
      <w:r w:rsidR="006D38A7" w:rsidRPr="006D38A7">
        <w:rPr>
          <w:rFonts w:eastAsia="Calibri"/>
          <w:color w:val="auto"/>
          <w:sz w:val="19"/>
          <w:szCs w:val="19"/>
          <w:rtl/>
        </w:rPr>
        <w:t xml:space="preserve">בדיקות השלמה </w:t>
      </w:r>
      <w:r w:rsidR="006D38A7" w:rsidRPr="006D38A7">
        <w:rPr>
          <w:rFonts w:eastAsia="Calibri" w:hint="cs"/>
          <w:color w:val="auto"/>
          <w:sz w:val="19"/>
          <w:szCs w:val="19"/>
          <w:rtl/>
        </w:rPr>
        <w:t xml:space="preserve">נערכו </w:t>
      </w:r>
      <w:r w:rsidR="006D38A7" w:rsidRPr="006D38A7">
        <w:rPr>
          <w:rFonts w:eastAsia="Calibri"/>
          <w:color w:val="auto"/>
          <w:sz w:val="19"/>
          <w:szCs w:val="19"/>
          <w:rtl/>
        </w:rPr>
        <w:t xml:space="preserve">ברשות החירום הלאומית (רח"ל) שבמשרד הביטחון, בפיקוד העורף (פקע"ר) </w:t>
      </w:r>
      <w:r w:rsidR="006D38A7" w:rsidRPr="006D38A7">
        <w:rPr>
          <w:rFonts w:eastAsia="Calibri" w:hint="cs"/>
          <w:color w:val="auto"/>
          <w:sz w:val="19"/>
          <w:szCs w:val="19"/>
          <w:rtl/>
        </w:rPr>
        <w:t>ו</w:t>
      </w:r>
      <w:r w:rsidR="006D38A7" w:rsidRPr="006D38A7">
        <w:rPr>
          <w:rFonts w:eastAsia="Calibri"/>
          <w:color w:val="auto"/>
          <w:sz w:val="19"/>
          <w:szCs w:val="19"/>
          <w:rtl/>
        </w:rPr>
        <w:t>במשרד הפנים.</w:t>
      </w:r>
    </w:p>
    <w:p w14:paraId="10E9ED21" w14:textId="77777777" w:rsidR="00935C41" w:rsidRDefault="00935C41" w:rsidP="006D38A7">
      <w:pPr>
        <w:pStyle w:val="73"/>
        <w:ind w:left="851"/>
        <w:rPr>
          <w:rFonts w:eastAsia="Calibri"/>
          <w:color w:val="auto"/>
          <w:sz w:val="19"/>
          <w:szCs w:val="19"/>
        </w:rPr>
      </w:pPr>
    </w:p>
    <w:p w14:paraId="793AB612" w14:textId="77777777" w:rsidR="0004088F" w:rsidRPr="00A475CE" w:rsidRDefault="0004088F" w:rsidP="006D38A7">
      <w:pPr>
        <w:pStyle w:val="73"/>
        <w:ind w:left="851"/>
        <w:rPr>
          <w:noProof/>
          <w:sz w:val="16"/>
          <w:szCs w:val="16"/>
        </w:rPr>
      </w:pPr>
    </w:p>
    <w:p w14:paraId="5C67BB63" w14:textId="77777777" w:rsidR="00AE4BB7" w:rsidRPr="006C4033" w:rsidRDefault="00AE4BB7" w:rsidP="0004088F">
      <w:pPr>
        <w:pStyle w:val="73"/>
        <w:ind w:left="-1"/>
        <w:rPr>
          <w:noProof/>
          <w:rtl/>
        </w:rPr>
      </w:pPr>
      <w:r w:rsidRPr="006C4033">
        <w:rPr>
          <w:noProof/>
        </w:rPr>
        <w:drawing>
          <wp:inline distT="0" distB="0" distL="0" distR="0" wp14:anchorId="167FA5F7" wp14:editId="3A0EBF82">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14:paraId="128C9FB5" w14:textId="77777777" w:rsidR="00AE4BB7" w:rsidRPr="00CF6518" w:rsidRDefault="00AE4BB7" w:rsidP="00EE67C7">
      <w:pPr>
        <w:spacing w:before="240" w:after="160"/>
        <w:rPr>
          <w:rtl/>
        </w:rPr>
      </w:pPr>
      <w:r>
        <w:rPr>
          <w:noProof/>
          <w:rtl/>
          <w:lang w:val="he-IL"/>
        </w:rPr>
        <w:drawing>
          <wp:inline distT="0" distB="0" distL="0" distR="0" wp14:anchorId="62D5C2B4" wp14:editId="3D9B637C">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14:paraId="37D794F5" w14:textId="77777777" w:rsidR="0004088F" w:rsidRDefault="0004088F" w:rsidP="00A475CE">
      <w:pPr>
        <w:pStyle w:val="73"/>
        <w:numPr>
          <w:ilvl w:val="0"/>
          <w:numId w:val="25"/>
        </w:numPr>
        <w:spacing w:after="160"/>
        <w:rPr>
          <w:sz w:val="19"/>
          <w:szCs w:val="19"/>
        </w:rPr>
      </w:pPr>
      <w:r w:rsidRPr="00731608">
        <w:rPr>
          <w:rFonts w:hint="cs"/>
          <w:b/>
          <w:bCs/>
          <w:sz w:val="19"/>
          <w:szCs w:val="19"/>
          <w:rtl/>
        </w:rPr>
        <w:t>היערכות לפינוי אוכלוסייה</w:t>
      </w:r>
      <w:r w:rsidRPr="00731608">
        <w:rPr>
          <w:rFonts w:hint="cs"/>
          <w:sz w:val="19"/>
          <w:szCs w:val="19"/>
          <w:rtl/>
        </w:rPr>
        <w:t xml:space="preserve"> - </w:t>
      </w:r>
      <w:bookmarkStart w:id="6" w:name="_Hlk219736988"/>
      <w:r w:rsidRPr="00731608">
        <w:rPr>
          <w:sz w:val="19"/>
          <w:szCs w:val="19"/>
          <w:rtl/>
        </w:rPr>
        <w:t xml:space="preserve">במכתב </w:t>
      </w:r>
      <w:r>
        <w:rPr>
          <w:rFonts w:hint="cs"/>
          <w:sz w:val="19"/>
          <w:szCs w:val="19"/>
          <w:rtl/>
        </w:rPr>
        <w:t>ששלח</w:t>
      </w:r>
      <w:r w:rsidRPr="00731608">
        <w:rPr>
          <w:sz w:val="19"/>
          <w:szCs w:val="19"/>
          <w:rtl/>
        </w:rPr>
        <w:t xml:space="preserve"> מבקר המדינה לראש הממשלה ב-13.11.23, המפרט כשלים ופערים מרכזיים בטיפול בעורף האזרחי ו</w:t>
      </w:r>
      <w:r>
        <w:rPr>
          <w:rFonts w:hint="cs"/>
          <w:sz w:val="19"/>
          <w:szCs w:val="19"/>
          <w:rtl/>
        </w:rPr>
        <w:t xml:space="preserve">מציג </w:t>
      </w:r>
      <w:r w:rsidRPr="00731608">
        <w:rPr>
          <w:sz w:val="19"/>
          <w:szCs w:val="19"/>
          <w:rtl/>
        </w:rPr>
        <w:t xml:space="preserve">תמונת מצב </w:t>
      </w:r>
      <w:r>
        <w:rPr>
          <w:rFonts w:hint="cs"/>
          <w:sz w:val="19"/>
          <w:szCs w:val="19"/>
          <w:rtl/>
        </w:rPr>
        <w:t>למועד זה</w:t>
      </w:r>
      <w:r w:rsidRPr="00731608">
        <w:rPr>
          <w:sz w:val="19"/>
          <w:szCs w:val="19"/>
          <w:rtl/>
        </w:rPr>
        <w:t>, כתב המבקר כי ההיערכות הממשלתית ל</w:t>
      </w:r>
      <w:r>
        <w:rPr>
          <w:rFonts w:hint="cs"/>
          <w:sz w:val="19"/>
          <w:szCs w:val="19"/>
          <w:rtl/>
        </w:rPr>
        <w:t xml:space="preserve">שעת </w:t>
      </w:r>
      <w:r w:rsidRPr="00731608">
        <w:rPr>
          <w:sz w:val="19"/>
          <w:szCs w:val="19"/>
          <w:rtl/>
        </w:rPr>
        <w:t xml:space="preserve">חירום אמורה הייתה להיות כוללת, מפורטת, מתורגלת ומוכנה להפעלה. </w:t>
      </w:r>
      <w:r>
        <w:rPr>
          <w:rFonts w:hint="cs"/>
          <w:sz w:val="19"/>
          <w:szCs w:val="19"/>
          <w:rtl/>
        </w:rPr>
        <w:t xml:space="preserve">עלה </w:t>
      </w:r>
      <w:r w:rsidRPr="00731608">
        <w:rPr>
          <w:sz w:val="19"/>
          <w:szCs w:val="19"/>
          <w:rtl/>
        </w:rPr>
        <w:t>מ</w:t>
      </w:r>
      <w:r>
        <w:rPr>
          <w:rFonts w:hint="cs"/>
          <w:sz w:val="19"/>
          <w:szCs w:val="19"/>
          <w:rtl/>
        </w:rPr>
        <w:t>ה</w:t>
      </w:r>
      <w:r w:rsidRPr="00731608">
        <w:rPr>
          <w:sz w:val="19"/>
          <w:szCs w:val="19"/>
          <w:rtl/>
        </w:rPr>
        <w:t>סיורים שערך המבקר במהלך החודש הראשון</w:t>
      </w:r>
      <w:r w:rsidR="009736D0">
        <w:rPr>
          <w:rFonts w:hint="cs"/>
          <w:sz w:val="19"/>
          <w:szCs w:val="19"/>
          <w:rtl/>
        </w:rPr>
        <w:t xml:space="preserve"> שלאחר</w:t>
      </w:r>
      <w:r w:rsidRPr="00731608">
        <w:rPr>
          <w:sz w:val="19"/>
          <w:szCs w:val="19"/>
          <w:rtl/>
        </w:rPr>
        <w:t xml:space="preserve"> פרוץ מלחמת חרבות ברזל</w:t>
      </w:r>
      <w:r w:rsidRPr="00731608">
        <w:rPr>
          <w:rFonts w:hint="cs"/>
          <w:sz w:val="19"/>
          <w:szCs w:val="19"/>
          <w:rtl/>
        </w:rPr>
        <w:t>,</w:t>
      </w:r>
      <w:r>
        <w:rPr>
          <w:rFonts w:hint="cs"/>
          <w:sz w:val="19"/>
          <w:szCs w:val="19"/>
          <w:rtl/>
        </w:rPr>
        <w:t xml:space="preserve"> בדגש</w:t>
      </w:r>
      <w:r w:rsidRPr="00731608">
        <w:rPr>
          <w:sz w:val="19"/>
          <w:szCs w:val="19"/>
          <w:rtl/>
        </w:rPr>
        <w:t xml:space="preserve"> על יישובי קווי העימות בדרום הארץ ובצפונה ומתוך בירור פרטני של תלונות הציבור ש</w:t>
      </w:r>
      <w:r>
        <w:rPr>
          <w:rFonts w:hint="cs"/>
          <w:sz w:val="19"/>
          <w:szCs w:val="19"/>
          <w:rtl/>
        </w:rPr>
        <w:t>ה</w:t>
      </w:r>
      <w:r w:rsidRPr="00731608">
        <w:rPr>
          <w:sz w:val="19"/>
          <w:szCs w:val="19"/>
          <w:rtl/>
        </w:rPr>
        <w:t>תקבלו בנציבות תלונות הציבור</w:t>
      </w:r>
      <w:r>
        <w:rPr>
          <w:rFonts w:hint="cs"/>
          <w:sz w:val="19"/>
          <w:szCs w:val="19"/>
          <w:rtl/>
        </w:rPr>
        <w:t>,</w:t>
      </w:r>
      <w:r w:rsidRPr="00731608">
        <w:rPr>
          <w:sz w:val="19"/>
          <w:szCs w:val="19"/>
          <w:rtl/>
        </w:rPr>
        <w:t xml:space="preserve"> כי המכנה המשותף הנוגע לרובם המוחלט של הליקויים והפערים השונים</w:t>
      </w:r>
      <w:r>
        <w:rPr>
          <w:rFonts w:hint="cs"/>
          <w:sz w:val="19"/>
          <w:szCs w:val="19"/>
          <w:rtl/>
        </w:rPr>
        <w:t>,</w:t>
      </w:r>
      <w:r w:rsidRPr="00731608">
        <w:rPr>
          <w:sz w:val="19"/>
          <w:szCs w:val="19"/>
          <w:rtl/>
        </w:rPr>
        <w:t xml:space="preserve"> הוא היעדר היערכות לשעת חירום ויישום לקוי של פעולות.</w:t>
      </w:r>
      <w:r w:rsidRPr="00731608">
        <w:rPr>
          <w:rFonts w:hint="eastAsia"/>
          <w:sz w:val="19"/>
          <w:szCs w:val="19"/>
          <w:rtl/>
        </w:rPr>
        <w:t xml:space="preserve"> </w:t>
      </w:r>
      <w:r w:rsidRPr="00731608">
        <w:rPr>
          <w:sz w:val="19"/>
          <w:szCs w:val="19"/>
          <w:rtl/>
        </w:rPr>
        <w:t>בפועל</w:t>
      </w:r>
      <w:r w:rsidRPr="00E14511">
        <w:rPr>
          <w:sz w:val="19"/>
          <w:szCs w:val="19"/>
          <w:rtl/>
        </w:rPr>
        <w:t>, התוכניות הלאומיות לפינוי אוכלוסייה התגלו בזמן אמת כלא</w:t>
      </w:r>
      <w:r w:rsidR="00FB4FB0">
        <w:rPr>
          <w:rFonts w:hint="cs"/>
          <w:sz w:val="19"/>
          <w:szCs w:val="19"/>
          <w:rtl/>
        </w:rPr>
        <w:t>-</w:t>
      </w:r>
      <w:r w:rsidRPr="00E14511">
        <w:rPr>
          <w:sz w:val="19"/>
          <w:szCs w:val="19"/>
          <w:rtl/>
        </w:rPr>
        <w:t>רלוונטיות</w:t>
      </w:r>
      <w:r w:rsidR="00FB4FB0">
        <w:rPr>
          <w:rFonts w:hint="cs"/>
          <w:sz w:val="19"/>
          <w:szCs w:val="19"/>
          <w:rtl/>
        </w:rPr>
        <w:t>,</w:t>
      </w:r>
      <w:r w:rsidRPr="00731608">
        <w:rPr>
          <w:sz w:val="19"/>
          <w:szCs w:val="19"/>
          <w:rtl/>
        </w:rPr>
        <w:t xml:space="preserve"> </w:t>
      </w:r>
      <w:r>
        <w:rPr>
          <w:rFonts w:hint="cs"/>
          <w:sz w:val="19"/>
          <w:szCs w:val="19"/>
          <w:rtl/>
        </w:rPr>
        <w:t>ו</w:t>
      </w:r>
      <w:r w:rsidRPr="00E14511">
        <w:rPr>
          <w:sz w:val="19"/>
          <w:szCs w:val="19"/>
          <w:rtl/>
        </w:rPr>
        <w:t>ה</w:t>
      </w:r>
      <w:r w:rsidR="00FB4FB0">
        <w:rPr>
          <w:rFonts w:hint="cs"/>
          <w:sz w:val="19"/>
          <w:szCs w:val="19"/>
          <w:rtl/>
        </w:rPr>
        <w:t>י</w:t>
      </w:r>
      <w:r w:rsidRPr="00E14511">
        <w:rPr>
          <w:sz w:val="19"/>
          <w:szCs w:val="19"/>
          <w:rtl/>
        </w:rPr>
        <w:t xml:space="preserve">ישובים שנדרש לפנותם ואופן קליטת התושבים שפונו מבתיהם לא היו בהתאם לתוכניות </w:t>
      </w:r>
      <w:r w:rsidRPr="00731608">
        <w:rPr>
          <w:sz w:val="19"/>
          <w:szCs w:val="19"/>
          <w:rtl/>
        </w:rPr>
        <w:t xml:space="preserve">שגובשו ותורגלו. </w:t>
      </w:r>
      <w:r>
        <w:rPr>
          <w:rFonts w:hint="cs"/>
          <w:sz w:val="19"/>
          <w:szCs w:val="19"/>
          <w:rtl/>
        </w:rPr>
        <w:t>עוד עלה</w:t>
      </w:r>
      <w:r w:rsidRPr="00731608">
        <w:rPr>
          <w:rFonts w:hint="cs"/>
          <w:sz w:val="19"/>
          <w:szCs w:val="19"/>
          <w:rtl/>
        </w:rPr>
        <w:t xml:space="preserve"> </w:t>
      </w:r>
      <w:r w:rsidRPr="00731608">
        <w:rPr>
          <w:rFonts w:hint="eastAsia"/>
          <w:sz w:val="19"/>
          <w:szCs w:val="19"/>
          <w:rtl/>
        </w:rPr>
        <w:t>בסיורי</w:t>
      </w:r>
      <w:r w:rsidRPr="00731608">
        <w:rPr>
          <w:sz w:val="19"/>
          <w:szCs w:val="19"/>
          <w:rtl/>
        </w:rPr>
        <w:t xml:space="preserve"> המבקר כי </w:t>
      </w:r>
      <w:r w:rsidRPr="00731608">
        <w:rPr>
          <w:rFonts w:hint="eastAsia"/>
          <w:sz w:val="19"/>
          <w:szCs w:val="19"/>
          <w:rtl/>
        </w:rPr>
        <w:t>ההיערכות</w:t>
      </w:r>
      <w:r w:rsidRPr="00731608">
        <w:rPr>
          <w:sz w:val="19"/>
          <w:szCs w:val="19"/>
          <w:rtl/>
        </w:rPr>
        <w:t xml:space="preserve"> </w:t>
      </w:r>
      <w:r w:rsidRPr="00731608">
        <w:rPr>
          <w:rFonts w:hint="eastAsia"/>
          <w:sz w:val="19"/>
          <w:szCs w:val="19"/>
          <w:rtl/>
        </w:rPr>
        <w:t>הלקויה</w:t>
      </w:r>
      <w:r w:rsidRPr="00731608">
        <w:rPr>
          <w:sz w:val="19"/>
          <w:szCs w:val="19"/>
          <w:rtl/>
        </w:rPr>
        <w:t xml:space="preserve"> </w:t>
      </w:r>
      <w:r w:rsidRPr="00731608">
        <w:rPr>
          <w:rFonts w:hint="eastAsia"/>
          <w:sz w:val="19"/>
          <w:szCs w:val="19"/>
          <w:rtl/>
        </w:rPr>
        <w:t>לפינוי</w:t>
      </w:r>
      <w:r w:rsidRPr="00731608">
        <w:rPr>
          <w:sz w:val="19"/>
          <w:szCs w:val="19"/>
          <w:rtl/>
        </w:rPr>
        <w:t xml:space="preserve"> </w:t>
      </w:r>
      <w:r>
        <w:rPr>
          <w:rFonts w:hint="cs"/>
          <w:sz w:val="19"/>
          <w:szCs w:val="19"/>
          <w:rtl/>
        </w:rPr>
        <w:t>ה</w:t>
      </w:r>
      <w:r w:rsidRPr="00731608">
        <w:rPr>
          <w:rFonts w:hint="eastAsia"/>
          <w:sz w:val="19"/>
          <w:szCs w:val="19"/>
          <w:rtl/>
        </w:rPr>
        <w:t>אוכלוסייה</w:t>
      </w:r>
      <w:r w:rsidRPr="00731608">
        <w:rPr>
          <w:sz w:val="19"/>
          <w:szCs w:val="19"/>
          <w:rtl/>
        </w:rPr>
        <w:t xml:space="preserve"> </w:t>
      </w:r>
      <w:r>
        <w:rPr>
          <w:rFonts w:hint="cs"/>
          <w:sz w:val="19"/>
          <w:szCs w:val="19"/>
          <w:rtl/>
        </w:rPr>
        <w:t xml:space="preserve">יצרה מצב שבו </w:t>
      </w:r>
      <w:r w:rsidRPr="00731608">
        <w:rPr>
          <w:sz w:val="19"/>
          <w:szCs w:val="19"/>
          <w:rtl/>
        </w:rPr>
        <w:t>מאות אלפי אזרחים הפכו לאוכלוסייה נזקקת</w:t>
      </w:r>
      <w:r>
        <w:rPr>
          <w:rFonts w:hint="cs"/>
          <w:sz w:val="19"/>
          <w:szCs w:val="19"/>
          <w:rtl/>
        </w:rPr>
        <w:t>,</w:t>
      </w:r>
      <w:r w:rsidRPr="00731608">
        <w:rPr>
          <w:sz w:val="19"/>
          <w:szCs w:val="19"/>
          <w:rtl/>
        </w:rPr>
        <w:t xml:space="preserve"> ומפונים רבים נזקקו לקבלת תרומות לצ</w:t>
      </w:r>
      <w:r>
        <w:rPr>
          <w:rFonts w:hint="cs"/>
          <w:sz w:val="19"/>
          <w:szCs w:val="19"/>
          <w:rtl/>
        </w:rPr>
        <w:t>ו</w:t>
      </w:r>
      <w:r w:rsidRPr="00731608">
        <w:rPr>
          <w:sz w:val="19"/>
          <w:szCs w:val="19"/>
          <w:rtl/>
        </w:rPr>
        <w:t xml:space="preserve">רכי </w:t>
      </w:r>
      <w:r>
        <w:rPr>
          <w:rFonts w:hint="cs"/>
          <w:sz w:val="19"/>
          <w:szCs w:val="19"/>
          <w:rtl/>
        </w:rPr>
        <w:t>ה</w:t>
      </w:r>
      <w:r w:rsidRPr="00731608">
        <w:rPr>
          <w:sz w:val="19"/>
          <w:szCs w:val="19"/>
          <w:rtl/>
        </w:rPr>
        <w:t xml:space="preserve">קיום </w:t>
      </w:r>
      <w:r>
        <w:rPr>
          <w:rFonts w:hint="cs"/>
          <w:sz w:val="19"/>
          <w:szCs w:val="19"/>
          <w:rtl/>
        </w:rPr>
        <w:t>ה</w:t>
      </w:r>
      <w:r w:rsidRPr="00731608">
        <w:rPr>
          <w:sz w:val="19"/>
          <w:szCs w:val="19"/>
          <w:rtl/>
        </w:rPr>
        <w:t>יום-יומי. כמו כן</w:t>
      </w:r>
      <w:r>
        <w:rPr>
          <w:rFonts w:hint="cs"/>
          <w:sz w:val="19"/>
          <w:szCs w:val="19"/>
          <w:rtl/>
        </w:rPr>
        <w:t>,</w:t>
      </w:r>
      <w:r w:rsidRPr="00731608">
        <w:rPr>
          <w:sz w:val="19"/>
          <w:szCs w:val="19"/>
          <w:rtl/>
        </w:rPr>
        <w:t xml:space="preserve"> בה</w:t>
      </w:r>
      <w:r>
        <w:rPr>
          <w:rFonts w:hint="cs"/>
          <w:sz w:val="19"/>
          <w:szCs w:val="19"/>
          <w:rtl/>
        </w:rPr>
        <w:t>י</w:t>
      </w:r>
      <w:r w:rsidRPr="00731608">
        <w:rPr>
          <w:sz w:val="19"/>
          <w:szCs w:val="19"/>
          <w:rtl/>
        </w:rPr>
        <w:t>עדר תוכניות ממשלתיות למתן שירותים למפונים</w:t>
      </w:r>
      <w:r>
        <w:rPr>
          <w:rFonts w:hint="cs"/>
          <w:sz w:val="19"/>
          <w:szCs w:val="19"/>
          <w:rtl/>
        </w:rPr>
        <w:t>,</w:t>
      </w:r>
      <w:r w:rsidRPr="00731608">
        <w:rPr>
          <w:sz w:val="19"/>
          <w:szCs w:val="19"/>
          <w:rtl/>
        </w:rPr>
        <w:t xml:space="preserve"> </w:t>
      </w:r>
      <w:r w:rsidR="00FB4FB0" w:rsidRPr="00731608">
        <w:rPr>
          <w:sz w:val="19"/>
          <w:szCs w:val="19"/>
          <w:rtl/>
        </w:rPr>
        <w:t xml:space="preserve">נפגע </w:t>
      </w:r>
      <w:r w:rsidRPr="00731608">
        <w:rPr>
          <w:sz w:val="19"/>
          <w:szCs w:val="19"/>
          <w:rtl/>
        </w:rPr>
        <w:t>המענה שניתן להם בין היתר בתחומים חשובים כגון חינוך ורווחה.</w:t>
      </w:r>
      <w:r w:rsidRPr="00731608">
        <w:rPr>
          <w:rFonts w:hint="cs"/>
          <w:sz w:val="19"/>
          <w:szCs w:val="19"/>
          <w:rtl/>
        </w:rPr>
        <w:t xml:space="preserve"> בביקורת עלה כי</w:t>
      </w:r>
      <w:r w:rsidRPr="00731608">
        <w:rPr>
          <w:rFonts w:hint="cs"/>
          <w:b/>
          <w:bCs/>
          <w:sz w:val="19"/>
          <w:szCs w:val="19"/>
          <w:rtl/>
        </w:rPr>
        <w:t xml:space="preserve"> </w:t>
      </w:r>
      <w:r w:rsidRPr="00731608">
        <w:rPr>
          <w:sz w:val="19"/>
          <w:szCs w:val="19"/>
          <w:rtl/>
        </w:rPr>
        <w:t>גו</w:t>
      </w:r>
      <w:r w:rsidRPr="00731608">
        <w:rPr>
          <w:rFonts w:hint="cs"/>
          <w:sz w:val="19"/>
          <w:szCs w:val="19"/>
          <w:rtl/>
        </w:rPr>
        <w:t xml:space="preserve">פי השלטון המרכזי </w:t>
      </w:r>
      <w:r w:rsidRPr="00731608">
        <w:rPr>
          <w:sz w:val="19"/>
          <w:szCs w:val="19"/>
          <w:rtl/>
        </w:rPr>
        <w:t xml:space="preserve">האחראים </w:t>
      </w:r>
      <w:r>
        <w:rPr>
          <w:rFonts w:hint="cs"/>
          <w:sz w:val="19"/>
          <w:szCs w:val="19"/>
          <w:rtl/>
        </w:rPr>
        <w:t>ל</w:t>
      </w:r>
      <w:r w:rsidRPr="00731608">
        <w:rPr>
          <w:sz w:val="19"/>
          <w:szCs w:val="19"/>
          <w:rtl/>
        </w:rPr>
        <w:t>היערכות לשעת חירום</w:t>
      </w:r>
      <w:r>
        <w:rPr>
          <w:rFonts w:hint="cs"/>
          <w:sz w:val="19"/>
          <w:szCs w:val="19"/>
          <w:rtl/>
        </w:rPr>
        <w:t xml:space="preserve">, </w:t>
      </w:r>
      <w:r w:rsidRPr="00731608">
        <w:rPr>
          <w:sz w:val="19"/>
          <w:szCs w:val="19"/>
          <w:rtl/>
        </w:rPr>
        <w:t>ובהם</w:t>
      </w:r>
      <w:r w:rsidRPr="00731608">
        <w:rPr>
          <w:rFonts w:hint="cs"/>
          <w:b/>
          <w:bCs/>
          <w:sz w:val="19"/>
          <w:szCs w:val="19"/>
          <w:rtl/>
        </w:rPr>
        <w:t xml:space="preserve"> </w:t>
      </w:r>
      <w:r w:rsidRPr="00731608">
        <w:rPr>
          <w:sz w:val="19"/>
          <w:szCs w:val="19"/>
          <w:rtl/>
        </w:rPr>
        <w:t>משרד הפנים</w:t>
      </w:r>
      <w:r>
        <w:rPr>
          <w:rFonts w:hint="cs"/>
          <w:sz w:val="19"/>
          <w:szCs w:val="19"/>
          <w:rtl/>
        </w:rPr>
        <w:t>, צה"ל</w:t>
      </w:r>
      <w:r w:rsidRPr="00731608">
        <w:rPr>
          <w:sz w:val="19"/>
          <w:szCs w:val="19"/>
          <w:rtl/>
        </w:rPr>
        <w:t xml:space="preserve"> ורח"ל</w:t>
      </w:r>
      <w:r>
        <w:rPr>
          <w:rFonts w:hint="cs"/>
          <w:sz w:val="19"/>
          <w:szCs w:val="19"/>
          <w:rtl/>
        </w:rPr>
        <w:t>,</w:t>
      </w:r>
      <w:r w:rsidRPr="00731608">
        <w:rPr>
          <w:sz w:val="19"/>
          <w:szCs w:val="19"/>
          <w:rtl/>
        </w:rPr>
        <w:t xml:space="preserve"> לא הנחו את הרשויות המקומיות בדרום הארץ הסמוכות לגבול </w:t>
      </w:r>
      <w:r>
        <w:rPr>
          <w:rFonts w:hint="cs"/>
          <w:sz w:val="19"/>
          <w:szCs w:val="19"/>
          <w:rtl/>
        </w:rPr>
        <w:t xml:space="preserve">רצועת </w:t>
      </w:r>
      <w:r w:rsidRPr="00731608">
        <w:rPr>
          <w:sz w:val="19"/>
          <w:szCs w:val="19"/>
          <w:rtl/>
        </w:rPr>
        <w:t xml:space="preserve">עזה להיערך לחלופות שונות </w:t>
      </w:r>
      <w:r w:rsidRPr="00731608">
        <w:rPr>
          <w:rFonts w:hint="cs"/>
          <w:sz w:val="19"/>
          <w:szCs w:val="19"/>
          <w:rtl/>
        </w:rPr>
        <w:t>של</w:t>
      </w:r>
      <w:r w:rsidRPr="00731608">
        <w:rPr>
          <w:sz w:val="19"/>
          <w:szCs w:val="19"/>
          <w:rtl/>
        </w:rPr>
        <w:t xml:space="preserve"> פינוי תושבים</w:t>
      </w:r>
      <w:r w:rsidRPr="00731608">
        <w:rPr>
          <w:rFonts w:hint="cs"/>
          <w:sz w:val="19"/>
          <w:szCs w:val="19"/>
          <w:rtl/>
        </w:rPr>
        <w:t xml:space="preserve"> בתרחיש מלחמתי</w:t>
      </w:r>
      <w:r w:rsidRPr="00731608">
        <w:rPr>
          <w:sz w:val="19"/>
          <w:szCs w:val="19"/>
          <w:rtl/>
        </w:rPr>
        <w:t>, ובכלל זה פינוי תושבים בהיקפים ניכרים ומשמעותיים</w:t>
      </w:r>
      <w:r>
        <w:rPr>
          <w:rFonts w:hint="cs"/>
          <w:sz w:val="19"/>
          <w:szCs w:val="19"/>
          <w:rtl/>
        </w:rPr>
        <w:t>,</w:t>
      </w:r>
      <w:r w:rsidRPr="00731608">
        <w:rPr>
          <w:sz w:val="19"/>
          <w:szCs w:val="19"/>
          <w:rtl/>
        </w:rPr>
        <w:t xml:space="preserve"> כפי שקרה בעקבות </w:t>
      </w:r>
      <w:r w:rsidRPr="004317F9">
        <w:rPr>
          <w:sz w:val="19"/>
          <w:szCs w:val="19"/>
          <w:rtl/>
        </w:rPr>
        <w:t xml:space="preserve">מתקפת </w:t>
      </w:r>
      <w:r>
        <w:rPr>
          <w:rFonts w:hint="cs"/>
          <w:sz w:val="19"/>
          <w:szCs w:val="19"/>
          <w:rtl/>
        </w:rPr>
        <w:t>הטרור</w:t>
      </w:r>
      <w:r w:rsidRPr="004317F9">
        <w:rPr>
          <w:sz w:val="19"/>
          <w:szCs w:val="19"/>
          <w:rtl/>
        </w:rPr>
        <w:t xml:space="preserve"> בשבעה באוקטובר</w:t>
      </w:r>
      <w:r w:rsidRPr="00731608">
        <w:rPr>
          <w:rFonts w:hint="cs"/>
          <w:sz w:val="19"/>
          <w:szCs w:val="19"/>
          <w:rtl/>
        </w:rPr>
        <w:t>.</w:t>
      </w:r>
    </w:p>
    <w:p w14:paraId="647A494D" w14:textId="77777777" w:rsidR="00A475CE" w:rsidRPr="00731608" w:rsidRDefault="00A475CE" w:rsidP="00A475CE">
      <w:pPr>
        <w:pStyle w:val="73"/>
        <w:rPr>
          <w:sz w:val="19"/>
          <w:szCs w:val="19"/>
        </w:rPr>
      </w:pPr>
    </w:p>
    <w:bookmarkEnd w:id="6"/>
    <w:p w14:paraId="425B080F" w14:textId="77777777" w:rsidR="0004088F" w:rsidRPr="00EC286D" w:rsidRDefault="0004088F" w:rsidP="001B1F31">
      <w:pPr>
        <w:pStyle w:val="73"/>
        <w:numPr>
          <w:ilvl w:val="0"/>
          <w:numId w:val="25"/>
        </w:numPr>
        <w:spacing w:after="160"/>
        <w:rPr>
          <w:sz w:val="19"/>
          <w:szCs w:val="19"/>
        </w:rPr>
      </w:pPr>
      <w:r w:rsidRPr="00EC286D">
        <w:rPr>
          <w:b/>
          <w:bCs/>
          <w:sz w:val="19"/>
          <w:szCs w:val="19"/>
          <w:rtl/>
        </w:rPr>
        <w:t xml:space="preserve">תוכניות לאומיות לפינוי אוכלוסייה </w:t>
      </w:r>
      <w:r w:rsidRPr="00EC286D">
        <w:rPr>
          <w:sz w:val="19"/>
          <w:szCs w:val="19"/>
          <w:rtl/>
        </w:rPr>
        <w:t>-</w:t>
      </w:r>
      <w:r w:rsidRPr="00EC286D">
        <w:rPr>
          <w:rFonts w:hint="cs"/>
          <w:b/>
          <w:bCs/>
          <w:sz w:val="19"/>
          <w:szCs w:val="19"/>
          <w:rtl/>
        </w:rPr>
        <w:t xml:space="preserve"> </w:t>
      </w:r>
      <w:bookmarkStart w:id="7" w:name="_Hlk219900719"/>
      <w:r w:rsidRPr="00427FFB">
        <w:rPr>
          <w:sz w:val="19"/>
          <w:szCs w:val="19"/>
          <w:rtl/>
        </w:rPr>
        <w:t>החלטת הממשלה "מלון אורחים"</w:t>
      </w:r>
      <w:r w:rsidRPr="00EC286D">
        <w:rPr>
          <w:sz w:val="19"/>
          <w:szCs w:val="19"/>
          <w:rtl/>
        </w:rPr>
        <w:t xml:space="preserve"> משנת 2012 משמשת כתוכנית הפעולה הלאומית לפינוי ולקליטה של אוכלוסייה.</w:t>
      </w:r>
      <w:r w:rsidRPr="00EC286D">
        <w:rPr>
          <w:b/>
          <w:bCs/>
          <w:sz w:val="19"/>
          <w:szCs w:val="19"/>
          <w:rtl/>
        </w:rPr>
        <w:t xml:space="preserve"> </w:t>
      </w:r>
      <w:bookmarkStart w:id="8" w:name="_Hlk177889948"/>
      <w:r w:rsidRPr="00EC286D">
        <w:rPr>
          <w:sz w:val="19"/>
          <w:szCs w:val="19"/>
          <w:rtl/>
        </w:rPr>
        <w:t>תוכנית "מלון אורחים" ע</w:t>
      </w:r>
      <w:r w:rsidRPr="00EC286D">
        <w:rPr>
          <w:rFonts w:hint="cs"/>
          <w:sz w:val="19"/>
          <w:szCs w:val="19"/>
          <w:rtl/>
        </w:rPr>
        <w:t>ו</w:t>
      </w:r>
      <w:r w:rsidRPr="00EC286D">
        <w:rPr>
          <w:sz w:val="19"/>
          <w:szCs w:val="19"/>
          <w:rtl/>
        </w:rPr>
        <w:t>סק</w:t>
      </w:r>
      <w:r w:rsidRPr="00EC286D">
        <w:rPr>
          <w:rFonts w:hint="cs"/>
          <w:sz w:val="19"/>
          <w:szCs w:val="19"/>
          <w:rtl/>
        </w:rPr>
        <w:t>ת</w:t>
      </w:r>
      <w:r w:rsidRPr="00EC286D">
        <w:rPr>
          <w:sz w:val="19"/>
          <w:szCs w:val="19"/>
          <w:rtl/>
        </w:rPr>
        <w:t xml:space="preserve"> בחלוקת האחריות לביצוע פינוי המוני מאורגן של אוכלוסייה וקליטתה, </w:t>
      </w:r>
      <w:r w:rsidRPr="00EC286D">
        <w:rPr>
          <w:rFonts w:hint="cs"/>
          <w:sz w:val="19"/>
          <w:szCs w:val="19"/>
          <w:rtl/>
        </w:rPr>
        <w:t xml:space="preserve">פינוי המתחייב </w:t>
      </w:r>
      <w:r w:rsidRPr="00EC286D">
        <w:rPr>
          <w:sz w:val="19"/>
          <w:szCs w:val="19"/>
          <w:rtl/>
        </w:rPr>
        <w:t xml:space="preserve">בשל סיכון המאיים עליה או משום שנותרה ללא קורת גג. </w:t>
      </w:r>
      <w:r w:rsidRPr="00EC286D">
        <w:rPr>
          <w:rFonts w:eastAsia="Calibri" w:hint="cs"/>
          <w:sz w:val="19"/>
          <w:szCs w:val="19"/>
          <w:rtl/>
        </w:rPr>
        <w:t>תוכנית "מרחק בטוח" הלאומית</w:t>
      </w:r>
      <w:r>
        <w:rPr>
          <w:rStyle w:val="af1"/>
          <w:rFonts w:eastAsia="Calibri"/>
          <w:sz w:val="19"/>
          <w:szCs w:val="19"/>
          <w:rtl/>
        </w:rPr>
        <w:footnoteReference w:id="2"/>
      </w:r>
      <w:r w:rsidRPr="00EC286D">
        <w:rPr>
          <w:rFonts w:eastAsia="Calibri" w:hint="cs"/>
          <w:sz w:val="19"/>
          <w:szCs w:val="19"/>
          <w:rtl/>
        </w:rPr>
        <w:t xml:space="preserve"> היא תוכנית המשלימה את תוכנית "מלון אורחים" ומתבססת עליה. </w:t>
      </w:r>
      <w:bookmarkEnd w:id="7"/>
      <w:r w:rsidRPr="00EC286D">
        <w:rPr>
          <w:rFonts w:eastAsia="Calibri" w:hint="cs"/>
          <w:sz w:val="19"/>
          <w:szCs w:val="19"/>
          <w:rtl/>
        </w:rPr>
        <w:t xml:space="preserve">מטרת התוכנית </w:t>
      </w:r>
      <w:bookmarkStart w:id="9" w:name="_Hlk219901105"/>
      <w:r w:rsidRPr="00EC286D">
        <w:rPr>
          <w:rFonts w:eastAsia="Calibri" w:hint="cs"/>
          <w:sz w:val="19"/>
          <w:szCs w:val="19"/>
          <w:rtl/>
        </w:rPr>
        <w:t>היא פינוי וקליט</w:t>
      </w:r>
      <w:r w:rsidR="00FB4FB0">
        <w:rPr>
          <w:rFonts w:eastAsia="Calibri" w:hint="cs"/>
          <w:sz w:val="19"/>
          <w:szCs w:val="19"/>
          <w:rtl/>
        </w:rPr>
        <w:t>ה של</w:t>
      </w:r>
      <w:r w:rsidRPr="00EC286D">
        <w:rPr>
          <w:rFonts w:eastAsia="Calibri" w:hint="cs"/>
          <w:sz w:val="19"/>
          <w:szCs w:val="19"/>
          <w:rtl/>
        </w:rPr>
        <w:t xml:space="preserve"> </w:t>
      </w:r>
      <w:r w:rsidRPr="00EC286D">
        <w:rPr>
          <w:rFonts w:eastAsia="Calibri"/>
          <w:sz w:val="19"/>
          <w:szCs w:val="19"/>
          <w:rtl/>
        </w:rPr>
        <w:t>תושבים מיישובים סמ</w:t>
      </w:r>
      <w:r w:rsidRPr="00EC286D">
        <w:rPr>
          <w:rFonts w:eastAsia="Calibri" w:hint="cs"/>
          <w:sz w:val="19"/>
          <w:szCs w:val="19"/>
          <w:rtl/>
        </w:rPr>
        <w:t>ו</w:t>
      </w:r>
      <w:r w:rsidRPr="00EC286D">
        <w:rPr>
          <w:rFonts w:eastAsia="Calibri"/>
          <w:sz w:val="19"/>
          <w:szCs w:val="19"/>
          <w:rtl/>
        </w:rPr>
        <w:t>כי גדר באירועי חירום</w:t>
      </w:r>
      <w:r w:rsidRPr="00EC286D">
        <w:rPr>
          <w:rFonts w:eastAsia="Calibri" w:hint="cs"/>
          <w:sz w:val="19"/>
          <w:szCs w:val="19"/>
          <w:rtl/>
        </w:rPr>
        <w:t xml:space="preserve"> בתרחיש מלחמתי, ומתן מענה למפונים עד לחזרתם למגורי הקבע לתקופה של 21 ימים לכל היותר</w:t>
      </w:r>
      <w:bookmarkEnd w:id="9"/>
      <w:r w:rsidRPr="00EC286D">
        <w:rPr>
          <w:rFonts w:eastAsia="Calibri"/>
          <w:sz w:val="19"/>
          <w:szCs w:val="19"/>
          <w:rtl/>
        </w:rPr>
        <w:t>.</w:t>
      </w:r>
      <w:bookmarkEnd w:id="8"/>
      <w:r w:rsidRPr="00EC286D">
        <w:rPr>
          <w:rFonts w:hint="cs"/>
          <w:sz w:val="19"/>
          <w:szCs w:val="19"/>
          <w:rtl/>
        </w:rPr>
        <w:t xml:space="preserve"> </w:t>
      </w:r>
      <w:r w:rsidRPr="00EC286D">
        <w:rPr>
          <w:sz w:val="19"/>
          <w:szCs w:val="19"/>
          <w:rtl/>
        </w:rPr>
        <w:t>התוכנית שימשה בפועל כבסיס להיערכות הרשויות המקומיות לפינוי</w:t>
      </w:r>
      <w:r w:rsidRPr="00EC286D">
        <w:rPr>
          <w:rFonts w:hint="cs"/>
          <w:sz w:val="19"/>
          <w:szCs w:val="19"/>
          <w:rtl/>
        </w:rPr>
        <w:t xml:space="preserve"> בשעת חירום</w:t>
      </w:r>
      <w:r w:rsidRPr="00EC286D">
        <w:rPr>
          <w:sz w:val="19"/>
          <w:szCs w:val="19"/>
          <w:rtl/>
        </w:rPr>
        <w:t xml:space="preserve">. התוכנית חלה על יישובים בגזרת הדרום (יישובים בטווח 0 - 4 ק"מ מהגבול, ללא העיר </w:t>
      </w:r>
      <w:r w:rsidRPr="00EC286D">
        <w:rPr>
          <w:b/>
          <w:bCs/>
          <w:sz w:val="19"/>
          <w:szCs w:val="19"/>
          <w:rtl/>
        </w:rPr>
        <w:t>שדרות</w:t>
      </w:r>
      <w:r w:rsidRPr="00EC286D">
        <w:rPr>
          <w:sz w:val="19"/>
          <w:szCs w:val="19"/>
          <w:rtl/>
        </w:rPr>
        <w:t xml:space="preserve"> - "מרחק בטוח" דרום) ובגזרת הצפון (יישובים בטווח 0 - 5 ק"מ מהגבול, ללא העיר </w:t>
      </w:r>
      <w:r w:rsidRPr="00EC286D">
        <w:rPr>
          <w:b/>
          <w:bCs/>
          <w:sz w:val="19"/>
          <w:szCs w:val="19"/>
          <w:rtl/>
        </w:rPr>
        <w:t>קריית שמונה</w:t>
      </w:r>
      <w:r w:rsidRPr="00EC286D">
        <w:rPr>
          <w:sz w:val="19"/>
          <w:szCs w:val="19"/>
          <w:rtl/>
        </w:rPr>
        <w:t xml:space="preserve"> - "מרחק בטוח" צפון). </w:t>
      </w:r>
      <w:r w:rsidRPr="00EC286D">
        <w:rPr>
          <w:rFonts w:hint="eastAsia"/>
          <w:sz w:val="19"/>
          <w:szCs w:val="19"/>
          <w:rtl/>
        </w:rPr>
        <w:t>על</w:t>
      </w:r>
      <w:r w:rsidRPr="00EC286D">
        <w:rPr>
          <w:sz w:val="19"/>
          <w:szCs w:val="19"/>
          <w:rtl/>
        </w:rPr>
        <w:t xml:space="preserve"> פי </w:t>
      </w:r>
      <w:r w:rsidRPr="00EC286D">
        <w:rPr>
          <w:rFonts w:hint="eastAsia"/>
          <w:sz w:val="19"/>
          <w:szCs w:val="19"/>
          <w:rtl/>
        </w:rPr>
        <w:t>תוכנית</w:t>
      </w:r>
      <w:r w:rsidRPr="00EC286D">
        <w:rPr>
          <w:sz w:val="19"/>
          <w:szCs w:val="19"/>
          <w:rtl/>
        </w:rPr>
        <w:t xml:space="preserve"> "</w:t>
      </w:r>
      <w:r w:rsidRPr="00EC286D">
        <w:rPr>
          <w:rFonts w:hint="eastAsia"/>
          <w:sz w:val="19"/>
          <w:szCs w:val="19"/>
          <w:rtl/>
        </w:rPr>
        <w:t>מרחק</w:t>
      </w:r>
      <w:r w:rsidRPr="00EC286D">
        <w:rPr>
          <w:sz w:val="19"/>
          <w:szCs w:val="19"/>
          <w:rtl/>
        </w:rPr>
        <w:t xml:space="preserve"> </w:t>
      </w:r>
      <w:r w:rsidRPr="00EC286D">
        <w:rPr>
          <w:rFonts w:hint="eastAsia"/>
          <w:sz w:val="19"/>
          <w:szCs w:val="19"/>
          <w:rtl/>
        </w:rPr>
        <w:t>בטוח</w:t>
      </w:r>
      <w:r w:rsidRPr="00EC286D">
        <w:rPr>
          <w:sz w:val="19"/>
          <w:szCs w:val="19"/>
          <w:rtl/>
        </w:rPr>
        <w:t>"</w:t>
      </w:r>
      <w:r w:rsidRPr="00BA60BD">
        <w:rPr>
          <w:vertAlign w:val="superscript"/>
          <w:rtl/>
        </w:rPr>
        <w:footnoteReference w:id="3"/>
      </w:r>
      <w:r w:rsidRPr="00EC286D">
        <w:rPr>
          <w:sz w:val="19"/>
          <w:szCs w:val="19"/>
          <w:rtl/>
        </w:rPr>
        <w:t xml:space="preserve">, </w:t>
      </w:r>
      <w:r w:rsidRPr="00EC286D">
        <w:rPr>
          <w:rFonts w:hint="eastAsia"/>
          <w:sz w:val="19"/>
          <w:szCs w:val="19"/>
          <w:rtl/>
        </w:rPr>
        <w:t>יועדו</w:t>
      </w:r>
      <w:r w:rsidRPr="00EC286D">
        <w:rPr>
          <w:sz w:val="19"/>
          <w:szCs w:val="19"/>
          <w:rtl/>
        </w:rPr>
        <w:t xml:space="preserve"> </w:t>
      </w:r>
      <w:r w:rsidRPr="00EC286D">
        <w:rPr>
          <w:rFonts w:hint="eastAsia"/>
          <w:sz w:val="19"/>
          <w:szCs w:val="19"/>
          <w:rtl/>
        </w:rPr>
        <w:t>לפינוי</w:t>
      </w:r>
      <w:r w:rsidRPr="00EC286D">
        <w:rPr>
          <w:sz w:val="19"/>
          <w:szCs w:val="19"/>
          <w:rtl/>
        </w:rPr>
        <w:t xml:space="preserve"> 24 </w:t>
      </w:r>
      <w:r w:rsidRPr="00EC286D">
        <w:rPr>
          <w:rFonts w:hint="eastAsia"/>
          <w:sz w:val="19"/>
          <w:szCs w:val="19"/>
          <w:rtl/>
        </w:rPr>
        <w:t>יישובים</w:t>
      </w:r>
      <w:r w:rsidRPr="00EC286D">
        <w:rPr>
          <w:sz w:val="19"/>
          <w:szCs w:val="19"/>
          <w:rtl/>
        </w:rPr>
        <w:t xml:space="preserve"> </w:t>
      </w:r>
      <w:r w:rsidRPr="00EC286D">
        <w:rPr>
          <w:rFonts w:hint="eastAsia"/>
          <w:sz w:val="19"/>
          <w:szCs w:val="19"/>
          <w:rtl/>
        </w:rPr>
        <w:t>בגזרה</w:t>
      </w:r>
      <w:r w:rsidRPr="00EC286D">
        <w:rPr>
          <w:sz w:val="19"/>
          <w:szCs w:val="19"/>
          <w:rtl/>
        </w:rPr>
        <w:t xml:space="preserve"> </w:t>
      </w:r>
      <w:r w:rsidRPr="00EC286D">
        <w:rPr>
          <w:rFonts w:hint="eastAsia"/>
          <w:sz w:val="19"/>
          <w:szCs w:val="19"/>
          <w:rtl/>
        </w:rPr>
        <w:t>הדרומית</w:t>
      </w:r>
      <w:r w:rsidRPr="00EC286D">
        <w:rPr>
          <w:sz w:val="19"/>
          <w:szCs w:val="19"/>
          <w:rtl/>
        </w:rPr>
        <w:t xml:space="preserve"> </w:t>
      </w:r>
      <w:r w:rsidRPr="00EC286D">
        <w:rPr>
          <w:rFonts w:hint="eastAsia"/>
          <w:sz w:val="19"/>
          <w:szCs w:val="19"/>
          <w:rtl/>
        </w:rPr>
        <w:t>הנמצאים</w:t>
      </w:r>
      <w:r w:rsidRPr="00EC286D">
        <w:rPr>
          <w:sz w:val="19"/>
          <w:szCs w:val="19"/>
          <w:rtl/>
        </w:rPr>
        <w:t xml:space="preserve"> </w:t>
      </w:r>
      <w:r w:rsidRPr="00EC286D">
        <w:rPr>
          <w:rFonts w:hint="eastAsia"/>
          <w:sz w:val="19"/>
          <w:szCs w:val="19"/>
          <w:rtl/>
        </w:rPr>
        <w:t>בטווח</w:t>
      </w:r>
      <w:r w:rsidRPr="00EC286D">
        <w:rPr>
          <w:sz w:val="19"/>
          <w:szCs w:val="19"/>
          <w:rtl/>
        </w:rPr>
        <w:t xml:space="preserve"> של 0 - 4 ק"מ מגבול רצועת עזה, ובהם מספר מוערך של 13,</w:t>
      </w:r>
      <w:r w:rsidRPr="00EC286D">
        <w:rPr>
          <w:rFonts w:hint="cs"/>
          <w:sz w:val="19"/>
          <w:szCs w:val="19"/>
          <w:rtl/>
        </w:rPr>
        <w:t>6</w:t>
      </w:r>
      <w:r w:rsidRPr="00EC286D">
        <w:rPr>
          <w:sz w:val="19"/>
          <w:szCs w:val="19"/>
          <w:rtl/>
        </w:rPr>
        <w:t>00 תושבים</w:t>
      </w:r>
      <w:r>
        <w:rPr>
          <w:rStyle w:val="af1"/>
          <w:sz w:val="19"/>
          <w:szCs w:val="19"/>
          <w:rtl/>
        </w:rPr>
        <w:footnoteReference w:id="4"/>
      </w:r>
      <w:r w:rsidRPr="00EC286D">
        <w:rPr>
          <w:sz w:val="19"/>
          <w:szCs w:val="19"/>
          <w:rtl/>
        </w:rPr>
        <w:t xml:space="preserve">. במועצה האזורית </w:t>
      </w:r>
      <w:r w:rsidRPr="00EC286D">
        <w:rPr>
          <w:rFonts w:hint="eastAsia"/>
          <w:b/>
          <w:bCs/>
          <w:sz w:val="19"/>
          <w:szCs w:val="19"/>
          <w:rtl/>
        </w:rPr>
        <w:t>אשכול</w:t>
      </w:r>
      <w:r w:rsidRPr="00EC286D">
        <w:rPr>
          <w:sz w:val="19"/>
          <w:szCs w:val="19"/>
          <w:rtl/>
        </w:rPr>
        <w:t xml:space="preserve"> 11 יישובים </w:t>
      </w:r>
      <w:r w:rsidRPr="00EC286D">
        <w:rPr>
          <w:rFonts w:hint="eastAsia"/>
          <w:sz w:val="19"/>
          <w:szCs w:val="19"/>
          <w:rtl/>
        </w:rPr>
        <w:t>סמוכי</w:t>
      </w:r>
      <w:r w:rsidRPr="00EC286D">
        <w:rPr>
          <w:sz w:val="19"/>
          <w:szCs w:val="19"/>
          <w:rtl/>
        </w:rPr>
        <w:t xml:space="preserve"> גדר</w:t>
      </w:r>
      <w:r w:rsidRPr="00EC286D">
        <w:rPr>
          <w:rFonts w:hint="cs"/>
          <w:sz w:val="19"/>
          <w:szCs w:val="19"/>
          <w:rtl/>
        </w:rPr>
        <w:t>, ו</w:t>
      </w:r>
      <w:r w:rsidRPr="00EC286D">
        <w:rPr>
          <w:sz w:val="19"/>
          <w:szCs w:val="19"/>
          <w:rtl/>
        </w:rPr>
        <w:t>במועצה ה</w:t>
      </w:r>
      <w:r w:rsidRPr="00EC286D">
        <w:rPr>
          <w:rFonts w:hint="eastAsia"/>
          <w:sz w:val="19"/>
          <w:szCs w:val="19"/>
          <w:rtl/>
        </w:rPr>
        <w:t>אזורית</w:t>
      </w:r>
      <w:r w:rsidRPr="00EC286D">
        <w:rPr>
          <w:sz w:val="19"/>
          <w:szCs w:val="19"/>
          <w:rtl/>
        </w:rPr>
        <w:t xml:space="preserve"> </w:t>
      </w:r>
      <w:r w:rsidRPr="00EC286D">
        <w:rPr>
          <w:rFonts w:hint="eastAsia"/>
          <w:b/>
          <w:bCs/>
          <w:sz w:val="19"/>
          <w:szCs w:val="19"/>
          <w:rtl/>
        </w:rPr>
        <w:t>חוף</w:t>
      </w:r>
      <w:r w:rsidRPr="00EC286D">
        <w:rPr>
          <w:b/>
          <w:bCs/>
          <w:sz w:val="19"/>
          <w:szCs w:val="19"/>
          <w:rtl/>
        </w:rPr>
        <w:t xml:space="preserve"> </w:t>
      </w:r>
      <w:r w:rsidRPr="00EC286D">
        <w:rPr>
          <w:rFonts w:hint="eastAsia"/>
          <w:b/>
          <w:bCs/>
          <w:sz w:val="19"/>
          <w:szCs w:val="19"/>
          <w:rtl/>
        </w:rPr>
        <w:t>אשקלון</w:t>
      </w:r>
      <w:r w:rsidRPr="00EC286D">
        <w:rPr>
          <w:sz w:val="19"/>
          <w:szCs w:val="19"/>
          <w:rtl/>
        </w:rPr>
        <w:t xml:space="preserve"> </w:t>
      </w:r>
      <w:r w:rsidR="004F7D60">
        <w:rPr>
          <w:rFonts w:hint="cs"/>
          <w:sz w:val="19"/>
          <w:szCs w:val="19"/>
          <w:rtl/>
        </w:rPr>
        <w:t>4</w:t>
      </w:r>
      <w:r w:rsidRPr="00EC286D">
        <w:rPr>
          <w:sz w:val="19"/>
          <w:szCs w:val="19"/>
          <w:rtl/>
        </w:rPr>
        <w:t xml:space="preserve"> יישובים. יתר היישובים </w:t>
      </w:r>
      <w:r w:rsidRPr="00EC286D">
        <w:rPr>
          <w:rFonts w:hint="eastAsia"/>
          <w:sz w:val="19"/>
          <w:szCs w:val="19"/>
          <w:rtl/>
        </w:rPr>
        <w:t>הם</w:t>
      </w:r>
      <w:r w:rsidRPr="00EC286D">
        <w:rPr>
          <w:sz w:val="19"/>
          <w:szCs w:val="19"/>
          <w:rtl/>
        </w:rPr>
        <w:t xml:space="preserve"> </w:t>
      </w:r>
      <w:r w:rsidRPr="00EC286D">
        <w:rPr>
          <w:rFonts w:hint="eastAsia"/>
          <w:sz w:val="19"/>
          <w:szCs w:val="19"/>
          <w:rtl/>
        </w:rPr>
        <w:t>בתחו</w:t>
      </w:r>
      <w:r w:rsidRPr="00EC286D">
        <w:rPr>
          <w:rFonts w:hint="cs"/>
          <w:sz w:val="19"/>
          <w:szCs w:val="19"/>
          <w:rtl/>
        </w:rPr>
        <w:t>מי</w:t>
      </w:r>
      <w:r w:rsidRPr="00EC286D">
        <w:rPr>
          <w:sz w:val="19"/>
          <w:szCs w:val="19"/>
          <w:rtl/>
        </w:rPr>
        <w:t xml:space="preserve"> </w:t>
      </w:r>
      <w:r w:rsidRPr="00EC286D">
        <w:rPr>
          <w:rFonts w:hint="eastAsia"/>
          <w:sz w:val="19"/>
          <w:szCs w:val="19"/>
          <w:rtl/>
        </w:rPr>
        <w:t>המועצות</w:t>
      </w:r>
      <w:r w:rsidRPr="00EC286D">
        <w:rPr>
          <w:sz w:val="19"/>
          <w:szCs w:val="19"/>
          <w:rtl/>
        </w:rPr>
        <w:t xml:space="preserve"> </w:t>
      </w:r>
      <w:r w:rsidRPr="00EC286D">
        <w:rPr>
          <w:rFonts w:hint="eastAsia"/>
          <w:sz w:val="19"/>
          <w:szCs w:val="19"/>
          <w:rtl/>
        </w:rPr>
        <w:t>האזוריות</w:t>
      </w:r>
      <w:r w:rsidRPr="00EC286D">
        <w:rPr>
          <w:sz w:val="19"/>
          <w:szCs w:val="19"/>
          <w:rtl/>
        </w:rPr>
        <w:t xml:space="preserve"> </w:t>
      </w:r>
      <w:r w:rsidRPr="00EC286D">
        <w:rPr>
          <w:rFonts w:hint="eastAsia"/>
          <w:b/>
          <w:bCs/>
          <w:sz w:val="19"/>
          <w:szCs w:val="19"/>
          <w:rtl/>
        </w:rPr>
        <w:t>שער</w:t>
      </w:r>
      <w:r w:rsidRPr="00EC286D">
        <w:rPr>
          <w:b/>
          <w:bCs/>
          <w:sz w:val="19"/>
          <w:szCs w:val="19"/>
          <w:rtl/>
        </w:rPr>
        <w:t xml:space="preserve"> </w:t>
      </w:r>
      <w:r w:rsidRPr="00EC286D">
        <w:rPr>
          <w:rFonts w:hint="eastAsia"/>
          <w:b/>
          <w:bCs/>
          <w:sz w:val="19"/>
          <w:szCs w:val="19"/>
          <w:rtl/>
        </w:rPr>
        <w:t>הנגב</w:t>
      </w:r>
      <w:r w:rsidRPr="00EC286D">
        <w:rPr>
          <w:sz w:val="19"/>
          <w:szCs w:val="19"/>
          <w:rtl/>
        </w:rPr>
        <w:t xml:space="preserve"> </w:t>
      </w:r>
      <w:r w:rsidRPr="00EC286D">
        <w:rPr>
          <w:rFonts w:hint="eastAsia"/>
          <w:sz w:val="19"/>
          <w:szCs w:val="19"/>
          <w:rtl/>
        </w:rPr>
        <w:t>ו</w:t>
      </w:r>
      <w:r w:rsidRPr="00EC286D">
        <w:rPr>
          <w:rFonts w:hint="eastAsia"/>
          <w:b/>
          <w:bCs/>
          <w:sz w:val="19"/>
          <w:szCs w:val="19"/>
          <w:rtl/>
        </w:rPr>
        <w:t>שדות</w:t>
      </w:r>
      <w:r w:rsidRPr="00EC286D">
        <w:rPr>
          <w:b/>
          <w:bCs/>
          <w:sz w:val="19"/>
          <w:szCs w:val="19"/>
          <w:rtl/>
        </w:rPr>
        <w:t xml:space="preserve"> </w:t>
      </w:r>
      <w:r w:rsidRPr="00EC286D">
        <w:rPr>
          <w:rFonts w:hint="eastAsia"/>
          <w:b/>
          <w:bCs/>
          <w:sz w:val="19"/>
          <w:szCs w:val="19"/>
          <w:rtl/>
        </w:rPr>
        <w:t>נגב</w:t>
      </w:r>
      <w:r>
        <w:rPr>
          <w:vertAlign w:val="superscript"/>
          <w:rtl/>
        </w:rPr>
        <w:footnoteReference w:id="5"/>
      </w:r>
      <w:r w:rsidRPr="00EC286D">
        <w:rPr>
          <w:sz w:val="19"/>
          <w:szCs w:val="19"/>
          <w:rtl/>
        </w:rPr>
        <w:t>. העיר</w:t>
      </w:r>
      <w:r w:rsidRPr="00EC286D">
        <w:rPr>
          <w:b/>
          <w:bCs/>
          <w:sz w:val="19"/>
          <w:szCs w:val="19"/>
          <w:rtl/>
        </w:rPr>
        <w:t xml:space="preserve"> שדרות</w:t>
      </w:r>
      <w:r w:rsidRPr="00EC286D">
        <w:rPr>
          <w:sz w:val="19"/>
          <w:szCs w:val="19"/>
          <w:rtl/>
        </w:rPr>
        <w:t xml:space="preserve">, </w:t>
      </w:r>
      <w:r w:rsidRPr="00EC286D">
        <w:rPr>
          <w:rFonts w:hint="eastAsia"/>
          <w:sz w:val="19"/>
          <w:szCs w:val="19"/>
          <w:rtl/>
        </w:rPr>
        <w:t>שמספר</w:t>
      </w:r>
      <w:r w:rsidRPr="00EC286D">
        <w:rPr>
          <w:sz w:val="19"/>
          <w:szCs w:val="19"/>
          <w:rtl/>
        </w:rPr>
        <w:t xml:space="preserve"> </w:t>
      </w:r>
      <w:r w:rsidRPr="00EC286D">
        <w:rPr>
          <w:rFonts w:hint="eastAsia"/>
          <w:sz w:val="19"/>
          <w:szCs w:val="19"/>
          <w:rtl/>
        </w:rPr>
        <w:t>תושביה</w:t>
      </w:r>
      <w:r w:rsidRPr="00EC286D">
        <w:rPr>
          <w:sz w:val="19"/>
          <w:szCs w:val="19"/>
          <w:rtl/>
        </w:rPr>
        <w:t xml:space="preserve"> </w:t>
      </w:r>
      <w:r w:rsidRPr="00EC286D">
        <w:rPr>
          <w:rFonts w:hint="eastAsia"/>
          <w:sz w:val="19"/>
          <w:szCs w:val="19"/>
          <w:rtl/>
        </w:rPr>
        <w:t>הוערך</w:t>
      </w:r>
      <w:r w:rsidRPr="00EC286D">
        <w:rPr>
          <w:sz w:val="19"/>
          <w:szCs w:val="19"/>
          <w:rtl/>
        </w:rPr>
        <w:t xml:space="preserve"> </w:t>
      </w:r>
      <w:r w:rsidRPr="00EC286D">
        <w:rPr>
          <w:rFonts w:hint="eastAsia"/>
          <w:sz w:val="19"/>
          <w:szCs w:val="19"/>
          <w:rtl/>
        </w:rPr>
        <w:t>בתוכנית</w:t>
      </w:r>
      <w:r w:rsidRPr="00EC286D">
        <w:rPr>
          <w:sz w:val="19"/>
          <w:szCs w:val="19"/>
          <w:rtl/>
        </w:rPr>
        <w:t xml:space="preserve"> </w:t>
      </w:r>
      <w:r w:rsidRPr="00EC286D">
        <w:rPr>
          <w:rFonts w:hint="cs"/>
          <w:sz w:val="19"/>
          <w:szCs w:val="19"/>
          <w:rtl/>
        </w:rPr>
        <w:t>"</w:t>
      </w:r>
      <w:r w:rsidRPr="00EC286D">
        <w:rPr>
          <w:sz w:val="19"/>
          <w:szCs w:val="19"/>
          <w:rtl/>
        </w:rPr>
        <w:t>מרחק בטוח</w:t>
      </w:r>
      <w:r w:rsidRPr="00EC286D">
        <w:rPr>
          <w:rFonts w:hint="cs"/>
          <w:sz w:val="19"/>
          <w:szCs w:val="19"/>
          <w:rtl/>
        </w:rPr>
        <w:t>"</w:t>
      </w:r>
      <w:r w:rsidRPr="00EC286D">
        <w:rPr>
          <w:sz w:val="19"/>
          <w:szCs w:val="19"/>
          <w:rtl/>
        </w:rPr>
        <w:t xml:space="preserve"> </w:t>
      </w:r>
      <w:r w:rsidRPr="00EC286D">
        <w:rPr>
          <w:rFonts w:hint="eastAsia"/>
          <w:sz w:val="19"/>
          <w:szCs w:val="19"/>
          <w:rtl/>
        </w:rPr>
        <w:t>ב</w:t>
      </w:r>
      <w:r w:rsidRPr="00EC286D">
        <w:rPr>
          <w:sz w:val="19"/>
          <w:szCs w:val="19"/>
          <w:rtl/>
        </w:rPr>
        <w:t xml:space="preserve">-27,000 תושבים, </w:t>
      </w:r>
      <w:r w:rsidRPr="00EC286D">
        <w:rPr>
          <w:rFonts w:hint="cs"/>
          <w:sz w:val="19"/>
          <w:szCs w:val="19"/>
          <w:rtl/>
        </w:rPr>
        <w:t>ואשר</w:t>
      </w:r>
      <w:r w:rsidRPr="00EC286D">
        <w:rPr>
          <w:sz w:val="19"/>
          <w:szCs w:val="19"/>
          <w:rtl/>
        </w:rPr>
        <w:t xml:space="preserve"> נמצאת בטווח של 1.3 ק"מ </w:t>
      </w:r>
      <w:r w:rsidRPr="00EC286D">
        <w:rPr>
          <w:rFonts w:hint="eastAsia"/>
          <w:sz w:val="19"/>
          <w:szCs w:val="19"/>
          <w:rtl/>
        </w:rPr>
        <w:t>מגבול</w:t>
      </w:r>
      <w:r w:rsidRPr="00EC286D">
        <w:rPr>
          <w:sz w:val="19"/>
          <w:szCs w:val="19"/>
          <w:rtl/>
        </w:rPr>
        <w:t xml:space="preserve"> רצועת עזה, לא נכלל</w:t>
      </w:r>
      <w:r w:rsidRPr="00EC286D">
        <w:rPr>
          <w:rFonts w:hint="eastAsia"/>
          <w:sz w:val="19"/>
          <w:szCs w:val="19"/>
          <w:rtl/>
        </w:rPr>
        <w:t>ה</w:t>
      </w:r>
      <w:r w:rsidRPr="00EC286D">
        <w:rPr>
          <w:sz w:val="19"/>
          <w:szCs w:val="19"/>
          <w:rtl/>
        </w:rPr>
        <w:t xml:space="preserve"> בתוכנית </w:t>
      </w:r>
      <w:r w:rsidRPr="00EC286D">
        <w:rPr>
          <w:rFonts w:hint="cs"/>
          <w:sz w:val="19"/>
          <w:szCs w:val="19"/>
          <w:rtl/>
        </w:rPr>
        <w:t>"מרחק בטוח"</w:t>
      </w:r>
      <w:r w:rsidRPr="00EC286D">
        <w:rPr>
          <w:sz w:val="19"/>
          <w:szCs w:val="19"/>
        </w:rPr>
        <w:t>.</w:t>
      </w:r>
      <w:r>
        <w:rPr>
          <w:rStyle w:val="af1"/>
          <w:sz w:val="19"/>
          <w:szCs w:val="19"/>
        </w:rPr>
        <w:footnoteReference w:id="6"/>
      </w:r>
      <w:r w:rsidRPr="00EC286D">
        <w:rPr>
          <w:rFonts w:hint="cs"/>
          <w:sz w:val="19"/>
          <w:szCs w:val="19"/>
          <w:rtl/>
        </w:rPr>
        <w:t xml:space="preserve"> </w:t>
      </w:r>
      <w:r w:rsidRPr="00EC286D">
        <w:rPr>
          <w:sz w:val="19"/>
          <w:szCs w:val="19"/>
          <w:rtl/>
        </w:rPr>
        <w:t xml:space="preserve">תוכנית "משב רוח" היא תוכנית של משרד הביטחון לפינוי קצר טווח לתקופה מוגבלת לצורך ריענון או פעילות הפגה (פינוי לריענון), במתקני אירוח, שמימושה יהיה בידי הרשויות המקומיות ובמימון המדינה. התוכנית חלה במקורה על יישובים במרחק של 0 - 4 ק"מ מגבול רצועת עזה ועל השכונות המערביות של העיר </w:t>
      </w:r>
      <w:r w:rsidRPr="0013631A">
        <w:rPr>
          <w:b/>
          <w:bCs/>
          <w:sz w:val="19"/>
          <w:szCs w:val="19"/>
          <w:rtl/>
        </w:rPr>
        <w:t>שדרות</w:t>
      </w:r>
      <w:r w:rsidRPr="00EC286D">
        <w:rPr>
          <w:sz w:val="19"/>
          <w:szCs w:val="19"/>
          <w:rtl/>
        </w:rPr>
        <w:t xml:space="preserve">. במלחמת חרבות ברזל הופעלה לגבי תושבי העיר </w:t>
      </w:r>
      <w:r w:rsidRPr="0013631A">
        <w:rPr>
          <w:b/>
          <w:bCs/>
          <w:sz w:val="19"/>
          <w:szCs w:val="19"/>
          <w:rtl/>
        </w:rPr>
        <w:t>שדרות</w:t>
      </w:r>
      <w:r w:rsidRPr="00EC286D">
        <w:rPr>
          <w:sz w:val="19"/>
          <w:szCs w:val="19"/>
          <w:rtl/>
        </w:rPr>
        <w:t xml:space="preserve"> כולה ותושבי היישובים במרחק 4 - 7 ק"מ מגבול רצועת עזה לתקופת זמן ממושכת.</w:t>
      </w:r>
      <w:r w:rsidRPr="00EC286D">
        <w:rPr>
          <w:rFonts w:hint="cs"/>
          <w:sz w:val="19"/>
          <w:szCs w:val="19"/>
          <w:rtl/>
        </w:rPr>
        <w:t xml:space="preserve"> הערים </w:t>
      </w:r>
      <w:r w:rsidRPr="00EC286D">
        <w:rPr>
          <w:rFonts w:hint="eastAsia"/>
          <w:b/>
          <w:bCs/>
          <w:sz w:val="19"/>
          <w:szCs w:val="19"/>
          <w:rtl/>
        </w:rPr>
        <w:t>א</w:t>
      </w:r>
      <w:r>
        <w:rPr>
          <w:rFonts w:hint="cs"/>
          <w:b/>
          <w:bCs/>
          <w:sz w:val="19"/>
          <w:szCs w:val="19"/>
          <w:rtl/>
        </w:rPr>
        <w:t xml:space="preserve">ופקים </w:t>
      </w:r>
      <w:r w:rsidRPr="007C77E8">
        <w:rPr>
          <w:rFonts w:hint="cs"/>
          <w:sz w:val="19"/>
          <w:szCs w:val="19"/>
          <w:rtl/>
        </w:rPr>
        <w:t>ו</w:t>
      </w:r>
      <w:r>
        <w:rPr>
          <w:rFonts w:hint="cs"/>
          <w:b/>
          <w:bCs/>
          <w:sz w:val="19"/>
          <w:szCs w:val="19"/>
          <w:rtl/>
        </w:rPr>
        <w:t>א</w:t>
      </w:r>
      <w:r w:rsidRPr="00EC286D">
        <w:rPr>
          <w:rFonts w:hint="eastAsia"/>
          <w:b/>
          <w:bCs/>
          <w:sz w:val="19"/>
          <w:szCs w:val="19"/>
          <w:rtl/>
        </w:rPr>
        <w:t>שקלון</w:t>
      </w:r>
      <w:r w:rsidRPr="00EC286D">
        <w:rPr>
          <w:b/>
          <w:bCs/>
          <w:sz w:val="19"/>
          <w:szCs w:val="19"/>
          <w:rtl/>
        </w:rPr>
        <w:t xml:space="preserve"> </w:t>
      </w:r>
      <w:r w:rsidRPr="00EC286D">
        <w:rPr>
          <w:sz w:val="19"/>
          <w:szCs w:val="19"/>
          <w:rtl/>
        </w:rPr>
        <w:t>לא נכללו בתוכניות הלאומיות לפינוי אוכלוסייה.</w:t>
      </w:r>
    </w:p>
    <w:p w14:paraId="3950EF4E" w14:textId="77777777" w:rsidR="0004088F" w:rsidRPr="00731608" w:rsidRDefault="0004088F" w:rsidP="00A475CE">
      <w:pPr>
        <w:pStyle w:val="73"/>
        <w:numPr>
          <w:ilvl w:val="0"/>
          <w:numId w:val="25"/>
        </w:numPr>
        <w:spacing w:after="160"/>
        <w:rPr>
          <w:sz w:val="19"/>
          <w:szCs w:val="19"/>
        </w:rPr>
      </w:pPr>
      <w:r w:rsidRPr="00731608">
        <w:rPr>
          <w:rFonts w:hint="eastAsia"/>
          <w:b/>
          <w:bCs/>
          <w:sz w:val="19"/>
          <w:szCs w:val="19"/>
          <w:rtl/>
        </w:rPr>
        <w:t>ת</w:t>
      </w:r>
      <w:r>
        <w:rPr>
          <w:rFonts w:hint="cs"/>
          <w:b/>
          <w:bCs/>
          <w:sz w:val="19"/>
          <w:szCs w:val="19"/>
          <w:rtl/>
        </w:rPr>
        <w:t>ו</w:t>
      </w:r>
      <w:r w:rsidRPr="00731608">
        <w:rPr>
          <w:rFonts w:hint="eastAsia"/>
          <w:b/>
          <w:bCs/>
          <w:sz w:val="19"/>
          <w:szCs w:val="19"/>
          <w:rtl/>
        </w:rPr>
        <w:t>כניות</w:t>
      </w:r>
      <w:r w:rsidRPr="00731608">
        <w:rPr>
          <w:b/>
          <w:bCs/>
          <w:sz w:val="19"/>
          <w:szCs w:val="19"/>
          <w:rtl/>
        </w:rPr>
        <w:t xml:space="preserve"> </w:t>
      </w:r>
      <w:r w:rsidRPr="00731608">
        <w:rPr>
          <w:rFonts w:hint="eastAsia"/>
          <w:b/>
          <w:bCs/>
          <w:sz w:val="19"/>
          <w:szCs w:val="19"/>
          <w:rtl/>
        </w:rPr>
        <w:t>לפינוי</w:t>
      </w:r>
      <w:r w:rsidRPr="00731608">
        <w:rPr>
          <w:b/>
          <w:bCs/>
          <w:sz w:val="19"/>
          <w:szCs w:val="19"/>
          <w:rtl/>
        </w:rPr>
        <w:t xml:space="preserve"> </w:t>
      </w:r>
      <w:r w:rsidRPr="00731608">
        <w:rPr>
          <w:rFonts w:hint="eastAsia"/>
          <w:b/>
          <w:bCs/>
          <w:sz w:val="19"/>
          <w:szCs w:val="19"/>
          <w:rtl/>
        </w:rPr>
        <w:t>אוכלוסייה</w:t>
      </w:r>
      <w:r w:rsidRPr="00731608">
        <w:rPr>
          <w:sz w:val="19"/>
          <w:szCs w:val="19"/>
          <w:rtl/>
        </w:rPr>
        <w:t xml:space="preserve"> </w:t>
      </w:r>
      <w:r w:rsidRPr="00731608">
        <w:rPr>
          <w:rFonts w:hint="eastAsia"/>
          <w:b/>
          <w:bCs/>
          <w:sz w:val="19"/>
          <w:szCs w:val="19"/>
          <w:rtl/>
        </w:rPr>
        <w:t>של</w:t>
      </w:r>
      <w:r w:rsidRPr="00731608">
        <w:rPr>
          <w:b/>
          <w:bCs/>
          <w:sz w:val="19"/>
          <w:szCs w:val="19"/>
          <w:rtl/>
        </w:rPr>
        <w:t xml:space="preserve"> </w:t>
      </w:r>
      <w:r w:rsidRPr="00731608">
        <w:rPr>
          <w:rFonts w:hint="eastAsia"/>
          <w:b/>
          <w:bCs/>
          <w:sz w:val="19"/>
          <w:szCs w:val="19"/>
          <w:rtl/>
        </w:rPr>
        <w:t>הרשויות</w:t>
      </w:r>
      <w:r w:rsidRPr="00731608">
        <w:rPr>
          <w:b/>
          <w:bCs/>
          <w:sz w:val="19"/>
          <w:szCs w:val="19"/>
          <w:rtl/>
        </w:rPr>
        <w:t xml:space="preserve"> </w:t>
      </w:r>
      <w:r w:rsidRPr="00731608">
        <w:rPr>
          <w:rFonts w:hint="eastAsia"/>
          <w:b/>
          <w:bCs/>
          <w:sz w:val="19"/>
          <w:szCs w:val="19"/>
          <w:rtl/>
        </w:rPr>
        <w:t>שנבדקו</w:t>
      </w:r>
      <w:r w:rsidRPr="00731608">
        <w:rPr>
          <w:rFonts w:hint="cs"/>
          <w:sz w:val="19"/>
          <w:szCs w:val="19"/>
          <w:rtl/>
        </w:rPr>
        <w:t xml:space="preserve"> </w:t>
      </w:r>
      <w:r w:rsidRPr="00731608">
        <w:rPr>
          <w:sz w:val="19"/>
          <w:szCs w:val="19"/>
          <w:rtl/>
        </w:rPr>
        <w:t xml:space="preserve">- תכנון מבעוד מועד </w:t>
      </w:r>
      <w:r w:rsidRPr="00731608">
        <w:rPr>
          <w:rFonts w:hint="eastAsia"/>
          <w:sz w:val="19"/>
          <w:szCs w:val="19"/>
          <w:rtl/>
        </w:rPr>
        <w:t>ו</w:t>
      </w:r>
      <w:r w:rsidRPr="00731608">
        <w:rPr>
          <w:sz w:val="19"/>
          <w:szCs w:val="19"/>
          <w:rtl/>
        </w:rPr>
        <w:t xml:space="preserve">הגדרה מראש של יעדי הקליטה </w:t>
      </w:r>
      <w:r w:rsidRPr="00731608">
        <w:rPr>
          <w:rFonts w:hint="eastAsia"/>
          <w:sz w:val="19"/>
          <w:szCs w:val="19"/>
          <w:rtl/>
        </w:rPr>
        <w:t>חוס</w:t>
      </w:r>
      <w:r>
        <w:rPr>
          <w:rFonts w:hint="cs"/>
          <w:sz w:val="19"/>
          <w:szCs w:val="19"/>
          <w:rtl/>
        </w:rPr>
        <w:t>כים</w:t>
      </w:r>
      <w:r w:rsidRPr="00731608">
        <w:rPr>
          <w:sz w:val="19"/>
          <w:szCs w:val="19"/>
          <w:rtl/>
        </w:rPr>
        <w:t xml:space="preserve"> זמן יקר בשעת חירום </w:t>
      </w:r>
      <w:r w:rsidRPr="00731608">
        <w:rPr>
          <w:rFonts w:hint="eastAsia"/>
          <w:sz w:val="19"/>
          <w:szCs w:val="19"/>
          <w:rtl/>
        </w:rPr>
        <w:t>ומאפשר</w:t>
      </w:r>
      <w:r>
        <w:rPr>
          <w:rFonts w:hint="cs"/>
          <w:sz w:val="19"/>
          <w:szCs w:val="19"/>
          <w:rtl/>
        </w:rPr>
        <w:t>ים</w:t>
      </w:r>
      <w:r w:rsidRPr="00731608">
        <w:rPr>
          <w:sz w:val="19"/>
          <w:szCs w:val="19"/>
          <w:rtl/>
        </w:rPr>
        <w:t xml:space="preserve"> </w:t>
      </w:r>
      <w:r w:rsidRPr="00731608">
        <w:rPr>
          <w:rFonts w:hint="eastAsia"/>
          <w:sz w:val="19"/>
          <w:szCs w:val="19"/>
          <w:rtl/>
        </w:rPr>
        <w:t>פינוי</w:t>
      </w:r>
      <w:r w:rsidRPr="00731608">
        <w:rPr>
          <w:sz w:val="19"/>
          <w:szCs w:val="19"/>
          <w:rtl/>
        </w:rPr>
        <w:t xml:space="preserve"> אוכלוסייה ביעילות ובמהירות.</w:t>
      </w:r>
      <w:r w:rsidRPr="00731608">
        <w:rPr>
          <w:b/>
          <w:bCs/>
          <w:sz w:val="19"/>
          <w:szCs w:val="19"/>
          <w:rtl/>
        </w:rPr>
        <w:t xml:space="preserve"> </w:t>
      </w:r>
      <w:r w:rsidRPr="00731608">
        <w:rPr>
          <w:rFonts w:hint="eastAsia"/>
          <w:sz w:val="19"/>
          <w:szCs w:val="19"/>
          <w:rtl/>
        </w:rPr>
        <w:t>עיריות</w:t>
      </w:r>
      <w:r w:rsidRPr="00731608">
        <w:rPr>
          <w:sz w:val="19"/>
          <w:szCs w:val="19"/>
          <w:rtl/>
        </w:rPr>
        <w:t xml:space="preserve"> </w:t>
      </w:r>
      <w:r w:rsidRPr="00731608">
        <w:rPr>
          <w:b/>
          <w:bCs/>
          <w:sz w:val="19"/>
          <w:szCs w:val="19"/>
          <w:rtl/>
        </w:rPr>
        <w:t>אופקים</w:t>
      </w:r>
      <w:r w:rsidRPr="00731608">
        <w:rPr>
          <w:sz w:val="19"/>
          <w:szCs w:val="19"/>
          <w:rtl/>
        </w:rPr>
        <w:t xml:space="preserve"> </w:t>
      </w:r>
      <w:r w:rsidRPr="001C3C03">
        <w:rPr>
          <w:rFonts w:hint="eastAsia"/>
          <w:sz w:val="19"/>
          <w:szCs w:val="19"/>
          <w:rtl/>
        </w:rPr>
        <w:t>ו</w:t>
      </w:r>
      <w:r w:rsidRPr="00731608">
        <w:rPr>
          <w:b/>
          <w:bCs/>
          <w:sz w:val="19"/>
          <w:szCs w:val="19"/>
          <w:rtl/>
        </w:rPr>
        <w:t>אשקלון</w:t>
      </w:r>
      <w:r>
        <w:rPr>
          <w:rFonts w:hint="cs"/>
          <w:sz w:val="19"/>
          <w:szCs w:val="19"/>
          <w:rtl/>
        </w:rPr>
        <w:t>,</w:t>
      </w:r>
      <w:r w:rsidRPr="00731608">
        <w:rPr>
          <w:sz w:val="19"/>
          <w:szCs w:val="19"/>
          <w:rtl/>
        </w:rPr>
        <w:t xml:space="preserve"> </w:t>
      </w:r>
      <w:r w:rsidRPr="00731608">
        <w:rPr>
          <w:rFonts w:hint="eastAsia"/>
          <w:sz w:val="19"/>
          <w:szCs w:val="19"/>
          <w:rtl/>
        </w:rPr>
        <w:t>שלא</w:t>
      </w:r>
      <w:r w:rsidRPr="00731608">
        <w:rPr>
          <w:sz w:val="19"/>
          <w:szCs w:val="19"/>
          <w:rtl/>
        </w:rPr>
        <w:t xml:space="preserve"> </w:t>
      </w:r>
      <w:r w:rsidRPr="00731608">
        <w:rPr>
          <w:rFonts w:hint="eastAsia"/>
          <w:sz w:val="19"/>
          <w:szCs w:val="19"/>
          <w:rtl/>
        </w:rPr>
        <w:t>נכללו</w:t>
      </w:r>
      <w:r w:rsidRPr="00731608">
        <w:rPr>
          <w:sz w:val="19"/>
          <w:szCs w:val="19"/>
          <w:rtl/>
        </w:rPr>
        <w:t xml:space="preserve"> </w:t>
      </w:r>
      <w:r w:rsidRPr="00731608">
        <w:rPr>
          <w:rFonts w:hint="eastAsia"/>
          <w:sz w:val="19"/>
          <w:szCs w:val="19"/>
          <w:rtl/>
        </w:rPr>
        <w:t>בתוכניות</w:t>
      </w:r>
      <w:r w:rsidRPr="00731608">
        <w:rPr>
          <w:sz w:val="19"/>
          <w:szCs w:val="19"/>
          <w:rtl/>
        </w:rPr>
        <w:t xml:space="preserve"> </w:t>
      </w:r>
      <w:r w:rsidRPr="00731608">
        <w:rPr>
          <w:rFonts w:hint="eastAsia"/>
          <w:sz w:val="19"/>
          <w:szCs w:val="19"/>
          <w:rtl/>
        </w:rPr>
        <w:t>הלאומיות</w:t>
      </w:r>
      <w:r w:rsidRPr="00731608">
        <w:rPr>
          <w:sz w:val="19"/>
          <w:szCs w:val="19"/>
          <w:rtl/>
        </w:rPr>
        <w:t xml:space="preserve"> </w:t>
      </w:r>
      <w:r w:rsidRPr="00731608">
        <w:rPr>
          <w:rFonts w:hint="eastAsia"/>
          <w:sz w:val="19"/>
          <w:szCs w:val="19"/>
          <w:rtl/>
        </w:rPr>
        <w:t>לפינוי</w:t>
      </w:r>
      <w:r>
        <w:rPr>
          <w:rFonts w:hint="cs"/>
          <w:b/>
          <w:bCs/>
          <w:rtl/>
        </w:rPr>
        <w:t xml:space="preserve"> </w:t>
      </w:r>
      <w:r w:rsidRPr="00731608">
        <w:rPr>
          <w:sz w:val="19"/>
          <w:szCs w:val="19"/>
          <w:rtl/>
        </w:rPr>
        <w:t>"</w:t>
      </w:r>
      <w:r w:rsidRPr="00731608">
        <w:rPr>
          <w:rFonts w:hint="eastAsia"/>
          <w:sz w:val="19"/>
          <w:szCs w:val="19"/>
          <w:rtl/>
        </w:rPr>
        <w:t>מרחק</w:t>
      </w:r>
      <w:r w:rsidRPr="00731608">
        <w:rPr>
          <w:sz w:val="19"/>
          <w:szCs w:val="19"/>
          <w:rtl/>
        </w:rPr>
        <w:t xml:space="preserve"> </w:t>
      </w:r>
      <w:r w:rsidRPr="00731608">
        <w:rPr>
          <w:rFonts w:hint="eastAsia"/>
          <w:sz w:val="19"/>
          <w:szCs w:val="19"/>
          <w:rtl/>
        </w:rPr>
        <w:t>בטוח</w:t>
      </w:r>
      <w:r w:rsidRPr="00731608">
        <w:rPr>
          <w:sz w:val="19"/>
          <w:szCs w:val="19"/>
          <w:rtl/>
        </w:rPr>
        <w:t xml:space="preserve">" </w:t>
      </w:r>
      <w:r w:rsidRPr="00731608">
        <w:rPr>
          <w:rFonts w:hint="eastAsia"/>
          <w:sz w:val="19"/>
          <w:szCs w:val="19"/>
          <w:rtl/>
        </w:rPr>
        <w:t>ו</w:t>
      </w:r>
      <w:r w:rsidRPr="00731608">
        <w:rPr>
          <w:sz w:val="19"/>
          <w:szCs w:val="19"/>
          <w:rtl/>
        </w:rPr>
        <w:t>"</w:t>
      </w:r>
      <w:r w:rsidRPr="00731608">
        <w:rPr>
          <w:rFonts w:hint="eastAsia"/>
          <w:sz w:val="19"/>
          <w:szCs w:val="19"/>
          <w:rtl/>
        </w:rPr>
        <w:t>משב</w:t>
      </w:r>
      <w:r w:rsidRPr="00731608">
        <w:rPr>
          <w:sz w:val="19"/>
          <w:szCs w:val="19"/>
          <w:rtl/>
        </w:rPr>
        <w:t xml:space="preserve"> </w:t>
      </w:r>
      <w:r w:rsidRPr="00731608">
        <w:rPr>
          <w:rFonts w:hint="eastAsia"/>
          <w:sz w:val="19"/>
          <w:szCs w:val="19"/>
          <w:rtl/>
        </w:rPr>
        <w:t>רוח</w:t>
      </w:r>
      <w:r w:rsidRPr="00731608">
        <w:rPr>
          <w:sz w:val="19"/>
          <w:szCs w:val="19"/>
          <w:rtl/>
        </w:rPr>
        <w:t>"</w:t>
      </w:r>
      <w:r>
        <w:rPr>
          <w:rFonts w:hint="cs"/>
          <w:b/>
          <w:bCs/>
          <w:rtl/>
        </w:rPr>
        <w:t>,</w:t>
      </w:r>
      <w:r w:rsidRPr="00731608">
        <w:rPr>
          <w:rFonts w:hint="cs"/>
          <w:b/>
          <w:bCs/>
          <w:rtl/>
        </w:rPr>
        <w:t xml:space="preserve"> </w:t>
      </w:r>
      <w:r w:rsidRPr="00731608">
        <w:rPr>
          <w:sz w:val="19"/>
          <w:szCs w:val="19"/>
          <w:rtl/>
        </w:rPr>
        <w:t>לא נערכ</w:t>
      </w:r>
      <w:r w:rsidRPr="00731608">
        <w:rPr>
          <w:rFonts w:hint="eastAsia"/>
          <w:sz w:val="19"/>
          <w:szCs w:val="19"/>
          <w:rtl/>
        </w:rPr>
        <w:t>ו</w:t>
      </w:r>
      <w:r w:rsidRPr="00731608">
        <w:rPr>
          <w:sz w:val="19"/>
          <w:szCs w:val="19"/>
          <w:rtl/>
        </w:rPr>
        <w:t xml:space="preserve"> לפינוי תושבים </w:t>
      </w:r>
      <w:r>
        <w:rPr>
          <w:rFonts w:hint="cs"/>
          <w:sz w:val="19"/>
          <w:szCs w:val="19"/>
          <w:rtl/>
        </w:rPr>
        <w:t xml:space="preserve">אל </w:t>
      </w:r>
      <w:r w:rsidRPr="00731608">
        <w:rPr>
          <w:sz w:val="19"/>
          <w:szCs w:val="19"/>
          <w:rtl/>
        </w:rPr>
        <w:t xml:space="preserve">מחוץ לעיר </w:t>
      </w:r>
      <w:r w:rsidRPr="00731608">
        <w:rPr>
          <w:rFonts w:hint="eastAsia"/>
          <w:sz w:val="19"/>
          <w:szCs w:val="19"/>
          <w:rtl/>
        </w:rPr>
        <w:t>ו</w:t>
      </w:r>
      <w:r w:rsidRPr="00731608">
        <w:rPr>
          <w:sz w:val="19"/>
          <w:szCs w:val="19"/>
          <w:rtl/>
        </w:rPr>
        <w:t xml:space="preserve">לא </w:t>
      </w:r>
      <w:r w:rsidRPr="00731608">
        <w:rPr>
          <w:rFonts w:hint="eastAsia"/>
          <w:sz w:val="19"/>
          <w:szCs w:val="19"/>
          <w:rtl/>
        </w:rPr>
        <w:t>הייתה</w:t>
      </w:r>
      <w:r w:rsidRPr="00731608">
        <w:rPr>
          <w:sz w:val="19"/>
          <w:szCs w:val="19"/>
          <w:rtl/>
        </w:rPr>
        <w:t xml:space="preserve"> להן ת</w:t>
      </w:r>
      <w:r w:rsidRPr="00731608">
        <w:rPr>
          <w:rFonts w:hint="eastAsia"/>
          <w:sz w:val="19"/>
          <w:szCs w:val="19"/>
          <w:rtl/>
        </w:rPr>
        <w:t>ו</w:t>
      </w:r>
      <w:r w:rsidRPr="00731608">
        <w:rPr>
          <w:sz w:val="19"/>
          <w:szCs w:val="19"/>
          <w:rtl/>
        </w:rPr>
        <w:t>כנית א</w:t>
      </w:r>
      <w:r w:rsidRPr="00731608">
        <w:rPr>
          <w:rFonts w:hint="eastAsia"/>
          <w:sz w:val="19"/>
          <w:szCs w:val="19"/>
          <w:rtl/>
        </w:rPr>
        <w:t>ו</w:t>
      </w:r>
      <w:r w:rsidRPr="00731608">
        <w:rPr>
          <w:sz w:val="19"/>
          <w:szCs w:val="19"/>
          <w:rtl/>
        </w:rPr>
        <w:t xml:space="preserve"> נוהל לפינוי אוכלוסייה </w:t>
      </w:r>
      <w:r w:rsidRPr="00731608">
        <w:rPr>
          <w:rFonts w:hint="eastAsia"/>
          <w:sz w:val="19"/>
          <w:szCs w:val="19"/>
          <w:rtl/>
        </w:rPr>
        <w:t>אל</w:t>
      </w:r>
      <w:r w:rsidRPr="00731608">
        <w:rPr>
          <w:sz w:val="19"/>
          <w:szCs w:val="19"/>
          <w:rtl/>
        </w:rPr>
        <w:t xml:space="preserve"> מחוץ לתחומ</w:t>
      </w:r>
      <w:r w:rsidRPr="00731608">
        <w:rPr>
          <w:rFonts w:hint="eastAsia"/>
          <w:sz w:val="19"/>
          <w:szCs w:val="19"/>
          <w:rtl/>
        </w:rPr>
        <w:t>ן</w:t>
      </w:r>
      <w:r>
        <w:rPr>
          <w:rFonts w:hint="cs"/>
          <w:sz w:val="19"/>
          <w:szCs w:val="19"/>
          <w:rtl/>
        </w:rPr>
        <w:t>.</w:t>
      </w:r>
      <w:r w:rsidRPr="00731608">
        <w:rPr>
          <w:sz w:val="19"/>
          <w:szCs w:val="19"/>
          <w:rtl/>
        </w:rPr>
        <w:t xml:space="preserve"> לעיריית </w:t>
      </w:r>
      <w:r w:rsidRPr="00731608">
        <w:rPr>
          <w:b/>
          <w:bCs/>
          <w:sz w:val="19"/>
          <w:szCs w:val="19"/>
          <w:rtl/>
        </w:rPr>
        <w:t>שדרות</w:t>
      </w:r>
      <w:r w:rsidRPr="00731608">
        <w:rPr>
          <w:sz w:val="19"/>
          <w:szCs w:val="19"/>
          <w:rtl/>
        </w:rPr>
        <w:t xml:space="preserve"> ולמועצות האזוריות </w:t>
      </w:r>
      <w:r w:rsidRPr="00731608">
        <w:rPr>
          <w:b/>
          <w:bCs/>
          <w:sz w:val="19"/>
          <w:szCs w:val="19"/>
          <w:rtl/>
        </w:rPr>
        <w:t>אשכול</w:t>
      </w:r>
      <w:r w:rsidRPr="00731608">
        <w:rPr>
          <w:sz w:val="19"/>
          <w:szCs w:val="19"/>
          <w:rtl/>
        </w:rPr>
        <w:t xml:space="preserve"> ו</w:t>
      </w:r>
      <w:r w:rsidRPr="00731608">
        <w:rPr>
          <w:b/>
          <w:bCs/>
          <w:sz w:val="19"/>
          <w:szCs w:val="19"/>
          <w:rtl/>
        </w:rPr>
        <w:t>חוף אשקלון</w:t>
      </w:r>
      <w:r>
        <w:rPr>
          <w:rFonts w:hint="cs"/>
          <w:sz w:val="19"/>
          <w:szCs w:val="19"/>
          <w:rtl/>
        </w:rPr>
        <w:t>,</w:t>
      </w:r>
      <w:r w:rsidRPr="00731608">
        <w:rPr>
          <w:b/>
          <w:bCs/>
          <w:sz w:val="19"/>
          <w:szCs w:val="19"/>
          <w:rtl/>
        </w:rPr>
        <w:t xml:space="preserve"> </w:t>
      </w:r>
      <w:r w:rsidRPr="00731608">
        <w:rPr>
          <w:rFonts w:hint="eastAsia"/>
          <w:sz w:val="19"/>
          <w:szCs w:val="19"/>
          <w:rtl/>
        </w:rPr>
        <w:t>שנכללו</w:t>
      </w:r>
      <w:r w:rsidRPr="00731608">
        <w:rPr>
          <w:sz w:val="19"/>
          <w:szCs w:val="19"/>
          <w:rtl/>
        </w:rPr>
        <w:t xml:space="preserve"> </w:t>
      </w:r>
      <w:r w:rsidRPr="00731608">
        <w:rPr>
          <w:rFonts w:hint="eastAsia"/>
          <w:sz w:val="19"/>
          <w:szCs w:val="19"/>
          <w:rtl/>
        </w:rPr>
        <w:t>בתוכניות</w:t>
      </w:r>
      <w:r w:rsidRPr="00731608">
        <w:rPr>
          <w:sz w:val="19"/>
          <w:szCs w:val="19"/>
          <w:rtl/>
        </w:rPr>
        <w:t xml:space="preserve"> "</w:t>
      </w:r>
      <w:r w:rsidRPr="00731608">
        <w:rPr>
          <w:rFonts w:hint="eastAsia"/>
          <w:sz w:val="19"/>
          <w:szCs w:val="19"/>
          <w:rtl/>
        </w:rPr>
        <w:t>מרחק</w:t>
      </w:r>
      <w:r w:rsidRPr="00731608">
        <w:rPr>
          <w:sz w:val="19"/>
          <w:szCs w:val="19"/>
          <w:rtl/>
        </w:rPr>
        <w:t xml:space="preserve"> </w:t>
      </w:r>
      <w:r w:rsidRPr="00731608">
        <w:rPr>
          <w:rFonts w:hint="eastAsia"/>
          <w:sz w:val="19"/>
          <w:szCs w:val="19"/>
          <w:rtl/>
        </w:rPr>
        <w:t>בטוח</w:t>
      </w:r>
      <w:r w:rsidRPr="00731608">
        <w:rPr>
          <w:sz w:val="19"/>
          <w:szCs w:val="19"/>
          <w:rtl/>
        </w:rPr>
        <w:t xml:space="preserve">" </w:t>
      </w:r>
      <w:r w:rsidRPr="00731608">
        <w:rPr>
          <w:rFonts w:hint="eastAsia"/>
          <w:sz w:val="19"/>
          <w:szCs w:val="19"/>
          <w:rtl/>
        </w:rPr>
        <w:t>ו</w:t>
      </w:r>
      <w:r w:rsidRPr="00731608">
        <w:rPr>
          <w:sz w:val="19"/>
          <w:szCs w:val="19"/>
          <w:rtl/>
        </w:rPr>
        <w:t>"</w:t>
      </w:r>
      <w:r w:rsidRPr="00731608">
        <w:rPr>
          <w:rFonts w:hint="eastAsia"/>
          <w:sz w:val="19"/>
          <w:szCs w:val="19"/>
          <w:rtl/>
        </w:rPr>
        <w:t>משב</w:t>
      </w:r>
      <w:r w:rsidRPr="00731608">
        <w:rPr>
          <w:sz w:val="19"/>
          <w:szCs w:val="19"/>
          <w:rtl/>
        </w:rPr>
        <w:t xml:space="preserve"> </w:t>
      </w:r>
      <w:r w:rsidRPr="00731608">
        <w:rPr>
          <w:rFonts w:hint="eastAsia"/>
          <w:sz w:val="19"/>
          <w:szCs w:val="19"/>
          <w:rtl/>
        </w:rPr>
        <w:t>רוח</w:t>
      </w:r>
      <w:r w:rsidRPr="00731608">
        <w:rPr>
          <w:sz w:val="19"/>
          <w:szCs w:val="19"/>
          <w:rtl/>
        </w:rPr>
        <w:t>"</w:t>
      </w:r>
      <w:r>
        <w:rPr>
          <w:rFonts w:hint="cs"/>
          <w:rtl/>
        </w:rPr>
        <w:t>,</w:t>
      </w:r>
      <w:r w:rsidRPr="00731608">
        <w:rPr>
          <w:rtl/>
        </w:rPr>
        <w:t xml:space="preserve"> </w:t>
      </w:r>
      <w:r w:rsidRPr="00731608">
        <w:rPr>
          <w:sz w:val="19"/>
          <w:szCs w:val="19"/>
          <w:rtl/>
        </w:rPr>
        <w:t>היו ת</w:t>
      </w:r>
      <w:r w:rsidRPr="00731608">
        <w:rPr>
          <w:rFonts w:hint="eastAsia"/>
          <w:sz w:val="19"/>
          <w:szCs w:val="19"/>
          <w:rtl/>
        </w:rPr>
        <w:t>ו</w:t>
      </w:r>
      <w:r w:rsidRPr="00731608">
        <w:rPr>
          <w:sz w:val="19"/>
          <w:szCs w:val="19"/>
          <w:rtl/>
        </w:rPr>
        <w:t xml:space="preserve">כניות ונהלים </w:t>
      </w:r>
      <w:r w:rsidRPr="00731608">
        <w:rPr>
          <w:rFonts w:hint="eastAsia"/>
          <w:sz w:val="19"/>
          <w:szCs w:val="19"/>
          <w:rtl/>
        </w:rPr>
        <w:t>לפינוי</w:t>
      </w:r>
      <w:r w:rsidRPr="00731608">
        <w:rPr>
          <w:sz w:val="19"/>
          <w:szCs w:val="19"/>
          <w:rtl/>
        </w:rPr>
        <w:t xml:space="preserve"> </w:t>
      </w:r>
      <w:r w:rsidRPr="00731608">
        <w:rPr>
          <w:rFonts w:hint="eastAsia"/>
          <w:sz w:val="19"/>
          <w:szCs w:val="19"/>
          <w:rtl/>
        </w:rPr>
        <w:t>אוכלוסייה</w:t>
      </w:r>
      <w:r w:rsidRPr="00731608">
        <w:rPr>
          <w:sz w:val="19"/>
          <w:szCs w:val="19"/>
          <w:rtl/>
        </w:rPr>
        <w:t xml:space="preserve"> בשעת חירום. </w:t>
      </w:r>
      <w:r w:rsidRPr="00731608">
        <w:rPr>
          <w:rFonts w:hint="cs"/>
          <w:sz w:val="19"/>
          <w:szCs w:val="19"/>
          <w:rtl/>
        </w:rPr>
        <w:t xml:space="preserve">בביקורת עלה כי היעדר </w:t>
      </w:r>
      <w:r w:rsidRPr="00576027">
        <w:rPr>
          <w:sz w:val="19"/>
          <w:szCs w:val="19"/>
          <w:rtl/>
        </w:rPr>
        <w:t>תכנון והגדרה מראש של יעדי הקליטה גרם לכך</w:t>
      </w:r>
      <w:r w:rsidRPr="00731608">
        <w:rPr>
          <w:sz w:val="19"/>
          <w:szCs w:val="19"/>
          <w:rtl/>
        </w:rPr>
        <w:t xml:space="preserve"> </w:t>
      </w:r>
      <w:r>
        <w:rPr>
          <w:rFonts w:hint="cs"/>
          <w:sz w:val="19"/>
          <w:szCs w:val="19"/>
          <w:rtl/>
        </w:rPr>
        <w:t>ש</w:t>
      </w:r>
      <w:r w:rsidRPr="00731608">
        <w:rPr>
          <w:rFonts w:hint="eastAsia"/>
          <w:sz w:val="19"/>
          <w:szCs w:val="19"/>
          <w:rtl/>
        </w:rPr>
        <w:t>תושבים</w:t>
      </w:r>
      <w:r w:rsidRPr="00731608">
        <w:rPr>
          <w:sz w:val="19"/>
          <w:szCs w:val="19"/>
          <w:rtl/>
        </w:rPr>
        <w:t xml:space="preserve"> שפונו במהלך </w:t>
      </w:r>
      <w:r>
        <w:rPr>
          <w:rFonts w:hint="cs"/>
          <w:sz w:val="19"/>
          <w:szCs w:val="19"/>
          <w:rtl/>
        </w:rPr>
        <w:t>המלחמה</w:t>
      </w:r>
      <w:r w:rsidRPr="00731608">
        <w:rPr>
          <w:sz w:val="19"/>
          <w:szCs w:val="19"/>
          <w:rtl/>
        </w:rPr>
        <w:t xml:space="preserve"> </w:t>
      </w:r>
      <w:r w:rsidRPr="00731608">
        <w:rPr>
          <w:rFonts w:hint="eastAsia"/>
          <w:sz w:val="19"/>
          <w:szCs w:val="19"/>
          <w:rtl/>
        </w:rPr>
        <w:t>מהרשויות</w:t>
      </w:r>
      <w:r w:rsidRPr="00731608">
        <w:rPr>
          <w:sz w:val="19"/>
          <w:szCs w:val="19"/>
          <w:rtl/>
        </w:rPr>
        <w:t xml:space="preserve"> המקומיות שנבדקו </w:t>
      </w:r>
      <w:r>
        <w:rPr>
          <w:rFonts w:hint="cs"/>
          <w:sz w:val="19"/>
          <w:szCs w:val="19"/>
          <w:rtl/>
        </w:rPr>
        <w:t>היו מ</w:t>
      </w:r>
      <w:r w:rsidRPr="00731608">
        <w:rPr>
          <w:sz w:val="19"/>
          <w:szCs w:val="19"/>
          <w:rtl/>
        </w:rPr>
        <w:t>פוזר</w:t>
      </w:r>
      <w:r>
        <w:rPr>
          <w:rFonts w:hint="cs"/>
          <w:sz w:val="19"/>
          <w:szCs w:val="19"/>
          <w:rtl/>
        </w:rPr>
        <w:t>ים</w:t>
      </w:r>
      <w:r w:rsidRPr="00731608">
        <w:rPr>
          <w:sz w:val="19"/>
          <w:szCs w:val="19"/>
          <w:rtl/>
        </w:rPr>
        <w:t xml:space="preserve"> </w:t>
      </w:r>
      <w:r w:rsidRPr="00576027">
        <w:rPr>
          <w:sz w:val="19"/>
          <w:szCs w:val="19"/>
          <w:rtl/>
        </w:rPr>
        <w:t xml:space="preserve">על פני מספר רב </w:t>
      </w:r>
      <w:r w:rsidRPr="00576027">
        <w:rPr>
          <w:sz w:val="19"/>
          <w:szCs w:val="19"/>
          <w:rtl/>
        </w:rPr>
        <w:lastRenderedPageBreak/>
        <w:t xml:space="preserve">של </w:t>
      </w:r>
      <w:r>
        <w:rPr>
          <w:rFonts w:hint="cs"/>
          <w:sz w:val="19"/>
          <w:szCs w:val="19"/>
          <w:rtl/>
        </w:rPr>
        <w:t>ישובים</w:t>
      </w:r>
      <w:r w:rsidRPr="00716E2C">
        <w:rPr>
          <w:sz w:val="19"/>
          <w:szCs w:val="19"/>
          <w:rtl/>
        </w:rPr>
        <w:t xml:space="preserve"> </w:t>
      </w:r>
      <w:r w:rsidRPr="0040396C">
        <w:rPr>
          <w:sz w:val="19"/>
          <w:szCs w:val="19"/>
          <w:rtl/>
        </w:rPr>
        <w:t>שיש לה</w:t>
      </w:r>
      <w:r>
        <w:rPr>
          <w:rFonts w:hint="cs"/>
          <w:sz w:val="19"/>
          <w:szCs w:val="19"/>
          <w:rtl/>
        </w:rPr>
        <w:t>ם</w:t>
      </w:r>
      <w:r w:rsidRPr="0040396C">
        <w:rPr>
          <w:sz w:val="19"/>
          <w:szCs w:val="19"/>
          <w:rtl/>
        </w:rPr>
        <w:t xml:space="preserve"> מאפיינים שונים ומגוונים</w:t>
      </w:r>
      <w:r w:rsidRPr="00576027">
        <w:rPr>
          <w:sz w:val="19"/>
          <w:szCs w:val="19"/>
          <w:rtl/>
        </w:rPr>
        <w:t>,</w:t>
      </w:r>
      <w:r>
        <w:rPr>
          <w:rFonts w:hint="cs"/>
          <w:sz w:val="19"/>
          <w:szCs w:val="19"/>
          <w:rtl/>
        </w:rPr>
        <w:t xml:space="preserve"> ללא תוכנית מסודרת</w:t>
      </w:r>
      <w:r w:rsidRPr="00731608">
        <w:rPr>
          <w:sz w:val="19"/>
          <w:szCs w:val="19"/>
          <w:rtl/>
        </w:rPr>
        <w:t xml:space="preserve"> </w:t>
      </w:r>
      <w:r>
        <w:rPr>
          <w:rFonts w:hint="cs"/>
          <w:sz w:val="19"/>
          <w:szCs w:val="19"/>
          <w:rtl/>
        </w:rPr>
        <w:t>ו</w:t>
      </w:r>
      <w:r w:rsidRPr="00731608">
        <w:rPr>
          <w:sz w:val="19"/>
          <w:szCs w:val="19"/>
          <w:rtl/>
        </w:rPr>
        <w:t>בפריסה גיאוגרפית רחבה</w:t>
      </w:r>
      <w:r w:rsidRPr="0040396C">
        <w:rPr>
          <w:sz w:val="19"/>
          <w:szCs w:val="19"/>
          <w:rtl/>
        </w:rPr>
        <w:t>, ו</w:t>
      </w:r>
      <w:r>
        <w:rPr>
          <w:rFonts w:hint="cs"/>
          <w:sz w:val="19"/>
          <w:szCs w:val="19"/>
          <w:rtl/>
        </w:rPr>
        <w:t>חלק מה</w:t>
      </w:r>
      <w:r w:rsidRPr="0040396C">
        <w:rPr>
          <w:sz w:val="19"/>
          <w:szCs w:val="19"/>
          <w:rtl/>
        </w:rPr>
        <w:t>קהילות פוצלו</w:t>
      </w:r>
      <w:r>
        <w:rPr>
          <w:rFonts w:hint="cs"/>
          <w:sz w:val="19"/>
          <w:szCs w:val="19"/>
          <w:rtl/>
        </w:rPr>
        <w:t xml:space="preserve"> בין כמה יעדים. </w:t>
      </w:r>
      <w:r w:rsidRPr="00731608">
        <w:rPr>
          <w:rFonts w:hint="eastAsia"/>
          <w:sz w:val="19"/>
          <w:szCs w:val="19"/>
          <w:rtl/>
        </w:rPr>
        <w:t>ה</w:t>
      </w:r>
      <w:r w:rsidRPr="00731608">
        <w:rPr>
          <w:sz w:val="19"/>
          <w:szCs w:val="19"/>
          <w:rtl/>
        </w:rPr>
        <w:t xml:space="preserve">פיזור הקשה על הרשויות המקומיות לנהל קשר </w:t>
      </w:r>
      <w:r w:rsidRPr="00731608">
        <w:rPr>
          <w:rFonts w:hint="eastAsia"/>
          <w:sz w:val="19"/>
          <w:szCs w:val="19"/>
          <w:rtl/>
        </w:rPr>
        <w:t>מסודר</w:t>
      </w:r>
      <w:r w:rsidRPr="00731608">
        <w:rPr>
          <w:sz w:val="19"/>
          <w:szCs w:val="19"/>
          <w:rtl/>
        </w:rPr>
        <w:t xml:space="preserve"> עם תושביהן ו</w:t>
      </w:r>
      <w:r>
        <w:rPr>
          <w:rFonts w:hint="cs"/>
          <w:sz w:val="19"/>
          <w:szCs w:val="19"/>
          <w:rtl/>
        </w:rPr>
        <w:t>לתת את</w:t>
      </w:r>
      <w:r w:rsidRPr="00731608">
        <w:rPr>
          <w:sz w:val="19"/>
          <w:szCs w:val="19"/>
          <w:rtl/>
        </w:rPr>
        <w:t xml:space="preserve"> השירותים והמענים שהם נזקקו להם </w:t>
      </w:r>
      <w:r w:rsidRPr="00731608">
        <w:rPr>
          <w:rFonts w:hint="eastAsia"/>
          <w:sz w:val="19"/>
          <w:szCs w:val="19"/>
          <w:rtl/>
        </w:rPr>
        <w:t>ופגע</w:t>
      </w:r>
      <w:r w:rsidRPr="00731608">
        <w:rPr>
          <w:sz w:val="19"/>
          <w:szCs w:val="19"/>
          <w:rtl/>
        </w:rPr>
        <w:t xml:space="preserve"> </w:t>
      </w:r>
      <w:r w:rsidRPr="00731608">
        <w:rPr>
          <w:rFonts w:hint="eastAsia"/>
          <w:sz w:val="19"/>
          <w:szCs w:val="19"/>
          <w:rtl/>
        </w:rPr>
        <w:t>ב</w:t>
      </w:r>
      <w:r w:rsidRPr="00731608">
        <w:rPr>
          <w:sz w:val="19"/>
          <w:szCs w:val="19"/>
          <w:rtl/>
        </w:rPr>
        <w:t>קהילתיות</w:t>
      </w:r>
      <w:bookmarkStart w:id="11" w:name="_Hlk219895834"/>
      <w:r w:rsidR="001A60CB">
        <w:rPr>
          <w:rFonts w:hint="cs"/>
          <w:sz w:val="19"/>
          <w:szCs w:val="19"/>
          <w:rtl/>
        </w:rPr>
        <w:t>,</w:t>
      </w:r>
      <w:r w:rsidRPr="00731608">
        <w:rPr>
          <w:sz w:val="19"/>
          <w:szCs w:val="19"/>
          <w:rtl/>
        </w:rPr>
        <w:t xml:space="preserve"> </w:t>
      </w:r>
      <w:bookmarkEnd w:id="11"/>
      <w:r w:rsidRPr="00731608">
        <w:rPr>
          <w:rFonts w:hint="cs"/>
          <w:sz w:val="19"/>
          <w:szCs w:val="19"/>
          <w:rtl/>
        </w:rPr>
        <w:t xml:space="preserve">החשובה </w:t>
      </w:r>
      <w:r w:rsidRPr="00731608">
        <w:rPr>
          <w:sz w:val="19"/>
          <w:szCs w:val="19"/>
          <w:rtl/>
        </w:rPr>
        <w:t xml:space="preserve">במצבי חירום לשמירה על </w:t>
      </w:r>
      <w:r>
        <w:rPr>
          <w:rFonts w:hint="cs"/>
          <w:sz w:val="19"/>
          <w:szCs w:val="19"/>
          <w:rtl/>
        </w:rPr>
        <w:t>חוסנם</w:t>
      </w:r>
      <w:r w:rsidR="001A60CB">
        <w:rPr>
          <w:rStyle w:val="af1"/>
          <w:sz w:val="19"/>
          <w:szCs w:val="19"/>
          <w:rtl/>
        </w:rPr>
        <w:footnoteReference w:id="7"/>
      </w:r>
      <w:r w:rsidRPr="00731608">
        <w:rPr>
          <w:sz w:val="19"/>
          <w:szCs w:val="19"/>
          <w:rtl/>
        </w:rPr>
        <w:t>.</w:t>
      </w:r>
      <w:r w:rsidRPr="00731608">
        <w:rPr>
          <w:rtl/>
        </w:rPr>
        <w:t xml:space="preserve"> </w:t>
      </w:r>
      <w:r w:rsidRPr="00731608">
        <w:rPr>
          <w:sz w:val="19"/>
          <w:szCs w:val="19"/>
          <w:rtl/>
        </w:rPr>
        <w:t>כמו כן</w:t>
      </w:r>
      <w:r>
        <w:rPr>
          <w:rFonts w:hint="cs"/>
          <w:sz w:val="19"/>
          <w:szCs w:val="19"/>
          <w:rtl/>
        </w:rPr>
        <w:t>,</w:t>
      </w:r>
      <w:r w:rsidRPr="00731608">
        <w:rPr>
          <w:sz w:val="19"/>
          <w:szCs w:val="19"/>
          <w:rtl/>
        </w:rPr>
        <w:t xml:space="preserve"> שיבוץ שלא לפי תוכנית מוסדרת גרם להפניית מפונים לחדרי מלון שלא תאמו את צורכיהם.</w:t>
      </w:r>
    </w:p>
    <w:p w14:paraId="70F96497" w14:textId="77777777" w:rsidR="0004088F" w:rsidRPr="00731608" w:rsidRDefault="0004088F" w:rsidP="00A475CE">
      <w:pPr>
        <w:pStyle w:val="73"/>
        <w:numPr>
          <w:ilvl w:val="0"/>
          <w:numId w:val="25"/>
        </w:numPr>
        <w:spacing w:after="160"/>
        <w:rPr>
          <w:sz w:val="19"/>
          <w:szCs w:val="19"/>
        </w:rPr>
      </w:pPr>
      <w:r w:rsidRPr="00731608">
        <w:rPr>
          <w:b/>
          <w:bCs/>
          <w:sz w:val="19"/>
          <w:szCs w:val="19"/>
          <w:rtl/>
        </w:rPr>
        <w:t>תיק חירום רשותי</w:t>
      </w:r>
      <w:r w:rsidRPr="00731608">
        <w:rPr>
          <w:rFonts w:hint="cs"/>
          <w:sz w:val="19"/>
          <w:szCs w:val="19"/>
          <w:rtl/>
        </w:rPr>
        <w:t xml:space="preserve"> </w:t>
      </w:r>
      <w:r w:rsidRPr="00731608">
        <w:rPr>
          <w:rFonts w:hint="cs"/>
          <w:b/>
          <w:bCs/>
          <w:sz w:val="19"/>
          <w:szCs w:val="19"/>
          <w:rtl/>
        </w:rPr>
        <w:t xml:space="preserve">ותוכניות </w:t>
      </w:r>
      <w:r w:rsidRPr="00731608">
        <w:rPr>
          <w:b/>
          <w:bCs/>
          <w:sz w:val="19"/>
          <w:szCs w:val="19"/>
          <w:rtl/>
        </w:rPr>
        <w:t>לפינוי אוכלוסייה</w:t>
      </w:r>
      <w:r w:rsidRPr="00731608">
        <w:rPr>
          <w:sz w:val="19"/>
          <w:szCs w:val="19"/>
          <w:rtl/>
        </w:rPr>
        <w:t xml:space="preserve"> </w:t>
      </w:r>
      <w:r w:rsidRPr="00731608">
        <w:rPr>
          <w:rFonts w:hint="cs"/>
          <w:b/>
          <w:bCs/>
          <w:sz w:val="19"/>
          <w:szCs w:val="19"/>
          <w:rtl/>
        </w:rPr>
        <w:t>של הרשויות שנבדקו</w:t>
      </w:r>
      <w:r w:rsidRPr="00731608">
        <w:rPr>
          <w:rFonts w:hint="cs"/>
          <w:sz w:val="19"/>
          <w:szCs w:val="19"/>
          <w:rtl/>
        </w:rPr>
        <w:t xml:space="preserve"> - </w:t>
      </w:r>
      <w:r w:rsidRPr="00427FFB">
        <w:rPr>
          <w:sz w:val="19"/>
          <w:szCs w:val="19"/>
          <w:rtl/>
        </w:rPr>
        <w:t>בתיק האב</w:t>
      </w:r>
      <w:r w:rsidRPr="00731608">
        <w:rPr>
          <w:sz w:val="19"/>
          <w:szCs w:val="19"/>
          <w:rtl/>
        </w:rPr>
        <w:t xml:space="preserve"> נקבע כי על הרשות המקומית להכין תיק חירום רשותי שיכלול את התוכניות והנהלים של המכלולים והגופים המעורבים בפעילות מטה החירום הרשותי. מטרת תיק החירום הרשותי היא לתכלל את כל המידע העדכני הנדרש לשעת חירום ואת התרחישים ותוכניות המענה של הרשות בשעת חירום. המידע בתיק אמור לאפשר מתן מענה מיטבי לאירועים שונים, והוא משמש בסיס ליצירת רציפות תפקודית רשותית בעת שגרה ובשעת חירום</w:t>
      </w:r>
      <w:r w:rsidRPr="00731608">
        <w:rPr>
          <w:rtl/>
        </w:rPr>
        <w:t>.</w:t>
      </w:r>
      <w:r w:rsidRPr="00731608">
        <w:rPr>
          <w:sz w:val="19"/>
          <w:szCs w:val="19"/>
          <w:rtl/>
        </w:rPr>
        <w:t xml:space="preserve"> משרד הפנים לא פעל לקביעת נהלים והנחיות המסדירים את תחומי האחריות של הרשויות המקומיות בכל הקשור לתכנון הפינוי ובנוגע להיערכות לפינוי תושביהן אל מתקנים שאינם בתחום הרשות המקומית, אם כגורם המפנה ואם כגורם שמסייע לצה"ל בפינוי. עיריות </w:t>
      </w:r>
      <w:r w:rsidRPr="00731608">
        <w:rPr>
          <w:b/>
          <w:bCs/>
          <w:sz w:val="19"/>
          <w:szCs w:val="19"/>
          <w:rtl/>
        </w:rPr>
        <w:t>אופקים</w:t>
      </w:r>
      <w:r w:rsidRPr="00731608">
        <w:rPr>
          <w:sz w:val="19"/>
          <w:szCs w:val="19"/>
          <w:rtl/>
        </w:rPr>
        <w:t xml:space="preserve">, </w:t>
      </w:r>
      <w:r w:rsidRPr="00731608">
        <w:rPr>
          <w:b/>
          <w:bCs/>
          <w:sz w:val="19"/>
          <w:szCs w:val="19"/>
          <w:rtl/>
        </w:rPr>
        <w:t xml:space="preserve">אשקלון </w:t>
      </w:r>
      <w:r w:rsidRPr="00731608">
        <w:rPr>
          <w:sz w:val="19"/>
          <w:szCs w:val="19"/>
          <w:rtl/>
        </w:rPr>
        <w:t>ו</w:t>
      </w:r>
      <w:r w:rsidRPr="00731608">
        <w:rPr>
          <w:b/>
          <w:bCs/>
          <w:sz w:val="19"/>
          <w:szCs w:val="19"/>
          <w:rtl/>
        </w:rPr>
        <w:t xml:space="preserve">שדרות </w:t>
      </w:r>
      <w:r w:rsidRPr="00731608">
        <w:rPr>
          <w:sz w:val="19"/>
          <w:szCs w:val="19"/>
          <w:rtl/>
        </w:rPr>
        <w:t>והמועצות האזוריות</w:t>
      </w:r>
      <w:r w:rsidRPr="00731608">
        <w:rPr>
          <w:b/>
          <w:bCs/>
          <w:sz w:val="19"/>
          <w:szCs w:val="19"/>
          <w:rtl/>
        </w:rPr>
        <w:t xml:space="preserve"> אשכול </w:t>
      </w:r>
      <w:r w:rsidRPr="00731608">
        <w:rPr>
          <w:sz w:val="19"/>
          <w:szCs w:val="19"/>
          <w:rtl/>
        </w:rPr>
        <w:t>ו</w:t>
      </w:r>
      <w:r w:rsidRPr="00731608">
        <w:rPr>
          <w:b/>
          <w:bCs/>
          <w:sz w:val="19"/>
          <w:szCs w:val="19"/>
          <w:rtl/>
        </w:rPr>
        <w:t>חוף אשקלו</w:t>
      </w:r>
      <w:r w:rsidRPr="003E59DA">
        <w:rPr>
          <w:b/>
          <w:bCs/>
          <w:sz w:val="19"/>
          <w:szCs w:val="19"/>
          <w:rtl/>
        </w:rPr>
        <w:t>ן</w:t>
      </w:r>
      <w:r w:rsidRPr="00731608">
        <w:rPr>
          <w:sz w:val="19"/>
          <w:szCs w:val="19"/>
          <w:rtl/>
        </w:rPr>
        <w:t xml:space="preserve"> הכינו תיקי חירום רשותיים, שכללו תוכניות ונהלים לפעילות של מכלול אוכלוסייה בשעת חירום. עם זאת, תיק החירום הרשותי של עיריית </w:t>
      </w:r>
      <w:r w:rsidRPr="00731608">
        <w:rPr>
          <w:b/>
          <w:bCs/>
          <w:sz w:val="19"/>
          <w:szCs w:val="19"/>
          <w:rtl/>
        </w:rPr>
        <w:t xml:space="preserve">אופקים </w:t>
      </w:r>
      <w:r w:rsidRPr="00731608">
        <w:rPr>
          <w:sz w:val="19"/>
          <w:szCs w:val="19"/>
          <w:rtl/>
        </w:rPr>
        <w:t>ועיריית</w:t>
      </w:r>
      <w:r w:rsidRPr="00731608">
        <w:rPr>
          <w:b/>
          <w:bCs/>
          <w:sz w:val="19"/>
          <w:szCs w:val="19"/>
          <w:rtl/>
        </w:rPr>
        <w:t xml:space="preserve"> אשקלון</w:t>
      </w:r>
      <w:r w:rsidRPr="00731608">
        <w:rPr>
          <w:sz w:val="19"/>
          <w:szCs w:val="19"/>
          <w:rtl/>
        </w:rPr>
        <w:t xml:space="preserve"> לא עסק בפינוי אל מחוץ לתחומי הרשות; תיק החירום הרשותי של עיריית </w:t>
      </w:r>
      <w:r w:rsidRPr="00731608">
        <w:rPr>
          <w:b/>
          <w:bCs/>
          <w:sz w:val="19"/>
          <w:szCs w:val="19"/>
          <w:rtl/>
        </w:rPr>
        <w:t xml:space="preserve">שדרות </w:t>
      </w:r>
      <w:r w:rsidRPr="00731608">
        <w:rPr>
          <w:sz w:val="19"/>
          <w:szCs w:val="19"/>
          <w:rtl/>
        </w:rPr>
        <w:t>עסק ב</w:t>
      </w:r>
      <w:r>
        <w:rPr>
          <w:rFonts w:hint="cs"/>
          <w:sz w:val="19"/>
          <w:szCs w:val="19"/>
          <w:rtl/>
        </w:rPr>
        <w:t>הוצאת</w:t>
      </w:r>
      <w:r w:rsidRPr="00731608">
        <w:rPr>
          <w:sz w:val="19"/>
          <w:szCs w:val="19"/>
          <w:rtl/>
        </w:rPr>
        <w:t xml:space="preserve"> חלק מאוכלוסייתה ל</w:t>
      </w:r>
      <w:r w:rsidRPr="00731608">
        <w:rPr>
          <w:rFonts w:hint="cs"/>
          <w:sz w:val="19"/>
          <w:szCs w:val="19"/>
          <w:rtl/>
        </w:rPr>
        <w:t>ריענון</w:t>
      </w:r>
      <w:r w:rsidRPr="00731608">
        <w:rPr>
          <w:sz w:val="19"/>
          <w:szCs w:val="19"/>
          <w:rtl/>
        </w:rPr>
        <w:t xml:space="preserve"> אל מחוץ לתחומי הרשות </w:t>
      </w:r>
      <w:r>
        <w:rPr>
          <w:rFonts w:hint="cs"/>
          <w:sz w:val="19"/>
          <w:szCs w:val="19"/>
          <w:rtl/>
        </w:rPr>
        <w:t xml:space="preserve">למשך </w:t>
      </w:r>
      <w:r w:rsidRPr="00731608">
        <w:rPr>
          <w:sz w:val="19"/>
          <w:szCs w:val="19"/>
          <w:rtl/>
        </w:rPr>
        <w:t>ימים</w:t>
      </w:r>
      <w:r>
        <w:rPr>
          <w:rFonts w:hint="cs"/>
          <w:sz w:val="19"/>
          <w:szCs w:val="19"/>
          <w:rtl/>
        </w:rPr>
        <w:t xml:space="preserve"> אחדים</w:t>
      </w:r>
      <w:r w:rsidRPr="00731608">
        <w:rPr>
          <w:sz w:val="19"/>
          <w:szCs w:val="19"/>
          <w:rtl/>
        </w:rPr>
        <w:t xml:space="preserve">, אך לא התייחס לאפשרות לפינוי מלא של תושבי העיר לתקופה ארוכה; תיק החירום הרשותי של המועצה האזורית </w:t>
      </w:r>
      <w:r w:rsidRPr="00731608">
        <w:rPr>
          <w:b/>
          <w:bCs/>
          <w:sz w:val="19"/>
          <w:szCs w:val="19"/>
          <w:rtl/>
        </w:rPr>
        <w:t>חוף אשקלון</w:t>
      </w:r>
      <w:r w:rsidRPr="00731608">
        <w:rPr>
          <w:sz w:val="19"/>
          <w:szCs w:val="19"/>
          <w:rtl/>
        </w:rPr>
        <w:t xml:space="preserve"> עסק בהיערכות לפינוי תושבים מארבעה יישובי</w:t>
      </w:r>
      <w:r>
        <w:rPr>
          <w:rFonts w:hint="cs"/>
          <w:sz w:val="19"/>
          <w:szCs w:val="19"/>
          <w:rtl/>
        </w:rPr>
        <w:t>ם</w:t>
      </w:r>
      <w:r w:rsidRPr="00731608">
        <w:rPr>
          <w:sz w:val="19"/>
          <w:szCs w:val="19"/>
          <w:rtl/>
        </w:rPr>
        <w:t xml:space="preserve"> </w:t>
      </w:r>
      <w:r>
        <w:rPr>
          <w:rFonts w:hint="cs"/>
          <w:sz w:val="19"/>
          <w:szCs w:val="19"/>
          <w:rtl/>
        </w:rPr>
        <w:t>ב</w:t>
      </w:r>
      <w:r w:rsidRPr="00731608">
        <w:rPr>
          <w:sz w:val="19"/>
          <w:szCs w:val="19"/>
          <w:rtl/>
        </w:rPr>
        <w:t xml:space="preserve">מועצה אל מחוץ לתחומי הרשות; תיק החירום של המועצה האזורית </w:t>
      </w:r>
      <w:r w:rsidRPr="00731608">
        <w:rPr>
          <w:b/>
          <w:bCs/>
          <w:sz w:val="19"/>
          <w:szCs w:val="19"/>
          <w:rtl/>
        </w:rPr>
        <w:t>אשכול</w:t>
      </w:r>
      <w:r w:rsidRPr="00731608">
        <w:rPr>
          <w:sz w:val="19"/>
          <w:szCs w:val="19"/>
          <w:rtl/>
        </w:rPr>
        <w:t xml:space="preserve"> עסק בהיערכות לפינוי של 11 היישובים סמוכי הגדר בלבד</w:t>
      </w:r>
      <w:r>
        <w:rPr>
          <w:rFonts w:hint="cs"/>
          <w:sz w:val="19"/>
          <w:szCs w:val="19"/>
          <w:rtl/>
        </w:rPr>
        <w:t xml:space="preserve"> (מתוך 32 יישובים)</w:t>
      </w:r>
      <w:r w:rsidRPr="00731608">
        <w:rPr>
          <w:sz w:val="19"/>
          <w:szCs w:val="19"/>
          <w:rtl/>
        </w:rPr>
        <w:t>.</w:t>
      </w:r>
    </w:p>
    <w:p w14:paraId="2A94EC38" w14:textId="77777777" w:rsidR="0004088F" w:rsidRPr="00731608" w:rsidRDefault="0004088F" w:rsidP="00A475CE">
      <w:pPr>
        <w:pStyle w:val="73"/>
        <w:numPr>
          <w:ilvl w:val="0"/>
          <w:numId w:val="25"/>
        </w:numPr>
        <w:spacing w:after="160"/>
        <w:rPr>
          <w:sz w:val="19"/>
          <w:szCs w:val="19"/>
        </w:rPr>
      </w:pPr>
      <w:r w:rsidRPr="00731608">
        <w:rPr>
          <w:b/>
          <w:bCs/>
          <w:sz w:val="19"/>
          <w:szCs w:val="19"/>
          <w:rtl/>
        </w:rPr>
        <w:t>תרחישי הייחוס למלחמה והמענים לתרחישים של הרשויות המקומיות שנבדקו</w:t>
      </w:r>
      <w:r w:rsidRPr="00731608">
        <w:rPr>
          <w:rFonts w:hint="cs"/>
          <w:b/>
          <w:bCs/>
          <w:sz w:val="19"/>
          <w:szCs w:val="19"/>
          <w:rtl/>
        </w:rPr>
        <w:t xml:space="preserve"> </w:t>
      </w:r>
      <w:r w:rsidRPr="00C05656">
        <w:rPr>
          <w:sz w:val="19"/>
          <w:szCs w:val="19"/>
          <w:rtl/>
        </w:rPr>
        <w:t>-</w:t>
      </w:r>
      <w:r w:rsidRPr="00731608">
        <w:rPr>
          <w:rFonts w:hint="cs"/>
          <w:b/>
          <w:bCs/>
          <w:sz w:val="19"/>
          <w:szCs w:val="19"/>
          <w:rtl/>
        </w:rPr>
        <w:t xml:space="preserve"> </w:t>
      </w:r>
      <w:r w:rsidRPr="00427FFB">
        <w:rPr>
          <w:sz w:val="19"/>
          <w:szCs w:val="19"/>
          <w:rtl/>
        </w:rPr>
        <w:t>בתיק האב</w:t>
      </w:r>
      <w:r w:rsidRPr="00731608">
        <w:rPr>
          <w:sz w:val="19"/>
          <w:szCs w:val="19"/>
          <w:rtl/>
        </w:rPr>
        <w:t xml:space="preserve"> נקבע כי תרחיש הייחוס </w:t>
      </w:r>
      <w:r w:rsidRPr="00731608">
        <w:rPr>
          <w:rFonts w:hint="eastAsia"/>
          <w:sz w:val="19"/>
          <w:szCs w:val="19"/>
          <w:rtl/>
        </w:rPr>
        <w:t>המלחמתי</w:t>
      </w:r>
      <w:r w:rsidRPr="00731608">
        <w:rPr>
          <w:sz w:val="19"/>
          <w:szCs w:val="19"/>
          <w:rtl/>
        </w:rPr>
        <w:t xml:space="preserve"> (המוגדר על ידי צה"ל) ותרחיש </w:t>
      </w:r>
      <w:r>
        <w:rPr>
          <w:rFonts w:hint="cs"/>
          <w:sz w:val="19"/>
          <w:szCs w:val="19"/>
          <w:rtl/>
        </w:rPr>
        <w:t xml:space="preserve">הייחוס </w:t>
      </w:r>
      <w:r w:rsidRPr="00731608">
        <w:rPr>
          <w:sz w:val="19"/>
          <w:szCs w:val="19"/>
          <w:rtl/>
        </w:rPr>
        <w:t>המל"חי (המשקי</w:t>
      </w:r>
      <w:r>
        <w:rPr>
          <w:rFonts w:hint="cs"/>
          <w:sz w:val="19"/>
          <w:szCs w:val="19"/>
          <w:rtl/>
        </w:rPr>
        <w:t>-הלאומי</w:t>
      </w:r>
      <w:r w:rsidRPr="00731608">
        <w:rPr>
          <w:sz w:val="19"/>
          <w:szCs w:val="19"/>
          <w:rtl/>
        </w:rPr>
        <w:t xml:space="preserve">, המוגדר על ידי </w:t>
      </w:r>
      <w:r w:rsidRPr="00731608">
        <w:rPr>
          <w:rFonts w:hint="eastAsia"/>
          <w:sz w:val="19"/>
          <w:szCs w:val="19"/>
          <w:rtl/>
        </w:rPr>
        <w:t>רח</w:t>
      </w:r>
      <w:r w:rsidRPr="00731608">
        <w:rPr>
          <w:sz w:val="19"/>
          <w:szCs w:val="19"/>
          <w:rtl/>
        </w:rPr>
        <w:t>"ל) הם הבסיס לתכנון המענה הרשותי לשעת חירום. תוכנית המענה שמכינה הרשות צריכה להתייחס לכלל האיומים שאליהם הרשות נערכת לשעת חירום. עוד נקבע בתיק האב כי במסגרת המענה לתרחיש</w:t>
      </w:r>
      <w:r>
        <w:rPr>
          <w:rFonts w:hint="cs"/>
          <w:sz w:val="19"/>
          <w:szCs w:val="19"/>
          <w:rtl/>
        </w:rPr>
        <w:t>י</w:t>
      </w:r>
      <w:r w:rsidRPr="00731608">
        <w:rPr>
          <w:sz w:val="19"/>
          <w:szCs w:val="19"/>
          <w:rtl/>
        </w:rPr>
        <w:t xml:space="preserve"> הייחוס המלחמתי והמל"חי, על הרשות המקומית להתייחס לפינוי תושבים.</w:t>
      </w:r>
      <w:r w:rsidRPr="00731608">
        <w:rPr>
          <w:rtl/>
        </w:rPr>
        <w:t xml:space="preserve"> </w:t>
      </w:r>
      <w:r w:rsidRPr="00731608">
        <w:rPr>
          <w:sz w:val="19"/>
          <w:szCs w:val="19"/>
          <w:rtl/>
        </w:rPr>
        <w:t xml:space="preserve">תרחישי הייחוס </w:t>
      </w:r>
      <w:r>
        <w:rPr>
          <w:rFonts w:hint="cs"/>
          <w:sz w:val="19"/>
          <w:szCs w:val="19"/>
          <w:rtl/>
        </w:rPr>
        <w:t>לערים</w:t>
      </w:r>
      <w:r w:rsidRPr="00731608">
        <w:rPr>
          <w:sz w:val="19"/>
          <w:szCs w:val="19"/>
          <w:rtl/>
        </w:rPr>
        <w:t xml:space="preserve"> </w:t>
      </w:r>
      <w:r w:rsidRPr="00731608">
        <w:rPr>
          <w:b/>
          <w:bCs/>
          <w:sz w:val="19"/>
          <w:szCs w:val="19"/>
          <w:rtl/>
        </w:rPr>
        <w:t>אופקים</w:t>
      </w:r>
      <w:r w:rsidRPr="00731608">
        <w:rPr>
          <w:sz w:val="19"/>
          <w:szCs w:val="19"/>
          <w:rtl/>
        </w:rPr>
        <w:t xml:space="preserve">, </w:t>
      </w:r>
      <w:r w:rsidRPr="00731608">
        <w:rPr>
          <w:b/>
          <w:bCs/>
          <w:sz w:val="19"/>
          <w:szCs w:val="19"/>
          <w:rtl/>
        </w:rPr>
        <w:t xml:space="preserve">אשקלון </w:t>
      </w:r>
      <w:r w:rsidRPr="00731608">
        <w:rPr>
          <w:sz w:val="19"/>
          <w:szCs w:val="19"/>
          <w:rtl/>
        </w:rPr>
        <w:t>ו</w:t>
      </w:r>
      <w:r w:rsidRPr="00731608">
        <w:rPr>
          <w:b/>
          <w:bCs/>
          <w:sz w:val="19"/>
          <w:szCs w:val="19"/>
          <w:rtl/>
        </w:rPr>
        <w:t>שדרות</w:t>
      </w:r>
      <w:r w:rsidRPr="00731608">
        <w:rPr>
          <w:sz w:val="19"/>
          <w:szCs w:val="19"/>
          <w:rtl/>
        </w:rPr>
        <w:t xml:space="preserve"> ולמועצות האזוריות </w:t>
      </w:r>
      <w:r w:rsidRPr="00731608">
        <w:rPr>
          <w:b/>
          <w:bCs/>
          <w:sz w:val="19"/>
          <w:szCs w:val="19"/>
          <w:rtl/>
        </w:rPr>
        <w:t xml:space="preserve">אשכול </w:t>
      </w:r>
      <w:r w:rsidRPr="00731608">
        <w:rPr>
          <w:sz w:val="19"/>
          <w:szCs w:val="19"/>
          <w:rtl/>
        </w:rPr>
        <w:t>ו</w:t>
      </w:r>
      <w:r w:rsidRPr="00731608">
        <w:rPr>
          <w:b/>
          <w:bCs/>
          <w:sz w:val="19"/>
          <w:szCs w:val="19"/>
          <w:rtl/>
        </w:rPr>
        <w:t>חוף אשקלון</w:t>
      </w:r>
      <w:r w:rsidRPr="00731608">
        <w:rPr>
          <w:sz w:val="19"/>
          <w:szCs w:val="19"/>
          <w:rtl/>
        </w:rPr>
        <w:t xml:space="preserve"> לא כללו פירוט של איומים, נזקי גוף ורכוש בהיקפים</w:t>
      </w:r>
      <w:r w:rsidRPr="009A113C">
        <w:rPr>
          <w:rtl/>
        </w:rPr>
        <w:t xml:space="preserve"> </w:t>
      </w:r>
      <w:r w:rsidRPr="009A113C">
        <w:rPr>
          <w:sz w:val="19"/>
          <w:szCs w:val="19"/>
          <w:rtl/>
        </w:rPr>
        <w:t>עצימים כגון אלו</w:t>
      </w:r>
      <w:r w:rsidRPr="00731608">
        <w:rPr>
          <w:sz w:val="19"/>
          <w:szCs w:val="19"/>
          <w:rtl/>
        </w:rPr>
        <w:t xml:space="preserve"> שהתרחשו בפועל </w:t>
      </w:r>
      <w:r>
        <w:rPr>
          <w:rFonts w:hint="cs"/>
          <w:sz w:val="19"/>
          <w:szCs w:val="19"/>
          <w:rtl/>
        </w:rPr>
        <w:t>ב</w:t>
      </w:r>
      <w:r w:rsidRPr="004317F9">
        <w:rPr>
          <w:sz w:val="19"/>
          <w:szCs w:val="19"/>
          <w:rtl/>
        </w:rPr>
        <w:t xml:space="preserve">מתקפת </w:t>
      </w:r>
      <w:r>
        <w:rPr>
          <w:rFonts w:hint="cs"/>
          <w:sz w:val="19"/>
          <w:szCs w:val="19"/>
          <w:rtl/>
        </w:rPr>
        <w:t>הטרור</w:t>
      </w:r>
      <w:r w:rsidRPr="004317F9">
        <w:rPr>
          <w:sz w:val="19"/>
          <w:szCs w:val="19"/>
          <w:rtl/>
        </w:rPr>
        <w:t xml:space="preserve"> בשבעה באוקטובר</w:t>
      </w:r>
      <w:r>
        <w:rPr>
          <w:rFonts w:hint="cs"/>
          <w:sz w:val="19"/>
          <w:szCs w:val="19"/>
          <w:rtl/>
        </w:rPr>
        <w:t>,</w:t>
      </w:r>
      <w:r w:rsidRPr="00731608">
        <w:rPr>
          <w:sz w:val="19"/>
          <w:szCs w:val="19"/>
          <w:rtl/>
        </w:rPr>
        <w:t xml:space="preserve"> דבר שפגע בהיערכות ובמוכנות </w:t>
      </w:r>
      <w:r>
        <w:rPr>
          <w:rFonts w:hint="cs"/>
          <w:sz w:val="19"/>
          <w:szCs w:val="19"/>
          <w:rtl/>
        </w:rPr>
        <w:t xml:space="preserve">של </w:t>
      </w:r>
      <w:r w:rsidRPr="00731608">
        <w:rPr>
          <w:sz w:val="19"/>
          <w:szCs w:val="19"/>
          <w:rtl/>
        </w:rPr>
        <w:t>הרשויות לפינוי בתרחיש מלחמתי</w:t>
      </w:r>
      <w:r>
        <w:rPr>
          <w:rFonts w:hint="cs"/>
          <w:sz w:val="19"/>
          <w:szCs w:val="19"/>
          <w:rtl/>
        </w:rPr>
        <w:t>:</w:t>
      </w:r>
      <w:r w:rsidRPr="00731608">
        <w:rPr>
          <w:sz w:val="19"/>
          <w:szCs w:val="19"/>
          <w:rtl/>
        </w:rPr>
        <w:t xml:space="preserve"> ב</w:t>
      </w:r>
      <w:r w:rsidRPr="00731608">
        <w:rPr>
          <w:b/>
          <w:bCs/>
          <w:sz w:val="19"/>
          <w:szCs w:val="19"/>
          <w:rtl/>
        </w:rPr>
        <w:t xml:space="preserve">אופקים </w:t>
      </w:r>
      <w:r w:rsidRPr="00731608">
        <w:rPr>
          <w:sz w:val="19"/>
          <w:szCs w:val="19"/>
          <w:rtl/>
        </w:rPr>
        <w:t>וב</w:t>
      </w:r>
      <w:r w:rsidRPr="00731608">
        <w:rPr>
          <w:b/>
          <w:bCs/>
          <w:sz w:val="19"/>
          <w:szCs w:val="19"/>
          <w:rtl/>
        </w:rPr>
        <w:t>אשקלון</w:t>
      </w:r>
      <w:r w:rsidRPr="00731608">
        <w:rPr>
          <w:sz w:val="19"/>
          <w:szCs w:val="19"/>
          <w:rtl/>
        </w:rPr>
        <w:t xml:space="preserve"> המענים שנגזרו מתרחישי הייחוס לא כללו היערכות לפינוי תושבים אל מחוץ לתחומי הרשות</w:t>
      </w:r>
      <w:r>
        <w:rPr>
          <w:rFonts w:hint="cs"/>
          <w:sz w:val="19"/>
          <w:szCs w:val="19"/>
          <w:rtl/>
        </w:rPr>
        <w:t>;</w:t>
      </w:r>
      <w:r w:rsidRPr="00731608">
        <w:rPr>
          <w:sz w:val="19"/>
          <w:szCs w:val="19"/>
          <w:rtl/>
        </w:rPr>
        <w:t xml:space="preserve"> עיריית </w:t>
      </w:r>
      <w:r w:rsidRPr="00731608">
        <w:rPr>
          <w:b/>
          <w:bCs/>
          <w:sz w:val="19"/>
          <w:szCs w:val="19"/>
          <w:rtl/>
        </w:rPr>
        <w:t xml:space="preserve">שדרות </w:t>
      </w:r>
      <w:r w:rsidRPr="00731608">
        <w:rPr>
          <w:sz w:val="19"/>
          <w:szCs w:val="19"/>
          <w:rtl/>
        </w:rPr>
        <w:t>והמועצות האזוריות</w:t>
      </w:r>
      <w:r w:rsidRPr="00731608">
        <w:rPr>
          <w:b/>
          <w:bCs/>
          <w:sz w:val="19"/>
          <w:szCs w:val="19"/>
          <w:rtl/>
        </w:rPr>
        <w:t xml:space="preserve"> אשכול </w:t>
      </w:r>
      <w:r w:rsidRPr="00731608">
        <w:rPr>
          <w:sz w:val="19"/>
          <w:szCs w:val="19"/>
          <w:rtl/>
        </w:rPr>
        <w:t>ו</w:t>
      </w:r>
      <w:r w:rsidRPr="00731608">
        <w:rPr>
          <w:b/>
          <w:bCs/>
          <w:sz w:val="19"/>
          <w:szCs w:val="19"/>
          <w:rtl/>
        </w:rPr>
        <w:t>חוף אשקלון</w:t>
      </w:r>
      <w:r w:rsidRPr="00731608">
        <w:rPr>
          <w:sz w:val="19"/>
          <w:szCs w:val="19"/>
          <w:rtl/>
        </w:rPr>
        <w:t xml:space="preserve"> לא נערכו לפינוי מלא של תושביהן, וזאת בהתאם </w:t>
      </w:r>
      <w:r w:rsidRPr="00F40356">
        <w:rPr>
          <w:sz w:val="19"/>
          <w:szCs w:val="19"/>
          <w:rtl/>
        </w:rPr>
        <w:t xml:space="preserve">למענה לפי </w:t>
      </w:r>
      <w:r>
        <w:rPr>
          <w:rFonts w:hint="cs"/>
          <w:sz w:val="19"/>
          <w:szCs w:val="19"/>
          <w:rtl/>
        </w:rPr>
        <w:t>ה</w:t>
      </w:r>
      <w:r w:rsidRPr="00731608">
        <w:rPr>
          <w:sz w:val="19"/>
          <w:szCs w:val="19"/>
          <w:rtl/>
        </w:rPr>
        <w:t xml:space="preserve">תוכניות הלאומיות ולתרחישי הייחוס. המענה של המועצה האזורית </w:t>
      </w:r>
      <w:r w:rsidRPr="00731608">
        <w:rPr>
          <w:b/>
          <w:bCs/>
          <w:sz w:val="19"/>
          <w:szCs w:val="19"/>
          <w:rtl/>
        </w:rPr>
        <w:t xml:space="preserve">אשכול </w:t>
      </w:r>
      <w:r w:rsidRPr="00731608">
        <w:rPr>
          <w:sz w:val="19"/>
          <w:szCs w:val="19"/>
          <w:rtl/>
        </w:rPr>
        <w:t xml:space="preserve">כלל פינוי של 11 היישובים סמוכי הגדר בלבד, המענה של המועצה האזורית </w:t>
      </w:r>
      <w:r w:rsidRPr="00731608">
        <w:rPr>
          <w:b/>
          <w:bCs/>
          <w:sz w:val="19"/>
          <w:szCs w:val="19"/>
          <w:rtl/>
        </w:rPr>
        <w:t>חוף אשקלון</w:t>
      </w:r>
      <w:r w:rsidRPr="00731608">
        <w:rPr>
          <w:sz w:val="19"/>
          <w:szCs w:val="19"/>
          <w:rtl/>
        </w:rPr>
        <w:t xml:space="preserve"> כלל היערכות לפינוי של 75% מתושבי ארבעת </w:t>
      </w:r>
      <w:r w:rsidRPr="00731608">
        <w:rPr>
          <w:sz w:val="19"/>
          <w:szCs w:val="19"/>
          <w:rtl/>
        </w:rPr>
        <w:lastRenderedPageBreak/>
        <w:t>היישובים המצויים במרחק של עד ארבעה ק"מ מגבול רצועת עזה</w:t>
      </w:r>
      <w:r>
        <w:rPr>
          <w:rFonts w:hint="cs"/>
          <w:sz w:val="19"/>
          <w:szCs w:val="19"/>
          <w:rtl/>
        </w:rPr>
        <w:t>.</w:t>
      </w:r>
      <w:r w:rsidRPr="00731608">
        <w:rPr>
          <w:sz w:val="19"/>
          <w:szCs w:val="19"/>
          <w:rtl/>
        </w:rPr>
        <w:t xml:space="preserve"> המענה של עיריית </w:t>
      </w:r>
      <w:r w:rsidRPr="00731608">
        <w:rPr>
          <w:b/>
          <w:bCs/>
          <w:sz w:val="19"/>
          <w:szCs w:val="19"/>
          <w:rtl/>
        </w:rPr>
        <w:t>שדרות</w:t>
      </w:r>
      <w:r w:rsidRPr="00731608">
        <w:rPr>
          <w:sz w:val="19"/>
          <w:szCs w:val="19"/>
          <w:rtl/>
        </w:rPr>
        <w:t xml:space="preserve"> כלל </w:t>
      </w:r>
      <w:r>
        <w:rPr>
          <w:rFonts w:hint="cs"/>
          <w:sz w:val="19"/>
          <w:szCs w:val="19"/>
          <w:rtl/>
        </w:rPr>
        <w:t>הוצאה</w:t>
      </w:r>
      <w:r w:rsidRPr="00731608">
        <w:rPr>
          <w:sz w:val="19"/>
          <w:szCs w:val="19"/>
          <w:rtl/>
        </w:rPr>
        <w:t xml:space="preserve"> להתרעננות של חלק מתושביה אל מחוץ לתחום הרשות.</w:t>
      </w:r>
    </w:p>
    <w:p w14:paraId="2E36E175" w14:textId="77777777" w:rsidR="0004088F" w:rsidRPr="00731608" w:rsidRDefault="0004088F" w:rsidP="00A475CE">
      <w:pPr>
        <w:pStyle w:val="73"/>
        <w:numPr>
          <w:ilvl w:val="0"/>
          <w:numId w:val="25"/>
        </w:numPr>
        <w:spacing w:after="160"/>
        <w:rPr>
          <w:sz w:val="19"/>
          <w:szCs w:val="19"/>
          <w:rtl/>
        </w:rPr>
      </w:pPr>
      <w:r w:rsidRPr="00731608">
        <w:rPr>
          <w:b/>
          <w:bCs/>
          <w:sz w:val="19"/>
          <w:szCs w:val="19"/>
          <w:rtl/>
        </w:rPr>
        <w:t>היערכות כוח האדם לפינוי אוכלוסייה בשעת חירום</w:t>
      </w:r>
      <w:r w:rsidRPr="00731608">
        <w:rPr>
          <w:b/>
          <w:bCs/>
          <w:sz w:val="19"/>
          <w:szCs w:val="19"/>
        </w:rPr>
        <w:t xml:space="preserve"> </w:t>
      </w:r>
      <w:r w:rsidRPr="00C05656">
        <w:rPr>
          <w:sz w:val="19"/>
          <w:szCs w:val="19"/>
          <w:rtl/>
        </w:rPr>
        <w:t>-</w:t>
      </w:r>
      <w:r w:rsidRPr="00731608">
        <w:rPr>
          <w:b/>
          <w:bCs/>
          <w:sz w:val="19"/>
          <w:szCs w:val="19"/>
          <w:rtl/>
        </w:rPr>
        <w:t xml:space="preserve"> </w:t>
      </w:r>
      <w:r w:rsidRPr="00731608">
        <w:rPr>
          <w:rFonts w:hint="eastAsia"/>
          <w:sz w:val="19"/>
          <w:szCs w:val="19"/>
          <w:rtl/>
        </w:rPr>
        <w:t>ב</w:t>
      </w:r>
      <w:r w:rsidRPr="00731608">
        <w:rPr>
          <w:sz w:val="19"/>
          <w:szCs w:val="19"/>
          <w:rtl/>
        </w:rPr>
        <w:t xml:space="preserve">תיק האב </w:t>
      </w:r>
      <w:r w:rsidRPr="00731608">
        <w:rPr>
          <w:rFonts w:hint="eastAsia"/>
          <w:sz w:val="19"/>
          <w:szCs w:val="19"/>
          <w:rtl/>
        </w:rPr>
        <w:t>נקבע</w:t>
      </w:r>
      <w:r w:rsidRPr="00731608">
        <w:rPr>
          <w:sz w:val="19"/>
          <w:szCs w:val="19"/>
          <w:rtl/>
        </w:rPr>
        <w:t xml:space="preserve"> </w:t>
      </w:r>
      <w:r w:rsidRPr="00731608">
        <w:rPr>
          <w:rFonts w:hint="eastAsia"/>
          <w:sz w:val="19"/>
          <w:szCs w:val="19"/>
          <w:rtl/>
        </w:rPr>
        <w:t>כי</w:t>
      </w:r>
      <w:r w:rsidRPr="00731608">
        <w:rPr>
          <w:sz w:val="19"/>
          <w:szCs w:val="19"/>
          <w:rtl/>
        </w:rPr>
        <w:t xml:space="preserve"> על הרשות המקומית להיערך בעת שגרה לארגון ולשיבוץ </w:t>
      </w:r>
      <w:r w:rsidR="00F82BD9">
        <w:rPr>
          <w:rFonts w:hint="cs"/>
          <w:sz w:val="19"/>
          <w:szCs w:val="19"/>
          <w:rtl/>
        </w:rPr>
        <w:t xml:space="preserve">של </w:t>
      </w:r>
      <w:r w:rsidRPr="00731608">
        <w:rPr>
          <w:sz w:val="19"/>
          <w:szCs w:val="19"/>
          <w:rtl/>
        </w:rPr>
        <w:t>עובדים שאינם משובצים כתגבורת ו</w:t>
      </w:r>
      <w:r>
        <w:rPr>
          <w:rFonts w:hint="cs"/>
          <w:sz w:val="19"/>
          <w:szCs w:val="19"/>
          <w:rtl/>
        </w:rPr>
        <w:t>כ</w:t>
      </w:r>
      <w:r w:rsidRPr="00731608">
        <w:rPr>
          <w:sz w:val="19"/>
          <w:szCs w:val="19"/>
          <w:rtl/>
        </w:rPr>
        <w:t xml:space="preserve">השלמה למנגנוני החירום, ולהיערך לאיוש מלא של תפקידים הנדרשים לפעילות הרשות בשעת חירום. עוד נקבע בתיק האב כי על הרשות לתכנן את כוח האדם, ארגונו וריתוקו להפעלת הרשות לביצוע תפקידיה בשעת חירום באופן שהתמחותם המקצועית של עובדי הרשות תהיה הבסיס המקצועי להפעלתם במצבי חירום. עיריית </w:t>
      </w:r>
      <w:r w:rsidRPr="00731608">
        <w:rPr>
          <w:b/>
          <w:bCs/>
          <w:sz w:val="19"/>
          <w:szCs w:val="19"/>
          <w:rtl/>
        </w:rPr>
        <w:t>אופקים</w:t>
      </w:r>
      <w:r w:rsidRPr="00731608">
        <w:rPr>
          <w:sz w:val="19"/>
          <w:szCs w:val="19"/>
          <w:rtl/>
        </w:rPr>
        <w:t xml:space="preserve"> לא קבעה מראש את הגורמים האחראים לפינוי ב</w:t>
      </w:r>
      <w:r>
        <w:rPr>
          <w:rFonts w:hint="cs"/>
          <w:sz w:val="19"/>
          <w:szCs w:val="19"/>
          <w:rtl/>
        </w:rPr>
        <w:t xml:space="preserve">מצב </w:t>
      </w:r>
      <w:r w:rsidRPr="00731608">
        <w:rPr>
          <w:sz w:val="19"/>
          <w:szCs w:val="19"/>
          <w:rtl/>
        </w:rPr>
        <w:t>חירום</w:t>
      </w:r>
      <w:r w:rsidR="00F82BD9">
        <w:rPr>
          <w:rFonts w:hint="cs"/>
          <w:sz w:val="19"/>
          <w:szCs w:val="19"/>
          <w:rtl/>
        </w:rPr>
        <w:t>,</w:t>
      </w:r>
      <w:r w:rsidRPr="00731608">
        <w:rPr>
          <w:sz w:val="19"/>
          <w:szCs w:val="19"/>
          <w:rtl/>
        </w:rPr>
        <w:t xml:space="preserve"> ולא נקבעו אנשי קשר עם הגורמים מטעם השלטון המרכזי שיפעלו מולה בהליך הפינוי; </w:t>
      </w:r>
      <w:r w:rsidRPr="00731608">
        <w:rPr>
          <w:rFonts w:hint="cs"/>
          <w:sz w:val="19"/>
          <w:szCs w:val="19"/>
          <w:rtl/>
        </w:rPr>
        <w:t>בת</w:t>
      </w:r>
      <w:r>
        <w:rPr>
          <w:rFonts w:hint="cs"/>
          <w:sz w:val="19"/>
          <w:szCs w:val="19"/>
          <w:rtl/>
        </w:rPr>
        <w:t>ו</w:t>
      </w:r>
      <w:r w:rsidRPr="00731608">
        <w:rPr>
          <w:rFonts w:hint="cs"/>
          <w:sz w:val="19"/>
          <w:szCs w:val="19"/>
          <w:rtl/>
        </w:rPr>
        <w:t>כניותיהן</w:t>
      </w:r>
      <w:r w:rsidRPr="00731608">
        <w:rPr>
          <w:sz w:val="19"/>
          <w:szCs w:val="19"/>
          <w:rtl/>
        </w:rPr>
        <w:t xml:space="preserve"> </w:t>
      </w:r>
      <w:r w:rsidRPr="00731608">
        <w:rPr>
          <w:rFonts w:hint="eastAsia"/>
          <w:sz w:val="19"/>
          <w:szCs w:val="19"/>
          <w:rtl/>
        </w:rPr>
        <w:t>ל</w:t>
      </w:r>
      <w:r>
        <w:rPr>
          <w:rFonts w:hint="cs"/>
          <w:sz w:val="19"/>
          <w:szCs w:val="19"/>
          <w:rtl/>
        </w:rPr>
        <w:t xml:space="preserve">מצב </w:t>
      </w:r>
      <w:r w:rsidRPr="00731608">
        <w:rPr>
          <w:rFonts w:hint="eastAsia"/>
          <w:sz w:val="19"/>
          <w:szCs w:val="19"/>
          <w:rtl/>
        </w:rPr>
        <w:t>חירום</w:t>
      </w:r>
      <w:r w:rsidRPr="00731608">
        <w:rPr>
          <w:sz w:val="19"/>
          <w:szCs w:val="19"/>
          <w:rtl/>
        </w:rPr>
        <w:t xml:space="preserve"> של</w:t>
      </w:r>
      <w:r w:rsidRPr="00731608">
        <w:rPr>
          <w:rFonts w:hint="cs"/>
          <w:b/>
          <w:bCs/>
          <w:rtl/>
        </w:rPr>
        <w:t xml:space="preserve"> </w:t>
      </w:r>
      <w:r w:rsidRPr="00731608">
        <w:rPr>
          <w:sz w:val="19"/>
          <w:szCs w:val="19"/>
          <w:rtl/>
        </w:rPr>
        <w:t xml:space="preserve">עיריות </w:t>
      </w:r>
      <w:r w:rsidRPr="00731608">
        <w:rPr>
          <w:b/>
          <w:bCs/>
          <w:sz w:val="19"/>
          <w:szCs w:val="19"/>
          <w:rtl/>
        </w:rPr>
        <w:t>אשקלון</w:t>
      </w:r>
      <w:r w:rsidRPr="00731608">
        <w:rPr>
          <w:sz w:val="19"/>
          <w:szCs w:val="19"/>
          <w:rtl/>
        </w:rPr>
        <w:t xml:space="preserve"> ו</w:t>
      </w:r>
      <w:r w:rsidRPr="00731608">
        <w:rPr>
          <w:b/>
          <w:bCs/>
          <w:sz w:val="19"/>
          <w:szCs w:val="19"/>
          <w:rtl/>
        </w:rPr>
        <w:t>שדרות</w:t>
      </w:r>
      <w:r w:rsidRPr="00731608">
        <w:rPr>
          <w:sz w:val="19"/>
          <w:szCs w:val="19"/>
          <w:rtl/>
        </w:rPr>
        <w:t xml:space="preserve"> לא צ</w:t>
      </w:r>
      <w:r w:rsidRPr="00731608">
        <w:rPr>
          <w:rFonts w:hint="cs"/>
          <w:sz w:val="19"/>
          <w:szCs w:val="19"/>
          <w:rtl/>
        </w:rPr>
        <w:t>ו</w:t>
      </w:r>
      <w:r w:rsidRPr="00731608">
        <w:rPr>
          <w:sz w:val="19"/>
          <w:szCs w:val="19"/>
          <w:rtl/>
        </w:rPr>
        <w:t>ינו אנשי הקשר עם הגורמים מטעם השלטון המרכזי שיפעלו מולם בעת תהליך הפינוי ו</w:t>
      </w:r>
      <w:r>
        <w:rPr>
          <w:rFonts w:hint="cs"/>
          <w:sz w:val="19"/>
          <w:szCs w:val="19"/>
          <w:rtl/>
        </w:rPr>
        <w:t>ל</w:t>
      </w:r>
      <w:r w:rsidRPr="00731608">
        <w:rPr>
          <w:sz w:val="19"/>
          <w:szCs w:val="19"/>
          <w:rtl/>
        </w:rPr>
        <w:t xml:space="preserve">ליווי המפונים ולשמירת הקשר עימם; עיריית </w:t>
      </w:r>
      <w:r w:rsidRPr="00731608">
        <w:rPr>
          <w:b/>
          <w:bCs/>
          <w:sz w:val="19"/>
          <w:szCs w:val="19"/>
          <w:rtl/>
        </w:rPr>
        <w:t>אופקים</w:t>
      </w:r>
      <w:r w:rsidRPr="00731608">
        <w:rPr>
          <w:sz w:val="19"/>
          <w:szCs w:val="19"/>
          <w:rtl/>
        </w:rPr>
        <w:t xml:space="preserve"> והמועצה האזורית </w:t>
      </w:r>
      <w:r w:rsidRPr="00731608">
        <w:rPr>
          <w:b/>
          <w:bCs/>
          <w:sz w:val="19"/>
          <w:szCs w:val="19"/>
          <w:rtl/>
        </w:rPr>
        <w:t>אשכול</w:t>
      </w:r>
      <w:r w:rsidRPr="00731608">
        <w:rPr>
          <w:sz w:val="19"/>
          <w:szCs w:val="19"/>
          <w:rtl/>
        </w:rPr>
        <w:t xml:space="preserve"> לא קיימו הכשרות לכוח אדם ייעודי לטיפול בהליך הפינוי וליווי המפונים. עם זאת, במועצה האזורית </w:t>
      </w:r>
      <w:r w:rsidRPr="00731608">
        <w:rPr>
          <w:b/>
          <w:bCs/>
          <w:sz w:val="19"/>
          <w:szCs w:val="19"/>
          <w:rtl/>
        </w:rPr>
        <w:t>אשכול</w:t>
      </w:r>
      <w:r w:rsidRPr="00731608">
        <w:rPr>
          <w:sz w:val="19"/>
          <w:szCs w:val="19"/>
          <w:rtl/>
        </w:rPr>
        <w:t xml:space="preserve"> עסק כוח האדם בפינוי בסבבי לחימה קודמים, וכך היה מתורגל מכורח הנסיבות. כוח האדם הייעודי לפינוי במועצה האזורית </w:t>
      </w:r>
      <w:r w:rsidRPr="00731608">
        <w:rPr>
          <w:b/>
          <w:bCs/>
          <w:sz w:val="19"/>
          <w:szCs w:val="19"/>
          <w:rtl/>
        </w:rPr>
        <w:t>חוף אשקלון</w:t>
      </w:r>
      <w:r w:rsidRPr="00731608">
        <w:rPr>
          <w:sz w:val="19"/>
          <w:szCs w:val="19"/>
          <w:rtl/>
        </w:rPr>
        <w:t xml:space="preserve"> כלל בעלי תפקידים מטעמה האחרא</w:t>
      </w:r>
      <w:r>
        <w:rPr>
          <w:rFonts w:hint="cs"/>
          <w:sz w:val="19"/>
          <w:szCs w:val="19"/>
          <w:rtl/>
        </w:rPr>
        <w:t>י</w:t>
      </w:r>
      <w:r w:rsidRPr="00731608">
        <w:rPr>
          <w:sz w:val="19"/>
          <w:szCs w:val="19"/>
          <w:rtl/>
        </w:rPr>
        <w:t>ם לפינוי</w:t>
      </w:r>
      <w:r>
        <w:rPr>
          <w:rFonts w:hint="cs"/>
          <w:sz w:val="19"/>
          <w:szCs w:val="19"/>
          <w:rtl/>
        </w:rPr>
        <w:t>,</w:t>
      </w:r>
      <w:r w:rsidRPr="00731608">
        <w:rPr>
          <w:sz w:val="19"/>
          <w:szCs w:val="19"/>
          <w:rtl/>
        </w:rPr>
        <w:t xml:space="preserve"> תוך הסתייעות רבה ב</w:t>
      </w:r>
      <w:r w:rsidRPr="00A0432E">
        <w:rPr>
          <w:sz w:val="19"/>
          <w:szCs w:val="19"/>
          <w:rtl/>
        </w:rPr>
        <w:t xml:space="preserve">צוותי חירום וחוסן יישוביים </w:t>
      </w:r>
      <w:r>
        <w:rPr>
          <w:rFonts w:hint="cs"/>
          <w:sz w:val="19"/>
          <w:szCs w:val="19"/>
          <w:rtl/>
        </w:rPr>
        <w:t>(</w:t>
      </w:r>
      <w:r w:rsidRPr="00731608">
        <w:rPr>
          <w:sz w:val="19"/>
          <w:szCs w:val="19"/>
          <w:rtl/>
        </w:rPr>
        <w:t>צח"י</w:t>
      </w:r>
      <w:r>
        <w:rPr>
          <w:rFonts w:hint="cs"/>
          <w:sz w:val="19"/>
          <w:szCs w:val="19"/>
          <w:rtl/>
        </w:rPr>
        <w:t>)</w:t>
      </w:r>
      <w:r w:rsidRPr="009315E8">
        <w:rPr>
          <w:rStyle w:val="af1"/>
          <w:sz w:val="19"/>
          <w:szCs w:val="19"/>
          <w:rtl/>
        </w:rPr>
        <w:footnoteReference w:id="8"/>
      </w:r>
      <w:r w:rsidRPr="00731608">
        <w:rPr>
          <w:rFonts w:hint="cs"/>
          <w:sz w:val="19"/>
          <w:szCs w:val="19"/>
          <w:rtl/>
        </w:rPr>
        <w:t>.</w:t>
      </w:r>
    </w:p>
    <w:p w14:paraId="0A74196D" w14:textId="77777777" w:rsidR="0004088F" w:rsidRPr="009315E8" w:rsidRDefault="0004088F" w:rsidP="00425665">
      <w:pPr>
        <w:pStyle w:val="73"/>
        <w:numPr>
          <w:ilvl w:val="0"/>
          <w:numId w:val="25"/>
        </w:numPr>
        <w:rPr>
          <w:sz w:val="19"/>
          <w:szCs w:val="19"/>
        </w:rPr>
      </w:pPr>
      <w:r w:rsidRPr="009315E8">
        <w:rPr>
          <w:b/>
          <w:bCs/>
          <w:sz w:val="19"/>
          <w:szCs w:val="19"/>
          <w:rtl/>
        </w:rPr>
        <w:t>מאגרי מידע ברשות המקומית לשעת חירום</w:t>
      </w:r>
      <w:r w:rsidRPr="009315E8">
        <w:rPr>
          <w:rFonts w:hint="cs"/>
          <w:sz w:val="19"/>
          <w:szCs w:val="19"/>
          <w:rtl/>
        </w:rPr>
        <w:t xml:space="preserve"> - </w:t>
      </w:r>
      <w:r w:rsidRPr="009315E8">
        <w:rPr>
          <w:sz w:val="19"/>
          <w:szCs w:val="19"/>
          <w:rtl/>
        </w:rPr>
        <w:t>בתיק האב נקבע כי אחד מתפקידי הרשות המקומית בהיערכות לשעת חירום הוא להכין בעת שגרה מאגרי מידע הדרושים למצבי חירום ולעדכנם באופן שוטף</w:t>
      </w:r>
      <w:r w:rsidR="00057BE0">
        <w:rPr>
          <w:rFonts w:hint="cs"/>
          <w:sz w:val="19"/>
          <w:szCs w:val="19"/>
          <w:rtl/>
        </w:rPr>
        <w:t>,</w:t>
      </w:r>
      <w:r w:rsidRPr="009315E8">
        <w:rPr>
          <w:sz w:val="19"/>
          <w:szCs w:val="19"/>
          <w:rtl/>
        </w:rPr>
        <w:t xml:space="preserve"> </w:t>
      </w:r>
      <w:r>
        <w:rPr>
          <w:rFonts w:hint="cs"/>
          <w:sz w:val="19"/>
          <w:szCs w:val="19"/>
          <w:rtl/>
        </w:rPr>
        <w:t>ו</w:t>
      </w:r>
      <w:r w:rsidR="00057BE0">
        <w:rPr>
          <w:rFonts w:hint="cs"/>
          <w:sz w:val="19"/>
          <w:szCs w:val="19"/>
          <w:rtl/>
        </w:rPr>
        <w:t xml:space="preserve">כי </w:t>
      </w:r>
      <w:r w:rsidRPr="009315E8">
        <w:rPr>
          <w:rFonts w:hint="cs"/>
          <w:sz w:val="19"/>
          <w:szCs w:val="19"/>
          <w:rtl/>
        </w:rPr>
        <w:t>על</w:t>
      </w:r>
      <w:r>
        <w:rPr>
          <w:rFonts w:hint="cs"/>
          <w:sz w:val="19"/>
          <w:szCs w:val="19"/>
          <w:rtl/>
        </w:rPr>
        <w:t>יהם</w:t>
      </w:r>
      <w:r w:rsidRPr="009315E8">
        <w:rPr>
          <w:rFonts w:hint="cs"/>
          <w:sz w:val="19"/>
          <w:szCs w:val="19"/>
          <w:rtl/>
        </w:rPr>
        <w:t xml:space="preserve"> לכלול</w:t>
      </w:r>
      <w:r w:rsidRPr="009315E8">
        <w:rPr>
          <w:sz w:val="19"/>
          <w:szCs w:val="19"/>
          <w:rtl/>
        </w:rPr>
        <w:t xml:space="preserve"> את כלל הנתונים המסייעים לרשות לתפקד באופן תקין ב</w:t>
      </w:r>
      <w:r>
        <w:rPr>
          <w:rFonts w:hint="cs"/>
          <w:sz w:val="19"/>
          <w:szCs w:val="19"/>
          <w:rtl/>
        </w:rPr>
        <w:t>שעת</w:t>
      </w:r>
      <w:r w:rsidRPr="009315E8">
        <w:rPr>
          <w:rFonts w:hint="cs"/>
          <w:sz w:val="19"/>
          <w:szCs w:val="19"/>
          <w:rtl/>
        </w:rPr>
        <w:t xml:space="preserve"> </w:t>
      </w:r>
      <w:r w:rsidRPr="009315E8">
        <w:rPr>
          <w:sz w:val="19"/>
          <w:szCs w:val="19"/>
          <w:rtl/>
        </w:rPr>
        <w:t>חירום</w:t>
      </w:r>
      <w:r w:rsidRPr="009315E8">
        <w:rPr>
          <w:rFonts w:hint="cs"/>
          <w:sz w:val="19"/>
          <w:szCs w:val="19"/>
          <w:rtl/>
        </w:rPr>
        <w:t xml:space="preserve">. </w:t>
      </w:r>
      <w:r w:rsidRPr="009315E8">
        <w:rPr>
          <w:sz w:val="19"/>
          <w:szCs w:val="19"/>
          <w:rtl/>
        </w:rPr>
        <w:t>הכנת תיק נתונים וניהול מאגר מידע ייעודי לשעת חירום, שכולל מידע אישי רלוונטי</w:t>
      </w:r>
      <w:r w:rsidRPr="009315E8">
        <w:rPr>
          <w:rFonts w:hint="cs"/>
          <w:sz w:val="19"/>
          <w:szCs w:val="19"/>
          <w:rtl/>
        </w:rPr>
        <w:t>,</w:t>
      </w:r>
      <w:r w:rsidRPr="009315E8">
        <w:rPr>
          <w:sz w:val="19"/>
          <w:szCs w:val="19"/>
          <w:rtl/>
        </w:rPr>
        <w:t xml:space="preserve"> תוך מיפוי הנתונים לפי צרכים שונים, חיוניים כדי לאפשר לרשות המקומית ב</w:t>
      </w:r>
      <w:r w:rsidRPr="009315E8">
        <w:rPr>
          <w:rFonts w:hint="cs"/>
          <w:sz w:val="19"/>
          <w:szCs w:val="19"/>
          <w:rtl/>
        </w:rPr>
        <w:t>ש</w:t>
      </w:r>
      <w:r w:rsidRPr="009315E8">
        <w:rPr>
          <w:sz w:val="19"/>
          <w:szCs w:val="19"/>
          <w:rtl/>
        </w:rPr>
        <w:t>עת חירום להבטיח מענה הולם גם למי מתושביה שיזדקק לסיוע מיוחד בעת ביצוע הפינוי</w:t>
      </w:r>
      <w:r>
        <w:rPr>
          <w:rFonts w:hint="cs"/>
          <w:sz w:val="19"/>
          <w:szCs w:val="19"/>
          <w:rtl/>
        </w:rPr>
        <w:t xml:space="preserve"> </w:t>
      </w:r>
      <w:r w:rsidRPr="009315E8">
        <w:rPr>
          <w:sz w:val="19"/>
          <w:szCs w:val="19"/>
          <w:rtl/>
        </w:rPr>
        <w:t>וכן מאפשרים ל</w:t>
      </w:r>
      <w:r>
        <w:rPr>
          <w:rFonts w:hint="cs"/>
          <w:sz w:val="19"/>
          <w:szCs w:val="19"/>
          <w:rtl/>
        </w:rPr>
        <w:t>ה</w:t>
      </w:r>
      <w:r w:rsidRPr="009315E8">
        <w:rPr>
          <w:sz w:val="19"/>
          <w:szCs w:val="19"/>
          <w:rtl/>
        </w:rPr>
        <w:t xml:space="preserve"> לשמור על קשר עם תושביה</w:t>
      </w:r>
      <w:r w:rsidRPr="009315E8">
        <w:rPr>
          <w:rFonts w:hint="cs"/>
          <w:sz w:val="19"/>
          <w:szCs w:val="19"/>
          <w:rtl/>
        </w:rPr>
        <w:t>.</w:t>
      </w:r>
      <w:r w:rsidRPr="009315E8">
        <w:rPr>
          <w:rtl/>
        </w:rPr>
        <w:t xml:space="preserve"> </w:t>
      </w:r>
      <w:r w:rsidRPr="00263167">
        <w:rPr>
          <w:sz w:val="19"/>
          <w:szCs w:val="19"/>
          <w:rtl/>
        </w:rPr>
        <w:t>אי-הימצאות מאגרי מידע כוללים ועדכניים בידי רשויות מקומיות עלולה לפגוע בתפקוד המתחייב במצבי חירום</w:t>
      </w:r>
      <w:r w:rsidRPr="00263167">
        <w:rPr>
          <w:rFonts w:hint="cs"/>
          <w:sz w:val="19"/>
          <w:szCs w:val="19"/>
          <w:rtl/>
        </w:rPr>
        <w:t>,</w:t>
      </w:r>
      <w:r w:rsidRPr="00263167">
        <w:rPr>
          <w:sz w:val="19"/>
          <w:szCs w:val="19"/>
          <w:rtl/>
        </w:rPr>
        <w:t xml:space="preserve"> ובפרט בפינוי תושבים ובתיעדו</w:t>
      </w:r>
      <w:r w:rsidR="00057BE0">
        <w:rPr>
          <w:rFonts w:hint="cs"/>
          <w:sz w:val="19"/>
          <w:szCs w:val="19"/>
          <w:rtl/>
        </w:rPr>
        <w:t>ף</w:t>
      </w:r>
      <w:r w:rsidRPr="00263167">
        <w:rPr>
          <w:sz w:val="19"/>
          <w:szCs w:val="19"/>
          <w:rtl/>
        </w:rPr>
        <w:t xml:space="preserve"> פינוי</w:t>
      </w:r>
      <w:r w:rsidR="00057BE0">
        <w:rPr>
          <w:rFonts w:hint="cs"/>
          <w:sz w:val="19"/>
          <w:szCs w:val="19"/>
          <w:rtl/>
        </w:rPr>
        <w:t>ם</w:t>
      </w:r>
      <w:r w:rsidRPr="00263167">
        <w:rPr>
          <w:sz w:val="19"/>
          <w:szCs w:val="19"/>
          <w:rtl/>
        </w:rPr>
        <w:t>.</w:t>
      </w:r>
      <w:r w:rsidRPr="009315E8">
        <w:rPr>
          <w:sz w:val="19"/>
          <w:szCs w:val="19"/>
          <w:rtl/>
        </w:rPr>
        <w:t xml:space="preserve"> העיריות </w:t>
      </w:r>
      <w:r w:rsidRPr="009315E8">
        <w:rPr>
          <w:b/>
          <w:bCs/>
          <w:sz w:val="19"/>
          <w:szCs w:val="19"/>
          <w:rtl/>
        </w:rPr>
        <w:t>אופקים</w:t>
      </w:r>
      <w:r w:rsidRPr="009315E8">
        <w:rPr>
          <w:sz w:val="19"/>
          <w:szCs w:val="19"/>
          <w:rtl/>
        </w:rPr>
        <w:t xml:space="preserve">, </w:t>
      </w:r>
      <w:r w:rsidRPr="009315E8">
        <w:rPr>
          <w:b/>
          <w:bCs/>
          <w:sz w:val="19"/>
          <w:szCs w:val="19"/>
          <w:rtl/>
        </w:rPr>
        <w:t>אשקלון</w:t>
      </w:r>
      <w:r w:rsidRPr="009315E8">
        <w:rPr>
          <w:sz w:val="19"/>
          <w:szCs w:val="19"/>
          <w:rtl/>
        </w:rPr>
        <w:t xml:space="preserve"> ו</w:t>
      </w:r>
      <w:r w:rsidRPr="009315E8">
        <w:rPr>
          <w:b/>
          <w:bCs/>
          <w:sz w:val="19"/>
          <w:szCs w:val="19"/>
          <w:rtl/>
        </w:rPr>
        <w:t>שדרות</w:t>
      </w:r>
      <w:r w:rsidRPr="009315E8">
        <w:rPr>
          <w:sz w:val="19"/>
          <w:szCs w:val="19"/>
          <w:rtl/>
        </w:rPr>
        <w:t xml:space="preserve"> והמועצה האזורית </w:t>
      </w:r>
      <w:r w:rsidRPr="009315E8">
        <w:rPr>
          <w:b/>
          <w:bCs/>
          <w:sz w:val="19"/>
          <w:szCs w:val="19"/>
          <w:rtl/>
        </w:rPr>
        <w:t>חוף אשקלון</w:t>
      </w:r>
      <w:r w:rsidRPr="009315E8">
        <w:rPr>
          <w:sz w:val="19"/>
          <w:szCs w:val="19"/>
          <w:rtl/>
        </w:rPr>
        <w:t xml:space="preserve"> החזיקו קודם לשבעה באוקטובר מאגרי נתונים חלקיים לשעת חירום, המבוססים בעיקר על אוכלוסיות נזקקות המקבלות שירותי רווחה. למועצה האזורית </w:t>
      </w:r>
      <w:r w:rsidRPr="009315E8">
        <w:rPr>
          <w:b/>
          <w:bCs/>
          <w:sz w:val="19"/>
          <w:szCs w:val="19"/>
          <w:rtl/>
        </w:rPr>
        <w:t>אשכול</w:t>
      </w:r>
      <w:r w:rsidRPr="009315E8">
        <w:rPr>
          <w:sz w:val="19"/>
          <w:szCs w:val="19"/>
          <w:rtl/>
        </w:rPr>
        <w:t xml:space="preserve"> </w:t>
      </w:r>
      <w:r w:rsidRPr="00263167">
        <w:rPr>
          <w:sz w:val="19"/>
          <w:szCs w:val="19"/>
          <w:rtl/>
        </w:rPr>
        <w:t xml:space="preserve">היה מאגר מידע ששימש להיערכות לשעת חירום, ואולם זאת רק ב-11 היישובים סמוכי הגדר שהיו מיועדים לפינוי; המועצה האזורית </w:t>
      </w:r>
      <w:r w:rsidRPr="00263167">
        <w:rPr>
          <w:b/>
          <w:bCs/>
          <w:sz w:val="19"/>
          <w:szCs w:val="19"/>
          <w:rtl/>
        </w:rPr>
        <w:t>חוף אשקלון</w:t>
      </w:r>
      <w:r w:rsidRPr="00263167">
        <w:rPr>
          <w:sz w:val="19"/>
          <w:szCs w:val="19"/>
          <w:rtl/>
        </w:rPr>
        <w:t xml:space="preserve"> הסתמכה על נתונים שנוהלו על ידי </w:t>
      </w:r>
      <w:r w:rsidRPr="00605A9A">
        <w:rPr>
          <w:sz w:val="19"/>
          <w:szCs w:val="19"/>
          <w:rtl/>
        </w:rPr>
        <w:t>צח"י</w:t>
      </w:r>
      <w:r w:rsidRPr="009315E8">
        <w:rPr>
          <w:sz w:val="19"/>
          <w:szCs w:val="19"/>
          <w:rtl/>
        </w:rPr>
        <w:t>, אך לא קיימה בקרה עליה</w:t>
      </w:r>
      <w:r>
        <w:rPr>
          <w:rFonts w:hint="cs"/>
          <w:sz w:val="19"/>
          <w:szCs w:val="19"/>
          <w:rtl/>
        </w:rPr>
        <w:t>ם</w:t>
      </w:r>
      <w:r w:rsidRPr="009315E8">
        <w:rPr>
          <w:sz w:val="19"/>
          <w:szCs w:val="19"/>
          <w:rtl/>
        </w:rPr>
        <w:t xml:space="preserve"> ולא החזיקה </w:t>
      </w:r>
      <w:r w:rsidRPr="009315E8">
        <w:rPr>
          <w:rFonts w:hint="cs"/>
          <w:sz w:val="19"/>
          <w:szCs w:val="19"/>
          <w:rtl/>
        </w:rPr>
        <w:t xml:space="preserve">ברשותה </w:t>
      </w:r>
      <w:r w:rsidRPr="009315E8">
        <w:rPr>
          <w:sz w:val="19"/>
          <w:szCs w:val="19"/>
          <w:rtl/>
        </w:rPr>
        <w:t xml:space="preserve">העתק </w:t>
      </w:r>
      <w:r w:rsidRPr="009315E8">
        <w:rPr>
          <w:rFonts w:hint="cs"/>
          <w:sz w:val="19"/>
          <w:szCs w:val="19"/>
          <w:rtl/>
        </w:rPr>
        <w:t>שלה</w:t>
      </w:r>
      <w:r>
        <w:rPr>
          <w:rFonts w:hint="cs"/>
          <w:sz w:val="19"/>
          <w:szCs w:val="19"/>
          <w:rtl/>
        </w:rPr>
        <w:t>ם</w:t>
      </w:r>
      <w:r w:rsidRPr="009315E8">
        <w:rPr>
          <w:sz w:val="19"/>
          <w:szCs w:val="19"/>
          <w:rtl/>
        </w:rPr>
        <w:t>.</w:t>
      </w:r>
      <w:r w:rsidRPr="009315E8">
        <w:rPr>
          <w:rFonts w:hint="cs"/>
          <w:sz w:val="19"/>
          <w:szCs w:val="19"/>
          <w:rtl/>
        </w:rPr>
        <w:t xml:space="preserve"> </w:t>
      </w:r>
      <w:r w:rsidRPr="009315E8">
        <w:rPr>
          <w:rFonts w:hint="eastAsia"/>
          <w:sz w:val="19"/>
          <w:szCs w:val="19"/>
          <w:rtl/>
        </w:rPr>
        <w:t>בביקורת</w:t>
      </w:r>
      <w:r w:rsidRPr="009315E8">
        <w:rPr>
          <w:sz w:val="19"/>
          <w:szCs w:val="19"/>
          <w:rtl/>
        </w:rPr>
        <w:t xml:space="preserve"> עלה כי </w:t>
      </w:r>
      <w:r w:rsidRPr="00605A9A">
        <w:rPr>
          <w:sz w:val="19"/>
          <w:szCs w:val="19"/>
          <w:rtl/>
        </w:rPr>
        <w:t xml:space="preserve">במהלך מלחמת חרבות ברזל </w:t>
      </w:r>
      <w:r w:rsidRPr="00263167">
        <w:rPr>
          <w:sz w:val="19"/>
          <w:szCs w:val="19"/>
          <w:rtl/>
        </w:rPr>
        <w:t>לא הייתה מערכת אחודה לניהול נתוני המפונים</w:t>
      </w:r>
      <w:r w:rsidRPr="00605A9A">
        <w:rPr>
          <w:rFonts w:hint="cs"/>
          <w:sz w:val="19"/>
          <w:szCs w:val="19"/>
          <w:rtl/>
        </w:rPr>
        <w:t>,</w:t>
      </w:r>
      <w:r w:rsidRPr="00605A9A">
        <w:rPr>
          <w:sz w:val="19"/>
          <w:szCs w:val="19"/>
          <w:rtl/>
        </w:rPr>
        <w:t xml:space="preserve"> כגון </w:t>
      </w:r>
      <w:r w:rsidRPr="00605A9A">
        <w:rPr>
          <w:sz w:val="19"/>
          <w:szCs w:val="19"/>
          <w:rtl/>
        </w:rPr>
        <w:lastRenderedPageBreak/>
        <w:t xml:space="preserve">מקום שהייתם </w:t>
      </w:r>
      <w:r w:rsidRPr="002D74CF">
        <w:rPr>
          <w:rFonts w:hint="eastAsia"/>
          <w:sz w:val="19"/>
          <w:szCs w:val="19"/>
          <w:rtl/>
        </w:rPr>
        <w:t>ומצבם</w:t>
      </w:r>
      <w:r w:rsidRPr="002D74CF">
        <w:rPr>
          <w:rFonts w:hint="cs"/>
          <w:sz w:val="19"/>
          <w:szCs w:val="19"/>
          <w:rtl/>
        </w:rPr>
        <w:t>,</w:t>
      </w:r>
      <w:r w:rsidRPr="002D74CF">
        <w:rPr>
          <w:sz w:val="19"/>
          <w:szCs w:val="19"/>
          <w:rtl/>
        </w:rPr>
        <w:t xml:space="preserve"> דבר </w:t>
      </w:r>
      <w:r w:rsidRPr="002D74CF">
        <w:rPr>
          <w:rFonts w:hint="eastAsia"/>
          <w:sz w:val="19"/>
          <w:szCs w:val="19"/>
          <w:rtl/>
        </w:rPr>
        <w:t>הנדרש</w:t>
      </w:r>
      <w:r w:rsidRPr="002D74CF">
        <w:rPr>
          <w:sz w:val="19"/>
          <w:szCs w:val="19"/>
          <w:rtl/>
        </w:rPr>
        <w:t xml:space="preserve"> </w:t>
      </w:r>
      <w:r w:rsidRPr="002D74CF">
        <w:rPr>
          <w:rFonts w:hint="cs"/>
          <w:sz w:val="19"/>
          <w:szCs w:val="19"/>
          <w:rtl/>
        </w:rPr>
        <w:t>כדי</w:t>
      </w:r>
      <w:r w:rsidRPr="002D74CF">
        <w:rPr>
          <w:sz w:val="19"/>
          <w:szCs w:val="19"/>
          <w:rtl/>
        </w:rPr>
        <w:t xml:space="preserve"> </w:t>
      </w:r>
      <w:r w:rsidRPr="009315E8">
        <w:rPr>
          <w:rFonts w:hint="eastAsia"/>
          <w:sz w:val="19"/>
          <w:szCs w:val="19"/>
          <w:rtl/>
        </w:rPr>
        <w:t>שיעלה</w:t>
      </w:r>
      <w:r w:rsidRPr="009315E8">
        <w:rPr>
          <w:sz w:val="19"/>
          <w:szCs w:val="19"/>
          <w:rtl/>
        </w:rPr>
        <w:t xml:space="preserve"> בידי הרשות לנהל קשר </w:t>
      </w:r>
      <w:r w:rsidRPr="009315E8">
        <w:rPr>
          <w:rFonts w:hint="eastAsia"/>
          <w:sz w:val="19"/>
          <w:szCs w:val="19"/>
          <w:rtl/>
        </w:rPr>
        <w:t>מסודר</w:t>
      </w:r>
      <w:r w:rsidRPr="009315E8">
        <w:rPr>
          <w:sz w:val="19"/>
          <w:szCs w:val="19"/>
          <w:rtl/>
        </w:rPr>
        <w:t xml:space="preserve"> </w:t>
      </w:r>
      <w:r w:rsidRPr="009315E8">
        <w:rPr>
          <w:rFonts w:hint="eastAsia"/>
          <w:sz w:val="19"/>
          <w:szCs w:val="19"/>
          <w:rtl/>
        </w:rPr>
        <w:t>ו</w:t>
      </w:r>
      <w:r w:rsidRPr="009315E8">
        <w:rPr>
          <w:sz w:val="19"/>
          <w:szCs w:val="19"/>
          <w:rtl/>
        </w:rPr>
        <w:t xml:space="preserve">רציף עם תושביה </w:t>
      </w:r>
      <w:r w:rsidRPr="009315E8">
        <w:rPr>
          <w:rFonts w:hint="eastAsia"/>
          <w:sz w:val="19"/>
          <w:szCs w:val="19"/>
          <w:rtl/>
        </w:rPr>
        <w:t>וכדי</w:t>
      </w:r>
      <w:r w:rsidRPr="009315E8">
        <w:rPr>
          <w:sz w:val="19"/>
          <w:szCs w:val="19"/>
          <w:rtl/>
        </w:rPr>
        <w:t xml:space="preserve"> </w:t>
      </w:r>
      <w:r w:rsidRPr="009315E8">
        <w:rPr>
          <w:rFonts w:hint="eastAsia"/>
          <w:sz w:val="19"/>
          <w:szCs w:val="19"/>
          <w:rtl/>
        </w:rPr>
        <w:t>לאפשר</w:t>
      </w:r>
      <w:r w:rsidRPr="009315E8">
        <w:rPr>
          <w:sz w:val="19"/>
          <w:szCs w:val="19"/>
          <w:rtl/>
        </w:rPr>
        <w:t xml:space="preserve"> </w:t>
      </w:r>
      <w:r w:rsidRPr="009315E8">
        <w:rPr>
          <w:rFonts w:hint="eastAsia"/>
          <w:sz w:val="19"/>
          <w:szCs w:val="19"/>
          <w:rtl/>
        </w:rPr>
        <w:t>ל</w:t>
      </w:r>
      <w:r w:rsidRPr="009315E8">
        <w:rPr>
          <w:sz w:val="19"/>
          <w:szCs w:val="19"/>
          <w:rtl/>
        </w:rPr>
        <w:t>תושבים לקבל את השירותים הנדרשים להם.</w:t>
      </w:r>
    </w:p>
    <w:p w14:paraId="23002EDC" w14:textId="77777777" w:rsidR="0004088F" w:rsidRPr="00731608" w:rsidRDefault="0004088F" w:rsidP="00425665">
      <w:pPr>
        <w:pStyle w:val="73"/>
        <w:numPr>
          <w:ilvl w:val="0"/>
          <w:numId w:val="25"/>
        </w:numPr>
        <w:rPr>
          <w:sz w:val="19"/>
          <w:szCs w:val="19"/>
        </w:rPr>
      </w:pPr>
      <w:r w:rsidRPr="00731608">
        <w:rPr>
          <w:b/>
          <w:bCs/>
          <w:sz w:val="19"/>
          <w:szCs w:val="19"/>
          <w:rtl/>
        </w:rPr>
        <w:t>היערכות ותרגול מוקדמים</w:t>
      </w:r>
      <w:r w:rsidRPr="00731608">
        <w:rPr>
          <w:rFonts w:hint="cs"/>
          <w:sz w:val="19"/>
          <w:szCs w:val="19"/>
          <w:rtl/>
        </w:rPr>
        <w:t xml:space="preserve"> - </w:t>
      </w:r>
      <w:r w:rsidRPr="00731608">
        <w:rPr>
          <w:sz w:val="19"/>
          <w:szCs w:val="19"/>
          <w:rtl/>
        </w:rPr>
        <w:t xml:space="preserve">במסגרת ההיערכות לשעת חירום על הרשות המקומית לקיים תרגילים, השתלמויות וקורסים בנושאי חירום </w:t>
      </w:r>
      <w:r>
        <w:rPr>
          <w:rFonts w:hint="cs"/>
          <w:sz w:val="19"/>
          <w:szCs w:val="19"/>
          <w:rtl/>
        </w:rPr>
        <w:t>ו</w:t>
      </w:r>
      <w:r w:rsidRPr="00731608">
        <w:rPr>
          <w:sz w:val="19"/>
          <w:szCs w:val="19"/>
          <w:rtl/>
        </w:rPr>
        <w:t>לאמן את עובדיה לתפקיד</w:t>
      </w:r>
      <w:r>
        <w:rPr>
          <w:rFonts w:hint="cs"/>
          <w:sz w:val="19"/>
          <w:szCs w:val="19"/>
          <w:rtl/>
        </w:rPr>
        <w:t>יה</w:t>
      </w:r>
      <w:r w:rsidRPr="00731608">
        <w:rPr>
          <w:sz w:val="19"/>
          <w:szCs w:val="19"/>
          <w:rtl/>
        </w:rPr>
        <w:t>ם במצבי חירום</w:t>
      </w:r>
      <w:r w:rsidRPr="00731608">
        <w:rPr>
          <w:rFonts w:hint="cs"/>
          <w:sz w:val="19"/>
          <w:szCs w:val="19"/>
          <w:rtl/>
        </w:rPr>
        <w:t xml:space="preserve">. </w:t>
      </w:r>
      <w:r w:rsidRPr="00731608">
        <w:rPr>
          <w:sz w:val="19"/>
          <w:szCs w:val="19"/>
          <w:rtl/>
        </w:rPr>
        <w:t>ההיערכות בעת שגרה לקראת מצבי חירום היא תנאי הכרחי לתפקוד טוב ויעיל של הרשות המקומית במצבי</w:t>
      </w:r>
      <w:r>
        <w:rPr>
          <w:rFonts w:hint="cs"/>
          <w:sz w:val="19"/>
          <w:szCs w:val="19"/>
          <w:rtl/>
        </w:rPr>
        <w:t>ם</w:t>
      </w:r>
      <w:r w:rsidRPr="00731608">
        <w:rPr>
          <w:sz w:val="19"/>
          <w:szCs w:val="19"/>
          <w:rtl/>
        </w:rPr>
        <w:t xml:space="preserve"> </w:t>
      </w:r>
      <w:r>
        <w:rPr>
          <w:rFonts w:hint="cs"/>
          <w:sz w:val="19"/>
          <w:szCs w:val="19"/>
          <w:rtl/>
        </w:rPr>
        <w:t>אלו</w:t>
      </w:r>
      <w:r w:rsidRPr="00731608">
        <w:rPr>
          <w:rFonts w:hint="cs"/>
          <w:sz w:val="19"/>
          <w:szCs w:val="19"/>
          <w:rtl/>
        </w:rPr>
        <w:t xml:space="preserve">. </w:t>
      </w:r>
      <w:r w:rsidRPr="002D74CF">
        <w:rPr>
          <w:sz w:val="19"/>
          <w:szCs w:val="19"/>
          <w:rtl/>
        </w:rPr>
        <w:t xml:space="preserve">תרגול לצורך התמודדות יעילה במצבי חירום הוא אחד ההיבטים החשובים להבטחתה של מוכנות והיערכות נאותות. </w:t>
      </w:r>
      <w:r w:rsidRPr="00731608">
        <w:rPr>
          <w:sz w:val="19"/>
          <w:szCs w:val="19"/>
          <w:rtl/>
        </w:rPr>
        <w:t xml:space="preserve">עיריות </w:t>
      </w:r>
      <w:r w:rsidRPr="00731608">
        <w:rPr>
          <w:b/>
          <w:bCs/>
          <w:sz w:val="19"/>
          <w:szCs w:val="19"/>
          <w:rtl/>
        </w:rPr>
        <w:t>אופקים</w:t>
      </w:r>
      <w:r w:rsidRPr="002C425F">
        <w:rPr>
          <w:sz w:val="19"/>
          <w:szCs w:val="19"/>
          <w:rtl/>
        </w:rPr>
        <w:t>,</w:t>
      </w:r>
      <w:r w:rsidRPr="00731608">
        <w:rPr>
          <w:sz w:val="19"/>
          <w:szCs w:val="19"/>
          <w:rtl/>
        </w:rPr>
        <w:t xml:space="preserve"> </w:t>
      </w:r>
      <w:r w:rsidRPr="00731608">
        <w:rPr>
          <w:b/>
          <w:bCs/>
          <w:sz w:val="19"/>
          <w:szCs w:val="19"/>
          <w:rtl/>
        </w:rPr>
        <w:t>אשקלון</w:t>
      </w:r>
      <w:r w:rsidRPr="00731608">
        <w:rPr>
          <w:sz w:val="19"/>
          <w:szCs w:val="19"/>
          <w:rtl/>
        </w:rPr>
        <w:t xml:space="preserve"> ו</w:t>
      </w:r>
      <w:r w:rsidRPr="00731608">
        <w:rPr>
          <w:b/>
          <w:bCs/>
          <w:sz w:val="19"/>
          <w:szCs w:val="19"/>
          <w:rtl/>
        </w:rPr>
        <w:t>שדרות</w:t>
      </w:r>
      <w:r w:rsidRPr="00731608">
        <w:rPr>
          <w:sz w:val="19"/>
          <w:szCs w:val="19"/>
          <w:rtl/>
        </w:rPr>
        <w:t xml:space="preserve"> והמועצה האזורית </w:t>
      </w:r>
      <w:r w:rsidRPr="00731608">
        <w:rPr>
          <w:b/>
          <w:bCs/>
          <w:sz w:val="19"/>
          <w:szCs w:val="19"/>
          <w:rtl/>
        </w:rPr>
        <w:t>חוף אשקלון</w:t>
      </w:r>
      <w:r w:rsidRPr="00731608">
        <w:rPr>
          <w:sz w:val="19"/>
          <w:szCs w:val="19"/>
          <w:rtl/>
        </w:rPr>
        <w:t xml:space="preserve"> לא תרגלו פינוי תושבים אל מחוץ לתחומי הרשות המקומית, וגם התרגול של פינוי בתחומי הרשות היה חלקי; המועצה האזורית </w:t>
      </w:r>
      <w:r w:rsidRPr="00731608">
        <w:rPr>
          <w:b/>
          <w:bCs/>
          <w:sz w:val="19"/>
          <w:szCs w:val="19"/>
          <w:rtl/>
        </w:rPr>
        <w:t>אשכול</w:t>
      </w:r>
      <w:r w:rsidRPr="00731608">
        <w:rPr>
          <w:sz w:val="19"/>
          <w:szCs w:val="19"/>
          <w:rtl/>
        </w:rPr>
        <w:t xml:space="preserve"> תרגלה פינוי תושבים</w:t>
      </w:r>
      <w:r w:rsidRPr="002D74CF">
        <w:rPr>
          <w:rtl/>
        </w:rPr>
        <w:t xml:space="preserve"> </w:t>
      </w:r>
      <w:r w:rsidRPr="002D74CF">
        <w:rPr>
          <w:sz w:val="19"/>
          <w:szCs w:val="19"/>
          <w:rtl/>
        </w:rPr>
        <w:t xml:space="preserve">אל מחוץ לתחומי המועצה ל-11 היישובים סמוכי הגדר שהיו כלולים בתוכנית </w:t>
      </w:r>
      <w:r>
        <w:rPr>
          <w:rFonts w:hint="cs"/>
          <w:sz w:val="19"/>
          <w:szCs w:val="19"/>
          <w:rtl/>
        </w:rPr>
        <w:t>"מרחק בטוח"</w:t>
      </w:r>
      <w:r w:rsidRPr="00731608">
        <w:rPr>
          <w:sz w:val="19"/>
          <w:szCs w:val="19"/>
          <w:rtl/>
        </w:rPr>
        <w:t>.</w:t>
      </w:r>
      <w:r w:rsidRPr="00731608">
        <w:rPr>
          <w:rFonts w:hint="cs"/>
          <w:sz w:val="19"/>
          <w:szCs w:val="19"/>
          <w:rtl/>
        </w:rPr>
        <w:t xml:space="preserve"> </w:t>
      </w:r>
      <w:r w:rsidRPr="00731608">
        <w:rPr>
          <w:rFonts w:hint="eastAsia"/>
          <w:sz w:val="19"/>
          <w:szCs w:val="19"/>
          <w:rtl/>
        </w:rPr>
        <w:t>יוצא</w:t>
      </w:r>
      <w:r w:rsidRPr="00731608">
        <w:rPr>
          <w:sz w:val="19"/>
          <w:szCs w:val="19"/>
          <w:rtl/>
        </w:rPr>
        <w:t xml:space="preserve"> </w:t>
      </w:r>
      <w:r w:rsidRPr="00731608">
        <w:rPr>
          <w:rFonts w:hint="eastAsia"/>
          <w:sz w:val="19"/>
          <w:szCs w:val="19"/>
          <w:rtl/>
        </w:rPr>
        <w:t>אפוא</w:t>
      </w:r>
      <w:r w:rsidRPr="00731608">
        <w:rPr>
          <w:sz w:val="19"/>
          <w:szCs w:val="19"/>
          <w:rtl/>
        </w:rPr>
        <w:t xml:space="preserve"> </w:t>
      </w:r>
      <w:r w:rsidRPr="00731608">
        <w:rPr>
          <w:rFonts w:hint="eastAsia"/>
          <w:sz w:val="19"/>
          <w:szCs w:val="19"/>
          <w:rtl/>
        </w:rPr>
        <w:t>שהתרגול</w:t>
      </w:r>
      <w:r w:rsidRPr="00731608">
        <w:rPr>
          <w:sz w:val="19"/>
          <w:szCs w:val="19"/>
          <w:rtl/>
        </w:rPr>
        <w:t xml:space="preserve"> </w:t>
      </w:r>
      <w:r>
        <w:rPr>
          <w:rFonts w:hint="cs"/>
          <w:sz w:val="19"/>
          <w:szCs w:val="19"/>
          <w:rtl/>
        </w:rPr>
        <w:t>של</w:t>
      </w:r>
      <w:r w:rsidRPr="00731608">
        <w:rPr>
          <w:sz w:val="19"/>
          <w:szCs w:val="19"/>
          <w:rtl/>
        </w:rPr>
        <w:t xml:space="preserve"> </w:t>
      </w:r>
      <w:r w:rsidRPr="00731608">
        <w:rPr>
          <w:rFonts w:hint="eastAsia"/>
          <w:sz w:val="19"/>
          <w:szCs w:val="19"/>
          <w:rtl/>
        </w:rPr>
        <w:t>עיריות</w:t>
      </w:r>
      <w:r w:rsidRPr="00731608">
        <w:rPr>
          <w:sz w:val="19"/>
          <w:szCs w:val="19"/>
          <w:rtl/>
        </w:rPr>
        <w:t xml:space="preserve"> </w:t>
      </w:r>
      <w:r w:rsidRPr="00731608">
        <w:rPr>
          <w:rFonts w:hint="eastAsia"/>
          <w:b/>
          <w:bCs/>
          <w:sz w:val="19"/>
          <w:szCs w:val="19"/>
          <w:rtl/>
        </w:rPr>
        <w:t>אופקים</w:t>
      </w:r>
      <w:r w:rsidRPr="00731608">
        <w:rPr>
          <w:b/>
          <w:bCs/>
          <w:sz w:val="19"/>
          <w:szCs w:val="19"/>
          <w:rtl/>
        </w:rPr>
        <w:t xml:space="preserve">, </w:t>
      </w:r>
      <w:r w:rsidRPr="00731608">
        <w:rPr>
          <w:rFonts w:hint="eastAsia"/>
          <w:b/>
          <w:bCs/>
          <w:sz w:val="19"/>
          <w:szCs w:val="19"/>
          <w:rtl/>
        </w:rPr>
        <w:t>אשקלון</w:t>
      </w:r>
      <w:r w:rsidRPr="00731608">
        <w:rPr>
          <w:b/>
          <w:bCs/>
          <w:sz w:val="19"/>
          <w:szCs w:val="19"/>
          <w:rtl/>
        </w:rPr>
        <w:t xml:space="preserve"> </w:t>
      </w:r>
      <w:r w:rsidRPr="00731608">
        <w:rPr>
          <w:rFonts w:hint="eastAsia"/>
          <w:sz w:val="19"/>
          <w:szCs w:val="19"/>
          <w:rtl/>
        </w:rPr>
        <w:t>ו</w:t>
      </w:r>
      <w:r w:rsidRPr="00731608">
        <w:rPr>
          <w:rFonts w:hint="eastAsia"/>
          <w:b/>
          <w:bCs/>
          <w:sz w:val="19"/>
          <w:szCs w:val="19"/>
          <w:rtl/>
        </w:rPr>
        <w:t>שדרות</w:t>
      </w:r>
      <w:r w:rsidRPr="00731608">
        <w:rPr>
          <w:sz w:val="19"/>
          <w:szCs w:val="19"/>
          <w:rtl/>
        </w:rPr>
        <w:t xml:space="preserve"> והמועצ</w:t>
      </w:r>
      <w:r>
        <w:rPr>
          <w:rFonts w:hint="cs"/>
          <w:sz w:val="19"/>
          <w:szCs w:val="19"/>
          <w:rtl/>
        </w:rPr>
        <w:t>ה</w:t>
      </w:r>
      <w:r w:rsidRPr="00731608">
        <w:rPr>
          <w:sz w:val="19"/>
          <w:szCs w:val="19"/>
          <w:rtl/>
        </w:rPr>
        <w:t xml:space="preserve"> האזורית </w:t>
      </w:r>
      <w:r w:rsidRPr="00731608">
        <w:rPr>
          <w:rFonts w:hint="eastAsia"/>
          <w:b/>
          <w:bCs/>
          <w:sz w:val="19"/>
          <w:szCs w:val="19"/>
          <w:rtl/>
        </w:rPr>
        <w:t>חוף</w:t>
      </w:r>
      <w:r w:rsidRPr="00731608">
        <w:rPr>
          <w:b/>
          <w:bCs/>
          <w:sz w:val="19"/>
          <w:szCs w:val="19"/>
          <w:rtl/>
        </w:rPr>
        <w:t xml:space="preserve"> </w:t>
      </w:r>
      <w:r w:rsidRPr="00731608">
        <w:rPr>
          <w:rFonts w:hint="eastAsia"/>
          <w:b/>
          <w:bCs/>
          <w:sz w:val="19"/>
          <w:szCs w:val="19"/>
          <w:rtl/>
        </w:rPr>
        <w:t>אשקלון</w:t>
      </w:r>
      <w:r w:rsidRPr="00731608">
        <w:rPr>
          <w:rFonts w:hint="cs"/>
          <w:sz w:val="19"/>
          <w:szCs w:val="19"/>
          <w:rtl/>
        </w:rPr>
        <w:t xml:space="preserve"> </w:t>
      </w:r>
      <w:r w:rsidRPr="00731608">
        <w:rPr>
          <w:rFonts w:hint="eastAsia"/>
          <w:sz w:val="19"/>
          <w:szCs w:val="19"/>
          <w:rtl/>
        </w:rPr>
        <w:t>לא</w:t>
      </w:r>
      <w:r w:rsidRPr="00731608">
        <w:rPr>
          <w:sz w:val="19"/>
          <w:szCs w:val="19"/>
          <w:rtl/>
        </w:rPr>
        <w:t xml:space="preserve"> </w:t>
      </w:r>
      <w:r w:rsidRPr="00731608">
        <w:rPr>
          <w:rFonts w:hint="eastAsia"/>
          <w:sz w:val="19"/>
          <w:szCs w:val="19"/>
          <w:rtl/>
        </w:rPr>
        <w:t>היה</w:t>
      </w:r>
      <w:r w:rsidRPr="00731608">
        <w:rPr>
          <w:sz w:val="19"/>
          <w:szCs w:val="19"/>
          <w:rtl/>
        </w:rPr>
        <w:t xml:space="preserve"> </w:t>
      </w:r>
      <w:r w:rsidRPr="00731608">
        <w:rPr>
          <w:rFonts w:hint="cs"/>
          <w:sz w:val="19"/>
          <w:szCs w:val="19"/>
          <w:rtl/>
        </w:rPr>
        <w:t>מספק ביחס</w:t>
      </w:r>
      <w:r w:rsidRPr="00731608">
        <w:rPr>
          <w:sz w:val="19"/>
          <w:szCs w:val="19"/>
          <w:rtl/>
        </w:rPr>
        <w:t xml:space="preserve"> </w:t>
      </w:r>
      <w:r w:rsidRPr="00731608">
        <w:rPr>
          <w:rFonts w:hint="eastAsia"/>
          <w:sz w:val="19"/>
          <w:szCs w:val="19"/>
          <w:rtl/>
        </w:rPr>
        <w:t>לפינוי</w:t>
      </w:r>
      <w:r w:rsidRPr="00731608">
        <w:rPr>
          <w:sz w:val="19"/>
          <w:szCs w:val="19"/>
          <w:rtl/>
        </w:rPr>
        <w:t xml:space="preserve"> </w:t>
      </w:r>
      <w:r w:rsidRPr="00731608">
        <w:rPr>
          <w:rFonts w:hint="eastAsia"/>
          <w:sz w:val="19"/>
          <w:szCs w:val="19"/>
          <w:rtl/>
        </w:rPr>
        <w:t>בפועל</w:t>
      </w:r>
      <w:r w:rsidRPr="00731608">
        <w:rPr>
          <w:sz w:val="19"/>
          <w:szCs w:val="19"/>
          <w:rtl/>
        </w:rPr>
        <w:t xml:space="preserve"> </w:t>
      </w:r>
      <w:r w:rsidRPr="00731608">
        <w:rPr>
          <w:rFonts w:hint="eastAsia"/>
          <w:sz w:val="19"/>
          <w:szCs w:val="19"/>
          <w:rtl/>
        </w:rPr>
        <w:t>של</w:t>
      </w:r>
      <w:r w:rsidRPr="00731608">
        <w:rPr>
          <w:sz w:val="19"/>
          <w:szCs w:val="19"/>
          <w:rtl/>
        </w:rPr>
        <w:t xml:space="preserve"> </w:t>
      </w:r>
      <w:r w:rsidRPr="00731608">
        <w:rPr>
          <w:rFonts w:hint="eastAsia"/>
          <w:sz w:val="19"/>
          <w:szCs w:val="19"/>
          <w:rtl/>
        </w:rPr>
        <w:t>תושביהן</w:t>
      </w:r>
      <w:r w:rsidRPr="00731608">
        <w:rPr>
          <w:sz w:val="19"/>
          <w:szCs w:val="19"/>
          <w:rtl/>
        </w:rPr>
        <w:t xml:space="preserve"> </w:t>
      </w:r>
      <w:r w:rsidRPr="00731608">
        <w:rPr>
          <w:rFonts w:hint="eastAsia"/>
          <w:sz w:val="19"/>
          <w:szCs w:val="19"/>
          <w:rtl/>
        </w:rPr>
        <w:t>במלחמת</w:t>
      </w:r>
      <w:r w:rsidRPr="00731608">
        <w:rPr>
          <w:sz w:val="19"/>
          <w:szCs w:val="19"/>
          <w:rtl/>
        </w:rPr>
        <w:t xml:space="preserve"> </w:t>
      </w:r>
      <w:r w:rsidRPr="00731608">
        <w:rPr>
          <w:rFonts w:hint="eastAsia"/>
          <w:sz w:val="19"/>
          <w:szCs w:val="19"/>
          <w:rtl/>
        </w:rPr>
        <w:t>חרבות</w:t>
      </w:r>
      <w:r w:rsidRPr="00731608">
        <w:rPr>
          <w:sz w:val="19"/>
          <w:szCs w:val="19"/>
          <w:rtl/>
        </w:rPr>
        <w:t xml:space="preserve"> </w:t>
      </w:r>
      <w:r w:rsidRPr="00731608">
        <w:rPr>
          <w:rFonts w:hint="eastAsia"/>
          <w:sz w:val="19"/>
          <w:szCs w:val="19"/>
          <w:rtl/>
        </w:rPr>
        <w:t>ברזל</w:t>
      </w:r>
      <w:r w:rsidRPr="00731608">
        <w:rPr>
          <w:sz w:val="19"/>
          <w:szCs w:val="19"/>
          <w:rtl/>
        </w:rPr>
        <w:t>.</w:t>
      </w:r>
    </w:p>
    <w:p w14:paraId="5912739B" w14:textId="77777777" w:rsidR="00AE4BB7" w:rsidRPr="000B463F" w:rsidRDefault="00AE4BB7" w:rsidP="00EE67C7">
      <w:pPr>
        <w:spacing w:before="240" w:after="160"/>
      </w:pPr>
      <w:r>
        <w:rPr>
          <w:noProof/>
        </w:rPr>
        <w:drawing>
          <wp:inline distT="0" distB="0" distL="0" distR="0" wp14:anchorId="0D445BB3" wp14:editId="127E98BA">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14:paraId="33E9D84D" w14:textId="77777777" w:rsidR="0004088F" w:rsidRPr="0004088F" w:rsidRDefault="0004088F" w:rsidP="0004088F">
      <w:pPr>
        <w:pStyle w:val="73"/>
        <w:rPr>
          <w:rFonts w:eastAsia="Calibri"/>
          <w:sz w:val="19"/>
          <w:szCs w:val="19"/>
          <w:rtl/>
        </w:rPr>
      </w:pPr>
      <w:r w:rsidRPr="0004088F">
        <w:rPr>
          <w:rFonts w:eastAsia="Calibri"/>
          <w:b/>
          <w:bCs/>
          <w:sz w:val="19"/>
          <w:szCs w:val="19"/>
          <w:rtl/>
        </w:rPr>
        <w:t>תיק חירום רשותי</w:t>
      </w:r>
      <w:r w:rsidRPr="0004088F">
        <w:rPr>
          <w:rFonts w:eastAsia="Calibri" w:hint="cs"/>
          <w:sz w:val="19"/>
          <w:szCs w:val="19"/>
          <w:rtl/>
        </w:rPr>
        <w:t xml:space="preserve"> </w:t>
      </w:r>
      <w:r w:rsidRPr="0004088F">
        <w:rPr>
          <w:rFonts w:eastAsia="Calibri" w:hint="cs"/>
          <w:b/>
          <w:bCs/>
          <w:sz w:val="19"/>
          <w:szCs w:val="19"/>
          <w:rtl/>
        </w:rPr>
        <w:t xml:space="preserve">ותוכניות </w:t>
      </w:r>
      <w:r w:rsidRPr="0004088F">
        <w:rPr>
          <w:rFonts w:eastAsia="Calibri"/>
          <w:b/>
          <w:bCs/>
          <w:sz w:val="19"/>
          <w:szCs w:val="19"/>
          <w:rtl/>
        </w:rPr>
        <w:t>לפינוי אוכלוסייה</w:t>
      </w:r>
      <w:r w:rsidRPr="0004088F">
        <w:rPr>
          <w:rFonts w:eastAsia="Calibri"/>
          <w:sz w:val="19"/>
          <w:szCs w:val="19"/>
          <w:rtl/>
        </w:rPr>
        <w:t xml:space="preserve"> </w:t>
      </w:r>
      <w:r w:rsidRPr="0004088F">
        <w:rPr>
          <w:rFonts w:eastAsia="Calibri" w:hint="cs"/>
          <w:sz w:val="19"/>
          <w:szCs w:val="19"/>
          <w:rtl/>
        </w:rPr>
        <w:t xml:space="preserve">- </w:t>
      </w:r>
      <w:r w:rsidRPr="0004088F">
        <w:rPr>
          <w:rFonts w:eastAsia="Calibri"/>
          <w:sz w:val="19"/>
          <w:szCs w:val="19"/>
          <w:rtl/>
        </w:rPr>
        <w:t xml:space="preserve">עיריות </w:t>
      </w:r>
      <w:r w:rsidRPr="0004088F">
        <w:rPr>
          <w:rFonts w:eastAsia="Calibri"/>
          <w:b/>
          <w:bCs/>
          <w:sz w:val="19"/>
          <w:szCs w:val="19"/>
          <w:rtl/>
        </w:rPr>
        <w:t>אופקים</w:t>
      </w:r>
      <w:r w:rsidRPr="0004088F">
        <w:rPr>
          <w:rFonts w:eastAsia="Calibri"/>
          <w:sz w:val="19"/>
          <w:szCs w:val="19"/>
          <w:rtl/>
        </w:rPr>
        <w:t xml:space="preserve">, </w:t>
      </w:r>
      <w:r w:rsidRPr="0004088F">
        <w:rPr>
          <w:rFonts w:eastAsia="Calibri"/>
          <w:b/>
          <w:bCs/>
          <w:sz w:val="19"/>
          <w:szCs w:val="19"/>
          <w:rtl/>
        </w:rPr>
        <w:t>אשקלון</w:t>
      </w:r>
      <w:r w:rsidRPr="0004088F">
        <w:rPr>
          <w:rFonts w:eastAsia="Calibri"/>
          <w:sz w:val="19"/>
          <w:szCs w:val="19"/>
          <w:rtl/>
        </w:rPr>
        <w:t xml:space="preserve"> ו</w:t>
      </w:r>
      <w:r w:rsidRPr="0004088F">
        <w:rPr>
          <w:rFonts w:eastAsia="Calibri"/>
          <w:b/>
          <w:bCs/>
          <w:sz w:val="19"/>
          <w:szCs w:val="19"/>
          <w:rtl/>
        </w:rPr>
        <w:t>שדרות</w:t>
      </w:r>
      <w:r w:rsidRPr="0004088F">
        <w:rPr>
          <w:rFonts w:eastAsia="Calibri"/>
          <w:sz w:val="19"/>
          <w:szCs w:val="19"/>
          <w:rtl/>
        </w:rPr>
        <w:t xml:space="preserve"> והמועצות האזוריות </w:t>
      </w:r>
      <w:r w:rsidRPr="0004088F">
        <w:rPr>
          <w:rFonts w:eastAsia="Calibri"/>
          <w:b/>
          <w:bCs/>
          <w:sz w:val="19"/>
          <w:szCs w:val="19"/>
          <w:rtl/>
        </w:rPr>
        <w:t>אשכול</w:t>
      </w:r>
      <w:r w:rsidRPr="0004088F">
        <w:rPr>
          <w:rFonts w:eastAsia="Calibri"/>
          <w:sz w:val="19"/>
          <w:szCs w:val="19"/>
          <w:rtl/>
        </w:rPr>
        <w:t xml:space="preserve"> ו</w:t>
      </w:r>
      <w:r w:rsidRPr="0004088F">
        <w:rPr>
          <w:rFonts w:eastAsia="Calibri"/>
          <w:b/>
          <w:bCs/>
          <w:sz w:val="19"/>
          <w:szCs w:val="19"/>
          <w:rtl/>
        </w:rPr>
        <w:t>חוף אשקלון</w:t>
      </w:r>
      <w:r w:rsidRPr="0004088F">
        <w:rPr>
          <w:rFonts w:eastAsia="Calibri"/>
          <w:sz w:val="19"/>
          <w:szCs w:val="19"/>
          <w:rtl/>
        </w:rPr>
        <w:t xml:space="preserve"> הכינו תיקי חירום רשותיים, שכללו תוכניות ונהלים לפעילות של מכלול אוכלוסייה בשעת חירום.</w:t>
      </w:r>
      <w:r w:rsidRPr="0004088F">
        <w:rPr>
          <w:rFonts w:eastAsia="Calibri" w:hint="cs"/>
          <w:sz w:val="19"/>
          <w:szCs w:val="19"/>
          <w:rtl/>
        </w:rPr>
        <w:t xml:space="preserve"> </w:t>
      </w:r>
      <w:r w:rsidRPr="0004088F">
        <w:rPr>
          <w:rFonts w:eastAsia="Calibri" w:hint="eastAsia"/>
          <w:sz w:val="19"/>
          <w:szCs w:val="19"/>
          <w:rtl/>
        </w:rPr>
        <w:t>תיק</w:t>
      </w:r>
      <w:r w:rsidRPr="0004088F">
        <w:rPr>
          <w:rFonts w:eastAsia="Calibri"/>
          <w:sz w:val="19"/>
          <w:szCs w:val="19"/>
          <w:rtl/>
        </w:rPr>
        <w:t xml:space="preserve"> החירום של עיריית </w:t>
      </w:r>
      <w:r w:rsidRPr="0004088F">
        <w:rPr>
          <w:rFonts w:eastAsia="Calibri" w:hint="eastAsia"/>
          <w:b/>
          <w:bCs/>
          <w:sz w:val="19"/>
          <w:szCs w:val="19"/>
          <w:rtl/>
        </w:rPr>
        <w:t>שדרות</w:t>
      </w:r>
      <w:r w:rsidRPr="0004088F">
        <w:rPr>
          <w:rFonts w:eastAsia="Calibri"/>
          <w:sz w:val="19"/>
          <w:szCs w:val="19"/>
          <w:rtl/>
        </w:rPr>
        <w:t xml:space="preserve"> כלל בין היתר נוהל </w:t>
      </w:r>
      <w:r w:rsidRPr="0004088F">
        <w:rPr>
          <w:rFonts w:hint="cs"/>
          <w:sz w:val="19"/>
          <w:szCs w:val="19"/>
          <w:rtl/>
        </w:rPr>
        <w:t>ל</w:t>
      </w:r>
      <w:r w:rsidRPr="0004088F">
        <w:rPr>
          <w:sz w:val="19"/>
          <w:szCs w:val="19"/>
          <w:rtl/>
        </w:rPr>
        <w:t>פינוי</w:t>
      </w:r>
      <w:r w:rsidRPr="0004088F">
        <w:rPr>
          <w:rFonts w:eastAsia="Calibri"/>
          <w:sz w:val="19"/>
          <w:szCs w:val="19"/>
          <w:rtl/>
        </w:rPr>
        <w:t xml:space="preserve"> יזום </w:t>
      </w:r>
      <w:r w:rsidRPr="0004088F">
        <w:rPr>
          <w:rFonts w:eastAsia="Calibri" w:hint="cs"/>
          <w:sz w:val="19"/>
          <w:szCs w:val="19"/>
          <w:rtl/>
        </w:rPr>
        <w:t>ש</w:t>
      </w:r>
      <w:r w:rsidRPr="0004088F">
        <w:rPr>
          <w:rFonts w:eastAsia="Calibri"/>
          <w:sz w:val="19"/>
          <w:szCs w:val="19"/>
          <w:rtl/>
        </w:rPr>
        <w:t>ל</w:t>
      </w:r>
      <w:r w:rsidRPr="0004088F">
        <w:rPr>
          <w:rFonts w:eastAsia="Calibri" w:hint="cs"/>
          <w:sz w:val="19"/>
          <w:szCs w:val="19"/>
          <w:rtl/>
        </w:rPr>
        <w:t xml:space="preserve"> </w:t>
      </w:r>
      <w:r w:rsidRPr="0004088F">
        <w:rPr>
          <w:rFonts w:eastAsia="Calibri"/>
          <w:sz w:val="19"/>
          <w:szCs w:val="19"/>
          <w:rtl/>
        </w:rPr>
        <w:t>אוכלוסי</w:t>
      </w:r>
      <w:r w:rsidRPr="0004088F">
        <w:rPr>
          <w:rFonts w:eastAsia="Calibri" w:hint="cs"/>
          <w:sz w:val="19"/>
          <w:szCs w:val="19"/>
          <w:rtl/>
        </w:rPr>
        <w:t>יה משדרות</w:t>
      </w:r>
      <w:r w:rsidRPr="0004088F">
        <w:rPr>
          <w:rFonts w:eastAsia="Calibri"/>
          <w:sz w:val="19"/>
          <w:szCs w:val="19"/>
          <w:rtl/>
        </w:rPr>
        <w:t xml:space="preserve"> </w:t>
      </w:r>
      <w:r w:rsidRPr="0004088F">
        <w:rPr>
          <w:rFonts w:eastAsia="Calibri" w:hint="cs"/>
          <w:sz w:val="19"/>
          <w:szCs w:val="19"/>
          <w:rtl/>
        </w:rPr>
        <w:t>ו</w:t>
      </w:r>
      <w:r w:rsidRPr="0004088F">
        <w:rPr>
          <w:rFonts w:eastAsia="Calibri" w:hint="eastAsia"/>
          <w:sz w:val="19"/>
          <w:szCs w:val="19"/>
          <w:rtl/>
        </w:rPr>
        <w:t>תוכנית</w:t>
      </w:r>
      <w:r w:rsidRPr="0004088F">
        <w:rPr>
          <w:rFonts w:eastAsia="Calibri"/>
          <w:sz w:val="19"/>
          <w:szCs w:val="19"/>
          <w:rtl/>
        </w:rPr>
        <w:t xml:space="preserve"> </w:t>
      </w:r>
      <w:r w:rsidRPr="0004088F">
        <w:rPr>
          <w:rFonts w:eastAsia="Calibri" w:hint="eastAsia"/>
          <w:sz w:val="19"/>
          <w:szCs w:val="19"/>
          <w:rtl/>
        </w:rPr>
        <w:t>להוצאת</w:t>
      </w:r>
      <w:r w:rsidRPr="0004088F">
        <w:rPr>
          <w:rFonts w:eastAsia="Calibri"/>
          <w:sz w:val="19"/>
          <w:szCs w:val="19"/>
          <w:rtl/>
        </w:rPr>
        <w:t xml:space="preserve"> </w:t>
      </w:r>
      <w:r w:rsidRPr="0004088F">
        <w:rPr>
          <w:rFonts w:eastAsia="Calibri" w:hint="eastAsia"/>
          <w:sz w:val="19"/>
          <w:szCs w:val="19"/>
          <w:rtl/>
        </w:rPr>
        <w:t>תושבים</w:t>
      </w:r>
      <w:r w:rsidRPr="0004088F">
        <w:rPr>
          <w:rFonts w:eastAsia="Calibri"/>
          <w:sz w:val="19"/>
          <w:szCs w:val="19"/>
          <w:rtl/>
        </w:rPr>
        <w:t xml:space="preserve"> </w:t>
      </w:r>
      <w:r w:rsidRPr="0004088F">
        <w:rPr>
          <w:rFonts w:eastAsia="Calibri" w:hint="eastAsia"/>
          <w:sz w:val="19"/>
          <w:szCs w:val="19"/>
          <w:rtl/>
        </w:rPr>
        <w:t>להפוגות</w:t>
      </w:r>
      <w:r w:rsidRPr="0004088F">
        <w:rPr>
          <w:rFonts w:eastAsia="Calibri" w:hint="cs"/>
          <w:sz w:val="19"/>
          <w:szCs w:val="19"/>
          <w:rtl/>
        </w:rPr>
        <w:t xml:space="preserve">. </w:t>
      </w:r>
      <w:r w:rsidRPr="0004088F">
        <w:rPr>
          <w:rFonts w:eastAsia="Calibri" w:hint="eastAsia"/>
          <w:sz w:val="19"/>
          <w:szCs w:val="19"/>
          <w:rtl/>
        </w:rPr>
        <w:t>למועצה</w:t>
      </w:r>
      <w:r w:rsidRPr="0004088F">
        <w:rPr>
          <w:rFonts w:eastAsia="Calibri"/>
          <w:sz w:val="19"/>
          <w:szCs w:val="19"/>
          <w:rtl/>
        </w:rPr>
        <w:t xml:space="preserve"> האזוריות </w:t>
      </w:r>
      <w:r w:rsidRPr="0004088F">
        <w:rPr>
          <w:rFonts w:eastAsia="Calibri"/>
          <w:b/>
          <w:bCs/>
          <w:sz w:val="19"/>
          <w:szCs w:val="19"/>
          <w:rtl/>
        </w:rPr>
        <w:t>אשכול</w:t>
      </w:r>
      <w:r w:rsidRPr="0004088F">
        <w:rPr>
          <w:rFonts w:eastAsia="Calibri"/>
          <w:sz w:val="19"/>
          <w:szCs w:val="19"/>
          <w:rtl/>
        </w:rPr>
        <w:t xml:space="preserve"> </w:t>
      </w:r>
      <w:r w:rsidRPr="0004088F">
        <w:rPr>
          <w:rFonts w:eastAsia="Calibri" w:hint="eastAsia"/>
          <w:sz w:val="19"/>
          <w:szCs w:val="19"/>
          <w:rtl/>
        </w:rPr>
        <w:t>הייתה</w:t>
      </w:r>
      <w:r w:rsidRPr="0004088F">
        <w:rPr>
          <w:rFonts w:eastAsia="Calibri"/>
          <w:sz w:val="19"/>
          <w:szCs w:val="19"/>
          <w:rtl/>
        </w:rPr>
        <w:t xml:space="preserve"> </w:t>
      </w:r>
      <w:hyperlink r:id="rId15" w:history="1">
        <w:r w:rsidRPr="0004088F">
          <w:rPr>
            <w:rFonts w:eastAsia="Calibri"/>
            <w:sz w:val="19"/>
            <w:szCs w:val="19"/>
            <w:rtl/>
          </w:rPr>
          <w:t>ת</w:t>
        </w:r>
        <w:r w:rsidRPr="0004088F">
          <w:rPr>
            <w:rFonts w:eastAsia="Calibri" w:hint="eastAsia"/>
            <w:sz w:val="19"/>
            <w:szCs w:val="19"/>
            <w:rtl/>
          </w:rPr>
          <w:t>ו</w:t>
        </w:r>
        <w:r w:rsidRPr="0004088F">
          <w:rPr>
            <w:rFonts w:eastAsia="Calibri"/>
            <w:sz w:val="19"/>
            <w:szCs w:val="19"/>
            <w:rtl/>
          </w:rPr>
          <w:t>כנית פינוי</w:t>
        </w:r>
      </w:hyperlink>
      <w:r w:rsidRPr="0004088F">
        <w:rPr>
          <w:rFonts w:eastAsia="Calibri"/>
          <w:sz w:val="19"/>
          <w:szCs w:val="19"/>
          <w:rtl/>
        </w:rPr>
        <w:t xml:space="preserve"> </w:t>
      </w:r>
      <w:r w:rsidRPr="0004088F">
        <w:rPr>
          <w:rFonts w:eastAsia="Calibri" w:hint="eastAsia"/>
          <w:sz w:val="19"/>
          <w:szCs w:val="19"/>
          <w:rtl/>
        </w:rPr>
        <w:t>ל</w:t>
      </w:r>
      <w:r w:rsidRPr="0004088F">
        <w:rPr>
          <w:rFonts w:eastAsia="Calibri"/>
          <w:sz w:val="19"/>
          <w:szCs w:val="19"/>
          <w:rtl/>
        </w:rPr>
        <w:t xml:space="preserve">-11 יישובים </w:t>
      </w:r>
      <w:r w:rsidRPr="0004088F">
        <w:rPr>
          <w:rFonts w:eastAsia="Calibri" w:hint="eastAsia"/>
          <w:sz w:val="19"/>
          <w:szCs w:val="19"/>
          <w:rtl/>
        </w:rPr>
        <w:t>סמוכי</w:t>
      </w:r>
      <w:r w:rsidRPr="0004088F">
        <w:rPr>
          <w:rFonts w:eastAsia="Calibri"/>
          <w:sz w:val="19"/>
          <w:szCs w:val="19"/>
          <w:rtl/>
        </w:rPr>
        <w:t xml:space="preserve"> גדר</w:t>
      </w:r>
      <w:r w:rsidRPr="0004088F">
        <w:rPr>
          <w:rFonts w:eastAsia="Calibri" w:hint="cs"/>
          <w:sz w:val="19"/>
          <w:szCs w:val="19"/>
          <w:rtl/>
        </w:rPr>
        <w:t>.</w:t>
      </w: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14:paraId="2022F3DE" w14:textId="77777777" w:rsidTr="009E37AC">
        <w:trPr>
          <w:trHeight w:val="851"/>
        </w:trPr>
        <w:tc>
          <w:tcPr>
            <w:tcW w:w="9074" w:type="dxa"/>
            <w:tcBorders>
              <w:top w:val="nil"/>
              <w:left w:val="nil"/>
              <w:bottom w:val="nil"/>
              <w:right w:val="nil"/>
            </w:tcBorders>
          </w:tcPr>
          <w:p w14:paraId="2D1BD764" w14:textId="77777777"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14:anchorId="1DB5E1FA" wp14:editId="65AAF575">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14:paraId="08E6AB41" w14:textId="77777777" w:rsidTr="00DE1044">
        <w:trPr>
          <w:trHeight w:val="426"/>
        </w:trPr>
        <w:tc>
          <w:tcPr>
            <w:tcW w:w="9074" w:type="dxa"/>
            <w:tcBorders>
              <w:top w:val="nil"/>
              <w:left w:val="nil"/>
              <w:bottom w:val="nil"/>
              <w:right w:val="nil"/>
            </w:tcBorders>
            <w:shd w:val="clear" w:color="auto" w:fill="F1F5F9"/>
          </w:tcPr>
          <w:p w14:paraId="77F24BA2" w14:textId="77777777" w:rsidR="0004088F" w:rsidRPr="00B940E1" w:rsidRDefault="0004088F" w:rsidP="00935C41">
            <w:pPr>
              <w:pStyle w:val="af2"/>
              <w:numPr>
                <w:ilvl w:val="0"/>
                <w:numId w:val="12"/>
              </w:numPr>
              <w:spacing w:before="120" w:after="240" w:line="288" w:lineRule="auto"/>
              <w:ind w:left="461" w:right="181" w:hanging="461"/>
              <w:rPr>
                <w:rFonts w:ascii="Tahoma" w:hAnsi="Tahoma" w:cs="Tahoma"/>
                <w:sz w:val="19"/>
                <w:szCs w:val="19"/>
              </w:rPr>
            </w:pPr>
            <w:r w:rsidRPr="005503C4">
              <w:rPr>
                <w:rFonts w:ascii="Tahoma" w:hAnsi="Tahoma" w:cs="Tahoma"/>
                <w:sz w:val="19"/>
                <w:szCs w:val="19"/>
                <w:rtl/>
              </w:rPr>
              <w:t>על צה"ל לבחון את הצורך לעדכן את תרחישי הייחוס המלחמתיים של הרשויות המקומיות בדרום הארץ, הסמוכות לגבול עזה בפרט ובמדינת ישראל בכלל ולהתאימם לאיומים הצפויים על סמך לקחי מלחמת חרבות ברזל. בהמשך לכך וכן על סמך תרחישי ייחוס לאירועי חירום שאינם מלחמתיים על רח"ל וצה"ל לבחון הצורך בעדכון התוכניות למוכנות לאומית לפינוי ולקליטת אוכלוסייה. כמו כן על רח"ל להעביר את התוכניות לאישור הממשלה. על הרשויות המקומיות, לעדכן את תוכניות המענים שלהן בהתאם לתרחישי הייחוס העדכניים, ולכלול בהן נהלים מפורטים ואת תוכניות הערכות לפינוי בצורה מפורטת ולוודא שהן מנוסחות באופן שאינו מותיר שאלות או ספקות ויציגן לצה"ל.</w:t>
            </w:r>
          </w:p>
          <w:p w14:paraId="254C8AB4" w14:textId="77777777" w:rsidR="0004088F" w:rsidRPr="00731608" w:rsidRDefault="0004088F" w:rsidP="00935C41">
            <w:pPr>
              <w:pStyle w:val="af2"/>
              <w:spacing w:before="120" w:after="240" w:line="288" w:lineRule="auto"/>
              <w:ind w:left="461" w:right="181" w:hanging="461"/>
              <w:rPr>
                <w:rFonts w:ascii="Tahoma" w:hAnsi="Tahoma" w:cs="Tahoma"/>
                <w:sz w:val="19"/>
                <w:szCs w:val="19"/>
              </w:rPr>
            </w:pPr>
          </w:p>
          <w:p w14:paraId="0471D0D2" w14:textId="2070F443" w:rsidR="0004088F" w:rsidRDefault="0004088F" w:rsidP="00DE1044">
            <w:pPr>
              <w:pStyle w:val="af2"/>
              <w:numPr>
                <w:ilvl w:val="0"/>
                <w:numId w:val="12"/>
              </w:numPr>
              <w:spacing w:line="288" w:lineRule="auto"/>
              <w:ind w:left="459" w:right="181" w:hanging="459"/>
              <w:contextualSpacing w:val="0"/>
              <w:rPr>
                <w:rFonts w:ascii="Tahoma" w:hAnsi="Tahoma" w:cs="Tahoma"/>
                <w:sz w:val="19"/>
                <w:szCs w:val="19"/>
              </w:rPr>
            </w:pPr>
            <w:r w:rsidRPr="005503C4">
              <w:rPr>
                <w:rFonts w:ascii="Tahoma" w:hAnsi="Tahoma" w:cs="Tahoma"/>
                <w:sz w:val="19"/>
                <w:szCs w:val="19"/>
                <w:rtl/>
              </w:rPr>
              <w:t xml:space="preserve">על רח"ל, פקע"ר ומשרד הפנים </w:t>
            </w:r>
            <w:r w:rsidR="00F36435">
              <w:rPr>
                <w:rFonts w:ascii="Tahoma" w:hAnsi="Tahoma" w:cs="Tahoma" w:hint="cs"/>
                <w:sz w:val="19"/>
                <w:szCs w:val="19"/>
                <w:rtl/>
              </w:rPr>
              <w:t>ב</w:t>
            </w:r>
            <w:r w:rsidRPr="005503C4">
              <w:rPr>
                <w:rFonts w:ascii="Tahoma" w:hAnsi="Tahoma" w:cs="Tahoma"/>
                <w:sz w:val="19"/>
                <w:szCs w:val="19"/>
                <w:rtl/>
              </w:rPr>
              <w:t>שיתוף פעולה ביניהם להפיק לקחים מהמלחמה ולפעול לגיבוש תשתית עדכנית ומלאה עבור הרשויות המקומיות לצורך היערכותן כראוי למצבי חירום שיחייבו פינוי</w:t>
            </w:r>
            <w:r w:rsidR="00DE1044">
              <w:rPr>
                <w:rFonts w:ascii="Tahoma" w:hAnsi="Tahoma" w:cs="Tahoma"/>
                <w:sz w:val="19"/>
                <w:szCs w:val="19"/>
                <w:rtl/>
              </w:rPr>
              <w:br/>
            </w:r>
            <w:r w:rsidR="00DE1044">
              <w:rPr>
                <w:rFonts w:ascii="Tahoma" w:hAnsi="Tahoma" w:cs="Tahoma"/>
                <w:sz w:val="19"/>
                <w:szCs w:val="19"/>
                <w:rtl/>
              </w:rPr>
              <w:br/>
            </w:r>
            <w:r w:rsidR="00DE1044" w:rsidRPr="00DE1044">
              <w:rPr>
                <w:rFonts w:ascii="Tahoma" w:hAnsi="Tahoma" w:cs="Tahoma"/>
                <w:sz w:val="10"/>
                <w:szCs w:val="10"/>
                <w:rtl/>
              </w:rPr>
              <w:lastRenderedPageBreak/>
              <w:br/>
            </w:r>
            <w:r w:rsidRPr="005503C4">
              <w:rPr>
                <w:rFonts w:ascii="Tahoma" w:hAnsi="Tahoma" w:cs="Tahoma"/>
                <w:sz w:val="19"/>
                <w:szCs w:val="19"/>
                <w:rtl/>
              </w:rPr>
              <w:t>אוכלוסייה. על צה"ל ומשרד הפנים להנחות את הרשויות המקומיות להיערך לחירום בהתאם לתרחישי הייחוס המלחמתיים והתכוניות הלאומיות לפינוי שיעודכנו ויאושרו, בין היתר על ידי הכנת תוכניות עבודה ונהלים מפורטים לתרחיש של פינוי אוכלוסייתן אל מחוץ לתחומן. על משרד הפנים להגדיר את הממשק שבין הרשויות המפונות לרשויות הקולטות ולהסדיר את יעדי הקליטה.</w:t>
            </w:r>
          </w:p>
          <w:p w14:paraId="1D64A8F6" w14:textId="77777777" w:rsidR="0004088F" w:rsidRPr="00C55DA7" w:rsidRDefault="0004088F" w:rsidP="00935C41">
            <w:pPr>
              <w:pStyle w:val="af2"/>
              <w:spacing w:line="288" w:lineRule="auto"/>
              <w:ind w:left="461" w:right="181" w:hanging="461"/>
              <w:jc w:val="left"/>
              <w:rPr>
                <w:rFonts w:ascii="Tahoma" w:hAnsi="Tahoma" w:cs="Tahoma"/>
                <w:sz w:val="19"/>
                <w:szCs w:val="19"/>
                <w:rtl/>
              </w:rPr>
            </w:pPr>
          </w:p>
          <w:p w14:paraId="39B2A056" w14:textId="77777777" w:rsidR="0004088F" w:rsidRPr="003E59DA" w:rsidRDefault="0004088F" w:rsidP="00935C41">
            <w:pPr>
              <w:pStyle w:val="af2"/>
              <w:numPr>
                <w:ilvl w:val="0"/>
                <w:numId w:val="12"/>
              </w:numPr>
              <w:spacing w:before="120" w:after="240" w:line="288" w:lineRule="auto"/>
              <w:ind w:left="461" w:right="181" w:hanging="461"/>
              <w:rPr>
                <w:rFonts w:ascii="Tahoma" w:hAnsi="Tahoma" w:cs="Tahoma"/>
                <w:sz w:val="19"/>
                <w:szCs w:val="19"/>
                <w:rtl/>
              </w:rPr>
            </w:pPr>
            <w:r w:rsidRPr="00731608">
              <w:rPr>
                <w:rFonts w:ascii="Tahoma" w:hAnsi="Tahoma" w:cs="Tahoma"/>
                <w:sz w:val="19"/>
                <w:szCs w:val="19"/>
                <w:rtl/>
              </w:rPr>
              <w:t>על משרד הפנים ופקע"ר</w:t>
            </w:r>
            <w:r w:rsidRPr="00731608">
              <w:rPr>
                <w:rFonts w:ascii="Tahoma" w:hAnsi="Tahoma" w:cs="Tahoma"/>
                <w:b/>
                <w:bCs/>
                <w:sz w:val="19"/>
                <w:szCs w:val="19"/>
                <w:rtl/>
              </w:rPr>
              <w:t xml:space="preserve"> </w:t>
            </w:r>
            <w:r w:rsidRPr="00B940E1">
              <w:rPr>
                <w:rFonts w:ascii="Tahoma" w:hAnsi="Tahoma" w:cs="Tahoma"/>
                <w:sz w:val="19"/>
                <w:szCs w:val="19"/>
                <w:rtl/>
              </w:rPr>
              <w:t xml:space="preserve">לסייע לרשויות המקומיות ולוודא כי עומד לרשותן מערך כוח אדם מותאם למשימת הפינוי לצד מערך הכשרה ותרגול של כוח האדם כדי להבטיח עמידתו במשימה. בתוך כך מומלץ כי פקע"ר יגדיר מתכונת אחידה ומחייבת להכשרות לבעלי התפקידים הנדרשים לפעילות הרשות המקומית בשעת חירום בכלל ולאלו המיועדים להליך הפינוי בפרט </w:t>
            </w:r>
            <w:r w:rsidRPr="00731608">
              <w:rPr>
                <w:rFonts w:ascii="Tahoma" w:hAnsi="Tahoma" w:cs="Tahoma"/>
                <w:sz w:val="19"/>
                <w:szCs w:val="19"/>
                <w:rtl/>
              </w:rPr>
              <w:t>ולשקול גיבוש מפתח של יחס תושבים לבעל תפקיד העוסק בפינוי ב</w:t>
            </w:r>
            <w:r>
              <w:rPr>
                <w:rFonts w:ascii="Tahoma" w:hAnsi="Tahoma" w:cs="Tahoma" w:hint="cs"/>
                <w:sz w:val="19"/>
                <w:szCs w:val="19"/>
                <w:rtl/>
              </w:rPr>
              <w:t>ש</w:t>
            </w:r>
            <w:r w:rsidRPr="00731608">
              <w:rPr>
                <w:rFonts w:ascii="Tahoma" w:hAnsi="Tahoma" w:cs="Tahoma"/>
                <w:sz w:val="19"/>
                <w:szCs w:val="19"/>
                <w:rtl/>
              </w:rPr>
              <w:t>עת חירום.</w:t>
            </w:r>
            <w:r>
              <w:rPr>
                <w:rFonts w:ascii="Tahoma" w:hAnsi="Tahoma" w:cs="Tahoma" w:hint="cs"/>
                <w:sz w:val="19"/>
                <w:szCs w:val="19"/>
                <w:rtl/>
              </w:rPr>
              <w:t xml:space="preserve"> </w:t>
            </w:r>
            <w:r w:rsidRPr="00927D8B">
              <w:rPr>
                <w:rFonts w:ascii="Tahoma" w:hAnsi="Tahoma" w:cs="Tahoma"/>
                <w:sz w:val="19"/>
                <w:szCs w:val="19"/>
                <w:rtl/>
              </w:rPr>
              <w:t>על הרשויות המקומיות להיערך ולהכשיר את כוח האדם הייעודי שלהן למטרת פינוי וליווי המפונים.</w:t>
            </w:r>
          </w:p>
          <w:p w14:paraId="14BDDB36" w14:textId="77777777" w:rsidR="0004088F" w:rsidRPr="003E59DA" w:rsidRDefault="0004088F" w:rsidP="00935C41">
            <w:pPr>
              <w:pStyle w:val="af2"/>
              <w:spacing w:before="120" w:after="240" w:line="288" w:lineRule="auto"/>
              <w:ind w:left="461" w:right="181" w:hanging="461"/>
              <w:rPr>
                <w:rFonts w:ascii="Tahoma" w:hAnsi="Tahoma" w:cs="Tahoma"/>
                <w:sz w:val="19"/>
                <w:szCs w:val="19"/>
              </w:rPr>
            </w:pPr>
          </w:p>
          <w:p w14:paraId="528F6388" w14:textId="77777777" w:rsidR="0004088F" w:rsidRPr="003E59DA" w:rsidRDefault="0004088F" w:rsidP="00935C41">
            <w:pPr>
              <w:pStyle w:val="af2"/>
              <w:numPr>
                <w:ilvl w:val="0"/>
                <w:numId w:val="12"/>
              </w:numPr>
              <w:spacing w:before="120" w:after="240" w:line="288" w:lineRule="auto"/>
              <w:ind w:left="461" w:right="181" w:hanging="461"/>
              <w:rPr>
                <w:rFonts w:ascii="Tahoma" w:hAnsi="Tahoma" w:cs="Tahoma"/>
                <w:sz w:val="19"/>
                <w:szCs w:val="19"/>
                <w:rtl/>
              </w:rPr>
            </w:pPr>
            <w:r w:rsidRPr="00731608">
              <w:rPr>
                <w:rFonts w:ascii="Tahoma" w:hAnsi="Tahoma" w:cs="Tahoma"/>
                <w:sz w:val="19"/>
                <w:szCs w:val="19"/>
                <w:rtl/>
              </w:rPr>
              <w:t xml:space="preserve">על העיריות </w:t>
            </w:r>
            <w:r w:rsidRPr="00731608">
              <w:rPr>
                <w:rFonts w:ascii="Tahoma" w:hAnsi="Tahoma" w:cs="Tahoma"/>
                <w:b/>
                <w:bCs/>
                <w:sz w:val="19"/>
                <w:szCs w:val="19"/>
                <w:rtl/>
              </w:rPr>
              <w:t>אופקים</w:t>
            </w:r>
            <w:r w:rsidRPr="00731608">
              <w:rPr>
                <w:rFonts w:ascii="Tahoma" w:hAnsi="Tahoma" w:cs="Tahoma"/>
                <w:sz w:val="19"/>
                <w:szCs w:val="19"/>
                <w:rtl/>
              </w:rPr>
              <w:t xml:space="preserve"> ו</w:t>
            </w:r>
            <w:r w:rsidRPr="00731608">
              <w:rPr>
                <w:rFonts w:ascii="Tahoma" w:hAnsi="Tahoma" w:cs="Tahoma"/>
                <w:b/>
                <w:bCs/>
                <w:sz w:val="19"/>
                <w:szCs w:val="19"/>
                <w:rtl/>
              </w:rPr>
              <w:t>אשקלון</w:t>
            </w:r>
            <w:r w:rsidRPr="00731608">
              <w:rPr>
                <w:rFonts w:ascii="Tahoma" w:hAnsi="Tahoma" w:cs="Tahoma"/>
                <w:sz w:val="19"/>
                <w:szCs w:val="19"/>
                <w:rtl/>
              </w:rPr>
              <w:t xml:space="preserve"> </w:t>
            </w:r>
            <w:bookmarkStart w:id="12" w:name="_Hlk181023541"/>
            <w:r w:rsidRPr="00731608">
              <w:rPr>
                <w:rFonts w:ascii="Tahoma" w:hAnsi="Tahoma" w:cs="Tahoma"/>
                <w:sz w:val="19"/>
                <w:szCs w:val="19"/>
                <w:rtl/>
              </w:rPr>
              <w:t xml:space="preserve">להתאים את תיקי החירום </w:t>
            </w:r>
            <w:bookmarkEnd w:id="12"/>
            <w:r w:rsidRPr="00731608">
              <w:rPr>
                <w:rFonts w:ascii="Tahoma" w:hAnsi="Tahoma" w:cs="Tahoma"/>
                <w:sz w:val="19"/>
                <w:szCs w:val="19"/>
                <w:rtl/>
              </w:rPr>
              <w:t>שלהן ו</w:t>
            </w:r>
            <w:r w:rsidR="00C57DB0">
              <w:rPr>
                <w:rFonts w:ascii="Tahoma" w:hAnsi="Tahoma" w:cs="Tahoma" w:hint="cs"/>
                <w:sz w:val="19"/>
                <w:szCs w:val="19"/>
                <w:rtl/>
              </w:rPr>
              <w:t xml:space="preserve">את </w:t>
            </w:r>
            <w:r w:rsidRPr="00731608">
              <w:rPr>
                <w:rFonts w:ascii="Tahoma" w:hAnsi="Tahoma" w:cs="Tahoma"/>
                <w:sz w:val="19"/>
                <w:szCs w:val="19"/>
                <w:rtl/>
              </w:rPr>
              <w:t xml:space="preserve">התוכניות והנהלים שנקבעו בהם גם לפינוי אל מחוץ לתחום הרשות, </w:t>
            </w:r>
            <w:r>
              <w:rPr>
                <w:rFonts w:ascii="Tahoma" w:hAnsi="Tahoma" w:cs="Tahoma" w:hint="cs"/>
                <w:sz w:val="19"/>
                <w:szCs w:val="19"/>
                <w:rtl/>
              </w:rPr>
              <w:t>כדי</w:t>
            </w:r>
            <w:r w:rsidRPr="00731608">
              <w:rPr>
                <w:rFonts w:ascii="Tahoma" w:hAnsi="Tahoma" w:cs="Tahoma"/>
                <w:sz w:val="19"/>
                <w:szCs w:val="19"/>
                <w:rtl/>
              </w:rPr>
              <w:t xml:space="preserve"> </w:t>
            </w:r>
            <w:r>
              <w:rPr>
                <w:rFonts w:ascii="Tahoma" w:hAnsi="Tahoma" w:cs="Tahoma" w:hint="cs"/>
                <w:sz w:val="19"/>
                <w:szCs w:val="19"/>
                <w:rtl/>
              </w:rPr>
              <w:t xml:space="preserve">שאם יתרחש </w:t>
            </w:r>
            <w:r w:rsidRPr="00731608">
              <w:rPr>
                <w:rFonts w:ascii="Tahoma" w:hAnsi="Tahoma" w:cs="Tahoma"/>
                <w:sz w:val="19"/>
                <w:szCs w:val="19"/>
                <w:rtl/>
              </w:rPr>
              <w:t xml:space="preserve">אירוע חירום בלתי צפוי שיחייב זאת הן לא יידרשו בזמן אמת לתכנן דרכי פעולה מנקודת ההתחלה. מומלץ כי עיריית </w:t>
            </w:r>
            <w:r w:rsidRPr="00731608">
              <w:rPr>
                <w:rFonts w:ascii="Tahoma" w:hAnsi="Tahoma" w:cs="Tahoma"/>
                <w:b/>
                <w:bCs/>
                <w:sz w:val="19"/>
                <w:szCs w:val="19"/>
                <w:rtl/>
              </w:rPr>
              <w:t>שדרות</w:t>
            </w:r>
            <w:r w:rsidRPr="00731608">
              <w:rPr>
                <w:rFonts w:ascii="Tahoma" w:hAnsi="Tahoma" w:cs="Tahoma"/>
                <w:sz w:val="19"/>
                <w:szCs w:val="19"/>
                <w:rtl/>
              </w:rPr>
              <w:t xml:space="preserve"> תעדכן את תוכנית הפינוי שלה, באופן ש</w:t>
            </w:r>
            <w:r>
              <w:rPr>
                <w:rFonts w:ascii="Tahoma" w:hAnsi="Tahoma" w:cs="Tahoma" w:hint="cs"/>
                <w:sz w:val="19"/>
                <w:szCs w:val="19"/>
                <w:rtl/>
              </w:rPr>
              <w:t>ת</w:t>
            </w:r>
            <w:r w:rsidRPr="00731608">
              <w:rPr>
                <w:rFonts w:ascii="Tahoma" w:hAnsi="Tahoma" w:cs="Tahoma"/>
                <w:sz w:val="19"/>
                <w:szCs w:val="19"/>
                <w:rtl/>
              </w:rPr>
              <w:t>י</w:t>
            </w:r>
            <w:r>
              <w:rPr>
                <w:rFonts w:ascii="Tahoma" w:hAnsi="Tahoma" w:cs="Tahoma" w:hint="cs"/>
                <w:sz w:val="19"/>
                <w:szCs w:val="19"/>
                <w:rtl/>
              </w:rPr>
              <w:t>תן</w:t>
            </w:r>
            <w:r w:rsidRPr="00731608">
              <w:rPr>
                <w:rFonts w:ascii="Tahoma" w:hAnsi="Tahoma" w:cs="Tahoma"/>
                <w:sz w:val="19"/>
                <w:szCs w:val="19"/>
                <w:rtl/>
              </w:rPr>
              <w:t xml:space="preserve"> מענה לפינוי של כל תושבי העיר, ותתקשר לצורך ארגון הליך הפינוי עם חברה למתן שירותי היסעים או תיירות. כן מומלץ למועצה האזורית </w:t>
            </w:r>
            <w:r w:rsidRPr="00731608">
              <w:rPr>
                <w:rFonts w:ascii="Tahoma" w:hAnsi="Tahoma" w:cs="Tahoma"/>
                <w:b/>
                <w:bCs/>
                <w:sz w:val="19"/>
                <w:szCs w:val="19"/>
                <w:rtl/>
              </w:rPr>
              <w:t>אשכול</w:t>
            </w:r>
            <w:r w:rsidRPr="00731608">
              <w:rPr>
                <w:rFonts w:ascii="Tahoma" w:hAnsi="Tahoma" w:cs="Tahoma"/>
                <w:sz w:val="19"/>
                <w:szCs w:val="19"/>
                <w:rtl/>
              </w:rPr>
              <w:t xml:space="preserve"> להיערך לפינוי </w:t>
            </w:r>
            <w:r>
              <w:rPr>
                <w:rFonts w:ascii="Tahoma" w:hAnsi="Tahoma" w:cs="Tahoma" w:hint="cs"/>
                <w:sz w:val="19"/>
                <w:szCs w:val="19"/>
                <w:rtl/>
              </w:rPr>
              <w:t xml:space="preserve">של כל </w:t>
            </w:r>
            <w:r w:rsidRPr="00731608">
              <w:rPr>
                <w:rFonts w:ascii="Tahoma" w:hAnsi="Tahoma" w:cs="Tahoma"/>
                <w:sz w:val="19"/>
                <w:szCs w:val="19"/>
                <w:rtl/>
              </w:rPr>
              <w:t>יישובי המועצה לתקופת שהייה ארוכה מחוץ למועצה</w:t>
            </w:r>
            <w:r>
              <w:rPr>
                <w:rFonts w:ascii="Tahoma" w:hAnsi="Tahoma" w:cs="Tahoma" w:hint="cs"/>
                <w:sz w:val="19"/>
                <w:szCs w:val="19"/>
                <w:rtl/>
              </w:rPr>
              <w:t>,</w:t>
            </w:r>
            <w:r w:rsidRPr="00731608">
              <w:rPr>
                <w:rFonts w:ascii="Tahoma" w:hAnsi="Tahoma" w:cs="Tahoma"/>
                <w:sz w:val="19"/>
                <w:szCs w:val="19"/>
                <w:rtl/>
              </w:rPr>
              <w:t xml:space="preserve"> כפי שקרה בעקבות </w:t>
            </w:r>
            <w:r>
              <w:rPr>
                <w:rFonts w:ascii="Tahoma" w:hAnsi="Tahoma" w:cs="Tahoma" w:hint="cs"/>
                <w:sz w:val="19"/>
                <w:szCs w:val="19"/>
                <w:rtl/>
              </w:rPr>
              <w:t xml:space="preserve">פרוץ </w:t>
            </w:r>
            <w:r w:rsidRPr="00731608">
              <w:rPr>
                <w:rFonts w:ascii="Tahoma" w:hAnsi="Tahoma" w:cs="Tahoma"/>
                <w:sz w:val="19"/>
                <w:szCs w:val="19"/>
                <w:rtl/>
              </w:rPr>
              <w:t>מלחמת חרבות ברזל, ולבחון אם נ</w:t>
            </w:r>
            <w:r>
              <w:rPr>
                <w:rFonts w:ascii="Tahoma" w:hAnsi="Tahoma" w:cs="Tahoma" w:hint="cs"/>
                <w:sz w:val="19"/>
                <w:szCs w:val="19"/>
                <w:rtl/>
              </w:rPr>
              <w:t>ו</w:t>
            </w:r>
            <w:r w:rsidRPr="00731608">
              <w:rPr>
                <w:rFonts w:ascii="Tahoma" w:hAnsi="Tahoma" w:cs="Tahoma"/>
                <w:sz w:val="19"/>
                <w:szCs w:val="19"/>
                <w:rtl/>
              </w:rPr>
              <w:t xml:space="preserve">הלי הפינוי שלה מותאמים לתרחיש שכזה. על המועצה האזורית </w:t>
            </w:r>
            <w:r w:rsidRPr="00731608">
              <w:rPr>
                <w:rFonts w:ascii="Tahoma" w:hAnsi="Tahoma" w:cs="Tahoma"/>
                <w:b/>
                <w:bCs/>
                <w:sz w:val="19"/>
                <w:szCs w:val="19"/>
                <w:rtl/>
              </w:rPr>
              <w:t>חוף אשקלון</w:t>
            </w:r>
            <w:r w:rsidRPr="00731608">
              <w:rPr>
                <w:rFonts w:ascii="Tahoma" w:hAnsi="Tahoma" w:cs="Tahoma"/>
                <w:sz w:val="19"/>
                <w:szCs w:val="19"/>
                <w:rtl/>
              </w:rPr>
              <w:t xml:space="preserve"> ל</w:t>
            </w:r>
            <w:r>
              <w:rPr>
                <w:rFonts w:ascii="Tahoma" w:hAnsi="Tahoma" w:cs="Tahoma" w:hint="cs"/>
                <w:sz w:val="19"/>
                <w:szCs w:val="19"/>
                <w:rtl/>
              </w:rPr>
              <w:t xml:space="preserve">השלים את </w:t>
            </w:r>
            <w:r w:rsidRPr="00731608">
              <w:rPr>
                <w:rFonts w:ascii="Tahoma" w:hAnsi="Tahoma" w:cs="Tahoma"/>
                <w:sz w:val="19"/>
                <w:szCs w:val="19"/>
                <w:rtl/>
              </w:rPr>
              <w:t xml:space="preserve">תוכנית </w:t>
            </w:r>
            <w:r>
              <w:rPr>
                <w:rFonts w:ascii="Tahoma" w:hAnsi="Tahoma" w:cs="Tahoma" w:hint="cs"/>
                <w:sz w:val="19"/>
                <w:szCs w:val="19"/>
                <w:rtl/>
              </w:rPr>
              <w:t>הפינוי</w:t>
            </w:r>
            <w:r>
              <w:rPr>
                <w:rtl/>
              </w:rPr>
              <w:t xml:space="preserve"> </w:t>
            </w:r>
            <w:r w:rsidRPr="00A91162">
              <w:rPr>
                <w:rFonts w:ascii="Tahoma" w:hAnsi="Tahoma" w:cs="Tahoma"/>
                <w:sz w:val="19"/>
                <w:szCs w:val="19"/>
                <w:rtl/>
              </w:rPr>
              <w:t xml:space="preserve">המפורטת </w:t>
            </w:r>
            <w:r>
              <w:rPr>
                <w:rFonts w:ascii="Tahoma" w:hAnsi="Tahoma" w:cs="Tahoma" w:hint="cs"/>
                <w:sz w:val="19"/>
                <w:szCs w:val="19"/>
                <w:rtl/>
              </w:rPr>
              <w:t>לארבעת</w:t>
            </w:r>
            <w:r w:rsidRPr="00731608">
              <w:rPr>
                <w:rFonts w:ascii="Tahoma" w:hAnsi="Tahoma" w:cs="Tahoma" w:hint="cs"/>
                <w:sz w:val="19"/>
                <w:szCs w:val="19"/>
                <w:rtl/>
              </w:rPr>
              <w:t xml:space="preserve"> ה</w:t>
            </w:r>
            <w:r w:rsidRPr="00731608">
              <w:rPr>
                <w:rFonts w:ascii="Tahoma" w:hAnsi="Tahoma" w:cs="Tahoma"/>
                <w:sz w:val="19"/>
                <w:szCs w:val="19"/>
                <w:rtl/>
              </w:rPr>
              <w:t>יישובים סמוכי הגדר, ומומלץ שתכין תוכנית פינוי לכלל יישובי המועצה. על כלל הרשויות שנבדקו לוודא כי התוכניות והנהלים יפרטו את מכלול תהליך הפינוי ובכלל זה הגדרות התפקידים והאחריות של בעלי תפקידים, הליך ביצוע הפינוי על ידי הרשות המקומית והפעולות הנדרשות בעת הפינוי ובאתרי הקליטה.</w:t>
            </w:r>
          </w:p>
          <w:p w14:paraId="61EA4C18" w14:textId="77777777" w:rsidR="0004088F" w:rsidRPr="00731608" w:rsidRDefault="0004088F" w:rsidP="00935C41">
            <w:pPr>
              <w:pStyle w:val="af2"/>
              <w:spacing w:before="120" w:after="240" w:line="288" w:lineRule="auto"/>
              <w:ind w:left="461" w:right="181" w:hanging="461"/>
              <w:rPr>
                <w:rFonts w:ascii="Tahoma" w:hAnsi="Tahoma" w:cs="Tahoma"/>
                <w:sz w:val="19"/>
                <w:szCs w:val="19"/>
              </w:rPr>
            </w:pPr>
          </w:p>
          <w:p w14:paraId="74761FF0" w14:textId="77777777" w:rsidR="0004088F" w:rsidRDefault="0004088F" w:rsidP="00935C41">
            <w:pPr>
              <w:pStyle w:val="af2"/>
              <w:numPr>
                <w:ilvl w:val="0"/>
                <w:numId w:val="12"/>
              </w:numPr>
              <w:spacing w:before="120" w:after="240" w:line="288" w:lineRule="auto"/>
              <w:ind w:left="461" w:right="181" w:hanging="461"/>
              <w:rPr>
                <w:rFonts w:ascii="Tahoma" w:hAnsi="Tahoma" w:cs="Tahoma"/>
                <w:sz w:val="19"/>
                <w:szCs w:val="19"/>
              </w:rPr>
            </w:pPr>
            <w:r w:rsidRPr="005C4B56">
              <w:rPr>
                <w:rFonts w:ascii="Tahoma" w:hAnsi="Tahoma" w:cs="Tahoma"/>
                <w:sz w:val="19"/>
                <w:szCs w:val="19"/>
                <w:rtl/>
              </w:rPr>
              <w:t xml:space="preserve">על </w:t>
            </w:r>
            <w:r w:rsidRPr="005C4B56">
              <w:rPr>
                <w:rFonts w:ascii="Tahoma" w:hAnsi="Tahoma" w:cs="Tahoma" w:hint="cs"/>
                <w:sz w:val="19"/>
                <w:szCs w:val="19"/>
                <w:rtl/>
              </w:rPr>
              <w:t>ה</w:t>
            </w:r>
            <w:r w:rsidRPr="005C4B56">
              <w:rPr>
                <w:rFonts w:ascii="Tahoma" w:hAnsi="Tahoma" w:cs="Tahoma"/>
                <w:sz w:val="19"/>
                <w:szCs w:val="19"/>
                <w:rtl/>
              </w:rPr>
              <w:t xml:space="preserve">עיריות </w:t>
            </w:r>
            <w:r w:rsidRPr="005C4B56">
              <w:rPr>
                <w:rFonts w:ascii="Tahoma" w:hAnsi="Tahoma" w:cs="Tahoma"/>
                <w:b/>
                <w:bCs/>
                <w:sz w:val="19"/>
                <w:szCs w:val="19"/>
                <w:rtl/>
              </w:rPr>
              <w:t>אופקים</w:t>
            </w:r>
            <w:r w:rsidRPr="005C4B56">
              <w:rPr>
                <w:rFonts w:ascii="Tahoma" w:hAnsi="Tahoma" w:cs="Tahoma"/>
                <w:sz w:val="19"/>
                <w:szCs w:val="19"/>
                <w:rtl/>
              </w:rPr>
              <w:t xml:space="preserve">, </w:t>
            </w:r>
            <w:r w:rsidRPr="005C4B56">
              <w:rPr>
                <w:rFonts w:ascii="Tahoma" w:hAnsi="Tahoma" w:cs="Tahoma"/>
                <w:b/>
                <w:bCs/>
                <w:sz w:val="19"/>
                <w:szCs w:val="19"/>
                <w:rtl/>
              </w:rPr>
              <w:t>אשקלון</w:t>
            </w:r>
            <w:r w:rsidRPr="005C4B56">
              <w:rPr>
                <w:rFonts w:ascii="Tahoma" w:hAnsi="Tahoma" w:cs="Tahoma"/>
                <w:sz w:val="19"/>
                <w:szCs w:val="19"/>
                <w:rtl/>
              </w:rPr>
              <w:t xml:space="preserve"> ו</w:t>
            </w:r>
            <w:r w:rsidRPr="005C4B56">
              <w:rPr>
                <w:rFonts w:ascii="Tahoma" w:hAnsi="Tahoma" w:cs="Tahoma"/>
                <w:b/>
                <w:bCs/>
                <w:sz w:val="19"/>
                <w:szCs w:val="19"/>
                <w:rtl/>
              </w:rPr>
              <w:t>שדרות</w:t>
            </w:r>
            <w:r w:rsidRPr="005C4B56">
              <w:rPr>
                <w:rFonts w:ascii="Tahoma" w:hAnsi="Tahoma" w:cs="Tahoma"/>
                <w:sz w:val="19"/>
                <w:szCs w:val="19"/>
                <w:rtl/>
              </w:rPr>
              <w:t xml:space="preserve"> והמועצות האזוריות </w:t>
            </w:r>
            <w:r w:rsidRPr="005C4B56">
              <w:rPr>
                <w:rFonts w:ascii="Tahoma" w:hAnsi="Tahoma" w:cs="Tahoma"/>
                <w:b/>
                <w:bCs/>
                <w:sz w:val="19"/>
                <w:szCs w:val="19"/>
                <w:rtl/>
              </w:rPr>
              <w:t>אשכול</w:t>
            </w:r>
            <w:r w:rsidRPr="005C4B56">
              <w:rPr>
                <w:rFonts w:ascii="Tahoma" w:hAnsi="Tahoma" w:cs="Tahoma"/>
                <w:sz w:val="19"/>
                <w:szCs w:val="19"/>
                <w:rtl/>
              </w:rPr>
              <w:t xml:space="preserve"> ו</w:t>
            </w:r>
            <w:r w:rsidRPr="005C4B56">
              <w:rPr>
                <w:rFonts w:ascii="Tahoma" w:hAnsi="Tahoma" w:cs="Tahoma"/>
                <w:b/>
                <w:bCs/>
                <w:sz w:val="19"/>
                <w:szCs w:val="19"/>
                <w:rtl/>
              </w:rPr>
              <w:t>חוף אשקלון</w:t>
            </w:r>
            <w:r w:rsidRPr="005C4B56">
              <w:rPr>
                <w:rFonts w:ascii="Tahoma" w:hAnsi="Tahoma" w:cs="Tahoma"/>
                <w:sz w:val="19"/>
                <w:szCs w:val="19"/>
                <w:rtl/>
              </w:rPr>
              <w:t xml:space="preserve"> </w:t>
            </w:r>
            <w:r w:rsidRPr="005C4B56">
              <w:rPr>
                <w:rFonts w:ascii="Tahoma" w:hAnsi="Tahoma" w:cs="Tahoma" w:hint="cs"/>
                <w:sz w:val="19"/>
                <w:szCs w:val="19"/>
                <w:rtl/>
              </w:rPr>
              <w:t>להקים</w:t>
            </w:r>
            <w:r w:rsidRPr="005C4B56">
              <w:rPr>
                <w:rFonts w:ascii="Tahoma" w:hAnsi="Tahoma" w:cs="Tahoma"/>
                <w:sz w:val="19"/>
                <w:szCs w:val="19"/>
                <w:rtl/>
              </w:rPr>
              <w:t xml:space="preserve"> מאגרי נתונים</w:t>
            </w:r>
            <w:r w:rsidRPr="005C4B56">
              <w:rPr>
                <w:rFonts w:ascii="Tahoma" w:hAnsi="Tahoma" w:cs="Tahoma" w:hint="cs"/>
                <w:sz w:val="19"/>
                <w:szCs w:val="19"/>
                <w:rtl/>
              </w:rPr>
              <w:t xml:space="preserve"> למצבי חירום, שיכללו</w:t>
            </w:r>
            <w:r w:rsidRPr="005C4B56">
              <w:rPr>
                <w:rFonts w:ascii="Tahoma" w:hAnsi="Tahoma" w:cs="Tahoma"/>
                <w:sz w:val="19"/>
                <w:szCs w:val="19"/>
                <w:rtl/>
              </w:rPr>
              <w:t xml:space="preserve"> את כלל הנתונים על כלל תושבי</w:t>
            </w:r>
            <w:r w:rsidRPr="005C4B56">
              <w:rPr>
                <w:rFonts w:ascii="Tahoma" w:hAnsi="Tahoma" w:cs="Tahoma" w:hint="eastAsia"/>
                <w:sz w:val="19"/>
                <w:szCs w:val="19"/>
                <w:rtl/>
              </w:rPr>
              <w:t>הן</w:t>
            </w:r>
            <w:r w:rsidRPr="005C4B56">
              <w:rPr>
                <w:rFonts w:ascii="Tahoma" w:hAnsi="Tahoma" w:cs="Tahoma" w:hint="cs"/>
                <w:sz w:val="19"/>
                <w:szCs w:val="19"/>
                <w:rtl/>
              </w:rPr>
              <w:t xml:space="preserve"> ו</w:t>
            </w:r>
            <w:r w:rsidRPr="005C4B56">
              <w:rPr>
                <w:rFonts w:ascii="Tahoma" w:hAnsi="Tahoma" w:cs="Tahoma"/>
                <w:sz w:val="19"/>
                <w:szCs w:val="19"/>
                <w:rtl/>
              </w:rPr>
              <w:t>יס</w:t>
            </w:r>
            <w:r w:rsidRPr="005C4B56">
              <w:rPr>
                <w:rFonts w:ascii="Tahoma" w:hAnsi="Tahoma" w:cs="Tahoma" w:hint="eastAsia"/>
                <w:sz w:val="19"/>
                <w:szCs w:val="19"/>
                <w:rtl/>
              </w:rPr>
              <w:t>י</w:t>
            </w:r>
            <w:r w:rsidRPr="005C4B56">
              <w:rPr>
                <w:rFonts w:ascii="Tahoma" w:hAnsi="Tahoma" w:cs="Tahoma" w:hint="cs"/>
                <w:sz w:val="19"/>
                <w:szCs w:val="19"/>
                <w:rtl/>
              </w:rPr>
              <w:t>י</w:t>
            </w:r>
            <w:r w:rsidRPr="005C4B56">
              <w:rPr>
                <w:rFonts w:ascii="Tahoma" w:hAnsi="Tahoma" w:cs="Tahoma"/>
                <w:sz w:val="19"/>
                <w:szCs w:val="19"/>
                <w:rtl/>
              </w:rPr>
              <w:t>עו לרשו</w:t>
            </w:r>
            <w:r w:rsidRPr="005C4B56">
              <w:rPr>
                <w:rFonts w:ascii="Tahoma" w:hAnsi="Tahoma" w:cs="Tahoma" w:hint="eastAsia"/>
                <w:sz w:val="19"/>
                <w:szCs w:val="19"/>
                <w:rtl/>
              </w:rPr>
              <w:t>יו</w:t>
            </w:r>
            <w:r w:rsidRPr="005C4B56">
              <w:rPr>
                <w:rFonts w:ascii="Tahoma" w:hAnsi="Tahoma" w:cs="Tahoma"/>
                <w:sz w:val="19"/>
                <w:szCs w:val="19"/>
                <w:rtl/>
              </w:rPr>
              <w:t>ת לתפקד באופן תקין ב</w:t>
            </w:r>
            <w:r w:rsidRPr="005C4B56">
              <w:rPr>
                <w:rFonts w:ascii="Tahoma" w:hAnsi="Tahoma" w:cs="Tahoma" w:hint="cs"/>
                <w:sz w:val="19"/>
                <w:szCs w:val="19"/>
                <w:rtl/>
              </w:rPr>
              <w:t xml:space="preserve">מצב </w:t>
            </w:r>
            <w:r w:rsidRPr="005C4B56">
              <w:rPr>
                <w:rFonts w:ascii="Tahoma" w:hAnsi="Tahoma" w:cs="Tahoma"/>
                <w:sz w:val="19"/>
                <w:szCs w:val="19"/>
                <w:rtl/>
              </w:rPr>
              <w:t>חירום. כחלק מהפקת הלקחים ממלחמת חרבות ברזל</w:t>
            </w:r>
            <w:r w:rsidRPr="005C4B56">
              <w:rPr>
                <w:rFonts w:ascii="Tahoma" w:hAnsi="Tahoma" w:cs="Tahoma" w:hint="cs"/>
                <w:sz w:val="19"/>
                <w:szCs w:val="19"/>
                <w:rtl/>
              </w:rPr>
              <w:t>,</w:t>
            </w:r>
            <w:r w:rsidRPr="005C4B56">
              <w:rPr>
                <w:rFonts w:ascii="Tahoma" w:hAnsi="Tahoma" w:cs="Tahoma"/>
                <w:sz w:val="19"/>
                <w:szCs w:val="19"/>
                <w:rtl/>
              </w:rPr>
              <w:t xml:space="preserve"> על משרד הפנים </w:t>
            </w:r>
            <w:r w:rsidRPr="005C4B56">
              <w:rPr>
                <w:rFonts w:ascii="Tahoma" w:hAnsi="Tahoma" w:cs="Tahoma" w:hint="eastAsia"/>
                <w:sz w:val="19"/>
                <w:szCs w:val="19"/>
                <w:rtl/>
              </w:rPr>
              <w:t>בשיתוף</w:t>
            </w:r>
            <w:r w:rsidRPr="005C4B56">
              <w:rPr>
                <w:rFonts w:ascii="Tahoma" w:hAnsi="Tahoma" w:cs="Tahoma"/>
                <w:sz w:val="19"/>
                <w:szCs w:val="19"/>
                <w:rtl/>
              </w:rPr>
              <w:t xml:space="preserve"> </w:t>
            </w:r>
            <w:r w:rsidRPr="005C4B56">
              <w:rPr>
                <w:rFonts w:ascii="Tahoma" w:hAnsi="Tahoma" w:cs="Tahoma" w:hint="eastAsia"/>
                <w:sz w:val="19"/>
                <w:szCs w:val="19"/>
                <w:rtl/>
              </w:rPr>
              <w:t>פקע</w:t>
            </w:r>
            <w:r w:rsidRPr="005C4B56">
              <w:rPr>
                <w:rFonts w:ascii="Tahoma" w:hAnsi="Tahoma" w:cs="Tahoma"/>
                <w:sz w:val="19"/>
                <w:szCs w:val="19"/>
                <w:rtl/>
              </w:rPr>
              <w:t>"ר לפעול כדי לסייע לרשויות המקומיות ולהנחותן בגיבוש וניהול של מאגר נתונים ייעודי ל</w:t>
            </w:r>
            <w:r w:rsidRPr="005C4B56">
              <w:rPr>
                <w:rFonts w:ascii="Tahoma" w:hAnsi="Tahoma" w:cs="Tahoma" w:hint="cs"/>
                <w:sz w:val="19"/>
                <w:szCs w:val="19"/>
                <w:rtl/>
              </w:rPr>
              <w:t>ש</w:t>
            </w:r>
            <w:r w:rsidRPr="005C4B56">
              <w:rPr>
                <w:rFonts w:ascii="Tahoma" w:hAnsi="Tahoma" w:cs="Tahoma"/>
                <w:sz w:val="19"/>
                <w:szCs w:val="19"/>
                <w:rtl/>
              </w:rPr>
              <w:t>עת חירום לגבי תושביהן, כנדרש בתיק האב</w:t>
            </w:r>
            <w:r w:rsidRPr="005C4B56">
              <w:rPr>
                <w:rFonts w:ascii="Tahoma" w:hAnsi="Tahoma" w:cs="Tahoma" w:hint="cs"/>
                <w:sz w:val="19"/>
                <w:szCs w:val="19"/>
                <w:rtl/>
              </w:rPr>
              <w:t>.</w:t>
            </w:r>
            <w:r w:rsidRPr="005C4B56">
              <w:rPr>
                <w:rFonts w:ascii="Tahoma" w:hAnsi="Tahoma" w:cs="Tahoma"/>
                <w:sz w:val="19"/>
                <w:szCs w:val="19"/>
                <w:rtl/>
              </w:rPr>
              <w:t xml:space="preserve"> </w:t>
            </w:r>
            <w:r w:rsidRPr="005C4B56">
              <w:rPr>
                <w:rFonts w:ascii="Tahoma" w:hAnsi="Tahoma" w:cs="Tahoma" w:hint="cs"/>
                <w:sz w:val="19"/>
                <w:szCs w:val="19"/>
                <w:rtl/>
              </w:rPr>
              <w:t xml:space="preserve">מאגר זה </w:t>
            </w:r>
            <w:r w:rsidRPr="005C4B56">
              <w:rPr>
                <w:rFonts w:ascii="Tahoma" w:hAnsi="Tahoma" w:cs="Tahoma"/>
                <w:sz w:val="19"/>
                <w:szCs w:val="19"/>
                <w:rtl/>
              </w:rPr>
              <w:t>יאפשר בין היתר הן לרשות מקומית מפונה והן לרשות מקומית קולטת וכן לגורמי השלטון המרכזי לקבל מידע נגיש וחיוני לצורך טיפול בתושבי הרשות המפונה.</w:t>
            </w:r>
          </w:p>
          <w:p w14:paraId="72B4379D" w14:textId="77777777" w:rsidR="0004088F" w:rsidRPr="005C4B56" w:rsidRDefault="0004088F" w:rsidP="00935C41">
            <w:pPr>
              <w:pStyle w:val="af2"/>
              <w:spacing w:line="288" w:lineRule="auto"/>
              <w:ind w:left="461" w:right="181" w:hanging="461"/>
              <w:rPr>
                <w:rFonts w:ascii="Tahoma" w:hAnsi="Tahoma" w:cs="Tahoma"/>
                <w:sz w:val="19"/>
                <w:szCs w:val="19"/>
                <w:rtl/>
              </w:rPr>
            </w:pPr>
          </w:p>
          <w:p w14:paraId="06C684F0" w14:textId="77777777" w:rsidR="00AE4BB7" w:rsidRPr="00BE22D7" w:rsidRDefault="0004088F" w:rsidP="00DE1044">
            <w:pPr>
              <w:pStyle w:val="73"/>
              <w:numPr>
                <w:ilvl w:val="0"/>
                <w:numId w:val="19"/>
              </w:numPr>
              <w:spacing w:after="120"/>
              <w:ind w:left="459" w:right="181" w:hanging="459"/>
              <w:rPr>
                <w:rtl/>
              </w:rPr>
            </w:pPr>
            <w:r w:rsidRPr="00731608">
              <w:rPr>
                <w:sz w:val="19"/>
                <w:szCs w:val="19"/>
                <w:rtl/>
              </w:rPr>
              <w:t xml:space="preserve">על </w:t>
            </w:r>
            <w:r w:rsidRPr="00731608">
              <w:rPr>
                <w:rFonts w:hint="cs"/>
                <w:sz w:val="19"/>
                <w:szCs w:val="19"/>
                <w:rtl/>
              </w:rPr>
              <w:t>ה</w:t>
            </w:r>
            <w:r w:rsidRPr="00731608">
              <w:rPr>
                <w:sz w:val="19"/>
                <w:szCs w:val="19"/>
                <w:rtl/>
              </w:rPr>
              <w:t xml:space="preserve">עיריות </w:t>
            </w:r>
            <w:r w:rsidRPr="00731608">
              <w:rPr>
                <w:b/>
                <w:bCs/>
                <w:sz w:val="19"/>
                <w:szCs w:val="19"/>
                <w:rtl/>
              </w:rPr>
              <w:t>אופקים</w:t>
            </w:r>
            <w:r w:rsidRPr="00731608">
              <w:rPr>
                <w:sz w:val="19"/>
                <w:szCs w:val="19"/>
                <w:rtl/>
              </w:rPr>
              <w:t xml:space="preserve">, </w:t>
            </w:r>
            <w:r w:rsidRPr="00731608">
              <w:rPr>
                <w:b/>
                <w:bCs/>
                <w:sz w:val="19"/>
                <w:szCs w:val="19"/>
                <w:rtl/>
              </w:rPr>
              <w:t>אשקלון</w:t>
            </w:r>
            <w:r w:rsidRPr="00731608">
              <w:rPr>
                <w:sz w:val="19"/>
                <w:szCs w:val="19"/>
                <w:rtl/>
              </w:rPr>
              <w:t>, ו</w:t>
            </w:r>
            <w:r w:rsidRPr="00731608">
              <w:rPr>
                <w:b/>
                <w:bCs/>
                <w:sz w:val="19"/>
                <w:szCs w:val="19"/>
                <w:rtl/>
              </w:rPr>
              <w:t>שדרות</w:t>
            </w:r>
            <w:r w:rsidRPr="00731608">
              <w:rPr>
                <w:sz w:val="19"/>
                <w:szCs w:val="19"/>
                <w:rtl/>
              </w:rPr>
              <w:t xml:space="preserve"> והמועצה האזורית </w:t>
            </w:r>
            <w:r w:rsidRPr="00731608">
              <w:rPr>
                <w:b/>
                <w:bCs/>
                <w:sz w:val="19"/>
                <w:szCs w:val="19"/>
                <w:rtl/>
              </w:rPr>
              <w:t>חוף אשקלון</w:t>
            </w:r>
            <w:r w:rsidRPr="00731608">
              <w:rPr>
                <w:sz w:val="19"/>
                <w:szCs w:val="19"/>
                <w:rtl/>
              </w:rPr>
              <w:t xml:space="preserve"> לקיים תרגילי פינוי תושבים בתדירות שתאפשר להן מוכנות בשעת חירום, תוך הפקת לקחים מתאימה ויישומם. על משרד הפנים ופקע"ר לפעול בקרב הרשויות כדי לוודא </w:t>
            </w:r>
            <w:r>
              <w:rPr>
                <w:rFonts w:hint="cs"/>
                <w:sz w:val="19"/>
                <w:szCs w:val="19"/>
                <w:rtl/>
              </w:rPr>
              <w:t>ש</w:t>
            </w:r>
            <w:r w:rsidRPr="00731608">
              <w:rPr>
                <w:sz w:val="19"/>
                <w:szCs w:val="19"/>
                <w:rtl/>
              </w:rPr>
              <w:t>הן מקיימות את תרג</w:t>
            </w:r>
            <w:r>
              <w:rPr>
                <w:rFonts w:hint="cs"/>
                <w:sz w:val="19"/>
                <w:szCs w:val="19"/>
                <w:rtl/>
              </w:rPr>
              <w:t>י</w:t>
            </w:r>
            <w:r w:rsidRPr="00731608">
              <w:rPr>
                <w:sz w:val="19"/>
                <w:szCs w:val="19"/>
                <w:rtl/>
              </w:rPr>
              <w:t xml:space="preserve">לי הפינוי </w:t>
            </w:r>
            <w:r w:rsidRPr="00A30D78">
              <w:rPr>
                <w:sz w:val="19"/>
                <w:szCs w:val="19"/>
                <w:rtl/>
              </w:rPr>
              <w:t>בתחומי הרשות ו</w:t>
            </w:r>
            <w:r w:rsidR="008F0F0F">
              <w:rPr>
                <w:rFonts w:hint="cs"/>
                <w:sz w:val="19"/>
                <w:szCs w:val="19"/>
                <w:rtl/>
              </w:rPr>
              <w:t>כ</w:t>
            </w:r>
            <w:r w:rsidRPr="00A30D78">
              <w:rPr>
                <w:sz w:val="19"/>
                <w:szCs w:val="19"/>
                <w:rtl/>
              </w:rPr>
              <w:t xml:space="preserve">ן פינוי תושבים אל מחוץ לתחומן, </w:t>
            </w:r>
            <w:r w:rsidRPr="00731608">
              <w:rPr>
                <w:sz w:val="19"/>
                <w:szCs w:val="19"/>
                <w:rtl/>
              </w:rPr>
              <w:t>בהיקף הנדרש ובתדירות המתאימה</w:t>
            </w:r>
            <w:r w:rsidR="008F0F0F">
              <w:rPr>
                <w:rFonts w:hint="cs"/>
                <w:sz w:val="19"/>
                <w:szCs w:val="19"/>
                <w:rtl/>
              </w:rPr>
              <w:t>,</w:t>
            </w:r>
            <w:r w:rsidRPr="00731608">
              <w:rPr>
                <w:sz w:val="19"/>
                <w:szCs w:val="19"/>
                <w:rtl/>
              </w:rPr>
              <w:t xml:space="preserve"> </w:t>
            </w:r>
            <w:r w:rsidRPr="00A30D78">
              <w:rPr>
                <w:sz w:val="19"/>
                <w:szCs w:val="19"/>
                <w:rtl/>
              </w:rPr>
              <w:t>ולדאוג כי יתקיים הליך הפקת לקחים מביצוע התרגילים</w:t>
            </w:r>
            <w:r w:rsidRPr="00731608">
              <w:rPr>
                <w:sz w:val="19"/>
                <w:szCs w:val="19"/>
                <w:rtl/>
              </w:rPr>
              <w:t>.</w:t>
            </w:r>
          </w:p>
        </w:tc>
      </w:tr>
    </w:tbl>
    <w:p w14:paraId="14449BB5" w14:textId="77777777" w:rsidR="00AE4BB7" w:rsidRPr="00DA3406" w:rsidRDefault="00AE4BB7" w:rsidP="00AE4BB7">
      <w:pPr>
        <w:bidi w:val="0"/>
        <w:spacing w:after="160" w:line="259" w:lineRule="auto"/>
        <w:ind w:left="-1"/>
        <w:jc w:val="left"/>
        <w:rPr>
          <w:sz w:val="2"/>
          <w:szCs w:val="2"/>
          <w:rtl/>
        </w:rPr>
      </w:pPr>
    </w:p>
    <w:p w14:paraId="27161FFC" w14:textId="77777777" w:rsidR="00AE4BB7" w:rsidRPr="00D57BE9" w:rsidRDefault="00AE4BB7" w:rsidP="008F0F0F">
      <w:pPr>
        <w:jc w:val="center"/>
        <w:rPr>
          <w:rtl/>
        </w:rPr>
      </w:pPr>
      <w:r w:rsidRPr="00D527BD">
        <w:rPr>
          <w:noProof/>
          <w:szCs w:val="20"/>
          <w:rtl/>
        </w:rPr>
        <w:lastRenderedPageBreak/>
        <w:drawing>
          <wp:anchor distT="0" distB="0" distL="114300" distR="114300" simplePos="0" relativeHeight="251660288" behindDoc="0" locked="0" layoutInCell="1" allowOverlap="1" wp14:anchorId="6A9767D6" wp14:editId="4D7770E1">
            <wp:simplePos x="0" y="0"/>
            <wp:positionH relativeFrom="column">
              <wp:posOffset>-127635</wp:posOffset>
            </wp:positionH>
            <wp:positionV relativeFrom="paragraph">
              <wp:posOffset>-1905</wp:posOffset>
            </wp:positionV>
            <wp:extent cx="6015355" cy="761365"/>
            <wp:effectExtent l="0" t="0" r="0" b="0"/>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15355" cy="761365"/>
                    </a:xfrm>
                    <a:prstGeom prst="rect">
                      <a:avLst/>
                    </a:prstGeom>
                  </pic:spPr>
                </pic:pic>
              </a:graphicData>
            </a:graphic>
            <wp14:sizeRelH relativeFrom="margin">
              <wp14:pctWidth>0</wp14:pctWidth>
            </wp14:sizeRelH>
            <wp14:sizeRelV relativeFrom="margin">
              <wp14:pctHeight>0</wp14:pctHeight>
            </wp14:sizeRelV>
          </wp:anchor>
        </w:drawing>
      </w:r>
      <w:r w:rsidRPr="00D527BD">
        <w:rPr>
          <w:noProof/>
          <w:szCs w:val="20"/>
          <w:rtl/>
        </w:rPr>
        <mc:AlternateContent>
          <mc:Choice Requires="wps">
            <w:drawing>
              <wp:anchor distT="0" distB="0" distL="114300" distR="114300" simplePos="0" relativeHeight="251661312" behindDoc="0" locked="0" layoutInCell="1" allowOverlap="1" wp14:anchorId="7A325667" wp14:editId="7829B87B">
                <wp:simplePos x="0" y="0"/>
                <wp:positionH relativeFrom="column">
                  <wp:posOffset>241935</wp:posOffset>
                </wp:positionH>
                <wp:positionV relativeFrom="paragraph">
                  <wp:posOffset>102870</wp:posOffset>
                </wp:positionV>
                <wp:extent cx="5417820" cy="434975"/>
                <wp:effectExtent l="0" t="0" r="5080" b="0"/>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7820" cy="434975"/>
                        </a:xfrm>
                        <a:prstGeom prst="rect">
                          <a:avLst/>
                        </a:prstGeom>
                        <a:solidFill>
                          <a:srgbClr val="F05260"/>
                        </a:solidFill>
                        <a:ln w="9525">
                          <a:noFill/>
                          <a:miter lim="800000"/>
                          <a:headEnd/>
                          <a:tailEnd/>
                        </a:ln>
                      </wps:spPr>
                      <wps:txbx>
                        <w:txbxContent>
                          <w:p w14:paraId="3A59ED45" w14:textId="77777777" w:rsidR="00AE4BB7" w:rsidRPr="005C7ABF" w:rsidRDefault="0004088F" w:rsidP="00AE4BB7">
                            <w:pPr>
                              <w:pStyle w:val="733"/>
                              <w:rPr>
                                <w:rtl/>
                              </w:rPr>
                            </w:pPr>
                            <w:r w:rsidRPr="0004088F">
                              <w:rPr>
                                <w:rtl/>
                              </w:rPr>
                              <w:t xml:space="preserve">מפת </w:t>
                            </w:r>
                            <w:r w:rsidR="007076CA">
                              <w:rPr>
                                <w:rFonts w:hint="cs"/>
                                <w:rtl/>
                              </w:rPr>
                              <w:t>ה</w:t>
                            </w:r>
                            <w:r w:rsidRPr="0004088F">
                              <w:rPr>
                                <w:rtl/>
                              </w:rPr>
                              <w:t>יישובים בדרום הארץ שפונו במלחמת חרבות ברזל, אוקטובר 2023*</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7A325667" id="_x0000_t202" coordsize="21600,21600" o:spt="202" path="m,l,21600r21600,l21600,xe">
                <v:stroke joinstyle="miter"/>
                <v:path gradientshapeok="t" o:connecttype="rect"/>
              </v:shapetype>
              <v:shape id="Text Box 2" o:spid="_x0000_s1026" type="#_x0000_t202" style="position:absolute;left:0;text-align:left;margin-left:19.05pt;margin-top:8.1pt;width:426.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" fillcolor="#f05260" stroked="f">
                <v:textbox>
                  <w:txbxContent>
                    <w:p w14:paraId="3A59ED45" w14:textId="77777777" w:rsidR="00AE4BB7" w:rsidRPr="005C7ABF" w:rsidRDefault="0004088F" w:rsidP="00AE4BB7">
                      <w:pPr>
                        <w:pStyle w:val="733"/>
                        <w:rPr>
                          <w:rtl/>
                        </w:rPr>
                      </w:pPr>
                      <w:r w:rsidRPr="0004088F">
                        <w:rPr>
                          <w:rtl/>
                        </w:rPr>
                        <w:t xml:space="preserve">מפת </w:t>
                      </w:r>
                      <w:r w:rsidR="007076CA">
                        <w:rPr>
                          <w:rFonts w:hint="cs"/>
                          <w:rtl/>
                        </w:rPr>
                        <w:t>ה</w:t>
                      </w:r>
                      <w:r w:rsidRPr="0004088F">
                        <w:rPr>
                          <w:rtl/>
                        </w:rPr>
                        <w:t>יישובים בדרום הארץ שפונו במלחמת חרבות ברזל, אוקטובר 2023*</w:t>
                      </w:r>
                    </w:p>
                  </w:txbxContent>
                </v:textbox>
              </v:shape>
            </w:pict>
          </mc:Fallback>
        </mc:AlternateContent>
      </w:r>
      <w:r w:rsidR="0004088F">
        <w:rPr>
          <w:noProof/>
        </w:rPr>
        <w:drawing>
          <wp:inline distT="0" distB="0" distL="0" distR="0" wp14:anchorId="73974BAE" wp14:editId="0E3F3BF0">
            <wp:extent cx="3879988" cy="5094515"/>
            <wp:effectExtent l="0" t="0" r="6350" b="0"/>
            <wp:docPr id="3" name="תמונה 3" descr="המפה מציגה את יישובי דרום הארץ שפונו במלחמת חרבות ברזל ולגבי כל יישוב מציגה בשטח של איזה רשות מקומית הוא נכלל והאם הוא פונה באופן מלא או באופן חלקי או שפונה להפוגה לזמן ק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5333" cy="5140924"/>
                    </a:xfrm>
                    <a:prstGeom prst="rect">
                      <a:avLst/>
                    </a:prstGeom>
                    <a:noFill/>
                  </pic:spPr>
                </pic:pic>
              </a:graphicData>
            </a:graphic>
          </wp:inline>
        </w:drawing>
      </w:r>
    </w:p>
    <w:p w14:paraId="16D5C6FD" w14:textId="77777777" w:rsidR="001C0D64" w:rsidRDefault="0004088F" w:rsidP="001C0D64">
      <w:pPr>
        <w:pStyle w:val="731"/>
        <w:spacing w:after="0" w:line="288" w:lineRule="auto"/>
        <w:rPr>
          <w:rtl/>
        </w:rPr>
      </w:pPr>
      <w:r>
        <w:rPr>
          <w:rtl/>
        </w:rPr>
        <w:t>המקור: מפת רקע (אורתופוטו), שכבת גבולות ושכבת מרכזי יישובים של המרכז למיפוי ישראל, שכבת גבולות שיפוט של משרד הפנים, נתוני פינוי תושבים לפי "מיפוי יישובי קו העימות בגבול הצפון וגבול עזה, לפי מועד פינוי", מרכז המחקר והמידע של הכנסת (22.11.23), בעיבוד משרד מבקר המדינה.</w:t>
      </w:r>
    </w:p>
    <w:p w14:paraId="223F937B" w14:textId="77777777" w:rsidR="00AE4BB7" w:rsidRDefault="0004088F" w:rsidP="001C0D64">
      <w:pPr>
        <w:pStyle w:val="731"/>
        <w:spacing w:before="0" w:after="120" w:line="288" w:lineRule="auto"/>
        <w:rPr>
          <w:rtl/>
        </w:rPr>
      </w:pPr>
      <w:r>
        <w:rPr>
          <w:rtl/>
        </w:rPr>
        <w:t>* המפה כוללת יישובים שפונו במימון המדינה או הרשות המקומית.</w:t>
      </w:r>
    </w:p>
    <w:p w14:paraId="7C0998AB" w14:textId="77777777" w:rsidR="007076CA" w:rsidRDefault="007076CA" w:rsidP="001C0D64">
      <w:pPr>
        <w:pStyle w:val="731"/>
        <w:spacing w:before="0" w:after="120" w:line="288" w:lineRule="auto"/>
        <w:rPr>
          <w:rtl/>
        </w:rPr>
      </w:pPr>
    </w:p>
    <w:p w14:paraId="1732C0CC" w14:textId="77777777" w:rsidR="007076CA" w:rsidRDefault="007076CA" w:rsidP="001C0D64">
      <w:pPr>
        <w:pStyle w:val="731"/>
        <w:spacing w:before="0" w:after="120" w:line="288" w:lineRule="auto"/>
        <w:rPr>
          <w:rtl/>
        </w:rPr>
      </w:pPr>
    </w:p>
    <w:p w14:paraId="111B2283" w14:textId="77777777" w:rsidR="00AE4BB7" w:rsidRPr="006B7706" w:rsidRDefault="00AE4BB7" w:rsidP="00A5680F">
      <w:pPr>
        <w:spacing w:after="160" w:line="480" w:lineRule="auto"/>
        <w:ind w:left="-1"/>
        <w:rPr>
          <w:rFonts w:ascii="Tahoma" w:hAnsi="Tahoma" w:cs="Tahoma"/>
          <w:rtl/>
        </w:rPr>
      </w:pPr>
      <w:r w:rsidRPr="006C4033">
        <w:rPr>
          <w:rFonts w:ascii="Tahoma" w:hAnsi="Tahoma" w:cs="Tahoma"/>
          <w:noProof/>
        </w:rPr>
        <w:lastRenderedPageBreak/>
        <w:drawing>
          <wp:inline distT="0" distB="0" distL="0" distR="0" wp14:anchorId="2AEB250E" wp14:editId="19F94CC6">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14:paraId="5907AB3E" w14:textId="77777777" w:rsidR="00425665" w:rsidRPr="00425665" w:rsidRDefault="00425665" w:rsidP="000F40F0">
      <w:pPr>
        <w:pStyle w:val="739"/>
        <w:spacing w:after="120"/>
        <w:rPr>
          <w:rFonts w:eastAsia="Calibri"/>
          <w:sz w:val="19"/>
          <w:szCs w:val="19"/>
          <w:rtl/>
        </w:rPr>
      </w:pPr>
      <w:r w:rsidRPr="00425665">
        <w:rPr>
          <w:rFonts w:eastAsia="Calibri"/>
          <w:sz w:val="19"/>
          <w:szCs w:val="19"/>
          <w:rtl/>
        </w:rPr>
        <w:t xml:space="preserve">קיימת חשיבות רבה </w:t>
      </w:r>
      <w:r w:rsidRPr="00425665">
        <w:rPr>
          <w:sz w:val="19"/>
          <w:szCs w:val="19"/>
          <w:rtl/>
        </w:rPr>
        <w:t>להתארגנות</w:t>
      </w:r>
      <w:r w:rsidRPr="00425665">
        <w:rPr>
          <w:rFonts w:eastAsia="Calibri"/>
          <w:sz w:val="19"/>
          <w:szCs w:val="19"/>
          <w:rtl/>
        </w:rPr>
        <w:t xml:space="preserve"> מקדימה ו</w:t>
      </w:r>
      <w:r w:rsidRPr="00425665">
        <w:rPr>
          <w:rFonts w:eastAsia="Calibri" w:hint="cs"/>
          <w:sz w:val="19"/>
          <w:szCs w:val="19"/>
          <w:rtl/>
        </w:rPr>
        <w:t>ל</w:t>
      </w:r>
      <w:r w:rsidRPr="00425665">
        <w:rPr>
          <w:rFonts w:eastAsia="Calibri"/>
          <w:sz w:val="19"/>
          <w:szCs w:val="19"/>
          <w:rtl/>
        </w:rPr>
        <w:t>היערכות של הרשויות המקומיות לשעת חירום באמצעות הכנת תיקי חירום ותוכניות לשעת חירום, הכשרת כוח אדם ייעודי בהן, הכנת מאגרי מידע לשעת חירום, בדיקת מוכנותן לשעת חירום ותרגולן לפי תרחישים שונים, הנקבעים על ידי גופי החירום</w:t>
      </w:r>
      <w:r w:rsidRPr="00425665">
        <w:rPr>
          <w:rFonts w:eastAsia="Calibri" w:hint="cs"/>
          <w:sz w:val="19"/>
          <w:szCs w:val="19"/>
          <w:rtl/>
        </w:rPr>
        <w:t>.</w:t>
      </w:r>
    </w:p>
    <w:p w14:paraId="16415772" w14:textId="77777777" w:rsidR="00425665" w:rsidRPr="00425665" w:rsidRDefault="00425665" w:rsidP="000F40F0">
      <w:pPr>
        <w:pStyle w:val="739"/>
        <w:spacing w:after="120"/>
        <w:rPr>
          <w:rFonts w:eastAsia="Calibri"/>
          <w:sz w:val="19"/>
          <w:szCs w:val="19"/>
          <w:rtl/>
        </w:rPr>
      </w:pPr>
      <w:bookmarkStart w:id="13" w:name="_Hlk208763484"/>
      <w:r w:rsidRPr="00425665">
        <w:rPr>
          <w:rFonts w:eastAsia="Calibri"/>
          <w:sz w:val="19"/>
          <w:szCs w:val="19"/>
          <w:rtl/>
        </w:rPr>
        <w:t xml:space="preserve">מהממצאים עולה </w:t>
      </w:r>
      <w:r w:rsidRPr="00425665">
        <w:rPr>
          <w:rFonts w:eastAsia="Calibri" w:hint="eastAsia"/>
          <w:sz w:val="19"/>
          <w:szCs w:val="19"/>
          <w:rtl/>
        </w:rPr>
        <w:t>כי</w:t>
      </w:r>
      <w:r w:rsidRPr="00425665">
        <w:rPr>
          <w:rFonts w:eastAsia="Calibri"/>
          <w:sz w:val="19"/>
          <w:szCs w:val="19"/>
          <w:rtl/>
        </w:rPr>
        <w:t xml:space="preserve"> </w:t>
      </w:r>
      <w:r w:rsidRPr="00425665">
        <w:rPr>
          <w:rFonts w:eastAsia="Calibri" w:hint="cs"/>
          <w:sz w:val="19"/>
          <w:szCs w:val="19"/>
          <w:rtl/>
        </w:rPr>
        <w:t xml:space="preserve">צה"ל, </w:t>
      </w:r>
      <w:r w:rsidRPr="00425665">
        <w:rPr>
          <w:rFonts w:eastAsia="Calibri"/>
          <w:sz w:val="19"/>
          <w:szCs w:val="19"/>
          <w:rtl/>
        </w:rPr>
        <w:t xml:space="preserve">משרד הפנים ורח"ל </w:t>
      </w:r>
      <w:r w:rsidRPr="00425665">
        <w:rPr>
          <w:rFonts w:eastAsia="Calibri" w:hint="eastAsia"/>
          <w:sz w:val="19"/>
          <w:szCs w:val="19"/>
          <w:rtl/>
        </w:rPr>
        <w:t>לא</w:t>
      </w:r>
      <w:r w:rsidRPr="00425665">
        <w:rPr>
          <w:rFonts w:eastAsia="Calibri"/>
          <w:sz w:val="19"/>
          <w:szCs w:val="19"/>
          <w:rtl/>
        </w:rPr>
        <w:t xml:space="preserve"> </w:t>
      </w:r>
      <w:bookmarkEnd w:id="13"/>
      <w:r w:rsidRPr="00425665">
        <w:rPr>
          <w:rFonts w:eastAsia="Calibri" w:hint="cs"/>
          <w:sz w:val="19"/>
          <w:szCs w:val="19"/>
          <w:rtl/>
        </w:rPr>
        <w:t>נערכו מראש</w:t>
      </w:r>
      <w:r w:rsidRPr="00425665">
        <w:rPr>
          <w:rFonts w:eastAsia="Calibri"/>
          <w:szCs w:val="24"/>
          <w:rtl/>
        </w:rPr>
        <w:t xml:space="preserve"> </w:t>
      </w:r>
      <w:r w:rsidRPr="00425665">
        <w:rPr>
          <w:rFonts w:eastAsia="Calibri" w:hint="cs"/>
          <w:sz w:val="19"/>
          <w:szCs w:val="19"/>
          <w:rtl/>
        </w:rPr>
        <w:t>ו</w:t>
      </w:r>
      <w:r w:rsidRPr="00425665">
        <w:rPr>
          <w:rFonts w:eastAsia="Calibri"/>
          <w:sz w:val="19"/>
          <w:szCs w:val="19"/>
          <w:rtl/>
        </w:rPr>
        <w:t xml:space="preserve">לא הנחו את הרשויות המקומיות בדרום הארץ הסמוכות לגבול </w:t>
      </w:r>
      <w:r w:rsidRPr="00425665">
        <w:rPr>
          <w:rFonts w:eastAsia="Calibri" w:hint="cs"/>
          <w:sz w:val="19"/>
          <w:szCs w:val="19"/>
          <w:rtl/>
        </w:rPr>
        <w:t xml:space="preserve">רצועת </w:t>
      </w:r>
      <w:r w:rsidRPr="00425665">
        <w:rPr>
          <w:rFonts w:eastAsia="Calibri"/>
          <w:sz w:val="19"/>
          <w:szCs w:val="19"/>
          <w:rtl/>
        </w:rPr>
        <w:t xml:space="preserve">עזה להיערך לחלופות </w:t>
      </w:r>
      <w:r w:rsidRPr="00425665">
        <w:rPr>
          <w:sz w:val="19"/>
          <w:szCs w:val="19"/>
          <w:rtl/>
        </w:rPr>
        <w:t>שונות</w:t>
      </w:r>
      <w:r w:rsidRPr="00425665">
        <w:rPr>
          <w:rFonts w:eastAsia="Calibri"/>
          <w:sz w:val="19"/>
          <w:szCs w:val="19"/>
          <w:rtl/>
        </w:rPr>
        <w:t xml:space="preserve"> </w:t>
      </w:r>
      <w:r w:rsidRPr="00425665">
        <w:rPr>
          <w:rFonts w:eastAsia="Calibri" w:hint="eastAsia"/>
          <w:sz w:val="19"/>
          <w:szCs w:val="19"/>
          <w:rtl/>
        </w:rPr>
        <w:t>ל</w:t>
      </w:r>
      <w:r w:rsidRPr="00425665">
        <w:rPr>
          <w:rFonts w:eastAsia="Calibri" w:hint="cs"/>
          <w:sz w:val="19"/>
          <w:szCs w:val="19"/>
          <w:rtl/>
        </w:rPr>
        <w:t>ביצוע</w:t>
      </w:r>
      <w:r w:rsidRPr="00425665">
        <w:rPr>
          <w:rFonts w:eastAsia="Calibri"/>
          <w:sz w:val="19"/>
          <w:szCs w:val="19"/>
          <w:rtl/>
        </w:rPr>
        <w:t xml:space="preserve"> פינוי תושבים בתרחיש מלחמתי, ובכלל זה פינוי תושבים בהיקפים ניכרים ומשמעותיים כפי שקרה בעקבות מתקפת </w:t>
      </w:r>
      <w:r w:rsidRPr="00425665">
        <w:rPr>
          <w:rFonts w:eastAsia="Calibri" w:hint="cs"/>
          <w:sz w:val="19"/>
          <w:szCs w:val="19"/>
          <w:rtl/>
        </w:rPr>
        <w:t>הטרור</w:t>
      </w:r>
      <w:r w:rsidRPr="00425665">
        <w:rPr>
          <w:rFonts w:eastAsia="Calibri"/>
          <w:sz w:val="19"/>
          <w:szCs w:val="19"/>
          <w:rtl/>
        </w:rPr>
        <w:t xml:space="preserve"> בשבעה באוקטובר. העיר </w:t>
      </w:r>
      <w:r w:rsidRPr="00425665">
        <w:rPr>
          <w:rFonts w:eastAsia="Calibri" w:hint="eastAsia"/>
          <w:b/>
          <w:bCs/>
          <w:sz w:val="19"/>
          <w:szCs w:val="19"/>
          <w:rtl/>
        </w:rPr>
        <w:t>שדרות</w:t>
      </w:r>
      <w:r w:rsidRPr="00425665">
        <w:rPr>
          <w:rFonts w:eastAsia="Calibri" w:hint="cs"/>
          <w:sz w:val="19"/>
          <w:szCs w:val="19"/>
          <w:rtl/>
        </w:rPr>
        <w:t>,</w:t>
      </w:r>
      <w:r w:rsidRPr="00425665">
        <w:rPr>
          <w:rFonts w:eastAsia="Calibri"/>
          <w:sz w:val="19"/>
          <w:szCs w:val="19"/>
          <w:rtl/>
        </w:rPr>
        <w:t xml:space="preserve"> הנמצאת בטווח של 1.3 ק"מ מגבול רצועת עזה, </w:t>
      </w:r>
      <w:r w:rsidRPr="00425665">
        <w:rPr>
          <w:rFonts w:eastAsia="Calibri" w:hint="eastAsia"/>
          <w:sz w:val="19"/>
          <w:szCs w:val="19"/>
          <w:rtl/>
        </w:rPr>
        <w:t>והערים</w:t>
      </w:r>
      <w:r w:rsidRPr="00425665">
        <w:rPr>
          <w:rFonts w:eastAsia="Calibri"/>
          <w:sz w:val="19"/>
          <w:szCs w:val="19"/>
          <w:rtl/>
        </w:rPr>
        <w:t xml:space="preserve"> </w:t>
      </w:r>
      <w:r w:rsidRPr="00425665">
        <w:rPr>
          <w:rFonts w:eastAsia="Calibri"/>
          <w:b/>
          <w:bCs/>
          <w:sz w:val="19"/>
          <w:szCs w:val="19"/>
          <w:rtl/>
        </w:rPr>
        <w:t>אופקים</w:t>
      </w:r>
      <w:r w:rsidRPr="00425665">
        <w:rPr>
          <w:rFonts w:eastAsia="Calibri"/>
          <w:sz w:val="19"/>
          <w:szCs w:val="19"/>
          <w:rtl/>
        </w:rPr>
        <w:t xml:space="preserve"> ו</w:t>
      </w:r>
      <w:r w:rsidRPr="00425665">
        <w:rPr>
          <w:rFonts w:eastAsia="Calibri"/>
          <w:b/>
          <w:bCs/>
          <w:sz w:val="19"/>
          <w:szCs w:val="19"/>
          <w:rtl/>
        </w:rPr>
        <w:t xml:space="preserve">אשקלון </w:t>
      </w:r>
      <w:r w:rsidRPr="00425665">
        <w:rPr>
          <w:rFonts w:eastAsia="Calibri"/>
          <w:sz w:val="19"/>
          <w:szCs w:val="19"/>
          <w:rtl/>
        </w:rPr>
        <w:t>לא נכלל</w:t>
      </w:r>
      <w:r w:rsidRPr="00425665">
        <w:rPr>
          <w:rFonts w:eastAsia="Calibri" w:hint="eastAsia"/>
          <w:sz w:val="19"/>
          <w:szCs w:val="19"/>
          <w:rtl/>
        </w:rPr>
        <w:t>ו</w:t>
      </w:r>
      <w:r w:rsidRPr="00425665">
        <w:rPr>
          <w:rFonts w:eastAsia="Calibri"/>
          <w:sz w:val="19"/>
          <w:szCs w:val="19"/>
          <w:rtl/>
        </w:rPr>
        <w:t xml:space="preserve"> בתוכנית הלאומית "מרחק בטוח" </w:t>
      </w:r>
      <w:r w:rsidRPr="00425665">
        <w:rPr>
          <w:rFonts w:eastAsia="Calibri" w:hint="eastAsia"/>
          <w:sz w:val="19"/>
          <w:szCs w:val="19"/>
          <w:rtl/>
        </w:rPr>
        <w:t>לפינוי</w:t>
      </w:r>
      <w:r w:rsidRPr="00425665">
        <w:rPr>
          <w:rFonts w:eastAsia="Calibri" w:hint="cs"/>
          <w:sz w:val="19"/>
          <w:szCs w:val="19"/>
          <w:rtl/>
        </w:rPr>
        <w:t xml:space="preserve"> אוכלוסייה, ותרחישי הייחוס </w:t>
      </w:r>
      <w:r w:rsidRPr="00425665">
        <w:rPr>
          <w:rFonts w:eastAsia="Calibri"/>
          <w:sz w:val="19"/>
          <w:szCs w:val="19"/>
          <w:rtl/>
        </w:rPr>
        <w:t xml:space="preserve">שנקבעו לעיריות </w:t>
      </w:r>
      <w:r w:rsidRPr="00425665">
        <w:rPr>
          <w:rFonts w:eastAsia="Calibri"/>
          <w:b/>
          <w:bCs/>
          <w:sz w:val="19"/>
          <w:szCs w:val="19"/>
          <w:rtl/>
        </w:rPr>
        <w:t>אופקים</w:t>
      </w:r>
      <w:r w:rsidRPr="00425665">
        <w:rPr>
          <w:rFonts w:eastAsia="Calibri"/>
          <w:sz w:val="19"/>
          <w:szCs w:val="19"/>
          <w:rtl/>
        </w:rPr>
        <w:t xml:space="preserve">, </w:t>
      </w:r>
      <w:r w:rsidRPr="00425665">
        <w:rPr>
          <w:rFonts w:eastAsia="Calibri"/>
          <w:b/>
          <w:bCs/>
          <w:sz w:val="19"/>
          <w:szCs w:val="19"/>
          <w:rtl/>
        </w:rPr>
        <w:t xml:space="preserve">אשקלון </w:t>
      </w:r>
      <w:r w:rsidRPr="00425665">
        <w:rPr>
          <w:rFonts w:eastAsia="Calibri" w:hint="cs"/>
          <w:sz w:val="19"/>
          <w:szCs w:val="19"/>
          <w:rtl/>
        </w:rPr>
        <w:t>ו</w:t>
      </w:r>
      <w:r w:rsidRPr="00425665">
        <w:rPr>
          <w:rFonts w:eastAsia="Calibri" w:hint="cs"/>
          <w:b/>
          <w:bCs/>
          <w:sz w:val="19"/>
          <w:szCs w:val="19"/>
          <w:rtl/>
        </w:rPr>
        <w:t xml:space="preserve">שדרות </w:t>
      </w:r>
      <w:r w:rsidRPr="00425665">
        <w:rPr>
          <w:rFonts w:eastAsia="Calibri"/>
          <w:sz w:val="19"/>
          <w:szCs w:val="19"/>
          <w:rtl/>
        </w:rPr>
        <w:t>ולמועצות האזוריות</w:t>
      </w:r>
      <w:r w:rsidRPr="00425665">
        <w:rPr>
          <w:rFonts w:eastAsia="Calibri"/>
          <w:b/>
          <w:bCs/>
          <w:sz w:val="19"/>
          <w:szCs w:val="19"/>
          <w:rtl/>
        </w:rPr>
        <w:t xml:space="preserve"> אשכול </w:t>
      </w:r>
      <w:r w:rsidRPr="00425665">
        <w:rPr>
          <w:rFonts w:eastAsia="Calibri"/>
          <w:sz w:val="19"/>
          <w:szCs w:val="19"/>
          <w:rtl/>
        </w:rPr>
        <w:t>ו</w:t>
      </w:r>
      <w:r w:rsidRPr="00425665">
        <w:rPr>
          <w:rFonts w:eastAsia="Calibri"/>
          <w:b/>
          <w:bCs/>
          <w:sz w:val="19"/>
          <w:szCs w:val="19"/>
          <w:rtl/>
        </w:rPr>
        <w:t>חוף אשקלון</w:t>
      </w:r>
      <w:r w:rsidRPr="00425665">
        <w:rPr>
          <w:rFonts w:eastAsia="Calibri"/>
          <w:sz w:val="19"/>
          <w:szCs w:val="19"/>
          <w:rtl/>
        </w:rPr>
        <w:t xml:space="preserve"> לא כללו פירוט של איומים, נזקי גוף ורכוש בהיקפים עצימים כגון אלו שהתרחשו בפועל במתקפת </w:t>
      </w:r>
      <w:r w:rsidRPr="00425665">
        <w:rPr>
          <w:rFonts w:eastAsia="Calibri" w:hint="cs"/>
          <w:sz w:val="19"/>
          <w:szCs w:val="19"/>
          <w:rtl/>
        </w:rPr>
        <w:t>הטרור</w:t>
      </w:r>
      <w:r w:rsidRPr="00425665">
        <w:rPr>
          <w:rFonts w:eastAsia="Calibri"/>
          <w:sz w:val="19"/>
          <w:szCs w:val="19"/>
          <w:rtl/>
        </w:rPr>
        <w:t xml:space="preserve"> בשבעה באוקטובר</w:t>
      </w:r>
      <w:r w:rsidRPr="00425665">
        <w:rPr>
          <w:rFonts w:eastAsia="Calibri" w:hint="cs"/>
          <w:sz w:val="19"/>
          <w:szCs w:val="19"/>
          <w:rtl/>
        </w:rPr>
        <w:t xml:space="preserve">, </w:t>
      </w:r>
      <w:r w:rsidRPr="00425665">
        <w:rPr>
          <w:rFonts w:eastAsia="Calibri"/>
          <w:sz w:val="19"/>
          <w:szCs w:val="19"/>
          <w:rtl/>
        </w:rPr>
        <w:t xml:space="preserve">דבר שפגע בהיערכות ובמוכנות </w:t>
      </w:r>
      <w:r w:rsidRPr="00425665">
        <w:rPr>
          <w:rFonts w:eastAsia="Calibri" w:hint="cs"/>
          <w:sz w:val="19"/>
          <w:szCs w:val="19"/>
          <w:rtl/>
        </w:rPr>
        <w:t xml:space="preserve">של </w:t>
      </w:r>
      <w:r w:rsidRPr="00425665">
        <w:rPr>
          <w:rFonts w:eastAsia="Calibri"/>
          <w:sz w:val="19"/>
          <w:szCs w:val="19"/>
          <w:rtl/>
        </w:rPr>
        <w:t>הרשויות</w:t>
      </w:r>
      <w:r w:rsidRPr="00425665">
        <w:rPr>
          <w:rFonts w:eastAsia="Calibri" w:hint="cs"/>
          <w:sz w:val="19"/>
          <w:szCs w:val="19"/>
          <w:rtl/>
        </w:rPr>
        <w:t xml:space="preserve"> לפינוי בתרחיש מלחמתי</w:t>
      </w:r>
      <w:r w:rsidRPr="00425665">
        <w:rPr>
          <w:rFonts w:eastAsia="Calibri"/>
          <w:sz w:val="19"/>
          <w:szCs w:val="19"/>
          <w:rtl/>
        </w:rPr>
        <w:t xml:space="preserve">. משרד הפנים לא פעל לקביעת נהלים והנחיות </w:t>
      </w:r>
      <w:r w:rsidRPr="00425665">
        <w:rPr>
          <w:rFonts w:eastAsia="Calibri" w:hint="cs"/>
          <w:sz w:val="19"/>
          <w:szCs w:val="19"/>
          <w:rtl/>
        </w:rPr>
        <w:t xml:space="preserve">המסדירים את </w:t>
      </w:r>
      <w:r w:rsidRPr="00425665">
        <w:rPr>
          <w:rFonts w:eastAsia="Calibri"/>
          <w:sz w:val="19"/>
          <w:szCs w:val="19"/>
          <w:rtl/>
        </w:rPr>
        <w:t xml:space="preserve">תחומי האחריות של הרשויות המקומיות בכל הקשור לתכנון הפינוי ובנוגע להיערכות לפינוי תושביהן אל מתקנים שאינם בתחום הרשות המקומית. </w:t>
      </w:r>
      <w:r w:rsidRPr="00425665">
        <w:rPr>
          <w:rFonts w:eastAsia="Calibri" w:hint="cs"/>
          <w:sz w:val="19"/>
          <w:szCs w:val="19"/>
          <w:rtl/>
        </w:rPr>
        <w:t xml:space="preserve">עוד עלה כי </w:t>
      </w:r>
      <w:r w:rsidRPr="00425665">
        <w:rPr>
          <w:rFonts w:eastAsia="Calibri"/>
          <w:sz w:val="19"/>
          <w:szCs w:val="19"/>
          <w:rtl/>
        </w:rPr>
        <w:t>הרשויות המקומיות ב</w:t>
      </w:r>
      <w:r w:rsidRPr="00425665">
        <w:rPr>
          <w:rFonts w:eastAsia="Calibri" w:hint="cs"/>
          <w:sz w:val="19"/>
          <w:szCs w:val="19"/>
          <w:rtl/>
        </w:rPr>
        <w:t>דרום הארץ</w:t>
      </w:r>
      <w:r w:rsidRPr="00425665">
        <w:rPr>
          <w:rFonts w:eastAsia="Calibri"/>
          <w:sz w:val="19"/>
          <w:szCs w:val="19"/>
          <w:rtl/>
        </w:rPr>
        <w:t xml:space="preserve"> שנבדקו לא היו ערוכות לפינוי תושבים בתרחיש מלחמתי בהיקפים ניכרים ומשמעותיים כפי שקרה בעקבות מתקפת </w:t>
      </w:r>
      <w:r w:rsidRPr="00425665">
        <w:rPr>
          <w:rFonts w:eastAsia="Calibri" w:hint="cs"/>
          <w:sz w:val="19"/>
          <w:szCs w:val="19"/>
          <w:rtl/>
        </w:rPr>
        <w:t>הטרור</w:t>
      </w:r>
      <w:r w:rsidRPr="00425665">
        <w:rPr>
          <w:rFonts w:eastAsia="Calibri"/>
          <w:sz w:val="19"/>
          <w:szCs w:val="19"/>
          <w:rtl/>
        </w:rPr>
        <w:t xml:space="preserve"> בשבעה באוקטובר</w:t>
      </w:r>
      <w:r w:rsidRPr="00425665">
        <w:rPr>
          <w:rFonts w:eastAsia="Calibri" w:hint="cs"/>
          <w:sz w:val="19"/>
          <w:szCs w:val="19"/>
          <w:rtl/>
        </w:rPr>
        <w:t xml:space="preserve">. </w:t>
      </w:r>
      <w:r w:rsidRPr="00425665">
        <w:rPr>
          <w:rFonts w:eastAsia="Calibri"/>
          <w:sz w:val="19"/>
          <w:szCs w:val="19"/>
          <w:rtl/>
        </w:rPr>
        <w:t xml:space="preserve">עוד </w:t>
      </w:r>
      <w:r w:rsidRPr="00425665">
        <w:rPr>
          <w:rFonts w:eastAsia="Calibri" w:hint="cs"/>
          <w:sz w:val="19"/>
          <w:szCs w:val="19"/>
          <w:rtl/>
        </w:rPr>
        <w:t>הועלו ליקויים מבחינת ה</w:t>
      </w:r>
      <w:r w:rsidRPr="00425665">
        <w:rPr>
          <w:rFonts w:eastAsia="Calibri"/>
          <w:sz w:val="19"/>
          <w:szCs w:val="19"/>
          <w:rtl/>
        </w:rPr>
        <w:t xml:space="preserve">היערכות של הרשויות המקומיות שנבדקו </w:t>
      </w:r>
      <w:r w:rsidRPr="00425665">
        <w:rPr>
          <w:rFonts w:eastAsia="Calibri" w:hint="cs"/>
          <w:sz w:val="19"/>
          <w:szCs w:val="19"/>
          <w:rtl/>
        </w:rPr>
        <w:t>ב</w:t>
      </w:r>
      <w:r w:rsidRPr="00425665">
        <w:rPr>
          <w:rFonts w:eastAsia="Calibri"/>
          <w:sz w:val="19"/>
          <w:szCs w:val="19"/>
          <w:rtl/>
        </w:rPr>
        <w:t>קביעת כוח האדם המיועד לשעת חירום ו</w:t>
      </w:r>
      <w:r w:rsidRPr="00425665">
        <w:rPr>
          <w:rFonts w:eastAsia="Calibri" w:hint="cs"/>
          <w:sz w:val="19"/>
          <w:szCs w:val="19"/>
          <w:rtl/>
        </w:rPr>
        <w:t>ב</w:t>
      </w:r>
      <w:r w:rsidRPr="00425665">
        <w:rPr>
          <w:rFonts w:eastAsia="Calibri"/>
          <w:sz w:val="19"/>
          <w:szCs w:val="19"/>
          <w:rtl/>
        </w:rPr>
        <w:t xml:space="preserve">הכשרתו; </w:t>
      </w:r>
      <w:r w:rsidRPr="00425665">
        <w:rPr>
          <w:rFonts w:eastAsia="Calibri" w:hint="cs"/>
          <w:sz w:val="19"/>
          <w:szCs w:val="19"/>
          <w:rtl/>
        </w:rPr>
        <w:t>ב</w:t>
      </w:r>
      <w:r w:rsidRPr="00425665">
        <w:rPr>
          <w:rFonts w:eastAsia="Calibri"/>
          <w:sz w:val="19"/>
          <w:szCs w:val="19"/>
          <w:rtl/>
        </w:rPr>
        <w:t>ביצוע תרגילים לפינוי אוכלוסייה; ו</w:t>
      </w:r>
      <w:r w:rsidRPr="00425665">
        <w:rPr>
          <w:rFonts w:eastAsia="Calibri" w:hint="cs"/>
          <w:sz w:val="19"/>
          <w:szCs w:val="19"/>
          <w:rtl/>
        </w:rPr>
        <w:t>ב</w:t>
      </w:r>
      <w:r w:rsidRPr="00425665">
        <w:rPr>
          <w:rFonts w:eastAsia="Calibri"/>
          <w:sz w:val="19"/>
          <w:szCs w:val="19"/>
          <w:rtl/>
        </w:rPr>
        <w:t>הכנ</w:t>
      </w:r>
      <w:r w:rsidRPr="00425665">
        <w:rPr>
          <w:rFonts w:eastAsia="Calibri" w:hint="cs"/>
          <w:sz w:val="19"/>
          <w:szCs w:val="19"/>
          <w:rtl/>
        </w:rPr>
        <w:t xml:space="preserve">ה (החלקית בלבד) של </w:t>
      </w:r>
      <w:r w:rsidRPr="00425665">
        <w:rPr>
          <w:rFonts w:eastAsia="Calibri"/>
          <w:sz w:val="19"/>
          <w:szCs w:val="19"/>
          <w:rtl/>
        </w:rPr>
        <w:t>מאגרי מידע למצב חירום הכוללים את כלל הנתונים על תושביהן.</w:t>
      </w:r>
    </w:p>
    <w:p w14:paraId="63C475CC" w14:textId="77777777" w:rsidR="0011074F" w:rsidRDefault="00425665" w:rsidP="00DF0884">
      <w:pPr>
        <w:pStyle w:val="739"/>
        <w:rPr>
          <w:b/>
          <w:bCs/>
          <w:sz w:val="36"/>
          <w:szCs w:val="36"/>
          <w:rtl/>
        </w:rPr>
      </w:pPr>
      <w:bookmarkStart w:id="14" w:name="_Hlk220225078"/>
      <w:r w:rsidRPr="00425665">
        <w:rPr>
          <w:rFonts w:eastAsia="Calibri"/>
          <w:sz w:val="19"/>
          <w:szCs w:val="19"/>
          <w:rtl/>
        </w:rPr>
        <w:t>בעת משבר לאומי מצופה כי כלל הגופים הייעודיים לחירום יממשו באופן מלא אחר אחריותם בהתאם לייעודם</w:t>
      </w:r>
      <w:r w:rsidRPr="00425665">
        <w:rPr>
          <w:rFonts w:eastAsia="Calibri" w:hint="cs"/>
          <w:sz w:val="19"/>
          <w:szCs w:val="19"/>
          <w:rtl/>
        </w:rPr>
        <w:t>.</w:t>
      </w:r>
      <w:bookmarkEnd w:id="14"/>
      <w:r w:rsidRPr="00425665">
        <w:rPr>
          <w:rFonts w:eastAsia="Calibri" w:hint="cs"/>
          <w:sz w:val="19"/>
          <w:szCs w:val="19"/>
          <w:rtl/>
        </w:rPr>
        <w:t xml:space="preserve"> </w:t>
      </w:r>
      <w:r w:rsidRPr="00425665">
        <w:rPr>
          <w:rFonts w:eastAsia="Calibri" w:hint="eastAsia"/>
          <w:sz w:val="19"/>
          <w:szCs w:val="19"/>
          <w:rtl/>
        </w:rPr>
        <w:t>כדי</w:t>
      </w:r>
      <w:r w:rsidRPr="00425665">
        <w:rPr>
          <w:rFonts w:eastAsia="Calibri"/>
          <w:sz w:val="19"/>
          <w:szCs w:val="19"/>
          <w:rtl/>
        </w:rPr>
        <w:t xml:space="preserve"> שהרשויות המקומיות יהיו ערוכות לאירועי חירום בעתיד, נדרש כי הגורמים </w:t>
      </w:r>
      <w:r w:rsidRPr="00425665">
        <w:rPr>
          <w:rFonts w:eastAsia="Calibri" w:hint="eastAsia"/>
          <w:sz w:val="19"/>
          <w:szCs w:val="19"/>
          <w:rtl/>
        </w:rPr>
        <w:t>ה</w:t>
      </w:r>
      <w:r w:rsidRPr="00425665">
        <w:rPr>
          <w:rFonts w:eastAsia="Calibri"/>
          <w:sz w:val="19"/>
          <w:szCs w:val="19"/>
          <w:rtl/>
        </w:rPr>
        <w:t xml:space="preserve">אחראים לפינוי אוכלוסייה בעת מלחמה - </w:t>
      </w:r>
      <w:r w:rsidRPr="00425665">
        <w:rPr>
          <w:rFonts w:eastAsia="Calibri" w:hint="eastAsia"/>
          <w:sz w:val="19"/>
          <w:szCs w:val="19"/>
          <w:rtl/>
        </w:rPr>
        <w:t>ו</w:t>
      </w:r>
      <w:r w:rsidRPr="00425665">
        <w:rPr>
          <w:rFonts w:eastAsia="Calibri"/>
          <w:sz w:val="19"/>
          <w:szCs w:val="19"/>
          <w:rtl/>
        </w:rPr>
        <w:t>בהם משרד הפנים, רח"ל וצה"ל תוך שיתוף פעולה ביניהם</w:t>
      </w:r>
      <w:r w:rsidR="007076CA">
        <w:rPr>
          <w:rFonts w:eastAsia="Calibri" w:hint="cs"/>
          <w:sz w:val="19"/>
          <w:szCs w:val="19"/>
          <w:rtl/>
        </w:rPr>
        <w:t xml:space="preserve"> -</w:t>
      </w:r>
      <w:r w:rsidRPr="00425665">
        <w:rPr>
          <w:rFonts w:eastAsia="Calibri"/>
          <w:sz w:val="19"/>
          <w:szCs w:val="19"/>
          <w:rtl/>
        </w:rPr>
        <w:t xml:space="preserve"> לקיים הליך הפקת לקחים מלא ממתקפת ה</w:t>
      </w:r>
      <w:r w:rsidRPr="00425665">
        <w:rPr>
          <w:rFonts w:eastAsia="Calibri" w:hint="cs"/>
          <w:sz w:val="19"/>
          <w:szCs w:val="19"/>
          <w:rtl/>
        </w:rPr>
        <w:t>טרור</w:t>
      </w:r>
      <w:r w:rsidRPr="00425665">
        <w:rPr>
          <w:rFonts w:eastAsia="Calibri"/>
          <w:sz w:val="19"/>
          <w:szCs w:val="19"/>
          <w:rtl/>
        </w:rPr>
        <w:t xml:space="preserve"> בשבעה באוקטובר ולפעול לגיבוש תשתית עדכנית ומלאה עבור הרשויות </w:t>
      </w:r>
      <w:r w:rsidRPr="00425665">
        <w:rPr>
          <w:sz w:val="19"/>
          <w:szCs w:val="19"/>
          <w:rtl/>
        </w:rPr>
        <w:t>המקומיות</w:t>
      </w:r>
      <w:r w:rsidRPr="00425665">
        <w:rPr>
          <w:rFonts w:eastAsia="Calibri"/>
          <w:sz w:val="19"/>
          <w:szCs w:val="19"/>
          <w:rtl/>
        </w:rPr>
        <w:t xml:space="preserve"> לצורך היערכותן כראוי למצב חירום שיחייב פינוי אוכלוסייה אל מחוץ לתחומי ה</w:t>
      </w:r>
      <w:r w:rsidRPr="00425665">
        <w:rPr>
          <w:rFonts w:eastAsia="Calibri" w:hint="cs"/>
          <w:sz w:val="19"/>
          <w:szCs w:val="19"/>
          <w:rtl/>
        </w:rPr>
        <w:t>רשות.</w:t>
      </w:r>
      <w:r w:rsidRPr="00425665">
        <w:rPr>
          <w:rFonts w:eastAsia="Calibri"/>
          <w:sz w:val="19"/>
          <w:szCs w:val="19"/>
          <w:rtl/>
        </w:rPr>
        <w:t xml:space="preserve"> בכלל זאת על צה"ל לבחון את הצורך בעדכון תרחישי הייחוס המלחמתיים</w:t>
      </w:r>
      <w:r w:rsidR="007076CA">
        <w:rPr>
          <w:rFonts w:eastAsia="Calibri" w:hint="cs"/>
          <w:sz w:val="19"/>
          <w:szCs w:val="19"/>
          <w:rtl/>
        </w:rPr>
        <w:t>;</w:t>
      </w:r>
      <w:r w:rsidRPr="00425665">
        <w:rPr>
          <w:rFonts w:eastAsia="Calibri"/>
          <w:sz w:val="19"/>
          <w:szCs w:val="19"/>
          <w:rtl/>
        </w:rPr>
        <w:t xml:space="preserve"> על רח"ל בשיתוף צה"ל לבחון את הצורך בעדכון התוכניות למוכנות לאומית לפינוי ולקליטת אוכלוסייה</w:t>
      </w:r>
      <w:r w:rsidR="007076CA">
        <w:rPr>
          <w:rFonts w:eastAsia="Calibri" w:hint="cs"/>
          <w:sz w:val="19"/>
          <w:szCs w:val="19"/>
          <w:rtl/>
        </w:rPr>
        <w:t>;</w:t>
      </w:r>
      <w:r w:rsidRPr="00425665">
        <w:rPr>
          <w:rFonts w:eastAsia="Calibri"/>
          <w:sz w:val="19"/>
          <w:szCs w:val="19"/>
          <w:rtl/>
        </w:rPr>
        <w:t xml:space="preserve"> ועל רח"ל להעביר את התוכניות המעודכנות לאישור הממשלה באופן שיחייב את כלל גופי הממשלה. בד בבד על משרד הפנים ופקע"ר לסייע לרשויות המקומיות ולוודא כי עומד לרשותן מערך כוח אדם מותאם למשימת הפינוי לצד מערך מקיף של הכשרה ותרגול של כוח האדם כדי להבטיח </w:t>
      </w:r>
      <w:r w:rsidR="00A5680F">
        <w:rPr>
          <w:rFonts w:eastAsia="Calibri" w:hint="cs"/>
          <w:sz w:val="19"/>
          <w:szCs w:val="19"/>
          <w:rtl/>
        </w:rPr>
        <w:t xml:space="preserve">את </w:t>
      </w:r>
      <w:r w:rsidRPr="00425665">
        <w:rPr>
          <w:rFonts w:eastAsia="Calibri"/>
          <w:sz w:val="19"/>
          <w:szCs w:val="19"/>
          <w:rtl/>
        </w:rPr>
        <w:t>עמידתו במשימה.</w:t>
      </w:r>
    </w:p>
    <w:p w14:paraId="02E7F498" w14:textId="77777777" w:rsidR="00C4789A" w:rsidRPr="00DF0884" w:rsidRDefault="00C4789A" w:rsidP="00DF0884">
      <w:pPr>
        <w:bidi w:val="0"/>
        <w:spacing w:after="200" w:line="276" w:lineRule="auto"/>
        <w:rPr>
          <w:rFonts w:ascii="Tahoma" w:hAnsi="Tahoma" w:cs="Tahoma"/>
          <w:b/>
          <w:bCs/>
          <w:sz w:val="36"/>
          <w:szCs w:val="36"/>
        </w:rPr>
        <w:sectPr w:rsidR="00C4789A" w:rsidRPr="00DF0884" w:rsidSect="008654CB">
          <w:headerReference w:type="even" r:id="rId20"/>
          <w:headerReference w:type="default" r:id="rId21"/>
          <w:footerReference w:type="even" r:id="rId22"/>
          <w:footerReference w:type="default" r:id="rId23"/>
          <w:headerReference w:type="first" r:id="rId24"/>
          <w:footerReference w:type="first" r:id="rId25"/>
          <w:pgSz w:w="11340" w:h="14175" w:code="9"/>
          <w:pgMar w:top="2268" w:right="1276" w:bottom="1588" w:left="1134" w:header="709" w:footer="709" w:gutter="0"/>
          <w:cols w:space="708"/>
          <w:titlePg/>
          <w:bidi/>
          <w:rtlGutter/>
          <w:docGrid w:linePitch="360"/>
        </w:sectPr>
      </w:pPr>
    </w:p>
    <w:bookmarkEnd w:id="0"/>
    <w:p w14:paraId="179F2AC3" w14:textId="77777777" w:rsidR="009A6817" w:rsidRPr="001C33F8" w:rsidRDefault="009A6817" w:rsidP="00DF0884">
      <w:pPr>
        <w:spacing w:after="160" w:line="259" w:lineRule="auto"/>
        <w:jc w:val="left"/>
        <w:rPr>
          <w:rFonts w:ascii="Tahoma" w:hAnsi="Tahoma" w:cs="Tahoma"/>
          <w:noProof/>
          <w:rtl/>
        </w:rPr>
      </w:pPr>
    </w:p>
    <w:sectPr w:rsidR="009A6817" w:rsidRPr="001C33F8" w:rsidSect="00030DCF">
      <w:headerReference w:type="first" r:id="rId26"/>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C19D0" w14:textId="77777777" w:rsidR="00B64110" w:rsidRDefault="00B64110">
      <w:pPr>
        <w:spacing w:line="240" w:lineRule="auto"/>
      </w:pPr>
      <w:r>
        <w:separator/>
      </w:r>
    </w:p>
  </w:endnote>
  <w:endnote w:type="continuationSeparator" w:id="0">
    <w:p w14:paraId="72404B66" w14:textId="77777777"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C3D6F" w14:textId="77777777" w:rsidR="008C67B0" w:rsidRDefault="008C67B0">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0333B" w14:textId="77777777" w:rsidR="008C67B0" w:rsidRDefault="008C67B0">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AF7BF" w14:textId="77777777" w:rsidR="00F56CE4" w:rsidRDefault="00EE06A0">
    <w:pPr>
      <w:pStyle w:val="ab"/>
    </w:pPr>
    <w:r>
      <w:rPr>
        <w:noProof/>
      </w:rPr>
      <mc:AlternateContent>
        <mc:Choice Requires="wps">
          <w:drawing>
            <wp:anchor distT="0" distB="0" distL="114300" distR="114300" simplePos="0" relativeHeight="251665408" behindDoc="0" locked="0" layoutInCell="1" allowOverlap="1" wp14:anchorId="69457903" wp14:editId="29404753">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14:anchorId="21FD0FD3" wp14:editId="0454CEDF">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14:paraId="3D187346" w14:textId="77777777"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14:paraId="6E0B27DB" w14:textId="77777777"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4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14:anchorId="449103D9" wp14:editId="0A4D7693">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14:paraId="03983435" w14:textId="77777777"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4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78893" w14:textId="77777777" w:rsidR="00B64110" w:rsidRDefault="00B64110">
      <w:pPr>
        <w:spacing w:line="240" w:lineRule="auto"/>
      </w:pPr>
      <w:r>
        <w:separator/>
      </w:r>
    </w:p>
  </w:footnote>
  <w:footnote w:type="continuationSeparator" w:id="0">
    <w:p w14:paraId="4349A132" w14:textId="77777777" w:rsidR="00B64110" w:rsidRDefault="00B64110">
      <w:pPr>
        <w:spacing w:line="240" w:lineRule="auto"/>
      </w:pPr>
      <w:r>
        <w:continuationSeparator/>
      </w:r>
    </w:p>
  </w:footnote>
  <w:footnote w:id="1">
    <w:p w14:paraId="18432F40" w14:textId="77777777" w:rsidR="009D2B68" w:rsidRPr="003D42AA" w:rsidRDefault="009D2B68" w:rsidP="00425665">
      <w:pPr>
        <w:pStyle w:val="af"/>
        <w:rPr>
          <w:rFonts w:ascii="Tahoma" w:hAnsi="Tahoma" w:cs="Tahoma"/>
          <w:sz w:val="16"/>
          <w:szCs w:val="16"/>
          <w:rtl/>
        </w:rPr>
      </w:pPr>
      <w:r w:rsidRPr="003D42AA">
        <w:rPr>
          <w:rStyle w:val="af1"/>
          <w:rFonts w:ascii="Tahoma" w:hAnsi="Tahoma" w:cs="Tahoma"/>
          <w:sz w:val="16"/>
          <w:szCs w:val="16"/>
        </w:rPr>
        <w:footnoteRef/>
      </w:r>
      <w:r w:rsidRPr="003D42AA">
        <w:rPr>
          <w:rFonts w:ascii="Tahoma" w:hAnsi="Tahoma" w:cs="Tahoma"/>
          <w:sz w:val="16"/>
          <w:szCs w:val="16"/>
          <w:rtl/>
        </w:rPr>
        <w:t xml:space="preserve"> </w:t>
      </w:r>
      <w:r w:rsidRPr="003D42AA">
        <w:rPr>
          <w:rFonts w:ascii="Tahoma" w:hAnsi="Tahoma" w:cs="Tahoma"/>
          <w:sz w:val="16"/>
          <w:szCs w:val="16"/>
          <w:rtl/>
        </w:rPr>
        <w:tab/>
      </w:r>
      <w:r w:rsidRPr="003D42AA">
        <w:rPr>
          <w:rFonts w:ascii="Tahoma" w:hAnsi="Tahoma" w:cs="Tahoma" w:hint="eastAsia"/>
          <w:sz w:val="16"/>
          <w:szCs w:val="16"/>
          <w:rtl/>
        </w:rPr>
        <w:t>בהכנת</w:t>
      </w:r>
      <w:r w:rsidRPr="003D42AA">
        <w:rPr>
          <w:rFonts w:ascii="Tahoma" w:hAnsi="Tahoma" w:cs="Tahoma"/>
          <w:sz w:val="16"/>
          <w:szCs w:val="16"/>
          <w:rtl/>
        </w:rPr>
        <w:t xml:space="preserve"> </w:t>
      </w:r>
      <w:r w:rsidRPr="003D42AA">
        <w:rPr>
          <w:rFonts w:ascii="Tahoma" w:hAnsi="Tahoma" w:cs="Tahoma" w:hint="eastAsia"/>
          <w:sz w:val="16"/>
          <w:szCs w:val="16"/>
          <w:rtl/>
        </w:rPr>
        <w:t>מסמך</w:t>
      </w:r>
      <w:r w:rsidRPr="003D42AA">
        <w:rPr>
          <w:rFonts w:ascii="Tahoma" w:hAnsi="Tahoma" w:cs="Tahoma"/>
          <w:sz w:val="16"/>
          <w:szCs w:val="16"/>
          <w:rtl/>
        </w:rPr>
        <w:t xml:space="preserve"> </w:t>
      </w:r>
      <w:r w:rsidRPr="003D42AA">
        <w:rPr>
          <w:rFonts w:ascii="Tahoma" w:hAnsi="Tahoma" w:cs="Tahoma" w:hint="eastAsia"/>
          <w:sz w:val="16"/>
          <w:szCs w:val="16"/>
          <w:rtl/>
        </w:rPr>
        <w:t>תיק</w:t>
      </w:r>
      <w:r w:rsidRPr="003D42AA">
        <w:rPr>
          <w:rFonts w:ascii="Tahoma" w:hAnsi="Tahoma" w:cs="Tahoma"/>
          <w:sz w:val="16"/>
          <w:szCs w:val="16"/>
          <w:rtl/>
        </w:rPr>
        <w:t xml:space="preserve"> </w:t>
      </w:r>
      <w:r w:rsidRPr="003D42AA">
        <w:rPr>
          <w:rFonts w:ascii="Tahoma" w:hAnsi="Tahoma" w:cs="Tahoma" w:hint="eastAsia"/>
          <w:sz w:val="16"/>
          <w:szCs w:val="16"/>
          <w:rtl/>
        </w:rPr>
        <w:t>האב</w:t>
      </w:r>
      <w:r w:rsidRPr="003D42AA">
        <w:rPr>
          <w:rFonts w:ascii="Tahoma" w:hAnsi="Tahoma" w:cs="Tahoma"/>
          <w:sz w:val="16"/>
          <w:szCs w:val="16"/>
          <w:rtl/>
        </w:rPr>
        <w:t xml:space="preserve"> </w:t>
      </w:r>
      <w:r w:rsidRPr="003D42AA">
        <w:rPr>
          <w:rFonts w:ascii="Tahoma" w:hAnsi="Tahoma" w:cs="Tahoma" w:hint="eastAsia"/>
          <w:sz w:val="16"/>
          <w:szCs w:val="16"/>
          <w:rtl/>
        </w:rPr>
        <w:t>היו</w:t>
      </w:r>
      <w:r w:rsidRPr="003D42AA">
        <w:rPr>
          <w:rFonts w:ascii="Tahoma" w:hAnsi="Tahoma" w:cs="Tahoma"/>
          <w:sz w:val="16"/>
          <w:szCs w:val="16"/>
          <w:rtl/>
        </w:rPr>
        <w:t xml:space="preserve"> </w:t>
      </w:r>
      <w:r w:rsidRPr="003D42AA">
        <w:rPr>
          <w:rFonts w:ascii="Tahoma" w:hAnsi="Tahoma" w:cs="Tahoma" w:hint="eastAsia"/>
          <w:sz w:val="16"/>
          <w:szCs w:val="16"/>
          <w:rtl/>
        </w:rPr>
        <w:t>שותפים</w:t>
      </w:r>
      <w:r w:rsidRPr="003D42AA">
        <w:rPr>
          <w:rFonts w:ascii="Tahoma" w:hAnsi="Tahoma" w:cs="Tahoma"/>
          <w:sz w:val="16"/>
          <w:szCs w:val="16"/>
          <w:rtl/>
        </w:rPr>
        <w:t xml:space="preserve"> </w:t>
      </w:r>
      <w:r w:rsidRPr="003D42AA">
        <w:rPr>
          <w:rFonts w:ascii="Tahoma" w:hAnsi="Tahoma" w:cs="Tahoma" w:hint="eastAsia"/>
          <w:sz w:val="16"/>
          <w:szCs w:val="16"/>
          <w:rtl/>
        </w:rPr>
        <w:t>בין</w:t>
      </w:r>
      <w:r w:rsidRPr="003D42AA">
        <w:rPr>
          <w:rFonts w:ascii="Tahoma" w:hAnsi="Tahoma" w:cs="Tahoma"/>
          <w:sz w:val="16"/>
          <w:szCs w:val="16"/>
          <w:rtl/>
        </w:rPr>
        <w:t xml:space="preserve"> </w:t>
      </w:r>
      <w:r w:rsidRPr="003D42AA">
        <w:rPr>
          <w:rFonts w:ascii="Tahoma" w:hAnsi="Tahoma" w:cs="Tahoma" w:hint="eastAsia"/>
          <w:sz w:val="16"/>
          <w:szCs w:val="16"/>
          <w:rtl/>
        </w:rPr>
        <w:t>היתר</w:t>
      </w:r>
      <w:r w:rsidRPr="003D42AA">
        <w:rPr>
          <w:rFonts w:ascii="Tahoma" w:hAnsi="Tahoma" w:cs="Tahoma"/>
          <w:sz w:val="16"/>
          <w:szCs w:val="16"/>
          <w:rtl/>
        </w:rPr>
        <w:t xml:space="preserve"> </w:t>
      </w:r>
      <w:r w:rsidRPr="003D42AA">
        <w:rPr>
          <w:rFonts w:ascii="Tahoma" w:hAnsi="Tahoma" w:cs="Tahoma" w:hint="eastAsia"/>
          <w:sz w:val="16"/>
          <w:szCs w:val="16"/>
          <w:rtl/>
        </w:rPr>
        <w:t>משרד</w:t>
      </w:r>
      <w:r w:rsidRPr="003D42AA">
        <w:rPr>
          <w:rFonts w:ascii="Tahoma" w:hAnsi="Tahoma" w:cs="Tahoma"/>
          <w:sz w:val="16"/>
          <w:szCs w:val="16"/>
          <w:rtl/>
        </w:rPr>
        <w:t xml:space="preserve"> </w:t>
      </w:r>
      <w:r w:rsidRPr="003D42AA">
        <w:rPr>
          <w:rFonts w:ascii="Tahoma" w:hAnsi="Tahoma" w:cs="Tahoma" w:hint="eastAsia"/>
          <w:sz w:val="16"/>
          <w:szCs w:val="16"/>
          <w:rtl/>
        </w:rPr>
        <w:t>הפנים</w:t>
      </w:r>
      <w:r w:rsidRPr="003D42AA">
        <w:rPr>
          <w:rFonts w:ascii="Tahoma" w:hAnsi="Tahoma" w:cs="Tahoma"/>
          <w:sz w:val="16"/>
          <w:szCs w:val="16"/>
          <w:rtl/>
        </w:rPr>
        <w:t xml:space="preserve">, </w:t>
      </w:r>
      <w:r w:rsidRPr="003D42AA">
        <w:rPr>
          <w:rFonts w:ascii="Tahoma" w:hAnsi="Tahoma" w:cs="Tahoma" w:hint="eastAsia"/>
          <w:sz w:val="16"/>
          <w:szCs w:val="16"/>
          <w:rtl/>
        </w:rPr>
        <w:t>רשות</w:t>
      </w:r>
      <w:r w:rsidRPr="003D42AA">
        <w:rPr>
          <w:rFonts w:ascii="Tahoma" w:hAnsi="Tahoma" w:cs="Tahoma"/>
          <w:sz w:val="16"/>
          <w:szCs w:val="16"/>
          <w:rtl/>
        </w:rPr>
        <w:t xml:space="preserve"> </w:t>
      </w:r>
      <w:r w:rsidRPr="003D42AA">
        <w:rPr>
          <w:rFonts w:ascii="Tahoma" w:hAnsi="Tahoma" w:cs="Tahoma" w:hint="eastAsia"/>
          <w:sz w:val="16"/>
          <w:szCs w:val="16"/>
          <w:rtl/>
        </w:rPr>
        <w:t>החירום</w:t>
      </w:r>
      <w:r w:rsidRPr="003D42AA">
        <w:rPr>
          <w:rFonts w:ascii="Tahoma" w:hAnsi="Tahoma" w:cs="Tahoma"/>
          <w:sz w:val="16"/>
          <w:szCs w:val="16"/>
          <w:rtl/>
        </w:rPr>
        <w:t xml:space="preserve"> </w:t>
      </w:r>
      <w:r w:rsidRPr="003D42AA">
        <w:rPr>
          <w:rFonts w:ascii="Tahoma" w:hAnsi="Tahoma" w:cs="Tahoma" w:hint="eastAsia"/>
          <w:sz w:val="16"/>
          <w:szCs w:val="16"/>
          <w:rtl/>
        </w:rPr>
        <w:t>הלאומית</w:t>
      </w:r>
      <w:r w:rsidRPr="003D42AA">
        <w:rPr>
          <w:rFonts w:ascii="Tahoma" w:hAnsi="Tahoma" w:cs="Tahoma"/>
          <w:sz w:val="16"/>
          <w:szCs w:val="16"/>
          <w:rtl/>
        </w:rPr>
        <w:t xml:space="preserve"> (</w:t>
      </w:r>
      <w:r w:rsidRPr="003D42AA">
        <w:rPr>
          <w:rFonts w:ascii="Tahoma" w:hAnsi="Tahoma" w:cs="Tahoma" w:hint="eastAsia"/>
          <w:sz w:val="16"/>
          <w:szCs w:val="16"/>
          <w:rtl/>
        </w:rPr>
        <w:t>רח</w:t>
      </w:r>
      <w:r w:rsidRPr="003D42AA">
        <w:rPr>
          <w:rFonts w:ascii="Tahoma" w:hAnsi="Tahoma" w:cs="Tahoma"/>
          <w:sz w:val="16"/>
          <w:szCs w:val="16"/>
          <w:rtl/>
        </w:rPr>
        <w:t xml:space="preserve">"ל), פקע"ר, מרכז השלטון המקומי, מרכז השלטון האזורי, משטרת ישראל, </w:t>
      </w:r>
      <w:r w:rsidRPr="003D42AA">
        <w:rPr>
          <w:rFonts w:ascii="Tahoma" w:hAnsi="Tahoma" w:cs="Tahoma" w:hint="eastAsia"/>
          <w:sz w:val="16"/>
          <w:szCs w:val="16"/>
          <w:rtl/>
        </w:rPr>
        <w:t>הרשות</w:t>
      </w:r>
      <w:r w:rsidRPr="003D42AA">
        <w:rPr>
          <w:rFonts w:ascii="Tahoma" w:hAnsi="Tahoma" w:cs="Tahoma"/>
          <w:sz w:val="16"/>
          <w:szCs w:val="16"/>
          <w:rtl/>
        </w:rPr>
        <w:t xml:space="preserve"> </w:t>
      </w:r>
      <w:r w:rsidRPr="003D42AA">
        <w:rPr>
          <w:rFonts w:ascii="Tahoma" w:hAnsi="Tahoma" w:cs="Tahoma" w:hint="eastAsia"/>
          <w:sz w:val="16"/>
          <w:szCs w:val="16"/>
          <w:rtl/>
        </w:rPr>
        <w:t>לכבאות</w:t>
      </w:r>
      <w:r w:rsidRPr="003D42AA">
        <w:rPr>
          <w:rFonts w:ascii="Tahoma" w:hAnsi="Tahoma" w:cs="Tahoma"/>
          <w:sz w:val="16"/>
          <w:szCs w:val="16"/>
          <w:rtl/>
        </w:rPr>
        <w:t xml:space="preserve"> </w:t>
      </w:r>
      <w:r w:rsidRPr="003D42AA">
        <w:rPr>
          <w:rFonts w:ascii="Tahoma" w:hAnsi="Tahoma" w:cs="Tahoma" w:hint="eastAsia"/>
          <w:sz w:val="16"/>
          <w:szCs w:val="16"/>
          <w:rtl/>
        </w:rPr>
        <w:t>והצלה</w:t>
      </w:r>
      <w:r w:rsidRPr="003D42AA">
        <w:rPr>
          <w:rFonts w:ascii="Tahoma" w:hAnsi="Tahoma" w:cs="Tahoma"/>
          <w:sz w:val="16"/>
          <w:szCs w:val="16"/>
          <w:rtl/>
        </w:rPr>
        <w:t xml:space="preserve"> </w:t>
      </w:r>
      <w:r w:rsidRPr="003D42AA">
        <w:rPr>
          <w:rFonts w:ascii="Tahoma" w:hAnsi="Tahoma" w:cs="Tahoma" w:hint="eastAsia"/>
          <w:sz w:val="16"/>
          <w:szCs w:val="16"/>
          <w:rtl/>
        </w:rPr>
        <w:t>ומשרדי</w:t>
      </w:r>
      <w:r w:rsidRPr="003D42AA">
        <w:rPr>
          <w:rFonts w:ascii="Tahoma" w:hAnsi="Tahoma" w:cs="Tahoma"/>
          <w:sz w:val="16"/>
          <w:szCs w:val="16"/>
          <w:rtl/>
        </w:rPr>
        <w:t xml:space="preserve"> </w:t>
      </w:r>
      <w:r w:rsidRPr="003D42AA">
        <w:rPr>
          <w:rFonts w:ascii="Tahoma" w:hAnsi="Tahoma" w:cs="Tahoma" w:hint="eastAsia"/>
          <w:sz w:val="16"/>
          <w:szCs w:val="16"/>
          <w:rtl/>
        </w:rPr>
        <w:t>ממשלה</w:t>
      </w:r>
      <w:r w:rsidRPr="003D42AA">
        <w:rPr>
          <w:rFonts w:ascii="Tahoma" w:hAnsi="Tahoma" w:cs="Tahoma"/>
          <w:sz w:val="16"/>
          <w:szCs w:val="16"/>
          <w:rtl/>
        </w:rPr>
        <w:t xml:space="preserve"> </w:t>
      </w:r>
      <w:r w:rsidRPr="003D42AA">
        <w:rPr>
          <w:rFonts w:ascii="Tahoma" w:hAnsi="Tahoma" w:cs="Tahoma" w:hint="eastAsia"/>
          <w:sz w:val="16"/>
          <w:szCs w:val="16"/>
          <w:rtl/>
        </w:rPr>
        <w:t>נוספים</w:t>
      </w:r>
      <w:r w:rsidRPr="003D42AA">
        <w:rPr>
          <w:rFonts w:ascii="Tahoma" w:hAnsi="Tahoma" w:cs="Tahoma"/>
          <w:sz w:val="16"/>
          <w:szCs w:val="16"/>
          <w:rtl/>
        </w:rPr>
        <w:t>.</w:t>
      </w:r>
    </w:p>
  </w:footnote>
  <w:footnote w:id="2">
    <w:p w14:paraId="647864EB" w14:textId="77777777" w:rsidR="0004088F" w:rsidRPr="0013631A" w:rsidRDefault="0004088F" w:rsidP="00425665">
      <w:pPr>
        <w:pStyle w:val="af"/>
        <w:rPr>
          <w:rFonts w:ascii="Tahoma" w:hAnsi="Tahoma" w:cs="Tahoma"/>
          <w:sz w:val="16"/>
          <w:szCs w:val="16"/>
          <w:rtl/>
        </w:rPr>
      </w:pPr>
      <w:r w:rsidRPr="00C05656">
        <w:rPr>
          <w:rStyle w:val="af1"/>
          <w:rFonts w:ascii="Tahoma" w:hAnsi="Tahoma" w:cs="Tahoma"/>
          <w:sz w:val="16"/>
          <w:szCs w:val="16"/>
        </w:rPr>
        <w:footnoteRef/>
      </w:r>
      <w:r w:rsidRPr="00C05656">
        <w:rPr>
          <w:rFonts w:ascii="Tahoma" w:hAnsi="Tahoma" w:cs="Tahoma"/>
          <w:sz w:val="16"/>
          <w:szCs w:val="16"/>
          <w:rtl/>
        </w:rPr>
        <w:t xml:space="preserve"> </w:t>
      </w:r>
      <w:r w:rsidRPr="00C05656">
        <w:rPr>
          <w:rFonts w:ascii="Tahoma" w:hAnsi="Tahoma" w:cs="Tahoma"/>
          <w:sz w:val="16"/>
          <w:szCs w:val="16"/>
          <w:rtl/>
        </w:rPr>
        <w:tab/>
      </w:r>
      <w:r w:rsidRPr="0013631A">
        <w:rPr>
          <w:rFonts w:ascii="Tahoma" w:hAnsi="Tahoma" w:cs="Tahoma"/>
          <w:sz w:val="16"/>
          <w:szCs w:val="16"/>
          <w:rtl/>
        </w:rPr>
        <w:t xml:space="preserve">התוכנית אושרה בידי סגן שר הביטחון דאז בנובמבר 2021, רח"ל העבירה אותה להתייחסות משרדי הממשלה אך הם לא אישרו אותה, </w:t>
      </w:r>
      <w:r w:rsidR="004F7D60">
        <w:rPr>
          <w:rFonts w:ascii="Tahoma" w:hAnsi="Tahoma" w:cs="Tahoma" w:hint="cs"/>
          <w:sz w:val="16"/>
          <w:szCs w:val="16"/>
          <w:rtl/>
        </w:rPr>
        <w:t>ו</w:t>
      </w:r>
      <w:r w:rsidRPr="0013631A">
        <w:rPr>
          <w:rFonts w:ascii="Tahoma" w:hAnsi="Tahoma" w:cs="Tahoma"/>
          <w:sz w:val="16"/>
          <w:szCs w:val="16"/>
          <w:rtl/>
        </w:rPr>
        <w:t>גם ועדת השרים לענייני ביטחון לאומי (הקבינט המדיני-בטחוני)</w:t>
      </w:r>
      <w:r w:rsidR="004F7D60">
        <w:rPr>
          <w:rFonts w:ascii="Tahoma" w:hAnsi="Tahoma" w:cs="Tahoma" w:hint="cs"/>
          <w:sz w:val="16"/>
          <w:szCs w:val="16"/>
          <w:rtl/>
        </w:rPr>
        <w:t>,</w:t>
      </w:r>
      <w:r w:rsidRPr="0013631A">
        <w:rPr>
          <w:rFonts w:ascii="Tahoma" w:hAnsi="Tahoma" w:cs="Tahoma"/>
          <w:sz w:val="16"/>
          <w:szCs w:val="16"/>
          <w:rtl/>
        </w:rPr>
        <w:t xml:space="preserve"> שקיבלה את התוכנית</w:t>
      </w:r>
      <w:r w:rsidR="004F7D60">
        <w:rPr>
          <w:rFonts w:ascii="Tahoma" w:hAnsi="Tahoma" w:cs="Tahoma" w:hint="cs"/>
          <w:sz w:val="16"/>
          <w:szCs w:val="16"/>
          <w:rtl/>
        </w:rPr>
        <w:t>,</w:t>
      </w:r>
      <w:r w:rsidRPr="0013631A">
        <w:rPr>
          <w:rFonts w:ascii="Tahoma" w:hAnsi="Tahoma" w:cs="Tahoma"/>
          <w:sz w:val="16"/>
          <w:szCs w:val="16"/>
          <w:rtl/>
        </w:rPr>
        <w:t xml:space="preserve"> לא אישרה אותה; לכן נכון למתקפת הטרור בשבעה באוקטובר היא נשארה בגדר טיוטה לא מאושרת. ראו </w:t>
      </w:r>
      <w:r w:rsidRPr="0013631A">
        <w:rPr>
          <w:rFonts w:ascii="Tahoma" w:hAnsi="Tahoma" w:cs="Tahoma" w:hint="cs"/>
          <w:sz w:val="16"/>
          <w:szCs w:val="16"/>
          <w:rtl/>
        </w:rPr>
        <w:t>בקובץ דוחות זה בפרק</w:t>
      </w:r>
      <w:r>
        <w:rPr>
          <w:rFonts w:ascii="Tahoma" w:hAnsi="Tahoma" w:cs="Tahoma" w:hint="cs"/>
          <w:sz w:val="16"/>
          <w:szCs w:val="16"/>
          <w:rtl/>
        </w:rPr>
        <w:t xml:space="preserve"> </w:t>
      </w:r>
      <w:r w:rsidRPr="0013631A">
        <w:rPr>
          <w:rFonts w:ascii="Tahoma" w:hAnsi="Tahoma" w:cs="Tahoma"/>
          <w:sz w:val="16"/>
          <w:szCs w:val="16"/>
          <w:rtl/>
        </w:rPr>
        <w:t>"קליטת האוכלוסייה שפונתה במלחמת חרבות ברזל והטיפול בה על ידי גופי הממשלה".</w:t>
      </w:r>
    </w:p>
  </w:footnote>
  <w:footnote w:id="3">
    <w:p w14:paraId="79C46DD3" w14:textId="77777777" w:rsidR="0004088F" w:rsidRPr="0013631A" w:rsidRDefault="0004088F" w:rsidP="0004088F">
      <w:pPr>
        <w:pStyle w:val="af"/>
        <w:ind w:right="-567"/>
        <w:rPr>
          <w:rFonts w:ascii="Tahoma" w:hAnsi="Tahoma" w:cs="Tahoma"/>
          <w:sz w:val="16"/>
          <w:szCs w:val="16"/>
          <w:rtl/>
        </w:rPr>
      </w:pPr>
      <w:r w:rsidRPr="0013631A">
        <w:rPr>
          <w:rStyle w:val="af1"/>
          <w:rFonts w:ascii="Tahoma" w:hAnsi="Tahoma" w:cs="Tahoma"/>
          <w:sz w:val="16"/>
          <w:szCs w:val="16"/>
        </w:rPr>
        <w:footnoteRef/>
      </w:r>
      <w:r w:rsidRPr="0013631A">
        <w:rPr>
          <w:rFonts w:ascii="Tahoma" w:hAnsi="Tahoma" w:cs="Tahoma"/>
          <w:sz w:val="16"/>
          <w:szCs w:val="16"/>
          <w:rtl/>
        </w:rPr>
        <w:t xml:space="preserve"> </w:t>
      </w:r>
      <w:r w:rsidRPr="0013631A">
        <w:rPr>
          <w:rFonts w:ascii="Tahoma" w:hAnsi="Tahoma" w:cs="Tahoma"/>
          <w:sz w:val="16"/>
          <w:szCs w:val="16"/>
          <w:rtl/>
        </w:rPr>
        <w:tab/>
      </w:r>
      <w:bookmarkStart w:id="10" w:name="_Hlk182820441"/>
      <w:r w:rsidRPr="0013631A">
        <w:rPr>
          <w:rFonts w:ascii="Tahoma" w:hAnsi="Tahoma" w:cs="Tahoma" w:hint="eastAsia"/>
          <w:sz w:val="16"/>
          <w:szCs w:val="16"/>
          <w:rtl/>
        </w:rPr>
        <w:t>במקביל</w:t>
      </w:r>
      <w:r w:rsidRPr="0013631A">
        <w:rPr>
          <w:rFonts w:ascii="Tahoma" w:hAnsi="Tahoma" w:cs="Tahoma"/>
          <w:sz w:val="16"/>
          <w:szCs w:val="16"/>
          <w:rtl/>
        </w:rPr>
        <w:t xml:space="preserve"> הכין צה"ל את </w:t>
      </w:r>
      <w:r w:rsidRPr="0013631A">
        <w:rPr>
          <w:rFonts w:ascii="Tahoma" w:hAnsi="Tahoma" w:cs="Tahoma" w:hint="eastAsia"/>
          <w:sz w:val="16"/>
          <w:szCs w:val="16"/>
          <w:rtl/>
        </w:rPr>
        <w:t>תוכנית</w:t>
      </w:r>
      <w:r w:rsidRPr="0013631A">
        <w:rPr>
          <w:rFonts w:ascii="Tahoma" w:hAnsi="Tahoma" w:cs="Tahoma"/>
          <w:sz w:val="16"/>
          <w:szCs w:val="16"/>
          <w:rtl/>
        </w:rPr>
        <w:t xml:space="preserve"> "מרחק בטוח" הצה"לית, ואף היא אושרה על ידי הרמטכ"ל ושר הביטחון ב</w:t>
      </w:r>
      <w:r w:rsidRPr="0013631A">
        <w:rPr>
          <w:rFonts w:ascii="Tahoma" w:hAnsi="Tahoma" w:cs="Tahoma" w:hint="cs"/>
          <w:sz w:val="16"/>
          <w:szCs w:val="16"/>
          <w:rtl/>
        </w:rPr>
        <w:t>ינואר</w:t>
      </w:r>
      <w:r w:rsidRPr="0013631A">
        <w:rPr>
          <w:rFonts w:ascii="Tahoma" w:hAnsi="Tahoma" w:cs="Tahoma"/>
          <w:sz w:val="16"/>
          <w:szCs w:val="16"/>
          <w:rtl/>
        </w:rPr>
        <w:t xml:space="preserve"> 2021.</w:t>
      </w:r>
      <w:bookmarkEnd w:id="10"/>
    </w:p>
  </w:footnote>
  <w:footnote w:id="4">
    <w:p w14:paraId="7FB62B6A" w14:textId="77777777" w:rsidR="0004088F" w:rsidRPr="0013631A" w:rsidRDefault="0004088F" w:rsidP="0004088F">
      <w:pPr>
        <w:pStyle w:val="af"/>
        <w:rPr>
          <w:rFonts w:ascii="Tahoma" w:hAnsi="Tahoma" w:cs="Tahoma"/>
          <w:sz w:val="16"/>
          <w:szCs w:val="16"/>
        </w:rPr>
      </w:pPr>
      <w:r w:rsidRPr="0013631A">
        <w:rPr>
          <w:rStyle w:val="af1"/>
          <w:rFonts w:ascii="Tahoma" w:hAnsi="Tahoma" w:cs="Tahoma"/>
          <w:sz w:val="16"/>
          <w:szCs w:val="16"/>
        </w:rPr>
        <w:footnoteRef/>
      </w:r>
      <w:r w:rsidRPr="0013631A">
        <w:rPr>
          <w:rFonts w:ascii="Tahoma" w:hAnsi="Tahoma" w:cs="Tahoma"/>
          <w:sz w:val="16"/>
          <w:szCs w:val="16"/>
          <w:rtl/>
        </w:rPr>
        <w:t xml:space="preserve"> </w:t>
      </w:r>
      <w:r w:rsidRPr="0013631A">
        <w:rPr>
          <w:rtl/>
        </w:rPr>
        <w:tab/>
      </w:r>
      <w:r w:rsidR="001A60CB">
        <w:rPr>
          <w:rFonts w:ascii="Tahoma" w:hAnsi="Tahoma" w:cs="Tahoma" w:hint="cs"/>
          <w:sz w:val="16"/>
          <w:szCs w:val="16"/>
          <w:rtl/>
        </w:rPr>
        <w:t>ו</w:t>
      </w:r>
      <w:r w:rsidRPr="0013631A">
        <w:rPr>
          <w:rFonts w:ascii="Tahoma" w:hAnsi="Tahoma" w:cs="Tahoma"/>
          <w:sz w:val="16"/>
          <w:szCs w:val="16"/>
          <w:rtl/>
        </w:rPr>
        <w:t>התוכנית נועדה לתת מענה ל-75% מהתושבים שהם כ-10,400 תושבים.</w:t>
      </w:r>
    </w:p>
  </w:footnote>
  <w:footnote w:id="5">
    <w:p w14:paraId="0AAC73C7" w14:textId="77777777" w:rsidR="0004088F" w:rsidRPr="0013631A" w:rsidRDefault="0004088F" w:rsidP="0004088F">
      <w:pPr>
        <w:pStyle w:val="af"/>
        <w:ind w:right="-567"/>
        <w:rPr>
          <w:rFonts w:ascii="Tahoma" w:hAnsi="Tahoma" w:cs="Tahoma"/>
          <w:sz w:val="16"/>
          <w:szCs w:val="16"/>
        </w:rPr>
      </w:pPr>
      <w:r w:rsidRPr="0013631A">
        <w:rPr>
          <w:rStyle w:val="af1"/>
          <w:rFonts w:ascii="Tahoma" w:hAnsi="Tahoma" w:cs="Tahoma"/>
          <w:sz w:val="16"/>
          <w:szCs w:val="16"/>
        </w:rPr>
        <w:footnoteRef/>
      </w:r>
      <w:r w:rsidRPr="0013631A">
        <w:rPr>
          <w:rFonts w:ascii="Tahoma" w:hAnsi="Tahoma" w:cs="Tahoma"/>
          <w:sz w:val="16"/>
          <w:szCs w:val="16"/>
          <w:rtl/>
        </w:rPr>
        <w:t xml:space="preserve"> </w:t>
      </w:r>
      <w:r w:rsidRPr="0013631A">
        <w:rPr>
          <w:rFonts w:ascii="Tahoma" w:hAnsi="Tahoma" w:cs="Tahoma"/>
          <w:sz w:val="16"/>
          <w:szCs w:val="16"/>
          <w:rtl/>
        </w:rPr>
        <w:tab/>
      </w:r>
      <w:r w:rsidRPr="0013631A">
        <w:rPr>
          <w:rFonts w:ascii="Tahoma" w:hAnsi="Tahoma" w:cs="Tahoma" w:hint="eastAsia"/>
          <w:sz w:val="16"/>
          <w:szCs w:val="16"/>
          <w:rtl/>
        </w:rPr>
        <w:t>שער</w:t>
      </w:r>
      <w:r w:rsidRPr="0013631A">
        <w:rPr>
          <w:rFonts w:ascii="Tahoma" w:hAnsi="Tahoma" w:cs="Tahoma"/>
          <w:sz w:val="16"/>
          <w:szCs w:val="16"/>
          <w:rtl/>
        </w:rPr>
        <w:t xml:space="preserve"> </w:t>
      </w:r>
      <w:r w:rsidRPr="0013631A">
        <w:rPr>
          <w:rFonts w:ascii="Tahoma" w:hAnsi="Tahoma" w:cs="Tahoma" w:hint="eastAsia"/>
          <w:sz w:val="16"/>
          <w:szCs w:val="16"/>
          <w:rtl/>
        </w:rPr>
        <w:t>הנגב</w:t>
      </w:r>
      <w:r w:rsidRPr="0013631A">
        <w:rPr>
          <w:rFonts w:ascii="Tahoma" w:hAnsi="Tahoma" w:cs="Tahoma"/>
          <w:sz w:val="16"/>
          <w:szCs w:val="16"/>
          <w:rtl/>
        </w:rPr>
        <w:t xml:space="preserve">: </w:t>
      </w:r>
      <w:r w:rsidRPr="0013631A">
        <w:rPr>
          <w:rFonts w:ascii="Tahoma" w:hAnsi="Tahoma" w:cs="Tahoma" w:hint="eastAsia"/>
          <w:sz w:val="16"/>
          <w:szCs w:val="16"/>
          <w:rtl/>
        </w:rPr>
        <w:t>נחל</w:t>
      </w:r>
      <w:r w:rsidRPr="0013631A">
        <w:rPr>
          <w:rFonts w:ascii="Tahoma" w:hAnsi="Tahoma" w:cs="Tahoma"/>
          <w:sz w:val="16"/>
          <w:szCs w:val="16"/>
          <w:rtl/>
        </w:rPr>
        <w:t xml:space="preserve"> </w:t>
      </w:r>
      <w:r w:rsidRPr="0013631A">
        <w:rPr>
          <w:rFonts w:ascii="Tahoma" w:hAnsi="Tahoma" w:cs="Tahoma" w:hint="eastAsia"/>
          <w:sz w:val="16"/>
          <w:szCs w:val="16"/>
          <w:rtl/>
        </w:rPr>
        <w:t>עוז</w:t>
      </w:r>
      <w:r w:rsidRPr="0013631A">
        <w:rPr>
          <w:rFonts w:ascii="Tahoma" w:hAnsi="Tahoma" w:cs="Tahoma"/>
          <w:sz w:val="16"/>
          <w:szCs w:val="16"/>
          <w:rtl/>
        </w:rPr>
        <w:t xml:space="preserve">, </w:t>
      </w:r>
      <w:r w:rsidRPr="0013631A">
        <w:rPr>
          <w:rFonts w:ascii="Tahoma" w:hAnsi="Tahoma" w:cs="Tahoma" w:hint="eastAsia"/>
          <w:sz w:val="16"/>
          <w:szCs w:val="16"/>
          <w:rtl/>
        </w:rPr>
        <w:t>ארז</w:t>
      </w:r>
      <w:r w:rsidRPr="0013631A">
        <w:rPr>
          <w:rFonts w:ascii="Tahoma" w:hAnsi="Tahoma" w:cs="Tahoma"/>
          <w:sz w:val="16"/>
          <w:szCs w:val="16"/>
          <w:rtl/>
        </w:rPr>
        <w:t xml:space="preserve">, </w:t>
      </w:r>
      <w:r w:rsidRPr="0013631A">
        <w:rPr>
          <w:rFonts w:ascii="Tahoma" w:hAnsi="Tahoma" w:cs="Tahoma" w:hint="eastAsia"/>
          <w:sz w:val="16"/>
          <w:szCs w:val="16"/>
          <w:rtl/>
        </w:rPr>
        <w:t>ניר</w:t>
      </w:r>
      <w:r w:rsidRPr="0013631A">
        <w:rPr>
          <w:rFonts w:ascii="Tahoma" w:hAnsi="Tahoma" w:cs="Tahoma"/>
          <w:sz w:val="16"/>
          <w:szCs w:val="16"/>
          <w:rtl/>
        </w:rPr>
        <w:t xml:space="preserve"> </w:t>
      </w:r>
      <w:r w:rsidRPr="0013631A">
        <w:rPr>
          <w:rFonts w:ascii="Tahoma" w:hAnsi="Tahoma" w:cs="Tahoma" w:hint="eastAsia"/>
          <w:sz w:val="16"/>
          <w:szCs w:val="16"/>
          <w:rtl/>
        </w:rPr>
        <w:t>עם</w:t>
      </w:r>
      <w:r w:rsidRPr="0013631A">
        <w:rPr>
          <w:rFonts w:ascii="Tahoma" w:hAnsi="Tahoma" w:cs="Tahoma"/>
          <w:sz w:val="16"/>
          <w:szCs w:val="16"/>
          <w:rtl/>
        </w:rPr>
        <w:t xml:space="preserve">, </w:t>
      </w:r>
      <w:r w:rsidRPr="0013631A">
        <w:rPr>
          <w:rFonts w:ascii="Tahoma" w:hAnsi="Tahoma" w:cs="Tahoma" w:hint="eastAsia"/>
          <w:sz w:val="16"/>
          <w:szCs w:val="16"/>
          <w:rtl/>
        </w:rPr>
        <w:t>מפלסים</w:t>
      </w:r>
      <w:r w:rsidRPr="0013631A">
        <w:rPr>
          <w:rFonts w:ascii="Tahoma" w:hAnsi="Tahoma" w:cs="Tahoma"/>
          <w:sz w:val="16"/>
          <w:szCs w:val="16"/>
          <w:rtl/>
        </w:rPr>
        <w:t xml:space="preserve">, </w:t>
      </w:r>
      <w:r w:rsidRPr="0013631A">
        <w:rPr>
          <w:rFonts w:ascii="Tahoma" w:hAnsi="Tahoma" w:cs="Tahoma" w:hint="eastAsia"/>
          <w:sz w:val="16"/>
          <w:szCs w:val="16"/>
          <w:rtl/>
        </w:rPr>
        <w:t>כפר</w:t>
      </w:r>
      <w:r w:rsidRPr="0013631A">
        <w:rPr>
          <w:rFonts w:ascii="Tahoma" w:hAnsi="Tahoma" w:cs="Tahoma"/>
          <w:sz w:val="16"/>
          <w:szCs w:val="16"/>
          <w:rtl/>
        </w:rPr>
        <w:t xml:space="preserve"> </w:t>
      </w:r>
      <w:r w:rsidRPr="0013631A">
        <w:rPr>
          <w:rFonts w:ascii="Tahoma" w:hAnsi="Tahoma" w:cs="Tahoma" w:hint="eastAsia"/>
          <w:sz w:val="16"/>
          <w:szCs w:val="16"/>
          <w:rtl/>
        </w:rPr>
        <w:t>עזה</w:t>
      </w:r>
      <w:r w:rsidRPr="0013631A">
        <w:rPr>
          <w:rFonts w:ascii="Tahoma" w:hAnsi="Tahoma" w:cs="Tahoma"/>
          <w:sz w:val="16"/>
          <w:szCs w:val="16"/>
          <w:rtl/>
        </w:rPr>
        <w:t xml:space="preserve">, </w:t>
      </w:r>
      <w:r w:rsidRPr="0013631A">
        <w:rPr>
          <w:rFonts w:ascii="Tahoma" w:hAnsi="Tahoma" w:cs="Tahoma" w:hint="eastAsia"/>
          <w:sz w:val="16"/>
          <w:szCs w:val="16"/>
          <w:rtl/>
        </w:rPr>
        <w:t>גבים</w:t>
      </w:r>
      <w:r w:rsidRPr="0013631A">
        <w:rPr>
          <w:rFonts w:ascii="Tahoma" w:hAnsi="Tahoma" w:cs="Tahoma"/>
          <w:sz w:val="16"/>
          <w:szCs w:val="16"/>
          <w:rtl/>
        </w:rPr>
        <w:t xml:space="preserve"> </w:t>
      </w:r>
      <w:r w:rsidRPr="0013631A">
        <w:rPr>
          <w:rFonts w:ascii="Tahoma" w:hAnsi="Tahoma" w:cs="Tahoma" w:hint="eastAsia"/>
          <w:sz w:val="16"/>
          <w:szCs w:val="16"/>
          <w:rtl/>
        </w:rPr>
        <w:t>ואור</w:t>
      </w:r>
      <w:r w:rsidRPr="0013631A">
        <w:rPr>
          <w:rFonts w:ascii="Tahoma" w:hAnsi="Tahoma" w:cs="Tahoma"/>
          <w:sz w:val="16"/>
          <w:szCs w:val="16"/>
          <w:rtl/>
        </w:rPr>
        <w:t xml:space="preserve"> </w:t>
      </w:r>
      <w:r w:rsidRPr="0013631A">
        <w:rPr>
          <w:rFonts w:ascii="Tahoma" w:hAnsi="Tahoma" w:cs="Tahoma" w:hint="eastAsia"/>
          <w:sz w:val="16"/>
          <w:szCs w:val="16"/>
          <w:rtl/>
        </w:rPr>
        <w:t>הנר</w:t>
      </w:r>
      <w:r w:rsidRPr="0013631A">
        <w:rPr>
          <w:rFonts w:ascii="Tahoma" w:hAnsi="Tahoma" w:cs="Tahoma"/>
          <w:sz w:val="16"/>
          <w:szCs w:val="16"/>
          <w:rtl/>
        </w:rPr>
        <w:t xml:space="preserve">; </w:t>
      </w:r>
      <w:r w:rsidRPr="0013631A">
        <w:rPr>
          <w:rFonts w:ascii="Tahoma" w:hAnsi="Tahoma" w:cs="Tahoma" w:hint="eastAsia"/>
          <w:sz w:val="16"/>
          <w:szCs w:val="16"/>
          <w:rtl/>
        </w:rPr>
        <w:t>שדות</w:t>
      </w:r>
      <w:r w:rsidRPr="0013631A">
        <w:rPr>
          <w:rFonts w:ascii="Tahoma" w:hAnsi="Tahoma" w:cs="Tahoma"/>
          <w:sz w:val="16"/>
          <w:szCs w:val="16"/>
          <w:rtl/>
        </w:rPr>
        <w:t xml:space="preserve"> </w:t>
      </w:r>
      <w:r w:rsidRPr="0013631A">
        <w:rPr>
          <w:rFonts w:ascii="Tahoma" w:hAnsi="Tahoma" w:cs="Tahoma" w:hint="eastAsia"/>
          <w:sz w:val="16"/>
          <w:szCs w:val="16"/>
          <w:rtl/>
        </w:rPr>
        <w:t>נגב</w:t>
      </w:r>
      <w:r w:rsidRPr="0013631A">
        <w:rPr>
          <w:rFonts w:ascii="Tahoma" w:hAnsi="Tahoma" w:cs="Tahoma"/>
          <w:sz w:val="16"/>
          <w:szCs w:val="16"/>
          <w:rtl/>
        </w:rPr>
        <w:t xml:space="preserve">: </w:t>
      </w:r>
      <w:r w:rsidRPr="0013631A">
        <w:rPr>
          <w:rFonts w:ascii="Tahoma" w:hAnsi="Tahoma" w:cs="Tahoma" w:hint="eastAsia"/>
          <w:sz w:val="16"/>
          <w:szCs w:val="16"/>
          <w:rtl/>
        </w:rPr>
        <w:t>סעד</w:t>
      </w:r>
      <w:r w:rsidRPr="0013631A">
        <w:rPr>
          <w:rFonts w:ascii="Tahoma" w:hAnsi="Tahoma" w:cs="Tahoma"/>
          <w:sz w:val="16"/>
          <w:szCs w:val="16"/>
          <w:rtl/>
        </w:rPr>
        <w:t xml:space="preserve"> </w:t>
      </w:r>
      <w:r w:rsidRPr="0013631A">
        <w:rPr>
          <w:rFonts w:ascii="Tahoma" w:hAnsi="Tahoma" w:cs="Tahoma" w:hint="eastAsia"/>
          <w:sz w:val="16"/>
          <w:szCs w:val="16"/>
          <w:rtl/>
        </w:rPr>
        <w:t>ועלומים</w:t>
      </w:r>
      <w:r w:rsidRPr="0013631A">
        <w:rPr>
          <w:rFonts w:ascii="Tahoma" w:hAnsi="Tahoma" w:cs="Tahoma"/>
          <w:sz w:val="16"/>
          <w:szCs w:val="16"/>
          <w:rtl/>
        </w:rPr>
        <w:t>.</w:t>
      </w:r>
    </w:p>
  </w:footnote>
  <w:footnote w:id="6">
    <w:p w14:paraId="14E24CEC" w14:textId="77777777" w:rsidR="0004088F" w:rsidRDefault="0004088F" w:rsidP="00425665">
      <w:pPr>
        <w:pStyle w:val="af"/>
      </w:pPr>
      <w:r w:rsidRPr="0013631A">
        <w:rPr>
          <w:rStyle w:val="af1"/>
          <w:rFonts w:ascii="Tahoma" w:hAnsi="Tahoma" w:cs="Tahoma"/>
          <w:sz w:val="16"/>
          <w:szCs w:val="16"/>
        </w:rPr>
        <w:footnoteRef/>
      </w:r>
      <w:r w:rsidRPr="0013631A">
        <w:rPr>
          <w:rStyle w:val="af1"/>
          <w:rFonts w:ascii="Tahoma" w:hAnsi="Tahoma" w:cs="Tahoma"/>
          <w:sz w:val="16"/>
          <w:szCs w:val="16"/>
          <w:rtl/>
        </w:rPr>
        <w:t xml:space="preserve"> </w:t>
      </w:r>
      <w:r w:rsidRPr="0013631A">
        <w:rPr>
          <w:rFonts w:ascii="Tahoma" w:hAnsi="Tahoma" w:cs="Tahoma"/>
          <w:sz w:val="16"/>
          <w:szCs w:val="16"/>
          <w:rtl/>
        </w:rPr>
        <w:tab/>
        <w:t>עם זאת, ב</w:t>
      </w:r>
      <w:r w:rsidRPr="0013631A">
        <w:rPr>
          <w:rFonts w:ascii="Tahoma" w:hAnsi="Tahoma" w:cs="Tahoma" w:hint="eastAsia"/>
          <w:sz w:val="16"/>
          <w:szCs w:val="16"/>
          <w:rtl/>
        </w:rPr>
        <w:t>ת</w:t>
      </w:r>
      <w:r w:rsidRPr="0013631A">
        <w:rPr>
          <w:rFonts w:ascii="Tahoma" w:hAnsi="Tahoma" w:cs="Tahoma" w:hint="cs"/>
          <w:sz w:val="16"/>
          <w:szCs w:val="16"/>
          <w:rtl/>
        </w:rPr>
        <w:t>ו</w:t>
      </w:r>
      <w:r w:rsidRPr="0013631A">
        <w:rPr>
          <w:rFonts w:ascii="Tahoma" w:hAnsi="Tahoma" w:cs="Tahoma" w:hint="eastAsia"/>
          <w:sz w:val="16"/>
          <w:szCs w:val="16"/>
          <w:rtl/>
        </w:rPr>
        <w:t>כנית</w:t>
      </w:r>
      <w:r w:rsidRPr="0013631A">
        <w:rPr>
          <w:rFonts w:ascii="Tahoma" w:hAnsi="Tahoma" w:cs="Tahoma"/>
          <w:sz w:val="16"/>
          <w:szCs w:val="16"/>
          <w:rtl/>
        </w:rPr>
        <w:t xml:space="preserve"> "מרחק </w:t>
      </w:r>
      <w:r w:rsidRPr="0013631A">
        <w:rPr>
          <w:rFonts w:ascii="Tahoma" w:hAnsi="Tahoma" w:cs="Tahoma" w:hint="eastAsia"/>
          <w:sz w:val="16"/>
          <w:szCs w:val="16"/>
          <w:rtl/>
        </w:rPr>
        <w:t>בטוח</w:t>
      </w:r>
      <w:r w:rsidRPr="0013631A">
        <w:rPr>
          <w:rFonts w:ascii="Tahoma" w:hAnsi="Tahoma" w:cs="Tahoma"/>
          <w:sz w:val="16"/>
          <w:szCs w:val="16"/>
          <w:rtl/>
        </w:rPr>
        <w:t xml:space="preserve">" </w:t>
      </w:r>
      <w:r w:rsidRPr="0013631A">
        <w:rPr>
          <w:rFonts w:ascii="Tahoma" w:hAnsi="Tahoma" w:cs="Tahoma" w:hint="eastAsia"/>
          <w:sz w:val="16"/>
          <w:szCs w:val="16"/>
          <w:rtl/>
        </w:rPr>
        <w:t>צוין</w:t>
      </w:r>
      <w:r w:rsidRPr="0013631A">
        <w:rPr>
          <w:rFonts w:ascii="Tahoma" w:hAnsi="Tahoma" w:cs="Tahoma"/>
          <w:sz w:val="16"/>
          <w:szCs w:val="16"/>
          <w:rtl/>
        </w:rPr>
        <w:t xml:space="preserve"> כי אם יוחלט על פינוי שכונותיה המערביות של שדרות, עד 6,000 תושבים, המענה ייכלל בתוכנית.</w:t>
      </w:r>
    </w:p>
  </w:footnote>
  <w:footnote w:id="7">
    <w:p w14:paraId="48ADB2FB" w14:textId="77777777" w:rsidR="001A60CB" w:rsidRPr="009A113C" w:rsidRDefault="001A60CB" w:rsidP="001A60CB">
      <w:pPr>
        <w:pStyle w:val="af"/>
        <w:rPr>
          <w:rFonts w:ascii="Tahoma" w:hAnsi="Tahoma" w:cs="Tahoma"/>
          <w:sz w:val="16"/>
          <w:szCs w:val="16"/>
        </w:rPr>
      </w:pPr>
      <w:r w:rsidRPr="009A113C">
        <w:rPr>
          <w:rStyle w:val="af1"/>
          <w:rFonts w:ascii="Tahoma" w:hAnsi="Tahoma" w:cs="Tahoma"/>
          <w:sz w:val="16"/>
          <w:szCs w:val="16"/>
        </w:rPr>
        <w:footnoteRef/>
      </w:r>
      <w:r w:rsidRPr="009A113C">
        <w:rPr>
          <w:rFonts w:ascii="Tahoma" w:hAnsi="Tahoma" w:cs="Tahoma"/>
          <w:sz w:val="16"/>
          <w:szCs w:val="16"/>
          <w:rtl/>
        </w:rPr>
        <w:t xml:space="preserve"> </w:t>
      </w:r>
      <w:r w:rsidRPr="009A113C">
        <w:rPr>
          <w:rFonts w:ascii="Tahoma" w:hAnsi="Tahoma" w:cs="Tahoma"/>
          <w:sz w:val="16"/>
          <w:szCs w:val="16"/>
          <w:rtl/>
        </w:rPr>
        <w:tab/>
        <w:t xml:space="preserve">בתוכניות הפינוי שהוכנו מבעוד מועד הוכרה השמירה על הקהילתיות כאחד העקרונות החשובים </w:t>
      </w:r>
      <w:r w:rsidRPr="009A113C">
        <w:rPr>
          <w:rFonts w:ascii="Tahoma" w:hAnsi="Tahoma" w:cs="Tahoma" w:hint="eastAsia"/>
          <w:sz w:val="16"/>
          <w:szCs w:val="16"/>
          <w:rtl/>
        </w:rPr>
        <w:t>במטרה</w:t>
      </w:r>
      <w:r w:rsidRPr="009A113C">
        <w:rPr>
          <w:rFonts w:ascii="Tahoma" w:hAnsi="Tahoma" w:cs="Tahoma"/>
          <w:sz w:val="16"/>
          <w:szCs w:val="16"/>
          <w:rtl/>
        </w:rPr>
        <w:t xml:space="preserve"> </w:t>
      </w:r>
      <w:r w:rsidRPr="009A113C">
        <w:rPr>
          <w:rFonts w:ascii="Tahoma" w:hAnsi="Tahoma" w:cs="Tahoma" w:hint="eastAsia"/>
          <w:sz w:val="16"/>
          <w:szCs w:val="16"/>
          <w:rtl/>
        </w:rPr>
        <w:t>לשמור</w:t>
      </w:r>
      <w:r w:rsidRPr="009A113C">
        <w:rPr>
          <w:rFonts w:ascii="Tahoma" w:hAnsi="Tahoma" w:cs="Tahoma"/>
          <w:sz w:val="16"/>
          <w:szCs w:val="16"/>
          <w:rtl/>
        </w:rPr>
        <w:t xml:space="preserve"> </w:t>
      </w:r>
      <w:r w:rsidRPr="009A113C">
        <w:rPr>
          <w:rFonts w:ascii="Tahoma" w:hAnsi="Tahoma" w:cs="Tahoma" w:hint="eastAsia"/>
          <w:sz w:val="16"/>
          <w:szCs w:val="16"/>
          <w:rtl/>
        </w:rPr>
        <w:t>על</w:t>
      </w:r>
      <w:r w:rsidRPr="009A113C">
        <w:rPr>
          <w:rFonts w:ascii="Tahoma" w:hAnsi="Tahoma" w:cs="Tahoma"/>
          <w:sz w:val="16"/>
          <w:szCs w:val="16"/>
          <w:rtl/>
        </w:rPr>
        <w:t xml:space="preserve"> חוסן התושבים </w:t>
      </w:r>
      <w:r w:rsidRPr="009A113C">
        <w:rPr>
          <w:rFonts w:ascii="Tahoma" w:hAnsi="Tahoma" w:cs="Tahoma" w:hint="eastAsia"/>
          <w:sz w:val="16"/>
          <w:szCs w:val="16"/>
          <w:rtl/>
        </w:rPr>
        <w:t>ולאפשר</w:t>
      </w:r>
      <w:r w:rsidRPr="009A113C">
        <w:rPr>
          <w:rFonts w:ascii="Tahoma" w:hAnsi="Tahoma" w:cs="Tahoma"/>
          <w:sz w:val="16"/>
          <w:szCs w:val="16"/>
          <w:rtl/>
        </w:rPr>
        <w:t xml:space="preserve"> להם מענה במקומות הקליטה.</w:t>
      </w:r>
    </w:p>
  </w:footnote>
  <w:footnote w:id="8">
    <w:p w14:paraId="4AB81855" w14:textId="77777777" w:rsidR="0004088F" w:rsidRPr="009A113C" w:rsidRDefault="0004088F" w:rsidP="00425665">
      <w:pPr>
        <w:pStyle w:val="af"/>
        <w:rPr>
          <w:rFonts w:ascii="Tahoma" w:hAnsi="Tahoma" w:cs="Tahoma"/>
          <w:sz w:val="16"/>
          <w:szCs w:val="16"/>
          <w:rtl/>
        </w:rPr>
      </w:pPr>
      <w:r w:rsidRPr="00EE3810">
        <w:rPr>
          <w:rStyle w:val="af1"/>
          <w:rFonts w:ascii="Tahoma" w:hAnsi="Tahoma" w:cs="Tahoma"/>
          <w:sz w:val="16"/>
          <w:szCs w:val="16"/>
        </w:rPr>
        <w:footnoteRef/>
      </w:r>
      <w:r w:rsidRPr="00EE3810">
        <w:rPr>
          <w:rFonts w:ascii="Tahoma" w:hAnsi="Tahoma" w:cs="Tahoma"/>
          <w:sz w:val="16"/>
          <w:szCs w:val="16"/>
          <w:rtl/>
        </w:rPr>
        <w:t xml:space="preserve"> </w:t>
      </w:r>
      <w:r w:rsidRPr="00EE3810">
        <w:rPr>
          <w:rFonts w:ascii="Tahoma" w:hAnsi="Tahoma" w:cs="Tahoma"/>
          <w:sz w:val="16"/>
          <w:szCs w:val="16"/>
          <w:rtl/>
        </w:rPr>
        <w:tab/>
        <w:t xml:space="preserve">במרחב כפרי שבו יישובים בעלי אופי קהילתי - קיבוצים, מושבים ויישובים קהילתיים - ההתמודדות עם מצבי משבר נושאת צביון קהילתי ייחודי, ולכן הגורם המתאים ביותר להגיש סיוע פיזי, חברתי ונפשי ואף לנהל את המצב </w:t>
      </w:r>
      <w:proofErr w:type="spellStart"/>
      <w:r w:rsidRPr="00EE3810">
        <w:rPr>
          <w:rFonts w:ascii="Tahoma" w:hAnsi="Tahoma" w:cs="Tahoma"/>
          <w:sz w:val="16"/>
          <w:szCs w:val="16"/>
          <w:rtl/>
        </w:rPr>
        <w:t>המשברי</w:t>
      </w:r>
      <w:proofErr w:type="spellEnd"/>
      <w:r w:rsidRPr="00EE3810">
        <w:rPr>
          <w:rFonts w:ascii="Tahoma" w:hAnsi="Tahoma" w:cs="Tahoma"/>
          <w:sz w:val="16"/>
          <w:szCs w:val="16"/>
          <w:rtl/>
        </w:rPr>
        <w:t xml:space="preserve"> הוא אנשים מתוך היישוב. אשר על כן, לפני כ-20 שנה יזמו כמה מועצות אזוריות הקמה של צוות חירום וחוסן יישובי (צח"י; וברבים - צוותי צח"י) בשטחן, אשר נועד לתת מענה קהילתי במצבי משבר וחירום </w:t>
      </w:r>
      <w:r w:rsidRPr="009A113C">
        <w:rPr>
          <w:rFonts w:ascii="Tahoma" w:hAnsi="Tahoma" w:cs="Tahoma"/>
          <w:sz w:val="16"/>
          <w:szCs w:val="16"/>
          <w:rtl/>
        </w:rPr>
        <w:t xml:space="preserve">לאוכלוסיית היישוב בכלל ולתושבים שנפגעו בפרט. צח"י אמור להיות הגורם היישובי הראשון המגיב למצבי משבר וחירום והמוביל את המענה הקהילתי לאוכלוסיית היישוב. להרחבה בנושא צח"י </w:t>
      </w:r>
      <w:r w:rsidRPr="009A113C">
        <w:rPr>
          <w:rFonts w:ascii="Tahoma" w:hAnsi="Tahoma" w:cs="Tahoma" w:hint="eastAsia"/>
          <w:sz w:val="16"/>
          <w:szCs w:val="16"/>
          <w:rtl/>
        </w:rPr>
        <w:t>ראו</w:t>
      </w:r>
      <w:r w:rsidRPr="009A113C">
        <w:rPr>
          <w:rFonts w:ascii="Tahoma" w:hAnsi="Tahoma" w:cs="Tahoma"/>
          <w:sz w:val="16"/>
          <w:szCs w:val="16"/>
          <w:rtl/>
        </w:rPr>
        <w:t xml:space="preserve"> מבקר המדינה, </w:t>
      </w:r>
      <w:r w:rsidRPr="009A113C">
        <w:rPr>
          <w:rFonts w:ascii="Tahoma" w:hAnsi="Tahoma" w:cs="Tahoma"/>
          <w:b/>
          <w:bCs/>
          <w:sz w:val="16"/>
          <w:szCs w:val="16"/>
          <w:rtl/>
        </w:rPr>
        <w:t xml:space="preserve">דוח ביקורת מיוחד - מתקפת הטרור בשבעה באוקטובר 2023 ומלחמת חרבות ברזל - הטיפול </w:t>
      </w:r>
      <w:r w:rsidRPr="0068156F">
        <w:rPr>
          <w:rFonts w:ascii="Tahoma" w:hAnsi="Tahoma" w:cs="Tahoma"/>
          <w:b/>
          <w:bCs/>
          <w:sz w:val="16"/>
          <w:szCs w:val="16"/>
          <w:rtl/>
        </w:rPr>
        <w:t>באוכלוסי</w:t>
      </w:r>
      <w:r w:rsidRPr="0068156F">
        <w:rPr>
          <w:rFonts w:ascii="Tahoma" w:hAnsi="Tahoma" w:cs="Tahoma" w:hint="eastAsia"/>
          <w:b/>
          <w:bCs/>
          <w:sz w:val="16"/>
          <w:szCs w:val="16"/>
          <w:rtl/>
        </w:rPr>
        <w:t>י</w:t>
      </w:r>
      <w:r w:rsidRPr="0068156F">
        <w:rPr>
          <w:rFonts w:ascii="Tahoma" w:hAnsi="Tahoma" w:cs="Tahoma"/>
          <w:b/>
          <w:bCs/>
          <w:sz w:val="16"/>
          <w:szCs w:val="16"/>
          <w:rtl/>
        </w:rPr>
        <w:t>ה</w:t>
      </w:r>
      <w:r w:rsidRPr="009A113C">
        <w:rPr>
          <w:rFonts w:ascii="Tahoma" w:hAnsi="Tahoma" w:cs="Tahoma"/>
          <w:sz w:val="16"/>
          <w:szCs w:val="16"/>
          <w:rtl/>
        </w:rPr>
        <w:t xml:space="preserve"> (2025), "</w:t>
      </w:r>
      <w:r w:rsidRPr="0068156F">
        <w:rPr>
          <w:rFonts w:ascii="Tahoma" w:hAnsi="Tahoma" w:cs="Tahoma"/>
          <w:sz w:val="16"/>
          <w:szCs w:val="16"/>
          <w:rtl/>
        </w:rPr>
        <w:t>האסדרה של צוותי החירום היישובי</w:t>
      </w:r>
      <w:r w:rsidRPr="0068156F">
        <w:rPr>
          <w:rFonts w:ascii="Tahoma" w:hAnsi="Tahoma" w:cs="Tahoma" w:hint="eastAsia"/>
          <w:sz w:val="16"/>
          <w:szCs w:val="16"/>
          <w:rtl/>
        </w:rPr>
        <w:t>י</w:t>
      </w:r>
      <w:r w:rsidRPr="0068156F">
        <w:rPr>
          <w:rFonts w:ascii="Tahoma" w:hAnsi="Tahoma" w:cs="Tahoma"/>
          <w:sz w:val="16"/>
          <w:szCs w:val="16"/>
          <w:rtl/>
        </w:rPr>
        <w:t>ם לפני מלחמת חרבות ברזל והפעלתם בתחילת המלחמה</w:t>
      </w:r>
      <w:r w:rsidRPr="009A113C">
        <w:rPr>
          <w:rFonts w:ascii="Tahoma" w:hAnsi="Tahoma" w:cs="Tahoma"/>
          <w:sz w:val="16"/>
          <w:szCs w:val="16"/>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5191" w14:textId="77777777"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14:anchorId="405B5028" wp14:editId="0A1EEB72">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14:paraId="6F1983DC" w14:textId="77777777"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14:paraId="1A81B9E4" w14:textId="77777777"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14:paraId="0D9EFC35" w14:textId="77777777"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3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3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3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 xml:space="preserve">אלול </w:t>
                      </w:r>
                      <w:proofErr w:type="spellStart"/>
                      <w:r>
                        <w:rPr>
                          <w:rFonts w:ascii="Calibri" w:hAnsi="Calibri" w:cs="Calibri" w:hint="cs"/>
                          <w:color w:val="002060"/>
                          <w:szCs w:val="20"/>
                          <w:rtl/>
                        </w:rPr>
                        <w:t>התשפ"ה</w:t>
                      </w:r>
                      <w:proofErr w:type="spellEnd"/>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251D8" w14:textId="77777777"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14:anchorId="5F3B30E1" wp14:editId="7CCF17FA">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14:paraId="19EB7012" w14:textId="1560A2AD"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w:t>
                            </w:r>
                            <w:r w:rsidR="00CA2271">
                              <w:rPr>
                                <w:rFonts w:ascii="Calibri" w:hAnsi="Calibri" w:cs="Calibri" w:hint="cs"/>
                                <w:color w:val="002060"/>
                                <w:sz w:val="22"/>
                                <w:szCs w:val="22"/>
                                <w:rtl/>
                              </w:rPr>
                              <w:t xml:space="preserve"> </w:t>
                            </w:r>
                            <w:r>
                              <w:rPr>
                                <w:rFonts w:ascii="Calibri" w:hAnsi="Calibri" w:cs="Calibri" w:hint="cs"/>
                                <w:color w:val="002060"/>
                                <w:sz w:val="22"/>
                                <w:szCs w:val="22"/>
                                <w:rtl/>
                              </w:rPr>
                              <w:t>דוח מיוחד</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14:paraId="76D84C27" w14:textId="77777777"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8C67B0">
                              <w:rPr>
                                <w:rFonts w:ascii="Calibri" w:hAnsi="Calibri" w:cs="Calibri" w:hint="cs"/>
                                <w:color w:val="002060"/>
                                <w:sz w:val="12"/>
                                <w:szCs w:val="12"/>
                                <w:rtl/>
                              </w:rPr>
                              <w:t xml:space="preserve"> </w:t>
                            </w:r>
                            <w:r w:rsidR="009961E8" w:rsidRPr="008C67B0">
                              <w:rPr>
                                <w:rFonts w:ascii="Calibri" w:hAnsi="Calibri" w:cs="Calibri" w:hint="cs"/>
                                <w:color w:val="002060"/>
                                <w:sz w:val="12"/>
                                <w:szCs w:val="12"/>
                                <w:rtl/>
                              </w:rPr>
                              <w:t xml:space="preserve"> </w:t>
                            </w:r>
                            <w:proofErr w:type="spellStart"/>
                            <w:r w:rsidR="009961E8">
                              <w:rPr>
                                <w:rFonts w:ascii="Calibri" w:hAnsi="Calibri" w:cs="Calibri" w:hint="cs"/>
                                <w:color w:val="002060"/>
                                <w:szCs w:val="20"/>
                                <w:rtl/>
                              </w:rPr>
                              <w:t>התשפ"</w:t>
                            </w:r>
                            <w:r w:rsidR="0019747C">
                              <w:rPr>
                                <w:rFonts w:ascii="Calibri" w:hAnsi="Calibri" w:cs="Calibri" w:hint="cs"/>
                                <w:color w:val="002060"/>
                                <w:szCs w:val="20"/>
                                <w:rtl/>
                              </w:rPr>
                              <w:t>ו</w:t>
                            </w:r>
                            <w:proofErr w:type="spellEnd"/>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8C67B0">
                              <w:rPr>
                                <w:rFonts w:ascii="Calibri" w:hAnsi="Calibri" w:cs="Calibri" w:hint="cs"/>
                                <w:color w:val="002060"/>
                                <w:sz w:val="12"/>
                                <w:szCs w:val="12"/>
                                <w:rtl/>
                              </w:rPr>
                              <w:t xml:space="preserve"> </w:t>
                            </w:r>
                            <w:r w:rsidR="009961E8" w:rsidRPr="008C67B0">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14:paraId="708BB6E9" w14:textId="474AF178"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0B542C">
                              <w:rPr>
                                <w:rFonts w:ascii="Calibri" w:hAnsi="Calibri" w:cs="Calibri" w:hint="cs"/>
                                <w:color w:val="002060"/>
                                <w:szCs w:val="20"/>
                                <w:rtl/>
                              </w:rPr>
                              <w:t xml:space="preserve"> ברשויות המקומיות</w:t>
                            </w:r>
                          </w:p>
                          <w:p w14:paraId="3AF50A45" w14:textId="77777777" w:rsidR="00E678C7" w:rsidRPr="0063663E" w:rsidRDefault="009D2B68" w:rsidP="009D2B68">
                            <w:pPr>
                              <w:spacing w:line="240" w:lineRule="auto"/>
                              <w:rPr>
                                <w:rFonts w:ascii="Calibri" w:hAnsi="Calibri" w:cs="Calibri"/>
                                <w:color w:val="002060"/>
                                <w:sz w:val="19"/>
                                <w:szCs w:val="19"/>
                                <w:rtl/>
                              </w:rPr>
                            </w:pPr>
                            <w:r w:rsidRPr="009D2B68">
                              <w:rPr>
                                <w:rFonts w:ascii="Calibri" w:hAnsi="Calibri" w:cs="Calibri"/>
                                <w:color w:val="002060"/>
                                <w:sz w:val="19"/>
                                <w:szCs w:val="19"/>
                                <w:rtl/>
                              </w:rPr>
                              <w:t>ההיערכות לפינוי אוכלוסייה ברשויות מקומיות בדרום הארץ</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F3B30E1"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14:paraId="19EB7012" w14:textId="1560A2AD"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w:t>
                      </w:r>
                      <w:r>
                        <w:rPr>
                          <w:rFonts w:ascii="Calibri" w:hAnsi="Calibri" w:cs="Calibri" w:hint="cs"/>
                          <w:color w:val="002060"/>
                          <w:sz w:val="22"/>
                          <w:szCs w:val="22"/>
                          <w:rtl/>
                        </w:rPr>
                        <w:t>|</w:t>
                      </w:r>
                      <w:bookmarkStart w:id="15" w:name="_GoBack"/>
                      <w:bookmarkEnd w:id="15"/>
                      <w:r w:rsidR="00CA2271">
                        <w:rPr>
                          <w:rFonts w:ascii="Calibri" w:hAnsi="Calibri" w:cs="Calibri" w:hint="cs"/>
                          <w:color w:val="002060"/>
                          <w:sz w:val="22"/>
                          <w:szCs w:val="22"/>
                          <w:rtl/>
                        </w:rPr>
                        <w:t xml:space="preserve"> </w:t>
                      </w:r>
                      <w:r>
                        <w:rPr>
                          <w:rFonts w:ascii="Calibri" w:hAnsi="Calibri" w:cs="Calibri" w:hint="cs"/>
                          <w:color w:val="002060"/>
                          <w:sz w:val="22"/>
                          <w:szCs w:val="22"/>
                          <w:rtl/>
                        </w:rPr>
                        <w:t>דוח מיוחד</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14:paraId="76D84C27" w14:textId="77777777"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8C67B0">
                        <w:rPr>
                          <w:rFonts w:ascii="Calibri" w:hAnsi="Calibri" w:cs="Calibri" w:hint="cs"/>
                          <w:color w:val="002060"/>
                          <w:sz w:val="12"/>
                          <w:szCs w:val="12"/>
                          <w:rtl/>
                        </w:rPr>
                        <w:t xml:space="preserve"> </w:t>
                      </w:r>
                      <w:r w:rsidR="009961E8" w:rsidRPr="008C67B0">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8C67B0">
                        <w:rPr>
                          <w:rFonts w:ascii="Calibri" w:hAnsi="Calibri" w:cs="Calibri" w:hint="cs"/>
                          <w:color w:val="002060"/>
                          <w:sz w:val="12"/>
                          <w:szCs w:val="12"/>
                          <w:rtl/>
                        </w:rPr>
                        <w:t xml:space="preserve"> </w:t>
                      </w:r>
                      <w:r w:rsidR="009961E8" w:rsidRPr="008C67B0">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14:paraId="708BB6E9" w14:textId="474AF178"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0B542C">
                        <w:rPr>
                          <w:rFonts w:ascii="Calibri" w:hAnsi="Calibri" w:cs="Calibri" w:hint="cs"/>
                          <w:color w:val="002060"/>
                          <w:szCs w:val="20"/>
                          <w:rtl/>
                        </w:rPr>
                        <w:t xml:space="preserve"> ברשויות המקומיות</w:t>
                      </w:r>
                    </w:p>
                    <w:p w14:paraId="3AF50A45" w14:textId="77777777" w:rsidR="00E678C7" w:rsidRPr="0063663E" w:rsidRDefault="009D2B68" w:rsidP="009D2B68">
                      <w:pPr>
                        <w:spacing w:line="240" w:lineRule="auto"/>
                        <w:rPr>
                          <w:rFonts w:ascii="Calibri" w:hAnsi="Calibri" w:cs="Calibri"/>
                          <w:color w:val="002060"/>
                          <w:sz w:val="19"/>
                          <w:szCs w:val="19"/>
                          <w:rtl/>
                        </w:rPr>
                      </w:pPr>
                      <w:r w:rsidRPr="009D2B68">
                        <w:rPr>
                          <w:rFonts w:ascii="Calibri" w:hAnsi="Calibri" w:cs="Calibri"/>
                          <w:color w:val="002060"/>
                          <w:sz w:val="19"/>
                          <w:szCs w:val="19"/>
                          <w:rtl/>
                        </w:rPr>
                        <w:t>ההיערכות לפינוי אוכלוסייה ברשויות מקומיות בדרום הארץ</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8FAAE" w14:textId="77777777"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2FD7D5C5" wp14:editId="0630BB7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16946FFE" wp14:editId="579919BF">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277D9040" wp14:editId="1713B541">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14:paraId="0DE74FEC" w14:textId="77777777"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9D2B68">
                            <w:rPr>
                              <w:rFonts w:ascii="Calibri" w:hAnsi="Calibri" w:cs="Calibri" w:hint="cs"/>
                              <w:color w:val="FFFFFF" w:themeColor="background1"/>
                              <w:spacing w:val="80"/>
                              <w:sz w:val="28"/>
                              <w:szCs w:val="36"/>
                              <w:rtl/>
                            </w:rPr>
                            <w:t>ב'</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4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9D2B68">
                      <w:rPr>
                        <w:rFonts w:ascii="Calibri" w:hAnsi="Calibri" w:cs="Calibri" w:hint="cs"/>
                        <w:color w:val="FFFFFF" w:themeColor="background1"/>
                        <w:spacing w:val="80"/>
                        <w:sz w:val="28"/>
                        <w:szCs w:val="36"/>
                        <w:rtl/>
                      </w:rPr>
                      <w:t>ב'</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14:anchorId="6A1D3575" wp14:editId="7D98C834">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50764" w14:textId="77777777"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14:anchorId="243C05D5" wp14:editId="2DB873E7">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14:paraId="00AE4B0C" w14:textId="77777777"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14:paraId="40FBDAFE" w14:textId="77777777"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14:paraId="25F3E21B" w14:textId="77777777"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14:paraId="1835FAB5" w14:textId="77777777"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5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5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5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5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5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1" type="#_x0000_t75" style="width:18pt;height:17.25pt" o:bullet="t">
        <v:imagedata r:id="rId1" o:title="hand-red"/>
      </v:shape>
    </w:pict>
  </w:numPicBullet>
  <w:numPicBullet w:numPicBulletId="1">
    <w:pict>
      <v:shape id="_x0000_i1232" type="#_x0000_t75" style="width:254.25pt;height:254.25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088F"/>
    <w:rsid w:val="00040D0B"/>
    <w:rsid w:val="00042837"/>
    <w:rsid w:val="000501A4"/>
    <w:rsid w:val="000532AA"/>
    <w:rsid w:val="00057BE0"/>
    <w:rsid w:val="00066291"/>
    <w:rsid w:val="0007624D"/>
    <w:rsid w:val="00084768"/>
    <w:rsid w:val="00092F16"/>
    <w:rsid w:val="000B1102"/>
    <w:rsid w:val="000B463F"/>
    <w:rsid w:val="000B542C"/>
    <w:rsid w:val="000C6528"/>
    <w:rsid w:val="000C7459"/>
    <w:rsid w:val="000D221E"/>
    <w:rsid w:val="000E013E"/>
    <w:rsid w:val="000F40F0"/>
    <w:rsid w:val="000F7725"/>
    <w:rsid w:val="00101958"/>
    <w:rsid w:val="00101D0F"/>
    <w:rsid w:val="0011074F"/>
    <w:rsid w:val="00113E28"/>
    <w:rsid w:val="00114325"/>
    <w:rsid w:val="00161DA0"/>
    <w:rsid w:val="00164D9B"/>
    <w:rsid w:val="00166477"/>
    <w:rsid w:val="001730B0"/>
    <w:rsid w:val="001960B4"/>
    <w:rsid w:val="0019747C"/>
    <w:rsid w:val="001A3BBC"/>
    <w:rsid w:val="001A60CB"/>
    <w:rsid w:val="001A613C"/>
    <w:rsid w:val="001B1F31"/>
    <w:rsid w:val="001B2821"/>
    <w:rsid w:val="001C057E"/>
    <w:rsid w:val="001C0D64"/>
    <w:rsid w:val="001C33F8"/>
    <w:rsid w:val="001C6185"/>
    <w:rsid w:val="001D3DA9"/>
    <w:rsid w:val="001E204F"/>
    <w:rsid w:val="001F0CD9"/>
    <w:rsid w:val="00202047"/>
    <w:rsid w:val="00203604"/>
    <w:rsid w:val="002064F7"/>
    <w:rsid w:val="00212D9D"/>
    <w:rsid w:val="0023497D"/>
    <w:rsid w:val="00240887"/>
    <w:rsid w:val="002602F0"/>
    <w:rsid w:val="00263521"/>
    <w:rsid w:val="00276705"/>
    <w:rsid w:val="00291629"/>
    <w:rsid w:val="002A7D21"/>
    <w:rsid w:val="002B55E8"/>
    <w:rsid w:val="002C0C75"/>
    <w:rsid w:val="002C0FD0"/>
    <w:rsid w:val="002C1EE0"/>
    <w:rsid w:val="002C4139"/>
    <w:rsid w:val="002D0A89"/>
    <w:rsid w:val="00301153"/>
    <w:rsid w:val="0030602D"/>
    <w:rsid w:val="00310345"/>
    <w:rsid w:val="00313DEA"/>
    <w:rsid w:val="0032268D"/>
    <w:rsid w:val="00323027"/>
    <w:rsid w:val="00330009"/>
    <w:rsid w:val="00340353"/>
    <w:rsid w:val="0036735A"/>
    <w:rsid w:val="0037370B"/>
    <w:rsid w:val="0037752E"/>
    <w:rsid w:val="0037780B"/>
    <w:rsid w:val="00380052"/>
    <w:rsid w:val="00386E9B"/>
    <w:rsid w:val="0039415D"/>
    <w:rsid w:val="003D61C6"/>
    <w:rsid w:val="003E32D2"/>
    <w:rsid w:val="003E58C2"/>
    <w:rsid w:val="003E6853"/>
    <w:rsid w:val="00411396"/>
    <w:rsid w:val="0042177E"/>
    <w:rsid w:val="00425665"/>
    <w:rsid w:val="00450C77"/>
    <w:rsid w:val="004562F8"/>
    <w:rsid w:val="004672FB"/>
    <w:rsid w:val="004779AA"/>
    <w:rsid w:val="00493AB8"/>
    <w:rsid w:val="004A0385"/>
    <w:rsid w:val="004A0D80"/>
    <w:rsid w:val="004C7D9F"/>
    <w:rsid w:val="004E2733"/>
    <w:rsid w:val="004E488A"/>
    <w:rsid w:val="004F0AB4"/>
    <w:rsid w:val="004F7D60"/>
    <w:rsid w:val="005006C5"/>
    <w:rsid w:val="00524C99"/>
    <w:rsid w:val="00551B42"/>
    <w:rsid w:val="00551FF7"/>
    <w:rsid w:val="00574579"/>
    <w:rsid w:val="00577CAE"/>
    <w:rsid w:val="00580C5C"/>
    <w:rsid w:val="005A021D"/>
    <w:rsid w:val="005A09B4"/>
    <w:rsid w:val="005B10F1"/>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8156F"/>
    <w:rsid w:val="006A0446"/>
    <w:rsid w:val="006A56C2"/>
    <w:rsid w:val="006A646E"/>
    <w:rsid w:val="006B1593"/>
    <w:rsid w:val="006B16D1"/>
    <w:rsid w:val="006B7706"/>
    <w:rsid w:val="006C4033"/>
    <w:rsid w:val="006D38A7"/>
    <w:rsid w:val="006D4161"/>
    <w:rsid w:val="006D4240"/>
    <w:rsid w:val="006D786C"/>
    <w:rsid w:val="006E1414"/>
    <w:rsid w:val="006F285F"/>
    <w:rsid w:val="007076CA"/>
    <w:rsid w:val="00716AFD"/>
    <w:rsid w:val="0072219B"/>
    <w:rsid w:val="007474F0"/>
    <w:rsid w:val="00753ADE"/>
    <w:rsid w:val="007670F7"/>
    <w:rsid w:val="00773F61"/>
    <w:rsid w:val="0078009F"/>
    <w:rsid w:val="007A4EBD"/>
    <w:rsid w:val="007B112B"/>
    <w:rsid w:val="007B5B26"/>
    <w:rsid w:val="007B691A"/>
    <w:rsid w:val="007C1FF6"/>
    <w:rsid w:val="007D61B8"/>
    <w:rsid w:val="007E24BD"/>
    <w:rsid w:val="007F7FF2"/>
    <w:rsid w:val="00805B42"/>
    <w:rsid w:val="008102AD"/>
    <w:rsid w:val="00824AB2"/>
    <w:rsid w:val="0083106F"/>
    <w:rsid w:val="00837997"/>
    <w:rsid w:val="00846FFB"/>
    <w:rsid w:val="008654CB"/>
    <w:rsid w:val="00867FC5"/>
    <w:rsid w:val="0088743F"/>
    <w:rsid w:val="00892F80"/>
    <w:rsid w:val="00897698"/>
    <w:rsid w:val="008A2E0E"/>
    <w:rsid w:val="008B04D9"/>
    <w:rsid w:val="008B4F41"/>
    <w:rsid w:val="008B5B82"/>
    <w:rsid w:val="008C1428"/>
    <w:rsid w:val="008C67B0"/>
    <w:rsid w:val="008C6F75"/>
    <w:rsid w:val="008D750B"/>
    <w:rsid w:val="008F0F0F"/>
    <w:rsid w:val="009015B2"/>
    <w:rsid w:val="00906E90"/>
    <w:rsid w:val="0091051D"/>
    <w:rsid w:val="00924D5C"/>
    <w:rsid w:val="00935C41"/>
    <w:rsid w:val="00936F84"/>
    <w:rsid w:val="00940851"/>
    <w:rsid w:val="00961F73"/>
    <w:rsid w:val="009679D9"/>
    <w:rsid w:val="009736D0"/>
    <w:rsid w:val="009912C8"/>
    <w:rsid w:val="009961E8"/>
    <w:rsid w:val="009A6817"/>
    <w:rsid w:val="009B0AEC"/>
    <w:rsid w:val="009B497A"/>
    <w:rsid w:val="009C6066"/>
    <w:rsid w:val="009D2B68"/>
    <w:rsid w:val="009D45C5"/>
    <w:rsid w:val="009D73F5"/>
    <w:rsid w:val="009E1A3F"/>
    <w:rsid w:val="009E53CF"/>
    <w:rsid w:val="009F0BD3"/>
    <w:rsid w:val="00A02110"/>
    <w:rsid w:val="00A055D0"/>
    <w:rsid w:val="00A222E2"/>
    <w:rsid w:val="00A30B00"/>
    <w:rsid w:val="00A475CE"/>
    <w:rsid w:val="00A5605A"/>
    <w:rsid w:val="00A5680F"/>
    <w:rsid w:val="00A61AD5"/>
    <w:rsid w:val="00A73038"/>
    <w:rsid w:val="00A76C99"/>
    <w:rsid w:val="00A81EBE"/>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D624B"/>
    <w:rsid w:val="00BE22D7"/>
    <w:rsid w:val="00BE2DD8"/>
    <w:rsid w:val="00BF23DD"/>
    <w:rsid w:val="00C2305A"/>
    <w:rsid w:val="00C23CC9"/>
    <w:rsid w:val="00C30B3D"/>
    <w:rsid w:val="00C33AE2"/>
    <w:rsid w:val="00C34319"/>
    <w:rsid w:val="00C36C5E"/>
    <w:rsid w:val="00C4664C"/>
    <w:rsid w:val="00C4789A"/>
    <w:rsid w:val="00C57DB0"/>
    <w:rsid w:val="00C66ECA"/>
    <w:rsid w:val="00C75A49"/>
    <w:rsid w:val="00C8096C"/>
    <w:rsid w:val="00C8100B"/>
    <w:rsid w:val="00C92141"/>
    <w:rsid w:val="00CA2271"/>
    <w:rsid w:val="00CA38DE"/>
    <w:rsid w:val="00CA41D2"/>
    <w:rsid w:val="00CA4EB1"/>
    <w:rsid w:val="00CA4F20"/>
    <w:rsid w:val="00CD5320"/>
    <w:rsid w:val="00CD6EEC"/>
    <w:rsid w:val="00CF6518"/>
    <w:rsid w:val="00D22748"/>
    <w:rsid w:val="00D26918"/>
    <w:rsid w:val="00D37121"/>
    <w:rsid w:val="00D57BE9"/>
    <w:rsid w:val="00D71966"/>
    <w:rsid w:val="00D779F7"/>
    <w:rsid w:val="00D87542"/>
    <w:rsid w:val="00D95C20"/>
    <w:rsid w:val="00D97C16"/>
    <w:rsid w:val="00DA3406"/>
    <w:rsid w:val="00DA67CB"/>
    <w:rsid w:val="00DB2E3A"/>
    <w:rsid w:val="00DB6E18"/>
    <w:rsid w:val="00DE1044"/>
    <w:rsid w:val="00DE14D1"/>
    <w:rsid w:val="00DE1DAB"/>
    <w:rsid w:val="00DE20A2"/>
    <w:rsid w:val="00DF0884"/>
    <w:rsid w:val="00DF0B89"/>
    <w:rsid w:val="00E35682"/>
    <w:rsid w:val="00E46EA3"/>
    <w:rsid w:val="00E51C1B"/>
    <w:rsid w:val="00E52143"/>
    <w:rsid w:val="00E53DA7"/>
    <w:rsid w:val="00E5711C"/>
    <w:rsid w:val="00E678C7"/>
    <w:rsid w:val="00E725B9"/>
    <w:rsid w:val="00EB5989"/>
    <w:rsid w:val="00EC6B44"/>
    <w:rsid w:val="00EE06A0"/>
    <w:rsid w:val="00EE37A3"/>
    <w:rsid w:val="00EE407E"/>
    <w:rsid w:val="00EE67C7"/>
    <w:rsid w:val="00EF3125"/>
    <w:rsid w:val="00F01A09"/>
    <w:rsid w:val="00F30558"/>
    <w:rsid w:val="00F36435"/>
    <w:rsid w:val="00F4385E"/>
    <w:rsid w:val="00F51DD6"/>
    <w:rsid w:val="00F56CE4"/>
    <w:rsid w:val="00F627EB"/>
    <w:rsid w:val="00F66FC8"/>
    <w:rsid w:val="00F73A0C"/>
    <w:rsid w:val="00F75A10"/>
    <w:rsid w:val="00F77276"/>
    <w:rsid w:val="00F82BD9"/>
    <w:rsid w:val="00F86C1B"/>
    <w:rsid w:val="00F92629"/>
    <w:rsid w:val="00F95853"/>
    <w:rsid w:val="00FA48C8"/>
    <w:rsid w:val="00FB3F26"/>
    <w:rsid w:val="00FB414E"/>
    <w:rsid w:val="00FB4FB0"/>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CF37E"/>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eader" Target="header1.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mvdocd2app.mevaker.loc/D2/?docbase=NM_PRD&amp;locateId=090bc09b84466784"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 Id="rId27" Type="http://schemas.openxmlformats.org/officeDocument/2006/relationships/fontTable" Target="fontTable.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52B4A01-500D-4877-AD9F-ADB5CB1762FE}">
  <ds:schemaRefs>
    <ds:schemaRef ds:uri="http://schemas.openxmlformats.org/officeDocument/2006/bibliography"/>
  </ds:schemaRefs>
</ds:datastoreItem>
</file>

<file path=customXml/itemProps2.xml><?xml version="1.0" encoding="utf-8"?>
<ds:datastoreItem xmlns:ds="http://schemas.openxmlformats.org/officeDocument/2006/customXml" ds:itemID="{D91CF20C-F17E-4E76-A22D-A71AAE6026F1}"/>
</file>

<file path=customXml/itemProps3.xml><?xml version="1.0" encoding="utf-8"?>
<ds:datastoreItem xmlns:ds="http://schemas.openxmlformats.org/officeDocument/2006/customXml" ds:itemID="{C25375ED-B62F-4155-8FAE-2DC8F64AC858}"/>
</file>

<file path=customXml/itemProps4.xml><?xml version="1.0" encoding="utf-8"?>
<ds:datastoreItem xmlns:ds="http://schemas.openxmlformats.org/officeDocument/2006/customXml" ds:itemID="{D5192697-BCF7-484E-A2A0-BBA5EE5AD901}"/>
</file>

<file path=docProps/app.xml><?xml version="1.0" encoding="utf-8"?>
<Properties xmlns="http://schemas.openxmlformats.org/officeDocument/2006/extended-properties" xmlns:vt="http://schemas.openxmlformats.org/officeDocument/2006/docPropsVTypes">
  <Template>Normal.dotm</Template>
  <TotalTime>2</TotalTime>
  <Pages>11</Pages>
  <Words>3374</Words>
  <Characters>16870</Characters>
  <Application>Microsoft Office Word</Application>
  <DocSecurity>0</DocSecurity>
  <Lines>140</Lines>
  <Paragraphs>40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4</cp:revision>
  <cp:lastPrinted>2025-10-15T10:06:00Z</cp:lastPrinted>
  <dcterms:created xsi:type="dcterms:W3CDTF">2026-02-17T09:16:00Z</dcterms:created>
  <dcterms:modified xsi:type="dcterms:W3CDTF">2026-02-17T10:12:00Z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