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05A" w:rsidRPr="00A5605A" w:rsidRDefault="00A5605A" w:rsidP="00A5605A">
      <w:pPr>
        <w:rPr>
          <w:rFonts w:ascii="Tahoma" w:hAnsi="Tahoma" w:cs="Tahoma"/>
          <w:sz w:val="19"/>
          <w:szCs w:val="19"/>
          <w:rtl/>
        </w:rPr>
      </w:pPr>
      <w:bookmarkStart w:id="0" w:name="_Hlk192594390"/>
      <w:bookmarkStart w:id="1" w:name="_GoBack"/>
      <w:bookmarkEnd w:id="1"/>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D113B6" w:rsidRDefault="00D113B6" w:rsidP="00B40BFA">
      <w:pPr>
        <w:spacing w:line="560" w:lineRule="exact"/>
        <w:ind w:left="1701" w:right="1843"/>
        <w:jc w:val="center"/>
        <w:rPr>
          <w:rFonts w:ascii="Calibri" w:hAnsi="Calibri" w:cs="Calibri"/>
          <w:b/>
          <w:bCs/>
          <w:color w:val="002060"/>
          <w:sz w:val="56"/>
          <w:szCs w:val="56"/>
          <w:rtl/>
        </w:rPr>
      </w:pPr>
    </w:p>
    <w:p w:rsidR="001C33F8" w:rsidRDefault="00B40BFA" w:rsidP="00B40BFA">
      <w:pPr>
        <w:spacing w:line="560" w:lineRule="exact"/>
        <w:ind w:left="1701" w:right="1843"/>
        <w:jc w:val="center"/>
        <w:rPr>
          <w:rFonts w:ascii="Tahoma" w:hAnsi="Tahoma" w:cs="Tahoma"/>
          <w:sz w:val="19"/>
          <w:szCs w:val="19"/>
          <w:rtl/>
        </w:rPr>
      </w:pPr>
      <w:r w:rsidRPr="00B40BFA">
        <w:rPr>
          <w:rFonts w:ascii="Calibri" w:hAnsi="Calibri" w:cs="Calibri"/>
          <w:b/>
          <w:bCs/>
          <w:color w:val="002060"/>
          <w:sz w:val="56"/>
          <w:szCs w:val="56"/>
          <w:rtl/>
        </w:rPr>
        <w:t>ההיערכות לפינוי אוכלוסייה ברשויות מקומיות בצפון הארץ</w:t>
      </w: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B40BFA" w:rsidRDefault="00B40BFA" w:rsidP="00B40BFA">
      <w:pPr>
        <w:bidi w:val="0"/>
        <w:spacing w:after="200" w:line="276" w:lineRule="auto"/>
        <w:rPr>
          <w:rFonts w:ascii="Tahoma" w:hAnsi="Tahoma" w:cs="Tahoma"/>
          <w:sz w:val="19"/>
          <w:szCs w:val="19"/>
          <w:rtl/>
        </w:rPr>
      </w:pPr>
    </w:p>
    <w:p w:rsidR="00B40BFA" w:rsidRDefault="00B40BFA" w:rsidP="00B40BFA">
      <w:pPr>
        <w:bidi w:val="0"/>
        <w:spacing w:after="200" w:line="276" w:lineRule="auto"/>
        <w:rPr>
          <w:rFonts w:ascii="Tahoma" w:hAnsi="Tahoma" w:cs="Tahoma"/>
          <w:sz w:val="19"/>
          <w:szCs w:val="19"/>
          <w:rtl/>
        </w:rPr>
      </w:pPr>
    </w:p>
    <w:p w:rsidR="00B40BFA" w:rsidRDefault="00B40BFA" w:rsidP="00B40BFA">
      <w:pPr>
        <w:bidi w:val="0"/>
        <w:spacing w:after="200" w:line="276" w:lineRule="auto"/>
        <w:rPr>
          <w:rFonts w:ascii="Tahoma" w:hAnsi="Tahoma" w:cs="Tahoma"/>
          <w:sz w:val="19"/>
          <w:szCs w:val="19"/>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CE790A" w:rsidP="001C33F8">
      <w:pPr>
        <w:spacing w:after="200" w:line="276" w:lineRule="auto"/>
        <w:jc w:val="center"/>
        <w:rPr>
          <w:rFonts w:asciiTheme="minorBidi" w:hAnsiTheme="minorBidi" w:cstheme="minorBidi"/>
          <w:color w:val="0F243E" w:themeColor="text2" w:themeShade="80"/>
          <w:sz w:val="22"/>
          <w:szCs w:val="22"/>
          <w:rtl/>
        </w:rPr>
      </w:pPr>
      <w:r w:rsidRPr="00EB3C9A">
        <w:rPr>
          <w:rFonts w:asciiTheme="minorBidi" w:hAnsiTheme="minorBidi" w:cstheme="minorBidi"/>
          <w:color w:val="0F243E" w:themeColor="text2" w:themeShade="80"/>
          <w:sz w:val="22"/>
          <w:szCs w:val="22"/>
          <w:rtl/>
        </w:rPr>
        <w:t xml:space="preserve">גופן הכותרת מעוצב בכתב ידו של סא"ל </w:t>
      </w:r>
      <w:proofErr w:type="spellStart"/>
      <w:r w:rsidRPr="00713041">
        <w:rPr>
          <w:rFonts w:asciiTheme="minorBidi" w:hAnsiTheme="minorBidi" w:cstheme="minorBidi"/>
          <w:b/>
          <w:bCs/>
          <w:color w:val="0F243E" w:themeColor="text2" w:themeShade="80"/>
          <w:sz w:val="22"/>
          <w:szCs w:val="22"/>
          <w:rtl/>
        </w:rPr>
        <w:t>סלמאן</w:t>
      </w:r>
      <w:proofErr w:type="spellEnd"/>
      <w:r w:rsidRPr="00713041">
        <w:rPr>
          <w:rFonts w:asciiTheme="minorBidi" w:hAnsiTheme="minorBidi" w:cstheme="minorBidi"/>
          <w:b/>
          <w:bCs/>
          <w:color w:val="0F243E" w:themeColor="text2" w:themeShade="80"/>
          <w:sz w:val="22"/>
          <w:szCs w:val="22"/>
          <w:rtl/>
        </w:rPr>
        <w:t xml:space="preserve"> חבקה</w:t>
      </w:r>
      <w:r w:rsidRPr="00EB3C9A">
        <w:rPr>
          <w:rFonts w:asciiTheme="minorBidi" w:hAnsiTheme="minorBidi" w:cstheme="minorBidi"/>
          <w:color w:val="0F243E" w:themeColor="text2" w:themeShade="80"/>
          <w:sz w:val="22"/>
          <w:szCs w:val="22"/>
          <w:rtl/>
        </w:rPr>
        <w:t xml:space="preserve"> ז"ל, אשר נפל בנובמבר 2023</w:t>
      </w:r>
      <w:r>
        <w:rPr>
          <w:rFonts w:asciiTheme="minorBidi" w:hAnsiTheme="minorBidi" w:cstheme="minorBidi" w:hint="cs"/>
          <w:color w:val="0F243E" w:themeColor="text2" w:themeShade="80"/>
          <w:sz w:val="22"/>
          <w:szCs w:val="22"/>
          <w:rtl/>
        </w:rPr>
        <w:t xml:space="preserve">. </w:t>
      </w:r>
      <w:proofErr w:type="spellStart"/>
      <w:r w:rsidRPr="00EB3C9A">
        <w:rPr>
          <w:rFonts w:asciiTheme="minorBidi" w:hAnsiTheme="minorBidi" w:cstheme="minorBidi"/>
          <w:color w:val="0F243E" w:themeColor="text2" w:themeShade="80"/>
          <w:sz w:val="22"/>
          <w:szCs w:val="22"/>
          <w:rtl/>
        </w:rPr>
        <w:t>סלמאן</w:t>
      </w:r>
      <w:proofErr w:type="spellEnd"/>
      <w:r w:rsidRPr="00EB3C9A">
        <w:rPr>
          <w:rFonts w:asciiTheme="minorBidi" w:hAnsiTheme="minorBidi" w:cstheme="minorBidi"/>
          <w:color w:val="0F243E" w:themeColor="text2" w:themeShade="80"/>
          <w:sz w:val="22"/>
          <w:szCs w:val="22"/>
          <w:rtl/>
        </w:rPr>
        <w:t xml:space="preserve"> נולד וגדל בכפר </w:t>
      </w:r>
      <w:proofErr w:type="spellStart"/>
      <w:r w:rsidRPr="00EB3C9A">
        <w:rPr>
          <w:rFonts w:asciiTheme="minorBidi" w:hAnsiTheme="minorBidi" w:cstheme="minorBidi"/>
          <w:color w:val="0F243E" w:themeColor="text2" w:themeShade="80"/>
          <w:sz w:val="22"/>
          <w:szCs w:val="22"/>
          <w:rtl/>
        </w:rPr>
        <w:t>יאנוח</w:t>
      </w:r>
      <w:proofErr w:type="spellEnd"/>
      <w:r w:rsidRPr="00EB3C9A">
        <w:rPr>
          <w:rFonts w:asciiTheme="minorBidi" w:hAnsiTheme="minorBidi" w:cstheme="minorBidi"/>
          <w:color w:val="0F243E" w:themeColor="text2" w:themeShade="80"/>
          <w:sz w:val="22"/>
          <w:szCs w:val="22"/>
          <w:rtl/>
        </w:rPr>
        <w:t>, התגייס לשריון ופיקד על גדוד 53. הוא היה מפקד למופת, אהב את חייליו ודאג להם</w:t>
      </w:r>
      <w:r>
        <w:rPr>
          <w:rFonts w:asciiTheme="minorBidi" w:hAnsiTheme="minorBidi" w:cstheme="minorBidi" w:hint="cs"/>
          <w:color w:val="0F243E" w:themeColor="text2" w:themeShade="80"/>
          <w:sz w:val="22"/>
          <w:szCs w:val="22"/>
          <w:rtl/>
        </w:rPr>
        <w:t>.</w:t>
      </w:r>
    </w:p>
    <w:p w:rsidR="001C33F8" w:rsidRDefault="001C33F8" w:rsidP="00CE790A">
      <w:pPr>
        <w:bidi w:val="0"/>
        <w:spacing w:after="200" w:line="276" w:lineRule="auto"/>
        <w:rPr>
          <w:rFonts w:ascii="Tahoma" w:hAnsi="Tahoma" w:cs="Tahoma"/>
          <w:sz w:val="19"/>
          <w:szCs w:val="19"/>
        </w:rPr>
      </w:pPr>
    </w:p>
    <w:tbl>
      <w:tblPr>
        <w:tblStyle w:val="af4"/>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tblGrid>
      <w:tr w:rsidR="00AE4BB7" w:rsidTr="009E37AC">
        <w:trPr>
          <w:trHeight w:val="77"/>
        </w:trPr>
        <w:tc>
          <w:tcPr>
            <w:tcW w:w="9076" w:type="dxa"/>
          </w:tcPr>
          <w:p w:rsidR="00AE4BB7" w:rsidRPr="005F4A6D" w:rsidRDefault="00AE4BB7" w:rsidP="009E37AC">
            <w:pPr>
              <w:tabs>
                <w:tab w:val="left" w:pos="1122"/>
              </w:tabs>
              <w:spacing w:line="288" w:lineRule="auto"/>
              <w:jc w:val="left"/>
              <w:rPr>
                <w:sz w:val="2"/>
                <w:szCs w:val="4"/>
                <w:rtl/>
              </w:rPr>
            </w:pPr>
          </w:p>
        </w:tc>
      </w:tr>
      <w:tr w:rsidR="00AE4BB7" w:rsidTr="009E37AC">
        <w:trPr>
          <w:trHeight w:val="1644"/>
        </w:trPr>
        <w:tc>
          <w:tcPr>
            <w:tcW w:w="9076" w:type="dxa"/>
          </w:tcPr>
          <w:p w:rsidR="00094F36" w:rsidRDefault="00094F36" w:rsidP="00094F36">
            <w:pPr>
              <w:spacing w:before="120" w:line="240" w:lineRule="auto"/>
              <w:jc w:val="left"/>
              <w:rPr>
                <w:rFonts w:ascii="Tahoma" w:hAnsi="Tahoma" w:cs="Tahoma"/>
                <w:b/>
                <w:bCs/>
                <w:sz w:val="40"/>
                <w:szCs w:val="40"/>
                <w:rtl/>
              </w:rPr>
            </w:pPr>
            <w:r w:rsidRPr="00094F36">
              <w:rPr>
                <w:rFonts w:ascii="Tahoma" w:hAnsi="Tahoma" w:cs="Tahoma"/>
                <w:b/>
                <w:bCs/>
                <w:sz w:val="40"/>
                <w:szCs w:val="40"/>
                <w:rtl/>
              </w:rPr>
              <w:t xml:space="preserve">ההיערכות לפינוי אוכלוסייה ברשויות מקומיות בצפון הארץ </w:t>
            </w:r>
          </w:p>
          <w:p w:rsidR="00AE4BB7" w:rsidRDefault="00AE4BB7" w:rsidP="009E37AC">
            <w:pPr>
              <w:spacing w:before="120" w:line="288" w:lineRule="auto"/>
              <w:jc w:val="left"/>
            </w:pPr>
            <w:r>
              <w:rPr>
                <w:rFonts w:ascii="Tahoma" w:hAnsi="Tahoma" w:cs="Tahoma"/>
                <w:sz w:val="36"/>
                <w:szCs w:val="36"/>
                <w:rtl/>
              </w:rPr>
              <w:t>תקציר</w:t>
            </w:r>
          </w:p>
          <w:p w:rsidR="00AE4BB7" w:rsidRPr="006C4033" w:rsidRDefault="00AE4BB7" w:rsidP="009E37AC">
            <w:pPr>
              <w:spacing w:line="288" w:lineRule="auto"/>
              <w:ind w:left="-851"/>
              <w:jc w:val="left"/>
              <w:rPr>
                <w:rtl/>
              </w:rPr>
            </w:pPr>
          </w:p>
        </w:tc>
      </w:tr>
    </w:tbl>
    <w:p w:rsidR="00AE4BB7" w:rsidRPr="006C4033" w:rsidRDefault="00AE4BB7" w:rsidP="00AE4BB7">
      <w:pPr>
        <w:spacing w:line="288" w:lineRule="auto"/>
        <w:ind w:left="-284"/>
        <w:rPr>
          <w:rtl/>
        </w:rPr>
      </w:pPr>
      <w:r w:rsidRPr="006C4033">
        <w:rPr>
          <w:rFonts w:ascii="Tahoma" w:hAnsi="Tahoma" w:cs="Tahoma"/>
          <w:noProof/>
          <w:rtl/>
        </w:rPr>
        <w:drawing>
          <wp:inline distT="0" distB="0" distL="0" distR="0" wp14:anchorId="3734391D" wp14:editId="697FEDAA">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094F36" w:rsidRPr="00094F36" w:rsidRDefault="00094F36" w:rsidP="00094F36">
      <w:pPr>
        <w:pStyle w:val="739"/>
        <w:spacing w:after="120"/>
        <w:rPr>
          <w:sz w:val="19"/>
          <w:szCs w:val="19"/>
          <w:rtl/>
        </w:rPr>
      </w:pPr>
      <w:r w:rsidRPr="00094F36">
        <w:rPr>
          <w:sz w:val="19"/>
          <w:szCs w:val="19"/>
          <w:rtl/>
        </w:rPr>
        <w:t>הרשויות המקומיות ממלאות תפקיד חיוני בהיערכות העורף לאירועי חירום ולטיפול בהם. על פי "תפיסת יסוד: המענה לאירועי חירום במרחב האזרחי של מדינת ישראל" של רשות החירום הלאומית (רח"ל), הרשות המקומית היא לבנת היסוד לטיפול בעורף בשעת חירום בשל הקשר הישיר והקבוע עם הציבור בתחומה, והיא אחראית להמשיך לדאוג ולספק לו את מרבית הצרכים והשירותים החיוניים בשעת חירום, לרבות למפונים מתחומה.</w:t>
      </w:r>
    </w:p>
    <w:p w:rsidR="00AE4BB7" w:rsidRPr="00C4789A" w:rsidRDefault="00094F36" w:rsidP="00094F36">
      <w:pPr>
        <w:pStyle w:val="739"/>
        <w:rPr>
          <w:rtl/>
        </w:rPr>
      </w:pPr>
      <w:r w:rsidRPr="00094F36">
        <w:rPr>
          <w:sz w:val="19"/>
          <w:szCs w:val="19"/>
          <w:rtl/>
        </w:rPr>
        <w:t>האופן שבו רשויות מקומיות צריכות להיערך ולתפקד בשעת חירום מוסדר עבור עיריות ומועצות מקומיות ב"תיק האב להיערכות העירייה והמועצה המקומית לחירום", שעודכן לאחרונה בשנת 2021, ועבור מועצות אזוריות - בתיק אב להפעלת הרשות המקומית בשעת חירום (מועצה אזורית), שעודכן לאחרונה בחודש פברואר 2024 (תיק האב). בתיק האב מרוכזות כלל המשימות והאחריות של הרשות המקומית, וזאת לפי חוקים, תקנות, החלטות ממשלה, נוהלי משק לשעת חירום (מל"ח), משימות ההתגוננות של פיקוד העורף (פקע"ר), החלטות צוות ההיגוי לנושא תפקידי הרשות המקומית שריכז פקע"ר וכלל את הנהלים המשותפים וההסכמות שגובשו במהלך השנים. התיק מגדיר את המשימות העיקריות של הרשות בתחום ההיערכות לשעת חירום ואת אופן הטיפול באירוע חירום, ובהן היערכות לפינוי ולקליטה של אוכלוסייה. על פי תורת הפס"ח (פינוי, סעד חללים) (נוהל משנת 2023 שפרסמה רשות פס"ח הפועלת במסגרת משרד הפנים, והיא משמשת גורם מרכזי בפינוי וסעד למפונים וכן בטיפול בחללים בשעת חירום), מתן מענה בשעת חירום לקליטת אוכלוסייה מפונה נועד לאפשר קיום אורח חיים וחיי משפחה תקינים ככל האפשר, לתקופה ממושכת, עד להחזרתה לביתה או עד למציאת פתרון שיקומי חלופי.</w:t>
      </w:r>
      <w:r w:rsidR="00AE4BB7">
        <w:rPr>
          <w:rtl/>
        </w:rPr>
        <w:br w:type="page"/>
      </w:r>
    </w:p>
    <w:p w:rsidR="00AE4BB7" w:rsidRPr="007E24BD" w:rsidRDefault="00AE4BB7" w:rsidP="00AE4BB7">
      <w:pPr>
        <w:spacing w:line="288" w:lineRule="auto"/>
        <w:ind w:left="-284"/>
        <w:rPr>
          <w:sz w:val="12"/>
          <w:szCs w:val="16"/>
          <w:rtl/>
        </w:rPr>
      </w:pPr>
      <w:r w:rsidRPr="006C4033">
        <w:rPr>
          <w:rFonts w:ascii="Tahoma" w:hAnsi="Tahoma" w:cs="Tahoma"/>
          <w:noProof/>
          <w:rtl/>
        </w:rPr>
        <w:lastRenderedPageBreak/>
        <w:drawing>
          <wp:inline distT="0" distB="0" distL="0" distR="0" wp14:anchorId="6BCD94AE" wp14:editId="48CDD61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p w:rsidR="00AE4BB7" w:rsidRPr="005F4A6D" w:rsidRDefault="00AE4BB7" w:rsidP="00AE4BB7">
      <w:pPr>
        <w:spacing w:line="288" w:lineRule="auto"/>
        <w:ind w:left="-1"/>
        <w:rPr>
          <w:sz w:val="10"/>
          <w:szCs w:val="14"/>
          <w:rtl/>
        </w:rPr>
      </w:pPr>
    </w:p>
    <w:tbl>
      <w:tblPr>
        <w:tblStyle w:val="37"/>
        <w:tblpPr w:leftFromText="180" w:rightFromText="180" w:vertAnchor="text" w:tblpXSpec="center" w:tblpY="1"/>
        <w:tblOverlap w:val="never"/>
        <w:bidiVisual/>
        <w:tblW w:w="8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3"/>
        <w:gridCol w:w="282"/>
        <w:gridCol w:w="2126"/>
        <w:gridCol w:w="285"/>
        <w:gridCol w:w="1985"/>
        <w:gridCol w:w="283"/>
        <w:gridCol w:w="1985"/>
      </w:tblGrid>
      <w:tr w:rsidR="00094F36" w:rsidRPr="00094F36" w:rsidTr="00094F36">
        <w:trPr>
          <w:trHeight w:val="283"/>
        </w:trPr>
        <w:tc>
          <w:tcPr>
            <w:tcW w:w="1833" w:type="dxa"/>
            <w:tcBorders>
              <w:bottom w:val="single" w:sz="12" w:space="0" w:color="auto"/>
            </w:tcBorders>
            <w:shd w:val="clear" w:color="auto" w:fill="auto"/>
            <w:vAlign w:val="bottom"/>
          </w:tcPr>
          <w:p w:rsidR="00094F36" w:rsidRPr="00094F36" w:rsidRDefault="00094F36" w:rsidP="00094F36">
            <w:pPr>
              <w:spacing w:after="60" w:line="240" w:lineRule="auto"/>
              <w:rPr>
                <w:rFonts w:ascii="Tahoma" w:eastAsia="Calibri" w:hAnsi="Tahoma" w:cs="Tahoma"/>
                <w:spacing w:val="-10"/>
                <w:sz w:val="36"/>
                <w:szCs w:val="36"/>
                <w:rtl/>
              </w:rPr>
            </w:pPr>
            <w:r w:rsidRPr="00094F36">
              <w:rPr>
                <w:rFonts w:ascii="Tahoma" w:eastAsia="Calibri" w:hAnsi="Tahoma" w:cs="Tahoma" w:hint="cs"/>
                <w:spacing w:val="-10"/>
                <w:sz w:val="36"/>
                <w:szCs w:val="36"/>
                <w:rtl/>
              </w:rPr>
              <w:t>56,535</w:t>
            </w:r>
            <w:r w:rsidRPr="00094F36">
              <w:rPr>
                <w:rFonts w:ascii="Tahoma" w:eastAsia="Calibri" w:hAnsi="Tahoma" w:cs="Tahoma"/>
                <w:spacing w:val="-10"/>
                <w:sz w:val="36"/>
                <w:szCs w:val="36"/>
                <w:rtl/>
              </w:rPr>
              <w:t xml:space="preserve"> </w:t>
            </w:r>
          </w:p>
        </w:tc>
        <w:tc>
          <w:tcPr>
            <w:tcW w:w="282" w:type="dxa"/>
          </w:tcPr>
          <w:p w:rsidR="00094F36" w:rsidRPr="00094F36" w:rsidRDefault="00094F36" w:rsidP="00094F36">
            <w:pPr>
              <w:spacing w:after="60" w:line="240" w:lineRule="auto"/>
              <w:rPr>
                <w:rFonts w:ascii="Tahoma" w:eastAsia="Calibri" w:hAnsi="Tahoma" w:cs="Tahoma"/>
                <w:spacing w:val="-10"/>
              </w:rPr>
            </w:pPr>
          </w:p>
        </w:tc>
        <w:tc>
          <w:tcPr>
            <w:tcW w:w="2126" w:type="dxa"/>
            <w:tcBorders>
              <w:bottom w:val="single" w:sz="12" w:space="0" w:color="auto"/>
            </w:tcBorders>
            <w:vAlign w:val="bottom"/>
          </w:tcPr>
          <w:p w:rsidR="00094F36" w:rsidRPr="00094F36" w:rsidRDefault="00553A21" w:rsidP="00094F36">
            <w:pPr>
              <w:spacing w:after="60" w:line="240" w:lineRule="auto"/>
              <w:rPr>
                <w:rFonts w:ascii="Tahoma" w:eastAsia="Calibri" w:hAnsi="Tahoma" w:cs="Tahoma"/>
                <w:spacing w:val="-10"/>
                <w:sz w:val="36"/>
                <w:szCs w:val="36"/>
                <w:rtl/>
              </w:rPr>
            </w:pPr>
            <w:r w:rsidRPr="00553A21">
              <w:rPr>
                <w:rFonts w:ascii="Tahoma" w:eastAsia="Calibri" w:hAnsi="Tahoma" w:cs="Tahoma" w:hint="cs"/>
                <w:spacing w:val="-10"/>
                <w:sz w:val="26"/>
                <w:szCs w:val="26"/>
                <w:rtl/>
              </w:rPr>
              <w:t>כ-</w:t>
            </w:r>
            <w:r w:rsidR="00094F36" w:rsidRPr="00094F36">
              <w:rPr>
                <w:rFonts w:ascii="Tahoma" w:eastAsia="Calibri" w:hAnsi="Tahoma" w:cs="Tahoma" w:hint="cs"/>
                <w:spacing w:val="-10"/>
                <w:sz w:val="36"/>
                <w:szCs w:val="36"/>
                <w:rtl/>
              </w:rPr>
              <w:t>21,000</w:t>
            </w:r>
          </w:p>
        </w:tc>
        <w:tc>
          <w:tcPr>
            <w:tcW w:w="285" w:type="dxa"/>
          </w:tcPr>
          <w:p w:rsidR="00094F36" w:rsidRPr="00094F36" w:rsidRDefault="00094F36" w:rsidP="00094F36">
            <w:pPr>
              <w:spacing w:after="60" w:line="240" w:lineRule="auto"/>
              <w:rPr>
                <w:rFonts w:ascii="Tahoma" w:eastAsia="Calibri" w:hAnsi="Tahoma" w:cs="Tahoma"/>
                <w:spacing w:val="-10"/>
              </w:rPr>
            </w:pPr>
          </w:p>
        </w:tc>
        <w:tc>
          <w:tcPr>
            <w:tcW w:w="1985" w:type="dxa"/>
            <w:tcBorders>
              <w:bottom w:val="single" w:sz="12" w:space="0" w:color="auto"/>
            </w:tcBorders>
          </w:tcPr>
          <w:p w:rsidR="00094F36" w:rsidRPr="00094F36" w:rsidRDefault="00094F36" w:rsidP="00094F36">
            <w:pPr>
              <w:spacing w:after="60" w:line="240" w:lineRule="auto"/>
              <w:rPr>
                <w:rFonts w:ascii="Tahoma" w:eastAsia="Calibri" w:hAnsi="Tahoma" w:cs="Tahoma"/>
                <w:spacing w:val="-10"/>
                <w:sz w:val="36"/>
                <w:szCs w:val="36"/>
              </w:rPr>
            </w:pPr>
            <w:r w:rsidRPr="00094F36">
              <w:rPr>
                <w:rFonts w:ascii="Tahoma" w:eastAsia="Calibri" w:hAnsi="Tahoma" w:cs="Tahoma" w:hint="cs"/>
                <w:spacing w:val="-10"/>
                <w:sz w:val="36"/>
                <w:szCs w:val="36"/>
                <w:rtl/>
              </w:rPr>
              <w:t>14</w:t>
            </w:r>
          </w:p>
        </w:tc>
        <w:tc>
          <w:tcPr>
            <w:tcW w:w="283" w:type="dxa"/>
          </w:tcPr>
          <w:p w:rsidR="00094F36" w:rsidRPr="00094F36" w:rsidRDefault="00094F36" w:rsidP="00094F36">
            <w:pPr>
              <w:spacing w:after="60" w:line="240" w:lineRule="auto"/>
              <w:rPr>
                <w:rFonts w:ascii="Tahoma" w:eastAsia="Calibri" w:hAnsi="Tahoma" w:cs="Tahoma"/>
                <w:spacing w:val="-10"/>
              </w:rPr>
            </w:pPr>
          </w:p>
        </w:tc>
        <w:tc>
          <w:tcPr>
            <w:tcW w:w="1985" w:type="dxa"/>
            <w:tcBorders>
              <w:bottom w:val="single" w:sz="12" w:space="0" w:color="auto"/>
            </w:tcBorders>
            <w:vAlign w:val="center"/>
          </w:tcPr>
          <w:p w:rsidR="00094F36" w:rsidRPr="00094F36" w:rsidRDefault="00094F36" w:rsidP="00094F36">
            <w:pPr>
              <w:spacing w:after="60" w:line="240" w:lineRule="auto"/>
              <w:rPr>
                <w:rFonts w:ascii="Tahoma" w:eastAsia="Calibri" w:hAnsi="Tahoma" w:cs="Tahoma"/>
                <w:spacing w:val="-10"/>
                <w:sz w:val="36"/>
                <w:szCs w:val="36"/>
                <w:rtl/>
              </w:rPr>
            </w:pPr>
            <w:r w:rsidRPr="00094F36">
              <w:rPr>
                <w:rFonts w:ascii="Tahoma" w:eastAsia="Calibri" w:hAnsi="Tahoma" w:cs="Tahoma" w:hint="cs"/>
                <w:spacing w:val="-10"/>
                <w:sz w:val="36"/>
                <w:szCs w:val="36"/>
                <w:rtl/>
              </w:rPr>
              <w:t>6</w:t>
            </w:r>
          </w:p>
        </w:tc>
      </w:tr>
      <w:tr w:rsidR="00094F36" w:rsidRPr="00094F36" w:rsidTr="00094F36">
        <w:trPr>
          <w:trHeight w:val="85"/>
        </w:trPr>
        <w:tc>
          <w:tcPr>
            <w:tcW w:w="8779" w:type="dxa"/>
            <w:gridSpan w:val="7"/>
            <w:shd w:val="clear" w:color="auto" w:fill="auto"/>
            <w:vAlign w:val="center"/>
          </w:tcPr>
          <w:p w:rsidR="00094F36" w:rsidRPr="00094F36" w:rsidRDefault="00094F36" w:rsidP="00094F36">
            <w:pPr>
              <w:spacing w:line="240" w:lineRule="auto"/>
              <w:rPr>
                <w:rFonts w:ascii="Tahoma" w:eastAsia="Calibri" w:hAnsi="Tahoma" w:cs="Tahoma"/>
                <w:spacing w:val="-10"/>
                <w:sz w:val="6"/>
                <w:szCs w:val="6"/>
                <w:rtl/>
              </w:rPr>
            </w:pPr>
          </w:p>
        </w:tc>
      </w:tr>
      <w:tr w:rsidR="00094F36" w:rsidRPr="00094F36" w:rsidTr="00094F36">
        <w:trPr>
          <w:trHeight w:val="1155"/>
        </w:trPr>
        <w:tc>
          <w:tcPr>
            <w:tcW w:w="1833" w:type="dxa"/>
          </w:tcPr>
          <w:p w:rsidR="00094F36" w:rsidRPr="00094F36" w:rsidRDefault="00094F36" w:rsidP="00094F36">
            <w:pPr>
              <w:spacing w:line="240" w:lineRule="auto"/>
              <w:ind w:right="23"/>
              <w:rPr>
                <w:rFonts w:ascii="Tahoma" w:eastAsia="Calibri" w:hAnsi="Tahoma" w:cs="Tahoma"/>
                <w:sz w:val="19"/>
                <w:szCs w:val="19"/>
                <w:rtl/>
              </w:rPr>
            </w:pPr>
            <w:r w:rsidRPr="00094F36">
              <w:rPr>
                <w:rFonts w:ascii="Tahoma" w:eastAsia="Calibri" w:hAnsi="Tahoma" w:cs="Tahoma"/>
                <w:sz w:val="19"/>
                <w:szCs w:val="19"/>
                <w:rtl/>
              </w:rPr>
              <w:t>מספר</w:t>
            </w:r>
            <w:r w:rsidRPr="00094F36">
              <w:rPr>
                <w:rFonts w:ascii="Tahoma" w:eastAsia="Calibri" w:hAnsi="Tahoma" w:cs="Tahoma" w:hint="cs"/>
                <w:sz w:val="19"/>
                <w:szCs w:val="19"/>
                <w:rtl/>
              </w:rPr>
              <w:t xml:space="preserve"> התושבים שהתפנו מהרשויות המקומיות בצפון הארץ שנבדקו </w:t>
            </w:r>
            <w:r w:rsidRPr="00094F36">
              <w:rPr>
                <w:rFonts w:ascii="Tahoma" w:eastAsia="Calibri" w:hAnsi="Tahoma" w:cs="Tahoma"/>
                <w:sz w:val="19"/>
                <w:szCs w:val="19"/>
                <w:rtl/>
              </w:rPr>
              <w:t>(לפי נתוני הרשויות המקומיות)</w:t>
            </w:r>
          </w:p>
        </w:tc>
        <w:tc>
          <w:tcPr>
            <w:tcW w:w="282" w:type="dxa"/>
          </w:tcPr>
          <w:p w:rsidR="00094F36" w:rsidRPr="00094F36" w:rsidRDefault="00094F36" w:rsidP="00094F36">
            <w:pPr>
              <w:spacing w:line="240" w:lineRule="auto"/>
              <w:rPr>
                <w:rFonts w:ascii="Tahoma" w:eastAsia="Calibri" w:hAnsi="Tahoma" w:cs="Tahoma"/>
                <w:szCs w:val="24"/>
                <w:rtl/>
              </w:rPr>
            </w:pPr>
          </w:p>
        </w:tc>
        <w:tc>
          <w:tcPr>
            <w:tcW w:w="2126" w:type="dxa"/>
          </w:tcPr>
          <w:p w:rsidR="00094F36" w:rsidRPr="00094F36" w:rsidRDefault="00094F36" w:rsidP="00094F36">
            <w:pPr>
              <w:spacing w:line="240" w:lineRule="auto"/>
              <w:ind w:right="23"/>
              <w:rPr>
                <w:rFonts w:ascii="Tahoma" w:eastAsia="Calibri" w:hAnsi="Tahoma" w:cs="Tahoma"/>
                <w:sz w:val="19"/>
                <w:szCs w:val="19"/>
                <w:rtl/>
              </w:rPr>
            </w:pPr>
            <w:r w:rsidRPr="00094F36">
              <w:rPr>
                <w:rFonts w:ascii="Tahoma" w:eastAsia="Calibri" w:hAnsi="Tahoma" w:cs="Tahoma" w:hint="cs"/>
                <w:sz w:val="19"/>
                <w:szCs w:val="19"/>
                <w:rtl/>
              </w:rPr>
              <w:t>מספר התושבים שפונו מהעיר</w:t>
            </w:r>
            <w:r w:rsidRPr="00094F36">
              <w:rPr>
                <w:rFonts w:ascii="Tahoma" w:eastAsia="Calibri" w:hAnsi="Tahoma" w:cs="Tahoma" w:hint="cs"/>
                <w:b/>
                <w:bCs/>
                <w:sz w:val="19"/>
                <w:szCs w:val="19"/>
                <w:rtl/>
              </w:rPr>
              <w:t xml:space="preserve"> קריית שמונה</w:t>
            </w:r>
            <w:r w:rsidRPr="00094F36">
              <w:rPr>
                <w:rFonts w:ascii="Tahoma" w:eastAsia="Calibri" w:hAnsi="Tahoma" w:cs="Tahoma" w:hint="cs"/>
                <w:sz w:val="19"/>
                <w:szCs w:val="19"/>
                <w:rtl/>
              </w:rPr>
              <w:t>, בלי שהייתה תוכנית פינוי (לפי נתוני העירייה)</w:t>
            </w:r>
          </w:p>
        </w:tc>
        <w:tc>
          <w:tcPr>
            <w:tcW w:w="285" w:type="dxa"/>
          </w:tcPr>
          <w:p w:rsidR="00094F36" w:rsidRPr="00094F36" w:rsidRDefault="00094F36" w:rsidP="00094F36">
            <w:pPr>
              <w:spacing w:line="240" w:lineRule="auto"/>
              <w:rPr>
                <w:rFonts w:ascii="Tahoma" w:eastAsia="Calibri" w:hAnsi="Tahoma" w:cs="Tahoma"/>
                <w:sz w:val="19"/>
                <w:szCs w:val="19"/>
                <w:rtl/>
              </w:rPr>
            </w:pPr>
          </w:p>
        </w:tc>
        <w:tc>
          <w:tcPr>
            <w:tcW w:w="1985" w:type="dxa"/>
          </w:tcPr>
          <w:p w:rsidR="00094F36" w:rsidRPr="00094F36" w:rsidRDefault="00094F36" w:rsidP="00094F36">
            <w:pPr>
              <w:spacing w:line="240" w:lineRule="auto"/>
              <w:ind w:right="23"/>
              <w:rPr>
                <w:rFonts w:ascii="Tahoma" w:eastAsia="Calibri" w:hAnsi="Tahoma" w:cs="Tahoma"/>
                <w:sz w:val="19"/>
                <w:szCs w:val="19"/>
                <w:rtl/>
              </w:rPr>
            </w:pPr>
            <w:r w:rsidRPr="00094F36">
              <w:rPr>
                <w:rFonts w:ascii="Tahoma" w:eastAsia="Calibri" w:hAnsi="Tahoma" w:cs="Tahoma" w:hint="cs"/>
                <w:sz w:val="19"/>
                <w:szCs w:val="19"/>
                <w:rtl/>
              </w:rPr>
              <w:t xml:space="preserve">מספר הקיבוצים שהתפנו מתוך 29 היישובים שבתחום המועצה האזורית </w:t>
            </w:r>
            <w:r w:rsidRPr="00094F36">
              <w:rPr>
                <w:rFonts w:ascii="Tahoma" w:eastAsia="Calibri" w:hAnsi="Tahoma" w:cs="Tahoma" w:hint="cs"/>
                <w:b/>
                <w:bCs/>
                <w:sz w:val="19"/>
                <w:szCs w:val="19"/>
                <w:rtl/>
              </w:rPr>
              <w:t>הגליל העליון</w:t>
            </w:r>
          </w:p>
        </w:tc>
        <w:tc>
          <w:tcPr>
            <w:tcW w:w="283" w:type="dxa"/>
          </w:tcPr>
          <w:p w:rsidR="00094F36" w:rsidRPr="00094F36" w:rsidRDefault="00094F36" w:rsidP="00094F36">
            <w:pPr>
              <w:spacing w:line="240" w:lineRule="auto"/>
              <w:rPr>
                <w:rFonts w:ascii="Tahoma" w:eastAsia="Calibri" w:hAnsi="Tahoma" w:cs="Tahoma"/>
                <w:sz w:val="19"/>
                <w:szCs w:val="19"/>
                <w:rtl/>
              </w:rPr>
            </w:pPr>
          </w:p>
        </w:tc>
        <w:tc>
          <w:tcPr>
            <w:tcW w:w="1985" w:type="dxa"/>
          </w:tcPr>
          <w:p w:rsidR="00094F36" w:rsidRPr="00094F36" w:rsidRDefault="00094F36" w:rsidP="00094F36">
            <w:pPr>
              <w:spacing w:line="240" w:lineRule="auto"/>
              <w:ind w:right="23"/>
              <w:rPr>
                <w:rFonts w:ascii="Tahoma" w:eastAsia="Calibri" w:hAnsi="Tahoma" w:cs="Tahoma"/>
                <w:sz w:val="19"/>
                <w:szCs w:val="19"/>
                <w:rtl/>
              </w:rPr>
            </w:pPr>
            <w:r w:rsidRPr="00094F36">
              <w:rPr>
                <w:rFonts w:ascii="Tahoma" w:eastAsia="Calibri" w:hAnsi="Tahoma" w:cs="Tahoma" w:hint="cs"/>
                <w:sz w:val="19"/>
                <w:szCs w:val="19"/>
                <w:rtl/>
              </w:rPr>
              <w:t xml:space="preserve">מספר היישובים שהתפנו מתוך 13 היישובים שבתחום המועצה האזורית </w:t>
            </w:r>
            <w:r w:rsidRPr="00094F36">
              <w:rPr>
                <w:rFonts w:ascii="Tahoma" w:eastAsia="Calibri" w:hAnsi="Tahoma" w:cs="Tahoma" w:hint="cs"/>
                <w:b/>
                <w:bCs/>
                <w:sz w:val="19"/>
                <w:szCs w:val="19"/>
                <w:rtl/>
              </w:rPr>
              <w:t>מבואות החרמון</w:t>
            </w:r>
          </w:p>
        </w:tc>
      </w:tr>
      <w:tr w:rsidR="00094F36" w:rsidRPr="00094F36" w:rsidTr="00094F36">
        <w:trPr>
          <w:trHeight w:val="363"/>
        </w:trPr>
        <w:tc>
          <w:tcPr>
            <w:tcW w:w="8779" w:type="dxa"/>
            <w:gridSpan w:val="7"/>
          </w:tcPr>
          <w:p w:rsidR="00094F36" w:rsidRPr="00094F36" w:rsidRDefault="00094F36" w:rsidP="00094F36">
            <w:pPr>
              <w:spacing w:after="60" w:line="240" w:lineRule="auto"/>
              <w:jc w:val="center"/>
              <w:rPr>
                <w:rFonts w:ascii="Tahoma" w:eastAsia="Calibri" w:hAnsi="Tahoma" w:cs="Tahoma"/>
                <w:sz w:val="6"/>
                <w:szCs w:val="6"/>
                <w:rtl/>
              </w:rPr>
            </w:pPr>
          </w:p>
        </w:tc>
      </w:tr>
      <w:tr w:rsidR="00094F36" w:rsidRPr="00094F36" w:rsidTr="00094F36">
        <w:trPr>
          <w:trHeight w:val="227"/>
        </w:trPr>
        <w:tc>
          <w:tcPr>
            <w:tcW w:w="1833" w:type="dxa"/>
            <w:tcBorders>
              <w:bottom w:val="single" w:sz="12" w:space="0" w:color="auto"/>
            </w:tcBorders>
            <w:vAlign w:val="center"/>
          </w:tcPr>
          <w:p w:rsidR="00094F36" w:rsidRPr="00094F36" w:rsidRDefault="00094F36" w:rsidP="00094F36">
            <w:pPr>
              <w:spacing w:after="60" w:line="240" w:lineRule="auto"/>
              <w:rPr>
                <w:rFonts w:ascii="Tahoma" w:eastAsia="Calibri" w:hAnsi="Tahoma" w:cs="Tahoma"/>
                <w:spacing w:val="-10"/>
                <w:sz w:val="36"/>
                <w:szCs w:val="36"/>
              </w:rPr>
            </w:pPr>
            <w:r w:rsidRPr="00094F36">
              <w:rPr>
                <w:rFonts w:ascii="Tahoma" w:eastAsia="Calibri" w:hAnsi="Tahoma" w:cs="Tahoma" w:hint="cs"/>
                <w:spacing w:val="-10"/>
                <w:sz w:val="36"/>
                <w:szCs w:val="36"/>
                <w:rtl/>
              </w:rPr>
              <w:t>8</w:t>
            </w:r>
          </w:p>
        </w:tc>
        <w:tc>
          <w:tcPr>
            <w:tcW w:w="282" w:type="dxa"/>
          </w:tcPr>
          <w:p w:rsidR="00094F36" w:rsidRPr="00094F36" w:rsidRDefault="00094F36" w:rsidP="00094F36">
            <w:pPr>
              <w:spacing w:after="60" w:line="240" w:lineRule="auto"/>
              <w:rPr>
                <w:rFonts w:ascii="Tahoma" w:eastAsia="Calibri" w:hAnsi="Tahoma" w:cs="Tahoma"/>
                <w:spacing w:val="-10"/>
              </w:rPr>
            </w:pPr>
          </w:p>
        </w:tc>
        <w:tc>
          <w:tcPr>
            <w:tcW w:w="2126" w:type="dxa"/>
            <w:tcBorders>
              <w:bottom w:val="single" w:sz="12" w:space="0" w:color="auto"/>
            </w:tcBorders>
            <w:vAlign w:val="center"/>
          </w:tcPr>
          <w:p w:rsidR="00094F36" w:rsidRPr="00094F36" w:rsidRDefault="00094F36" w:rsidP="00094F36">
            <w:pPr>
              <w:spacing w:after="60" w:line="240" w:lineRule="auto"/>
              <w:rPr>
                <w:rFonts w:ascii="Tahoma" w:eastAsia="Calibri" w:hAnsi="Tahoma" w:cs="Tahoma"/>
                <w:spacing w:val="-10"/>
                <w:sz w:val="36"/>
                <w:szCs w:val="36"/>
              </w:rPr>
            </w:pPr>
            <w:r w:rsidRPr="00094F36">
              <w:rPr>
                <w:rFonts w:ascii="Tahoma" w:eastAsia="Calibri" w:hAnsi="Tahoma" w:cs="Tahoma" w:hint="cs"/>
                <w:spacing w:val="-10"/>
                <w:sz w:val="36"/>
                <w:szCs w:val="36"/>
                <w:rtl/>
              </w:rPr>
              <w:t>9</w:t>
            </w:r>
          </w:p>
        </w:tc>
        <w:tc>
          <w:tcPr>
            <w:tcW w:w="285" w:type="dxa"/>
          </w:tcPr>
          <w:p w:rsidR="00094F36" w:rsidRPr="00094F36" w:rsidRDefault="00094F36" w:rsidP="00094F36">
            <w:pPr>
              <w:spacing w:after="60" w:line="240" w:lineRule="auto"/>
              <w:rPr>
                <w:rFonts w:ascii="Tahoma" w:eastAsia="Calibri" w:hAnsi="Tahoma" w:cs="Tahoma"/>
                <w:spacing w:val="-10"/>
              </w:rPr>
            </w:pPr>
          </w:p>
        </w:tc>
        <w:tc>
          <w:tcPr>
            <w:tcW w:w="1985" w:type="dxa"/>
            <w:tcBorders>
              <w:bottom w:val="single" w:sz="12" w:space="0" w:color="auto"/>
            </w:tcBorders>
          </w:tcPr>
          <w:p w:rsidR="00094F36" w:rsidRPr="00094F36" w:rsidRDefault="00094F36" w:rsidP="00094F36">
            <w:pPr>
              <w:spacing w:after="60" w:line="240" w:lineRule="auto"/>
              <w:rPr>
                <w:rFonts w:ascii="Tahoma" w:eastAsia="Calibri" w:hAnsi="Tahoma" w:cs="Tahoma"/>
                <w:spacing w:val="-10"/>
                <w:sz w:val="36"/>
                <w:szCs w:val="36"/>
              </w:rPr>
            </w:pPr>
            <w:r w:rsidRPr="00094F36">
              <w:rPr>
                <w:rFonts w:ascii="Tahoma" w:eastAsia="Calibri" w:hAnsi="Tahoma" w:cs="Tahoma" w:hint="cs"/>
                <w:spacing w:val="-10"/>
                <w:sz w:val="36"/>
                <w:szCs w:val="36"/>
                <w:rtl/>
              </w:rPr>
              <w:t>7</w:t>
            </w:r>
          </w:p>
        </w:tc>
        <w:tc>
          <w:tcPr>
            <w:tcW w:w="283" w:type="dxa"/>
          </w:tcPr>
          <w:p w:rsidR="00094F36" w:rsidRPr="00094F36" w:rsidRDefault="00094F36" w:rsidP="00094F36">
            <w:pPr>
              <w:spacing w:after="60" w:line="240" w:lineRule="auto"/>
              <w:rPr>
                <w:rFonts w:ascii="Tahoma" w:eastAsia="Calibri" w:hAnsi="Tahoma" w:cs="Tahoma"/>
                <w:spacing w:val="-10"/>
              </w:rPr>
            </w:pPr>
          </w:p>
        </w:tc>
        <w:tc>
          <w:tcPr>
            <w:tcW w:w="1985" w:type="dxa"/>
            <w:tcBorders>
              <w:bottom w:val="single" w:sz="12" w:space="0" w:color="auto"/>
            </w:tcBorders>
            <w:vAlign w:val="center"/>
          </w:tcPr>
          <w:p w:rsidR="00094F36" w:rsidRPr="00094F36" w:rsidRDefault="00094F36" w:rsidP="00094F36">
            <w:pPr>
              <w:spacing w:after="60" w:line="240" w:lineRule="auto"/>
              <w:rPr>
                <w:rFonts w:ascii="Tahoma" w:eastAsia="Calibri" w:hAnsi="Tahoma" w:cs="Tahoma"/>
                <w:spacing w:val="-10"/>
                <w:sz w:val="36"/>
                <w:szCs w:val="36"/>
              </w:rPr>
            </w:pPr>
            <w:r w:rsidRPr="00094F36">
              <w:rPr>
                <w:rFonts w:ascii="Tahoma" w:eastAsia="Calibri" w:hAnsi="Tahoma" w:cs="Tahoma" w:hint="cs"/>
                <w:spacing w:val="-10"/>
                <w:sz w:val="36"/>
                <w:szCs w:val="36"/>
                <w:rtl/>
              </w:rPr>
              <w:t>7</w:t>
            </w:r>
          </w:p>
        </w:tc>
      </w:tr>
      <w:tr w:rsidR="00094F36" w:rsidRPr="00094F36" w:rsidTr="00094F36">
        <w:trPr>
          <w:trHeight w:val="70"/>
        </w:trPr>
        <w:tc>
          <w:tcPr>
            <w:tcW w:w="8779" w:type="dxa"/>
            <w:gridSpan w:val="7"/>
            <w:vAlign w:val="center"/>
          </w:tcPr>
          <w:p w:rsidR="00094F36" w:rsidRPr="00094F36" w:rsidRDefault="00094F36" w:rsidP="00094F36">
            <w:pPr>
              <w:spacing w:line="240" w:lineRule="auto"/>
              <w:rPr>
                <w:rFonts w:ascii="Tahoma" w:eastAsia="Calibri" w:hAnsi="Tahoma" w:cs="Tahoma"/>
                <w:spacing w:val="-10"/>
                <w:sz w:val="6"/>
                <w:szCs w:val="6"/>
                <w:rtl/>
              </w:rPr>
            </w:pPr>
          </w:p>
        </w:tc>
      </w:tr>
      <w:tr w:rsidR="00094F36" w:rsidRPr="00094F36" w:rsidTr="00094F36">
        <w:trPr>
          <w:trHeight w:val="1153"/>
        </w:trPr>
        <w:tc>
          <w:tcPr>
            <w:tcW w:w="1833" w:type="dxa"/>
          </w:tcPr>
          <w:p w:rsidR="00094F36" w:rsidRPr="00094F36" w:rsidRDefault="00094F36" w:rsidP="00094F36">
            <w:pPr>
              <w:spacing w:line="240" w:lineRule="auto"/>
              <w:ind w:right="23"/>
              <w:rPr>
                <w:rFonts w:ascii="Tahoma" w:eastAsia="Calibri" w:hAnsi="Tahoma" w:cs="Tahoma"/>
                <w:sz w:val="19"/>
                <w:szCs w:val="19"/>
                <w:rtl/>
              </w:rPr>
            </w:pPr>
            <w:r w:rsidRPr="00094F36">
              <w:rPr>
                <w:rFonts w:ascii="Tahoma" w:eastAsia="Calibri" w:hAnsi="Tahoma" w:cs="Tahoma"/>
                <w:sz w:val="19"/>
                <w:szCs w:val="19"/>
                <w:rtl/>
              </w:rPr>
              <w:t>מספר ה</w:t>
            </w:r>
            <w:r w:rsidRPr="00094F36">
              <w:rPr>
                <w:rFonts w:ascii="Tahoma" w:eastAsia="Calibri" w:hAnsi="Tahoma" w:cs="Tahoma" w:hint="cs"/>
                <w:sz w:val="19"/>
                <w:szCs w:val="19"/>
                <w:rtl/>
              </w:rPr>
              <w:t>י</w:t>
            </w:r>
            <w:r w:rsidRPr="00094F36">
              <w:rPr>
                <w:rFonts w:ascii="Tahoma" w:eastAsia="Calibri" w:hAnsi="Tahoma" w:cs="Tahoma"/>
                <w:sz w:val="19"/>
                <w:szCs w:val="19"/>
                <w:rtl/>
              </w:rPr>
              <w:t xml:space="preserve">ישובים שהתפנו מתוך 32 היישובים שבתחום המועצה האזורית </w:t>
            </w:r>
            <w:r w:rsidRPr="00094F36">
              <w:rPr>
                <w:rFonts w:ascii="Tahoma" w:eastAsia="Calibri" w:hAnsi="Tahoma" w:cs="Tahoma"/>
                <w:b/>
                <w:bCs/>
                <w:sz w:val="19"/>
                <w:szCs w:val="19"/>
                <w:rtl/>
              </w:rPr>
              <w:t>מטה אשר</w:t>
            </w:r>
          </w:p>
        </w:tc>
        <w:tc>
          <w:tcPr>
            <w:tcW w:w="282" w:type="dxa"/>
          </w:tcPr>
          <w:p w:rsidR="00094F36" w:rsidRPr="00094F36" w:rsidRDefault="00094F36" w:rsidP="00094F36">
            <w:pPr>
              <w:spacing w:line="240" w:lineRule="auto"/>
              <w:rPr>
                <w:rFonts w:ascii="Tahoma" w:eastAsia="Calibri" w:hAnsi="Tahoma" w:cs="Tahoma"/>
                <w:sz w:val="19"/>
                <w:szCs w:val="19"/>
                <w:rtl/>
              </w:rPr>
            </w:pPr>
          </w:p>
        </w:tc>
        <w:tc>
          <w:tcPr>
            <w:tcW w:w="2126" w:type="dxa"/>
          </w:tcPr>
          <w:p w:rsidR="00094F36" w:rsidRPr="00094F36" w:rsidRDefault="00094F36" w:rsidP="00094F36">
            <w:pPr>
              <w:spacing w:line="240" w:lineRule="auto"/>
              <w:ind w:right="23"/>
              <w:rPr>
                <w:rFonts w:ascii="Tahoma" w:eastAsia="Calibri" w:hAnsi="Tahoma" w:cs="Tahoma"/>
                <w:sz w:val="19"/>
                <w:szCs w:val="19"/>
                <w:rtl/>
              </w:rPr>
            </w:pPr>
            <w:r w:rsidRPr="00094F36">
              <w:rPr>
                <w:rFonts w:ascii="Tahoma" w:eastAsia="Calibri" w:hAnsi="Tahoma" w:cs="Tahoma"/>
                <w:sz w:val="19"/>
                <w:szCs w:val="19"/>
                <w:rtl/>
              </w:rPr>
              <w:t xml:space="preserve">מספר היישובים שהתפנו מתוך 22 היישובים שבתחום המועצה האזורית </w:t>
            </w:r>
            <w:r w:rsidRPr="00094F36">
              <w:rPr>
                <w:rFonts w:ascii="Tahoma" w:eastAsia="Calibri" w:hAnsi="Tahoma" w:cs="Tahoma"/>
                <w:b/>
                <w:bCs/>
                <w:sz w:val="19"/>
                <w:szCs w:val="19"/>
                <w:rtl/>
              </w:rPr>
              <w:t>מעלה יוסף</w:t>
            </w:r>
          </w:p>
          <w:p w:rsidR="00094F36" w:rsidRPr="00094F36" w:rsidRDefault="00094F36" w:rsidP="00094F36">
            <w:pPr>
              <w:spacing w:line="240" w:lineRule="auto"/>
              <w:rPr>
                <w:rFonts w:ascii="Tahoma" w:eastAsia="Calibri" w:hAnsi="Tahoma" w:cs="Tahoma"/>
                <w:sz w:val="19"/>
                <w:szCs w:val="19"/>
                <w:rtl/>
              </w:rPr>
            </w:pPr>
          </w:p>
        </w:tc>
        <w:tc>
          <w:tcPr>
            <w:tcW w:w="285" w:type="dxa"/>
          </w:tcPr>
          <w:p w:rsidR="00094F36" w:rsidRPr="00094F36" w:rsidRDefault="00094F36" w:rsidP="00094F36">
            <w:pPr>
              <w:spacing w:line="240" w:lineRule="auto"/>
              <w:rPr>
                <w:rFonts w:ascii="Tahoma" w:eastAsia="Calibri" w:hAnsi="Tahoma" w:cs="Tahoma"/>
                <w:sz w:val="19"/>
                <w:szCs w:val="19"/>
                <w:rtl/>
              </w:rPr>
            </w:pPr>
          </w:p>
        </w:tc>
        <w:tc>
          <w:tcPr>
            <w:tcW w:w="1985" w:type="dxa"/>
          </w:tcPr>
          <w:p w:rsidR="00094F36" w:rsidRPr="00094F36" w:rsidRDefault="00094F36" w:rsidP="00094F36">
            <w:pPr>
              <w:spacing w:line="240" w:lineRule="auto"/>
              <w:ind w:right="23"/>
              <w:rPr>
                <w:rFonts w:ascii="Tahoma" w:eastAsia="Calibri" w:hAnsi="Tahoma" w:cs="Tahoma"/>
                <w:sz w:val="19"/>
                <w:szCs w:val="19"/>
                <w:rtl/>
              </w:rPr>
            </w:pPr>
            <w:r w:rsidRPr="00094F36">
              <w:rPr>
                <w:rFonts w:ascii="Tahoma" w:eastAsia="Calibri" w:hAnsi="Tahoma" w:cs="Tahoma"/>
                <w:sz w:val="19"/>
                <w:szCs w:val="19"/>
                <w:rtl/>
              </w:rPr>
              <w:t>מספר הרשויות המקומיות הכלולות בתוכנית "מרחק בטוח" מתוך 8 הרשויות המקומיות בצפון הארץ שנבדקו</w:t>
            </w:r>
          </w:p>
        </w:tc>
        <w:tc>
          <w:tcPr>
            <w:tcW w:w="283" w:type="dxa"/>
          </w:tcPr>
          <w:p w:rsidR="00094F36" w:rsidRPr="00094F36" w:rsidRDefault="00094F36" w:rsidP="00094F36">
            <w:pPr>
              <w:spacing w:line="240" w:lineRule="auto"/>
              <w:rPr>
                <w:rFonts w:ascii="Tahoma" w:eastAsia="Calibri" w:hAnsi="Tahoma" w:cs="Tahoma"/>
                <w:sz w:val="19"/>
                <w:szCs w:val="19"/>
                <w:rtl/>
              </w:rPr>
            </w:pPr>
          </w:p>
        </w:tc>
        <w:tc>
          <w:tcPr>
            <w:tcW w:w="1985" w:type="dxa"/>
            <w:vAlign w:val="center"/>
          </w:tcPr>
          <w:p w:rsidR="00094F36" w:rsidRPr="00094F36" w:rsidRDefault="00094F36" w:rsidP="00094F36">
            <w:pPr>
              <w:spacing w:line="240" w:lineRule="auto"/>
              <w:rPr>
                <w:rFonts w:ascii="Tahoma" w:eastAsia="Calibri" w:hAnsi="Tahoma" w:cs="Tahoma"/>
                <w:sz w:val="19"/>
                <w:szCs w:val="19"/>
                <w:rtl/>
              </w:rPr>
            </w:pPr>
            <w:r w:rsidRPr="00094F36">
              <w:rPr>
                <w:rFonts w:ascii="Tahoma" w:eastAsia="Calibri" w:hAnsi="Tahoma" w:cs="Tahoma"/>
                <w:sz w:val="19"/>
                <w:szCs w:val="19"/>
                <w:rtl/>
              </w:rPr>
              <w:t>מספר הרשויות המקומיות שהכינו מענה לתרחישי הייחוס שקבע להם פיקוד העורף, מתוך 8 הרשויות המקומיות בצפון</w:t>
            </w:r>
            <w:r w:rsidRPr="00094F36">
              <w:rPr>
                <w:rFonts w:ascii="Tahoma" w:eastAsia="Calibri" w:hAnsi="Tahoma" w:cs="Tahoma" w:hint="cs"/>
                <w:sz w:val="19"/>
                <w:szCs w:val="19"/>
                <w:rtl/>
              </w:rPr>
              <w:t xml:space="preserve"> </w:t>
            </w:r>
            <w:r w:rsidRPr="00094F36">
              <w:rPr>
                <w:rFonts w:ascii="Tahoma" w:eastAsia="Calibri" w:hAnsi="Tahoma" w:cs="Tahoma"/>
                <w:sz w:val="19"/>
                <w:szCs w:val="19"/>
                <w:rtl/>
              </w:rPr>
              <w:t>הארץ שנבדקו</w:t>
            </w:r>
          </w:p>
        </w:tc>
      </w:tr>
    </w:tbl>
    <w:p w:rsidR="00AE4BB7" w:rsidRPr="00094F36" w:rsidRDefault="00AE4BB7" w:rsidP="00AE4BB7">
      <w:pPr>
        <w:spacing w:line="288" w:lineRule="auto"/>
        <w:ind w:left="-1"/>
        <w:rPr>
          <w:sz w:val="18"/>
          <w:szCs w:val="22"/>
          <w:rtl/>
        </w:rPr>
      </w:pPr>
    </w:p>
    <w:p w:rsidR="00AE4BB7" w:rsidRDefault="00AE4BB7" w:rsidP="00AE4BB7">
      <w:pPr>
        <w:ind w:left="-1"/>
      </w:pPr>
    </w:p>
    <w:p w:rsidR="00284534" w:rsidRDefault="00284534" w:rsidP="00AE4BB7">
      <w:pPr>
        <w:ind w:left="-1"/>
      </w:pPr>
    </w:p>
    <w:tbl>
      <w:tblPr>
        <w:tblStyle w:val="af4"/>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5"/>
      </w:tblGrid>
      <w:tr w:rsidR="00AE4BB7" w:rsidTr="009E37AC">
        <w:trPr>
          <w:trHeight w:val="495"/>
        </w:trPr>
        <w:tc>
          <w:tcPr>
            <w:tcW w:w="8865" w:type="dxa"/>
            <w:vAlign w:val="center"/>
          </w:tcPr>
          <w:p w:rsidR="00AE4BB7" w:rsidRPr="006C4033" w:rsidRDefault="00AE4BB7" w:rsidP="009E37AC">
            <w:pPr>
              <w:spacing w:line="288" w:lineRule="auto"/>
              <w:ind w:left="-1"/>
              <w:rPr>
                <w:rFonts w:ascii="Tahoma" w:hAnsi="Tahoma" w:cs="Tahoma"/>
                <w:sz w:val="17"/>
                <w:szCs w:val="17"/>
                <w:rtl/>
              </w:rPr>
            </w:pPr>
            <w:r w:rsidRPr="006C4033">
              <w:rPr>
                <w:rFonts w:ascii="Tahoma" w:hAnsi="Tahoma" w:cs="Tahoma"/>
                <w:noProof/>
              </w:rPr>
              <w:drawing>
                <wp:inline distT="0" distB="0" distL="0" distR="0" wp14:anchorId="1B9A1196" wp14:editId="00A15EF1">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AE4BB7" w:rsidRDefault="00AE4BB7" w:rsidP="00AE4BB7">
      <w:pPr>
        <w:pStyle w:val="73"/>
        <w:ind w:left="851"/>
        <w:rPr>
          <w:sz w:val="19"/>
          <w:szCs w:val="19"/>
          <w:rtl/>
        </w:rPr>
      </w:pPr>
      <w:r w:rsidRPr="00084768">
        <w:rPr>
          <w:noProof/>
          <w:sz w:val="19"/>
          <w:szCs w:val="19"/>
        </w:rPr>
        <w:drawing>
          <wp:anchor distT="0" distB="0" distL="71755" distR="71755" simplePos="0" relativeHeight="251659264" behindDoc="0" locked="0" layoutInCell="1" allowOverlap="1" wp14:anchorId="49C406E9" wp14:editId="0049FDCE">
            <wp:simplePos x="0" y="0"/>
            <wp:positionH relativeFrom="column">
              <wp:posOffset>5271135</wp:posOffset>
            </wp:positionH>
            <wp:positionV relativeFrom="paragraph">
              <wp:posOffset>550650</wp:posOffset>
            </wp:positionV>
            <wp:extent cx="384175" cy="384175"/>
            <wp:effectExtent l="0" t="0" r="0" b="0"/>
            <wp:wrapSquare wrapText="bothSides"/>
            <wp:docPr id="25" name="תמונה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CCD" w:rsidRPr="00617CCD">
        <w:rPr>
          <w:sz w:val="19"/>
          <w:szCs w:val="19"/>
          <w:rtl/>
        </w:rPr>
        <w:t>בחודשים דצמבר 2023 עד יולי 2024 בדק משרד מבקר המדינה את הפינוי והקליטה של המפונים מהיישובים בצפון הארץ. הביקורת נעשתה בשמונה רשויות מקומיות בצפון הארץ שפונו על פי החלטות ממשלה: עיריית קריית שמונה, המועצות המקומיות מטולה ושלומי, והמועצות האזוריות הגליל העליון, מבואות החרמון, מטה אשר, מעלה יוסף ומרום הגליל (הרשויות המקומיות בצפון שנבדקו). פרק זה עוסק בהיערכות המוקדמת, לפני פרוץ המלחמה, של הרשויות המקומיות בצפון הארץ שפונו, בדגש על היערכותן לפינוי אוכלוסייה בשעת חירום. בדיקות השלמה נעשו ברשות החירום הלאומית (רח"ל) שבמשרד הביטחון, בפיקוד העורף (פקע"ר) ובמשרד הפנים.</w:t>
      </w:r>
    </w:p>
    <w:p w:rsidR="00AE4BB7" w:rsidRPr="006C4033" w:rsidRDefault="00AE4BB7" w:rsidP="00AE4BB7">
      <w:pPr>
        <w:spacing w:before="600" w:line="288" w:lineRule="auto"/>
        <w:ind w:left="-1"/>
        <w:rPr>
          <w:rFonts w:ascii="Tahoma" w:hAnsi="Tahoma" w:cs="Tahoma"/>
          <w:noProof/>
          <w:rtl/>
        </w:rPr>
      </w:pPr>
      <w:r w:rsidRPr="006C4033">
        <w:rPr>
          <w:rFonts w:ascii="Tahoma" w:hAnsi="Tahoma" w:cs="Tahoma"/>
          <w:noProof/>
        </w:rPr>
        <w:lastRenderedPageBreak/>
        <w:drawing>
          <wp:inline distT="0" distB="0" distL="0" distR="0" wp14:anchorId="319A68A8" wp14:editId="0BADBDF1">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rsidR="00AE4BB7" w:rsidRPr="00CF6518" w:rsidRDefault="00AE4BB7" w:rsidP="00EE67C7">
      <w:pPr>
        <w:spacing w:before="240" w:after="160"/>
        <w:rPr>
          <w:rtl/>
        </w:rPr>
      </w:pPr>
      <w:r>
        <w:rPr>
          <w:noProof/>
          <w:rtl/>
          <w:lang w:val="he-IL"/>
        </w:rPr>
        <w:drawing>
          <wp:inline distT="0" distB="0" distL="0" distR="0" wp14:anchorId="235C7E4D" wp14:editId="2E6608D8">
            <wp:extent cx="1981200" cy="190500"/>
            <wp:effectExtent l="0" t="0" r="0" b="0"/>
            <wp:docPr id="1310143038" name="תמונה 4" descr="ליקויים">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617CCD" w:rsidRDefault="00617CCD" w:rsidP="00617CCD">
      <w:pPr>
        <w:pStyle w:val="73"/>
        <w:numPr>
          <w:ilvl w:val="0"/>
          <w:numId w:val="25"/>
        </w:numPr>
        <w:spacing w:after="120"/>
        <w:rPr>
          <w:sz w:val="19"/>
          <w:szCs w:val="19"/>
        </w:rPr>
      </w:pPr>
      <w:r w:rsidRPr="00A77602">
        <w:rPr>
          <w:b/>
          <w:bCs/>
          <w:sz w:val="19"/>
          <w:szCs w:val="19"/>
          <w:rtl/>
        </w:rPr>
        <w:t>תוכניות לפינוי אוכלוסייה</w:t>
      </w:r>
      <w:r w:rsidRPr="00A77602">
        <w:rPr>
          <w:rFonts w:hint="cs"/>
          <w:b/>
          <w:bCs/>
          <w:sz w:val="19"/>
          <w:szCs w:val="19"/>
          <w:rtl/>
        </w:rPr>
        <w:t xml:space="preserve"> </w:t>
      </w:r>
      <w:r w:rsidRPr="009E4323">
        <w:rPr>
          <w:sz w:val="19"/>
          <w:szCs w:val="19"/>
          <w:rtl/>
        </w:rPr>
        <w:t xml:space="preserve">- </w:t>
      </w:r>
      <w:r w:rsidRPr="00A77602">
        <w:rPr>
          <w:sz w:val="19"/>
          <w:szCs w:val="19"/>
          <w:rtl/>
        </w:rPr>
        <w:t>במסגרת תוכנית "מרחק בטוח"</w:t>
      </w:r>
      <w:r w:rsidRPr="00A77602">
        <w:rPr>
          <w:rStyle w:val="af1"/>
          <w:sz w:val="19"/>
          <w:szCs w:val="19"/>
          <w:rtl/>
        </w:rPr>
        <w:footnoteReference w:id="1"/>
      </w:r>
      <w:r w:rsidRPr="00A77602">
        <w:rPr>
          <w:sz w:val="19"/>
          <w:szCs w:val="19"/>
          <w:rtl/>
        </w:rPr>
        <w:t xml:space="preserve"> נקבע תרחיש </w:t>
      </w:r>
      <w:r w:rsidRPr="00A77602">
        <w:rPr>
          <w:rFonts w:hint="cs"/>
          <w:sz w:val="19"/>
          <w:szCs w:val="19"/>
          <w:rtl/>
        </w:rPr>
        <w:t>ל</w:t>
      </w:r>
      <w:r w:rsidRPr="00A77602">
        <w:rPr>
          <w:sz w:val="19"/>
          <w:szCs w:val="19"/>
          <w:rtl/>
        </w:rPr>
        <w:t>פינוי של כ-75% מתושבי היישובים הנמצאים במרחק של 0 - 5 ק"מ מגבול הצפון</w:t>
      </w:r>
      <w:r>
        <w:rPr>
          <w:rFonts w:hint="cs"/>
          <w:sz w:val="19"/>
          <w:szCs w:val="19"/>
          <w:rtl/>
        </w:rPr>
        <w:t>, ואולם</w:t>
      </w:r>
      <w:r w:rsidRPr="00A77602">
        <w:rPr>
          <w:sz w:val="19"/>
          <w:szCs w:val="19"/>
          <w:rtl/>
        </w:rPr>
        <w:t xml:space="preserve"> </w:t>
      </w:r>
      <w:r>
        <w:rPr>
          <w:rFonts w:hint="cs"/>
          <w:sz w:val="19"/>
          <w:szCs w:val="19"/>
          <w:rtl/>
        </w:rPr>
        <w:t>נמצא כי העיר</w:t>
      </w:r>
      <w:r w:rsidRPr="00A77602">
        <w:rPr>
          <w:sz w:val="19"/>
          <w:szCs w:val="19"/>
          <w:rtl/>
        </w:rPr>
        <w:t xml:space="preserve"> </w:t>
      </w:r>
      <w:r w:rsidRPr="00A77602">
        <w:rPr>
          <w:b/>
          <w:bCs/>
          <w:sz w:val="19"/>
          <w:szCs w:val="19"/>
          <w:rtl/>
        </w:rPr>
        <w:t>קריית שמונה</w:t>
      </w:r>
      <w:r>
        <w:rPr>
          <w:rFonts w:hint="cs"/>
          <w:sz w:val="19"/>
          <w:szCs w:val="19"/>
          <w:rtl/>
        </w:rPr>
        <w:t xml:space="preserve">, </w:t>
      </w:r>
      <w:r w:rsidR="00BE39C1">
        <w:rPr>
          <w:rFonts w:hint="cs"/>
          <w:sz w:val="19"/>
          <w:szCs w:val="19"/>
          <w:rtl/>
        </w:rPr>
        <w:t>ש</w:t>
      </w:r>
      <w:r>
        <w:rPr>
          <w:rFonts w:hint="cs"/>
          <w:sz w:val="19"/>
          <w:szCs w:val="19"/>
          <w:rtl/>
        </w:rPr>
        <w:t>בה מתגוררים כ-24,000 תושבים, לא</w:t>
      </w:r>
      <w:r w:rsidRPr="00A77602">
        <w:rPr>
          <w:sz w:val="19"/>
          <w:szCs w:val="19"/>
          <w:rtl/>
        </w:rPr>
        <w:t xml:space="preserve"> נכלל</w:t>
      </w:r>
      <w:r>
        <w:rPr>
          <w:rFonts w:hint="cs"/>
          <w:sz w:val="19"/>
          <w:szCs w:val="19"/>
          <w:rtl/>
        </w:rPr>
        <w:t>ה</w:t>
      </w:r>
      <w:r w:rsidRPr="00A77602">
        <w:rPr>
          <w:sz w:val="19"/>
          <w:szCs w:val="19"/>
          <w:rtl/>
        </w:rPr>
        <w:t xml:space="preserve"> בתוכנית זו. </w:t>
      </w:r>
    </w:p>
    <w:p w:rsidR="00617CCD" w:rsidRPr="00A91FD5" w:rsidRDefault="00617CCD" w:rsidP="00617CCD">
      <w:pPr>
        <w:pStyle w:val="73"/>
        <w:rPr>
          <w:sz w:val="19"/>
          <w:szCs w:val="19"/>
        </w:rPr>
      </w:pPr>
      <w:r w:rsidRPr="00A91FD5">
        <w:rPr>
          <w:rFonts w:hint="cs"/>
          <w:sz w:val="19"/>
          <w:szCs w:val="19"/>
          <w:rtl/>
        </w:rPr>
        <w:t xml:space="preserve">בדוח מבקר המדינה משנת 2007 בנושא </w:t>
      </w:r>
      <w:r w:rsidRPr="00A91FD5">
        <w:rPr>
          <w:sz w:val="19"/>
          <w:szCs w:val="19"/>
          <w:rtl/>
        </w:rPr>
        <w:t>פינוי אוכלוסייה בעת מלחמת לבנון השנייה</w:t>
      </w:r>
      <w:r w:rsidRPr="000411B7">
        <w:rPr>
          <w:rStyle w:val="af1"/>
          <w:sz w:val="19"/>
          <w:szCs w:val="19"/>
          <w:rtl/>
        </w:rPr>
        <w:footnoteReference w:id="2"/>
      </w:r>
      <w:r w:rsidRPr="00A91FD5">
        <w:rPr>
          <w:rFonts w:hint="cs"/>
          <w:sz w:val="19"/>
          <w:szCs w:val="19"/>
          <w:rtl/>
        </w:rPr>
        <w:t xml:space="preserve"> (דוח מבקר המדינה </w:t>
      </w:r>
      <w:r>
        <w:rPr>
          <w:sz w:val="19"/>
          <w:szCs w:val="19"/>
          <w:rtl/>
        </w:rPr>
        <w:br/>
      </w:r>
      <w:r w:rsidRPr="00A91FD5">
        <w:rPr>
          <w:rFonts w:hint="cs"/>
          <w:sz w:val="19"/>
          <w:szCs w:val="19"/>
          <w:rtl/>
        </w:rPr>
        <w:t xml:space="preserve">מ-2007) </w:t>
      </w:r>
      <w:r w:rsidRPr="00A91FD5">
        <w:rPr>
          <w:rFonts w:hint="eastAsia"/>
          <w:sz w:val="19"/>
          <w:szCs w:val="19"/>
          <w:rtl/>
        </w:rPr>
        <w:t>מבקר</w:t>
      </w:r>
      <w:r w:rsidRPr="00A91FD5">
        <w:rPr>
          <w:sz w:val="19"/>
          <w:szCs w:val="19"/>
          <w:rtl/>
        </w:rPr>
        <w:t xml:space="preserve"> </w:t>
      </w:r>
      <w:r w:rsidRPr="00A91FD5">
        <w:rPr>
          <w:rFonts w:hint="eastAsia"/>
          <w:sz w:val="19"/>
          <w:szCs w:val="19"/>
          <w:rtl/>
        </w:rPr>
        <w:t>המדינה</w:t>
      </w:r>
      <w:r w:rsidRPr="00A91FD5">
        <w:rPr>
          <w:sz w:val="19"/>
          <w:szCs w:val="19"/>
          <w:rtl/>
        </w:rPr>
        <w:t xml:space="preserve"> </w:t>
      </w:r>
      <w:r w:rsidRPr="00A91FD5">
        <w:rPr>
          <w:rFonts w:hint="eastAsia"/>
          <w:sz w:val="19"/>
          <w:szCs w:val="19"/>
          <w:rtl/>
        </w:rPr>
        <w:t>התריע</w:t>
      </w:r>
      <w:r w:rsidRPr="00A91FD5">
        <w:rPr>
          <w:sz w:val="19"/>
          <w:szCs w:val="19"/>
          <w:rtl/>
        </w:rPr>
        <w:t xml:space="preserve"> </w:t>
      </w:r>
      <w:r w:rsidRPr="00A91FD5">
        <w:rPr>
          <w:rFonts w:hint="eastAsia"/>
          <w:sz w:val="19"/>
          <w:szCs w:val="19"/>
          <w:rtl/>
        </w:rPr>
        <w:t>כי</w:t>
      </w:r>
      <w:r w:rsidRPr="00A91FD5">
        <w:rPr>
          <w:sz w:val="19"/>
          <w:szCs w:val="19"/>
          <w:rtl/>
        </w:rPr>
        <w:t xml:space="preserve"> </w:t>
      </w:r>
      <w:r w:rsidRPr="00A91FD5">
        <w:rPr>
          <w:rFonts w:hint="eastAsia"/>
          <w:sz w:val="19"/>
          <w:szCs w:val="19"/>
          <w:rtl/>
        </w:rPr>
        <w:t>ת</w:t>
      </w:r>
      <w:r w:rsidRPr="00A91FD5">
        <w:rPr>
          <w:rFonts w:hint="cs"/>
          <w:sz w:val="19"/>
          <w:szCs w:val="19"/>
          <w:rtl/>
        </w:rPr>
        <w:t>ו</w:t>
      </w:r>
      <w:r w:rsidRPr="00A91FD5">
        <w:rPr>
          <w:rFonts w:hint="eastAsia"/>
          <w:sz w:val="19"/>
          <w:szCs w:val="19"/>
          <w:rtl/>
        </w:rPr>
        <w:t>כניות</w:t>
      </w:r>
      <w:r w:rsidRPr="00A91FD5">
        <w:rPr>
          <w:sz w:val="19"/>
          <w:szCs w:val="19"/>
          <w:rtl/>
        </w:rPr>
        <w:t xml:space="preserve"> </w:t>
      </w:r>
      <w:r w:rsidRPr="00A91FD5">
        <w:rPr>
          <w:rFonts w:hint="cs"/>
          <w:sz w:val="19"/>
          <w:szCs w:val="19"/>
          <w:rtl/>
        </w:rPr>
        <w:t xml:space="preserve">הפינוי </w:t>
      </w:r>
      <w:r w:rsidRPr="00A91FD5">
        <w:rPr>
          <w:rFonts w:hint="eastAsia"/>
          <w:sz w:val="19"/>
          <w:szCs w:val="19"/>
          <w:rtl/>
        </w:rPr>
        <w:t>אינן</w:t>
      </w:r>
      <w:r w:rsidRPr="00A91FD5">
        <w:rPr>
          <w:sz w:val="19"/>
          <w:szCs w:val="19"/>
          <w:rtl/>
        </w:rPr>
        <w:t xml:space="preserve"> </w:t>
      </w:r>
      <w:r w:rsidRPr="00A91FD5">
        <w:rPr>
          <w:rFonts w:hint="eastAsia"/>
          <w:sz w:val="19"/>
          <w:szCs w:val="19"/>
          <w:rtl/>
        </w:rPr>
        <w:t>ישימות</w:t>
      </w:r>
      <w:r w:rsidRPr="00A91FD5">
        <w:rPr>
          <w:rFonts w:hint="cs"/>
          <w:sz w:val="19"/>
          <w:szCs w:val="19"/>
          <w:rtl/>
        </w:rPr>
        <w:t xml:space="preserve"> וכי </w:t>
      </w:r>
      <w:r w:rsidRPr="00A91FD5">
        <w:rPr>
          <w:sz w:val="19"/>
          <w:szCs w:val="19"/>
          <w:rtl/>
        </w:rPr>
        <w:t>ראוי שבמסגרת היערכותן של הרשויות המקומיות לפינוי אוכלוסייה ב</w:t>
      </w:r>
      <w:r w:rsidRPr="00A91FD5">
        <w:rPr>
          <w:rFonts w:hint="cs"/>
          <w:sz w:val="19"/>
          <w:szCs w:val="19"/>
          <w:rtl/>
        </w:rPr>
        <w:t>ש</w:t>
      </w:r>
      <w:r w:rsidRPr="00A91FD5">
        <w:rPr>
          <w:sz w:val="19"/>
          <w:szCs w:val="19"/>
          <w:rtl/>
        </w:rPr>
        <w:t>עת חירום הן יכינו</w:t>
      </w:r>
      <w:r w:rsidRPr="00A91FD5">
        <w:rPr>
          <w:rFonts w:hint="cs"/>
          <w:sz w:val="19"/>
          <w:szCs w:val="19"/>
          <w:rtl/>
        </w:rPr>
        <w:t>,</w:t>
      </w:r>
      <w:r w:rsidRPr="00A91FD5">
        <w:rPr>
          <w:sz w:val="19"/>
          <w:szCs w:val="19"/>
          <w:rtl/>
        </w:rPr>
        <w:t xml:space="preserve"> בשיתוף עם משרד הפנים</w:t>
      </w:r>
      <w:r w:rsidRPr="00A91FD5">
        <w:rPr>
          <w:rFonts w:hint="cs"/>
          <w:sz w:val="19"/>
          <w:szCs w:val="19"/>
          <w:rtl/>
        </w:rPr>
        <w:t>,</w:t>
      </w:r>
      <w:r w:rsidRPr="00A91FD5">
        <w:rPr>
          <w:sz w:val="19"/>
          <w:szCs w:val="19"/>
          <w:rtl/>
        </w:rPr>
        <w:t xml:space="preserve"> נוהל פינוי המגדיר את תפקידו של כל גורם בתהליך הפינוי, דרך ביצוע הפינוי על</w:t>
      </w:r>
      <w:r w:rsidRPr="00A91FD5">
        <w:rPr>
          <w:rFonts w:hint="cs"/>
          <w:sz w:val="19"/>
          <w:szCs w:val="19"/>
          <w:rtl/>
        </w:rPr>
        <w:t xml:space="preserve"> </w:t>
      </w:r>
      <w:r w:rsidRPr="00A91FD5">
        <w:rPr>
          <w:sz w:val="19"/>
          <w:szCs w:val="19"/>
          <w:rtl/>
        </w:rPr>
        <w:t xml:space="preserve">ידי הרשות המקומית, לרבות </w:t>
      </w:r>
      <w:r w:rsidRPr="00A91FD5">
        <w:rPr>
          <w:rFonts w:hint="cs"/>
          <w:sz w:val="19"/>
          <w:szCs w:val="19"/>
          <w:rtl/>
        </w:rPr>
        <w:t>תיעדו</w:t>
      </w:r>
      <w:r w:rsidRPr="00A91FD5">
        <w:rPr>
          <w:rFonts w:hint="eastAsia"/>
          <w:sz w:val="19"/>
          <w:szCs w:val="19"/>
          <w:rtl/>
        </w:rPr>
        <w:t>ף</w:t>
      </w:r>
      <w:r w:rsidRPr="00A91FD5">
        <w:rPr>
          <w:sz w:val="19"/>
          <w:szCs w:val="19"/>
          <w:rtl/>
        </w:rPr>
        <w:t xml:space="preserve"> סוגי האוכלוסיות המיועדות לפינוי והכנת מערך ממוחשב לניהול מעקב</w:t>
      </w:r>
      <w:r w:rsidRPr="00A91FD5">
        <w:rPr>
          <w:rFonts w:hint="cs"/>
          <w:sz w:val="19"/>
          <w:szCs w:val="19"/>
          <w:rtl/>
        </w:rPr>
        <w:t xml:space="preserve"> אחר הסטטוס של המתפנים</w:t>
      </w:r>
      <w:r w:rsidRPr="00A91FD5">
        <w:rPr>
          <w:sz w:val="19"/>
          <w:szCs w:val="19"/>
          <w:rtl/>
        </w:rPr>
        <w:t xml:space="preserve"> </w:t>
      </w:r>
      <w:r w:rsidRPr="00A91FD5">
        <w:rPr>
          <w:rFonts w:hint="cs"/>
          <w:sz w:val="19"/>
          <w:szCs w:val="19"/>
          <w:rtl/>
        </w:rPr>
        <w:t xml:space="preserve">(מי התפנה, מי נשאר ומי חזר לאחר שהתפנה) </w:t>
      </w:r>
      <w:r w:rsidRPr="00A91FD5">
        <w:rPr>
          <w:sz w:val="19"/>
          <w:szCs w:val="19"/>
          <w:rtl/>
        </w:rPr>
        <w:t>ו</w:t>
      </w:r>
      <w:r w:rsidRPr="00A91FD5">
        <w:rPr>
          <w:rFonts w:hint="cs"/>
          <w:sz w:val="19"/>
          <w:szCs w:val="19"/>
          <w:rtl/>
        </w:rPr>
        <w:t xml:space="preserve">לשמירת </w:t>
      </w:r>
      <w:r w:rsidRPr="00A91FD5">
        <w:rPr>
          <w:sz w:val="19"/>
          <w:szCs w:val="19"/>
          <w:rtl/>
        </w:rPr>
        <w:t>קשר ע</w:t>
      </w:r>
      <w:r w:rsidRPr="00A91FD5">
        <w:rPr>
          <w:rFonts w:hint="cs"/>
          <w:sz w:val="19"/>
          <w:szCs w:val="19"/>
          <w:rtl/>
        </w:rPr>
        <w:t>ימ</w:t>
      </w:r>
      <w:r w:rsidRPr="00A91FD5">
        <w:rPr>
          <w:sz w:val="19"/>
          <w:szCs w:val="19"/>
          <w:rtl/>
        </w:rPr>
        <w:t>ם</w:t>
      </w:r>
      <w:r w:rsidRPr="00A91FD5">
        <w:rPr>
          <w:rFonts w:hint="cs"/>
          <w:sz w:val="19"/>
          <w:szCs w:val="19"/>
          <w:rtl/>
        </w:rPr>
        <w:t xml:space="preserve">. הועלה כי </w:t>
      </w:r>
      <w:r w:rsidRPr="00A91FD5">
        <w:rPr>
          <w:sz w:val="19"/>
          <w:szCs w:val="19"/>
          <w:rtl/>
        </w:rPr>
        <w:t>משרד הפנים לא פעל לקביעת נהלים והנחיות המסדירים את תחומי האחריות של הרשויות המקומיות בכל הקשור לתכנון הפינוי ובנוגע להיערכות לפינוי תושביהן אל מתקנים שאינם בתחום הרשות המקומית, אם כגורם המפנה ואם כגורם שמסייע לצה"ל</w:t>
      </w:r>
      <w:r w:rsidRPr="00A91FD5">
        <w:rPr>
          <w:rFonts w:hint="cs"/>
          <w:sz w:val="19"/>
          <w:szCs w:val="19"/>
          <w:rtl/>
        </w:rPr>
        <w:t xml:space="preserve"> </w:t>
      </w:r>
      <w:r w:rsidRPr="00A91FD5">
        <w:rPr>
          <w:sz w:val="19"/>
          <w:szCs w:val="19"/>
          <w:rtl/>
        </w:rPr>
        <w:t xml:space="preserve">בפינוי. </w:t>
      </w:r>
    </w:p>
    <w:p w:rsidR="00617CCD" w:rsidRDefault="00617CCD" w:rsidP="00617CCD">
      <w:pPr>
        <w:pStyle w:val="73"/>
        <w:numPr>
          <w:ilvl w:val="0"/>
          <w:numId w:val="25"/>
        </w:numPr>
        <w:spacing w:after="120"/>
        <w:rPr>
          <w:sz w:val="19"/>
          <w:szCs w:val="19"/>
        </w:rPr>
      </w:pPr>
      <w:r w:rsidRPr="005D252D">
        <w:rPr>
          <w:b/>
          <w:bCs/>
          <w:sz w:val="19"/>
          <w:szCs w:val="19"/>
          <w:rtl/>
        </w:rPr>
        <w:t>תוכניות לפינוי אוכלוסייה ברשויות שנבדקו</w:t>
      </w:r>
      <w:r>
        <w:rPr>
          <w:rFonts w:hint="cs"/>
          <w:b/>
          <w:bCs/>
          <w:sz w:val="19"/>
          <w:szCs w:val="19"/>
          <w:rtl/>
        </w:rPr>
        <w:t xml:space="preserve"> בצפון הארץ</w:t>
      </w:r>
      <w:r w:rsidRPr="005D252D">
        <w:rPr>
          <w:rFonts w:hint="cs"/>
          <w:sz w:val="19"/>
          <w:szCs w:val="19"/>
          <w:rtl/>
        </w:rPr>
        <w:t xml:space="preserve"> </w:t>
      </w:r>
      <w:r w:rsidRPr="000411B7">
        <w:rPr>
          <w:rFonts w:hint="cs"/>
          <w:sz w:val="19"/>
          <w:szCs w:val="19"/>
          <w:rtl/>
        </w:rPr>
        <w:t>-</w:t>
      </w:r>
      <w:r>
        <w:rPr>
          <w:rFonts w:hint="cs"/>
          <w:sz w:val="19"/>
          <w:szCs w:val="19"/>
          <w:rtl/>
        </w:rPr>
        <w:t xml:space="preserve"> </w:t>
      </w:r>
      <w:r w:rsidRPr="00D51255">
        <w:rPr>
          <w:sz w:val="19"/>
          <w:szCs w:val="19"/>
          <w:rtl/>
        </w:rPr>
        <w:t>אף שבדוח</w:t>
      </w:r>
      <w:r w:rsidRPr="00D51255">
        <w:rPr>
          <w:rFonts w:eastAsia="Calibri"/>
          <w:sz w:val="19"/>
          <w:szCs w:val="19"/>
          <w:rtl/>
        </w:rPr>
        <w:t xml:space="preserve"> ביקורת המעקב משנת 2020 בנושא</w:t>
      </w:r>
      <w:r w:rsidRPr="00D51255">
        <w:rPr>
          <w:sz w:val="19"/>
          <w:szCs w:val="19"/>
          <w:rtl/>
        </w:rPr>
        <w:t xml:space="preserve"> "ההיערכות להגנת העורף מפני איום טילים ורקטות (מיגון פיזי, התרעה ופינוי אוכלוסייה)" </w:t>
      </w:r>
      <w:r w:rsidRPr="00D51255">
        <w:rPr>
          <w:rFonts w:eastAsia="Calibri"/>
          <w:sz w:val="19"/>
          <w:szCs w:val="19"/>
          <w:rtl/>
        </w:rPr>
        <w:t>(דוח ביקורת המעקב משנת 2020)</w:t>
      </w:r>
      <w:r w:rsidRPr="00D51255">
        <w:rPr>
          <w:rFonts w:eastAsia="Calibri"/>
          <w:sz w:val="19"/>
          <w:szCs w:val="19"/>
          <w:vertAlign w:val="superscript"/>
          <w:rtl/>
        </w:rPr>
        <w:footnoteReference w:id="3"/>
      </w:r>
      <w:r w:rsidRPr="00D51255">
        <w:rPr>
          <w:sz w:val="19"/>
          <w:szCs w:val="19"/>
          <w:rtl/>
        </w:rPr>
        <w:t xml:space="preserve"> העיר מבקר המדינה כי נוכח פערי המיגון הקיימים </w:t>
      </w:r>
      <w:r w:rsidRPr="00D51255">
        <w:rPr>
          <w:b/>
          <w:bCs/>
          <w:sz w:val="19"/>
          <w:szCs w:val="19"/>
          <w:rtl/>
        </w:rPr>
        <w:t>בקריית שמונה</w:t>
      </w:r>
      <w:r w:rsidRPr="00D51255">
        <w:rPr>
          <w:sz w:val="19"/>
          <w:szCs w:val="19"/>
          <w:rtl/>
        </w:rPr>
        <w:t xml:space="preserve"> ונוכח התרחיש של ירי רציף ומתמשך כפי שצופה צה"ל, על צה"ל - בשיתוף רח"ל ורשות פס"ח - להאיץ את התכנון וההיערכות לפינוי ולקליטה של תושבי </w:t>
      </w:r>
      <w:r w:rsidRPr="00D51255">
        <w:rPr>
          <w:b/>
          <w:bCs/>
          <w:sz w:val="19"/>
          <w:szCs w:val="19"/>
          <w:rtl/>
        </w:rPr>
        <w:t>קריית שמונה</w:t>
      </w:r>
      <w:r>
        <w:rPr>
          <w:rFonts w:hint="cs"/>
          <w:b/>
          <w:bCs/>
          <w:sz w:val="19"/>
          <w:szCs w:val="19"/>
          <w:rtl/>
        </w:rPr>
        <w:t>,</w:t>
      </w:r>
      <w:r w:rsidRPr="00D51255">
        <w:rPr>
          <w:sz w:val="19"/>
          <w:szCs w:val="19"/>
          <w:rtl/>
        </w:rPr>
        <w:t xml:space="preserve"> </w:t>
      </w:r>
      <w:r>
        <w:rPr>
          <w:rFonts w:hint="cs"/>
          <w:sz w:val="19"/>
          <w:szCs w:val="19"/>
          <w:rtl/>
        </w:rPr>
        <w:t xml:space="preserve">עלה </w:t>
      </w:r>
      <w:r w:rsidRPr="00D51255">
        <w:rPr>
          <w:sz w:val="19"/>
          <w:szCs w:val="19"/>
          <w:rtl/>
        </w:rPr>
        <w:t xml:space="preserve">כי תרחיש הייחוס שהכין פקע"ר לעיריית </w:t>
      </w:r>
      <w:r w:rsidRPr="00D51255">
        <w:rPr>
          <w:b/>
          <w:bCs/>
          <w:sz w:val="19"/>
          <w:szCs w:val="19"/>
          <w:rtl/>
        </w:rPr>
        <w:t>קריית שמונה</w:t>
      </w:r>
      <w:r w:rsidRPr="00D51255">
        <w:rPr>
          <w:sz w:val="19"/>
          <w:szCs w:val="19"/>
          <w:rtl/>
        </w:rPr>
        <w:t xml:space="preserve"> - היישוב הגדול ביותר הסמוך לגבול הצפון, המונה כ-24,000 תושבים, לא כלל מענה לפינוי אוכלוסיית העיר אל מחוץ לתחומה.</w:t>
      </w:r>
      <w:r w:rsidRPr="00B22BC8">
        <w:rPr>
          <w:sz w:val="19"/>
          <w:szCs w:val="19"/>
          <w:rtl/>
        </w:rPr>
        <w:t xml:space="preserve"> </w:t>
      </w:r>
      <w:r>
        <w:rPr>
          <w:rFonts w:hint="cs"/>
          <w:sz w:val="19"/>
          <w:szCs w:val="19"/>
          <w:rtl/>
        </w:rPr>
        <w:t>יוצא אפוא ש</w:t>
      </w:r>
      <w:r w:rsidRPr="00B22BC8">
        <w:rPr>
          <w:sz w:val="19"/>
          <w:szCs w:val="19"/>
          <w:rtl/>
        </w:rPr>
        <w:t>משרד הביטחון וצה"ל, נמנעו</w:t>
      </w:r>
      <w:r>
        <w:rPr>
          <w:rFonts w:hint="cs"/>
          <w:sz w:val="19"/>
          <w:szCs w:val="19"/>
          <w:rtl/>
        </w:rPr>
        <w:t xml:space="preserve"> </w:t>
      </w:r>
      <w:r w:rsidRPr="00B22BC8">
        <w:rPr>
          <w:sz w:val="19"/>
          <w:szCs w:val="19"/>
          <w:rtl/>
        </w:rPr>
        <w:t xml:space="preserve">מלהכין תוכנית לפינוי העיר </w:t>
      </w:r>
      <w:r w:rsidRPr="00B22BC8">
        <w:rPr>
          <w:b/>
          <w:bCs/>
          <w:sz w:val="19"/>
          <w:szCs w:val="19"/>
          <w:rtl/>
        </w:rPr>
        <w:t>קריית שמונה,</w:t>
      </w:r>
      <w:r w:rsidRPr="00B22BC8">
        <w:rPr>
          <w:sz w:val="19"/>
          <w:szCs w:val="19"/>
          <w:rtl/>
        </w:rPr>
        <w:t xml:space="preserve"> למרות ניסיון העבר, היעדר המיגון לתושבים והצפי לירי רציף לכיוונה - הימנעות שהביאה לכשל בפינוי העיר.</w:t>
      </w:r>
    </w:p>
    <w:p w:rsidR="00617CCD" w:rsidRPr="00A91FD5" w:rsidRDefault="00617CCD" w:rsidP="00617CCD">
      <w:pPr>
        <w:pStyle w:val="73"/>
        <w:numPr>
          <w:ilvl w:val="0"/>
          <w:numId w:val="25"/>
        </w:numPr>
        <w:spacing w:after="120"/>
        <w:rPr>
          <w:sz w:val="19"/>
          <w:szCs w:val="19"/>
        </w:rPr>
      </w:pPr>
      <w:r w:rsidRPr="00A91FD5">
        <w:rPr>
          <w:b/>
          <w:bCs/>
          <w:sz w:val="19"/>
          <w:szCs w:val="19"/>
          <w:rtl/>
        </w:rPr>
        <w:lastRenderedPageBreak/>
        <w:t>המענה הרשותי לתרחישי הייחוס ברשויות המקומיות שנבדקו בצפון הארץ</w:t>
      </w:r>
      <w:r w:rsidRPr="00A91FD5">
        <w:rPr>
          <w:rFonts w:hint="cs"/>
          <w:sz w:val="19"/>
          <w:szCs w:val="19"/>
          <w:rtl/>
        </w:rPr>
        <w:t xml:space="preserve"> </w:t>
      </w:r>
      <w:r w:rsidRPr="00A91FD5">
        <w:rPr>
          <w:sz w:val="19"/>
          <w:szCs w:val="19"/>
          <w:rtl/>
        </w:rPr>
        <w:t xml:space="preserve">- כל הרשויות המקומיות שנבדקו הכינו מענה לתרחישי הייחוס </w:t>
      </w:r>
      <w:r w:rsidRPr="00A91FD5">
        <w:rPr>
          <w:rFonts w:hint="cs"/>
          <w:sz w:val="19"/>
          <w:szCs w:val="19"/>
          <w:rtl/>
        </w:rPr>
        <w:t>שהציג</w:t>
      </w:r>
      <w:r w:rsidRPr="00A91FD5">
        <w:rPr>
          <w:sz w:val="19"/>
          <w:szCs w:val="19"/>
          <w:rtl/>
        </w:rPr>
        <w:t xml:space="preserve"> להם </w:t>
      </w:r>
      <w:r w:rsidRPr="00A91FD5">
        <w:rPr>
          <w:rFonts w:hint="cs"/>
          <w:sz w:val="19"/>
          <w:szCs w:val="19"/>
          <w:rtl/>
        </w:rPr>
        <w:t>צה"ל (</w:t>
      </w:r>
      <w:r w:rsidRPr="00A91FD5">
        <w:rPr>
          <w:sz w:val="19"/>
          <w:szCs w:val="19"/>
          <w:rtl/>
        </w:rPr>
        <w:t>פקע"ר</w:t>
      </w:r>
      <w:r w:rsidRPr="00A91FD5">
        <w:rPr>
          <w:rFonts w:hint="cs"/>
          <w:sz w:val="19"/>
          <w:szCs w:val="19"/>
          <w:rtl/>
        </w:rPr>
        <w:t>)</w:t>
      </w:r>
      <w:r w:rsidRPr="00A91FD5">
        <w:rPr>
          <w:sz w:val="19"/>
          <w:szCs w:val="19"/>
          <w:rtl/>
        </w:rPr>
        <w:t>, ובהם תרחיש למלחמה</w:t>
      </w:r>
      <w:r w:rsidRPr="00A91FD5">
        <w:rPr>
          <w:rFonts w:hint="cs"/>
          <w:sz w:val="19"/>
          <w:szCs w:val="19"/>
          <w:rtl/>
        </w:rPr>
        <w:t>, לרבות איומים שבעטיים</w:t>
      </w:r>
      <w:r>
        <w:rPr>
          <w:rFonts w:hint="cs"/>
          <w:sz w:val="19"/>
          <w:szCs w:val="19"/>
          <w:rtl/>
        </w:rPr>
        <w:t xml:space="preserve"> </w:t>
      </w:r>
      <w:r w:rsidRPr="00A91FD5">
        <w:rPr>
          <w:rFonts w:hint="cs"/>
          <w:sz w:val="19"/>
          <w:szCs w:val="19"/>
          <w:rtl/>
        </w:rPr>
        <w:t xml:space="preserve">יכול שיידרש </w:t>
      </w:r>
      <w:r w:rsidRPr="00A91FD5">
        <w:rPr>
          <w:sz w:val="19"/>
          <w:szCs w:val="19"/>
          <w:rtl/>
        </w:rPr>
        <w:t>פ</w:t>
      </w:r>
      <w:r w:rsidRPr="00A91FD5">
        <w:rPr>
          <w:rFonts w:hint="cs"/>
          <w:sz w:val="19"/>
          <w:szCs w:val="19"/>
          <w:rtl/>
        </w:rPr>
        <w:t>י</w:t>
      </w:r>
      <w:r w:rsidRPr="00A91FD5">
        <w:rPr>
          <w:sz w:val="19"/>
          <w:szCs w:val="19"/>
          <w:rtl/>
        </w:rPr>
        <w:t>נו</w:t>
      </w:r>
      <w:r w:rsidRPr="00A91FD5">
        <w:rPr>
          <w:rFonts w:hint="cs"/>
          <w:sz w:val="19"/>
          <w:szCs w:val="19"/>
          <w:rtl/>
        </w:rPr>
        <w:t>י</w:t>
      </w:r>
      <w:r w:rsidRPr="00A91FD5">
        <w:rPr>
          <w:sz w:val="19"/>
          <w:szCs w:val="19"/>
          <w:rtl/>
        </w:rPr>
        <w:t xml:space="preserve"> האוכלוסייה מחוץ לתחומן. תרחיש הייחוס </w:t>
      </w:r>
      <w:r w:rsidRPr="00A91FD5">
        <w:rPr>
          <w:rFonts w:hint="cs"/>
          <w:sz w:val="19"/>
          <w:szCs w:val="19"/>
          <w:rtl/>
        </w:rPr>
        <w:t>למלחמה</w:t>
      </w:r>
      <w:r w:rsidRPr="00A91FD5">
        <w:rPr>
          <w:sz w:val="19"/>
          <w:szCs w:val="19"/>
          <w:rtl/>
        </w:rPr>
        <w:t xml:space="preserve"> לעיריית </w:t>
      </w:r>
      <w:r w:rsidRPr="00A91FD5">
        <w:rPr>
          <w:b/>
          <w:bCs/>
          <w:sz w:val="19"/>
          <w:szCs w:val="19"/>
          <w:rtl/>
        </w:rPr>
        <w:t>קריית שמונה</w:t>
      </w:r>
      <w:r w:rsidRPr="00A91FD5">
        <w:rPr>
          <w:sz w:val="19"/>
          <w:szCs w:val="19"/>
          <w:rtl/>
        </w:rPr>
        <w:t xml:space="preserve"> לא </w:t>
      </w:r>
      <w:r w:rsidRPr="00A91FD5">
        <w:rPr>
          <w:rFonts w:hint="eastAsia"/>
          <w:sz w:val="19"/>
          <w:szCs w:val="19"/>
          <w:rtl/>
        </w:rPr>
        <w:t>דרש</w:t>
      </w:r>
      <w:r w:rsidRPr="00A91FD5">
        <w:rPr>
          <w:sz w:val="19"/>
          <w:szCs w:val="19"/>
          <w:rtl/>
        </w:rPr>
        <w:t xml:space="preserve"> </w:t>
      </w:r>
      <w:r w:rsidRPr="00A91FD5">
        <w:rPr>
          <w:rFonts w:hint="eastAsia"/>
          <w:sz w:val="19"/>
          <w:szCs w:val="19"/>
          <w:rtl/>
        </w:rPr>
        <w:t>כמענה</w:t>
      </w:r>
      <w:r w:rsidRPr="00A91FD5">
        <w:rPr>
          <w:sz w:val="19"/>
          <w:szCs w:val="19"/>
          <w:rtl/>
        </w:rPr>
        <w:t xml:space="preserve"> פינוי אוכלוסיית העיר אל מחוץ לתחומה, ולכן העירייה לא הכינה מענה מתאים לפינוי התושבים מחוץ לתחומה. </w:t>
      </w:r>
      <w:r w:rsidRPr="00A91FD5">
        <w:rPr>
          <w:rFonts w:hint="cs"/>
          <w:sz w:val="19"/>
          <w:szCs w:val="19"/>
          <w:rtl/>
        </w:rPr>
        <w:t>ב</w:t>
      </w:r>
      <w:r w:rsidRPr="00A91FD5">
        <w:rPr>
          <w:sz w:val="19"/>
          <w:szCs w:val="19"/>
          <w:rtl/>
        </w:rPr>
        <w:t xml:space="preserve">שבע הרשויות המקומיות </w:t>
      </w:r>
      <w:r w:rsidRPr="00A91FD5">
        <w:rPr>
          <w:rFonts w:hint="cs"/>
          <w:sz w:val="19"/>
          <w:szCs w:val="19"/>
          <w:rtl/>
        </w:rPr>
        <w:t xml:space="preserve">האחרות </w:t>
      </w:r>
      <w:r w:rsidRPr="00A91FD5">
        <w:rPr>
          <w:sz w:val="19"/>
          <w:szCs w:val="19"/>
          <w:rtl/>
        </w:rPr>
        <w:t>שנבדקו</w:t>
      </w:r>
      <w:r w:rsidRPr="00A91FD5">
        <w:rPr>
          <w:rFonts w:hint="cs"/>
          <w:sz w:val="19"/>
          <w:szCs w:val="19"/>
          <w:rtl/>
        </w:rPr>
        <w:t xml:space="preserve"> </w:t>
      </w:r>
      <w:r w:rsidRPr="00A91FD5">
        <w:rPr>
          <w:sz w:val="19"/>
          <w:szCs w:val="19"/>
          <w:rtl/>
        </w:rPr>
        <w:t xml:space="preserve">(המועצות המקומיות </w:t>
      </w:r>
      <w:r w:rsidRPr="00A91FD5">
        <w:rPr>
          <w:b/>
          <w:bCs/>
          <w:sz w:val="19"/>
          <w:szCs w:val="19"/>
          <w:rtl/>
        </w:rPr>
        <w:t xml:space="preserve">מטולה </w:t>
      </w:r>
      <w:r w:rsidRPr="00A91FD5">
        <w:rPr>
          <w:sz w:val="19"/>
          <w:szCs w:val="19"/>
          <w:rtl/>
        </w:rPr>
        <w:t>ו</w:t>
      </w:r>
      <w:r w:rsidRPr="00A91FD5">
        <w:rPr>
          <w:b/>
          <w:bCs/>
          <w:sz w:val="19"/>
          <w:szCs w:val="19"/>
          <w:rtl/>
        </w:rPr>
        <w:t>שלומי</w:t>
      </w:r>
      <w:r w:rsidRPr="00A91FD5">
        <w:rPr>
          <w:sz w:val="19"/>
          <w:szCs w:val="19"/>
          <w:rtl/>
        </w:rPr>
        <w:t xml:space="preserve"> והמועצות האזוריות </w:t>
      </w:r>
      <w:r w:rsidRPr="00A91FD5">
        <w:rPr>
          <w:b/>
          <w:bCs/>
          <w:sz w:val="19"/>
          <w:szCs w:val="19"/>
          <w:rtl/>
        </w:rPr>
        <w:t>הגליל העליון</w:t>
      </w:r>
      <w:r w:rsidRPr="00A91FD5">
        <w:rPr>
          <w:sz w:val="19"/>
          <w:szCs w:val="19"/>
          <w:rtl/>
        </w:rPr>
        <w:t xml:space="preserve">, </w:t>
      </w:r>
      <w:r w:rsidRPr="00A91FD5">
        <w:rPr>
          <w:b/>
          <w:bCs/>
          <w:sz w:val="19"/>
          <w:szCs w:val="19"/>
          <w:rtl/>
        </w:rPr>
        <w:t>מבואות החרמון</w:t>
      </w:r>
      <w:r w:rsidRPr="00A91FD5">
        <w:rPr>
          <w:sz w:val="19"/>
          <w:szCs w:val="19"/>
          <w:rtl/>
        </w:rPr>
        <w:t xml:space="preserve">, </w:t>
      </w:r>
      <w:r w:rsidRPr="00A91FD5">
        <w:rPr>
          <w:b/>
          <w:bCs/>
          <w:sz w:val="19"/>
          <w:szCs w:val="19"/>
          <w:rtl/>
        </w:rPr>
        <w:t>מטה אשר</w:t>
      </w:r>
      <w:r w:rsidRPr="00A91FD5">
        <w:rPr>
          <w:sz w:val="19"/>
          <w:szCs w:val="19"/>
          <w:rtl/>
        </w:rPr>
        <w:t xml:space="preserve">, </w:t>
      </w:r>
      <w:r w:rsidRPr="00A91FD5">
        <w:rPr>
          <w:b/>
          <w:bCs/>
          <w:sz w:val="19"/>
          <w:szCs w:val="19"/>
          <w:rtl/>
        </w:rPr>
        <w:t>מעלה יוסף</w:t>
      </w:r>
      <w:r w:rsidRPr="00A91FD5">
        <w:rPr>
          <w:sz w:val="19"/>
          <w:szCs w:val="19"/>
          <w:rtl/>
        </w:rPr>
        <w:t xml:space="preserve"> ו</w:t>
      </w:r>
      <w:r w:rsidRPr="00A91FD5">
        <w:rPr>
          <w:b/>
          <w:bCs/>
          <w:sz w:val="19"/>
          <w:szCs w:val="19"/>
          <w:rtl/>
        </w:rPr>
        <w:t>מרום הגליל</w:t>
      </w:r>
      <w:r w:rsidRPr="00A91FD5">
        <w:rPr>
          <w:sz w:val="19"/>
          <w:szCs w:val="19"/>
          <w:rtl/>
        </w:rPr>
        <w:t xml:space="preserve">) </w:t>
      </w:r>
      <w:bookmarkStart w:id="2" w:name="_Hlk219368528"/>
      <w:r w:rsidRPr="00A91FD5">
        <w:rPr>
          <w:rFonts w:hint="cs"/>
          <w:sz w:val="19"/>
          <w:szCs w:val="19"/>
          <w:rtl/>
        </w:rPr>
        <w:t>הרשויות</w:t>
      </w:r>
      <w:r w:rsidRPr="00A91FD5">
        <w:rPr>
          <w:sz w:val="19"/>
          <w:szCs w:val="19"/>
          <w:rtl/>
        </w:rPr>
        <w:t xml:space="preserve"> המקומיות </w:t>
      </w:r>
      <w:r w:rsidRPr="00A91FD5">
        <w:rPr>
          <w:rFonts w:hint="eastAsia"/>
          <w:sz w:val="19"/>
          <w:szCs w:val="19"/>
          <w:rtl/>
        </w:rPr>
        <w:t>שנבדקו</w:t>
      </w:r>
      <w:r w:rsidRPr="00A91FD5">
        <w:rPr>
          <w:rFonts w:hint="cs"/>
          <w:b/>
          <w:bCs/>
          <w:sz w:val="19"/>
          <w:szCs w:val="19"/>
          <w:rtl/>
        </w:rPr>
        <w:t xml:space="preserve"> </w:t>
      </w:r>
      <w:bookmarkEnd w:id="2"/>
      <w:r w:rsidRPr="00A91FD5">
        <w:rPr>
          <w:sz w:val="19"/>
          <w:szCs w:val="19"/>
          <w:rtl/>
        </w:rPr>
        <w:t>הכינו נהלים או תוכנית לפינוי אשר הגדירו את תפקידי הרשות המקומית בעת הפינוי ואת האוכלוסייה המיועדת לפינוי על פי תוכנית "מרחק בטוח".</w:t>
      </w:r>
      <w:r w:rsidRPr="00A91FD5">
        <w:rPr>
          <w:rFonts w:hint="cs"/>
          <w:sz w:val="19"/>
          <w:szCs w:val="19"/>
          <w:rtl/>
        </w:rPr>
        <w:t xml:space="preserve"> עם זאת, בחינת הנהלים מעלה כי רק המועצה האזורית </w:t>
      </w:r>
      <w:r w:rsidRPr="00A91FD5">
        <w:rPr>
          <w:rFonts w:hint="cs"/>
          <w:b/>
          <w:bCs/>
          <w:sz w:val="19"/>
          <w:szCs w:val="19"/>
          <w:rtl/>
        </w:rPr>
        <w:t>מרום הגליל</w:t>
      </w:r>
      <w:r w:rsidRPr="00A91FD5">
        <w:rPr>
          <w:rFonts w:hint="cs"/>
          <w:sz w:val="19"/>
          <w:szCs w:val="19"/>
          <w:rtl/>
        </w:rPr>
        <w:t xml:space="preserve"> הגדירה את אופן הפעולה של המועצה ביעדי הקליטה ואת קשר הגומלין שלה עם הרשות הקולטת, ואילו יתר הרשויות המקומיות שנבדקו - המועצות המקומיות </w:t>
      </w:r>
      <w:r w:rsidRPr="00A91FD5">
        <w:rPr>
          <w:rFonts w:hint="cs"/>
          <w:b/>
          <w:bCs/>
          <w:sz w:val="19"/>
          <w:szCs w:val="19"/>
          <w:rtl/>
        </w:rPr>
        <w:t>מטולה</w:t>
      </w:r>
      <w:r w:rsidRPr="00A91FD5">
        <w:rPr>
          <w:rFonts w:hint="cs"/>
          <w:sz w:val="19"/>
          <w:szCs w:val="19"/>
          <w:rtl/>
        </w:rPr>
        <w:t xml:space="preserve"> ו</w:t>
      </w:r>
      <w:r w:rsidRPr="00A91FD5">
        <w:rPr>
          <w:rFonts w:hint="cs"/>
          <w:b/>
          <w:bCs/>
          <w:sz w:val="19"/>
          <w:szCs w:val="19"/>
          <w:rtl/>
        </w:rPr>
        <w:t xml:space="preserve">שלומי </w:t>
      </w:r>
      <w:r w:rsidRPr="00A91FD5">
        <w:rPr>
          <w:rFonts w:hint="cs"/>
          <w:sz w:val="19"/>
          <w:szCs w:val="19"/>
          <w:rtl/>
        </w:rPr>
        <w:t xml:space="preserve">והמועצות האזוריות </w:t>
      </w:r>
      <w:r w:rsidRPr="00A91FD5">
        <w:rPr>
          <w:rFonts w:hint="cs"/>
          <w:b/>
          <w:bCs/>
          <w:sz w:val="19"/>
          <w:szCs w:val="19"/>
          <w:rtl/>
        </w:rPr>
        <w:t>הגליל העליון</w:t>
      </w:r>
      <w:r w:rsidRPr="00A91FD5">
        <w:rPr>
          <w:rFonts w:hint="cs"/>
          <w:sz w:val="19"/>
          <w:szCs w:val="19"/>
          <w:rtl/>
        </w:rPr>
        <w:t xml:space="preserve">, </w:t>
      </w:r>
      <w:r w:rsidRPr="00A91FD5">
        <w:rPr>
          <w:rFonts w:hint="cs"/>
          <w:b/>
          <w:bCs/>
          <w:sz w:val="19"/>
          <w:szCs w:val="19"/>
          <w:rtl/>
        </w:rPr>
        <w:t>מבואות החרמון</w:t>
      </w:r>
      <w:r w:rsidRPr="00A91FD5">
        <w:rPr>
          <w:rFonts w:hint="cs"/>
          <w:sz w:val="19"/>
          <w:szCs w:val="19"/>
          <w:rtl/>
        </w:rPr>
        <w:t xml:space="preserve">, </w:t>
      </w:r>
      <w:r w:rsidRPr="00A91FD5">
        <w:rPr>
          <w:rFonts w:hint="cs"/>
          <w:b/>
          <w:bCs/>
          <w:sz w:val="19"/>
          <w:szCs w:val="19"/>
          <w:rtl/>
        </w:rPr>
        <w:t>מטה אשר</w:t>
      </w:r>
      <w:r w:rsidRPr="00A91FD5">
        <w:rPr>
          <w:rFonts w:hint="cs"/>
          <w:sz w:val="19"/>
          <w:szCs w:val="19"/>
          <w:rtl/>
        </w:rPr>
        <w:t xml:space="preserve"> ו</w:t>
      </w:r>
      <w:r w:rsidRPr="00A91FD5">
        <w:rPr>
          <w:rFonts w:hint="cs"/>
          <w:b/>
          <w:bCs/>
          <w:sz w:val="19"/>
          <w:szCs w:val="19"/>
          <w:rtl/>
        </w:rPr>
        <w:t xml:space="preserve">מעלה יוסף </w:t>
      </w:r>
      <w:r w:rsidRPr="00A91FD5">
        <w:rPr>
          <w:rFonts w:hint="cs"/>
          <w:sz w:val="19"/>
          <w:szCs w:val="19"/>
          <w:rtl/>
        </w:rPr>
        <w:t>לא פירטו בנהליהן את אופן פעולתן ביעדי הקליטה</w:t>
      </w:r>
      <w:r w:rsidRPr="00D421B5">
        <w:rPr>
          <w:rFonts w:hint="cs"/>
          <w:rtl/>
        </w:rPr>
        <w:t>.</w:t>
      </w:r>
      <w:r w:rsidRPr="00D421B5" w:rsidDel="00D421B5">
        <w:rPr>
          <w:rStyle w:val="af7"/>
          <w:rtl/>
        </w:rPr>
        <w:t xml:space="preserve"> </w:t>
      </w:r>
    </w:p>
    <w:p w:rsidR="00617CCD" w:rsidRDefault="00617CCD" w:rsidP="00617CCD">
      <w:pPr>
        <w:pStyle w:val="73"/>
        <w:numPr>
          <w:ilvl w:val="0"/>
          <w:numId w:val="25"/>
        </w:numPr>
        <w:spacing w:after="120"/>
        <w:rPr>
          <w:b/>
          <w:bCs/>
        </w:rPr>
      </w:pPr>
      <w:r w:rsidRPr="00810996">
        <w:rPr>
          <w:b/>
          <w:bCs/>
          <w:sz w:val="19"/>
          <w:szCs w:val="19"/>
          <w:rtl/>
        </w:rPr>
        <w:t>היערכות כוח האדם לפינוי אוכלוסייה בשעת חירום</w:t>
      </w:r>
      <w:r>
        <w:rPr>
          <w:rFonts w:cs="Arial" w:hint="cs"/>
          <w:b/>
          <w:bCs/>
          <w:rtl/>
        </w:rPr>
        <w:t xml:space="preserve"> </w:t>
      </w:r>
      <w:r w:rsidRPr="009E4323">
        <w:rPr>
          <w:rFonts w:cs="Arial"/>
          <w:rtl/>
        </w:rPr>
        <w:t>-</w:t>
      </w:r>
      <w:r w:rsidRPr="005D252D">
        <w:rPr>
          <w:sz w:val="19"/>
          <w:szCs w:val="19"/>
          <w:rtl/>
        </w:rPr>
        <w:t xml:space="preserve"> המועצ</w:t>
      </w:r>
      <w:r>
        <w:rPr>
          <w:rFonts w:hint="cs"/>
          <w:sz w:val="19"/>
          <w:szCs w:val="19"/>
          <w:rtl/>
        </w:rPr>
        <w:t xml:space="preserve">ה </w:t>
      </w:r>
      <w:r w:rsidRPr="005D252D">
        <w:rPr>
          <w:sz w:val="19"/>
          <w:szCs w:val="19"/>
          <w:rtl/>
        </w:rPr>
        <w:t xml:space="preserve">המקומית </w:t>
      </w:r>
      <w:r w:rsidRPr="005D252D">
        <w:rPr>
          <w:b/>
          <w:bCs/>
          <w:sz w:val="19"/>
          <w:szCs w:val="19"/>
          <w:rtl/>
        </w:rPr>
        <w:t>שלומי</w:t>
      </w:r>
      <w:r w:rsidRPr="005D252D">
        <w:rPr>
          <w:sz w:val="19"/>
          <w:szCs w:val="19"/>
          <w:rtl/>
        </w:rPr>
        <w:t xml:space="preserve"> והמועצות האזוריות </w:t>
      </w:r>
      <w:r w:rsidRPr="00781B0F">
        <w:rPr>
          <w:b/>
          <w:bCs/>
          <w:sz w:val="19"/>
          <w:szCs w:val="19"/>
          <w:rtl/>
        </w:rPr>
        <w:t>הגליל העליון</w:t>
      </w:r>
      <w:r w:rsidRPr="00781B0F">
        <w:rPr>
          <w:sz w:val="19"/>
          <w:szCs w:val="19"/>
          <w:rtl/>
        </w:rPr>
        <w:t>,</w:t>
      </w:r>
      <w:r w:rsidRPr="00781B0F">
        <w:rPr>
          <w:b/>
          <w:bCs/>
          <w:sz w:val="19"/>
          <w:szCs w:val="19"/>
          <w:rtl/>
        </w:rPr>
        <w:t xml:space="preserve"> מבואות החרמון</w:t>
      </w:r>
      <w:r w:rsidRPr="00781B0F">
        <w:rPr>
          <w:sz w:val="19"/>
          <w:szCs w:val="19"/>
          <w:rtl/>
        </w:rPr>
        <w:t xml:space="preserve">, </w:t>
      </w:r>
      <w:r w:rsidRPr="00781B0F">
        <w:rPr>
          <w:b/>
          <w:bCs/>
          <w:sz w:val="19"/>
          <w:szCs w:val="19"/>
          <w:rtl/>
        </w:rPr>
        <w:t>מטה אשר</w:t>
      </w:r>
      <w:r w:rsidRPr="00781B0F">
        <w:rPr>
          <w:sz w:val="19"/>
          <w:szCs w:val="19"/>
          <w:rtl/>
        </w:rPr>
        <w:t>,</w:t>
      </w:r>
      <w:r w:rsidRPr="00781B0F">
        <w:rPr>
          <w:b/>
          <w:bCs/>
          <w:sz w:val="19"/>
          <w:szCs w:val="19"/>
          <w:rtl/>
        </w:rPr>
        <w:t xml:space="preserve"> מעלה יוסף ומרום הגליל</w:t>
      </w:r>
      <w:r>
        <w:rPr>
          <w:rFonts w:hint="cs"/>
          <w:b/>
          <w:bCs/>
          <w:rtl/>
        </w:rPr>
        <w:t xml:space="preserve"> </w:t>
      </w:r>
      <w:r w:rsidRPr="005D3A95">
        <w:rPr>
          <w:sz w:val="19"/>
          <w:szCs w:val="19"/>
          <w:rtl/>
        </w:rPr>
        <w:t>הגדירו בנהלים את הגורמים האחראים לטיפול בהליך הפינוי מטעם הרשות המקומית ואת האחראים מטעמן על הטיפול במפונים וקיימו הכשרות. עם זאת, ההכשרות לא היו במתכונת אחידה</w:t>
      </w:r>
      <w:r>
        <w:rPr>
          <w:rFonts w:hint="cs"/>
          <w:sz w:val="19"/>
          <w:szCs w:val="19"/>
          <w:rtl/>
        </w:rPr>
        <w:t>,</w:t>
      </w:r>
      <w:r w:rsidRPr="005D3A95">
        <w:rPr>
          <w:sz w:val="19"/>
          <w:szCs w:val="19"/>
          <w:rtl/>
        </w:rPr>
        <w:t xml:space="preserve"> ולא כללו בהכרח את כל בעלי התפקידים בהליך הפינוי. </w:t>
      </w:r>
      <w:r>
        <w:rPr>
          <w:rFonts w:hint="cs"/>
          <w:sz w:val="19"/>
          <w:szCs w:val="19"/>
          <w:rtl/>
        </w:rPr>
        <w:t xml:space="preserve">כאמור, </w:t>
      </w:r>
      <w:r w:rsidRPr="005D3A95">
        <w:rPr>
          <w:sz w:val="19"/>
          <w:szCs w:val="19"/>
          <w:rtl/>
        </w:rPr>
        <w:t xml:space="preserve">עיריית </w:t>
      </w:r>
      <w:r w:rsidRPr="005D3A95">
        <w:rPr>
          <w:b/>
          <w:bCs/>
          <w:sz w:val="19"/>
          <w:szCs w:val="19"/>
          <w:rtl/>
        </w:rPr>
        <w:t>קריית שמונה</w:t>
      </w:r>
      <w:r w:rsidRPr="005D3A95">
        <w:rPr>
          <w:sz w:val="19"/>
          <w:szCs w:val="19"/>
          <w:rtl/>
        </w:rPr>
        <w:t xml:space="preserve"> לא נכללה בתוכנית "מרחק בטוח", ועל כן לא קבעה את הגורמים האחראים לניהול הפינוי מטעמה, וממילא לא קיימה הכשרות לכך.</w:t>
      </w:r>
    </w:p>
    <w:p w:rsidR="00617CCD" w:rsidRPr="00D51255" w:rsidRDefault="00617CCD" w:rsidP="00617CCD">
      <w:pPr>
        <w:pStyle w:val="73"/>
        <w:numPr>
          <w:ilvl w:val="0"/>
          <w:numId w:val="25"/>
        </w:numPr>
        <w:spacing w:after="120"/>
        <w:rPr>
          <w:b/>
          <w:bCs/>
        </w:rPr>
      </w:pPr>
      <w:r w:rsidRPr="005D252D">
        <w:rPr>
          <w:b/>
          <w:bCs/>
          <w:sz w:val="19"/>
          <w:szCs w:val="19"/>
          <w:rtl/>
        </w:rPr>
        <w:t>מאגרי מידע ברשו</w:t>
      </w:r>
      <w:r>
        <w:rPr>
          <w:rFonts w:hint="cs"/>
          <w:b/>
          <w:bCs/>
          <w:sz w:val="19"/>
          <w:szCs w:val="19"/>
          <w:rtl/>
        </w:rPr>
        <w:t>יו</w:t>
      </w:r>
      <w:r w:rsidRPr="005D252D">
        <w:rPr>
          <w:b/>
          <w:bCs/>
          <w:sz w:val="19"/>
          <w:szCs w:val="19"/>
          <w:rtl/>
        </w:rPr>
        <w:t>ת המקומי</w:t>
      </w:r>
      <w:r>
        <w:rPr>
          <w:rFonts w:hint="cs"/>
          <w:b/>
          <w:bCs/>
          <w:sz w:val="19"/>
          <w:szCs w:val="19"/>
          <w:rtl/>
        </w:rPr>
        <w:t>ו</w:t>
      </w:r>
      <w:r w:rsidRPr="005D252D">
        <w:rPr>
          <w:b/>
          <w:bCs/>
          <w:sz w:val="19"/>
          <w:szCs w:val="19"/>
          <w:rtl/>
        </w:rPr>
        <w:t>ת לשעת חירום</w:t>
      </w:r>
      <w:r w:rsidRPr="005D252D">
        <w:rPr>
          <w:rFonts w:hint="cs"/>
          <w:b/>
          <w:bCs/>
          <w:sz w:val="19"/>
          <w:szCs w:val="19"/>
          <w:rtl/>
        </w:rPr>
        <w:t xml:space="preserve"> </w:t>
      </w:r>
      <w:r w:rsidRPr="009E4323">
        <w:rPr>
          <w:sz w:val="19"/>
          <w:szCs w:val="19"/>
          <w:rtl/>
        </w:rPr>
        <w:t>-</w:t>
      </w:r>
      <w:r w:rsidRPr="005D252D">
        <w:rPr>
          <w:rFonts w:hint="cs"/>
          <w:b/>
          <w:bCs/>
          <w:sz w:val="19"/>
          <w:szCs w:val="19"/>
          <w:rtl/>
        </w:rPr>
        <w:t xml:space="preserve"> </w:t>
      </w:r>
      <w:r w:rsidRPr="005D252D">
        <w:rPr>
          <w:sz w:val="19"/>
          <w:szCs w:val="19"/>
          <w:rtl/>
        </w:rPr>
        <w:t xml:space="preserve">מאגרי הנתונים שהכינו הרשויות המקומיות המפונות שנבדקו - עיריית </w:t>
      </w:r>
      <w:r w:rsidRPr="005D3A95">
        <w:rPr>
          <w:b/>
          <w:bCs/>
          <w:sz w:val="19"/>
          <w:szCs w:val="19"/>
          <w:rtl/>
        </w:rPr>
        <w:t>קריית שמונה</w:t>
      </w:r>
      <w:r w:rsidRPr="005D3A95">
        <w:rPr>
          <w:sz w:val="19"/>
          <w:szCs w:val="19"/>
          <w:rtl/>
        </w:rPr>
        <w:t xml:space="preserve">, המועצות המקומיות </w:t>
      </w:r>
      <w:r w:rsidRPr="005D3A95">
        <w:rPr>
          <w:b/>
          <w:bCs/>
          <w:sz w:val="19"/>
          <w:szCs w:val="19"/>
          <w:rtl/>
        </w:rPr>
        <w:t>מטולה</w:t>
      </w:r>
      <w:r w:rsidRPr="005D3A95">
        <w:rPr>
          <w:sz w:val="19"/>
          <w:szCs w:val="19"/>
          <w:rtl/>
        </w:rPr>
        <w:t xml:space="preserve"> ו</w:t>
      </w:r>
      <w:r w:rsidRPr="005D3A95">
        <w:rPr>
          <w:b/>
          <w:bCs/>
          <w:sz w:val="19"/>
          <w:szCs w:val="19"/>
          <w:rtl/>
        </w:rPr>
        <w:t>שלומי</w:t>
      </w:r>
      <w:r w:rsidRPr="005D3A95">
        <w:rPr>
          <w:sz w:val="19"/>
          <w:szCs w:val="19"/>
          <w:rtl/>
        </w:rPr>
        <w:t xml:space="preserve"> והמועצות האזוריות </w:t>
      </w:r>
      <w:r w:rsidRPr="005D3A95">
        <w:rPr>
          <w:b/>
          <w:bCs/>
          <w:sz w:val="19"/>
          <w:szCs w:val="19"/>
          <w:rtl/>
        </w:rPr>
        <w:t>הגליל העליון</w:t>
      </w:r>
      <w:r w:rsidRPr="005D3A95">
        <w:rPr>
          <w:sz w:val="19"/>
          <w:szCs w:val="19"/>
          <w:rtl/>
        </w:rPr>
        <w:t xml:space="preserve">, </w:t>
      </w:r>
      <w:r w:rsidRPr="005D3A95">
        <w:rPr>
          <w:b/>
          <w:bCs/>
          <w:sz w:val="19"/>
          <w:szCs w:val="19"/>
          <w:rtl/>
        </w:rPr>
        <w:t>מבואות החרמון</w:t>
      </w:r>
      <w:r w:rsidRPr="005D252D">
        <w:rPr>
          <w:sz w:val="19"/>
          <w:szCs w:val="19"/>
          <w:rtl/>
        </w:rPr>
        <w:t xml:space="preserve">, </w:t>
      </w:r>
      <w:r w:rsidRPr="005D252D">
        <w:rPr>
          <w:b/>
          <w:bCs/>
          <w:sz w:val="19"/>
          <w:szCs w:val="19"/>
          <w:rtl/>
        </w:rPr>
        <w:t>מטה</w:t>
      </w:r>
      <w:r w:rsidRPr="005D252D">
        <w:rPr>
          <w:sz w:val="19"/>
          <w:szCs w:val="19"/>
          <w:rtl/>
        </w:rPr>
        <w:t xml:space="preserve"> </w:t>
      </w:r>
      <w:r w:rsidRPr="005D252D">
        <w:rPr>
          <w:b/>
          <w:bCs/>
          <w:sz w:val="19"/>
          <w:szCs w:val="19"/>
          <w:rtl/>
        </w:rPr>
        <w:t>אשר</w:t>
      </w:r>
      <w:r w:rsidRPr="005D252D">
        <w:rPr>
          <w:sz w:val="19"/>
          <w:szCs w:val="19"/>
          <w:rtl/>
        </w:rPr>
        <w:t xml:space="preserve">, </w:t>
      </w:r>
      <w:r w:rsidRPr="005D252D">
        <w:rPr>
          <w:b/>
          <w:bCs/>
          <w:sz w:val="19"/>
          <w:szCs w:val="19"/>
          <w:rtl/>
        </w:rPr>
        <w:t>מעלה יוסף</w:t>
      </w:r>
      <w:r w:rsidRPr="005D252D">
        <w:rPr>
          <w:sz w:val="19"/>
          <w:szCs w:val="19"/>
          <w:rtl/>
        </w:rPr>
        <w:t xml:space="preserve"> ו</w:t>
      </w:r>
      <w:r w:rsidRPr="005D252D">
        <w:rPr>
          <w:b/>
          <w:bCs/>
          <w:sz w:val="19"/>
          <w:szCs w:val="19"/>
          <w:rtl/>
        </w:rPr>
        <w:t xml:space="preserve">מרום הגליל </w:t>
      </w:r>
      <w:r w:rsidRPr="005D252D">
        <w:rPr>
          <w:sz w:val="19"/>
          <w:szCs w:val="19"/>
          <w:rtl/>
        </w:rPr>
        <w:t>- מבוססים בעיקר על אוכלוסיות נזקקות המקבלות שירותי רווחה</w:t>
      </w:r>
      <w:r w:rsidRPr="000411B7">
        <w:rPr>
          <w:sz w:val="19"/>
          <w:szCs w:val="19"/>
          <w:rtl/>
        </w:rPr>
        <w:t xml:space="preserve">. </w:t>
      </w:r>
      <w:r>
        <w:rPr>
          <w:rFonts w:hint="cs"/>
          <w:sz w:val="19"/>
          <w:szCs w:val="19"/>
          <w:rtl/>
        </w:rPr>
        <w:t xml:space="preserve">ואולם </w:t>
      </w:r>
      <w:r w:rsidRPr="000411B7">
        <w:rPr>
          <w:sz w:val="19"/>
          <w:szCs w:val="19"/>
          <w:rtl/>
        </w:rPr>
        <w:t>מאגרי</w:t>
      </w:r>
      <w:r>
        <w:rPr>
          <w:rFonts w:hint="cs"/>
          <w:sz w:val="19"/>
          <w:szCs w:val="19"/>
          <w:rtl/>
        </w:rPr>
        <w:t>ם אלה</w:t>
      </w:r>
      <w:r w:rsidRPr="000411B7">
        <w:rPr>
          <w:sz w:val="19"/>
          <w:szCs w:val="19"/>
          <w:rtl/>
        </w:rPr>
        <w:t xml:space="preserve"> </w:t>
      </w:r>
      <w:r w:rsidRPr="00D51255">
        <w:rPr>
          <w:sz w:val="19"/>
          <w:szCs w:val="19"/>
          <w:rtl/>
        </w:rPr>
        <w:t xml:space="preserve">לא כללו נתוני אוכלוסיות אחרות </w:t>
      </w:r>
      <w:r w:rsidRPr="00D51255">
        <w:rPr>
          <w:rFonts w:hint="eastAsia"/>
          <w:sz w:val="19"/>
          <w:szCs w:val="19"/>
          <w:rtl/>
        </w:rPr>
        <w:t>ה</w:t>
      </w:r>
      <w:r w:rsidRPr="00D51255">
        <w:rPr>
          <w:sz w:val="19"/>
          <w:szCs w:val="19"/>
          <w:rtl/>
        </w:rPr>
        <w:t>עשויות להזדקק לסיוע מיוחד</w:t>
      </w:r>
      <w:r>
        <w:rPr>
          <w:rFonts w:hint="cs"/>
          <w:sz w:val="19"/>
          <w:szCs w:val="19"/>
          <w:rtl/>
        </w:rPr>
        <w:t xml:space="preserve"> כגון עולים חדשים.</w:t>
      </w:r>
    </w:p>
    <w:p w:rsidR="00617CCD" w:rsidRDefault="00617CCD" w:rsidP="00617CCD">
      <w:pPr>
        <w:pStyle w:val="73"/>
        <w:numPr>
          <w:ilvl w:val="0"/>
          <w:numId w:val="25"/>
        </w:numPr>
        <w:spacing w:after="120"/>
        <w:rPr>
          <w:b/>
          <w:bCs/>
        </w:rPr>
      </w:pPr>
      <w:r w:rsidRPr="00D51255">
        <w:rPr>
          <w:b/>
          <w:bCs/>
          <w:sz w:val="19"/>
          <w:szCs w:val="19"/>
          <w:rtl/>
        </w:rPr>
        <w:t>תרגילים לפינוי אוכלוסייה</w:t>
      </w:r>
      <w:r w:rsidRPr="00D51255">
        <w:rPr>
          <w:rFonts w:hint="cs"/>
          <w:sz w:val="19"/>
          <w:szCs w:val="19"/>
          <w:rtl/>
        </w:rPr>
        <w:t xml:space="preserve"> - </w:t>
      </w:r>
      <w:r w:rsidRPr="00D51255">
        <w:rPr>
          <w:sz w:val="19"/>
          <w:szCs w:val="19"/>
          <w:rtl/>
        </w:rPr>
        <w:t>למרות סמיכותן של הרשויות המקומיות שנבדקו לגבול הצפון, ואף על פי ש</w:t>
      </w:r>
      <w:r w:rsidRPr="00D51255">
        <w:rPr>
          <w:rFonts w:hint="cs"/>
          <w:sz w:val="19"/>
          <w:szCs w:val="19"/>
          <w:rtl/>
        </w:rPr>
        <w:t>המענים ל</w:t>
      </w:r>
      <w:r w:rsidRPr="00D51255">
        <w:rPr>
          <w:sz w:val="19"/>
          <w:szCs w:val="19"/>
          <w:rtl/>
        </w:rPr>
        <w:t xml:space="preserve">תרחישי הייחוס (למעט זה של </w:t>
      </w:r>
      <w:r w:rsidRPr="00D51255">
        <w:rPr>
          <w:b/>
          <w:bCs/>
          <w:sz w:val="19"/>
          <w:szCs w:val="19"/>
          <w:rtl/>
        </w:rPr>
        <w:t>קריית שמונה</w:t>
      </w:r>
      <w:r w:rsidRPr="00D51255">
        <w:rPr>
          <w:sz w:val="19"/>
          <w:szCs w:val="19"/>
          <w:rtl/>
        </w:rPr>
        <w:t xml:space="preserve">) התייחסו גם לאפשרות של פינוי אוכלוסייה אל מחוץ ליישוב, התרגול של הפינוי בפועל במועצות האזוריות </w:t>
      </w:r>
      <w:r w:rsidRPr="00D51255">
        <w:rPr>
          <w:b/>
          <w:bCs/>
          <w:sz w:val="19"/>
          <w:szCs w:val="19"/>
          <w:rtl/>
        </w:rPr>
        <w:t>הגליל העליון</w:t>
      </w:r>
      <w:r w:rsidRPr="00D51255">
        <w:rPr>
          <w:sz w:val="19"/>
          <w:szCs w:val="19"/>
          <w:rtl/>
        </w:rPr>
        <w:t xml:space="preserve"> ו</w:t>
      </w:r>
      <w:r w:rsidRPr="00D51255">
        <w:rPr>
          <w:b/>
          <w:bCs/>
          <w:sz w:val="19"/>
          <w:szCs w:val="19"/>
          <w:rtl/>
        </w:rPr>
        <w:t>מבואות החרמון</w:t>
      </w:r>
      <w:r w:rsidRPr="00D51255">
        <w:rPr>
          <w:sz w:val="19"/>
          <w:szCs w:val="19"/>
          <w:rtl/>
        </w:rPr>
        <w:t xml:space="preserve"> היה חלקי בלבד ולא הקיף את כלל התושבים או היישובים ; התרג</w:t>
      </w:r>
      <w:r w:rsidRPr="00D51255">
        <w:rPr>
          <w:rFonts w:hint="cs"/>
          <w:sz w:val="19"/>
          <w:szCs w:val="19"/>
          <w:rtl/>
        </w:rPr>
        <w:t>ו</w:t>
      </w:r>
      <w:r w:rsidRPr="00D51255">
        <w:rPr>
          <w:sz w:val="19"/>
          <w:szCs w:val="19"/>
          <w:rtl/>
        </w:rPr>
        <w:t xml:space="preserve">ל </w:t>
      </w:r>
      <w:r>
        <w:rPr>
          <w:rFonts w:hint="cs"/>
          <w:b/>
          <w:bCs/>
          <w:sz w:val="19"/>
          <w:szCs w:val="19"/>
          <w:rtl/>
        </w:rPr>
        <w:t>במ</w:t>
      </w:r>
      <w:r w:rsidRPr="00D51255">
        <w:rPr>
          <w:b/>
          <w:bCs/>
          <w:sz w:val="19"/>
          <w:szCs w:val="19"/>
          <w:rtl/>
        </w:rPr>
        <w:t>טולה</w:t>
      </w:r>
      <w:r w:rsidRPr="00D51255">
        <w:rPr>
          <w:sz w:val="19"/>
          <w:szCs w:val="19"/>
          <w:rtl/>
        </w:rPr>
        <w:t xml:space="preserve">, </w:t>
      </w:r>
      <w:r w:rsidRPr="00D51255">
        <w:rPr>
          <w:b/>
          <w:bCs/>
          <w:sz w:val="19"/>
          <w:szCs w:val="19"/>
          <w:rtl/>
        </w:rPr>
        <w:t>מטה אשר</w:t>
      </w:r>
      <w:r w:rsidRPr="00D51255">
        <w:rPr>
          <w:sz w:val="19"/>
          <w:szCs w:val="19"/>
          <w:rtl/>
        </w:rPr>
        <w:t xml:space="preserve"> ו</w:t>
      </w:r>
      <w:r w:rsidRPr="00D51255">
        <w:rPr>
          <w:b/>
          <w:bCs/>
          <w:sz w:val="19"/>
          <w:szCs w:val="19"/>
          <w:rtl/>
        </w:rPr>
        <w:t>מרום הגליל</w:t>
      </w:r>
      <w:r w:rsidRPr="00D51255">
        <w:rPr>
          <w:sz w:val="19"/>
          <w:szCs w:val="19"/>
          <w:rtl/>
        </w:rPr>
        <w:t xml:space="preserve"> לא כלל פינוי בפועל, אלא רק תרגול של שלבי הפינוי</w:t>
      </w:r>
      <w:r>
        <w:rPr>
          <w:rFonts w:hint="cs"/>
          <w:sz w:val="19"/>
          <w:szCs w:val="19"/>
          <w:rtl/>
        </w:rPr>
        <w:t>;</w:t>
      </w:r>
      <w:r w:rsidRPr="00D51255">
        <w:rPr>
          <w:b/>
          <w:bCs/>
          <w:sz w:val="19"/>
          <w:szCs w:val="19"/>
          <w:rtl/>
        </w:rPr>
        <w:t xml:space="preserve"> </w:t>
      </w:r>
      <w:r>
        <w:rPr>
          <w:rFonts w:hint="cs"/>
          <w:sz w:val="19"/>
          <w:szCs w:val="19"/>
          <w:rtl/>
        </w:rPr>
        <w:t xml:space="preserve">התרגול </w:t>
      </w:r>
      <w:r>
        <w:rPr>
          <w:rFonts w:hint="cs"/>
          <w:b/>
          <w:bCs/>
          <w:sz w:val="19"/>
          <w:szCs w:val="19"/>
          <w:rtl/>
        </w:rPr>
        <w:t>ב</w:t>
      </w:r>
      <w:r w:rsidRPr="00D51255">
        <w:rPr>
          <w:b/>
          <w:bCs/>
          <w:sz w:val="19"/>
          <w:szCs w:val="19"/>
          <w:rtl/>
        </w:rPr>
        <w:t xml:space="preserve">שלומי </w:t>
      </w:r>
      <w:r w:rsidRPr="00DC41FA">
        <w:rPr>
          <w:sz w:val="19"/>
          <w:szCs w:val="19"/>
          <w:rtl/>
        </w:rPr>
        <w:t>ו</w:t>
      </w:r>
      <w:r>
        <w:rPr>
          <w:rFonts w:hint="cs"/>
          <w:b/>
          <w:bCs/>
          <w:sz w:val="19"/>
          <w:szCs w:val="19"/>
          <w:rtl/>
        </w:rPr>
        <w:t>ב</w:t>
      </w:r>
      <w:r w:rsidRPr="00D51255">
        <w:rPr>
          <w:b/>
          <w:bCs/>
          <w:sz w:val="19"/>
          <w:szCs w:val="19"/>
          <w:rtl/>
        </w:rPr>
        <w:t>קריית שמונה</w:t>
      </w:r>
      <w:r w:rsidRPr="00D51255" w:rsidDel="00B22BC8">
        <w:rPr>
          <w:sz w:val="19"/>
          <w:szCs w:val="19"/>
          <w:rtl/>
        </w:rPr>
        <w:t xml:space="preserve"> </w:t>
      </w:r>
      <w:r w:rsidRPr="00D51255">
        <w:rPr>
          <w:sz w:val="19"/>
          <w:szCs w:val="19"/>
          <w:rtl/>
        </w:rPr>
        <w:t>התייחס רק לאוכלוסיות מסוימות</w:t>
      </w:r>
      <w:r w:rsidRPr="00D51255">
        <w:rPr>
          <w:rFonts w:hint="cs"/>
          <w:sz w:val="19"/>
          <w:szCs w:val="19"/>
          <w:rtl/>
        </w:rPr>
        <w:t xml:space="preserve"> כגון </w:t>
      </w:r>
      <w:r>
        <w:rPr>
          <w:rFonts w:hint="cs"/>
          <w:sz w:val="19"/>
          <w:szCs w:val="19"/>
          <w:rtl/>
        </w:rPr>
        <w:t>אוכלוסיות עם</w:t>
      </w:r>
      <w:r w:rsidRPr="00D51255">
        <w:rPr>
          <w:rFonts w:hint="cs"/>
          <w:sz w:val="19"/>
          <w:szCs w:val="19"/>
          <w:rtl/>
        </w:rPr>
        <w:t xml:space="preserve"> צרכים מיוחדים ותלמידים</w:t>
      </w:r>
      <w:r>
        <w:rPr>
          <w:rFonts w:hint="cs"/>
          <w:sz w:val="19"/>
          <w:szCs w:val="19"/>
          <w:rtl/>
        </w:rPr>
        <w:t xml:space="preserve">. </w:t>
      </w:r>
      <w:r w:rsidRPr="00D51255">
        <w:rPr>
          <w:rFonts w:hint="cs"/>
          <w:sz w:val="19"/>
          <w:szCs w:val="19"/>
          <w:rtl/>
        </w:rPr>
        <w:t xml:space="preserve">יש </w:t>
      </w:r>
      <w:r w:rsidRPr="00D51255">
        <w:rPr>
          <w:sz w:val="19"/>
          <w:szCs w:val="19"/>
          <w:rtl/>
        </w:rPr>
        <w:t xml:space="preserve">לציין שאף שהתרגילים </w:t>
      </w:r>
      <w:r w:rsidRPr="00D51255">
        <w:rPr>
          <w:rFonts w:hint="cs"/>
          <w:sz w:val="19"/>
          <w:szCs w:val="19"/>
          <w:rtl/>
        </w:rPr>
        <w:t xml:space="preserve">שבוצעו </w:t>
      </w:r>
      <w:r w:rsidRPr="00D51255">
        <w:rPr>
          <w:sz w:val="19"/>
          <w:szCs w:val="19"/>
          <w:rtl/>
        </w:rPr>
        <w:t xml:space="preserve">לא דימו את המציאות שנוצרה </w:t>
      </w:r>
      <w:r w:rsidRPr="00D51255">
        <w:rPr>
          <w:rFonts w:hint="cs"/>
          <w:sz w:val="19"/>
          <w:szCs w:val="19"/>
          <w:rtl/>
        </w:rPr>
        <w:t xml:space="preserve">בצפון </w:t>
      </w:r>
      <w:r w:rsidRPr="00D51255">
        <w:rPr>
          <w:sz w:val="19"/>
          <w:szCs w:val="19"/>
          <w:rtl/>
        </w:rPr>
        <w:t>בעקבות מלחמת חרבות ברזל, התרגול סייע לרשויות להתמודד עם המציאות שנכפתה</w:t>
      </w:r>
      <w:r w:rsidRPr="00D51255">
        <w:rPr>
          <w:rFonts w:hint="cs"/>
          <w:sz w:val="19"/>
          <w:szCs w:val="19"/>
          <w:rtl/>
        </w:rPr>
        <w:t>.</w:t>
      </w:r>
    </w:p>
    <w:p w:rsidR="00284534" w:rsidRPr="00A91FD5" w:rsidRDefault="00284534" w:rsidP="00284534">
      <w:pPr>
        <w:pStyle w:val="73"/>
        <w:spacing w:after="120"/>
        <w:rPr>
          <w:b/>
          <w:bCs/>
        </w:rPr>
      </w:pPr>
    </w:p>
    <w:p w:rsidR="00AE4BB7" w:rsidRPr="000B463F" w:rsidRDefault="00AE4BB7" w:rsidP="00EE67C7">
      <w:pPr>
        <w:spacing w:before="240" w:after="160"/>
      </w:pPr>
      <w:r>
        <w:rPr>
          <w:noProof/>
        </w:rPr>
        <w:lastRenderedPageBreak/>
        <w:drawing>
          <wp:inline distT="0" distB="0" distL="0" distR="0" wp14:anchorId="1B6E1B24" wp14:editId="6A13F14B">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617CCD" w:rsidRPr="00617CCD" w:rsidRDefault="00617CCD" w:rsidP="00617CCD">
      <w:pPr>
        <w:pStyle w:val="73"/>
        <w:rPr>
          <w:rFonts w:eastAsia="Calibri"/>
          <w:sz w:val="19"/>
          <w:szCs w:val="19"/>
          <w:rtl/>
        </w:rPr>
      </w:pPr>
      <w:r w:rsidRPr="00617CCD">
        <w:rPr>
          <w:rFonts w:eastAsia="Calibri"/>
          <w:b/>
          <w:bCs/>
          <w:sz w:val="19"/>
          <w:szCs w:val="19"/>
          <w:rtl/>
        </w:rPr>
        <w:t xml:space="preserve">תיק חירום רשותי </w:t>
      </w:r>
      <w:r w:rsidRPr="00617CCD">
        <w:rPr>
          <w:rFonts w:eastAsia="Calibri" w:hint="cs"/>
          <w:sz w:val="19"/>
          <w:szCs w:val="19"/>
          <w:rtl/>
        </w:rPr>
        <w:t xml:space="preserve">- </w:t>
      </w:r>
      <w:r w:rsidRPr="00617CCD">
        <w:rPr>
          <w:rFonts w:eastAsia="Calibri"/>
          <w:sz w:val="19"/>
          <w:szCs w:val="19"/>
          <w:rtl/>
        </w:rPr>
        <w:t xml:space="preserve">לשמונת הרשויות </w:t>
      </w:r>
      <w:r w:rsidRPr="00617CCD">
        <w:rPr>
          <w:sz w:val="19"/>
          <w:szCs w:val="19"/>
          <w:rtl/>
        </w:rPr>
        <w:t>המקומיות</w:t>
      </w:r>
      <w:r w:rsidRPr="00617CCD">
        <w:rPr>
          <w:rFonts w:eastAsia="Calibri"/>
          <w:sz w:val="19"/>
          <w:szCs w:val="19"/>
          <w:rtl/>
        </w:rPr>
        <w:t xml:space="preserve"> שנבדקו - עיריית </w:t>
      </w:r>
      <w:r w:rsidRPr="00617CCD">
        <w:rPr>
          <w:rFonts w:eastAsia="Calibri"/>
          <w:b/>
          <w:bCs/>
          <w:sz w:val="19"/>
          <w:szCs w:val="19"/>
          <w:rtl/>
        </w:rPr>
        <w:t>קריית שמונה</w:t>
      </w:r>
      <w:r w:rsidRPr="00617CCD">
        <w:rPr>
          <w:rFonts w:eastAsia="Calibri"/>
          <w:sz w:val="19"/>
          <w:szCs w:val="19"/>
          <w:rtl/>
        </w:rPr>
        <w:t xml:space="preserve">, המועצות המקומיות </w:t>
      </w:r>
      <w:r w:rsidRPr="00617CCD">
        <w:rPr>
          <w:rFonts w:eastAsia="Calibri"/>
          <w:b/>
          <w:bCs/>
          <w:sz w:val="19"/>
          <w:szCs w:val="19"/>
          <w:rtl/>
        </w:rPr>
        <w:t>מטולה</w:t>
      </w:r>
      <w:r w:rsidRPr="00617CCD">
        <w:rPr>
          <w:rFonts w:eastAsia="Calibri"/>
          <w:sz w:val="19"/>
          <w:szCs w:val="19"/>
          <w:rtl/>
        </w:rPr>
        <w:t xml:space="preserve"> ו</w:t>
      </w:r>
      <w:r w:rsidRPr="00617CCD">
        <w:rPr>
          <w:rFonts w:eastAsia="Calibri"/>
          <w:b/>
          <w:bCs/>
          <w:sz w:val="19"/>
          <w:szCs w:val="19"/>
          <w:rtl/>
        </w:rPr>
        <w:t>שלומי</w:t>
      </w:r>
      <w:r w:rsidRPr="00617CCD">
        <w:rPr>
          <w:rFonts w:eastAsia="Calibri"/>
          <w:sz w:val="19"/>
          <w:szCs w:val="19"/>
          <w:rtl/>
        </w:rPr>
        <w:t xml:space="preserve"> והמועצות האזוריות </w:t>
      </w:r>
      <w:r w:rsidRPr="00617CCD">
        <w:rPr>
          <w:rFonts w:eastAsia="Calibri"/>
          <w:b/>
          <w:bCs/>
          <w:sz w:val="19"/>
          <w:szCs w:val="19"/>
          <w:rtl/>
        </w:rPr>
        <w:t>הגליל העליון</w:t>
      </w:r>
      <w:r w:rsidRPr="00617CCD">
        <w:rPr>
          <w:rFonts w:eastAsia="Calibri"/>
          <w:sz w:val="19"/>
          <w:szCs w:val="19"/>
          <w:rtl/>
        </w:rPr>
        <w:t xml:space="preserve">, </w:t>
      </w:r>
      <w:r w:rsidRPr="00617CCD">
        <w:rPr>
          <w:rFonts w:eastAsia="Calibri"/>
          <w:b/>
          <w:bCs/>
          <w:sz w:val="19"/>
          <w:szCs w:val="19"/>
          <w:rtl/>
        </w:rPr>
        <w:t>מבואות החרמון</w:t>
      </w:r>
      <w:r w:rsidRPr="00617CCD">
        <w:rPr>
          <w:rFonts w:eastAsia="Calibri"/>
          <w:sz w:val="19"/>
          <w:szCs w:val="19"/>
          <w:rtl/>
        </w:rPr>
        <w:t xml:space="preserve">, </w:t>
      </w:r>
      <w:r w:rsidRPr="00617CCD">
        <w:rPr>
          <w:rFonts w:eastAsia="Calibri"/>
          <w:b/>
          <w:bCs/>
          <w:sz w:val="19"/>
          <w:szCs w:val="19"/>
          <w:rtl/>
        </w:rPr>
        <w:t>מטה אשר</w:t>
      </w:r>
      <w:r w:rsidRPr="00617CCD">
        <w:rPr>
          <w:rFonts w:eastAsia="Calibri"/>
          <w:sz w:val="19"/>
          <w:szCs w:val="19"/>
          <w:rtl/>
        </w:rPr>
        <w:t xml:space="preserve">, </w:t>
      </w:r>
      <w:r w:rsidRPr="00617CCD">
        <w:rPr>
          <w:rFonts w:eastAsia="Calibri"/>
          <w:b/>
          <w:bCs/>
          <w:sz w:val="19"/>
          <w:szCs w:val="19"/>
          <w:rtl/>
        </w:rPr>
        <w:t>מעלה יוסף</w:t>
      </w:r>
      <w:r w:rsidRPr="00617CCD">
        <w:rPr>
          <w:rFonts w:eastAsia="Calibri"/>
          <w:sz w:val="19"/>
          <w:szCs w:val="19"/>
          <w:rtl/>
        </w:rPr>
        <w:t xml:space="preserve"> ו</w:t>
      </w:r>
      <w:r w:rsidRPr="00617CCD">
        <w:rPr>
          <w:rFonts w:eastAsia="Calibri"/>
          <w:b/>
          <w:bCs/>
          <w:sz w:val="19"/>
          <w:szCs w:val="19"/>
          <w:rtl/>
        </w:rPr>
        <w:t xml:space="preserve">מרום הגליל </w:t>
      </w:r>
      <w:r w:rsidRPr="00617CCD">
        <w:rPr>
          <w:rFonts w:eastAsia="Calibri"/>
          <w:sz w:val="19"/>
          <w:szCs w:val="19"/>
          <w:rtl/>
        </w:rPr>
        <w:t>- היה קודם לפרוץ המלחמה תיק חירום רשותי הכולל תוכניות ונהלים לפעילות מכלול האוכלוסייה בשעת חירום</w:t>
      </w:r>
      <w:r w:rsidRPr="00617CCD">
        <w:rPr>
          <w:rFonts w:eastAsia="Calibri" w:hint="cs"/>
          <w:sz w:val="19"/>
          <w:szCs w:val="19"/>
          <w:rtl/>
        </w:rPr>
        <w:t>.</w:t>
      </w:r>
    </w:p>
    <w:tbl>
      <w:tblPr>
        <w:tblStyle w:val="af4"/>
        <w:tblpPr w:leftFromText="180" w:rightFromText="180" w:vertAnchor="text" w:tblpXSpec="center" w:tblpY="1"/>
        <w:tblOverlap w:val="never"/>
        <w:bidiVisual/>
        <w:tblW w:w="9074" w:type="dxa"/>
        <w:tblLayout w:type="fixed"/>
        <w:tblLook w:val="04A0" w:firstRow="1" w:lastRow="0" w:firstColumn="1" w:lastColumn="0" w:noHBand="0" w:noVBand="1"/>
      </w:tblPr>
      <w:tblGrid>
        <w:gridCol w:w="9074"/>
      </w:tblGrid>
      <w:tr w:rsidR="00AE4BB7" w:rsidTr="009E37AC">
        <w:trPr>
          <w:trHeight w:val="851"/>
        </w:trPr>
        <w:tc>
          <w:tcPr>
            <w:tcW w:w="9074" w:type="dxa"/>
            <w:tcBorders>
              <w:top w:val="nil"/>
              <w:left w:val="nil"/>
              <w:bottom w:val="nil"/>
              <w:right w:val="nil"/>
            </w:tcBorders>
          </w:tcPr>
          <w:p w:rsidR="00AE4BB7" w:rsidRPr="00F66FC8" w:rsidRDefault="00AE4BB7" w:rsidP="009E37AC">
            <w:pPr>
              <w:spacing w:before="240" w:after="180" w:line="288" w:lineRule="auto"/>
              <w:rPr>
                <w:rFonts w:ascii="Tahoma" w:hAnsi="Tahoma" w:cs="Tahoma"/>
                <w:sz w:val="19"/>
                <w:szCs w:val="19"/>
                <w:rtl/>
              </w:rPr>
            </w:pPr>
            <w:r w:rsidRPr="00F66FC8">
              <w:rPr>
                <w:rFonts w:ascii="Tahoma" w:hAnsi="Tahoma" w:cs="Tahoma"/>
                <w:noProof/>
                <w:sz w:val="19"/>
                <w:szCs w:val="19"/>
                <w:rtl/>
              </w:rPr>
              <w:drawing>
                <wp:inline distT="0" distB="0" distL="0" distR="0" wp14:anchorId="1A1CB373" wp14:editId="5A1CF727">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R="00AE4BB7" w:rsidTr="009E37AC">
        <w:trPr>
          <w:trHeight w:val="2156"/>
        </w:trPr>
        <w:tc>
          <w:tcPr>
            <w:tcW w:w="9074" w:type="dxa"/>
            <w:tcBorders>
              <w:top w:val="nil"/>
              <w:left w:val="nil"/>
              <w:bottom w:val="nil"/>
              <w:right w:val="nil"/>
            </w:tcBorders>
            <w:shd w:val="clear" w:color="auto" w:fill="F1F5F9"/>
          </w:tcPr>
          <w:p w:rsidR="00617CCD" w:rsidRPr="00B233C2" w:rsidRDefault="00617CCD" w:rsidP="00617CCD">
            <w:pPr>
              <w:pStyle w:val="af2"/>
              <w:numPr>
                <w:ilvl w:val="0"/>
                <w:numId w:val="12"/>
              </w:numPr>
              <w:spacing w:before="120" w:after="240" w:line="288" w:lineRule="auto"/>
              <w:ind w:left="516" w:right="176" w:hanging="516"/>
              <w:contextualSpacing w:val="0"/>
              <w:rPr>
                <w:rFonts w:ascii="Tahoma" w:hAnsi="Tahoma" w:cs="Tahoma"/>
                <w:sz w:val="19"/>
                <w:szCs w:val="19"/>
              </w:rPr>
            </w:pPr>
            <w:r w:rsidRPr="00B233C2">
              <w:rPr>
                <w:rFonts w:ascii="Tahoma" w:hAnsi="Tahoma" w:cs="Tahoma"/>
                <w:sz w:val="19"/>
                <w:szCs w:val="19"/>
                <w:rtl/>
              </w:rPr>
              <w:t>על צה"ל לבחון הצורך לעדכן את תרחישי הייחוס המלחמתיים של הרשויות המקומיות בצפון הארץ הסמוכות לגבול הצפון ולהתאימם לאיומים הצפויים על סמך לקחי מלחמת חרבות ברזל. בהמשך לכך וכן על סמך תרחישי ייחוס לאירועי חירום שאינם מלחמתיים על רח"ל וצה"ל לבחון הצורך בעדכון התוכניות למוכנות לאומית לפינוי וקליטת אוכלוסייה. כמו כן רח"ל להעביר את התוכניות לאישור הממשלה.</w:t>
            </w:r>
          </w:p>
          <w:p w:rsidR="00617CCD" w:rsidRPr="00B233C2" w:rsidRDefault="00617CCD" w:rsidP="00617CCD">
            <w:pPr>
              <w:pStyle w:val="af2"/>
              <w:numPr>
                <w:ilvl w:val="0"/>
                <w:numId w:val="12"/>
              </w:numPr>
              <w:spacing w:after="240" w:line="288" w:lineRule="auto"/>
              <w:ind w:left="516" w:right="176" w:hanging="516"/>
              <w:contextualSpacing w:val="0"/>
              <w:rPr>
                <w:rFonts w:ascii="Tahoma" w:hAnsi="Tahoma" w:cs="Tahoma"/>
                <w:sz w:val="19"/>
                <w:szCs w:val="19"/>
              </w:rPr>
            </w:pPr>
            <w:r w:rsidRPr="00B233C2">
              <w:rPr>
                <w:rFonts w:ascii="Tahoma" w:hAnsi="Tahoma" w:cs="Tahoma"/>
                <w:sz w:val="19"/>
                <w:szCs w:val="19"/>
                <w:rtl/>
              </w:rPr>
              <w:t xml:space="preserve">על בסיס לקחי מלחמת חרבות ברזל על הרשויות המקומיות שהמענה שלהן לתרחישי הייחוס שנקבעו עבורן כולל פינוי בתחום הרשות בלבד, כדוגמת </w:t>
            </w:r>
            <w:r w:rsidRPr="00B233C2">
              <w:rPr>
                <w:rFonts w:ascii="Tahoma" w:hAnsi="Tahoma" w:cs="Tahoma"/>
                <w:b/>
                <w:bCs/>
                <w:sz w:val="19"/>
                <w:szCs w:val="19"/>
                <w:rtl/>
              </w:rPr>
              <w:t>קריית שמונה</w:t>
            </w:r>
            <w:r w:rsidRPr="00B233C2">
              <w:rPr>
                <w:rFonts w:ascii="Tahoma" w:hAnsi="Tahoma" w:cs="Tahoma"/>
                <w:sz w:val="19"/>
                <w:szCs w:val="19"/>
                <w:rtl/>
              </w:rPr>
              <w:t>, להתאים את נוהלי הפינוי שלהן גם לפינוי אל מחוץ לתחום הרשות למקרה של התרחשות אירוע חירום בלתי צפוי שיחייב זאת.</w:t>
            </w:r>
          </w:p>
          <w:p w:rsidR="00617CCD" w:rsidRPr="00B233C2" w:rsidRDefault="00617CCD" w:rsidP="00617CCD">
            <w:pPr>
              <w:pStyle w:val="af2"/>
              <w:numPr>
                <w:ilvl w:val="0"/>
                <w:numId w:val="12"/>
              </w:numPr>
              <w:spacing w:after="240" w:line="288" w:lineRule="auto"/>
              <w:ind w:left="516" w:right="176" w:hanging="516"/>
              <w:contextualSpacing w:val="0"/>
              <w:rPr>
                <w:rFonts w:ascii="Tahoma" w:hAnsi="Tahoma" w:cs="Tahoma"/>
                <w:sz w:val="19"/>
                <w:szCs w:val="19"/>
              </w:rPr>
            </w:pPr>
            <w:r w:rsidRPr="00B233C2">
              <w:rPr>
                <w:rFonts w:ascii="Tahoma" w:hAnsi="Tahoma" w:cs="Tahoma"/>
                <w:sz w:val="19"/>
                <w:szCs w:val="19"/>
                <w:rtl/>
              </w:rPr>
              <w:t>על הרשויות המקומיות לעדכן את תוכניות המענים שלהן בהתאם לתרחישי הייחוס העדכניים, ולכלול בהן נהלים מפורטים ואת תוכניות הערכות לפינוי בצורה מפורטת ולוודא שהן מנוסחות באופן שאינו מותיר שאלות או ספקות ולאשרן מול צה"ל.</w:t>
            </w:r>
          </w:p>
          <w:p w:rsidR="00617CCD" w:rsidRPr="00B233C2" w:rsidRDefault="00617CCD" w:rsidP="00617CCD">
            <w:pPr>
              <w:pStyle w:val="af2"/>
              <w:numPr>
                <w:ilvl w:val="0"/>
                <w:numId w:val="12"/>
              </w:numPr>
              <w:spacing w:after="360" w:line="288" w:lineRule="auto"/>
              <w:ind w:left="516" w:right="176" w:hanging="516"/>
              <w:contextualSpacing w:val="0"/>
              <w:rPr>
                <w:rFonts w:ascii="Tahoma" w:hAnsi="Tahoma" w:cs="Tahoma"/>
                <w:sz w:val="19"/>
                <w:szCs w:val="19"/>
              </w:rPr>
            </w:pPr>
            <w:r w:rsidRPr="00B233C2">
              <w:rPr>
                <w:rFonts w:ascii="Tahoma" w:hAnsi="Tahoma" w:cs="Tahoma"/>
                <w:sz w:val="19"/>
                <w:szCs w:val="19"/>
                <w:rtl/>
              </w:rPr>
              <w:t>על משרד הפנים ופקע"ר לסייע לרשויות המקומיות ולוודא כי עומד לרשותן מערך כוח אדם מותאם למשימת הפינוי לצד מערך הכשרה ותרגול של כוח האדם כדי להבטיח עמידתו במשימה.</w:t>
            </w:r>
          </w:p>
          <w:p w:rsidR="00617CCD" w:rsidRPr="00B233C2" w:rsidRDefault="00617CCD" w:rsidP="00617CCD">
            <w:pPr>
              <w:pStyle w:val="af2"/>
              <w:numPr>
                <w:ilvl w:val="0"/>
                <w:numId w:val="12"/>
              </w:numPr>
              <w:spacing w:after="240" w:line="288" w:lineRule="auto"/>
              <w:ind w:left="516" w:right="176" w:hanging="516"/>
              <w:contextualSpacing w:val="0"/>
              <w:rPr>
                <w:rFonts w:ascii="Tahoma" w:hAnsi="Tahoma" w:cs="Tahoma"/>
                <w:sz w:val="19"/>
                <w:szCs w:val="19"/>
              </w:rPr>
            </w:pPr>
            <w:r w:rsidRPr="00B233C2">
              <w:rPr>
                <w:rFonts w:ascii="Tahoma" w:hAnsi="Tahoma" w:cs="Tahoma"/>
                <w:sz w:val="19"/>
                <w:szCs w:val="19"/>
                <w:rtl/>
              </w:rPr>
              <w:t>מומלץ כי פקע"ר יגדיר מתכונת אחידה ומחייבת להכשרת כוח האדם הייעודי למצבי חירום בכלל, ולאלו המיועדים להליך הפינוי בפרט ולשקול גיבוש מפתח של יחס תושבים לבעל תפקיד העוסק בפינוי בעת חירום.</w:t>
            </w:r>
          </w:p>
          <w:p w:rsidR="00617CCD" w:rsidRPr="00B233C2" w:rsidRDefault="00617CCD" w:rsidP="00617CCD">
            <w:pPr>
              <w:pStyle w:val="af2"/>
              <w:numPr>
                <w:ilvl w:val="0"/>
                <w:numId w:val="12"/>
              </w:numPr>
              <w:spacing w:after="240" w:line="288" w:lineRule="auto"/>
              <w:ind w:left="516" w:right="176" w:hanging="516"/>
              <w:contextualSpacing w:val="0"/>
              <w:rPr>
                <w:rFonts w:ascii="Tahoma" w:hAnsi="Tahoma" w:cs="Tahoma"/>
                <w:sz w:val="19"/>
                <w:szCs w:val="19"/>
              </w:rPr>
            </w:pPr>
            <w:r w:rsidRPr="00B233C2">
              <w:rPr>
                <w:rFonts w:ascii="Tahoma" w:hAnsi="Tahoma" w:cs="Tahoma"/>
                <w:sz w:val="19"/>
                <w:szCs w:val="19"/>
                <w:rtl/>
              </w:rPr>
              <w:t xml:space="preserve">כחלק מהפקת הלקחים ממלחמת חרבות ברזל, על משרד הפנים בשיתוף פקע"ר לסייע לרשויות המקומיות ולהנחותן בגיבוש ובניהול </w:t>
            </w:r>
            <w:r w:rsidR="00284534">
              <w:rPr>
                <w:rFonts w:ascii="Tahoma" w:hAnsi="Tahoma" w:cs="Tahoma" w:hint="cs"/>
                <w:sz w:val="19"/>
                <w:szCs w:val="19"/>
                <w:rtl/>
              </w:rPr>
              <w:t xml:space="preserve">של </w:t>
            </w:r>
            <w:r w:rsidRPr="00B233C2">
              <w:rPr>
                <w:rFonts w:ascii="Tahoma" w:hAnsi="Tahoma" w:cs="Tahoma"/>
                <w:sz w:val="19"/>
                <w:szCs w:val="19"/>
                <w:rtl/>
              </w:rPr>
              <w:t>מאגר נתונים ייעודי לשעת חירום לגבי תושביהן. מאגר זה יאפשר, בין היתר, הן לרשות מקומית מפונה והן לרשות מקומית קולטת וכן לגורמי השלטון המרכזי</w:t>
            </w:r>
            <w:r w:rsidR="00284534">
              <w:rPr>
                <w:rFonts w:ascii="Tahoma" w:hAnsi="Tahoma" w:cs="Tahoma"/>
                <w:sz w:val="19"/>
                <w:szCs w:val="19"/>
                <w:rtl/>
              </w:rPr>
              <w:br/>
            </w:r>
            <w:r w:rsidR="00284534">
              <w:rPr>
                <w:rFonts w:ascii="Tahoma" w:hAnsi="Tahoma" w:cs="Tahoma"/>
                <w:sz w:val="19"/>
                <w:szCs w:val="19"/>
                <w:rtl/>
              </w:rPr>
              <w:br/>
            </w:r>
            <w:r w:rsidR="00284534">
              <w:rPr>
                <w:rFonts w:ascii="Tahoma" w:hAnsi="Tahoma" w:cs="Tahoma"/>
                <w:sz w:val="19"/>
                <w:szCs w:val="19"/>
                <w:rtl/>
              </w:rPr>
              <w:lastRenderedPageBreak/>
              <w:br/>
            </w:r>
            <w:r w:rsidRPr="00B233C2">
              <w:rPr>
                <w:rFonts w:ascii="Tahoma" w:hAnsi="Tahoma" w:cs="Tahoma"/>
                <w:sz w:val="19"/>
                <w:szCs w:val="19"/>
                <w:rtl/>
              </w:rPr>
              <w:t xml:space="preserve">לקבל מידע נגיש וחיוני לצורך טיפול בתושבי הרשות המקומית המפונה. היערכות מבעוד מועד כאמור נדרשת גם משום שלפי חוק הגנת הפרטיות יש לרשום מאגרי מידע כאמור, והליך הרישום דורש זמן. </w:t>
            </w:r>
          </w:p>
          <w:p w:rsidR="00AE4BB7" w:rsidRPr="00B233C2" w:rsidRDefault="00617CCD" w:rsidP="00B233C2">
            <w:pPr>
              <w:pStyle w:val="af2"/>
              <w:numPr>
                <w:ilvl w:val="0"/>
                <w:numId w:val="12"/>
              </w:numPr>
              <w:spacing w:after="240" w:line="288" w:lineRule="auto"/>
              <w:ind w:left="516" w:right="176" w:hanging="516"/>
              <w:contextualSpacing w:val="0"/>
              <w:rPr>
                <w:rFonts w:ascii="Tahoma" w:hAnsi="Tahoma" w:cs="Tahoma"/>
                <w:rtl/>
              </w:rPr>
            </w:pPr>
            <w:r w:rsidRPr="00B233C2">
              <w:rPr>
                <w:rFonts w:ascii="Tahoma" w:hAnsi="Tahoma" w:cs="Tahoma"/>
                <w:sz w:val="19"/>
                <w:szCs w:val="19"/>
                <w:rtl/>
              </w:rPr>
              <w:t xml:space="preserve">נוכח הפערים שהועלו בביקורת בנושא קיום תרגילים לפינוי אוכלוסייה, על הרשויות המקומיות ליזום תרגילים לפינוי אוכלוסייה שיקיפו גם את הליך הפינוי אל מחוץ לתחומי היישוב, בין בשל אירוע מלחמה ובין בשל אירוע חירום אזרחי. על פקע"ר לפעול בשיתוף משרד הפנים בקרב רשויות מקומיות כדי לוודא כי הן מקיימות את התרגילים לפינוי בהיקפים הנדרשים ובתדירות המתאימה, כנדרש לצורך מוכנותן לסוגי האיומים הספציפיים </w:t>
            </w:r>
            <w:r w:rsidR="00B233C2" w:rsidRPr="00B233C2">
              <w:rPr>
                <w:rFonts w:ascii="Tahoma" w:hAnsi="Tahoma" w:cs="Tahoma"/>
                <w:sz w:val="19"/>
                <w:szCs w:val="19"/>
                <w:rtl/>
              </w:rPr>
              <w:t xml:space="preserve">שעימם </w:t>
            </w:r>
            <w:r w:rsidRPr="00B233C2">
              <w:rPr>
                <w:rFonts w:ascii="Tahoma" w:hAnsi="Tahoma" w:cs="Tahoma"/>
                <w:sz w:val="19"/>
                <w:szCs w:val="19"/>
                <w:rtl/>
              </w:rPr>
              <w:t>הם מתמודדים.</w:t>
            </w:r>
          </w:p>
        </w:tc>
      </w:tr>
    </w:tbl>
    <w:p w:rsidR="002E5BF1" w:rsidRDefault="002E5BF1" w:rsidP="00AE4BB7">
      <w:pPr>
        <w:bidi w:val="0"/>
        <w:spacing w:after="160" w:line="259" w:lineRule="auto"/>
        <w:ind w:left="-1"/>
        <w:jc w:val="left"/>
        <w:rPr>
          <w:sz w:val="2"/>
          <w:szCs w:val="2"/>
          <w:rtl/>
        </w:rPr>
      </w:pPr>
      <w:r w:rsidRPr="00B96AE5">
        <w:rPr>
          <w:noProof/>
          <w:sz w:val="10"/>
          <w:szCs w:val="10"/>
          <w:rtl/>
        </w:rPr>
        <w:lastRenderedPageBreak/>
        <w:drawing>
          <wp:anchor distT="0" distB="0" distL="114300" distR="114300" simplePos="0" relativeHeight="251658239" behindDoc="1" locked="0" layoutInCell="1" allowOverlap="1" wp14:anchorId="24426BBC" wp14:editId="232BD999">
            <wp:simplePos x="0" y="0"/>
            <wp:positionH relativeFrom="column">
              <wp:posOffset>-125730</wp:posOffset>
            </wp:positionH>
            <wp:positionV relativeFrom="paragraph">
              <wp:posOffset>1828800</wp:posOffset>
            </wp:positionV>
            <wp:extent cx="6015355" cy="685800"/>
            <wp:effectExtent l="0" t="0" r="4445" b="0"/>
            <wp:wrapNone/>
            <wp:docPr id="1451066646"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15355" cy="685800"/>
                    </a:xfrm>
                    <a:prstGeom prst="rect">
                      <a:avLst/>
                    </a:prstGeom>
                  </pic:spPr>
                </pic:pic>
              </a:graphicData>
            </a:graphic>
            <wp14:sizeRelH relativeFrom="margin">
              <wp14:pctWidth>0</wp14:pctWidth>
            </wp14:sizeRelH>
            <wp14:sizeRelV relativeFrom="margin">
              <wp14:pctHeight>0</wp14:pctHeight>
            </wp14:sizeRelV>
          </wp:anchor>
        </w:drawing>
      </w:r>
    </w:p>
    <w:p w:rsidR="002E5BF1" w:rsidRDefault="002E5BF1" w:rsidP="002E5BF1">
      <w:pPr>
        <w:bidi w:val="0"/>
        <w:spacing w:after="160" w:line="259" w:lineRule="auto"/>
        <w:ind w:left="-1"/>
        <w:jc w:val="left"/>
        <w:rPr>
          <w:sz w:val="2"/>
          <w:szCs w:val="2"/>
        </w:rPr>
      </w:pPr>
      <w:r w:rsidRPr="00B96AE5">
        <w:rPr>
          <w:noProof/>
          <w:sz w:val="10"/>
          <w:szCs w:val="10"/>
          <w:rtl/>
        </w:rPr>
        <mc:AlternateContent>
          <mc:Choice Requires="wps">
            <w:drawing>
              <wp:anchor distT="0" distB="0" distL="114300" distR="114300" simplePos="0" relativeHeight="251661312" behindDoc="0" locked="0" layoutInCell="1" allowOverlap="1" wp14:anchorId="6447954D" wp14:editId="29379932">
                <wp:simplePos x="0" y="0"/>
                <wp:positionH relativeFrom="column">
                  <wp:posOffset>180340</wp:posOffset>
                </wp:positionH>
                <wp:positionV relativeFrom="paragraph">
                  <wp:posOffset>46355</wp:posOffset>
                </wp:positionV>
                <wp:extent cx="5570220" cy="434975"/>
                <wp:effectExtent l="0" t="0" r="0" b="3175"/>
                <wp:wrapNone/>
                <wp:docPr id="1451066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434975"/>
                        </a:xfrm>
                        <a:prstGeom prst="rect">
                          <a:avLst/>
                        </a:prstGeom>
                        <a:solidFill>
                          <a:srgbClr val="F05260"/>
                        </a:solidFill>
                        <a:ln w="9525">
                          <a:noFill/>
                          <a:miter lim="800000"/>
                          <a:headEnd/>
                          <a:tailEnd/>
                        </a:ln>
                      </wps:spPr>
                      <wps:txbx>
                        <w:txbxContent>
                          <w:p w:rsidR="00AE4BB7" w:rsidRPr="005C7ABF" w:rsidRDefault="00617CCD" w:rsidP="002E5BF1">
                            <w:pPr>
                              <w:pStyle w:val="733"/>
                              <w:spacing w:line="0" w:lineRule="atLeast"/>
                              <w:ind w:left="-6"/>
                              <w:rPr>
                                <w:rtl/>
                              </w:rPr>
                            </w:pPr>
                            <w:r w:rsidRPr="00617CCD">
                              <w:rPr>
                                <w:rtl/>
                              </w:rPr>
                              <w:t xml:space="preserve"> הרשויות המקומיות המפונות והיישובים במועצות האזוריות בצפון הארץ שפונו</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447954D" id="_x0000_t202" coordsize="21600,21600" o:spt="202" path="m,l,21600r21600,l21600,xe">
                <v:stroke joinstyle="miter"/>
                <v:path gradientshapeok="t" o:connecttype="rect"/>
              </v:shapetype>
              <v:shape id="Text Box 2" o:spid="_x0000_s1026" type="#_x0000_t202" style="position:absolute;left:0;text-align:left;margin-left:14.2pt;margin-top:3.65pt;width:438.6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" fillcolor="#f05260" stroked="f">
                <v:textbox>
                  <w:txbxContent>
                    <w:p w:rsidR="00AE4BB7" w:rsidRPr="005C7ABF" w:rsidRDefault="00617CCD" w:rsidP="002E5BF1">
                      <w:pPr>
                        <w:pStyle w:val="733"/>
                        <w:spacing w:line="0" w:lineRule="atLeast"/>
                        <w:ind w:left="-6"/>
                        <w:rPr>
                          <w:rtl/>
                        </w:rPr>
                      </w:pPr>
                      <w:r w:rsidRPr="00617CCD">
                        <w:rPr>
                          <w:rtl/>
                        </w:rPr>
                        <w:t xml:space="preserve"> הרשויות המקומיות המפונות והיישובים במועצות האזוריות בצפון הארץ שפונו</w:t>
                      </w:r>
                    </w:p>
                  </w:txbxContent>
                </v:textbox>
              </v:shape>
            </w:pict>
          </mc:Fallback>
        </mc:AlternateContent>
      </w:r>
    </w:p>
    <w:p w:rsidR="002E5BF1" w:rsidRDefault="002E5BF1" w:rsidP="002E5BF1">
      <w:pPr>
        <w:bidi w:val="0"/>
        <w:spacing w:after="160" w:line="259" w:lineRule="auto"/>
        <w:ind w:left="-1"/>
        <w:jc w:val="left"/>
        <w:rPr>
          <w:sz w:val="2"/>
          <w:szCs w:val="2"/>
          <w:rtl/>
        </w:rPr>
      </w:pPr>
    </w:p>
    <w:p w:rsidR="00AE4BB7" w:rsidRPr="00DA3406" w:rsidRDefault="00AE4BB7" w:rsidP="002E5BF1">
      <w:pPr>
        <w:bidi w:val="0"/>
        <w:spacing w:after="160" w:line="259" w:lineRule="auto"/>
        <w:ind w:left="-1"/>
        <w:jc w:val="left"/>
        <w:rPr>
          <w:sz w:val="2"/>
          <w:szCs w:val="2"/>
          <w:rtl/>
        </w:rPr>
      </w:pPr>
    </w:p>
    <w:p w:rsidR="00AE4BB7" w:rsidRPr="00B96AE5" w:rsidRDefault="00AE4BB7" w:rsidP="00AE4BB7">
      <w:pPr>
        <w:rPr>
          <w:sz w:val="10"/>
          <w:szCs w:val="14"/>
          <w:rtl/>
        </w:rPr>
      </w:pPr>
    </w:p>
    <w:p w:rsidR="002E5BF1" w:rsidRPr="002E5BF1" w:rsidRDefault="002E5BF1" w:rsidP="002E5BF1">
      <w:pPr>
        <w:jc w:val="center"/>
        <w:rPr>
          <w:sz w:val="8"/>
          <w:szCs w:val="12"/>
          <w:rtl/>
        </w:rPr>
      </w:pPr>
    </w:p>
    <w:p w:rsidR="00AE4BB7" w:rsidRPr="00D57BE9" w:rsidRDefault="00617CCD" w:rsidP="002E5BF1">
      <w:pPr>
        <w:jc w:val="center"/>
        <w:rPr>
          <w:rtl/>
        </w:rPr>
      </w:pPr>
      <w:r w:rsidRPr="00617CCD">
        <w:rPr>
          <w:rFonts w:ascii="Tahoma" w:eastAsia="Calibri" w:hAnsi="Tahoma" w:cs="Tahoma"/>
          <w:noProof/>
          <w:sz w:val="19"/>
          <w:szCs w:val="19"/>
          <w:rtl/>
          <w:lang w:val="he-IL"/>
        </w:rPr>
        <w:drawing>
          <wp:inline distT="0" distB="0" distL="0" distR="0" wp14:anchorId="67F3808E">
            <wp:extent cx="4554220" cy="3816350"/>
            <wp:effectExtent l="0" t="0" r="0" b="0"/>
            <wp:docPr id="3" name="תמונה 3" descr="הרשויות המקומיות המפונות והיישובים במועצות האזוריות בצפון הארץ, שפונו &#10;עיריית קריית שמונה, המועצות המקומיות מטולה ושלומי, והמועצות האזוריות הגליל העליון, מבואות החרמון, מטה אשר, מעלה יוסף ומרום הגליל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54220" cy="3816350"/>
                    </a:xfrm>
                    <a:prstGeom prst="rect">
                      <a:avLst/>
                    </a:prstGeom>
                    <a:noFill/>
                  </pic:spPr>
                </pic:pic>
              </a:graphicData>
            </a:graphic>
          </wp:inline>
        </w:drawing>
      </w:r>
    </w:p>
    <w:p w:rsidR="00BE39C1" w:rsidRDefault="00617CCD" w:rsidP="00186561">
      <w:pPr>
        <w:ind w:firstLine="566"/>
        <w:jc w:val="left"/>
        <w:rPr>
          <w:rFonts w:ascii="Tahoma" w:hAnsi="Tahoma" w:cs="Tahoma"/>
          <w:color w:val="0D0D0D" w:themeColor="text1" w:themeTint="F2"/>
          <w:sz w:val="16"/>
          <w:szCs w:val="16"/>
          <w:rtl/>
        </w:rPr>
      </w:pPr>
      <w:r w:rsidRPr="00617CCD">
        <w:rPr>
          <w:rFonts w:ascii="Tahoma" w:hAnsi="Tahoma" w:cs="Tahoma"/>
          <w:color w:val="0D0D0D" w:themeColor="text1" w:themeTint="F2"/>
          <w:sz w:val="16"/>
          <w:szCs w:val="16"/>
          <w:rtl/>
        </w:rPr>
        <w:t xml:space="preserve">המקור: מפת אורתופוטו (צילומי אוויר 2023) של המרכז למיפוי ישראל, שכבת גבולות שיפוט של </w:t>
      </w:r>
    </w:p>
    <w:p w:rsidR="00AE4BB7" w:rsidRDefault="00617CCD" w:rsidP="002E5BF1">
      <w:pPr>
        <w:ind w:left="-1" w:firstLine="566"/>
        <w:jc w:val="left"/>
        <w:rPr>
          <w:rtl/>
        </w:rPr>
      </w:pPr>
      <w:r w:rsidRPr="00617CCD">
        <w:rPr>
          <w:rFonts w:ascii="Tahoma" w:hAnsi="Tahoma" w:cs="Tahoma"/>
          <w:color w:val="0D0D0D" w:themeColor="text1" w:themeTint="F2"/>
          <w:sz w:val="16"/>
          <w:szCs w:val="16"/>
          <w:rtl/>
        </w:rPr>
        <w:t>משרד הפנים, בעיבוד משרד מבקר המדינה.</w:t>
      </w:r>
      <w:r w:rsidR="00AE4BB7">
        <w:rPr>
          <w:rtl/>
        </w:rPr>
        <w:br w:type="page"/>
      </w:r>
    </w:p>
    <w:p w:rsidR="00AE4BB7" w:rsidRPr="006B7706" w:rsidRDefault="00AE4BB7" w:rsidP="00B233C2">
      <w:pPr>
        <w:spacing w:after="160" w:line="360" w:lineRule="auto"/>
        <w:ind w:left="-1"/>
        <w:rPr>
          <w:rFonts w:ascii="Tahoma" w:hAnsi="Tahoma" w:cs="Tahoma"/>
          <w:rtl/>
        </w:rPr>
      </w:pPr>
      <w:r w:rsidRPr="006C4033">
        <w:rPr>
          <w:rFonts w:ascii="Tahoma" w:hAnsi="Tahoma" w:cs="Tahoma"/>
          <w:noProof/>
        </w:rPr>
        <w:lastRenderedPageBreak/>
        <w:drawing>
          <wp:inline distT="0" distB="0" distL="0" distR="0" wp14:anchorId="3C8A8AD1" wp14:editId="29FC40E1">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617CCD" w:rsidRPr="00617CCD" w:rsidRDefault="00617CCD" w:rsidP="00617CCD">
      <w:pPr>
        <w:pStyle w:val="739"/>
        <w:spacing w:after="120"/>
        <w:rPr>
          <w:rFonts w:eastAsia="Calibri"/>
          <w:sz w:val="19"/>
          <w:szCs w:val="19"/>
          <w:rtl/>
        </w:rPr>
      </w:pPr>
      <w:r w:rsidRPr="00617CCD">
        <w:rPr>
          <w:rFonts w:eastAsia="Calibri"/>
          <w:sz w:val="19"/>
          <w:szCs w:val="19"/>
          <w:rtl/>
        </w:rPr>
        <w:t xml:space="preserve">קיימת חובה ראשונה במעלה להתארגנות מקדימה ולהיערכות של הרשויות המקומיות לשעת חירום על ידי בדיקת מוכנותן, הכשרת כוח אדם </w:t>
      </w:r>
      <w:r w:rsidRPr="00617CCD">
        <w:rPr>
          <w:sz w:val="19"/>
          <w:szCs w:val="19"/>
          <w:rtl/>
        </w:rPr>
        <w:t>ייעודי</w:t>
      </w:r>
      <w:r w:rsidRPr="00617CCD">
        <w:rPr>
          <w:rFonts w:eastAsia="Calibri"/>
          <w:sz w:val="19"/>
          <w:szCs w:val="19"/>
          <w:rtl/>
        </w:rPr>
        <w:t xml:space="preserve"> בהן, ותרגולן לפי תרחישים שונים הנקבעים על ידי גופי החירום, בין היתר גם בתחום ההיערכות לפינויה ולקליטתה של האוכלוסייה.</w:t>
      </w:r>
    </w:p>
    <w:p w:rsidR="00617CCD" w:rsidRPr="00617CCD" w:rsidRDefault="00617CCD" w:rsidP="00617CCD">
      <w:pPr>
        <w:pStyle w:val="739"/>
        <w:spacing w:after="120"/>
        <w:rPr>
          <w:rFonts w:eastAsia="Calibri"/>
          <w:sz w:val="19"/>
          <w:szCs w:val="19"/>
          <w:rtl/>
        </w:rPr>
      </w:pPr>
      <w:r w:rsidRPr="00617CCD">
        <w:rPr>
          <w:rFonts w:eastAsia="Calibri"/>
          <w:sz w:val="19"/>
          <w:szCs w:val="19"/>
          <w:rtl/>
        </w:rPr>
        <w:t xml:space="preserve">אף שבדוח ביקורת </w:t>
      </w:r>
      <w:r w:rsidRPr="00617CCD">
        <w:rPr>
          <w:sz w:val="19"/>
          <w:szCs w:val="19"/>
          <w:rtl/>
        </w:rPr>
        <w:t>המעקב</w:t>
      </w:r>
      <w:r w:rsidRPr="00617CCD">
        <w:rPr>
          <w:rFonts w:eastAsia="Calibri"/>
          <w:sz w:val="19"/>
          <w:szCs w:val="19"/>
          <w:rtl/>
        </w:rPr>
        <w:t xml:space="preserve"> משנת 2020 בנושא "ההיערכות להגנת העורף מפני איום טילים ורקטות</w:t>
      </w:r>
      <w:r w:rsidRPr="00617CCD">
        <w:rPr>
          <w:rFonts w:eastAsia="Calibri"/>
          <w:sz w:val="19"/>
          <w:szCs w:val="19"/>
          <w:vertAlign w:val="superscript"/>
          <w:rtl/>
        </w:rPr>
        <w:footnoteReference w:id="4"/>
      </w:r>
      <w:r w:rsidRPr="00617CCD">
        <w:rPr>
          <w:rFonts w:eastAsia="Calibri" w:hint="cs"/>
          <w:sz w:val="19"/>
          <w:szCs w:val="19"/>
          <w:rtl/>
        </w:rPr>
        <w:t>"</w:t>
      </w:r>
      <w:r w:rsidRPr="00617CCD">
        <w:rPr>
          <w:rFonts w:eastAsia="Calibri"/>
          <w:sz w:val="19"/>
          <w:szCs w:val="19"/>
          <w:rtl/>
        </w:rPr>
        <w:t xml:space="preserve"> העיר מבקר המדינה כי נוכח פערי המיגון הקיימים </w:t>
      </w:r>
      <w:r w:rsidRPr="00617CCD">
        <w:rPr>
          <w:rFonts w:eastAsia="Calibri"/>
          <w:b/>
          <w:bCs/>
          <w:sz w:val="19"/>
          <w:szCs w:val="19"/>
          <w:rtl/>
        </w:rPr>
        <w:t>בקריית שמונה</w:t>
      </w:r>
      <w:r w:rsidRPr="00617CCD">
        <w:rPr>
          <w:rFonts w:eastAsia="Calibri"/>
          <w:sz w:val="19"/>
          <w:szCs w:val="19"/>
          <w:rtl/>
        </w:rPr>
        <w:t xml:space="preserve"> ונוכח התרחיש של ירי רציף ומתמשך כפי שצופה צה"ל, על צה"ל - בשיתוף רח"ל ורשות פס"ח - להאיץ את התכנון וההיערכות לפינוי ולקליטה של תושבי </w:t>
      </w:r>
      <w:r w:rsidRPr="00617CCD">
        <w:rPr>
          <w:rFonts w:eastAsia="Calibri"/>
          <w:b/>
          <w:bCs/>
          <w:sz w:val="19"/>
          <w:szCs w:val="19"/>
          <w:rtl/>
        </w:rPr>
        <w:t>קריית שמונה</w:t>
      </w:r>
      <w:r w:rsidRPr="00617CCD">
        <w:rPr>
          <w:rFonts w:eastAsia="Calibri"/>
          <w:sz w:val="19"/>
          <w:szCs w:val="19"/>
          <w:rtl/>
        </w:rPr>
        <w:t xml:space="preserve">, עלה כי תרחיש הייחוס שהכין פקע"ר לעיריית </w:t>
      </w:r>
      <w:r w:rsidRPr="00617CCD">
        <w:rPr>
          <w:rFonts w:eastAsia="Calibri"/>
          <w:b/>
          <w:bCs/>
          <w:sz w:val="19"/>
          <w:szCs w:val="19"/>
          <w:rtl/>
        </w:rPr>
        <w:t>קריית שמונה</w:t>
      </w:r>
      <w:r w:rsidRPr="00617CCD">
        <w:rPr>
          <w:rFonts w:eastAsia="Calibri"/>
          <w:sz w:val="19"/>
          <w:szCs w:val="19"/>
          <w:rtl/>
        </w:rPr>
        <w:t xml:space="preserve"> - היישוב הגדול ביותר הסמוך לגבול הצפון, המונה כ-24,000 תושבים, לא כלל מענה לפינוי אוכלוסיית העיר אל מחוץ לתחומה ועל כן העירייה לא נערכה לתרחיש של פינוי כולל. שבע מתוך שמונה הרשויות המקומיות שנבדקו בגבול הצפון (שתי המועצות המקומיות </w:t>
      </w:r>
      <w:r w:rsidRPr="00617CCD">
        <w:rPr>
          <w:rFonts w:eastAsia="Calibri"/>
          <w:b/>
          <w:bCs/>
          <w:sz w:val="19"/>
          <w:szCs w:val="19"/>
          <w:rtl/>
        </w:rPr>
        <w:t>מטולה ושלומי</w:t>
      </w:r>
      <w:r w:rsidRPr="00617CCD">
        <w:rPr>
          <w:rFonts w:eastAsia="Calibri"/>
          <w:sz w:val="19"/>
          <w:szCs w:val="19"/>
          <w:rtl/>
        </w:rPr>
        <w:t xml:space="preserve"> וחמש המועצות האזוריות </w:t>
      </w:r>
      <w:r w:rsidRPr="00617CCD">
        <w:rPr>
          <w:rFonts w:eastAsia="Calibri"/>
          <w:b/>
          <w:bCs/>
          <w:sz w:val="19"/>
          <w:szCs w:val="19"/>
          <w:rtl/>
        </w:rPr>
        <w:t>הגליל העליון, מבואות החרמון, מטה אשר, מעלה יוסף ומרום הגליל</w:t>
      </w:r>
      <w:r w:rsidRPr="00617CCD">
        <w:rPr>
          <w:rFonts w:eastAsia="Calibri"/>
          <w:sz w:val="19"/>
          <w:szCs w:val="19"/>
          <w:rtl/>
        </w:rPr>
        <w:t>) הכינו מענה לתרחישי הייחוס שקבע להם פקע"ר, שכללו תרחיש למלחמה ופינוי יישובים שלמים אל מחוץ לתחום הרשות. שבע רשויות אלו קבעו את כוח האדם המיועד לשעת חירום, הכשירו אותו, תרגלו באופן חלקי את תוכניות הפינוי והכינו מאגרי מידע על האוכלוסייה. עם זאת, ההיערכות בכל התחומים הייתה חלקית ובלתי אחידה</w:t>
      </w:r>
      <w:r w:rsidRPr="00617CCD">
        <w:rPr>
          <w:rFonts w:eastAsia="Calibri" w:hint="cs"/>
          <w:sz w:val="19"/>
          <w:szCs w:val="19"/>
          <w:rtl/>
        </w:rPr>
        <w:t>:</w:t>
      </w:r>
      <w:r w:rsidRPr="00617CCD">
        <w:rPr>
          <w:rFonts w:eastAsia="Calibri"/>
          <w:sz w:val="19"/>
          <w:szCs w:val="19"/>
          <w:rtl/>
        </w:rPr>
        <w:t xml:space="preserve"> הרשויות המקומיות הגדירו בנהלים את הגורמים האחראים לטיפול בהליך הפינוי מטעמן ואת האחראים מטעמן על הטיפול במפונים אולם ההכשרות שבוצעו לא כללו בהכרח את כל בעלי התפקידים בהליך הפינוי; התרגול של הפינוי בפועל היה חלקי בלבד ולא הקיף את כלל התושבים או היישובים (במועצות האזוריות </w:t>
      </w:r>
      <w:r w:rsidRPr="00617CCD">
        <w:rPr>
          <w:rFonts w:eastAsia="Calibri"/>
          <w:b/>
          <w:bCs/>
          <w:sz w:val="19"/>
          <w:szCs w:val="19"/>
          <w:rtl/>
        </w:rPr>
        <w:t>הגליל העליון</w:t>
      </w:r>
      <w:r w:rsidRPr="00617CCD">
        <w:rPr>
          <w:rFonts w:eastAsia="Calibri"/>
          <w:sz w:val="19"/>
          <w:szCs w:val="19"/>
          <w:rtl/>
        </w:rPr>
        <w:t xml:space="preserve"> ו</w:t>
      </w:r>
      <w:r w:rsidRPr="00617CCD">
        <w:rPr>
          <w:rFonts w:eastAsia="Calibri"/>
          <w:b/>
          <w:bCs/>
          <w:sz w:val="19"/>
          <w:szCs w:val="19"/>
          <w:rtl/>
        </w:rPr>
        <w:t>מבואות החרמון</w:t>
      </w:r>
      <w:r w:rsidRPr="00617CCD">
        <w:rPr>
          <w:rFonts w:eastAsia="Calibri"/>
          <w:sz w:val="19"/>
          <w:szCs w:val="19"/>
          <w:rtl/>
        </w:rPr>
        <w:t>); התרגיל לא כלל פינוי בפועל, אלא רק תרגול של שלבי הפינוי (</w:t>
      </w:r>
      <w:r w:rsidRPr="00617CCD">
        <w:rPr>
          <w:rFonts w:eastAsia="Calibri" w:hint="cs"/>
          <w:sz w:val="19"/>
          <w:szCs w:val="19"/>
          <w:rtl/>
        </w:rPr>
        <w:t xml:space="preserve">המועצה המקומית </w:t>
      </w:r>
      <w:r w:rsidRPr="00617CCD">
        <w:rPr>
          <w:rFonts w:eastAsia="Calibri"/>
          <w:b/>
          <w:bCs/>
          <w:sz w:val="19"/>
          <w:szCs w:val="19"/>
          <w:rtl/>
        </w:rPr>
        <w:t>מטולה</w:t>
      </w:r>
      <w:r w:rsidRPr="00617CCD">
        <w:rPr>
          <w:rFonts w:eastAsia="Calibri"/>
          <w:sz w:val="19"/>
          <w:szCs w:val="19"/>
          <w:rtl/>
        </w:rPr>
        <w:t>,</w:t>
      </w:r>
      <w:r w:rsidRPr="00617CCD">
        <w:rPr>
          <w:rFonts w:eastAsia="Calibri" w:hint="cs"/>
          <w:sz w:val="19"/>
          <w:szCs w:val="19"/>
          <w:rtl/>
        </w:rPr>
        <w:t xml:space="preserve"> המועצות האזוריות</w:t>
      </w:r>
      <w:r w:rsidRPr="00617CCD">
        <w:rPr>
          <w:rFonts w:eastAsia="Calibri"/>
          <w:sz w:val="19"/>
          <w:szCs w:val="19"/>
          <w:rtl/>
        </w:rPr>
        <w:t xml:space="preserve"> </w:t>
      </w:r>
      <w:r w:rsidRPr="00617CCD">
        <w:rPr>
          <w:rFonts w:eastAsia="Calibri"/>
          <w:b/>
          <w:bCs/>
          <w:sz w:val="19"/>
          <w:szCs w:val="19"/>
          <w:rtl/>
        </w:rPr>
        <w:t>מטה אשר</w:t>
      </w:r>
      <w:r w:rsidRPr="00617CCD">
        <w:rPr>
          <w:rFonts w:eastAsia="Calibri"/>
          <w:sz w:val="19"/>
          <w:szCs w:val="19"/>
          <w:rtl/>
        </w:rPr>
        <w:t xml:space="preserve"> ו</w:t>
      </w:r>
      <w:r w:rsidRPr="00617CCD">
        <w:rPr>
          <w:rFonts w:eastAsia="Calibri"/>
          <w:b/>
          <w:bCs/>
          <w:sz w:val="19"/>
          <w:szCs w:val="19"/>
          <w:rtl/>
        </w:rPr>
        <w:t>מרום הגליל</w:t>
      </w:r>
      <w:r w:rsidRPr="00617CCD">
        <w:rPr>
          <w:rFonts w:eastAsia="Calibri"/>
          <w:sz w:val="19"/>
          <w:szCs w:val="19"/>
          <w:rtl/>
        </w:rPr>
        <w:t>) או שהוא התייחס רק לאוכלוסיות מסוימות (</w:t>
      </w:r>
      <w:r w:rsidRPr="00617CCD">
        <w:rPr>
          <w:rFonts w:eastAsia="Calibri" w:hint="cs"/>
          <w:sz w:val="19"/>
          <w:szCs w:val="19"/>
          <w:rtl/>
        </w:rPr>
        <w:t>המועצה המקומית</w:t>
      </w:r>
      <w:r w:rsidRPr="00617CCD">
        <w:rPr>
          <w:rFonts w:eastAsia="Calibri" w:hint="cs"/>
          <w:b/>
          <w:bCs/>
          <w:sz w:val="19"/>
          <w:szCs w:val="19"/>
          <w:rtl/>
        </w:rPr>
        <w:t xml:space="preserve"> </w:t>
      </w:r>
      <w:r w:rsidRPr="00617CCD">
        <w:rPr>
          <w:rFonts w:eastAsia="Calibri"/>
          <w:b/>
          <w:bCs/>
          <w:sz w:val="19"/>
          <w:szCs w:val="19"/>
          <w:rtl/>
        </w:rPr>
        <w:t>שלומי</w:t>
      </w:r>
      <w:r w:rsidRPr="00617CCD">
        <w:rPr>
          <w:rFonts w:eastAsia="Calibri"/>
          <w:sz w:val="19"/>
          <w:szCs w:val="19"/>
          <w:rtl/>
        </w:rPr>
        <w:t xml:space="preserve"> ו</w:t>
      </w:r>
      <w:r w:rsidRPr="00617CCD">
        <w:rPr>
          <w:rFonts w:eastAsia="Calibri" w:hint="cs"/>
          <w:sz w:val="19"/>
          <w:szCs w:val="19"/>
          <w:rtl/>
        </w:rPr>
        <w:t xml:space="preserve">עיריית </w:t>
      </w:r>
      <w:r w:rsidRPr="00617CCD">
        <w:rPr>
          <w:rFonts w:eastAsia="Calibri"/>
          <w:b/>
          <w:bCs/>
          <w:sz w:val="19"/>
          <w:szCs w:val="19"/>
          <w:rtl/>
        </w:rPr>
        <w:t>קריית שמונה</w:t>
      </w:r>
      <w:r w:rsidRPr="00617CCD">
        <w:rPr>
          <w:rFonts w:eastAsia="Calibri"/>
          <w:sz w:val="19"/>
          <w:szCs w:val="19"/>
          <w:rtl/>
        </w:rPr>
        <w:t>)</w:t>
      </w:r>
      <w:r w:rsidRPr="00617CCD">
        <w:rPr>
          <w:rFonts w:eastAsia="Calibri" w:hint="cs"/>
          <w:sz w:val="19"/>
          <w:szCs w:val="19"/>
          <w:rtl/>
        </w:rPr>
        <w:t>.</w:t>
      </w:r>
    </w:p>
    <w:p w:rsidR="00617CCD" w:rsidRPr="00617CCD" w:rsidRDefault="00617CCD" w:rsidP="00617CCD">
      <w:pPr>
        <w:pStyle w:val="739"/>
        <w:spacing w:after="120"/>
        <w:rPr>
          <w:rFonts w:eastAsia="Calibri"/>
          <w:sz w:val="19"/>
          <w:szCs w:val="19"/>
          <w:rtl/>
        </w:rPr>
      </w:pPr>
      <w:r w:rsidRPr="00617CCD">
        <w:rPr>
          <w:rFonts w:eastAsia="Calibri"/>
          <w:sz w:val="19"/>
          <w:szCs w:val="19"/>
          <w:rtl/>
        </w:rPr>
        <w:t xml:space="preserve">על משרד הפנים, רח"ל וצה"ל, תוך שיתוף פעולה ביניהם, לקיים הליך הפקת לקחים מלא ממתקפת </w:t>
      </w:r>
      <w:r w:rsidRPr="00617CCD">
        <w:rPr>
          <w:rFonts w:eastAsia="Calibri" w:hint="cs"/>
          <w:sz w:val="19"/>
          <w:szCs w:val="19"/>
          <w:rtl/>
        </w:rPr>
        <w:t>הטרור</w:t>
      </w:r>
      <w:r w:rsidRPr="00617CCD">
        <w:rPr>
          <w:rFonts w:eastAsia="Calibri"/>
          <w:sz w:val="19"/>
          <w:szCs w:val="19"/>
          <w:rtl/>
        </w:rPr>
        <w:t xml:space="preserve"> בשבעה באוקטובר ולפעול לגיבוש תשתית עדכנית ומלאה </w:t>
      </w:r>
      <w:r w:rsidRPr="00617CCD">
        <w:rPr>
          <w:sz w:val="19"/>
          <w:szCs w:val="19"/>
          <w:rtl/>
        </w:rPr>
        <w:t>עבור</w:t>
      </w:r>
      <w:r w:rsidRPr="00617CCD">
        <w:rPr>
          <w:rFonts w:eastAsia="Calibri"/>
          <w:sz w:val="19"/>
          <w:szCs w:val="19"/>
          <w:rtl/>
        </w:rPr>
        <w:t xml:space="preserve"> הרשויות המקומיות לצורך היערכותן כראוי למצב חירום שיחייב פינוי אוכלוסייה אל מחוץ לתחומי הישוב, בין שמקורו בפעולות איבה ובין שמקורו באסונות טבע או</w:t>
      </w:r>
      <w:r w:rsidRPr="00617CCD">
        <w:rPr>
          <w:rFonts w:eastAsia="Calibri" w:hint="cs"/>
          <w:sz w:val="19"/>
          <w:szCs w:val="19"/>
          <w:rtl/>
        </w:rPr>
        <w:t xml:space="preserve"> </w:t>
      </w:r>
      <w:r w:rsidRPr="00617CCD">
        <w:rPr>
          <w:rFonts w:eastAsia="Calibri"/>
          <w:sz w:val="19"/>
          <w:szCs w:val="19"/>
          <w:rtl/>
        </w:rPr>
        <w:t>אחרים. בכלל זאת, על רח"ל וצה"ל לבחון הצורך בעדכון תרחישי הייחוס למקרי חירום ולפעול לעדכון תוכניות הה</w:t>
      </w:r>
      <w:r w:rsidRPr="00617CCD">
        <w:rPr>
          <w:rFonts w:eastAsia="Calibri" w:hint="cs"/>
          <w:sz w:val="19"/>
          <w:szCs w:val="19"/>
          <w:rtl/>
        </w:rPr>
        <w:t>י</w:t>
      </w:r>
      <w:r w:rsidRPr="00617CCD">
        <w:rPr>
          <w:rFonts w:eastAsia="Calibri"/>
          <w:sz w:val="19"/>
          <w:szCs w:val="19"/>
          <w:rtl/>
        </w:rPr>
        <w:t xml:space="preserve">ערכות לחירום והמענים הנדרשים בהתאם. בד בבד על משרד הפנים ופקע"ר לסייע לרשויות המקומיות ולוודא כי עומד לרשותן מערך כוח אדם מותאם למשימת הפינוי לצד מערך הכשרה ותרגול של כוח האדם כדי להבטיח עמידתו במשימה. </w:t>
      </w:r>
    </w:p>
    <w:p w:rsidR="00C4789A" w:rsidRPr="00553A21" w:rsidRDefault="00617CCD" w:rsidP="00553A21">
      <w:pPr>
        <w:pStyle w:val="739"/>
        <w:spacing w:after="120"/>
        <w:rPr>
          <w:sz w:val="19"/>
          <w:szCs w:val="19"/>
        </w:rPr>
        <w:sectPr w:rsidR="00C4789A" w:rsidRPr="00553A21" w:rsidSect="008654CB">
          <w:headerReference w:type="even" r:id="rId19"/>
          <w:headerReference w:type="default" r:id="rId20"/>
          <w:footerReference w:type="even" r:id="rId21"/>
          <w:footerReference w:type="default" r:id="rId22"/>
          <w:headerReference w:type="first" r:id="rId23"/>
          <w:footerReference w:type="first" r:id="rId24"/>
          <w:pgSz w:w="11340" w:h="14175" w:code="9"/>
          <w:pgMar w:top="2268" w:right="1276" w:bottom="1588" w:left="1134" w:header="709" w:footer="709" w:gutter="0"/>
          <w:cols w:space="708"/>
          <w:titlePg/>
          <w:bidi/>
          <w:rtlGutter/>
          <w:docGrid w:linePitch="360"/>
        </w:sectPr>
      </w:pPr>
      <w:r w:rsidRPr="00617CCD">
        <w:rPr>
          <w:rFonts w:eastAsia="Calibri"/>
          <w:sz w:val="19"/>
          <w:szCs w:val="19"/>
          <w:rtl/>
        </w:rPr>
        <w:t xml:space="preserve">על הרשויות המקומיות לעדכן את תיקי החירום, התוכניות והנהלים שלהן לשעת חירום, לפעול לגיבוש מאגרי נתונים כלליים ופרטניים ייעודיים למתן סיוע </w:t>
      </w:r>
      <w:r w:rsidRPr="00617CCD">
        <w:rPr>
          <w:sz w:val="19"/>
          <w:szCs w:val="19"/>
          <w:rtl/>
        </w:rPr>
        <w:t>ושירותים</w:t>
      </w:r>
      <w:r w:rsidRPr="00617CCD">
        <w:rPr>
          <w:rFonts w:eastAsia="Calibri"/>
          <w:sz w:val="19"/>
          <w:szCs w:val="19"/>
          <w:rtl/>
        </w:rPr>
        <w:t xml:space="preserve"> בשעת חירום לתושביהן ולקבוע ולהכשיר את כוח האדם המיועד ולתרגל בפועל את תרחישי הפינוי לרבות פינוי מחוץ ליישובים</w:t>
      </w:r>
      <w:r w:rsidR="00777760">
        <w:rPr>
          <w:rFonts w:eastAsia="Calibri" w:hint="cs"/>
          <w:sz w:val="19"/>
          <w:szCs w:val="19"/>
          <w:rtl/>
        </w:rPr>
        <w:t>.</w:t>
      </w:r>
    </w:p>
    <w:bookmarkEnd w:id="0"/>
    <w:p w:rsidR="009A6817" w:rsidRPr="00B233C2" w:rsidRDefault="009A6817" w:rsidP="001D3DA9">
      <w:pPr>
        <w:spacing w:after="160" w:line="259" w:lineRule="auto"/>
        <w:jc w:val="left"/>
        <w:rPr>
          <w:rFonts w:ascii="Tahoma" w:hAnsi="Tahoma" w:cs="Tahoma"/>
          <w:noProof/>
          <w:sz w:val="19"/>
          <w:szCs w:val="19"/>
          <w:rtl/>
        </w:rPr>
      </w:pPr>
    </w:p>
    <w:sectPr w:rsidR="009A6817" w:rsidRPr="00B233C2" w:rsidSect="00030DCF">
      <w:headerReference w:type="first" r:id="rId25"/>
      <w:type w:val="continuous"/>
      <w:pgSz w:w="11340" w:h="14175" w:code="9"/>
      <w:pgMar w:top="2268" w:right="1276" w:bottom="158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10" w:rsidRDefault="00B64110">
      <w:pPr>
        <w:spacing w:line="240" w:lineRule="auto"/>
      </w:pPr>
      <w:r>
        <w:separator/>
      </w:r>
    </w:p>
  </w:endnote>
  <w:endnote w:type="continuationSeparator" w:id="0">
    <w:p w:rsidR="00B64110" w:rsidRDefault="00B6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0A8" w:rsidRDefault="00A860A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0A8" w:rsidRDefault="00A860A8">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Default="00EE06A0">
    <w:pPr>
      <w:pStyle w:val="ab"/>
    </w:pPr>
    <w:r>
      <w:rPr>
        <w:noProof/>
      </w:rPr>
      <mc:AlternateContent>
        <mc:Choice Requires="wps">
          <w:drawing>
            <wp:anchor distT="0" distB="0" distL="114300" distR="114300" simplePos="0" relativeHeight="251665408" behindDoc="0" locked="0" layoutInCell="1" allowOverlap="1">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C41520" id="מחבר ישר 21"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05pt,-27.8pt" to="34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" strokecolor="#002060" strokeweight="1.25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wps:cNvSpPr txBox="1"/>
                    <wps:spPr>
                      <a:xfrm>
                        <a:off x="0" y="0"/>
                        <a:ext cx="2512060" cy="304800"/>
                      </a:xfrm>
                      <a:prstGeom prst="rect">
                        <a:avLst/>
                      </a:prstGeom>
                      <a:solidFill>
                        <a:schemeClr val="bg1"/>
                      </a:solidFill>
                      <a:ln w="6350">
                        <a:noFill/>
                      </a:ln>
                    </wps:spPr>
                    <wps:txb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1038" type="#_x0000_t202" style="position:absolute;left:0;text-align:left;margin-left:127.9pt;margin-top:-13.35pt;width:197.8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" fillcolor="white [3212]" stroked="f" strokeweight=".5pt">
              <v:textbo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312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1039" type="#_x0000_t202" style="position:absolute;left:0;text-align:left;margin-left:0;margin-top:-87.15pt;width:233pt;height:21.5pt;z-index:2516531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OehnplF&#10;AgAAYgQAAA4AAAAAAAAAAAAAAAAALgIAAGRycy9lMm9Eb2MueG1sUEsBAi0AFAAGAAgAAAAhAMNT&#10;0rThAAAACgEAAA8AAAAAAAAAAAAAAAAAnwQAAGRycy9kb3ducmV2LnhtbFBLBQYAAAAABAAEAPMA&#10;AACtBQAAAAA=&#10;" filled="f" stroked="f" strokeweight=".5pt">
              <v:textbo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10" w:rsidRDefault="00B64110">
      <w:pPr>
        <w:spacing w:line="240" w:lineRule="auto"/>
      </w:pPr>
      <w:r>
        <w:separator/>
      </w:r>
    </w:p>
  </w:footnote>
  <w:footnote w:type="continuationSeparator" w:id="0">
    <w:p w:rsidR="00B64110" w:rsidRDefault="00B64110">
      <w:pPr>
        <w:spacing w:line="240" w:lineRule="auto"/>
      </w:pPr>
      <w:r>
        <w:continuationSeparator/>
      </w:r>
    </w:p>
  </w:footnote>
  <w:footnote w:id="1">
    <w:p w:rsidR="00617CCD" w:rsidRPr="002744CB" w:rsidRDefault="00617CCD" w:rsidP="00553A21">
      <w:pPr>
        <w:pStyle w:val="af"/>
        <w:ind w:left="708" w:hanging="708"/>
        <w:rPr>
          <w:rFonts w:ascii="Tahoma" w:hAnsi="Tahoma" w:cs="Tahoma"/>
          <w:sz w:val="16"/>
          <w:szCs w:val="16"/>
          <w:rtl/>
        </w:rPr>
      </w:pPr>
      <w:r w:rsidRPr="002744CB">
        <w:rPr>
          <w:rStyle w:val="af1"/>
          <w:rFonts w:ascii="Tahoma" w:hAnsi="Tahoma" w:cs="Tahoma"/>
          <w:sz w:val="16"/>
          <w:szCs w:val="16"/>
        </w:rPr>
        <w:footnoteRef/>
      </w:r>
      <w:r w:rsidRPr="002744CB">
        <w:rPr>
          <w:rFonts w:ascii="Tahoma" w:hAnsi="Tahoma" w:cs="Tahoma"/>
          <w:sz w:val="16"/>
          <w:szCs w:val="16"/>
          <w:rtl/>
        </w:rPr>
        <w:t xml:space="preserve"> </w:t>
      </w:r>
      <w:r w:rsidRPr="002744CB">
        <w:rPr>
          <w:rFonts w:ascii="Tahoma" w:hAnsi="Tahoma" w:cs="Tahoma"/>
          <w:sz w:val="16"/>
          <w:szCs w:val="16"/>
          <w:rtl/>
        </w:rPr>
        <w:tab/>
        <w:t>ראו ב</w:t>
      </w:r>
      <w:r>
        <w:rPr>
          <w:rFonts w:ascii="Tahoma" w:hAnsi="Tahoma" w:cs="Tahoma" w:hint="cs"/>
          <w:sz w:val="16"/>
          <w:szCs w:val="16"/>
          <w:rtl/>
        </w:rPr>
        <w:t>קובץ דוחות זה ב</w:t>
      </w:r>
      <w:r w:rsidRPr="002744CB">
        <w:rPr>
          <w:rFonts w:ascii="Tahoma" w:hAnsi="Tahoma" w:cs="Tahoma"/>
          <w:sz w:val="16"/>
          <w:szCs w:val="16"/>
          <w:rtl/>
        </w:rPr>
        <w:t xml:space="preserve">פרק </w:t>
      </w:r>
      <w:r>
        <w:rPr>
          <w:rFonts w:ascii="Tahoma" w:hAnsi="Tahoma" w:cs="Tahoma" w:hint="cs"/>
          <w:sz w:val="16"/>
          <w:szCs w:val="16"/>
          <w:rtl/>
        </w:rPr>
        <w:t>"מהלך האירועים, הנורמות והגופים המבוקרים"</w:t>
      </w:r>
      <w:r w:rsidRPr="002744CB">
        <w:rPr>
          <w:rFonts w:ascii="Tahoma" w:hAnsi="Tahoma" w:cs="Tahoma"/>
          <w:sz w:val="16"/>
          <w:szCs w:val="16"/>
          <w:rtl/>
        </w:rPr>
        <w:t xml:space="preserve"> הגדרות לת</w:t>
      </w:r>
      <w:r>
        <w:rPr>
          <w:rFonts w:ascii="Tahoma" w:hAnsi="Tahoma" w:cs="Tahoma" w:hint="cs"/>
          <w:sz w:val="16"/>
          <w:szCs w:val="16"/>
          <w:rtl/>
        </w:rPr>
        <w:t>ו</w:t>
      </w:r>
      <w:r w:rsidRPr="002744CB">
        <w:rPr>
          <w:rFonts w:ascii="Tahoma" w:hAnsi="Tahoma" w:cs="Tahoma"/>
          <w:sz w:val="16"/>
          <w:szCs w:val="16"/>
          <w:rtl/>
        </w:rPr>
        <w:t>כנית "מרחק בטוח" הצה"לית ולת</w:t>
      </w:r>
      <w:r>
        <w:rPr>
          <w:rFonts w:ascii="Tahoma" w:hAnsi="Tahoma" w:cs="Tahoma" w:hint="cs"/>
          <w:sz w:val="16"/>
          <w:szCs w:val="16"/>
          <w:rtl/>
        </w:rPr>
        <w:t>ו</w:t>
      </w:r>
      <w:r w:rsidRPr="002744CB">
        <w:rPr>
          <w:rFonts w:ascii="Tahoma" w:hAnsi="Tahoma" w:cs="Tahoma"/>
          <w:sz w:val="16"/>
          <w:szCs w:val="16"/>
          <w:rtl/>
        </w:rPr>
        <w:t>כנית "מרחק בטוח" הלאומית. ההתייחסות בפרק זה לת</w:t>
      </w:r>
      <w:r>
        <w:rPr>
          <w:rFonts w:ascii="Tahoma" w:hAnsi="Tahoma" w:cs="Tahoma" w:hint="cs"/>
          <w:sz w:val="16"/>
          <w:szCs w:val="16"/>
          <w:rtl/>
        </w:rPr>
        <w:t>ו</w:t>
      </w:r>
      <w:r w:rsidRPr="002744CB">
        <w:rPr>
          <w:rFonts w:ascii="Tahoma" w:hAnsi="Tahoma" w:cs="Tahoma"/>
          <w:sz w:val="16"/>
          <w:szCs w:val="16"/>
          <w:rtl/>
        </w:rPr>
        <w:t xml:space="preserve">כנית "מרחק בטוח" היא </w:t>
      </w:r>
      <w:r>
        <w:rPr>
          <w:rFonts w:ascii="Tahoma" w:hAnsi="Tahoma" w:cs="Tahoma" w:hint="cs"/>
          <w:sz w:val="16"/>
          <w:szCs w:val="16"/>
          <w:rtl/>
        </w:rPr>
        <w:t>ל</w:t>
      </w:r>
      <w:r w:rsidRPr="002744CB">
        <w:rPr>
          <w:rFonts w:ascii="Tahoma" w:hAnsi="Tahoma" w:cs="Tahoma"/>
          <w:sz w:val="16"/>
          <w:szCs w:val="16"/>
          <w:rtl/>
        </w:rPr>
        <w:t xml:space="preserve">כל אחת מהתוכניות בהקשרים </w:t>
      </w:r>
      <w:r>
        <w:rPr>
          <w:rFonts w:ascii="Tahoma" w:hAnsi="Tahoma" w:cs="Tahoma" w:hint="cs"/>
          <w:sz w:val="16"/>
          <w:szCs w:val="16"/>
          <w:rtl/>
        </w:rPr>
        <w:t>ש</w:t>
      </w:r>
      <w:r w:rsidRPr="002744CB">
        <w:rPr>
          <w:rFonts w:ascii="Tahoma" w:hAnsi="Tahoma" w:cs="Tahoma"/>
          <w:sz w:val="16"/>
          <w:szCs w:val="16"/>
          <w:rtl/>
        </w:rPr>
        <w:t>בהם הן חופפות.</w:t>
      </w:r>
    </w:p>
  </w:footnote>
  <w:footnote w:id="2">
    <w:p w:rsidR="00617CCD" w:rsidRPr="002744CB" w:rsidRDefault="00617CCD" w:rsidP="00553A21">
      <w:pPr>
        <w:pStyle w:val="af"/>
        <w:ind w:left="708" w:hanging="708"/>
        <w:rPr>
          <w:rFonts w:ascii="Tahoma" w:hAnsi="Tahoma" w:cs="Tahoma"/>
          <w:sz w:val="16"/>
          <w:szCs w:val="16"/>
          <w:rtl/>
        </w:rPr>
      </w:pPr>
      <w:r w:rsidRPr="002744CB">
        <w:rPr>
          <w:rStyle w:val="af1"/>
          <w:rFonts w:ascii="Tahoma" w:hAnsi="Tahoma" w:cs="Tahoma"/>
          <w:sz w:val="16"/>
          <w:szCs w:val="16"/>
        </w:rPr>
        <w:footnoteRef/>
      </w:r>
      <w:r w:rsidRPr="002744CB">
        <w:rPr>
          <w:rFonts w:ascii="Tahoma" w:hAnsi="Tahoma" w:cs="Tahoma"/>
          <w:sz w:val="16"/>
          <w:szCs w:val="16"/>
          <w:rtl/>
        </w:rPr>
        <w:t xml:space="preserve"> </w:t>
      </w:r>
      <w:r w:rsidRPr="002744CB">
        <w:rPr>
          <w:rFonts w:ascii="Tahoma" w:hAnsi="Tahoma" w:cs="Tahoma"/>
          <w:sz w:val="16"/>
          <w:szCs w:val="16"/>
          <w:rtl/>
        </w:rPr>
        <w:tab/>
        <w:t xml:space="preserve">מבקר המדינה, </w:t>
      </w:r>
      <w:r w:rsidRPr="002744CB">
        <w:rPr>
          <w:rFonts w:ascii="Tahoma" w:hAnsi="Tahoma" w:cs="Tahoma"/>
          <w:b/>
          <w:bCs/>
          <w:sz w:val="16"/>
          <w:szCs w:val="16"/>
          <w:rtl/>
        </w:rPr>
        <w:t>דוחות מיוחדים - היערכות העורף ותפקודו במלחמת לבנון השנייה</w:t>
      </w:r>
      <w:r w:rsidRPr="002744CB">
        <w:rPr>
          <w:rFonts w:ascii="Tahoma" w:hAnsi="Tahoma" w:cs="Tahoma"/>
          <w:sz w:val="16"/>
          <w:szCs w:val="16"/>
          <w:rtl/>
        </w:rPr>
        <w:t xml:space="preserve"> (2007), "פינוי אוכלוסייה בעת המלחמה", עמ' 535 </w:t>
      </w:r>
      <w:r>
        <w:rPr>
          <w:rFonts w:ascii="Tahoma" w:hAnsi="Tahoma" w:cs="Tahoma" w:hint="cs"/>
          <w:sz w:val="16"/>
          <w:szCs w:val="16"/>
          <w:rtl/>
        </w:rPr>
        <w:t>-</w:t>
      </w:r>
      <w:r w:rsidRPr="002744CB">
        <w:rPr>
          <w:rFonts w:ascii="Tahoma" w:hAnsi="Tahoma" w:cs="Tahoma"/>
          <w:sz w:val="16"/>
          <w:szCs w:val="16"/>
          <w:rtl/>
        </w:rPr>
        <w:t xml:space="preserve"> 553.</w:t>
      </w:r>
    </w:p>
  </w:footnote>
  <w:footnote w:id="3">
    <w:p w:rsidR="00617CCD" w:rsidRPr="002744CB" w:rsidRDefault="00617CCD" w:rsidP="00553A21">
      <w:pPr>
        <w:pStyle w:val="af"/>
        <w:ind w:left="708" w:hanging="708"/>
        <w:rPr>
          <w:rFonts w:ascii="Tahoma" w:hAnsi="Tahoma" w:cs="Tahoma"/>
          <w:sz w:val="16"/>
          <w:szCs w:val="16"/>
          <w:rtl/>
        </w:rPr>
      </w:pPr>
      <w:r>
        <w:rPr>
          <w:rStyle w:val="af1"/>
        </w:rPr>
        <w:footnoteRef/>
      </w:r>
      <w:r>
        <w:rPr>
          <w:rtl/>
        </w:rPr>
        <w:t xml:space="preserve"> </w:t>
      </w:r>
      <w:r>
        <w:rPr>
          <w:rtl/>
        </w:rPr>
        <w:tab/>
      </w:r>
      <w:r w:rsidRPr="002744CB">
        <w:rPr>
          <w:rFonts w:ascii="Tahoma" w:hAnsi="Tahoma" w:cs="Tahoma"/>
          <w:sz w:val="16"/>
          <w:szCs w:val="16"/>
          <w:rtl/>
        </w:rPr>
        <w:t xml:space="preserve">מבקר המדינה, </w:t>
      </w:r>
      <w:r w:rsidRPr="009E4323">
        <w:rPr>
          <w:rFonts w:ascii="Tahoma" w:hAnsi="Tahoma" w:cs="Tahoma"/>
          <w:b/>
          <w:bCs/>
          <w:sz w:val="16"/>
          <w:szCs w:val="16"/>
          <w:rtl/>
        </w:rPr>
        <w:t>דוח שנתי 70ג</w:t>
      </w:r>
      <w:r w:rsidRPr="002744CB">
        <w:rPr>
          <w:rFonts w:ascii="Tahoma" w:hAnsi="Tahoma" w:cs="Tahoma"/>
          <w:sz w:val="16"/>
          <w:szCs w:val="16"/>
          <w:rtl/>
        </w:rPr>
        <w:t xml:space="preserve"> (2020), </w:t>
      </w:r>
      <w:r w:rsidRPr="00830F57">
        <w:rPr>
          <w:rFonts w:ascii="Tahoma" w:hAnsi="Tahoma" w:cs="Tahoma"/>
          <w:sz w:val="16"/>
          <w:szCs w:val="16"/>
          <w:rtl/>
        </w:rPr>
        <w:t xml:space="preserve">"ההיערכות להגנת העורף מפני איום טילים ורקטות (מיגון פיזי, התרעה ופינוי </w:t>
      </w:r>
      <w:r w:rsidRPr="0055507A">
        <w:rPr>
          <w:rFonts w:ascii="Tahoma" w:hAnsi="Tahoma" w:cs="Tahoma"/>
          <w:sz w:val="16"/>
          <w:szCs w:val="16"/>
          <w:rtl/>
        </w:rPr>
        <w:t>אוכלוסייה) - ביקורת מעקב</w:t>
      </w:r>
      <w:r w:rsidRPr="00AB7A00">
        <w:rPr>
          <w:rFonts w:ascii="Tahoma" w:hAnsi="Tahoma" w:cs="Tahoma" w:hint="cs"/>
          <w:sz w:val="16"/>
          <w:szCs w:val="16"/>
          <w:rtl/>
        </w:rPr>
        <w:t>"</w:t>
      </w:r>
      <w:r w:rsidRPr="002744CB">
        <w:rPr>
          <w:rFonts w:ascii="Tahoma" w:hAnsi="Tahoma" w:cs="Tahoma"/>
          <w:sz w:val="16"/>
          <w:szCs w:val="16"/>
          <w:rtl/>
        </w:rPr>
        <w:t xml:space="preserve">. </w:t>
      </w:r>
    </w:p>
  </w:footnote>
  <w:footnote w:id="4">
    <w:p w:rsidR="00617CCD" w:rsidRDefault="00617CCD" w:rsidP="00617CCD">
      <w:pPr>
        <w:pStyle w:val="af"/>
        <w:ind w:left="708" w:hanging="708"/>
        <w:rPr>
          <w:rtl/>
        </w:rPr>
      </w:pPr>
      <w:r>
        <w:rPr>
          <w:rStyle w:val="af1"/>
        </w:rPr>
        <w:footnoteRef/>
      </w:r>
      <w:r>
        <w:rPr>
          <w:rtl/>
        </w:rPr>
        <w:t xml:space="preserve"> </w:t>
      </w:r>
      <w:r>
        <w:rPr>
          <w:rtl/>
        </w:rPr>
        <w:tab/>
      </w:r>
      <w:r w:rsidRPr="002744CB">
        <w:rPr>
          <w:rFonts w:ascii="Tahoma" w:hAnsi="Tahoma" w:cs="Tahoma"/>
          <w:sz w:val="16"/>
          <w:szCs w:val="16"/>
          <w:rtl/>
        </w:rPr>
        <w:t xml:space="preserve">מבקר המדינה, </w:t>
      </w:r>
      <w:r w:rsidRPr="007F79EA">
        <w:rPr>
          <w:rFonts w:ascii="Tahoma" w:hAnsi="Tahoma" w:cs="Tahoma"/>
          <w:b/>
          <w:bCs/>
          <w:sz w:val="16"/>
          <w:szCs w:val="16"/>
          <w:rtl/>
        </w:rPr>
        <w:t xml:space="preserve">דוח שנתי 70ג </w:t>
      </w:r>
      <w:r w:rsidRPr="00854103">
        <w:rPr>
          <w:rFonts w:ascii="Tahoma" w:hAnsi="Tahoma" w:cs="Tahoma"/>
          <w:sz w:val="16"/>
          <w:szCs w:val="16"/>
          <w:rtl/>
        </w:rPr>
        <w:t>(2020)</w:t>
      </w:r>
      <w:r w:rsidRPr="002744CB">
        <w:rPr>
          <w:rFonts w:ascii="Tahoma" w:hAnsi="Tahoma" w:cs="Tahoma"/>
          <w:sz w:val="16"/>
          <w:szCs w:val="16"/>
          <w:rtl/>
        </w:rPr>
        <w:t>, "</w:t>
      </w:r>
      <w:bookmarkStart w:id="3" w:name="_Hlk219645521"/>
      <w:r w:rsidRPr="002744CB">
        <w:rPr>
          <w:rFonts w:ascii="Tahoma" w:hAnsi="Tahoma" w:cs="Tahoma"/>
          <w:sz w:val="16"/>
          <w:szCs w:val="16"/>
          <w:rtl/>
        </w:rPr>
        <w:t xml:space="preserve">ההיערכות להגנת העורף מפני איום טילים ורקטות </w:t>
      </w:r>
      <w:bookmarkEnd w:id="3"/>
      <w:r w:rsidRPr="002744CB">
        <w:rPr>
          <w:rFonts w:ascii="Tahoma" w:hAnsi="Tahoma" w:cs="Tahoma"/>
          <w:sz w:val="16"/>
          <w:szCs w:val="16"/>
          <w:rtl/>
        </w:rPr>
        <w:t>(מיגון פיזי, התרעה ופינוי אוכלוסייה) - ביקורת מעקב</w:t>
      </w:r>
      <w:r>
        <w:rPr>
          <w:rFonts w:ascii="Tahoma" w:hAnsi="Tahoma" w:cs="Tahoma" w:hint="cs"/>
          <w:sz w:val="16"/>
          <w:szCs w:val="16"/>
          <w:rtl/>
        </w:rPr>
        <w:t>"</w:t>
      </w:r>
      <w:r w:rsidRPr="002744CB">
        <w:rPr>
          <w:rFonts w:ascii="Tahoma" w:hAnsi="Tahoma" w:cs="Tahoma"/>
          <w:sz w:val="16"/>
          <w:szCs w:val="16"/>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49" w:rsidRPr="005C3049" w:rsidRDefault="009961E8" w:rsidP="005C3049">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6192"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RDefault="005C304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27" style="position:absolute;margin-left:-15.2pt;margin-top:-7.45pt;width:484.3pt;height:47.6pt;z-index:251656192;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28"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29"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0"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1"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5C3049" w:rsidRPr="001E204F" w:rsidRDefault="005C304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8C7"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168" behindDoc="0" locked="0" layoutInCell="1" allowOverlap="1">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wpg:cNvGrpSpPr/>
                    <wpg:grpSpPr>
                      <a:xfrm>
                        <a:off x="0" y="0"/>
                        <a:ext cx="6150310" cy="828136"/>
                        <a:chOff x="31750" y="0"/>
                        <a:chExt cx="6150310" cy="828136"/>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A860A8">
                              <w:rPr>
                                <w:rFonts w:ascii="Calibri" w:hAnsi="Calibri" w:cs="Calibri" w:hint="cs"/>
                                <w:color w:val="002060"/>
                                <w:sz w:val="12"/>
                                <w:szCs w:val="12"/>
                                <w:rtl/>
                              </w:rPr>
                              <w:t xml:space="preserve"> </w:t>
                            </w:r>
                            <w:r w:rsidR="009961E8" w:rsidRPr="00A860A8">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A860A8">
                              <w:rPr>
                                <w:rFonts w:ascii="Calibri" w:hAnsi="Calibri" w:cs="Calibri" w:hint="cs"/>
                                <w:color w:val="002060"/>
                                <w:sz w:val="12"/>
                                <w:szCs w:val="12"/>
                                <w:rtl/>
                              </w:rPr>
                              <w:t xml:space="preserve"> </w:t>
                            </w:r>
                            <w:r w:rsidR="009961E8" w:rsidRPr="00A860A8">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512CFE" w:rsidRDefault="00512CFE" w:rsidP="00512CFE">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E678C7" w:rsidRPr="0063663E" w:rsidRDefault="00094F36" w:rsidP="00512CFE">
                            <w:pPr>
                              <w:spacing w:line="240" w:lineRule="auto"/>
                              <w:rPr>
                                <w:rFonts w:ascii="Calibri" w:hAnsi="Calibri" w:cs="Calibri"/>
                                <w:color w:val="002060"/>
                                <w:sz w:val="19"/>
                                <w:szCs w:val="19"/>
                                <w:rtl/>
                              </w:rPr>
                            </w:pPr>
                            <w:r w:rsidRPr="00094F36">
                              <w:rPr>
                                <w:rFonts w:ascii="Calibri" w:hAnsi="Calibri" w:cs="Calibri"/>
                                <w:color w:val="002060"/>
                                <w:sz w:val="19"/>
                                <w:szCs w:val="19"/>
                                <w:rtl/>
                              </w:rPr>
                              <w:t>ההיערכות לפינוי אוכלוסייה ברשויות מקומיות בצפון הארץ</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32" style="position:absolute;margin-left:-15.25pt;margin-top:-7.6pt;width:484.3pt;height:65.2pt;z-index:251655168;mso-width-relative:margin;mso-height-relative:margin" coordorigin="317" coordsize="61503,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">
              <v:line id="מחבר ישר 38" o:spid="_x0000_s103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3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w:t>
                      </w:r>
                      <w:bookmarkStart w:id="4" w:name="_GoBack"/>
                      <w:bookmarkEnd w:id="4"/>
                      <w:r>
                        <w:rPr>
                          <w:rFonts w:ascii="Calibri" w:hAnsi="Calibri" w:cs="Calibri" w:hint="cs"/>
                          <w:color w:val="002060"/>
                          <w:sz w:val="22"/>
                          <w:szCs w:val="22"/>
                          <w:rtl/>
                        </w:rPr>
                        <w:t>דוח מיוחד</w:t>
                      </w:r>
                    </w:p>
                  </w:txbxContent>
                </v:textbox>
              </v:shape>
              <v:shape id="תיבת טקסט 2" o:spid="_x0000_s103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A860A8">
                        <w:rPr>
                          <w:rFonts w:ascii="Calibri" w:hAnsi="Calibri" w:cs="Calibri" w:hint="cs"/>
                          <w:color w:val="002060"/>
                          <w:sz w:val="12"/>
                          <w:szCs w:val="12"/>
                          <w:rtl/>
                        </w:rPr>
                        <w:t xml:space="preserve"> </w:t>
                      </w:r>
                      <w:r w:rsidR="009961E8" w:rsidRPr="00A860A8">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A860A8">
                        <w:rPr>
                          <w:rFonts w:ascii="Calibri" w:hAnsi="Calibri" w:cs="Calibri" w:hint="cs"/>
                          <w:color w:val="002060"/>
                          <w:sz w:val="12"/>
                          <w:szCs w:val="12"/>
                          <w:rtl/>
                        </w:rPr>
                        <w:t xml:space="preserve"> </w:t>
                      </w:r>
                      <w:r w:rsidR="009961E8" w:rsidRPr="00A860A8">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v:textbox>
              </v:shape>
              <v:shape id="תיבת טקסט 2" o:spid="_x0000_s1036" type="#_x0000_t202" style="position:absolute;left:17828;top:3180;width:43943;height:51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512CFE" w:rsidRDefault="00512CFE" w:rsidP="00512CFE">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E678C7" w:rsidRPr="0063663E" w:rsidRDefault="00094F36" w:rsidP="00512CFE">
                      <w:pPr>
                        <w:spacing w:line="240" w:lineRule="auto"/>
                        <w:rPr>
                          <w:rFonts w:ascii="Calibri" w:hAnsi="Calibri" w:cs="Calibri"/>
                          <w:color w:val="002060"/>
                          <w:sz w:val="19"/>
                          <w:szCs w:val="19"/>
                          <w:rtl/>
                        </w:rPr>
                      </w:pPr>
                      <w:r w:rsidRPr="00094F36">
                        <w:rPr>
                          <w:rFonts w:ascii="Calibri" w:hAnsi="Calibri" w:cs="Calibri"/>
                          <w:color w:val="002060"/>
                          <w:sz w:val="19"/>
                          <w:szCs w:val="19"/>
                          <w:rtl/>
                        </w:rPr>
                        <w:t>ההיערכות לפינוי אוכלוסייה ברשויות מקומיות בצפון הארץ</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Pr="00FB414E" w:rsidRDefault="00EE06A0" w:rsidP="00FB414E">
    <w:pPr>
      <w:pStyle w:val="a9"/>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9504" behindDoc="0" locked="0" layoutInCell="1" allowOverlap="1" wp14:anchorId="7CB849E6" wp14:editId="44F7F617">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69FE2" id="מחבר ישר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9.25pt,189.95pt" to="407.8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" strokecolor="#002060" strokeweight="1.25pt">
              <w10:wrap anchorx="page"/>
            </v:line>
          </w:pict>
        </mc:Fallback>
      </mc:AlternateContent>
    </w:r>
    <w:r>
      <w:rPr>
        <w:noProof/>
      </w:rPr>
      <mc:AlternateContent>
        <mc:Choice Requires="wps">
          <w:drawing>
            <wp:anchor distT="0" distB="0" distL="114300" distR="114300" simplePos="0" relativeHeight="251649023" behindDoc="0" locked="0" layoutInCell="1" allowOverlap="1" wp14:anchorId="24C9CFC1" wp14:editId="6D33ECE3">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61269790" id="מלבן 2" o:spid="_x0000_s1026" style="position:absolute;left:0;text-align:left;margin-left:159.85pt;margin-top:99.95pt;width:133.15pt;height:56.7pt;z-index:251649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"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7456" behindDoc="0" locked="0" layoutInCell="1" allowOverlap="1" wp14:anchorId="499EF13E" wp14:editId="7199A9CB">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B40BFA">
                            <w:rPr>
                              <w:rFonts w:ascii="Calibri" w:hAnsi="Calibri" w:cs="Calibri" w:hint="cs"/>
                              <w:color w:val="FFFFFF" w:themeColor="background1"/>
                              <w:spacing w:val="80"/>
                              <w:sz w:val="28"/>
                              <w:szCs w:val="36"/>
                              <w:rtl/>
                            </w:rPr>
                            <w:t>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w14:anchorId="499EF13E" id="_x0000_t202" coordsize="21600,21600" o:spt="202" path="m,l,21600r21600,l21600,xe">
              <v:stroke joinstyle="miter"/>
              <v:path gradientshapeok="t" o:connecttype="rect"/>
            </v:shapetype>
            <v:shape id="תיבת טקסט 23" o:spid="_x0000_s1037" type="#_x0000_t202" style="position:absolute;margin-left:0;margin-top:113.95pt;width:233pt;height:35.9pt;z-index:25166745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" filled="f" stroked="f" strokeweight=".5pt">
              <v:textbo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B40BFA">
                      <w:rPr>
                        <w:rFonts w:ascii="Calibri" w:hAnsi="Calibri" w:cs="Calibri" w:hint="cs"/>
                        <w:color w:val="FFFFFF" w:themeColor="background1"/>
                        <w:spacing w:val="80"/>
                        <w:sz w:val="28"/>
                        <w:szCs w:val="36"/>
                        <w:rtl/>
                      </w:rPr>
                      <w:t>ג'</w:t>
                    </w:r>
                  </w:p>
                </w:txbxContent>
              </v:textbox>
              <w10:wrap anchorx="page"/>
            </v:shape>
          </w:pict>
        </mc:Fallback>
      </mc:AlternateContent>
    </w:r>
    <w:r w:rsidR="0011074F">
      <w:rPr>
        <w:rFonts w:asciiTheme="minorHAnsi" w:hAnsiTheme="minorHAnsi" w:cs="Calibri"/>
        <w:noProof/>
        <w:color w:val="002060"/>
        <w:szCs w:val="20"/>
        <w:rtl/>
        <w:lang w:val="he-IL"/>
      </w:rPr>
      <mc:AlternateContent>
        <mc:Choice Requires="wps">
          <w:drawing>
            <wp:anchor distT="0" distB="0" distL="114300" distR="114300" simplePos="0" relativeHeight="251662336" behindDoc="0" locked="0" layoutInCell="1" allowOverlap="1">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D5069C" id="מחבר ישר 1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60.8pt,155.9pt" to="292.8pt,1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" strokecolor="#002060"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9A" w:rsidRPr="00FB414E" w:rsidRDefault="009961E8" w:rsidP="00FB414E">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721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1040" style="position:absolute;margin-left:-15.2pt;margin-top:-7.45pt;width:484.3pt;height:47.6pt;z-index:25165721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2oleVogMAAIAMAAAOAAAAAAAAAAAAAAAAAC4CAABkcnMvZTJvRG9jLnhtbFBLAQItABQABgAI&#10;AAAAIQBvXoIP4QAAAAoBAAAPAAAAAAAAAAAAAAAAAPwFAABkcnMvZG93bnJldi54bWxQSwUGAAAA&#10;AAQABADzAAAACgcAAAAA&#10;">
              <v:line id="מחבר ישר 1166979208" o:spid="_x0000_s1041"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" strokecolor="#4579b8 [3044]"/>
              <v:shapetype id="_x0000_t202" coordsize="21600,21600" o:spt="202" path="m,l,21600r21600,l21600,xe">
                <v:stroke joinstyle="miter"/>
                <v:path gradientshapeok="t" o:connecttype="rect"/>
              </v:shapetype>
              <v:shape id="תיבת טקסט 2" o:spid="_x0000_s1042"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" filled="f" stroked="f">
                <v:textbo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3"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" filled="f" stroked="f">
                <v:textbo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4"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" filled="f" stroked="f">
                <v:textbo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pt;height:16.5pt" o:bullet="t">
        <v:imagedata r:id="rId1" o:title="hand-red"/>
      </v:shape>
    </w:pict>
  </w:numPicBullet>
  <w:numPicBullet w:numPicBulletId="1">
    <w:pict>
      <v:shape id="_x0000_i1029" type="#_x0000_t75" style="width:255pt;height:255pt" o:bullet="t">
        <v:imagedata r:id="rId2" o:title=""/>
      </v:shape>
    </w:pict>
  </w:numPicBullet>
  <w:abstractNum w:abstractNumId="0" w15:restartNumberingAfterBreak="0">
    <w:nsid w:val="088216AB"/>
    <w:multiLevelType w:val="hybridMultilevel"/>
    <w:tmpl w:val="BB7ADECA"/>
    <w:lvl w:ilvl="0" w:tplc="3A38C5B0">
      <w:start w:val="1"/>
      <w:numFmt w:val="hebrew1"/>
      <w:pStyle w:val="1"/>
      <w:lvlText w:val="%1."/>
      <w:lvlJc w:val="center"/>
      <w:pPr>
        <w:ind w:left="1915" w:hanging="360"/>
      </w:pPr>
    </w:lvl>
    <w:lvl w:ilvl="1" w:tplc="A9EEA3BA" w:tentative="1">
      <w:start w:val="1"/>
      <w:numFmt w:val="lowerLetter"/>
      <w:lvlText w:val="%2."/>
      <w:lvlJc w:val="left"/>
      <w:pPr>
        <w:ind w:left="2635" w:hanging="360"/>
      </w:pPr>
    </w:lvl>
    <w:lvl w:ilvl="2" w:tplc="9CC25F30" w:tentative="1">
      <w:start w:val="1"/>
      <w:numFmt w:val="lowerRoman"/>
      <w:lvlText w:val="%3."/>
      <w:lvlJc w:val="right"/>
      <w:pPr>
        <w:ind w:left="3355" w:hanging="180"/>
      </w:pPr>
    </w:lvl>
    <w:lvl w:ilvl="3" w:tplc="1D4C38E0" w:tentative="1">
      <w:start w:val="1"/>
      <w:numFmt w:val="decimal"/>
      <w:lvlText w:val="%4."/>
      <w:lvlJc w:val="left"/>
      <w:pPr>
        <w:ind w:left="4075" w:hanging="360"/>
      </w:pPr>
    </w:lvl>
    <w:lvl w:ilvl="4" w:tplc="54FE2B0E" w:tentative="1">
      <w:start w:val="1"/>
      <w:numFmt w:val="lowerLetter"/>
      <w:lvlText w:val="%5."/>
      <w:lvlJc w:val="left"/>
      <w:pPr>
        <w:ind w:left="4795" w:hanging="360"/>
      </w:pPr>
    </w:lvl>
    <w:lvl w:ilvl="5" w:tplc="142A03FE" w:tentative="1">
      <w:start w:val="1"/>
      <w:numFmt w:val="lowerRoman"/>
      <w:lvlText w:val="%6."/>
      <w:lvlJc w:val="right"/>
      <w:pPr>
        <w:ind w:left="5515" w:hanging="180"/>
      </w:pPr>
    </w:lvl>
    <w:lvl w:ilvl="6" w:tplc="AB48969C" w:tentative="1">
      <w:start w:val="1"/>
      <w:numFmt w:val="decimal"/>
      <w:lvlText w:val="%7."/>
      <w:lvlJc w:val="left"/>
      <w:pPr>
        <w:ind w:left="6235" w:hanging="360"/>
      </w:pPr>
    </w:lvl>
    <w:lvl w:ilvl="7" w:tplc="5BF07B4C" w:tentative="1">
      <w:start w:val="1"/>
      <w:numFmt w:val="lowerLetter"/>
      <w:lvlText w:val="%8."/>
      <w:lvlJc w:val="left"/>
      <w:pPr>
        <w:ind w:left="6955" w:hanging="360"/>
      </w:pPr>
    </w:lvl>
    <w:lvl w:ilvl="8" w:tplc="9D682F6E"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tplc="F01860D2">
      <w:start w:val="1"/>
      <w:numFmt w:val="decimal"/>
      <w:lvlText w:val="%1."/>
      <w:lvlJc w:val="left"/>
      <w:pPr>
        <w:ind w:left="397" w:hanging="397"/>
      </w:pPr>
      <w:rPr>
        <w:rFonts w:hint="default"/>
      </w:rPr>
    </w:lvl>
    <w:lvl w:ilvl="1" w:tplc="DF48574C" w:tentative="1">
      <w:start w:val="1"/>
      <w:numFmt w:val="lowerLetter"/>
      <w:lvlText w:val="%2."/>
      <w:lvlJc w:val="left"/>
      <w:pPr>
        <w:ind w:left="1440" w:hanging="360"/>
      </w:pPr>
    </w:lvl>
    <w:lvl w:ilvl="2" w:tplc="95E4D03A" w:tentative="1">
      <w:start w:val="1"/>
      <w:numFmt w:val="lowerRoman"/>
      <w:lvlText w:val="%3."/>
      <w:lvlJc w:val="right"/>
      <w:pPr>
        <w:ind w:left="2160" w:hanging="180"/>
      </w:pPr>
    </w:lvl>
    <w:lvl w:ilvl="3" w:tplc="D2E6577E" w:tentative="1">
      <w:start w:val="1"/>
      <w:numFmt w:val="decimal"/>
      <w:lvlText w:val="%4."/>
      <w:lvlJc w:val="left"/>
      <w:pPr>
        <w:ind w:left="2880" w:hanging="360"/>
      </w:pPr>
    </w:lvl>
    <w:lvl w:ilvl="4" w:tplc="164A9528" w:tentative="1">
      <w:start w:val="1"/>
      <w:numFmt w:val="lowerLetter"/>
      <w:lvlText w:val="%5."/>
      <w:lvlJc w:val="left"/>
      <w:pPr>
        <w:ind w:left="3600" w:hanging="360"/>
      </w:pPr>
    </w:lvl>
    <w:lvl w:ilvl="5" w:tplc="AE2675E6" w:tentative="1">
      <w:start w:val="1"/>
      <w:numFmt w:val="lowerRoman"/>
      <w:lvlText w:val="%6."/>
      <w:lvlJc w:val="right"/>
      <w:pPr>
        <w:ind w:left="4320" w:hanging="180"/>
      </w:pPr>
    </w:lvl>
    <w:lvl w:ilvl="6" w:tplc="96B65B04" w:tentative="1">
      <w:start w:val="1"/>
      <w:numFmt w:val="decimal"/>
      <w:lvlText w:val="%7."/>
      <w:lvlJc w:val="left"/>
      <w:pPr>
        <w:ind w:left="5040" w:hanging="360"/>
      </w:pPr>
    </w:lvl>
    <w:lvl w:ilvl="7" w:tplc="23E2F8F0" w:tentative="1">
      <w:start w:val="1"/>
      <w:numFmt w:val="lowerLetter"/>
      <w:lvlText w:val="%8."/>
      <w:lvlJc w:val="left"/>
      <w:pPr>
        <w:ind w:left="5760" w:hanging="360"/>
      </w:pPr>
    </w:lvl>
    <w:lvl w:ilvl="8" w:tplc="D352B236"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tplc="98FEDA48">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8992058E" w:tentative="1">
      <w:start w:val="1"/>
      <w:numFmt w:val="bullet"/>
      <w:lvlText w:val="o"/>
      <w:lvlJc w:val="left"/>
      <w:pPr>
        <w:ind w:left="1440" w:hanging="360"/>
      </w:pPr>
      <w:rPr>
        <w:rFonts w:ascii="Courier New" w:hAnsi="Courier New" w:cs="Courier New" w:hint="default"/>
      </w:rPr>
    </w:lvl>
    <w:lvl w:ilvl="2" w:tplc="5510C730" w:tentative="1">
      <w:start w:val="1"/>
      <w:numFmt w:val="bullet"/>
      <w:lvlText w:val=""/>
      <w:lvlJc w:val="left"/>
      <w:pPr>
        <w:ind w:left="2160" w:hanging="360"/>
      </w:pPr>
      <w:rPr>
        <w:rFonts w:ascii="Wingdings" w:hAnsi="Wingdings" w:hint="default"/>
      </w:rPr>
    </w:lvl>
    <w:lvl w:ilvl="3" w:tplc="0B226DD8" w:tentative="1">
      <w:start w:val="1"/>
      <w:numFmt w:val="bullet"/>
      <w:lvlText w:val=""/>
      <w:lvlJc w:val="left"/>
      <w:pPr>
        <w:ind w:left="2880" w:hanging="360"/>
      </w:pPr>
      <w:rPr>
        <w:rFonts w:ascii="Symbol" w:hAnsi="Symbol" w:hint="default"/>
      </w:rPr>
    </w:lvl>
    <w:lvl w:ilvl="4" w:tplc="81BEF50C" w:tentative="1">
      <w:start w:val="1"/>
      <w:numFmt w:val="bullet"/>
      <w:lvlText w:val="o"/>
      <w:lvlJc w:val="left"/>
      <w:pPr>
        <w:ind w:left="3600" w:hanging="360"/>
      </w:pPr>
      <w:rPr>
        <w:rFonts w:ascii="Courier New" w:hAnsi="Courier New" w:cs="Courier New" w:hint="default"/>
      </w:rPr>
    </w:lvl>
    <w:lvl w:ilvl="5" w:tplc="5A12E166" w:tentative="1">
      <w:start w:val="1"/>
      <w:numFmt w:val="bullet"/>
      <w:lvlText w:val=""/>
      <w:lvlJc w:val="left"/>
      <w:pPr>
        <w:ind w:left="4320" w:hanging="360"/>
      </w:pPr>
      <w:rPr>
        <w:rFonts w:ascii="Wingdings" w:hAnsi="Wingdings" w:hint="default"/>
      </w:rPr>
    </w:lvl>
    <w:lvl w:ilvl="6" w:tplc="93664AB4" w:tentative="1">
      <w:start w:val="1"/>
      <w:numFmt w:val="bullet"/>
      <w:lvlText w:val=""/>
      <w:lvlJc w:val="left"/>
      <w:pPr>
        <w:ind w:left="5040" w:hanging="360"/>
      </w:pPr>
      <w:rPr>
        <w:rFonts w:ascii="Symbol" w:hAnsi="Symbol" w:hint="default"/>
      </w:rPr>
    </w:lvl>
    <w:lvl w:ilvl="7" w:tplc="4DDA35FE" w:tentative="1">
      <w:start w:val="1"/>
      <w:numFmt w:val="bullet"/>
      <w:lvlText w:val="o"/>
      <w:lvlJc w:val="left"/>
      <w:pPr>
        <w:ind w:left="5760" w:hanging="360"/>
      </w:pPr>
      <w:rPr>
        <w:rFonts w:ascii="Courier New" w:hAnsi="Courier New" w:cs="Courier New" w:hint="default"/>
      </w:rPr>
    </w:lvl>
    <w:lvl w:ilvl="8" w:tplc="B81C7A8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tplc="4868114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1A1C0A16" w:tentative="1">
      <w:start w:val="1"/>
      <w:numFmt w:val="bullet"/>
      <w:lvlText w:val="o"/>
      <w:lvlJc w:val="left"/>
      <w:pPr>
        <w:ind w:left="1440" w:hanging="360"/>
      </w:pPr>
      <w:rPr>
        <w:rFonts w:ascii="Courier New" w:hAnsi="Courier New" w:cs="Courier New" w:hint="default"/>
      </w:rPr>
    </w:lvl>
    <w:lvl w:ilvl="2" w:tplc="29FC0FAA" w:tentative="1">
      <w:start w:val="1"/>
      <w:numFmt w:val="bullet"/>
      <w:lvlText w:val=""/>
      <w:lvlJc w:val="left"/>
      <w:pPr>
        <w:ind w:left="2160" w:hanging="360"/>
      </w:pPr>
      <w:rPr>
        <w:rFonts w:ascii="Wingdings" w:hAnsi="Wingdings" w:hint="default"/>
      </w:rPr>
    </w:lvl>
    <w:lvl w:ilvl="3" w:tplc="6E66C352" w:tentative="1">
      <w:start w:val="1"/>
      <w:numFmt w:val="bullet"/>
      <w:lvlText w:val=""/>
      <w:lvlJc w:val="left"/>
      <w:pPr>
        <w:ind w:left="2880" w:hanging="360"/>
      </w:pPr>
      <w:rPr>
        <w:rFonts w:ascii="Symbol" w:hAnsi="Symbol" w:hint="default"/>
      </w:rPr>
    </w:lvl>
    <w:lvl w:ilvl="4" w:tplc="969EC8C2" w:tentative="1">
      <w:start w:val="1"/>
      <w:numFmt w:val="bullet"/>
      <w:lvlText w:val="o"/>
      <w:lvlJc w:val="left"/>
      <w:pPr>
        <w:ind w:left="3600" w:hanging="360"/>
      </w:pPr>
      <w:rPr>
        <w:rFonts w:ascii="Courier New" w:hAnsi="Courier New" w:cs="Courier New" w:hint="default"/>
      </w:rPr>
    </w:lvl>
    <w:lvl w:ilvl="5" w:tplc="749E3A52" w:tentative="1">
      <w:start w:val="1"/>
      <w:numFmt w:val="bullet"/>
      <w:lvlText w:val=""/>
      <w:lvlJc w:val="left"/>
      <w:pPr>
        <w:ind w:left="4320" w:hanging="360"/>
      </w:pPr>
      <w:rPr>
        <w:rFonts w:ascii="Wingdings" w:hAnsi="Wingdings" w:hint="default"/>
      </w:rPr>
    </w:lvl>
    <w:lvl w:ilvl="6" w:tplc="BBE84E80" w:tentative="1">
      <w:start w:val="1"/>
      <w:numFmt w:val="bullet"/>
      <w:lvlText w:val=""/>
      <w:lvlJc w:val="left"/>
      <w:pPr>
        <w:ind w:left="5040" w:hanging="360"/>
      </w:pPr>
      <w:rPr>
        <w:rFonts w:ascii="Symbol" w:hAnsi="Symbol" w:hint="default"/>
      </w:rPr>
    </w:lvl>
    <w:lvl w:ilvl="7" w:tplc="F8C2DFB4" w:tentative="1">
      <w:start w:val="1"/>
      <w:numFmt w:val="bullet"/>
      <w:lvlText w:val="o"/>
      <w:lvlJc w:val="left"/>
      <w:pPr>
        <w:ind w:left="5760" w:hanging="360"/>
      </w:pPr>
      <w:rPr>
        <w:rFonts w:ascii="Courier New" w:hAnsi="Courier New" w:cs="Courier New" w:hint="default"/>
      </w:rPr>
    </w:lvl>
    <w:lvl w:ilvl="8" w:tplc="9AC603B6"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tplc="97FABDBA">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1F58ECD6" w:tentative="1">
      <w:start w:val="1"/>
      <w:numFmt w:val="bullet"/>
      <w:lvlText w:val="o"/>
      <w:lvlJc w:val="left"/>
      <w:pPr>
        <w:ind w:left="1837" w:hanging="360"/>
      </w:pPr>
      <w:rPr>
        <w:rFonts w:ascii="Courier New" w:hAnsi="Courier New" w:cs="Courier New" w:hint="default"/>
      </w:rPr>
    </w:lvl>
    <w:lvl w:ilvl="2" w:tplc="59F2F6B6" w:tentative="1">
      <w:start w:val="1"/>
      <w:numFmt w:val="bullet"/>
      <w:lvlText w:val=""/>
      <w:lvlJc w:val="left"/>
      <w:pPr>
        <w:ind w:left="2557" w:hanging="360"/>
      </w:pPr>
      <w:rPr>
        <w:rFonts w:ascii="Wingdings" w:hAnsi="Wingdings" w:hint="default"/>
      </w:rPr>
    </w:lvl>
    <w:lvl w:ilvl="3" w:tplc="62720D1C" w:tentative="1">
      <w:start w:val="1"/>
      <w:numFmt w:val="bullet"/>
      <w:lvlText w:val=""/>
      <w:lvlJc w:val="left"/>
      <w:pPr>
        <w:ind w:left="3277" w:hanging="360"/>
      </w:pPr>
      <w:rPr>
        <w:rFonts w:ascii="Symbol" w:hAnsi="Symbol" w:hint="default"/>
      </w:rPr>
    </w:lvl>
    <w:lvl w:ilvl="4" w:tplc="679A1012" w:tentative="1">
      <w:start w:val="1"/>
      <w:numFmt w:val="bullet"/>
      <w:lvlText w:val="o"/>
      <w:lvlJc w:val="left"/>
      <w:pPr>
        <w:ind w:left="3997" w:hanging="360"/>
      </w:pPr>
      <w:rPr>
        <w:rFonts w:ascii="Courier New" w:hAnsi="Courier New" w:cs="Courier New" w:hint="default"/>
      </w:rPr>
    </w:lvl>
    <w:lvl w:ilvl="5" w:tplc="CE26FBDA" w:tentative="1">
      <w:start w:val="1"/>
      <w:numFmt w:val="bullet"/>
      <w:lvlText w:val=""/>
      <w:lvlJc w:val="left"/>
      <w:pPr>
        <w:ind w:left="4717" w:hanging="360"/>
      </w:pPr>
      <w:rPr>
        <w:rFonts w:ascii="Wingdings" w:hAnsi="Wingdings" w:hint="default"/>
      </w:rPr>
    </w:lvl>
    <w:lvl w:ilvl="6" w:tplc="7DF0CE40" w:tentative="1">
      <w:start w:val="1"/>
      <w:numFmt w:val="bullet"/>
      <w:lvlText w:val=""/>
      <w:lvlJc w:val="left"/>
      <w:pPr>
        <w:ind w:left="5437" w:hanging="360"/>
      </w:pPr>
      <w:rPr>
        <w:rFonts w:ascii="Symbol" w:hAnsi="Symbol" w:hint="default"/>
      </w:rPr>
    </w:lvl>
    <w:lvl w:ilvl="7" w:tplc="0BC850FC" w:tentative="1">
      <w:start w:val="1"/>
      <w:numFmt w:val="bullet"/>
      <w:lvlText w:val="o"/>
      <w:lvlJc w:val="left"/>
      <w:pPr>
        <w:ind w:left="6157" w:hanging="360"/>
      </w:pPr>
      <w:rPr>
        <w:rFonts w:ascii="Courier New" w:hAnsi="Courier New" w:cs="Courier New" w:hint="default"/>
      </w:rPr>
    </w:lvl>
    <w:lvl w:ilvl="8" w:tplc="35124644"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tplc="7EF883A4">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9F3C496A" w:tentative="1">
      <w:start w:val="1"/>
      <w:numFmt w:val="bullet"/>
      <w:lvlText w:val="o"/>
      <w:lvlJc w:val="left"/>
      <w:pPr>
        <w:ind w:left="1440" w:hanging="360"/>
      </w:pPr>
      <w:rPr>
        <w:rFonts w:ascii="Courier New" w:hAnsi="Courier New" w:cs="Courier New" w:hint="default"/>
      </w:rPr>
    </w:lvl>
    <w:lvl w:ilvl="2" w:tplc="DDD26712" w:tentative="1">
      <w:start w:val="1"/>
      <w:numFmt w:val="bullet"/>
      <w:lvlText w:val=""/>
      <w:lvlJc w:val="left"/>
      <w:pPr>
        <w:ind w:left="2160" w:hanging="360"/>
      </w:pPr>
      <w:rPr>
        <w:rFonts w:ascii="Wingdings" w:hAnsi="Wingdings" w:hint="default"/>
      </w:rPr>
    </w:lvl>
    <w:lvl w:ilvl="3" w:tplc="A1E41774" w:tentative="1">
      <w:start w:val="1"/>
      <w:numFmt w:val="bullet"/>
      <w:lvlText w:val=""/>
      <w:lvlJc w:val="left"/>
      <w:pPr>
        <w:ind w:left="2880" w:hanging="360"/>
      </w:pPr>
      <w:rPr>
        <w:rFonts w:ascii="Symbol" w:hAnsi="Symbol" w:hint="default"/>
      </w:rPr>
    </w:lvl>
    <w:lvl w:ilvl="4" w:tplc="0666EAC8" w:tentative="1">
      <w:start w:val="1"/>
      <w:numFmt w:val="bullet"/>
      <w:lvlText w:val="o"/>
      <w:lvlJc w:val="left"/>
      <w:pPr>
        <w:ind w:left="3600" w:hanging="360"/>
      </w:pPr>
      <w:rPr>
        <w:rFonts w:ascii="Courier New" w:hAnsi="Courier New" w:cs="Courier New" w:hint="default"/>
      </w:rPr>
    </w:lvl>
    <w:lvl w:ilvl="5" w:tplc="973ED118" w:tentative="1">
      <w:start w:val="1"/>
      <w:numFmt w:val="bullet"/>
      <w:lvlText w:val=""/>
      <w:lvlJc w:val="left"/>
      <w:pPr>
        <w:ind w:left="4320" w:hanging="360"/>
      </w:pPr>
      <w:rPr>
        <w:rFonts w:ascii="Wingdings" w:hAnsi="Wingdings" w:hint="default"/>
      </w:rPr>
    </w:lvl>
    <w:lvl w:ilvl="6" w:tplc="2B56CE7C" w:tentative="1">
      <w:start w:val="1"/>
      <w:numFmt w:val="bullet"/>
      <w:lvlText w:val=""/>
      <w:lvlJc w:val="left"/>
      <w:pPr>
        <w:ind w:left="5040" w:hanging="360"/>
      </w:pPr>
      <w:rPr>
        <w:rFonts w:ascii="Symbol" w:hAnsi="Symbol" w:hint="default"/>
      </w:rPr>
    </w:lvl>
    <w:lvl w:ilvl="7" w:tplc="F808DC1C" w:tentative="1">
      <w:start w:val="1"/>
      <w:numFmt w:val="bullet"/>
      <w:lvlText w:val="o"/>
      <w:lvlJc w:val="left"/>
      <w:pPr>
        <w:ind w:left="5760" w:hanging="360"/>
      </w:pPr>
      <w:rPr>
        <w:rFonts w:ascii="Courier New" w:hAnsi="Courier New" w:cs="Courier New" w:hint="default"/>
      </w:rPr>
    </w:lvl>
    <w:lvl w:ilvl="8" w:tplc="BF4086AC"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tplc="5ACCC4C6">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92CAFB02" w:tentative="1">
      <w:start w:val="1"/>
      <w:numFmt w:val="bullet"/>
      <w:lvlText w:val="o"/>
      <w:lvlJc w:val="left"/>
      <w:pPr>
        <w:ind w:left="1837" w:hanging="360"/>
      </w:pPr>
      <w:rPr>
        <w:rFonts w:ascii="Courier New" w:hAnsi="Courier New" w:cs="Courier New" w:hint="default"/>
      </w:rPr>
    </w:lvl>
    <w:lvl w:ilvl="2" w:tplc="158CFFC2" w:tentative="1">
      <w:start w:val="1"/>
      <w:numFmt w:val="bullet"/>
      <w:lvlText w:val=""/>
      <w:lvlJc w:val="left"/>
      <w:pPr>
        <w:ind w:left="2557" w:hanging="360"/>
      </w:pPr>
      <w:rPr>
        <w:rFonts w:ascii="Wingdings" w:hAnsi="Wingdings" w:hint="default"/>
      </w:rPr>
    </w:lvl>
    <w:lvl w:ilvl="3" w:tplc="5D02ADC2" w:tentative="1">
      <w:start w:val="1"/>
      <w:numFmt w:val="bullet"/>
      <w:lvlText w:val=""/>
      <w:lvlJc w:val="left"/>
      <w:pPr>
        <w:ind w:left="3277" w:hanging="360"/>
      </w:pPr>
      <w:rPr>
        <w:rFonts w:ascii="Symbol" w:hAnsi="Symbol" w:hint="default"/>
      </w:rPr>
    </w:lvl>
    <w:lvl w:ilvl="4" w:tplc="86063D80" w:tentative="1">
      <w:start w:val="1"/>
      <w:numFmt w:val="bullet"/>
      <w:lvlText w:val="o"/>
      <w:lvlJc w:val="left"/>
      <w:pPr>
        <w:ind w:left="3997" w:hanging="360"/>
      </w:pPr>
      <w:rPr>
        <w:rFonts w:ascii="Courier New" w:hAnsi="Courier New" w:cs="Courier New" w:hint="default"/>
      </w:rPr>
    </w:lvl>
    <w:lvl w:ilvl="5" w:tplc="DC2AC304" w:tentative="1">
      <w:start w:val="1"/>
      <w:numFmt w:val="bullet"/>
      <w:lvlText w:val=""/>
      <w:lvlJc w:val="left"/>
      <w:pPr>
        <w:ind w:left="4717" w:hanging="360"/>
      </w:pPr>
      <w:rPr>
        <w:rFonts w:ascii="Wingdings" w:hAnsi="Wingdings" w:hint="default"/>
      </w:rPr>
    </w:lvl>
    <w:lvl w:ilvl="6" w:tplc="EF96DC64" w:tentative="1">
      <w:start w:val="1"/>
      <w:numFmt w:val="bullet"/>
      <w:lvlText w:val=""/>
      <w:lvlJc w:val="left"/>
      <w:pPr>
        <w:ind w:left="5437" w:hanging="360"/>
      </w:pPr>
      <w:rPr>
        <w:rFonts w:ascii="Symbol" w:hAnsi="Symbol" w:hint="default"/>
      </w:rPr>
    </w:lvl>
    <w:lvl w:ilvl="7" w:tplc="9258E0B0" w:tentative="1">
      <w:start w:val="1"/>
      <w:numFmt w:val="bullet"/>
      <w:lvlText w:val="o"/>
      <w:lvlJc w:val="left"/>
      <w:pPr>
        <w:ind w:left="6157" w:hanging="360"/>
      </w:pPr>
      <w:rPr>
        <w:rFonts w:ascii="Courier New" w:hAnsi="Courier New" w:cs="Courier New" w:hint="default"/>
      </w:rPr>
    </w:lvl>
    <w:lvl w:ilvl="8" w:tplc="68202F4A"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tplc="D0D88004">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A524F886" w:tentative="1">
      <w:start w:val="1"/>
      <w:numFmt w:val="bullet"/>
      <w:lvlText w:val="o"/>
      <w:lvlJc w:val="left"/>
      <w:pPr>
        <w:ind w:left="1440" w:hanging="360"/>
      </w:pPr>
      <w:rPr>
        <w:rFonts w:ascii="Courier New" w:hAnsi="Courier New" w:cs="Courier New" w:hint="default"/>
      </w:rPr>
    </w:lvl>
    <w:lvl w:ilvl="2" w:tplc="B12C6784" w:tentative="1">
      <w:start w:val="1"/>
      <w:numFmt w:val="bullet"/>
      <w:lvlText w:val=""/>
      <w:lvlJc w:val="left"/>
      <w:pPr>
        <w:ind w:left="2160" w:hanging="360"/>
      </w:pPr>
      <w:rPr>
        <w:rFonts w:ascii="Wingdings" w:hAnsi="Wingdings" w:hint="default"/>
      </w:rPr>
    </w:lvl>
    <w:lvl w:ilvl="3" w:tplc="BFDAA40A" w:tentative="1">
      <w:start w:val="1"/>
      <w:numFmt w:val="bullet"/>
      <w:lvlText w:val=""/>
      <w:lvlJc w:val="left"/>
      <w:pPr>
        <w:ind w:left="2880" w:hanging="360"/>
      </w:pPr>
      <w:rPr>
        <w:rFonts w:ascii="Symbol" w:hAnsi="Symbol" w:hint="default"/>
      </w:rPr>
    </w:lvl>
    <w:lvl w:ilvl="4" w:tplc="ABA0A2B2" w:tentative="1">
      <w:start w:val="1"/>
      <w:numFmt w:val="bullet"/>
      <w:lvlText w:val="o"/>
      <w:lvlJc w:val="left"/>
      <w:pPr>
        <w:ind w:left="3600" w:hanging="360"/>
      </w:pPr>
      <w:rPr>
        <w:rFonts w:ascii="Courier New" w:hAnsi="Courier New" w:cs="Courier New" w:hint="default"/>
      </w:rPr>
    </w:lvl>
    <w:lvl w:ilvl="5" w:tplc="27506C20" w:tentative="1">
      <w:start w:val="1"/>
      <w:numFmt w:val="bullet"/>
      <w:lvlText w:val=""/>
      <w:lvlJc w:val="left"/>
      <w:pPr>
        <w:ind w:left="4320" w:hanging="360"/>
      </w:pPr>
      <w:rPr>
        <w:rFonts w:ascii="Wingdings" w:hAnsi="Wingdings" w:hint="default"/>
      </w:rPr>
    </w:lvl>
    <w:lvl w:ilvl="6" w:tplc="A16C437E" w:tentative="1">
      <w:start w:val="1"/>
      <w:numFmt w:val="bullet"/>
      <w:lvlText w:val=""/>
      <w:lvlJc w:val="left"/>
      <w:pPr>
        <w:ind w:left="5040" w:hanging="360"/>
      </w:pPr>
      <w:rPr>
        <w:rFonts w:ascii="Symbol" w:hAnsi="Symbol" w:hint="default"/>
      </w:rPr>
    </w:lvl>
    <w:lvl w:ilvl="7" w:tplc="B2120F30" w:tentative="1">
      <w:start w:val="1"/>
      <w:numFmt w:val="bullet"/>
      <w:lvlText w:val="o"/>
      <w:lvlJc w:val="left"/>
      <w:pPr>
        <w:ind w:left="5760" w:hanging="360"/>
      </w:pPr>
      <w:rPr>
        <w:rFonts w:ascii="Courier New" w:hAnsi="Courier New" w:cs="Courier New" w:hint="default"/>
      </w:rPr>
    </w:lvl>
    <w:lvl w:ilvl="8" w:tplc="E612D94C"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tplc="7CD6B5E2">
      <w:start w:val="1"/>
      <w:numFmt w:val="decimal"/>
      <w:pStyle w:val="a"/>
      <w:lvlText w:val="לוח %1:"/>
      <w:lvlJc w:val="left"/>
      <w:pPr>
        <w:ind w:left="1854" w:hanging="360"/>
      </w:pPr>
      <w:rPr>
        <w:rFonts w:ascii="Calibri" w:hAnsi="Calibri" w:cs="Calibri" w:hint="default"/>
        <w:b w:val="0"/>
        <w:bCs w:val="0"/>
        <w:i w:val="0"/>
        <w:iCs w:val="0"/>
        <w:color w:val="002060"/>
        <w:sz w:val="24"/>
        <w:szCs w:val="24"/>
      </w:rPr>
    </w:lvl>
    <w:lvl w:ilvl="1" w:tplc="54A47290" w:tentative="1">
      <w:start w:val="1"/>
      <w:numFmt w:val="lowerLetter"/>
      <w:lvlText w:val="%2."/>
      <w:lvlJc w:val="left"/>
      <w:pPr>
        <w:ind w:left="2574" w:hanging="360"/>
      </w:pPr>
    </w:lvl>
    <w:lvl w:ilvl="2" w:tplc="92321110" w:tentative="1">
      <w:start w:val="1"/>
      <w:numFmt w:val="lowerRoman"/>
      <w:lvlText w:val="%3."/>
      <w:lvlJc w:val="right"/>
      <w:pPr>
        <w:ind w:left="3294" w:hanging="180"/>
      </w:pPr>
    </w:lvl>
    <w:lvl w:ilvl="3" w:tplc="F1608DDE" w:tentative="1">
      <w:start w:val="1"/>
      <w:numFmt w:val="decimal"/>
      <w:lvlText w:val="%4."/>
      <w:lvlJc w:val="left"/>
      <w:pPr>
        <w:ind w:left="4014" w:hanging="360"/>
      </w:pPr>
    </w:lvl>
    <w:lvl w:ilvl="4" w:tplc="EB0E27A6" w:tentative="1">
      <w:start w:val="1"/>
      <w:numFmt w:val="lowerLetter"/>
      <w:lvlText w:val="%5."/>
      <w:lvlJc w:val="left"/>
      <w:pPr>
        <w:ind w:left="4734" w:hanging="360"/>
      </w:pPr>
    </w:lvl>
    <w:lvl w:ilvl="5" w:tplc="6C56B332" w:tentative="1">
      <w:start w:val="1"/>
      <w:numFmt w:val="lowerRoman"/>
      <w:lvlText w:val="%6."/>
      <w:lvlJc w:val="right"/>
      <w:pPr>
        <w:ind w:left="5454" w:hanging="180"/>
      </w:pPr>
    </w:lvl>
    <w:lvl w:ilvl="6" w:tplc="3A6803F0" w:tentative="1">
      <w:start w:val="1"/>
      <w:numFmt w:val="decimal"/>
      <w:lvlText w:val="%7."/>
      <w:lvlJc w:val="left"/>
      <w:pPr>
        <w:ind w:left="6174" w:hanging="360"/>
      </w:pPr>
    </w:lvl>
    <w:lvl w:ilvl="7" w:tplc="507C1F72" w:tentative="1">
      <w:start w:val="1"/>
      <w:numFmt w:val="lowerLetter"/>
      <w:lvlText w:val="%8."/>
      <w:lvlJc w:val="left"/>
      <w:pPr>
        <w:ind w:left="6894" w:hanging="360"/>
      </w:pPr>
    </w:lvl>
    <w:lvl w:ilvl="8" w:tplc="CBB69EF2"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tplc="28D8300C">
      <w:start w:val="1"/>
      <w:numFmt w:val="decimal"/>
      <w:pStyle w:val="a0"/>
      <w:lvlText w:val="תמונה %1:"/>
      <w:lvlJc w:val="left"/>
      <w:pPr>
        <w:ind w:left="1494" w:hanging="360"/>
      </w:pPr>
      <w:rPr>
        <w:rFonts w:ascii="Calibri" w:hAnsi="Calibri" w:cs="Calibri" w:hint="default"/>
        <w:b w:val="0"/>
        <w:bCs w:val="0"/>
        <w:i w:val="0"/>
        <w:iCs w:val="0"/>
        <w:color w:val="002060"/>
        <w:sz w:val="24"/>
        <w:szCs w:val="24"/>
      </w:rPr>
    </w:lvl>
    <w:lvl w:ilvl="1" w:tplc="CD0AAEC2" w:tentative="1">
      <w:start w:val="1"/>
      <w:numFmt w:val="lowerLetter"/>
      <w:lvlText w:val="%2."/>
      <w:lvlJc w:val="left"/>
      <w:pPr>
        <w:ind w:left="2578" w:hanging="360"/>
      </w:pPr>
    </w:lvl>
    <w:lvl w:ilvl="2" w:tplc="D8304FAC" w:tentative="1">
      <w:start w:val="1"/>
      <w:numFmt w:val="lowerRoman"/>
      <w:lvlText w:val="%3."/>
      <w:lvlJc w:val="right"/>
      <w:pPr>
        <w:ind w:left="3298" w:hanging="180"/>
      </w:pPr>
    </w:lvl>
    <w:lvl w:ilvl="3" w:tplc="133E9A4C" w:tentative="1">
      <w:start w:val="1"/>
      <w:numFmt w:val="decimal"/>
      <w:lvlText w:val="%4."/>
      <w:lvlJc w:val="left"/>
      <w:pPr>
        <w:ind w:left="4018" w:hanging="360"/>
      </w:pPr>
    </w:lvl>
    <w:lvl w:ilvl="4" w:tplc="BF9EA782" w:tentative="1">
      <w:start w:val="1"/>
      <w:numFmt w:val="lowerLetter"/>
      <w:lvlText w:val="%5."/>
      <w:lvlJc w:val="left"/>
      <w:pPr>
        <w:ind w:left="4738" w:hanging="360"/>
      </w:pPr>
    </w:lvl>
    <w:lvl w:ilvl="5" w:tplc="8F8C7C52" w:tentative="1">
      <w:start w:val="1"/>
      <w:numFmt w:val="lowerRoman"/>
      <w:lvlText w:val="%6."/>
      <w:lvlJc w:val="right"/>
      <w:pPr>
        <w:ind w:left="5458" w:hanging="180"/>
      </w:pPr>
    </w:lvl>
    <w:lvl w:ilvl="6" w:tplc="B23C2082" w:tentative="1">
      <w:start w:val="1"/>
      <w:numFmt w:val="decimal"/>
      <w:lvlText w:val="%7."/>
      <w:lvlJc w:val="left"/>
      <w:pPr>
        <w:ind w:left="6178" w:hanging="360"/>
      </w:pPr>
    </w:lvl>
    <w:lvl w:ilvl="7" w:tplc="5F166C10" w:tentative="1">
      <w:start w:val="1"/>
      <w:numFmt w:val="lowerLetter"/>
      <w:lvlText w:val="%8."/>
      <w:lvlJc w:val="left"/>
      <w:pPr>
        <w:ind w:left="6898" w:hanging="360"/>
      </w:pPr>
    </w:lvl>
    <w:lvl w:ilvl="8" w:tplc="16BA2384"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tplc="DB26D242">
      <w:start w:val="1"/>
      <w:numFmt w:val="decimal"/>
      <w:pStyle w:val="a1"/>
      <w:lvlText w:val="מפה %1:"/>
      <w:lvlJc w:val="left"/>
      <w:pPr>
        <w:ind w:left="1858" w:hanging="360"/>
      </w:pPr>
      <w:rPr>
        <w:rFonts w:ascii="Calibri" w:hAnsi="Calibri" w:cs="Calibri" w:hint="default"/>
        <w:b w:val="0"/>
        <w:bCs w:val="0"/>
        <w:i w:val="0"/>
        <w:iCs w:val="0"/>
        <w:color w:val="002060"/>
        <w:sz w:val="24"/>
        <w:szCs w:val="24"/>
      </w:rPr>
    </w:lvl>
    <w:lvl w:ilvl="1" w:tplc="D8E0949C" w:tentative="1">
      <w:start w:val="1"/>
      <w:numFmt w:val="lowerLetter"/>
      <w:lvlText w:val="%2."/>
      <w:lvlJc w:val="left"/>
      <w:pPr>
        <w:ind w:left="2934" w:hanging="360"/>
      </w:pPr>
    </w:lvl>
    <w:lvl w:ilvl="2" w:tplc="D30A9EDC" w:tentative="1">
      <w:start w:val="1"/>
      <w:numFmt w:val="lowerRoman"/>
      <w:lvlText w:val="%3."/>
      <w:lvlJc w:val="right"/>
      <w:pPr>
        <w:ind w:left="3654" w:hanging="180"/>
      </w:pPr>
    </w:lvl>
    <w:lvl w:ilvl="3" w:tplc="EC808DC6" w:tentative="1">
      <w:start w:val="1"/>
      <w:numFmt w:val="decimal"/>
      <w:lvlText w:val="%4."/>
      <w:lvlJc w:val="left"/>
      <w:pPr>
        <w:ind w:left="4374" w:hanging="360"/>
      </w:pPr>
    </w:lvl>
    <w:lvl w:ilvl="4" w:tplc="6882D456" w:tentative="1">
      <w:start w:val="1"/>
      <w:numFmt w:val="lowerLetter"/>
      <w:lvlText w:val="%5."/>
      <w:lvlJc w:val="left"/>
      <w:pPr>
        <w:ind w:left="5094" w:hanging="360"/>
      </w:pPr>
    </w:lvl>
    <w:lvl w:ilvl="5" w:tplc="86700D02" w:tentative="1">
      <w:start w:val="1"/>
      <w:numFmt w:val="lowerRoman"/>
      <w:lvlText w:val="%6."/>
      <w:lvlJc w:val="right"/>
      <w:pPr>
        <w:ind w:left="5814" w:hanging="180"/>
      </w:pPr>
    </w:lvl>
    <w:lvl w:ilvl="6" w:tplc="6A92EBD6" w:tentative="1">
      <w:start w:val="1"/>
      <w:numFmt w:val="decimal"/>
      <w:lvlText w:val="%7."/>
      <w:lvlJc w:val="left"/>
      <w:pPr>
        <w:ind w:left="6534" w:hanging="360"/>
      </w:pPr>
    </w:lvl>
    <w:lvl w:ilvl="7" w:tplc="FCF4D092" w:tentative="1">
      <w:start w:val="1"/>
      <w:numFmt w:val="lowerLetter"/>
      <w:lvlText w:val="%8."/>
      <w:lvlJc w:val="left"/>
      <w:pPr>
        <w:ind w:left="7254" w:hanging="360"/>
      </w:pPr>
    </w:lvl>
    <w:lvl w:ilvl="8" w:tplc="22D217C2"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tplc="160E9BD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FF728216" w:tentative="1">
      <w:start w:val="1"/>
      <w:numFmt w:val="bullet"/>
      <w:lvlText w:val="o"/>
      <w:lvlJc w:val="left"/>
      <w:pPr>
        <w:ind w:left="1080" w:hanging="360"/>
      </w:pPr>
      <w:rPr>
        <w:rFonts w:ascii="Courier New" w:hAnsi="Courier New" w:cs="Courier New" w:hint="default"/>
      </w:rPr>
    </w:lvl>
    <w:lvl w:ilvl="2" w:tplc="2DBC06AC" w:tentative="1">
      <w:start w:val="1"/>
      <w:numFmt w:val="bullet"/>
      <w:lvlText w:val=""/>
      <w:lvlJc w:val="left"/>
      <w:pPr>
        <w:ind w:left="1800" w:hanging="360"/>
      </w:pPr>
      <w:rPr>
        <w:rFonts w:ascii="Wingdings" w:hAnsi="Wingdings" w:hint="default"/>
      </w:rPr>
    </w:lvl>
    <w:lvl w:ilvl="3" w:tplc="44CC9D74" w:tentative="1">
      <w:start w:val="1"/>
      <w:numFmt w:val="bullet"/>
      <w:lvlText w:val=""/>
      <w:lvlJc w:val="left"/>
      <w:pPr>
        <w:ind w:left="2520" w:hanging="360"/>
      </w:pPr>
      <w:rPr>
        <w:rFonts w:ascii="Symbol" w:hAnsi="Symbol" w:hint="default"/>
      </w:rPr>
    </w:lvl>
    <w:lvl w:ilvl="4" w:tplc="D3284F14" w:tentative="1">
      <w:start w:val="1"/>
      <w:numFmt w:val="bullet"/>
      <w:lvlText w:val="o"/>
      <w:lvlJc w:val="left"/>
      <w:pPr>
        <w:ind w:left="3240" w:hanging="360"/>
      </w:pPr>
      <w:rPr>
        <w:rFonts w:ascii="Courier New" w:hAnsi="Courier New" w:cs="Courier New" w:hint="default"/>
      </w:rPr>
    </w:lvl>
    <w:lvl w:ilvl="5" w:tplc="2C02C66E" w:tentative="1">
      <w:start w:val="1"/>
      <w:numFmt w:val="bullet"/>
      <w:lvlText w:val=""/>
      <w:lvlJc w:val="left"/>
      <w:pPr>
        <w:ind w:left="3960" w:hanging="360"/>
      </w:pPr>
      <w:rPr>
        <w:rFonts w:ascii="Wingdings" w:hAnsi="Wingdings" w:hint="default"/>
      </w:rPr>
    </w:lvl>
    <w:lvl w:ilvl="6" w:tplc="0674D49E" w:tentative="1">
      <w:start w:val="1"/>
      <w:numFmt w:val="bullet"/>
      <w:lvlText w:val=""/>
      <w:lvlJc w:val="left"/>
      <w:pPr>
        <w:ind w:left="4680" w:hanging="360"/>
      </w:pPr>
      <w:rPr>
        <w:rFonts w:ascii="Symbol" w:hAnsi="Symbol" w:hint="default"/>
      </w:rPr>
    </w:lvl>
    <w:lvl w:ilvl="7" w:tplc="3F52BD7A" w:tentative="1">
      <w:start w:val="1"/>
      <w:numFmt w:val="bullet"/>
      <w:lvlText w:val="o"/>
      <w:lvlJc w:val="left"/>
      <w:pPr>
        <w:ind w:left="5400" w:hanging="360"/>
      </w:pPr>
      <w:rPr>
        <w:rFonts w:ascii="Courier New" w:hAnsi="Courier New" w:cs="Courier New" w:hint="default"/>
      </w:rPr>
    </w:lvl>
    <w:lvl w:ilvl="8" w:tplc="876E1FD2"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7D5E01EA"/>
    <w:lvl w:ilvl="0" w:tplc="1EC23A9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D9C27C78" w:tentative="1">
      <w:start w:val="1"/>
      <w:numFmt w:val="bullet"/>
      <w:lvlText w:val="o"/>
      <w:lvlJc w:val="left"/>
      <w:pPr>
        <w:ind w:left="1837" w:hanging="360"/>
      </w:pPr>
      <w:rPr>
        <w:rFonts w:ascii="Courier New" w:hAnsi="Courier New" w:cs="Courier New" w:hint="default"/>
      </w:rPr>
    </w:lvl>
    <w:lvl w:ilvl="2" w:tplc="662283E8" w:tentative="1">
      <w:start w:val="1"/>
      <w:numFmt w:val="bullet"/>
      <w:lvlText w:val=""/>
      <w:lvlJc w:val="left"/>
      <w:pPr>
        <w:ind w:left="2557" w:hanging="360"/>
      </w:pPr>
      <w:rPr>
        <w:rFonts w:ascii="Wingdings" w:hAnsi="Wingdings" w:hint="default"/>
      </w:rPr>
    </w:lvl>
    <w:lvl w:ilvl="3" w:tplc="EF3EA802" w:tentative="1">
      <w:start w:val="1"/>
      <w:numFmt w:val="bullet"/>
      <w:lvlText w:val=""/>
      <w:lvlJc w:val="left"/>
      <w:pPr>
        <w:ind w:left="3277" w:hanging="360"/>
      </w:pPr>
      <w:rPr>
        <w:rFonts w:ascii="Symbol" w:hAnsi="Symbol" w:hint="default"/>
      </w:rPr>
    </w:lvl>
    <w:lvl w:ilvl="4" w:tplc="061848C6" w:tentative="1">
      <w:start w:val="1"/>
      <w:numFmt w:val="bullet"/>
      <w:lvlText w:val="o"/>
      <w:lvlJc w:val="left"/>
      <w:pPr>
        <w:ind w:left="3997" w:hanging="360"/>
      </w:pPr>
      <w:rPr>
        <w:rFonts w:ascii="Courier New" w:hAnsi="Courier New" w:cs="Courier New" w:hint="default"/>
      </w:rPr>
    </w:lvl>
    <w:lvl w:ilvl="5" w:tplc="3BE88EEC" w:tentative="1">
      <w:start w:val="1"/>
      <w:numFmt w:val="bullet"/>
      <w:lvlText w:val=""/>
      <w:lvlJc w:val="left"/>
      <w:pPr>
        <w:ind w:left="4717" w:hanging="360"/>
      </w:pPr>
      <w:rPr>
        <w:rFonts w:ascii="Wingdings" w:hAnsi="Wingdings" w:hint="default"/>
      </w:rPr>
    </w:lvl>
    <w:lvl w:ilvl="6" w:tplc="91B69234" w:tentative="1">
      <w:start w:val="1"/>
      <w:numFmt w:val="bullet"/>
      <w:lvlText w:val=""/>
      <w:lvlJc w:val="left"/>
      <w:pPr>
        <w:ind w:left="5437" w:hanging="360"/>
      </w:pPr>
      <w:rPr>
        <w:rFonts w:ascii="Symbol" w:hAnsi="Symbol" w:hint="default"/>
      </w:rPr>
    </w:lvl>
    <w:lvl w:ilvl="7" w:tplc="8150720E" w:tentative="1">
      <w:start w:val="1"/>
      <w:numFmt w:val="bullet"/>
      <w:lvlText w:val="o"/>
      <w:lvlJc w:val="left"/>
      <w:pPr>
        <w:ind w:left="6157" w:hanging="360"/>
      </w:pPr>
      <w:rPr>
        <w:rFonts w:ascii="Courier New" w:hAnsi="Courier New" w:cs="Courier New" w:hint="default"/>
      </w:rPr>
    </w:lvl>
    <w:lvl w:ilvl="8" w:tplc="0C8CDAEC"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tplc="EB54A402">
      <w:start w:val="1"/>
      <w:numFmt w:val="decimal"/>
      <w:pStyle w:val="a2"/>
      <w:lvlText w:val="תרשים %1:"/>
      <w:lvlJc w:val="left"/>
      <w:pPr>
        <w:ind w:left="1494" w:hanging="360"/>
      </w:pPr>
      <w:rPr>
        <w:rFonts w:ascii="Calibri" w:hAnsi="Calibri" w:cs="Calibri" w:hint="default"/>
        <w:b w:val="0"/>
        <w:bCs w:val="0"/>
        <w:i w:val="0"/>
        <w:iCs w:val="0"/>
        <w:color w:val="002060"/>
        <w:sz w:val="24"/>
        <w:szCs w:val="24"/>
      </w:rPr>
    </w:lvl>
    <w:lvl w:ilvl="1" w:tplc="59988DA6" w:tentative="1">
      <w:start w:val="1"/>
      <w:numFmt w:val="lowerLetter"/>
      <w:lvlText w:val="%2."/>
      <w:lvlJc w:val="left"/>
      <w:pPr>
        <w:ind w:left="2578" w:hanging="360"/>
      </w:pPr>
    </w:lvl>
    <w:lvl w:ilvl="2" w:tplc="82FA166E" w:tentative="1">
      <w:start w:val="1"/>
      <w:numFmt w:val="lowerRoman"/>
      <w:lvlText w:val="%3."/>
      <w:lvlJc w:val="right"/>
      <w:pPr>
        <w:ind w:left="3298" w:hanging="180"/>
      </w:pPr>
    </w:lvl>
    <w:lvl w:ilvl="3" w:tplc="E9842300" w:tentative="1">
      <w:start w:val="1"/>
      <w:numFmt w:val="decimal"/>
      <w:lvlText w:val="%4."/>
      <w:lvlJc w:val="left"/>
      <w:pPr>
        <w:ind w:left="4018" w:hanging="360"/>
      </w:pPr>
    </w:lvl>
    <w:lvl w:ilvl="4" w:tplc="3AF8C768" w:tentative="1">
      <w:start w:val="1"/>
      <w:numFmt w:val="lowerLetter"/>
      <w:lvlText w:val="%5."/>
      <w:lvlJc w:val="left"/>
      <w:pPr>
        <w:ind w:left="4738" w:hanging="360"/>
      </w:pPr>
    </w:lvl>
    <w:lvl w:ilvl="5" w:tplc="99583DFA" w:tentative="1">
      <w:start w:val="1"/>
      <w:numFmt w:val="lowerRoman"/>
      <w:lvlText w:val="%6."/>
      <w:lvlJc w:val="right"/>
      <w:pPr>
        <w:ind w:left="5458" w:hanging="180"/>
      </w:pPr>
    </w:lvl>
    <w:lvl w:ilvl="6" w:tplc="F95AAF56" w:tentative="1">
      <w:start w:val="1"/>
      <w:numFmt w:val="decimal"/>
      <w:lvlText w:val="%7."/>
      <w:lvlJc w:val="left"/>
      <w:pPr>
        <w:ind w:left="6178" w:hanging="360"/>
      </w:pPr>
    </w:lvl>
    <w:lvl w:ilvl="7" w:tplc="2CD8BB24" w:tentative="1">
      <w:start w:val="1"/>
      <w:numFmt w:val="lowerLetter"/>
      <w:lvlText w:val="%8."/>
      <w:lvlJc w:val="left"/>
      <w:pPr>
        <w:ind w:left="6898" w:hanging="360"/>
      </w:pPr>
    </w:lvl>
    <w:lvl w:ilvl="8" w:tplc="FC087994"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tplc="00341AC4">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1494B1E4">
      <w:numFmt w:val="bullet"/>
      <w:lvlText w:val="•"/>
      <w:lvlJc w:val="left"/>
      <w:pPr>
        <w:ind w:left="1528" w:hanging="165"/>
      </w:pPr>
      <w:rPr>
        <w:rFonts w:ascii="Tahoma" w:eastAsiaTheme="minorHAnsi" w:hAnsi="Tahoma" w:cs="Tahoma" w:hint="default"/>
        <w:b/>
        <w:color w:val="FF0000"/>
        <w:sz w:val="21"/>
      </w:rPr>
    </w:lvl>
    <w:lvl w:ilvl="2" w:tplc="F8E87C48" w:tentative="1">
      <w:start w:val="1"/>
      <w:numFmt w:val="bullet"/>
      <w:lvlText w:val=""/>
      <w:lvlJc w:val="left"/>
      <w:pPr>
        <w:ind w:left="2443" w:hanging="360"/>
      </w:pPr>
      <w:rPr>
        <w:rFonts w:ascii="Wingdings" w:hAnsi="Wingdings" w:hint="default"/>
      </w:rPr>
    </w:lvl>
    <w:lvl w:ilvl="3" w:tplc="468CF052" w:tentative="1">
      <w:start w:val="1"/>
      <w:numFmt w:val="bullet"/>
      <w:lvlText w:val=""/>
      <w:lvlJc w:val="left"/>
      <w:pPr>
        <w:ind w:left="3163" w:hanging="360"/>
      </w:pPr>
      <w:rPr>
        <w:rFonts w:ascii="Symbol" w:hAnsi="Symbol" w:hint="default"/>
      </w:rPr>
    </w:lvl>
    <w:lvl w:ilvl="4" w:tplc="2D0EC768" w:tentative="1">
      <w:start w:val="1"/>
      <w:numFmt w:val="bullet"/>
      <w:lvlText w:val="o"/>
      <w:lvlJc w:val="left"/>
      <w:pPr>
        <w:ind w:left="3883" w:hanging="360"/>
      </w:pPr>
      <w:rPr>
        <w:rFonts w:ascii="Courier New" w:hAnsi="Courier New" w:cs="Courier New" w:hint="default"/>
      </w:rPr>
    </w:lvl>
    <w:lvl w:ilvl="5" w:tplc="62D274AC" w:tentative="1">
      <w:start w:val="1"/>
      <w:numFmt w:val="bullet"/>
      <w:lvlText w:val=""/>
      <w:lvlJc w:val="left"/>
      <w:pPr>
        <w:ind w:left="4603" w:hanging="360"/>
      </w:pPr>
      <w:rPr>
        <w:rFonts w:ascii="Wingdings" w:hAnsi="Wingdings" w:hint="default"/>
      </w:rPr>
    </w:lvl>
    <w:lvl w:ilvl="6" w:tplc="85A212DE" w:tentative="1">
      <w:start w:val="1"/>
      <w:numFmt w:val="bullet"/>
      <w:lvlText w:val=""/>
      <w:lvlJc w:val="left"/>
      <w:pPr>
        <w:ind w:left="5323" w:hanging="360"/>
      </w:pPr>
      <w:rPr>
        <w:rFonts w:ascii="Symbol" w:hAnsi="Symbol" w:hint="default"/>
      </w:rPr>
    </w:lvl>
    <w:lvl w:ilvl="7" w:tplc="1158BF2A" w:tentative="1">
      <w:start w:val="1"/>
      <w:numFmt w:val="bullet"/>
      <w:lvlText w:val="o"/>
      <w:lvlJc w:val="left"/>
      <w:pPr>
        <w:ind w:left="6043" w:hanging="360"/>
      </w:pPr>
      <w:rPr>
        <w:rFonts w:ascii="Courier New" w:hAnsi="Courier New" w:cs="Courier New" w:hint="default"/>
      </w:rPr>
    </w:lvl>
    <w:lvl w:ilvl="8" w:tplc="3FC27B4C"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tplc="2DBCCB8C">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531E28B6" w:tentative="1">
      <w:start w:val="1"/>
      <w:numFmt w:val="bullet"/>
      <w:lvlText w:val="o"/>
      <w:lvlJc w:val="left"/>
      <w:pPr>
        <w:ind w:left="1440" w:hanging="360"/>
      </w:pPr>
      <w:rPr>
        <w:rFonts w:ascii="Courier New" w:hAnsi="Courier New" w:cs="Courier New" w:hint="default"/>
      </w:rPr>
    </w:lvl>
    <w:lvl w:ilvl="2" w:tplc="252EA49E" w:tentative="1">
      <w:start w:val="1"/>
      <w:numFmt w:val="bullet"/>
      <w:lvlText w:val=""/>
      <w:lvlJc w:val="left"/>
      <w:pPr>
        <w:ind w:left="2160" w:hanging="360"/>
      </w:pPr>
      <w:rPr>
        <w:rFonts w:ascii="Wingdings" w:hAnsi="Wingdings" w:hint="default"/>
      </w:rPr>
    </w:lvl>
    <w:lvl w:ilvl="3" w:tplc="ADA05E64" w:tentative="1">
      <w:start w:val="1"/>
      <w:numFmt w:val="bullet"/>
      <w:lvlText w:val=""/>
      <w:lvlJc w:val="left"/>
      <w:pPr>
        <w:ind w:left="2880" w:hanging="360"/>
      </w:pPr>
      <w:rPr>
        <w:rFonts w:ascii="Symbol" w:hAnsi="Symbol" w:hint="default"/>
      </w:rPr>
    </w:lvl>
    <w:lvl w:ilvl="4" w:tplc="754ED1F0" w:tentative="1">
      <w:start w:val="1"/>
      <w:numFmt w:val="bullet"/>
      <w:lvlText w:val="o"/>
      <w:lvlJc w:val="left"/>
      <w:pPr>
        <w:ind w:left="3600" w:hanging="360"/>
      </w:pPr>
      <w:rPr>
        <w:rFonts w:ascii="Courier New" w:hAnsi="Courier New" w:cs="Courier New" w:hint="default"/>
      </w:rPr>
    </w:lvl>
    <w:lvl w:ilvl="5" w:tplc="6BDC6DA8" w:tentative="1">
      <w:start w:val="1"/>
      <w:numFmt w:val="bullet"/>
      <w:lvlText w:val=""/>
      <w:lvlJc w:val="left"/>
      <w:pPr>
        <w:ind w:left="4320" w:hanging="360"/>
      </w:pPr>
      <w:rPr>
        <w:rFonts w:ascii="Wingdings" w:hAnsi="Wingdings" w:hint="default"/>
      </w:rPr>
    </w:lvl>
    <w:lvl w:ilvl="6" w:tplc="57F4984C" w:tentative="1">
      <w:start w:val="1"/>
      <w:numFmt w:val="bullet"/>
      <w:lvlText w:val=""/>
      <w:lvlJc w:val="left"/>
      <w:pPr>
        <w:ind w:left="5040" w:hanging="360"/>
      </w:pPr>
      <w:rPr>
        <w:rFonts w:ascii="Symbol" w:hAnsi="Symbol" w:hint="default"/>
      </w:rPr>
    </w:lvl>
    <w:lvl w:ilvl="7" w:tplc="3C2A67A8" w:tentative="1">
      <w:start w:val="1"/>
      <w:numFmt w:val="bullet"/>
      <w:lvlText w:val="o"/>
      <w:lvlJc w:val="left"/>
      <w:pPr>
        <w:ind w:left="5760" w:hanging="360"/>
      </w:pPr>
      <w:rPr>
        <w:rFonts w:ascii="Courier New" w:hAnsi="Courier New" w:cs="Courier New" w:hint="default"/>
      </w:rPr>
    </w:lvl>
    <w:lvl w:ilvl="8" w:tplc="19A07C06"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tplc="0832B974">
      <w:start w:val="1"/>
      <w:numFmt w:val="decimal"/>
      <w:pStyle w:val="3"/>
      <w:lvlText w:val="%1.1.1"/>
      <w:lvlJc w:val="left"/>
      <w:pPr>
        <w:ind w:left="1854" w:hanging="360"/>
      </w:pPr>
      <w:rPr>
        <w:rFonts w:hint="default"/>
      </w:rPr>
    </w:lvl>
    <w:lvl w:ilvl="1" w:tplc="19D08F5A" w:tentative="1">
      <w:start w:val="1"/>
      <w:numFmt w:val="lowerLetter"/>
      <w:lvlText w:val="%2."/>
      <w:lvlJc w:val="left"/>
      <w:pPr>
        <w:ind w:left="2574" w:hanging="360"/>
      </w:pPr>
    </w:lvl>
    <w:lvl w:ilvl="2" w:tplc="EEDABCE0" w:tentative="1">
      <w:start w:val="1"/>
      <w:numFmt w:val="lowerRoman"/>
      <w:lvlText w:val="%3."/>
      <w:lvlJc w:val="right"/>
      <w:pPr>
        <w:ind w:left="3294" w:hanging="180"/>
      </w:pPr>
    </w:lvl>
    <w:lvl w:ilvl="3" w:tplc="93A21126" w:tentative="1">
      <w:start w:val="1"/>
      <w:numFmt w:val="decimal"/>
      <w:lvlText w:val="%4."/>
      <w:lvlJc w:val="left"/>
      <w:pPr>
        <w:ind w:left="4014" w:hanging="360"/>
      </w:pPr>
    </w:lvl>
    <w:lvl w:ilvl="4" w:tplc="1E089406" w:tentative="1">
      <w:start w:val="1"/>
      <w:numFmt w:val="lowerLetter"/>
      <w:lvlText w:val="%5."/>
      <w:lvlJc w:val="left"/>
      <w:pPr>
        <w:ind w:left="4734" w:hanging="360"/>
      </w:pPr>
    </w:lvl>
    <w:lvl w:ilvl="5" w:tplc="0E24C566" w:tentative="1">
      <w:start w:val="1"/>
      <w:numFmt w:val="lowerRoman"/>
      <w:lvlText w:val="%6."/>
      <w:lvlJc w:val="right"/>
      <w:pPr>
        <w:ind w:left="5454" w:hanging="180"/>
      </w:pPr>
    </w:lvl>
    <w:lvl w:ilvl="6" w:tplc="4EB62EA4" w:tentative="1">
      <w:start w:val="1"/>
      <w:numFmt w:val="decimal"/>
      <w:lvlText w:val="%7."/>
      <w:lvlJc w:val="left"/>
      <w:pPr>
        <w:ind w:left="6174" w:hanging="360"/>
      </w:pPr>
    </w:lvl>
    <w:lvl w:ilvl="7" w:tplc="A5368160" w:tentative="1">
      <w:start w:val="1"/>
      <w:numFmt w:val="lowerLetter"/>
      <w:lvlText w:val="%8."/>
      <w:lvlJc w:val="left"/>
      <w:pPr>
        <w:ind w:left="6894" w:hanging="360"/>
      </w:pPr>
    </w:lvl>
    <w:lvl w:ilvl="8" w:tplc="D0A293B2"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tplc="C5C6EA24">
      <w:start w:val="1"/>
      <w:numFmt w:val="hebrew1"/>
      <w:pStyle w:val="30"/>
      <w:lvlText w:val="%1."/>
      <w:lvlJc w:val="center"/>
      <w:pPr>
        <w:ind w:left="2705" w:hanging="360"/>
      </w:pPr>
    </w:lvl>
    <w:lvl w:ilvl="1" w:tplc="043A797C" w:tentative="1">
      <w:start w:val="1"/>
      <w:numFmt w:val="lowerLetter"/>
      <w:lvlText w:val="%2."/>
      <w:lvlJc w:val="left"/>
      <w:pPr>
        <w:ind w:left="3425" w:hanging="360"/>
      </w:pPr>
    </w:lvl>
    <w:lvl w:ilvl="2" w:tplc="FDBE140C" w:tentative="1">
      <w:start w:val="1"/>
      <w:numFmt w:val="lowerRoman"/>
      <w:lvlText w:val="%3."/>
      <w:lvlJc w:val="right"/>
      <w:pPr>
        <w:ind w:left="4145" w:hanging="180"/>
      </w:pPr>
    </w:lvl>
    <w:lvl w:ilvl="3" w:tplc="9678E576" w:tentative="1">
      <w:start w:val="1"/>
      <w:numFmt w:val="decimal"/>
      <w:lvlText w:val="%4."/>
      <w:lvlJc w:val="left"/>
      <w:pPr>
        <w:ind w:left="4865" w:hanging="360"/>
      </w:pPr>
    </w:lvl>
    <w:lvl w:ilvl="4" w:tplc="618EF346" w:tentative="1">
      <w:start w:val="1"/>
      <w:numFmt w:val="lowerLetter"/>
      <w:lvlText w:val="%5."/>
      <w:lvlJc w:val="left"/>
      <w:pPr>
        <w:ind w:left="5585" w:hanging="360"/>
      </w:pPr>
    </w:lvl>
    <w:lvl w:ilvl="5" w:tplc="7428B7F6" w:tentative="1">
      <w:start w:val="1"/>
      <w:numFmt w:val="lowerRoman"/>
      <w:lvlText w:val="%6."/>
      <w:lvlJc w:val="right"/>
      <w:pPr>
        <w:ind w:left="6305" w:hanging="180"/>
      </w:pPr>
    </w:lvl>
    <w:lvl w:ilvl="6" w:tplc="053E9288" w:tentative="1">
      <w:start w:val="1"/>
      <w:numFmt w:val="decimal"/>
      <w:lvlText w:val="%7."/>
      <w:lvlJc w:val="left"/>
      <w:pPr>
        <w:ind w:left="7025" w:hanging="360"/>
      </w:pPr>
    </w:lvl>
    <w:lvl w:ilvl="7" w:tplc="EBFCD4CC" w:tentative="1">
      <w:start w:val="1"/>
      <w:numFmt w:val="lowerLetter"/>
      <w:lvlText w:val="%8."/>
      <w:lvlJc w:val="left"/>
      <w:pPr>
        <w:ind w:left="7745" w:hanging="360"/>
      </w:pPr>
    </w:lvl>
    <w:lvl w:ilvl="8" w:tplc="0F12A3F6"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tplc="7A4E6818">
      <w:start w:val="1"/>
      <w:numFmt w:val="decimal"/>
      <w:pStyle w:val="2"/>
      <w:lvlText w:val="%1.1"/>
      <w:lvlJc w:val="left"/>
      <w:pPr>
        <w:ind w:left="1860" w:hanging="360"/>
      </w:pPr>
      <w:rPr>
        <w:rFonts w:hint="default"/>
      </w:rPr>
    </w:lvl>
    <w:lvl w:ilvl="1" w:tplc="C1EAE648" w:tentative="1">
      <w:start w:val="1"/>
      <w:numFmt w:val="lowerLetter"/>
      <w:lvlText w:val="%2."/>
      <w:lvlJc w:val="left"/>
      <w:pPr>
        <w:ind w:left="2580" w:hanging="360"/>
      </w:pPr>
    </w:lvl>
    <w:lvl w:ilvl="2" w:tplc="1BC0DFA2" w:tentative="1">
      <w:start w:val="1"/>
      <w:numFmt w:val="lowerRoman"/>
      <w:lvlText w:val="%3."/>
      <w:lvlJc w:val="right"/>
      <w:pPr>
        <w:ind w:left="3300" w:hanging="180"/>
      </w:pPr>
    </w:lvl>
    <w:lvl w:ilvl="3" w:tplc="D7BE3C76" w:tentative="1">
      <w:start w:val="1"/>
      <w:numFmt w:val="decimal"/>
      <w:lvlText w:val="%4."/>
      <w:lvlJc w:val="left"/>
      <w:pPr>
        <w:ind w:left="4020" w:hanging="360"/>
      </w:pPr>
    </w:lvl>
    <w:lvl w:ilvl="4" w:tplc="E35E12E0" w:tentative="1">
      <w:start w:val="1"/>
      <w:numFmt w:val="lowerLetter"/>
      <w:lvlText w:val="%5."/>
      <w:lvlJc w:val="left"/>
      <w:pPr>
        <w:ind w:left="4740" w:hanging="360"/>
      </w:pPr>
    </w:lvl>
    <w:lvl w:ilvl="5" w:tplc="72245E1E" w:tentative="1">
      <w:start w:val="1"/>
      <w:numFmt w:val="lowerRoman"/>
      <w:lvlText w:val="%6."/>
      <w:lvlJc w:val="right"/>
      <w:pPr>
        <w:ind w:left="5460" w:hanging="180"/>
      </w:pPr>
    </w:lvl>
    <w:lvl w:ilvl="6" w:tplc="12ACC07C" w:tentative="1">
      <w:start w:val="1"/>
      <w:numFmt w:val="decimal"/>
      <w:lvlText w:val="%7."/>
      <w:lvlJc w:val="left"/>
      <w:pPr>
        <w:ind w:left="6180" w:hanging="360"/>
      </w:pPr>
    </w:lvl>
    <w:lvl w:ilvl="7" w:tplc="E0E41D94" w:tentative="1">
      <w:start w:val="1"/>
      <w:numFmt w:val="lowerLetter"/>
      <w:lvlText w:val="%8."/>
      <w:lvlJc w:val="left"/>
      <w:pPr>
        <w:ind w:left="6900" w:hanging="360"/>
      </w:pPr>
    </w:lvl>
    <w:lvl w:ilvl="8" w:tplc="24E0FA28" w:tentative="1">
      <w:start w:val="1"/>
      <w:numFmt w:val="lowerRoman"/>
      <w:lvlText w:val="%9."/>
      <w:lvlJc w:val="right"/>
      <w:pPr>
        <w:ind w:left="7620" w:hanging="180"/>
      </w:pPr>
    </w:lvl>
  </w:abstractNum>
  <w:abstractNum w:abstractNumId="19" w15:restartNumberingAfterBreak="0">
    <w:nsid w:val="59F011FB"/>
    <w:multiLevelType w:val="hybridMultilevel"/>
    <w:tmpl w:val="FBB8779C"/>
    <w:lvl w:ilvl="0" w:tplc="02467CF8">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C2560EBA" w:tentative="1">
      <w:start w:val="1"/>
      <w:numFmt w:val="bullet"/>
      <w:lvlText w:val="o"/>
      <w:lvlJc w:val="left"/>
      <w:pPr>
        <w:ind w:left="1440" w:hanging="360"/>
      </w:pPr>
      <w:rPr>
        <w:rFonts w:ascii="Courier New" w:hAnsi="Courier New" w:cs="Courier New" w:hint="default"/>
      </w:rPr>
    </w:lvl>
    <w:lvl w:ilvl="2" w:tplc="39B086C2" w:tentative="1">
      <w:start w:val="1"/>
      <w:numFmt w:val="bullet"/>
      <w:lvlText w:val=""/>
      <w:lvlJc w:val="left"/>
      <w:pPr>
        <w:ind w:left="2160" w:hanging="360"/>
      </w:pPr>
      <w:rPr>
        <w:rFonts w:ascii="Wingdings" w:hAnsi="Wingdings" w:hint="default"/>
      </w:rPr>
    </w:lvl>
    <w:lvl w:ilvl="3" w:tplc="49B8A30C" w:tentative="1">
      <w:start w:val="1"/>
      <w:numFmt w:val="bullet"/>
      <w:lvlText w:val=""/>
      <w:lvlJc w:val="left"/>
      <w:pPr>
        <w:ind w:left="2880" w:hanging="360"/>
      </w:pPr>
      <w:rPr>
        <w:rFonts w:ascii="Symbol" w:hAnsi="Symbol" w:hint="default"/>
      </w:rPr>
    </w:lvl>
    <w:lvl w:ilvl="4" w:tplc="6BCE3440" w:tentative="1">
      <w:start w:val="1"/>
      <w:numFmt w:val="bullet"/>
      <w:lvlText w:val="o"/>
      <w:lvlJc w:val="left"/>
      <w:pPr>
        <w:ind w:left="3600" w:hanging="360"/>
      </w:pPr>
      <w:rPr>
        <w:rFonts w:ascii="Courier New" w:hAnsi="Courier New" w:cs="Courier New" w:hint="default"/>
      </w:rPr>
    </w:lvl>
    <w:lvl w:ilvl="5" w:tplc="DF8CAB42" w:tentative="1">
      <w:start w:val="1"/>
      <w:numFmt w:val="bullet"/>
      <w:lvlText w:val=""/>
      <w:lvlJc w:val="left"/>
      <w:pPr>
        <w:ind w:left="4320" w:hanging="360"/>
      </w:pPr>
      <w:rPr>
        <w:rFonts w:ascii="Wingdings" w:hAnsi="Wingdings" w:hint="default"/>
      </w:rPr>
    </w:lvl>
    <w:lvl w:ilvl="6" w:tplc="B544743C" w:tentative="1">
      <w:start w:val="1"/>
      <w:numFmt w:val="bullet"/>
      <w:lvlText w:val=""/>
      <w:lvlJc w:val="left"/>
      <w:pPr>
        <w:ind w:left="5040" w:hanging="360"/>
      </w:pPr>
      <w:rPr>
        <w:rFonts w:ascii="Symbol" w:hAnsi="Symbol" w:hint="default"/>
      </w:rPr>
    </w:lvl>
    <w:lvl w:ilvl="7" w:tplc="7C1A751E" w:tentative="1">
      <w:start w:val="1"/>
      <w:numFmt w:val="bullet"/>
      <w:lvlText w:val="o"/>
      <w:lvlJc w:val="left"/>
      <w:pPr>
        <w:ind w:left="5760" w:hanging="360"/>
      </w:pPr>
      <w:rPr>
        <w:rFonts w:ascii="Courier New" w:hAnsi="Courier New" w:cs="Courier New" w:hint="default"/>
      </w:rPr>
    </w:lvl>
    <w:lvl w:ilvl="8" w:tplc="9DFC61DC" w:tentative="1">
      <w:start w:val="1"/>
      <w:numFmt w:val="bullet"/>
      <w:lvlText w:val=""/>
      <w:lvlJc w:val="left"/>
      <w:pPr>
        <w:ind w:left="6480" w:hanging="360"/>
      </w:pPr>
      <w:rPr>
        <w:rFonts w:ascii="Wingdings" w:hAnsi="Wingdings" w:hint="default"/>
      </w:rPr>
    </w:lvl>
  </w:abstractNum>
  <w:abstractNum w:abstractNumId="20" w15:restartNumberingAfterBreak="0">
    <w:nsid w:val="6079445E"/>
    <w:multiLevelType w:val="hybridMultilevel"/>
    <w:tmpl w:val="CDCA638E"/>
    <w:lvl w:ilvl="0" w:tplc="429CB01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FD1EF0D8" w:tentative="1">
      <w:start w:val="1"/>
      <w:numFmt w:val="bullet"/>
      <w:lvlText w:val="o"/>
      <w:lvlJc w:val="left"/>
      <w:pPr>
        <w:ind w:left="1080" w:hanging="360"/>
      </w:pPr>
      <w:rPr>
        <w:rFonts w:ascii="Courier New" w:hAnsi="Courier New" w:cs="Courier New" w:hint="default"/>
      </w:rPr>
    </w:lvl>
    <w:lvl w:ilvl="2" w:tplc="50BC8F94" w:tentative="1">
      <w:start w:val="1"/>
      <w:numFmt w:val="bullet"/>
      <w:lvlText w:val=""/>
      <w:lvlJc w:val="left"/>
      <w:pPr>
        <w:ind w:left="1800" w:hanging="360"/>
      </w:pPr>
      <w:rPr>
        <w:rFonts w:ascii="Wingdings" w:hAnsi="Wingdings" w:hint="default"/>
      </w:rPr>
    </w:lvl>
    <w:lvl w:ilvl="3" w:tplc="C052BE52" w:tentative="1">
      <w:start w:val="1"/>
      <w:numFmt w:val="bullet"/>
      <w:lvlText w:val=""/>
      <w:lvlJc w:val="left"/>
      <w:pPr>
        <w:ind w:left="2520" w:hanging="360"/>
      </w:pPr>
      <w:rPr>
        <w:rFonts w:ascii="Symbol" w:hAnsi="Symbol" w:hint="default"/>
      </w:rPr>
    </w:lvl>
    <w:lvl w:ilvl="4" w:tplc="CB9EF022" w:tentative="1">
      <w:start w:val="1"/>
      <w:numFmt w:val="bullet"/>
      <w:lvlText w:val="o"/>
      <w:lvlJc w:val="left"/>
      <w:pPr>
        <w:ind w:left="3240" w:hanging="360"/>
      </w:pPr>
      <w:rPr>
        <w:rFonts w:ascii="Courier New" w:hAnsi="Courier New" w:cs="Courier New" w:hint="default"/>
      </w:rPr>
    </w:lvl>
    <w:lvl w:ilvl="5" w:tplc="036A7524" w:tentative="1">
      <w:start w:val="1"/>
      <w:numFmt w:val="bullet"/>
      <w:lvlText w:val=""/>
      <w:lvlJc w:val="left"/>
      <w:pPr>
        <w:ind w:left="3960" w:hanging="360"/>
      </w:pPr>
      <w:rPr>
        <w:rFonts w:ascii="Wingdings" w:hAnsi="Wingdings" w:hint="default"/>
      </w:rPr>
    </w:lvl>
    <w:lvl w:ilvl="6" w:tplc="3F783808" w:tentative="1">
      <w:start w:val="1"/>
      <w:numFmt w:val="bullet"/>
      <w:lvlText w:val=""/>
      <w:lvlJc w:val="left"/>
      <w:pPr>
        <w:ind w:left="4680" w:hanging="360"/>
      </w:pPr>
      <w:rPr>
        <w:rFonts w:ascii="Symbol" w:hAnsi="Symbol" w:hint="default"/>
      </w:rPr>
    </w:lvl>
    <w:lvl w:ilvl="7" w:tplc="1DFC937C" w:tentative="1">
      <w:start w:val="1"/>
      <w:numFmt w:val="bullet"/>
      <w:lvlText w:val="o"/>
      <w:lvlJc w:val="left"/>
      <w:pPr>
        <w:ind w:left="5400" w:hanging="360"/>
      </w:pPr>
      <w:rPr>
        <w:rFonts w:ascii="Courier New" w:hAnsi="Courier New" w:cs="Courier New" w:hint="default"/>
      </w:rPr>
    </w:lvl>
    <w:lvl w:ilvl="8" w:tplc="6512EBE8" w:tentative="1">
      <w:start w:val="1"/>
      <w:numFmt w:val="bullet"/>
      <w:lvlText w:val=""/>
      <w:lvlJc w:val="left"/>
      <w:pPr>
        <w:ind w:left="6120" w:hanging="360"/>
      </w:pPr>
      <w:rPr>
        <w:rFonts w:ascii="Wingdings" w:hAnsi="Wingdings" w:hint="default"/>
      </w:rPr>
    </w:lvl>
  </w:abstractNum>
  <w:abstractNum w:abstractNumId="21" w15:restartNumberingAfterBreak="0">
    <w:nsid w:val="65D5678F"/>
    <w:multiLevelType w:val="hybridMultilevel"/>
    <w:tmpl w:val="8844FB18"/>
    <w:lvl w:ilvl="0" w:tplc="4AF60F5A">
      <w:start w:val="1"/>
      <w:numFmt w:val="bullet"/>
      <w:lvlText w:val=""/>
      <w:lvlJc w:val="left"/>
      <w:pPr>
        <w:ind w:left="1080" w:hanging="360"/>
      </w:pPr>
      <w:rPr>
        <w:rFonts w:ascii="Symbol" w:hAnsi="Symbol" w:hint="default"/>
        <w:color w:val="FF0000"/>
        <w:lang w:val="en-US"/>
      </w:rPr>
    </w:lvl>
    <w:lvl w:ilvl="1" w:tplc="5776A818" w:tentative="1">
      <w:start w:val="1"/>
      <w:numFmt w:val="lowerLetter"/>
      <w:lvlText w:val="%2."/>
      <w:lvlJc w:val="left"/>
      <w:pPr>
        <w:ind w:left="1800" w:hanging="360"/>
      </w:pPr>
    </w:lvl>
    <w:lvl w:ilvl="2" w:tplc="44C0D0AE" w:tentative="1">
      <w:start w:val="1"/>
      <w:numFmt w:val="lowerRoman"/>
      <w:lvlText w:val="%3."/>
      <w:lvlJc w:val="right"/>
      <w:pPr>
        <w:ind w:left="2520" w:hanging="180"/>
      </w:pPr>
    </w:lvl>
    <w:lvl w:ilvl="3" w:tplc="2780DA22" w:tentative="1">
      <w:start w:val="1"/>
      <w:numFmt w:val="decimal"/>
      <w:lvlText w:val="%4."/>
      <w:lvlJc w:val="left"/>
      <w:pPr>
        <w:ind w:left="3240" w:hanging="360"/>
      </w:pPr>
    </w:lvl>
    <w:lvl w:ilvl="4" w:tplc="F75C2932" w:tentative="1">
      <w:start w:val="1"/>
      <w:numFmt w:val="lowerLetter"/>
      <w:lvlText w:val="%5."/>
      <w:lvlJc w:val="left"/>
      <w:pPr>
        <w:ind w:left="3960" w:hanging="360"/>
      </w:pPr>
    </w:lvl>
    <w:lvl w:ilvl="5" w:tplc="C74C3B3E" w:tentative="1">
      <w:start w:val="1"/>
      <w:numFmt w:val="lowerRoman"/>
      <w:lvlText w:val="%6."/>
      <w:lvlJc w:val="right"/>
      <w:pPr>
        <w:ind w:left="4680" w:hanging="180"/>
      </w:pPr>
    </w:lvl>
    <w:lvl w:ilvl="6" w:tplc="1DCC7D52" w:tentative="1">
      <w:start w:val="1"/>
      <w:numFmt w:val="decimal"/>
      <w:lvlText w:val="%7."/>
      <w:lvlJc w:val="left"/>
      <w:pPr>
        <w:ind w:left="5400" w:hanging="360"/>
      </w:pPr>
    </w:lvl>
    <w:lvl w:ilvl="7" w:tplc="47E2FC74" w:tentative="1">
      <w:start w:val="1"/>
      <w:numFmt w:val="lowerLetter"/>
      <w:lvlText w:val="%8."/>
      <w:lvlJc w:val="left"/>
      <w:pPr>
        <w:ind w:left="6120" w:hanging="360"/>
      </w:pPr>
    </w:lvl>
    <w:lvl w:ilvl="8" w:tplc="9D462710" w:tentative="1">
      <w:start w:val="1"/>
      <w:numFmt w:val="lowerRoman"/>
      <w:lvlText w:val="%9."/>
      <w:lvlJc w:val="right"/>
      <w:pPr>
        <w:ind w:left="6840" w:hanging="180"/>
      </w:pPr>
    </w:lvl>
  </w:abstractNum>
  <w:abstractNum w:abstractNumId="22" w15:restartNumberingAfterBreak="0">
    <w:nsid w:val="665B09CB"/>
    <w:multiLevelType w:val="hybridMultilevel"/>
    <w:tmpl w:val="F98283A0"/>
    <w:lvl w:ilvl="0" w:tplc="DD102DDE">
      <w:start w:val="1"/>
      <w:numFmt w:val="bullet"/>
      <w:pStyle w:val="5"/>
      <w:lvlText w:val=""/>
      <w:lvlJc w:val="left"/>
      <w:pPr>
        <w:ind w:left="1854" w:hanging="360"/>
      </w:pPr>
      <w:rPr>
        <w:rFonts w:ascii="Wingdings" w:hAnsi="Wingdings" w:hint="default"/>
        <w:color w:val="FFF400"/>
      </w:rPr>
    </w:lvl>
    <w:lvl w:ilvl="1" w:tplc="FBC666D6" w:tentative="1">
      <w:start w:val="1"/>
      <w:numFmt w:val="lowerLetter"/>
      <w:lvlText w:val="%2."/>
      <w:lvlJc w:val="left"/>
      <w:pPr>
        <w:ind w:left="2574" w:hanging="360"/>
      </w:pPr>
    </w:lvl>
    <w:lvl w:ilvl="2" w:tplc="885EED60" w:tentative="1">
      <w:start w:val="1"/>
      <w:numFmt w:val="lowerRoman"/>
      <w:lvlText w:val="%3."/>
      <w:lvlJc w:val="right"/>
      <w:pPr>
        <w:ind w:left="3294" w:hanging="180"/>
      </w:pPr>
    </w:lvl>
    <w:lvl w:ilvl="3" w:tplc="16F050CC" w:tentative="1">
      <w:start w:val="1"/>
      <w:numFmt w:val="decimal"/>
      <w:lvlText w:val="%4."/>
      <w:lvlJc w:val="left"/>
      <w:pPr>
        <w:ind w:left="4014" w:hanging="360"/>
      </w:pPr>
    </w:lvl>
    <w:lvl w:ilvl="4" w:tplc="FD2C2C4A" w:tentative="1">
      <w:start w:val="1"/>
      <w:numFmt w:val="lowerLetter"/>
      <w:lvlText w:val="%5."/>
      <w:lvlJc w:val="left"/>
      <w:pPr>
        <w:ind w:left="4734" w:hanging="360"/>
      </w:pPr>
    </w:lvl>
    <w:lvl w:ilvl="5" w:tplc="A28A1B94" w:tentative="1">
      <w:start w:val="1"/>
      <w:numFmt w:val="lowerRoman"/>
      <w:lvlText w:val="%6."/>
      <w:lvlJc w:val="right"/>
      <w:pPr>
        <w:ind w:left="5454" w:hanging="180"/>
      </w:pPr>
    </w:lvl>
    <w:lvl w:ilvl="6" w:tplc="7A1C02A0" w:tentative="1">
      <w:start w:val="1"/>
      <w:numFmt w:val="decimal"/>
      <w:lvlText w:val="%7."/>
      <w:lvlJc w:val="left"/>
      <w:pPr>
        <w:ind w:left="6174" w:hanging="360"/>
      </w:pPr>
    </w:lvl>
    <w:lvl w:ilvl="7" w:tplc="2E0A939A" w:tentative="1">
      <w:start w:val="1"/>
      <w:numFmt w:val="lowerLetter"/>
      <w:lvlText w:val="%8."/>
      <w:lvlJc w:val="left"/>
      <w:pPr>
        <w:ind w:left="6894" w:hanging="360"/>
      </w:pPr>
    </w:lvl>
    <w:lvl w:ilvl="8" w:tplc="03A41422" w:tentative="1">
      <w:start w:val="1"/>
      <w:numFmt w:val="lowerRoman"/>
      <w:lvlText w:val="%9."/>
      <w:lvlJc w:val="right"/>
      <w:pPr>
        <w:ind w:left="7614" w:hanging="180"/>
      </w:pPr>
    </w:lvl>
  </w:abstractNum>
  <w:abstractNum w:abstractNumId="23" w15:restartNumberingAfterBreak="0">
    <w:nsid w:val="6699458C"/>
    <w:multiLevelType w:val="hybridMultilevel"/>
    <w:tmpl w:val="B9E2BA98"/>
    <w:lvl w:ilvl="0" w:tplc="B0564092">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8F6EE154" w:tentative="1">
      <w:start w:val="1"/>
      <w:numFmt w:val="bullet"/>
      <w:lvlText w:val="o"/>
      <w:lvlJc w:val="left"/>
      <w:pPr>
        <w:ind w:left="1080" w:hanging="360"/>
      </w:pPr>
      <w:rPr>
        <w:rFonts w:ascii="Courier New" w:hAnsi="Courier New" w:cs="Courier New" w:hint="default"/>
      </w:rPr>
    </w:lvl>
    <w:lvl w:ilvl="2" w:tplc="034607C4" w:tentative="1">
      <w:start w:val="1"/>
      <w:numFmt w:val="bullet"/>
      <w:lvlText w:val=""/>
      <w:lvlJc w:val="left"/>
      <w:pPr>
        <w:ind w:left="1800" w:hanging="360"/>
      </w:pPr>
      <w:rPr>
        <w:rFonts w:ascii="Wingdings" w:hAnsi="Wingdings" w:hint="default"/>
      </w:rPr>
    </w:lvl>
    <w:lvl w:ilvl="3" w:tplc="66369092" w:tentative="1">
      <w:start w:val="1"/>
      <w:numFmt w:val="bullet"/>
      <w:lvlText w:val=""/>
      <w:lvlJc w:val="left"/>
      <w:pPr>
        <w:ind w:left="2520" w:hanging="360"/>
      </w:pPr>
      <w:rPr>
        <w:rFonts w:ascii="Symbol" w:hAnsi="Symbol" w:hint="default"/>
      </w:rPr>
    </w:lvl>
    <w:lvl w:ilvl="4" w:tplc="AB3CCE0E" w:tentative="1">
      <w:start w:val="1"/>
      <w:numFmt w:val="bullet"/>
      <w:lvlText w:val="o"/>
      <w:lvlJc w:val="left"/>
      <w:pPr>
        <w:ind w:left="3240" w:hanging="360"/>
      </w:pPr>
      <w:rPr>
        <w:rFonts w:ascii="Courier New" w:hAnsi="Courier New" w:cs="Courier New" w:hint="default"/>
      </w:rPr>
    </w:lvl>
    <w:lvl w:ilvl="5" w:tplc="856C2816" w:tentative="1">
      <w:start w:val="1"/>
      <w:numFmt w:val="bullet"/>
      <w:lvlText w:val=""/>
      <w:lvlJc w:val="left"/>
      <w:pPr>
        <w:ind w:left="3960" w:hanging="360"/>
      </w:pPr>
      <w:rPr>
        <w:rFonts w:ascii="Wingdings" w:hAnsi="Wingdings" w:hint="default"/>
      </w:rPr>
    </w:lvl>
    <w:lvl w:ilvl="6" w:tplc="5652F9D2" w:tentative="1">
      <w:start w:val="1"/>
      <w:numFmt w:val="bullet"/>
      <w:lvlText w:val=""/>
      <w:lvlJc w:val="left"/>
      <w:pPr>
        <w:ind w:left="4680" w:hanging="360"/>
      </w:pPr>
      <w:rPr>
        <w:rFonts w:ascii="Symbol" w:hAnsi="Symbol" w:hint="default"/>
      </w:rPr>
    </w:lvl>
    <w:lvl w:ilvl="7" w:tplc="81A03430" w:tentative="1">
      <w:start w:val="1"/>
      <w:numFmt w:val="bullet"/>
      <w:lvlText w:val="o"/>
      <w:lvlJc w:val="left"/>
      <w:pPr>
        <w:ind w:left="5400" w:hanging="360"/>
      </w:pPr>
      <w:rPr>
        <w:rFonts w:ascii="Courier New" w:hAnsi="Courier New" w:cs="Courier New" w:hint="default"/>
      </w:rPr>
    </w:lvl>
    <w:lvl w:ilvl="8" w:tplc="9AA40BD4" w:tentative="1">
      <w:start w:val="1"/>
      <w:numFmt w:val="bullet"/>
      <w:lvlText w:val=""/>
      <w:lvlJc w:val="left"/>
      <w:pPr>
        <w:ind w:left="6120" w:hanging="360"/>
      </w:pPr>
      <w:rPr>
        <w:rFonts w:ascii="Wingdings" w:hAnsi="Wingdings" w:hint="default"/>
      </w:rPr>
    </w:lvl>
  </w:abstractNum>
  <w:abstractNum w:abstractNumId="24" w15:restartNumberingAfterBreak="0">
    <w:nsid w:val="778F7677"/>
    <w:multiLevelType w:val="hybridMultilevel"/>
    <w:tmpl w:val="257EC434"/>
    <w:lvl w:ilvl="0" w:tplc="5992A22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180E49DE" w:tentative="1">
      <w:start w:val="1"/>
      <w:numFmt w:val="bullet"/>
      <w:lvlText w:val="o"/>
      <w:lvlJc w:val="left"/>
      <w:pPr>
        <w:ind w:left="1440" w:hanging="360"/>
      </w:pPr>
      <w:rPr>
        <w:rFonts w:ascii="Courier New" w:hAnsi="Courier New" w:cs="Courier New" w:hint="default"/>
      </w:rPr>
    </w:lvl>
    <w:lvl w:ilvl="2" w:tplc="5AD88EF4" w:tentative="1">
      <w:start w:val="1"/>
      <w:numFmt w:val="bullet"/>
      <w:lvlText w:val=""/>
      <w:lvlJc w:val="left"/>
      <w:pPr>
        <w:ind w:left="2160" w:hanging="360"/>
      </w:pPr>
      <w:rPr>
        <w:rFonts w:ascii="Wingdings" w:hAnsi="Wingdings" w:hint="default"/>
      </w:rPr>
    </w:lvl>
    <w:lvl w:ilvl="3" w:tplc="BCF240EA" w:tentative="1">
      <w:start w:val="1"/>
      <w:numFmt w:val="bullet"/>
      <w:lvlText w:val=""/>
      <w:lvlJc w:val="left"/>
      <w:pPr>
        <w:ind w:left="2880" w:hanging="360"/>
      </w:pPr>
      <w:rPr>
        <w:rFonts w:ascii="Symbol" w:hAnsi="Symbol" w:hint="default"/>
      </w:rPr>
    </w:lvl>
    <w:lvl w:ilvl="4" w:tplc="D8F25C9C" w:tentative="1">
      <w:start w:val="1"/>
      <w:numFmt w:val="bullet"/>
      <w:lvlText w:val="o"/>
      <w:lvlJc w:val="left"/>
      <w:pPr>
        <w:ind w:left="3600" w:hanging="360"/>
      </w:pPr>
      <w:rPr>
        <w:rFonts w:ascii="Courier New" w:hAnsi="Courier New" w:cs="Courier New" w:hint="default"/>
      </w:rPr>
    </w:lvl>
    <w:lvl w:ilvl="5" w:tplc="65A859D6" w:tentative="1">
      <w:start w:val="1"/>
      <w:numFmt w:val="bullet"/>
      <w:lvlText w:val=""/>
      <w:lvlJc w:val="left"/>
      <w:pPr>
        <w:ind w:left="4320" w:hanging="360"/>
      </w:pPr>
      <w:rPr>
        <w:rFonts w:ascii="Wingdings" w:hAnsi="Wingdings" w:hint="default"/>
      </w:rPr>
    </w:lvl>
    <w:lvl w:ilvl="6" w:tplc="CC904CC2" w:tentative="1">
      <w:start w:val="1"/>
      <w:numFmt w:val="bullet"/>
      <w:lvlText w:val=""/>
      <w:lvlJc w:val="left"/>
      <w:pPr>
        <w:ind w:left="5040" w:hanging="360"/>
      </w:pPr>
      <w:rPr>
        <w:rFonts w:ascii="Symbol" w:hAnsi="Symbol" w:hint="default"/>
      </w:rPr>
    </w:lvl>
    <w:lvl w:ilvl="7" w:tplc="3F30906A" w:tentative="1">
      <w:start w:val="1"/>
      <w:numFmt w:val="bullet"/>
      <w:lvlText w:val="o"/>
      <w:lvlJc w:val="left"/>
      <w:pPr>
        <w:ind w:left="5760" w:hanging="360"/>
      </w:pPr>
      <w:rPr>
        <w:rFonts w:ascii="Courier New" w:hAnsi="Courier New" w:cs="Courier New" w:hint="default"/>
      </w:rPr>
    </w:lvl>
    <w:lvl w:ilvl="8" w:tplc="B1466458" w:tentative="1">
      <w:start w:val="1"/>
      <w:numFmt w:val="bullet"/>
      <w:lvlText w:val=""/>
      <w:lvlJc w:val="left"/>
      <w:pPr>
        <w:ind w:left="6480" w:hanging="360"/>
      </w:pPr>
      <w:rPr>
        <w:rFonts w:ascii="Wingdings" w:hAnsi="Wingdings" w:hint="default"/>
      </w:rPr>
    </w:lvl>
  </w:abstractNum>
  <w:abstractNum w:abstractNumId="25" w15:restartNumberingAfterBreak="0">
    <w:nsid w:val="7E431D00"/>
    <w:multiLevelType w:val="hybridMultilevel"/>
    <w:tmpl w:val="7576C230"/>
    <w:lvl w:ilvl="0" w:tplc="B9BCF9F4">
      <w:start w:val="1"/>
      <w:numFmt w:val="decimal"/>
      <w:pStyle w:val="10"/>
      <w:lvlText w:val="%1."/>
      <w:lvlJc w:val="left"/>
      <w:pPr>
        <w:ind w:left="1858" w:hanging="360"/>
      </w:pPr>
      <w:rPr>
        <w:rFonts w:ascii="Calibri" w:hAnsi="Calibri" w:cs="Calibri" w:hint="default"/>
        <w:b/>
        <w:bCs/>
        <w:i w:val="0"/>
        <w:iCs w:val="0"/>
        <w:color w:val="002060"/>
        <w:sz w:val="40"/>
        <w:szCs w:val="40"/>
      </w:rPr>
    </w:lvl>
    <w:lvl w:ilvl="1" w:tplc="A788AC88" w:tentative="1">
      <w:start w:val="1"/>
      <w:numFmt w:val="lowerLetter"/>
      <w:lvlText w:val="%2."/>
      <w:lvlJc w:val="left"/>
      <w:pPr>
        <w:ind w:left="2578" w:hanging="360"/>
      </w:pPr>
    </w:lvl>
    <w:lvl w:ilvl="2" w:tplc="807EDF1E" w:tentative="1">
      <w:start w:val="1"/>
      <w:numFmt w:val="lowerRoman"/>
      <w:lvlText w:val="%3."/>
      <w:lvlJc w:val="right"/>
      <w:pPr>
        <w:ind w:left="3298" w:hanging="180"/>
      </w:pPr>
    </w:lvl>
    <w:lvl w:ilvl="3" w:tplc="17F09038" w:tentative="1">
      <w:start w:val="1"/>
      <w:numFmt w:val="decimal"/>
      <w:lvlText w:val="%4."/>
      <w:lvlJc w:val="left"/>
      <w:pPr>
        <w:ind w:left="4018" w:hanging="360"/>
      </w:pPr>
    </w:lvl>
    <w:lvl w:ilvl="4" w:tplc="2AB260C6" w:tentative="1">
      <w:start w:val="1"/>
      <w:numFmt w:val="lowerLetter"/>
      <w:lvlText w:val="%5."/>
      <w:lvlJc w:val="left"/>
      <w:pPr>
        <w:ind w:left="4738" w:hanging="360"/>
      </w:pPr>
    </w:lvl>
    <w:lvl w:ilvl="5" w:tplc="FF96A898" w:tentative="1">
      <w:start w:val="1"/>
      <w:numFmt w:val="lowerRoman"/>
      <w:lvlText w:val="%6."/>
      <w:lvlJc w:val="right"/>
      <w:pPr>
        <w:ind w:left="5458" w:hanging="180"/>
      </w:pPr>
    </w:lvl>
    <w:lvl w:ilvl="6" w:tplc="75362FEC" w:tentative="1">
      <w:start w:val="1"/>
      <w:numFmt w:val="decimal"/>
      <w:lvlText w:val="%7."/>
      <w:lvlJc w:val="left"/>
      <w:pPr>
        <w:ind w:left="6178" w:hanging="360"/>
      </w:pPr>
    </w:lvl>
    <w:lvl w:ilvl="7" w:tplc="B7CE04BA" w:tentative="1">
      <w:start w:val="1"/>
      <w:numFmt w:val="lowerLetter"/>
      <w:lvlText w:val="%8."/>
      <w:lvlJc w:val="left"/>
      <w:pPr>
        <w:ind w:left="6898" w:hanging="360"/>
      </w:pPr>
    </w:lvl>
    <w:lvl w:ilvl="8" w:tplc="A658FC16"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30DCF"/>
    <w:rsid w:val="000314B9"/>
    <w:rsid w:val="00042837"/>
    <w:rsid w:val="000501A4"/>
    <w:rsid w:val="000532AA"/>
    <w:rsid w:val="0007624D"/>
    <w:rsid w:val="00084768"/>
    <w:rsid w:val="00092F16"/>
    <w:rsid w:val="00094F36"/>
    <w:rsid w:val="000A4CDC"/>
    <w:rsid w:val="000B1102"/>
    <w:rsid w:val="000B463F"/>
    <w:rsid w:val="000C6528"/>
    <w:rsid w:val="000C7459"/>
    <w:rsid w:val="000D221E"/>
    <w:rsid w:val="000E013E"/>
    <w:rsid w:val="000F7725"/>
    <w:rsid w:val="00101958"/>
    <w:rsid w:val="00101D0F"/>
    <w:rsid w:val="0011074F"/>
    <w:rsid w:val="00113E28"/>
    <w:rsid w:val="00114325"/>
    <w:rsid w:val="00164D9B"/>
    <w:rsid w:val="00166477"/>
    <w:rsid w:val="001730B0"/>
    <w:rsid w:val="00186561"/>
    <w:rsid w:val="001960B4"/>
    <w:rsid w:val="0019747C"/>
    <w:rsid w:val="001A3BBC"/>
    <w:rsid w:val="001A613C"/>
    <w:rsid w:val="001B2821"/>
    <w:rsid w:val="001C057E"/>
    <w:rsid w:val="001C33F8"/>
    <w:rsid w:val="001C6185"/>
    <w:rsid w:val="001D3DA9"/>
    <w:rsid w:val="001E204F"/>
    <w:rsid w:val="001F0CD9"/>
    <w:rsid w:val="00203604"/>
    <w:rsid w:val="002064F7"/>
    <w:rsid w:val="00212D9D"/>
    <w:rsid w:val="0023497D"/>
    <w:rsid w:val="00240887"/>
    <w:rsid w:val="002602F0"/>
    <w:rsid w:val="00263521"/>
    <w:rsid w:val="00276705"/>
    <w:rsid w:val="00284534"/>
    <w:rsid w:val="00291629"/>
    <w:rsid w:val="002A7D21"/>
    <w:rsid w:val="002B55E8"/>
    <w:rsid w:val="002C0C75"/>
    <w:rsid w:val="002C0FD0"/>
    <w:rsid w:val="002C1EE0"/>
    <w:rsid w:val="002C4139"/>
    <w:rsid w:val="002E5BF1"/>
    <w:rsid w:val="00301153"/>
    <w:rsid w:val="0030602D"/>
    <w:rsid w:val="00310345"/>
    <w:rsid w:val="00313DEA"/>
    <w:rsid w:val="0032268D"/>
    <w:rsid w:val="00323027"/>
    <w:rsid w:val="00330009"/>
    <w:rsid w:val="00340353"/>
    <w:rsid w:val="0036735A"/>
    <w:rsid w:val="0037370B"/>
    <w:rsid w:val="0037752E"/>
    <w:rsid w:val="0037780B"/>
    <w:rsid w:val="00380052"/>
    <w:rsid w:val="00386E9B"/>
    <w:rsid w:val="0039415D"/>
    <w:rsid w:val="003D61C6"/>
    <w:rsid w:val="003E32D2"/>
    <w:rsid w:val="003E58C2"/>
    <w:rsid w:val="003E6853"/>
    <w:rsid w:val="00411396"/>
    <w:rsid w:val="0042177E"/>
    <w:rsid w:val="00450C77"/>
    <w:rsid w:val="004562F8"/>
    <w:rsid w:val="004672FB"/>
    <w:rsid w:val="004779AA"/>
    <w:rsid w:val="00493AB8"/>
    <w:rsid w:val="004A0385"/>
    <w:rsid w:val="004A0D80"/>
    <w:rsid w:val="004C7D9F"/>
    <w:rsid w:val="004E2733"/>
    <w:rsid w:val="004E488A"/>
    <w:rsid w:val="004F0AB4"/>
    <w:rsid w:val="005006C5"/>
    <w:rsid w:val="00512CFE"/>
    <w:rsid w:val="00524C99"/>
    <w:rsid w:val="00551B42"/>
    <w:rsid w:val="00551FF7"/>
    <w:rsid w:val="00553A21"/>
    <w:rsid w:val="00574579"/>
    <w:rsid w:val="00577CAE"/>
    <w:rsid w:val="00580C5C"/>
    <w:rsid w:val="005A021D"/>
    <w:rsid w:val="005A09B4"/>
    <w:rsid w:val="005B2688"/>
    <w:rsid w:val="005C3049"/>
    <w:rsid w:val="005C7ABF"/>
    <w:rsid w:val="005D135D"/>
    <w:rsid w:val="005D2CBD"/>
    <w:rsid w:val="005D7324"/>
    <w:rsid w:val="005E62A6"/>
    <w:rsid w:val="005E7DF1"/>
    <w:rsid w:val="005F4A6D"/>
    <w:rsid w:val="00602674"/>
    <w:rsid w:val="00617CCD"/>
    <w:rsid w:val="0062451B"/>
    <w:rsid w:val="0062456C"/>
    <w:rsid w:val="00634DAD"/>
    <w:rsid w:val="0063556C"/>
    <w:rsid w:val="0063663E"/>
    <w:rsid w:val="006378E0"/>
    <w:rsid w:val="00640B60"/>
    <w:rsid w:val="006457EB"/>
    <w:rsid w:val="006531CB"/>
    <w:rsid w:val="006569CD"/>
    <w:rsid w:val="006615C6"/>
    <w:rsid w:val="00673BC4"/>
    <w:rsid w:val="006A0446"/>
    <w:rsid w:val="006A56C2"/>
    <w:rsid w:val="006A646E"/>
    <w:rsid w:val="006B1593"/>
    <w:rsid w:val="006B7706"/>
    <w:rsid w:val="006C4033"/>
    <w:rsid w:val="006D4161"/>
    <w:rsid w:val="006D4240"/>
    <w:rsid w:val="006D786C"/>
    <w:rsid w:val="006E1414"/>
    <w:rsid w:val="006F285F"/>
    <w:rsid w:val="00713041"/>
    <w:rsid w:val="00716AFD"/>
    <w:rsid w:val="0072219B"/>
    <w:rsid w:val="007474F0"/>
    <w:rsid w:val="00753ADE"/>
    <w:rsid w:val="00773F61"/>
    <w:rsid w:val="00777760"/>
    <w:rsid w:val="007A4EBD"/>
    <w:rsid w:val="007B112B"/>
    <w:rsid w:val="007B5B26"/>
    <w:rsid w:val="007B691A"/>
    <w:rsid w:val="007C1FF6"/>
    <w:rsid w:val="007D61B8"/>
    <w:rsid w:val="007E24BD"/>
    <w:rsid w:val="007F7FF2"/>
    <w:rsid w:val="00805B42"/>
    <w:rsid w:val="008102AD"/>
    <w:rsid w:val="00824AB2"/>
    <w:rsid w:val="0083106F"/>
    <w:rsid w:val="00837997"/>
    <w:rsid w:val="00846FFB"/>
    <w:rsid w:val="008654CB"/>
    <w:rsid w:val="00867FC5"/>
    <w:rsid w:val="0088743F"/>
    <w:rsid w:val="00892F80"/>
    <w:rsid w:val="00897698"/>
    <w:rsid w:val="008A2E0E"/>
    <w:rsid w:val="008B4F41"/>
    <w:rsid w:val="008B5B82"/>
    <w:rsid w:val="008C1428"/>
    <w:rsid w:val="008C6F75"/>
    <w:rsid w:val="008D750B"/>
    <w:rsid w:val="009015B2"/>
    <w:rsid w:val="00906E90"/>
    <w:rsid w:val="0091051D"/>
    <w:rsid w:val="00936F84"/>
    <w:rsid w:val="00940851"/>
    <w:rsid w:val="00961F73"/>
    <w:rsid w:val="009679D9"/>
    <w:rsid w:val="00981C57"/>
    <w:rsid w:val="009912C8"/>
    <w:rsid w:val="009961E8"/>
    <w:rsid w:val="009A6817"/>
    <w:rsid w:val="009B0AEC"/>
    <w:rsid w:val="009B497A"/>
    <w:rsid w:val="009C0EA1"/>
    <w:rsid w:val="009C4ECD"/>
    <w:rsid w:val="009C6066"/>
    <w:rsid w:val="009D45C5"/>
    <w:rsid w:val="009D73F5"/>
    <w:rsid w:val="009E1A3F"/>
    <w:rsid w:val="009E53CF"/>
    <w:rsid w:val="009F0BD3"/>
    <w:rsid w:val="00A055D0"/>
    <w:rsid w:val="00A222E2"/>
    <w:rsid w:val="00A30B00"/>
    <w:rsid w:val="00A5605A"/>
    <w:rsid w:val="00A61AD5"/>
    <w:rsid w:val="00A73038"/>
    <w:rsid w:val="00A76C99"/>
    <w:rsid w:val="00A81EBE"/>
    <w:rsid w:val="00A860A8"/>
    <w:rsid w:val="00AB465B"/>
    <w:rsid w:val="00AB66C8"/>
    <w:rsid w:val="00AC6B95"/>
    <w:rsid w:val="00AD1000"/>
    <w:rsid w:val="00AE4BB7"/>
    <w:rsid w:val="00AE741B"/>
    <w:rsid w:val="00AF3B73"/>
    <w:rsid w:val="00B00E5C"/>
    <w:rsid w:val="00B04068"/>
    <w:rsid w:val="00B14FC8"/>
    <w:rsid w:val="00B233C2"/>
    <w:rsid w:val="00B40090"/>
    <w:rsid w:val="00B40BFA"/>
    <w:rsid w:val="00B4321D"/>
    <w:rsid w:val="00B52A04"/>
    <w:rsid w:val="00B64110"/>
    <w:rsid w:val="00B666B9"/>
    <w:rsid w:val="00B75E06"/>
    <w:rsid w:val="00B76DC1"/>
    <w:rsid w:val="00B862C0"/>
    <w:rsid w:val="00B96AE5"/>
    <w:rsid w:val="00BD2291"/>
    <w:rsid w:val="00BD291C"/>
    <w:rsid w:val="00BE22D7"/>
    <w:rsid w:val="00BE2DD8"/>
    <w:rsid w:val="00BE39C1"/>
    <w:rsid w:val="00C2305A"/>
    <w:rsid w:val="00C23CC9"/>
    <w:rsid w:val="00C30B3D"/>
    <w:rsid w:val="00C33AE2"/>
    <w:rsid w:val="00C34319"/>
    <w:rsid w:val="00C36C5E"/>
    <w:rsid w:val="00C4664C"/>
    <w:rsid w:val="00C4789A"/>
    <w:rsid w:val="00C66ECA"/>
    <w:rsid w:val="00C75A49"/>
    <w:rsid w:val="00C8096C"/>
    <w:rsid w:val="00C8100B"/>
    <w:rsid w:val="00C92141"/>
    <w:rsid w:val="00CA38DE"/>
    <w:rsid w:val="00CA41D2"/>
    <w:rsid w:val="00CA4EB1"/>
    <w:rsid w:val="00CA4F20"/>
    <w:rsid w:val="00CD5320"/>
    <w:rsid w:val="00CD6EEC"/>
    <w:rsid w:val="00CE790A"/>
    <w:rsid w:val="00CF6518"/>
    <w:rsid w:val="00D113B6"/>
    <w:rsid w:val="00D22748"/>
    <w:rsid w:val="00D26918"/>
    <w:rsid w:val="00D37121"/>
    <w:rsid w:val="00D57BE9"/>
    <w:rsid w:val="00D71966"/>
    <w:rsid w:val="00D779F7"/>
    <w:rsid w:val="00D87542"/>
    <w:rsid w:val="00D95C20"/>
    <w:rsid w:val="00D97C16"/>
    <w:rsid w:val="00DA3406"/>
    <w:rsid w:val="00DA67CB"/>
    <w:rsid w:val="00DB2E3A"/>
    <w:rsid w:val="00DB6E18"/>
    <w:rsid w:val="00DE1DAB"/>
    <w:rsid w:val="00DE20A2"/>
    <w:rsid w:val="00DF0B89"/>
    <w:rsid w:val="00E35682"/>
    <w:rsid w:val="00E46EA3"/>
    <w:rsid w:val="00E51C1B"/>
    <w:rsid w:val="00E52143"/>
    <w:rsid w:val="00E53DA7"/>
    <w:rsid w:val="00E678C7"/>
    <w:rsid w:val="00E725B9"/>
    <w:rsid w:val="00EB3C9A"/>
    <w:rsid w:val="00EB5989"/>
    <w:rsid w:val="00EC6B44"/>
    <w:rsid w:val="00EE06A0"/>
    <w:rsid w:val="00EE37A3"/>
    <w:rsid w:val="00EE407E"/>
    <w:rsid w:val="00EE67C7"/>
    <w:rsid w:val="00F30558"/>
    <w:rsid w:val="00F4385E"/>
    <w:rsid w:val="00F51DD6"/>
    <w:rsid w:val="00F56CE4"/>
    <w:rsid w:val="00F627EB"/>
    <w:rsid w:val="00F66FC8"/>
    <w:rsid w:val="00F75A10"/>
    <w:rsid w:val="00F77276"/>
    <w:rsid w:val="00F86C1B"/>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0501A4"/>
    <w:pPr>
      <w:bidi/>
      <w:spacing w:after="0" w:line="312" w:lineRule="auto"/>
    </w:pPr>
  </w:style>
  <w:style w:type="paragraph" w:styleId="11">
    <w:name w:val="heading 1"/>
    <w:basedOn w:val="a3"/>
    <w:next w:val="a3"/>
    <w:link w:val="12"/>
    <w:uiPriority w:val="9"/>
    <w:qFormat/>
    <w:rsid w:val="000501A4"/>
    <w:pPr>
      <w:keepNext/>
      <w:keepLines/>
      <w:jc w:val="center"/>
      <w:outlineLvl w:val="0"/>
    </w:pPr>
    <w:rPr>
      <w:rFonts w:eastAsiaTheme="majorEastAsia"/>
      <w:bCs/>
      <w:szCs w:val="36"/>
      <w:u w:val="single"/>
    </w:rPr>
  </w:style>
  <w:style w:type="paragraph" w:styleId="20">
    <w:name w:val="heading 2"/>
    <w:basedOn w:val="a3"/>
    <w:next w:val="a3"/>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3"/>
    <w:next w:val="a3"/>
    <w:link w:val="32"/>
    <w:uiPriority w:val="9"/>
    <w:qFormat/>
    <w:rsid w:val="006D786C"/>
    <w:pPr>
      <w:keepNext/>
      <w:keepLines/>
      <w:spacing w:before="120"/>
      <w:outlineLvl w:val="2"/>
    </w:pPr>
    <w:rPr>
      <w:rFonts w:eastAsiaTheme="majorEastAsia"/>
      <w:bCs/>
      <w:szCs w:val="28"/>
      <w:u w:val="single"/>
    </w:rPr>
  </w:style>
  <w:style w:type="paragraph" w:styleId="4">
    <w:name w:val="heading 4"/>
    <w:basedOn w:val="a3"/>
    <w:next w:val="a3"/>
    <w:link w:val="40"/>
    <w:uiPriority w:val="9"/>
    <w:qFormat/>
    <w:rsid w:val="006D786C"/>
    <w:pPr>
      <w:keepNext/>
      <w:keepLines/>
      <w:spacing w:before="120"/>
      <w:outlineLvl w:val="3"/>
    </w:pPr>
    <w:rPr>
      <w:rFonts w:eastAsiaTheme="majorEastAsia"/>
      <w:bCs/>
      <w:szCs w:val="26"/>
    </w:rPr>
  </w:style>
  <w:style w:type="paragraph" w:styleId="50">
    <w:name w:val="heading 5"/>
    <w:basedOn w:val="a3"/>
    <w:next w:val="a3"/>
    <w:link w:val="51"/>
    <w:uiPriority w:val="1"/>
    <w:qFormat/>
    <w:rsid w:val="000501A4"/>
    <w:pPr>
      <w:keepNext/>
      <w:keepLines/>
      <w:outlineLvl w:val="4"/>
    </w:pPr>
    <w:rPr>
      <w:rFonts w:eastAsiaTheme="majorEastAsia"/>
      <w:bCs/>
      <w:spacing w:val="40"/>
    </w:rPr>
  </w:style>
  <w:style w:type="paragraph" w:styleId="6">
    <w:name w:val="heading 6"/>
    <w:basedOn w:val="a3"/>
    <w:next w:val="a3"/>
    <w:link w:val="60"/>
    <w:uiPriority w:val="1"/>
    <w:qFormat/>
    <w:rsid w:val="000501A4"/>
    <w:pPr>
      <w:keepNext/>
      <w:keepLines/>
      <w:outlineLvl w:val="5"/>
    </w:pPr>
    <w:rPr>
      <w:rFonts w:eastAsiaTheme="majorEastAsia"/>
      <w:spacing w:val="40"/>
    </w:rPr>
  </w:style>
  <w:style w:type="paragraph" w:styleId="7">
    <w:name w:val="heading 7"/>
    <w:basedOn w:val="a3"/>
    <w:next w:val="a3"/>
    <w:link w:val="70"/>
    <w:uiPriority w:val="9"/>
    <w:qFormat/>
    <w:rsid w:val="000501A4"/>
    <w:pPr>
      <w:keepNext/>
      <w:keepLines/>
      <w:outlineLvl w:val="6"/>
    </w:pPr>
    <w:rPr>
      <w:rFonts w:eastAsiaTheme="majorEastAsia"/>
      <w:bCs/>
      <w:spacing w:val="40"/>
    </w:rPr>
  </w:style>
  <w:style w:type="paragraph" w:styleId="8">
    <w:name w:val="heading 8"/>
    <w:basedOn w:val="a3"/>
    <w:next w:val="a3"/>
    <w:link w:val="80"/>
    <w:uiPriority w:val="1"/>
    <w:qFormat/>
    <w:rsid w:val="000501A4"/>
    <w:pPr>
      <w:keepNext/>
      <w:keepLines/>
      <w:outlineLvl w:val="7"/>
    </w:pPr>
    <w:rPr>
      <w:rFonts w:eastAsiaTheme="majorEastAsia"/>
      <w:spacing w:val="4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uiPriority w:val="9"/>
    <w:rsid w:val="000501A4"/>
    <w:rPr>
      <w:rFonts w:eastAsiaTheme="majorEastAsia"/>
      <w:bCs/>
      <w:szCs w:val="36"/>
      <w:u w:val="single"/>
    </w:rPr>
  </w:style>
  <w:style w:type="character" w:customStyle="1" w:styleId="21">
    <w:name w:val="כותרת 2 תו"/>
    <w:basedOn w:val="a4"/>
    <w:link w:val="20"/>
    <w:uiPriority w:val="1"/>
    <w:rsid w:val="000501A4"/>
    <w:rPr>
      <w:rFonts w:eastAsiaTheme="majorEastAsia"/>
      <w:bCs/>
      <w:szCs w:val="32"/>
    </w:rPr>
  </w:style>
  <w:style w:type="character" w:customStyle="1" w:styleId="32">
    <w:name w:val="כותרת 3 תו"/>
    <w:basedOn w:val="a4"/>
    <w:link w:val="31"/>
    <w:uiPriority w:val="9"/>
    <w:rsid w:val="006D786C"/>
    <w:rPr>
      <w:rFonts w:eastAsiaTheme="majorEastAsia"/>
      <w:bCs/>
      <w:szCs w:val="28"/>
      <w:u w:val="single"/>
    </w:rPr>
  </w:style>
  <w:style w:type="character" w:customStyle="1" w:styleId="40">
    <w:name w:val="כותרת 4 תו"/>
    <w:basedOn w:val="a4"/>
    <w:link w:val="4"/>
    <w:uiPriority w:val="9"/>
    <w:rsid w:val="006D786C"/>
    <w:rPr>
      <w:rFonts w:eastAsiaTheme="majorEastAsia"/>
      <w:bCs/>
      <w:szCs w:val="26"/>
    </w:rPr>
  </w:style>
  <w:style w:type="character" w:customStyle="1" w:styleId="51">
    <w:name w:val="כותרת 5 תו"/>
    <w:basedOn w:val="a4"/>
    <w:link w:val="50"/>
    <w:uiPriority w:val="1"/>
    <w:rsid w:val="000501A4"/>
    <w:rPr>
      <w:rFonts w:eastAsiaTheme="majorEastAsia"/>
      <w:bCs/>
      <w:spacing w:val="40"/>
    </w:rPr>
  </w:style>
  <w:style w:type="character" w:customStyle="1" w:styleId="60">
    <w:name w:val="כותרת 6 תו"/>
    <w:basedOn w:val="a4"/>
    <w:link w:val="6"/>
    <w:uiPriority w:val="1"/>
    <w:rsid w:val="000501A4"/>
    <w:rPr>
      <w:rFonts w:eastAsiaTheme="majorEastAsia"/>
      <w:spacing w:val="40"/>
    </w:rPr>
  </w:style>
  <w:style w:type="character" w:customStyle="1" w:styleId="70">
    <w:name w:val="כותרת 7 תו"/>
    <w:basedOn w:val="a4"/>
    <w:link w:val="7"/>
    <w:uiPriority w:val="1"/>
    <w:rsid w:val="000501A4"/>
    <w:rPr>
      <w:rFonts w:eastAsiaTheme="majorEastAsia"/>
      <w:bCs/>
      <w:spacing w:val="40"/>
    </w:rPr>
  </w:style>
  <w:style w:type="character" w:customStyle="1" w:styleId="80">
    <w:name w:val="כותרת 8 תו"/>
    <w:basedOn w:val="a4"/>
    <w:link w:val="8"/>
    <w:uiPriority w:val="1"/>
    <w:rsid w:val="000501A4"/>
    <w:rPr>
      <w:rFonts w:eastAsiaTheme="majorEastAsia"/>
      <w:spacing w:val="40"/>
    </w:rPr>
  </w:style>
  <w:style w:type="paragraph" w:customStyle="1" w:styleId="a7">
    <w:name w:val="נבנצאל"/>
    <w:basedOn w:val="a3"/>
    <w:next w:val="a3"/>
    <w:link w:val="a8"/>
    <w:uiPriority w:val="99"/>
    <w:rsid w:val="000501A4"/>
    <w:pPr>
      <w:ind w:left="-567"/>
    </w:pPr>
    <w:rPr>
      <w:szCs w:val="20"/>
    </w:rPr>
  </w:style>
  <w:style w:type="character" w:customStyle="1" w:styleId="a8">
    <w:name w:val="נבנצאל תו"/>
    <w:basedOn w:val="a4"/>
    <w:link w:val="a7"/>
    <w:uiPriority w:val="99"/>
    <w:rsid w:val="000501A4"/>
    <w:rPr>
      <w:szCs w:val="20"/>
    </w:rPr>
  </w:style>
  <w:style w:type="paragraph" w:styleId="a9">
    <w:name w:val="header"/>
    <w:basedOn w:val="a3"/>
    <w:link w:val="aa"/>
    <w:uiPriority w:val="99"/>
    <w:unhideWhenUsed/>
    <w:rsid w:val="000501A4"/>
    <w:pPr>
      <w:tabs>
        <w:tab w:val="center" w:pos="4153"/>
        <w:tab w:val="right" w:pos="8306"/>
      </w:tabs>
      <w:spacing w:line="240" w:lineRule="auto"/>
    </w:pPr>
  </w:style>
  <w:style w:type="character" w:customStyle="1" w:styleId="aa">
    <w:name w:val="כותרת עליונה תו"/>
    <w:basedOn w:val="a4"/>
    <w:link w:val="a9"/>
    <w:uiPriority w:val="99"/>
    <w:rsid w:val="000501A4"/>
  </w:style>
  <w:style w:type="paragraph" w:styleId="ab">
    <w:name w:val="footer"/>
    <w:basedOn w:val="a3"/>
    <w:link w:val="ac"/>
    <w:uiPriority w:val="99"/>
    <w:unhideWhenUsed/>
    <w:rsid w:val="000501A4"/>
    <w:pPr>
      <w:tabs>
        <w:tab w:val="center" w:pos="4153"/>
        <w:tab w:val="right" w:pos="8306"/>
      </w:tabs>
      <w:spacing w:line="240" w:lineRule="auto"/>
    </w:pPr>
  </w:style>
  <w:style w:type="character" w:customStyle="1" w:styleId="ac">
    <w:name w:val="כותרת תחתונה תו"/>
    <w:basedOn w:val="a4"/>
    <w:link w:val="ab"/>
    <w:uiPriority w:val="99"/>
    <w:rsid w:val="000501A4"/>
  </w:style>
  <w:style w:type="paragraph" w:styleId="ad">
    <w:name w:val="Date"/>
    <w:basedOn w:val="a3"/>
    <w:next w:val="a3"/>
    <w:link w:val="ae"/>
    <w:uiPriority w:val="99"/>
    <w:unhideWhenUsed/>
    <w:rsid w:val="000501A4"/>
    <w:pPr>
      <w:spacing w:before="120" w:line="240" w:lineRule="auto"/>
    </w:pPr>
  </w:style>
  <w:style w:type="character" w:customStyle="1" w:styleId="ae">
    <w:name w:val="תאריך תו"/>
    <w:basedOn w:val="a4"/>
    <w:link w:val="ad"/>
    <w:uiPriority w:val="99"/>
    <w:rsid w:val="000501A4"/>
  </w:style>
  <w:style w:type="paragraph" w:styleId="af">
    <w:name w:val="footnote text"/>
    <w:aliases w:val=" Char,Char,F1,FOOTNOTES,Footnote Text - Sharp,Footnote Text - Sharp Char,Footnote Text - Sharp Char Char,Footnote Text Char Char Char Char Char,Footnote reference,Sharp - Footnote Text,Sharp - Footnote Text1 Char,fn,footnote text"/>
    <w:basedOn w:val="a3"/>
    <w:link w:val="af0"/>
    <w:uiPriority w:val="99"/>
    <w:qFormat/>
    <w:rsid w:val="00574579"/>
    <w:pPr>
      <w:spacing w:line="240" w:lineRule="auto"/>
      <w:ind w:left="720" w:hanging="720"/>
    </w:pPr>
    <w:rPr>
      <w:szCs w:val="20"/>
    </w:rPr>
  </w:style>
  <w:style w:type="character" w:customStyle="1" w:styleId="af0">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4"/>
    <w:link w:val="af"/>
    <w:uiPriority w:val="99"/>
    <w:rsid w:val="00574579"/>
    <w:rPr>
      <w:szCs w:val="20"/>
    </w:rPr>
  </w:style>
  <w:style w:type="character" w:styleId="af1">
    <w:name w:val="footnote reference"/>
    <w:aliases w:val="Footnote Reference_0,Footnote Reference_0_0,Footnote Reference_0_0_0,Footnote Reference_0_0_0_0,Footnote Reference_1,Footnote Reference_2,Footnote Reference_3,Footnote Reference_3_0,Footnote Reference_4,Footnote text,fr,מ"/>
    <w:basedOn w:val="a4"/>
    <w:unhideWhenUsed/>
    <w:rsid w:val="000501A4"/>
    <w:rPr>
      <w:vertAlign w:val="superscript"/>
    </w:rPr>
  </w:style>
  <w:style w:type="paragraph" w:styleId="af2">
    <w:name w:val="List Paragraph"/>
    <w:aliases w:val="Bullet Number,Num Bullet 1,Use Case List Paragraph,style 2,פיסקת רשימה1"/>
    <w:basedOn w:val="a3"/>
    <w:link w:val="af3"/>
    <w:uiPriority w:val="34"/>
    <w:qFormat/>
    <w:rsid w:val="00B4321D"/>
    <w:pPr>
      <w:ind w:left="720"/>
      <w:contextualSpacing/>
    </w:pPr>
  </w:style>
  <w:style w:type="table" w:styleId="af4">
    <w:name w:val="Table Grid"/>
    <w:basedOn w:val="a5"/>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unhideWhenUsed/>
    <w:rsid w:val="00B4321D"/>
    <w:pPr>
      <w:spacing w:line="240" w:lineRule="auto"/>
    </w:pPr>
    <w:rPr>
      <w:rFonts w:ascii="Tahoma" w:hAnsi="Tahoma" w:cs="Tahoma"/>
      <w:sz w:val="18"/>
      <w:szCs w:val="18"/>
    </w:rPr>
  </w:style>
  <w:style w:type="character" w:customStyle="1" w:styleId="af6">
    <w:name w:val="טקסט בלונים תו"/>
    <w:basedOn w:val="a4"/>
    <w:link w:val="af5"/>
    <w:uiPriority w:val="99"/>
    <w:rsid w:val="00B4321D"/>
    <w:rPr>
      <w:rFonts w:ascii="Tahoma" w:hAnsi="Tahoma" w:cs="Tahoma"/>
      <w:sz w:val="18"/>
      <w:szCs w:val="18"/>
    </w:rPr>
  </w:style>
  <w:style w:type="character" w:styleId="af7">
    <w:name w:val="annotation reference"/>
    <w:basedOn w:val="a4"/>
    <w:uiPriority w:val="99"/>
    <w:semiHidden/>
    <w:unhideWhenUsed/>
    <w:rsid w:val="00B4321D"/>
    <w:rPr>
      <w:sz w:val="16"/>
      <w:szCs w:val="16"/>
    </w:rPr>
  </w:style>
  <w:style w:type="paragraph" w:styleId="af8">
    <w:name w:val="annotation text"/>
    <w:basedOn w:val="a3"/>
    <w:link w:val="af9"/>
    <w:uiPriority w:val="99"/>
    <w:unhideWhenUsed/>
    <w:rsid w:val="00B4321D"/>
    <w:pPr>
      <w:spacing w:line="240" w:lineRule="auto"/>
    </w:pPr>
    <w:rPr>
      <w:szCs w:val="20"/>
    </w:rPr>
  </w:style>
  <w:style w:type="character" w:customStyle="1" w:styleId="af9">
    <w:name w:val="טקסט הערה תו"/>
    <w:basedOn w:val="a4"/>
    <w:link w:val="af8"/>
    <w:uiPriority w:val="99"/>
    <w:rsid w:val="00B4321D"/>
    <w:rPr>
      <w:szCs w:val="20"/>
    </w:rPr>
  </w:style>
  <w:style w:type="paragraph" w:styleId="afa">
    <w:name w:val="annotation subject"/>
    <w:basedOn w:val="af8"/>
    <w:next w:val="af8"/>
    <w:link w:val="afb"/>
    <w:uiPriority w:val="99"/>
    <w:semiHidden/>
    <w:unhideWhenUsed/>
    <w:rsid w:val="00B4321D"/>
    <w:rPr>
      <w:b/>
      <w:bCs/>
    </w:rPr>
  </w:style>
  <w:style w:type="character" w:customStyle="1" w:styleId="afb">
    <w:name w:val="נושא הערה תו"/>
    <w:basedOn w:val="af9"/>
    <w:link w:val="afa"/>
    <w:uiPriority w:val="99"/>
    <w:semiHidden/>
    <w:rsid w:val="00B4321D"/>
    <w:rPr>
      <w:b/>
      <w:bCs/>
      <w:szCs w:val="20"/>
    </w:rPr>
  </w:style>
  <w:style w:type="paragraph" w:styleId="afc">
    <w:name w:val="Revision"/>
    <w:hidden/>
    <w:uiPriority w:val="99"/>
    <w:semiHidden/>
    <w:rsid w:val="00B4321D"/>
    <w:pPr>
      <w:spacing w:after="0" w:line="240" w:lineRule="auto"/>
      <w:jc w:val="left"/>
    </w:pPr>
  </w:style>
  <w:style w:type="paragraph" w:styleId="afd">
    <w:name w:val="No Spacing"/>
    <w:aliases w:val="מספורנוהל"/>
    <w:basedOn w:val="a3"/>
    <w:link w:val="afe"/>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e">
    <w:name w:val="ללא מרווח תו"/>
    <w:aliases w:val="מספורנוהל תו"/>
    <w:basedOn w:val="a4"/>
    <w:link w:val="afd"/>
    <w:uiPriority w:val="1"/>
    <w:rsid w:val="00B4321D"/>
    <w:rPr>
      <w:rFonts w:ascii="David" w:eastAsia="Times New Roman" w:hAnsi="David"/>
      <w:b/>
      <w:sz w:val="24"/>
      <w:lang w:eastAsia="he-IL"/>
    </w:rPr>
  </w:style>
  <w:style w:type="paragraph" w:styleId="NormalWeb">
    <w:name w:val="Normal (Web)"/>
    <w:basedOn w:val="a3"/>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5"/>
    <w:next w:val="af4"/>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פיסקת רשימה תו"/>
    <w:aliases w:val="Bullet Number תו,Num Bullet 1 תו,Use Case List Paragraph תו,style 2 תו,פיסקת רשימה1 תו"/>
    <w:link w:val="af2"/>
    <w:uiPriority w:val="34"/>
    <w:rsid w:val="00B4321D"/>
  </w:style>
  <w:style w:type="table" w:styleId="1-5">
    <w:name w:val="Grid Table 1 Light Accent 5"/>
    <w:basedOn w:val="a5"/>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4"/>
    <w:uiPriority w:val="99"/>
    <w:unhideWhenUsed/>
    <w:rsid w:val="00B4321D"/>
    <w:rPr>
      <w:color w:val="0000FF" w:themeColor="hyperlink"/>
      <w:u w:val="single"/>
    </w:rPr>
  </w:style>
  <w:style w:type="paragraph" w:customStyle="1" w:styleId="75">
    <w:name w:val="75א מספור הערות שוליים"/>
    <w:basedOn w:val="a3"/>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4"/>
    <w:uiPriority w:val="99"/>
    <w:semiHidden/>
    <w:unhideWhenUsed/>
    <w:rsid w:val="00B4321D"/>
    <w:rPr>
      <w:color w:val="800080" w:themeColor="followedHyperlink"/>
      <w:u w:val="single"/>
    </w:rPr>
  </w:style>
  <w:style w:type="character" w:styleId="aff">
    <w:name w:val="Unresolved Mention"/>
    <w:basedOn w:val="a4"/>
    <w:uiPriority w:val="99"/>
    <w:semiHidden/>
    <w:unhideWhenUsed/>
    <w:rsid w:val="00B4321D"/>
    <w:rPr>
      <w:color w:val="605E5C"/>
      <w:shd w:val="clear" w:color="auto" w:fill="E1DFDD"/>
    </w:rPr>
  </w:style>
  <w:style w:type="paragraph" w:customStyle="1" w:styleId="aff0">
    <w:name w:val="פרטי הדוח ממה"/>
    <w:basedOn w:val="a3"/>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1">
    <w:name w:val="כותרת הדוח ממה"/>
    <w:basedOn w:val="a3"/>
    <w:link w:val="aff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2">
    <w:name w:val="כותרת הדוח ממה תו"/>
    <w:basedOn w:val="a4"/>
    <w:link w:val="aff1"/>
    <w:rsid w:val="00B4321D"/>
    <w:rPr>
      <w:rFonts w:ascii="Calibri" w:hAnsi="Calibri" w:cs="Calibri"/>
      <w:b/>
      <w:bCs/>
      <w:color w:val="FFFFFF" w:themeColor="background1"/>
      <w:sz w:val="60"/>
      <w:szCs w:val="60"/>
    </w:rPr>
  </w:style>
  <w:style w:type="paragraph" w:customStyle="1" w:styleId="aff3">
    <w:name w:val="טקסט שם מונח ממה"/>
    <w:basedOn w:val="a3"/>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4">
    <w:name w:val="טקסט הגדרת מונח ממה"/>
    <w:link w:val="aff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5">
    <w:name w:val="טקסט הגדרת מונח ממה תו"/>
    <w:basedOn w:val="a4"/>
    <w:link w:val="aff4"/>
    <w:rsid w:val="00B4321D"/>
    <w:rPr>
      <w:rFonts w:ascii="Calibri" w:eastAsia="DengXian" w:hAnsi="Calibri" w:cs="Calibri"/>
      <w:color w:val="002060"/>
      <w:sz w:val="24"/>
      <w:lang w:val="en-GB"/>
    </w:rPr>
  </w:style>
  <w:style w:type="paragraph" w:customStyle="1" w:styleId="aff6">
    <w:name w:val="מבוא ממה"/>
    <w:basedOn w:val="a3"/>
    <w:next w:val="a3"/>
    <w:link w:val="aff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7">
    <w:name w:val="מבוא ממה תו"/>
    <w:basedOn w:val="a4"/>
    <w:link w:val="aff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8">
    <w:name w:val="מראה מקום ממה"/>
    <w:basedOn w:val="a3"/>
    <w:next w:val="a3"/>
    <w:link w:val="aff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9">
    <w:name w:val="מראה מקום ממה תו"/>
    <w:basedOn w:val="a4"/>
    <w:link w:val="aff8"/>
    <w:rsid w:val="00B4321D"/>
    <w:rPr>
      <w:rFonts w:ascii="Calibri" w:eastAsia="Calibri" w:hAnsi="Calibri" w:cs="Calibri"/>
      <w:b/>
      <w:bCs/>
      <w:color w:val="002060"/>
      <w:sz w:val="18"/>
      <w:szCs w:val="18"/>
      <w:shd w:val="solid" w:color="F3F7FF" w:fill="auto"/>
    </w:rPr>
  </w:style>
  <w:style w:type="paragraph" w:customStyle="1" w:styleId="affa">
    <w:name w:val="כותרת עליונה ממה"/>
    <w:basedOn w:val="a3"/>
    <w:next w:val="a3"/>
    <w:link w:val="affb"/>
    <w:qFormat/>
    <w:rsid w:val="00B4321D"/>
    <w:pPr>
      <w:spacing w:line="240" w:lineRule="auto"/>
      <w:ind w:left="737"/>
      <w:jc w:val="left"/>
    </w:pPr>
    <w:rPr>
      <w:rFonts w:ascii="Calibri" w:eastAsia="Calibri" w:hAnsi="Calibri" w:cs="Calibri"/>
      <w:color w:val="002060"/>
      <w:sz w:val="18"/>
      <w:szCs w:val="18"/>
    </w:rPr>
  </w:style>
  <w:style w:type="character" w:customStyle="1" w:styleId="affb">
    <w:name w:val="כותרת עליונה ממה תו"/>
    <w:basedOn w:val="a4"/>
    <w:link w:val="affa"/>
    <w:rsid w:val="00B4321D"/>
    <w:rPr>
      <w:rFonts w:ascii="Calibri" w:eastAsia="Calibri" w:hAnsi="Calibri" w:cs="Calibri"/>
      <w:color w:val="002060"/>
      <w:sz w:val="18"/>
      <w:szCs w:val="18"/>
    </w:rPr>
  </w:style>
  <w:style w:type="paragraph" w:customStyle="1" w:styleId="10">
    <w:name w:val="כותרת 1 ממה"/>
    <w:basedOn w:val="a3"/>
    <w:next w:val="a3"/>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4"/>
    <w:link w:val="10"/>
    <w:rsid w:val="00B4321D"/>
    <w:rPr>
      <w:rFonts w:ascii="Calibri" w:eastAsia="Calibri" w:hAnsi="Calibri" w:cs="Calibri"/>
      <w:b/>
      <w:bCs/>
      <w:color w:val="002060"/>
      <w:sz w:val="40"/>
      <w:szCs w:val="40"/>
    </w:rPr>
  </w:style>
  <w:style w:type="paragraph" w:customStyle="1" w:styleId="2">
    <w:name w:val="כותרת 2 ממה"/>
    <w:basedOn w:val="a3"/>
    <w:next w:val="a3"/>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3"/>
    <w:next w:val="a3"/>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3"/>
    <w:next w:val="a3"/>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4"/>
    <w:link w:val="41"/>
    <w:rsid w:val="00B4321D"/>
    <w:rPr>
      <w:rFonts w:ascii="Calibri" w:eastAsia="Calibri" w:hAnsi="Calibri" w:cs="Calibri"/>
      <w:color w:val="002060"/>
      <w:sz w:val="28"/>
      <w:szCs w:val="28"/>
    </w:rPr>
  </w:style>
  <w:style w:type="paragraph" w:customStyle="1" w:styleId="1">
    <w:name w:val="רשימה1 ממה"/>
    <w:basedOn w:val="a3"/>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4"/>
    <w:link w:val="1"/>
    <w:rsid w:val="00B4321D"/>
    <w:rPr>
      <w:rFonts w:ascii="Calibri" w:eastAsia="Calibri" w:hAnsi="Calibri" w:cs="Calibri"/>
      <w:color w:val="002060"/>
      <w:sz w:val="24"/>
    </w:rPr>
  </w:style>
  <w:style w:type="paragraph" w:customStyle="1" w:styleId="23">
    <w:name w:val="רשימה2 ממה"/>
    <w:basedOn w:val="a3"/>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4"/>
    <w:link w:val="23"/>
    <w:rsid w:val="00B4321D"/>
    <w:rPr>
      <w:rFonts w:ascii="Calibri" w:eastAsia="Calibri" w:hAnsi="Calibri" w:cs="Calibri"/>
      <w:color w:val="002060"/>
      <w:sz w:val="24"/>
    </w:rPr>
  </w:style>
  <w:style w:type="paragraph" w:customStyle="1" w:styleId="30">
    <w:name w:val="רשימה3 ממה"/>
    <w:basedOn w:val="a3"/>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4"/>
    <w:link w:val="30"/>
    <w:rsid w:val="00B4321D"/>
    <w:rPr>
      <w:rFonts w:ascii="Calibri" w:eastAsia="Calibri" w:hAnsi="Calibri" w:cs="Calibri"/>
      <w:color w:val="002060"/>
      <w:sz w:val="24"/>
    </w:rPr>
  </w:style>
  <w:style w:type="paragraph" w:customStyle="1" w:styleId="43">
    <w:name w:val="רשימה4 ממה"/>
    <w:basedOn w:val="a3"/>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4"/>
    <w:link w:val="43"/>
    <w:rsid w:val="00B4321D"/>
    <w:rPr>
      <w:rFonts w:ascii="Calibri" w:eastAsia="Calibri" w:hAnsi="Calibri" w:cs="Calibri"/>
      <w:color w:val="002060"/>
      <w:sz w:val="24"/>
    </w:rPr>
  </w:style>
  <w:style w:type="paragraph" w:customStyle="1" w:styleId="5">
    <w:name w:val="רשימה5 ממה"/>
    <w:basedOn w:val="a3"/>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4"/>
    <w:link w:val="5"/>
    <w:rsid w:val="00B4321D"/>
    <w:rPr>
      <w:rFonts w:ascii="Calibri" w:eastAsia="Calibri" w:hAnsi="Calibri" w:cs="Calibri"/>
      <w:color w:val="002060"/>
      <w:sz w:val="24"/>
    </w:rPr>
  </w:style>
  <w:style w:type="paragraph" w:customStyle="1" w:styleId="affc">
    <w:name w:val="הערת שוליים ממה"/>
    <w:basedOn w:val="a3"/>
    <w:link w:val="affd"/>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d">
    <w:name w:val="הערת שוליים ממה תו"/>
    <w:basedOn w:val="a4"/>
    <w:link w:val="affc"/>
    <w:rsid w:val="00B4321D"/>
    <w:rPr>
      <w:rFonts w:ascii="Calibri" w:eastAsia="Calibri" w:hAnsi="Calibri" w:cs="Calibri"/>
      <w:color w:val="002060"/>
      <w:sz w:val="24"/>
      <w:szCs w:val="20"/>
    </w:rPr>
  </w:style>
  <w:style w:type="paragraph" w:customStyle="1" w:styleId="affe">
    <w:name w:val="הערת סיום ממה"/>
    <w:basedOn w:val="a3"/>
    <w:link w:val="afff"/>
    <w:qFormat/>
    <w:rsid w:val="00B4321D"/>
    <w:pPr>
      <w:widowControl w:val="0"/>
      <w:spacing w:line="240" w:lineRule="auto"/>
      <w:ind w:left="1134"/>
    </w:pPr>
    <w:rPr>
      <w:rFonts w:ascii="Calibri" w:eastAsia="Calibri" w:hAnsi="Calibri" w:cs="Calibri"/>
      <w:color w:val="002060"/>
      <w:sz w:val="24"/>
      <w:szCs w:val="20"/>
    </w:rPr>
  </w:style>
  <w:style w:type="character" w:customStyle="1" w:styleId="afff">
    <w:name w:val="הערת סיום ממה תו"/>
    <w:basedOn w:val="a4"/>
    <w:link w:val="affe"/>
    <w:rsid w:val="00B4321D"/>
    <w:rPr>
      <w:rFonts w:ascii="Calibri" w:eastAsia="Calibri" w:hAnsi="Calibri" w:cs="Calibri"/>
      <w:color w:val="002060"/>
      <w:sz w:val="24"/>
      <w:szCs w:val="20"/>
    </w:rPr>
  </w:style>
  <w:style w:type="paragraph" w:customStyle="1" w:styleId="16">
    <w:name w:val="ליקוי/ממצא חיובי/המלצה1 ממה"/>
    <w:next w:val="a3"/>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4"/>
    <w:link w:val="16"/>
    <w:rsid w:val="00B4321D"/>
    <w:rPr>
      <w:rFonts w:ascii="Calibri" w:eastAsia="Calibri" w:hAnsi="Calibri" w:cs="Calibri"/>
      <w:color w:val="002060"/>
      <w:sz w:val="24"/>
    </w:rPr>
  </w:style>
  <w:style w:type="paragraph" w:customStyle="1" w:styleId="25">
    <w:name w:val="ליקוי/ממצא חיובי/המלצה2 ממה"/>
    <w:basedOn w:val="a3"/>
    <w:next w:val="a3"/>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3"/>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4"/>
    <w:link w:val="35"/>
    <w:rsid w:val="00B4321D"/>
    <w:rPr>
      <w:rFonts w:ascii="Calibri" w:eastAsia="Calibri" w:hAnsi="Calibri" w:cs="Calibri"/>
      <w:color w:val="002060"/>
      <w:sz w:val="24"/>
    </w:rPr>
  </w:style>
  <w:style w:type="paragraph" w:customStyle="1" w:styleId="afff0">
    <w:name w:val="נבנצאל ממה"/>
    <w:basedOn w:val="a3"/>
    <w:next w:val="a3"/>
    <w:link w:val="afff1"/>
    <w:uiPriority w:val="99"/>
    <w:qFormat/>
    <w:rsid w:val="00B4321D"/>
    <w:pPr>
      <w:keepNext/>
      <w:spacing w:line="280" w:lineRule="exact"/>
      <w:jc w:val="left"/>
    </w:pPr>
    <w:rPr>
      <w:rFonts w:ascii="Calibri" w:eastAsia="Calibri" w:hAnsi="Calibri" w:cs="Calibri"/>
      <w:color w:val="002060"/>
      <w:szCs w:val="20"/>
    </w:rPr>
  </w:style>
  <w:style w:type="character" w:customStyle="1" w:styleId="afff1">
    <w:name w:val="נבנצאל ממה תו"/>
    <w:basedOn w:val="a4"/>
    <w:link w:val="afff0"/>
    <w:uiPriority w:val="99"/>
    <w:rsid w:val="00B4321D"/>
    <w:rPr>
      <w:rFonts w:ascii="Calibri" w:eastAsia="Calibri" w:hAnsi="Calibri" w:cs="Calibri"/>
      <w:color w:val="002060"/>
      <w:szCs w:val="20"/>
    </w:rPr>
  </w:style>
  <w:style w:type="paragraph" w:customStyle="1" w:styleId="afff2">
    <w:name w:val="רגיל ממה"/>
    <w:basedOn w:val="a3"/>
    <w:link w:val="afff3"/>
    <w:qFormat/>
    <w:rsid w:val="00B4321D"/>
    <w:pPr>
      <w:widowControl w:val="0"/>
      <w:spacing w:line="280" w:lineRule="exact"/>
      <w:ind w:left="1134"/>
    </w:pPr>
    <w:rPr>
      <w:rFonts w:ascii="Calibri" w:eastAsia="Calibri" w:hAnsi="Calibri" w:cs="Calibri"/>
      <w:color w:val="002060"/>
      <w:sz w:val="24"/>
    </w:rPr>
  </w:style>
  <w:style w:type="character" w:customStyle="1" w:styleId="afff3">
    <w:name w:val="רגיל ממה תו"/>
    <w:basedOn w:val="a4"/>
    <w:link w:val="afff2"/>
    <w:rsid w:val="00B4321D"/>
    <w:rPr>
      <w:rFonts w:ascii="Calibri" w:eastAsia="Calibri" w:hAnsi="Calibri" w:cs="Calibri"/>
      <w:color w:val="002060"/>
      <w:sz w:val="24"/>
    </w:rPr>
  </w:style>
  <w:style w:type="paragraph" w:customStyle="1" w:styleId="afff4">
    <w:name w:val="סיכום ממה"/>
    <w:basedOn w:val="a3"/>
    <w:next w:val="a3"/>
    <w:link w:val="afff5"/>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5">
    <w:name w:val="סיכום ממה תו"/>
    <w:basedOn w:val="a4"/>
    <w:link w:val="afff4"/>
    <w:rsid w:val="00B4321D"/>
    <w:rPr>
      <w:rFonts w:ascii="Calibri" w:eastAsia="Calibri" w:hAnsi="Calibri" w:cs="Calibri"/>
      <w:b/>
      <w:bCs/>
      <w:color w:val="FFFFFF" w:themeColor="background1"/>
      <w:sz w:val="2"/>
      <w:szCs w:val="2"/>
    </w:rPr>
  </w:style>
  <w:style w:type="paragraph" w:customStyle="1" w:styleId="afff6">
    <w:name w:val="טקסט סיכום ממה"/>
    <w:basedOn w:val="a3"/>
    <w:next w:val="a3"/>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7">
    <w:name w:val="סיכום ביניים ממה"/>
    <w:basedOn w:val="a3"/>
    <w:next w:val="a3"/>
    <w:qFormat/>
    <w:rsid w:val="00B4321D"/>
    <w:pPr>
      <w:widowControl w:val="0"/>
      <w:spacing w:before="240" w:after="240"/>
      <w:ind w:left="1134"/>
    </w:pPr>
    <w:rPr>
      <w:rFonts w:ascii="Calibri" w:eastAsia="Calibri" w:hAnsi="Calibri" w:cs="Calibri"/>
      <w:noProof/>
      <w:color w:val="002060"/>
      <w:sz w:val="24"/>
    </w:rPr>
  </w:style>
  <w:style w:type="paragraph" w:customStyle="1" w:styleId="afff8">
    <w:name w:val="טקסט סיכום ביניים ממה"/>
    <w:basedOn w:val="a3"/>
    <w:next w:val="a3"/>
    <w:qFormat/>
    <w:rsid w:val="00B4321D"/>
    <w:pPr>
      <w:widowControl w:val="0"/>
      <w:spacing w:after="240" w:line="280" w:lineRule="exact"/>
      <w:ind w:left="1134"/>
    </w:pPr>
    <w:rPr>
      <w:rFonts w:ascii="Calibri" w:eastAsia="Calibri" w:hAnsi="Calibri" w:cs="Calibri"/>
      <w:bCs/>
      <w:color w:val="002060"/>
      <w:sz w:val="24"/>
    </w:rPr>
  </w:style>
  <w:style w:type="paragraph" w:customStyle="1" w:styleId="a2">
    <w:name w:val="תרשים ממה"/>
    <w:basedOn w:val="a3"/>
    <w:next w:val="a3"/>
    <w:link w:val="afff9"/>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9">
    <w:name w:val="תרשים ממה תו"/>
    <w:basedOn w:val="a4"/>
    <w:link w:val="a2"/>
    <w:rsid w:val="00B4321D"/>
    <w:rPr>
      <w:rFonts w:ascii="Calibri" w:eastAsia="Calibri" w:hAnsi="Calibri" w:cs="Calibri"/>
      <w:b/>
      <w:bCs/>
      <w:color w:val="002060"/>
      <w:sz w:val="24"/>
    </w:rPr>
  </w:style>
  <w:style w:type="paragraph" w:customStyle="1" w:styleId="a0">
    <w:name w:val="תמונה ממה"/>
    <w:basedOn w:val="a3"/>
    <w:next w:val="a3"/>
    <w:link w:val="afffa"/>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a">
    <w:name w:val="תמונה ממה תו"/>
    <w:basedOn w:val="a4"/>
    <w:link w:val="a0"/>
    <w:rsid w:val="00B4321D"/>
    <w:rPr>
      <w:rFonts w:ascii="Calibri" w:eastAsia="Calibri" w:hAnsi="Calibri" w:cs="Calibri"/>
      <w:b/>
      <w:bCs/>
      <w:color w:val="002060"/>
      <w:sz w:val="24"/>
    </w:rPr>
  </w:style>
  <w:style w:type="paragraph" w:customStyle="1" w:styleId="a">
    <w:name w:val="לוח ממה"/>
    <w:basedOn w:val="a3"/>
    <w:next w:val="a3"/>
    <w:link w:val="afffb"/>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b">
    <w:name w:val="לוח ממה תו"/>
    <w:basedOn w:val="a4"/>
    <w:link w:val="a"/>
    <w:rsid w:val="00B4321D"/>
    <w:rPr>
      <w:rFonts w:ascii="Calibri" w:eastAsia="Calibri" w:hAnsi="Calibri" w:cs="Calibri"/>
      <w:b/>
      <w:bCs/>
      <w:color w:val="002060"/>
      <w:sz w:val="24"/>
    </w:rPr>
  </w:style>
  <w:style w:type="paragraph" w:customStyle="1" w:styleId="a1">
    <w:name w:val="מפה ממה"/>
    <w:basedOn w:val="a3"/>
    <w:next w:val="a3"/>
    <w:link w:val="afffc"/>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c">
    <w:name w:val="מפה ממה תו"/>
    <w:basedOn w:val="a4"/>
    <w:link w:val="a1"/>
    <w:rsid w:val="00B4321D"/>
    <w:rPr>
      <w:rFonts w:ascii="Calibri" w:eastAsia="Calibri" w:hAnsi="Calibri" w:cs="Calibri"/>
      <w:b/>
      <w:bCs/>
      <w:color w:val="002060"/>
      <w:sz w:val="24"/>
    </w:rPr>
  </w:style>
  <w:style w:type="paragraph" w:customStyle="1" w:styleId="afffd">
    <w:name w:val="מקור ממה"/>
    <w:basedOn w:val="a3"/>
    <w:next w:val="a3"/>
    <w:qFormat/>
    <w:rsid w:val="00B4321D"/>
    <w:pPr>
      <w:keepNext/>
      <w:keepLines/>
      <w:widowControl w:val="0"/>
      <w:ind w:left="1134"/>
    </w:pPr>
    <w:rPr>
      <w:rFonts w:ascii="Calibri" w:eastAsia="Calibri" w:hAnsi="Calibri" w:cs="Calibri"/>
      <w:color w:val="002060"/>
      <w:szCs w:val="20"/>
    </w:rPr>
  </w:style>
  <w:style w:type="paragraph" w:customStyle="1" w:styleId="afffe">
    <w:name w:val="אובייקט ממה"/>
    <w:basedOn w:val="a3"/>
    <w:next w:val="a3"/>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
    <w:name w:val="רכיבי המבוא ממה"/>
    <w:basedOn w:val="a3"/>
    <w:link w:val="affff0"/>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0">
    <w:name w:val="רכיבי המבוא ממה תו"/>
    <w:basedOn w:val="a4"/>
    <w:link w:val="affff"/>
    <w:rsid w:val="00B4321D"/>
    <w:rPr>
      <w:rFonts w:ascii="Calibri" w:eastAsia="Calibri" w:hAnsi="Calibri" w:cs="Calibri"/>
      <w:color w:val="002060"/>
      <w:szCs w:val="20"/>
    </w:rPr>
  </w:style>
  <w:style w:type="paragraph" w:customStyle="1" w:styleId="affff1">
    <w:name w:val="אייקון במבוא ממה"/>
    <w:basedOn w:val="a3"/>
    <w:link w:val="affff2"/>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2">
    <w:name w:val="אייקון במבוא ממה תו"/>
    <w:basedOn w:val="a4"/>
    <w:link w:val="affff1"/>
    <w:rsid w:val="00B4321D"/>
    <w:rPr>
      <w:rFonts w:ascii="Calibri" w:eastAsia="Calibri" w:hAnsi="Calibri" w:cs="Calibri"/>
      <w:bCs/>
      <w:color w:val="002060"/>
      <w:sz w:val="24"/>
      <w:szCs w:val="20"/>
    </w:rPr>
  </w:style>
  <w:style w:type="paragraph" w:customStyle="1" w:styleId="739">
    <w:name w:val="73א טקסט רץ 9"/>
    <w:basedOn w:val="a3"/>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a4"/>
    <w:link w:val="739"/>
    <w:rsid w:val="0032268D"/>
    <w:rPr>
      <w:rFonts w:ascii="Tahoma" w:hAnsi="Tahoma" w:cs="Tahoma"/>
      <w:color w:val="0D0D0D" w:themeColor="text1" w:themeTint="F2"/>
      <w:sz w:val="18"/>
      <w:szCs w:val="18"/>
    </w:rPr>
  </w:style>
  <w:style w:type="paragraph" w:customStyle="1" w:styleId="71">
    <w:name w:val="71ג הערות שוליים"/>
    <w:basedOn w:val="af"/>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4"/>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3"/>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4"/>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3"/>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4"/>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3"/>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a3"/>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4"/>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3"/>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4"/>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3"/>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4"/>
    <w:link w:val="733"/>
    <w:rsid w:val="00BE22D7"/>
    <w:rPr>
      <w:rFonts w:ascii="Tahoma" w:hAnsi="Tahoma" w:cs="Tahoma"/>
      <w:b/>
      <w:bCs/>
      <w:color w:val="FFFFFF" w:themeColor="background1"/>
      <w:sz w:val="22"/>
      <w:szCs w:val="22"/>
    </w:rPr>
  </w:style>
  <w:style w:type="character" w:styleId="affff3">
    <w:name w:val="page number"/>
    <w:basedOn w:val="a4"/>
    <w:uiPriority w:val="99"/>
    <w:semiHidden/>
    <w:unhideWhenUsed/>
    <w:rsid w:val="005C3049"/>
  </w:style>
  <w:style w:type="table" w:customStyle="1" w:styleId="27">
    <w:name w:val="רשת טבלה2"/>
    <w:basedOn w:val="a5"/>
    <w:next w:val="af4"/>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a5"/>
    <w:next w:val="af4"/>
    <w:uiPriority w:val="59"/>
    <w:rsid w:val="00094F36"/>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2.xml"/><Relationship Id="rId27" Type="http://schemas.openxmlformats.org/officeDocument/2006/relationships/theme" Target="theme/theme1.xml"/><Relationship Id="rId30"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A64173F-CF2A-47C4-8B36-5131B2601222}">
  <ds:schemaRefs>
    <ds:schemaRef ds:uri="http://schemas.openxmlformats.org/officeDocument/2006/bibliography"/>
  </ds:schemaRefs>
</ds:datastoreItem>
</file>

<file path=customXml/itemProps2.xml><?xml version="1.0" encoding="utf-8"?>
<ds:datastoreItem xmlns:ds="http://schemas.openxmlformats.org/officeDocument/2006/customXml" ds:itemID="{9D422C03-32CA-4BA2-ACCC-9CE965E3594A}"/>
</file>

<file path=customXml/itemProps3.xml><?xml version="1.0" encoding="utf-8"?>
<ds:datastoreItem xmlns:ds="http://schemas.openxmlformats.org/officeDocument/2006/customXml" ds:itemID="{7D144FDC-1A09-4F02-A184-A5CF28A0D65C}"/>
</file>

<file path=customXml/itemProps4.xml><?xml version="1.0" encoding="utf-8"?>
<ds:datastoreItem xmlns:ds="http://schemas.openxmlformats.org/officeDocument/2006/customXml" ds:itemID="{406266B2-B7C5-4C04-BFE2-0A4133F74655}"/>
</file>

<file path=docProps/app.xml><?xml version="1.0" encoding="utf-8"?>
<Properties xmlns="http://schemas.openxmlformats.org/officeDocument/2006/extended-properties" xmlns:vt="http://schemas.openxmlformats.org/officeDocument/2006/docPropsVTypes">
  <Template>Normal.dotm</Template>
  <TotalTime>7</TotalTime>
  <Pages>8</Pages>
  <Words>2028</Words>
  <Characters>10141</Characters>
  <Application>Microsoft Office Word</Application>
  <DocSecurity>0</DocSecurity>
  <Lines>84</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מירב יקיר</dc:creator>
  <cp:lastModifiedBy>הילה לוי</cp:lastModifiedBy>
  <cp:revision>5</cp:revision>
  <cp:lastPrinted>2025-10-15T10:06:00Z</cp:lastPrinted>
  <dcterms:created xsi:type="dcterms:W3CDTF">2026-02-17T09:26:00Z</dcterms:created>
  <dcterms:modified xsi:type="dcterms:W3CDTF">2026-02-18T11:34:00Z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