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iagrams/colors1.xml" ContentType="application/vnd.openxmlformats-officedocument.drawingml.diagramColors+xml"/>
  <Override PartName="/word/diagrams/data1.xml" ContentType="application/vnd.openxmlformats-officedocument.drawingml.diagramData+xml"/>
  <Override PartName="/word/diagrams/drawing1.xml" ContentType="application/vnd.ms-office.drawingml.diagramDrawing+xml"/>
  <Override PartName="/word/diagrams/layout1.xml" ContentType="application/vnd.openxmlformats-officedocument.drawingml.diagramLayout+xml"/>
  <Override PartName="/word/diagrams/quickStyle1.xml" ContentType="application/vnd.openxmlformats-officedocument.drawingml.diagramStyle+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3.0 -->
  <w:body>
    <w:p w:rsidR="00A5605A" w:rsidP="00A30B00">
      <w:pPr>
        <w:spacing w:after="160" w:line="259" w:lineRule="auto"/>
        <w:jc w:val="left"/>
        <w:rPr>
          <w:rFonts w:ascii="Tahoma" w:hAnsi="Tahoma" w:cs="Tahoma"/>
          <w:sz w:val="19"/>
          <w:szCs w:val="19"/>
          <w:rtl/>
        </w:rPr>
      </w:pPr>
      <w:bookmarkStart w:id="0" w:name="_Hlk192594390"/>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A5605A" w:rsidRPr="00A5605A" w:rsidP="00A5605A">
      <w:pPr>
        <w:rPr>
          <w:rFonts w:ascii="Tahoma" w:hAnsi="Tahoma" w:cs="Tahoma"/>
          <w:sz w:val="19"/>
          <w:szCs w:val="19"/>
          <w:rtl/>
        </w:rPr>
      </w:pPr>
    </w:p>
    <w:p w:rsidR="001C33F8" w:rsidP="009515F9">
      <w:pPr>
        <w:spacing w:line="560" w:lineRule="exact"/>
        <w:ind w:left="1701" w:right="1843"/>
        <w:jc w:val="center"/>
        <w:rPr>
          <w:rFonts w:ascii="Tahoma" w:hAnsi="Tahoma" w:cs="Tahoma"/>
          <w:sz w:val="19"/>
          <w:szCs w:val="19"/>
          <w:rtl/>
        </w:rPr>
      </w:pPr>
      <w:r w:rsidRPr="00507AA2">
        <w:rPr>
          <w:rFonts w:ascii="Calibri" w:hAnsi="Calibri" w:cs="Calibri"/>
          <w:b/>
          <w:bCs/>
          <w:color w:val="002060"/>
          <w:sz w:val="56"/>
          <w:szCs w:val="56"/>
          <w:rtl/>
        </w:rPr>
        <w:t>ההיערכות לקליטת אוכלוסייה ברשויות המקומיות</w:t>
      </w: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rPr>
          <w:rFonts w:ascii="Tahoma" w:hAnsi="Tahoma" w:cs="Tahoma"/>
          <w:sz w:val="19"/>
          <w:szCs w:val="19"/>
          <w:rtl/>
        </w:rPr>
      </w:pPr>
    </w:p>
    <w:p w:rsidR="001C33F8" w:rsidP="001C33F8">
      <w:pPr>
        <w:bidi w:val="0"/>
        <w:spacing w:after="200" w:line="276" w:lineRule="auto"/>
        <w:jc w:val="center"/>
        <w:rPr>
          <w:rFonts w:ascii="Tahoma" w:hAnsi="Tahoma" w:cs="Tahoma"/>
          <w:sz w:val="19"/>
          <w:szCs w:val="19"/>
          <w:rtl/>
        </w:rPr>
      </w:pPr>
    </w:p>
    <w:p w:rsidR="001C33F8" w:rsidP="001C33F8">
      <w:pPr>
        <w:bidi w:val="0"/>
        <w:spacing w:after="200" w:line="276" w:lineRule="auto"/>
        <w:jc w:val="center"/>
        <w:rPr>
          <w:rFonts w:ascii="Tahoma" w:hAnsi="Tahoma" w:cs="Tahoma"/>
          <w:sz w:val="19"/>
          <w:szCs w:val="19"/>
        </w:rPr>
      </w:pPr>
    </w:p>
    <w:p w:rsidR="0085742C" w:rsidP="0085742C">
      <w:pPr>
        <w:bidi w:val="0"/>
        <w:spacing w:after="200" w:line="276" w:lineRule="auto"/>
        <w:jc w:val="center"/>
        <w:rPr>
          <w:rFonts w:ascii="Tahoma" w:hAnsi="Tahoma" w:cs="Tahoma"/>
          <w:sz w:val="19"/>
          <w:szCs w:val="19"/>
        </w:rPr>
      </w:pPr>
    </w:p>
    <w:p w:rsidR="00A35DFF" w:rsidP="00A35DFF">
      <w:pPr>
        <w:bidi w:val="0"/>
        <w:spacing w:after="200" w:line="276" w:lineRule="auto"/>
        <w:jc w:val="center"/>
        <w:rPr>
          <w:rFonts w:ascii="Tahoma" w:hAnsi="Tahoma" w:cs="Tahoma"/>
          <w:sz w:val="19"/>
          <w:szCs w:val="19"/>
        </w:rPr>
      </w:pPr>
    </w:p>
    <w:p w:rsidR="00C30ECB" w:rsidP="00C30ECB">
      <w:pPr>
        <w:bidi w:val="0"/>
        <w:spacing w:after="200" w:line="276" w:lineRule="auto"/>
        <w:jc w:val="center"/>
        <w:rPr>
          <w:rFonts w:ascii="Tahoma" w:hAnsi="Tahoma" w:cs="Tahoma"/>
          <w:sz w:val="19"/>
          <w:szCs w:val="19"/>
        </w:rPr>
      </w:pPr>
      <w:bookmarkStart w:id="1" w:name="_GoBack"/>
      <w:bookmarkEnd w:id="1"/>
    </w:p>
    <w:p w:rsidR="00C30ECB" w:rsidRPr="007772B4" w:rsidP="00C30ECB">
      <w:pPr>
        <w:spacing w:line="276" w:lineRule="auto"/>
        <w:jc w:val="center"/>
        <w:rPr>
          <w:rFonts w:ascii="Tahoma" w:hAnsi="Tahoma" w:cs="Tahoma"/>
          <w:color w:val="0F243E"/>
          <w:sz w:val="19"/>
          <w:szCs w:val="19"/>
          <w:rtl/>
        </w:rPr>
      </w:pPr>
      <w:r w:rsidRPr="007772B4">
        <w:rPr>
          <w:rFonts w:asciiTheme="minorBidi" w:hAnsiTheme="minorBidi" w:cstheme="minorBidi"/>
          <w:color w:val="0F243E"/>
          <w:sz w:val="22"/>
          <w:szCs w:val="22"/>
          <w:rtl/>
        </w:rPr>
        <w:t xml:space="preserve">גופן הכותרת מעוצב בכתב ידה של </w:t>
      </w:r>
      <w:r w:rsidRPr="007772B4">
        <w:rPr>
          <w:rFonts w:asciiTheme="minorBidi" w:hAnsiTheme="minorBidi" w:cstheme="minorBidi"/>
          <w:b/>
          <w:bCs/>
          <w:color w:val="0F243E"/>
          <w:sz w:val="22"/>
          <w:szCs w:val="22"/>
          <w:rtl/>
        </w:rPr>
        <w:t>ליבי כהן-מגורי</w:t>
      </w:r>
      <w:r w:rsidRPr="007772B4">
        <w:rPr>
          <w:rFonts w:asciiTheme="minorBidi" w:hAnsiTheme="minorBidi" w:cstheme="minorBidi"/>
          <w:color w:val="0F243E"/>
          <w:sz w:val="22"/>
          <w:szCs w:val="22"/>
          <w:rtl/>
        </w:rPr>
        <w:t xml:space="preserve"> ז"ל, אשר נרצחה בשבעה באוקטובר. ליבי הייתה מלאת שמחה ונתינה</w:t>
      </w:r>
      <w:r w:rsidRPr="007772B4">
        <w:rPr>
          <w:rFonts w:asciiTheme="minorBidi" w:hAnsiTheme="minorBidi" w:cstheme="minorBidi" w:hint="cs"/>
          <w:color w:val="0F243E"/>
          <w:sz w:val="22"/>
          <w:szCs w:val="22"/>
          <w:rtl/>
        </w:rPr>
        <w:t>.</w:t>
      </w:r>
      <w:r w:rsidRPr="007772B4">
        <w:rPr>
          <w:rFonts w:asciiTheme="minorBidi" w:hAnsiTheme="minorBidi" w:cstheme="minorBidi"/>
          <w:color w:val="0F243E"/>
          <w:sz w:val="22"/>
          <w:szCs w:val="22"/>
          <w:rtl/>
        </w:rPr>
        <w:t xml:space="preserve"> היא רכבה על סוסים וזכתה בכמה אליפויות ארציות. בצבא שירתה כקצינת חי"ר</w:t>
      </w:r>
      <w:r w:rsidRPr="007772B4">
        <w:rPr>
          <w:rFonts w:asciiTheme="minorBidi" w:hAnsiTheme="minorBidi" w:cstheme="minorBidi" w:hint="cs"/>
          <w:color w:val="0F243E"/>
          <w:sz w:val="22"/>
          <w:szCs w:val="22"/>
          <w:rtl/>
        </w:rPr>
        <w:t>.</w:t>
      </w:r>
    </w:p>
    <w:p w:rsidR="00C30ECB" w:rsidRPr="007772B4" w:rsidP="00C30ECB">
      <w:pPr>
        <w:spacing w:line="240" w:lineRule="auto"/>
        <w:jc w:val="center"/>
        <w:rPr>
          <w:rFonts w:ascii="Arial" w:hAnsi="Arial" w:cs="Arial"/>
          <w:color w:val="0F243E"/>
          <w:shd w:val="clear" w:color="auto" w:fill="FFFFFF"/>
          <w:rtl/>
        </w:rPr>
      </w:pPr>
      <w:r w:rsidRPr="007772B4">
        <w:rPr>
          <w:rFonts w:ascii="Arial" w:hAnsi="Arial" w:cs="Arial"/>
          <w:color w:val="0F243E"/>
          <w:shd w:val="clear" w:color="auto" w:fill="FFFFFF"/>
        </w:rPr>
        <w:t> </w:t>
      </w:r>
      <w:hyperlink r:id="rId6" w:history="1">
        <w:r w:rsidRPr="007772B4">
          <w:rPr>
            <w:rStyle w:val="Hyperlink"/>
            <w:rFonts w:ascii="Arial" w:hAnsi="Arial" w:cs="Arial"/>
            <w:color w:val="0F243E"/>
            <w:u w:val="none"/>
            <w:shd w:val="clear" w:color="auto" w:fill="FFFFFF"/>
          </w:rPr>
          <w:t>www.remember-libby.co.il</w:t>
        </w:r>
      </w:hyperlink>
      <w:r w:rsidRPr="007772B4">
        <w:rPr>
          <w:rFonts w:ascii="Tahoma" w:hAnsi="Tahoma" w:cs="Tahoma" w:hint="cs"/>
          <w:color w:val="0F243E"/>
          <w:sz w:val="19"/>
          <w:szCs w:val="19"/>
          <w:rtl/>
        </w:rPr>
        <w:t xml:space="preserve">   </w:t>
      </w:r>
      <w:hyperlink r:id="rId7" w:tgtFrame="_blank" w:history="1">
        <w:r w:rsidRPr="007772B4">
          <w:rPr>
            <w:rStyle w:val="Hyperlink"/>
            <w:rFonts w:ascii="Arial" w:hAnsi="Arial" w:cs="Arial"/>
            <w:color w:val="0F243E"/>
            <w:u w:val="none"/>
            <w:shd w:val="clear" w:color="auto" w:fill="FFFFFF"/>
          </w:rPr>
          <w:t>libby.cohen.meguri</w:t>
        </w:r>
        <w:r w:rsidRPr="007772B4">
          <w:rPr>
            <w:rStyle w:val="Hyperlink"/>
            <w:rFonts w:ascii="Arial" w:hAnsi="Arial" w:cs="Arial" w:hint="cs"/>
            <w:color w:val="0F243E"/>
            <w:u w:val="none"/>
            <w:shd w:val="clear" w:color="auto" w:fill="FFFFFF"/>
            <w:rtl/>
          </w:rPr>
          <w:t>@</w:t>
        </w:r>
      </w:hyperlink>
    </w:p>
    <w:p w:rsidR="001C33F8" w:rsidP="00BD1B82">
      <w:pPr>
        <w:spacing w:after="200" w:line="276" w:lineRule="auto"/>
        <w:rPr>
          <w:rFonts w:asciiTheme="minorBidi" w:hAnsiTheme="minorBidi" w:cstheme="minorBidi"/>
          <w:color w:val="0F243E" w:themeColor="text2" w:themeShade="80"/>
          <w:sz w:val="22"/>
          <w:szCs w:val="22"/>
          <w:rtl/>
        </w:rPr>
      </w:pPr>
    </w:p>
    <w:tbl>
      <w:tblPr>
        <w:tblStyle w:val="TableGrid"/>
        <w:tblpPr w:leftFromText="180" w:rightFromText="180" w:vertAnchor="text" w:tblpXSpec="center" w:tblpY="1"/>
        <w:tblOverlap w:val="never"/>
        <w:bidiVisual/>
        <w:tblW w:w="907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76"/>
      </w:tblGrid>
      <w:tr w:rsidTr="009E37AC">
        <w:tblPrEx>
          <w:tblW w:w="9076" w:type="dxa"/>
          <w:tblLook w:val="04A0"/>
        </w:tblPrEx>
        <w:trPr>
          <w:trHeight w:val="77"/>
        </w:trPr>
        <w:tc>
          <w:tcPr>
            <w:tcW w:w="9076" w:type="dxa"/>
          </w:tcPr>
          <w:p w:rsidR="00AE4BB7" w:rsidRPr="005F4A6D" w:rsidP="009E37AC">
            <w:pPr>
              <w:tabs>
                <w:tab w:val="left" w:pos="1122"/>
              </w:tabs>
              <w:spacing w:line="288" w:lineRule="auto"/>
              <w:jc w:val="left"/>
              <w:rPr>
                <w:sz w:val="2"/>
                <w:szCs w:val="4"/>
                <w:rtl/>
              </w:rPr>
            </w:pPr>
          </w:p>
        </w:tc>
      </w:tr>
      <w:tr w:rsidTr="009E37AC">
        <w:tblPrEx>
          <w:tblW w:w="9076" w:type="dxa"/>
          <w:tblLook w:val="04A0"/>
        </w:tblPrEx>
        <w:trPr>
          <w:trHeight w:val="1644"/>
        </w:trPr>
        <w:tc>
          <w:tcPr>
            <w:tcW w:w="9076" w:type="dxa"/>
          </w:tcPr>
          <w:p w:rsidR="009515F9" w:rsidP="009515F9">
            <w:pPr>
              <w:spacing w:before="120" w:line="240" w:lineRule="auto"/>
              <w:jc w:val="left"/>
              <w:rPr>
                <w:rFonts w:ascii="Tahoma" w:hAnsi="Tahoma" w:cs="Tahoma"/>
                <w:b/>
                <w:bCs/>
                <w:sz w:val="40"/>
                <w:szCs w:val="40"/>
                <w:rtl/>
              </w:rPr>
            </w:pPr>
            <w:r w:rsidRPr="00507AA2">
              <w:rPr>
                <w:rFonts w:ascii="Tahoma" w:hAnsi="Tahoma" w:cs="Tahoma"/>
                <w:b/>
                <w:bCs/>
                <w:sz w:val="40"/>
                <w:szCs w:val="40"/>
                <w:rtl/>
              </w:rPr>
              <w:t>ההיערכות לקליטת אוכלוסייה ברשויות המקומיות</w:t>
            </w:r>
          </w:p>
          <w:p w:rsidR="00AE4BB7" w:rsidP="009E37AC">
            <w:pPr>
              <w:spacing w:before="120" w:line="288" w:lineRule="auto"/>
              <w:jc w:val="left"/>
            </w:pPr>
            <w:r>
              <w:rPr>
                <w:rFonts w:ascii="Tahoma" w:hAnsi="Tahoma" w:cs="Tahoma"/>
                <w:sz w:val="36"/>
                <w:szCs w:val="36"/>
                <w:rtl/>
              </w:rPr>
              <w:t>תקציר</w:t>
            </w:r>
          </w:p>
          <w:p w:rsidR="00AE4BB7" w:rsidRPr="006C4033" w:rsidP="009E37AC">
            <w:pPr>
              <w:spacing w:line="288" w:lineRule="auto"/>
              <w:ind w:left="-851"/>
              <w:jc w:val="left"/>
              <w:rPr>
                <w:rtl/>
              </w:rPr>
            </w:pPr>
          </w:p>
        </w:tc>
      </w:tr>
    </w:tbl>
    <w:p w:rsidR="00AE4BB7" w:rsidRPr="006C4033" w:rsidP="00AE4BB7">
      <w:pPr>
        <w:spacing w:line="288" w:lineRule="auto"/>
        <w:ind w:left="-284"/>
        <w:rPr>
          <w:rtl/>
        </w:rPr>
      </w:pPr>
      <w:r w:rsidRPr="006C4033">
        <w:rPr>
          <w:rFonts w:ascii="Tahoma" w:hAnsi="Tahoma" w:cs="Tahoma"/>
          <w:noProof/>
          <w:rtl/>
        </w:rPr>
        <w:drawing>
          <wp:inline distT="0" distB="0" distL="0" distR="0">
            <wp:extent cx="1638300" cy="411480"/>
            <wp:effectExtent l="0" t="0" r="0" b="762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קציר-05.pn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38300" cy="411480"/>
                    </a:xfrm>
                    <a:prstGeom prst="rect">
                      <a:avLst/>
                    </a:prstGeom>
                  </pic:spPr>
                </pic:pic>
              </a:graphicData>
            </a:graphic>
          </wp:inline>
        </w:drawing>
      </w:r>
    </w:p>
    <w:p w:rsidR="00507AA2" w:rsidRPr="00507AA2" w:rsidP="00507AA2">
      <w:pPr>
        <w:pStyle w:val="739"/>
        <w:spacing w:after="120"/>
        <w:rPr>
          <w:sz w:val="19"/>
          <w:szCs w:val="19"/>
          <w:rtl/>
        </w:rPr>
      </w:pPr>
      <w:r w:rsidRPr="00507AA2">
        <w:rPr>
          <w:sz w:val="19"/>
          <w:szCs w:val="19"/>
          <w:rtl/>
        </w:rPr>
        <w:t>הרשויות המקומיות ממלאות תפקיד חיוני בהיערכות העורף לאירועי חירום ולטיפול בהם. על פי "תפיסת יסוד: המענה לאירועי חירום במרחב האזרחי</w:t>
      </w:r>
      <w:r w:rsidRPr="00507AA2">
        <w:rPr>
          <w:sz w:val="19"/>
          <w:szCs w:val="19"/>
          <w:rtl/>
        </w:rPr>
        <w:t xml:space="preserve"> של מדינת ישראל" של רשות החירום הלאומית (רח"ל), הרשות המקומית היא "לבנת היסוד" לטיפול בעורף בשעת חירום בשל הקשר הישיר והקבוע עם הציבור בתחומה, והיא אחראית להמשיך לספק לו את מרבית הצרכים והשירותים החיוניים בשעת חירום, לרבות למפונים שתקלוט בתחומה. הבסיס תורת</w:t>
      </w:r>
      <w:r w:rsidRPr="00507AA2">
        <w:rPr>
          <w:sz w:val="19"/>
          <w:szCs w:val="19"/>
          <w:rtl/>
        </w:rPr>
        <w:t xml:space="preserve">י להיערכות הרשות לשעת חירום כולל בין היתר את תיק האב להיערכות העירייה והמועצה המקומית לשעת חירום משנת 2021 (תיק האב) וכן תבנית להכנת תיק חירום רשותי משנת 2016. תיק האב מגדיר את העקרונות ואת המשימות הנדרשות להתארגנות הרשות לשעת חירום, אך כל רשות נדרשת לבצע </w:t>
      </w:r>
      <w:r w:rsidRPr="00507AA2">
        <w:rPr>
          <w:sz w:val="19"/>
          <w:szCs w:val="19"/>
          <w:rtl/>
        </w:rPr>
        <w:t>את ההתאמות להיערכות בהתאם למאפיינים הייחודיים שלה. על פי תיק האב, במסגרת ההיערכות של הרשות המקומית לשעת חירום ונוכח האיומים שהוגדרו בעת שגרה, תקבל הרשות את תרחיש הייחוס המלחמתי מפיקוד העורף (פקע"ר) ואת תרחיש הייחוס המשקי מרח"ל. קליטת אוכלוסייה היא חלק משמע</w:t>
      </w:r>
      <w:r w:rsidRPr="00507AA2">
        <w:rPr>
          <w:sz w:val="19"/>
          <w:szCs w:val="19"/>
          <w:rtl/>
        </w:rPr>
        <w:t>ותי מהמענה אשר לו נדרשות הרשויות המקומיות בשעת חירום, ולפיכך עליהן להיערך לכך באופן יסודי בשיתוף כל הגורמים האחראים לנושא.</w:t>
      </w:r>
    </w:p>
    <w:p w:rsidR="00AE4BB7" w:rsidRPr="00C4789A" w:rsidP="00507AA2">
      <w:pPr>
        <w:pStyle w:val="739"/>
        <w:spacing w:after="120"/>
        <w:rPr>
          <w:rtl/>
        </w:rPr>
      </w:pPr>
      <w:r w:rsidRPr="00507AA2">
        <w:rPr>
          <w:sz w:val="19"/>
          <w:szCs w:val="19"/>
          <w:rtl/>
        </w:rPr>
        <w:t>פינוי אוכלוסייה יכול שייעשה בשל פעולות איבה, בשל אסון טבע או מחמת כל מצב אחר המחייב פינוי מאורגן של אוכלוסייה. לפי החלטת הממשלה "מלון</w:t>
      </w:r>
      <w:r w:rsidRPr="00507AA2">
        <w:rPr>
          <w:sz w:val="19"/>
          <w:szCs w:val="19"/>
          <w:rtl/>
        </w:rPr>
        <w:t xml:space="preserve"> אורחים" משנת 2012, על משרד הפנים לאתר מתקני קליטה מקומיים (בתי ספר ומוסדות ציבור) ומתקני קליטה ארציים (פנימיות, אכסניות ומלונות) בכל רחבי הארץ המסוגלים לקלוט כ-300,000 נפש; להנחות את הרשויות המקומיות להיערך מבחינת התשתית והשירותים הבסיסיים לקליטת אוכלוסיי</w:t>
      </w:r>
      <w:r w:rsidRPr="00507AA2">
        <w:rPr>
          <w:sz w:val="19"/>
          <w:szCs w:val="19"/>
          <w:rtl/>
        </w:rPr>
        <w:t>ה בהיקף של לפחות 4% ממספר תושבי הרשות המקומית; ולפקח על היערכות הרשויות המקומיות בנושא זה. אגף הרשות העליונה לפס"ח (פינוי, סעד, חללים) (אגף פס"ח) במשרד הפנים הוא הגורם שבאמצעותו המשרד מנחה, מתאם ומפקח במסגרת מערך קליטת האוכלוסייה המפונה בשעת חירום.</w:t>
      </w:r>
      <w:r>
        <w:rPr>
          <w:rtl/>
        </w:rPr>
        <w:br w:type="page"/>
      </w:r>
    </w:p>
    <w:p w:rsidR="00AE4BB7" w:rsidP="00AE4BB7">
      <w:pPr>
        <w:spacing w:line="288" w:lineRule="auto"/>
        <w:ind w:left="-284"/>
        <w:rPr>
          <w:sz w:val="12"/>
          <w:szCs w:val="16"/>
          <w:rtl/>
        </w:rPr>
      </w:pPr>
      <w:r w:rsidRPr="006C4033">
        <w:rPr>
          <w:rFonts w:ascii="Tahoma" w:hAnsi="Tahoma" w:cs="Tahoma"/>
          <w:noProof/>
          <w:rtl/>
        </w:rPr>
        <w:drawing>
          <wp:inline distT="0" distB="0" distL="0" distR="0">
            <wp:extent cx="1674111" cy="381000"/>
            <wp:effectExtent l="0" t="0" r="254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תקציר-04.png"/>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1675228" cy="381254"/>
                    </a:xfrm>
                    <a:prstGeom prst="rect">
                      <a:avLst/>
                    </a:prstGeom>
                  </pic:spPr>
                </pic:pic>
              </a:graphicData>
            </a:graphic>
          </wp:inline>
        </w:drawing>
      </w:r>
    </w:p>
    <w:tbl>
      <w:tblPr>
        <w:tblStyle w:val="44"/>
        <w:tblpPr w:leftFromText="180" w:rightFromText="180" w:vertAnchor="text" w:tblpXSpec="center" w:tblpY="1"/>
        <w:tblOverlap w:val="never"/>
        <w:bidiVisual/>
        <w:tblW w:w="9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4"/>
        <w:gridCol w:w="283"/>
        <w:gridCol w:w="1987"/>
        <w:gridCol w:w="277"/>
        <w:gridCol w:w="2131"/>
        <w:gridCol w:w="283"/>
        <w:gridCol w:w="1989"/>
      </w:tblGrid>
      <w:tr w:rsidTr="00D85FD7">
        <w:tblPrEx>
          <w:tblW w:w="9074" w:type="dxa"/>
          <w:tblLook w:val="04A0"/>
        </w:tblPrEx>
        <w:trPr>
          <w:trHeight w:val="283"/>
        </w:trPr>
        <w:tc>
          <w:tcPr>
            <w:tcW w:w="2124" w:type="dxa"/>
            <w:tcBorders>
              <w:bottom w:val="single" w:sz="12" w:space="0" w:color="auto"/>
            </w:tcBorders>
            <w:shd w:val="clear" w:color="auto" w:fill="auto"/>
            <w:vAlign w:val="bottom"/>
          </w:tcPr>
          <w:p w:rsidR="00507AA2" w:rsidRPr="00507AA2" w:rsidP="00507AA2">
            <w:pPr>
              <w:spacing w:after="60" w:line="240" w:lineRule="auto"/>
              <w:rPr>
                <w:rFonts w:ascii="Tahoma" w:eastAsia="Calibri" w:hAnsi="Tahoma" w:cs="Tahoma"/>
                <w:spacing w:val="-10"/>
                <w:sz w:val="36"/>
                <w:szCs w:val="36"/>
                <w:rtl/>
              </w:rPr>
            </w:pPr>
            <w:r w:rsidRPr="00507AA2">
              <w:rPr>
                <w:rFonts w:ascii="Tahoma" w:eastAsia="Calibri" w:hAnsi="Tahoma" w:cs="Tahoma"/>
                <w:spacing w:val="-10"/>
                <w:sz w:val="36"/>
                <w:szCs w:val="36"/>
                <w:rtl/>
              </w:rPr>
              <w:t>4%</w:t>
            </w:r>
          </w:p>
        </w:tc>
        <w:tc>
          <w:tcPr>
            <w:tcW w:w="283" w:type="dxa"/>
          </w:tcPr>
          <w:p w:rsidR="00507AA2" w:rsidRPr="00507AA2" w:rsidP="00507AA2">
            <w:pPr>
              <w:spacing w:line="240" w:lineRule="auto"/>
              <w:rPr>
                <w:rFonts w:ascii="Tahoma" w:eastAsia="Calibri" w:hAnsi="Tahoma" w:cs="Tahoma"/>
                <w:spacing w:val="-10"/>
              </w:rPr>
            </w:pPr>
          </w:p>
        </w:tc>
        <w:tc>
          <w:tcPr>
            <w:tcW w:w="1987" w:type="dxa"/>
            <w:tcBorders>
              <w:bottom w:val="single" w:sz="12" w:space="0" w:color="auto"/>
            </w:tcBorders>
            <w:vAlign w:val="bottom"/>
          </w:tcPr>
          <w:p w:rsidR="00507AA2" w:rsidRPr="00507AA2" w:rsidP="00507AA2">
            <w:pPr>
              <w:spacing w:after="60" w:line="240" w:lineRule="auto"/>
              <w:rPr>
                <w:rFonts w:ascii="Tahoma" w:eastAsia="Calibri" w:hAnsi="Tahoma" w:cs="Tahoma"/>
                <w:spacing w:val="-10"/>
                <w:sz w:val="36"/>
                <w:szCs w:val="36"/>
                <w:rtl/>
              </w:rPr>
            </w:pPr>
            <w:r w:rsidRPr="00507AA2">
              <w:rPr>
                <w:rFonts w:ascii="Tahoma" w:eastAsia="Calibri" w:hAnsi="Tahoma" w:cs="Tahoma"/>
                <w:spacing w:val="-10"/>
                <w:sz w:val="26"/>
                <w:szCs w:val="26"/>
                <w:rtl/>
              </w:rPr>
              <w:t>כ-</w:t>
            </w:r>
            <w:r w:rsidRPr="00507AA2">
              <w:rPr>
                <w:rFonts w:ascii="Tahoma" w:eastAsia="Calibri" w:hAnsi="Tahoma" w:cs="Tahoma"/>
                <w:spacing w:val="-10"/>
                <w:sz w:val="36"/>
                <w:szCs w:val="36"/>
                <w:rtl/>
              </w:rPr>
              <w:t xml:space="preserve">110% </w:t>
            </w:r>
          </w:p>
        </w:tc>
        <w:tc>
          <w:tcPr>
            <w:tcW w:w="277" w:type="dxa"/>
          </w:tcPr>
          <w:p w:rsidR="00507AA2" w:rsidRPr="00507AA2" w:rsidP="00507AA2">
            <w:pPr>
              <w:spacing w:line="240" w:lineRule="auto"/>
              <w:rPr>
                <w:rFonts w:ascii="Tahoma" w:eastAsia="Calibri" w:hAnsi="Tahoma" w:cs="Tahoma"/>
                <w:spacing w:val="-10"/>
              </w:rPr>
            </w:pPr>
          </w:p>
        </w:tc>
        <w:tc>
          <w:tcPr>
            <w:tcW w:w="2131" w:type="dxa"/>
            <w:tcBorders>
              <w:bottom w:val="single" w:sz="12" w:space="0" w:color="auto"/>
            </w:tcBorders>
            <w:vAlign w:val="bottom"/>
          </w:tcPr>
          <w:p w:rsidR="00507AA2" w:rsidRPr="00507AA2" w:rsidP="00507AA2">
            <w:pPr>
              <w:spacing w:after="60" w:line="240" w:lineRule="auto"/>
              <w:rPr>
                <w:rFonts w:ascii="Tahoma" w:eastAsia="Calibri" w:hAnsi="Tahoma" w:cs="Tahoma"/>
                <w:spacing w:val="-10"/>
                <w:sz w:val="36"/>
                <w:szCs w:val="36"/>
              </w:rPr>
            </w:pPr>
            <w:r w:rsidRPr="00507AA2">
              <w:rPr>
                <w:rFonts w:ascii="Tahoma" w:eastAsia="Calibri" w:hAnsi="Tahoma" w:cs="Tahoma"/>
                <w:spacing w:val="-10"/>
                <w:sz w:val="26"/>
                <w:szCs w:val="26"/>
                <w:rtl/>
              </w:rPr>
              <w:t>רק</w:t>
            </w:r>
            <w:r w:rsidRPr="00507AA2">
              <w:rPr>
                <w:rFonts w:ascii="Tahoma" w:eastAsia="Calibri" w:hAnsi="Tahoma" w:cs="Tahoma"/>
                <w:spacing w:val="-10"/>
                <w:sz w:val="36"/>
                <w:szCs w:val="36"/>
                <w:rtl/>
              </w:rPr>
              <w:t xml:space="preserve"> 41 </w:t>
            </w:r>
            <w:r w:rsidRPr="00507AA2">
              <w:rPr>
                <w:rFonts w:ascii="Tahoma" w:eastAsia="Calibri" w:hAnsi="Tahoma" w:cs="Tahoma"/>
                <w:spacing w:val="-10"/>
                <w:sz w:val="26"/>
                <w:szCs w:val="26"/>
                <w:rtl/>
              </w:rPr>
              <w:t>מתוך</w:t>
            </w:r>
            <w:r w:rsidRPr="00507AA2">
              <w:rPr>
                <w:rFonts w:ascii="Tahoma" w:eastAsia="Calibri" w:hAnsi="Tahoma" w:cs="Tahoma"/>
                <w:spacing w:val="-10"/>
                <w:sz w:val="36"/>
                <w:szCs w:val="36"/>
                <w:rtl/>
              </w:rPr>
              <w:t xml:space="preserve"> 317</w:t>
            </w:r>
          </w:p>
        </w:tc>
        <w:tc>
          <w:tcPr>
            <w:tcW w:w="283" w:type="dxa"/>
          </w:tcPr>
          <w:p w:rsidR="00507AA2" w:rsidRPr="00507AA2" w:rsidP="00507AA2">
            <w:pPr>
              <w:spacing w:line="240" w:lineRule="auto"/>
              <w:rPr>
                <w:rFonts w:ascii="Tahoma" w:eastAsia="Calibri" w:hAnsi="Tahoma" w:cs="Tahoma"/>
                <w:spacing w:val="-10"/>
              </w:rPr>
            </w:pPr>
          </w:p>
        </w:tc>
        <w:tc>
          <w:tcPr>
            <w:tcW w:w="1989" w:type="dxa"/>
            <w:tcBorders>
              <w:bottom w:val="single" w:sz="12" w:space="0" w:color="auto"/>
            </w:tcBorders>
            <w:vAlign w:val="bottom"/>
          </w:tcPr>
          <w:p w:rsidR="00507AA2" w:rsidRPr="00507AA2" w:rsidP="00507AA2">
            <w:pPr>
              <w:spacing w:after="60" w:line="240" w:lineRule="auto"/>
              <w:rPr>
                <w:rFonts w:ascii="Tahoma" w:eastAsia="Calibri" w:hAnsi="Tahoma" w:cs="Tahoma"/>
                <w:spacing w:val="-10"/>
                <w:sz w:val="36"/>
                <w:szCs w:val="36"/>
                <w:rtl/>
              </w:rPr>
            </w:pPr>
            <w:r w:rsidRPr="00507AA2">
              <w:rPr>
                <w:rFonts w:ascii="Tahoma" w:eastAsia="Calibri" w:hAnsi="Tahoma" w:cs="Tahoma"/>
                <w:spacing w:val="-10"/>
                <w:sz w:val="36"/>
                <w:szCs w:val="36"/>
                <w:rtl/>
              </w:rPr>
              <w:t xml:space="preserve">0 </w:t>
            </w:r>
            <w:r w:rsidRPr="00507AA2">
              <w:rPr>
                <w:rFonts w:ascii="Tahoma" w:eastAsia="Calibri" w:hAnsi="Tahoma" w:cs="Tahoma"/>
                <w:spacing w:val="-10"/>
                <w:sz w:val="26"/>
                <w:szCs w:val="26"/>
                <w:rtl/>
              </w:rPr>
              <w:t>הדרכות ותרגילים</w:t>
            </w:r>
          </w:p>
        </w:tc>
      </w:tr>
      <w:tr w:rsidTr="00507AA2">
        <w:tblPrEx>
          <w:tblW w:w="9074" w:type="dxa"/>
          <w:tblLook w:val="04A0"/>
        </w:tblPrEx>
        <w:trPr>
          <w:trHeight w:val="85"/>
        </w:trPr>
        <w:tc>
          <w:tcPr>
            <w:tcW w:w="9074" w:type="dxa"/>
            <w:gridSpan w:val="7"/>
            <w:shd w:val="clear" w:color="auto" w:fill="auto"/>
            <w:vAlign w:val="center"/>
          </w:tcPr>
          <w:p w:rsidR="00507AA2" w:rsidRPr="00507AA2" w:rsidP="00507AA2">
            <w:pPr>
              <w:rPr>
                <w:rFonts w:ascii="Tahoma" w:eastAsia="Calibri" w:hAnsi="Tahoma" w:cs="Tahoma"/>
                <w:spacing w:val="-10"/>
                <w:sz w:val="6"/>
                <w:szCs w:val="6"/>
                <w:rtl/>
              </w:rPr>
            </w:pPr>
          </w:p>
        </w:tc>
      </w:tr>
      <w:tr w:rsidTr="00D85FD7">
        <w:tblPrEx>
          <w:tblW w:w="9074" w:type="dxa"/>
          <w:tblLook w:val="04A0"/>
        </w:tblPrEx>
        <w:trPr>
          <w:trHeight w:val="1155"/>
        </w:trPr>
        <w:tc>
          <w:tcPr>
            <w:tcW w:w="2124"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 xml:space="preserve">ממספר תושביה </w:t>
            </w:r>
            <w:r w:rsidRPr="00507AA2">
              <w:rPr>
                <w:rFonts w:ascii="Tahoma" w:eastAsia="Calibri" w:hAnsi="Tahoma" w:cs="Tahoma" w:hint="cs"/>
                <w:sz w:val="19"/>
                <w:szCs w:val="19"/>
                <w:rtl/>
              </w:rPr>
              <w:t>-</w:t>
            </w:r>
            <w:r w:rsidRPr="00507AA2">
              <w:rPr>
                <w:rFonts w:ascii="Tahoma" w:eastAsia="Calibri" w:hAnsi="Tahoma" w:cs="Tahoma"/>
                <w:sz w:val="19"/>
                <w:szCs w:val="19"/>
                <w:rtl/>
              </w:rPr>
              <w:t xml:space="preserve"> זהו שיעור המפונים שהרשות המקומית נדרשת להיערך לקליטתם על פי החלטת הממשלה "מלון אורחים" (בין אם מקרב תושביה ובין אם לאו)</w:t>
            </w:r>
          </w:p>
        </w:tc>
        <w:tc>
          <w:tcPr>
            <w:tcW w:w="283" w:type="dxa"/>
          </w:tcPr>
          <w:p w:rsidR="00507AA2" w:rsidRPr="00507AA2" w:rsidP="00507AA2">
            <w:pPr>
              <w:spacing w:line="240" w:lineRule="exact"/>
              <w:rPr>
                <w:rFonts w:ascii="Tahoma" w:eastAsia="Calibri" w:hAnsi="Tahoma" w:cs="Tahoma"/>
                <w:szCs w:val="24"/>
                <w:rtl/>
              </w:rPr>
            </w:pPr>
          </w:p>
        </w:tc>
        <w:tc>
          <w:tcPr>
            <w:tcW w:w="1987"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 xml:space="preserve">היחס בין האוכלוסייה הצפויה להיקלט בעיר </w:t>
            </w:r>
            <w:r w:rsidRPr="00507AA2">
              <w:rPr>
                <w:rFonts w:ascii="Tahoma" w:eastAsia="Calibri" w:hAnsi="Tahoma" w:cs="Tahoma"/>
                <w:b/>
                <w:bCs/>
                <w:sz w:val="19"/>
                <w:szCs w:val="19"/>
                <w:rtl/>
              </w:rPr>
              <w:t>אילת</w:t>
            </w:r>
            <w:r w:rsidRPr="00507AA2">
              <w:rPr>
                <w:rFonts w:ascii="Tahoma" w:eastAsia="Calibri" w:hAnsi="Tahoma" w:cs="Tahoma"/>
                <w:sz w:val="19"/>
                <w:szCs w:val="19"/>
                <w:rtl/>
              </w:rPr>
              <w:t xml:space="preserve"> (57,000 מפונים) לבין מספר תושבי העיר (53,151 תושבים), לפי תוכנית המענה לשעת חירום של העירייה </w:t>
            </w:r>
          </w:p>
          <w:p w:rsidR="00507AA2" w:rsidRPr="00507AA2" w:rsidP="00507AA2">
            <w:pPr>
              <w:spacing w:line="240" w:lineRule="auto"/>
              <w:ind w:right="23"/>
              <w:rPr>
                <w:rFonts w:ascii="Tahoma" w:eastAsia="Calibri" w:hAnsi="Tahoma" w:cs="Tahoma"/>
                <w:sz w:val="19"/>
                <w:szCs w:val="19"/>
                <w:rtl/>
              </w:rPr>
            </w:pPr>
          </w:p>
          <w:p w:rsidR="00507AA2" w:rsidRPr="00507AA2" w:rsidP="00507AA2">
            <w:pPr>
              <w:spacing w:line="240" w:lineRule="auto"/>
              <w:ind w:right="23"/>
              <w:rPr>
                <w:rFonts w:ascii="Tahoma" w:eastAsia="Calibri" w:hAnsi="Tahoma" w:cs="Tahoma"/>
                <w:sz w:val="19"/>
                <w:szCs w:val="19"/>
                <w:rtl/>
              </w:rPr>
            </w:pPr>
          </w:p>
          <w:p w:rsidR="00507AA2" w:rsidRPr="00507AA2" w:rsidP="00507AA2">
            <w:pPr>
              <w:spacing w:line="240" w:lineRule="auto"/>
              <w:ind w:right="23"/>
              <w:rPr>
                <w:rFonts w:ascii="Tahoma" w:eastAsia="Calibri" w:hAnsi="Tahoma" w:cs="Tahoma"/>
                <w:sz w:val="19"/>
                <w:szCs w:val="19"/>
                <w:rtl/>
              </w:rPr>
            </w:pPr>
          </w:p>
        </w:tc>
        <w:tc>
          <w:tcPr>
            <w:tcW w:w="277" w:type="dxa"/>
          </w:tcPr>
          <w:p w:rsidR="00507AA2" w:rsidRPr="00507AA2" w:rsidP="00507AA2">
            <w:pPr>
              <w:spacing w:line="240" w:lineRule="exact"/>
              <w:rPr>
                <w:rFonts w:ascii="Tahoma" w:eastAsia="Calibri" w:hAnsi="Tahoma" w:cs="Tahoma"/>
                <w:sz w:val="19"/>
                <w:szCs w:val="19"/>
                <w:rtl/>
              </w:rPr>
            </w:pPr>
          </w:p>
        </w:tc>
        <w:tc>
          <w:tcPr>
            <w:tcW w:w="2131"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ממתקני האירוח ברשויות שנבדקו שקלטו מפונים בתחומיהן, היו מתקנים שהוגדרו מבעוד מועד על ידי אגף פס"ח כמתקני קליטה ארציים</w:t>
            </w:r>
          </w:p>
        </w:tc>
        <w:tc>
          <w:tcPr>
            <w:tcW w:w="283" w:type="dxa"/>
          </w:tcPr>
          <w:p w:rsidR="00507AA2" w:rsidRPr="00507AA2" w:rsidP="00507AA2">
            <w:pPr>
              <w:spacing w:line="240" w:lineRule="exact"/>
              <w:rPr>
                <w:rFonts w:ascii="Tahoma" w:eastAsia="Calibri" w:hAnsi="Tahoma" w:cs="Tahoma"/>
                <w:sz w:val="19"/>
                <w:szCs w:val="19"/>
                <w:rtl/>
              </w:rPr>
            </w:pPr>
          </w:p>
        </w:tc>
        <w:tc>
          <w:tcPr>
            <w:tcW w:w="1989"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אגף פס"ח לא יזם הדרכות לחברי סגל המתקנ</w:t>
            </w:r>
            <w:r w:rsidRPr="00507AA2">
              <w:rPr>
                <w:rFonts w:ascii="Tahoma" w:eastAsia="Calibri" w:hAnsi="Tahoma" w:cs="Tahoma"/>
                <w:sz w:val="19"/>
                <w:szCs w:val="19"/>
                <w:rtl/>
              </w:rPr>
              <w:t xml:space="preserve">ים הארציים ולא הפיץ לומדה ייעודית כנדרש </w:t>
            </w:r>
          </w:p>
        </w:tc>
      </w:tr>
      <w:tr w:rsidTr="00D85FD7">
        <w:tblPrEx>
          <w:tblW w:w="9074" w:type="dxa"/>
          <w:tblLook w:val="04A0"/>
        </w:tblPrEx>
        <w:trPr>
          <w:trHeight w:val="227"/>
        </w:trPr>
        <w:tc>
          <w:tcPr>
            <w:tcW w:w="2124" w:type="dxa"/>
            <w:tcBorders>
              <w:bottom w:val="single" w:sz="12" w:space="0" w:color="auto"/>
            </w:tcBorders>
            <w:vAlign w:val="bottom"/>
          </w:tcPr>
          <w:p w:rsidR="00507AA2" w:rsidRPr="00507AA2" w:rsidP="00507AA2">
            <w:pPr>
              <w:spacing w:after="60" w:line="240" w:lineRule="auto"/>
              <w:rPr>
                <w:rFonts w:ascii="Tahoma" w:eastAsia="Calibri" w:hAnsi="Tahoma" w:cs="Tahoma"/>
                <w:spacing w:val="-10"/>
                <w:sz w:val="36"/>
                <w:szCs w:val="36"/>
              </w:rPr>
            </w:pPr>
            <w:r w:rsidRPr="00507AA2">
              <w:rPr>
                <w:rFonts w:ascii="Tahoma" w:eastAsia="Calibri" w:hAnsi="Tahoma" w:cs="Tahoma"/>
                <w:spacing w:val="-10"/>
                <w:sz w:val="36"/>
                <w:szCs w:val="36"/>
                <w:rtl/>
              </w:rPr>
              <w:t xml:space="preserve">3 </w:t>
            </w:r>
            <w:r w:rsidRPr="00507AA2">
              <w:rPr>
                <w:rFonts w:ascii="Tahoma" w:eastAsia="Calibri" w:hAnsi="Tahoma" w:cs="Tahoma"/>
                <w:spacing w:val="-10"/>
                <w:sz w:val="26"/>
                <w:szCs w:val="26"/>
                <w:rtl/>
              </w:rPr>
              <w:t>מתוך</w:t>
            </w:r>
            <w:r w:rsidRPr="00507AA2">
              <w:rPr>
                <w:rFonts w:ascii="Tahoma" w:eastAsia="Calibri" w:hAnsi="Tahoma" w:cs="Tahoma"/>
                <w:spacing w:val="-10"/>
                <w:sz w:val="36"/>
                <w:szCs w:val="36"/>
                <w:rtl/>
              </w:rPr>
              <w:t xml:space="preserve"> 14</w:t>
            </w:r>
          </w:p>
        </w:tc>
        <w:tc>
          <w:tcPr>
            <w:tcW w:w="283" w:type="dxa"/>
          </w:tcPr>
          <w:p w:rsidR="00507AA2" w:rsidRPr="00507AA2" w:rsidP="00507AA2">
            <w:pPr>
              <w:spacing w:line="240" w:lineRule="auto"/>
              <w:rPr>
                <w:rFonts w:ascii="Tahoma" w:eastAsia="Calibri" w:hAnsi="Tahoma" w:cs="Tahoma"/>
                <w:spacing w:val="-10"/>
              </w:rPr>
            </w:pPr>
          </w:p>
        </w:tc>
        <w:tc>
          <w:tcPr>
            <w:tcW w:w="1987" w:type="dxa"/>
            <w:tcBorders>
              <w:bottom w:val="single" w:sz="12" w:space="0" w:color="auto"/>
            </w:tcBorders>
            <w:vAlign w:val="bottom"/>
          </w:tcPr>
          <w:p w:rsidR="00507AA2" w:rsidRPr="00507AA2" w:rsidP="00507AA2">
            <w:pPr>
              <w:spacing w:after="60" w:line="240" w:lineRule="auto"/>
              <w:rPr>
                <w:rFonts w:ascii="Tahoma" w:eastAsia="Calibri" w:hAnsi="Tahoma" w:cs="Tahoma"/>
                <w:spacing w:val="-10"/>
                <w:sz w:val="36"/>
                <w:szCs w:val="36"/>
              </w:rPr>
            </w:pPr>
            <w:r w:rsidRPr="00507AA2">
              <w:rPr>
                <w:rFonts w:ascii="Tahoma" w:eastAsia="Calibri" w:hAnsi="Tahoma" w:cs="Tahoma"/>
                <w:spacing w:val="-10"/>
                <w:sz w:val="36"/>
                <w:szCs w:val="36"/>
                <w:rtl/>
              </w:rPr>
              <w:t xml:space="preserve">12 </w:t>
            </w:r>
            <w:r w:rsidRPr="00507AA2">
              <w:rPr>
                <w:rFonts w:ascii="Tahoma" w:eastAsia="Calibri" w:hAnsi="Tahoma" w:cs="Tahoma"/>
                <w:spacing w:val="-10"/>
                <w:sz w:val="26"/>
                <w:szCs w:val="26"/>
                <w:rtl/>
              </w:rPr>
              <w:t>מתוך</w:t>
            </w:r>
            <w:r w:rsidRPr="00507AA2">
              <w:rPr>
                <w:rFonts w:ascii="Tahoma" w:eastAsia="Calibri" w:hAnsi="Tahoma" w:cs="Tahoma"/>
                <w:spacing w:val="-10"/>
                <w:sz w:val="36"/>
                <w:szCs w:val="36"/>
                <w:rtl/>
              </w:rPr>
              <w:t xml:space="preserve"> 14</w:t>
            </w:r>
          </w:p>
        </w:tc>
        <w:tc>
          <w:tcPr>
            <w:tcW w:w="277" w:type="dxa"/>
          </w:tcPr>
          <w:p w:rsidR="00507AA2" w:rsidRPr="00507AA2" w:rsidP="00507AA2">
            <w:pPr>
              <w:rPr>
                <w:rFonts w:ascii="Tahoma" w:eastAsia="Calibri" w:hAnsi="Tahoma" w:cs="Tahoma"/>
                <w:spacing w:val="-10"/>
              </w:rPr>
            </w:pPr>
          </w:p>
        </w:tc>
        <w:tc>
          <w:tcPr>
            <w:tcW w:w="2131" w:type="dxa"/>
          </w:tcPr>
          <w:p w:rsidR="00507AA2" w:rsidRPr="00507AA2" w:rsidP="00507AA2">
            <w:pPr>
              <w:rPr>
                <w:rFonts w:ascii="Tahoma" w:eastAsia="Calibri" w:hAnsi="Tahoma" w:cs="Tahoma"/>
                <w:spacing w:val="-10"/>
                <w:sz w:val="36"/>
                <w:szCs w:val="36"/>
              </w:rPr>
            </w:pPr>
          </w:p>
        </w:tc>
        <w:tc>
          <w:tcPr>
            <w:tcW w:w="283" w:type="dxa"/>
          </w:tcPr>
          <w:p w:rsidR="00507AA2" w:rsidRPr="00507AA2" w:rsidP="00507AA2">
            <w:pPr>
              <w:rPr>
                <w:rFonts w:ascii="Tahoma" w:eastAsia="Calibri" w:hAnsi="Tahoma" w:cs="Tahoma"/>
                <w:spacing w:val="-10"/>
              </w:rPr>
            </w:pPr>
          </w:p>
        </w:tc>
        <w:tc>
          <w:tcPr>
            <w:tcW w:w="1989" w:type="dxa"/>
            <w:vAlign w:val="center"/>
          </w:tcPr>
          <w:p w:rsidR="00507AA2" w:rsidRPr="00507AA2" w:rsidP="00507AA2">
            <w:pPr>
              <w:spacing w:line="240" w:lineRule="auto"/>
              <w:ind w:right="23"/>
              <w:rPr>
                <w:rFonts w:ascii="Tahoma" w:eastAsia="Calibri" w:hAnsi="Tahoma" w:cs="Tahoma"/>
                <w:sz w:val="19"/>
                <w:szCs w:val="19"/>
                <w:rtl/>
              </w:rPr>
            </w:pPr>
          </w:p>
          <w:p w:rsidR="00507AA2" w:rsidRPr="00507AA2" w:rsidP="00507AA2">
            <w:pPr>
              <w:spacing w:line="240" w:lineRule="auto"/>
              <w:ind w:firstLine="720"/>
              <w:rPr>
                <w:rFonts w:ascii="Tahoma" w:eastAsia="Calibri" w:hAnsi="Tahoma" w:cs="Tahoma"/>
                <w:spacing w:val="-10"/>
                <w:sz w:val="36"/>
                <w:szCs w:val="36"/>
              </w:rPr>
            </w:pPr>
          </w:p>
        </w:tc>
      </w:tr>
      <w:tr w:rsidTr="00D85FD7">
        <w:tblPrEx>
          <w:tblW w:w="9074" w:type="dxa"/>
          <w:tblLook w:val="04A0"/>
        </w:tblPrEx>
        <w:trPr>
          <w:trHeight w:val="1153"/>
        </w:trPr>
        <w:tc>
          <w:tcPr>
            <w:tcW w:w="2124"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מספר הרשויות המקומיות מאלו שנבדקו שלא הייתה קיימת בהן יחידת התנדבות רשותית שתוביל את מערך ההתנדבות הרשותי שיופעל בשעת חירום, טרם מלחמת חרבות ברזל</w:t>
            </w:r>
          </w:p>
        </w:tc>
        <w:tc>
          <w:tcPr>
            <w:tcW w:w="283" w:type="dxa"/>
          </w:tcPr>
          <w:p w:rsidR="00507AA2" w:rsidRPr="00507AA2" w:rsidP="00507AA2">
            <w:pPr>
              <w:spacing w:line="240" w:lineRule="exact"/>
              <w:rPr>
                <w:rFonts w:ascii="Tahoma" w:eastAsia="Calibri" w:hAnsi="Tahoma" w:cs="Tahoma"/>
                <w:sz w:val="19"/>
                <w:szCs w:val="19"/>
                <w:rtl/>
              </w:rPr>
            </w:pPr>
          </w:p>
        </w:tc>
        <w:tc>
          <w:tcPr>
            <w:tcW w:w="1987" w:type="dxa"/>
          </w:tcPr>
          <w:p w:rsidR="00507AA2" w:rsidRPr="00507AA2" w:rsidP="00507AA2">
            <w:pPr>
              <w:spacing w:line="240" w:lineRule="auto"/>
              <w:ind w:right="23"/>
              <w:rPr>
                <w:rFonts w:ascii="Tahoma" w:eastAsia="Calibri" w:hAnsi="Tahoma" w:cs="Tahoma"/>
                <w:sz w:val="19"/>
                <w:szCs w:val="19"/>
                <w:rtl/>
              </w:rPr>
            </w:pPr>
            <w:r w:rsidRPr="00507AA2">
              <w:rPr>
                <w:rFonts w:ascii="Tahoma" w:eastAsia="Calibri" w:hAnsi="Tahoma" w:cs="Tahoma"/>
                <w:sz w:val="19"/>
                <w:szCs w:val="19"/>
                <w:rtl/>
              </w:rPr>
              <w:t xml:space="preserve">מספר הרשויות המקומיות מאלו שנבדקו שלא </w:t>
            </w:r>
            <w:r w:rsidRPr="00507AA2">
              <w:rPr>
                <w:rFonts w:ascii="Tahoma" w:eastAsia="Calibri" w:hAnsi="Tahoma" w:cs="Tahoma"/>
                <w:sz w:val="19"/>
                <w:szCs w:val="19"/>
                <w:rtl/>
              </w:rPr>
              <w:t>הכינו תוכנית מענה</w:t>
            </w:r>
            <w:r w:rsidRPr="00507AA2">
              <w:rPr>
                <w:rFonts w:ascii="Tahoma" w:eastAsia="Calibri" w:hAnsi="Tahoma" w:cs="Tahoma"/>
                <w:szCs w:val="24"/>
                <w:rtl/>
              </w:rPr>
              <w:t xml:space="preserve"> </w:t>
            </w:r>
            <w:r w:rsidRPr="00507AA2">
              <w:rPr>
                <w:rFonts w:ascii="Tahoma" w:eastAsia="Calibri" w:hAnsi="Tahoma" w:cs="Tahoma"/>
                <w:sz w:val="19"/>
                <w:szCs w:val="19"/>
                <w:rtl/>
              </w:rPr>
              <w:t>לפרט לאוכלוסייה הנקלטת במתקני הקליטה שבתחומן, או שהכינו תוכנית מענה חלקית</w:t>
            </w:r>
          </w:p>
          <w:p w:rsidR="00507AA2" w:rsidRPr="00507AA2" w:rsidP="00507AA2">
            <w:pPr>
              <w:spacing w:line="240" w:lineRule="auto"/>
              <w:rPr>
                <w:rFonts w:ascii="Tahoma" w:eastAsia="Calibri" w:hAnsi="Tahoma" w:cs="Tahoma"/>
                <w:sz w:val="19"/>
                <w:szCs w:val="19"/>
                <w:rtl/>
              </w:rPr>
            </w:pPr>
          </w:p>
        </w:tc>
        <w:tc>
          <w:tcPr>
            <w:tcW w:w="277" w:type="dxa"/>
          </w:tcPr>
          <w:p w:rsidR="00507AA2" w:rsidRPr="00507AA2" w:rsidP="00507AA2">
            <w:pPr>
              <w:spacing w:line="240" w:lineRule="exact"/>
              <w:rPr>
                <w:rFonts w:ascii="Tahoma" w:eastAsia="Calibri" w:hAnsi="Tahoma" w:cs="Tahoma"/>
                <w:sz w:val="19"/>
                <w:szCs w:val="19"/>
                <w:rtl/>
              </w:rPr>
            </w:pPr>
          </w:p>
        </w:tc>
        <w:tc>
          <w:tcPr>
            <w:tcW w:w="2131" w:type="dxa"/>
          </w:tcPr>
          <w:p w:rsidR="00507AA2" w:rsidRPr="00507AA2" w:rsidP="00507AA2">
            <w:pPr>
              <w:spacing w:line="240" w:lineRule="auto"/>
              <w:ind w:right="23"/>
              <w:rPr>
                <w:rFonts w:ascii="Tahoma" w:eastAsia="Calibri" w:hAnsi="Tahoma" w:cs="Tahoma"/>
                <w:sz w:val="19"/>
                <w:szCs w:val="19"/>
                <w:rtl/>
              </w:rPr>
            </w:pPr>
          </w:p>
        </w:tc>
        <w:tc>
          <w:tcPr>
            <w:tcW w:w="283" w:type="dxa"/>
          </w:tcPr>
          <w:p w:rsidR="00507AA2" w:rsidRPr="00507AA2" w:rsidP="00507AA2">
            <w:pPr>
              <w:spacing w:line="240" w:lineRule="exact"/>
              <w:rPr>
                <w:rFonts w:ascii="Tahoma" w:eastAsia="Calibri" w:hAnsi="Tahoma" w:cs="Tahoma"/>
                <w:sz w:val="19"/>
                <w:szCs w:val="19"/>
                <w:rtl/>
              </w:rPr>
            </w:pPr>
          </w:p>
        </w:tc>
        <w:tc>
          <w:tcPr>
            <w:tcW w:w="1989" w:type="dxa"/>
          </w:tcPr>
          <w:p w:rsidR="00507AA2" w:rsidRPr="00507AA2" w:rsidP="00507AA2">
            <w:pPr>
              <w:spacing w:line="240" w:lineRule="auto"/>
              <w:ind w:firstLine="720"/>
              <w:rPr>
                <w:rFonts w:ascii="Tahoma" w:eastAsia="Calibri" w:hAnsi="Tahoma" w:cs="Tahoma"/>
                <w:sz w:val="19"/>
                <w:szCs w:val="19"/>
                <w:rtl/>
              </w:rPr>
            </w:pPr>
          </w:p>
        </w:tc>
      </w:tr>
    </w:tbl>
    <w:p w:rsidR="009515F9" w:rsidRPr="00507AA2" w:rsidP="00AE4BB7">
      <w:pPr>
        <w:spacing w:line="288" w:lineRule="auto"/>
        <w:ind w:left="-284"/>
        <w:rPr>
          <w:sz w:val="12"/>
          <w:szCs w:val="16"/>
          <w:rtl/>
        </w:rPr>
      </w:pPr>
    </w:p>
    <w:p w:rsidR="00507AA2" w:rsidP="00AE4BB7">
      <w:pPr>
        <w:spacing w:line="288" w:lineRule="auto"/>
        <w:ind w:left="-284"/>
        <w:rPr>
          <w:sz w:val="12"/>
          <w:szCs w:val="16"/>
          <w:rtl/>
        </w:rPr>
      </w:pPr>
    </w:p>
    <w:p w:rsidR="00507AA2" w:rsidP="00AE4BB7">
      <w:pPr>
        <w:spacing w:line="288" w:lineRule="auto"/>
        <w:ind w:left="-284"/>
        <w:rPr>
          <w:sz w:val="12"/>
          <w:szCs w:val="16"/>
          <w:rtl/>
        </w:rPr>
      </w:pPr>
    </w:p>
    <w:p w:rsidR="00507AA2" w:rsidP="00AE4BB7">
      <w:pPr>
        <w:spacing w:line="288" w:lineRule="auto"/>
        <w:ind w:left="-284"/>
        <w:rPr>
          <w:sz w:val="12"/>
          <w:szCs w:val="16"/>
          <w:rtl/>
        </w:rPr>
      </w:pPr>
    </w:p>
    <w:p w:rsidR="009515F9" w:rsidRPr="004B2FF6" w:rsidP="00AE4BB7">
      <w:pPr>
        <w:spacing w:line="288" w:lineRule="auto"/>
        <w:ind w:left="-284"/>
        <w:rPr>
          <w:sz w:val="12"/>
          <w:szCs w:val="16"/>
          <w:rtl/>
        </w:rPr>
      </w:pPr>
    </w:p>
    <w:p w:rsidR="00AE4BB7" w:rsidRPr="005F4A6D" w:rsidP="00AE4BB7">
      <w:pPr>
        <w:spacing w:line="288" w:lineRule="auto"/>
        <w:ind w:left="-1"/>
        <w:rPr>
          <w:sz w:val="10"/>
          <w:szCs w:val="14"/>
          <w:rtl/>
        </w:rPr>
      </w:pPr>
    </w:p>
    <w:p w:rsidR="00AE4BB7" w:rsidRPr="00BE22D7" w:rsidP="00AE4BB7">
      <w:pPr>
        <w:spacing w:line="288" w:lineRule="auto"/>
        <w:ind w:left="-1"/>
        <w:rPr>
          <w:sz w:val="18"/>
          <w:szCs w:val="22"/>
          <w:rtl/>
        </w:rPr>
      </w:pPr>
    </w:p>
    <w:p w:rsidR="00AE4BB7" w:rsidP="00AE4BB7">
      <w:pPr>
        <w:ind w:left="-1"/>
      </w:pPr>
      <w:r>
        <w:br w:type="page"/>
      </w:r>
    </w:p>
    <w:tbl>
      <w:tblPr>
        <w:tblStyle w:val="TableGrid"/>
        <w:tblpPr w:leftFromText="180" w:rightFromText="180" w:vertAnchor="text" w:tblpXSpec="center" w:tblpY="1"/>
        <w:tblOverlap w:val="never"/>
        <w:bidiVisual/>
        <w:tblW w:w="8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65"/>
      </w:tblGrid>
      <w:tr w:rsidTr="009E37AC">
        <w:tblPrEx>
          <w:tblW w:w="8865" w:type="dxa"/>
          <w:tblLayout w:type="fixed"/>
          <w:tblLook w:val="04A0"/>
        </w:tblPrEx>
        <w:trPr>
          <w:trHeight w:val="495"/>
        </w:trPr>
        <w:tc>
          <w:tcPr>
            <w:tcW w:w="8865" w:type="dxa"/>
            <w:vAlign w:val="center"/>
          </w:tcPr>
          <w:p w:rsidR="00AE4BB7" w:rsidRPr="006C4033" w:rsidP="004E0191">
            <w:pPr>
              <w:spacing w:line="288" w:lineRule="auto"/>
              <w:ind w:left="-1"/>
              <w:jc w:val="left"/>
              <w:rPr>
                <w:rFonts w:ascii="Tahoma" w:hAnsi="Tahoma" w:cs="Tahoma"/>
                <w:sz w:val="17"/>
                <w:szCs w:val="17"/>
                <w:rtl/>
              </w:rPr>
            </w:pPr>
            <w:r w:rsidRPr="006C4033">
              <w:rPr>
                <w:rFonts w:ascii="Tahoma" w:hAnsi="Tahoma" w:cs="Tahoma"/>
                <w:noProof/>
              </w:rPr>
              <w:drawing>
                <wp:inline distT="0" distB="0" distL="0" distR="0">
                  <wp:extent cx="6482715" cy="497814"/>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תקציר תמונה 3.3.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902444" cy="530045"/>
                          </a:xfrm>
                          <a:prstGeom prst="rect">
                            <a:avLst/>
                          </a:prstGeom>
                        </pic:spPr>
                      </pic:pic>
                    </a:graphicData>
                  </a:graphic>
                </wp:inline>
              </w:drawing>
            </w:r>
          </w:p>
        </w:tc>
      </w:tr>
    </w:tbl>
    <w:p w:rsidR="004B2FF6" w:rsidP="0089702D">
      <w:pPr>
        <w:pStyle w:val="73"/>
        <w:spacing w:after="120"/>
        <w:ind w:left="851"/>
        <w:rPr>
          <w:noProof/>
          <w:rtl/>
        </w:rPr>
      </w:pPr>
      <w:r w:rsidRPr="00084768">
        <w:rPr>
          <w:noProof/>
          <w:sz w:val="19"/>
          <w:szCs w:val="19"/>
        </w:rPr>
        <w:drawing>
          <wp:anchor distT="0" distB="0" distL="71755" distR="71755" simplePos="0" relativeHeight="251658240" behindDoc="0" locked="0" layoutInCell="1" allowOverlap="1">
            <wp:simplePos x="0" y="0"/>
            <wp:positionH relativeFrom="column">
              <wp:posOffset>5271135</wp:posOffset>
            </wp:positionH>
            <wp:positionV relativeFrom="paragraph">
              <wp:posOffset>550650</wp:posOffset>
            </wp:positionV>
            <wp:extent cx="384175" cy="384175"/>
            <wp:effectExtent l="0" t="0" r="0" b="0"/>
            <wp:wrapSquare wrapText="bothSides"/>
            <wp:docPr id="25" name="תמונה 3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5" name="תמונה 33">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84175" cy="384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FD7" w:rsidR="00D85FD7">
        <w:rPr>
          <w:rFonts w:eastAsia="Calibri"/>
          <w:color w:val="auto"/>
          <w:sz w:val="19"/>
          <w:szCs w:val="19"/>
          <w:rtl/>
        </w:rPr>
        <w:t xml:space="preserve">בחודשים דצמבר 2023 עד יולי 2024 בדק משרד מבקר המדינה את הפינוי והקליטה של המפונים במלחמת חרבות ברזל. הביקורת נעשתה ב-13 רשויות מקומיות מפונות וכן ב-14 רשויות שקלטו בתחומיהן מפונים: העיריות </w:t>
      </w:r>
      <w:r w:rsidRPr="00D85FD7" w:rsidR="00D85FD7">
        <w:rPr>
          <w:rFonts w:eastAsia="Calibri"/>
          <w:b/>
          <w:bCs/>
          <w:color w:val="auto"/>
          <w:sz w:val="19"/>
          <w:szCs w:val="19"/>
          <w:rtl/>
        </w:rPr>
        <w:t>אילת</w:t>
      </w:r>
      <w:r w:rsidRPr="00D85FD7" w:rsidR="00D85FD7">
        <w:rPr>
          <w:rFonts w:eastAsia="Calibri"/>
          <w:color w:val="auto"/>
          <w:sz w:val="19"/>
          <w:szCs w:val="19"/>
          <w:rtl/>
        </w:rPr>
        <w:t xml:space="preserve">, </w:t>
      </w:r>
      <w:r w:rsidRPr="00D85FD7" w:rsidR="00D85FD7">
        <w:rPr>
          <w:rFonts w:eastAsia="Calibri"/>
          <w:b/>
          <w:bCs/>
          <w:color w:val="auto"/>
          <w:sz w:val="19"/>
          <w:szCs w:val="19"/>
          <w:rtl/>
        </w:rPr>
        <w:t>הרצלייה</w:t>
      </w:r>
      <w:r w:rsidRPr="00D85FD7" w:rsidR="00D85FD7">
        <w:rPr>
          <w:rFonts w:eastAsia="Calibri"/>
          <w:color w:val="auto"/>
          <w:sz w:val="19"/>
          <w:szCs w:val="19"/>
          <w:rtl/>
        </w:rPr>
        <w:t xml:space="preserve">, </w:t>
      </w:r>
      <w:r w:rsidRPr="00D85FD7" w:rsidR="00D85FD7">
        <w:rPr>
          <w:rFonts w:eastAsia="Calibri"/>
          <w:b/>
          <w:bCs/>
          <w:color w:val="auto"/>
          <w:sz w:val="19"/>
          <w:szCs w:val="19"/>
          <w:rtl/>
        </w:rPr>
        <w:t>חיפה</w:t>
      </w:r>
      <w:r w:rsidRPr="00D85FD7" w:rsidR="00D85FD7">
        <w:rPr>
          <w:rFonts w:eastAsia="Calibri"/>
          <w:color w:val="auto"/>
          <w:sz w:val="19"/>
          <w:szCs w:val="19"/>
          <w:rtl/>
        </w:rPr>
        <w:t xml:space="preserve">, </w:t>
      </w:r>
      <w:r w:rsidRPr="00D85FD7" w:rsidR="00D85FD7">
        <w:rPr>
          <w:rFonts w:eastAsia="Calibri"/>
          <w:b/>
          <w:bCs/>
          <w:color w:val="auto"/>
          <w:sz w:val="19"/>
          <w:szCs w:val="19"/>
          <w:rtl/>
        </w:rPr>
        <w:t>טבריה</w:t>
      </w:r>
      <w:r w:rsidRPr="00D85FD7" w:rsidR="00D85FD7">
        <w:rPr>
          <w:rFonts w:eastAsia="Calibri"/>
          <w:color w:val="auto"/>
          <w:sz w:val="19"/>
          <w:szCs w:val="19"/>
          <w:rtl/>
        </w:rPr>
        <w:t xml:space="preserve">, </w:t>
      </w:r>
      <w:r w:rsidRPr="00D85FD7" w:rsidR="00D85FD7">
        <w:rPr>
          <w:rFonts w:eastAsia="Calibri"/>
          <w:b/>
          <w:bCs/>
          <w:color w:val="auto"/>
          <w:sz w:val="19"/>
          <w:szCs w:val="19"/>
          <w:rtl/>
        </w:rPr>
        <w:t>ירושלים</w:t>
      </w:r>
      <w:r w:rsidRPr="00D85FD7" w:rsidR="00D85FD7">
        <w:rPr>
          <w:rFonts w:eastAsia="Calibri"/>
          <w:color w:val="auto"/>
          <w:sz w:val="19"/>
          <w:szCs w:val="19"/>
          <w:rtl/>
        </w:rPr>
        <w:t xml:space="preserve">, </w:t>
      </w:r>
      <w:r w:rsidRPr="00D85FD7" w:rsidR="00D85FD7">
        <w:rPr>
          <w:rFonts w:eastAsia="Calibri"/>
          <w:b/>
          <w:bCs/>
          <w:color w:val="auto"/>
          <w:sz w:val="19"/>
          <w:szCs w:val="19"/>
          <w:rtl/>
        </w:rPr>
        <w:t>נוף הגליל</w:t>
      </w:r>
      <w:r w:rsidRPr="00D85FD7" w:rsidR="00D85FD7">
        <w:rPr>
          <w:rFonts w:eastAsia="Calibri"/>
          <w:color w:val="auto"/>
          <w:sz w:val="19"/>
          <w:szCs w:val="19"/>
          <w:rtl/>
        </w:rPr>
        <w:t xml:space="preserve">, </w:t>
      </w:r>
      <w:r w:rsidRPr="00D85FD7" w:rsidR="00D85FD7">
        <w:rPr>
          <w:rFonts w:eastAsia="Calibri"/>
          <w:b/>
          <w:bCs/>
          <w:color w:val="auto"/>
          <w:sz w:val="19"/>
          <w:szCs w:val="19"/>
          <w:rtl/>
        </w:rPr>
        <w:t>נתניה</w:t>
      </w:r>
      <w:r w:rsidRPr="00D85FD7" w:rsidR="00D85FD7">
        <w:rPr>
          <w:rFonts w:eastAsia="Calibri"/>
          <w:color w:val="auto"/>
          <w:sz w:val="19"/>
          <w:szCs w:val="19"/>
          <w:rtl/>
        </w:rPr>
        <w:t xml:space="preserve">, </w:t>
      </w:r>
      <w:r w:rsidRPr="00D85FD7" w:rsidR="00D85FD7">
        <w:rPr>
          <w:rFonts w:eastAsia="Calibri"/>
          <w:b/>
          <w:bCs/>
          <w:color w:val="auto"/>
          <w:sz w:val="19"/>
          <w:szCs w:val="19"/>
          <w:rtl/>
        </w:rPr>
        <w:t>רמת גן</w:t>
      </w:r>
      <w:r w:rsidRPr="00D85FD7" w:rsidR="00D85FD7">
        <w:rPr>
          <w:rFonts w:eastAsia="Calibri"/>
          <w:color w:val="auto"/>
          <w:sz w:val="19"/>
          <w:szCs w:val="19"/>
          <w:rtl/>
        </w:rPr>
        <w:t xml:space="preserve">, </w:t>
      </w:r>
      <w:r w:rsidRPr="00D85FD7" w:rsidR="00D85FD7">
        <w:rPr>
          <w:rFonts w:eastAsia="Calibri"/>
          <w:b/>
          <w:bCs/>
          <w:color w:val="auto"/>
          <w:sz w:val="19"/>
          <w:szCs w:val="19"/>
          <w:rtl/>
        </w:rPr>
        <w:t>תל אביב-יפו</w:t>
      </w:r>
      <w:r w:rsidRPr="00D85FD7" w:rsidR="00D85FD7">
        <w:rPr>
          <w:rFonts w:eastAsia="Calibri"/>
          <w:color w:val="auto"/>
          <w:sz w:val="19"/>
          <w:szCs w:val="19"/>
          <w:rtl/>
        </w:rPr>
        <w:t xml:space="preserve">; המועצה המקומית </w:t>
      </w:r>
      <w:r w:rsidRPr="00D85FD7" w:rsidR="00D85FD7">
        <w:rPr>
          <w:rFonts w:eastAsia="Calibri"/>
          <w:b/>
          <w:bCs/>
          <w:color w:val="auto"/>
          <w:sz w:val="19"/>
          <w:szCs w:val="19"/>
          <w:rtl/>
        </w:rPr>
        <w:t>זיכרון יעקב</w:t>
      </w:r>
      <w:r w:rsidRPr="00D85FD7" w:rsidR="00D85FD7">
        <w:rPr>
          <w:rFonts w:eastAsia="Calibri"/>
          <w:color w:val="auto"/>
          <w:sz w:val="19"/>
          <w:szCs w:val="19"/>
          <w:rtl/>
        </w:rPr>
        <w:t xml:space="preserve">; והמועצות האזוריות </w:t>
      </w:r>
      <w:r w:rsidRPr="00D85FD7" w:rsidR="00D85FD7">
        <w:rPr>
          <w:rFonts w:eastAsia="Calibri"/>
          <w:b/>
          <w:bCs/>
          <w:color w:val="auto"/>
          <w:sz w:val="19"/>
          <w:szCs w:val="19"/>
          <w:rtl/>
        </w:rPr>
        <w:t>חוף הכרמל</w:t>
      </w:r>
      <w:r w:rsidRPr="00D85FD7" w:rsidR="00D85FD7">
        <w:rPr>
          <w:rFonts w:eastAsia="Calibri"/>
          <w:color w:val="auto"/>
          <w:sz w:val="19"/>
          <w:szCs w:val="19"/>
          <w:rtl/>
        </w:rPr>
        <w:t xml:space="preserve">, </w:t>
      </w:r>
      <w:r w:rsidRPr="00D85FD7" w:rsidR="00D85FD7">
        <w:rPr>
          <w:rFonts w:eastAsia="Calibri"/>
          <w:b/>
          <w:bCs/>
          <w:color w:val="auto"/>
          <w:sz w:val="19"/>
          <w:szCs w:val="19"/>
          <w:rtl/>
        </w:rPr>
        <w:t>מטה יהודה</w:t>
      </w:r>
      <w:r w:rsidRPr="00D85FD7" w:rsidR="00D85FD7">
        <w:rPr>
          <w:rFonts w:eastAsia="Calibri"/>
          <w:color w:val="auto"/>
          <w:sz w:val="19"/>
          <w:szCs w:val="19"/>
          <w:rtl/>
        </w:rPr>
        <w:t xml:space="preserve">, </w:t>
      </w:r>
      <w:r w:rsidRPr="00D85FD7" w:rsidR="00D85FD7">
        <w:rPr>
          <w:rFonts w:eastAsia="Calibri"/>
          <w:b/>
          <w:bCs/>
          <w:color w:val="auto"/>
          <w:sz w:val="19"/>
          <w:szCs w:val="19"/>
          <w:rtl/>
        </w:rPr>
        <w:t>עמק הירדן</w:t>
      </w:r>
      <w:r w:rsidRPr="00D85FD7" w:rsidR="00D85FD7">
        <w:rPr>
          <w:rFonts w:eastAsia="Calibri"/>
          <w:color w:val="auto"/>
          <w:sz w:val="19"/>
          <w:szCs w:val="19"/>
          <w:rtl/>
        </w:rPr>
        <w:t xml:space="preserve"> ו</w:t>
      </w:r>
      <w:r w:rsidRPr="00D85FD7" w:rsidR="00D85FD7">
        <w:rPr>
          <w:rFonts w:eastAsia="Calibri"/>
          <w:b/>
          <w:bCs/>
          <w:color w:val="auto"/>
          <w:sz w:val="19"/>
          <w:szCs w:val="19"/>
          <w:rtl/>
        </w:rPr>
        <w:t xml:space="preserve">תמר </w:t>
      </w:r>
      <w:r w:rsidRPr="00D85FD7" w:rsidR="00D85FD7">
        <w:rPr>
          <w:rFonts w:eastAsia="Calibri"/>
          <w:color w:val="auto"/>
          <w:sz w:val="19"/>
          <w:szCs w:val="19"/>
          <w:rtl/>
        </w:rPr>
        <w:t>(הרשויות הקולטות שנבדקו או הרשויות שנבדקו). פרק זה עוסק בהיערכות לקליטת אוכלוסייה ברשויות המקומיות האמורות. בדיקות השלמה נעשו ברשות החירום הלאומית שבמשרד הביטחון, בפיקוד העורף, במשרד הפנים, במשרד החינוך ובמשרד הרווחה והביטחון החברתי.</w:t>
      </w:r>
    </w:p>
    <w:p w:rsidR="004B2FF6" w:rsidRPr="0089702D" w:rsidP="004B2FF6">
      <w:pPr>
        <w:pStyle w:val="73"/>
        <w:ind w:left="851"/>
        <w:rPr>
          <w:noProof/>
          <w:sz w:val="2"/>
          <w:szCs w:val="2"/>
        </w:rPr>
      </w:pPr>
    </w:p>
    <w:p w:rsidR="00AE4BB7" w:rsidRPr="006C4033" w:rsidP="004E0191">
      <w:pPr>
        <w:pStyle w:val="73"/>
        <w:ind w:left="-1"/>
        <w:rPr>
          <w:noProof/>
          <w:rtl/>
        </w:rPr>
      </w:pPr>
      <w:r w:rsidRPr="006C4033">
        <w:rPr>
          <w:noProof/>
        </w:rPr>
        <w:drawing>
          <wp:inline distT="0" distB="0" distL="0" distR="0">
            <wp:extent cx="5685790" cy="5334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תקציר תמונה 2.2.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606362" cy="619761"/>
                    </a:xfrm>
                    <a:prstGeom prst="rect">
                      <a:avLst/>
                    </a:prstGeom>
                  </pic:spPr>
                </pic:pic>
              </a:graphicData>
            </a:graphic>
          </wp:inline>
        </w:drawing>
      </w:r>
    </w:p>
    <w:p w:rsidR="00AE4BB7" w:rsidRPr="00CF6518" w:rsidP="00EE67C7">
      <w:pPr>
        <w:spacing w:before="240" w:after="160"/>
        <w:rPr>
          <w:rtl/>
        </w:rPr>
      </w:pPr>
      <w:r>
        <w:rPr>
          <w:noProof/>
          <w:rtl/>
        </w:rPr>
        <w:drawing>
          <wp:inline distT="0" distB="0" distL="0" distR="0">
            <wp:extent cx="1981200" cy="190500"/>
            <wp:effectExtent l="0" t="0" r="0" b="0"/>
            <wp:docPr id="1310143038" name="תמונה 4" descr="ליקויים">
              <a:extLst xmlns:a="http://schemas.openxmlformats.org/drawingml/2006/main">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143038" name="תמונה 4" descr="ליקויים">
                      <a:extLst>
                        <a:ext xmlns:a="http://schemas.openxmlformats.org/drawingml/2006/main" uri="{C183D7F6-B498-43B3-948B-1728B52AA6E4}">
                          <adec:decorative xmlns:adec="http://schemas.microsoft.com/office/drawing/2017/decorative" val="0"/>
                        </a:ext>
                      </a:extLst>
                    </pic:cNvPr>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981200" cy="190500"/>
                    </a:xfrm>
                    <a:prstGeom prst="rect">
                      <a:avLst/>
                    </a:prstGeom>
                  </pic:spPr>
                </pic:pic>
              </a:graphicData>
            </a:graphic>
          </wp:inline>
        </w:drawing>
      </w:r>
    </w:p>
    <w:p w:rsidR="00D85FD7" w:rsidRPr="00E303A0" w:rsidP="0089702D">
      <w:pPr>
        <w:pStyle w:val="73"/>
        <w:numPr>
          <w:ilvl w:val="0"/>
          <w:numId w:val="25"/>
        </w:numPr>
        <w:spacing w:after="160"/>
        <w:rPr>
          <w:sz w:val="19"/>
          <w:szCs w:val="19"/>
        </w:rPr>
      </w:pPr>
      <w:r w:rsidRPr="00E303A0">
        <w:rPr>
          <w:b/>
          <w:bCs/>
          <w:sz w:val="19"/>
          <w:szCs w:val="19"/>
          <w:rtl/>
        </w:rPr>
        <w:t>מענה לתרחישי הייחוס ברשויות הקולטות שנבדקו</w:t>
      </w:r>
      <w:r w:rsidRPr="00E303A0">
        <w:rPr>
          <w:rtl/>
        </w:rPr>
        <w:t xml:space="preserve"> </w:t>
      </w:r>
      <w:r w:rsidRPr="00E303A0">
        <w:rPr>
          <w:sz w:val="19"/>
          <w:szCs w:val="19"/>
          <w:rtl/>
        </w:rPr>
        <w:t xml:space="preserve">- לעיריות </w:t>
      </w:r>
      <w:r w:rsidRPr="00E303A0">
        <w:rPr>
          <w:b/>
          <w:bCs/>
          <w:sz w:val="19"/>
          <w:szCs w:val="19"/>
          <w:rtl/>
        </w:rPr>
        <w:t>אילת</w:t>
      </w:r>
      <w:r w:rsidRPr="00E303A0">
        <w:rPr>
          <w:sz w:val="19"/>
          <w:szCs w:val="19"/>
          <w:rtl/>
        </w:rPr>
        <w:t xml:space="preserve">, </w:t>
      </w:r>
      <w:r w:rsidRPr="00E303A0">
        <w:rPr>
          <w:b/>
          <w:bCs/>
          <w:sz w:val="19"/>
          <w:szCs w:val="19"/>
          <w:rtl/>
        </w:rPr>
        <w:t>הרצלייה</w:t>
      </w:r>
      <w:r w:rsidRPr="00E303A0">
        <w:rPr>
          <w:sz w:val="19"/>
          <w:szCs w:val="19"/>
          <w:rtl/>
        </w:rPr>
        <w:t>,</w:t>
      </w:r>
      <w:r w:rsidRPr="00E303A0">
        <w:rPr>
          <w:b/>
          <w:bCs/>
          <w:sz w:val="19"/>
          <w:szCs w:val="19"/>
          <w:rtl/>
        </w:rPr>
        <w:t xml:space="preserve"> חיפה</w:t>
      </w:r>
      <w:r w:rsidRPr="00E303A0">
        <w:rPr>
          <w:sz w:val="19"/>
          <w:szCs w:val="19"/>
          <w:rtl/>
        </w:rPr>
        <w:t xml:space="preserve">, </w:t>
      </w:r>
      <w:r w:rsidRPr="00E303A0">
        <w:rPr>
          <w:b/>
          <w:bCs/>
          <w:sz w:val="19"/>
          <w:szCs w:val="19"/>
          <w:rtl/>
        </w:rPr>
        <w:t>טבריה</w:t>
      </w:r>
      <w:r w:rsidRPr="00E303A0">
        <w:rPr>
          <w:sz w:val="19"/>
          <w:szCs w:val="19"/>
          <w:rtl/>
        </w:rPr>
        <w:t xml:space="preserve">, </w:t>
      </w:r>
      <w:r w:rsidRPr="00E303A0">
        <w:rPr>
          <w:b/>
          <w:bCs/>
          <w:sz w:val="19"/>
          <w:szCs w:val="19"/>
          <w:rtl/>
        </w:rPr>
        <w:t>ירושלים</w:t>
      </w:r>
      <w:r w:rsidRPr="00E303A0">
        <w:rPr>
          <w:sz w:val="19"/>
          <w:szCs w:val="19"/>
          <w:rtl/>
        </w:rPr>
        <w:t xml:space="preserve">, </w:t>
      </w:r>
      <w:r w:rsidRPr="00E303A0">
        <w:rPr>
          <w:b/>
          <w:bCs/>
          <w:sz w:val="19"/>
          <w:szCs w:val="19"/>
          <w:rtl/>
        </w:rPr>
        <w:t>נתניה</w:t>
      </w:r>
      <w:r w:rsidRPr="00E303A0">
        <w:rPr>
          <w:sz w:val="19"/>
          <w:szCs w:val="19"/>
          <w:rtl/>
        </w:rPr>
        <w:t xml:space="preserve">, </w:t>
      </w:r>
      <w:r w:rsidRPr="00E303A0">
        <w:rPr>
          <w:b/>
          <w:bCs/>
          <w:sz w:val="19"/>
          <w:szCs w:val="19"/>
          <w:rtl/>
        </w:rPr>
        <w:t>רמת גן</w:t>
      </w:r>
      <w:r w:rsidRPr="00E303A0">
        <w:rPr>
          <w:sz w:val="19"/>
          <w:szCs w:val="19"/>
          <w:rtl/>
        </w:rPr>
        <w:t xml:space="preserve"> ו</w:t>
      </w:r>
      <w:r w:rsidRPr="00E303A0">
        <w:rPr>
          <w:b/>
          <w:bCs/>
          <w:sz w:val="19"/>
          <w:szCs w:val="19"/>
          <w:rtl/>
        </w:rPr>
        <w:t xml:space="preserve">תל אביב-יפו </w:t>
      </w:r>
      <w:r w:rsidRPr="00E303A0">
        <w:rPr>
          <w:sz w:val="19"/>
          <w:szCs w:val="19"/>
          <w:rtl/>
        </w:rPr>
        <w:t xml:space="preserve">ולמועצות האזוריות </w:t>
      </w:r>
      <w:r w:rsidRPr="00E303A0">
        <w:rPr>
          <w:b/>
          <w:bCs/>
          <w:sz w:val="19"/>
          <w:szCs w:val="19"/>
          <w:rtl/>
        </w:rPr>
        <w:t>חוף הכרמל</w:t>
      </w:r>
      <w:r w:rsidRPr="00E303A0">
        <w:rPr>
          <w:sz w:val="19"/>
          <w:szCs w:val="19"/>
          <w:rtl/>
        </w:rPr>
        <w:t>,</w:t>
      </w:r>
      <w:r w:rsidRPr="00E303A0">
        <w:rPr>
          <w:b/>
          <w:bCs/>
          <w:sz w:val="19"/>
          <w:szCs w:val="19"/>
          <w:rtl/>
        </w:rPr>
        <w:t xml:space="preserve"> מטה יהודה</w:t>
      </w:r>
      <w:r w:rsidRPr="00E303A0">
        <w:rPr>
          <w:sz w:val="19"/>
          <w:szCs w:val="19"/>
          <w:rtl/>
        </w:rPr>
        <w:t xml:space="preserve"> ו</w:t>
      </w:r>
      <w:r w:rsidRPr="00E303A0">
        <w:rPr>
          <w:b/>
          <w:bCs/>
          <w:sz w:val="19"/>
          <w:szCs w:val="19"/>
          <w:rtl/>
        </w:rPr>
        <w:t>תמר</w:t>
      </w:r>
      <w:r w:rsidRPr="00E303A0">
        <w:rPr>
          <w:sz w:val="19"/>
          <w:szCs w:val="19"/>
          <w:rtl/>
        </w:rPr>
        <w:t xml:space="preserve"> הייתה לפני פרוץ המלחמה תוכנית מענה לתרחיש ייחוס רשותי כנדרש בתיק החירום הרשותי, הכוללת מענה לקליטת אוכלוסייה ללא קורת גג. למועצה המקומית </w:t>
      </w:r>
      <w:r w:rsidRPr="00E303A0">
        <w:rPr>
          <w:b/>
          <w:bCs/>
          <w:sz w:val="19"/>
          <w:szCs w:val="19"/>
          <w:rtl/>
        </w:rPr>
        <w:t>זיכרון יעקב</w:t>
      </w:r>
      <w:r w:rsidRPr="00E303A0">
        <w:rPr>
          <w:sz w:val="19"/>
          <w:szCs w:val="19"/>
          <w:rtl/>
        </w:rPr>
        <w:t xml:space="preserve"> הייתה תוכנית מענה שאינה כוללת התייחסות לקליטת אוכלוסייה. לעיריית </w:t>
      </w:r>
      <w:r w:rsidRPr="00E303A0">
        <w:rPr>
          <w:b/>
          <w:bCs/>
          <w:sz w:val="19"/>
          <w:szCs w:val="19"/>
          <w:rtl/>
        </w:rPr>
        <w:t>נוף הגליל</w:t>
      </w:r>
      <w:r w:rsidRPr="00E303A0">
        <w:rPr>
          <w:sz w:val="19"/>
          <w:szCs w:val="19"/>
          <w:rtl/>
        </w:rPr>
        <w:t xml:space="preserve"> ולמועצה האזורית </w:t>
      </w:r>
      <w:r w:rsidRPr="00E303A0">
        <w:rPr>
          <w:b/>
          <w:bCs/>
          <w:sz w:val="19"/>
          <w:szCs w:val="19"/>
          <w:rtl/>
        </w:rPr>
        <w:t>עמק הירדן</w:t>
      </w:r>
      <w:r w:rsidRPr="00E303A0">
        <w:rPr>
          <w:sz w:val="19"/>
          <w:szCs w:val="19"/>
          <w:rtl/>
        </w:rPr>
        <w:t xml:space="preserve"> לא הי</w:t>
      </w:r>
      <w:r w:rsidRPr="00E303A0">
        <w:rPr>
          <w:sz w:val="19"/>
          <w:szCs w:val="19"/>
          <w:rtl/>
        </w:rPr>
        <w:t>יתה תוכנית מענה לתרחיש הייחוס הרשותי בשעת חירום. עם זאת, נמצא כי תוכניות המענה שנערכו התייחסו ככלל לפינוי אוכלוסייה למתקני קליטה מקומיים ולא למתקני קליטה ארציים, והתייחסו לפינוי לזמן קצר בלבד ולא לזמן ממושך ומשכך לא היו רלוונטיות למימוש במהלך מלחמת חרבות ב</w:t>
      </w:r>
      <w:r w:rsidRPr="00E303A0">
        <w:rPr>
          <w:sz w:val="19"/>
          <w:szCs w:val="19"/>
          <w:rtl/>
        </w:rPr>
        <w:t>רזל.</w:t>
      </w:r>
    </w:p>
    <w:p w:rsidR="00D85FD7" w:rsidRPr="00E303A0" w:rsidP="00C61121">
      <w:pPr>
        <w:pStyle w:val="73"/>
        <w:numPr>
          <w:ilvl w:val="0"/>
          <w:numId w:val="25"/>
        </w:numPr>
        <w:rPr>
          <w:sz w:val="19"/>
          <w:szCs w:val="19"/>
        </w:rPr>
      </w:pPr>
      <w:r w:rsidRPr="00E303A0">
        <w:rPr>
          <w:b/>
          <w:bCs/>
          <w:sz w:val="19"/>
          <w:szCs w:val="19"/>
          <w:rtl/>
        </w:rPr>
        <w:t xml:space="preserve">ביקורת רשות פס"ח במתקני הקליטה הארציים בתחומן של הרשויות שנבדקו </w:t>
      </w:r>
      <w:r w:rsidRPr="00E303A0">
        <w:rPr>
          <w:sz w:val="19"/>
          <w:szCs w:val="19"/>
          <w:rtl/>
        </w:rPr>
        <w:t>- אף שנוהלי פס"ח 23</w:t>
      </w:r>
      <w:r>
        <w:rPr>
          <w:rStyle w:val="FootnoteReference1"/>
          <w:sz w:val="19"/>
          <w:szCs w:val="19"/>
          <w:rtl/>
        </w:rPr>
        <w:footnoteReference w:id="2"/>
      </w:r>
      <w:r w:rsidRPr="00E303A0">
        <w:rPr>
          <w:sz w:val="19"/>
          <w:szCs w:val="19"/>
          <w:rtl/>
        </w:rPr>
        <w:t xml:space="preserve"> ו-24</w:t>
      </w:r>
      <w:r>
        <w:rPr>
          <w:rStyle w:val="FootnoteReference1"/>
          <w:sz w:val="19"/>
          <w:szCs w:val="19"/>
          <w:rtl/>
        </w:rPr>
        <w:footnoteReference w:id="3"/>
      </w:r>
      <w:r w:rsidRPr="00E303A0">
        <w:rPr>
          <w:sz w:val="19"/>
          <w:szCs w:val="19"/>
          <w:rtl/>
        </w:rPr>
        <w:t xml:space="preserve"> קובעים את החובה לבצע ביקורת אחת לשנתיים, נמצא כי משנת 2022 ועד ינואר 2024 ערכה רשות פס"ח ביקורות ל-37 מתוך 41 מתקני הקליטה הארציים שאותרו ברשויות הקולטות שנבדקו</w:t>
      </w:r>
      <w:r w:rsidRPr="00E303A0">
        <w:rPr>
          <w:sz w:val="19"/>
          <w:szCs w:val="19"/>
          <w:rtl/>
        </w:rPr>
        <w:t xml:space="preserve">. לארבעת מתקני הקליטה הארציים האחרים - בעיריית </w:t>
      </w:r>
      <w:r w:rsidRPr="00E303A0">
        <w:rPr>
          <w:b/>
          <w:bCs/>
          <w:sz w:val="19"/>
          <w:szCs w:val="19"/>
          <w:rtl/>
        </w:rPr>
        <w:t>ירושלים</w:t>
      </w:r>
      <w:r w:rsidRPr="00E303A0">
        <w:rPr>
          <w:sz w:val="19"/>
          <w:szCs w:val="19"/>
          <w:rtl/>
        </w:rPr>
        <w:t xml:space="preserve"> ובמועצה האזורית </w:t>
      </w:r>
      <w:r w:rsidRPr="00E303A0">
        <w:rPr>
          <w:b/>
          <w:bCs/>
          <w:sz w:val="19"/>
          <w:szCs w:val="19"/>
          <w:rtl/>
        </w:rPr>
        <w:t>מטה יהודה</w:t>
      </w:r>
      <w:r w:rsidRPr="00E303A0">
        <w:rPr>
          <w:sz w:val="19"/>
          <w:szCs w:val="19"/>
          <w:rtl/>
        </w:rPr>
        <w:t xml:space="preserve"> - היא ערכה ביקורות לאחרונה בשנים 2020 ו-2021 בהתאמה. יוצא אפוא שמרבית מתקני האירוח שקלטו מפונים </w:t>
      </w:r>
      <w:r w:rsidRPr="00E303A0">
        <w:rPr>
          <w:sz w:val="19"/>
          <w:szCs w:val="19"/>
          <w:rtl/>
        </w:rPr>
        <w:t xml:space="preserve">בפועל במלחמה לא היו כפופים מבעוד מועד לביקורת מוכנות לשעת חירום על ידי פס"ח או </w:t>
      </w:r>
      <w:r w:rsidRPr="00E303A0">
        <w:rPr>
          <w:sz w:val="19"/>
          <w:szCs w:val="19"/>
          <w:rtl/>
        </w:rPr>
        <w:t xml:space="preserve">על ידי כל גורם אחר. </w:t>
      </w:r>
    </w:p>
    <w:p w:rsidR="00D85FD7" w:rsidRPr="00E303A0" w:rsidP="00C61121">
      <w:pPr>
        <w:pStyle w:val="73"/>
        <w:numPr>
          <w:ilvl w:val="0"/>
          <w:numId w:val="25"/>
        </w:numPr>
        <w:rPr>
          <w:sz w:val="19"/>
          <w:szCs w:val="19"/>
        </w:rPr>
      </w:pPr>
      <w:bookmarkStart w:id="2" w:name="_Hlk179805702"/>
      <w:r w:rsidRPr="00E303A0">
        <w:rPr>
          <w:b/>
          <w:bCs/>
          <w:sz w:val="19"/>
          <w:szCs w:val="19"/>
          <w:rtl/>
        </w:rPr>
        <w:t xml:space="preserve">הדרכת סגל מתקן קליטה ארצי ותרגול מתקני הקליטה הארציים </w:t>
      </w:r>
      <w:r w:rsidRPr="00E303A0">
        <w:rPr>
          <w:sz w:val="19"/>
          <w:szCs w:val="19"/>
          <w:rtl/>
        </w:rPr>
        <w:t xml:space="preserve">- </w:t>
      </w:r>
      <w:bookmarkEnd w:id="2"/>
      <w:r w:rsidRPr="00E303A0">
        <w:rPr>
          <w:sz w:val="19"/>
          <w:szCs w:val="19"/>
          <w:rtl/>
        </w:rPr>
        <w:t>בניגוד לדרישות הנהלים של אגף פס"ח, לפיהן יש לבצע הדרכה פרונטלית לחברי הסגל של מתקני הקליטה אחת לשלוש שנים ולעבור הכשרה באמצעות לומדה ייעודית אחת לשנה, אגף פס"ח לא יזם הדרכות לחברי סגל המתקנים הארציים ולא הפיץ לומדה ייעודית כנדרש. הדרכות כאמור חשובות גם כדי</w:t>
      </w:r>
      <w:r w:rsidRPr="00E303A0">
        <w:rPr>
          <w:sz w:val="19"/>
          <w:szCs w:val="19"/>
          <w:rtl/>
        </w:rPr>
        <w:t xml:space="preserve"> ללמד את אגף פס"ח אודות הקשיים שחברי הסגל עשויים להיתקל בהם בזמן אמת או לגבי בעיות שעשויות להתעורר בממשקים בין מתקני הקליטה הארציים לבין הרשויות המקומיות או השלטון המרכזי במצב חירום ולאפשר לו היערך לכך. רשות פס"ח גם לא תרגלה את השימוש במתקנים אלו, למעט בכפ</w:t>
      </w:r>
      <w:r w:rsidRPr="00E303A0">
        <w:rPr>
          <w:sz w:val="19"/>
          <w:szCs w:val="19"/>
          <w:rtl/>
        </w:rPr>
        <w:t xml:space="preserve">רי נוער לעיתים מזומנות, על אף חשיבותו של התרגול לתפקוד יעיל בשעת חירום. אי-ביצוע פעילויות של תרגול והדרכה עלול לפגוע בכשירות מערך הקליטה. </w:t>
      </w:r>
    </w:p>
    <w:p w:rsidR="00D85FD7" w:rsidRPr="00E303A0" w:rsidP="00C61121">
      <w:pPr>
        <w:pStyle w:val="73"/>
        <w:numPr>
          <w:ilvl w:val="0"/>
          <w:numId w:val="25"/>
        </w:numPr>
        <w:rPr>
          <w:sz w:val="19"/>
          <w:szCs w:val="19"/>
        </w:rPr>
      </w:pPr>
      <w:r w:rsidRPr="00E303A0">
        <w:rPr>
          <w:b/>
          <w:bCs/>
          <w:sz w:val="19"/>
          <w:szCs w:val="19"/>
          <w:rtl/>
        </w:rPr>
        <w:t xml:space="preserve">תוכנית מענה רשותי לפרט לאוכלוסייה הנקלטת </w:t>
      </w:r>
      <w:r w:rsidRPr="00E303A0">
        <w:rPr>
          <w:sz w:val="19"/>
          <w:szCs w:val="19"/>
          <w:rtl/>
        </w:rPr>
        <w:t>- נוהל פס"ח 24, מחייב את הרשויות המקומיות להכין תוכנית מענה לאוכלוסייה שנקלט</w:t>
      </w:r>
      <w:r w:rsidRPr="00E303A0">
        <w:rPr>
          <w:sz w:val="19"/>
          <w:szCs w:val="19"/>
          <w:rtl/>
        </w:rPr>
        <w:t xml:space="preserve">ת במתקני הקליטה הנמצאים בתחומה, לרבות לינה וכלכלה (במתקנים המקומיים), כביסה ושירותים מוניציפליים המונגשים למתקן. עיריית </w:t>
      </w:r>
      <w:r w:rsidRPr="00E303A0">
        <w:rPr>
          <w:b/>
          <w:bCs/>
          <w:sz w:val="19"/>
          <w:szCs w:val="19"/>
          <w:rtl/>
        </w:rPr>
        <w:t xml:space="preserve">נתניה </w:t>
      </w:r>
      <w:r w:rsidRPr="00E303A0">
        <w:rPr>
          <w:sz w:val="19"/>
          <w:szCs w:val="19"/>
          <w:rtl/>
        </w:rPr>
        <w:t xml:space="preserve">והמועצה האזורית </w:t>
      </w:r>
      <w:r w:rsidRPr="00E303A0">
        <w:rPr>
          <w:b/>
          <w:bCs/>
          <w:sz w:val="19"/>
          <w:szCs w:val="19"/>
          <w:rtl/>
        </w:rPr>
        <w:t>עמק הירדן</w:t>
      </w:r>
      <w:r w:rsidRPr="00E303A0">
        <w:rPr>
          <w:sz w:val="19"/>
          <w:szCs w:val="19"/>
          <w:rtl/>
        </w:rPr>
        <w:t xml:space="preserve"> לא הכינו תוכנית מענה לפרט כנדרש. עוד עלה כי העיריות </w:t>
      </w:r>
      <w:r w:rsidRPr="00E303A0">
        <w:rPr>
          <w:b/>
          <w:bCs/>
          <w:sz w:val="19"/>
          <w:szCs w:val="19"/>
          <w:rtl/>
        </w:rPr>
        <w:t>הרצלייה</w:t>
      </w:r>
      <w:r w:rsidRPr="00E303A0">
        <w:rPr>
          <w:sz w:val="19"/>
          <w:szCs w:val="19"/>
          <w:rtl/>
        </w:rPr>
        <w:t xml:space="preserve">, </w:t>
      </w:r>
      <w:r w:rsidRPr="00E303A0">
        <w:rPr>
          <w:b/>
          <w:bCs/>
          <w:sz w:val="19"/>
          <w:szCs w:val="19"/>
          <w:rtl/>
        </w:rPr>
        <w:t>חיפה</w:t>
      </w:r>
      <w:r w:rsidRPr="00E303A0">
        <w:rPr>
          <w:sz w:val="19"/>
          <w:szCs w:val="19"/>
          <w:rtl/>
        </w:rPr>
        <w:t xml:space="preserve">, </w:t>
      </w:r>
      <w:r w:rsidRPr="00E303A0">
        <w:rPr>
          <w:b/>
          <w:bCs/>
          <w:sz w:val="19"/>
          <w:szCs w:val="19"/>
          <w:rtl/>
        </w:rPr>
        <w:t>טבריה</w:t>
      </w:r>
      <w:r w:rsidRPr="00E303A0">
        <w:rPr>
          <w:sz w:val="19"/>
          <w:szCs w:val="19"/>
          <w:rtl/>
        </w:rPr>
        <w:t xml:space="preserve">, </w:t>
      </w:r>
      <w:r w:rsidRPr="00E303A0">
        <w:rPr>
          <w:b/>
          <w:bCs/>
          <w:sz w:val="19"/>
          <w:szCs w:val="19"/>
          <w:rtl/>
        </w:rPr>
        <w:t>ירושלים</w:t>
      </w:r>
      <w:r w:rsidRPr="00E303A0">
        <w:rPr>
          <w:sz w:val="19"/>
          <w:szCs w:val="19"/>
          <w:rtl/>
        </w:rPr>
        <w:t xml:space="preserve">, </w:t>
      </w:r>
      <w:r w:rsidRPr="00E303A0">
        <w:rPr>
          <w:b/>
          <w:bCs/>
          <w:sz w:val="19"/>
          <w:szCs w:val="19"/>
          <w:rtl/>
        </w:rPr>
        <w:t>נוף הגליל</w:t>
      </w:r>
      <w:r w:rsidRPr="00E303A0">
        <w:rPr>
          <w:sz w:val="19"/>
          <w:szCs w:val="19"/>
          <w:rtl/>
        </w:rPr>
        <w:t xml:space="preserve">, </w:t>
      </w:r>
      <w:r w:rsidRPr="00E303A0">
        <w:rPr>
          <w:b/>
          <w:bCs/>
          <w:sz w:val="19"/>
          <w:szCs w:val="19"/>
          <w:rtl/>
        </w:rPr>
        <w:t>רמת גן</w:t>
      </w:r>
      <w:r w:rsidRPr="00E303A0">
        <w:rPr>
          <w:sz w:val="19"/>
          <w:szCs w:val="19"/>
          <w:rtl/>
        </w:rPr>
        <w:t xml:space="preserve">, </w:t>
      </w:r>
      <w:r w:rsidRPr="00E303A0">
        <w:rPr>
          <w:b/>
          <w:bCs/>
          <w:sz w:val="19"/>
          <w:szCs w:val="19"/>
          <w:rtl/>
        </w:rPr>
        <w:t>תל</w:t>
      </w:r>
      <w:r w:rsidRPr="00E303A0">
        <w:rPr>
          <w:b/>
          <w:bCs/>
          <w:sz w:val="19"/>
          <w:szCs w:val="19"/>
          <w:rtl/>
        </w:rPr>
        <w:t xml:space="preserve"> אביב-יפו</w:t>
      </w:r>
      <w:r w:rsidRPr="00E303A0">
        <w:rPr>
          <w:sz w:val="19"/>
          <w:szCs w:val="19"/>
          <w:rtl/>
        </w:rPr>
        <w:t xml:space="preserve">, המועצה המקומית </w:t>
      </w:r>
      <w:r w:rsidRPr="00E303A0">
        <w:rPr>
          <w:b/>
          <w:bCs/>
          <w:sz w:val="19"/>
          <w:szCs w:val="19"/>
          <w:rtl/>
        </w:rPr>
        <w:t>זיכרון יעקב</w:t>
      </w:r>
      <w:r w:rsidRPr="00E303A0">
        <w:rPr>
          <w:sz w:val="19"/>
          <w:szCs w:val="19"/>
          <w:rtl/>
        </w:rPr>
        <w:t xml:space="preserve"> והמועצות האזוריות </w:t>
      </w:r>
      <w:r w:rsidRPr="00E303A0">
        <w:rPr>
          <w:b/>
          <w:bCs/>
          <w:sz w:val="19"/>
          <w:szCs w:val="19"/>
          <w:rtl/>
        </w:rPr>
        <w:t>חוף הכרמל</w:t>
      </w:r>
      <w:r w:rsidRPr="00E303A0">
        <w:rPr>
          <w:sz w:val="19"/>
          <w:szCs w:val="19"/>
          <w:rtl/>
        </w:rPr>
        <w:t xml:space="preserve"> ו</w:t>
      </w:r>
      <w:r w:rsidRPr="00E303A0">
        <w:rPr>
          <w:b/>
          <w:bCs/>
          <w:sz w:val="19"/>
          <w:szCs w:val="19"/>
          <w:rtl/>
        </w:rPr>
        <w:t>מטה יהודה</w:t>
      </w:r>
      <w:r w:rsidRPr="00E303A0">
        <w:rPr>
          <w:sz w:val="19"/>
          <w:szCs w:val="19"/>
          <w:rtl/>
        </w:rPr>
        <w:t xml:space="preserve"> לא הכינו תוכנית מפורטת למתן מענה לפרט בעת קליטת אוכלוסייה במצבי חירום, אך נערכו לכך באופן חלקי. עיריית </w:t>
      </w:r>
      <w:r w:rsidRPr="00E303A0">
        <w:rPr>
          <w:b/>
          <w:bCs/>
          <w:sz w:val="19"/>
          <w:szCs w:val="19"/>
          <w:rtl/>
        </w:rPr>
        <w:t>אילת</w:t>
      </w:r>
      <w:r w:rsidRPr="00E303A0">
        <w:rPr>
          <w:sz w:val="19"/>
          <w:szCs w:val="19"/>
          <w:rtl/>
        </w:rPr>
        <w:t xml:space="preserve"> והמועצה האזורית </w:t>
      </w:r>
      <w:r w:rsidRPr="00E303A0">
        <w:rPr>
          <w:b/>
          <w:bCs/>
          <w:sz w:val="19"/>
          <w:szCs w:val="19"/>
          <w:rtl/>
        </w:rPr>
        <w:t>תמר</w:t>
      </w:r>
      <w:r w:rsidRPr="00E303A0">
        <w:rPr>
          <w:sz w:val="19"/>
          <w:szCs w:val="19"/>
          <w:rtl/>
        </w:rPr>
        <w:t xml:space="preserve"> ערכו תוכנית מענה לפרט ומיפו בה פערים. כמו כן בתיקי </w:t>
      </w:r>
      <w:r w:rsidRPr="00E303A0">
        <w:rPr>
          <w:sz w:val="19"/>
          <w:szCs w:val="19"/>
          <w:rtl/>
        </w:rPr>
        <w:t>התכנון של הרשויות הקולטות שנבדקו אין התייחסות מפורשת להתקשרות עם ספק מזון לכלכלה הרלוונטית לאוכלוסיות מיוחדות, כגון תינוקות ובעלי דרישות מזון ייחודיות. כן עלה כי אגף פס"ח אינו מוודא כי הרשויות המקומיות נערכו למתן שירותים מוניציפליים כגון תברואה, תכנון מערך</w:t>
      </w:r>
      <w:r w:rsidRPr="00E303A0">
        <w:rPr>
          <w:sz w:val="19"/>
          <w:szCs w:val="19"/>
          <w:rtl/>
        </w:rPr>
        <w:t xml:space="preserve"> רווחה ושירותי חינוך, אבטחה וסדר ציבורי, שירותי דת ומידע חיוני על שירותים שניתן לקבל, בהתאם לנדרש מהן בנוהל 24.</w:t>
      </w:r>
    </w:p>
    <w:p w:rsidR="00D85FD7" w:rsidRPr="00E303A0" w:rsidP="00C61121">
      <w:pPr>
        <w:pStyle w:val="73"/>
        <w:numPr>
          <w:ilvl w:val="0"/>
          <w:numId w:val="25"/>
        </w:numPr>
        <w:rPr>
          <w:sz w:val="19"/>
          <w:szCs w:val="19"/>
        </w:rPr>
      </w:pPr>
      <w:r w:rsidRPr="00E303A0">
        <w:rPr>
          <w:b/>
          <w:bCs/>
          <w:sz w:val="19"/>
          <w:szCs w:val="19"/>
          <w:rtl/>
        </w:rPr>
        <w:t xml:space="preserve">שיבוץ עובדי הרשות לתפקידים בשעת חירום </w:t>
      </w:r>
      <w:r w:rsidRPr="00E303A0">
        <w:rPr>
          <w:sz w:val="19"/>
          <w:szCs w:val="19"/>
          <w:rtl/>
        </w:rPr>
        <w:t xml:space="preserve">- עיריית </w:t>
      </w:r>
      <w:r w:rsidRPr="00E303A0">
        <w:rPr>
          <w:b/>
          <w:bCs/>
          <w:sz w:val="19"/>
          <w:szCs w:val="19"/>
          <w:rtl/>
        </w:rPr>
        <w:t>תל אביב-יפו</w:t>
      </w:r>
      <w:r w:rsidRPr="00E303A0">
        <w:rPr>
          <w:sz w:val="19"/>
          <w:szCs w:val="19"/>
          <w:rtl/>
        </w:rPr>
        <w:t xml:space="preserve"> הכינה רשימת כוח אדם לשעת חירום המציינת תפקידים, ללא ציון שמות העובדים. שאר הרשויות המ</w:t>
      </w:r>
      <w:r w:rsidRPr="00E303A0">
        <w:rPr>
          <w:sz w:val="19"/>
          <w:szCs w:val="19"/>
          <w:rtl/>
        </w:rPr>
        <w:t xml:space="preserve">קומיות שנבדקו הכינו רשימת עובדים לשיבוץ בשעת חירום לצורך הפעלת המכלולים והמתקנים שבאחריות הרשות. עם זאת, נמצא כי רשימות השיבוץ שהכינו עיריית </w:t>
      </w:r>
      <w:r w:rsidRPr="00E303A0">
        <w:rPr>
          <w:b/>
          <w:bCs/>
          <w:sz w:val="19"/>
          <w:szCs w:val="19"/>
          <w:rtl/>
        </w:rPr>
        <w:t>נוף הגליל</w:t>
      </w:r>
      <w:r w:rsidRPr="00E303A0">
        <w:rPr>
          <w:sz w:val="19"/>
          <w:szCs w:val="19"/>
          <w:rtl/>
        </w:rPr>
        <w:t xml:space="preserve"> והמועצות האזוריות </w:t>
      </w:r>
      <w:r w:rsidRPr="00E303A0">
        <w:rPr>
          <w:b/>
          <w:bCs/>
          <w:sz w:val="19"/>
          <w:szCs w:val="19"/>
          <w:rtl/>
        </w:rPr>
        <w:t>חוף הכרמל</w:t>
      </w:r>
      <w:r w:rsidRPr="00E303A0">
        <w:rPr>
          <w:sz w:val="19"/>
          <w:szCs w:val="19"/>
          <w:rtl/>
        </w:rPr>
        <w:t xml:space="preserve">, </w:t>
      </w:r>
      <w:r w:rsidRPr="00E303A0">
        <w:rPr>
          <w:b/>
          <w:bCs/>
          <w:sz w:val="19"/>
          <w:szCs w:val="19"/>
          <w:rtl/>
        </w:rPr>
        <w:t>עמק הירדן</w:t>
      </w:r>
      <w:r w:rsidRPr="00E303A0">
        <w:rPr>
          <w:sz w:val="19"/>
          <w:szCs w:val="19"/>
          <w:rtl/>
        </w:rPr>
        <w:t xml:space="preserve"> ו</w:t>
      </w:r>
      <w:r w:rsidRPr="00E303A0">
        <w:rPr>
          <w:b/>
          <w:bCs/>
          <w:sz w:val="19"/>
          <w:szCs w:val="19"/>
          <w:rtl/>
        </w:rPr>
        <w:t>תמר</w:t>
      </w:r>
      <w:r w:rsidRPr="00E303A0">
        <w:rPr>
          <w:sz w:val="19"/>
          <w:szCs w:val="19"/>
          <w:rtl/>
        </w:rPr>
        <w:t xml:space="preserve"> אינן נושאות תאריך, כך שלא ניתן לדעת מתי עודכנו לאחרונה. כמו כ</w:t>
      </w:r>
      <w:r w:rsidRPr="00E303A0">
        <w:rPr>
          <w:sz w:val="19"/>
          <w:szCs w:val="19"/>
          <w:rtl/>
        </w:rPr>
        <w:t xml:space="preserve">ן, בעיריית </w:t>
      </w:r>
      <w:r w:rsidRPr="00E303A0">
        <w:rPr>
          <w:b/>
          <w:bCs/>
          <w:sz w:val="19"/>
          <w:szCs w:val="19"/>
          <w:rtl/>
        </w:rPr>
        <w:t>אילת</w:t>
      </w:r>
      <w:r w:rsidRPr="00E303A0">
        <w:rPr>
          <w:sz w:val="19"/>
          <w:szCs w:val="19"/>
          <w:rtl/>
        </w:rPr>
        <w:t xml:space="preserve"> ובמועצה המקומית </w:t>
      </w:r>
      <w:r w:rsidRPr="00E303A0">
        <w:rPr>
          <w:b/>
          <w:bCs/>
          <w:sz w:val="19"/>
          <w:szCs w:val="19"/>
          <w:rtl/>
        </w:rPr>
        <w:t>זיכרון יעקב</w:t>
      </w:r>
      <w:r w:rsidRPr="00E303A0">
        <w:rPr>
          <w:sz w:val="19"/>
          <w:szCs w:val="19"/>
          <w:rtl/>
        </w:rPr>
        <w:t xml:space="preserve"> חלק מרשימות העובדים אינן נושאות תאריך. להכנת רשימות כוח אדם ייעודיות לשיבוץ בשעת חירום ועדכונה מדי שנה בהתאם לנוהל 24 יש חשיבות רבה בהיערכות הרשות המקומית למצב חירום, בעיקר לאור השינויים הצפויים במצבת כוח האדם וב</w:t>
      </w:r>
      <w:r w:rsidRPr="00E303A0">
        <w:rPr>
          <w:sz w:val="19"/>
          <w:szCs w:val="19"/>
          <w:rtl/>
        </w:rPr>
        <w:t>משימות שלהן היא תידרש.</w:t>
      </w:r>
    </w:p>
    <w:p w:rsidR="00D85FD7" w:rsidRPr="00E303A0" w:rsidP="00C61121">
      <w:pPr>
        <w:pStyle w:val="73"/>
        <w:numPr>
          <w:ilvl w:val="0"/>
          <w:numId w:val="25"/>
        </w:numPr>
        <w:rPr>
          <w:sz w:val="19"/>
          <w:szCs w:val="19"/>
        </w:rPr>
      </w:pPr>
      <w:r w:rsidRPr="00E303A0">
        <w:rPr>
          <w:b/>
          <w:bCs/>
          <w:sz w:val="19"/>
          <w:szCs w:val="19"/>
          <w:rtl/>
        </w:rPr>
        <w:t xml:space="preserve">הכשרת מנהלי מכלולים ברשות המקומית לתפקידיהם בשעת חירום </w:t>
      </w:r>
      <w:r w:rsidRPr="00E303A0">
        <w:rPr>
          <w:sz w:val="19"/>
          <w:szCs w:val="19"/>
          <w:rtl/>
        </w:rPr>
        <w:t xml:space="preserve">- מנהלי המכלולים של עיריות </w:t>
      </w:r>
      <w:r w:rsidRPr="00E303A0">
        <w:rPr>
          <w:b/>
          <w:bCs/>
          <w:sz w:val="19"/>
          <w:szCs w:val="19"/>
          <w:rtl/>
        </w:rPr>
        <w:t>אילת</w:t>
      </w:r>
      <w:r w:rsidRPr="00E303A0">
        <w:rPr>
          <w:sz w:val="19"/>
          <w:szCs w:val="19"/>
          <w:rtl/>
        </w:rPr>
        <w:t xml:space="preserve">, </w:t>
      </w:r>
      <w:r w:rsidRPr="00E303A0">
        <w:rPr>
          <w:b/>
          <w:bCs/>
          <w:sz w:val="19"/>
          <w:szCs w:val="19"/>
          <w:rtl/>
        </w:rPr>
        <w:t>חיפה</w:t>
      </w:r>
      <w:r w:rsidRPr="00E303A0">
        <w:rPr>
          <w:sz w:val="19"/>
          <w:szCs w:val="19"/>
          <w:rtl/>
        </w:rPr>
        <w:t xml:space="preserve"> ו</w:t>
      </w:r>
      <w:r w:rsidRPr="00E303A0">
        <w:rPr>
          <w:b/>
          <w:bCs/>
          <w:sz w:val="19"/>
          <w:szCs w:val="19"/>
          <w:rtl/>
        </w:rPr>
        <w:t xml:space="preserve">רמת גן </w:t>
      </w:r>
      <w:r w:rsidRPr="00E303A0">
        <w:rPr>
          <w:sz w:val="19"/>
          <w:szCs w:val="19"/>
          <w:rtl/>
        </w:rPr>
        <w:t xml:space="preserve">עברו את ההכשרות במכללה הלאומית לאיתנות ישראלית של פקע"ר, כנדרש בתיק האב. עיריות </w:t>
      </w:r>
      <w:r w:rsidRPr="00E303A0">
        <w:rPr>
          <w:b/>
          <w:bCs/>
          <w:sz w:val="19"/>
          <w:szCs w:val="19"/>
          <w:rtl/>
        </w:rPr>
        <w:t>ירושלים</w:t>
      </w:r>
      <w:r w:rsidRPr="00E303A0">
        <w:rPr>
          <w:sz w:val="19"/>
          <w:szCs w:val="19"/>
          <w:rtl/>
        </w:rPr>
        <w:t xml:space="preserve">, </w:t>
      </w:r>
      <w:r w:rsidRPr="00E303A0">
        <w:rPr>
          <w:b/>
          <w:bCs/>
          <w:sz w:val="19"/>
          <w:szCs w:val="19"/>
          <w:rtl/>
        </w:rPr>
        <w:t>נוף הגליל</w:t>
      </w:r>
      <w:r w:rsidRPr="00E303A0">
        <w:rPr>
          <w:sz w:val="19"/>
          <w:szCs w:val="19"/>
          <w:rtl/>
        </w:rPr>
        <w:t xml:space="preserve">, </w:t>
      </w:r>
      <w:r w:rsidRPr="00E303A0">
        <w:rPr>
          <w:b/>
          <w:bCs/>
          <w:sz w:val="19"/>
          <w:szCs w:val="19"/>
          <w:rtl/>
        </w:rPr>
        <w:t>נתניה</w:t>
      </w:r>
      <w:r w:rsidRPr="00E303A0">
        <w:rPr>
          <w:sz w:val="19"/>
          <w:szCs w:val="19"/>
          <w:rtl/>
        </w:rPr>
        <w:t xml:space="preserve"> ו</w:t>
      </w:r>
      <w:r w:rsidRPr="00E303A0">
        <w:rPr>
          <w:b/>
          <w:bCs/>
          <w:sz w:val="19"/>
          <w:szCs w:val="19"/>
          <w:rtl/>
        </w:rPr>
        <w:t>תל אביב-יפו</w:t>
      </w:r>
      <w:r w:rsidRPr="00E303A0">
        <w:rPr>
          <w:sz w:val="19"/>
          <w:szCs w:val="19"/>
          <w:rtl/>
        </w:rPr>
        <w:t xml:space="preserve"> והמועצה האזורית </w:t>
      </w:r>
      <w:r w:rsidRPr="00E303A0">
        <w:rPr>
          <w:b/>
          <w:bCs/>
          <w:sz w:val="19"/>
          <w:szCs w:val="19"/>
          <w:rtl/>
        </w:rPr>
        <w:t>מטה יהודה</w:t>
      </w:r>
      <w:r w:rsidRPr="00E303A0">
        <w:rPr>
          <w:sz w:val="19"/>
          <w:szCs w:val="19"/>
          <w:rtl/>
        </w:rPr>
        <w:t xml:space="preserve"> לא שלחו את מנהלי המכלולים להכשרות כנדרש. בעיריות </w:t>
      </w:r>
      <w:r w:rsidRPr="00E303A0">
        <w:rPr>
          <w:b/>
          <w:bCs/>
          <w:sz w:val="19"/>
          <w:szCs w:val="19"/>
          <w:rtl/>
        </w:rPr>
        <w:t>הרצלייה</w:t>
      </w:r>
      <w:r w:rsidRPr="00E303A0">
        <w:rPr>
          <w:sz w:val="19"/>
          <w:szCs w:val="19"/>
          <w:rtl/>
        </w:rPr>
        <w:t xml:space="preserve"> </w:t>
      </w:r>
      <w:r w:rsidRPr="00E303A0">
        <w:rPr>
          <w:b/>
          <w:bCs/>
          <w:sz w:val="19"/>
          <w:szCs w:val="19"/>
          <w:rtl/>
        </w:rPr>
        <w:t>טבריה</w:t>
      </w:r>
      <w:r w:rsidRPr="00E303A0">
        <w:rPr>
          <w:sz w:val="19"/>
          <w:szCs w:val="19"/>
          <w:rtl/>
        </w:rPr>
        <w:t xml:space="preserve">, במועצה המקומית </w:t>
      </w:r>
      <w:r w:rsidRPr="00E303A0">
        <w:rPr>
          <w:b/>
          <w:bCs/>
          <w:sz w:val="19"/>
          <w:szCs w:val="19"/>
          <w:rtl/>
        </w:rPr>
        <w:t>זיכרון יעקב</w:t>
      </w:r>
      <w:r w:rsidRPr="00E303A0">
        <w:rPr>
          <w:sz w:val="19"/>
          <w:szCs w:val="19"/>
          <w:rtl/>
        </w:rPr>
        <w:t xml:space="preserve"> ובמועצות האזוריות </w:t>
      </w:r>
      <w:r w:rsidRPr="00E303A0">
        <w:rPr>
          <w:b/>
          <w:bCs/>
          <w:sz w:val="19"/>
          <w:szCs w:val="19"/>
          <w:rtl/>
        </w:rPr>
        <w:t>חוף הכרמל</w:t>
      </w:r>
      <w:r w:rsidRPr="00E303A0">
        <w:rPr>
          <w:sz w:val="19"/>
          <w:szCs w:val="19"/>
          <w:rtl/>
        </w:rPr>
        <w:t xml:space="preserve">, </w:t>
      </w:r>
      <w:r w:rsidRPr="00E303A0">
        <w:rPr>
          <w:b/>
          <w:bCs/>
          <w:sz w:val="19"/>
          <w:szCs w:val="19"/>
          <w:rtl/>
        </w:rPr>
        <w:t>עמק הירדן</w:t>
      </w:r>
      <w:r w:rsidRPr="00E303A0">
        <w:rPr>
          <w:sz w:val="19"/>
          <w:szCs w:val="19"/>
          <w:rtl/>
        </w:rPr>
        <w:t xml:space="preserve"> ו</w:t>
      </w:r>
      <w:r w:rsidRPr="00E303A0">
        <w:rPr>
          <w:b/>
          <w:bCs/>
          <w:sz w:val="19"/>
          <w:szCs w:val="19"/>
          <w:rtl/>
        </w:rPr>
        <w:t>תמר</w:t>
      </w:r>
      <w:r w:rsidRPr="00E303A0">
        <w:rPr>
          <w:sz w:val="19"/>
          <w:szCs w:val="19"/>
          <w:rtl/>
        </w:rPr>
        <w:t xml:space="preserve"> עברו את ההכשרות חלק מבעלי התפקיד וממנהלי המכלולים בשעת חירום. </w:t>
      </w:r>
    </w:p>
    <w:p w:rsidR="00D85FD7" w:rsidRPr="00E303A0" w:rsidP="00C61121">
      <w:pPr>
        <w:pStyle w:val="73"/>
        <w:numPr>
          <w:ilvl w:val="0"/>
          <w:numId w:val="25"/>
        </w:numPr>
        <w:rPr>
          <w:sz w:val="19"/>
          <w:szCs w:val="19"/>
        </w:rPr>
      </w:pPr>
      <w:r w:rsidRPr="00E303A0">
        <w:rPr>
          <w:b/>
          <w:bCs/>
          <w:sz w:val="19"/>
          <w:szCs w:val="19"/>
          <w:rtl/>
        </w:rPr>
        <w:t xml:space="preserve">הקמת מערך מתנדבים לשעת חירום </w:t>
      </w:r>
      <w:r w:rsidRPr="00E303A0">
        <w:rPr>
          <w:sz w:val="19"/>
          <w:szCs w:val="19"/>
          <w:rtl/>
        </w:rPr>
        <w:t xml:space="preserve">- </w:t>
      </w:r>
      <w:r w:rsidRPr="00E303A0">
        <w:rPr>
          <w:sz w:val="19"/>
          <w:szCs w:val="19"/>
          <w:rtl/>
        </w:rPr>
        <w:t xml:space="preserve">בעיריות </w:t>
      </w:r>
      <w:r w:rsidRPr="00E303A0">
        <w:rPr>
          <w:b/>
          <w:bCs/>
          <w:sz w:val="19"/>
          <w:szCs w:val="19"/>
          <w:rtl/>
        </w:rPr>
        <w:t>אילת</w:t>
      </w:r>
      <w:r w:rsidRPr="00E303A0">
        <w:rPr>
          <w:sz w:val="19"/>
          <w:szCs w:val="19"/>
          <w:rtl/>
        </w:rPr>
        <w:t xml:space="preserve">, </w:t>
      </w:r>
      <w:r w:rsidRPr="00E303A0">
        <w:rPr>
          <w:b/>
          <w:bCs/>
          <w:sz w:val="19"/>
          <w:szCs w:val="19"/>
          <w:rtl/>
        </w:rPr>
        <w:t>הרצלייה</w:t>
      </w:r>
      <w:r w:rsidRPr="00E303A0">
        <w:rPr>
          <w:sz w:val="19"/>
          <w:szCs w:val="19"/>
          <w:rtl/>
        </w:rPr>
        <w:t xml:space="preserve">, </w:t>
      </w:r>
      <w:r w:rsidRPr="00E303A0">
        <w:rPr>
          <w:b/>
          <w:bCs/>
          <w:sz w:val="19"/>
          <w:szCs w:val="19"/>
          <w:rtl/>
        </w:rPr>
        <w:t>חיפה</w:t>
      </w:r>
      <w:r w:rsidRPr="00E303A0">
        <w:rPr>
          <w:sz w:val="19"/>
          <w:szCs w:val="19"/>
          <w:rtl/>
        </w:rPr>
        <w:t xml:space="preserve">, </w:t>
      </w:r>
      <w:r w:rsidRPr="00E303A0">
        <w:rPr>
          <w:b/>
          <w:bCs/>
          <w:sz w:val="19"/>
          <w:szCs w:val="19"/>
          <w:rtl/>
        </w:rPr>
        <w:t>ירושלים</w:t>
      </w:r>
      <w:r w:rsidRPr="00E303A0">
        <w:rPr>
          <w:sz w:val="19"/>
          <w:szCs w:val="19"/>
          <w:rtl/>
        </w:rPr>
        <w:t xml:space="preserve">, </w:t>
      </w:r>
      <w:r w:rsidRPr="00E303A0">
        <w:rPr>
          <w:b/>
          <w:bCs/>
          <w:sz w:val="19"/>
          <w:szCs w:val="19"/>
          <w:rtl/>
        </w:rPr>
        <w:t>נוף הגליל</w:t>
      </w:r>
      <w:r w:rsidRPr="00E303A0">
        <w:rPr>
          <w:sz w:val="19"/>
          <w:szCs w:val="19"/>
          <w:rtl/>
        </w:rPr>
        <w:t xml:space="preserve">, </w:t>
      </w:r>
      <w:r w:rsidRPr="00E303A0">
        <w:rPr>
          <w:b/>
          <w:bCs/>
          <w:sz w:val="19"/>
          <w:szCs w:val="19"/>
          <w:rtl/>
        </w:rPr>
        <w:t>נתניה</w:t>
      </w:r>
      <w:r w:rsidRPr="00E303A0">
        <w:rPr>
          <w:sz w:val="19"/>
          <w:szCs w:val="19"/>
          <w:rtl/>
        </w:rPr>
        <w:t xml:space="preserve">, </w:t>
      </w:r>
      <w:r w:rsidRPr="00E303A0">
        <w:rPr>
          <w:b/>
          <w:bCs/>
          <w:sz w:val="19"/>
          <w:szCs w:val="19"/>
          <w:rtl/>
        </w:rPr>
        <w:t>רמת גן</w:t>
      </w:r>
      <w:r w:rsidRPr="00E303A0">
        <w:rPr>
          <w:sz w:val="19"/>
          <w:szCs w:val="19"/>
          <w:rtl/>
        </w:rPr>
        <w:t xml:space="preserve"> ו</w:t>
      </w:r>
      <w:r w:rsidRPr="00E303A0">
        <w:rPr>
          <w:b/>
          <w:bCs/>
          <w:sz w:val="19"/>
          <w:szCs w:val="19"/>
          <w:rtl/>
        </w:rPr>
        <w:t>תל אביב-יפו</w:t>
      </w:r>
      <w:r w:rsidRPr="00E303A0">
        <w:rPr>
          <w:sz w:val="19"/>
          <w:szCs w:val="19"/>
          <w:rtl/>
        </w:rPr>
        <w:t xml:space="preserve">, במועצה המקומית </w:t>
      </w:r>
      <w:r w:rsidRPr="00E303A0">
        <w:rPr>
          <w:b/>
          <w:bCs/>
          <w:sz w:val="19"/>
          <w:szCs w:val="19"/>
          <w:rtl/>
        </w:rPr>
        <w:t>זיכרון יעקב</w:t>
      </w:r>
      <w:r w:rsidRPr="00E303A0">
        <w:rPr>
          <w:sz w:val="19"/>
          <w:szCs w:val="19"/>
          <w:rtl/>
        </w:rPr>
        <w:t xml:space="preserve"> ובמועצות האזוריות </w:t>
      </w:r>
      <w:r w:rsidRPr="00E303A0">
        <w:rPr>
          <w:b/>
          <w:bCs/>
          <w:sz w:val="19"/>
          <w:szCs w:val="19"/>
          <w:rtl/>
        </w:rPr>
        <w:t>חוף הכרמל</w:t>
      </w:r>
      <w:r w:rsidRPr="00E303A0">
        <w:rPr>
          <w:sz w:val="19"/>
          <w:szCs w:val="19"/>
          <w:rtl/>
        </w:rPr>
        <w:t xml:space="preserve">, </w:t>
      </w:r>
      <w:r w:rsidRPr="00E303A0">
        <w:rPr>
          <w:b/>
          <w:bCs/>
          <w:sz w:val="19"/>
          <w:szCs w:val="19"/>
          <w:rtl/>
        </w:rPr>
        <w:t>מטה יהודה</w:t>
      </w:r>
      <w:r w:rsidRPr="00E303A0">
        <w:rPr>
          <w:sz w:val="19"/>
          <w:szCs w:val="19"/>
          <w:rtl/>
        </w:rPr>
        <w:t xml:space="preserve"> ו</w:t>
      </w:r>
      <w:r w:rsidRPr="00E303A0">
        <w:rPr>
          <w:b/>
          <w:bCs/>
          <w:sz w:val="19"/>
          <w:szCs w:val="19"/>
          <w:rtl/>
        </w:rPr>
        <w:t xml:space="preserve">עמק הירדן </w:t>
      </w:r>
      <w:r w:rsidRPr="00E303A0">
        <w:rPr>
          <w:sz w:val="19"/>
          <w:szCs w:val="19"/>
          <w:rtl/>
        </w:rPr>
        <w:t xml:space="preserve">הוקמה בעת שגרה יחידה התנדבותית רשותית שנועדה, בין היתר, לרכז ולנהל את כלל פעולות ההתנדבות. בעיריית </w:t>
      </w:r>
      <w:r w:rsidRPr="00E303A0">
        <w:rPr>
          <w:b/>
          <w:bCs/>
          <w:sz w:val="19"/>
          <w:szCs w:val="19"/>
          <w:rtl/>
        </w:rPr>
        <w:t>טבר</w:t>
      </w:r>
      <w:r w:rsidRPr="00E303A0">
        <w:rPr>
          <w:b/>
          <w:bCs/>
          <w:sz w:val="19"/>
          <w:szCs w:val="19"/>
          <w:rtl/>
        </w:rPr>
        <w:t>יה</w:t>
      </w:r>
      <w:r w:rsidRPr="00E303A0">
        <w:rPr>
          <w:sz w:val="19"/>
          <w:szCs w:val="19"/>
          <w:rtl/>
        </w:rPr>
        <w:t xml:space="preserve"> הייתה רכזת מתנדבים רשותית שפעלה עד פברואר 2023. במועצה האזורית </w:t>
      </w:r>
      <w:r w:rsidRPr="00E303A0">
        <w:rPr>
          <w:b/>
          <w:bCs/>
          <w:sz w:val="19"/>
          <w:szCs w:val="19"/>
          <w:rtl/>
        </w:rPr>
        <w:t>תמר</w:t>
      </w:r>
      <w:r w:rsidRPr="00E303A0">
        <w:rPr>
          <w:sz w:val="19"/>
          <w:szCs w:val="19"/>
          <w:rtl/>
        </w:rPr>
        <w:t xml:space="preserve"> לא הוקמה יחידה התנדבותית רשותית בעת שגרה, ולא הייתה לה תוכנית להפעלת חמ"ל מתנדבים.</w:t>
      </w:r>
      <w:r w:rsidRPr="00E303A0">
        <w:rPr>
          <w:rtl/>
        </w:rPr>
        <w:t xml:space="preserve"> </w:t>
      </w:r>
      <w:r w:rsidRPr="00E303A0">
        <w:rPr>
          <w:sz w:val="19"/>
          <w:szCs w:val="19"/>
          <w:rtl/>
        </w:rPr>
        <w:t>ההתנדבות בשעת חירום היא בין היתר כוח תומך, התורם לחוסנה של הקהילה במצב משבר, וכוח המסייע לרשות לתת מענה</w:t>
      </w:r>
      <w:r w:rsidRPr="00E303A0">
        <w:rPr>
          <w:sz w:val="19"/>
          <w:szCs w:val="19"/>
          <w:rtl/>
        </w:rPr>
        <w:t xml:space="preserve"> לתושביה ולשמור על רציפות תפקודית. בעקבות מלחמת חרבות ברזל גדל מספר המתנדבים ברשויות המקומיות, ורוב המתנדבים לא היו מוכרים לרשות המקומית. הדבר מחדד את הצורך בקיום יחידה שתוביל בעת שגרה את מערך ההתנדבות הרשותי שיופעל בשעת חירום.</w:t>
      </w:r>
    </w:p>
    <w:p w:rsidR="00780272" w:rsidP="0089702D">
      <w:pPr>
        <w:pStyle w:val="73"/>
        <w:numPr>
          <w:ilvl w:val="0"/>
          <w:numId w:val="25"/>
        </w:numPr>
        <w:spacing w:before="240" w:after="120"/>
      </w:pPr>
      <w:r w:rsidRPr="0089702D">
        <w:rPr>
          <w:b/>
          <w:bCs/>
          <w:sz w:val="19"/>
          <w:szCs w:val="19"/>
          <w:rtl/>
        </w:rPr>
        <w:t xml:space="preserve">הכשרת מתנדבים לשעת חירום </w:t>
      </w:r>
      <w:r w:rsidRPr="0089702D">
        <w:rPr>
          <w:sz w:val="19"/>
          <w:szCs w:val="19"/>
          <w:rtl/>
        </w:rPr>
        <w:t>- ע</w:t>
      </w:r>
      <w:r w:rsidRPr="0089702D">
        <w:rPr>
          <w:sz w:val="19"/>
          <w:szCs w:val="19"/>
          <w:rtl/>
        </w:rPr>
        <w:t xml:space="preserve">יריות </w:t>
      </w:r>
      <w:r w:rsidRPr="0089702D">
        <w:rPr>
          <w:b/>
          <w:bCs/>
          <w:sz w:val="19"/>
          <w:szCs w:val="19"/>
          <w:rtl/>
        </w:rPr>
        <w:t>אילת</w:t>
      </w:r>
      <w:r w:rsidRPr="0089702D">
        <w:rPr>
          <w:sz w:val="19"/>
          <w:szCs w:val="19"/>
          <w:rtl/>
        </w:rPr>
        <w:t xml:space="preserve">, </w:t>
      </w:r>
      <w:r w:rsidRPr="0089702D">
        <w:rPr>
          <w:b/>
          <w:bCs/>
          <w:sz w:val="19"/>
          <w:szCs w:val="19"/>
          <w:rtl/>
        </w:rPr>
        <w:t>הרצלייה</w:t>
      </w:r>
      <w:r w:rsidRPr="0089702D">
        <w:rPr>
          <w:sz w:val="19"/>
          <w:szCs w:val="19"/>
          <w:rtl/>
        </w:rPr>
        <w:t xml:space="preserve">, </w:t>
      </w:r>
      <w:r w:rsidRPr="0089702D">
        <w:rPr>
          <w:b/>
          <w:bCs/>
          <w:sz w:val="19"/>
          <w:szCs w:val="19"/>
          <w:rtl/>
        </w:rPr>
        <w:t>חיפה</w:t>
      </w:r>
      <w:r w:rsidRPr="0089702D">
        <w:rPr>
          <w:sz w:val="19"/>
          <w:szCs w:val="19"/>
          <w:rtl/>
        </w:rPr>
        <w:t xml:space="preserve">, </w:t>
      </w:r>
      <w:r w:rsidRPr="0089702D">
        <w:rPr>
          <w:b/>
          <w:bCs/>
          <w:sz w:val="19"/>
          <w:szCs w:val="19"/>
          <w:rtl/>
        </w:rPr>
        <w:t>ירושלים</w:t>
      </w:r>
      <w:r w:rsidRPr="0089702D">
        <w:rPr>
          <w:sz w:val="19"/>
          <w:szCs w:val="19"/>
          <w:rtl/>
        </w:rPr>
        <w:t xml:space="preserve">, </w:t>
      </w:r>
      <w:r w:rsidRPr="0089702D">
        <w:rPr>
          <w:b/>
          <w:bCs/>
          <w:sz w:val="19"/>
          <w:szCs w:val="19"/>
          <w:rtl/>
        </w:rPr>
        <w:t>נוף הגליל</w:t>
      </w:r>
      <w:r w:rsidRPr="0089702D">
        <w:rPr>
          <w:sz w:val="19"/>
          <w:szCs w:val="19"/>
          <w:rtl/>
        </w:rPr>
        <w:t xml:space="preserve">, </w:t>
      </w:r>
      <w:r w:rsidRPr="0089702D">
        <w:rPr>
          <w:b/>
          <w:bCs/>
          <w:sz w:val="19"/>
          <w:szCs w:val="19"/>
          <w:rtl/>
        </w:rPr>
        <w:t>נתניה</w:t>
      </w:r>
      <w:r w:rsidRPr="0089702D">
        <w:rPr>
          <w:sz w:val="19"/>
          <w:szCs w:val="19"/>
          <w:rtl/>
        </w:rPr>
        <w:t xml:space="preserve">, </w:t>
      </w:r>
      <w:r w:rsidRPr="0089702D">
        <w:rPr>
          <w:b/>
          <w:bCs/>
          <w:sz w:val="19"/>
          <w:szCs w:val="19"/>
          <w:rtl/>
        </w:rPr>
        <w:t>רמת גן</w:t>
      </w:r>
      <w:r w:rsidRPr="0089702D">
        <w:rPr>
          <w:sz w:val="19"/>
          <w:szCs w:val="19"/>
          <w:rtl/>
        </w:rPr>
        <w:t xml:space="preserve"> ו</w:t>
      </w:r>
      <w:r w:rsidRPr="0089702D">
        <w:rPr>
          <w:b/>
          <w:bCs/>
          <w:sz w:val="19"/>
          <w:szCs w:val="19"/>
          <w:rtl/>
        </w:rPr>
        <w:t>תל אביב-יפו</w:t>
      </w:r>
      <w:r w:rsidRPr="0089702D">
        <w:rPr>
          <w:sz w:val="19"/>
          <w:szCs w:val="19"/>
          <w:rtl/>
        </w:rPr>
        <w:t xml:space="preserve"> והמועצות האזוריות </w:t>
      </w:r>
      <w:r w:rsidRPr="0089702D">
        <w:rPr>
          <w:b/>
          <w:bCs/>
          <w:sz w:val="19"/>
          <w:szCs w:val="19"/>
          <w:rtl/>
        </w:rPr>
        <w:t>חוף הכרמל</w:t>
      </w:r>
      <w:r w:rsidRPr="0089702D">
        <w:rPr>
          <w:sz w:val="19"/>
          <w:szCs w:val="19"/>
          <w:rtl/>
        </w:rPr>
        <w:t xml:space="preserve">, </w:t>
      </w:r>
      <w:r w:rsidRPr="0089702D">
        <w:rPr>
          <w:b/>
          <w:bCs/>
          <w:sz w:val="19"/>
          <w:szCs w:val="19"/>
          <w:rtl/>
        </w:rPr>
        <w:t>מטה יהודה</w:t>
      </w:r>
      <w:r w:rsidRPr="0089702D">
        <w:rPr>
          <w:sz w:val="19"/>
          <w:szCs w:val="19"/>
          <w:rtl/>
        </w:rPr>
        <w:t xml:space="preserve"> ו</w:t>
      </w:r>
      <w:r w:rsidRPr="0089702D">
        <w:rPr>
          <w:b/>
          <w:bCs/>
          <w:sz w:val="19"/>
          <w:szCs w:val="19"/>
          <w:rtl/>
        </w:rPr>
        <w:t xml:space="preserve">עמק הירדן </w:t>
      </w:r>
      <w:r w:rsidRPr="0089702D">
        <w:rPr>
          <w:sz w:val="19"/>
          <w:szCs w:val="19"/>
          <w:rtl/>
        </w:rPr>
        <w:t xml:space="preserve">הכשירו מתנדבים בעת שגרה לצורך התמודדות עם מצבי חירום. המועצה האזורית </w:t>
      </w:r>
      <w:r w:rsidRPr="0089702D">
        <w:rPr>
          <w:b/>
          <w:bCs/>
          <w:sz w:val="19"/>
          <w:szCs w:val="19"/>
          <w:rtl/>
        </w:rPr>
        <w:t>תמר</w:t>
      </w:r>
      <w:r w:rsidRPr="0089702D">
        <w:rPr>
          <w:sz w:val="19"/>
          <w:szCs w:val="19"/>
          <w:rtl/>
        </w:rPr>
        <w:t xml:space="preserve"> לא הכשירה בעת שגרה מתנדבים לצורך התמודדות עם מצבי חירום. לעיריית </w:t>
      </w:r>
      <w:r w:rsidRPr="0089702D">
        <w:rPr>
          <w:b/>
          <w:bCs/>
          <w:sz w:val="19"/>
          <w:szCs w:val="19"/>
          <w:rtl/>
        </w:rPr>
        <w:t>טבריה</w:t>
      </w:r>
      <w:r w:rsidRPr="0089702D">
        <w:rPr>
          <w:sz w:val="19"/>
          <w:szCs w:val="19"/>
          <w:rtl/>
        </w:rPr>
        <w:t xml:space="preserve"> ולמועצה המקומית </w:t>
      </w:r>
      <w:r w:rsidRPr="0089702D">
        <w:rPr>
          <w:b/>
          <w:bCs/>
          <w:sz w:val="19"/>
          <w:szCs w:val="19"/>
          <w:rtl/>
        </w:rPr>
        <w:t>זיכרון יעקב</w:t>
      </w:r>
      <w:r w:rsidRPr="0089702D">
        <w:rPr>
          <w:sz w:val="19"/>
          <w:szCs w:val="19"/>
          <w:rtl/>
        </w:rPr>
        <w:t xml:space="preserve"> לא היה מידע על הדרכות והכשרות שנערכו למתנדבים. יצוין כי ההכשרות לשעת חירום שנערכו למתנדבים לא עסקו בהכרח במישרין בסיוע לקליטת מפונים, אלא בתחומי חירום אחרים</w:t>
      </w:r>
      <w:r w:rsidRPr="0089702D">
        <w:rPr>
          <w:sz w:val="19"/>
          <w:szCs w:val="19"/>
          <w:rtl/>
        </w:rPr>
        <w:t xml:space="preserve"> שעימם מתמודדת הרשות המקומית, דבר שמחדד את הצורך בהכנת תוכניות הכשרות ישימות ורלוונטיות על ידי הרשויות המקומיות בסיוע פקע"ר.</w:t>
      </w:r>
    </w:p>
    <w:p w:rsidR="0089702D" w:rsidRPr="0089702D" w:rsidP="0089702D">
      <w:pPr>
        <w:pStyle w:val="73"/>
        <w:spacing w:before="240" w:after="160"/>
        <w:rPr>
          <w:sz w:val="8"/>
          <w:szCs w:val="8"/>
        </w:rPr>
      </w:pPr>
    </w:p>
    <w:p w:rsidR="00AE4BB7" w:rsidRPr="000B463F" w:rsidP="00EE67C7">
      <w:pPr>
        <w:spacing w:before="240" w:after="160"/>
      </w:pPr>
      <w:r>
        <w:rPr>
          <w:noProof/>
        </w:rPr>
        <w:drawing>
          <wp:inline distT="0" distB="0" distL="0" distR="0">
            <wp:extent cx="2209800" cy="190500"/>
            <wp:effectExtent l="0" t="0" r="0" b="0"/>
            <wp:docPr id="374811198" name="תמונה 3" descr="ממצאים חיובי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11198" name="תמונה 3" descr="ממצאים חיוביים"/>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2209800" cy="190500"/>
                    </a:xfrm>
                    <a:prstGeom prst="rect">
                      <a:avLst/>
                    </a:prstGeom>
                  </pic:spPr>
                </pic:pic>
              </a:graphicData>
            </a:graphic>
          </wp:inline>
        </w:drawing>
      </w:r>
    </w:p>
    <w:p w:rsidR="00D85FD7" w:rsidRPr="00D85FD7" w:rsidP="00C61121">
      <w:pPr>
        <w:pStyle w:val="73"/>
        <w:rPr>
          <w:rFonts w:eastAsia="Calibri"/>
          <w:sz w:val="19"/>
          <w:szCs w:val="19"/>
          <w:rtl/>
        </w:rPr>
      </w:pPr>
      <w:r w:rsidRPr="00D85FD7">
        <w:rPr>
          <w:rFonts w:eastAsia="Calibri"/>
          <w:b/>
          <w:bCs/>
          <w:sz w:val="19"/>
          <w:szCs w:val="19"/>
          <w:rtl/>
        </w:rPr>
        <w:t>קליטת מפונים ברשויות שלא אותרו בהן מתקני קליטה ארציים</w:t>
      </w:r>
      <w:r w:rsidRPr="00D85FD7">
        <w:rPr>
          <w:rFonts w:eastAsia="Calibri"/>
          <w:sz w:val="19"/>
          <w:szCs w:val="19"/>
          <w:rtl/>
        </w:rPr>
        <w:t xml:space="preserve"> - עיריית </w:t>
      </w:r>
      <w:r w:rsidRPr="00D85FD7">
        <w:rPr>
          <w:rFonts w:eastAsia="Calibri"/>
          <w:b/>
          <w:bCs/>
          <w:sz w:val="19"/>
          <w:szCs w:val="19"/>
          <w:rtl/>
        </w:rPr>
        <w:t>נוף הגליל</w:t>
      </w:r>
      <w:r w:rsidRPr="00D85FD7">
        <w:rPr>
          <w:rFonts w:eastAsia="Calibri"/>
          <w:sz w:val="19"/>
          <w:szCs w:val="19"/>
          <w:rtl/>
        </w:rPr>
        <w:t xml:space="preserve"> והמועצה המקומית </w:t>
      </w:r>
      <w:r w:rsidRPr="00D85FD7">
        <w:rPr>
          <w:rFonts w:eastAsia="Calibri"/>
          <w:b/>
          <w:bCs/>
          <w:sz w:val="19"/>
          <w:szCs w:val="19"/>
          <w:rtl/>
        </w:rPr>
        <w:t>זיכרון יעקב</w:t>
      </w:r>
      <w:r w:rsidRPr="00D85FD7">
        <w:rPr>
          <w:rFonts w:eastAsia="Calibri"/>
          <w:sz w:val="19"/>
          <w:szCs w:val="19"/>
          <w:rtl/>
        </w:rPr>
        <w:t xml:space="preserve"> קלטו במהלך </w:t>
      </w:r>
      <w:r w:rsidRPr="00D85FD7">
        <w:rPr>
          <w:sz w:val="19"/>
          <w:szCs w:val="19"/>
          <w:rtl/>
        </w:rPr>
        <w:t>המלחמה</w:t>
      </w:r>
      <w:r w:rsidRPr="00D85FD7">
        <w:rPr>
          <w:rFonts w:eastAsia="Calibri"/>
          <w:sz w:val="19"/>
          <w:szCs w:val="19"/>
          <w:rtl/>
        </w:rPr>
        <w:t xml:space="preserve"> כל אחת מה</w:t>
      </w:r>
      <w:r w:rsidRPr="00D85FD7">
        <w:rPr>
          <w:rFonts w:eastAsia="Calibri"/>
          <w:sz w:val="19"/>
          <w:szCs w:val="19"/>
          <w:rtl/>
        </w:rPr>
        <w:t>ן מאות מפונים במלונות שבתחום שיפוטן, אף על פי שאגף פס"ח לא הגדיר בתחומן מתקני קליטה ארציים.</w:t>
      </w:r>
    </w:p>
    <w:p w:rsidR="00780272" w:rsidRPr="00084768" w:rsidP="00780272">
      <w:pPr>
        <w:pStyle w:val="73"/>
        <w:rPr>
          <w:sz w:val="19"/>
          <w:szCs w:val="19"/>
        </w:rPr>
      </w:pPr>
    </w:p>
    <w:tbl>
      <w:tblPr>
        <w:tblStyle w:val="TableGrid"/>
        <w:tblpPr w:leftFromText="180" w:rightFromText="180" w:vertAnchor="text" w:tblpXSpec="center" w:tblpY="1"/>
        <w:tblOverlap w:val="never"/>
        <w:bidiVisual/>
        <w:tblW w:w="9074" w:type="dxa"/>
        <w:tblLayout w:type="fixed"/>
        <w:tblLook w:val="04A0"/>
      </w:tblPr>
      <w:tblGrid>
        <w:gridCol w:w="9074"/>
      </w:tblGrid>
      <w:tr w:rsidTr="009E37AC">
        <w:tblPrEx>
          <w:tblW w:w="9074" w:type="dxa"/>
          <w:tblLayout w:type="fixed"/>
          <w:tblLook w:val="04A0"/>
        </w:tblPrEx>
        <w:trPr>
          <w:trHeight w:val="851"/>
        </w:trPr>
        <w:tc>
          <w:tcPr>
            <w:tcW w:w="9074" w:type="dxa"/>
            <w:tcBorders>
              <w:top w:val="nil"/>
              <w:left w:val="nil"/>
              <w:bottom w:val="nil"/>
              <w:right w:val="nil"/>
            </w:tcBorders>
          </w:tcPr>
          <w:p w:rsidR="00AE4BB7" w:rsidRPr="00F66FC8" w:rsidP="009E37AC">
            <w:pPr>
              <w:spacing w:before="240" w:after="180" w:line="288" w:lineRule="auto"/>
              <w:rPr>
                <w:rFonts w:ascii="Tahoma" w:hAnsi="Tahoma" w:cs="Tahoma"/>
                <w:sz w:val="19"/>
                <w:szCs w:val="19"/>
                <w:rtl/>
              </w:rPr>
            </w:pPr>
            <w:r w:rsidRPr="00F66FC8">
              <w:rPr>
                <w:rFonts w:ascii="Tahoma" w:hAnsi="Tahoma" w:cs="Tahoma"/>
                <w:noProof/>
                <w:sz w:val="19"/>
                <w:szCs w:val="19"/>
                <w:rtl/>
              </w:rPr>
              <w:drawing>
                <wp:inline distT="0" distB="0" distL="0" distR="0">
                  <wp:extent cx="5574030" cy="438784"/>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תקציר תמונה 3.4.png"/>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19160" cy="450209"/>
                          </a:xfrm>
                          <a:prstGeom prst="rect">
                            <a:avLst/>
                          </a:prstGeom>
                        </pic:spPr>
                      </pic:pic>
                    </a:graphicData>
                  </a:graphic>
                </wp:inline>
              </w:drawing>
            </w:r>
          </w:p>
        </w:tc>
      </w:tr>
      <w:tr w:rsidTr="009E37AC">
        <w:tblPrEx>
          <w:tblW w:w="9074" w:type="dxa"/>
          <w:tblLayout w:type="fixed"/>
          <w:tblLook w:val="04A0"/>
        </w:tblPrEx>
        <w:trPr>
          <w:trHeight w:val="2156"/>
        </w:trPr>
        <w:tc>
          <w:tcPr>
            <w:tcW w:w="9074" w:type="dxa"/>
            <w:tcBorders>
              <w:top w:val="nil"/>
              <w:left w:val="nil"/>
              <w:bottom w:val="nil"/>
              <w:right w:val="nil"/>
            </w:tcBorders>
            <w:shd w:val="clear" w:color="auto" w:fill="F1F5F9"/>
          </w:tcPr>
          <w:p w:rsidR="00D85FD7" w:rsidRPr="00E303A0" w:rsidP="00684D20">
            <w:pPr>
              <w:pStyle w:val="ListParagraph"/>
              <w:numPr>
                <w:ilvl w:val="0"/>
                <w:numId w:val="12"/>
              </w:numPr>
              <w:spacing w:before="240" w:after="240" w:line="288" w:lineRule="auto"/>
              <w:ind w:left="481" w:right="176" w:hanging="481"/>
              <w:contextualSpacing w:val="0"/>
              <w:rPr>
                <w:rFonts w:ascii="Tahoma" w:hAnsi="Tahoma" w:cs="Tahoma"/>
                <w:sz w:val="19"/>
                <w:szCs w:val="19"/>
              </w:rPr>
            </w:pPr>
            <w:r w:rsidRPr="00E303A0">
              <w:rPr>
                <w:rFonts w:ascii="Tahoma" w:hAnsi="Tahoma" w:cs="Tahoma"/>
                <w:sz w:val="19"/>
                <w:szCs w:val="19"/>
                <w:rtl/>
              </w:rPr>
              <w:t xml:space="preserve">על עיריית </w:t>
            </w:r>
            <w:r w:rsidRPr="00E303A0">
              <w:rPr>
                <w:rFonts w:ascii="Tahoma" w:hAnsi="Tahoma" w:cs="Tahoma"/>
                <w:b/>
                <w:bCs/>
                <w:sz w:val="19"/>
                <w:szCs w:val="19"/>
                <w:rtl/>
              </w:rPr>
              <w:t>נוף הגליל</w:t>
            </w:r>
            <w:r w:rsidRPr="00E303A0">
              <w:rPr>
                <w:rFonts w:ascii="Tahoma" w:hAnsi="Tahoma" w:cs="Tahoma"/>
                <w:sz w:val="19"/>
                <w:szCs w:val="19"/>
                <w:rtl/>
              </w:rPr>
              <w:t xml:space="preserve"> והמועצה האזורית </w:t>
            </w:r>
            <w:r w:rsidRPr="00E303A0">
              <w:rPr>
                <w:rFonts w:ascii="Tahoma" w:hAnsi="Tahoma" w:cs="Tahoma"/>
                <w:b/>
                <w:bCs/>
                <w:sz w:val="19"/>
                <w:szCs w:val="19"/>
                <w:rtl/>
              </w:rPr>
              <w:t>עמק הירדן</w:t>
            </w:r>
            <w:r w:rsidRPr="00E303A0">
              <w:rPr>
                <w:rFonts w:ascii="Tahoma" w:hAnsi="Tahoma" w:cs="Tahoma"/>
                <w:sz w:val="19"/>
                <w:szCs w:val="19"/>
                <w:rtl/>
              </w:rPr>
              <w:t xml:space="preserve"> להכין תוכניות מענה לתרחישי הייחוס שלהן.</w:t>
            </w:r>
            <w:r w:rsidRPr="00E303A0">
              <w:rPr>
                <w:rFonts w:ascii="Tahoma" w:hAnsi="Tahoma" w:cs="Tahoma"/>
                <w:rtl/>
              </w:rPr>
              <w:t xml:space="preserve"> </w:t>
            </w:r>
            <w:r w:rsidRPr="00E303A0">
              <w:rPr>
                <w:rFonts w:ascii="Tahoma" w:hAnsi="Tahoma" w:cs="Tahoma"/>
                <w:sz w:val="19"/>
                <w:szCs w:val="19"/>
                <w:rtl/>
              </w:rPr>
              <w:t xml:space="preserve">על פקע"ר להנחות את הרשויות המקומיות לעדכן את תוכניות המענה לקליטת אוכלוסייה בהתאם לתרחישי הייחוס הרלוונטיים ובעקבות לקחי מלחמת חרבות ברזל. </w:t>
            </w:r>
          </w:p>
          <w:p w:rsidR="00D85FD7" w:rsidRPr="00E303A0" w:rsidP="00684D20">
            <w:pPr>
              <w:pStyle w:val="ListParagraph"/>
              <w:numPr>
                <w:ilvl w:val="0"/>
                <w:numId w:val="12"/>
              </w:numPr>
              <w:spacing w:after="240" w:line="288" w:lineRule="auto"/>
              <w:ind w:left="481" w:right="173" w:hanging="481"/>
              <w:contextualSpacing w:val="0"/>
              <w:rPr>
                <w:rFonts w:ascii="Tahoma" w:hAnsi="Tahoma" w:cs="Tahoma"/>
                <w:sz w:val="19"/>
                <w:szCs w:val="19"/>
              </w:rPr>
            </w:pPr>
            <w:r w:rsidRPr="00E303A0">
              <w:rPr>
                <w:rFonts w:ascii="Tahoma" w:hAnsi="Tahoma" w:cs="Tahoma"/>
                <w:sz w:val="19"/>
                <w:szCs w:val="19"/>
                <w:rtl/>
              </w:rPr>
              <w:t xml:space="preserve">על אגף פס"ח להקפיד לבצע ביקורות במתקני הקליטה הארציים מדי שנתיים, כנדרש בנוהל 24. </w:t>
            </w:r>
          </w:p>
          <w:p w:rsidR="00D85FD7" w:rsidRPr="00E303A0" w:rsidP="002F6795">
            <w:pPr>
              <w:pStyle w:val="ListParagraph"/>
              <w:numPr>
                <w:ilvl w:val="0"/>
                <w:numId w:val="12"/>
              </w:numPr>
              <w:spacing w:after="240" w:line="288" w:lineRule="auto"/>
              <w:ind w:left="481" w:right="173" w:hanging="481"/>
              <w:contextualSpacing w:val="0"/>
              <w:rPr>
                <w:rFonts w:ascii="Tahoma" w:hAnsi="Tahoma" w:cs="Tahoma"/>
                <w:sz w:val="19"/>
                <w:szCs w:val="19"/>
              </w:rPr>
            </w:pPr>
            <w:r w:rsidRPr="00E303A0">
              <w:rPr>
                <w:rFonts w:ascii="Tahoma" w:hAnsi="Tahoma" w:cs="Tahoma"/>
                <w:sz w:val="19"/>
                <w:szCs w:val="19"/>
                <w:rtl/>
              </w:rPr>
              <w:t>על אגף פס"ח לפעול כנדרש בנהליו ול</w:t>
            </w:r>
            <w:r w:rsidRPr="00E303A0">
              <w:rPr>
                <w:rFonts w:ascii="Tahoma" w:hAnsi="Tahoma" w:cs="Tahoma"/>
                <w:sz w:val="19"/>
                <w:szCs w:val="19"/>
                <w:rtl/>
              </w:rPr>
              <w:t>קיים הדרכות לסגלי מתקני הקליטה הארציים בהיבטים הייחודיים לקליטת מפונים וכן להפיץ לומדה מתאימה לגבי ההיבטים הייחודיים של קליטת מפונים במלונות. זאת בין היתר בהתבסס על הניסיון שנצבר במלחמת חרבות ברזל. כמו כן, על אגף פס"ח לערוך תרגילים במתקני הקליטה הארציים, כ</w:t>
            </w:r>
            <w:r w:rsidRPr="00E303A0">
              <w:rPr>
                <w:rFonts w:ascii="Tahoma" w:hAnsi="Tahoma" w:cs="Tahoma"/>
                <w:sz w:val="19"/>
                <w:szCs w:val="19"/>
                <w:rtl/>
              </w:rPr>
              <w:t xml:space="preserve">פי שנקבע בנוהל 24 שכן ביצוע תרגילים הוא אבן יסוד במוכנות ובהיערכות לשעת חירום. </w:t>
            </w:r>
          </w:p>
          <w:p w:rsidR="00D85FD7" w:rsidRPr="002F6795" w:rsidP="002F6795">
            <w:pPr>
              <w:pStyle w:val="ListParagraph"/>
              <w:numPr>
                <w:ilvl w:val="0"/>
                <w:numId w:val="12"/>
              </w:numPr>
              <w:spacing w:after="240" w:line="288" w:lineRule="auto"/>
              <w:ind w:left="481" w:right="173" w:hanging="481"/>
              <w:contextualSpacing w:val="0"/>
              <w:rPr>
                <w:rFonts w:ascii="Tahoma" w:hAnsi="Tahoma" w:cs="Tahoma"/>
                <w:sz w:val="19"/>
                <w:szCs w:val="19"/>
              </w:rPr>
            </w:pPr>
            <w:r w:rsidRPr="00E303A0">
              <w:rPr>
                <w:rFonts w:ascii="Tahoma" w:hAnsi="Tahoma" w:cs="Tahoma"/>
                <w:sz w:val="19"/>
                <w:szCs w:val="19"/>
                <w:rtl/>
              </w:rPr>
              <w:t xml:space="preserve">על עיריות </w:t>
            </w:r>
            <w:r w:rsidRPr="00E303A0">
              <w:rPr>
                <w:rFonts w:ascii="Tahoma" w:hAnsi="Tahoma" w:cs="Tahoma"/>
                <w:b/>
                <w:bCs/>
                <w:sz w:val="19"/>
                <w:szCs w:val="19"/>
                <w:rtl/>
              </w:rPr>
              <w:t>הרצלייה</w:t>
            </w:r>
            <w:r w:rsidRPr="00E303A0">
              <w:rPr>
                <w:rFonts w:ascii="Tahoma" w:hAnsi="Tahoma" w:cs="Tahoma"/>
                <w:sz w:val="19"/>
                <w:szCs w:val="19"/>
                <w:rtl/>
              </w:rPr>
              <w:t xml:space="preserve">, </w:t>
            </w:r>
            <w:r w:rsidRPr="00E303A0">
              <w:rPr>
                <w:rFonts w:ascii="Tahoma" w:hAnsi="Tahoma" w:cs="Tahoma"/>
                <w:b/>
                <w:bCs/>
                <w:sz w:val="19"/>
                <w:szCs w:val="19"/>
                <w:rtl/>
              </w:rPr>
              <w:t>חיפה</w:t>
            </w:r>
            <w:r w:rsidRPr="00E303A0">
              <w:rPr>
                <w:rFonts w:ascii="Tahoma" w:hAnsi="Tahoma" w:cs="Tahoma"/>
                <w:sz w:val="19"/>
                <w:szCs w:val="19"/>
                <w:rtl/>
              </w:rPr>
              <w:t xml:space="preserve">, </w:t>
            </w:r>
            <w:r w:rsidRPr="00E303A0">
              <w:rPr>
                <w:rFonts w:ascii="Tahoma" w:hAnsi="Tahoma" w:cs="Tahoma"/>
                <w:b/>
                <w:bCs/>
                <w:sz w:val="19"/>
                <w:szCs w:val="19"/>
                <w:rtl/>
              </w:rPr>
              <w:t>טבריה</w:t>
            </w:r>
            <w:r w:rsidRPr="00E303A0">
              <w:rPr>
                <w:rFonts w:ascii="Tahoma" w:hAnsi="Tahoma" w:cs="Tahoma"/>
                <w:sz w:val="19"/>
                <w:szCs w:val="19"/>
                <w:rtl/>
              </w:rPr>
              <w:t xml:space="preserve">, </w:t>
            </w:r>
            <w:r w:rsidRPr="00E303A0">
              <w:rPr>
                <w:rFonts w:ascii="Tahoma" w:hAnsi="Tahoma" w:cs="Tahoma"/>
                <w:b/>
                <w:bCs/>
                <w:sz w:val="19"/>
                <w:szCs w:val="19"/>
                <w:rtl/>
              </w:rPr>
              <w:t>ירושלים</w:t>
            </w:r>
            <w:r w:rsidRPr="00E303A0">
              <w:rPr>
                <w:rFonts w:ascii="Tahoma" w:hAnsi="Tahoma" w:cs="Tahoma"/>
                <w:sz w:val="19"/>
                <w:szCs w:val="19"/>
                <w:rtl/>
              </w:rPr>
              <w:t xml:space="preserve">, </w:t>
            </w:r>
            <w:r w:rsidRPr="00E303A0">
              <w:rPr>
                <w:rFonts w:ascii="Tahoma" w:hAnsi="Tahoma" w:cs="Tahoma"/>
                <w:b/>
                <w:bCs/>
                <w:sz w:val="19"/>
                <w:szCs w:val="19"/>
                <w:rtl/>
              </w:rPr>
              <w:t>נוף הגליל</w:t>
            </w:r>
            <w:r w:rsidRPr="00E303A0">
              <w:rPr>
                <w:rFonts w:ascii="Tahoma" w:hAnsi="Tahoma" w:cs="Tahoma"/>
                <w:sz w:val="19"/>
                <w:szCs w:val="19"/>
                <w:rtl/>
              </w:rPr>
              <w:t xml:space="preserve">, </w:t>
            </w:r>
            <w:r w:rsidRPr="00E303A0">
              <w:rPr>
                <w:rFonts w:ascii="Tahoma" w:hAnsi="Tahoma" w:cs="Tahoma"/>
                <w:b/>
                <w:bCs/>
                <w:sz w:val="19"/>
                <w:szCs w:val="19"/>
                <w:rtl/>
              </w:rPr>
              <w:t>נתניה</w:t>
            </w:r>
            <w:r w:rsidRPr="00E303A0">
              <w:rPr>
                <w:rFonts w:ascii="Tahoma" w:hAnsi="Tahoma" w:cs="Tahoma"/>
                <w:sz w:val="19"/>
                <w:szCs w:val="19"/>
                <w:rtl/>
              </w:rPr>
              <w:t xml:space="preserve">, </w:t>
            </w:r>
            <w:r w:rsidRPr="00E303A0">
              <w:rPr>
                <w:rFonts w:ascii="Tahoma" w:hAnsi="Tahoma" w:cs="Tahoma"/>
                <w:b/>
                <w:bCs/>
                <w:sz w:val="19"/>
                <w:szCs w:val="19"/>
                <w:rtl/>
              </w:rPr>
              <w:t>רמת גן</w:t>
            </w:r>
            <w:r w:rsidRPr="00E303A0">
              <w:rPr>
                <w:rFonts w:ascii="Tahoma" w:hAnsi="Tahoma" w:cs="Tahoma"/>
                <w:sz w:val="19"/>
                <w:szCs w:val="19"/>
                <w:rtl/>
              </w:rPr>
              <w:t xml:space="preserve">, </w:t>
            </w:r>
            <w:r w:rsidRPr="00E303A0">
              <w:rPr>
                <w:rFonts w:ascii="Tahoma" w:hAnsi="Tahoma" w:cs="Tahoma"/>
                <w:b/>
                <w:bCs/>
                <w:sz w:val="19"/>
                <w:szCs w:val="19"/>
                <w:rtl/>
              </w:rPr>
              <w:t>תל אביב-יפו</w:t>
            </w:r>
            <w:r w:rsidRPr="00E303A0">
              <w:rPr>
                <w:rFonts w:ascii="Tahoma" w:hAnsi="Tahoma" w:cs="Tahoma"/>
                <w:sz w:val="19"/>
                <w:szCs w:val="19"/>
                <w:rtl/>
              </w:rPr>
              <w:t xml:space="preserve">, המועצה המקומית </w:t>
            </w:r>
            <w:r w:rsidRPr="00E303A0">
              <w:rPr>
                <w:rFonts w:ascii="Tahoma" w:hAnsi="Tahoma" w:cs="Tahoma"/>
                <w:b/>
                <w:bCs/>
                <w:sz w:val="19"/>
                <w:szCs w:val="19"/>
                <w:rtl/>
              </w:rPr>
              <w:t>זיכרון יעקב</w:t>
            </w:r>
            <w:r w:rsidRPr="00E303A0">
              <w:rPr>
                <w:rFonts w:ascii="Tahoma" w:hAnsi="Tahoma" w:cs="Tahoma"/>
                <w:sz w:val="19"/>
                <w:szCs w:val="19"/>
                <w:rtl/>
              </w:rPr>
              <w:t xml:space="preserve"> והמועצות האזוריות </w:t>
            </w:r>
            <w:r w:rsidRPr="00E303A0">
              <w:rPr>
                <w:rFonts w:ascii="Tahoma" w:hAnsi="Tahoma" w:cs="Tahoma"/>
                <w:b/>
                <w:bCs/>
                <w:sz w:val="19"/>
                <w:szCs w:val="19"/>
                <w:rtl/>
              </w:rPr>
              <w:t>חוף הכרמל</w:t>
            </w:r>
            <w:r w:rsidRPr="00E303A0">
              <w:rPr>
                <w:rFonts w:ascii="Tahoma" w:hAnsi="Tahoma" w:cs="Tahoma"/>
                <w:sz w:val="19"/>
                <w:szCs w:val="19"/>
                <w:rtl/>
              </w:rPr>
              <w:t xml:space="preserve">, </w:t>
            </w:r>
            <w:r w:rsidRPr="00E303A0">
              <w:rPr>
                <w:rFonts w:ascii="Tahoma" w:hAnsi="Tahoma" w:cs="Tahoma"/>
                <w:b/>
                <w:bCs/>
                <w:sz w:val="19"/>
                <w:szCs w:val="19"/>
                <w:rtl/>
              </w:rPr>
              <w:t>מטה יהודה</w:t>
            </w:r>
            <w:r w:rsidRPr="00E303A0">
              <w:rPr>
                <w:rFonts w:ascii="Tahoma" w:hAnsi="Tahoma" w:cs="Tahoma"/>
                <w:sz w:val="19"/>
                <w:szCs w:val="19"/>
                <w:rtl/>
              </w:rPr>
              <w:t xml:space="preserve"> ו</w:t>
            </w:r>
            <w:r w:rsidRPr="00E303A0">
              <w:rPr>
                <w:rFonts w:ascii="Tahoma" w:hAnsi="Tahoma" w:cs="Tahoma"/>
                <w:b/>
                <w:bCs/>
                <w:sz w:val="19"/>
                <w:szCs w:val="19"/>
                <w:rtl/>
              </w:rPr>
              <w:t>עמק הירדן</w:t>
            </w:r>
            <w:r w:rsidRPr="00E303A0">
              <w:rPr>
                <w:rFonts w:ascii="Tahoma" w:hAnsi="Tahoma" w:cs="Tahoma"/>
                <w:sz w:val="19"/>
                <w:szCs w:val="19"/>
                <w:rtl/>
              </w:rPr>
              <w:t xml:space="preserve"> להכין תוכנית כוללת </w:t>
            </w:r>
            <w:r w:rsidRPr="00E303A0">
              <w:rPr>
                <w:rFonts w:ascii="Tahoma" w:hAnsi="Tahoma" w:cs="Tahoma"/>
                <w:sz w:val="19"/>
                <w:szCs w:val="19"/>
                <w:rtl/>
              </w:rPr>
              <w:t>לקליטת אוכלוסייה, שתקיף גם מענה לפרט, כנדרש בנוהל 24, ולמפות בה את הפערים הקיימים ככל הניתן. על אגף פס"ח לוודא, בתיאום עם משרדי הממשלה הרלוונטיים, שהרשויות המקומיות הכינו תוכנית מענה כוללת לפרט וכי נערכו למצב חירום כנדרש.</w:t>
            </w:r>
          </w:p>
          <w:p w:rsidR="00D85FD7" w:rsidRPr="00E303A0" w:rsidP="002F6795">
            <w:pPr>
              <w:pStyle w:val="ListParagraph"/>
              <w:numPr>
                <w:ilvl w:val="0"/>
                <w:numId w:val="12"/>
              </w:numPr>
              <w:spacing w:after="240" w:line="288" w:lineRule="auto"/>
              <w:ind w:left="481" w:right="173" w:hanging="481"/>
              <w:contextualSpacing w:val="0"/>
              <w:rPr>
                <w:rFonts w:ascii="Tahoma" w:hAnsi="Tahoma" w:cs="Tahoma"/>
                <w:sz w:val="19"/>
                <w:szCs w:val="19"/>
                <w:rtl/>
              </w:rPr>
            </w:pPr>
            <w:r w:rsidRPr="00E303A0">
              <w:rPr>
                <w:rFonts w:ascii="Tahoma" w:hAnsi="Tahoma" w:cs="Tahoma"/>
                <w:sz w:val="19"/>
                <w:szCs w:val="19"/>
                <w:rtl/>
              </w:rPr>
              <w:t xml:space="preserve">נוכח אחריותו של משרד הפנים כמפורט </w:t>
            </w:r>
            <w:r w:rsidRPr="00E303A0">
              <w:rPr>
                <w:rFonts w:ascii="Tahoma" w:hAnsi="Tahoma" w:cs="Tahoma"/>
                <w:sz w:val="19"/>
                <w:szCs w:val="19"/>
                <w:rtl/>
              </w:rPr>
              <w:t>בהחלטת ממשלה "מלון אורחים", עליו להנחות את הרשויות המקומיות להיערך למתן שירותים בסיסיים לאוכלוסייה מפונה ולפקח עליהן כאמור. עליו לתאם מול משרד האוצר את התקציב שיש להקצות לרשויות המקומיות לצורך קליטה, ולהבטיח גיבוי תקציבי בחירום לרשויות המקומיות. עליו גם לה</w:t>
            </w:r>
            <w:r w:rsidRPr="00E303A0">
              <w:rPr>
                <w:rFonts w:ascii="Tahoma" w:hAnsi="Tahoma" w:cs="Tahoma"/>
                <w:sz w:val="19"/>
                <w:szCs w:val="19"/>
                <w:rtl/>
              </w:rPr>
              <w:t>תוות עקרונות מנחים לבניית תוכנית מענה לפרט לאוכלוסייה נקלטת ובכלל זה לקבוע את רמת הפירוט הנדרשת בכל אחד מהתחומים בתוכנית וכן לוודא קיומם של נהלים רלוונטיים לשעת חירום.</w:t>
            </w:r>
          </w:p>
          <w:p w:rsidR="00D85FD7" w:rsidRPr="00E303A0" w:rsidP="002F6795">
            <w:pPr>
              <w:pStyle w:val="ListParagraph"/>
              <w:numPr>
                <w:ilvl w:val="0"/>
                <w:numId w:val="12"/>
              </w:numPr>
              <w:spacing w:after="240" w:line="288" w:lineRule="auto"/>
              <w:ind w:left="481" w:right="173" w:hanging="481"/>
              <w:contextualSpacing w:val="0"/>
              <w:rPr>
                <w:rFonts w:ascii="Tahoma" w:hAnsi="Tahoma" w:cs="Tahoma"/>
                <w:sz w:val="19"/>
                <w:szCs w:val="19"/>
              </w:rPr>
            </w:pPr>
            <w:r w:rsidRPr="00E303A0">
              <w:rPr>
                <w:rFonts w:ascii="Tahoma" w:hAnsi="Tahoma" w:cs="Tahoma"/>
                <w:sz w:val="19"/>
                <w:szCs w:val="19"/>
                <w:rtl/>
              </w:rPr>
              <w:t xml:space="preserve">נוכח חשיבות הכשרתם של עובדי הרשות המקומית לתפקידם בשעת חירום, השונה באופן מהותי מתפקידם </w:t>
            </w:r>
            <w:r w:rsidRPr="00E303A0">
              <w:rPr>
                <w:rFonts w:ascii="Tahoma" w:hAnsi="Tahoma" w:cs="Tahoma"/>
                <w:sz w:val="19"/>
                <w:szCs w:val="19"/>
                <w:rtl/>
              </w:rPr>
              <w:t xml:space="preserve">בעת שגרה, על הרשויות הקולטות שנבדקו להכשיר את מנהלי המכלולים שלהן ואת סגל מתקני הקליטה המקומיים כנדרש. על עיריות </w:t>
            </w:r>
            <w:r w:rsidRPr="00E303A0">
              <w:rPr>
                <w:rFonts w:ascii="Tahoma" w:hAnsi="Tahoma" w:cs="Tahoma"/>
                <w:b/>
                <w:bCs/>
                <w:sz w:val="19"/>
                <w:szCs w:val="19"/>
                <w:rtl/>
              </w:rPr>
              <w:t>הרצלייה</w:t>
            </w:r>
            <w:r w:rsidRPr="00E303A0">
              <w:rPr>
                <w:rFonts w:ascii="Tahoma" w:hAnsi="Tahoma" w:cs="Tahoma"/>
                <w:sz w:val="19"/>
                <w:szCs w:val="19"/>
                <w:rtl/>
              </w:rPr>
              <w:t xml:space="preserve">, </w:t>
            </w:r>
            <w:r w:rsidRPr="00E303A0">
              <w:rPr>
                <w:rFonts w:ascii="Tahoma" w:hAnsi="Tahoma" w:cs="Tahoma"/>
                <w:b/>
                <w:bCs/>
                <w:sz w:val="19"/>
                <w:szCs w:val="19"/>
                <w:rtl/>
              </w:rPr>
              <w:t>טבריה</w:t>
            </w:r>
            <w:r w:rsidRPr="00E303A0">
              <w:rPr>
                <w:rFonts w:ascii="Tahoma" w:hAnsi="Tahoma" w:cs="Tahoma"/>
                <w:sz w:val="19"/>
                <w:szCs w:val="19"/>
                <w:rtl/>
              </w:rPr>
              <w:t xml:space="preserve">, </w:t>
            </w:r>
            <w:r w:rsidRPr="00E303A0">
              <w:rPr>
                <w:rFonts w:ascii="Tahoma" w:hAnsi="Tahoma" w:cs="Tahoma"/>
                <w:b/>
                <w:bCs/>
                <w:sz w:val="19"/>
                <w:szCs w:val="19"/>
                <w:rtl/>
              </w:rPr>
              <w:t>ירושלים</w:t>
            </w:r>
            <w:r w:rsidRPr="00E303A0">
              <w:rPr>
                <w:rFonts w:ascii="Tahoma" w:hAnsi="Tahoma" w:cs="Tahoma"/>
                <w:sz w:val="19"/>
                <w:szCs w:val="19"/>
                <w:rtl/>
              </w:rPr>
              <w:t xml:space="preserve">, </w:t>
            </w:r>
            <w:r w:rsidRPr="00E303A0">
              <w:rPr>
                <w:rFonts w:ascii="Tahoma" w:hAnsi="Tahoma" w:cs="Tahoma"/>
                <w:b/>
                <w:bCs/>
                <w:sz w:val="19"/>
                <w:szCs w:val="19"/>
                <w:rtl/>
              </w:rPr>
              <w:t>נוף הגליל</w:t>
            </w:r>
            <w:r w:rsidRPr="00E303A0">
              <w:rPr>
                <w:rFonts w:ascii="Tahoma" w:hAnsi="Tahoma" w:cs="Tahoma"/>
                <w:sz w:val="19"/>
                <w:szCs w:val="19"/>
                <w:rtl/>
              </w:rPr>
              <w:t xml:space="preserve">, </w:t>
            </w:r>
            <w:r w:rsidRPr="00E303A0">
              <w:rPr>
                <w:rFonts w:ascii="Tahoma" w:hAnsi="Tahoma" w:cs="Tahoma"/>
                <w:b/>
                <w:bCs/>
                <w:sz w:val="19"/>
                <w:szCs w:val="19"/>
                <w:rtl/>
              </w:rPr>
              <w:t>נתניה</w:t>
            </w:r>
            <w:r w:rsidRPr="00E303A0">
              <w:rPr>
                <w:rFonts w:ascii="Tahoma" w:hAnsi="Tahoma" w:cs="Tahoma"/>
                <w:sz w:val="19"/>
                <w:szCs w:val="19"/>
                <w:rtl/>
              </w:rPr>
              <w:t xml:space="preserve">, </w:t>
            </w:r>
            <w:r w:rsidRPr="00E303A0">
              <w:rPr>
                <w:rFonts w:ascii="Tahoma" w:hAnsi="Tahoma" w:cs="Tahoma"/>
                <w:b/>
                <w:bCs/>
                <w:sz w:val="19"/>
                <w:szCs w:val="19"/>
                <w:rtl/>
              </w:rPr>
              <w:t>רמת גן</w:t>
            </w:r>
            <w:r w:rsidRPr="00E303A0">
              <w:rPr>
                <w:rFonts w:ascii="Tahoma" w:hAnsi="Tahoma" w:cs="Tahoma"/>
                <w:sz w:val="19"/>
                <w:szCs w:val="19"/>
                <w:rtl/>
              </w:rPr>
              <w:t xml:space="preserve"> ו</w:t>
            </w:r>
            <w:r w:rsidRPr="00E303A0">
              <w:rPr>
                <w:rFonts w:ascii="Tahoma" w:hAnsi="Tahoma" w:cs="Tahoma"/>
                <w:b/>
                <w:bCs/>
                <w:sz w:val="19"/>
                <w:szCs w:val="19"/>
                <w:rtl/>
              </w:rPr>
              <w:t>תל אביב-יפו</w:t>
            </w:r>
            <w:r w:rsidRPr="00E303A0">
              <w:rPr>
                <w:rFonts w:ascii="Tahoma" w:hAnsi="Tahoma" w:cs="Tahoma"/>
                <w:sz w:val="19"/>
                <w:szCs w:val="19"/>
                <w:rtl/>
              </w:rPr>
              <w:t xml:space="preserve">, המועצה המקומית </w:t>
            </w:r>
            <w:r w:rsidRPr="00E303A0">
              <w:rPr>
                <w:rFonts w:ascii="Tahoma" w:hAnsi="Tahoma" w:cs="Tahoma"/>
                <w:b/>
                <w:bCs/>
                <w:sz w:val="19"/>
                <w:szCs w:val="19"/>
                <w:rtl/>
              </w:rPr>
              <w:t>זיכרון יעקב</w:t>
            </w:r>
            <w:r w:rsidRPr="00E303A0">
              <w:rPr>
                <w:rFonts w:ascii="Tahoma" w:hAnsi="Tahoma" w:cs="Tahoma"/>
                <w:sz w:val="19"/>
                <w:szCs w:val="19"/>
                <w:rtl/>
              </w:rPr>
              <w:t xml:space="preserve"> והמועצות האזורית </w:t>
            </w:r>
            <w:r w:rsidRPr="00E303A0">
              <w:rPr>
                <w:rFonts w:ascii="Tahoma" w:hAnsi="Tahoma" w:cs="Tahoma"/>
                <w:b/>
                <w:bCs/>
                <w:sz w:val="19"/>
                <w:szCs w:val="19"/>
                <w:rtl/>
              </w:rPr>
              <w:t>מטה יהודה</w:t>
            </w:r>
            <w:r w:rsidRPr="00E303A0">
              <w:rPr>
                <w:rFonts w:ascii="Tahoma" w:hAnsi="Tahoma" w:cs="Tahoma"/>
                <w:sz w:val="19"/>
                <w:szCs w:val="19"/>
                <w:rtl/>
              </w:rPr>
              <w:t xml:space="preserve">, </w:t>
            </w:r>
            <w:r w:rsidRPr="00E303A0">
              <w:rPr>
                <w:rFonts w:ascii="Tahoma" w:hAnsi="Tahoma" w:cs="Tahoma"/>
                <w:b/>
                <w:bCs/>
                <w:sz w:val="19"/>
                <w:szCs w:val="19"/>
                <w:rtl/>
              </w:rPr>
              <w:t>חוף הכרמל</w:t>
            </w:r>
            <w:r w:rsidRPr="00E303A0">
              <w:rPr>
                <w:rFonts w:ascii="Tahoma" w:hAnsi="Tahoma" w:cs="Tahoma"/>
                <w:sz w:val="19"/>
                <w:szCs w:val="19"/>
                <w:rtl/>
              </w:rPr>
              <w:t xml:space="preserve">, </w:t>
            </w:r>
            <w:r w:rsidRPr="00E303A0">
              <w:rPr>
                <w:rFonts w:ascii="Tahoma" w:hAnsi="Tahoma" w:cs="Tahoma"/>
                <w:b/>
                <w:bCs/>
                <w:sz w:val="19"/>
                <w:szCs w:val="19"/>
                <w:rtl/>
              </w:rPr>
              <w:t>עמק הירדן</w:t>
            </w:r>
            <w:r w:rsidRPr="00E303A0">
              <w:rPr>
                <w:rFonts w:ascii="Tahoma" w:hAnsi="Tahoma" w:cs="Tahoma"/>
                <w:sz w:val="19"/>
                <w:szCs w:val="19"/>
                <w:rtl/>
              </w:rPr>
              <w:t xml:space="preserve"> ו</w:t>
            </w:r>
            <w:r w:rsidRPr="00E303A0">
              <w:rPr>
                <w:rFonts w:ascii="Tahoma" w:hAnsi="Tahoma" w:cs="Tahoma"/>
                <w:b/>
                <w:bCs/>
                <w:sz w:val="19"/>
                <w:szCs w:val="19"/>
                <w:rtl/>
              </w:rPr>
              <w:t>תמר</w:t>
            </w:r>
            <w:r w:rsidRPr="00E303A0">
              <w:rPr>
                <w:rFonts w:ascii="Tahoma" w:hAnsi="Tahoma" w:cs="Tahoma"/>
                <w:sz w:val="19"/>
                <w:szCs w:val="19"/>
                <w:rtl/>
              </w:rPr>
              <w:t xml:space="preserve"> לדאוג להכשרת כלל מנהלי המכלולים שלהן לתפקידם בשעת חירום. כמו כן, על עיריית </w:t>
            </w:r>
            <w:r w:rsidRPr="00E303A0">
              <w:rPr>
                <w:rFonts w:ascii="Tahoma" w:hAnsi="Tahoma" w:cs="Tahoma"/>
                <w:b/>
                <w:bCs/>
                <w:sz w:val="19"/>
                <w:szCs w:val="19"/>
                <w:rtl/>
              </w:rPr>
              <w:t>אילת</w:t>
            </w:r>
            <w:r w:rsidRPr="00E303A0">
              <w:rPr>
                <w:rFonts w:ascii="Tahoma" w:hAnsi="Tahoma" w:cs="Tahoma"/>
                <w:sz w:val="19"/>
                <w:szCs w:val="19"/>
                <w:rtl/>
              </w:rPr>
              <w:t xml:space="preserve"> והמועצות האזוריות </w:t>
            </w:r>
            <w:r w:rsidRPr="00E303A0">
              <w:rPr>
                <w:rFonts w:ascii="Tahoma" w:hAnsi="Tahoma" w:cs="Tahoma"/>
                <w:b/>
                <w:bCs/>
                <w:sz w:val="19"/>
                <w:szCs w:val="19"/>
                <w:rtl/>
              </w:rPr>
              <w:t>מטה יהודה</w:t>
            </w:r>
            <w:r w:rsidRPr="00E303A0">
              <w:rPr>
                <w:rFonts w:ascii="Tahoma" w:hAnsi="Tahoma" w:cs="Tahoma"/>
                <w:sz w:val="19"/>
                <w:szCs w:val="19"/>
                <w:rtl/>
              </w:rPr>
              <w:t xml:space="preserve"> ו</w:t>
            </w:r>
            <w:r w:rsidRPr="00E303A0">
              <w:rPr>
                <w:rFonts w:ascii="Tahoma" w:hAnsi="Tahoma" w:cs="Tahoma"/>
                <w:b/>
                <w:bCs/>
                <w:sz w:val="19"/>
                <w:szCs w:val="19"/>
                <w:rtl/>
              </w:rPr>
              <w:t xml:space="preserve">עמק הירדן </w:t>
            </w:r>
            <w:r w:rsidRPr="00E303A0">
              <w:rPr>
                <w:rFonts w:ascii="Tahoma" w:hAnsi="Tahoma" w:cs="Tahoma"/>
                <w:sz w:val="19"/>
                <w:szCs w:val="19"/>
                <w:rtl/>
              </w:rPr>
              <w:t>להכשיר את סגל מתקני</w:t>
            </w:r>
            <w:r w:rsidR="002F6795">
              <w:rPr>
                <w:rFonts w:ascii="Tahoma" w:hAnsi="Tahoma" w:cs="Tahoma"/>
                <w:sz w:val="19"/>
                <w:szCs w:val="19"/>
                <w:rtl/>
              </w:rPr>
              <w:br/>
            </w:r>
            <w:r w:rsidR="002F6795">
              <w:rPr>
                <w:rFonts w:ascii="Tahoma" w:hAnsi="Tahoma" w:cs="Tahoma"/>
                <w:sz w:val="19"/>
                <w:szCs w:val="19"/>
                <w:rtl/>
              </w:rPr>
              <w:br/>
            </w:r>
            <w:r w:rsidRPr="002F6795" w:rsidR="002F6795">
              <w:rPr>
                <w:rFonts w:ascii="Tahoma" w:hAnsi="Tahoma" w:cs="Tahoma"/>
                <w:sz w:val="13"/>
                <w:szCs w:val="13"/>
                <w:rtl/>
              </w:rPr>
              <w:br/>
            </w:r>
            <w:r w:rsidRPr="00E303A0">
              <w:rPr>
                <w:rFonts w:ascii="Tahoma" w:hAnsi="Tahoma" w:cs="Tahoma"/>
                <w:sz w:val="19"/>
                <w:szCs w:val="19"/>
                <w:rtl/>
              </w:rPr>
              <w:t>הקליטה המקומיים שלהן כנדרש. מומלץ כי הרשויות המקומיות שנבדקו יבצעו מיפוי של צורכיהן בשעת חירום בהתאם למענה לתרח</w:t>
            </w:r>
            <w:r w:rsidRPr="00E303A0">
              <w:rPr>
                <w:rFonts w:ascii="Tahoma" w:hAnsi="Tahoma" w:cs="Tahoma"/>
                <w:sz w:val="19"/>
                <w:szCs w:val="19"/>
                <w:rtl/>
              </w:rPr>
              <w:t>ישי הייחוס הרלוונטי עבורן ויפעלו לעדכון ההכשרות הנדרשות לכוח האדם, בהתאם למצבי החירום השונים וללקחים ממלחמת חרבות ברזל.</w:t>
            </w:r>
          </w:p>
          <w:p w:rsidR="00AE4BB7" w:rsidRPr="00BE22D7" w:rsidP="002F6795">
            <w:pPr>
              <w:pStyle w:val="ListParagraph"/>
              <w:numPr>
                <w:ilvl w:val="0"/>
                <w:numId w:val="12"/>
              </w:numPr>
              <w:spacing w:after="240" w:line="288" w:lineRule="auto"/>
              <w:ind w:left="481" w:right="173" w:hanging="481"/>
              <w:contextualSpacing w:val="0"/>
              <w:rPr>
                <w:rtl/>
              </w:rPr>
            </w:pPr>
            <w:r w:rsidRPr="00E303A0">
              <w:rPr>
                <w:rFonts w:ascii="Tahoma" w:hAnsi="Tahoma" w:cs="Tahoma"/>
                <w:sz w:val="19"/>
                <w:szCs w:val="19"/>
                <w:rtl/>
              </w:rPr>
              <w:t xml:space="preserve">נוכח החשיבות הרבה של הכשרת מתנדבים עוד בעת שגרה כדי שיוכלו לפעול ולסייע בעיתות חירום, על המועצה האזורית </w:t>
            </w:r>
            <w:r w:rsidRPr="00E303A0">
              <w:rPr>
                <w:rFonts w:ascii="Tahoma" w:hAnsi="Tahoma" w:cs="Tahoma"/>
                <w:b/>
                <w:bCs/>
                <w:sz w:val="19"/>
                <w:szCs w:val="19"/>
                <w:rtl/>
              </w:rPr>
              <w:t>תמר</w:t>
            </w:r>
            <w:r w:rsidRPr="00E303A0">
              <w:rPr>
                <w:rFonts w:ascii="Tahoma" w:hAnsi="Tahoma" w:cs="Tahoma"/>
                <w:sz w:val="19"/>
                <w:szCs w:val="19"/>
                <w:rtl/>
              </w:rPr>
              <w:t xml:space="preserve"> לפעול בעת שגרה להכשרת מתנדבי</w:t>
            </w:r>
            <w:r w:rsidRPr="00E303A0">
              <w:rPr>
                <w:rFonts w:ascii="Tahoma" w:hAnsi="Tahoma" w:cs="Tahoma"/>
                <w:sz w:val="19"/>
                <w:szCs w:val="19"/>
                <w:rtl/>
              </w:rPr>
              <w:t xml:space="preserve">ם לצורך התמודדות עם מצבי חירום; על עיריית </w:t>
            </w:r>
            <w:r w:rsidRPr="00E303A0">
              <w:rPr>
                <w:rFonts w:ascii="Tahoma" w:hAnsi="Tahoma" w:cs="Tahoma"/>
                <w:b/>
                <w:bCs/>
                <w:sz w:val="19"/>
                <w:szCs w:val="19"/>
                <w:rtl/>
              </w:rPr>
              <w:t>טבריה</w:t>
            </w:r>
            <w:r w:rsidRPr="00E303A0">
              <w:rPr>
                <w:rFonts w:ascii="Tahoma" w:hAnsi="Tahoma" w:cs="Tahoma"/>
                <w:sz w:val="19"/>
                <w:szCs w:val="19"/>
                <w:rtl/>
              </w:rPr>
              <w:t xml:space="preserve"> והמועצה המקומית </w:t>
            </w:r>
            <w:r w:rsidRPr="00E303A0">
              <w:rPr>
                <w:rFonts w:ascii="Tahoma" w:hAnsi="Tahoma" w:cs="Tahoma"/>
                <w:b/>
                <w:bCs/>
                <w:sz w:val="19"/>
                <w:szCs w:val="19"/>
                <w:rtl/>
              </w:rPr>
              <w:t>זיכרון יעקב</w:t>
            </w:r>
            <w:r w:rsidRPr="00E303A0">
              <w:rPr>
                <w:rFonts w:ascii="Tahoma" w:hAnsi="Tahoma" w:cs="Tahoma"/>
                <w:sz w:val="19"/>
                <w:szCs w:val="19"/>
                <w:rtl/>
              </w:rPr>
              <w:t xml:space="preserve"> לפעול לקבלת מידע על הכשרת המתנדבים בארגוני המתנדבים שעימם הן בקשר.</w:t>
            </w:r>
            <w:r w:rsidRPr="00E303A0">
              <w:rPr>
                <w:rFonts w:ascii="Tahoma" w:hAnsi="Tahoma" w:cs="Tahoma"/>
                <w:rtl/>
              </w:rPr>
              <w:t xml:space="preserve"> </w:t>
            </w:r>
            <w:r w:rsidRPr="00E303A0">
              <w:rPr>
                <w:rFonts w:ascii="Tahoma" w:hAnsi="Tahoma" w:cs="Tahoma"/>
                <w:sz w:val="19"/>
                <w:szCs w:val="19"/>
                <w:rtl/>
              </w:rPr>
              <w:t xml:space="preserve">מומלץ לרשויות שנבדקו לוודא שההכשרות למתנדבים נעשות לגבי כלל המשימות הצפויות להם בשעת חירום, לרבות הכשרות שיתאימו </w:t>
            </w:r>
            <w:r w:rsidRPr="00E303A0">
              <w:rPr>
                <w:rFonts w:ascii="Tahoma" w:hAnsi="Tahoma" w:cs="Tahoma"/>
                <w:sz w:val="19"/>
                <w:szCs w:val="19"/>
                <w:rtl/>
              </w:rPr>
              <w:t>למשימות הנוגעות לקליטת מפונים. זאת בהתאם לתרחישי הייחוס ותוכניות המענה לפרט הרלוונטיות לכל רשות מקומית ובהתאם ללקחים שניתן להפיק מאירועי מלחמת חרבות ברזל.</w:t>
            </w:r>
          </w:p>
        </w:tc>
      </w:tr>
    </w:tbl>
    <w:p w:rsidR="00AE4BB7" w:rsidP="00AE4BB7">
      <w:pPr>
        <w:bidi w:val="0"/>
        <w:spacing w:after="160" w:line="259" w:lineRule="auto"/>
        <w:ind w:left="-1"/>
        <w:jc w:val="left"/>
        <w:rPr>
          <w:sz w:val="2"/>
          <w:szCs w:val="2"/>
        </w:rPr>
      </w:pPr>
    </w:p>
    <w:p w:rsidR="004E0191" w:rsidP="004E0191">
      <w:pPr>
        <w:bidi w:val="0"/>
        <w:spacing w:after="160" w:line="259" w:lineRule="auto"/>
        <w:ind w:left="-1"/>
        <w:jc w:val="left"/>
        <w:rPr>
          <w:sz w:val="2"/>
          <w:szCs w:val="2"/>
        </w:rPr>
      </w:pPr>
    </w:p>
    <w:p w:rsidR="004E0191" w:rsidP="004E0191">
      <w:pPr>
        <w:bidi w:val="0"/>
        <w:spacing w:after="160" w:line="259" w:lineRule="auto"/>
        <w:ind w:left="-1"/>
        <w:jc w:val="left"/>
        <w:rPr>
          <w:sz w:val="2"/>
          <w:szCs w:val="2"/>
          <w:rtl/>
        </w:rPr>
      </w:pPr>
    </w:p>
    <w:p w:rsidR="00780272" w:rsidP="00780272">
      <w:pPr>
        <w:bidi w:val="0"/>
        <w:spacing w:after="160" w:line="259" w:lineRule="auto"/>
        <w:ind w:left="-1"/>
        <w:jc w:val="left"/>
        <w:rPr>
          <w:sz w:val="2"/>
          <w:szCs w:val="2"/>
          <w:rtl/>
        </w:rPr>
      </w:pPr>
      <w:r w:rsidRPr="00D527BD">
        <w:rPr>
          <w:noProof/>
          <w:szCs w:val="20"/>
          <w:rtl/>
        </w:rPr>
        <w:drawing>
          <wp:anchor distT="0" distB="0" distL="114300" distR="114300" simplePos="0" relativeHeight="251659264" behindDoc="0" locked="0" layoutInCell="1" allowOverlap="1">
            <wp:simplePos x="0" y="0"/>
            <wp:positionH relativeFrom="column">
              <wp:posOffset>1340722</wp:posOffset>
            </wp:positionH>
            <wp:positionV relativeFrom="paragraph">
              <wp:posOffset>112338</wp:posOffset>
            </wp:positionV>
            <wp:extent cx="4541397" cy="761365"/>
            <wp:effectExtent l="0" t="0" r="0" b="635"/>
            <wp:wrapNone/>
            <wp:docPr id="1451066646" name="Picture 5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66646" name="Picture 54">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51158" cy="763001"/>
                    </a:xfrm>
                    <a:prstGeom prst="rect">
                      <a:avLst/>
                    </a:prstGeom>
                  </pic:spPr>
                </pic:pic>
              </a:graphicData>
            </a:graphic>
            <wp14:sizeRelH relativeFrom="margin">
              <wp14:pctWidth>0</wp14:pctWidth>
            </wp14:sizeRelH>
            <wp14:sizeRelV relativeFrom="margin">
              <wp14:pctHeight>0</wp14:pctHeight>
            </wp14:sizeRelV>
          </wp:anchor>
        </w:drawing>
      </w:r>
    </w:p>
    <w:p w:rsidR="00AE4BB7" w:rsidRPr="00D57BE9" w:rsidP="00AE4BB7">
      <w:pPr>
        <w:rPr>
          <w:rtl/>
        </w:rPr>
      </w:pPr>
      <w:r w:rsidRPr="00D527BD">
        <w:rPr>
          <w:noProof/>
          <w:szCs w:val="20"/>
          <w:rtl/>
        </w:rPr>
        <mc:AlternateContent>
          <mc:Choice Requires="wps">
            <w:drawing>
              <wp:anchor distT="0" distB="0" distL="114300" distR="114300" simplePos="0" relativeHeight="251660288" behindDoc="0" locked="0" layoutInCell="1" allowOverlap="1">
                <wp:simplePos x="0" y="0"/>
                <wp:positionH relativeFrom="column">
                  <wp:posOffset>1563145</wp:posOffset>
                </wp:positionH>
                <wp:positionV relativeFrom="paragraph">
                  <wp:posOffset>106585</wp:posOffset>
                </wp:positionV>
                <wp:extent cx="4089862" cy="434975"/>
                <wp:effectExtent l="0" t="0" r="6350" b="3175"/>
                <wp:wrapNone/>
                <wp:docPr id="1451066629"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89862" cy="434975"/>
                        </a:xfrm>
                        <a:prstGeom prst="rect">
                          <a:avLst/>
                        </a:prstGeom>
                        <a:solidFill>
                          <a:srgbClr val="F05260"/>
                        </a:solidFill>
                        <a:ln w="9525">
                          <a:noFill/>
                          <a:miter lim="800000"/>
                          <a:headEnd/>
                          <a:tailEnd/>
                        </a:ln>
                      </wps:spPr>
                      <wps:txbx>
                        <w:txbxContent>
                          <w:p w:rsidR="00AE4BB7" w:rsidRPr="005C7ABF" w:rsidP="00E07C3D">
                            <w:pPr>
                              <w:pStyle w:val="733"/>
                              <w:ind w:left="-11"/>
                              <w:rPr>
                                <w:rtl/>
                              </w:rPr>
                            </w:pPr>
                            <w:r w:rsidRPr="00D85FD7">
                              <w:rPr>
                                <w:rtl/>
                              </w:rPr>
                              <w:t>מערך קליטת המפונים ברשות המקומית</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width:322.05pt;height:34.25pt;margin-top:8.4pt;margin-left:123.1pt;mso-height-percent:0;mso-height-relative:margin;mso-width-percent:0;mso-width-relative:margin;mso-wrap-distance-bottom:0;mso-wrap-distance-left:9pt;mso-wrap-distance-right:9pt;mso-wrap-distance-top:0;mso-wrap-style:square;position:absolute;visibility:visible;v-text-anchor:middle;z-index:251661312" fillcolor="#f05260" stroked="f">
                <v:textbox>
                  <w:txbxContent>
                    <w:p w:rsidR="00AE4BB7" w:rsidRPr="005C7ABF" w:rsidP="00E07C3D">
                      <w:pPr>
                        <w:pStyle w:val="733"/>
                        <w:ind w:left="-11"/>
                        <w:rPr>
                          <w:rtl/>
                        </w:rPr>
                      </w:pPr>
                      <w:r w:rsidRPr="00D85FD7">
                        <w:rPr>
                          <w:rtl/>
                        </w:rPr>
                        <w:t>מערך קליטת המפונים ברשות המקומית</w:t>
                      </w:r>
                    </w:p>
                  </w:txbxContent>
                </v:textbox>
              </v:shape>
            </w:pict>
          </mc:Fallback>
        </mc:AlternateContent>
      </w:r>
    </w:p>
    <w:p w:rsidR="00AE4BB7" w:rsidRPr="00D57BE9" w:rsidP="00AE4BB7">
      <w:pPr>
        <w:spacing w:before="840"/>
        <w:rPr>
          <w:rtl/>
        </w:rPr>
      </w:pPr>
      <w:r w:rsidRPr="00D85FD7">
        <w:rPr>
          <w:rFonts w:ascii="Tahoma" w:eastAsia="Calibri" w:hAnsi="Tahoma" w:cs="Tahoma"/>
          <w:noProof/>
          <w:rtl/>
        </w:rPr>
        <w:drawing>
          <wp:inline distT="0" distB="0" distL="0" distR="0">
            <wp:extent cx="5220335" cy="2419350"/>
            <wp:effectExtent l="0" t="0" r="0" b="0"/>
            <wp:docPr id="3" name="דיאגרמה 3" descr="תרשים המפרט את ארבעת המרכיבים של מערך קליטת המפונים ברשות המקומית: מתקן שהוא התשתית לקליטה, מיגון לפי הנחיות פיקוד העורף, אמצעי לינה ותפעול - כולל סניטציה וכלכלה, וכוח אדם ייעודי להפעלת המתקנים ולטיפול בנקלטים. "/>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780272" w:rsidP="00A368D8">
      <w:pPr>
        <w:spacing w:line="288" w:lineRule="auto"/>
        <w:rPr>
          <w:rFonts w:ascii="Tahoma" w:hAnsi="Tahoma" w:cs="Tahoma"/>
        </w:rPr>
      </w:pPr>
      <w:r w:rsidRPr="00D85FD7">
        <w:rPr>
          <w:rFonts w:ascii="Tahoma" w:eastAsia="Calibri" w:hAnsi="Tahoma" w:cs="Tahoma"/>
          <w:sz w:val="16"/>
          <w:szCs w:val="16"/>
          <w:rtl/>
        </w:rPr>
        <w:t xml:space="preserve">על פי </w:t>
      </w:r>
      <w:r w:rsidRPr="00D85FD7">
        <w:rPr>
          <w:rFonts w:ascii="Tahoma" w:eastAsia="Calibri" w:hAnsi="Tahoma" w:cs="Tahoma"/>
          <w:b/>
          <w:bCs/>
          <w:sz w:val="16"/>
          <w:szCs w:val="16"/>
          <w:rtl/>
        </w:rPr>
        <w:t>קונטרס פס"ח</w:t>
      </w:r>
      <w:r w:rsidRPr="00D85FD7">
        <w:rPr>
          <w:rFonts w:ascii="Tahoma" w:eastAsia="Calibri" w:hAnsi="Tahoma" w:cs="Tahoma"/>
          <w:sz w:val="16"/>
          <w:szCs w:val="16"/>
          <w:rtl/>
        </w:rPr>
        <w:t>, בעיבוד משרד מבקר המדינה.</w:t>
      </w:r>
    </w:p>
    <w:p w:rsidR="00780272" w:rsidP="00AE4BB7">
      <w:pPr>
        <w:spacing w:after="160" w:line="288" w:lineRule="auto"/>
        <w:ind w:left="-1"/>
        <w:rPr>
          <w:rFonts w:ascii="Tahoma" w:hAnsi="Tahoma" w:cs="Tahoma"/>
        </w:rPr>
      </w:pPr>
    </w:p>
    <w:p w:rsidR="00780272" w:rsidP="00AE4BB7">
      <w:pPr>
        <w:spacing w:after="160" w:line="288" w:lineRule="auto"/>
        <w:ind w:left="-1"/>
        <w:rPr>
          <w:rFonts w:ascii="Tahoma" w:hAnsi="Tahoma" w:cs="Tahoma"/>
        </w:rPr>
      </w:pPr>
    </w:p>
    <w:p w:rsidR="00AE4BB7" w:rsidRPr="006B7706" w:rsidP="002F6795">
      <w:pPr>
        <w:spacing w:after="160" w:line="480" w:lineRule="auto"/>
        <w:ind w:left="-1"/>
        <w:rPr>
          <w:rFonts w:ascii="Tahoma" w:hAnsi="Tahoma" w:cs="Tahoma"/>
          <w:rtl/>
        </w:rPr>
      </w:pPr>
      <w:r w:rsidRPr="006C4033">
        <w:rPr>
          <w:rFonts w:ascii="Tahoma" w:hAnsi="Tahoma" w:cs="Tahoma"/>
          <w:noProof/>
        </w:rPr>
        <w:drawing>
          <wp:inline distT="0" distB="0" distL="0" distR="0">
            <wp:extent cx="5689600" cy="303530"/>
            <wp:effectExtent l="0" t="0" r="6350" b="127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6621" cy="304438"/>
                    </a:xfrm>
                    <a:prstGeom prst="rect">
                      <a:avLst/>
                    </a:prstGeom>
                    <a:noFill/>
                    <a:ln>
                      <a:noFill/>
                    </a:ln>
                  </pic:spPr>
                </pic:pic>
              </a:graphicData>
            </a:graphic>
          </wp:inline>
        </w:drawing>
      </w:r>
    </w:p>
    <w:p w:rsidR="00D85FD7" w:rsidRPr="00D85FD7" w:rsidP="00D85FD7">
      <w:pPr>
        <w:pStyle w:val="739"/>
        <w:rPr>
          <w:sz w:val="19"/>
          <w:szCs w:val="19"/>
          <w:rtl/>
        </w:rPr>
      </w:pPr>
      <w:r w:rsidRPr="00D85FD7">
        <w:rPr>
          <w:sz w:val="19"/>
          <w:szCs w:val="19"/>
          <w:rtl/>
        </w:rPr>
        <w:t xml:space="preserve">תפקידה </w:t>
      </w:r>
      <w:r w:rsidRPr="00D85FD7">
        <w:rPr>
          <w:sz w:val="19"/>
          <w:szCs w:val="19"/>
          <w:rtl/>
        </w:rPr>
        <w:t xml:space="preserve">העיקרי של רשות מקומית בזמני חירום הוא לספק לתושבים שירותים בסיסיים, ובהם אספקת מזון ומים; טיפול באוכלוסייה נזקקת; העברת מידע לציבור; הסברה ודוברות; מתן שירותים חיוניים בתחום ההנדסה והתשתיות (מים, ביוב ובינוי); פינוי אוכלוסייה למרכזי פינוי; קליטת אוכלוסייה </w:t>
      </w:r>
      <w:r w:rsidRPr="00D85FD7">
        <w:rPr>
          <w:sz w:val="19"/>
          <w:szCs w:val="19"/>
          <w:rtl/>
        </w:rPr>
        <w:t>מפונה; הפעלת מערכת החינוך בהתאם למדיניות הממשלה; הכשרת מערך כוח האדם אשר יפעל בזמני חירום ויסייע לראש הרשות המקומית. לצורך כך על הרשות לפעול מבעוד מועד במכלול תחומים וכן לקיים הוראות ונהלים של הדרגים המנחים, המעורבים ומשולבים בשעת חירום בפעילות בשטח ונועדו</w:t>
      </w:r>
      <w:r w:rsidRPr="00D85FD7">
        <w:rPr>
          <w:sz w:val="19"/>
          <w:szCs w:val="19"/>
          <w:rtl/>
        </w:rPr>
        <w:t xml:space="preserve"> להעלות את רמת המוכנות למצבי חירום; לדאוג לקיומם של האמצעים הנחוצים לפעילות בשעת חירום; להכשיר את מערך כוח האדם, לתדרך ולתרגל אותו. משרד הפנים, באמצעות אגף הרשות העליונה לפס"ח, פועל ברמה הארצית וברמה המחוזית והוא גורם מנחה, מתאם ומפקח בכל הנוגע למערך קליטת</w:t>
      </w:r>
      <w:r w:rsidRPr="00D85FD7">
        <w:rPr>
          <w:sz w:val="19"/>
          <w:szCs w:val="19"/>
          <w:rtl/>
        </w:rPr>
        <w:t xml:space="preserve"> האוכלוסייה המפונה בשעת חירום. הרשויות המקומיות הן גופי הביצוע והאחראיות להיערכות בעת שגרה ולקליטת המפונים בשעת חירום.</w:t>
      </w:r>
    </w:p>
    <w:p w:rsidR="00D85FD7" w:rsidRPr="00D85FD7" w:rsidP="00D85FD7">
      <w:pPr>
        <w:pStyle w:val="739"/>
        <w:rPr>
          <w:sz w:val="19"/>
          <w:szCs w:val="19"/>
          <w:rtl/>
        </w:rPr>
      </w:pPr>
      <w:r w:rsidRPr="00D85FD7">
        <w:rPr>
          <w:sz w:val="19"/>
          <w:szCs w:val="19"/>
          <w:rtl/>
        </w:rPr>
        <w:t>ממצאי הביקורת ברשויות הקולטות שנבדקו מציגים ליקויים בתחומים שונים הנוגעים להיערכותן לקליטת אוכלוסייה בשעת חירום. כמן כן, רשויות אלו לא נק</w:t>
      </w:r>
      <w:r w:rsidRPr="00D85FD7">
        <w:rPr>
          <w:sz w:val="19"/>
          <w:szCs w:val="19"/>
          <w:rtl/>
        </w:rPr>
        <w:t>טו את כל הפעולות שיכולות היו לבצע כדי לשפר היערכות זו, כפי שנדרשו לעשות בתקופה שקדמה למלחמת חרבות ברזל. עוד עולה כי אגף פס"ח לא ביצע את כל המוטל עליו על פי נהליו כדי להכינן באופן ראוי לקליטת מפונים בתחומן. זאת בעיקר בתחומים האלה: איתור מתקני קליטה ארציים ו</w:t>
      </w:r>
      <w:r w:rsidRPr="00D85FD7">
        <w:rPr>
          <w:sz w:val="19"/>
          <w:szCs w:val="19"/>
          <w:rtl/>
        </w:rPr>
        <w:t xml:space="preserve">עדכון הרשויות המקומיות בנוגע למתקני קליטה ארציים בתחומן, לרבות בקרה על מתקנים אלה והיערכות לחלופות קליטה; תרגילים והדרכות לחברי סגל מתקני הקליטה הארציים; מעקב, בתיאום עם משרדי הממשלה הרלוונטיים, שהרשויות המקומיות הכינו תוכניות מענה כוללות לפרט ונערכו למצב </w:t>
      </w:r>
      <w:r w:rsidRPr="00D85FD7">
        <w:rPr>
          <w:sz w:val="19"/>
          <w:szCs w:val="19"/>
          <w:rtl/>
        </w:rPr>
        <w:t>חירום כנדרש.</w:t>
      </w:r>
    </w:p>
    <w:p w:rsidR="00D85FD7" w:rsidRPr="00D85FD7" w:rsidP="00D85FD7">
      <w:pPr>
        <w:pStyle w:val="739"/>
        <w:rPr>
          <w:sz w:val="19"/>
          <w:szCs w:val="19"/>
          <w:rtl/>
        </w:rPr>
      </w:pPr>
      <w:r w:rsidRPr="00D85FD7">
        <w:rPr>
          <w:sz w:val="19"/>
          <w:szCs w:val="19"/>
          <w:rtl/>
        </w:rPr>
        <w:t>חוסר ההיערכות של הגופים האמונים על מצבי חירום במדינה, של משרדי הממשלה ושל הרשויות המקומיות לקליטת אוכלוסייה מפונה ומתפנה-עצמאית תרם לכאוס ולחוסר הוודאות שאפיינו את הפינוי והקליטה מראשיתם, ופגע, בין היתר, במוכנות של הרשויות המקומיות לקליטת אוכל</w:t>
      </w:r>
      <w:r w:rsidRPr="00D85FD7">
        <w:rPr>
          <w:sz w:val="19"/>
          <w:szCs w:val="19"/>
          <w:rtl/>
        </w:rPr>
        <w:t>וסייה, כפי שבא הדבר לידי ביטוי במלחמת חרבות ברזל. יודגש כי מערך נכון לשעת חירום ומתורגל היטב יכול שייתן מענה טוב גם לאתגרים אשר להם לא התכוננו הרשויות ולא היו צפויים מראש.</w:t>
      </w:r>
    </w:p>
    <w:p w:rsidR="00D85FD7" w:rsidRPr="00D85FD7" w:rsidP="00D85FD7">
      <w:pPr>
        <w:pStyle w:val="739"/>
        <w:rPr>
          <w:sz w:val="19"/>
          <w:szCs w:val="19"/>
          <w:rtl/>
        </w:rPr>
      </w:pPr>
      <w:r w:rsidRPr="00D85FD7">
        <w:rPr>
          <w:sz w:val="19"/>
          <w:szCs w:val="19"/>
          <w:rtl/>
        </w:rPr>
        <w:t xml:space="preserve">לו היו הרשויות המקומיות, בהנחיית אגף פס"ח, נערכות לתרחיש של קליטת אוכלוסייה במתקנים </w:t>
      </w:r>
      <w:r w:rsidRPr="00D85FD7">
        <w:rPr>
          <w:sz w:val="19"/>
          <w:szCs w:val="19"/>
          <w:rtl/>
        </w:rPr>
        <w:t>ארציים בתחומן, המבוסס על לינה במלונות ובמתקני הארחה - בדומה למה שהיה בפועל במהלך המלחמה - לרבות מיפוי צורכי האוכלוסייה הנקלטת בתיאום משרדי הממשלה הרלוונטיים כמו הרווחה והחינוך, ובניית תוכניות מענה לפרט בהתאם לכך, ההתמודדות עם האתגרים הרבים והמורכבים בכלל ה</w:t>
      </w:r>
      <w:r w:rsidRPr="00D85FD7">
        <w:rPr>
          <w:sz w:val="19"/>
          <w:szCs w:val="19"/>
          <w:rtl/>
        </w:rPr>
        <w:t>תחומים שנגרמו ממצב החירום, שהחל במתקפת הטרור בשבעה באוקטובר 2023, יכולה הייתה להיות טובה ואפקטיבית יותר.</w:t>
      </w:r>
    </w:p>
    <w:p w:rsidR="00780272" w:rsidRPr="00084768" w:rsidP="00D85FD7">
      <w:pPr>
        <w:pStyle w:val="739"/>
        <w:rPr>
          <w:sz w:val="19"/>
          <w:szCs w:val="19"/>
          <w:rtl/>
        </w:rPr>
      </w:pPr>
      <w:r w:rsidRPr="00D85FD7">
        <w:rPr>
          <w:sz w:val="19"/>
          <w:szCs w:val="19"/>
          <w:rtl/>
        </w:rPr>
        <w:t>היערכות נכונה לקליטת אוכלוסייה תוך הפקת לקחים מאירועי עבר והכנת מענים למגוון של תרחישים, הצפויים להתממש במוקדם או במאוחר, היא הכרחית ומצילת חיים</w:t>
      </w:r>
      <w:r w:rsidRPr="00084768">
        <w:rPr>
          <w:rFonts w:hint="cs"/>
          <w:sz w:val="19"/>
          <w:szCs w:val="19"/>
          <w:rtl/>
        </w:rPr>
        <w:t>.</w:t>
      </w:r>
    </w:p>
    <w:p w:rsidR="00C4789A" w:rsidRPr="009515F9" w:rsidP="009515F9">
      <w:pPr>
        <w:bidi w:val="0"/>
        <w:spacing w:after="200" w:line="276" w:lineRule="auto"/>
        <w:rPr>
          <w:rFonts w:ascii="Tahoma" w:hAnsi="Tahoma" w:cs="Tahoma"/>
          <w:b/>
          <w:bCs/>
          <w:sz w:val="36"/>
          <w:szCs w:val="36"/>
        </w:rPr>
        <w:sectPr w:rsidSect="008654CB">
          <w:headerReference w:type="even" r:id="rId23"/>
          <w:headerReference w:type="default" r:id="rId24"/>
          <w:footerReference w:type="even" r:id="rId25"/>
          <w:footerReference w:type="default" r:id="rId26"/>
          <w:headerReference w:type="first" r:id="rId27"/>
          <w:footerReference w:type="first" r:id="rId28"/>
          <w:pgSz w:w="11340" w:h="14175" w:code="9"/>
          <w:pgMar w:top="2268" w:right="1276" w:bottom="1588" w:left="1134" w:header="709" w:footer="709" w:gutter="0"/>
          <w:cols w:space="708"/>
          <w:titlePg/>
          <w:bidi/>
          <w:rtlGutter/>
          <w:docGrid w:linePitch="360"/>
        </w:sectPr>
      </w:pPr>
    </w:p>
    <w:bookmarkEnd w:id="0"/>
    <w:p w:rsidR="009A6817" w:rsidRPr="002F6795" w:rsidP="001D3DA9">
      <w:pPr>
        <w:spacing w:after="160" w:line="259" w:lineRule="auto"/>
        <w:jc w:val="left"/>
        <w:rPr>
          <w:rFonts w:ascii="Tahoma" w:hAnsi="Tahoma" w:cs="Tahoma"/>
          <w:noProof/>
          <w:sz w:val="19"/>
          <w:szCs w:val="19"/>
          <w:rtl/>
        </w:rPr>
      </w:pPr>
    </w:p>
    <w:sectPr w:rsidSect="00030DCF">
      <w:headerReference w:type="first" r:id="rId29"/>
      <w:type w:val="continuous"/>
      <w:pgSz w:w="11340" w:h="14175" w:code="9"/>
      <w:pgMar w:top="2268" w:right="1276" w:bottom="1588" w:left="1134"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3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pPr>
      <w:pStyle w:val="Footer"/>
    </w:pPr>
    <w:r>
      <w:rPr>
        <w:noProof/>
      </w:rPr>
      <mc:AlternateContent>
        <mc:Choice Requires="wps">
          <w:drawing>
            <wp:anchor distT="0" distB="0" distL="114300" distR="114300" simplePos="0" relativeHeight="251660288" behindDoc="0" locked="0" layoutInCell="1" allowOverlap="1">
              <wp:simplePos x="0" y="0"/>
              <wp:positionH relativeFrom="column">
                <wp:posOffset>1384662</wp:posOffset>
              </wp:positionH>
              <wp:positionV relativeFrom="paragraph">
                <wp:posOffset>-352879</wp:posOffset>
              </wp:positionV>
              <wp:extent cx="2996838" cy="0"/>
              <wp:effectExtent l="0" t="0" r="0" b="0"/>
              <wp:wrapNone/>
              <wp:docPr id="21" name="מחבר ישר 21"/>
              <wp:cNvGraphicFramePr/>
              <a:graphic xmlns:a="http://schemas.openxmlformats.org/drawingml/2006/main">
                <a:graphicData uri="http://schemas.microsoft.com/office/word/2010/wordprocessingShape">
                  <wps:wsp xmlns:wps="http://schemas.microsoft.com/office/word/2010/wordprocessingShape">
                    <wps:cNvCnPr/>
                    <wps:spPr>
                      <a:xfrm>
                        <a:off x="0" y="0"/>
                        <a:ext cx="2996838"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מחבר ישר 21" o:spid="_x0000_s2063" style="mso-width-percent:0;mso-width-relative:margin;mso-wrap-distance-bottom:0;mso-wrap-distance-left:9pt;mso-wrap-distance-right:9pt;mso-wrap-distance-top:0;mso-wrap-style:square;position:absolute;visibility:visible;z-index:251663360" from="109.05pt,-27.8pt" to="345pt,-27.8pt" strokecolor="#002060" strokeweight="1.25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1624330</wp:posOffset>
              </wp:positionH>
              <wp:positionV relativeFrom="paragraph">
                <wp:posOffset>-169545</wp:posOffset>
              </wp:positionV>
              <wp:extent cx="2512060" cy="304800"/>
              <wp:effectExtent l="0" t="0" r="2540" b="0"/>
              <wp:wrapNone/>
              <wp:docPr id="20" name="tbMMHF"/>
              <wp:cNvGraphicFramePr/>
              <a:graphic xmlns:a="http://schemas.openxmlformats.org/drawingml/2006/main">
                <a:graphicData uri="http://schemas.microsoft.com/office/word/2010/wordprocessingShape">
                  <wps:wsp xmlns:wps="http://schemas.microsoft.com/office/word/2010/wordprocessingShape">
                    <wps:cNvSpPr txBox="1"/>
                    <wps:spPr>
                      <a:xfrm>
                        <a:off x="0" y="0"/>
                        <a:ext cx="2512060" cy="304800"/>
                      </a:xfrm>
                      <a:prstGeom prst="rect">
                        <a:avLst/>
                      </a:prstGeom>
                      <a:solidFill>
                        <a:schemeClr val="bg1"/>
                      </a:solidFill>
                      <a:ln w="6350">
                        <a:noFill/>
                      </a:ln>
                    </wps:spPr>
                    <wps:txb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bMMHF" o:spid="_x0000_s2064" type="#_x0000_t202" style="width:197.8pt;height:24pt;margin-top:-13.35pt;margin-left:127.9pt;mso-wrap-distance-bottom:0;mso-wrap-distance-left:9pt;mso-wrap-distance-right:9pt;mso-wrap-distance-top:0;mso-wrap-style:square;position:absolute;visibility:visible;v-text-anchor:top;z-index:251662336" fillcolor="white" stroked="f" strokeweight="0.5pt">
              <v:textbox>
                <w:txbxContent>
                  <w:p w:rsidR="0011074F" w:rsidRPr="0011074F" w:rsidP="0011074F">
                    <w:pPr>
                      <w:jc w:val="center"/>
                      <w:rPr>
                        <w:rFonts w:ascii="Calibri" w:hAnsi="Calibri" w:cs="Calibri"/>
                        <w:color w:val="002060"/>
                        <w:sz w:val="24"/>
                        <w:rtl/>
                      </w:rPr>
                    </w:pPr>
                    <w:r w:rsidRPr="0011074F">
                      <w:rPr>
                        <w:rFonts w:ascii="Calibri" w:hAnsi="Calibri" w:cs="Calibri" w:hint="cs"/>
                        <w:color w:val="002060"/>
                        <w:sz w:val="24"/>
                        <w:rtl/>
                      </w:rPr>
                      <w:t>דוח מיוחד - פינוי אוכלוסייה וקליטתה</w:t>
                    </w:r>
                  </w:p>
                  <w:p w:rsidR="00A5605A" w:rsidRPr="0011074F" w:rsidP="0011074F">
                    <w:pPr>
                      <w:spacing w:line="240" w:lineRule="auto"/>
                      <w:jc w:val="center"/>
                      <w:rPr>
                        <w:rFonts w:asciiTheme="minorHAnsi" w:hAnsiTheme="minorHAnsi" w:cstheme="minorHAnsi"/>
                        <w:color w:val="002060"/>
                        <w:spacing w:val="20"/>
                        <w:sz w:val="24"/>
                        <w:rtl/>
                      </w:rPr>
                    </w:pPr>
                  </w:p>
                </w:txbxContent>
              </v:textbox>
            </v:shape>
          </w:pict>
        </mc:Fallback>
      </mc:AlternateContent>
    </w:r>
    <w:r w:rsidR="009961E8">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24785164" o:spid="_x0000_s2065"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1312" filled="f" stroked="f" strokeweight="0.5pt">
              <v:textbox>
                <w:txbxContent>
                  <w:p w:rsidR="00F56CE4"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833ED">
      <w:pPr>
        <w:spacing w:line="240" w:lineRule="auto"/>
      </w:pPr>
      <w:r>
        <w:separator/>
      </w:r>
    </w:p>
  </w:footnote>
  <w:footnote w:type="continuationSeparator" w:id="1">
    <w:p w:rsidR="00D833ED">
      <w:pPr>
        <w:spacing w:line="240" w:lineRule="auto"/>
      </w:pPr>
      <w:r>
        <w:continuationSeparator/>
      </w:r>
    </w:p>
  </w:footnote>
  <w:footnote w:id="2">
    <w:p w:rsidR="00D85FD7" w:rsidRPr="0011092F" w:rsidP="00D85FD7">
      <w:pPr>
        <w:pStyle w:val="FootnoteText"/>
        <w:rPr>
          <w:sz w:val="16"/>
          <w:szCs w:val="16"/>
          <w:rtl/>
        </w:rPr>
      </w:pPr>
      <w:r w:rsidRPr="0011092F">
        <w:rPr>
          <w:rStyle w:val="FootnoteReference1"/>
          <w:rFonts w:ascii="Tahoma" w:hAnsi="Tahoma" w:cs="Tahoma"/>
          <w:sz w:val="16"/>
          <w:szCs w:val="16"/>
        </w:rPr>
        <w:footnoteRef/>
      </w:r>
      <w:r>
        <w:rPr>
          <w:rtl/>
        </w:rPr>
        <w:tab/>
      </w:r>
      <w:r w:rsidRPr="0011092F">
        <w:rPr>
          <w:rFonts w:ascii="Tahoma" w:hAnsi="Tahoma" w:cs="Tahoma" w:hint="eastAsia"/>
          <w:sz w:val="16"/>
          <w:szCs w:val="16"/>
          <w:rtl/>
        </w:rPr>
        <w:t>משרד</w:t>
      </w:r>
      <w:r w:rsidRPr="0011092F">
        <w:rPr>
          <w:rFonts w:ascii="Tahoma" w:hAnsi="Tahoma" w:cs="Tahoma"/>
          <w:sz w:val="16"/>
          <w:szCs w:val="16"/>
          <w:rtl/>
        </w:rPr>
        <w:t xml:space="preserve"> הפנים, רשות פס"ח </w:t>
      </w:r>
      <w:r w:rsidRPr="0011092F">
        <w:rPr>
          <w:rFonts w:ascii="Tahoma" w:hAnsi="Tahoma" w:cs="Tahoma" w:hint="eastAsia"/>
          <w:sz w:val="16"/>
          <w:szCs w:val="16"/>
          <w:rtl/>
        </w:rPr>
        <w:t>עליונה</w:t>
      </w:r>
      <w:r w:rsidRPr="0011092F">
        <w:rPr>
          <w:rFonts w:ascii="Tahoma" w:hAnsi="Tahoma" w:cs="Tahoma"/>
          <w:sz w:val="16"/>
          <w:szCs w:val="16"/>
          <w:rtl/>
        </w:rPr>
        <w:t xml:space="preserve">, </w:t>
      </w:r>
      <w:r w:rsidRPr="0011092F">
        <w:rPr>
          <w:rFonts w:ascii="Tahoma" w:hAnsi="Tahoma" w:cs="Tahoma" w:hint="eastAsia"/>
          <w:sz w:val="16"/>
          <w:szCs w:val="16"/>
          <w:rtl/>
        </w:rPr>
        <w:t>נוהל</w:t>
      </w:r>
      <w:r w:rsidRPr="0011092F">
        <w:rPr>
          <w:rFonts w:ascii="Tahoma" w:hAnsi="Tahoma" w:cs="Tahoma"/>
          <w:sz w:val="16"/>
          <w:szCs w:val="16"/>
          <w:rtl/>
        </w:rPr>
        <w:t xml:space="preserve"> 23, "ביצוע ביקורות למתקני קליטה ארציים".</w:t>
      </w:r>
    </w:p>
  </w:footnote>
  <w:footnote w:id="3">
    <w:p w:rsidR="00D85FD7" w:rsidRPr="0011092F" w:rsidP="00D85FD7">
      <w:pPr>
        <w:pStyle w:val="FootnoteText"/>
        <w:rPr>
          <w:rFonts w:ascii="Tahoma" w:hAnsi="Tahoma" w:cs="Tahoma"/>
          <w:sz w:val="16"/>
          <w:szCs w:val="16"/>
          <w:rtl/>
        </w:rPr>
      </w:pPr>
      <w:r w:rsidRPr="0011092F">
        <w:rPr>
          <w:rStyle w:val="FootnoteReference1"/>
          <w:rFonts w:ascii="Tahoma" w:hAnsi="Tahoma" w:cs="Tahoma"/>
          <w:sz w:val="16"/>
          <w:szCs w:val="16"/>
        </w:rPr>
        <w:footnoteRef/>
      </w:r>
      <w:r>
        <w:rPr>
          <w:rtl/>
        </w:rPr>
        <w:tab/>
      </w:r>
      <w:r w:rsidRPr="0011092F">
        <w:rPr>
          <w:rFonts w:ascii="Tahoma" w:hAnsi="Tahoma" w:cs="Tahoma" w:hint="eastAsia"/>
          <w:sz w:val="16"/>
          <w:szCs w:val="16"/>
          <w:rtl/>
        </w:rPr>
        <w:t>משרד</w:t>
      </w:r>
      <w:r w:rsidRPr="0011092F">
        <w:rPr>
          <w:rFonts w:ascii="Tahoma" w:hAnsi="Tahoma" w:cs="Tahoma"/>
          <w:sz w:val="16"/>
          <w:szCs w:val="16"/>
          <w:rtl/>
        </w:rPr>
        <w:t xml:space="preserve"> </w:t>
      </w:r>
      <w:r w:rsidRPr="0011092F">
        <w:rPr>
          <w:rFonts w:ascii="Tahoma" w:hAnsi="Tahoma" w:cs="Tahoma" w:hint="eastAsia"/>
          <w:sz w:val="16"/>
          <w:szCs w:val="16"/>
          <w:rtl/>
        </w:rPr>
        <w:t>הפנים</w:t>
      </w:r>
      <w:r w:rsidRPr="0011092F">
        <w:rPr>
          <w:rFonts w:ascii="Tahoma" w:hAnsi="Tahoma" w:cs="Tahoma"/>
          <w:sz w:val="16"/>
          <w:szCs w:val="16"/>
          <w:rtl/>
        </w:rPr>
        <w:t xml:space="preserve">, </w:t>
      </w:r>
      <w:r w:rsidRPr="0011092F">
        <w:rPr>
          <w:rFonts w:ascii="Tahoma" w:hAnsi="Tahoma" w:cs="Tahoma" w:hint="eastAsia"/>
          <w:sz w:val="16"/>
          <w:szCs w:val="16"/>
          <w:rtl/>
        </w:rPr>
        <w:t>רשות</w:t>
      </w:r>
      <w:r w:rsidRPr="0011092F">
        <w:rPr>
          <w:rFonts w:ascii="Tahoma" w:hAnsi="Tahoma" w:cs="Tahoma"/>
          <w:sz w:val="16"/>
          <w:szCs w:val="16"/>
          <w:rtl/>
        </w:rPr>
        <w:t xml:space="preserve"> </w:t>
      </w:r>
      <w:r w:rsidRPr="0011092F">
        <w:rPr>
          <w:rFonts w:ascii="Tahoma" w:hAnsi="Tahoma" w:cs="Tahoma" w:hint="eastAsia"/>
          <w:sz w:val="16"/>
          <w:szCs w:val="16"/>
          <w:rtl/>
        </w:rPr>
        <w:t>פס</w:t>
      </w:r>
      <w:r w:rsidRPr="0011092F">
        <w:rPr>
          <w:rFonts w:ascii="Tahoma" w:hAnsi="Tahoma" w:cs="Tahoma"/>
          <w:sz w:val="16"/>
          <w:szCs w:val="16"/>
          <w:rtl/>
        </w:rPr>
        <w:t xml:space="preserve">"ח </w:t>
      </w:r>
      <w:r w:rsidRPr="0011092F">
        <w:rPr>
          <w:rFonts w:ascii="Tahoma" w:hAnsi="Tahoma" w:cs="Tahoma" w:hint="eastAsia"/>
          <w:sz w:val="16"/>
          <w:szCs w:val="16"/>
          <w:rtl/>
        </w:rPr>
        <w:t>עליונה</w:t>
      </w:r>
      <w:r w:rsidRPr="0011092F">
        <w:rPr>
          <w:rFonts w:ascii="Tahoma" w:hAnsi="Tahoma" w:cs="Tahoma"/>
          <w:sz w:val="16"/>
          <w:szCs w:val="16"/>
          <w:rtl/>
        </w:rPr>
        <w:t xml:space="preserve">, </w:t>
      </w:r>
      <w:r w:rsidRPr="0011092F">
        <w:rPr>
          <w:rFonts w:ascii="Tahoma" w:hAnsi="Tahoma" w:cs="Tahoma" w:hint="eastAsia"/>
          <w:sz w:val="16"/>
          <w:szCs w:val="16"/>
          <w:rtl/>
        </w:rPr>
        <w:t>נוהל</w:t>
      </w:r>
      <w:r w:rsidRPr="0011092F">
        <w:rPr>
          <w:rFonts w:ascii="Tahoma" w:hAnsi="Tahoma" w:cs="Tahoma"/>
          <w:sz w:val="16"/>
          <w:szCs w:val="16"/>
          <w:rtl/>
        </w:rPr>
        <w:t xml:space="preserve"> 24, "בניית מערך הקליטה ברשות המקומית".</w:t>
      </w:r>
    </w:p>
    <w:p w:rsidR="00D85FD7" w:rsidP="00D85FD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3049" w:rsidRPr="005C3049" w:rsidP="005C3049">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60288"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5C3049" w:rsidRPr="001E204F" w:rsidP="005C3049">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2049" style="width:484.3pt;height:47.6pt;margin-top:-7.45pt;margin-left:-15.2pt;mso-height-relative:margin;mso-width-relative:margin;position:absolute;z-index:251667456" coordorigin="317,0" coordsize="61503,6045">
              <v:line id="מחבר ישר 1834351669"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0178;mso-wrap-style:square;position:absolute;visibility:visible;v-text-anchor:top" filled="f" stroked="f">
                <v:textbox>
                  <w:txbxContent>
                    <w:p w:rsidR="005C3049"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52" type="#_x0000_t202" style="width:31642;height:2857;flip:x;left:317;mso-wrap-style:square;position:absolute;top:3188;visibility:visible;v-text-anchor:top" filled="f" stroked="f">
                <v:textbox>
                  <w:txbxContent>
                    <w:p w:rsidR="005C3049"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53" type="#_x0000_t202" style="width:35452;height:2858;flip:x;left:26326;mso-wrap-style:square;position:absolute;top:3181;visibility:visible;v-text-anchor:top" filled="f" stroked="f">
                <v:textbox>
                  <w:txbxContent>
                    <w:p w:rsidR="005C3049" w:rsidRPr="001E204F"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78C7" w:rsidRPr="0062451B" w:rsidP="00DA67CB">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59264" behindDoc="0" locked="0" layoutInCell="1" allowOverlap="1">
              <wp:simplePos x="0" y="0"/>
              <wp:positionH relativeFrom="column">
                <wp:posOffset>-193879</wp:posOffset>
              </wp:positionH>
              <wp:positionV relativeFrom="paragraph">
                <wp:posOffset>-96532</wp:posOffset>
              </wp:positionV>
              <wp:extent cx="6150310" cy="828136"/>
              <wp:effectExtent l="0" t="0" r="3175" b="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828136"/>
                        <a:chOff x="31750" y="0"/>
                        <a:chExt cx="6150310" cy="828136"/>
                      </a:xfrm>
                    </wpg:grpSpPr>
                    <wps:wsp xmlns:wps="http://schemas.microsoft.com/office/word/2010/wordprocessingShape">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678C7" w:rsidRPr="0062451B" w:rsidP="00684D20">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r w:rsidR="00F51DD6">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Pr="00716B78" w:rsidR="0019747C">
                              <w:rPr>
                                <w:rFonts w:ascii="Calibri" w:hAnsi="Calibri" w:cs="Calibri" w:hint="cs"/>
                                <w:color w:val="002060"/>
                                <w:sz w:val="12"/>
                                <w:szCs w:val="12"/>
                                <w:rtl/>
                              </w:rPr>
                              <w:t xml:space="preserve"> </w:t>
                            </w:r>
                            <w:r w:rsidRPr="00716B78" w:rsidR="009961E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716B78">
                              <w:rPr>
                                <w:rFonts w:ascii="Calibri" w:hAnsi="Calibri" w:cs="Calibri" w:hint="cs"/>
                                <w:color w:val="002060"/>
                                <w:sz w:val="12"/>
                                <w:szCs w:val="12"/>
                                <w:rtl/>
                              </w:rPr>
                              <w:t xml:space="preserve"> </w:t>
                            </w:r>
                            <w:r w:rsidRPr="00716B78" w:rsidR="009961E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wps:txbx>
                      <wps:bodyPr rot="0" vert="horz" wrap="square" lIns="91440" tIns="45720" rIns="91440" bIns="45720" anchor="t" anchorCtr="0"/>
                    </wps:wsp>
                    <wps:wsp xmlns:wps="http://schemas.microsoft.com/office/word/2010/wordprocessingShape">
                      <wps:cNvPr id="41" name="תיבת טקסט 2"/>
                      <wps:cNvSpPr txBox="1">
                        <a:spLocks noChangeArrowheads="1"/>
                      </wps:cNvSpPr>
                      <wps:spPr bwMode="auto">
                        <a:xfrm flipH="1">
                          <a:off x="1782817" y="318093"/>
                          <a:ext cx="4394290" cy="510043"/>
                        </a:xfrm>
                        <a:prstGeom prst="rect">
                          <a:avLst/>
                        </a:prstGeom>
                        <a:noFill/>
                        <a:ln w="9525">
                          <a:noFill/>
                          <a:miter lim="800000"/>
                          <a:headEnd/>
                          <a:tailEnd/>
                        </a:ln>
                      </wps:spPr>
                      <wps:txb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684D20">
                              <w:rPr>
                                <w:rFonts w:ascii="Calibri" w:hAnsi="Calibri" w:cs="Calibri" w:hint="cs"/>
                                <w:color w:val="002060"/>
                                <w:szCs w:val="20"/>
                                <w:rtl/>
                              </w:rPr>
                              <w:t xml:space="preserve"> ברשויות המקומיות</w:t>
                            </w:r>
                          </w:p>
                          <w:p w:rsidR="00E678C7" w:rsidRPr="0063663E" w:rsidP="00507AA2">
                            <w:pPr>
                              <w:spacing w:line="240" w:lineRule="auto"/>
                              <w:rPr>
                                <w:rFonts w:ascii="Calibri" w:hAnsi="Calibri" w:cs="Calibri"/>
                                <w:color w:val="002060"/>
                                <w:sz w:val="19"/>
                                <w:szCs w:val="19"/>
                                <w:rtl/>
                              </w:rPr>
                            </w:pPr>
                            <w:r w:rsidRPr="00507AA2">
                              <w:rPr>
                                <w:rFonts w:ascii="Calibri" w:hAnsi="Calibri" w:cs="Calibri"/>
                                <w:color w:val="002060"/>
                                <w:sz w:val="19"/>
                                <w:szCs w:val="19"/>
                                <w:rtl/>
                              </w:rPr>
                              <w:t>ההיערכות לקליטת אוכלוסייה ברשויות המקומיות</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54" style="width:484.3pt;height:65.2pt;margin-top:-7.6pt;margin-left:-15.25pt;mso-height-relative:margin;mso-width-relative:margin;position:absolute;z-index:251664384" coordorigin="317,0" coordsize="61503,8281">
              <v:line id="מחבר ישר 38" o:spid="_x0000_s2055"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6" type="#_x0000_t202" style="width:31642;height:2857;flip:x;left:30178;mso-wrap-style:square;position:absolute;visibility:visible;v-text-anchor:top" filled="f" stroked="f">
                <v:textbox>
                  <w:txbxContent>
                    <w:p w:rsidR="00E678C7" w:rsidRPr="0062451B" w:rsidP="00684D20">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w:t>
                      </w:r>
                      <w:r>
                        <w:rPr>
                          <w:rFonts w:ascii="Calibri" w:hAnsi="Calibri" w:cs="Calibri" w:hint="cs"/>
                          <w:color w:val="002060"/>
                          <w:sz w:val="22"/>
                          <w:szCs w:val="22"/>
                          <w:rtl/>
                        </w:rPr>
                        <w:t>|</w:t>
                      </w:r>
                      <w:r>
                        <w:rPr>
                          <w:rFonts w:ascii="Calibri" w:hAnsi="Calibri" w:cs="Calibri" w:hint="cs"/>
                          <w:color w:val="002060"/>
                          <w:sz w:val="22"/>
                          <w:szCs w:val="22"/>
                          <w:rtl/>
                        </w:rPr>
                        <w:t xml:space="preserve"> דוח מיוחד </w:t>
                      </w:r>
                      <w:r w:rsidR="00F51DD6">
                        <w:rPr>
                          <w:rFonts w:ascii="Calibri" w:hAnsi="Calibri" w:cs="Calibri" w:hint="cs"/>
                          <w:color w:val="002060"/>
                          <w:sz w:val="22"/>
                          <w:szCs w:val="22"/>
                          <w:rtl/>
                        </w:rPr>
                        <w:t xml:space="preserve"> </w:t>
                      </w:r>
                    </w:p>
                  </w:txbxContent>
                </v:textbox>
              </v:shape>
              <v:shape id="תיבת טקסט 2" o:spid="_x0000_s2057" type="#_x0000_t202" style="width:31642;height:2857;flip:x;left:317;mso-wrap-style:square;position:absolute;top:3188;visibility:visible;v-text-anchor:top" filled="f" stroked="f">
                <v:textbox>
                  <w:txbxContent>
                    <w:p w:rsidR="00E678C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w:t>
                      </w:r>
                      <w:r w:rsidRPr="00716B78" w:rsidR="0019747C">
                        <w:rPr>
                          <w:rFonts w:ascii="Calibri" w:hAnsi="Calibri" w:cs="Calibri" w:hint="cs"/>
                          <w:color w:val="002060"/>
                          <w:sz w:val="12"/>
                          <w:szCs w:val="12"/>
                          <w:rtl/>
                        </w:rPr>
                        <w:t xml:space="preserve"> </w:t>
                      </w:r>
                      <w:r w:rsidRPr="00716B78" w:rsidR="009961E8">
                        <w:rPr>
                          <w:rFonts w:ascii="Calibri" w:hAnsi="Calibri" w:cs="Calibri" w:hint="cs"/>
                          <w:color w:val="002060"/>
                          <w:sz w:val="12"/>
                          <w:szCs w:val="12"/>
                          <w:rtl/>
                        </w:rPr>
                        <w:t xml:space="preserve"> </w:t>
                      </w:r>
                      <w:r w:rsidR="009961E8">
                        <w:rPr>
                          <w:rFonts w:ascii="Calibri" w:hAnsi="Calibri" w:cs="Calibri" w:hint="cs"/>
                          <w:color w:val="002060"/>
                          <w:szCs w:val="20"/>
                          <w:rtl/>
                        </w:rPr>
                        <w:t>התשפ"</w:t>
                      </w:r>
                      <w:r w:rsidR="0019747C">
                        <w:rPr>
                          <w:rFonts w:ascii="Calibri" w:hAnsi="Calibri" w:cs="Calibri" w:hint="cs"/>
                          <w:color w:val="002060"/>
                          <w:szCs w:val="20"/>
                          <w:rtl/>
                        </w:rPr>
                        <w:t>ו</w:t>
                      </w:r>
                      <w:r w:rsidRPr="0062451B" w:rsidR="009961E8">
                        <w:rPr>
                          <w:rFonts w:ascii="Calibri" w:hAnsi="Calibri" w:cs="Calibri" w:hint="cs"/>
                          <w:color w:val="002060"/>
                          <w:szCs w:val="20"/>
                          <w:rtl/>
                        </w:rPr>
                        <w:t xml:space="preserve"> </w:t>
                      </w:r>
                      <w:r w:rsidRPr="0062451B" w:rsidR="009961E8">
                        <w:rPr>
                          <w:rFonts w:asciiTheme="minorHAnsi" w:hAnsiTheme="minorHAnsi" w:cstheme="minorHAnsi"/>
                          <w:color w:val="002060"/>
                          <w:spacing w:val="20"/>
                          <w:sz w:val="22"/>
                          <w:szCs w:val="22"/>
                        </w:rPr>
                        <w:t xml:space="preserve"> </w:t>
                      </w:r>
                      <w:r w:rsidRPr="0062451B" w:rsidR="009961E8">
                        <w:rPr>
                          <w:rFonts w:ascii="Wingdings" w:hAnsi="Wingdings" w:cstheme="minorHAnsi"/>
                          <w:color w:val="002060"/>
                          <w:spacing w:val="20"/>
                          <w:sz w:val="22"/>
                          <w:szCs w:val="22"/>
                        </w:rPr>
                        <w:sym w:font="Wingdings" w:char="F0A7"/>
                      </w:r>
                      <w:r>
                        <w:rPr>
                          <w:rFonts w:ascii="Calibri" w:hAnsi="Calibri" w:cs="Calibri" w:hint="cs"/>
                          <w:color w:val="002060"/>
                          <w:szCs w:val="20"/>
                          <w:rtl/>
                        </w:rPr>
                        <w:t>פברואר</w:t>
                      </w:r>
                      <w:r w:rsidRPr="00716B78">
                        <w:rPr>
                          <w:rFonts w:ascii="Calibri" w:hAnsi="Calibri" w:cs="Calibri" w:hint="cs"/>
                          <w:color w:val="002060"/>
                          <w:sz w:val="12"/>
                          <w:szCs w:val="12"/>
                          <w:rtl/>
                        </w:rPr>
                        <w:t xml:space="preserve"> </w:t>
                      </w:r>
                      <w:r w:rsidRPr="00716B78" w:rsidR="009961E8">
                        <w:rPr>
                          <w:rFonts w:ascii="Calibri" w:hAnsi="Calibri" w:cs="Calibri" w:hint="cs"/>
                          <w:color w:val="002060"/>
                          <w:sz w:val="12"/>
                          <w:szCs w:val="12"/>
                          <w:rtl/>
                        </w:rPr>
                        <w:t xml:space="preserve"> </w:t>
                      </w:r>
                      <w:r w:rsidR="009912C8">
                        <w:rPr>
                          <w:rFonts w:ascii="Calibri" w:hAnsi="Calibri" w:cs="Calibri" w:hint="cs"/>
                          <w:color w:val="002060"/>
                          <w:szCs w:val="20"/>
                          <w:rtl/>
                        </w:rPr>
                        <w:t>2026</w:t>
                      </w:r>
                    </w:p>
                  </w:txbxContent>
                </v:textbox>
              </v:shape>
              <v:shape id="תיבת טקסט 2" o:spid="_x0000_s2058" type="#_x0000_t202" style="width:43943;height:5101;flip:x;left:17828;mso-wrap-style:square;position:absolute;top:3180;visibility:visible;v-text-anchor:top" filled="f" stroked="f">
                <v:textbox>
                  <w:txbxContent>
                    <w:p w:rsidR="0063663E" w:rsidP="0063663E">
                      <w:pPr>
                        <w:spacing w:line="240" w:lineRule="auto"/>
                        <w:rPr>
                          <w:rFonts w:ascii="Calibri" w:hAnsi="Calibri" w:cs="Calibri"/>
                          <w:color w:val="002060"/>
                          <w:szCs w:val="20"/>
                          <w:rtl/>
                        </w:rPr>
                      </w:pPr>
                      <w:r w:rsidRPr="0063663E">
                        <w:rPr>
                          <w:rFonts w:ascii="Calibri" w:hAnsi="Calibri" w:cs="Calibri"/>
                          <w:color w:val="002060"/>
                          <w:szCs w:val="20"/>
                          <w:rtl/>
                        </w:rPr>
                        <w:t>פינוי אוכלוסייה וקליטתה</w:t>
                      </w:r>
                      <w:r w:rsidR="00684D20">
                        <w:rPr>
                          <w:rFonts w:ascii="Calibri" w:hAnsi="Calibri" w:cs="Calibri" w:hint="cs"/>
                          <w:color w:val="002060"/>
                          <w:szCs w:val="20"/>
                          <w:rtl/>
                        </w:rPr>
                        <w:t xml:space="preserve"> ברשויות המקומיות</w:t>
                      </w:r>
                    </w:p>
                    <w:p w:rsidR="00E678C7" w:rsidRPr="0063663E" w:rsidP="00507AA2">
                      <w:pPr>
                        <w:spacing w:line="240" w:lineRule="auto"/>
                        <w:rPr>
                          <w:rFonts w:ascii="Calibri" w:hAnsi="Calibri" w:cs="Calibri"/>
                          <w:color w:val="002060"/>
                          <w:sz w:val="19"/>
                          <w:szCs w:val="19"/>
                          <w:rtl/>
                        </w:rPr>
                      </w:pPr>
                      <w:r w:rsidRPr="00507AA2">
                        <w:rPr>
                          <w:rFonts w:ascii="Calibri" w:hAnsi="Calibri" w:cs="Calibri"/>
                          <w:color w:val="002060"/>
                          <w:sz w:val="19"/>
                          <w:szCs w:val="19"/>
                          <w:rtl/>
                        </w:rPr>
                        <w:t>ההיערכות לקליטת אוכלוסייה ברשויות המקומיות</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00C30ECB">
      <w:rPr>
        <w:rFonts w:asciiTheme="minorHAnsi" w:hAnsiTheme="minorHAnsi" w:cstheme="minorHAnsi"/>
        <w:noProof/>
        <w:color w:val="002060"/>
        <w:szCs w:val="20"/>
        <w:rtl/>
      </w:rPr>
      <w:t>4</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6CE4" w:rsidRPr="00FB414E" w:rsidP="00FB414E">
    <w:pPr>
      <w:pStyle w:val="Header"/>
      <w:tabs>
        <w:tab w:val="clear" w:pos="8306"/>
      </w:tabs>
      <w:ind w:right="-142"/>
      <w:jc w:val="right"/>
      <w:rPr>
        <w:rFonts w:asciiTheme="minorHAnsi" w:hAnsiTheme="minorHAnsi" w:cstheme="minorHAnsi"/>
        <w:color w:val="002060"/>
        <w:szCs w:val="20"/>
      </w:rPr>
    </w:pPr>
    <w:r>
      <w:rPr>
        <w:noProof/>
      </w:rPr>
      <mc:AlternateContent>
        <mc:Choice Requires="wps">
          <w:drawing>
            <wp:anchor distT="0" distB="0" distL="114300" distR="114300" simplePos="0" relativeHeight="251666432" behindDoc="0" locked="0" layoutInCell="1" allowOverlap="1">
              <wp:simplePos x="0" y="0"/>
              <wp:positionH relativeFrom="page">
                <wp:posOffset>2022475</wp:posOffset>
              </wp:positionH>
              <wp:positionV relativeFrom="paragraph">
                <wp:posOffset>2412365</wp:posOffset>
              </wp:positionV>
              <wp:extent cx="3156858" cy="10886"/>
              <wp:effectExtent l="0" t="0" r="24765" b="27305"/>
              <wp:wrapNone/>
              <wp:docPr id="10" name="מחבר ישר 10"/>
              <wp:cNvGraphicFramePr/>
              <a:graphic xmlns:a="http://schemas.openxmlformats.org/drawingml/2006/main">
                <a:graphicData uri="http://schemas.microsoft.com/office/word/2010/wordprocessingShape">
                  <wps:wsp xmlns:wps="http://schemas.microsoft.com/office/word/2010/wordprocessingShape">
                    <wps:cNvCnPr/>
                    <wps:spPr>
                      <a:xfrm>
                        <a:off x="0" y="0"/>
                        <a:ext cx="3156858" cy="10886"/>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מחבר ישר 10" o:spid="_x0000_s2059" style="mso-height-percent:0;mso-height-relative:margin;mso-position-horizontal-relative:page;mso-width-percent:0;mso-width-relative:margin;mso-wrap-distance-bottom:0;mso-wrap-distance-left:9pt;mso-wrap-distance-right:9pt;mso-wrap-distance-top:0;mso-wrap-style:square;position:absolute;visibility:visible;z-index:251671552" from="159.25pt,189.95pt" to="407.8pt,190.8pt" strokecolor="#002060" strokeweight="1.25p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2029934</wp:posOffset>
              </wp:positionH>
              <wp:positionV relativeFrom="paragraph">
                <wp:posOffset>1269402</wp:posOffset>
              </wp:positionV>
              <wp:extent cx="1691005" cy="719825"/>
              <wp:effectExtent l="0" t="0" r="4445" b="4445"/>
              <wp:wrapNone/>
              <wp:docPr id="2" name="מלבן 2"/>
              <wp:cNvGraphicFramePr/>
              <a:graphic xmlns:a="http://schemas.openxmlformats.org/drawingml/2006/main">
                <a:graphicData uri="http://schemas.microsoft.com/office/word/2010/wordprocessingShape">
                  <wps:wsp xmlns:wps="http://schemas.microsoft.com/office/word/2010/wordprocessingShape">
                    <wps:cNvSpPr/>
                    <wps:spPr>
                      <a:xfrm>
                        <a:off x="0" y="0"/>
                        <a:ext cx="1691005" cy="71982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מלבן 2" o:spid="_x0000_s2060" style="width:133.15pt;height:56.7pt;margin-top:99.95pt;margin-left:159.85pt;mso-height-percent:0;mso-height-relative:margin;mso-wrap-distance-bottom:0;mso-wrap-distance-left:9pt;mso-wrap-distance-right:9pt;mso-wrap-distance-top:0;mso-wrap-style:square;position:absolute;visibility:visible;v-text-anchor:middle;z-index:251661312" fillcolor="#002060" stroked="f" strokeweight="2pt"/>
          </w:pict>
        </mc:Fallback>
      </mc:AlternateContent>
    </w:r>
    <w:r w:rsidRPr="00A5605A">
      <w:rPr>
        <w:rFonts w:asciiTheme="minorHAnsi" w:hAnsiTheme="minorHAnsi" w:cs="Calibri"/>
        <w:noProof/>
        <w:color w:val="002060"/>
        <w:szCs w:val="20"/>
        <w:rtl/>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ragraph">
                <wp:posOffset>1447070</wp:posOffset>
              </wp:positionV>
              <wp:extent cx="2959100" cy="455930"/>
              <wp:effectExtent l="0" t="0" r="0" b="1270"/>
              <wp:wrapNone/>
              <wp:docPr id="23" name="תיבת טקסט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455930"/>
                      </a:xfrm>
                      <a:prstGeom prst="rect">
                        <a:avLst/>
                      </a:prstGeom>
                      <a:noFill/>
                      <a:ln w="6350">
                        <a:noFill/>
                      </a:ln>
                    </wps:spPr>
                    <wps:txb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507AA2">
                            <w:rPr>
                              <w:rFonts w:ascii="Calibri" w:hAnsi="Calibri" w:cs="Calibri" w:hint="cs"/>
                              <w:color w:val="FFFFFF" w:themeColor="background1"/>
                              <w:spacing w:val="80"/>
                              <w:sz w:val="28"/>
                              <w:szCs w:val="36"/>
                              <w:rtl/>
                            </w:rPr>
                            <w:t>ד</w:t>
                          </w:r>
                          <w:r w:rsidR="004B2FF6">
                            <w:rPr>
                              <w:rFonts w:ascii="Calibri" w:hAnsi="Calibri" w:cs="Calibri" w:hint="cs"/>
                              <w:color w:val="FFFFFF" w:themeColor="background1"/>
                              <w:spacing w:val="80"/>
                              <w:sz w:val="28"/>
                              <w:szCs w:val="36"/>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3" o:spid="_x0000_s2061" type="#_x0000_t202" style="width:233pt;height:35.9pt;margin-top:113.95pt;margin-left:0;mso-position-horizontal:center;mso-position-horizontal-relative:page;mso-wrap-distance-bottom:0;mso-wrap-distance-left:9pt;mso-wrap-distance-right:9pt;mso-wrap-distance-top:0;mso-wrap-style:square;position:absolute;visibility:visible;v-text-anchor:top;z-index:251670528" filled="f" stroked="f" strokeweight="0.5pt">
              <v:textbox>
                <w:txbxContent>
                  <w:p w:rsidR="00A5605A" w:rsidRPr="00EE06A0" w:rsidP="00846FFB">
                    <w:pPr>
                      <w:jc w:val="center"/>
                      <w:rPr>
                        <w:rFonts w:ascii="Calibri" w:hAnsi="Calibri" w:cs="Calibri"/>
                        <w:color w:val="FFFFFF" w:themeColor="background1"/>
                        <w:spacing w:val="80"/>
                        <w:sz w:val="28"/>
                        <w:szCs w:val="36"/>
                      </w:rPr>
                    </w:pPr>
                    <w:r>
                      <w:rPr>
                        <w:rFonts w:ascii="Calibri" w:hAnsi="Calibri" w:cs="Calibri" w:hint="cs"/>
                        <w:color w:val="FFFFFF" w:themeColor="background1"/>
                        <w:spacing w:val="80"/>
                        <w:sz w:val="28"/>
                        <w:szCs w:val="36"/>
                        <w:rtl/>
                      </w:rPr>
                      <w:t>פרק</w:t>
                    </w:r>
                    <w:r w:rsidR="00EE67C7">
                      <w:rPr>
                        <w:rFonts w:ascii="Calibri" w:hAnsi="Calibri" w:cs="Calibri" w:hint="cs"/>
                        <w:color w:val="FFFFFF" w:themeColor="background1"/>
                        <w:spacing w:val="80"/>
                        <w:sz w:val="28"/>
                        <w:szCs w:val="36"/>
                        <w:rtl/>
                      </w:rPr>
                      <w:t xml:space="preserve"> </w:t>
                    </w:r>
                    <w:r w:rsidR="00507AA2">
                      <w:rPr>
                        <w:rFonts w:ascii="Calibri" w:hAnsi="Calibri" w:cs="Calibri" w:hint="cs"/>
                        <w:color w:val="FFFFFF" w:themeColor="background1"/>
                        <w:spacing w:val="80"/>
                        <w:sz w:val="28"/>
                        <w:szCs w:val="36"/>
                        <w:rtl/>
                      </w:rPr>
                      <w:t>ד</w:t>
                    </w:r>
                    <w:r w:rsidR="004B2FF6">
                      <w:rPr>
                        <w:rFonts w:ascii="Calibri" w:hAnsi="Calibri" w:cs="Calibri" w:hint="cs"/>
                        <w:color w:val="FFFFFF" w:themeColor="background1"/>
                        <w:spacing w:val="80"/>
                        <w:sz w:val="28"/>
                        <w:szCs w:val="36"/>
                        <w:rtl/>
                      </w:rPr>
                      <w:t>'</w:t>
                    </w:r>
                  </w:p>
                </w:txbxContent>
              </v:textbox>
            </v:shape>
          </w:pict>
        </mc:Fallback>
      </mc:AlternateContent>
    </w:r>
    <w:r w:rsidR="0011074F">
      <w:rPr>
        <w:rFonts w:asciiTheme="minorHAnsi" w:hAnsiTheme="minorHAnsi" w:cs="Calibri"/>
        <w:noProof/>
        <w:color w:val="002060"/>
        <w:szCs w:val="20"/>
        <w:rtl/>
      </w:rPr>
      <mc:AlternateContent>
        <mc:Choice Requires="wps">
          <w:drawing>
            <wp:anchor distT="0" distB="0" distL="114300" distR="114300" simplePos="0" relativeHeight="251663360" behindDoc="0" locked="0" layoutInCell="1" allowOverlap="1">
              <wp:simplePos x="0" y="0"/>
              <wp:positionH relativeFrom="column">
                <wp:posOffset>2042160</wp:posOffset>
              </wp:positionH>
              <wp:positionV relativeFrom="paragraph">
                <wp:posOffset>1979930</wp:posOffset>
              </wp:positionV>
              <wp:extent cx="1676400" cy="0"/>
              <wp:effectExtent l="0" t="0" r="0" b="0"/>
              <wp:wrapNone/>
              <wp:docPr id="16" name="מחבר ישר 16"/>
              <wp:cNvGraphicFramePr/>
              <a:graphic xmlns:a="http://schemas.openxmlformats.org/drawingml/2006/main">
                <a:graphicData uri="http://schemas.microsoft.com/office/word/2010/wordprocessingShape">
                  <wps:wsp xmlns:wps="http://schemas.microsoft.com/office/word/2010/wordprocessingShape">
                    <wps:cNvCnPr/>
                    <wps:spPr>
                      <a:xfrm>
                        <a:off x="0" y="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מחבר ישר 16" o:spid="_x0000_s2062" style="mso-wrap-distance-bottom:0;mso-wrap-distance-left:9pt;mso-wrap-distance-right:9pt;mso-wrap-distance-top:0;mso-wrap-style:square;position:absolute;visibility:visible;z-index:251669504" from="160.8pt,155.9pt" to="292.8pt,155.9pt" strokecolor="#002060" strokeweight="2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4789A" w:rsidRPr="00FB414E" w:rsidP="00FB414E">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rPr>
      <mc:AlternateContent>
        <mc:Choice Requires="wpg">
          <w:drawing>
            <wp:anchor distT="0" distB="0" distL="114300" distR="114300" simplePos="0" relativeHeight="251662336"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701308960" name="קבוצה 701308960"/>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166979208" name="מחבר ישר 116697920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76116240"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059587155"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60023683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 xml:space="preserve">לחמת חרבות </w:t>
                            </w:r>
                            <w:r w:rsidRPr="00001576">
                              <w:rPr>
                                <w:rFonts w:ascii="Calibri" w:hAnsi="Calibri" w:cs="Calibri"/>
                                <w:color w:val="002060"/>
                                <w:szCs w:val="20"/>
                                <w:rtl/>
                              </w:rPr>
                              <w:t>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701308960" o:spid="_x0000_s2066" style="width:484.3pt;height:47.6pt;margin-top:-7.45pt;margin-left:-15.2pt;mso-height-relative:margin;mso-width-relative:margin;position:absolute;z-index:251668480" coordorigin="317,0" coordsize="61503,6045">
              <v:line id="מחבר ישר 1166979208" o:spid="_x0000_s2067"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8" type="#_x0000_t202" style="width:31642;height:2857;flip:x;left:30178;mso-wrap-style:square;position:absolute;visibility:visible;v-text-anchor:top" filled="f" stroked="f">
                <v:textbox>
                  <w:txbxContent>
                    <w:p w:rsidR="00C4789A"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69" type="#_x0000_t202" style="width:31642;height:2857;flip:x;left:317;mso-wrap-style:square;position:absolute;top:3188;visibility:visible;v-text-anchor:top" filled="f" stroked="f">
                <v:textbox>
                  <w:txbxContent>
                    <w:p w:rsidR="00C4789A"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70" type="#_x0000_t202" style="width:35452;height:2858;flip:x;left:26326;mso-wrap-style:square;position:absolute;top:3181;visibility:visible;v-text-anchor:top" filled="f" stroked="f">
                <v:textbox>
                  <w:txbxContent>
                    <w:p w:rsidR="00C4789A" w:rsidRPr="001E204F" w:rsidP="00C4789A">
                      <w:pPr>
                        <w:rPr>
                          <w:rFonts w:ascii="Calibri" w:hAnsi="Calibri" w:cs="Calibri"/>
                          <w:color w:val="002060"/>
                          <w:szCs w:val="20"/>
                          <w:rtl/>
                        </w:rPr>
                      </w:pPr>
                      <w:r w:rsidRPr="00001576">
                        <w:rPr>
                          <w:rFonts w:ascii="Calibri" w:hAnsi="Calibri" w:cs="Calibri"/>
                          <w:color w:val="002060"/>
                          <w:szCs w:val="20"/>
                          <w:rtl/>
                        </w:rPr>
                        <w:t>ענף החקלאות ב</w:t>
                      </w:r>
                      <w:r>
                        <w:rPr>
                          <w:rFonts w:ascii="Calibri" w:hAnsi="Calibri" w:cs="Calibri" w:hint="cs"/>
                          <w:color w:val="002060"/>
                          <w:szCs w:val="20"/>
                          <w:rtl/>
                        </w:rPr>
                        <w:t>מ</w:t>
                      </w:r>
                      <w:r w:rsidRPr="00001576">
                        <w:rPr>
                          <w:rFonts w:ascii="Calibri" w:hAnsi="Calibri" w:cs="Calibri"/>
                          <w:color w:val="002060"/>
                          <w:szCs w:val="20"/>
                          <w:rtl/>
                        </w:rPr>
                        <w:t>לחמת חרבות ברזל</w:t>
                      </w:r>
                      <w:r>
                        <w:rPr>
                          <w:rFonts w:ascii="Calibri" w:hAnsi="Calibri" w:cs="Calibri" w:hint="cs"/>
                          <w:color w:val="002060"/>
                          <w:szCs w:val="20"/>
                          <w:rtl/>
                        </w:rPr>
                        <w:t xml:space="preserve"> </w:t>
                      </w:r>
                      <w:r w:rsidR="003E6853">
                        <w:rPr>
                          <w:rFonts w:ascii="Calibri" w:hAnsi="Calibri" w:cs="Calibri" w:hint="cs"/>
                          <w:color w:val="002060"/>
                          <w:szCs w:val="20"/>
                          <w:rtl/>
                        </w:rPr>
                        <w:t>222</w:t>
                      </w:r>
                      <w:r>
                        <w:rPr>
                          <w:rFonts w:ascii="Calibri" w:hAnsi="Calibri" w:cs="Calibri" w:hint="cs"/>
                          <w:color w:val="002060"/>
                          <w:szCs w:val="20"/>
                          <w:rtl/>
                        </w:rPr>
                        <w:t xml:space="preserve"> </w:t>
                      </w:r>
                    </w:p>
                    <w:p w:rsidR="00C4789A" w:rsidRPr="001E204F" w:rsidP="00FB414E">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o:bullet="t">
        <v:imagedata r:id="rId1" o:title="hand-red"/>
      </v:shape>
    </w:pict>
  </w:numPicBullet>
  <w:numPicBullet w:numPicBulletId="1">
    <w:pict>
      <v:shape id="_x0000_i1026" type="#_x0000_t75" style="width:255pt;height:255pt" o:bullet="t">
        <v:imagedata r:id="rId2" o:title=""/>
      </v:shape>
    </w:pict>
  </w:numPicBullet>
  <w:abstractNum w:abstractNumId="0" w15:restartNumberingAfterBreak="0">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1" w15:restartNumberingAfterBreak="0">
    <w:nsid w:val="0CBD5F52"/>
    <w:multiLevelType w:val="hybridMultilevel"/>
    <w:tmpl w:val="D94CDEE4"/>
    <w:lvl w:ilvl="0">
      <w:start w:val="1"/>
      <w:numFmt w:val="decimal"/>
      <w:lvlText w:val="%1."/>
      <w:lvlJc w:val="left"/>
      <w:pPr>
        <w:ind w:left="397"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E697B12"/>
    <w:multiLevelType w:val="hybridMultilevel"/>
    <w:tmpl w:val="30EA0890"/>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2806966"/>
    <w:multiLevelType w:val="hybridMultilevel"/>
    <w:tmpl w:val="FC6ED52C"/>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1CF648D2"/>
    <w:multiLevelType w:val="hybridMultilevel"/>
    <w:tmpl w:val="E2B6F6AA"/>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5" w15:restartNumberingAfterBreak="0">
    <w:nsid w:val="1D587F94"/>
    <w:multiLevelType w:val="hybridMultilevel"/>
    <w:tmpl w:val="FF2AB340"/>
    <w:lvl w:ilvl="0">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DB951A8"/>
    <w:multiLevelType w:val="hybridMultilevel"/>
    <w:tmpl w:val="477266D6"/>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7" w15:restartNumberingAfterBreak="0">
    <w:nsid w:val="2EC744C3"/>
    <w:multiLevelType w:val="hybridMultilevel"/>
    <w:tmpl w:val="4A68CCE0"/>
    <w:lvl w:ilvl="0">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9" w15:restartNumberingAfterBreak="0">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0" w15:restartNumberingAfterBreak="0">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1" w15:restartNumberingAfterBreak="0">
    <w:nsid w:val="355B1DDE"/>
    <w:multiLevelType w:val="hybridMultilevel"/>
    <w:tmpl w:val="0382FD12"/>
    <w:lvl w:ilvl="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15:restartNumberingAfterBreak="0">
    <w:nsid w:val="392E622D"/>
    <w:multiLevelType w:val="hybridMultilevel"/>
    <w:tmpl w:val="7D5E01EA"/>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3" w15:restartNumberingAfterBreak="0">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4" w15:restartNumberingAfterBreak="0">
    <w:nsid w:val="3B0B597E"/>
    <w:multiLevelType w:val="hybridMultilevel"/>
    <w:tmpl w:val="C582C6B2"/>
    <w:lvl w:ilvl="0">
      <w:start w:val="0"/>
      <w:numFmt w:val="bullet"/>
      <w:lvlText w:val="•"/>
      <w:lvlJc w:val="left"/>
      <w:pPr>
        <w:ind w:left="1003" w:hanging="360"/>
      </w:pPr>
      <w:rPr>
        <w:rFonts w:ascii="Tahoma" w:hAnsi="Tahoma" w:eastAsiaTheme="minorHAnsi" w:cs="Tahoma" w:hint="default"/>
        <w:b/>
        <w:i w:val="0"/>
        <w:caps w:val="0"/>
        <w:strike w:val="0"/>
        <w:dstrike w:val="0"/>
        <w:vanish w:val="0"/>
        <w:color w:val="FF0000"/>
        <w:position w:val="0"/>
        <w:sz w:val="21"/>
        <w:szCs w:val="25"/>
        <w:vertAlign w:val="baseline"/>
        <w14:ligatures w14:val="all"/>
        <w14:numForm w14:val="default"/>
        <w14:numSpacing w14:val="default"/>
        <w14:stylisticSets xmlns:w14="http://schemas.microsoft.com/office/word/2010/wordml"/>
      </w:rPr>
    </w:lvl>
    <w:lvl w:ilvl="1">
      <w:start w:val="0"/>
      <w:numFmt w:val="bullet"/>
      <w:lvlText w:val="•"/>
      <w:lvlJc w:val="left"/>
      <w:pPr>
        <w:ind w:left="1528" w:hanging="165"/>
      </w:pPr>
      <w:rPr>
        <w:rFonts w:ascii="Tahoma" w:hAnsi="Tahoma" w:eastAsiaTheme="minorHAnsi" w:cs="Tahoma" w:hint="default"/>
        <w:b/>
        <w:color w:val="FF0000"/>
        <w:sz w:val="21"/>
      </w:rPr>
    </w:lvl>
    <w:lvl w:ilvl="2" w:tentative="1">
      <w:start w:val="1"/>
      <w:numFmt w:val="bullet"/>
      <w:lvlText w:val=""/>
      <w:lvlJc w:val="left"/>
      <w:pPr>
        <w:ind w:left="2443" w:hanging="360"/>
      </w:pPr>
      <w:rPr>
        <w:rFonts w:ascii="Wingdings" w:hAnsi="Wingdings" w:hint="default"/>
      </w:rPr>
    </w:lvl>
    <w:lvl w:ilvl="3" w:tentative="1">
      <w:start w:val="1"/>
      <w:numFmt w:val="bullet"/>
      <w:lvlText w:val=""/>
      <w:lvlJc w:val="left"/>
      <w:pPr>
        <w:ind w:left="3163" w:hanging="360"/>
      </w:pPr>
      <w:rPr>
        <w:rFonts w:ascii="Symbol" w:hAnsi="Symbol" w:hint="default"/>
      </w:rPr>
    </w:lvl>
    <w:lvl w:ilvl="4" w:tentative="1">
      <w:start w:val="1"/>
      <w:numFmt w:val="bullet"/>
      <w:lvlText w:val="o"/>
      <w:lvlJc w:val="left"/>
      <w:pPr>
        <w:ind w:left="3883" w:hanging="360"/>
      </w:pPr>
      <w:rPr>
        <w:rFonts w:ascii="Courier New" w:hAnsi="Courier New" w:cs="Courier New" w:hint="default"/>
      </w:rPr>
    </w:lvl>
    <w:lvl w:ilvl="5" w:tentative="1">
      <w:start w:val="1"/>
      <w:numFmt w:val="bullet"/>
      <w:lvlText w:val=""/>
      <w:lvlJc w:val="left"/>
      <w:pPr>
        <w:ind w:left="4603" w:hanging="360"/>
      </w:pPr>
      <w:rPr>
        <w:rFonts w:ascii="Wingdings" w:hAnsi="Wingdings" w:hint="default"/>
      </w:rPr>
    </w:lvl>
    <w:lvl w:ilvl="6" w:tentative="1">
      <w:start w:val="1"/>
      <w:numFmt w:val="bullet"/>
      <w:lvlText w:val=""/>
      <w:lvlJc w:val="left"/>
      <w:pPr>
        <w:ind w:left="5323" w:hanging="360"/>
      </w:pPr>
      <w:rPr>
        <w:rFonts w:ascii="Symbol" w:hAnsi="Symbol" w:hint="default"/>
      </w:rPr>
    </w:lvl>
    <w:lvl w:ilvl="7" w:tentative="1">
      <w:start w:val="1"/>
      <w:numFmt w:val="bullet"/>
      <w:lvlText w:val="o"/>
      <w:lvlJc w:val="left"/>
      <w:pPr>
        <w:ind w:left="6043" w:hanging="360"/>
      </w:pPr>
      <w:rPr>
        <w:rFonts w:ascii="Courier New" w:hAnsi="Courier New" w:cs="Courier New" w:hint="default"/>
      </w:rPr>
    </w:lvl>
    <w:lvl w:ilvl="8" w:tentative="1">
      <w:start w:val="1"/>
      <w:numFmt w:val="bullet"/>
      <w:lvlText w:val=""/>
      <w:lvlJc w:val="left"/>
      <w:pPr>
        <w:ind w:left="6763" w:hanging="360"/>
      </w:pPr>
      <w:rPr>
        <w:rFonts w:ascii="Wingdings" w:hAnsi="Wingdings" w:hint="default"/>
      </w:rPr>
    </w:lvl>
  </w:abstractNum>
  <w:abstractNum w:abstractNumId="15" w15:restartNumberingAfterBreak="0">
    <w:nsid w:val="3DFC3F2B"/>
    <w:multiLevelType w:val="hybridMultilevel"/>
    <w:tmpl w:val="27902D54"/>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15:restartNumberingAfterBreak="0">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7" w15:restartNumberingAfterBreak="0">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18" w15:restartNumberingAfterBreak="0">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19" w15:restartNumberingAfterBreak="0">
    <w:nsid w:val="59F011FB"/>
    <w:multiLevelType w:val="hybridMultilevel"/>
    <w:tmpl w:val="FBB8779C"/>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15:restartNumberingAfterBreak="0">
    <w:nsid w:val="65D5678F"/>
    <w:multiLevelType w:val="hybridMultilevel"/>
    <w:tmpl w:val="8844FB18"/>
    <w:lvl w:ilvl="0">
      <w:start w:val="1"/>
      <w:numFmt w:val="bullet"/>
      <w:lvlText w:val=""/>
      <w:lvlJc w:val="left"/>
      <w:pPr>
        <w:ind w:left="1080" w:hanging="360"/>
      </w:pPr>
      <w:rPr>
        <w:rFonts w:ascii="Symbol" w:hAnsi="Symbol" w:hint="default"/>
        <w:color w:val="FF0000"/>
        <w:lang w:val="en-U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15:restartNumberingAfterBreak="0">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15:restartNumberingAfterBreak="0">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15:restartNumberingAfterBreak="0">
    <w:nsid w:val="778F7677"/>
    <w:multiLevelType w:val="hybridMultilevel"/>
    <w:tmpl w:val="257EC434"/>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25"/>
  </w:num>
  <w:num w:numId="2">
    <w:abstractNumId w:val="18"/>
  </w:num>
  <w:num w:numId="3">
    <w:abstractNumId w:val="16"/>
  </w:num>
  <w:num w:numId="4">
    <w:abstractNumId w:val="0"/>
  </w:num>
  <w:num w:numId="5">
    <w:abstractNumId w:val="17"/>
  </w:num>
  <w:num w:numId="6">
    <w:abstractNumId w:val="22"/>
  </w:num>
  <w:num w:numId="7">
    <w:abstractNumId w:val="13"/>
  </w:num>
  <w:num w:numId="8">
    <w:abstractNumId w:val="9"/>
  </w:num>
  <w:num w:numId="9">
    <w:abstractNumId w:val="8"/>
  </w:num>
  <w:num w:numId="10">
    <w:abstractNumId w:val="10"/>
  </w:num>
  <w:num w:numId="11">
    <w:abstractNumId w:val="23"/>
  </w:num>
  <w:num w:numId="12">
    <w:abstractNumId w:val="20"/>
  </w:num>
  <w:num w:numId="13">
    <w:abstractNumId w:val="19"/>
  </w:num>
  <w:num w:numId="14">
    <w:abstractNumId w:val="21"/>
  </w:num>
  <w:num w:numId="15">
    <w:abstractNumId w:val="1"/>
  </w:num>
  <w:num w:numId="16">
    <w:abstractNumId w:val="6"/>
  </w:num>
  <w:num w:numId="17">
    <w:abstractNumId w:val="7"/>
  </w:num>
  <w:num w:numId="18">
    <w:abstractNumId w:val="2"/>
  </w:num>
  <w:num w:numId="19">
    <w:abstractNumId w:val="11"/>
  </w:num>
  <w:num w:numId="20">
    <w:abstractNumId w:val="15"/>
  </w:num>
  <w:num w:numId="21">
    <w:abstractNumId w:val="5"/>
  </w:num>
  <w:num w:numId="22">
    <w:abstractNumId w:val="3"/>
  </w:num>
  <w:num w:numId="23">
    <w:abstractNumId w:val="24"/>
  </w:num>
  <w:num w:numId="24">
    <w:abstractNumId w:val="4"/>
  </w:num>
  <w:num w:numId="25">
    <w:abstractNumId w:val="12"/>
  </w:num>
  <w:num w:numId="2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51B"/>
    <w:rsid w:val="00001576"/>
    <w:rsid w:val="00003B77"/>
    <w:rsid w:val="0001735B"/>
    <w:rsid w:val="00030DCF"/>
    <w:rsid w:val="000314B9"/>
    <w:rsid w:val="00042837"/>
    <w:rsid w:val="000501A4"/>
    <w:rsid w:val="000532AA"/>
    <w:rsid w:val="0007624D"/>
    <w:rsid w:val="00084768"/>
    <w:rsid w:val="00092F16"/>
    <w:rsid w:val="000B1102"/>
    <w:rsid w:val="000B463F"/>
    <w:rsid w:val="000C6528"/>
    <w:rsid w:val="000C7459"/>
    <w:rsid w:val="000D221E"/>
    <w:rsid w:val="000E013E"/>
    <w:rsid w:val="000F7725"/>
    <w:rsid w:val="00101958"/>
    <w:rsid w:val="00101D0F"/>
    <w:rsid w:val="0011074F"/>
    <w:rsid w:val="0011092F"/>
    <w:rsid w:val="00113E28"/>
    <w:rsid w:val="00114325"/>
    <w:rsid w:val="00164D9B"/>
    <w:rsid w:val="00166477"/>
    <w:rsid w:val="001730B0"/>
    <w:rsid w:val="001960B4"/>
    <w:rsid w:val="0019747C"/>
    <w:rsid w:val="001A3BBC"/>
    <w:rsid w:val="001A613C"/>
    <w:rsid w:val="001B2821"/>
    <w:rsid w:val="001C057E"/>
    <w:rsid w:val="001C33F8"/>
    <w:rsid w:val="001C6185"/>
    <w:rsid w:val="001D3A45"/>
    <w:rsid w:val="001D3DA9"/>
    <w:rsid w:val="001E204F"/>
    <w:rsid w:val="001F0CD9"/>
    <w:rsid w:val="00203604"/>
    <w:rsid w:val="002064F7"/>
    <w:rsid w:val="00212D9D"/>
    <w:rsid w:val="002335DA"/>
    <w:rsid w:val="0023497D"/>
    <w:rsid w:val="00240887"/>
    <w:rsid w:val="002602F0"/>
    <w:rsid w:val="00263521"/>
    <w:rsid w:val="00276705"/>
    <w:rsid w:val="00291629"/>
    <w:rsid w:val="002A7D21"/>
    <w:rsid w:val="002B55E8"/>
    <w:rsid w:val="002C0C75"/>
    <w:rsid w:val="002C0FD0"/>
    <w:rsid w:val="002C1EE0"/>
    <w:rsid w:val="002C4139"/>
    <w:rsid w:val="002F6795"/>
    <w:rsid w:val="00301153"/>
    <w:rsid w:val="0030602D"/>
    <w:rsid w:val="00310345"/>
    <w:rsid w:val="00313DEA"/>
    <w:rsid w:val="0032268D"/>
    <w:rsid w:val="00323027"/>
    <w:rsid w:val="00330009"/>
    <w:rsid w:val="003400EF"/>
    <w:rsid w:val="00340353"/>
    <w:rsid w:val="0036735A"/>
    <w:rsid w:val="0037370B"/>
    <w:rsid w:val="0037752E"/>
    <w:rsid w:val="0037780B"/>
    <w:rsid w:val="00380052"/>
    <w:rsid w:val="00386E9B"/>
    <w:rsid w:val="0039415D"/>
    <w:rsid w:val="003D61C6"/>
    <w:rsid w:val="003E32D2"/>
    <w:rsid w:val="003E58C2"/>
    <w:rsid w:val="003E6853"/>
    <w:rsid w:val="00411396"/>
    <w:rsid w:val="0041323E"/>
    <w:rsid w:val="0042177E"/>
    <w:rsid w:val="00450C77"/>
    <w:rsid w:val="004562F8"/>
    <w:rsid w:val="004672FB"/>
    <w:rsid w:val="004742E8"/>
    <w:rsid w:val="004779AA"/>
    <w:rsid w:val="00493AB8"/>
    <w:rsid w:val="004A0385"/>
    <w:rsid w:val="004A0D80"/>
    <w:rsid w:val="004B2FF6"/>
    <w:rsid w:val="004C7D9F"/>
    <w:rsid w:val="004E0191"/>
    <w:rsid w:val="004E2733"/>
    <w:rsid w:val="004E488A"/>
    <w:rsid w:val="004F0AB4"/>
    <w:rsid w:val="005006C5"/>
    <w:rsid w:val="00507AA2"/>
    <w:rsid w:val="00524C99"/>
    <w:rsid w:val="00551B42"/>
    <w:rsid w:val="00551FF7"/>
    <w:rsid w:val="00574579"/>
    <w:rsid w:val="00577CAE"/>
    <w:rsid w:val="00580C5C"/>
    <w:rsid w:val="005A021D"/>
    <w:rsid w:val="005A09B4"/>
    <w:rsid w:val="005B2688"/>
    <w:rsid w:val="005C3049"/>
    <w:rsid w:val="005C7ABF"/>
    <w:rsid w:val="005D135D"/>
    <w:rsid w:val="005D2CBD"/>
    <w:rsid w:val="005D7324"/>
    <w:rsid w:val="005E62A6"/>
    <w:rsid w:val="005E7DF1"/>
    <w:rsid w:val="005F4A6D"/>
    <w:rsid w:val="00602674"/>
    <w:rsid w:val="0062451B"/>
    <w:rsid w:val="0062456C"/>
    <w:rsid w:val="00634DAD"/>
    <w:rsid w:val="0063556C"/>
    <w:rsid w:val="0063663E"/>
    <w:rsid w:val="006378E0"/>
    <w:rsid w:val="00640B60"/>
    <w:rsid w:val="006457EB"/>
    <w:rsid w:val="006531CB"/>
    <w:rsid w:val="006569CD"/>
    <w:rsid w:val="006615C6"/>
    <w:rsid w:val="00673BC4"/>
    <w:rsid w:val="00684D20"/>
    <w:rsid w:val="006A0446"/>
    <w:rsid w:val="006A56C2"/>
    <w:rsid w:val="006A646E"/>
    <w:rsid w:val="006B1593"/>
    <w:rsid w:val="006B7706"/>
    <w:rsid w:val="006C4033"/>
    <w:rsid w:val="006D4161"/>
    <w:rsid w:val="006D4240"/>
    <w:rsid w:val="006D786C"/>
    <w:rsid w:val="006E1414"/>
    <w:rsid w:val="006F285F"/>
    <w:rsid w:val="00716AFD"/>
    <w:rsid w:val="00716B78"/>
    <w:rsid w:val="0072219B"/>
    <w:rsid w:val="007474F0"/>
    <w:rsid w:val="00753ADE"/>
    <w:rsid w:val="00773F61"/>
    <w:rsid w:val="007772B4"/>
    <w:rsid w:val="00780272"/>
    <w:rsid w:val="0078433E"/>
    <w:rsid w:val="007A4EBD"/>
    <w:rsid w:val="007B112B"/>
    <w:rsid w:val="007B5B26"/>
    <w:rsid w:val="007B691A"/>
    <w:rsid w:val="007C1FF6"/>
    <w:rsid w:val="007D61B8"/>
    <w:rsid w:val="007E24BD"/>
    <w:rsid w:val="007F7FF2"/>
    <w:rsid w:val="00805B42"/>
    <w:rsid w:val="008102AD"/>
    <w:rsid w:val="0081190C"/>
    <w:rsid w:val="00824AB2"/>
    <w:rsid w:val="0083106F"/>
    <w:rsid w:val="00837997"/>
    <w:rsid w:val="00846FFB"/>
    <w:rsid w:val="0085742C"/>
    <w:rsid w:val="008654CB"/>
    <w:rsid w:val="00867FC5"/>
    <w:rsid w:val="0088743F"/>
    <w:rsid w:val="00892F80"/>
    <w:rsid w:val="0089702D"/>
    <w:rsid w:val="00897698"/>
    <w:rsid w:val="008A2E0E"/>
    <w:rsid w:val="008B4F41"/>
    <w:rsid w:val="008B5B82"/>
    <w:rsid w:val="008C1428"/>
    <w:rsid w:val="008C6F75"/>
    <w:rsid w:val="008D750B"/>
    <w:rsid w:val="009015B2"/>
    <w:rsid w:val="00906E90"/>
    <w:rsid w:val="0091051D"/>
    <w:rsid w:val="00936F84"/>
    <w:rsid w:val="00940851"/>
    <w:rsid w:val="009515F9"/>
    <w:rsid w:val="00961F73"/>
    <w:rsid w:val="009679D9"/>
    <w:rsid w:val="009912C8"/>
    <w:rsid w:val="009961E8"/>
    <w:rsid w:val="009A6817"/>
    <w:rsid w:val="009B0AEC"/>
    <w:rsid w:val="009B497A"/>
    <w:rsid w:val="009C6066"/>
    <w:rsid w:val="009D45C5"/>
    <w:rsid w:val="009D73F5"/>
    <w:rsid w:val="009E1A3F"/>
    <w:rsid w:val="009E37AC"/>
    <w:rsid w:val="009E53CF"/>
    <w:rsid w:val="009F0BD3"/>
    <w:rsid w:val="00A055D0"/>
    <w:rsid w:val="00A222E2"/>
    <w:rsid w:val="00A30B00"/>
    <w:rsid w:val="00A35DFF"/>
    <w:rsid w:val="00A368D8"/>
    <w:rsid w:val="00A5605A"/>
    <w:rsid w:val="00A61AD5"/>
    <w:rsid w:val="00A73038"/>
    <w:rsid w:val="00A76C99"/>
    <w:rsid w:val="00A81EBE"/>
    <w:rsid w:val="00A972BB"/>
    <w:rsid w:val="00AB465B"/>
    <w:rsid w:val="00AB66C8"/>
    <w:rsid w:val="00AC6B95"/>
    <w:rsid w:val="00AD1000"/>
    <w:rsid w:val="00AE4BB7"/>
    <w:rsid w:val="00AE741B"/>
    <w:rsid w:val="00AF3B73"/>
    <w:rsid w:val="00B00E5C"/>
    <w:rsid w:val="00B04068"/>
    <w:rsid w:val="00B14FC8"/>
    <w:rsid w:val="00B40090"/>
    <w:rsid w:val="00B4321D"/>
    <w:rsid w:val="00B64110"/>
    <w:rsid w:val="00B666B9"/>
    <w:rsid w:val="00B75E06"/>
    <w:rsid w:val="00B76DC1"/>
    <w:rsid w:val="00B862C0"/>
    <w:rsid w:val="00BD1B82"/>
    <w:rsid w:val="00BD2291"/>
    <w:rsid w:val="00BD291C"/>
    <w:rsid w:val="00BE22D7"/>
    <w:rsid w:val="00BE2DD8"/>
    <w:rsid w:val="00C2305A"/>
    <w:rsid w:val="00C23CC9"/>
    <w:rsid w:val="00C30B3D"/>
    <w:rsid w:val="00C30ECB"/>
    <w:rsid w:val="00C33AE2"/>
    <w:rsid w:val="00C34319"/>
    <w:rsid w:val="00C36C5E"/>
    <w:rsid w:val="00C4664C"/>
    <w:rsid w:val="00C4789A"/>
    <w:rsid w:val="00C61121"/>
    <w:rsid w:val="00C66ECA"/>
    <w:rsid w:val="00C75A49"/>
    <w:rsid w:val="00C8096C"/>
    <w:rsid w:val="00C8100B"/>
    <w:rsid w:val="00C92141"/>
    <w:rsid w:val="00CA38DE"/>
    <w:rsid w:val="00CA41D2"/>
    <w:rsid w:val="00CA4EB1"/>
    <w:rsid w:val="00CA4F20"/>
    <w:rsid w:val="00CC0D87"/>
    <w:rsid w:val="00CD5320"/>
    <w:rsid w:val="00CD6EEC"/>
    <w:rsid w:val="00CF2CCA"/>
    <w:rsid w:val="00CF6518"/>
    <w:rsid w:val="00D22748"/>
    <w:rsid w:val="00D26918"/>
    <w:rsid w:val="00D37121"/>
    <w:rsid w:val="00D57BE9"/>
    <w:rsid w:val="00D71966"/>
    <w:rsid w:val="00D779F7"/>
    <w:rsid w:val="00D833ED"/>
    <w:rsid w:val="00D85FD7"/>
    <w:rsid w:val="00D87542"/>
    <w:rsid w:val="00D95C20"/>
    <w:rsid w:val="00D97C16"/>
    <w:rsid w:val="00DA3406"/>
    <w:rsid w:val="00DA67CB"/>
    <w:rsid w:val="00DB2E3A"/>
    <w:rsid w:val="00DB6E18"/>
    <w:rsid w:val="00DE1DAB"/>
    <w:rsid w:val="00DE20A2"/>
    <w:rsid w:val="00DF0B89"/>
    <w:rsid w:val="00E07C3D"/>
    <w:rsid w:val="00E303A0"/>
    <w:rsid w:val="00E35682"/>
    <w:rsid w:val="00E46EA3"/>
    <w:rsid w:val="00E51C1B"/>
    <w:rsid w:val="00E52143"/>
    <w:rsid w:val="00E53DA7"/>
    <w:rsid w:val="00E678C7"/>
    <w:rsid w:val="00E725B9"/>
    <w:rsid w:val="00EB5989"/>
    <w:rsid w:val="00EC6B44"/>
    <w:rsid w:val="00ED7F1F"/>
    <w:rsid w:val="00EE06A0"/>
    <w:rsid w:val="00EE37A3"/>
    <w:rsid w:val="00EE407E"/>
    <w:rsid w:val="00EE67C7"/>
    <w:rsid w:val="00F30558"/>
    <w:rsid w:val="00F4385E"/>
    <w:rsid w:val="00F51DD6"/>
    <w:rsid w:val="00F56CE4"/>
    <w:rsid w:val="00F627EB"/>
    <w:rsid w:val="00F6612B"/>
    <w:rsid w:val="00F66FC8"/>
    <w:rsid w:val="00F75A10"/>
    <w:rsid w:val="00F77276"/>
    <w:rsid w:val="00F86C1B"/>
    <w:rsid w:val="00F92629"/>
    <w:rsid w:val="00F95853"/>
    <w:rsid w:val="00FA48C8"/>
    <w:rsid w:val="00FB3F26"/>
    <w:rsid w:val="00FB414E"/>
    <w:rsid w:val="00FC3213"/>
    <w:rsid w:val="00FC48C6"/>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DC34F3C"/>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9"/>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9"/>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9"/>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9"/>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9"/>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9"/>
    <w:rsid w:val="006D786C"/>
    <w:rPr>
      <w:rFonts w:eastAsiaTheme="majorEastAsia"/>
      <w:bCs/>
      <w:szCs w:val="28"/>
      <w:u w:val="single"/>
    </w:rPr>
  </w:style>
  <w:style w:type="character" w:customStyle="1" w:styleId="4">
    <w:name w:val="כותרת 4 תו"/>
    <w:basedOn w:val="DefaultParagraphFont"/>
    <w:link w:val="Heading4"/>
    <w:uiPriority w:val="9"/>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qFormat/>
    <w:rsid w:val="00574579"/>
    <w:pPr>
      <w:spacing w:line="240" w:lineRule="auto"/>
      <w:ind w:left="720" w:hanging="720"/>
    </w:pPr>
    <w:rPr>
      <w:szCs w:val="20"/>
    </w:rPr>
  </w:style>
  <w:style w:type="character" w:customStyle="1" w:styleId="a4">
    <w:name w:val="טקסט הערת שוליים תו"/>
    <w:aliases w:val=" Char תו,Char תו,F1 תו,FOOTNOTES תו,Footnote Text - Sharp תו,Footnote Text - Sharp Char תו,Footnote Text - Sharp Char Char תו,Footnote Text Char Char Char Char Char תו,Footnote reference תו,Sharp - Footnote Text תו,fn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iPriority w:val="99"/>
    <w:unhideWhenUsed/>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customStyle="1"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32268D"/>
    <w:pPr>
      <w:spacing w:after="180" w:line="288" w:lineRule="auto"/>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32268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Normal"/>
    <w:link w:val="2021Char"/>
    <w:qFormat/>
    <w:rsid w:val="00BE22D7"/>
    <w:pPr>
      <w:spacing w:before="120" w:line="240" w:lineRule="auto"/>
      <w:jc w:val="left"/>
      <w:outlineLvl w:val="0"/>
    </w:pPr>
    <w:rPr>
      <w:rFonts w:ascii="Tahoma" w:hAnsi="Tahoma" w:eastAsiaTheme="minorEastAsia" w:cs="Tahoma"/>
      <w:b/>
      <w:bCs/>
      <w:color w:val="0D0D0D" w:themeColor="text1" w:themeTint="F2"/>
      <w:sz w:val="36"/>
      <w:szCs w:val="36"/>
    </w:rPr>
  </w:style>
  <w:style w:type="character" w:customStyle="1" w:styleId="2021Char">
    <w:name w:val="מספרים גדולים בטבלת תקציר 2021 Char"/>
    <w:basedOn w:val="DefaultParagraphFont"/>
    <w:link w:val="2021"/>
    <w:rsid w:val="00BE22D7"/>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Normal"/>
    <w:link w:val="7320210"/>
    <w:qFormat/>
    <w:rsid w:val="00BE22D7"/>
    <w:pPr>
      <w:keepNext/>
      <w:spacing w:before="60" w:after="180" w:line="260" w:lineRule="exact"/>
      <w:jc w:val="left"/>
      <w:outlineLvl w:val="0"/>
    </w:pPr>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DefaultParagraphFont"/>
    <w:link w:val="732021"/>
    <w:rsid w:val="00BE22D7"/>
    <w:rPr>
      <w:rFonts w:ascii="Tahoma" w:hAnsi="Tahoma" w:eastAsiaTheme="minorEastAsia" w:cs="Tahoma"/>
      <w:color w:val="0D0D0D" w:themeColor="text1" w:themeTint="F2"/>
      <w:w w:val="90"/>
      <w:sz w:val="18"/>
      <w:szCs w:val="18"/>
    </w:rPr>
  </w:style>
  <w:style w:type="paragraph" w:customStyle="1" w:styleId="73">
    <w:name w:val="73א הזחה ראשונה ללא מספר"/>
    <w:basedOn w:val="Normal"/>
    <w:qFormat/>
    <w:rsid w:val="0032268D"/>
    <w:pPr>
      <w:spacing w:after="240" w:line="288" w:lineRule="auto"/>
      <w:ind w:left="397"/>
    </w:pPr>
    <w:rPr>
      <w:rFonts w:ascii="Tahoma" w:hAnsi="Tahoma" w:cs="Tahoma"/>
      <w:color w:val="0D0D0D" w:themeColor="text1" w:themeTint="F2"/>
      <w:sz w:val="18"/>
      <w:szCs w:val="18"/>
    </w:rPr>
  </w:style>
  <w:style w:type="paragraph" w:customStyle="1" w:styleId="730">
    <w:name w:val="73א פעולות ביקורת"/>
    <w:basedOn w:val="Normal"/>
    <w:qFormat/>
    <w:rsid w:val="00BE22D7"/>
    <w:pPr>
      <w:keepNext/>
      <w:keepLines/>
      <w:pBdr>
        <w:top w:val="double" w:sz="12" w:space="5" w:color="auto"/>
      </w:pBdr>
      <w:spacing w:before="480" w:after="360" w:line="240" w:lineRule="atLeast"/>
      <w:jc w:val="left"/>
    </w:pPr>
    <w:rPr>
      <w:rFonts w:ascii="Tahoma" w:hAnsi="Tahoma" w:eastAsiaTheme="minorEastAsia" w:cs="Tahoma"/>
      <w:b/>
      <w:bCs/>
      <w:noProof/>
      <w:color w:val="00305F"/>
      <w:sz w:val="31"/>
      <w:szCs w:val="31"/>
      <w:lang w:val="he-IL"/>
    </w:rPr>
  </w:style>
  <w:style w:type="character" w:customStyle="1" w:styleId="737">
    <w:name w:val="73א כותרת 7 הדגשת קטע בטקסט רץ תו"/>
    <w:basedOn w:val="DefaultParagraphFont"/>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Normal"/>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DefaultParagraphFont"/>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Normal"/>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DefaultParagraphFont"/>
    <w:link w:val="733"/>
    <w:rsid w:val="00BE22D7"/>
    <w:rPr>
      <w:rFonts w:ascii="Tahoma" w:hAnsi="Tahoma" w:cs="Tahoma"/>
      <w:b/>
      <w:bCs/>
      <w:color w:val="FFFFFF" w:themeColor="background1"/>
      <w:sz w:val="22"/>
      <w:szCs w:val="22"/>
    </w:rPr>
  </w:style>
  <w:style w:type="character" w:styleId="PageNumber">
    <w:name w:val="page number"/>
    <w:basedOn w:val="DefaultParagraphFont"/>
    <w:uiPriority w:val="99"/>
    <w:semiHidden/>
    <w:unhideWhenUsed/>
    <w:rsid w:val="005C3049"/>
  </w:style>
  <w:style w:type="table" w:customStyle="1" w:styleId="26">
    <w:name w:val="רשת טבלה2"/>
    <w:basedOn w:val="TableNormal"/>
    <w:next w:val="TableGrid"/>
    <w:uiPriority w:val="59"/>
    <w:rsid w:val="005D7324"/>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רשת טבלה3"/>
    <w:basedOn w:val="TableNormal"/>
    <w:next w:val="TableGrid"/>
    <w:uiPriority w:val="59"/>
    <w:rsid w:val="009515F9"/>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רשת טבלה4"/>
    <w:basedOn w:val="TableNormal"/>
    <w:next w:val="TableGrid"/>
    <w:uiPriority w:val="59"/>
    <w:rsid w:val="00507AA2"/>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Data" Target="diagrams/data1.xml"/><Relationship Id="rId26" Type="http://schemas.openxmlformats.org/officeDocument/2006/relationships/footer" Target="footer2.xml"/><Relationship Id="rId21" Type="http://schemas.openxmlformats.org/officeDocument/2006/relationships/diagramColors" Target="diagrams/colors1.xml"/><Relationship Id="rId3" Type="http://schemas.openxmlformats.org/officeDocument/2006/relationships/webSettings" Target="webSettings.xml"/><Relationship Id="rId34" Type="http://schemas.openxmlformats.org/officeDocument/2006/relationships/customXml" Target="../customXml/item3.xml"/><Relationship Id="rId12" Type="http://schemas.openxmlformats.org/officeDocument/2006/relationships/image" Target="media/image5.jpeg"/><Relationship Id="rId17" Type="http://schemas.microsoft.com/office/2007/relationships/diagramDrawing" Target="diagrams/drawing1.xml"/><Relationship Id="rId25" Type="http://schemas.openxmlformats.org/officeDocument/2006/relationships/footer" Target="footer1.xml"/><Relationship Id="rId7" Type="http://schemas.openxmlformats.org/officeDocument/2006/relationships/hyperlink" Target="mailto:libby.cohen.meguri@" TargetMode="External"/><Relationship Id="rId33" Type="http://schemas.openxmlformats.org/officeDocument/2006/relationships/customXml" Target="../customXml/item2.xml"/><Relationship Id="rId16" Type="http://schemas.openxmlformats.org/officeDocument/2006/relationships/image" Target="media/image9.jpeg"/><Relationship Id="rId2" Type="http://schemas.openxmlformats.org/officeDocument/2006/relationships/settings" Target="settings.xml"/><Relationship Id="rId20" Type="http://schemas.openxmlformats.org/officeDocument/2006/relationships/diagramQuickStyle" Target="diagrams/quickStyle1.xml"/><Relationship Id="rId29" Type="http://schemas.openxmlformats.org/officeDocument/2006/relationships/header" Target="header4.xml"/><Relationship Id="rId1"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32" Type="http://schemas.openxmlformats.org/officeDocument/2006/relationships/styles" Target="styles.xml"/><Relationship Id="rId6" Type="http://schemas.openxmlformats.org/officeDocument/2006/relationships/hyperlink" Target="http://www.remember-libby.co.il" TargetMode="Externa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oter" Target="footer3.xml"/><Relationship Id="rId5" Type="http://schemas.openxmlformats.org/officeDocument/2006/relationships/customXml" Target="../customXml/item1.xml"/><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numbering" Target="numbering.xml"/><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header" Target="header3.xml"/><Relationship Id="rId30"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image" Target="media/image2.jpeg"/><Relationship Id="rId35" Type="http://schemas.openxmlformats.org/officeDocument/2006/relationships/customXml" Target="../customXml/item4.xml"/><Relationship Id="rId8" Type="http://schemas.openxmlformats.org/officeDocument/2006/relationships/image" Target="media/image1.jpeg"/></Relationships>
</file>

<file path=word/_rels/numbering.xml.rels><?xml version="1.0" encoding="utf-8" standalone="yes"?><Relationships xmlns="http://schemas.openxmlformats.org/package/2006/relationships"><Relationship Id="rId1" Type="http://schemas.openxmlformats.org/officeDocument/2006/relationships/image" Target="media/image15.png" /><Relationship Id="rId2" Type="http://schemas.openxmlformats.org/officeDocument/2006/relationships/image" Target="media/image16.png" /></Relationships>
</file>

<file path=word/diagrams/_rels/data1.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media/image11.png" /><Relationship Id="rId3" Type="http://schemas.openxmlformats.org/officeDocument/2006/relationships/image" Target="../media/image12.png" /><Relationship Id="rId4" Type="http://schemas.openxmlformats.org/officeDocument/2006/relationships/image" Target="../media/image13.png" /></Relationships>
</file>

<file path=word/diagrams/_rels/drawing1.xml.rels><?xml version="1.0" encoding="utf-8" standalone="yes"?><Relationships xmlns="http://schemas.openxmlformats.org/package/2006/relationships"><Relationship Id="rId1" Type="http://schemas.openxmlformats.org/officeDocument/2006/relationships/image" Target="../media/image10.png" /><Relationship Id="rId2" Type="http://schemas.openxmlformats.org/officeDocument/2006/relationships/image" Target="../media/image11.png" /><Relationship Id="rId3" Type="http://schemas.openxmlformats.org/officeDocument/2006/relationships/image" Target="../media/image12.png" /><Relationship Id="rId4" Type="http://schemas.openxmlformats.org/officeDocument/2006/relationships/image" Target="../media/image13.png" /></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3FB93A-E44B-41C2-BF2A-7F5069A68D11}" type="doc">
      <dgm:prSet loTypeId="urn:microsoft.com/office/officeart/2005/8/layout/pList1#1" loCatId="list" qsTypeId="urn:microsoft.com/office/officeart/2005/8/quickstyle/simple1" qsCatId="simple" csTypeId="urn:microsoft.com/office/officeart/2005/8/colors/accent1_2" csCatId="accent1" phldr="1"/>
      <dgm:spPr/>
      <dgm:t>
        <a:bodyPr/>
        <a:lstStyle/>
        <a:p>
          <a:pPr rtl="1"/>
          <a:endParaRPr lang="he-IL"/>
        </a:p>
      </dgm:t>
    </dgm:pt>
    <dgm:pt modelId="{C44B0B37-5EF0-4E8B-9F84-35AE71DFC652}">
      <dgm:prSet phldrT="[טקסט]"/>
      <dgm:spPr>
        <a:xfrm>
          <a:off x="649904" y="539723"/>
          <a:ext cx="1247207" cy="462713"/>
        </a:xfrm>
        <a:prstGeom prst="rect">
          <a:avLst/>
        </a:prstGeom>
        <a:noFill/>
        <a:ln>
          <a:noFill/>
        </a:ln>
        <a:effectLst/>
      </dgm:spPr>
      <dgm:t>
        <a:bodyPr/>
        <a:lstStyle/>
        <a:p>
          <a:pPr rtl="1">
            <a:buNone/>
          </a:pPr>
          <a:r>
            <a:rPr lang="he-IL">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אמצעים ללינה ולהפעלת המתקן (כולל סניטציה וכלכלה)</a:t>
          </a:r>
        </a:p>
      </dgm:t>
    </dgm:pt>
    <dgm:pt modelId="{64B92970-1736-4230-88B5-CAE3814DB4D5}" type="parTrans" cxnId="{C4EA083D-7452-4DE1-8B49-76624B1E6DFD}">
      <dgm:prSet/>
      <dgm:spPr/>
      <dgm:t>
        <a:bodyPr/>
        <a:lstStyle/>
        <a:p>
          <a:pPr rtl="1"/>
          <a:endParaRPr lang="he-IL"/>
        </a:p>
      </dgm:t>
    </dgm:pt>
    <dgm:pt modelId="{0E86ADB7-7DEE-479B-9841-656A27046E66}" type="sibTrans" cxnId="{C4EA083D-7452-4DE1-8B49-76624B1E6DFD}">
      <dgm:prSet/>
      <dgm:spPr/>
      <dgm:t>
        <a:bodyPr/>
        <a:lstStyle/>
        <a:p>
          <a:pPr rtl="1"/>
          <a:endParaRPr lang="he-IL"/>
        </a:p>
      </dgm:t>
    </dgm:pt>
    <dgm:pt modelId="{136F8422-29C8-452F-B6F2-BCF3B8AE9630}">
      <dgm:prSet phldrT="[טקסט]"/>
      <dgm:spPr>
        <a:xfrm>
          <a:off x="2031987" y="1519541"/>
          <a:ext cx="1247207" cy="462713"/>
        </a:xfrm>
        <a:prstGeom prst="rect">
          <a:avLst/>
        </a:prstGeom>
        <a:noFill/>
        <a:ln>
          <a:noFill/>
        </a:ln>
        <a:effectLst/>
      </dgm:spPr>
      <dgm:t>
        <a:bodyPr/>
        <a:lstStyle/>
        <a:p>
          <a:pPr rtl="1">
            <a:buNone/>
          </a:pPr>
          <a:r>
            <a:rPr lang="he-IL">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כוח אדם להפעלה ולטיפול בנקלטים</a:t>
          </a:r>
        </a:p>
      </dgm:t>
    </dgm:pt>
    <dgm:pt modelId="{DFCFDD4A-A9A0-457E-86C3-D57AC227C9ED}" type="parTrans" cxnId="{3A3943F9-817A-4817-9C78-C272F9949735}">
      <dgm:prSet/>
      <dgm:spPr/>
      <dgm:t>
        <a:bodyPr/>
        <a:lstStyle/>
        <a:p>
          <a:pPr rtl="1"/>
          <a:endParaRPr lang="he-IL"/>
        </a:p>
      </dgm:t>
    </dgm:pt>
    <dgm:pt modelId="{FFC7D2F6-1869-4F6B-B7D1-C97213262FAC}" type="sibTrans" cxnId="{3A3943F9-817A-4817-9C78-C272F9949735}">
      <dgm:prSet/>
      <dgm:spPr/>
      <dgm:t>
        <a:bodyPr/>
        <a:lstStyle/>
        <a:p>
          <a:pPr rtl="1"/>
          <a:endParaRPr lang="he-IL"/>
        </a:p>
      </dgm:t>
    </dgm:pt>
    <dgm:pt modelId="{DC6948B4-34B6-4C45-836C-254F0E0906AB}">
      <dgm:prSet phldrT="[טקסט]"/>
      <dgm:spPr>
        <a:xfrm>
          <a:off x="3358544" y="551448"/>
          <a:ext cx="1247207" cy="462713"/>
        </a:xfrm>
        <a:prstGeom prst="rect">
          <a:avLst/>
        </a:prstGeom>
        <a:noFill/>
        <a:ln>
          <a:noFill/>
        </a:ln>
        <a:effectLst/>
      </dgm:spPr>
      <dgm:t>
        <a:bodyPr/>
        <a:lstStyle/>
        <a:p>
          <a:pPr rtl="1">
            <a:buNone/>
          </a:pPr>
          <a:r>
            <a:rPr lang="he-IL">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מתקן - תשתית לקליטה</a:t>
          </a:r>
        </a:p>
      </dgm:t>
    </dgm:pt>
    <dgm:pt modelId="{3DE0BA54-B9AA-47E5-B804-F46862316F6B}" type="parTrans" cxnId="{C7C1F71B-2942-4B33-AFB0-0ED6B2378085}">
      <dgm:prSet/>
      <dgm:spPr/>
      <dgm:t>
        <a:bodyPr/>
        <a:lstStyle/>
        <a:p>
          <a:pPr rtl="1"/>
          <a:endParaRPr lang="he-IL"/>
        </a:p>
      </dgm:t>
    </dgm:pt>
    <dgm:pt modelId="{F548C52E-BBC0-407D-B584-723CFFE421FB}" type="sibTrans" cxnId="{C7C1F71B-2942-4B33-AFB0-0ED6B2378085}">
      <dgm:prSet/>
      <dgm:spPr/>
      <dgm:t>
        <a:bodyPr/>
        <a:lstStyle/>
        <a:p>
          <a:pPr rtl="1"/>
          <a:endParaRPr lang="he-IL"/>
        </a:p>
      </dgm:t>
    </dgm:pt>
    <dgm:pt modelId="{B255142D-E691-4A90-AEDC-FAC1A724A57A}">
      <dgm:prSet phldrT="[טקסט]"/>
      <dgm:spPr>
        <a:xfrm>
          <a:off x="1966383" y="558219"/>
          <a:ext cx="1247207" cy="462713"/>
        </a:xfrm>
        <a:prstGeom prst="rect">
          <a:avLst/>
        </a:prstGeom>
        <a:noFill/>
        <a:ln>
          <a:noFill/>
        </a:ln>
        <a:effectLst/>
      </dgm:spPr>
      <dgm:t>
        <a:bodyPr/>
        <a:lstStyle/>
        <a:p>
          <a:pPr rtl="1">
            <a:buNone/>
          </a:pPr>
          <a:r>
            <a:rPr lang="he-IL">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מיגון לפי הנחיות פקע"ר</a:t>
          </a:r>
        </a:p>
      </dgm:t>
    </dgm:pt>
    <dgm:pt modelId="{6981535A-E847-47FA-BF6A-63D6B1D767D2}" type="parTrans" cxnId="{95F378A4-5FF3-433C-8EBA-B14DFB442E56}">
      <dgm:prSet/>
      <dgm:spPr/>
      <dgm:t>
        <a:bodyPr/>
        <a:lstStyle/>
        <a:p>
          <a:pPr rtl="1"/>
          <a:endParaRPr lang="he-IL"/>
        </a:p>
      </dgm:t>
    </dgm:pt>
    <dgm:pt modelId="{8B69E231-1FF6-440E-ACF7-4900D7713BF9}" type="sibTrans" cxnId="{95F378A4-5FF3-433C-8EBA-B14DFB442E56}">
      <dgm:prSet/>
      <dgm:spPr/>
      <dgm:t>
        <a:bodyPr/>
        <a:lstStyle/>
        <a:p>
          <a:pPr rtl="1"/>
          <a:endParaRPr lang="he-IL"/>
        </a:p>
      </dgm:t>
    </dgm:pt>
    <dgm:pt modelId="{05710AC5-5BAE-4305-B200-F228B1A7EF56}" type="pres">
      <dgm:prSet presAssocID="{773FB93A-E44B-41C2-BF2A-7F5069A68D11}" presName="Name0" presStyleCnt="0">
        <dgm:presLayoutVars>
          <dgm:dir val="norm"/>
          <dgm:resizeHandles val="exact"/>
        </dgm:presLayoutVars>
      </dgm:prSet>
      <dgm:spPr/>
      <dgm:t>
        <a:bodyPr/>
        <a:lstStyle/>
        <a:p>
          <a:pPr rtl="1"/>
          <a:endParaRPr lang="he-IL"/>
        </a:p>
      </dgm:t>
    </dgm:pt>
    <dgm:pt modelId="{FA0CA4AB-64FD-491E-94A6-1058C4E321CF}" type="pres">
      <dgm:prSet presAssocID="{C44B0B37-5EF0-4E8B-9F84-35AE71DFC652}" presName="compNode" presStyleCnt="0"/>
      <dgm:spPr/>
    </dgm:pt>
    <dgm:pt modelId="{D9697140-C5E9-439B-9B04-3F2D801FABFC}" type="pres">
      <dgm:prSet presAssocID="{C44B0B37-5EF0-4E8B-9F84-35AE71DFC652}" presName="pictRect" presStyleLbl="node1" presStyleIdx="0" presStyleCnt="4" custScaleX="57398" custScaleY="64212"/>
      <dgm:spPr>
        <a:xfrm>
          <a:off x="880250" y="682"/>
          <a:ext cx="715872" cy="551790"/>
        </a:xfrm>
        <a:prstGeom prst="roundRect">
          <a:avLst/>
        </a:prstGeom>
        <a: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t="-23000" b="-23000"/>
          </a:stretch>
        </a:blipFill>
        <a:ln w="12700">
          <a:solidFill>
            <a:sysClr val="window" lastClr="FFFFFF">
              <a:hueOff val="0"/>
              <a:satOff val="0"/>
              <a:lumOff val="0"/>
              <a:alphaOff val="0"/>
            </a:sysClr>
          </a:solidFill>
          <a:prstDash val="solid"/>
          <a:miter lim="800000"/>
        </a:ln>
        <a:effectLst/>
      </dgm:spPr>
    </dgm:pt>
    <dgm:pt modelId="{BBE24B7A-81A7-4D80-8F3E-60DD0AB1B226}" type="pres">
      <dgm:prSet presAssocID="{C44B0B37-5EF0-4E8B-9F84-35AE71DFC652}" presName="textRect" presStyleLbl="revTx" presStyleIdx="0" presStyleCnt="4" custLinFactNeighborX="2832" custLinFactNeighborY="-35987">
        <dgm:presLayoutVars>
          <dgm:bulletEnabled val="1"/>
        </dgm:presLayoutVars>
      </dgm:prSet>
      <dgm:spPr/>
      <dgm:t>
        <a:bodyPr/>
        <a:lstStyle/>
        <a:p>
          <a:pPr rtl="1"/>
          <a:endParaRPr lang="he-IL"/>
        </a:p>
      </dgm:t>
    </dgm:pt>
    <dgm:pt modelId="{F61246A3-2EA9-460C-8AD1-A4BF5627AEAE}" type="pres">
      <dgm:prSet presAssocID="{0E86ADB7-7DEE-479B-9841-656A27046E66}" presName="sibTrans" presStyleLbl="sibTrans2D1" presStyleIdx="0" presStyleCnt="0"/>
      <dgm:spPr/>
      <dgm:t>
        <a:bodyPr/>
        <a:lstStyle/>
        <a:p>
          <a:pPr rtl="1"/>
          <a:endParaRPr lang="he-IL"/>
        </a:p>
      </dgm:t>
    </dgm:pt>
    <dgm:pt modelId="{761B6CE9-8FC3-44DF-A925-A3B6188A0D07}" type="pres">
      <dgm:prSet presAssocID="{136F8422-29C8-452F-B6F2-BCF3B8AE9630}" presName="compNode" presStyleCnt="0"/>
      <dgm:spPr/>
    </dgm:pt>
    <dgm:pt modelId="{8BBF355F-EE80-4E77-A086-E2AD289172BA}" type="pres">
      <dgm:prSet presAssocID="{136F8422-29C8-452F-B6F2-BCF3B8AE9630}" presName="pictRect" presStyleLbl="node1" presStyleIdx="1" presStyleCnt="4" custScaleX="48264" custScaleY="50536" custLinFactY="26836" custLinFactNeighborX="4046" custLinFactNeighborY="100000"/>
      <dgm:spPr>
        <a:xfrm>
          <a:off x="2359653" y="1119997"/>
          <a:ext cx="601952" cy="434268"/>
        </a:xfrm>
        <a:prstGeom prst="roundRect">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23000" b="-23000"/>
          </a:stretch>
        </a:blipFill>
        <a:ln w="12700">
          <a:solidFill>
            <a:sysClr val="window" lastClr="FFFFFF">
              <a:hueOff val="0"/>
              <a:satOff val="0"/>
              <a:lumOff val="0"/>
              <a:alphaOff val="0"/>
            </a:sysClr>
          </a:solidFill>
          <a:prstDash val="solid"/>
          <a:miter lim="800000"/>
        </a:ln>
        <a:effectLst/>
      </dgm:spPr>
      <dgm:t>
        <a:bodyPr/>
        <a:lstStyle/>
        <a:p>
          <a:pPr rtl="1"/>
          <a:endParaRPr lang="he-IL"/>
        </a:p>
      </dgm:t>
    </dgm:pt>
    <dgm:pt modelId="{7AD32DD7-9CC4-4DC2-A5F8-76B47BCC3F1D}" type="pres">
      <dgm:prSet presAssocID="{136F8422-29C8-452F-B6F2-BCF3B8AE9630}" presName="textRect" presStyleLbl="revTx" presStyleIdx="1" presStyleCnt="4" custLinFactY="82117" custLinFactNeighborX="3642" custLinFactNeighborY="100000">
        <dgm:presLayoutVars>
          <dgm:bulletEnabled val="1"/>
        </dgm:presLayoutVars>
      </dgm:prSet>
      <dgm:spPr/>
      <dgm:t>
        <a:bodyPr/>
        <a:lstStyle/>
        <a:p>
          <a:pPr rtl="1"/>
          <a:endParaRPr lang="he-IL"/>
        </a:p>
      </dgm:t>
    </dgm:pt>
    <dgm:pt modelId="{9BBD450F-6BB7-4A7B-BFD5-5065FD0A3D05}" type="pres">
      <dgm:prSet presAssocID="{FFC7D2F6-1869-4F6B-B7D1-C97213262FAC}" presName="sibTrans" presStyleLbl="sibTrans2D1" presStyleIdx="0" presStyleCnt="0"/>
      <dgm:spPr/>
      <dgm:t>
        <a:bodyPr/>
        <a:lstStyle/>
        <a:p>
          <a:pPr rtl="1"/>
          <a:endParaRPr lang="he-IL"/>
        </a:p>
      </dgm:t>
    </dgm:pt>
    <dgm:pt modelId="{E207DFE9-A39C-4C2A-AB84-A917AC4D648F}" type="pres">
      <dgm:prSet presAssocID="{DC6948B4-34B6-4C45-836C-254F0E0906AB}" presName="compNode" presStyleCnt="0"/>
      <dgm:spPr/>
    </dgm:pt>
    <dgm:pt modelId="{42C66726-C112-4271-A2E5-57CA2A60F1B0}" type="pres">
      <dgm:prSet presAssocID="{DC6948B4-34B6-4C45-836C-254F0E0906AB}" presName="pictRect" presStyleLbl="node1" presStyleIdx="2" presStyleCnt="4" custScaleX="68169" custScaleY="53227"/>
      <dgm:spPr>
        <a:xfrm>
          <a:off x="3557043" y="24281"/>
          <a:ext cx="850208" cy="457393"/>
        </a:xfrm>
        <a:prstGeom prst="roundRect">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43000" b="-43000"/>
          </a:stretch>
        </a:blipFill>
        <a:ln w="12700">
          <a:solidFill>
            <a:sysClr val="window" lastClr="FFFFFF">
              <a:hueOff val="0"/>
              <a:satOff val="0"/>
              <a:lumOff val="0"/>
              <a:alphaOff val="0"/>
            </a:sysClr>
          </a:solidFill>
          <a:prstDash val="solid"/>
          <a:miter lim="800000"/>
        </a:ln>
        <a:effectLst/>
      </dgm:spPr>
    </dgm:pt>
    <dgm:pt modelId="{00F9F0FD-0582-4F9D-B3F4-94F9155E2B53}" type="pres">
      <dgm:prSet presAssocID="{DC6948B4-34B6-4C45-836C-254F0E0906AB}" presName="textRect" presStyleLbl="revTx" presStyleIdx="2" presStyleCnt="4" custLinFactNeighborY="-28353">
        <dgm:presLayoutVars>
          <dgm:bulletEnabled val="1"/>
        </dgm:presLayoutVars>
      </dgm:prSet>
      <dgm:spPr/>
      <dgm:t>
        <a:bodyPr/>
        <a:lstStyle/>
        <a:p>
          <a:pPr rtl="1"/>
          <a:endParaRPr lang="he-IL"/>
        </a:p>
      </dgm:t>
    </dgm:pt>
    <dgm:pt modelId="{902EFFB0-0878-4442-99EA-15676DF8F6CD}" type="pres">
      <dgm:prSet presAssocID="{F548C52E-BBC0-407D-B584-723CFFE421FB}" presName="sibTrans" presStyleLbl="sibTrans2D1" presStyleIdx="0" presStyleCnt="0"/>
      <dgm:spPr/>
      <dgm:t>
        <a:bodyPr/>
        <a:lstStyle/>
        <a:p>
          <a:pPr rtl="1"/>
          <a:endParaRPr lang="he-IL"/>
        </a:p>
      </dgm:t>
    </dgm:pt>
    <dgm:pt modelId="{A37C8B69-D421-4292-8DB4-385EAE64463D}" type="pres">
      <dgm:prSet presAssocID="{B255142D-E691-4A90-AEDC-FAC1A724A57A}" presName="compNode" presStyleCnt="0"/>
      <dgm:spPr/>
    </dgm:pt>
    <dgm:pt modelId="{3F127693-6200-4651-A28E-C96B4F29699D}" type="pres">
      <dgm:prSet presAssocID="{B255142D-E691-4A90-AEDC-FAC1A724A57A}" presName="pictRect" presStyleLbl="node1" presStyleIdx="3" presStyleCnt="4" custScaleX="54219" custScaleY="54139" custLinFactY="-35057" custLinFactNeighborX="-1214" custLinFactNeighborY="-100000"/>
      <dgm:spPr>
        <a:xfrm>
          <a:off x="2256914" y="133095"/>
          <a:ext cx="676223" cy="465230"/>
        </a:xfrm>
        <a:prstGeom prst="roundRect">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21000" b="-21000"/>
          </a:stretch>
        </a:blipFill>
        <a:ln w="12700">
          <a:solidFill>
            <a:sysClr val="window" lastClr="FFFFFF">
              <a:hueOff val="0"/>
              <a:satOff val="0"/>
              <a:lumOff val="0"/>
              <a:alphaOff val="0"/>
            </a:sysClr>
          </a:solidFill>
          <a:prstDash val="solid"/>
          <a:miter lim="800000"/>
        </a:ln>
        <a:effectLst/>
      </dgm:spPr>
    </dgm:pt>
    <dgm:pt modelId="{5FB07CF5-931E-4968-87D4-8E5E808A56E9}" type="pres">
      <dgm:prSet presAssocID="{B255142D-E691-4A90-AEDC-FAC1A724A57A}" presName="textRect" presStyleLbl="revTx" presStyleIdx="3" presStyleCnt="4" custLinFactY="-102073" custLinFactNeighborX="-1618" custLinFactNeighborY="-200000">
        <dgm:presLayoutVars>
          <dgm:bulletEnabled val="1"/>
        </dgm:presLayoutVars>
      </dgm:prSet>
      <dgm:spPr/>
      <dgm:t>
        <a:bodyPr/>
        <a:lstStyle/>
        <a:p>
          <a:pPr rtl="1"/>
          <a:endParaRPr lang="he-IL"/>
        </a:p>
      </dgm:t>
    </dgm:pt>
  </dgm:ptLst>
  <dgm:cxnLst>
    <dgm:cxn modelId="{C7C1F71B-2942-4B33-AFB0-0ED6B2378085}" srcId="{773FB93A-E44B-41C2-BF2A-7F5069A68D11}" destId="{DC6948B4-34B6-4C45-836C-254F0E0906AB}" srcOrd="2" destOrd="0" parTransId="{3DE0BA54-B9AA-47E5-B804-F46862316F6B}" sibTransId="{F548C52E-BBC0-407D-B584-723CFFE421FB}"/>
    <dgm:cxn modelId="{052284D7-7774-48D3-8252-89FF28B8824B}" type="presOf" srcId="{B255142D-E691-4A90-AEDC-FAC1A724A57A}" destId="{5FB07CF5-931E-4968-87D4-8E5E808A56E9}" srcOrd="0" destOrd="0" presId="urn:microsoft.com/office/officeart/2005/8/layout/pList1#1"/>
    <dgm:cxn modelId="{95F378A4-5FF3-433C-8EBA-B14DFB442E56}" srcId="{773FB93A-E44B-41C2-BF2A-7F5069A68D11}" destId="{B255142D-E691-4A90-AEDC-FAC1A724A57A}" srcOrd="3" destOrd="0" parTransId="{6981535A-E847-47FA-BF6A-63D6B1D767D2}" sibTransId="{8B69E231-1FF6-440E-ACF7-4900D7713BF9}"/>
    <dgm:cxn modelId="{3A3943F9-817A-4817-9C78-C272F9949735}" srcId="{773FB93A-E44B-41C2-BF2A-7F5069A68D11}" destId="{136F8422-29C8-452F-B6F2-BCF3B8AE9630}" srcOrd="1" destOrd="0" parTransId="{DFCFDD4A-A9A0-457E-86C3-D57AC227C9ED}" sibTransId="{FFC7D2F6-1869-4F6B-B7D1-C97213262FAC}"/>
    <dgm:cxn modelId="{C4EA083D-7452-4DE1-8B49-76624B1E6DFD}" srcId="{773FB93A-E44B-41C2-BF2A-7F5069A68D11}" destId="{C44B0B37-5EF0-4E8B-9F84-35AE71DFC652}" srcOrd="0" destOrd="0" parTransId="{64B92970-1736-4230-88B5-CAE3814DB4D5}" sibTransId="{0E86ADB7-7DEE-479B-9841-656A27046E66}"/>
    <dgm:cxn modelId="{65ED8C47-DF3D-4F5A-BD57-421C129384E5}" type="presOf" srcId="{0E86ADB7-7DEE-479B-9841-656A27046E66}" destId="{F61246A3-2EA9-460C-8AD1-A4BF5627AEAE}" srcOrd="0" destOrd="0" presId="urn:microsoft.com/office/officeart/2005/8/layout/pList1#1"/>
    <dgm:cxn modelId="{2C3366F3-DDA8-4AE9-882D-9B0A9C01541D}" type="presOf" srcId="{DC6948B4-34B6-4C45-836C-254F0E0906AB}" destId="{00F9F0FD-0582-4F9D-B3F4-94F9155E2B53}" srcOrd="0" destOrd="0" presId="urn:microsoft.com/office/officeart/2005/8/layout/pList1#1"/>
    <dgm:cxn modelId="{CA4EF690-C8F2-4579-A966-928FAB746A62}" type="presOf" srcId="{C44B0B37-5EF0-4E8B-9F84-35AE71DFC652}" destId="{BBE24B7A-81A7-4D80-8F3E-60DD0AB1B226}" srcOrd="0" destOrd="0" presId="urn:microsoft.com/office/officeart/2005/8/layout/pList1#1"/>
    <dgm:cxn modelId="{B558F76E-9C43-4ADF-BE6F-F5E8BF96DEF3}" type="presOf" srcId="{136F8422-29C8-452F-B6F2-BCF3B8AE9630}" destId="{7AD32DD7-9CC4-4DC2-A5F8-76B47BCC3F1D}" srcOrd="0" destOrd="0" presId="urn:microsoft.com/office/officeart/2005/8/layout/pList1#1"/>
    <dgm:cxn modelId="{A6B5DE2A-AB4A-4E58-A5DC-A407D83057AE}" type="presOf" srcId="{F548C52E-BBC0-407D-B584-723CFFE421FB}" destId="{902EFFB0-0878-4442-99EA-15676DF8F6CD}" srcOrd="0" destOrd="0" presId="urn:microsoft.com/office/officeart/2005/8/layout/pList1#1"/>
    <dgm:cxn modelId="{9F51D03D-AB25-40E7-A6C8-AB0E9D82D1C8}" type="presOf" srcId="{FFC7D2F6-1869-4F6B-B7D1-C97213262FAC}" destId="{9BBD450F-6BB7-4A7B-BFD5-5065FD0A3D05}" srcOrd="0" destOrd="0" presId="urn:microsoft.com/office/officeart/2005/8/layout/pList1#1"/>
    <dgm:cxn modelId="{C8E4BF4F-4D8E-4F4B-B44F-9FDC38EF93C9}" type="presOf" srcId="{773FB93A-E44B-41C2-BF2A-7F5069A68D11}" destId="{05710AC5-5BAE-4305-B200-F228B1A7EF56}" srcOrd="0" destOrd="0" presId="urn:microsoft.com/office/officeart/2005/8/layout/pList1#1"/>
    <dgm:cxn modelId="{186E67AF-84A8-4D5F-BA1B-BFB5E55D4250}" type="presParOf" srcId="{05710AC5-5BAE-4305-B200-F228B1A7EF56}" destId="{FA0CA4AB-64FD-491E-94A6-1058C4E321CF}" srcOrd="0" destOrd="0" presId="urn:microsoft.com/office/officeart/2005/8/layout/pList1#1"/>
    <dgm:cxn modelId="{7F18F602-AE88-48FB-8971-1A3B38A285F8}" type="presParOf" srcId="{FA0CA4AB-64FD-491E-94A6-1058C4E321CF}" destId="{D9697140-C5E9-439B-9B04-3F2D801FABFC}" srcOrd="0" destOrd="0" presId="urn:microsoft.com/office/officeart/2005/8/layout/pList1#1"/>
    <dgm:cxn modelId="{DA7A637F-D3FF-4458-A28C-D3B960ECA0AC}" type="presParOf" srcId="{FA0CA4AB-64FD-491E-94A6-1058C4E321CF}" destId="{BBE24B7A-81A7-4D80-8F3E-60DD0AB1B226}" srcOrd="1" destOrd="0" presId="urn:microsoft.com/office/officeart/2005/8/layout/pList1#1"/>
    <dgm:cxn modelId="{9F1A40A2-C4DB-4B4D-B68C-3516D2FB291C}" type="presParOf" srcId="{05710AC5-5BAE-4305-B200-F228B1A7EF56}" destId="{F61246A3-2EA9-460C-8AD1-A4BF5627AEAE}" srcOrd="1" destOrd="0" presId="urn:microsoft.com/office/officeart/2005/8/layout/pList1#1"/>
    <dgm:cxn modelId="{4813BC23-11AF-4410-9DC3-A1E1A938BD54}" type="presParOf" srcId="{05710AC5-5BAE-4305-B200-F228B1A7EF56}" destId="{761B6CE9-8FC3-44DF-A925-A3B6188A0D07}" srcOrd="2" destOrd="0" presId="urn:microsoft.com/office/officeart/2005/8/layout/pList1#1"/>
    <dgm:cxn modelId="{A66D3FC7-C48A-4288-88E0-64A759A4945D}" type="presParOf" srcId="{761B6CE9-8FC3-44DF-A925-A3B6188A0D07}" destId="{8BBF355F-EE80-4E77-A086-E2AD289172BA}" srcOrd="0" destOrd="0" presId="urn:microsoft.com/office/officeart/2005/8/layout/pList1#1"/>
    <dgm:cxn modelId="{228924C3-1002-43D1-BC69-D417F385765F}" type="presParOf" srcId="{761B6CE9-8FC3-44DF-A925-A3B6188A0D07}" destId="{7AD32DD7-9CC4-4DC2-A5F8-76B47BCC3F1D}" srcOrd="1" destOrd="0" presId="urn:microsoft.com/office/officeart/2005/8/layout/pList1#1"/>
    <dgm:cxn modelId="{28EAAC29-02AC-4C98-9C35-16D2552CD2A2}" type="presParOf" srcId="{05710AC5-5BAE-4305-B200-F228B1A7EF56}" destId="{9BBD450F-6BB7-4A7B-BFD5-5065FD0A3D05}" srcOrd="3" destOrd="0" presId="urn:microsoft.com/office/officeart/2005/8/layout/pList1#1"/>
    <dgm:cxn modelId="{6E8DB49E-6EA7-45C0-8CC7-D2A067B800EA}" type="presParOf" srcId="{05710AC5-5BAE-4305-B200-F228B1A7EF56}" destId="{E207DFE9-A39C-4C2A-AB84-A917AC4D648F}" srcOrd="4" destOrd="0" presId="urn:microsoft.com/office/officeart/2005/8/layout/pList1#1"/>
    <dgm:cxn modelId="{FBEE89CD-5353-43B8-9A2A-F45BE4203494}" type="presParOf" srcId="{E207DFE9-A39C-4C2A-AB84-A917AC4D648F}" destId="{42C66726-C112-4271-A2E5-57CA2A60F1B0}" srcOrd="0" destOrd="0" presId="urn:microsoft.com/office/officeart/2005/8/layout/pList1#1"/>
    <dgm:cxn modelId="{66DB63E2-8CEF-48BE-BCAC-8DC7FC2B4044}" type="presParOf" srcId="{E207DFE9-A39C-4C2A-AB84-A917AC4D648F}" destId="{00F9F0FD-0582-4F9D-B3F4-94F9155E2B53}" srcOrd="1" destOrd="0" presId="urn:microsoft.com/office/officeart/2005/8/layout/pList1#1"/>
    <dgm:cxn modelId="{62B514F2-E3BF-438B-92D7-87E635B5F637}" type="presParOf" srcId="{05710AC5-5BAE-4305-B200-F228B1A7EF56}" destId="{902EFFB0-0878-4442-99EA-15676DF8F6CD}" srcOrd="5" destOrd="0" presId="urn:microsoft.com/office/officeart/2005/8/layout/pList1#1"/>
    <dgm:cxn modelId="{53A97F1B-6C0D-4294-BFB9-FCF52B09D3FC}" type="presParOf" srcId="{05710AC5-5BAE-4305-B200-F228B1A7EF56}" destId="{A37C8B69-D421-4292-8DB4-385EAE64463D}" srcOrd="6" destOrd="0" presId="urn:microsoft.com/office/officeart/2005/8/layout/pList1#1"/>
    <dgm:cxn modelId="{899552A7-3225-48F8-8B24-26EDA8F1051E}" type="presParOf" srcId="{A37C8B69-D421-4292-8DB4-385EAE64463D}" destId="{3F127693-6200-4651-A28E-C96B4F29699D}" srcOrd="0" destOrd="0" presId="urn:microsoft.com/office/officeart/2005/8/layout/pList1#1"/>
    <dgm:cxn modelId="{EC9173DC-3A82-489D-8868-18034CF329E6}" type="presParOf" srcId="{A37C8B69-D421-4292-8DB4-385EAE64463D}" destId="{5FB07CF5-931E-4968-87D4-8E5E808A56E9}" srcOrd="1" destOrd="0" presId="urn:microsoft.com/office/officeart/2005/8/layout/pList1#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7"/>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697140-C5E9-439B-9B04-3F2D801FABFC}">
      <dsp:nvSpPr>
        <dsp:cNvPr id="0" name=""/>
        <dsp:cNvSpPr/>
      </dsp:nvSpPr>
      <dsp:spPr>
        <a:xfrm>
          <a:off x="880250" y="682"/>
          <a:ext cx="715872" cy="551790"/>
        </a:xfrm>
        <a:prstGeom prst="roundRect">
          <a:avLst/>
        </a:prstGeom>
        <a: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t="-23000" b="-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BE24B7A-81A7-4D80-8F3E-60DD0AB1B226}">
      <dsp:nvSpPr>
        <dsp:cNvPr id="0" name=""/>
        <dsp:cNvSpPr/>
      </dsp:nvSpPr>
      <dsp:spPr>
        <a:xfrm>
          <a:off x="649904" y="539723"/>
          <a:ext cx="1247207" cy="4627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0" numCol="1" spcCol="1270" anchor="t" anchorCtr="0"/>
        <a:lstStyle/>
        <a:p>
          <a:pPr lvl="0" algn="ctr" defTabSz="355600" rtl="1">
            <a:lnSpc>
              <a:spcPct val="90000"/>
            </a:lnSpc>
            <a:spcBef>
              <a:spcPct val="0"/>
            </a:spcBef>
            <a:spcAft>
              <a:spcPct val="35000"/>
            </a:spcAft>
            <a:buNone/>
          </a:pPr>
          <a:r>
            <a:rPr lang="he-IL" sz="8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אמצעים ללינה ולהפעלת המתקן (כולל סניטציה וכלכלה)</a:t>
          </a:r>
        </a:p>
      </dsp:txBody>
      <dsp:txXfrm>
        <a:off x="649904" y="539723"/>
        <a:ext cx="1247207" cy="462713"/>
      </dsp:txXfrm>
    </dsp:sp>
    <dsp:sp modelId="{8BBF355F-EE80-4E77-A086-E2AD289172BA}">
      <dsp:nvSpPr>
        <dsp:cNvPr id="0" name=""/>
        <dsp:cNvSpPr/>
      </dsp:nvSpPr>
      <dsp:spPr>
        <a:xfrm>
          <a:off x="2359653" y="1119997"/>
          <a:ext cx="601952" cy="434268"/>
        </a:xfrm>
        <a:prstGeom prst="roundRect">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23000" b="-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D32DD7-9CC4-4DC2-A5F8-76B47BCC3F1D}">
      <dsp:nvSpPr>
        <dsp:cNvPr id="0" name=""/>
        <dsp:cNvSpPr/>
      </dsp:nvSpPr>
      <dsp:spPr>
        <a:xfrm>
          <a:off x="2031987" y="1519541"/>
          <a:ext cx="1247207" cy="4627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0" numCol="1" spcCol="1270" anchor="t" anchorCtr="0"/>
        <a:lstStyle/>
        <a:p>
          <a:pPr lvl="0" algn="ctr" defTabSz="355600" rtl="1">
            <a:lnSpc>
              <a:spcPct val="90000"/>
            </a:lnSpc>
            <a:spcBef>
              <a:spcPct val="0"/>
            </a:spcBef>
            <a:spcAft>
              <a:spcPct val="35000"/>
            </a:spcAft>
            <a:buNone/>
          </a:pPr>
          <a:r>
            <a:rPr lang="he-IL" sz="8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כוח אדם להפעלה ולטיפול בנקלטים</a:t>
          </a:r>
        </a:p>
      </dsp:txBody>
      <dsp:txXfrm>
        <a:off x="2031987" y="1519541"/>
        <a:ext cx="1247207" cy="462713"/>
      </dsp:txXfrm>
    </dsp:sp>
    <dsp:sp modelId="{42C66726-C112-4271-A2E5-57CA2A60F1B0}">
      <dsp:nvSpPr>
        <dsp:cNvPr id="0" name=""/>
        <dsp:cNvSpPr/>
      </dsp:nvSpPr>
      <dsp:spPr>
        <a:xfrm>
          <a:off x="3557043" y="24281"/>
          <a:ext cx="850208" cy="457393"/>
        </a:xfrm>
        <a:prstGeom prst="roundRect">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43000" b="-4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0F9F0FD-0582-4F9D-B3F4-94F9155E2B53}">
      <dsp:nvSpPr>
        <dsp:cNvPr id="0" name=""/>
        <dsp:cNvSpPr/>
      </dsp:nvSpPr>
      <dsp:spPr>
        <a:xfrm>
          <a:off x="3358544" y="551448"/>
          <a:ext cx="1247207" cy="4627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0" numCol="1" spcCol="1270" anchor="t" anchorCtr="0"/>
        <a:lstStyle/>
        <a:p>
          <a:pPr lvl="0" algn="ctr" defTabSz="355600" rtl="1">
            <a:lnSpc>
              <a:spcPct val="90000"/>
            </a:lnSpc>
            <a:spcBef>
              <a:spcPct val="0"/>
            </a:spcBef>
            <a:spcAft>
              <a:spcPct val="35000"/>
            </a:spcAft>
            <a:buNone/>
          </a:pPr>
          <a:r>
            <a:rPr lang="he-IL" sz="8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מתקן - תשתית לקליטה</a:t>
          </a:r>
        </a:p>
      </dsp:txBody>
      <dsp:txXfrm>
        <a:off x="3358544" y="551448"/>
        <a:ext cx="1247207" cy="462713"/>
      </dsp:txXfrm>
    </dsp:sp>
    <dsp:sp modelId="{3F127693-6200-4651-A28E-C96B4F29699D}">
      <dsp:nvSpPr>
        <dsp:cNvPr id="0" name=""/>
        <dsp:cNvSpPr/>
      </dsp:nvSpPr>
      <dsp:spPr>
        <a:xfrm>
          <a:off x="2256914" y="133095"/>
          <a:ext cx="676223" cy="465230"/>
        </a:xfrm>
        <a:prstGeom prst="roundRect">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21000" b="-21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FB07CF5-931E-4968-87D4-8E5E808A56E9}">
      <dsp:nvSpPr>
        <dsp:cNvPr id="0" name=""/>
        <dsp:cNvSpPr/>
      </dsp:nvSpPr>
      <dsp:spPr>
        <a:xfrm>
          <a:off x="1966383" y="558219"/>
          <a:ext cx="1247207" cy="4627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0" numCol="1" spcCol="1270" anchor="t" anchorCtr="0"/>
        <a:lstStyle/>
        <a:p>
          <a:pPr lvl="0" algn="ctr" defTabSz="355600" rtl="1">
            <a:lnSpc>
              <a:spcPct val="90000"/>
            </a:lnSpc>
            <a:spcBef>
              <a:spcPct val="0"/>
            </a:spcBef>
            <a:spcAft>
              <a:spcPct val="35000"/>
            </a:spcAft>
            <a:buNone/>
          </a:pPr>
          <a:r>
            <a:rPr lang="he-IL" sz="800" kern="1200">
              <a:solidFill>
                <a:sysClr val="windowText" lastClr="000000">
                  <a:hueOff val="0"/>
                  <a:satOff val="0"/>
                  <a:lumOff val="0"/>
                  <a:alphaOff val="0"/>
                </a:sysClr>
              </a:solidFill>
              <a:latin typeface="Tahoma" panose="020B0604030504040204" pitchFamily="34" charset="0"/>
              <a:ea typeface="Tahoma" panose="020B0604030504040204" pitchFamily="34" charset="0"/>
              <a:cs typeface="Tahoma" panose="020B0604030504040204" pitchFamily="34" charset="0"/>
            </a:rPr>
            <a:t>מיגון לפי הנחיות פקע"ר</a:t>
          </a:r>
        </a:p>
      </dsp:txBody>
      <dsp:txXfrm>
        <a:off x="1966383" y="558219"/>
        <a:ext cx="1247207" cy="462713"/>
      </dsp:txXfrm>
    </dsp:sp>
  </dsp:spTree>
</dsp:drawing>
</file>

<file path=word/diagrams/layout1.xml><?xml version="1.0" encoding="utf-8"?>
<dgm:layoutDef xmlns:dgm="http://schemas.openxmlformats.org/drawingml/2006/diagram" xmlns:a="http://schemas.openxmlformats.org/drawingml/2006/main" uniqueId="urn:microsoft.com/office/officeart/2005/8/layout/pList1#1">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val="norm"/>
      <dgm:resizeHandles val="exact"/>
    </dgm:varLst>
    <dgm:choose name="Name1">
      <dgm:if name="Name2" axis="self" func="var" arg="dir" op="equ" val="norm">
        <dgm:alg type="snake">
          <dgm:param type="contDir" val="sameDir"/>
          <dgm:param type="flowDir" val="row"/>
          <dgm:param type="grDir" val="tL"/>
          <dgm:param type="horzAlign" val="ctr"/>
          <dgm:param type="off" val="ctr"/>
          <dgm:param type="vertAlign" val="mid"/>
        </dgm:alg>
      </dgm:if>
      <dgm:else name="Name3">
        <dgm:alg type="snake">
          <dgm:param type="contDir" val="sameDir"/>
          <dgm:param type="flowDir" val="row"/>
          <dgm:param type="grDir" val="tR"/>
          <dgm:param type="horzAlign" val="ctr"/>
          <dgm:param type="off" val="ctr"/>
          <dgm:param type="vertAlign" val="mid"/>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22B4A84-AFD3-40C2-8426-311ECF6A7B2C}">
  <ds:schemaRefs>
    <ds:schemaRef ds:uri="http://schemas.openxmlformats.org/officeDocument/2006/bibliography"/>
  </ds:schemaRefs>
</ds:datastoreItem>
</file>

<file path=customXml/itemProps2.xml><?xml version="1.0" encoding="utf-8"?>
<ds:datastoreItem xmlns:ds="http://schemas.openxmlformats.org/officeDocument/2006/customXml" ds:itemID="{4F644863-C097-4EB6-837D-18A7C120E293}"/>
</file>

<file path=customXml/itemProps3.xml><?xml version="1.0" encoding="utf-8"?>
<ds:datastoreItem xmlns:ds="http://schemas.openxmlformats.org/officeDocument/2006/customXml" ds:itemID="{38B6CDE6-901C-41C0-A286-A7901A5A5058}"/>
</file>

<file path=customXml/itemProps4.xml><?xml version="1.0" encoding="utf-8"?>
<ds:datastoreItem xmlns:ds="http://schemas.openxmlformats.org/officeDocument/2006/customXml" ds:itemID="{F4EA3804-3396-4962-BAC6-EAD950FFC37D}"/>
</file>

<file path=docProps/app.xml><?xml version="1.0" encoding="utf-8"?>
<Properties xmlns="http://schemas.openxmlformats.org/officeDocument/2006/extended-properties" xmlns:vt="http://schemas.openxmlformats.org/officeDocument/2006/docPropsVTypes">
  <Template>Normal</Template>
  <TotalTime>0</TotalTime>
  <Pages>9</Pages>
  <Words>2433</Words>
  <Characters>12165</Characters>
  <Application>Microsoft Office Word</Application>
  <DocSecurity>0</DocSecurity>
  <Lines>101</Lines>
  <Paragraphs>29</Paragraphs>
  <ScaleCrop>false</ScaleCrop>
  <Company/>
  <LinksUpToDate>false</LinksUpToDate>
  <CharactersWithSpaces>14569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Atara Menachem</cp:lastModifiedBy>
  <cp:revision>1</cp:revision>
  <dcterms:created xsi:type="dcterms:W3CDTF">2026-02-24T12:45:00Z</dcterms:created>
  <dcterms:modified xsi:type="dcterms:W3CDTF">2026-02-24T12:45:00Z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