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3.0 -->
  <w:body>
    <w:p w:rsidR="00A5605A" w:rsidP="00A30B00">
      <w:pPr>
        <w:spacing w:after="160" w:line="259" w:lineRule="auto"/>
        <w:jc w:val="left"/>
        <w:rPr>
          <w:rFonts w:ascii="Tahoma" w:hAnsi="Tahoma" w:cs="Tahoma"/>
          <w:sz w:val="19"/>
          <w:szCs w:val="19"/>
          <w:rtl/>
        </w:rPr>
      </w:pPr>
      <w:bookmarkStart w:id="0" w:name="_Hlk192594390"/>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1C33F8" w:rsidP="009515F9">
      <w:pPr>
        <w:spacing w:line="560" w:lineRule="exact"/>
        <w:ind w:left="1701" w:right="1843"/>
        <w:jc w:val="center"/>
        <w:rPr>
          <w:rFonts w:ascii="Tahoma" w:hAnsi="Tahoma" w:cs="Tahoma"/>
          <w:sz w:val="19"/>
          <w:szCs w:val="19"/>
          <w:rtl/>
        </w:rPr>
      </w:pPr>
      <w:r w:rsidRPr="00F9422C">
        <w:rPr>
          <w:rFonts w:ascii="Calibri" w:hAnsi="Calibri" w:cs="Calibri"/>
          <w:b/>
          <w:bCs/>
          <w:color w:val="002060"/>
          <w:sz w:val="56"/>
          <w:szCs w:val="56"/>
          <w:rtl/>
        </w:rPr>
        <w:t>פינוי אוכלוסייה מרשויות מקומיות בדרום הארץ והקשר עם התושבים המפונים</w:t>
      </w:r>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jc w:val="center"/>
        <w:rPr>
          <w:rFonts w:ascii="Tahoma" w:hAnsi="Tahoma" w:cs="Tahoma"/>
          <w:sz w:val="19"/>
          <w:szCs w:val="19"/>
          <w:rtl/>
        </w:rPr>
      </w:pPr>
    </w:p>
    <w:p w:rsidR="001C33F8" w:rsidP="001C33F8">
      <w:pPr>
        <w:bidi w:val="0"/>
        <w:spacing w:after="200" w:line="276" w:lineRule="auto"/>
        <w:jc w:val="center"/>
        <w:rPr>
          <w:rFonts w:ascii="Tahoma" w:hAnsi="Tahoma" w:cs="Tahoma"/>
          <w:sz w:val="19"/>
          <w:szCs w:val="19"/>
          <w:rtl/>
        </w:rPr>
      </w:pPr>
    </w:p>
    <w:p w:rsidR="001C33F8" w:rsidP="001C33F8">
      <w:pPr>
        <w:bidi w:val="0"/>
        <w:spacing w:after="200" w:line="276" w:lineRule="auto"/>
        <w:jc w:val="center"/>
        <w:rPr>
          <w:rFonts w:ascii="Tahoma" w:hAnsi="Tahoma" w:cs="Tahoma"/>
          <w:sz w:val="19"/>
          <w:szCs w:val="19"/>
        </w:rPr>
      </w:pPr>
    </w:p>
    <w:p w:rsidR="009515F9" w:rsidP="009515F9">
      <w:pPr>
        <w:bidi w:val="0"/>
        <w:spacing w:after="200" w:line="276" w:lineRule="auto"/>
        <w:jc w:val="center"/>
        <w:rPr>
          <w:rFonts w:ascii="Tahoma" w:hAnsi="Tahoma" w:cs="Tahoma"/>
          <w:sz w:val="19"/>
          <w:szCs w:val="19"/>
        </w:rPr>
      </w:pPr>
    </w:p>
    <w:p w:rsidR="009515F9" w:rsidP="009515F9">
      <w:pPr>
        <w:bidi w:val="0"/>
        <w:spacing w:after="200" w:line="276" w:lineRule="auto"/>
        <w:jc w:val="center"/>
        <w:rPr>
          <w:rFonts w:ascii="Tahoma" w:hAnsi="Tahoma" w:cs="Tahoma"/>
          <w:sz w:val="19"/>
          <w:szCs w:val="19"/>
        </w:rPr>
      </w:pPr>
    </w:p>
    <w:p w:rsidR="00102EB8" w:rsidP="00102EB8">
      <w:pPr>
        <w:spacing w:after="200" w:line="276" w:lineRule="auto"/>
        <w:jc w:val="center"/>
        <w:rPr>
          <w:rFonts w:asciiTheme="minorBidi" w:hAnsiTheme="minorBidi" w:cstheme="minorBidi"/>
          <w:color w:val="0F243E" w:themeColor="text2" w:themeShade="80"/>
          <w:sz w:val="22"/>
          <w:szCs w:val="22"/>
          <w:rtl/>
        </w:rPr>
      </w:pPr>
      <w:r w:rsidRPr="00BF4C2F">
        <w:rPr>
          <w:rFonts w:asciiTheme="minorBidi" w:hAnsiTheme="minorBidi" w:cs="Calibri"/>
          <w:color w:val="0F243E" w:themeColor="text2" w:themeShade="80"/>
          <w:sz w:val="22"/>
          <w:szCs w:val="22"/>
          <w:rtl/>
        </w:rPr>
        <w:t xml:space="preserve">גופן הכותרת מעוצב בכתב ידו של </w:t>
      </w:r>
      <w:r w:rsidRPr="00BF4C2F">
        <w:rPr>
          <w:rFonts w:asciiTheme="minorBidi" w:hAnsiTheme="minorBidi" w:cs="Calibri"/>
          <w:b/>
          <w:bCs/>
          <w:color w:val="0F243E" w:themeColor="text2" w:themeShade="80"/>
          <w:sz w:val="22"/>
          <w:szCs w:val="22"/>
          <w:rtl/>
        </w:rPr>
        <w:t>תמיר אדר</w:t>
      </w:r>
      <w:r w:rsidRPr="00BF4C2F">
        <w:rPr>
          <w:rFonts w:asciiTheme="minorBidi" w:hAnsiTheme="minorBidi" w:cs="Calibri"/>
          <w:color w:val="0F243E" w:themeColor="text2" w:themeShade="80"/>
          <w:sz w:val="22"/>
          <w:szCs w:val="22"/>
          <w:rtl/>
        </w:rPr>
        <w:t xml:space="preserve"> ז"ל, אשר נפל בקרב על הגנת קיבוץ ניר עוז בשבעה באוקטובר. תמיר היה חבר בכיתת הכוננות ויצא מהממ"ד מייד כשנקרא. תמיר היה חקלאי שאהב את עבודת האדמה ואת הטבע.</w:t>
      </w:r>
      <w:r>
        <w:rPr>
          <w:rFonts w:asciiTheme="minorBidi" w:hAnsiTheme="minorBidi" w:cs="Calibri"/>
          <w:color w:val="0F243E" w:themeColor="text2" w:themeShade="80"/>
          <w:sz w:val="22"/>
          <w:szCs w:val="22"/>
          <w:rtl/>
        </w:rPr>
        <w:br/>
      </w:r>
      <w:r w:rsidRPr="00BF4C2F">
        <w:rPr>
          <w:rFonts w:asciiTheme="minorBidi" w:hAnsiTheme="minorBidi" w:cs="Calibri"/>
          <w:color w:val="0F243E" w:themeColor="text2" w:themeShade="80"/>
          <w:sz w:val="22"/>
          <w:szCs w:val="22"/>
          <w:rtl/>
        </w:rPr>
        <w:t>הוא דור שלישי למייסדי קיבוץ ניר עוז, שבו נולד וגדל. תמיר נחטף לעזה והושב לקבורה בישראל באוקטובר 2025</w:t>
      </w:r>
      <w:r>
        <w:rPr>
          <w:rFonts w:asciiTheme="minorBidi" w:hAnsiTheme="minorBidi" w:cstheme="minorBidi" w:hint="cs"/>
          <w:color w:val="0F243E" w:themeColor="text2" w:themeShade="80"/>
          <w:sz w:val="22"/>
          <w:szCs w:val="22"/>
          <w:rtl/>
        </w:rPr>
        <w:t>.</w:t>
      </w:r>
    </w:p>
    <w:p w:rsidR="001C33F8" w:rsidP="00BE3CDE">
      <w:pPr>
        <w:spacing w:after="200" w:line="276" w:lineRule="auto"/>
        <w:rPr>
          <w:rFonts w:asciiTheme="minorBidi" w:hAnsiTheme="minorBidi" w:cstheme="minorBidi"/>
          <w:color w:val="0F243E" w:themeColor="text2" w:themeShade="80"/>
          <w:sz w:val="22"/>
          <w:szCs w:val="22"/>
          <w:rtl/>
        </w:rPr>
      </w:pPr>
      <w:bookmarkStart w:id="1" w:name="_GoBack"/>
      <w:bookmarkEnd w:id="1"/>
    </w:p>
    <w:tbl>
      <w:tblPr>
        <w:tblStyle w:val="TableGrid"/>
        <w:tblpPr w:leftFromText="180" w:rightFromText="180" w:vertAnchor="text" w:tblpXSpec="center" w:tblpY="1"/>
        <w:tblOverlap w:val="never"/>
        <w:bidiVisual/>
        <w:tblW w:w="907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76"/>
      </w:tblGrid>
      <w:tr w:rsidTr="009E37AC">
        <w:tblPrEx>
          <w:tblW w:w="9076" w:type="dxa"/>
          <w:tblLook w:val="04A0"/>
        </w:tblPrEx>
        <w:trPr>
          <w:trHeight w:val="77"/>
        </w:trPr>
        <w:tc>
          <w:tcPr>
            <w:tcW w:w="9076" w:type="dxa"/>
          </w:tcPr>
          <w:p w:rsidR="00AE4BB7" w:rsidRPr="005F4A6D" w:rsidP="009E37AC">
            <w:pPr>
              <w:tabs>
                <w:tab w:val="left" w:pos="1122"/>
              </w:tabs>
              <w:spacing w:line="288" w:lineRule="auto"/>
              <w:jc w:val="left"/>
              <w:rPr>
                <w:sz w:val="2"/>
                <w:szCs w:val="4"/>
                <w:rtl/>
              </w:rPr>
            </w:pPr>
          </w:p>
        </w:tc>
      </w:tr>
      <w:tr w:rsidTr="009E37AC">
        <w:tblPrEx>
          <w:tblW w:w="9076" w:type="dxa"/>
          <w:tblLook w:val="04A0"/>
        </w:tblPrEx>
        <w:trPr>
          <w:trHeight w:val="1644"/>
        </w:trPr>
        <w:tc>
          <w:tcPr>
            <w:tcW w:w="9076" w:type="dxa"/>
          </w:tcPr>
          <w:p w:rsidR="009515F9" w:rsidP="009515F9">
            <w:pPr>
              <w:spacing w:before="120" w:line="240" w:lineRule="auto"/>
              <w:jc w:val="left"/>
              <w:rPr>
                <w:rFonts w:ascii="Tahoma" w:hAnsi="Tahoma" w:cs="Tahoma"/>
                <w:b/>
                <w:bCs/>
                <w:sz w:val="40"/>
                <w:szCs w:val="40"/>
                <w:rtl/>
              </w:rPr>
            </w:pPr>
            <w:r w:rsidRPr="00F9422C">
              <w:rPr>
                <w:rFonts w:ascii="Tahoma" w:hAnsi="Tahoma" w:cs="Tahoma"/>
                <w:b/>
                <w:bCs/>
                <w:sz w:val="40"/>
                <w:szCs w:val="40"/>
                <w:rtl/>
              </w:rPr>
              <w:t>פינוי אוכלוסייה מרשויות מקומיות בדרום הארץ והקשר עם התושבים המפונים</w:t>
            </w:r>
          </w:p>
          <w:p w:rsidR="00AE4BB7" w:rsidP="009E37AC">
            <w:pPr>
              <w:spacing w:before="120" w:line="288" w:lineRule="auto"/>
              <w:jc w:val="left"/>
            </w:pPr>
            <w:r>
              <w:rPr>
                <w:rFonts w:ascii="Tahoma" w:hAnsi="Tahoma" w:cs="Tahoma"/>
                <w:sz w:val="36"/>
                <w:szCs w:val="36"/>
                <w:rtl/>
              </w:rPr>
              <w:t>תקציר</w:t>
            </w:r>
          </w:p>
          <w:p w:rsidR="00AE4BB7" w:rsidRPr="006C4033" w:rsidP="009E37AC">
            <w:pPr>
              <w:spacing w:line="288" w:lineRule="auto"/>
              <w:ind w:left="-851"/>
              <w:jc w:val="left"/>
              <w:rPr>
                <w:rtl/>
              </w:rPr>
            </w:pPr>
          </w:p>
        </w:tc>
      </w:tr>
    </w:tbl>
    <w:p w:rsidR="00AE4BB7" w:rsidRPr="006C4033" w:rsidP="00AE4BB7">
      <w:pPr>
        <w:spacing w:line="288" w:lineRule="auto"/>
        <w:ind w:left="-284"/>
        <w:rPr>
          <w:rtl/>
        </w:rPr>
      </w:pPr>
      <w:r w:rsidRPr="006C4033">
        <w:rPr>
          <w:rFonts w:ascii="Tahoma" w:hAnsi="Tahoma" w:cs="Tahoma"/>
          <w:noProof/>
          <w:rtl/>
        </w:rPr>
        <w:drawing>
          <wp:inline distT="0" distB="0" distL="0" distR="0">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F9422C" w:rsidRPr="00F9422C" w:rsidP="00F9422C">
      <w:pPr>
        <w:pStyle w:val="739"/>
        <w:rPr>
          <w:rFonts w:eastAsia="Calibri"/>
          <w:sz w:val="19"/>
          <w:szCs w:val="19"/>
          <w:rtl/>
        </w:rPr>
      </w:pPr>
      <w:bookmarkStart w:id="2" w:name="_Hlk221176951"/>
      <w:r w:rsidRPr="00F9422C">
        <w:rPr>
          <w:rFonts w:eastAsia="Calibri" w:hint="cs"/>
          <w:sz w:val="19"/>
          <w:szCs w:val="19"/>
          <w:rtl/>
        </w:rPr>
        <w:t xml:space="preserve">במהלך אוקטובר 2023, בעקבות פרוץ מלחמת </w:t>
      </w:r>
      <w:r w:rsidRPr="00F9422C">
        <w:rPr>
          <w:rFonts w:eastAsia="Calibri" w:hint="eastAsia"/>
          <w:sz w:val="19"/>
          <w:szCs w:val="19"/>
          <w:rtl/>
        </w:rPr>
        <w:t>חרבות</w:t>
      </w:r>
      <w:r w:rsidRPr="00F9422C">
        <w:rPr>
          <w:rFonts w:eastAsia="Calibri"/>
          <w:sz w:val="19"/>
          <w:szCs w:val="19"/>
          <w:rtl/>
        </w:rPr>
        <w:t xml:space="preserve"> </w:t>
      </w:r>
      <w:r w:rsidRPr="00F9422C">
        <w:rPr>
          <w:rFonts w:eastAsia="Calibri" w:hint="eastAsia"/>
          <w:sz w:val="19"/>
          <w:szCs w:val="19"/>
          <w:rtl/>
        </w:rPr>
        <w:t>ברזל</w:t>
      </w:r>
      <w:r w:rsidRPr="00F9422C">
        <w:rPr>
          <w:rFonts w:eastAsia="Calibri" w:hint="cs"/>
          <w:sz w:val="19"/>
          <w:szCs w:val="19"/>
          <w:rtl/>
        </w:rPr>
        <w:t xml:space="preserve"> במתקפת הטרור בשבעה באוקטובר, קיבלה הממשלה שורת החלטות בנוגע לפינוי אוכלוסייה מדרום הארץ. חלק מהחלטות הממשלה </w:t>
      </w:r>
      <w:r w:rsidRPr="00F9422C">
        <w:rPr>
          <w:rFonts w:eastAsia="Calibri"/>
          <w:sz w:val="19"/>
          <w:szCs w:val="19"/>
          <w:rtl/>
        </w:rPr>
        <w:t xml:space="preserve">אישרו בדיעבד את </w:t>
      </w:r>
      <w:r w:rsidRPr="00F9422C">
        <w:rPr>
          <w:rFonts w:eastAsia="Calibri" w:hint="cs"/>
          <w:sz w:val="19"/>
          <w:szCs w:val="19"/>
          <w:rtl/>
        </w:rPr>
        <w:t xml:space="preserve">הפינוי בפועל, שבוצע לפי החלטת </w:t>
      </w:r>
      <w:r w:rsidRPr="00F9422C">
        <w:rPr>
          <w:rFonts w:eastAsia="Calibri"/>
          <w:sz w:val="19"/>
          <w:szCs w:val="19"/>
          <w:rtl/>
        </w:rPr>
        <w:t xml:space="preserve">מערכת הביטחון </w:t>
      </w:r>
      <w:r w:rsidRPr="00F9422C">
        <w:rPr>
          <w:rFonts w:eastAsia="Calibri" w:hint="cs"/>
          <w:sz w:val="19"/>
          <w:szCs w:val="19"/>
          <w:rtl/>
        </w:rPr>
        <w:t>נוכח</w:t>
      </w:r>
      <w:r w:rsidRPr="00F9422C">
        <w:rPr>
          <w:rFonts w:eastAsia="Calibri"/>
          <w:sz w:val="19"/>
          <w:szCs w:val="19"/>
          <w:rtl/>
        </w:rPr>
        <w:t xml:space="preserve"> דחיפות המצב</w:t>
      </w:r>
      <w:r w:rsidRPr="00F9422C">
        <w:rPr>
          <w:rFonts w:eastAsia="Calibri" w:hint="cs"/>
          <w:sz w:val="19"/>
          <w:szCs w:val="19"/>
          <w:rtl/>
        </w:rPr>
        <w:t xml:space="preserve">. </w:t>
      </w:r>
      <w:bookmarkStart w:id="3" w:name="_Hlk220327416"/>
      <w:r w:rsidRPr="00F9422C">
        <w:rPr>
          <w:rFonts w:eastAsia="Calibri" w:hint="cs"/>
          <w:sz w:val="19"/>
          <w:szCs w:val="19"/>
          <w:rtl/>
        </w:rPr>
        <w:t>פינוי התושבים כלל פינוי מאורגן (יזום) במימון המדינה, פינוי מאורגן לרי</w:t>
      </w:r>
      <w:r w:rsidRPr="00F9422C">
        <w:rPr>
          <w:rFonts w:eastAsia="Calibri" w:hint="cs"/>
          <w:sz w:val="19"/>
          <w:szCs w:val="19"/>
          <w:rtl/>
        </w:rPr>
        <w:t>ענון שלא במימון המדינה (בעיקר במימון רשויות מקומיות ותרומות) ופינוי עצמי של תושבים ללא מעורבות ממסדית (מתפנים עצמאית).</w:t>
      </w:r>
      <w:r w:rsidRPr="00F9422C">
        <w:rPr>
          <w:rFonts w:eastAsia="Calibri" w:hint="cs"/>
          <w:sz w:val="24"/>
          <w:szCs w:val="24"/>
          <w:rtl/>
        </w:rPr>
        <w:t xml:space="preserve"> </w:t>
      </w:r>
      <w:bookmarkEnd w:id="3"/>
      <w:r w:rsidRPr="00F9422C">
        <w:rPr>
          <w:rFonts w:eastAsia="Calibri" w:hint="eastAsia"/>
          <w:sz w:val="19"/>
          <w:szCs w:val="19"/>
          <w:rtl/>
        </w:rPr>
        <w:t>על</w:t>
      </w:r>
      <w:r w:rsidRPr="00F9422C">
        <w:rPr>
          <w:rFonts w:eastAsia="Calibri"/>
          <w:sz w:val="19"/>
          <w:szCs w:val="19"/>
          <w:rtl/>
        </w:rPr>
        <w:t xml:space="preserve"> </w:t>
      </w:r>
      <w:r w:rsidRPr="00F9422C">
        <w:rPr>
          <w:rFonts w:eastAsia="Calibri" w:hint="eastAsia"/>
          <w:sz w:val="19"/>
          <w:szCs w:val="19"/>
          <w:rtl/>
        </w:rPr>
        <w:t>פי</w:t>
      </w:r>
      <w:r w:rsidRPr="00F9422C">
        <w:rPr>
          <w:rFonts w:eastAsia="Calibri"/>
          <w:sz w:val="19"/>
          <w:szCs w:val="19"/>
          <w:rtl/>
        </w:rPr>
        <w:t xml:space="preserve"> נתוני מערכת </w:t>
      </w:r>
      <w:r w:rsidRPr="00F9422C">
        <w:rPr>
          <w:rFonts w:eastAsia="Calibri" w:hint="eastAsia"/>
          <w:sz w:val="19"/>
          <w:szCs w:val="19"/>
          <w:rtl/>
        </w:rPr>
        <w:t>אמו</w:t>
      </w:r>
      <w:r w:rsidRPr="00F9422C">
        <w:rPr>
          <w:rFonts w:eastAsia="Calibri"/>
          <w:sz w:val="19"/>
          <w:szCs w:val="19"/>
          <w:rtl/>
        </w:rPr>
        <w:t>"ן</w:t>
      </w:r>
      <w:r>
        <w:rPr>
          <w:rFonts w:eastAsia="Calibri"/>
          <w:sz w:val="19"/>
          <w:szCs w:val="19"/>
          <w:vertAlign w:val="superscript"/>
          <w:rtl/>
        </w:rPr>
        <w:footnoteReference w:id="2"/>
      </w:r>
      <w:r w:rsidRPr="00F9422C">
        <w:rPr>
          <w:rFonts w:eastAsia="Calibri"/>
          <w:sz w:val="19"/>
          <w:szCs w:val="19"/>
          <w:rtl/>
        </w:rPr>
        <w:t xml:space="preserve">, בתחילת </w:t>
      </w:r>
      <w:r w:rsidRPr="00F9422C">
        <w:rPr>
          <w:rFonts w:eastAsia="Calibri" w:hint="eastAsia"/>
          <w:sz w:val="19"/>
          <w:szCs w:val="19"/>
          <w:rtl/>
        </w:rPr>
        <w:t>נובמבר</w:t>
      </w:r>
      <w:r w:rsidRPr="00F9422C">
        <w:rPr>
          <w:rFonts w:eastAsia="Calibri"/>
          <w:sz w:val="19"/>
          <w:szCs w:val="19"/>
          <w:rtl/>
        </w:rPr>
        <w:t xml:space="preserve"> 2023 </w:t>
      </w:r>
      <w:r w:rsidRPr="00F9422C">
        <w:rPr>
          <w:rFonts w:eastAsia="Calibri" w:hint="eastAsia"/>
          <w:sz w:val="19"/>
          <w:szCs w:val="19"/>
          <w:rtl/>
        </w:rPr>
        <w:t>ה</w:t>
      </w:r>
      <w:r w:rsidRPr="00F9422C">
        <w:rPr>
          <w:rFonts w:eastAsia="Calibri" w:hint="cs"/>
          <w:sz w:val="19"/>
          <w:szCs w:val="19"/>
          <w:rtl/>
        </w:rPr>
        <w:t xml:space="preserve">יה </w:t>
      </w:r>
      <w:r w:rsidRPr="00F9422C">
        <w:rPr>
          <w:rFonts w:eastAsia="Calibri"/>
          <w:sz w:val="19"/>
          <w:szCs w:val="19"/>
          <w:rtl/>
        </w:rPr>
        <w:t xml:space="preserve">מספר המפונים </w:t>
      </w:r>
      <w:r w:rsidRPr="00F9422C">
        <w:rPr>
          <w:rFonts w:eastAsia="Calibri" w:hint="cs"/>
          <w:sz w:val="19"/>
          <w:szCs w:val="19"/>
          <w:rtl/>
        </w:rPr>
        <w:t>כ</w:t>
      </w:r>
      <w:r w:rsidRPr="00F9422C">
        <w:rPr>
          <w:rFonts w:eastAsia="Calibri"/>
          <w:sz w:val="19"/>
          <w:szCs w:val="19"/>
          <w:rtl/>
        </w:rPr>
        <w:t>-129,180</w:t>
      </w:r>
      <w:r w:rsidRPr="00F9422C">
        <w:rPr>
          <w:rFonts w:eastAsia="Calibri" w:hint="cs"/>
          <w:sz w:val="19"/>
          <w:szCs w:val="19"/>
          <w:rtl/>
        </w:rPr>
        <w:t xml:space="preserve"> נפש, ומספרם של המתפנים עצמאית היה</w:t>
      </w:r>
      <w:r>
        <w:rPr>
          <w:rFonts w:eastAsia="Calibri"/>
          <w:sz w:val="19"/>
          <w:szCs w:val="19"/>
          <w:vertAlign w:val="superscript"/>
          <w:rtl/>
        </w:rPr>
        <w:footnoteReference w:id="3"/>
      </w:r>
      <w:r w:rsidRPr="00F9422C">
        <w:rPr>
          <w:rFonts w:eastAsia="Calibri" w:hint="cs"/>
          <w:sz w:val="19"/>
          <w:szCs w:val="19"/>
          <w:rtl/>
        </w:rPr>
        <w:t xml:space="preserve"> כ-116,590 נפש (המספר הכולל של המפונים והמתפנים היה כ-246,000 נפש).</w:t>
      </w:r>
      <w:r w:rsidRPr="00F9422C">
        <w:rPr>
          <w:rFonts w:eastAsia="Calibri" w:hint="cs"/>
          <w:sz w:val="24"/>
          <w:szCs w:val="24"/>
          <w:rtl/>
        </w:rPr>
        <w:t xml:space="preserve"> </w:t>
      </w:r>
      <w:r w:rsidRPr="00F9422C">
        <w:rPr>
          <w:rFonts w:eastAsia="Calibri" w:hint="cs"/>
          <w:sz w:val="19"/>
          <w:szCs w:val="19"/>
          <w:rtl/>
        </w:rPr>
        <w:t xml:space="preserve">מספר התושבים שפונו בפועל במימון המדינה מהרשויות המקומיות שנבדקו - </w:t>
      </w:r>
      <w:r w:rsidRPr="00F9422C">
        <w:rPr>
          <w:rFonts w:eastAsia="Calibri" w:hint="cs"/>
          <w:b/>
          <w:bCs/>
          <w:sz w:val="19"/>
          <w:szCs w:val="19"/>
          <w:rtl/>
        </w:rPr>
        <w:t>אשקלון</w:t>
      </w:r>
      <w:r w:rsidRPr="00F9422C">
        <w:rPr>
          <w:rFonts w:eastAsia="Calibri" w:hint="cs"/>
          <w:sz w:val="19"/>
          <w:szCs w:val="19"/>
          <w:rtl/>
        </w:rPr>
        <w:t xml:space="preserve">, </w:t>
      </w:r>
      <w:r w:rsidRPr="00F9422C">
        <w:rPr>
          <w:rFonts w:eastAsia="Calibri" w:hint="cs"/>
          <w:b/>
          <w:bCs/>
          <w:sz w:val="19"/>
          <w:szCs w:val="19"/>
          <w:rtl/>
        </w:rPr>
        <w:t>שדרות</w:t>
      </w:r>
      <w:r w:rsidRPr="00F9422C">
        <w:rPr>
          <w:rFonts w:eastAsia="Calibri" w:hint="cs"/>
          <w:sz w:val="19"/>
          <w:szCs w:val="19"/>
          <w:rtl/>
        </w:rPr>
        <w:t xml:space="preserve"> והמועצות האזוריות </w:t>
      </w:r>
      <w:r w:rsidRPr="00F9422C">
        <w:rPr>
          <w:rFonts w:eastAsia="Calibri" w:hint="cs"/>
          <w:b/>
          <w:bCs/>
          <w:sz w:val="19"/>
          <w:szCs w:val="19"/>
          <w:rtl/>
        </w:rPr>
        <w:t>אשכול</w:t>
      </w:r>
      <w:r w:rsidRPr="00F9422C">
        <w:rPr>
          <w:rFonts w:eastAsia="Calibri" w:hint="cs"/>
          <w:sz w:val="19"/>
          <w:szCs w:val="19"/>
          <w:rtl/>
        </w:rPr>
        <w:t xml:space="preserve"> ו</w:t>
      </w:r>
      <w:r w:rsidRPr="00F9422C">
        <w:rPr>
          <w:rFonts w:eastAsia="Calibri" w:hint="cs"/>
          <w:b/>
          <w:bCs/>
          <w:sz w:val="19"/>
          <w:szCs w:val="19"/>
          <w:rtl/>
        </w:rPr>
        <w:t>חוף אשקלון</w:t>
      </w:r>
      <w:r w:rsidRPr="00F9422C">
        <w:rPr>
          <w:rFonts w:eastAsia="Calibri" w:hint="cs"/>
          <w:sz w:val="19"/>
          <w:szCs w:val="19"/>
          <w:rtl/>
        </w:rPr>
        <w:t xml:space="preserve"> - היה בשיאו (נובמבר 2023) </w:t>
      </w:r>
      <w:bookmarkStart w:id="4" w:name="_Hlk220250507"/>
      <w:r w:rsidRPr="00F9422C">
        <w:rPr>
          <w:rFonts w:eastAsia="Calibri" w:hint="cs"/>
          <w:sz w:val="19"/>
          <w:szCs w:val="19"/>
          <w:rtl/>
        </w:rPr>
        <w:t>142,</w:t>
      </w:r>
      <w:bookmarkStart w:id="5" w:name="_Hlk220250493"/>
      <w:r w:rsidRPr="00F9422C">
        <w:rPr>
          <w:rFonts w:eastAsia="Calibri" w:hint="cs"/>
          <w:sz w:val="19"/>
          <w:szCs w:val="19"/>
          <w:rtl/>
        </w:rPr>
        <w:t>294</w:t>
      </w:r>
      <w:bookmarkEnd w:id="4"/>
      <w:r w:rsidRPr="00F9422C">
        <w:rPr>
          <w:rFonts w:eastAsia="Calibri" w:hint="cs"/>
          <w:sz w:val="19"/>
          <w:szCs w:val="19"/>
          <w:rtl/>
        </w:rPr>
        <w:t xml:space="preserve"> תושבים</w:t>
      </w:r>
      <w:bookmarkEnd w:id="5"/>
      <w:r>
        <w:rPr>
          <w:rFonts w:eastAsia="Calibri"/>
          <w:sz w:val="19"/>
          <w:szCs w:val="19"/>
          <w:vertAlign w:val="superscript"/>
          <w:rtl/>
        </w:rPr>
        <w:footnoteReference w:id="4"/>
      </w:r>
      <w:r w:rsidRPr="00F9422C">
        <w:rPr>
          <w:rFonts w:eastAsia="Calibri" w:hint="cs"/>
          <w:sz w:val="19"/>
          <w:szCs w:val="19"/>
          <w:rtl/>
        </w:rPr>
        <w:t>. ניהול הליך פינוי ומתן מענה לת</w:t>
      </w:r>
      <w:r w:rsidRPr="00F9422C">
        <w:rPr>
          <w:rFonts w:eastAsia="Calibri" w:hint="cs"/>
          <w:sz w:val="19"/>
          <w:szCs w:val="19"/>
          <w:rtl/>
        </w:rPr>
        <w:t>ושבים במהלך תקופת הפינוי מחייב את הרשויות, בין היתר, להיערך מראש לפינוי אל מחוץ לתחומי היישוב ובכלל זה לקבוע את יעדי הקליטה, לנהל מעקב שוטף על מקום הימצאם של התושבים המפונים והמתפנים עצמאית ולתאם מול הרשויות המקומיות הקולטות את הענקת השירותים הנחוצים למפונ</w:t>
      </w:r>
      <w:r w:rsidRPr="00F9422C">
        <w:rPr>
          <w:rFonts w:eastAsia="Calibri" w:hint="cs"/>
          <w:sz w:val="19"/>
          <w:szCs w:val="19"/>
          <w:rtl/>
        </w:rPr>
        <w:t>ים.</w:t>
      </w:r>
    </w:p>
    <w:bookmarkEnd w:id="2"/>
    <w:p w:rsidR="00AE4BB7" w:rsidRPr="00C4789A" w:rsidP="00AE4BB7">
      <w:pPr>
        <w:bidi w:val="0"/>
        <w:spacing w:after="200" w:line="276" w:lineRule="auto"/>
        <w:rPr>
          <w:rFonts w:ascii="Tahoma" w:hAnsi="Tahoma" w:cs="Tahoma"/>
          <w:color w:val="0D0D0D" w:themeColor="text1" w:themeTint="F2"/>
          <w:sz w:val="18"/>
          <w:szCs w:val="18"/>
          <w:rtl/>
        </w:rPr>
      </w:pPr>
      <w:r>
        <w:rPr>
          <w:rtl/>
        </w:rPr>
        <w:br w:type="page"/>
      </w:r>
    </w:p>
    <w:p w:rsidR="00AE4BB7" w:rsidP="00AE4BB7">
      <w:pPr>
        <w:spacing w:line="288" w:lineRule="auto"/>
        <w:ind w:left="-284"/>
        <w:rPr>
          <w:sz w:val="12"/>
          <w:szCs w:val="16"/>
          <w:rtl/>
        </w:rPr>
      </w:pPr>
      <w:r w:rsidRPr="006C4033">
        <w:rPr>
          <w:rFonts w:ascii="Tahoma" w:hAnsi="Tahoma" w:cs="Tahoma"/>
          <w:noProof/>
          <w:rtl/>
        </w:rPr>
        <w:drawing>
          <wp:inline distT="0" distB="0" distL="0" distR="0">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TableGrid"/>
        <w:tblpPr w:leftFromText="180" w:rightFromText="180" w:vertAnchor="text" w:tblpXSpec="center" w:tblpY="1"/>
        <w:tblOverlap w:val="never"/>
        <w:bidiVisual/>
        <w:tblW w:w="8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5"/>
        <w:gridCol w:w="279"/>
        <w:gridCol w:w="2135"/>
        <w:gridCol w:w="279"/>
        <w:gridCol w:w="2273"/>
        <w:gridCol w:w="279"/>
        <w:gridCol w:w="1705"/>
      </w:tblGrid>
      <w:tr w:rsidTr="00F9422C">
        <w:tblPrEx>
          <w:tblW w:w="8925" w:type="dxa"/>
          <w:tblLook w:val="04A0"/>
        </w:tblPrEx>
        <w:trPr>
          <w:trHeight w:val="283"/>
        </w:trPr>
        <w:tc>
          <w:tcPr>
            <w:tcW w:w="1975" w:type="dxa"/>
            <w:tcBorders>
              <w:bottom w:val="single" w:sz="12" w:space="0" w:color="auto"/>
            </w:tcBorders>
            <w:shd w:val="clear" w:color="auto" w:fill="auto"/>
            <w:vAlign w:val="bottom"/>
          </w:tcPr>
          <w:p w:rsidR="00F9422C" w:rsidRPr="00F9422C" w:rsidP="00F9422C">
            <w:pPr>
              <w:spacing w:after="60" w:line="288" w:lineRule="auto"/>
              <w:jc w:val="left"/>
              <w:rPr>
                <w:rFonts w:ascii="Tahoma" w:eastAsia="Calibri" w:hAnsi="Tahoma" w:cs="Tahoma"/>
                <w:spacing w:val="-10"/>
                <w:sz w:val="36"/>
                <w:szCs w:val="36"/>
                <w:rtl/>
              </w:rPr>
            </w:pPr>
            <w:bookmarkStart w:id="6" w:name="_Hlk181100979"/>
            <w:r w:rsidRPr="00F9422C">
              <w:rPr>
                <w:rFonts w:ascii="Tahoma" w:eastAsia="Calibri" w:hAnsi="Tahoma" w:cs="Tahoma" w:hint="cs"/>
                <w:spacing w:val="-10"/>
                <w:sz w:val="36"/>
                <w:szCs w:val="36"/>
                <w:rtl/>
              </w:rPr>
              <w:t>142,294</w:t>
            </w:r>
          </w:p>
        </w:tc>
        <w:tc>
          <w:tcPr>
            <w:tcW w:w="279" w:type="dxa"/>
            <w:vAlign w:val="bottom"/>
          </w:tcPr>
          <w:p w:rsidR="00F9422C" w:rsidRPr="00F9422C" w:rsidP="00F9422C">
            <w:pPr>
              <w:spacing w:line="288" w:lineRule="auto"/>
              <w:jc w:val="left"/>
              <w:rPr>
                <w:rFonts w:ascii="Tahoma" w:eastAsia="Calibri" w:hAnsi="Tahoma" w:cs="Tahoma"/>
                <w:spacing w:val="-10"/>
              </w:rPr>
            </w:pPr>
          </w:p>
        </w:tc>
        <w:tc>
          <w:tcPr>
            <w:tcW w:w="2135" w:type="dxa"/>
            <w:tcBorders>
              <w:bottom w:val="single" w:sz="12" w:space="0" w:color="auto"/>
            </w:tcBorders>
            <w:vAlign w:val="bottom"/>
          </w:tcPr>
          <w:p w:rsidR="00F9422C" w:rsidRPr="00F9422C" w:rsidP="00F9422C">
            <w:pPr>
              <w:spacing w:after="60" w:line="288" w:lineRule="auto"/>
              <w:jc w:val="left"/>
              <w:rPr>
                <w:rFonts w:ascii="Tahoma" w:eastAsia="Calibri" w:hAnsi="Tahoma" w:cs="Tahoma"/>
                <w:spacing w:val="-10"/>
                <w:sz w:val="36"/>
                <w:szCs w:val="36"/>
                <w:rtl/>
              </w:rPr>
            </w:pPr>
            <w:r w:rsidRPr="00F9422C">
              <w:rPr>
                <w:rFonts w:ascii="Tahoma" w:eastAsia="Calibri" w:hAnsi="Tahoma" w:cs="Tahoma" w:hint="cs"/>
                <w:spacing w:val="-10"/>
                <w:sz w:val="36"/>
                <w:szCs w:val="36"/>
                <w:rtl/>
              </w:rPr>
              <w:t>5%</w:t>
            </w:r>
            <w:r w:rsidRPr="00F9422C">
              <w:rPr>
                <w:rFonts w:ascii="Tahoma" w:eastAsia="Calibri" w:hAnsi="Tahoma" w:cs="Tahoma" w:hint="cs"/>
                <w:spacing w:val="-10"/>
                <w:sz w:val="24"/>
                <w:rtl/>
              </w:rPr>
              <w:t xml:space="preserve"> </w:t>
            </w:r>
            <w:r w:rsidRPr="00F9422C">
              <w:rPr>
                <w:rFonts w:ascii="Tahoma" w:eastAsia="Calibri" w:hAnsi="Tahoma" w:cs="Tahoma"/>
                <w:spacing w:val="-10"/>
                <w:sz w:val="26"/>
                <w:szCs w:val="26"/>
                <w:rtl/>
              </w:rPr>
              <w:t>(3,586)</w:t>
            </w:r>
          </w:p>
        </w:tc>
        <w:tc>
          <w:tcPr>
            <w:tcW w:w="279" w:type="dxa"/>
            <w:vAlign w:val="bottom"/>
          </w:tcPr>
          <w:p w:rsidR="00F9422C" w:rsidRPr="00F9422C" w:rsidP="00F9422C">
            <w:pPr>
              <w:spacing w:line="288" w:lineRule="auto"/>
              <w:jc w:val="left"/>
              <w:rPr>
                <w:rFonts w:ascii="Tahoma" w:eastAsia="Calibri" w:hAnsi="Tahoma" w:cs="Tahoma"/>
                <w:spacing w:val="-10"/>
              </w:rPr>
            </w:pPr>
          </w:p>
        </w:tc>
        <w:tc>
          <w:tcPr>
            <w:tcW w:w="2273" w:type="dxa"/>
            <w:tcBorders>
              <w:bottom w:val="single" w:sz="12" w:space="0" w:color="auto"/>
            </w:tcBorders>
            <w:vAlign w:val="bottom"/>
          </w:tcPr>
          <w:p w:rsidR="00F9422C" w:rsidRPr="00F9422C" w:rsidP="00F9422C">
            <w:pPr>
              <w:spacing w:line="288" w:lineRule="auto"/>
              <w:jc w:val="left"/>
              <w:rPr>
                <w:rFonts w:ascii="Tahoma" w:eastAsia="Calibri" w:hAnsi="Tahoma" w:cs="Tahoma"/>
                <w:spacing w:val="-10"/>
                <w:sz w:val="36"/>
                <w:szCs w:val="36"/>
              </w:rPr>
            </w:pPr>
            <w:r w:rsidRPr="00F9422C">
              <w:rPr>
                <w:rFonts w:ascii="Tahoma" w:eastAsia="Calibri" w:hAnsi="Tahoma" w:cs="Tahoma" w:hint="cs"/>
                <w:spacing w:val="-10"/>
                <w:sz w:val="36"/>
                <w:szCs w:val="36"/>
                <w:rtl/>
              </w:rPr>
              <w:t xml:space="preserve">328 </w:t>
            </w:r>
            <w:r w:rsidRPr="00F9422C">
              <w:rPr>
                <w:rFonts w:ascii="Tahoma" w:eastAsia="Calibri" w:hAnsi="Tahoma" w:cs="Tahoma" w:hint="cs"/>
                <w:spacing w:val="-10"/>
                <w:sz w:val="26"/>
                <w:szCs w:val="26"/>
                <w:rtl/>
              </w:rPr>
              <w:t>מיליון ש"ח</w:t>
            </w:r>
          </w:p>
        </w:tc>
        <w:tc>
          <w:tcPr>
            <w:tcW w:w="279" w:type="dxa"/>
            <w:vAlign w:val="bottom"/>
          </w:tcPr>
          <w:p w:rsidR="00F9422C" w:rsidRPr="00F9422C" w:rsidP="00F9422C">
            <w:pPr>
              <w:spacing w:line="288" w:lineRule="auto"/>
              <w:jc w:val="left"/>
              <w:rPr>
                <w:rFonts w:ascii="Tahoma" w:eastAsia="Calibri" w:hAnsi="Tahoma" w:cs="Tahoma"/>
                <w:spacing w:val="-10"/>
              </w:rPr>
            </w:pPr>
          </w:p>
        </w:tc>
        <w:tc>
          <w:tcPr>
            <w:tcW w:w="1705" w:type="dxa"/>
            <w:tcBorders>
              <w:bottom w:val="single" w:sz="12" w:space="0" w:color="auto"/>
            </w:tcBorders>
            <w:vAlign w:val="bottom"/>
          </w:tcPr>
          <w:p w:rsidR="00F9422C" w:rsidRPr="00F9422C" w:rsidP="00F9422C">
            <w:pPr>
              <w:spacing w:line="288" w:lineRule="auto"/>
              <w:jc w:val="left"/>
              <w:rPr>
                <w:rFonts w:ascii="Tahoma" w:eastAsia="Calibri" w:hAnsi="Tahoma" w:cs="Tahoma"/>
                <w:spacing w:val="-10"/>
                <w:sz w:val="36"/>
                <w:szCs w:val="36"/>
                <w:rtl/>
              </w:rPr>
            </w:pPr>
            <w:r w:rsidRPr="00F9422C">
              <w:rPr>
                <w:rFonts w:ascii="Tahoma" w:eastAsia="Calibri" w:hAnsi="Tahoma" w:cs="Tahoma" w:hint="cs"/>
                <w:spacing w:val="-10"/>
                <w:sz w:val="36"/>
                <w:szCs w:val="36"/>
                <w:rtl/>
              </w:rPr>
              <w:t xml:space="preserve">165 </w:t>
            </w:r>
          </w:p>
        </w:tc>
      </w:tr>
      <w:tr w:rsidTr="00F9422C">
        <w:tblPrEx>
          <w:tblW w:w="8925" w:type="dxa"/>
          <w:tblLook w:val="04A0"/>
        </w:tblPrEx>
        <w:trPr>
          <w:trHeight w:val="85"/>
        </w:trPr>
        <w:tc>
          <w:tcPr>
            <w:tcW w:w="8925" w:type="dxa"/>
            <w:gridSpan w:val="7"/>
            <w:shd w:val="clear" w:color="auto" w:fill="auto"/>
            <w:vAlign w:val="center"/>
          </w:tcPr>
          <w:p w:rsidR="00F9422C" w:rsidRPr="00F9422C" w:rsidP="00F9422C">
            <w:pPr>
              <w:spacing w:line="288" w:lineRule="auto"/>
              <w:rPr>
                <w:rFonts w:ascii="Tahoma" w:eastAsia="Calibri" w:hAnsi="Tahoma" w:cs="Tahoma"/>
                <w:spacing w:val="-10"/>
                <w:sz w:val="6"/>
                <w:szCs w:val="6"/>
                <w:rtl/>
              </w:rPr>
            </w:pPr>
          </w:p>
        </w:tc>
      </w:tr>
      <w:tr w:rsidTr="00F9422C">
        <w:tblPrEx>
          <w:tblW w:w="8925" w:type="dxa"/>
          <w:tblLook w:val="04A0"/>
        </w:tblPrEx>
        <w:trPr>
          <w:trHeight w:val="1155"/>
        </w:trPr>
        <w:tc>
          <w:tcPr>
            <w:tcW w:w="1975" w:type="dxa"/>
          </w:tcPr>
          <w:p w:rsidR="00F9422C" w:rsidRPr="00F9422C" w:rsidP="00F9422C">
            <w:pPr>
              <w:spacing w:line="240" w:lineRule="auto"/>
              <w:ind w:right="23"/>
              <w:jc w:val="left"/>
              <w:rPr>
                <w:rFonts w:ascii="Tahoma" w:eastAsia="Calibri" w:hAnsi="Tahoma" w:cs="Tahoma"/>
                <w:sz w:val="19"/>
                <w:szCs w:val="19"/>
                <w:rtl/>
              </w:rPr>
            </w:pPr>
            <w:r w:rsidRPr="00F9422C">
              <w:rPr>
                <w:rFonts w:ascii="Tahoma" w:eastAsia="Calibri" w:hAnsi="Tahoma" w:cs="Tahoma" w:hint="cs"/>
                <w:sz w:val="19"/>
                <w:szCs w:val="19"/>
                <w:rtl/>
              </w:rPr>
              <w:t xml:space="preserve">מפונים מקרב חמש הרשויות המקומיות בדרום שנבדקו בביקורת, נכון לנובמבר 2023, שפונו במימון המדינה: 39,897 היו </w:t>
            </w:r>
            <w:r w:rsidRPr="00F9422C">
              <w:rPr>
                <w:rFonts w:ascii="Tahoma" w:eastAsia="Calibri" w:hAnsi="Tahoma" w:cs="Tahoma"/>
                <w:sz w:val="19"/>
                <w:szCs w:val="19"/>
                <w:rtl/>
              </w:rPr>
              <w:t>במתקני אירוח</w:t>
            </w:r>
            <w:r w:rsidRPr="00F9422C">
              <w:rPr>
                <w:rFonts w:ascii="Tahoma" w:eastAsia="Calibri" w:hAnsi="Tahoma" w:cs="Tahoma" w:hint="cs"/>
                <w:sz w:val="19"/>
                <w:szCs w:val="19"/>
                <w:rtl/>
              </w:rPr>
              <w:t xml:space="preserve"> </w:t>
            </w:r>
            <w:r w:rsidR="002E5375">
              <w:rPr>
                <w:rFonts w:ascii="Tahoma" w:eastAsia="Calibri" w:hAnsi="Tahoma" w:cs="Tahoma"/>
                <w:sz w:val="19"/>
                <w:szCs w:val="19"/>
                <w:rtl/>
              </w:rPr>
              <w:br/>
            </w:r>
            <w:r w:rsidRPr="00F9422C">
              <w:rPr>
                <w:rFonts w:ascii="Tahoma" w:eastAsia="Calibri" w:hAnsi="Tahoma" w:cs="Tahoma" w:hint="cs"/>
                <w:sz w:val="19"/>
                <w:szCs w:val="19"/>
                <w:rtl/>
              </w:rPr>
              <w:t>ו-102,397 בקהילה</w:t>
            </w:r>
          </w:p>
        </w:tc>
        <w:tc>
          <w:tcPr>
            <w:tcW w:w="279" w:type="dxa"/>
          </w:tcPr>
          <w:p w:rsidR="00F9422C" w:rsidRPr="00F9422C" w:rsidP="00F9422C">
            <w:pPr>
              <w:spacing w:line="240" w:lineRule="auto"/>
              <w:jc w:val="left"/>
              <w:rPr>
                <w:rFonts w:ascii="Tahoma" w:eastAsia="Calibri" w:hAnsi="Tahoma" w:cs="Tahoma"/>
                <w:rtl/>
              </w:rPr>
            </w:pPr>
          </w:p>
        </w:tc>
        <w:tc>
          <w:tcPr>
            <w:tcW w:w="2135" w:type="dxa"/>
          </w:tcPr>
          <w:p w:rsidR="00F9422C" w:rsidRPr="00F9422C" w:rsidP="00F9422C">
            <w:pPr>
              <w:spacing w:line="240" w:lineRule="auto"/>
              <w:ind w:right="23"/>
              <w:jc w:val="left"/>
              <w:rPr>
                <w:rFonts w:ascii="Tahoma" w:eastAsia="Calibri" w:hAnsi="Tahoma" w:cs="Tahoma"/>
                <w:sz w:val="19"/>
                <w:szCs w:val="19"/>
                <w:rtl/>
              </w:rPr>
            </w:pPr>
            <w:r w:rsidRPr="00F9422C">
              <w:rPr>
                <w:rFonts w:ascii="Tahoma" w:eastAsia="Calibri" w:hAnsi="Tahoma" w:cs="Tahoma" w:hint="cs"/>
                <w:sz w:val="19"/>
                <w:szCs w:val="19"/>
                <w:rtl/>
              </w:rPr>
              <w:t xml:space="preserve">מתוך כ-70,000 זכאים לפינוי </w:t>
            </w:r>
            <w:r w:rsidRPr="00F9422C">
              <w:rPr>
                <w:rFonts w:ascii="Tahoma" w:eastAsia="Calibri" w:hAnsi="Tahoma" w:cs="Tahoma" w:hint="cs"/>
                <w:b/>
                <w:bCs/>
                <w:sz w:val="19"/>
                <w:szCs w:val="19"/>
                <w:rtl/>
              </w:rPr>
              <w:t>באשקלון</w:t>
            </w:r>
            <w:r w:rsidRPr="00F9422C">
              <w:rPr>
                <w:rFonts w:ascii="Tahoma" w:eastAsia="Calibri" w:hAnsi="Tahoma" w:cs="Tahoma" w:hint="cs"/>
                <w:sz w:val="19"/>
                <w:szCs w:val="19"/>
                <w:rtl/>
              </w:rPr>
              <w:t xml:space="preserve"> בחרו להתפנות ל</w:t>
            </w:r>
            <w:r w:rsidRPr="00F9422C">
              <w:rPr>
                <w:rFonts w:ascii="Tahoma" w:eastAsia="Calibri" w:hAnsi="Tahoma" w:cs="Tahoma"/>
                <w:sz w:val="19"/>
                <w:szCs w:val="19"/>
                <w:rtl/>
              </w:rPr>
              <w:t>מתקני אירוח</w:t>
            </w:r>
          </w:p>
        </w:tc>
        <w:tc>
          <w:tcPr>
            <w:tcW w:w="279" w:type="dxa"/>
          </w:tcPr>
          <w:p w:rsidR="00F9422C" w:rsidRPr="00F9422C" w:rsidP="00F9422C">
            <w:pPr>
              <w:spacing w:line="240" w:lineRule="auto"/>
              <w:jc w:val="left"/>
              <w:rPr>
                <w:rFonts w:ascii="Tahoma" w:eastAsia="Calibri" w:hAnsi="Tahoma" w:cs="Tahoma"/>
                <w:sz w:val="19"/>
                <w:szCs w:val="19"/>
                <w:rtl/>
              </w:rPr>
            </w:pPr>
          </w:p>
        </w:tc>
        <w:tc>
          <w:tcPr>
            <w:tcW w:w="2273" w:type="dxa"/>
          </w:tcPr>
          <w:p w:rsidR="00F9422C" w:rsidRPr="00F9422C" w:rsidP="00F9422C">
            <w:pPr>
              <w:spacing w:line="240" w:lineRule="auto"/>
              <w:ind w:right="23"/>
              <w:jc w:val="left"/>
              <w:rPr>
                <w:rFonts w:ascii="Tahoma" w:eastAsia="Calibri" w:hAnsi="Tahoma" w:cs="Tahoma"/>
                <w:sz w:val="19"/>
                <w:szCs w:val="19"/>
                <w:rtl/>
              </w:rPr>
            </w:pPr>
            <w:r w:rsidRPr="00F9422C">
              <w:rPr>
                <w:rFonts w:ascii="Tahoma" w:eastAsia="Calibri" w:hAnsi="Tahoma" w:cs="Tahoma" w:hint="cs"/>
                <w:sz w:val="19"/>
                <w:szCs w:val="19"/>
                <w:rtl/>
              </w:rPr>
              <w:t xml:space="preserve">היקף מענק האכלוס שקיבלו 68,416 מתושבי </w:t>
            </w:r>
            <w:r w:rsidRPr="00F9422C">
              <w:rPr>
                <w:rFonts w:ascii="Tahoma" w:eastAsia="Calibri" w:hAnsi="Tahoma" w:cs="Tahoma" w:hint="cs"/>
                <w:b/>
                <w:bCs/>
                <w:sz w:val="19"/>
                <w:szCs w:val="19"/>
                <w:rtl/>
              </w:rPr>
              <w:t>אשקלון</w:t>
            </w:r>
            <w:r w:rsidRPr="00F9422C">
              <w:rPr>
                <w:rFonts w:ascii="Tahoma" w:eastAsia="Calibri" w:hAnsi="Tahoma" w:cs="Tahoma" w:hint="cs"/>
                <w:sz w:val="19"/>
                <w:szCs w:val="19"/>
                <w:rtl/>
              </w:rPr>
              <w:t xml:space="preserve"> שביקשו לקבל את המענק ולא להתפנות למתקני אירוח</w:t>
            </w:r>
            <w:r>
              <w:rPr>
                <w:rFonts w:ascii="Tahoma" w:eastAsia="Calibri" w:hAnsi="Tahoma" w:cs="Tahoma"/>
                <w:sz w:val="19"/>
                <w:szCs w:val="19"/>
                <w:vertAlign w:val="superscript"/>
                <w:rtl/>
              </w:rPr>
              <w:footnoteReference w:id="5"/>
            </w:r>
          </w:p>
        </w:tc>
        <w:tc>
          <w:tcPr>
            <w:tcW w:w="279" w:type="dxa"/>
          </w:tcPr>
          <w:p w:rsidR="00F9422C" w:rsidRPr="00F9422C" w:rsidP="00F9422C">
            <w:pPr>
              <w:spacing w:line="240" w:lineRule="auto"/>
              <w:jc w:val="left"/>
              <w:rPr>
                <w:rFonts w:ascii="Tahoma" w:eastAsia="Calibri" w:hAnsi="Tahoma" w:cs="Tahoma"/>
                <w:sz w:val="19"/>
                <w:szCs w:val="19"/>
                <w:rtl/>
              </w:rPr>
            </w:pPr>
          </w:p>
        </w:tc>
        <w:tc>
          <w:tcPr>
            <w:tcW w:w="1705" w:type="dxa"/>
          </w:tcPr>
          <w:p w:rsidR="002E5375" w:rsidP="00F9422C">
            <w:pPr>
              <w:spacing w:line="240" w:lineRule="auto"/>
              <w:ind w:right="23"/>
              <w:jc w:val="left"/>
              <w:rPr>
                <w:rFonts w:ascii="Tahoma" w:eastAsia="Calibri" w:hAnsi="Tahoma" w:cs="Tahoma"/>
                <w:sz w:val="19"/>
                <w:szCs w:val="19"/>
                <w:rtl/>
              </w:rPr>
            </w:pPr>
            <w:r w:rsidRPr="00F9422C">
              <w:rPr>
                <w:rFonts w:ascii="Tahoma" w:eastAsia="Calibri" w:hAnsi="Tahoma" w:cs="Tahoma" w:hint="cs"/>
                <w:sz w:val="19"/>
                <w:szCs w:val="19"/>
                <w:rtl/>
              </w:rPr>
              <w:t xml:space="preserve">מתקני אירוח </w:t>
            </w:r>
          </w:p>
          <w:p w:rsidR="002E5375" w:rsidP="00F9422C">
            <w:pPr>
              <w:spacing w:line="240" w:lineRule="auto"/>
              <w:ind w:right="23"/>
              <w:jc w:val="left"/>
              <w:rPr>
                <w:rFonts w:ascii="Tahoma" w:eastAsia="Calibri" w:hAnsi="Tahoma" w:cs="Tahoma"/>
                <w:sz w:val="19"/>
                <w:szCs w:val="19"/>
                <w:rtl/>
              </w:rPr>
            </w:pPr>
            <w:r w:rsidRPr="00F9422C">
              <w:rPr>
                <w:rFonts w:ascii="Tahoma" w:eastAsia="Calibri" w:hAnsi="Tahoma" w:cs="Tahoma" w:hint="cs"/>
                <w:sz w:val="19"/>
                <w:szCs w:val="19"/>
                <w:rtl/>
              </w:rPr>
              <w:t xml:space="preserve">בכ-40 ישובים שאליהם פונו </w:t>
            </w:r>
          </w:p>
          <w:p w:rsidR="00F9422C" w:rsidRPr="00F9422C" w:rsidP="00F9422C">
            <w:pPr>
              <w:spacing w:line="240" w:lineRule="auto"/>
              <w:ind w:right="23"/>
              <w:jc w:val="left"/>
              <w:rPr>
                <w:rFonts w:ascii="Tahoma" w:eastAsia="Calibri" w:hAnsi="Tahoma" w:cs="Tahoma"/>
                <w:sz w:val="19"/>
                <w:szCs w:val="19"/>
                <w:rtl/>
              </w:rPr>
            </w:pPr>
            <w:r w:rsidRPr="00F9422C">
              <w:rPr>
                <w:rFonts w:ascii="Tahoma" w:eastAsia="Calibri" w:hAnsi="Tahoma" w:cs="Tahoma" w:hint="cs"/>
                <w:sz w:val="19"/>
                <w:szCs w:val="19"/>
                <w:rtl/>
              </w:rPr>
              <w:t xml:space="preserve">כ-81% מתושבי </w:t>
            </w:r>
            <w:r w:rsidRPr="00F9422C">
              <w:rPr>
                <w:rFonts w:ascii="Tahoma" w:eastAsia="Calibri" w:hAnsi="Tahoma" w:cs="Tahoma" w:hint="cs"/>
                <w:b/>
                <w:bCs/>
                <w:sz w:val="19"/>
                <w:szCs w:val="19"/>
                <w:rtl/>
              </w:rPr>
              <w:t>שדרות</w:t>
            </w:r>
            <w:r w:rsidRPr="00F9422C">
              <w:rPr>
                <w:rFonts w:ascii="Tahoma" w:eastAsia="Calibri" w:hAnsi="Tahoma" w:cs="Tahoma" w:hint="cs"/>
                <w:sz w:val="19"/>
                <w:szCs w:val="19"/>
                <w:rtl/>
              </w:rPr>
              <w:t>, נכון ליום 31.12.23</w:t>
            </w:r>
          </w:p>
        </w:tc>
      </w:tr>
      <w:tr w:rsidTr="00F9422C">
        <w:tblPrEx>
          <w:tblW w:w="8925" w:type="dxa"/>
          <w:tblLook w:val="04A0"/>
        </w:tblPrEx>
        <w:trPr>
          <w:trHeight w:val="363"/>
        </w:trPr>
        <w:tc>
          <w:tcPr>
            <w:tcW w:w="8925" w:type="dxa"/>
            <w:gridSpan w:val="7"/>
          </w:tcPr>
          <w:p w:rsidR="00F9422C" w:rsidRPr="00F9422C" w:rsidP="00F9422C">
            <w:pPr>
              <w:spacing w:line="288" w:lineRule="auto"/>
              <w:jc w:val="center"/>
              <w:rPr>
                <w:rFonts w:ascii="Tahoma" w:eastAsia="Calibri" w:hAnsi="Tahoma" w:cs="Tahoma"/>
                <w:sz w:val="6"/>
                <w:szCs w:val="6"/>
                <w:rtl/>
              </w:rPr>
            </w:pPr>
          </w:p>
        </w:tc>
      </w:tr>
      <w:tr w:rsidTr="00F9422C">
        <w:tblPrEx>
          <w:tblW w:w="8925" w:type="dxa"/>
          <w:tblLook w:val="04A0"/>
        </w:tblPrEx>
        <w:trPr>
          <w:trHeight w:val="227"/>
        </w:trPr>
        <w:tc>
          <w:tcPr>
            <w:tcW w:w="1975" w:type="dxa"/>
            <w:tcBorders>
              <w:bottom w:val="single" w:sz="12" w:space="0" w:color="auto"/>
            </w:tcBorders>
            <w:vAlign w:val="bottom"/>
          </w:tcPr>
          <w:p w:rsidR="00F9422C" w:rsidRPr="00F9422C" w:rsidP="00F9422C">
            <w:pPr>
              <w:spacing w:line="288" w:lineRule="auto"/>
              <w:jc w:val="left"/>
              <w:rPr>
                <w:rFonts w:ascii="Tahoma" w:eastAsia="Calibri" w:hAnsi="Tahoma" w:cs="Tahoma"/>
                <w:spacing w:val="-10"/>
                <w:sz w:val="36"/>
                <w:szCs w:val="36"/>
              </w:rPr>
            </w:pPr>
            <w:r w:rsidRPr="00F9422C">
              <w:rPr>
                <w:rFonts w:ascii="Tahoma" w:eastAsia="Calibri" w:hAnsi="Tahoma" w:cs="Tahoma" w:hint="cs"/>
                <w:spacing w:val="-10"/>
                <w:sz w:val="36"/>
                <w:szCs w:val="36"/>
                <w:rtl/>
              </w:rPr>
              <w:t>100%</w:t>
            </w:r>
          </w:p>
        </w:tc>
        <w:tc>
          <w:tcPr>
            <w:tcW w:w="279" w:type="dxa"/>
            <w:vAlign w:val="bottom"/>
          </w:tcPr>
          <w:p w:rsidR="00F9422C" w:rsidRPr="00F9422C" w:rsidP="00F9422C">
            <w:pPr>
              <w:spacing w:line="288" w:lineRule="auto"/>
              <w:jc w:val="left"/>
              <w:rPr>
                <w:rFonts w:ascii="Tahoma" w:eastAsia="Calibri" w:hAnsi="Tahoma" w:cs="Tahoma"/>
                <w:spacing w:val="-10"/>
              </w:rPr>
            </w:pPr>
          </w:p>
        </w:tc>
        <w:tc>
          <w:tcPr>
            <w:tcW w:w="2135" w:type="dxa"/>
            <w:tcBorders>
              <w:bottom w:val="single" w:sz="12" w:space="0" w:color="auto"/>
            </w:tcBorders>
            <w:vAlign w:val="bottom"/>
          </w:tcPr>
          <w:p w:rsidR="00F9422C" w:rsidRPr="00F9422C" w:rsidP="00F9422C">
            <w:pPr>
              <w:spacing w:line="288" w:lineRule="auto"/>
              <w:jc w:val="left"/>
              <w:rPr>
                <w:rFonts w:ascii="Tahoma" w:eastAsia="Calibri" w:hAnsi="Tahoma" w:cs="Tahoma"/>
                <w:spacing w:val="-10"/>
                <w:sz w:val="36"/>
                <w:szCs w:val="36"/>
              </w:rPr>
            </w:pPr>
            <w:r w:rsidRPr="00F9422C">
              <w:rPr>
                <w:rFonts w:ascii="Tahoma" w:eastAsia="Calibri" w:hAnsi="Tahoma" w:cs="Tahoma" w:hint="cs"/>
                <w:spacing w:val="-10"/>
                <w:sz w:val="36"/>
                <w:szCs w:val="36"/>
                <w:rtl/>
              </w:rPr>
              <w:t xml:space="preserve">4 </w:t>
            </w:r>
            <w:r w:rsidRPr="00F9422C">
              <w:rPr>
                <w:rFonts w:ascii="Tahoma" w:eastAsia="Calibri" w:hAnsi="Tahoma" w:cs="Tahoma" w:hint="eastAsia"/>
                <w:spacing w:val="-10"/>
                <w:sz w:val="26"/>
                <w:szCs w:val="26"/>
                <w:rtl/>
              </w:rPr>
              <w:t>מתוך</w:t>
            </w:r>
            <w:r w:rsidRPr="00F9422C">
              <w:rPr>
                <w:rFonts w:ascii="Tahoma" w:eastAsia="Calibri" w:hAnsi="Tahoma" w:cs="Tahoma" w:hint="cs"/>
                <w:spacing w:val="-10"/>
                <w:sz w:val="36"/>
                <w:szCs w:val="36"/>
                <w:rtl/>
              </w:rPr>
              <w:t xml:space="preserve"> 21</w:t>
            </w:r>
          </w:p>
        </w:tc>
        <w:tc>
          <w:tcPr>
            <w:tcW w:w="279" w:type="dxa"/>
            <w:vAlign w:val="bottom"/>
          </w:tcPr>
          <w:p w:rsidR="00F9422C" w:rsidRPr="00F9422C" w:rsidP="00F9422C">
            <w:pPr>
              <w:spacing w:line="288" w:lineRule="auto"/>
              <w:jc w:val="left"/>
              <w:rPr>
                <w:rFonts w:ascii="Tahoma" w:eastAsia="Calibri" w:hAnsi="Tahoma" w:cs="Tahoma"/>
                <w:spacing w:val="-10"/>
              </w:rPr>
            </w:pPr>
          </w:p>
        </w:tc>
        <w:tc>
          <w:tcPr>
            <w:tcW w:w="2273" w:type="dxa"/>
            <w:tcBorders>
              <w:bottom w:val="single" w:sz="12" w:space="0" w:color="auto"/>
            </w:tcBorders>
            <w:vAlign w:val="bottom"/>
          </w:tcPr>
          <w:p w:rsidR="00F9422C" w:rsidRPr="00F9422C" w:rsidP="00F9422C">
            <w:pPr>
              <w:spacing w:line="288" w:lineRule="auto"/>
              <w:jc w:val="left"/>
              <w:rPr>
                <w:rFonts w:ascii="Tahoma" w:eastAsia="Calibri" w:hAnsi="Tahoma" w:cs="Tahoma"/>
                <w:spacing w:val="-10"/>
                <w:sz w:val="36"/>
                <w:szCs w:val="36"/>
              </w:rPr>
            </w:pPr>
            <w:r w:rsidRPr="00F9422C">
              <w:rPr>
                <w:rFonts w:ascii="Tahoma" w:eastAsia="Calibri" w:hAnsi="Tahoma" w:cs="Tahoma" w:hint="cs"/>
                <w:spacing w:val="-10"/>
                <w:sz w:val="36"/>
                <w:szCs w:val="36"/>
                <w:rtl/>
              </w:rPr>
              <w:t>38</w:t>
            </w:r>
          </w:p>
        </w:tc>
        <w:tc>
          <w:tcPr>
            <w:tcW w:w="279" w:type="dxa"/>
            <w:vAlign w:val="bottom"/>
          </w:tcPr>
          <w:p w:rsidR="00F9422C" w:rsidRPr="00F9422C" w:rsidP="00F9422C">
            <w:pPr>
              <w:spacing w:line="288" w:lineRule="auto"/>
              <w:jc w:val="left"/>
              <w:rPr>
                <w:rFonts w:ascii="Tahoma" w:eastAsia="Calibri" w:hAnsi="Tahoma" w:cs="Tahoma"/>
                <w:spacing w:val="-10"/>
              </w:rPr>
            </w:pPr>
          </w:p>
        </w:tc>
        <w:tc>
          <w:tcPr>
            <w:tcW w:w="1705" w:type="dxa"/>
            <w:tcBorders>
              <w:bottom w:val="single" w:sz="12" w:space="0" w:color="auto"/>
            </w:tcBorders>
            <w:vAlign w:val="bottom"/>
          </w:tcPr>
          <w:p w:rsidR="00F9422C" w:rsidRPr="00F9422C" w:rsidP="00F9422C">
            <w:pPr>
              <w:spacing w:line="288" w:lineRule="auto"/>
              <w:jc w:val="left"/>
              <w:rPr>
                <w:rFonts w:ascii="Tahoma" w:eastAsia="Calibri" w:hAnsi="Tahoma" w:cs="Tahoma"/>
                <w:spacing w:val="-10"/>
                <w:sz w:val="36"/>
                <w:szCs w:val="36"/>
              </w:rPr>
            </w:pPr>
            <w:r w:rsidRPr="00F9422C">
              <w:rPr>
                <w:rFonts w:ascii="Tahoma" w:eastAsia="Calibri" w:hAnsi="Tahoma" w:cs="Tahoma" w:hint="cs"/>
                <w:spacing w:val="-10"/>
                <w:sz w:val="36"/>
                <w:szCs w:val="36"/>
                <w:rtl/>
              </w:rPr>
              <w:t xml:space="preserve">6,346 </w:t>
            </w:r>
            <w:r w:rsidRPr="00F9422C">
              <w:rPr>
                <w:rFonts w:ascii="Tahoma" w:eastAsia="Calibri" w:hAnsi="Tahoma" w:cs="Tahoma"/>
                <w:spacing w:val="-10"/>
                <w:sz w:val="26"/>
                <w:szCs w:val="26"/>
                <w:rtl/>
              </w:rPr>
              <w:t>(16%)</w:t>
            </w:r>
          </w:p>
        </w:tc>
      </w:tr>
      <w:tr w:rsidTr="00F9422C">
        <w:tblPrEx>
          <w:tblW w:w="8925" w:type="dxa"/>
          <w:tblLook w:val="04A0"/>
        </w:tblPrEx>
        <w:trPr>
          <w:trHeight w:val="70"/>
        </w:trPr>
        <w:tc>
          <w:tcPr>
            <w:tcW w:w="8925" w:type="dxa"/>
            <w:gridSpan w:val="7"/>
            <w:vAlign w:val="center"/>
          </w:tcPr>
          <w:p w:rsidR="00F9422C" w:rsidRPr="00F9422C" w:rsidP="00F9422C">
            <w:pPr>
              <w:spacing w:line="288" w:lineRule="auto"/>
              <w:rPr>
                <w:rFonts w:ascii="Tahoma" w:eastAsia="Calibri" w:hAnsi="Tahoma" w:cs="Tahoma"/>
                <w:spacing w:val="-10"/>
                <w:sz w:val="6"/>
                <w:szCs w:val="6"/>
                <w:rtl/>
              </w:rPr>
            </w:pPr>
          </w:p>
        </w:tc>
      </w:tr>
      <w:tr w:rsidTr="00F9422C">
        <w:tblPrEx>
          <w:tblW w:w="8925" w:type="dxa"/>
          <w:tblLook w:val="04A0"/>
        </w:tblPrEx>
        <w:trPr>
          <w:trHeight w:val="1153"/>
        </w:trPr>
        <w:tc>
          <w:tcPr>
            <w:tcW w:w="1975" w:type="dxa"/>
          </w:tcPr>
          <w:p w:rsidR="00F9422C" w:rsidRPr="00F9422C" w:rsidP="00F9422C">
            <w:pPr>
              <w:spacing w:line="240" w:lineRule="auto"/>
              <w:ind w:right="23"/>
              <w:jc w:val="left"/>
              <w:rPr>
                <w:rFonts w:ascii="Tahoma" w:eastAsia="Calibri" w:hAnsi="Tahoma" w:cs="Tahoma"/>
                <w:sz w:val="19"/>
                <w:szCs w:val="19"/>
                <w:rtl/>
              </w:rPr>
            </w:pPr>
            <w:r w:rsidRPr="00F9422C">
              <w:rPr>
                <w:rFonts w:ascii="Tahoma" w:eastAsia="Calibri" w:hAnsi="Tahoma" w:cs="Tahoma" w:hint="cs"/>
                <w:sz w:val="19"/>
                <w:szCs w:val="19"/>
                <w:rtl/>
              </w:rPr>
              <w:t xml:space="preserve">מיישובי </w:t>
            </w:r>
            <w:r w:rsidRPr="00F9422C">
              <w:rPr>
                <w:rFonts w:ascii="Tahoma" w:eastAsia="Calibri" w:hAnsi="Tahoma" w:cs="Tahoma"/>
                <w:sz w:val="19"/>
                <w:szCs w:val="19"/>
                <w:rtl/>
              </w:rPr>
              <w:t xml:space="preserve">המועצה האזורית </w:t>
            </w:r>
            <w:r w:rsidRPr="00F9422C">
              <w:rPr>
                <w:rFonts w:ascii="Tahoma" w:eastAsia="Calibri" w:hAnsi="Tahoma" w:cs="Tahoma" w:hint="cs"/>
                <w:b/>
                <w:bCs/>
                <w:sz w:val="19"/>
                <w:szCs w:val="19"/>
                <w:rtl/>
              </w:rPr>
              <w:t>אשכול</w:t>
            </w:r>
            <w:r w:rsidRPr="00F9422C">
              <w:rPr>
                <w:rFonts w:ascii="Tahoma" w:eastAsia="Calibri" w:hAnsi="Tahoma" w:cs="Tahoma" w:hint="cs"/>
                <w:sz w:val="19"/>
                <w:szCs w:val="19"/>
                <w:rtl/>
              </w:rPr>
              <w:t xml:space="preserve"> התפנו במהלך המלחמה; 29 </w:t>
            </w:r>
            <w:r w:rsidRPr="00F9422C">
              <w:rPr>
                <w:rFonts w:ascii="Tahoma" w:eastAsia="Calibri" w:hAnsi="Tahoma" w:cs="Tahoma"/>
                <w:sz w:val="19"/>
                <w:szCs w:val="19"/>
                <w:rtl/>
              </w:rPr>
              <w:t>פונ</w:t>
            </w:r>
            <w:r w:rsidRPr="00F9422C">
              <w:rPr>
                <w:rFonts w:ascii="Tahoma" w:eastAsia="Calibri" w:hAnsi="Tahoma" w:cs="Tahoma" w:hint="cs"/>
                <w:sz w:val="19"/>
                <w:szCs w:val="19"/>
                <w:rtl/>
              </w:rPr>
              <w:t xml:space="preserve">ו </w:t>
            </w:r>
            <w:r w:rsidRPr="00F9422C">
              <w:rPr>
                <w:rFonts w:ascii="Tahoma" w:eastAsia="Calibri" w:hAnsi="Tahoma" w:cs="Tahoma"/>
                <w:sz w:val="19"/>
                <w:szCs w:val="19"/>
                <w:rtl/>
              </w:rPr>
              <w:t>לפי החלטת ממשלה</w:t>
            </w:r>
            <w:r w:rsidRPr="00F9422C">
              <w:rPr>
                <w:rFonts w:ascii="Tahoma" w:eastAsia="Calibri" w:hAnsi="Tahoma" w:cs="Tahoma" w:hint="cs"/>
                <w:sz w:val="19"/>
                <w:szCs w:val="19"/>
                <w:rtl/>
              </w:rPr>
              <w:t xml:space="preserve"> ו-3 התפנו באופן עצמאי</w:t>
            </w:r>
          </w:p>
        </w:tc>
        <w:tc>
          <w:tcPr>
            <w:tcW w:w="279" w:type="dxa"/>
          </w:tcPr>
          <w:p w:rsidR="00F9422C" w:rsidRPr="00F9422C" w:rsidP="00F9422C">
            <w:pPr>
              <w:spacing w:line="240" w:lineRule="auto"/>
              <w:jc w:val="left"/>
              <w:rPr>
                <w:rFonts w:ascii="Tahoma" w:eastAsia="Calibri" w:hAnsi="Tahoma" w:cs="Tahoma"/>
                <w:sz w:val="19"/>
                <w:szCs w:val="19"/>
                <w:rtl/>
              </w:rPr>
            </w:pPr>
          </w:p>
        </w:tc>
        <w:tc>
          <w:tcPr>
            <w:tcW w:w="2135" w:type="dxa"/>
          </w:tcPr>
          <w:p w:rsidR="00F9422C" w:rsidRPr="00F9422C" w:rsidP="00F9422C">
            <w:pPr>
              <w:spacing w:line="240" w:lineRule="auto"/>
              <w:ind w:right="23"/>
              <w:jc w:val="left"/>
              <w:rPr>
                <w:rFonts w:ascii="Tahoma" w:eastAsia="Calibri" w:hAnsi="Tahoma" w:cs="Tahoma"/>
                <w:sz w:val="19"/>
                <w:szCs w:val="19"/>
                <w:rtl/>
              </w:rPr>
            </w:pPr>
            <w:r w:rsidRPr="00F9422C">
              <w:rPr>
                <w:rFonts w:ascii="Tahoma" w:eastAsia="Calibri" w:hAnsi="Tahoma" w:cs="Tahoma" w:hint="cs"/>
                <w:sz w:val="19"/>
                <w:szCs w:val="19"/>
                <w:rtl/>
              </w:rPr>
              <w:t xml:space="preserve">יישובי המועצה האזורית </w:t>
            </w:r>
            <w:r w:rsidRPr="00F9422C">
              <w:rPr>
                <w:rFonts w:ascii="Tahoma" w:eastAsia="Calibri" w:hAnsi="Tahoma" w:cs="Tahoma" w:hint="cs"/>
                <w:b/>
                <w:bCs/>
                <w:sz w:val="19"/>
                <w:szCs w:val="19"/>
                <w:rtl/>
              </w:rPr>
              <w:t>חוף אשקלון</w:t>
            </w:r>
            <w:r w:rsidRPr="00F9422C">
              <w:rPr>
                <w:rFonts w:ascii="Tahoma" w:eastAsia="Calibri" w:hAnsi="Tahoma" w:cs="Tahoma" w:hint="cs"/>
                <w:sz w:val="19"/>
                <w:szCs w:val="19"/>
                <w:rtl/>
              </w:rPr>
              <w:t xml:space="preserve"> פונו </w:t>
            </w:r>
            <w:r w:rsidRPr="00F9422C">
              <w:rPr>
                <w:rFonts w:ascii="Tahoma" w:eastAsia="Calibri" w:hAnsi="Tahoma" w:cs="Tahoma"/>
                <w:sz w:val="19"/>
                <w:szCs w:val="19"/>
                <w:rtl/>
              </w:rPr>
              <w:t>בהתאם לתוכנית "מרחק בטוח"</w:t>
            </w:r>
            <w:r w:rsidRPr="00F9422C">
              <w:rPr>
                <w:rFonts w:ascii="Tahoma" w:eastAsia="Calibri" w:hAnsi="Tahoma" w:cs="Tahoma" w:hint="cs"/>
                <w:sz w:val="19"/>
                <w:szCs w:val="19"/>
                <w:rtl/>
              </w:rPr>
              <w:t>.</w:t>
            </w:r>
            <w:r w:rsidRPr="00F9422C">
              <w:rPr>
                <w:rFonts w:ascii="Tahoma" w:eastAsia="Calibri" w:hAnsi="Tahoma" w:cs="Tahoma"/>
                <w:sz w:val="19"/>
                <w:szCs w:val="19"/>
                <w:rtl/>
              </w:rPr>
              <w:t xml:space="preserve"> כמו כן פונו </w:t>
            </w:r>
            <w:r w:rsidRPr="00F9422C">
              <w:rPr>
                <w:rFonts w:ascii="Tahoma" w:eastAsia="Calibri" w:hAnsi="Tahoma" w:cs="Tahoma" w:hint="cs"/>
                <w:sz w:val="19"/>
                <w:szCs w:val="19"/>
                <w:rtl/>
              </w:rPr>
              <w:t xml:space="preserve">להתרעננות שני יישובים </w:t>
            </w:r>
            <w:r w:rsidRPr="00F9422C">
              <w:rPr>
                <w:rFonts w:ascii="Tahoma" w:eastAsia="Calibri" w:hAnsi="Tahoma" w:cs="Tahoma"/>
                <w:sz w:val="19"/>
                <w:szCs w:val="19"/>
                <w:rtl/>
              </w:rPr>
              <w:t>במסגרת תוכנית "משב רוח"</w:t>
            </w:r>
          </w:p>
        </w:tc>
        <w:tc>
          <w:tcPr>
            <w:tcW w:w="279" w:type="dxa"/>
          </w:tcPr>
          <w:p w:rsidR="00F9422C" w:rsidRPr="00F9422C" w:rsidP="00F9422C">
            <w:pPr>
              <w:spacing w:line="240" w:lineRule="auto"/>
              <w:jc w:val="left"/>
              <w:rPr>
                <w:rFonts w:ascii="Tahoma" w:eastAsia="Calibri" w:hAnsi="Tahoma" w:cs="Tahoma"/>
                <w:sz w:val="19"/>
                <w:szCs w:val="19"/>
                <w:rtl/>
              </w:rPr>
            </w:pPr>
          </w:p>
        </w:tc>
        <w:tc>
          <w:tcPr>
            <w:tcW w:w="2273" w:type="dxa"/>
          </w:tcPr>
          <w:p w:rsidR="00F9422C" w:rsidRPr="00F9422C" w:rsidP="00F9422C">
            <w:pPr>
              <w:spacing w:line="240" w:lineRule="auto"/>
              <w:ind w:right="23"/>
              <w:jc w:val="left"/>
              <w:rPr>
                <w:rFonts w:ascii="Tahoma" w:eastAsia="Calibri" w:hAnsi="Tahoma" w:cs="Tahoma"/>
                <w:sz w:val="19"/>
                <w:szCs w:val="19"/>
                <w:rtl/>
              </w:rPr>
            </w:pPr>
            <w:r w:rsidRPr="00F9422C">
              <w:rPr>
                <w:rFonts w:ascii="Tahoma" w:eastAsia="Calibri" w:hAnsi="Tahoma" w:cs="Tahoma" w:hint="cs"/>
                <w:sz w:val="19"/>
                <w:szCs w:val="19"/>
                <w:rtl/>
              </w:rPr>
              <w:t xml:space="preserve">יעדי קליטה, </w:t>
            </w:r>
            <w:r w:rsidRPr="00F9422C">
              <w:rPr>
                <w:rFonts w:ascii="Tahoma" w:eastAsia="Calibri" w:hAnsi="Tahoma" w:cs="Tahoma"/>
                <w:sz w:val="19"/>
                <w:szCs w:val="19"/>
                <w:rtl/>
              </w:rPr>
              <w:t>מצפון הארץ ועד דרומה</w:t>
            </w:r>
            <w:r w:rsidRPr="00F9422C">
              <w:rPr>
                <w:rFonts w:ascii="Tahoma" w:eastAsia="Calibri" w:hAnsi="Tahoma" w:cs="Tahoma" w:hint="cs"/>
                <w:sz w:val="19"/>
                <w:szCs w:val="19"/>
                <w:rtl/>
              </w:rPr>
              <w:t>, שאליהם פונו מפונים</w:t>
            </w:r>
            <w:r w:rsidRPr="00F9422C">
              <w:rPr>
                <w:rFonts w:eastAsia="Calibri"/>
                <w:rtl/>
              </w:rPr>
              <w:t xml:space="preserve"> </w:t>
            </w:r>
            <w:r w:rsidRPr="00F9422C">
              <w:rPr>
                <w:rFonts w:ascii="Tahoma" w:eastAsia="Calibri" w:hAnsi="Tahoma" w:cs="Tahoma" w:hint="cs"/>
                <w:sz w:val="19"/>
                <w:szCs w:val="19"/>
                <w:rtl/>
              </w:rPr>
              <w:t>מ</w:t>
            </w:r>
            <w:r w:rsidRPr="00F9422C">
              <w:rPr>
                <w:rFonts w:ascii="Tahoma" w:eastAsia="Calibri" w:hAnsi="Tahoma" w:cs="Tahoma"/>
                <w:sz w:val="19"/>
                <w:szCs w:val="19"/>
                <w:rtl/>
              </w:rPr>
              <w:t>שישה יישוב</w:t>
            </w:r>
            <w:r w:rsidRPr="00F9422C">
              <w:rPr>
                <w:rFonts w:ascii="Tahoma" w:eastAsia="Calibri" w:hAnsi="Tahoma" w:cs="Tahoma"/>
                <w:sz w:val="19"/>
                <w:szCs w:val="19"/>
                <w:rtl/>
              </w:rPr>
              <w:t xml:space="preserve">ים בתחום המועצה האזורית </w:t>
            </w:r>
            <w:r w:rsidRPr="00F9422C">
              <w:rPr>
                <w:rFonts w:ascii="Tahoma" w:eastAsia="Calibri" w:hAnsi="Tahoma" w:cs="Tahoma"/>
                <w:b/>
                <w:bCs/>
                <w:sz w:val="19"/>
                <w:szCs w:val="19"/>
                <w:rtl/>
              </w:rPr>
              <w:t>חוף אשקלון</w:t>
            </w:r>
            <w:r w:rsidRPr="00F9422C">
              <w:rPr>
                <w:rFonts w:ascii="Tahoma" w:eastAsia="Calibri" w:hAnsi="Tahoma" w:cs="Tahoma"/>
                <w:sz w:val="19"/>
                <w:szCs w:val="19"/>
                <w:rtl/>
              </w:rPr>
              <w:t>, שמרחקם עד שבעה ק"מ מגבול רצועת עזה</w:t>
            </w:r>
            <w:r w:rsidRPr="00F9422C">
              <w:rPr>
                <w:rFonts w:ascii="Tahoma" w:eastAsia="Calibri" w:hAnsi="Tahoma" w:cs="Tahoma" w:hint="cs"/>
                <w:sz w:val="19"/>
                <w:szCs w:val="19"/>
                <w:rtl/>
              </w:rPr>
              <w:t xml:space="preserve"> </w:t>
            </w:r>
          </w:p>
        </w:tc>
        <w:tc>
          <w:tcPr>
            <w:tcW w:w="279" w:type="dxa"/>
          </w:tcPr>
          <w:p w:rsidR="00F9422C" w:rsidRPr="00F9422C" w:rsidP="00F9422C">
            <w:pPr>
              <w:spacing w:line="240" w:lineRule="auto"/>
              <w:jc w:val="left"/>
              <w:rPr>
                <w:rFonts w:ascii="Tahoma" w:eastAsia="Calibri" w:hAnsi="Tahoma" w:cs="Tahoma"/>
                <w:sz w:val="19"/>
                <w:szCs w:val="19"/>
                <w:rtl/>
              </w:rPr>
            </w:pPr>
          </w:p>
        </w:tc>
        <w:tc>
          <w:tcPr>
            <w:tcW w:w="1705" w:type="dxa"/>
          </w:tcPr>
          <w:p w:rsidR="00F9422C" w:rsidRPr="00F9422C" w:rsidP="00F9422C">
            <w:pPr>
              <w:spacing w:line="240" w:lineRule="auto"/>
              <w:ind w:right="23"/>
              <w:jc w:val="left"/>
              <w:rPr>
                <w:rFonts w:ascii="Tahoma" w:eastAsia="Calibri" w:hAnsi="Tahoma" w:cs="Tahoma"/>
                <w:sz w:val="19"/>
                <w:szCs w:val="19"/>
                <w:rtl/>
              </w:rPr>
            </w:pPr>
            <w:r w:rsidRPr="00F9422C">
              <w:rPr>
                <w:rFonts w:ascii="Tahoma" w:eastAsia="Calibri" w:hAnsi="Tahoma" w:cs="Tahoma" w:hint="cs"/>
                <w:sz w:val="19"/>
                <w:szCs w:val="19"/>
                <w:rtl/>
              </w:rPr>
              <w:t xml:space="preserve">מתושבי </w:t>
            </w:r>
            <w:r w:rsidRPr="00F9422C">
              <w:rPr>
                <w:rFonts w:ascii="Tahoma" w:eastAsia="Calibri" w:hAnsi="Tahoma" w:cs="Tahoma" w:hint="cs"/>
                <w:b/>
                <w:bCs/>
                <w:sz w:val="19"/>
                <w:szCs w:val="19"/>
                <w:rtl/>
              </w:rPr>
              <w:t>אופקים</w:t>
            </w:r>
            <w:r w:rsidRPr="00F9422C">
              <w:rPr>
                <w:rFonts w:ascii="Tahoma" w:eastAsia="Calibri" w:hAnsi="Tahoma" w:cs="Tahoma" w:hint="cs"/>
                <w:sz w:val="19"/>
                <w:szCs w:val="19"/>
                <w:rtl/>
              </w:rPr>
              <w:t xml:space="preserve"> הוצאו לריענון במתקני אירוח</w:t>
            </w:r>
          </w:p>
          <w:p w:rsidR="00F9422C" w:rsidRPr="00F9422C" w:rsidP="00F9422C">
            <w:pPr>
              <w:spacing w:line="240" w:lineRule="auto"/>
              <w:ind w:firstLine="720"/>
              <w:rPr>
                <w:rFonts w:ascii="Tahoma" w:eastAsia="Calibri" w:hAnsi="Tahoma" w:cs="Tahoma"/>
                <w:sz w:val="19"/>
                <w:szCs w:val="19"/>
                <w:rtl/>
              </w:rPr>
            </w:pPr>
          </w:p>
        </w:tc>
      </w:tr>
      <w:bookmarkEnd w:id="6"/>
    </w:tbl>
    <w:p w:rsidR="009515F9" w:rsidRPr="00F9422C" w:rsidP="00AE4BB7">
      <w:pPr>
        <w:spacing w:line="288" w:lineRule="auto"/>
        <w:ind w:left="-284"/>
        <w:rPr>
          <w:sz w:val="12"/>
          <w:szCs w:val="16"/>
          <w:rtl/>
        </w:rPr>
      </w:pPr>
    </w:p>
    <w:p w:rsidR="00F9422C" w:rsidP="00AE4BB7">
      <w:pPr>
        <w:spacing w:line="288" w:lineRule="auto"/>
        <w:ind w:left="-284"/>
        <w:rPr>
          <w:sz w:val="12"/>
          <w:szCs w:val="16"/>
          <w:rtl/>
        </w:rPr>
      </w:pPr>
    </w:p>
    <w:p w:rsidR="009515F9" w:rsidRPr="004B2FF6" w:rsidP="00AE4BB7">
      <w:pPr>
        <w:spacing w:line="288" w:lineRule="auto"/>
        <w:ind w:left="-284"/>
        <w:rPr>
          <w:sz w:val="12"/>
          <w:szCs w:val="16"/>
          <w:rtl/>
        </w:rPr>
      </w:pPr>
    </w:p>
    <w:p w:rsidR="00AE4BB7" w:rsidRPr="005F4A6D" w:rsidP="00AE4BB7">
      <w:pPr>
        <w:spacing w:line="288" w:lineRule="auto"/>
        <w:ind w:left="-1"/>
        <w:rPr>
          <w:sz w:val="10"/>
          <w:szCs w:val="14"/>
          <w:rtl/>
        </w:rPr>
      </w:pPr>
    </w:p>
    <w:p w:rsidR="00AE4BB7" w:rsidRPr="00BE22D7" w:rsidP="00AE4BB7">
      <w:pPr>
        <w:spacing w:line="288" w:lineRule="auto"/>
        <w:ind w:left="-1"/>
        <w:rPr>
          <w:sz w:val="18"/>
          <w:szCs w:val="22"/>
          <w:rtl/>
        </w:rPr>
      </w:pPr>
    </w:p>
    <w:p w:rsidR="00AE4BB7" w:rsidP="00AE4BB7">
      <w:pPr>
        <w:ind w:left="-1"/>
      </w:pPr>
      <w:r>
        <w:br w:type="page"/>
      </w:r>
    </w:p>
    <w:tbl>
      <w:tblPr>
        <w:tblStyle w:val="TableGrid"/>
        <w:tblpPr w:leftFromText="180" w:rightFromText="180" w:vertAnchor="text" w:tblpXSpec="center" w:tblpY="1"/>
        <w:tblOverlap w:val="never"/>
        <w:bidiVisual/>
        <w:tblW w:w="8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865"/>
      </w:tblGrid>
      <w:tr w:rsidTr="009E37AC">
        <w:tblPrEx>
          <w:tblW w:w="8865" w:type="dxa"/>
          <w:tblLayout w:type="fixed"/>
          <w:tblLook w:val="04A0"/>
        </w:tblPrEx>
        <w:trPr>
          <w:trHeight w:val="495"/>
        </w:trPr>
        <w:tc>
          <w:tcPr>
            <w:tcW w:w="8865" w:type="dxa"/>
            <w:vAlign w:val="center"/>
          </w:tcPr>
          <w:p w:rsidR="00AE4BB7" w:rsidRPr="006C4033" w:rsidP="00335A27">
            <w:pPr>
              <w:spacing w:after="60" w:line="288" w:lineRule="auto"/>
              <w:jc w:val="left"/>
              <w:rPr>
                <w:rFonts w:ascii="Tahoma" w:hAnsi="Tahoma" w:cs="Tahoma"/>
                <w:sz w:val="17"/>
                <w:szCs w:val="17"/>
                <w:rtl/>
              </w:rPr>
            </w:pPr>
            <w:r w:rsidRPr="006C4033">
              <w:rPr>
                <w:rFonts w:ascii="Tahoma" w:hAnsi="Tahoma" w:cs="Tahoma"/>
                <w:noProof/>
              </w:rPr>
              <w:drawing>
                <wp:inline distT="0" distB="0" distL="0" distR="0">
                  <wp:extent cx="6482715" cy="497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קציר תמונה 3.3.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6902444" cy="530045"/>
                          </a:xfrm>
                          <a:prstGeom prst="rect">
                            <a:avLst/>
                          </a:prstGeom>
                        </pic:spPr>
                      </pic:pic>
                    </a:graphicData>
                  </a:graphic>
                </wp:inline>
              </w:drawing>
            </w:r>
          </w:p>
        </w:tc>
      </w:tr>
    </w:tbl>
    <w:p w:rsidR="004B2FF6" w:rsidP="00F9422C">
      <w:pPr>
        <w:pStyle w:val="73"/>
        <w:ind w:left="851"/>
        <w:rPr>
          <w:noProof/>
          <w:rtl/>
        </w:rPr>
      </w:pPr>
      <w:r w:rsidRPr="00084768">
        <w:rPr>
          <w:noProof/>
          <w:sz w:val="19"/>
          <w:szCs w:val="19"/>
        </w:rPr>
        <w:drawing>
          <wp:anchor distT="0" distB="0" distL="71755" distR="71755" simplePos="0" relativeHeight="251658240" behindDoc="0" locked="0" layoutInCell="1" allowOverlap="1">
            <wp:simplePos x="0" y="0"/>
            <wp:positionH relativeFrom="column">
              <wp:posOffset>5204248</wp:posOffset>
            </wp:positionH>
            <wp:positionV relativeFrom="paragraph">
              <wp:posOffset>592878</wp:posOffset>
            </wp:positionV>
            <wp:extent cx="384175" cy="384175"/>
            <wp:effectExtent l="0" t="0" r="0" b="0"/>
            <wp:wrapSquare wrapText="bothSides"/>
            <wp:docPr id="25" name="תמונה 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תמונה 3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4175" cy="38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22C" w:rsidR="00F9422C">
        <w:rPr>
          <w:rFonts w:eastAsia="Calibri"/>
          <w:color w:val="auto"/>
          <w:sz w:val="19"/>
          <w:szCs w:val="19"/>
          <w:rtl/>
        </w:rPr>
        <w:t xml:space="preserve">בחודשים דצמבר 2023 </w:t>
      </w:r>
      <w:r w:rsidRPr="00F9422C" w:rsidR="00F9422C">
        <w:rPr>
          <w:rFonts w:eastAsia="Calibri" w:hint="cs"/>
          <w:color w:val="auto"/>
          <w:sz w:val="19"/>
          <w:szCs w:val="19"/>
          <w:rtl/>
        </w:rPr>
        <w:t xml:space="preserve">עד יולי 2024 </w:t>
      </w:r>
      <w:r w:rsidRPr="00F9422C" w:rsidR="00F9422C">
        <w:rPr>
          <w:rFonts w:eastAsia="Calibri"/>
          <w:color w:val="auto"/>
          <w:sz w:val="19"/>
          <w:szCs w:val="19"/>
          <w:rtl/>
        </w:rPr>
        <w:t xml:space="preserve">בדק משרד מבקר המדינה את נושא </w:t>
      </w:r>
      <w:r w:rsidRPr="00F9422C" w:rsidR="00F9422C">
        <w:rPr>
          <w:rFonts w:eastAsia="Calibri" w:hint="cs"/>
          <w:color w:val="auto"/>
          <w:sz w:val="19"/>
          <w:szCs w:val="19"/>
          <w:rtl/>
        </w:rPr>
        <w:t xml:space="preserve">פינוי וקליטת מפוני היישובים מהדרום במלחמת חרבות ברזל. </w:t>
      </w:r>
      <w:r w:rsidRPr="00F9422C" w:rsidR="00F9422C">
        <w:rPr>
          <w:rFonts w:eastAsia="Calibri"/>
          <w:color w:val="auto"/>
          <w:sz w:val="19"/>
          <w:szCs w:val="19"/>
          <w:rtl/>
        </w:rPr>
        <w:t>הביקורת נעשתה ב</w:t>
      </w:r>
      <w:r w:rsidRPr="00F9422C" w:rsidR="00F9422C">
        <w:rPr>
          <w:rFonts w:eastAsia="Calibri" w:hint="cs"/>
          <w:color w:val="auto"/>
          <w:sz w:val="19"/>
          <w:szCs w:val="19"/>
          <w:rtl/>
        </w:rPr>
        <w:t>חמש</w:t>
      </w:r>
      <w:r w:rsidRPr="00F9422C" w:rsidR="00F9422C">
        <w:rPr>
          <w:rFonts w:eastAsia="Calibri"/>
          <w:color w:val="auto"/>
          <w:sz w:val="19"/>
          <w:szCs w:val="19"/>
          <w:rtl/>
        </w:rPr>
        <w:t xml:space="preserve"> רשויות מקומיות</w:t>
      </w:r>
      <w:r w:rsidRPr="00F9422C" w:rsidR="00F9422C">
        <w:rPr>
          <w:rFonts w:eastAsia="Calibri" w:hint="cs"/>
          <w:color w:val="auto"/>
          <w:sz w:val="19"/>
          <w:szCs w:val="19"/>
          <w:rtl/>
        </w:rPr>
        <w:t xml:space="preserve"> בדרום הארץ</w:t>
      </w:r>
      <w:r w:rsidRPr="00F9422C" w:rsidR="00F9422C">
        <w:rPr>
          <w:rFonts w:eastAsia="Calibri"/>
          <w:color w:val="auto"/>
          <w:sz w:val="19"/>
          <w:szCs w:val="19"/>
          <w:rtl/>
        </w:rPr>
        <w:t xml:space="preserve">: בעיריית </w:t>
      </w:r>
      <w:r w:rsidRPr="00F9422C" w:rsidR="00F9422C">
        <w:rPr>
          <w:rFonts w:eastAsia="Calibri" w:hint="eastAsia"/>
          <w:b/>
          <w:bCs/>
          <w:color w:val="auto"/>
          <w:sz w:val="19"/>
          <w:szCs w:val="19"/>
          <w:rtl/>
        </w:rPr>
        <w:t>אופקים</w:t>
      </w:r>
      <w:r w:rsidRPr="00F9422C" w:rsidR="00F9422C">
        <w:rPr>
          <w:rFonts w:eastAsia="Calibri"/>
          <w:color w:val="auto"/>
          <w:sz w:val="19"/>
          <w:szCs w:val="19"/>
          <w:rtl/>
        </w:rPr>
        <w:t xml:space="preserve">, בעיריית </w:t>
      </w:r>
      <w:r w:rsidRPr="00F9422C" w:rsidR="00F9422C">
        <w:rPr>
          <w:rFonts w:eastAsia="Calibri" w:hint="eastAsia"/>
          <w:b/>
          <w:bCs/>
          <w:color w:val="auto"/>
          <w:sz w:val="19"/>
          <w:szCs w:val="19"/>
          <w:rtl/>
        </w:rPr>
        <w:t>אשקלון</w:t>
      </w:r>
      <w:r w:rsidRPr="00F9422C" w:rsidR="00F9422C">
        <w:rPr>
          <w:rFonts w:eastAsia="Calibri"/>
          <w:color w:val="auto"/>
          <w:sz w:val="19"/>
          <w:szCs w:val="19"/>
          <w:rtl/>
        </w:rPr>
        <w:t xml:space="preserve">, בעיריית </w:t>
      </w:r>
      <w:r w:rsidRPr="00F9422C" w:rsidR="00F9422C">
        <w:rPr>
          <w:rFonts w:eastAsia="Calibri" w:hint="eastAsia"/>
          <w:b/>
          <w:bCs/>
          <w:color w:val="auto"/>
          <w:sz w:val="19"/>
          <w:szCs w:val="19"/>
          <w:rtl/>
        </w:rPr>
        <w:t>שדרות</w:t>
      </w:r>
      <w:r w:rsidRPr="00F9422C" w:rsidR="00F9422C">
        <w:rPr>
          <w:rFonts w:eastAsia="Calibri"/>
          <w:color w:val="auto"/>
          <w:sz w:val="19"/>
          <w:szCs w:val="19"/>
          <w:rtl/>
        </w:rPr>
        <w:t xml:space="preserve">, </w:t>
      </w:r>
      <w:r w:rsidRPr="00F9422C" w:rsidR="00F9422C">
        <w:rPr>
          <w:rFonts w:eastAsia="Calibri" w:hint="cs"/>
          <w:color w:val="auto"/>
          <w:sz w:val="19"/>
          <w:szCs w:val="19"/>
          <w:rtl/>
        </w:rPr>
        <w:t xml:space="preserve">במועצה האזורית </w:t>
      </w:r>
      <w:r w:rsidRPr="00F9422C" w:rsidR="00F9422C">
        <w:rPr>
          <w:rFonts w:eastAsia="Calibri" w:hint="eastAsia"/>
          <w:b/>
          <w:bCs/>
          <w:color w:val="auto"/>
          <w:sz w:val="19"/>
          <w:szCs w:val="19"/>
          <w:rtl/>
        </w:rPr>
        <w:t>אשכול</w:t>
      </w:r>
      <w:r w:rsidRPr="00F9422C" w:rsidR="00F9422C">
        <w:rPr>
          <w:rFonts w:eastAsia="Calibri" w:hint="cs"/>
          <w:color w:val="auto"/>
          <w:sz w:val="19"/>
          <w:szCs w:val="19"/>
          <w:rtl/>
        </w:rPr>
        <w:t xml:space="preserve"> </w:t>
      </w:r>
      <w:r w:rsidRPr="00F9422C" w:rsidR="00F9422C">
        <w:rPr>
          <w:rFonts w:eastAsia="Calibri"/>
          <w:color w:val="auto"/>
          <w:sz w:val="19"/>
          <w:szCs w:val="19"/>
          <w:rtl/>
        </w:rPr>
        <w:t xml:space="preserve">ובמועצה האזורית </w:t>
      </w:r>
      <w:r w:rsidRPr="00F9422C" w:rsidR="00F9422C">
        <w:rPr>
          <w:rFonts w:eastAsia="Calibri" w:hint="eastAsia"/>
          <w:b/>
          <w:bCs/>
          <w:color w:val="auto"/>
          <w:sz w:val="19"/>
          <w:szCs w:val="19"/>
          <w:rtl/>
        </w:rPr>
        <w:t>חוף</w:t>
      </w:r>
      <w:r w:rsidRPr="00F9422C" w:rsidR="00F9422C">
        <w:rPr>
          <w:rFonts w:eastAsia="Calibri"/>
          <w:b/>
          <w:bCs/>
          <w:color w:val="auto"/>
          <w:sz w:val="19"/>
          <w:szCs w:val="19"/>
          <w:rtl/>
        </w:rPr>
        <w:t xml:space="preserve"> </w:t>
      </w:r>
      <w:r w:rsidRPr="00F9422C" w:rsidR="00F9422C">
        <w:rPr>
          <w:rFonts w:eastAsia="Calibri" w:hint="eastAsia"/>
          <w:b/>
          <w:bCs/>
          <w:color w:val="auto"/>
          <w:sz w:val="19"/>
          <w:szCs w:val="19"/>
          <w:rtl/>
        </w:rPr>
        <w:t>אשקלון</w:t>
      </w:r>
      <w:r w:rsidRPr="00F9422C" w:rsidR="00F9422C">
        <w:rPr>
          <w:rFonts w:eastAsia="Calibri"/>
          <w:color w:val="auto"/>
          <w:sz w:val="19"/>
          <w:szCs w:val="19"/>
          <w:rtl/>
        </w:rPr>
        <w:t xml:space="preserve"> (הרשויות שנבדקו). </w:t>
      </w:r>
      <w:r w:rsidRPr="00F9422C" w:rsidR="00F9422C">
        <w:rPr>
          <w:rFonts w:eastAsia="Calibri" w:hint="cs"/>
          <w:color w:val="auto"/>
          <w:sz w:val="19"/>
          <w:szCs w:val="19"/>
          <w:rtl/>
        </w:rPr>
        <w:t>פרק זה עוסק ב</w:t>
      </w:r>
      <w:r w:rsidRPr="00F9422C" w:rsidR="00F9422C">
        <w:rPr>
          <w:rFonts w:eastAsia="Calibri"/>
          <w:color w:val="auto"/>
          <w:sz w:val="19"/>
          <w:szCs w:val="19"/>
          <w:rtl/>
        </w:rPr>
        <w:t xml:space="preserve">פינוי </w:t>
      </w:r>
      <w:r w:rsidRPr="00F9422C" w:rsidR="00F9422C">
        <w:rPr>
          <w:rFonts w:eastAsia="Calibri" w:hint="cs"/>
          <w:color w:val="auto"/>
          <w:sz w:val="19"/>
          <w:szCs w:val="19"/>
          <w:rtl/>
        </w:rPr>
        <w:t>ה</w:t>
      </w:r>
      <w:r w:rsidRPr="00F9422C" w:rsidR="00F9422C">
        <w:rPr>
          <w:rFonts w:eastAsia="Calibri"/>
          <w:color w:val="auto"/>
          <w:sz w:val="19"/>
          <w:szCs w:val="19"/>
          <w:rtl/>
        </w:rPr>
        <w:t>אוכלוסייה מרשויות מקומיות ב</w:t>
      </w:r>
      <w:r w:rsidRPr="00F9422C" w:rsidR="00F9422C">
        <w:rPr>
          <w:rFonts w:eastAsia="Calibri" w:hint="cs"/>
          <w:color w:val="auto"/>
          <w:sz w:val="19"/>
          <w:szCs w:val="19"/>
          <w:rtl/>
        </w:rPr>
        <w:t xml:space="preserve">דרום </w:t>
      </w:r>
      <w:r w:rsidRPr="00F9422C" w:rsidR="00F9422C">
        <w:rPr>
          <w:rFonts w:eastAsia="Calibri"/>
          <w:color w:val="auto"/>
          <w:sz w:val="19"/>
          <w:szCs w:val="19"/>
          <w:rtl/>
        </w:rPr>
        <w:t>הארץ והקשר עם התושבים המפונים</w:t>
      </w:r>
      <w:r w:rsidRPr="00F9422C" w:rsidR="00F9422C">
        <w:rPr>
          <w:rFonts w:eastAsia="Calibri" w:hint="cs"/>
          <w:color w:val="auto"/>
          <w:sz w:val="19"/>
          <w:szCs w:val="19"/>
          <w:rtl/>
        </w:rPr>
        <w:t>.</w:t>
      </w:r>
      <w:r w:rsidRPr="00F9422C" w:rsidR="00F9422C">
        <w:rPr>
          <w:rFonts w:eastAsia="Calibri"/>
          <w:color w:val="auto"/>
          <w:sz w:val="19"/>
          <w:szCs w:val="19"/>
          <w:rtl/>
        </w:rPr>
        <w:t xml:space="preserve"> בדיקות השלמה נעשו ברשות החירום הלאומית (רח"ל) שבמשרד הביטחון, בפיקוד העורף (פקע"ר), </w:t>
      </w:r>
      <w:r w:rsidRPr="00F9422C" w:rsidR="00F9422C">
        <w:rPr>
          <w:rFonts w:eastAsia="Calibri" w:hint="cs"/>
          <w:color w:val="auto"/>
          <w:sz w:val="19"/>
          <w:szCs w:val="19"/>
          <w:rtl/>
        </w:rPr>
        <w:t xml:space="preserve">במוסד לביטוח לאומי, </w:t>
      </w:r>
      <w:r w:rsidRPr="00F9422C" w:rsidR="00F9422C">
        <w:rPr>
          <w:rFonts w:eastAsia="Calibri"/>
          <w:color w:val="auto"/>
          <w:sz w:val="19"/>
          <w:szCs w:val="19"/>
          <w:rtl/>
        </w:rPr>
        <w:t>במשרד הפנים ובמשרד התיירות.</w:t>
      </w:r>
    </w:p>
    <w:p w:rsidR="004B2FF6" w:rsidRPr="00D3542D" w:rsidP="004B2FF6">
      <w:pPr>
        <w:pStyle w:val="73"/>
        <w:ind w:left="851"/>
        <w:rPr>
          <w:noProof/>
          <w:sz w:val="6"/>
          <w:szCs w:val="6"/>
        </w:rPr>
      </w:pPr>
    </w:p>
    <w:p w:rsidR="00AE4BB7" w:rsidRPr="006C4033" w:rsidP="004E0191">
      <w:pPr>
        <w:pStyle w:val="73"/>
        <w:ind w:left="-1"/>
        <w:rPr>
          <w:noProof/>
          <w:rtl/>
        </w:rPr>
      </w:pPr>
      <w:r w:rsidRPr="006C4033">
        <w:rPr>
          <w:noProof/>
        </w:rPr>
        <w:drawing>
          <wp:inline distT="0" distB="0" distL="0" distR="0">
            <wp:extent cx="5685790" cy="4953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קציר תמונה 2.2.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6606365" cy="575493"/>
                    </a:xfrm>
                    <a:prstGeom prst="rect">
                      <a:avLst/>
                    </a:prstGeom>
                  </pic:spPr>
                </pic:pic>
              </a:graphicData>
            </a:graphic>
          </wp:inline>
        </w:drawing>
      </w:r>
    </w:p>
    <w:p w:rsidR="00AE4BB7" w:rsidRPr="00CF6518" w:rsidP="00EE67C7">
      <w:pPr>
        <w:spacing w:before="240" w:after="160"/>
        <w:rPr>
          <w:rtl/>
        </w:rPr>
      </w:pPr>
      <w:r>
        <w:rPr>
          <w:noProof/>
          <w:rtl/>
        </w:rPr>
        <w:drawing>
          <wp:inline distT="0" distB="0" distL="0" distR="0">
            <wp:extent cx="1981200" cy="190500"/>
            <wp:effectExtent l="0" t="0" r="0" b="0"/>
            <wp:docPr id="1310143038" name="תמונה 4" descr="ליקויים">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38" name="תמונה 4" descr="ליקויים">
                      <a:extLst>
                        <a:ext xmlns:a="http://schemas.openxmlformats.org/drawingml/2006/main" uri="{C183D7F6-B498-43B3-948B-1728B52AA6E4}">
                          <adec:decorative xmlns:adec="http://schemas.microsoft.com/office/drawing/2017/decorative" val="0"/>
                        </a:ext>
                      </a:extLst>
                    </pic:cNvPr>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81200" cy="190500"/>
                    </a:xfrm>
                    <a:prstGeom prst="rect">
                      <a:avLst/>
                    </a:prstGeom>
                  </pic:spPr>
                </pic:pic>
              </a:graphicData>
            </a:graphic>
          </wp:inline>
        </w:drawing>
      </w:r>
    </w:p>
    <w:p w:rsidR="007534EA" w:rsidRPr="004A4F03" w:rsidP="00783DDB">
      <w:pPr>
        <w:pStyle w:val="73"/>
        <w:numPr>
          <w:ilvl w:val="0"/>
          <w:numId w:val="25"/>
        </w:numPr>
        <w:spacing w:after="160"/>
        <w:rPr>
          <w:b/>
          <w:bCs/>
          <w:sz w:val="19"/>
          <w:szCs w:val="19"/>
        </w:rPr>
      </w:pPr>
      <w:r w:rsidRPr="004A4F03">
        <w:rPr>
          <w:rFonts w:hint="cs"/>
          <w:b/>
          <w:bCs/>
          <w:sz w:val="19"/>
          <w:szCs w:val="19"/>
          <w:rtl/>
        </w:rPr>
        <w:t>החלטות ממשלה על פינוי יישובים והוראות הפינוי של משרד הביטחון</w:t>
      </w:r>
      <w:r w:rsidRPr="004A4F03">
        <w:rPr>
          <w:rFonts w:hint="cs"/>
          <w:sz w:val="19"/>
          <w:szCs w:val="19"/>
          <w:rtl/>
        </w:rPr>
        <w:t xml:space="preserve"> - </w:t>
      </w:r>
      <w:r w:rsidRPr="004A4F03">
        <w:rPr>
          <w:rFonts w:hint="eastAsia"/>
          <w:sz w:val="19"/>
          <w:szCs w:val="19"/>
          <w:rtl/>
        </w:rPr>
        <w:t>תושבי</w:t>
      </w:r>
      <w:r w:rsidRPr="004A4F03">
        <w:rPr>
          <w:sz w:val="19"/>
          <w:szCs w:val="19"/>
          <w:rtl/>
        </w:rPr>
        <w:t xml:space="preserve"> היישובים שבתחום המועצה האזורית </w:t>
      </w:r>
      <w:r w:rsidRPr="004A4F03">
        <w:rPr>
          <w:b/>
          <w:bCs/>
          <w:sz w:val="19"/>
          <w:szCs w:val="19"/>
          <w:rtl/>
        </w:rPr>
        <w:t>אשכול</w:t>
      </w:r>
      <w:r w:rsidRPr="004A4F03">
        <w:rPr>
          <w:sz w:val="19"/>
          <w:szCs w:val="19"/>
          <w:rtl/>
        </w:rPr>
        <w:t xml:space="preserve"> ושישה יישובי</w:t>
      </w:r>
      <w:r w:rsidRPr="004A4F03">
        <w:rPr>
          <w:sz w:val="19"/>
          <w:szCs w:val="19"/>
          <w:rtl/>
        </w:rPr>
        <w:t xml:space="preserve">ם שבתחום המועצה </w:t>
      </w:r>
      <w:r w:rsidRPr="004A4F03">
        <w:rPr>
          <w:rFonts w:hint="eastAsia"/>
          <w:sz w:val="19"/>
          <w:szCs w:val="19"/>
          <w:rtl/>
        </w:rPr>
        <w:t>האזורית</w:t>
      </w:r>
      <w:r w:rsidRPr="004A4F03">
        <w:rPr>
          <w:sz w:val="19"/>
          <w:szCs w:val="19"/>
          <w:rtl/>
        </w:rPr>
        <w:t xml:space="preserve"> </w:t>
      </w:r>
      <w:r w:rsidRPr="004A4F03">
        <w:rPr>
          <w:rFonts w:hint="eastAsia"/>
          <w:b/>
          <w:bCs/>
          <w:sz w:val="19"/>
          <w:szCs w:val="19"/>
          <w:rtl/>
        </w:rPr>
        <w:t>חוף</w:t>
      </w:r>
      <w:r w:rsidRPr="004A4F03">
        <w:rPr>
          <w:b/>
          <w:bCs/>
          <w:sz w:val="19"/>
          <w:szCs w:val="19"/>
          <w:rtl/>
        </w:rPr>
        <w:t xml:space="preserve"> אשקלון</w:t>
      </w:r>
      <w:r>
        <w:rPr>
          <w:rFonts w:hint="cs"/>
          <w:sz w:val="19"/>
          <w:szCs w:val="19"/>
          <w:rtl/>
        </w:rPr>
        <w:t>,</w:t>
      </w:r>
      <w:r w:rsidRPr="00AB2566">
        <w:rPr>
          <w:rFonts w:hint="cs"/>
          <w:sz w:val="19"/>
          <w:szCs w:val="19"/>
          <w:rtl/>
        </w:rPr>
        <w:t xml:space="preserve"> </w:t>
      </w:r>
      <w:r>
        <w:rPr>
          <w:rFonts w:hint="cs"/>
          <w:sz w:val="19"/>
          <w:szCs w:val="19"/>
          <w:rtl/>
        </w:rPr>
        <w:t>הרחוקים</w:t>
      </w:r>
      <w:r w:rsidRPr="004A4F03">
        <w:rPr>
          <w:sz w:val="19"/>
          <w:szCs w:val="19"/>
          <w:rtl/>
        </w:rPr>
        <w:t xml:space="preserve"> עד </w:t>
      </w:r>
      <w:r>
        <w:rPr>
          <w:rFonts w:hint="cs"/>
          <w:sz w:val="19"/>
          <w:szCs w:val="19"/>
          <w:rtl/>
        </w:rPr>
        <w:t>שבעה</w:t>
      </w:r>
      <w:r w:rsidRPr="004A4F03">
        <w:rPr>
          <w:sz w:val="19"/>
          <w:szCs w:val="19"/>
          <w:rtl/>
        </w:rPr>
        <w:t xml:space="preserve"> ק"מ מרצועת עזה</w:t>
      </w:r>
      <w:r>
        <w:rPr>
          <w:rFonts w:hint="cs"/>
          <w:sz w:val="19"/>
          <w:szCs w:val="19"/>
          <w:rtl/>
        </w:rPr>
        <w:t>,</w:t>
      </w:r>
      <w:r w:rsidRPr="004A4F03">
        <w:rPr>
          <w:sz w:val="19"/>
          <w:szCs w:val="19"/>
          <w:rtl/>
        </w:rPr>
        <w:t xml:space="preserve"> פונו והתפנו כבר </w:t>
      </w:r>
      <w:r w:rsidRPr="004A4F03">
        <w:rPr>
          <w:rFonts w:hint="cs"/>
          <w:sz w:val="19"/>
          <w:szCs w:val="19"/>
          <w:rtl/>
        </w:rPr>
        <w:t xml:space="preserve">ביום </w:t>
      </w:r>
      <w:r w:rsidRPr="004A4F03">
        <w:rPr>
          <w:sz w:val="19"/>
          <w:szCs w:val="19"/>
          <w:rtl/>
        </w:rPr>
        <w:t>7.10</w:t>
      </w:r>
      <w:r>
        <w:rPr>
          <w:rFonts w:hint="cs"/>
          <w:sz w:val="19"/>
          <w:szCs w:val="19"/>
          <w:rtl/>
        </w:rPr>
        <w:t>.23</w:t>
      </w:r>
      <w:r w:rsidRPr="004A4F03">
        <w:rPr>
          <w:sz w:val="19"/>
          <w:szCs w:val="19"/>
          <w:rtl/>
        </w:rPr>
        <w:t xml:space="preserve"> ובשתי היממות שלאחריו</w:t>
      </w:r>
      <w:r>
        <w:rPr>
          <w:rFonts w:hint="cs"/>
          <w:sz w:val="19"/>
          <w:szCs w:val="19"/>
          <w:rtl/>
        </w:rPr>
        <w:t xml:space="preserve"> -</w:t>
      </w:r>
      <w:r w:rsidRPr="004A4F03">
        <w:rPr>
          <w:sz w:val="19"/>
          <w:szCs w:val="19"/>
          <w:rtl/>
        </w:rPr>
        <w:t xml:space="preserve"> חלקם כפינוי דחק (תחת אש) באמצעות צה"ל וחלקם בפינוי עצמי</w:t>
      </w:r>
      <w:r w:rsidRPr="004A4F03">
        <w:rPr>
          <w:rFonts w:hint="cs"/>
          <w:sz w:val="19"/>
          <w:szCs w:val="19"/>
          <w:rtl/>
        </w:rPr>
        <w:t>,</w:t>
      </w:r>
      <w:r w:rsidRPr="004A4F03">
        <w:rPr>
          <w:sz w:val="19"/>
          <w:szCs w:val="19"/>
          <w:rtl/>
        </w:rPr>
        <w:t xml:space="preserve"> </w:t>
      </w:r>
      <w:r w:rsidRPr="004A4F03">
        <w:rPr>
          <w:rFonts w:hint="eastAsia"/>
          <w:sz w:val="19"/>
          <w:szCs w:val="19"/>
          <w:rtl/>
        </w:rPr>
        <w:t>ביוזמת</w:t>
      </w:r>
      <w:r w:rsidRPr="004A4F03">
        <w:rPr>
          <w:sz w:val="19"/>
          <w:szCs w:val="19"/>
          <w:rtl/>
        </w:rPr>
        <w:t xml:space="preserve"> </w:t>
      </w:r>
      <w:r w:rsidRPr="004A4F03">
        <w:rPr>
          <w:rFonts w:hint="eastAsia"/>
          <w:sz w:val="19"/>
          <w:szCs w:val="19"/>
          <w:rtl/>
        </w:rPr>
        <w:t>המועצ</w:t>
      </w:r>
      <w:r>
        <w:rPr>
          <w:rFonts w:hint="cs"/>
          <w:sz w:val="19"/>
          <w:szCs w:val="19"/>
          <w:rtl/>
        </w:rPr>
        <w:t>ות</w:t>
      </w:r>
      <w:r w:rsidRPr="004A4F03">
        <w:rPr>
          <w:sz w:val="19"/>
          <w:szCs w:val="19"/>
          <w:rtl/>
        </w:rPr>
        <w:t xml:space="preserve"> האזורי</w:t>
      </w:r>
      <w:r w:rsidRPr="004A4F03">
        <w:rPr>
          <w:rFonts w:hint="cs"/>
          <w:sz w:val="19"/>
          <w:szCs w:val="19"/>
          <w:rtl/>
        </w:rPr>
        <w:t>ו</w:t>
      </w:r>
      <w:r w:rsidRPr="004A4F03">
        <w:rPr>
          <w:sz w:val="19"/>
          <w:szCs w:val="19"/>
          <w:rtl/>
        </w:rPr>
        <w:t>ת או התושבים</w:t>
      </w:r>
      <w:r w:rsidRPr="004A4F03">
        <w:rPr>
          <w:rFonts w:hint="cs"/>
          <w:sz w:val="19"/>
          <w:szCs w:val="19"/>
          <w:rtl/>
        </w:rPr>
        <w:t xml:space="preserve"> עצמם</w:t>
      </w:r>
      <w:r w:rsidRPr="004A4F03">
        <w:rPr>
          <w:sz w:val="19"/>
          <w:szCs w:val="19"/>
          <w:rtl/>
        </w:rPr>
        <w:t xml:space="preserve">. תושבי </w:t>
      </w:r>
      <w:r w:rsidRPr="004A4F03">
        <w:rPr>
          <w:b/>
          <w:bCs/>
          <w:sz w:val="19"/>
          <w:szCs w:val="19"/>
          <w:rtl/>
        </w:rPr>
        <w:t>שדרות</w:t>
      </w:r>
      <w:r w:rsidRPr="004A4F03">
        <w:rPr>
          <w:sz w:val="19"/>
          <w:szCs w:val="19"/>
          <w:rtl/>
        </w:rPr>
        <w:t xml:space="preserve"> פונו בהדרגה החל </w:t>
      </w:r>
      <w:r w:rsidRPr="004A4F03">
        <w:rPr>
          <w:rFonts w:hint="cs"/>
          <w:sz w:val="19"/>
          <w:szCs w:val="19"/>
          <w:rtl/>
        </w:rPr>
        <w:t>ב-</w:t>
      </w:r>
      <w:r w:rsidRPr="004A4F03">
        <w:rPr>
          <w:sz w:val="19"/>
          <w:szCs w:val="19"/>
          <w:rtl/>
        </w:rPr>
        <w:t>10.10.23</w:t>
      </w:r>
      <w:r w:rsidRPr="004A4F03">
        <w:rPr>
          <w:sz w:val="19"/>
          <w:szCs w:val="19"/>
          <w:rtl/>
        </w:rPr>
        <w:t xml:space="preserve"> לפי ה</w:t>
      </w:r>
      <w:r w:rsidRPr="004A4F03">
        <w:rPr>
          <w:rFonts w:hint="cs"/>
          <w:sz w:val="19"/>
          <w:szCs w:val="19"/>
          <w:rtl/>
        </w:rPr>
        <w:t>וראה של משרד</w:t>
      </w:r>
      <w:r w:rsidRPr="004A4F03">
        <w:rPr>
          <w:sz w:val="19"/>
          <w:szCs w:val="19"/>
          <w:rtl/>
        </w:rPr>
        <w:t xml:space="preserve"> הביטחון.</w:t>
      </w:r>
      <w:r w:rsidRPr="004A4F03">
        <w:rPr>
          <w:rFonts w:hint="cs"/>
          <w:sz w:val="19"/>
          <w:szCs w:val="19"/>
          <w:rtl/>
        </w:rPr>
        <w:t xml:space="preserve"> הועלה כי</w:t>
      </w:r>
      <w:r w:rsidRPr="004A4F03">
        <w:rPr>
          <w:sz w:val="19"/>
          <w:szCs w:val="19"/>
          <w:rtl/>
        </w:rPr>
        <w:t xml:space="preserve"> </w:t>
      </w:r>
      <w:r w:rsidRPr="004A4F03">
        <w:rPr>
          <w:rFonts w:hint="eastAsia"/>
          <w:sz w:val="19"/>
          <w:szCs w:val="19"/>
          <w:rtl/>
        </w:rPr>
        <w:t>פינוי</w:t>
      </w:r>
      <w:r w:rsidRPr="004A4F03">
        <w:rPr>
          <w:sz w:val="19"/>
          <w:szCs w:val="19"/>
          <w:rtl/>
        </w:rPr>
        <w:t xml:space="preserve"> התושבים </w:t>
      </w:r>
      <w:r w:rsidRPr="004A4F03">
        <w:rPr>
          <w:rFonts w:hint="cs"/>
          <w:sz w:val="19"/>
          <w:szCs w:val="19"/>
          <w:rtl/>
        </w:rPr>
        <w:t xml:space="preserve">מרשויות אלה </w:t>
      </w:r>
      <w:r w:rsidRPr="004A4F03">
        <w:rPr>
          <w:rFonts w:hint="eastAsia"/>
          <w:sz w:val="19"/>
          <w:szCs w:val="19"/>
          <w:rtl/>
        </w:rPr>
        <w:t>אושר</w:t>
      </w:r>
      <w:r w:rsidRPr="004A4F03">
        <w:rPr>
          <w:rFonts w:hint="cs"/>
          <w:sz w:val="19"/>
          <w:szCs w:val="19"/>
          <w:rtl/>
        </w:rPr>
        <w:t xml:space="preserve"> רק</w:t>
      </w:r>
      <w:r w:rsidRPr="004A4F03">
        <w:rPr>
          <w:sz w:val="19"/>
          <w:szCs w:val="19"/>
          <w:rtl/>
        </w:rPr>
        <w:t xml:space="preserve"> בדיעבד בהחלטות הממשלה 950 ו-988. </w:t>
      </w:r>
      <w:r>
        <w:rPr>
          <w:rFonts w:hint="cs"/>
          <w:sz w:val="19"/>
          <w:szCs w:val="19"/>
          <w:rtl/>
        </w:rPr>
        <w:t>כמו כן ב</w:t>
      </w:r>
      <w:r w:rsidRPr="004A4F03">
        <w:rPr>
          <w:sz w:val="19"/>
          <w:szCs w:val="19"/>
          <w:rtl/>
        </w:rPr>
        <w:t>החלט</w:t>
      </w:r>
      <w:r>
        <w:rPr>
          <w:rFonts w:hint="cs"/>
          <w:sz w:val="19"/>
          <w:szCs w:val="19"/>
          <w:rtl/>
        </w:rPr>
        <w:t>ה</w:t>
      </w:r>
      <w:r w:rsidRPr="004A4F03">
        <w:rPr>
          <w:sz w:val="19"/>
          <w:szCs w:val="19"/>
          <w:rtl/>
        </w:rPr>
        <w:t xml:space="preserve"> 978 </w:t>
      </w:r>
      <w:r>
        <w:rPr>
          <w:rFonts w:hint="cs"/>
          <w:sz w:val="19"/>
          <w:szCs w:val="19"/>
          <w:rtl/>
        </w:rPr>
        <w:t>ובתיקון שנעשה לה בהחלטה</w:t>
      </w:r>
      <w:r w:rsidRPr="004A4F03">
        <w:rPr>
          <w:rFonts w:hint="cs"/>
          <w:sz w:val="19"/>
          <w:szCs w:val="19"/>
          <w:rtl/>
        </w:rPr>
        <w:t>-988</w:t>
      </w:r>
      <w:r>
        <w:rPr>
          <w:rFonts w:hint="cs"/>
          <w:sz w:val="19"/>
          <w:szCs w:val="19"/>
          <w:rtl/>
        </w:rPr>
        <w:t>,</w:t>
      </w:r>
      <w:r w:rsidRPr="004A4F03">
        <w:rPr>
          <w:rFonts w:hint="cs"/>
          <w:sz w:val="19"/>
          <w:szCs w:val="19"/>
          <w:rtl/>
        </w:rPr>
        <w:t xml:space="preserve"> </w:t>
      </w:r>
      <w:r>
        <w:rPr>
          <w:rFonts w:hint="cs"/>
          <w:sz w:val="19"/>
          <w:szCs w:val="19"/>
          <w:rtl/>
        </w:rPr>
        <w:t>הוחלט על</w:t>
      </w:r>
      <w:r w:rsidRPr="004A4F03">
        <w:rPr>
          <w:sz w:val="19"/>
          <w:szCs w:val="19"/>
          <w:rtl/>
        </w:rPr>
        <w:t xml:space="preserve"> </w:t>
      </w:r>
      <w:r w:rsidRPr="004A4F03">
        <w:rPr>
          <w:rFonts w:hint="eastAsia"/>
          <w:sz w:val="19"/>
          <w:szCs w:val="19"/>
          <w:rtl/>
        </w:rPr>
        <w:t>פינוי</w:t>
      </w:r>
      <w:r w:rsidRPr="004A4F03">
        <w:rPr>
          <w:sz w:val="19"/>
          <w:szCs w:val="19"/>
          <w:rtl/>
        </w:rPr>
        <w:t xml:space="preserve"> </w:t>
      </w:r>
      <w:r w:rsidRPr="004A4F03">
        <w:rPr>
          <w:rFonts w:hint="eastAsia"/>
          <w:sz w:val="19"/>
          <w:szCs w:val="19"/>
          <w:rtl/>
        </w:rPr>
        <w:t>תושבים</w:t>
      </w:r>
      <w:r w:rsidRPr="004A4F03">
        <w:rPr>
          <w:sz w:val="19"/>
          <w:szCs w:val="19"/>
          <w:rtl/>
        </w:rPr>
        <w:t xml:space="preserve"> </w:t>
      </w:r>
      <w:r w:rsidRPr="004A4F03">
        <w:rPr>
          <w:rFonts w:hint="eastAsia"/>
          <w:sz w:val="19"/>
          <w:szCs w:val="19"/>
          <w:rtl/>
        </w:rPr>
        <w:t>חסרי</w:t>
      </w:r>
      <w:r w:rsidRPr="004A4F03">
        <w:rPr>
          <w:sz w:val="19"/>
          <w:szCs w:val="19"/>
          <w:rtl/>
        </w:rPr>
        <w:t xml:space="preserve"> </w:t>
      </w:r>
      <w:r w:rsidRPr="004A4F03">
        <w:rPr>
          <w:rFonts w:hint="eastAsia"/>
          <w:sz w:val="19"/>
          <w:szCs w:val="19"/>
          <w:rtl/>
        </w:rPr>
        <w:t>מיגון</w:t>
      </w:r>
      <w:r w:rsidRPr="004A4F03">
        <w:rPr>
          <w:sz w:val="19"/>
          <w:szCs w:val="19"/>
          <w:rtl/>
        </w:rPr>
        <w:t xml:space="preserve"> </w:t>
      </w:r>
      <w:r w:rsidRPr="004A4F03">
        <w:rPr>
          <w:rFonts w:hint="eastAsia"/>
          <w:sz w:val="19"/>
          <w:szCs w:val="19"/>
          <w:rtl/>
        </w:rPr>
        <w:t>ואוכלוסיות</w:t>
      </w:r>
      <w:r w:rsidRPr="004A4F03">
        <w:rPr>
          <w:sz w:val="19"/>
          <w:szCs w:val="19"/>
          <w:rtl/>
        </w:rPr>
        <w:t xml:space="preserve"> </w:t>
      </w:r>
      <w:r w:rsidRPr="004A4F03">
        <w:rPr>
          <w:rFonts w:hint="eastAsia"/>
          <w:sz w:val="19"/>
          <w:szCs w:val="19"/>
          <w:rtl/>
        </w:rPr>
        <w:t>מיוחדות</w:t>
      </w:r>
      <w:r w:rsidRPr="004A4F03">
        <w:rPr>
          <w:sz w:val="19"/>
          <w:szCs w:val="19"/>
          <w:rtl/>
        </w:rPr>
        <w:t xml:space="preserve"> </w:t>
      </w:r>
      <w:r w:rsidRPr="004A4F03">
        <w:rPr>
          <w:rFonts w:hint="eastAsia"/>
          <w:sz w:val="19"/>
          <w:szCs w:val="19"/>
          <w:rtl/>
        </w:rPr>
        <w:t>מהעיר</w:t>
      </w:r>
      <w:r w:rsidRPr="004A4F03">
        <w:rPr>
          <w:sz w:val="19"/>
          <w:szCs w:val="19"/>
          <w:rtl/>
        </w:rPr>
        <w:t xml:space="preserve"> </w:t>
      </w:r>
      <w:r w:rsidRPr="004A4F03">
        <w:rPr>
          <w:rFonts w:hint="eastAsia"/>
          <w:b/>
          <w:bCs/>
          <w:sz w:val="19"/>
          <w:szCs w:val="19"/>
          <w:rtl/>
        </w:rPr>
        <w:t>אשקלון</w:t>
      </w:r>
      <w:r w:rsidRPr="004A4F03">
        <w:rPr>
          <w:rFonts w:hint="cs"/>
          <w:sz w:val="19"/>
          <w:szCs w:val="19"/>
          <w:rtl/>
        </w:rPr>
        <w:t xml:space="preserve"> לריענון בבתי מלון עם מתן אפשרות לזכאים, </w:t>
      </w:r>
      <w:r w:rsidRPr="004A4F03">
        <w:rPr>
          <w:rFonts w:hint="cs"/>
          <w:sz w:val="19"/>
          <w:szCs w:val="19"/>
          <w:rtl/>
        </w:rPr>
        <w:t>המעוניינים בכך, ל</w:t>
      </w:r>
      <w:r w:rsidRPr="004A4F03">
        <w:rPr>
          <w:sz w:val="19"/>
          <w:szCs w:val="19"/>
          <w:rtl/>
        </w:rPr>
        <w:t>היקלט באופן עצמאי בכל מסגרת אחרת</w:t>
      </w:r>
      <w:r w:rsidRPr="004A4F03">
        <w:rPr>
          <w:rFonts w:hint="cs"/>
          <w:sz w:val="19"/>
          <w:szCs w:val="19"/>
          <w:rtl/>
        </w:rPr>
        <w:t xml:space="preserve"> </w:t>
      </w:r>
      <w:r w:rsidRPr="004A4F03">
        <w:rPr>
          <w:rFonts w:hint="eastAsia"/>
          <w:sz w:val="19"/>
          <w:szCs w:val="19"/>
          <w:rtl/>
        </w:rPr>
        <w:t>ולקבל</w:t>
      </w:r>
      <w:r w:rsidRPr="004A4F03">
        <w:rPr>
          <w:sz w:val="19"/>
          <w:szCs w:val="19"/>
          <w:rtl/>
        </w:rPr>
        <w:t xml:space="preserve"> </w:t>
      </w:r>
      <w:r w:rsidRPr="004A4F03">
        <w:rPr>
          <w:rFonts w:hint="eastAsia"/>
          <w:sz w:val="19"/>
          <w:szCs w:val="19"/>
          <w:rtl/>
        </w:rPr>
        <w:t>מענק</w:t>
      </w:r>
      <w:r w:rsidRPr="004A4F03">
        <w:rPr>
          <w:sz w:val="19"/>
          <w:szCs w:val="19"/>
          <w:rtl/>
        </w:rPr>
        <w:t xml:space="preserve"> </w:t>
      </w:r>
      <w:r w:rsidRPr="004A4F03">
        <w:rPr>
          <w:rFonts w:hint="eastAsia"/>
          <w:sz w:val="19"/>
          <w:szCs w:val="19"/>
          <w:rtl/>
        </w:rPr>
        <w:t>אכלוס</w:t>
      </w:r>
      <w:r w:rsidRPr="004A4F03">
        <w:rPr>
          <w:sz w:val="19"/>
          <w:szCs w:val="19"/>
          <w:rtl/>
        </w:rPr>
        <w:t>. בשל מחסור בחדרי מלון ו</w:t>
      </w:r>
      <w:r w:rsidRPr="004A4F03">
        <w:rPr>
          <w:rFonts w:hint="eastAsia"/>
          <w:sz w:val="19"/>
          <w:szCs w:val="19"/>
          <w:rtl/>
        </w:rPr>
        <w:t>ב</w:t>
      </w:r>
      <w:r w:rsidRPr="004A4F03">
        <w:rPr>
          <w:sz w:val="19"/>
          <w:szCs w:val="19"/>
          <w:rtl/>
        </w:rPr>
        <w:t xml:space="preserve">מתקני אירוח </w:t>
      </w:r>
      <w:r w:rsidRPr="004A4F03">
        <w:rPr>
          <w:rFonts w:hint="cs"/>
          <w:sz w:val="19"/>
          <w:szCs w:val="19"/>
          <w:rtl/>
        </w:rPr>
        <w:t>ו</w:t>
      </w:r>
      <w:r w:rsidRPr="004A4F03">
        <w:rPr>
          <w:sz w:val="19"/>
          <w:szCs w:val="19"/>
          <w:rtl/>
        </w:rPr>
        <w:t>עקב מתן עדיפות לפינוי אוכלוסייה מגזרת הצפון, ו</w:t>
      </w:r>
      <w:r>
        <w:rPr>
          <w:rFonts w:hint="cs"/>
          <w:sz w:val="19"/>
          <w:szCs w:val="19"/>
          <w:rtl/>
        </w:rPr>
        <w:t xml:space="preserve">כן </w:t>
      </w:r>
      <w:r w:rsidRPr="004A4F03">
        <w:rPr>
          <w:rFonts w:hint="eastAsia"/>
          <w:sz w:val="19"/>
          <w:szCs w:val="19"/>
          <w:rtl/>
        </w:rPr>
        <w:t>בשל</w:t>
      </w:r>
      <w:r w:rsidRPr="004A4F03">
        <w:rPr>
          <w:sz w:val="19"/>
          <w:szCs w:val="19"/>
          <w:rtl/>
        </w:rPr>
        <w:t xml:space="preserve"> </w:t>
      </w:r>
      <w:r w:rsidRPr="004A4F03">
        <w:rPr>
          <w:rFonts w:hint="eastAsia"/>
          <w:sz w:val="19"/>
          <w:szCs w:val="19"/>
          <w:rtl/>
        </w:rPr>
        <w:t>האפשרות</w:t>
      </w:r>
      <w:r w:rsidRPr="004A4F03">
        <w:rPr>
          <w:sz w:val="19"/>
          <w:szCs w:val="19"/>
          <w:rtl/>
        </w:rPr>
        <w:t xml:space="preserve"> </w:t>
      </w:r>
      <w:r w:rsidRPr="004A4F03">
        <w:rPr>
          <w:rFonts w:hint="eastAsia"/>
          <w:sz w:val="19"/>
          <w:szCs w:val="19"/>
          <w:rtl/>
        </w:rPr>
        <w:t>לקבלת</w:t>
      </w:r>
      <w:r w:rsidRPr="004A4F03">
        <w:rPr>
          <w:sz w:val="19"/>
          <w:szCs w:val="19"/>
          <w:rtl/>
        </w:rPr>
        <w:t xml:space="preserve"> </w:t>
      </w:r>
      <w:r w:rsidRPr="004A4F03">
        <w:rPr>
          <w:rFonts w:hint="eastAsia"/>
          <w:sz w:val="19"/>
          <w:szCs w:val="19"/>
          <w:rtl/>
        </w:rPr>
        <w:t>מענק</w:t>
      </w:r>
      <w:r w:rsidRPr="004A4F03">
        <w:rPr>
          <w:sz w:val="19"/>
          <w:szCs w:val="19"/>
          <w:rtl/>
        </w:rPr>
        <w:t xml:space="preserve"> </w:t>
      </w:r>
      <w:r w:rsidRPr="004A4F03">
        <w:rPr>
          <w:rFonts w:hint="eastAsia"/>
          <w:sz w:val="19"/>
          <w:szCs w:val="19"/>
          <w:rtl/>
        </w:rPr>
        <w:t>אכלוס</w:t>
      </w:r>
      <w:r w:rsidRPr="004A4F03">
        <w:rPr>
          <w:sz w:val="19"/>
          <w:szCs w:val="19"/>
          <w:rtl/>
        </w:rPr>
        <w:t>, רק מיעוט מ</w:t>
      </w:r>
      <w:r w:rsidRPr="00C57871">
        <w:rPr>
          <w:sz w:val="19"/>
          <w:szCs w:val="19"/>
          <w:rtl/>
        </w:rPr>
        <w:t>תושבי אשקלון</w:t>
      </w:r>
      <w:r w:rsidRPr="004A4F03">
        <w:rPr>
          <w:rFonts w:hint="cs"/>
          <w:sz w:val="19"/>
          <w:szCs w:val="19"/>
          <w:rtl/>
        </w:rPr>
        <w:t xml:space="preserve"> הזכאים </w:t>
      </w:r>
      <w:r w:rsidRPr="004A4F03">
        <w:rPr>
          <w:sz w:val="19"/>
          <w:szCs w:val="19"/>
          <w:rtl/>
        </w:rPr>
        <w:t xml:space="preserve">(כ-5%) פונה בסופו של דבר </w:t>
      </w:r>
      <w:r w:rsidRPr="004A4F03">
        <w:rPr>
          <w:rFonts w:hint="eastAsia"/>
          <w:sz w:val="19"/>
          <w:szCs w:val="19"/>
          <w:rtl/>
        </w:rPr>
        <w:t>למת</w:t>
      </w:r>
      <w:r>
        <w:rPr>
          <w:rFonts w:hint="cs"/>
          <w:sz w:val="19"/>
          <w:szCs w:val="19"/>
          <w:rtl/>
        </w:rPr>
        <w:t xml:space="preserve">קני אירוח </w:t>
      </w:r>
      <w:r w:rsidRPr="00C57871">
        <w:rPr>
          <w:sz w:val="19"/>
          <w:szCs w:val="19"/>
          <w:rtl/>
        </w:rPr>
        <w:t xml:space="preserve">ורוב הזכאים לפינוי קיבלו מענק אכלוס. לעירייה </w:t>
      </w:r>
      <w:r w:rsidRPr="004A4F03">
        <w:rPr>
          <w:sz w:val="19"/>
          <w:szCs w:val="19"/>
          <w:rtl/>
        </w:rPr>
        <w:t>לא היו נתונים לגבי מק</w:t>
      </w:r>
      <w:r w:rsidRPr="004A4F03">
        <w:rPr>
          <w:rFonts w:hint="eastAsia"/>
          <w:sz w:val="19"/>
          <w:szCs w:val="19"/>
          <w:rtl/>
        </w:rPr>
        <w:t>ום</w:t>
      </w:r>
      <w:r w:rsidRPr="004A4F03">
        <w:rPr>
          <w:sz w:val="19"/>
          <w:szCs w:val="19"/>
          <w:rtl/>
        </w:rPr>
        <w:t xml:space="preserve"> </w:t>
      </w:r>
      <w:r w:rsidRPr="004A4F03">
        <w:rPr>
          <w:rFonts w:hint="eastAsia"/>
          <w:sz w:val="19"/>
          <w:szCs w:val="19"/>
          <w:rtl/>
        </w:rPr>
        <w:t>הימצאם</w:t>
      </w:r>
      <w:r w:rsidRPr="004A4F03">
        <w:rPr>
          <w:sz w:val="19"/>
          <w:szCs w:val="19"/>
          <w:rtl/>
        </w:rPr>
        <w:t xml:space="preserve"> של שאר הזכאים לפינוי מהעיר </w:t>
      </w:r>
      <w:r w:rsidRPr="004A4F03">
        <w:rPr>
          <w:rFonts w:hint="eastAsia"/>
          <w:sz w:val="19"/>
          <w:szCs w:val="19"/>
          <w:rtl/>
        </w:rPr>
        <w:t>ואם</w:t>
      </w:r>
      <w:r w:rsidRPr="004A4F03">
        <w:rPr>
          <w:sz w:val="19"/>
          <w:szCs w:val="19"/>
          <w:rtl/>
        </w:rPr>
        <w:t xml:space="preserve"> התפנו בפועל מהעיר. </w:t>
      </w:r>
      <w:r w:rsidRPr="004A4F03">
        <w:rPr>
          <w:rFonts w:hint="cs"/>
          <w:sz w:val="19"/>
          <w:szCs w:val="19"/>
          <w:rtl/>
        </w:rPr>
        <w:t xml:space="preserve">החלטות הממשלה והוראות הפינוי של משרד הביטחון לא כללו הנחיות אופרטיביות או מידע בנושאים כגון יעדי הקליטה ואנשי קשר ברשויות הקולטות </w:t>
      </w:r>
      <w:r w:rsidRPr="004A4F03">
        <w:rPr>
          <w:rFonts w:hint="cs"/>
          <w:sz w:val="19"/>
          <w:szCs w:val="19"/>
          <w:rtl/>
        </w:rPr>
        <w:t>ובשלטון המרכזי.</w:t>
      </w:r>
    </w:p>
    <w:p w:rsidR="007534EA" w:rsidRPr="00FE12E8" w:rsidP="00783DDB">
      <w:pPr>
        <w:pStyle w:val="73"/>
        <w:numPr>
          <w:ilvl w:val="0"/>
          <w:numId w:val="25"/>
        </w:numPr>
        <w:spacing w:after="160"/>
        <w:rPr>
          <w:sz w:val="19"/>
          <w:szCs w:val="19"/>
        </w:rPr>
      </w:pPr>
      <w:r w:rsidRPr="00FE12E8">
        <w:rPr>
          <w:rFonts w:hint="eastAsia"/>
          <w:b/>
          <w:bCs/>
          <w:sz w:val="19"/>
          <w:szCs w:val="19"/>
          <w:rtl/>
        </w:rPr>
        <w:t>פיזור</w:t>
      </w:r>
      <w:r w:rsidRPr="00FE12E8">
        <w:rPr>
          <w:b/>
          <w:bCs/>
          <w:sz w:val="19"/>
          <w:szCs w:val="19"/>
          <w:rtl/>
        </w:rPr>
        <w:t xml:space="preserve"> </w:t>
      </w:r>
      <w:r w:rsidRPr="00FE12E8">
        <w:rPr>
          <w:rFonts w:hint="eastAsia"/>
          <w:b/>
          <w:bCs/>
          <w:sz w:val="19"/>
          <w:szCs w:val="19"/>
          <w:rtl/>
        </w:rPr>
        <w:t>המפונים</w:t>
      </w:r>
      <w:r w:rsidRPr="00FE12E8">
        <w:rPr>
          <w:b/>
          <w:bCs/>
          <w:sz w:val="19"/>
          <w:szCs w:val="19"/>
          <w:rtl/>
        </w:rPr>
        <w:t xml:space="preserve"> </w:t>
      </w:r>
      <w:r w:rsidRPr="00FE12E8">
        <w:rPr>
          <w:rFonts w:hint="eastAsia"/>
          <w:b/>
          <w:bCs/>
          <w:sz w:val="19"/>
          <w:szCs w:val="19"/>
          <w:rtl/>
        </w:rPr>
        <w:t>בין</w:t>
      </w:r>
      <w:r w:rsidRPr="00FE12E8">
        <w:rPr>
          <w:b/>
          <w:bCs/>
          <w:sz w:val="19"/>
          <w:szCs w:val="19"/>
          <w:rtl/>
        </w:rPr>
        <w:t xml:space="preserve"> </w:t>
      </w:r>
      <w:r w:rsidRPr="00FE12E8">
        <w:rPr>
          <w:rFonts w:hint="eastAsia"/>
          <w:b/>
          <w:bCs/>
          <w:sz w:val="19"/>
          <w:szCs w:val="19"/>
          <w:rtl/>
        </w:rPr>
        <w:t>אתרי</w:t>
      </w:r>
      <w:r w:rsidRPr="00FE12E8">
        <w:rPr>
          <w:b/>
          <w:bCs/>
          <w:sz w:val="19"/>
          <w:szCs w:val="19"/>
          <w:rtl/>
        </w:rPr>
        <w:t xml:space="preserve"> </w:t>
      </w:r>
      <w:r w:rsidRPr="00FE12E8">
        <w:rPr>
          <w:rFonts w:hint="eastAsia"/>
          <w:b/>
          <w:bCs/>
          <w:sz w:val="19"/>
          <w:szCs w:val="19"/>
          <w:rtl/>
        </w:rPr>
        <w:t>קליטה</w:t>
      </w:r>
      <w:r w:rsidRPr="00FE12E8">
        <w:rPr>
          <w:b/>
          <w:bCs/>
          <w:sz w:val="19"/>
          <w:szCs w:val="19"/>
          <w:rtl/>
        </w:rPr>
        <w:t xml:space="preserve"> </w:t>
      </w:r>
      <w:r w:rsidRPr="00FE12E8">
        <w:rPr>
          <w:rFonts w:hint="eastAsia"/>
          <w:b/>
          <w:bCs/>
          <w:sz w:val="19"/>
          <w:szCs w:val="19"/>
          <w:rtl/>
        </w:rPr>
        <w:t>שונים</w:t>
      </w:r>
      <w:r w:rsidRPr="00FE12E8">
        <w:rPr>
          <w:b/>
          <w:bCs/>
          <w:sz w:val="19"/>
          <w:szCs w:val="19"/>
          <w:rtl/>
        </w:rPr>
        <w:t xml:space="preserve"> </w:t>
      </w:r>
      <w:r w:rsidRPr="00FE12E8">
        <w:rPr>
          <w:sz w:val="19"/>
          <w:szCs w:val="19"/>
          <w:rtl/>
        </w:rPr>
        <w:t xml:space="preserve">- </w:t>
      </w:r>
      <w:r w:rsidRPr="00FE12E8">
        <w:rPr>
          <w:rFonts w:hint="eastAsia"/>
          <w:sz w:val="19"/>
          <w:szCs w:val="19"/>
          <w:rtl/>
        </w:rPr>
        <w:t>תושבי</w:t>
      </w:r>
      <w:r w:rsidRPr="00FE12E8">
        <w:rPr>
          <w:sz w:val="19"/>
          <w:szCs w:val="19"/>
          <w:rtl/>
        </w:rPr>
        <w:t xml:space="preserve"> </w:t>
      </w:r>
      <w:r w:rsidRPr="00FE12E8">
        <w:rPr>
          <w:rFonts w:hint="eastAsia"/>
          <w:sz w:val="19"/>
          <w:szCs w:val="19"/>
          <w:rtl/>
        </w:rPr>
        <w:t>עיריות</w:t>
      </w:r>
      <w:r w:rsidRPr="00FE12E8">
        <w:rPr>
          <w:sz w:val="19"/>
          <w:szCs w:val="19"/>
          <w:rtl/>
        </w:rPr>
        <w:t xml:space="preserve"> </w:t>
      </w:r>
      <w:r w:rsidRPr="00FE12E8">
        <w:rPr>
          <w:rFonts w:hint="eastAsia"/>
          <w:b/>
          <w:bCs/>
          <w:sz w:val="19"/>
          <w:szCs w:val="19"/>
          <w:rtl/>
        </w:rPr>
        <w:t>אשקלון</w:t>
      </w:r>
      <w:r w:rsidRPr="00FE12E8">
        <w:rPr>
          <w:sz w:val="19"/>
          <w:szCs w:val="19"/>
          <w:rtl/>
        </w:rPr>
        <w:t xml:space="preserve"> </w:t>
      </w:r>
      <w:r w:rsidRPr="00FE12E8">
        <w:rPr>
          <w:rFonts w:hint="eastAsia"/>
          <w:sz w:val="19"/>
          <w:szCs w:val="19"/>
          <w:rtl/>
        </w:rPr>
        <w:t>ו</w:t>
      </w:r>
      <w:r w:rsidRPr="00FE12E8">
        <w:rPr>
          <w:rFonts w:hint="eastAsia"/>
          <w:b/>
          <w:bCs/>
          <w:sz w:val="19"/>
          <w:szCs w:val="19"/>
          <w:rtl/>
        </w:rPr>
        <w:t>שדרות</w:t>
      </w:r>
      <w:r w:rsidRPr="00FE12E8">
        <w:rPr>
          <w:sz w:val="19"/>
          <w:szCs w:val="19"/>
          <w:rtl/>
        </w:rPr>
        <w:t xml:space="preserve"> </w:t>
      </w:r>
      <w:r w:rsidRPr="00FE12E8">
        <w:rPr>
          <w:rFonts w:hint="eastAsia"/>
          <w:sz w:val="19"/>
          <w:szCs w:val="19"/>
          <w:rtl/>
        </w:rPr>
        <w:t>והמועצות</w:t>
      </w:r>
      <w:r w:rsidRPr="00FE12E8">
        <w:rPr>
          <w:sz w:val="19"/>
          <w:szCs w:val="19"/>
          <w:rtl/>
        </w:rPr>
        <w:t xml:space="preserve"> האזוריות </w:t>
      </w:r>
      <w:r w:rsidRPr="00FE12E8">
        <w:rPr>
          <w:rFonts w:hint="eastAsia"/>
          <w:b/>
          <w:bCs/>
          <w:sz w:val="19"/>
          <w:szCs w:val="19"/>
          <w:rtl/>
        </w:rPr>
        <w:t>אשכול</w:t>
      </w:r>
      <w:r w:rsidRPr="00FE12E8">
        <w:rPr>
          <w:b/>
          <w:bCs/>
          <w:sz w:val="19"/>
          <w:szCs w:val="19"/>
          <w:rtl/>
        </w:rPr>
        <w:t xml:space="preserve"> </w:t>
      </w:r>
      <w:r w:rsidRPr="00FE12E8">
        <w:rPr>
          <w:rFonts w:hint="eastAsia"/>
          <w:sz w:val="19"/>
          <w:szCs w:val="19"/>
          <w:rtl/>
        </w:rPr>
        <w:t>ו</w:t>
      </w:r>
      <w:r w:rsidRPr="00FE12E8">
        <w:rPr>
          <w:rFonts w:hint="eastAsia"/>
          <w:b/>
          <w:bCs/>
          <w:sz w:val="19"/>
          <w:szCs w:val="19"/>
          <w:rtl/>
        </w:rPr>
        <w:t>חוף</w:t>
      </w:r>
      <w:r w:rsidRPr="00FE12E8">
        <w:rPr>
          <w:b/>
          <w:bCs/>
          <w:sz w:val="19"/>
          <w:szCs w:val="19"/>
          <w:rtl/>
        </w:rPr>
        <w:t xml:space="preserve"> </w:t>
      </w:r>
      <w:r w:rsidRPr="00FE12E8">
        <w:rPr>
          <w:rFonts w:hint="eastAsia"/>
          <w:b/>
          <w:bCs/>
          <w:sz w:val="19"/>
          <w:szCs w:val="19"/>
          <w:rtl/>
        </w:rPr>
        <w:t>אשקלון</w:t>
      </w:r>
      <w:r w:rsidRPr="00FE12E8">
        <w:rPr>
          <w:sz w:val="19"/>
          <w:szCs w:val="19"/>
          <w:rtl/>
        </w:rPr>
        <w:t xml:space="preserve"> שפונו </w:t>
      </w:r>
      <w:r w:rsidRPr="00FE12E8">
        <w:rPr>
          <w:rFonts w:hint="cs"/>
          <w:sz w:val="19"/>
          <w:szCs w:val="19"/>
          <w:rtl/>
        </w:rPr>
        <w:t>היו מפוזרים</w:t>
      </w:r>
      <w:r w:rsidRPr="00FE12E8">
        <w:rPr>
          <w:sz w:val="19"/>
          <w:szCs w:val="19"/>
          <w:rtl/>
        </w:rPr>
        <w:t xml:space="preserve"> ב</w:t>
      </w:r>
      <w:r w:rsidRPr="00FE12E8">
        <w:rPr>
          <w:rFonts w:hint="cs"/>
          <w:sz w:val="19"/>
          <w:szCs w:val="19"/>
          <w:rtl/>
        </w:rPr>
        <w:t>מתקני אירוח</w:t>
      </w:r>
      <w:r w:rsidRPr="00FE12E8">
        <w:rPr>
          <w:sz w:val="19"/>
          <w:szCs w:val="19"/>
          <w:rtl/>
        </w:rPr>
        <w:t xml:space="preserve"> </w:t>
      </w:r>
      <w:r w:rsidRPr="00FE12E8">
        <w:rPr>
          <w:rFonts w:hint="eastAsia"/>
          <w:sz w:val="19"/>
          <w:szCs w:val="19"/>
          <w:rtl/>
        </w:rPr>
        <w:t>רבים</w:t>
      </w:r>
      <w:r w:rsidRPr="00FE12E8">
        <w:rPr>
          <w:rFonts w:hint="cs"/>
          <w:sz w:val="19"/>
          <w:szCs w:val="19"/>
          <w:rtl/>
        </w:rPr>
        <w:t xml:space="preserve"> </w:t>
      </w:r>
      <w:r w:rsidRPr="00FE12E8">
        <w:rPr>
          <w:rFonts w:hint="eastAsia"/>
          <w:sz w:val="19"/>
          <w:szCs w:val="19"/>
          <w:rtl/>
        </w:rPr>
        <w:t>בכל</w:t>
      </w:r>
      <w:r w:rsidRPr="00FE12E8">
        <w:rPr>
          <w:sz w:val="19"/>
          <w:szCs w:val="19"/>
          <w:rtl/>
        </w:rPr>
        <w:t xml:space="preserve"> </w:t>
      </w:r>
      <w:r w:rsidRPr="00FE12E8">
        <w:rPr>
          <w:rFonts w:hint="eastAsia"/>
          <w:sz w:val="19"/>
          <w:szCs w:val="19"/>
          <w:rtl/>
        </w:rPr>
        <w:t>חלקי</w:t>
      </w:r>
      <w:r w:rsidRPr="00FE12E8">
        <w:rPr>
          <w:sz w:val="19"/>
          <w:szCs w:val="19"/>
          <w:rtl/>
        </w:rPr>
        <w:t xml:space="preserve"> </w:t>
      </w:r>
      <w:r w:rsidRPr="00FE12E8">
        <w:rPr>
          <w:rFonts w:hint="eastAsia"/>
          <w:sz w:val="19"/>
          <w:szCs w:val="19"/>
          <w:rtl/>
        </w:rPr>
        <w:t>הארץ</w:t>
      </w:r>
      <w:r w:rsidRPr="00FE12E8">
        <w:rPr>
          <w:rFonts w:hint="cs"/>
          <w:sz w:val="19"/>
          <w:szCs w:val="19"/>
          <w:rtl/>
        </w:rPr>
        <w:t xml:space="preserve"> </w:t>
      </w:r>
      <w:r w:rsidRPr="00FE12E8">
        <w:rPr>
          <w:sz w:val="19"/>
          <w:szCs w:val="19"/>
          <w:rtl/>
        </w:rPr>
        <w:t xml:space="preserve">- תושבי </w:t>
      </w:r>
      <w:r w:rsidRPr="00FE12E8">
        <w:rPr>
          <w:rFonts w:hint="eastAsia"/>
          <w:b/>
          <w:bCs/>
          <w:sz w:val="19"/>
          <w:szCs w:val="19"/>
          <w:rtl/>
        </w:rPr>
        <w:t>אשקלון</w:t>
      </w:r>
      <w:r w:rsidRPr="00FE12E8">
        <w:rPr>
          <w:sz w:val="19"/>
          <w:szCs w:val="19"/>
          <w:rtl/>
        </w:rPr>
        <w:t xml:space="preserve"> פונו לכ-100 </w:t>
      </w:r>
      <w:r w:rsidRPr="00FE12E8">
        <w:rPr>
          <w:rFonts w:hint="cs"/>
          <w:sz w:val="19"/>
          <w:szCs w:val="19"/>
          <w:rtl/>
        </w:rPr>
        <w:t>מתקני אירוח</w:t>
      </w:r>
      <w:r w:rsidRPr="00FE12E8">
        <w:rPr>
          <w:sz w:val="19"/>
          <w:szCs w:val="19"/>
          <w:rtl/>
        </w:rPr>
        <w:t xml:space="preserve">; תושבי </w:t>
      </w:r>
      <w:r w:rsidRPr="00FE12E8">
        <w:rPr>
          <w:rFonts w:hint="eastAsia"/>
          <w:b/>
          <w:bCs/>
          <w:sz w:val="19"/>
          <w:szCs w:val="19"/>
          <w:rtl/>
        </w:rPr>
        <w:t>שדרות</w:t>
      </w:r>
      <w:r w:rsidRPr="00FE12E8">
        <w:rPr>
          <w:sz w:val="19"/>
          <w:szCs w:val="19"/>
          <w:rtl/>
        </w:rPr>
        <w:t xml:space="preserve"> פונו ל-165 </w:t>
      </w:r>
      <w:r w:rsidRPr="00FE12E8">
        <w:rPr>
          <w:rFonts w:hint="cs"/>
          <w:sz w:val="19"/>
          <w:szCs w:val="19"/>
          <w:rtl/>
        </w:rPr>
        <w:t>מתקני אירוח</w:t>
      </w:r>
      <w:r w:rsidRPr="00FE12E8">
        <w:rPr>
          <w:sz w:val="19"/>
          <w:szCs w:val="19"/>
          <w:rtl/>
        </w:rPr>
        <w:t xml:space="preserve">; תושבי </w:t>
      </w:r>
      <w:r w:rsidRPr="00FE12E8">
        <w:rPr>
          <w:rFonts w:hint="eastAsia"/>
          <w:b/>
          <w:bCs/>
          <w:sz w:val="19"/>
          <w:szCs w:val="19"/>
          <w:rtl/>
        </w:rPr>
        <w:t>אשכול</w:t>
      </w:r>
      <w:r w:rsidRPr="00FE12E8">
        <w:rPr>
          <w:sz w:val="19"/>
          <w:szCs w:val="19"/>
          <w:rtl/>
        </w:rPr>
        <w:t xml:space="preserve"> פונו ל-36 </w:t>
      </w:r>
      <w:r w:rsidRPr="00FE12E8">
        <w:rPr>
          <w:rFonts w:hint="cs"/>
          <w:sz w:val="19"/>
          <w:szCs w:val="19"/>
          <w:rtl/>
        </w:rPr>
        <w:t>מתקני אירוח</w:t>
      </w:r>
      <w:r w:rsidRPr="00FE12E8">
        <w:rPr>
          <w:sz w:val="19"/>
          <w:szCs w:val="19"/>
          <w:rtl/>
        </w:rPr>
        <w:t xml:space="preserve">; תושבי </w:t>
      </w:r>
      <w:r w:rsidRPr="00FE12E8">
        <w:rPr>
          <w:rFonts w:hint="eastAsia"/>
          <w:b/>
          <w:bCs/>
          <w:sz w:val="19"/>
          <w:szCs w:val="19"/>
          <w:rtl/>
        </w:rPr>
        <w:t>חוף</w:t>
      </w:r>
      <w:r w:rsidRPr="00FE12E8">
        <w:rPr>
          <w:b/>
          <w:bCs/>
          <w:sz w:val="19"/>
          <w:szCs w:val="19"/>
          <w:rtl/>
        </w:rPr>
        <w:t xml:space="preserve"> </w:t>
      </w:r>
      <w:r w:rsidRPr="00FE12E8">
        <w:rPr>
          <w:rFonts w:hint="eastAsia"/>
          <w:b/>
          <w:bCs/>
          <w:sz w:val="19"/>
          <w:szCs w:val="19"/>
          <w:rtl/>
        </w:rPr>
        <w:t>אשקלון</w:t>
      </w:r>
      <w:r w:rsidRPr="00FE12E8">
        <w:rPr>
          <w:sz w:val="19"/>
          <w:szCs w:val="19"/>
          <w:rtl/>
        </w:rPr>
        <w:t xml:space="preserve"> פונו ל-38 </w:t>
      </w:r>
      <w:r w:rsidRPr="00FE12E8">
        <w:rPr>
          <w:rFonts w:hint="cs"/>
          <w:sz w:val="19"/>
          <w:szCs w:val="19"/>
          <w:rtl/>
        </w:rPr>
        <w:t>מתקני אירוח.</w:t>
      </w:r>
      <w:r w:rsidRPr="00FE12E8">
        <w:rPr>
          <w:sz w:val="19"/>
          <w:szCs w:val="19"/>
          <w:rtl/>
        </w:rPr>
        <w:t xml:space="preserve"> </w:t>
      </w:r>
      <w:r w:rsidRPr="00FE12E8">
        <w:rPr>
          <w:rFonts w:hint="eastAsia"/>
          <w:sz w:val="19"/>
          <w:szCs w:val="19"/>
          <w:rtl/>
        </w:rPr>
        <w:t>זאת</w:t>
      </w:r>
      <w:r w:rsidRPr="00F91BE9">
        <w:rPr>
          <w:rtl/>
        </w:rPr>
        <w:t xml:space="preserve"> </w:t>
      </w:r>
      <w:r w:rsidRPr="00FE12E8">
        <w:rPr>
          <w:sz w:val="19"/>
          <w:szCs w:val="19"/>
          <w:rtl/>
        </w:rPr>
        <w:t>מבלי שהיו לרשויות המפונות יעדי קליטה קבועים וידועים מראש לכלל הישובים שפונו במלחמה. פיזור</w:t>
      </w:r>
      <w:r w:rsidRPr="00FE12E8">
        <w:rPr>
          <w:rFonts w:hint="cs"/>
          <w:sz w:val="19"/>
          <w:szCs w:val="19"/>
          <w:rtl/>
        </w:rPr>
        <w:t xml:space="preserve"> </w:t>
      </w:r>
      <w:r w:rsidRPr="00FE12E8">
        <w:rPr>
          <w:sz w:val="19"/>
          <w:szCs w:val="19"/>
          <w:rtl/>
        </w:rPr>
        <w:t xml:space="preserve">תושבי הרשויות המקומיות המפונות </w:t>
      </w:r>
      <w:r w:rsidRPr="00FE12E8">
        <w:rPr>
          <w:rFonts w:hint="cs"/>
          <w:sz w:val="19"/>
          <w:szCs w:val="19"/>
          <w:rtl/>
        </w:rPr>
        <w:t xml:space="preserve">שנבדקו </w:t>
      </w:r>
      <w:r w:rsidRPr="00FE12E8">
        <w:rPr>
          <w:sz w:val="19"/>
          <w:szCs w:val="19"/>
          <w:rtl/>
        </w:rPr>
        <w:t xml:space="preserve">בין מתקני אירוח </w:t>
      </w:r>
      <w:r w:rsidRPr="00FE12E8">
        <w:rPr>
          <w:sz w:val="19"/>
          <w:szCs w:val="19"/>
          <w:rtl/>
        </w:rPr>
        <w:t>רבים ואף בין רשויות קולטות שונות</w:t>
      </w:r>
      <w:r w:rsidRPr="00FE12E8">
        <w:rPr>
          <w:rFonts w:hint="cs"/>
          <w:sz w:val="19"/>
          <w:szCs w:val="19"/>
          <w:rtl/>
        </w:rPr>
        <w:t>,</w:t>
      </w:r>
      <w:r w:rsidRPr="00FE12E8">
        <w:rPr>
          <w:rFonts w:hint="eastAsia"/>
          <w:sz w:val="19"/>
          <w:szCs w:val="19"/>
          <w:rtl/>
        </w:rPr>
        <w:t xml:space="preserve"> בפריסה</w:t>
      </w:r>
      <w:r w:rsidRPr="00FE12E8">
        <w:rPr>
          <w:sz w:val="19"/>
          <w:szCs w:val="19"/>
          <w:rtl/>
        </w:rPr>
        <w:t xml:space="preserve"> </w:t>
      </w:r>
      <w:r w:rsidRPr="00FE12E8">
        <w:rPr>
          <w:rFonts w:hint="eastAsia"/>
          <w:sz w:val="19"/>
          <w:szCs w:val="19"/>
          <w:rtl/>
        </w:rPr>
        <w:t>גיא</w:t>
      </w:r>
      <w:r w:rsidRPr="00FE12E8">
        <w:rPr>
          <w:rFonts w:hint="eastAsia"/>
          <w:sz w:val="19"/>
          <w:szCs w:val="19"/>
          <w:rtl/>
        </w:rPr>
        <w:t>וגרפית</w:t>
      </w:r>
      <w:r w:rsidRPr="00FE12E8">
        <w:rPr>
          <w:sz w:val="19"/>
          <w:szCs w:val="19"/>
          <w:rtl/>
        </w:rPr>
        <w:t xml:space="preserve"> </w:t>
      </w:r>
      <w:r w:rsidRPr="00FE12E8">
        <w:rPr>
          <w:rFonts w:hint="eastAsia"/>
          <w:sz w:val="19"/>
          <w:szCs w:val="19"/>
          <w:rtl/>
        </w:rPr>
        <w:t>רחבה</w:t>
      </w:r>
      <w:r w:rsidRPr="00FE12E8">
        <w:rPr>
          <w:rFonts w:hint="cs"/>
          <w:sz w:val="19"/>
          <w:szCs w:val="19"/>
          <w:rtl/>
        </w:rPr>
        <w:t>,</w:t>
      </w:r>
      <w:r w:rsidRPr="00FE12E8">
        <w:rPr>
          <w:sz w:val="19"/>
          <w:szCs w:val="19"/>
          <w:rtl/>
        </w:rPr>
        <w:t xml:space="preserve"> הקשה על הרשויות המקומיות לנהל קשר עם תושביהן</w:t>
      </w:r>
      <w:r w:rsidRPr="00FE12E8">
        <w:rPr>
          <w:rFonts w:hint="cs"/>
          <w:sz w:val="19"/>
          <w:szCs w:val="19"/>
          <w:rtl/>
        </w:rPr>
        <w:t xml:space="preserve"> ו</w:t>
      </w:r>
      <w:r w:rsidRPr="00FE12E8">
        <w:rPr>
          <w:sz w:val="19"/>
          <w:szCs w:val="19"/>
          <w:rtl/>
        </w:rPr>
        <w:t>עומד בניגוד לתפיסה בדבר חשיבות הקהילתיות במצבי חירום לשמירה על חוסן התושבים ו</w:t>
      </w:r>
      <w:r w:rsidRPr="00FE12E8">
        <w:rPr>
          <w:rFonts w:hint="cs"/>
          <w:sz w:val="19"/>
          <w:szCs w:val="19"/>
          <w:rtl/>
        </w:rPr>
        <w:t>ל</w:t>
      </w:r>
      <w:r w:rsidRPr="00FE12E8">
        <w:rPr>
          <w:sz w:val="19"/>
          <w:szCs w:val="19"/>
          <w:rtl/>
        </w:rPr>
        <w:t>המשך ניהול חיי שגרה ככל האפשר. יוצא אפוא כי אף על פי שבכל תוכניות הפינוי שהוכנו מבעוד מועד הוכרה השמירה על הקהילתיות כא</w:t>
      </w:r>
      <w:r w:rsidRPr="00FE12E8">
        <w:rPr>
          <w:sz w:val="19"/>
          <w:szCs w:val="19"/>
          <w:rtl/>
        </w:rPr>
        <w:t>חד העקרונות החשובים, עיקרון זה לא נשמר</w:t>
      </w:r>
      <w:r w:rsidRPr="00FE12E8">
        <w:rPr>
          <w:rFonts w:hint="cs"/>
          <w:sz w:val="19"/>
          <w:szCs w:val="19"/>
          <w:rtl/>
        </w:rPr>
        <w:t>, ועול</w:t>
      </w:r>
      <w:r w:rsidRPr="00FE12E8">
        <w:rPr>
          <w:sz w:val="19"/>
          <w:szCs w:val="19"/>
          <w:rtl/>
        </w:rPr>
        <w:t xml:space="preserve">ה חשש </w:t>
      </w:r>
      <w:r w:rsidRPr="00FE12E8">
        <w:rPr>
          <w:rFonts w:hint="cs"/>
          <w:sz w:val="19"/>
          <w:szCs w:val="19"/>
          <w:rtl/>
        </w:rPr>
        <w:t>לפגיעה</w:t>
      </w:r>
      <w:r w:rsidRPr="00FE12E8">
        <w:rPr>
          <w:sz w:val="19"/>
          <w:szCs w:val="19"/>
          <w:rtl/>
        </w:rPr>
        <w:t xml:space="preserve"> </w:t>
      </w:r>
      <w:r w:rsidRPr="00FE12E8">
        <w:rPr>
          <w:rFonts w:hint="cs"/>
          <w:sz w:val="19"/>
          <w:szCs w:val="19"/>
          <w:rtl/>
        </w:rPr>
        <w:t>ב</w:t>
      </w:r>
      <w:r w:rsidRPr="00FE12E8">
        <w:rPr>
          <w:sz w:val="19"/>
          <w:szCs w:val="19"/>
          <w:rtl/>
        </w:rPr>
        <w:t xml:space="preserve">חוסן התושבים </w:t>
      </w:r>
      <w:r w:rsidRPr="00FE12E8">
        <w:rPr>
          <w:rFonts w:hint="cs"/>
          <w:sz w:val="19"/>
          <w:szCs w:val="19"/>
          <w:rtl/>
        </w:rPr>
        <w:t xml:space="preserve">וכי נפגעה </w:t>
      </w:r>
      <w:r w:rsidRPr="00FE12E8">
        <w:rPr>
          <w:sz w:val="19"/>
          <w:szCs w:val="19"/>
          <w:rtl/>
        </w:rPr>
        <w:t>האפשרות לתת להם מענה במקומות הקליטה.</w:t>
      </w:r>
    </w:p>
    <w:p w:rsidR="007534EA" w:rsidRPr="00FE12E8" w:rsidP="00783DDB">
      <w:pPr>
        <w:pStyle w:val="73"/>
        <w:numPr>
          <w:ilvl w:val="0"/>
          <w:numId w:val="25"/>
        </w:numPr>
        <w:spacing w:after="160"/>
        <w:rPr>
          <w:sz w:val="19"/>
          <w:szCs w:val="19"/>
        </w:rPr>
      </w:pPr>
      <w:r w:rsidRPr="00FE12E8">
        <w:rPr>
          <w:rFonts w:hint="cs"/>
          <w:b/>
          <w:bCs/>
          <w:sz w:val="19"/>
          <w:szCs w:val="19"/>
          <w:rtl/>
        </w:rPr>
        <w:t xml:space="preserve">קביעת נוהל והוראות מפורטות בנוגע להתארגנות הרשות המקומית לפינוי תושביה </w:t>
      </w:r>
      <w:r w:rsidRPr="00FE12E8">
        <w:rPr>
          <w:sz w:val="19"/>
          <w:szCs w:val="19"/>
          <w:rtl/>
        </w:rPr>
        <w:t>-</w:t>
      </w:r>
      <w:r w:rsidRPr="00FE12E8">
        <w:rPr>
          <w:rFonts w:hint="eastAsia"/>
          <w:b/>
          <w:bCs/>
          <w:rtl/>
        </w:rPr>
        <w:t xml:space="preserve"> </w:t>
      </w:r>
      <w:r w:rsidRPr="00FE12E8">
        <w:rPr>
          <w:sz w:val="19"/>
          <w:szCs w:val="19"/>
          <w:rtl/>
        </w:rPr>
        <w:t>נמצא כי נוהלי פס"ח העוסקים בה</w:t>
      </w:r>
      <w:r>
        <w:rPr>
          <w:rFonts w:hint="cs"/>
          <w:sz w:val="19"/>
          <w:szCs w:val="19"/>
          <w:rtl/>
        </w:rPr>
        <w:t>י</w:t>
      </w:r>
      <w:r w:rsidRPr="00FE12E8">
        <w:rPr>
          <w:sz w:val="19"/>
          <w:szCs w:val="19"/>
          <w:rtl/>
        </w:rPr>
        <w:t xml:space="preserve">ערכות לקליטת מפונים, לא הגדירו </w:t>
      </w:r>
      <w:r w:rsidRPr="00FE12E8">
        <w:rPr>
          <w:rFonts w:hint="cs"/>
          <w:sz w:val="19"/>
          <w:szCs w:val="19"/>
          <w:rtl/>
        </w:rPr>
        <w:t xml:space="preserve">תפקידי הרשות שממנה פונו התושבים בנוגע למילוי צורכי תושביהן ולמתן שירותים במתקני האירוח שבהם הם שוהים. </w:t>
      </w:r>
      <w:r w:rsidRPr="00FE12E8">
        <w:rPr>
          <w:rFonts w:hint="eastAsia"/>
          <w:sz w:val="19"/>
          <w:szCs w:val="19"/>
          <w:rtl/>
        </w:rPr>
        <w:t>משרד</w:t>
      </w:r>
      <w:r w:rsidRPr="00FE12E8">
        <w:rPr>
          <w:sz w:val="19"/>
          <w:szCs w:val="19"/>
          <w:rtl/>
        </w:rPr>
        <w:t xml:space="preserve"> </w:t>
      </w:r>
      <w:r w:rsidRPr="00FE12E8">
        <w:rPr>
          <w:rFonts w:hint="eastAsia"/>
          <w:sz w:val="19"/>
          <w:szCs w:val="19"/>
          <w:rtl/>
        </w:rPr>
        <w:t>הפנים</w:t>
      </w:r>
      <w:r w:rsidRPr="00FE12E8">
        <w:rPr>
          <w:rFonts w:hint="cs"/>
          <w:b/>
          <w:bCs/>
          <w:sz w:val="19"/>
          <w:szCs w:val="19"/>
          <w:rtl/>
        </w:rPr>
        <w:t xml:space="preserve"> </w:t>
      </w:r>
      <w:r w:rsidRPr="00FE12E8">
        <w:rPr>
          <w:rFonts w:hint="cs"/>
          <w:sz w:val="19"/>
          <w:szCs w:val="19"/>
          <w:rtl/>
        </w:rPr>
        <w:t xml:space="preserve">לא קבע נוהל ובו הוראות בנוגע להתארגנות הרשות המקומית לפינוי תושביה, לניהול הליך הפינוי על ידה </w:t>
      </w:r>
      <w:r w:rsidRPr="00FE12E8">
        <w:rPr>
          <w:sz w:val="19"/>
          <w:szCs w:val="19"/>
          <w:rtl/>
        </w:rPr>
        <w:t>או הסיוע לפינוי שבאחריות צה"ל, לקשר עם התושבים המ</w:t>
      </w:r>
      <w:r w:rsidRPr="00FE12E8">
        <w:rPr>
          <w:sz w:val="19"/>
          <w:szCs w:val="19"/>
          <w:rtl/>
        </w:rPr>
        <w:t xml:space="preserve">פונים ולהעברת </w:t>
      </w:r>
      <w:r w:rsidRPr="00FE12E8">
        <w:rPr>
          <w:rFonts w:hint="cs"/>
          <w:sz w:val="19"/>
          <w:szCs w:val="19"/>
          <w:rtl/>
        </w:rPr>
        <w:t>הודעות אליהם, להפעלת כוח אדם ייעודי לארגון הסעות, ליצירת קשר עם הרשות הקולטת ועוד.</w:t>
      </w:r>
    </w:p>
    <w:p w:rsidR="007534EA" w:rsidRPr="004A4F03" w:rsidP="00783DDB">
      <w:pPr>
        <w:pStyle w:val="73"/>
        <w:numPr>
          <w:ilvl w:val="0"/>
          <w:numId w:val="25"/>
        </w:numPr>
        <w:spacing w:after="160"/>
        <w:rPr>
          <w:sz w:val="19"/>
          <w:szCs w:val="19"/>
        </w:rPr>
      </w:pPr>
      <w:r w:rsidRPr="004A4F03">
        <w:rPr>
          <w:rFonts w:hint="cs"/>
          <w:b/>
          <w:bCs/>
          <w:sz w:val="19"/>
          <w:szCs w:val="19"/>
          <w:rtl/>
        </w:rPr>
        <w:t xml:space="preserve">קביעת נורמות והיעדר היערכות לפינוי </w:t>
      </w:r>
      <w:r>
        <w:rPr>
          <w:rFonts w:hint="cs"/>
          <w:b/>
          <w:bCs/>
          <w:sz w:val="19"/>
          <w:szCs w:val="19"/>
          <w:rtl/>
        </w:rPr>
        <w:t xml:space="preserve">תושבים אל </w:t>
      </w:r>
      <w:r w:rsidRPr="004A4F03">
        <w:rPr>
          <w:rFonts w:hint="cs"/>
          <w:b/>
          <w:bCs/>
          <w:sz w:val="19"/>
          <w:szCs w:val="19"/>
          <w:rtl/>
        </w:rPr>
        <w:t>מחוץ לתחומי הרשויות</w:t>
      </w:r>
      <w:r w:rsidRPr="004A4F03">
        <w:rPr>
          <w:rFonts w:hint="cs"/>
          <w:sz w:val="19"/>
          <w:szCs w:val="19"/>
          <w:rtl/>
        </w:rPr>
        <w:t xml:space="preserve"> - </w:t>
      </w:r>
      <w:r w:rsidRPr="009D52FE">
        <w:rPr>
          <w:sz w:val="19"/>
          <w:szCs w:val="19"/>
          <w:rtl/>
        </w:rPr>
        <w:t>בה</w:t>
      </w:r>
      <w:r>
        <w:rPr>
          <w:rFonts w:hint="cs"/>
          <w:sz w:val="19"/>
          <w:szCs w:val="19"/>
          <w:rtl/>
        </w:rPr>
        <w:t>י</w:t>
      </w:r>
      <w:r w:rsidRPr="009D52FE">
        <w:rPr>
          <w:sz w:val="19"/>
          <w:szCs w:val="19"/>
          <w:rtl/>
        </w:rPr>
        <w:t>עדר ה</w:t>
      </w:r>
      <w:r>
        <w:rPr>
          <w:rFonts w:hint="cs"/>
          <w:sz w:val="19"/>
          <w:szCs w:val="19"/>
          <w:rtl/>
        </w:rPr>
        <w:t>י</w:t>
      </w:r>
      <w:r w:rsidRPr="009D52FE">
        <w:rPr>
          <w:sz w:val="19"/>
          <w:szCs w:val="19"/>
          <w:rtl/>
        </w:rPr>
        <w:t>ערכות של רשויות השלטון וממילא של הרשויות המקומיות לפינוי</w:t>
      </w:r>
      <w:r>
        <w:rPr>
          <w:rFonts w:hint="cs"/>
          <w:sz w:val="19"/>
          <w:szCs w:val="19"/>
          <w:rtl/>
        </w:rPr>
        <w:t xml:space="preserve"> </w:t>
      </w:r>
      <w:r w:rsidRPr="009D52FE">
        <w:rPr>
          <w:sz w:val="19"/>
          <w:szCs w:val="19"/>
          <w:rtl/>
        </w:rPr>
        <w:t>בהיקף כפי שבוצע במלחמה,</w:t>
      </w:r>
      <w:r w:rsidRPr="004A4F03">
        <w:rPr>
          <w:sz w:val="19"/>
          <w:szCs w:val="19"/>
          <w:rtl/>
        </w:rPr>
        <w:t xml:space="preserve"> הל</w:t>
      </w:r>
      <w:r w:rsidRPr="004A4F03">
        <w:rPr>
          <w:sz w:val="19"/>
          <w:szCs w:val="19"/>
          <w:rtl/>
        </w:rPr>
        <w:t>כה למעשה, נסיבות הפינוי, בחלקו תחת אש במהלך ימי לחימה עצימים, יצרו מצב שבו נטל ה</w:t>
      </w:r>
      <w:r>
        <w:rPr>
          <w:rFonts w:hint="cs"/>
          <w:sz w:val="19"/>
          <w:szCs w:val="19"/>
          <w:rtl/>
        </w:rPr>
        <w:t>מענה ל</w:t>
      </w:r>
      <w:r w:rsidRPr="004A4F03">
        <w:rPr>
          <w:sz w:val="19"/>
          <w:szCs w:val="19"/>
          <w:rtl/>
        </w:rPr>
        <w:t>פינוי הוטל ברובו על כתפי הרשויות המקומיות.</w:t>
      </w:r>
      <w:r>
        <w:rPr>
          <w:rFonts w:hint="cs"/>
          <w:sz w:val="19"/>
          <w:szCs w:val="19"/>
          <w:rtl/>
        </w:rPr>
        <w:t xml:space="preserve"> </w:t>
      </w:r>
      <w:r w:rsidRPr="004A4F03">
        <w:rPr>
          <w:sz w:val="19"/>
          <w:szCs w:val="19"/>
          <w:rtl/>
        </w:rPr>
        <w:t xml:space="preserve">עיריות </w:t>
      </w:r>
      <w:r w:rsidRPr="004A4F03">
        <w:rPr>
          <w:b/>
          <w:bCs/>
          <w:sz w:val="19"/>
          <w:szCs w:val="19"/>
          <w:rtl/>
        </w:rPr>
        <w:t>אופקים</w:t>
      </w:r>
      <w:r w:rsidRPr="004A4F03">
        <w:rPr>
          <w:sz w:val="19"/>
          <w:szCs w:val="19"/>
          <w:rtl/>
        </w:rPr>
        <w:t xml:space="preserve"> ו</w:t>
      </w:r>
      <w:r w:rsidRPr="004A4F03">
        <w:rPr>
          <w:b/>
          <w:bCs/>
          <w:sz w:val="19"/>
          <w:szCs w:val="19"/>
          <w:rtl/>
        </w:rPr>
        <w:t>אשקלון</w:t>
      </w:r>
      <w:r w:rsidRPr="004A4F03">
        <w:rPr>
          <w:sz w:val="19"/>
          <w:szCs w:val="19"/>
          <w:rtl/>
        </w:rPr>
        <w:t xml:space="preserve"> </w:t>
      </w:r>
      <w:r w:rsidRPr="00893D9C">
        <w:rPr>
          <w:sz w:val="19"/>
          <w:szCs w:val="19"/>
          <w:rtl/>
        </w:rPr>
        <w:t xml:space="preserve">שלא נכללו בתוכניות "מרחק בטוח" - לאומית וצה"לית ו"משב רוח" שגובשה ע"י רח"ל </w:t>
      </w:r>
      <w:r w:rsidRPr="004A4F03">
        <w:rPr>
          <w:sz w:val="19"/>
          <w:szCs w:val="19"/>
          <w:rtl/>
        </w:rPr>
        <w:t>לא נערכו לפינוי תושבים מחוץ לע</w:t>
      </w:r>
      <w:r w:rsidRPr="004A4F03">
        <w:rPr>
          <w:sz w:val="19"/>
          <w:szCs w:val="19"/>
          <w:rtl/>
        </w:rPr>
        <w:t>יר</w:t>
      </w:r>
      <w:r>
        <w:rPr>
          <w:rFonts w:hint="cs"/>
          <w:sz w:val="19"/>
          <w:szCs w:val="19"/>
          <w:rtl/>
        </w:rPr>
        <w:t>,</w:t>
      </w:r>
      <w:r w:rsidRPr="004A4F03">
        <w:rPr>
          <w:sz w:val="19"/>
          <w:szCs w:val="19"/>
          <w:rtl/>
        </w:rPr>
        <w:t xml:space="preserve"> ולא הייתה להן תוכנית או נוהל לפינוי אוכלוסייה אל מחוץ לתחומן</w:t>
      </w:r>
      <w:r w:rsidRPr="004A4F03">
        <w:rPr>
          <w:rFonts w:hint="cs"/>
          <w:sz w:val="19"/>
          <w:szCs w:val="19"/>
          <w:rtl/>
        </w:rPr>
        <w:t>.</w:t>
      </w:r>
      <w:r w:rsidRPr="004A4F03">
        <w:rPr>
          <w:sz w:val="19"/>
          <w:szCs w:val="19"/>
          <w:rtl/>
        </w:rPr>
        <w:t xml:space="preserve"> לעיריית </w:t>
      </w:r>
      <w:r w:rsidRPr="004A4F03">
        <w:rPr>
          <w:b/>
          <w:bCs/>
          <w:sz w:val="19"/>
          <w:szCs w:val="19"/>
          <w:rtl/>
        </w:rPr>
        <w:t>שדרות</w:t>
      </w:r>
      <w:r w:rsidRPr="004A4F03">
        <w:rPr>
          <w:sz w:val="19"/>
          <w:szCs w:val="19"/>
          <w:rtl/>
        </w:rPr>
        <w:t xml:space="preserve"> ולמועצות האזוריות </w:t>
      </w:r>
      <w:r w:rsidRPr="004A4F03">
        <w:rPr>
          <w:b/>
          <w:bCs/>
          <w:sz w:val="19"/>
          <w:szCs w:val="19"/>
          <w:rtl/>
        </w:rPr>
        <w:t>אשכול</w:t>
      </w:r>
      <w:r w:rsidRPr="004A4F03">
        <w:rPr>
          <w:sz w:val="19"/>
          <w:szCs w:val="19"/>
          <w:rtl/>
        </w:rPr>
        <w:t xml:space="preserve"> ו</w:t>
      </w:r>
      <w:r w:rsidRPr="004A4F03">
        <w:rPr>
          <w:b/>
          <w:bCs/>
          <w:sz w:val="19"/>
          <w:szCs w:val="19"/>
          <w:rtl/>
        </w:rPr>
        <w:t>חוף אשקלון</w:t>
      </w:r>
      <w:r w:rsidRPr="004A4F03">
        <w:rPr>
          <w:sz w:val="19"/>
          <w:szCs w:val="19"/>
          <w:rtl/>
        </w:rPr>
        <w:t xml:space="preserve"> </w:t>
      </w:r>
      <w:r w:rsidRPr="00893D9C">
        <w:rPr>
          <w:sz w:val="19"/>
          <w:szCs w:val="19"/>
          <w:rtl/>
        </w:rPr>
        <w:t xml:space="preserve">שנכללו בתוכניות "מרחק בטוח" ו"משב רוח", </w:t>
      </w:r>
      <w:r w:rsidRPr="004A4F03">
        <w:rPr>
          <w:sz w:val="19"/>
          <w:szCs w:val="19"/>
          <w:rtl/>
        </w:rPr>
        <w:t>היו תוכניות ונהלים לפינוי אוכלוסייה</w:t>
      </w:r>
      <w:r>
        <w:rPr>
          <w:rFonts w:hint="cs"/>
          <w:sz w:val="19"/>
          <w:szCs w:val="19"/>
          <w:rtl/>
        </w:rPr>
        <w:t xml:space="preserve"> בשעת חירום</w:t>
      </w:r>
      <w:r w:rsidRPr="004A4F03">
        <w:rPr>
          <w:rFonts w:hint="cs"/>
          <w:sz w:val="19"/>
          <w:szCs w:val="19"/>
          <w:rtl/>
        </w:rPr>
        <w:t xml:space="preserve">, </w:t>
      </w:r>
      <w:r>
        <w:rPr>
          <w:rFonts w:hint="cs"/>
          <w:sz w:val="19"/>
          <w:szCs w:val="19"/>
          <w:rtl/>
        </w:rPr>
        <w:t>ו</w:t>
      </w:r>
      <w:r w:rsidRPr="004A4F03">
        <w:rPr>
          <w:rFonts w:hint="cs"/>
          <w:sz w:val="19"/>
          <w:szCs w:val="19"/>
          <w:rtl/>
        </w:rPr>
        <w:t>אולם</w:t>
      </w:r>
      <w:r w:rsidRPr="004A4F03">
        <w:rPr>
          <w:sz w:val="19"/>
          <w:szCs w:val="19"/>
          <w:rtl/>
        </w:rPr>
        <w:t xml:space="preserve"> </w:t>
      </w:r>
      <w:r w:rsidRPr="004A4F03">
        <w:rPr>
          <w:rFonts w:hint="cs"/>
          <w:sz w:val="19"/>
          <w:szCs w:val="19"/>
          <w:rtl/>
        </w:rPr>
        <w:t xml:space="preserve">לא בוצעה היערכות לפינוי בהיקף שהיה בפועל </w:t>
      </w:r>
      <w:r w:rsidRPr="004A4F03">
        <w:rPr>
          <w:rFonts w:hint="cs"/>
          <w:sz w:val="19"/>
          <w:szCs w:val="19"/>
          <w:rtl/>
        </w:rPr>
        <w:t>במלחמת חרבות ברזל. יתר על כן, היקף המפונים הגדול מרשויות רבות</w:t>
      </w:r>
      <w:r>
        <w:rPr>
          <w:rFonts w:hint="cs"/>
          <w:sz w:val="19"/>
          <w:szCs w:val="19"/>
          <w:rtl/>
        </w:rPr>
        <w:t>,</w:t>
      </w:r>
      <w:r w:rsidRPr="004A4F03">
        <w:rPr>
          <w:rFonts w:hint="cs"/>
          <w:sz w:val="19"/>
          <w:szCs w:val="19"/>
          <w:rtl/>
        </w:rPr>
        <w:t xml:space="preserve"> הן מדרום הארץ והן מצפונה, השפיע גם על זמינות מתקני האירוח עבור הרשויות ועל יכולתן לשלוח את תושביהן על פי תוכנ</w:t>
      </w:r>
      <w:r>
        <w:rPr>
          <w:rFonts w:hint="cs"/>
          <w:sz w:val="19"/>
          <w:szCs w:val="19"/>
          <w:rtl/>
        </w:rPr>
        <w:t>י</w:t>
      </w:r>
      <w:r w:rsidRPr="004A4F03">
        <w:rPr>
          <w:rFonts w:hint="cs"/>
          <w:sz w:val="19"/>
          <w:szCs w:val="19"/>
          <w:rtl/>
        </w:rPr>
        <w:t xml:space="preserve">ותיהן. השיבוץ </w:t>
      </w:r>
      <w:r w:rsidRPr="00F06490">
        <w:rPr>
          <w:sz w:val="19"/>
          <w:szCs w:val="19"/>
          <w:rtl/>
        </w:rPr>
        <w:t xml:space="preserve">של המפונים </w:t>
      </w:r>
      <w:r w:rsidRPr="004A4F03">
        <w:rPr>
          <w:rFonts w:hint="cs"/>
          <w:sz w:val="19"/>
          <w:szCs w:val="19"/>
          <w:rtl/>
        </w:rPr>
        <w:t>נעשה ב</w:t>
      </w:r>
      <w:r>
        <w:rPr>
          <w:rFonts w:hint="cs"/>
          <w:sz w:val="19"/>
          <w:szCs w:val="19"/>
          <w:rtl/>
        </w:rPr>
        <w:t xml:space="preserve">מתקני אירוח </w:t>
      </w:r>
      <w:r w:rsidRPr="004A4F03">
        <w:rPr>
          <w:rFonts w:hint="cs"/>
          <w:sz w:val="19"/>
          <w:szCs w:val="19"/>
          <w:rtl/>
        </w:rPr>
        <w:t>ברחבי הארץ שלא לפי תוכנית מוסדרת, אלא על</w:t>
      </w:r>
      <w:r w:rsidRPr="004A4F03">
        <w:rPr>
          <w:rFonts w:hint="cs"/>
          <w:sz w:val="19"/>
          <w:szCs w:val="19"/>
          <w:rtl/>
        </w:rPr>
        <w:t xml:space="preserve"> פי זמינות (למשל, ב</w:t>
      </w:r>
      <w:r w:rsidRPr="004A4F03">
        <w:rPr>
          <w:rFonts w:hint="cs"/>
          <w:b/>
          <w:bCs/>
          <w:sz w:val="19"/>
          <w:szCs w:val="19"/>
          <w:rtl/>
        </w:rPr>
        <w:t>אשקלון</w:t>
      </w:r>
      <w:r w:rsidRPr="004A4F03">
        <w:rPr>
          <w:rFonts w:hint="cs"/>
          <w:sz w:val="19"/>
          <w:szCs w:val="19"/>
          <w:rtl/>
        </w:rPr>
        <w:t xml:space="preserve"> וב</w:t>
      </w:r>
      <w:r w:rsidRPr="004A4F03">
        <w:rPr>
          <w:rFonts w:hint="cs"/>
          <w:b/>
          <w:bCs/>
          <w:sz w:val="19"/>
          <w:szCs w:val="19"/>
          <w:rtl/>
        </w:rPr>
        <w:t>שדרות</w:t>
      </w:r>
      <w:r w:rsidRPr="004A4F03">
        <w:rPr>
          <w:rFonts w:hint="cs"/>
          <w:sz w:val="19"/>
          <w:szCs w:val="19"/>
          <w:rtl/>
        </w:rPr>
        <w:t xml:space="preserve">), וחלק מהתושבים (למשל, במועצה האזורית </w:t>
      </w:r>
      <w:r w:rsidRPr="004A4F03">
        <w:rPr>
          <w:rFonts w:hint="cs"/>
          <w:b/>
          <w:bCs/>
          <w:sz w:val="19"/>
          <w:szCs w:val="19"/>
          <w:rtl/>
        </w:rPr>
        <w:t>חוף אשקלון</w:t>
      </w:r>
      <w:r w:rsidRPr="004A4F03">
        <w:rPr>
          <w:rFonts w:hint="cs"/>
          <w:sz w:val="19"/>
          <w:szCs w:val="19"/>
          <w:rtl/>
        </w:rPr>
        <w:t>) הופנו לחדרי מלון שלא תאמו את צורכיהם. עירי</w:t>
      </w:r>
      <w:r>
        <w:rPr>
          <w:rFonts w:hint="cs"/>
          <w:sz w:val="19"/>
          <w:szCs w:val="19"/>
          <w:rtl/>
        </w:rPr>
        <w:t>ית</w:t>
      </w:r>
      <w:r w:rsidRPr="004A4F03">
        <w:rPr>
          <w:rFonts w:hint="cs"/>
          <w:sz w:val="19"/>
          <w:szCs w:val="19"/>
          <w:rtl/>
        </w:rPr>
        <w:t xml:space="preserve"> </w:t>
      </w:r>
      <w:r w:rsidRPr="004A4F03">
        <w:rPr>
          <w:rFonts w:hint="cs"/>
          <w:b/>
          <w:bCs/>
          <w:sz w:val="19"/>
          <w:szCs w:val="19"/>
          <w:rtl/>
        </w:rPr>
        <w:t>אשקלון</w:t>
      </w:r>
      <w:r>
        <w:rPr>
          <w:rFonts w:hint="cs"/>
          <w:sz w:val="19"/>
          <w:szCs w:val="19"/>
          <w:rtl/>
        </w:rPr>
        <w:t>,</w:t>
      </w:r>
      <w:r w:rsidRPr="004A4F03">
        <w:rPr>
          <w:rFonts w:hint="cs"/>
          <w:sz w:val="19"/>
          <w:szCs w:val="19"/>
          <w:rtl/>
        </w:rPr>
        <w:t xml:space="preserve"> שלא </w:t>
      </w:r>
      <w:r>
        <w:rPr>
          <w:rFonts w:hint="cs"/>
          <w:sz w:val="19"/>
          <w:szCs w:val="19"/>
          <w:rtl/>
        </w:rPr>
        <w:t xml:space="preserve">הייתה </w:t>
      </w:r>
      <w:r w:rsidRPr="004A4F03">
        <w:rPr>
          <w:rFonts w:hint="cs"/>
          <w:sz w:val="19"/>
          <w:szCs w:val="19"/>
          <w:rtl/>
        </w:rPr>
        <w:t>ער</w:t>
      </w:r>
      <w:r>
        <w:rPr>
          <w:rFonts w:hint="cs"/>
          <w:sz w:val="19"/>
          <w:szCs w:val="19"/>
          <w:rtl/>
        </w:rPr>
        <w:t>ו</w:t>
      </w:r>
      <w:r w:rsidRPr="004A4F03">
        <w:rPr>
          <w:rFonts w:hint="cs"/>
          <w:sz w:val="19"/>
          <w:szCs w:val="19"/>
          <w:rtl/>
        </w:rPr>
        <w:t xml:space="preserve">כה לפינוי תושביה </w:t>
      </w:r>
      <w:r>
        <w:rPr>
          <w:rFonts w:hint="cs"/>
          <w:sz w:val="19"/>
          <w:szCs w:val="19"/>
          <w:rtl/>
        </w:rPr>
        <w:t xml:space="preserve">אל </w:t>
      </w:r>
      <w:r w:rsidRPr="004A4F03">
        <w:rPr>
          <w:rFonts w:hint="cs"/>
          <w:sz w:val="19"/>
          <w:szCs w:val="19"/>
          <w:rtl/>
        </w:rPr>
        <w:t>מחוץ לתחומה</w:t>
      </w:r>
      <w:r>
        <w:rPr>
          <w:rFonts w:hint="cs"/>
          <w:sz w:val="19"/>
          <w:szCs w:val="19"/>
          <w:rtl/>
        </w:rPr>
        <w:t>,</w:t>
      </w:r>
      <w:r w:rsidRPr="004A4F03">
        <w:rPr>
          <w:rFonts w:hint="cs"/>
          <w:sz w:val="19"/>
          <w:szCs w:val="19"/>
          <w:rtl/>
        </w:rPr>
        <w:t xml:space="preserve"> ניתן מענה לפינוי כשבועיים לאחר פרוץ המלחמה</w:t>
      </w:r>
      <w:r>
        <w:rPr>
          <w:rFonts w:hint="cs"/>
          <w:sz w:val="19"/>
          <w:szCs w:val="19"/>
          <w:rtl/>
        </w:rPr>
        <w:t>,</w:t>
      </w:r>
      <w:r w:rsidRPr="004A4F03">
        <w:rPr>
          <w:rFonts w:hint="cs"/>
          <w:sz w:val="19"/>
          <w:szCs w:val="19"/>
          <w:rtl/>
        </w:rPr>
        <w:t xml:space="preserve"> ובפועל כ-5% ממספר הזכאים לפינ</w:t>
      </w:r>
      <w:r w:rsidRPr="004A4F03">
        <w:rPr>
          <w:rFonts w:hint="cs"/>
          <w:sz w:val="19"/>
          <w:szCs w:val="19"/>
          <w:rtl/>
        </w:rPr>
        <w:t>וי (כ-3,500) פונו ל</w:t>
      </w:r>
      <w:r w:rsidRPr="0044055C">
        <w:rPr>
          <w:sz w:val="19"/>
          <w:szCs w:val="19"/>
          <w:rtl/>
        </w:rPr>
        <w:t>מתקני אירוח</w:t>
      </w:r>
      <w:r w:rsidRPr="004A4F03">
        <w:rPr>
          <w:rFonts w:hint="cs"/>
          <w:sz w:val="19"/>
          <w:szCs w:val="19"/>
          <w:rtl/>
        </w:rPr>
        <w:t>, ועל פי המוסד לביטוח לאומי, 68,416 תושבי אשקלון מפונים בקהילה קיבלו מענק אכלוס בהיקף כספי של כ-328 מיליון ש"ח</w:t>
      </w:r>
      <w:r>
        <w:rPr>
          <w:rFonts w:hint="cs"/>
          <w:sz w:val="19"/>
          <w:szCs w:val="19"/>
          <w:rtl/>
        </w:rPr>
        <w:t>,</w:t>
      </w:r>
      <w:r w:rsidRPr="004A4F03">
        <w:rPr>
          <w:rFonts w:hint="cs"/>
          <w:sz w:val="19"/>
          <w:szCs w:val="19"/>
          <w:rtl/>
        </w:rPr>
        <w:t xml:space="preserve"> בלי שניתן היה לדעת מי מהם התפנה בפועל. יעדי הקליטה </w:t>
      </w:r>
      <w:r>
        <w:rPr>
          <w:rFonts w:hint="cs"/>
          <w:sz w:val="19"/>
          <w:szCs w:val="19"/>
          <w:rtl/>
        </w:rPr>
        <w:t>ש</w:t>
      </w:r>
      <w:r w:rsidRPr="004A4F03">
        <w:rPr>
          <w:rFonts w:hint="cs"/>
          <w:sz w:val="19"/>
          <w:szCs w:val="19"/>
          <w:rtl/>
        </w:rPr>
        <w:t xml:space="preserve">אליהם פונו תושבי הרשויות המפונות לא נקבעו בהחלטות </w:t>
      </w:r>
      <w:r>
        <w:rPr>
          <w:rFonts w:hint="cs"/>
          <w:sz w:val="19"/>
          <w:szCs w:val="19"/>
          <w:rtl/>
        </w:rPr>
        <w:t>ה</w:t>
      </w:r>
      <w:r w:rsidRPr="004A4F03">
        <w:rPr>
          <w:rFonts w:hint="cs"/>
          <w:sz w:val="19"/>
          <w:szCs w:val="19"/>
          <w:rtl/>
        </w:rPr>
        <w:t>פינוי וגם ת</w:t>
      </w:r>
      <w:r w:rsidRPr="004A4F03">
        <w:rPr>
          <w:rFonts w:hint="cs"/>
          <w:sz w:val="19"/>
          <w:szCs w:val="19"/>
          <w:rtl/>
        </w:rPr>
        <w:t xml:space="preserve">וכניות קודמות, </w:t>
      </w:r>
      <w:r>
        <w:rPr>
          <w:rFonts w:hint="cs"/>
          <w:sz w:val="19"/>
          <w:szCs w:val="19"/>
          <w:rtl/>
        </w:rPr>
        <w:t>שקבעו יעדי קליטה</w:t>
      </w:r>
      <w:r w:rsidRPr="004A4F03">
        <w:rPr>
          <w:rFonts w:hint="cs"/>
          <w:sz w:val="19"/>
          <w:szCs w:val="19"/>
          <w:rtl/>
        </w:rPr>
        <w:t xml:space="preserve"> לא יושמו, בין בשל מצב החירום שנוצר</w:t>
      </w:r>
      <w:r w:rsidRPr="006D50F1">
        <w:rPr>
          <w:sz w:val="19"/>
          <w:szCs w:val="19"/>
          <w:rtl/>
        </w:rPr>
        <w:t>, בין בשל ה</w:t>
      </w:r>
      <w:r>
        <w:rPr>
          <w:rFonts w:hint="cs"/>
          <w:sz w:val="19"/>
          <w:szCs w:val="19"/>
          <w:rtl/>
        </w:rPr>
        <w:t>י</w:t>
      </w:r>
      <w:r w:rsidRPr="006D50F1">
        <w:rPr>
          <w:sz w:val="19"/>
          <w:szCs w:val="19"/>
          <w:rtl/>
        </w:rPr>
        <w:t xml:space="preserve">עדר זמינות, </w:t>
      </w:r>
      <w:r w:rsidRPr="004A4F03">
        <w:rPr>
          <w:rFonts w:hint="cs"/>
          <w:sz w:val="19"/>
          <w:szCs w:val="19"/>
          <w:rtl/>
        </w:rPr>
        <w:t>ובין בשל אי-התאמת</w:t>
      </w:r>
      <w:r>
        <w:rPr>
          <w:rFonts w:hint="cs"/>
          <w:sz w:val="19"/>
          <w:szCs w:val="19"/>
          <w:rtl/>
        </w:rPr>
        <w:t>ן</w:t>
      </w:r>
      <w:r w:rsidRPr="004A4F03">
        <w:rPr>
          <w:rFonts w:hint="cs"/>
          <w:sz w:val="19"/>
          <w:szCs w:val="19"/>
          <w:rtl/>
        </w:rPr>
        <w:t xml:space="preserve"> לשהות ממושכת, </w:t>
      </w:r>
      <w:r w:rsidRPr="004A4F03">
        <w:rPr>
          <w:rFonts w:hint="eastAsia"/>
          <w:sz w:val="19"/>
          <w:szCs w:val="19"/>
          <w:rtl/>
        </w:rPr>
        <w:t>ובפועל</w:t>
      </w:r>
      <w:r w:rsidRPr="004A4F03">
        <w:rPr>
          <w:sz w:val="19"/>
          <w:szCs w:val="19"/>
          <w:rtl/>
        </w:rPr>
        <w:t xml:space="preserve"> </w:t>
      </w:r>
      <w:r w:rsidRPr="004A4F03">
        <w:rPr>
          <w:rFonts w:hint="eastAsia"/>
          <w:sz w:val="19"/>
          <w:szCs w:val="19"/>
          <w:rtl/>
        </w:rPr>
        <w:t>התושבים</w:t>
      </w:r>
      <w:r w:rsidRPr="004A4F03">
        <w:rPr>
          <w:sz w:val="19"/>
          <w:szCs w:val="19"/>
          <w:rtl/>
        </w:rPr>
        <w:t xml:space="preserve"> </w:t>
      </w:r>
      <w:r w:rsidRPr="004A4F03">
        <w:rPr>
          <w:rFonts w:hint="eastAsia"/>
          <w:sz w:val="19"/>
          <w:szCs w:val="19"/>
          <w:rtl/>
        </w:rPr>
        <w:t>פונו</w:t>
      </w:r>
      <w:r w:rsidRPr="004A4F03">
        <w:rPr>
          <w:sz w:val="19"/>
          <w:szCs w:val="19"/>
          <w:rtl/>
        </w:rPr>
        <w:t xml:space="preserve"> </w:t>
      </w:r>
      <w:r w:rsidRPr="004A4F03">
        <w:rPr>
          <w:rFonts w:hint="eastAsia"/>
          <w:sz w:val="19"/>
          <w:szCs w:val="19"/>
          <w:rtl/>
        </w:rPr>
        <w:t>בפריסה</w:t>
      </w:r>
      <w:r w:rsidRPr="004A4F03">
        <w:rPr>
          <w:sz w:val="19"/>
          <w:szCs w:val="19"/>
          <w:rtl/>
        </w:rPr>
        <w:t xml:space="preserve"> </w:t>
      </w:r>
      <w:r w:rsidRPr="004A4F03">
        <w:rPr>
          <w:rFonts w:hint="eastAsia"/>
          <w:sz w:val="19"/>
          <w:szCs w:val="19"/>
          <w:rtl/>
        </w:rPr>
        <w:t>גיאוגרפית</w:t>
      </w:r>
      <w:r w:rsidRPr="004A4F03">
        <w:rPr>
          <w:sz w:val="19"/>
          <w:szCs w:val="19"/>
          <w:rtl/>
        </w:rPr>
        <w:t xml:space="preserve"> </w:t>
      </w:r>
      <w:r w:rsidRPr="004A4F03">
        <w:rPr>
          <w:rFonts w:hint="eastAsia"/>
          <w:sz w:val="19"/>
          <w:szCs w:val="19"/>
          <w:rtl/>
        </w:rPr>
        <w:t>רחבה</w:t>
      </w:r>
      <w:r w:rsidRPr="004A4F03">
        <w:rPr>
          <w:sz w:val="19"/>
          <w:szCs w:val="19"/>
          <w:rtl/>
        </w:rPr>
        <w:t>.</w:t>
      </w:r>
      <w:r w:rsidRPr="004A4F03">
        <w:rPr>
          <w:rFonts w:hint="cs"/>
          <w:sz w:val="19"/>
          <w:szCs w:val="19"/>
          <w:rtl/>
        </w:rPr>
        <w:t xml:space="preserve"> עיריית </w:t>
      </w:r>
      <w:r w:rsidRPr="004A4F03">
        <w:rPr>
          <w:rFonts w:hint="cs"/>
          <w:b/>
          <w:bCs/>
          <w:sz w:val="19"/>
          <w:szCs w:val="19"/>
          <w:rtl/>
        </w:rPr>
        <w:t>אופקים</w:t>
      </w:r>
      <w:r w:rsidRPr="004A4F03">
        <w:rPr>
          <w:rFonts w:hint="cs"/>
          <w:sz w:val="19"/>
          <w:szCs w:val="19"/>
          <w:rtl/>
        </w:rPr>
        <w:t xml:space="preserve"> לא נערכה מראש לאפשרות של פינוי תושביה אל מחוץ לתחומי ה</w:t>
      </w:r>
      <w:r>
        <w:rPr>
          <w:rFonts w:hint="cs"/>
          <w:sz w:val="19"/>
          <w:szCs w:val="19"/>
          <w:rtl/>
        </w:rPr>
        <w:t>עיר</w:t>
      </w:r>
      <w:r w:rsidRPr="004A4F03">
        <w:rPr>
          <w:rFonts w:hint="cs"/>
          <w:sz w:val="19"/>
          <w:szCs w:val="19"/>
          <w:rtl/>
        </w:rPr>
        <w:t xml:space="preserve">, לתקופה ארוכה או לצורך ריענון. על כן היא נאלצה לחפש </w:t>
      </w:r>
      <w:r>
        <w:rPr>
          <w:rFonts w:hint="cs"/>
          <w:sz w:val="19"/>
          <w:szCs w:val="19"/>
          <w:rtl/>
        </w:rPr>
        <w:t xml:space="preserve">בעצמה </w:t>
      </w:r>
      <w:r w:rsidRPr="0044055C">
        <w:rPr>
          <w:sz w:val="19"/>
          <w:szCs w:val="19"/>
          <w:rtl/>
        </w:rPr>
        <w:t>מתקני אירוח</w:t>
      </w:r>
      <w:r>
        <w:rPr>
          <w:rFonts w:hint="cs"/>
          <w:sz w:val="19"/>
          <w:szCs w:val="19"/>
          <w:rtl/>
        </w:rPr>
        <w:t xml:space="preserve"> </w:t>
      </w:r>
      <w:r w:rsidRPr="004A4F03">
        <w:rPr>
          <w:rFonts w:hint="cs"/>
          <w:sz w:val="19"/>
          <w:szCs w:val="19"/>
          <w:rtl/>
        </w:rPr>
        <w:t>וחברות היסעים בלוח זמנים דוחק.</w:t>
      </w:r>
    </w:p>
    <w:p w:rsidR="007534EA" w:rsidRPr="004A4F03" w:rsidP="00783DDB">
      <w:pPr>
        <w:pStyle w:val="73"/>
        <w:numPr>
          <w:ilvl w:val="0"/>
          <w:numId w:val="25"/>
        </w:numPr>
        <w:spacing w:after="160"/>
        <w:rPr>
          <w:sz w:val="19"/>
          <w:szCs w:val="19"/>
        </w:rPr>
      </w:pPr>
      <w:r w:rsidRPr="004A4F03">
        <w:rPr>
          <w:rFonts w:hint="cs"/>
          <w:b/>
          <w:bCs/>
          <w:sz w:val="19"/>
          <w:szCs w:val="19"/>
          <w:rtl/>
        </w:rPr>
        <w:t>היעדר תיעוד והליך מוסדר להוצאה לריענון</w:t>
      </w:r>
      <w:r w:rsidRPr="004A4F03">
        <w:rPr>
          <w:rFonts w:hint="cs"/>
          <w:sz w:val="19"/>
          <w:szCs w:val="19"/>
          <w:rtl/>
        </w:rPr>
        <w:t xml:space="preserve"> - עיריית </w:t>
      </w:r>
      <w:r w:rsidRPr="004A4F03">
        <w:rPr>
          <w:rFonts w:hint="eastAsia"/>
          <w:b/>
          <w:bCs/>
          <w:sz w:val="19"/>
          <w:szCs w:val="19"/>
          <w:rtl/>
        </w:rPr>
        <w:t>אופקים</w:t>
      </w:r>
      <w:r w:rsidRPr="004A4F03">
        <w:rPr>
          <w:sz w:val="19"/>
          <w:szCs w:val="19"/>
          <w:rtl/>
        </w:rPr>
        <w:t xml:space="preserve"> </w:t>
      </w:r>
      <w:r w:rsidRPr="004A4F03">
        <w:rPr>
          <w:rFonts w:hint="eastAsia"/>
          <w:sz w:val="19"/>
          <w:szCs w:val="19"/>
          <w:rtl/>
        </w:rPr>
        <w:t>והמועצה</w:t>
      </w:r>
      <w:r w:rsidRPr="004A4F03">
        <w:rPr>
          <w:sz w:val="19"/>
          <w:szCs w:val="19"/>
          <w:rtl/>
        </w:rPr>
        <w:t xml:space="preserve"> </w:t>
      </w:r>
      <w:r w:rsidRPr="004A4F03">
        <w:rPr>
          <w:rFonts w:hint="eastAsia"/>
          <w:sz w:val="19"/>
          <w:szCs w:val="19"/>
          <w:rtl/>
        </w:rPr>
        <w:t>האזורית</w:t>
      </w:r>
      <w:r w:rsidRPr="004A4F03">
        <w:rPr>
          <w:sz w:val="19"/>
          <w:szCs w:val="19"/>
          <w:rtl/>
        </w:rPr>
        <w:t xml:space="preserve"> </w:t>
      </w:r>
      <w:r w:rsidRPr="004A4F03">
        <w:rPr>
          <w:rFonts w:hint="eastAsia"/>
          <w:b/>
          <w:bCs/>
          <w:sz w:val="19"/>
          <w:szCs w:val="19"/>
          <w:rtl/>
        </w:rPr>
        <w:t>חוף</w:t>
      </w:r>
      <w:r w:rsidRPr="004A4F03">
        <w:rPr>
          <w:b/>
          <w:bCs/>
          <w:sz w:val="19"/>
          <w:szCs w:val="19"/>
          <w:rtl/>
        </w:rPr>
        <w:t xml:space="preserve"> </w:t>
      </w:r>
      <w:r w:rsidRPr="004A4F03">
        <w:rPr>
          <w:rFonts w:hint="eastAsia"/>
          <w:b/>
          <w:bCs/>
          <w:sz w:val="19"/>
          <w:szCs w:val="19"/>
          <w:rtl/>
        </w:rPr>
        <w:t>אשקלון</w:t>
      </w:r>
      <w:r w:rsidRPr="004A4F03">
        <w:rPr>
          <w:sz w:val="19"/>
          <w:szCs w:val="19"/>
          <w:rtl/>
        </w:rPr>
        <w:t xml:space="preserve"> </w:t>
      </w:r>
      <w:r w:rsidRPr="004A4F03">
        <w:rPr>
          <w:rFonts w:hint="eastAsia"/>
          <w:sz w:val="19"/>
          <w:szCs w:val="19"/>
          <w:rtl/>
        </w:rPr>
        <w:t>יזמו</w:t>
      </w:r>
      <w:r w:rsidRPr="004A4F03">
        <w:rPr>
          <w:sz w:val="19"/>
          <w:szCs w:val="19"/>
          <w:rtl/>
        </w:rPr>
        <w:t xml:space="preserve"> </w:t>
      </w:r>
      <w:r w:rsidRPr="004A4F03">
        <w:rPr>
          <w:rFonts w:hint="eastAsia"/>
          <w:sz w:val="19"/>
          <w:szCs w:val="19"/>
          <w:rtl/>
        </w:rPr>
        <w:t>הליכי</w:t>
      </w:r>
      <w:r w:rsidRPr="004A4F03">
        <w:rPr>
          <w:sz w:val="19"/>
          <w:szCs w:val="19"/>
          <w:rtl/>
        </w:rPr>
        <w:t xml:space="preserve"> </w:t>
      </w:r>
      <w:r>
        <w:rPr>
          <w:rFonts w:hint="cs"/>
          <w:sz w:val="19"/>
          <w:szCs w:val="19"/>
          <w:rtl/>
        </w:rPr>
        <w:t xml:space="preserve">הוצאה </w:t>
      </w:r>
      <w:r w:rsidRPr="004A4F03">
        <w:rPr>
          <w:rFonts w:hint="cs"/>
          <w:sz w:val="19"/>
          <w:szCs w:val="19"/>
          <w:rtl/>
        </w:rPr>
        <w:t>לריענון</w:t>
      </w:r>
      <w:r w:rsidRPr="004A4F03">
        <w:rPr>
          <w:sz w:val="19"/>
          <w:szCs w:val="19"/>
          <w:rtl/>
        </w:rPr>
        <w:t xml:space="preserve"> </w:t>
      </w:r>
      <w:r w:rsidRPr="004A4F03">
        <w:rPr>
          <w:rFonts w:hint="eastAsia"/>
          <w:sz w:val="19"/>
          <w:szCs w:val="19"/>
          <w:rtl/>
        </w:rPr>
        <w:t>של</w:t>
      </w:r>
      <w:r w:rsidRPr="004A4F03">
        <w:rPr>
          <w:sz w:val="19"/>
          <w:szCs w:val="19"/>
          <w:rtl/>
        </w:rPr>
        <w:t xml:space="preserve"> </w:t>
      </w:r>
      <w:r w:rsidRPr="004A4F03">
        <w:rPr>
          <w:rFonts w:hint="eastAsia"/>
          <w:sz w:val="19"/>
          <w:szCs w:val="19"/>
          <w:rtl/>
        </w:rPr>
        <w:t>חלק</w:t>
      </w:r>
      <w:r w:rsidRPr="004A4F03">
        <w:rPr>
          <w:sz w:val="19"/>
          <w:szCs w:val="19"/>
          <w:rtl/>
        </w:rPr>
        <w:t xml:space="preserve"> </w:t>
      </w:r>
      <w:r w:rsidRPr="004A4F03">
        <w:rPr>
          <w:rFonts w:hint="eastAsia"/>
          <w:sz w:val="19"/>
          <w:szCs w:val="19"/>
          <w:rtl/>
        </w:rPr>
        <w:t>מתושביהן</w:t>
      </w:r>
      <w:r w:rsidRPr="004A4F03">
        <w:rPr>
          <w:sz w:val="19"/>
          <w:szCs w:val="19"/>
          <w:rtl/>
        </w:rPr>
        <w:t xml:space="preserve"> </w:t>
      </w:r>
      <w:r w:rsidRPr="004A4F03">
        <w:rPr>
          <w:rFonts w:hint="eastAsia"/>
          <w:sz w:val="19"/>
          <w:szCs w:val="19"/>
          <w:rtl/>
        </w:rPr>
        <w:t>בהתאם</w:t>
      </w:r>
      <w:r w:rsidRPr="004A4F03">
        <w:rPr>
          <w:sz w:val="19"/>
          <w:szCs w:val="19"/>
          <w:rtl/>
        </w:rPr>
        <w:t xml:space="preserve"> </w:t>
      </w:r>
      <w:r w:rsidRPr="004A4F03">
        <w:rPr>
          <w:rFonts w:hint="eastAsia"/>
          <w:sz w:val="19"/>
          <w:szCs w:val="19"/>
          <w:rtl/>
        </w:rPr>
        <w:t>לקריטריונים</w:t>
      </w:r>
      <w:r w:rsidRPr="004A4F03">
        <w:rPr>
          <w:sz w:val="19"/>
          <w:szCs w:val="19"/>
          <w:rtl/>
        </w:rPr>
        <w:t xml:space="preserve"> </w:t>
      </w:r>
      <w:r w:rsidRPr="004A4F03">
        <w:rPr>
          <w:rFonts w:hint="eastAsia"/>
          <w:sz w:val="19"/>
          <w:szCs w:val="19"/>
          <w:rtl/>
        </w:rPr>
        <w:t>שנקבעו</w:t>
      </w:r>
      <w:r w:rsidRPr="004A4F03">
        <w:rPr>
          <w:sz w:val="19"/>
          <w:szCs w:val="19"/>
          <w:rtl/>
        </w:rPr>
        <w:t xml:space="preserve">, </w:t>
      </w:r>
      <w:r w:rsidRPr="004A4F03">
        <w:rPr>
          <w:rFonts w:hint="eastAsia"/>
          <w:sz w:val="19"/>
          <w:szCs w:val="19"/>
          <w:rtl/>
        </w:rPr>
        <w:t>אך</w:t>
      </w:r>
      <w:r w:rsidRPr="004A4F03">
        <w:rPr>
          <w:sz w:val="19"/>
          <w:szCs w:val="19"/>
          <w:rtl/>
        </w:rPr>
        <w:t xml:space="preserve"> </w:t>
      </w:r>
      <w:r w:rsidRPr="004A4F03">
        <w:rPr>
          <w:rFonts w:hint="eastAsia"/>
          <w:sz w:val="19"/>
          <w:szCs w:val="19"/>
          <w:rtl/>
        </w:rPr>
        <w:t>עשו</w:t>
      </w:r>
      <w:r w:rsidRPr="004A4F03">
        <w:rPr>
          <w:sz w:val="19"/>
          <w:szCs w:val="19"/>
          <w:rtl/>
        </w:rPr>
        <w:t xml:space="preserve"> </w:t>
      </w:r>
      <w:r w:rsidRPr="004A4F03">
        <w:rPr>
          <w:rFonts w:hint="eastAsia"/>
          <w:sz w:val="19"/>
          <w:szCs w:val="19"/>
          <w:rtl/>
        </w:rPr>
        <w:t>זאת</w:t>
      </w:r>
      <w:r w:rsidRPr="004A4F03">
        <w:rPr>
          <w:sz w:val="19"/>
          <w:szCs w:val="19"/>
          <w:rtl/>
        </w:rPr>
        <w:t xml:space="preserve"> </w:t>
      </w:r>
      <w:r w:rsidRPr="004A4F03">
        <w:rPr>
          <w:rFonts w:hint="eastAsia"/>
          <w:sz w:val="19"/>
          <w:szCs w:val="19"/>
          <w:rtl/>
        </w:rPr>
        <w:t>בלי</w:t>
      </w:r>
      <w:r w:rsidRPr="004A4F03">
        <w:rPr>
          <w:sz w:val="19"/>
          <w:szCs w:val="19"/>
          <w:rtl/>
        </w:rPr>
        <w:t xml:space="preserve"> </w:t>
      </w:r>
      <w:r w:rsidRPr="004A4F03">
        <w:rPr>
          <w:rFonts w:hint="eastAsia"/>
          <w:sz w:val="19"/>
          <w:szCs w:val="19"/>
          <w:rtl/>
        </w:rPr>
        <w:t>שההליך</w:t>
      </w:r>
      <w:r w:rsidRPr="004A4F03">
        <w:rPr>
          <w:sz w:val="19"/>
          <w:szCs w:val="19"/>
          <w:rtl/>
        </w:rPr>
        <w:t xml:space="preserve"> </w:t>
      </w:r>
      <w:r w:rsidRPr="004A4F03">
        <w:rPr>
          <w:rFonts w:hint="eastAsia"/>
          <w:sz w:val="19"/>
          <w:szCs w:val="19"/>
          <w:rtl/>
        </w:rPr>
        <w:t>נוהל</w:t>
      </w:r>
      <w:r w:rsidRPr="004A4F03">
        <w:rPr>
          <w:sz w:val="19"/>
          <w:szCs w:val="19"/>
          <w:rtl/>
        </w:rPr>
        <w:t xml:space="preserve"> </w:t>
      </w:r>
      <w:r w:rsidRPr="004A4F03">
        <w:rPr>
          <w:rFonts w:hint="eastAsia"/>
          <w:sz w:val="19"/>
          <w:szCs w:val="19"/>
          <w:rtl/>
        </w:rPr>
        <w:t>בצורה</w:t>
      </w:r>
      <w:r w:rsidRPr="004A4F03">
        <w:rPr>
          <w:sz w:val="19"/>
          <w:szCs w:val="19"/>
          <w:rtl/>
        </w:rPr>
        <w:t xml:space="preserve"> </w:t>
      </w:r>
      <w:r w:rsidRPr="004A4F03">
        <w:rPr>
          <w:rFonts w:hint="eastAsia"/>
          <w:sz w:val="19"/>
          <w:szCs w:val="19"/>
          <w:rtl/>
        </w:rPr>
        <w:t>סדורה</w:t>
      </w:r>
      <w:r w:rsidRPr="004A4F03">
        <w:rPr>
          <w:sz w:val="19"/>
          <w:szCs w:val="19"/>
          <w:rtl/>
        </w:rPr>
        <w:t xml:space="preserve"> </w:t>
      </w:r>
      <w:r>
        <w:rPr>
          <w:rFonts w:hint="cs"/>
          <w:sz w:val="19"/>
          <w:szCs w:val="19"/>
          <w:rtl/>
        </w:rPr>
        <w:t>ומ</w:t>
      </w:r>
      <w:r w:rsidRPr="004A4F03">
        <w:rPr>
          <w:rFonts w:hint="eastAsia"/>
          <w:sz w:val="19"/>
          <w:szCs w:val="19"/>
          <w:rtl/>
        </w:rPr>
        <w:t>תועד</w:t>
      </w:r>
      <w:r>
        <w:rPr>
          <w:rFonts w:hint="cs"/>
          <w:sz w:val="19"/>
          <w:szCs w:val="19"/>
          <w:rtl/>
        </w:rPr>
        <w:t>ת</w:t>
      </w:r>
      <w:r w:rsidRPr="004A4F03">
        <w:rPr>
          <w:sz w:val="19"/>
          <w:szCs w:val="19"/>
          <w:rtl/>
        </w:rPr>
        <w:t xml:space="preserve">. </w:t>
      </w:r>
      <w:r w:rsidRPr="004A4F03">
        <w:rPr>
          <w:rFonts w:hint="eastAsia"/>
          <w:sz w:val="19"/>
          <w:szCs w:val="19"/>
          <w:rtl/>
        </w:rPr>
        <w:t>ב</w:t>
      </w:r>
      <w:r w:rsidRPr="002D3E49">
        <w:rPr>
          <w:rFonts w:hint="eastAsia"/>
          <w:b/>
          <w:bCs/>
          <w:sz w:val="19"/>
          <w:szCs w:val="19"/>
          <w:rtl/>
        </w:rPr>
        <w:t>אופקים</w:t>
      </w:r>
      <w:r w:rsidRPr="004A4F03">
        <w:rPr>
          <w:sz w:val="19"/>
          <w:szCs w:val="19"/>
          <w:rtl/>
        </w:rPr>
        <w:t xml:space="preserve"> </w:t>
      </w:r>
      <w:r w:rsidRPr="004A4F03">
        <w:rPr>
          <w:rFonts w:hint="eastAsia"/>
          <w:sz w:val="19"/>
          <w:szCs w:val="19"/>
          <w:rtl/>
        </w:rPr>
        <w:t>נוהל</w:t>
      </w:r>
      <w:r w:rsidRPr="004A4F03">
        <w:rPr>
          <w:sz w:val="19"/>
          <w:szCs w:val="19"/>
          <w:rtl/>
        </w:rPr>
        <w:t xml:space="preserve"> </w:t>
      </w:r>
      <w:r>
        <w:rPr>
          <w:rFonts w:hint="cs"/>
          <w:sz w:val="19"/>
          <w:szCs w:val="19"/>
          <w:rtl/>
        </w:rPr>
        <w:t>הליך ההוצאה</w:t>
      </w:r>
      <w:r w:rsidRPr="004A4F03">
        <w:rPr>
          <w:sz w:val="19"/>
          <w:szCs w:val="19"/>
          <w:rtl/>
        </w:rPr>
        <w:t xml:space="preserve"> </w:t>
      </w:r>
      <w:r w:rsidRPr="004A4F03">
        <w:rPr>
          <w:rFonts w:hint="cs"/>
          <w:sz w:val="19"/>
          <w:szCs w:val="19"/>
          <w:rtl/>
        </w:rPr>
        <w:t>לריענון</w:t>
      </w:r>
      <w:r w:rsidRPr="004A4F03">
        <w:rPr>
          <w:sz w:val="19"/>
          <w:szCs w:val="19"/>
          <w:rtl/>
        </w:rPr>
        <w:t xml:space="preserve"> </w:t>
      </w:r>
      <w:r w:rsidRPr="004A4F03">
        <w:rPr>
          <w:rFonts w:hint="cs"/>
          <w:sz w:val="19"/>
          <w:szCs w:val="19"/>
          <w:rtl/>
        </w:rPr>
        <w:t>בצורה לא מאורגנת</w:t>
      </w:r>
      <w:r>
        <w:rPr>
          <w:rFonts w:hint="cs"/>
          <w:sz w:val="19"/>
          <w:szCs w:val="19"/>
          <w:rtl/>
        </w:rPr>
        <w:t>,</w:t>
      </w:r>
      <w:r w:rsidRPr="004A4F03">
        <w:rPr>
          <w:rFonts w:hint="cs"/>
          <w:sz w:val="19"/>
          <w:szCs w:val="19"/>
          <w:rtl/>
        </w:rPr>
        <w:t xml:space="preserve"> </w:t>
      </w:r>
      <w:r w:rsidRPr="004A4F03">
        <w:rPr>
          <w:rFonts w:hint="eastAsia"/>
          <w:sz w:val="19"/>
          <w:szCs w:val="19"/>
          <w:rtl/>
        </w:rPr>
        <w:t>באופן</w:t>
      </w:r>
      <w:r w:rsidRPr="004A4F03">
        <w:rPr>
          <w:sz w:val="19"/>
          <w:szCs w:val="19"/>
          <w:rtl/>
        </w:rPr>
        <w:t xml:space="preserve"> </w:t>
      </w:r>
      <w:r w:rsidRPr="004A4F03">
        <w:rPr>
          <w:rFonts w:hint="eastAsia"/>
          <w:sz w:val="19"/>
          <w:szCs w:val="19"/>
          <w:rtl/>
        </w:rPr>
        <w:t>המותיר</w:t>
      </w:r>
      <w:r w:rsidRPr="004A4F03">
        <w:rPr>
          <w:sz w:val="19"/>
          <w:szCs w:val="19"/>
          <w:rtl/>
        </w:rPr>
        <w:t xml:space="preserve"> </w:t>
      </w:r>
      <w:r w:rsidRPr="004A4F03">
        <w:rPr>
          <w:rFonts w:hint="eastAsia"/>
          <w:sz w:val="19"/>
          <w:szCs w:val="19"/>
          <w:rtl/>
        </w:rPr>
        <w:t>מקום</w:t>
      </w:r>
      <w:r w:rsidRPr="004A4F03">
        <w:rPr>
          <w:sz w:val="19"/>
          <w:szCs w:val="19"/>
          <w:rtl/>
        </w:rPr>
        <w:t xml:space="preserve"> </w:t>
      </w:r>
      <w:r w:rsidRPr="004A4F03">
        <w:rPr>
          <w:rFonts w:hint="eastAsia"/>
          <w:sz w:val="19"/>
          <w:szCs w:val="19"/>
          <w:rtl/>
        </w:rPr>
        <w:t>לחשש</w:t>
      </w:r>
      <w:r w:rsidRPr="004A4F03">
        <w:rPr>
          <w:sz w:val="19"/>
          <w:szCs w:val="19"/>
          <w:rtl/>
        </w:rPr>
        <w:t xml:space="preserve"> </w:t>
      </w:r>
      <w:r w:rsidRPr="004A4F03">
        <w:rPr>
          <w:rFonts w:hint="eastAsia"/>
          <w:sz w:val="19"/>
          <w:szCs w:val="19"/>
          <w:rtl/>
        </w:rPr>
        <w:t>כי</w:t>
      </w:r>
      <w:r w:rsidRPr="004A4F03">
        <w:rPr>
          <w:sz w:val="19"/>
          <w:szCs w:val="19"/>
          <w:rtl/>
        </w:rPr>
        <w:t xml:space="preserve"> </w:t>
      </w:r>
      <w:r w:rsidRPr="004A4F03">
        <w:rPr>
          <w:rFonts w:hint="eastAsia"/>
          <w:sz w:val="19"/>
          <w:szCs w:val="19"/>
          <w:rtl/>
        </w:rPr>
        <w:t>הוצאו</w:t>
      </w:r>
      <w:r w:rsidRPr="004A4F03">
        <w:rPr>
          <w:sz w:val="19"/>
          <w:szCs w:val="19"/>
          <w:rtl/>
        </w:rPr>
        <w:t xml:space="preserve"> </w:t>
      </w:r>
      <w:r w:rsidRPr="004A4F03">
        <w:rPr>
          <w:rFonts w:hint="cs"/>
          <w:sz w:val="19"/>
          <w:szCs w:val="19"/>
          <w:rtl/>
        </w:rPr>
        <w:t>לריענון</w:t>
      </w:r>
      <w:r w:rsidRPr="004A4F03">
        <w:rPr>
          <w:sz w:val="19"/>
          <w:szCs w:val="19"/>
          <w:rtl/>
        </w:rPr>
        <w:t xml:space="preserve"> </w:t>
      </w:r>
      <w:r w:rsidRPr="004A4F03">
        <w:rPr>
          <w:rFonts w:hint="eastAsia"/>
          <w:sz w:val="19"/>
          <w:szCs w:val="19"/>
          <w:rtl/>
        </w:rPr>
        <w:t>תושבים</w:t>
      </w:r>
      <w:r w:rsidRPr="004A4F03">
        <w:rPr>
          <w:sz w:val="19"/>
          <w:szCs w:val="19"/>
          <w:rtl/>
        </w:rPr>
        <w:t xml:space="preserve"> </w:t>
      </w:r>
      <w:r w:rsidRPr="004A4F03">
        <w:rPr>
          <w:rFonts w:hint="eastAsia"/>
          <w:sz w:val="19"/>
          <w:szCs w:val="19"/>
          <w:rtl/>
        </w:rPr>
        <w:t>שלא</w:t>
      </w:r>
      <w:r w:rsidRPr="004A4F03">
        <w:rPr>
          <w:sz w:val="19"/>
          <w:szCs w:val="19"/>
          <w:rtl/>
        </w:rPr>
        <w:t xml:space="preserve"> </w:t>
      </w:r>
      <w:r w:rsidRPr="004A4F03">
        <w:rPr>
          <w:rFonts w:hint="eastAsia"/>
          <w:sz w:val="19"/>
          <w:szCs w:val="19"/>
          <w:rtl/>
        </w:rPr>
        <w:t>עמדו</w:t>
      </w:r>
      <w:r w:rsidRPr="004A4F03">
        <w:rPr>
          <w:sz w:val="19"/>
          <w:szCs w:val="19"/>
          <w:rtl/>
        </w:rPr>
        <w:t xml:space="preserve"> </w:t>
      </w:r>
      <w:r w:rsidRPr="004A4F03">
        <w:rPr>
          <w:rFonts w:hint="eastAsia"/>
          <w:sz w:val="19"/>
          <w:szCs w:val="19"/>
          <w:rtl/>
        </w:rPr>
        <w:t>בקריטריונים</w:t>
      </w:r>
      <w:r w:rsidRPr="004A4F03">
        <w:rPr>
          <w:sz w:val="19"/>
          <w:szCs w:val="19"/>
          <w:rtl/>
        </w:rPr>
        <w:t xml:space="preserve"> שנקבעו לכך, </w:t>
      </w:r>
      <w:r>
        <w:rPr>
          <w:rFonts w:hint="cs"/>
          <w:sz w:val="19"/>
          <w:szCs w:val="19"/>
          <w:rtl/>
        </w:rPr>
        <w:t>בעוד</w:t>
      </w:r>
      <w:r w:rsidRPr="004A4F03">
        <w:rPr>
          <w:sz w:val="19"/>
          <w:szCs w:val="19"/>
          <w:rtl/>
        </w:rPr>
        <w:t xml:space="preserve"> תושבים שעמדו בקריטריונים לא</w:t>
      </w:r>
      <w:r w:rsidRPr="004A4F03">
        <w:rPr>
          <w:rFonts w:hint="cs"/>
          <w:sz w:val="19"/>
          <w:szCs w:val="19"/>
          <w:rtl/>
        </w:rPr>
        <w:t xml:space="preserve"> הוצאו</w:t>
      </w:r>
      <w:r w:rsidRPr="00B11264">
        <w:rPr>
          <w:sz w:val="19"/>
          <w:szCs w:val="19"/>
          <w:rtl/>
        </w:rPr>
        <w:t>, תוך חשש לבזבוז כספי ציבור</w:t>
      </w:r>
      <w:r w:rsidRPr="004A4F03">
        <w:rPr>
          <w:rFonts w:hint="cs"/>
          <w:sz w:val="19"/>
          <w:szCs w:val="19"/>
          <w:rtl/>
        </w:rPr>
        <w:t>.</w:t>
      </w:r>
    </w:p>
    <w:p w:rsidR="007534EA" w:rsidRPr="004A4F03" w:rsidP="00783DDB">
      <w:pPr>
        <w:pStyle w:val="73"/>
        <w:numPr>
          <w:ilvl w:val="0"/>
          <w:numId w:val="25"/>
        </w:numPr>
        <w:spacing w:after="160"/>
        <w:rPr>
          <w:sz w:val="19"/>
          <w:szCs w:val="19"/>
        </w:rPr>
      </w:pPr>
      <w:r w:rsidRPr="004A4F03">
        <w:rPr>
          <w:rFonts w:hint="cs"/>
          <w:b/>
          <w:bCs/>
          <w:sz w:val="19"/>
          <w:szCs w:val="19"/>
          <w:rtl/>
        </w:rPr>
        <w:t>ניהול מידע על</w:t>
      </w:r>
      <w:r w:rsidRPr="004A4F03">
        <w:rPr>
          <w:rFonts w:hint="cs"/>
          <w:b/>
          <w:bCs/>
          <w:sz w:val="19"/>
          <w:szCs w:val="19"/>
          <w:rtl/>
        </w:rPr>
        <w:t xml:space="preserve"> מפונים ושמירה על הקשר עימם</w:t>
      </w:r>
      <w:r w:rsidRPr="004A4F03">
        <w:rPr>
          <w:rFonts w:hint="cs"/>
          <w:sz w:val="19"/>
          <w:szCs w:val="19"/>
          <w:rtl/>
        </w:rPr>
        <w:t xml:space="preserve"> - </w:t>
      </w:r>
      <w:r w:rsidRPr="004A4F03">
        <w:rPr>
          <w:sz w:val="19"/>
          <w:szCs w:val="19"/>
          <w:rtl/>
        </w:rPr>
        <w:t xml:space="preserve">בתקופת חירום חשוב ביותר שהרשויות </w:t>
      </w:r>
      <w:r>
        <w:rPr>
          <w:rFonts w:hint="cs"/>
          <w:sz w:val="19"/>
          <w:szCs w:val="19"/>
          <w:rtl/>
        </w:rPr>
        <w:t xml:space="preserve">המקומיות </w:t>
      </w:r>
      <w:r w:rsidRPr="004A4F03">
        <w:rPr>
          <w:sz w:val="19"/>
          <w:szCs w:val="19"/>
          <w:rtl/>
        </w:rPr>
        <w:t>המפונות ידעו היכן שוהים תושביהן לאחר הפינוי כדי לעמוד על מצבם ולהיות נגישות יותר למתן סיוע</w:t>
      </w:r>
      <w:r>
        <w:rPr>
          <w:rFonts w:hint="cs"/>
          <w:sz w:val="19"/>
          <w:szCs w:val="19"/>
          <w:rtl/>
        </w:rPr>
        <w:t>,</w:t>
      </w:r>
      <w:r w:rsidRPr="004A4F03">
        <w:rPr>
          <w:sz w:val="19"/>
          <w:szCs w:val="19"/>
          <w:rtl/>
        </w:rPr>
        <w:t xml:space="preserve"> ובעיקר כדי למלא את חובותיהן כלפי תלמידים, קשישים, מטופלי רווחה וקבוצות אחרות עם צרכים מיוחדי</w:t>
      </w:r>
      <w:r w:rsidRPr="004A4F03">
        <w:rPr>
          <w:sz w:val="19"/>
          <w:szCs w:val="19"/>
          <w:rtl/>
        </w:rPr>
        <w:t xml:space="preserve">ם. </w:t>
      </w:r>
      <w:r w:rsidRPr="004A4F03">
        <w:rPr>
          <w:rFonts w:hint="cs"/>
          <w:sz w:val="19"/>
          <w:szCs w:val="19"/>
          <w:rtl/>
        </w:rPr>
        <w:t xml:space="preserve">מהביקורת </w:t>
      </w:r>
      <w:r w:rsidRPr="004A4F03">
        <w:rPr>
          <w:sz w:val="19"/>
          <w:szCs w:val="19"/>
          <w:rtl/>
        </w:rPr>
        <w:t>עולה כי לא הייתה מערכת אחודה לניהול נתוני המפונים, וכי רק החל בינואר 2024 ניתנה לרשויות המקומיות גישה לנתוני מערכת "יחד"</w:t>
      </w:r>
      <w:r w:rsidRPr="004A4F03">
        <w:rPr>
          <w:rFonts w:hint="cs"/>
          <w:sz w:val="19"/>
          <w:szCs w:val="19"/>
          <w:rtl/>
        </w:rPr>
        <w:t>)</w:t>
      </w:r>
      <w:r>
        <w:rPr>
          <w:rStyle w:val="FootnoteReference1"/>
          <w:rFonts w:eastAsia="Times New Roman"/>
          <w:sz w:val="24"/>
          <w:rtl/>
        </w:rPr>
        <w:footnoteReference w:id="6"/>
      </w:r>
      <w:r>
        <w:rPr>
          <w:rFonts w:hint="cs"/>
          <w:sz w:val="19"/>
          <w:szCs w:val="19"/>
          <w:rtl/>
        </w:rPr>
        <w:t>,</w:t>
      </w:r>
      <w:r w:rsidRPr="004A4F03">
        <w:rPr>
          <w:sz w:val="19"/>
          <w:szCs w:val="19"/>
          <w:rtl/>
        </w:rPr>
        <w:t xml:space="preserve"> שגם בה הנתונים הקיימים לגבי המפונים לא היו מלאים ומעודכנים. </w:t>
      </w:r>
      <w:r w:rsidRPr="004A4F03">
        <w:rPr>
          <w:rFonts w:hint="cs"/>
          <w:sz w:val="19"/>
          <w:szCs w:val="19"/>
          <w:rtl/>
        </w:rPr>
        <w:t xml:space="preserve">לעיריות </w:t>
      </w:r>
      <w:r w:rsidRPr="004A4F03">
        <w:rPr>
          <w:rFonts w:hint="cs"/>
          <w:b/>
          <w:bCs/>
          <w:sz w:val="19"/>
          <w:szCs w:val="19"/>
          <w:rtl/>
        </w:rPr>
        <w:t>אשקלון</w:t>
      </w:r>
      <w:r w:rsidRPr="004A4F03">
        <w:rPr>
          <w:rFonts w:hint="cs"/>
          <w:sz w:val="19"/>
          <w:szCs w:val="19"/>
          <w:rtl/>
        </w:rPr>
        <w:t xml:space="preserve"> ו</w:t>
      </w:r>
      <w:r w:rsidRPr="004A4F03">
        <w:rPr>
          <w:rFonts w:hint="cs"/>
          <w:b/>
          <w:bCs/>
          <w:sz w:val="19"/>
          <w:szCs w:val="19"/>
          <w:rtl/>
        </w:rPr>
        <w:t>שדרות</w:t>
      </w:r>
      <w:r w:rsidRPr="004A4F03">
        <w:rPr>
          <w:rFonts w:hint="cs"/>
          <w:sz w:val="19"/>
          <w:szCs w:val="19"/>
          <w:rtl/>
        </w:rPr>
        <w:t xml:space="preserve"> והמועצה האזורית </w:t>
      </w:r>
      <w:r w:rsidRPr="004A4F03">
        <w:rPr>
          <w:rFonts w:hint="cs"/>
          <w:b/>
          <w:bCs/>
          <w:sz w:val="19"/>
          <w:szCs w:val="19"/>
          <w:rtl/>
        </w:rPr>
        <w:t>חוף אשקלון</w:t>
      </w:r>
      <w:r w:rsidRPr="004A4F03">
        <w:rPr>
          <w:rFonts w:hint="cs"/>
          <w:sz w:val="19"/>
          <w:szCs w:val="19"/>
          <w:rtl/>
        </w:rPr>
        <w:t xml:space="preserve"> לא היה מידע על מפונים בקהילה</w:t>
      </w:r>
      <w:r w:rsidRPr="002D176C">
        <w:rPr>
          <w:rtl/>
        </w:rPr>
        <w:t xml:space="preserve"> </w:t>
      </w:r>
      <w:r w:rsidRPr="002D176C">
        <w:rPr>
          <w:sz w:val="19"/>
          <w:szCs w:val="19"/>
          <w:rtl/>
        </w:rPr>
        <w:t>והן לא קיימו עימם קשר מסודר</w:t>
      </w:r>
      <w:r w:rsidRPr="004A4F03">
        <w:rPr>
          <w:rFonts w:hint="cs"/>
          <w:sz w:val="19"/>
          <w:szCs w:val="19"/>
          <w:rtl/>
        </w:rPr>
        <w:t xml:space="preserve">. כמו כן, בהיעדר הגדרה ברורה של תפקידי הרשות המפונה, כל רשות פעלה מול תושביה באופן שונה לפי הבנתה: עיריית </w:t>
      </w:r>
      <w:r w:rsidRPr="004A4F03">
        <w:rPr>
          <w:rFonts w:hint="cs"/>
          <w:b/>
          <w:bCs/>
          <w:sz w:val="19"/>
          <w:szCs w:val="19"/>
          <w:rtl/>
        </w:rPr>
        <w:t>אשקלון</w:t>
      </w:r>
      <w:r w:rsidRPr="004A4F03">
        <w:rPr>
          <w:rFonts w:hint="cs"/>
          <w:sz w:val="19"/>
          <w:szCs w:val="19"/>
          <w:rtl/>
        </w:rPr>
        <w:t xml:space="preserve"> הקימה מרכז שליטה כשבוע לאחר ההחלטה על פינוי התושבים וניהלה קשר עם המפונים בשבע רשויות </w:t>
      </w:r>
      <w:r w:rsidRPr="004A4F03">
        <w:rPr>
          <w:rFonts w:hint="cs"/>
          <w:sz w:val="19"/>
          <w:szCs w:val="19"/>
          <w:rtl/>
        </w:rPr>
        <w:t xml:space="preserve">מקומיות קולטות מרכזיות, אך ללא אנשי קשר בכל המלונות; עיריית </w:t>
      </w:r>
      <w:r w:rsidRPr="004A4F03">
        <w:rPr>
          <w:rFonts w:hint="cs"/>
          <w:b/>
          <w:bCs/>
          <w:sz w:val="19"/>
          <w:szCs w:val="19"/>
          <w:rtl/>
        </w:rPr>
        <w:t>שדרות</w:t>
      </w:r>
      <w:r w:rsidRPr="004A4F03">
        <w:rPr>
          <w:rFonts w:hint="cs"/>
          <w:sz w:val="19"/>
          <w:szCs w:val="19"/>
          <w:rtl/>
        </w:rPr>
        <w:t>, המועצ</w:t>
      </w:r>
      <w:r>
        <w:rPr>
          <w:rFonts w:hint="cs"/>
          <w:sz w:val="19"/>
          <w:szCs w:val="19"/>
          <w:rtl/>
        </w:rPr>
        <w:t>ות</w:t>
      </w:r>
      <w:r w:rsidRPr="004A4F03">
        <w:rPr>
          <w:rFonts w:hint="cs"/>
          <w:sz w:val="19"/>
          <w:szCs w:val="19"/>
          <w:rtl/>
        </w:rPr>
        <w:t xml:space="preserve"> האזורי</w:t>
      </w:r>
      <w:r>
        <w:rPr>
          <w:rFonts w:hint="cs"/>
          <w:sz w:val="19"/>
          <w:szCs w:val="19"/>
          <w:rtl/>
        </w:rPr>
        <w:t>ו</w:t>
      </w:r>
      <w:r w:rsidRPr="004A4F03">
        <w:rPr>
          <w:rFonts w:hint="cs"/>
          <w:sz w:val="19"/>
          <w:szCs w:val="19"/>
          <w:rtl/>
        </w:rPr>
        <w:t xml:space="preserve">ת </w:t>
      </w:r>
      <w:r w:rsidRPr="004A4F03">
        <w:rPr>
          <w:rFonts w:hint="cs"/>
          <w:b/>
          <w:bCs/>
          <w:sz w:val="19"/>
          <w:szCs w:val="19"/>
          <w:rtl/>
        </w:rPr>
        <w:t>אשכול</w:t>
      </w:r>
      <w:r w:rsidRPr="004A4F03">
        <w:rPr>
          <w:rFonts w:hint="cs"/>
          <w:sz w:val="19"/>
          <w:szCs w:val="19"/>
          <w:rtl/>
        </w:rPr>
        <w:t xml:space="preserve"> </w:t>
      </w:r>
      <w:r>
        <w:rPr>
          <w:rFonts w:hint="cs"/>
          <w:b/>
          <w:bCs/>
          <w:sz w:val="19"/>
          <w:szCs w:val="19"/>
          <w:rtl/>
        </w:rPr>
        <w:t>ו</w:t>
      </w:r>
      <w:r w:rsidRPr="004A4F03">
        <w:rPr>
          <w:rFonts w:hint="cs"/>
          <w:b/>
          <w:bCs/>
          <w:sz w:val="19"/>
          <w:szCs w:val="19"/>
          <w:rtl/>
        </w:rPr>
        <w:t>חוף אשקלון</w:t>
      </w:r>
      <w:r w:rsidRPr="004A4F03">
        <w:rPr>
          <w:rFonts w:hint="cs"/>
          <w:sz w:val="19"/>
          <w:szCs w:val="19"/>
          <w:rtl/>
        </w:rPr>
        <w:t xml:space="preserve"> ניהלו קשר רציף ומסודר עם המפונים במלונות, אך עיריות </w:t>
      </w:r>
      <w:r w:rsidRPr="004A4F03">
        <w:rPr>
          <w:rFonts w:hint="eastAsia"/>
          <w:b/>
          <w:bCs/>
          <w:sz w:val="19"/>
          <w:szCs w:val="19"/>
          <w:rtl/>
        </w:rPr>
        <w:t>אשקלון</w:t>
      </w:r>
      <w:r w:rsidRPr="004A4F03">
        <w:rPr>
          <w:rFonts w:hint="cs"/>
          <w:b/>
          <w:bCs/>
          <w:sz w:val="19"/>
          <w:szCs w:val="19"/>
          <w:rtl/>
        </w:rPr>
        <w:t xml:space="preserve"> </w:t>
      </w:r>
      <w:r w:rsidRPr="004A4F03">
        <w:rPr>
          <w:rFonts w:hint="cs"/>
          <w:sz w:val="19"/>
          <w:szCs w:val="19"/>
          <w:rtl/>
        </w:rPr>
        <w:t>ו</w:t>
      </w:r>
      <w:r w:rsidRPr="004A4F03">
        <w:rPr>
          <w:rFonts w:hint="eastAsia"/>
          <w:b/>
          <w:bCs/>
          <w:sz w:val="19"/>
          <w:szCs w:val="19"/>
          <w:rtl/>
        </w:rPr>
        <w:t>שדרות</w:t>
      </w:r>
      <w:r w:rsidRPr="004A4F03">
        <w:rPr>
          <w:sz w:val="19"/>
          <w:szCs w:val="19"/>
          <w:rtl/>
        </w:rPr>
        <w:t xml:space="preserve"> </w:t>
      </w:r>
      <w:r w:rsidRPr="004A4F03">
        <w:rPr>
          <w:rFonts w:hint="cs"/>
          <w:sz w:val="19"/>
          <w:szCs w:val="19"/>
          <w:rtl/>
        </w:rPr>
        <w:t xml:space="preserve">והמועצה האזורית </w:t>
      </w:r>
      <w:r w:rsidRPr="004A4F03">
        <w:rPr>
          <w:rFonts w:hint="cs"/>
          <w:b/>
          <w:bCs/>
          <w:sz w:val="19"/>
          <w:szCs w:val="19"/>
          <w:rtl/>
        </w:rPr>
        <w:t>חוף אשקלון</w:t>
      </w:r>
      <w:r w:rsidRPr="004A4F03">
        <w:rPr>
          <w:rFonts w:hint="cs"/>
          <w:sz w:val="19"/>
          <w:szCs w:val="19"/>
          <w:rtl/>
        </w:rPr>
        <w:t xml:space="preserve"> לא ניהלו קשר </w:t>
      </w:r>
      <w:r w:rsidRPr="004A4F03">
        <w:rPr>
          <w:rFonts w:hint="eastAsia"/>
          <w:sz w:val="19"/>
          <w:szCs w:val="19"/>
          <w:rtl/>
        </w:rPr>
        <w:t>מסודר</w:t>
      </w:r>
      <w:r w:rsidRPr="004A4F03">
        <w:rPr>
          <w:rFonts w:hint="cs"/>
          <w:sz w:val="19"/>
          <w:szCs w:val="19"/>
          <w:rtl/>
        </w:rPr>
        <w:t xml:space="preserve"> עם המפונים בקהילה, ו</w:t>
      </w:r>
      <w:r>
        <w:rPr>
          <w:rFonts w:hint="cs"/>
          <w:sz w:val="19"/>
          <w:szCs w:val="19"/>
          <w:rtl/>
        </w:rPr>
        <w:t>נראה כי</w:t>
      </w:r>
      <w:r w:rsidRPr="004A4F03">
        <w:rPr>
          <w:rFonts w:hint="cs"/>
          <w:sz w:val="19"/>
          <w:szCs w:val="19"/>
          <w:rtl/>
        </w:rPr>
        <w:t xml:space="preserve"> הדבר נבע בין ה</w:t>
      </w:r>
      <w:r w:rsidRPr="004A4F03">
        <w:rPr>
          <w:rFonts w:hint="cs"/>
          <w:sz w:val="19"/>
          <w:szCs w:val="19"/>
          <w:rtl/>
        </w:rPr>
        <w:t xml:space="preserve">יתר מפיזורם הרחב של המפונים. </w:t>
      </w:r>
      <w:r>
        <w:rPr>
          <w:rFonts w:hint="cs"/>
          <w:sz w:val="19"/>
          <w:szCs w:val="19"/>
          <w:rtl/>
        </w:rPr>
        <w:t>מצב זה</w:t>
      </w:r>
      <w:r w:rsidRPr="004A4F03">
        <w:rPr>
          <w:sz w:val="19"/>
          <w:szCs w:val="19"/>
          <w:rtl/>
        </w:rPr>
        <w:t xml:space="preserve"> עלול </w:t>
      </w:r>
      <w:r>
        <w:rPr>
          <w:rFonts w:hint="cs"/>
          <w:sz w:val="19"/>
          <w:szCs w:val="19"/>
          <w:rtl/>
        </w:rPr>
        <w:t xml:space="preserve">היה </w:t>
      </w:r>
      <w:r w:rsidRPr="004A4F03">
        <w:rPr>
          <w:sz w:val="19"/>
          <w:szCs w:val="19"/>
          <w:rtl/>
        </w:rPr>
        <w:t xml:space="preserve">לפגוע ביכולת של </w:t>
      </w:r>
      <w:r>
        <w:rPr>
          <w:rFonts w:hint="cs"/>
          <w:sz w:val="19"/>
          <w:szCs w:val="19"/>
          <w:rtl/>
        </w:rPr>
        <w:t>הרשות המקומית</w:t>
      </w:r>
      <w:r w:rsidRPr="004A4F03">
        <w:rPr>
          <w:sz w:val="19"/>
          <w:szCs w:val="19"/>
          <w:rtl/>
        </w:rPr>
        <w:t xml:space="preserve"> לנהל קשר רציף עם תושביה וביכולת של התושבים </w:t>
      </w:r>
      <w:r w:rsidRPr="002D176C">
        <w:rPr>
          <w:sz w:val="19"/>
          <w:szCs w:val="19"/>
          <w:rtl/>
        </w:rPr>
        <w:t xml:space="preserve">לקבל את השירותים הנדרשים, שיש בהם כדי לאפשר להם המשך </w:t>
      </w:r>
      <w:r w:rsidRPr="004A4F03">
        <w:rPr>
          <w:rFonts w:hint="eastAsia"/>
          <w:sz w:val="19"/>
          <w:szCs w:val="19"/>
          <w:rtl/>
        </w:rPr>
        <w:t>לקיים</w:t>
      </w:r>
      <w:r w:rsidRPr="004A4F03">
        <w:rPr>
          <w:sz w:val="19"/>
          <w:szCs w:val="19"/>
          <w:rtl/>
        </w:rPr>
        <w:t xml:space="preserve"> שגרת חיים ככל האפשר</w:t>
      </w:r>
      <w:r w:rsidRPr="004A4F03">
        <w:rPr>
          <w:rFonts w:hint="cs"/>
          <w:sz w:val="19"/>
          <w:szCs w:val="19"/>
          <w:rtl/>
        </w:rPr>
        <w:t>.</w:t>
      </w:r>
    </w:p>
    <w:p w:rsidR="007534EA" w:rsidRPr="004A4F03" w:rsidP="00783DDB">
      <w:pPr>
        <w:pStyle w:val="73"/>
        <w:numPr>
          <w:ilvl w:val="0"/>
          <w:numId w:val="25"/>
        </w:numPr>
        <w:spacing w:after="160"/>
        <w:rPr>
          <w:sz w:val="19"/>
          <w:szCs w:val="19"/>
        </w:rPr>
      </w:pPr>
      <w:r w:rsidRPr="004A4F03">
        <w:rPr>
          <w:rFonts w:hint="cs"/>
          <w:b/>
          <w:bCs/>
          <w:sz w:val="19"/>
          <w:szCs w:val="19"/>
          <w:rtl/>
        </w:rPr>
        <w:t xml:space="preserve">מידע על תושבים שנשארו ברשות המקומית במהלך המלחמה </w:t>
      </w:r>
      <w:r w:rsidRPr="00D50035">
        <w:rPr>
          <w:sz w:val="19"/>
          <w:szCs w:val="19"/>
          <w:rtl/>
        </w:rPr>
        <w:t>-</w:t>
      </w:r>
      <w:r w:rsidRPr="004A4F03">
        <w:rPr>
          <w:rFonts w:hint="cs"/>
          <w:b/>
          <w:bCs/>
          <w:sz w:val="19"/>
          <w:szCs w:val="19"/>
          <w:rtl/>
        </w:rPr>
        <w:t xml:space="preserve"> </w:t>
      </w:r>
      <w:r w:rsidRPr="004A4F03">
        <w:rPr>
          <w:rFonts w:hint="cs"/>
          <w:sz w:val="19"/>
          <w:szCs w:val="19"/>
          <w:rtl/>
        </w:rPr>
        <w:t xml:space="preserve">עיריית </w:t>
      </w:r>
      <w:r w:rsidRPr="004A4F03">
        <w:rPr>
          <w:rFonts w:hint="cs"/>
          <w:b/>
          <w:bCs/>
          <w:sz w:val="19"/>
          <w:szCs w:val="19"/>
          <w:rtl/>
        </w:rPr>
        <w:t>שדרות</w:t>
      </w:r>
      <w:r w:rsidRPr="004A4F03">
        <w:rPr>
          <w:rFonts w:hint="cs"/>
          <w:sz w:val="19"/>
          <w:szCs w:val="19"/>
          <w:rtl/>
        </w:rPr>
        <w:t xml:space="preserve"> לא אספה נתונים ולא היה ברשותה מידע על התושבים שנותרו בעיר מרצונם.</w:t>
      </w:r>
    </w:p>
    <w:p w:rsidR="007534EA" w:rsidP="00783DDB">
      <w:pPr>
        <w:pStyle w:val="73"/>
        <w:numPr>
          <w:ilvl w:val="0"/>
          <w:numId w:val="25"/>
        </w:numPr>
        <w:spacing w:after="160"/>
        <w:rPr>
          <w:sz w:val="19"/>
          <w:szCs w:val="19"/>
        </w:rPr>
      </w:pPr>
      <w:r w:rsidRPr="004A4F03">
        <w:rPr>
          <w:rFonts w:hint="cs"/>
          <w:b/>
          <w:bCs/>
          <w:sz w:val="19"/>
          <w:szCs w:val="19"/>
          <w:rtl/>
        </w:rPr>
        <w:t>מידע על מתפנים עצמאי</w:t>
      </w:r>
      <w:r>
        <w:rPr>
          <w:rFonts w:hint="cs"/>
          <w:b/>
          <w:bCs/>
          <w:sz w:val="19"/>
          <w:szCs w:val="19"/>
          <w:rtl/>
        </w:rPr>
        <w:t>ת</w:t>
      </w:r>
      <w:r w:rsidRPr="004A4F03">
        <w:rPr>
          <w:rFonts w:hint="cs"/>
          <w:sz w:val="19"/>
          <w:szCs w:val="19"/>
          <w:rtl/>
        </w:rPr>
        <w:t xml:space="preserve"> - הועלה כי לעיריות </w:t>
      </w:r>
      <w:r w:rsidRPr="004A4F03">
        <w:rPr>
          <w:rFonts w:hint="cs"/>
          <w:b/>
          <w:bCs/>
          <w:sz w:val="19"/>
          <w:szCs w:val="19"/>
          <w:rtl/>
        </w:rPr>
        <w:t xml:space="preserve">אופקים </w:t>
      </w:r>
      <w:r w:rsidRPr="004A4F03">
        <w:rPr>
          <w:rFonts w:hint="cs"/>
          <w:sz w:val="19"/>
          <w:szCs w:val="19"/>
          <w:rtl/>
        </w:rPr>
        <w:t>ו</w:t>
      </w:r>
      <w:r w:rsidRPr="004A4F03">
        <w:rPr>
          <w:rFonts w:hint="cs"/>
          <w:b/>
          <w:bCs/>
          <w:sz w:val="19"/>
          <w:szCs w:val="19"/>
          <w:rtl/>
        </w:rPr>
        <w:t xml:space="preserve">אשקלון </w:t>
      </w:r>
      <w:r w:rsidRPr="004A4F03">
        <w:rPr>
          <w:rFonts w:hint="cs"/>
          <w:sz w:val="19"/>
          <w:szCs w:val="19"/>
          <w:rtl/>
        </w:rPr>
        <w:t xml:space="preserve">ולמועצה האזורית </w:t>
      </w:r>
      <w:r w:rsidRPr="004A4F03">
        <w:rPr>
          <w:rFonts w:hint="cs"/>
          <w:b/>
          <w:bCs/>
          <w:sz w:val="19"/>
          <w:szCs w:val="19"/>
          <w:rtl/>
        </w:rPr>
        <w:t>חוף אשקלון</w:t>
      </w:r>
      <w:r w:rsidRPr="004A4F03">
        <w:rPr>
          <w:rFonts w:hint="cs"/>
          <w:sz w:val="19"/>
          <w:szCs w:val="19"/>
          <w:rtl/>
        </w:rPr>
        <w:t xml:space="preserve"> לא היה מידע מלא </w:t>
      </w:r>
      <w:r>
        <w:rPr>
          <w:rFonts w:hint="cs"/>
          <w:sz w:val="19"/>
          <w:szCs w:val="19"/>
          <w:rtl/>
        </w:rPr>
        <w:t xml:space="preserve">על </w:t>
      </w:r>
      <w:r w:rsidRPr="004A4F03">
        <w:rPr>
          <w:rFonts w:hint="cs"/>
          <w:sz w:val="19"/>
          <w:szCs w:val="19"/>
          <w:rtl/>
        </w:rPr>
        <w:t>תושביהן שהתפנו באופן עצמאי.</w:t>
      </w:r>
      <w:r w:rsidRPr="004A4F03">
        <w:rPr>
          <w:rtl/>
        </w:rPr>
        <w:t xml:space="preserve"> </w:t>
      </w:r>
      <w:r w:rsidRPr="004A4F03">
        <w:rPr>
          <w:sz w:val="19"/>
          <w:szCs w:val="19"/>
          <w:rtl/>
        </w:rPr>
        <w:t>יצוין כי גם במערכת</w:t>
      </w:r>
      <w:r>
        <w:rPr>
          <w:rFonts w:hint="cs"/>
          <w:sz w:val="19"/>
          <w:szCs w:val="19"/>
          <w:rtl/>
        </w:rPr>
        <w:t xml:space="preserve"> הממשלתית</w:t>
      </w:r>
      <w:r w:rsidRPr="004A4F03">
        <w:rPr>
          <w:sz w:val="19"/>
          <w:szCs w:val="19"/>
          <w:rtl/>
        </w:rPr>
        <w:t xml:space="preserve"> "יחד" הנתונים לגבי </w:t>
      </w:r>
      <w:r>
        <w:rPr>
          <w:rFonts w:hint="cs"/>
          <w:sz w:val="19"/>
          <w:szCs w:val="19"/>
          <w:rtl/>
        </w:rPr>
        <w:t>ה</w:t>
      </w:r>
      <w:r w:rsidRPr="004A4F03">
        <w:rPr>
          <w:sz w:val="19"/>
          <w:szCs w:val="19"/>
          <w:rtl/>
        </w:rPr>
        <w:t xml:space="preserve">מתפנים עצמאית </w:t>
      </w:r>
      <w:r>
        <w:rPr>
          <w:rFonts w:hint="cs"/>
          <w:sz w:val="19"/>
          <w:szCs w:val="19"/>
          <w:rtl/>
        </w:rPr>
        <w:t>לא היו מלאים</w:t>
      </w:r>
      <w:r w:rsidRPr="004A4F03">
        <w:rPr>
          <w:rFonts w:hint="cs"/>
          <w:sz w:val="19"/>
          <w:szCs w:val="19"/>
          <w:rtl/>
        </w:rPr>
        <w:t xml:space="preserve">, שכן </w:t>
      </w:r>
      <w:r>
        <w:rPr>
          <w:rFonts w:hint="cs"/>
          <w:sz w:val="19"/>
          <w:szCs w:val="19"/>
          <w:rtl/>
        </w:rPr>
        <w:t>התבססו</w:t>
      </w:r>
      <w:r w:rsidRPr="004A4F03">
        <w:rPr>
          <w:rFonts w:hint="cs"/>
          <w:sz w:val="19"/>
          <w:szCs w:val="19"/>
          <w:rtl/>
        </w:rPr>
        <w:t xml:space="preserve"> על דיווח מרצון של </w:t>
      </w:r>
      <w:r>
        <w:rPr>
          <w:rFonts w:hint="cs"/>
          <w:sz w:val="19"/>
          <w:szCs w:val="19"/>
          <w:rtl/>
        </w:rPr>
        <w:t>מפונ</w:t>
      </w:r>
      <w:r w:rsidRPr="004A4F03">
        <w:rPr>
          <w:rFonts w:hint="cs"/>
          <w:sz w:val="19"/>
          <w:szCs w:val="19"/>
          <w:rtl/>
        </w:rPr>
        <w:t>ים</w:t>
      </w:r>
      <w:r w:rsidRPr="004A4F03">
        <w:rPr>
          <w:sz w:val="19"/>
          <w:szCs w:val="19"/>
          <w:rtl/>
        </w:rPr>
        <w:t xml:space="preserve">. </w:t>
      </w:r>
      <w:r w:rsidRPr="004A4F03">
        <w:rPr>
          <w:rFonts w:hint="cs"/>
          <w:sz w:val="19"/>
          <w:szCs w:val="19"/>
          <w:rtl/>
        </w:rPr>
        <w:t xml:space="preserve">בנתוני </w:t>
      </w:r>
      <w:r w:rsidRPr="004A4F03">
        <w:rPr>
          <w:sz w:val="19"/>
          <w:szCs w:val="19"/>
          <w:rtl/>
        </w:rPr>
        <w:t xml:space="preserve">מערכת "יחד" </w:t>
      </w:r>
      <w:r w:rsidRPr="004A4F03">
        <w:rPr>
          <w:rFonts w:hint="cs"/>
          <w:sz w:val="19"/>
          <w:szCs w:val="19"/>
          <w:rtl/>
        </w:rPr>
        <w:t xml:space="preserve">שהועברו לצוות הביקורת במהלך הביקורת </w:t>
      </w:r>
      <w:r w:rsidRPr="004A4F03">
        <w:rPr>
          <w:sz w:val="19"/>
          <w:szCs w:val="19"/>
          <w:rtl/>
        </w:rPr>
        <w:t>לא היו נתונים על</w:t>
      </w:r>
      <w:r w:rsidRPr="00123EC7">
        <w:rPr>
          <w:sz w:val="19"/>
          <w:szCs w:val="19"/>
          <w:rtl/>
        </w:rPr>
        <w:t xml:space="preserve"> </w:t>
      </w:r>
      <w:r w:rsidRPr="004A4F03">
        <w:rPr>
          <w:sz w:val="19"/>
          <w:szCs w:val="19"/>
          <w:rtl/>
        </w:rPr>
        <w:t>מתפנים עצמאי</w:t>
      </w:r>
      <w:r>
        <w:rPr>
          <w:rFonts w:hint="cs"/>
          <w:sz w:val="19"/>
          <w:szCs w:val="19"/>
          <w:rtl/>
        </w:rPr>
        <w:t>ת</w:t>
      </w:r>
      <w:r w:rsidRPr="004A4F03">
        <w:rPr>
          <w:sz w:val="19"/>
          <w:szCs w:val="19"/>
          <w:rtl/>
        </w:rPr>
        <w:t xml:space="preserve"> </w:t>
      </w:r>
      <w:r>
        <w:rPr>
          <w:rFonts w:hint="cs"/>
          <w:sz w:val="19"/>
          <w:szCs w:val="19"/>
          <w:rtl/>
        </w:rPr>
        <w:t>מ</w:t>
      </w:r>
      <w:r w:rsidRPr="004A4F03">
        <w:rPr>
          <w:b/>
          <w:bCs/>
          <w:sz w:val="19"/>
          <w:szCs w:val="19"/>
          <w:rtl/>
        </w:rPr>
        <w:t>אופקים</w:t>
      </w:r>
      <w:r w:rsidRPr="004A4F03">
        <w:rPr>
          <w:sz w:val="19"/>
          <w:szCs w:val="19"/>
          <w:rtl/>
        </w:rPr>
        <w:t xml:space="preserve"> ו</w:t>
      </w:r>
      <w:r>
        <w:rPr>
          <w:rFonts w:hint="cs"/>
          <w:sz w:val="19"/>
          <w:szCs w:val="19"/>
          <w:rtl/>
        </w:rPr>
        <w:t>מ</w:t>
      </w:r>
      <w:r w:rsidRPr="004A4F03">
        <w:rPr>
          <w:b/>
          <w:bCs/>
          <w:sz w:val="19"/>
          <w:szCs w:val="19"/>
          <w:rtl/>
        </w:rPr>
        <w:t>חוף אשקלון</w:t>
      </w:r>
      <w:r w:rsidRPr="004A4F03">
        <w:rPr>
          <w:rFonts w:hint="cs"/>
          <w:sz w:val="19"/>
          <w:szCs w:val="19"/>
          <w:rtl/>
        </w:rPr>
        <w:t xml:space="preserve">, ולגבי </w:t>
      </w:r>
      <w:r w:rsidRPr="004A4F03">
        <w:rPr>
          <w:rFonts w:hint="cs"/>
          <w:b/>
          <w:bCs/>
          <w:sz w:val="19"/>
          <w:szCs w:val="19"/>
          <w:rtl/>
        </w:rPr>
        <w:t>אשקלון</w:t>
      </w:r>
      <w:r w:rsidRPr="004A4F03">
        <w:rPr>
          <w:rFonts w:hint="cs"/>
          <w:sz w:val="19"/>
          <w:szCs w:val="19"/>
          <w:rtl/>
        </w:rPr>
        <w:t xml:space="preserve"> הופיע כי נכון לינואר 2024</w:t>
      </w:r>
      <w:r>
        <w:rPr>
          <w:rFonts w:hint="cs"/>
          <w:sz w:val="19"/>
          <w:szCs w:val="19"/>
          <w:rtl/>
        </w:rPr>
        <w:t>,</w:t>
      </w:r>
      <w:r w:rsidRPr="004A4F03">
        <w:rPr>
          <w:rFonts w:hint="cs"/>
          <w:sz w:val="19"/>
          <w:szCs w:val="19"/>
          <w:rtl/>
        </w:rPr>
        <w:t xml:space="preserve"> התפנו באופן עצמאי 446 מתושבי העיר</w:t>
      </w:r>
      <w:r>
        <w:rPr>
          <w:rStyle w:val="FootnoteReference1"/>
          <w:sz w:val="19"/>
          <w:szCs w:val="19"/>
          <w:rtl/>
        </w:rPr>
        <w:footnoteReference w:id="7"/>
      </w:r>
      <w:r w:rsidRPr="004A4F03">
        <w:rPr>
          <w:rFonts w:hint="cs"/>
          <w:sz w:val="19"/>
          <w:szCs w:val="19"/>
          <w:rtl/>
        </w:rPr>
        <w:t>.</w:t>
      </w:r>
      <w:r w:rsidRPr="004A4F03">
        <w:rPr>
          <w:sz w:val="19"/>
          <w:szCs w:val="19"/>
          <w:rtl/>
        </w:rPr>
        <w:t xml:space="preserve"> היעדר מ</w:t>
      </w:r>
      <w:r w:rsidRPr="004A4F03">
        <w:rPr>
          <w:sz w:val="19"/>
          <w:szCs w:val="19"/>
          <w:rtl/>
        </w:rPr>
        <w:t xml:space="preserve">ידע זה </w:t>
      </w:r>
      <w:r w:rsidRPr="007F15B5">
        <w:rPr>
          <w:sz w:val="19"/>
          <w:szCs w:val="19"/>
          <w:rtl/>
        </w:rPr>
        <w:t xml:space="preserve">פגע באפשרות של הרשויות המקומיות </w:t>
      </w:r>
      <w:r w:rsidRPr="004A4F03">
        <w:rPr>
          <w:sz w:val="19"/>
          <w:szCs w:val="19"/>
          <w:rtl/>
        </w:rPr>
        <w:t>לקיים קשר עם תושביהן המפונים ולדעת אם הם מקבלים את המענים הנדרשים להם.</w:t>
      </w:r>
    </w:p>
    <w:p w:rsidR="007534EA" w:rsidRPr="002445FD" w:rsidP="00783DDB">
      <w:pPr>
        <w:spacing w:after="120" w:line="288" w:lineRule="auto"/>
        <w:rPr>
          <w:rFonts w:ascii="Tahoma" w:hAnsi="Tahoma" w:cs="Tahoma"/>
          <w:sz w:val="19"/>
          <w:szCs w:val="19"/>
          <w:rtl/>
        </w:rPr>
      </w:pPr>
      <w:r w:rsidRPr="002445FD">
        <w:rPr>
          <w:rFonts w:ascii="Tahoma" w:hAnsi="Tahoma" w:cs="Tahoma"/>
          <w:sz w:val="19"/>
          <w:szCs w:val="19"/>
          <w:rtl/>
        </w:rPr>
        <w:t xml:space="preserve">משרד מבקר המדינה רואה בחומרה היעדר מידע מרוכז ומסודר </w:t>
      </w:r>
      <w:r w:rsidRPr="002445FD">
        <w:rPr>
          <w:rFonts w:ascii="Tahoma" w:hAnsi="Tahoma" w:cs="Tahoma" w:hint="cs"/>
          <w:sz w:val="19"/>
          <w:szCs w:val="19"/>
          <w:rtl/>
        </w:rPr>
        <w:t xml:space="preserve">בזמן אמת </w:t>
      </w:r>
      <w:r w:rsidRPr="002445FD">
        <w:rPr>
          <w:rFonts w:ascii="Tahoma" w:hAnsi="Tahoma" w:cs="Tahoma"/>
          <w:sz w:val="19"/>
          <w:szCs w:val="19"/>
          <w:rtl/>
        </w:rPr>
        <w:t>לגבי מיקו</w:t>
      </w:r>
      <w:r w:rsidRPr="002445FD">
        <w:rPr>
          <w:rFonts w:ascii="Tahoma" w:hAnsi="Tahoma" w:cs="Tahoma" w:hint="cs"/>
          <w:sz w:val="19"/>
          <w:szCs w:val="19"/>
          <w:rtl/>
        </w:rPr>
        <w:t>מ</w:t>
      </w:r>
      <w:r w:rsidRPr="002445FD">
        <w:rPr>
          <w:rFonts w:ascii="Tahoma" w:hAnsi="Tahoma" w:cs="Tahoma"/>
          <w:sz w:val="19"/>
          <w:szCs w:val="19"/>
          <w:rtl/>
        </w:rPr>
        <w:t xml:space="preserve">ם </w:t>
      </w:r>
      <w:r w:rsidRPr="002445FD">
        <w:rPr>
          <w:rFonts w:ascii="Tahoma" w:hAnsi="Tahoma" w:cs="Tahoma" w:hint="cs"/>
          <w:sz w:val="19"/>
          <w:szCs w:val="19"/>
          <w:rtl/>
        </w:rPr>
        <w:t xml:space="preserve">של </w:t>
      </w:r>
      <w:r w:rsidRPr="002445FD">
        <w:rPr>
          <w:rFonts w:ascii="Tahoma" w:hAnsi="Tahoma" w:cs="Tahoma"/>
          <w:sz w:val="19"/>
          <w:szCs w:val="19"/>
          <w:rtl/>
        </w:rPr>
        <w:t xml:space="preserve">המפונים המצויים </w:t>
      </w:r>
      <w:r w:rsidRPr="002445FD">
        <w:rPr>
          <w:rFonts w:ascii="Tahoma" w:hAnsi="Tahoma" w:cs="Tahoma" w:hint="cs"/>
          <w:sz w:val="19"/>
          <w:szCs w:val="19"/>
          <w:rtl/>
        </w:rPr>
        <w:t>במת</w:t>
      </w:r>
      <w:r>
        <w:rPr>
          <w:rFonts w:ascii="Tahoma" w:hAnsi="Tahoma" w:cs="Tahoma" w:hint="cs"/>
          <w:sz w:val="19"/>
          <w:szCs w:val="19"/>
          <w:rtl/>
        </w:rPr>
        <w:t>קני אירוח</w:t>
      </w:r>
      <w:r w:rsidRPr="002445FD">
        <w:rPr>
          <w:rFonts w:ascii="Tahoma" w:hAnsi="Tahoma" w:cs="Tahoma"/>
          <w:sz w:val="19"/>
          <w:szCs w:val="19"/>
          <w:rtl/>
        </w:rPr>
        <w:t xml:space="preserve"> </w:t>
      </w:r>
      <w:r w:rsidRPr="002445FD">
        <w:rPr>
          <w:rFonts w:ascii="Tahoma" w:hAnsi="Tahoma" w:cs="Tahoma" w:hint="cs"/>
          <w:sz w:val="19"/>
          <w:szCs w:val="19"/>
          <w:rtl/>
        </w:rPr>
        <w:t xml:space="preserve">או </w:t>
      </w:r>
      <w:r w:rsidRPr="002445FD">
        <w:rPr>
          <w:rFonts w:ascii="Tahoma" w:hAnsi="Tahoma" w:cs="Tahoma"/>
          <w:sz w:val="19"/>
          <w:szCs w:val="19"/>
          <w:rtl/>
        </w:rPr>
        <w:t xml:space="preserve">בקהילה </w:t>
      </w:r>
      <w:r w:rsidRPr="002445FD">
        <w:rPr>
          <w:rFonts w:ascii="Tahoma" w:hAnsi="Tahoma" w:cs="Tahoma" w:hint="cs"/>
          <w:sz w:val="19"/>
          <w:szCs w:val="19"/>
          <w:rtl/>
        </w:rPr>
        <w:t>ושל ה</w:t>
      </w:r>
      <w:r w:rsidRPr="002445FD">
        <w:rPr>
          <w:rFonts w:ascii="Tahoma" w:hAnsi="Tahoma" w:cs="Tahoma"/>
          <w:sz w:val="19"/>
          <w:szCs w:val="19"/>
          <w:rtl/>
        </w:rPr>
        <w:t xml:space="preserve">מתפנים </w:t>
      </w:r>
      <w:r>
        <w:rPr>
          <w:rFonts w:ascii="Tahoma" w:hAnsi="Tahoma" w:cs="Tahoma" w:hint="cs"/>
          <w:sz w:val="19"/>
          <w:szCs w:val="19"/>
          <w:rtl/>
        </w:rPr>
        <w:t>עצמאית</w:t>
      </w:r>
      <w:r w:rsidRPr="002445FD">
        <w:rPr>
          <w:rFonts w:ascii="Tahoma" w:hAnsi="Tahoma" w:cs="Tahoma" w:hint="cs"/>
          <w:sz w:val="19"/>
          <w:szCs w:val="19"/>
          <w:rtl/>
        </w:rPr>
        <w:t>,</w:t>
      </w:r>
      <w:r w:rsidRPr="002445FD">
        <w:rPr>
          <w:rFonts w:ascii="Tahoma" w:hAnsi="Tahoma" w:cs="Tahoma"/>
          <w:sz w:val="19"/>
          <w:szCs w:val="19"/>
          <w:rtl/>
        </w:rPr>
        <w:t xml:space="preserve"> וכן לגבי התושבים שנשארו או חזרו לביתם, </w:t>
      </w:r>
      <w:r w:rsidRPr="002445FD">
        <w:rPr>
          <w:rFonts w:ascii="Tahoma" w:hAnsi="Tahoma" w:cs="Tahoma" w:hint="cs"/>
          <w:sz w:val="19"/>
          <w:szCs w:val="19"/>
          <w:rtl/>
        </w:rPr>
        <w:t>מצב</w:t>
      </w:r>
      <w:r w:rsidRPr="002445FD">
        <w:rPr>
          <w:rFonts w:ascii="Tahoma" w:hAnsi="Tahoma" w:cs="Tahoma"/>
          <w:sz w:val="19"/>
          <w:szCs w:val="19"/>
          <w:rtl/>
        </w:rPr>
        <w:t xml:space="preserve"> העלול לפגוע ביכולת של הרשות לנהל קשר רציף עם תושביה וביכולת של התושבים לקבל את השירותים הנדרשים </w:t>
      </w:r>
      <w:r w:rsidRPr="002445FD">
        <w:rPr>
          <w:rFonts w:ascii="Tahoma" w:hAnsi="Tahoma" w:cs="Tahoma" w:hint="cs"/>
          <w:sz w:val="19"/>
          <w:szCs w:val="19"/>
          <w:rtl/>
        </w:rPr>
        <w:t xml:space="preserve">שיש בהם </w:t>
      </w:r>
      <w:r w:rsidRPr="002445FD">
        <w:rPr>
          <w:rFonts w:ascii="Tahoma" w:hAnsi="Tahoma" w:cs="Tahoma"/>
          <w:sz w:val="19"/>
          <w:szCs w:val="19"/>
          <w:rtl/>
        </w:rPr>
        <w:t>כדי לאפשר להם המשך שגרת חיים ככל האפשר.</w:t>
      </w:r>
    </w:p>
    <w:p w:rsidR="00AE4BB7" w:rsidRPr="000B463F" w:rsidP="00783DDB">
      <w:pPr>
        <w:spacing w:after="160"/>
      </w:pPr>
      <w:r>
        <w:rPr>
          <w:noProof/>
        </w:rPr>
        <w:drawing>
          <wp:inline distT="0" distB="0" distL="0" distR="0">
            <wp:extent cx="2209800" cy="190500"/>
            <wp:effectExtent l="0" t="0" r="0" b="0"/>
            <wp:docPr id="37481119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11198" name="תמונה 3" descr="ממצאים חיוביים"/>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7534EA" w:rsidRPr="007534EA" w:rsidP="00783DDB">
      <w:pPr>
        <w:pStyle w:val="73"/>
        <w:spacing w:after="140"/>
        <w:rPr>
          <w:rFonts w:eastAsia="Calibri"/>
          <w:sz w:val="19"/>
          <w:szCs w:val="19"/>
          <w:rtl/>
        </w:rPr>
      </w:pPr>
      <w:r w:rsidRPr="007534EA">
        <w:rPr>
          <w:rFonts w:eastAsia="Calibri" w:hint="cs"/>
          <w:b/>
          <w:bCs/>
          <w:sz w:val="19"/>
          <w:szCs w:val="19"/>
          <w:rtl/>
        </w:rPr>
        <w:t>ניהול פינוי התושבים במועצה האזורית אשכול</w:t>
      </w:r>
      <w:r w:rsidRPr="007534EA">
        <w:rPr>
          <w:rFonts w:eastAsia="Calibri" w:hint="cs"/>
          <w:sz w:val="19"/>
          <w:szCs w:val="19"/>
          <w:rtl/>
        </w:rPr>
        <w:t xml:space="preserve"> - ניהול פינוי תושבי המועצ</w:t>
      </w:r>
      <w:r w:rsidRPr="007534EA">
        <w:rPr>
          <w:rFonts w:eastAsia="Calibri" w:hint="cs"/>
          <w:sz w:val="19"/>
          <w:szCs w:val="19"/>
          <w:rtl/>
        </w:rPr>
        <w:t xml:space="preserve">ה על ידי עובדים של המועצה בתנאים קשים ולא רגילים, תוך סיכון חייהם, וככלל ללא ציוד מתאים שמאפשר עבודה מרחוק, כמו מחשבים ניידים, ראוי לשבח. על אף </w:t>
      </w:r>
      <w:r w:rsidRPr="007534EA">
        <w:rPr>
          <w:rFonts w:hint="cs"/>
          <w:sz w:val="19"/>
          <w:szCs w:val="19"/>
          <w:rtl/>
        </w:rPr>
        <w:t>המצב</w:t>
      </w:r>
      <w:r w:rsidRPr="007534EA">
        <w:rPr>
          <w:rFonts w:eastAsia="Calibri" w:hint="cs"/>
          <w:sz w:val="19"/>
          <w:szCs w:val="19"/>
          <w:rtl/>
        </w:rPr>
        <w:t xml:space="preserve"> הקשה ואף שלא היו תוכניות פינוי לכל יישובי המועצה, ההיערכות המוקדמת </w:t>
      </w:r>
      <w:r w:rsidRPr="007534EA">
        <w:rPr>
          <w:rFonts w:eastAsia="Calibri"/>
          <w:sz w:val="19"/>
          <w:szCs w:val="19"/>
          <w:rtl/>
        </w:rPr>
        <w:t>של המועצה לפינוי חלק מיישוביה במצב</w:t>
      </w:r>
      <w:r w:rsidRPr="007534EA">
        <w:rPr>
          <w:rFonts w:eastAsia="Calibri" w:hint="cs"/>
          <w:sz w:val="19"/>
          <w:szCs w:val="19"/>
          <w:rtl/>
        </w:rPr>
        <w:t xml:space="preserve"> חירום</w:t>
      </w:r>
      <w:r w:rsidRPr="007534EA">
        <w:rPr>
          <w:rFonts w:eastAsia="Calibri" w:hint="cs"/>
          <w:sz w:val="19"/>
          <w:szCs w:val="19"/>
          <w:rtl/>
        </w:rPr>
        <w:t xml:space="preserve"> סייעה למועצה להתנהל במצב זה. עוד יש לציין את התגייסות עיריית </w:t>
      </w:r>
      <w:r w:rsidRPr="007534EA">
        <w:rPr>
          <w:rFonts w:eastAsia="Calibri" w:hint="cs"/>
          <w:b/>
          <w:bCs/>
          <w:sz w:val="19"/>
          <w:szCs w:val="19"/>
          <w:rtl/>
        </w:rPr>
        <w:t>באר שבע</w:t>
      </w:r>
      <w:r w:rsidRPr="007534EA">
        <w:rPr>
          <w:rFonts w:eastAsia="Calibri" w:hint="cs"/>
          <w:sz w:val="19"/>
          <w:szCs w:val="19"/>
          <w:rtl/>
        </w:rPr>
        <w:t xml:space="preserve"> והמועצות האזוריות </w:t>
      </w:r>
      <w:r w:rsidRPr="007534EA">
        <w:rPr>
          <w:rFonts w:eastAsia="Calibri" w:hint="cs"/>
          <w:b/>
          <w:bCs/>
          <w:sz w:val="19"/>
          <w:szCs w:val="19"/>
          <w:rtl/>
        </w:rPr>
        <w:t>בני שמעון</w:t>
      </w:r>
      <w:r w:rsidRPr="007534EA">
        <w:rPr>
          <w:rFonts w:eastAsia="Calibri" w:hint="cs"/>
          <w:sz w:val="19"/>
          <w:szCs w:val="19"/>
          <w:rtl/>
        </w:rPr>
        <w:t xml:space="preserve"> ו</w:t>
      </w:r>
      <w:r w:rsidRPr="007534EA">
        <w:rPr>
          <w:rFonts w:eastAsia="Calibri" w:hint="cs"/>
          <w:b/>
          <w:bCs/>
          <w:sz w:val="19"/>
          <w:szCs w:val="19"/>
          <w:rtl/>
        </w:rPr>
        <w:t>הר חברון</w:t>
      </w:r>
      <w:r w:rsidRPr="007534EA">
        <w:rPr>
          <w:rFonts w:eastAsia="Calibri" w:hint="cs"/>
          <w:sz w:val="19"/>
          <w:szCs w:val="19"/>
          <w:rtl/>
        </w:rPr>
        <w:t>, ש</w:t>
      </w:r>
      <w:r w:rsidRPr="007534EA">
        <w:rPr>
          <w:rFonts w:eastAsia="Calibri"/>
          <w:sz w:val="19"/>
          <w:szCs w:val="19"/>
          <w:rtl/>
        </w:rPr>
        <w:t>העמידו לרשות המועצה אוטובוסים ונהגים</w:t>
      </w:r>
      <w:r w:rsidRPr="007534EA">
        <w:rPr>
          <w:rFonts w:eastAsia="Calibri" w:hint="cs"/>
          <w:sz w:val="19"/>
          <w:szCs w:val="19"/>
          <w:rtl/>
        </w:rPr>
        <w:t xml:space="preserve">. </w:t>
      </w:r>
      <w:r w:rsidRPr="007534EA">
        <w:rPr>
          <w:rFonts w:eastAsia="Calibri"/>
          <w:sz w:val="19"/>
          <w:szCs w:val="19"/>
          <w:rtl/>
        </w:rPr>
        <w:t xml:space="preserve">כמו כן, עיריית </w:t>
      </w:r>
      <w:r w:rsidRPr="007534EA">
        <w:rPr>
          <w:rFonts w:eastAsia="Calibri"/>
          <w:b/>
          <w:bCs/>
          <w:sz w:val="19"/>
          <w:szCs w:val="19"/>
          <w:rtl/>
        </w:rPr>
        <w:t>נתיבות</w:t>
      </w:r>
      <w:r w:rsidRPr="007534EA">
        <w:rPr>
          <w:rFonts w:eastAsia="Calibri"/>
          <w:sz w:val="19"/>
          <w:szCs w:val="19"/>
          <w:rtl/>
        </w:rPr>
        <w:t xml:space="preserve"> והמועצה האזורית </w:t>
      </w:r>
      <w:r w:rsidRPr="007534EA">
        <w:rPr>
          <w:rFonts w:eastAsia="Calibri"/>
          <w:b/>
          <w:bCs/>
          <w:sz w:val="19"/>
          <w:szCs w:val="19"/>
          <w:rtl/>
        </w:rPr>
        <w:t>תמר</w:t>
      </w:r>
      <w:r w:rsidRPr="007534EA">
        <w:rPr>
          <w:rFonts w:eastAsia="Calibri"/>
          <w:sz w:val="19"/>
          <w:szCs w:val="19"/>
          <w:rtl/>
        </w:rPr>
        <w:t xml:space="preserve"> סייעו בהקלת תהליך פינויים וקליטתם של המפונים</w:t>
      </w:r>
      <w:r w:rsidRPr="007534EA">
        <w:rPr>
          <w:rFonts w:eastAsia="Calibri" w:hint="cs"/>
          <w:sz w:val="19"/>
          <w:szCs w:val="19"/>
          <w:rtl/>
        </w:rPr>
        <w:t>.</w:t>
      </w:r>
    </w:p>
    <w:p w:rsidR="007534EA" w:rsidRPr="007534EA" w:rsidP="00783DDB">
      <w:pPr>
        <w:pStyle w:val="73"/>
        <w:spacing w:after="140"/>
        <w:rPr>
          <w:rFonts w:eastAsia="Calibri"/>
          <w:sz w:val="19"/>
          <w:szCs w:val="19"/>
          <w:rtl/>
        </w:rPr>
      </w:pPr>
      <w:r w:rsidRPr="007534EA">
        <w:rPr>
          <w:rFonts w:eastAsia="Calibri" w:hint="cs"/>
          <w:b/>
          <w:bCs/>
          <w:sz w:val="19"/>
          <w:szCs w:val="19"/>
          <w:rtl/>
        </w:rPr>
        <w:t>ניהול הליך הפינוי ומ</w:t>
      </w:r>
      <w:r w:rsidRPr="007534EA">
        <w:rPr>
          <w:rFonts w:eastAsia="Calibri" w:hint="cs"/>
          <w:b/>
          <w:bCs/>
          <w:sz w:val="19"/>
          <w:szCs w:val="19"/>
          <w:rtl/>
        </w:rPr>
        <w:t>תן מענה לתושבים המפונים</w:t>
      </w:r>
      <w:r w:rsidRPr="007534EA">
        <w:rPr>
          <w:rFonts w:eastAsia="Calibri" w:hint="cs"/>
          <w:sz w:val="19"/>
          <w:szCs w:val="19"/>
          <w:rtl/>
        </w:rPr>
        <w:t xml:space="preserve"> - עיריית </w:t>
      </w:r>
      <w:r w:rsidRPr="007534EA">
        <w:rPr>
          <w:rFonts w:eastAsia="Calibri" w:hint="cs"/>
          <w:b/>
          <w:bCs/>
          <w:sz w:val="19"/>
          <w:szCs w:val="19"/>
          <w:rtl/>
        </w:rPr>
        <w:t>שדרות</w:t>
      </w:r>
      <w:r w:rsidRPr="007534EA">
        <w:rPr>
          <w:rFonts w:eastAsia="Calibri" w:hint="cs"/>
          <w:sz w:val="19"/>
          <w:szCs w:val="19"/>
          <w:rtl/>
        </w:rPr>
        <w:t xml:space="preserve"> והמועצות האזוריות </w:t>
      </w:r>
      <w:r w:rsidRPr="007534EA">
        <w:rPr>
          <w:rFonts w:eastAsia="Calibri" w:hint="cs"/>
          <w:b/>
          <w:bCs/>
          <w:sz w:val="19"/>
          <w:szCs w:val="19"/>
          <w:rtl/>
        </w:rPr>
        <w:t>אשכול</w:t>
      </w:r>
      <w:r w:rsidRPr="007534EA">
        <w:rPr>
          <w:rFonts w:eastAsia="Calibri" w:hint="cs"/>
          <w:sz w:val="19"/>
          <w:szCs w:val="19"/>
          <w:rtl/>
        </w:rPr>
        <w:t xml:space="preserve"> ו</w:t>
      </w:r>
      <w:r w:rsidRPr="007534EA">
        <w:rPr>
          <w:rFonts w:eastAsia="Calibri" w:hint="cs"/>
          <w:b/>
          <w:bCs/>
          <w:sz w:val="19"/>
          <w:szCs w:val="19"/>
          <w:rtl/>
        </w:rPr>
        <w:t xml:space="preserve">חוף אשקלון </w:t>
      </w:r>
      <w:r w:rsidRPr="007534EA">
        <w:rPr>
          <w:rFonts w:eastAsia="Calibri"/>
          <w:sz w:val="19"/>
          <w:szCs w:val="19"/>
          <w:rtl/>
        </w:rPr>
        <w:t xml:space="preserve">התאימו את </w:t>
      </w:r>
      <w:r w:rsidRPr="007534EA">
        <w:rPr>
          <w:sz w:val="19"/>
          <w:szCs w:val="19"/>
          <w:rtl/>
        </w:rPr>
        <w:t>דרכי</w:t>
      </w:r>
      <w:r w:rsidRPr="007534EA">
        <w:rPr>
          <w:rFonts w:eastAsia="Calibri"/>
          <w:sz w:val="19"/>
          <w:szCs w:val="19"/>
          <w:rtl/>
        </w:rPr>
        <w:t xml:space="preserve"> התנהלותן והשכילו לנהל את הליך הפינוי ולספק מענה </w:t>
      </w:r>
      <w:r w:rsidRPr="007534EA">
        <w:rPr>
          <w:rFonts w:eastAsia="Calibri" w:hint="cs"/>
          <w:sz w:val="19"/>
          <w:szCs w:val="19"/>
          <w:rtl/>
        </w:rPr>
        <w:t>לתושבים המפונים</w:t>
      </w:r>
      <w:r w:rsidRPr="007534EA">
        <w:rPr>
          <w:rFonts w:eastAsia="Calibri"/>
          <w:sz w:val="19"/>
          <w:szCs w:val="19"/>
          <w:rtl/>
        </w:rPr>
        <w:t>.</w:t>
      </w:r>
    </w:p>
    <w:p w:rsidR="007534EA" w:rsidRPr="007534EA" w:rsidP="00783DDB">
      <w:pPr>
        <w:pStyle w:val="73"/>
        <w:spacing w:after="140"/>
        <w:rPr>
          <w:rFonts w:eastAsia="Calibri"/>
          <w:sz w:val="19"/>
          <w:szCs w:val="19"/>
        </w:rPr>
      </w:pPr>
      <w:r w:rsidRPr="007534EA">
        <w:rPr>
          <w:rFonts w:eastAsia="Calibri" w:hint="cs"/>
          <w:b/>
          <w:bCs/>
          <w:sz w:val="19"/>
          <w:szCs w:val="19"/>
          <w:rtl/>
        </w:rPr>
        <w:t xml:space="preserve">ניהול מידע על מפונים באתרי הפינוי ובקהילה </w:t>
      </w:r>
      <w:r w:rsidRPr="007534EA">
        <w:rPr>
          <w:rFonts w:eastAsia="Calibri"/>
          <w:sz w:val="19"/>
          <w:szCs w:val="19"/>
          <w:rtl/>
        </w:rPr>
        <w:t>-</w:t>
      </w:r>
      <w:r w:rsidRPr="007534EA">
        <w:rPr>
          <w:rFonts w:eastAsia="Calibri" w:hint="cs"/>
          <w:sz w:val="19"/>
          <w:szCs w:val="19"/>
          <w:rtl/>
        </w:rPr>
        <w:t xml:space="preserve"> המועצה האזורית </w:t>
      </w:r>
      <w:r w:rsidRPr="007534EA">
        <w:rPr>
          <w:rFonts w:eastAsia="Calibri" w:hint="cs"/>
          <w:b/>
          <w:bCs/>
          <w:sz w:val="19"/>
          <w:szCs w:val="19"/>
          <w:rtl/>
        </w:rPr>
        <w:t>אשכול</w:t>
      </w:r>
      <w:r w:rsidRPr="007534EA">
        <w:rPr>
          <w:rFonts w:eastAsia="Calibri" w:hint="cs"/>
          <w:sz w:val="19"/>
          <w:szCs w:val="19"/>
          <w:rtl/>
        </w:rPr>
        <w:t xml:space="preserve"> ניהלה רשימה מתחילת המלחמה, שהתעדכנה באופן שוטף, ובה מידע על </w:t>
      </w:r>
      <w:r w:rsidRPr="007534EA">
        <w:rPr>
          <w:rFonts w:hint="cs"/>
          <w:sz w:val="19"/>
          <w:szCs w:val="19"/>
          <w:rtl/>
        </w:rPr>
        <w:t>תושביה</w:t>
      </w:r>
      <w:r w:rsidRPr="007534EA">
        <w:rPr>
          <w:rFonts w:eastAsia="Calibri" w:hint="cs"/>
          <w:sz w:val="19"/>
          <w:szCs w:val="19"/>
          <w:rtl/>
        </w:rPr>
        <w:t xml:space="preserve"> המפונים ובכלל זה מפונים בקהילה.</w:t>
      </w:r>
    </w:p>
    <w:p w:rsidR="00780272" w:rsidRPr="00084768" w:rsidP="00783DDB">
      <w:pPr>
        <w:pStyle w:val="73"/>
        <w:spacing w:after="140"/>
        <w:rPr>
          <w:sz w:val="19"/>
          <w:szCs w:val="19"/>
        </w:rPr>
      </w:pPr>
      <w:r w:rsidRPr="007534EA">
        <w:rPr>
          <w:rFonts w:eastAsia="Calibri" w:hint="cs"/>
          <w:b/>
          <w:bCs/>
          <w:sz w:val="19"/>
          <w:szCs w:val="19"/>
          <w:rtl/>
        </w:rPr>
        <w:t xml:space="preserve">העברת מידע לתושבים המפונים </w:t>
      </w:r>
      <w:r w:rsidRPr="007534EA">
        <w:rPr>
          <w:rFonts w:eastAsia="Calibri"/>
          <w:sz w:val="19"/>
          <w:szCs w:val="19"/>
          <w:rtl/>
        </w:rPr>
        <w:t>-</w:t>
      </w:r>
      <w:r w:rsidRPr="007534EA">
        <w:rPr>
          <w:rFonts w:eastAsia="Calibri" w:hint="cs"/>
          <w:sz w:val="19"/>
          <w:szCs w:val="19"/>
          <w:rtl/>
        </w:rPr>
        <w:t xml:space="preserve"> עיריות </w:t>
      </w:r>
      <w:r w:rsidRPr="007534EA">
        <w:rPr>
          <w:rFonts w:eastAsia="Calibri" w:hint="cs"/>
          <w:b/>
          <w:bCs/>
          <w:sz w:val="19"/>
          <w:szCs w:val="19"/>
          <w:rtl/>
        </w:rPr>
        <w:t>אשקלון</w:t>
      </w:r>
      <w:r w:rsidRPr="007534EA">
        <w:rPr>
          <w:rFonts w:eastAsia="Calibri" w:hint="cs"/>
          <w:sz w:val="19"/>
          <w:szCs w:val="19"/>
          <w:rtl/>
        </w:rPr>
        <w:t xml:space="preserve"> ו</w:t>
      </w:r>
      <w:r w:rsidRPr="007534EA">
        <w:rPr>
          <w:rFonts w:eastAsia="Calibri" w:hint="cs"/>
          <w:b/>
          <w:bCs/>
          <w:sz w:val="19"/>
          <w:szCs w:val="19"/>
          <w:rtl/>
        </w:rPr>
        <w:t xml:space="preserve">שדרות </w:t>
      </w:r>
      <w:r w:rsidRPr="007534EA">
        <w:rPr>
          <w:rFonts w:eastAsia="Calibri" w:hint="cs"/>
          <w:sz w:val="19"/>
          <w:szCs w:val="19"/>
          <w:rtl/>
        </w:rPr>
        <w:t xml:space="preserve">והמועצות האזוריות </w:t>
      </w:r>
      <w:r w:rsidRPr="007534EA">
        <w:rPr>
          <w:rFonts w:eastAsia="Calibri" w:hint="cs"/>
          <w:b/>
          <w:bCs/>
          <w:sz w:val="19"/>
          <w:szCs w:val="19"/>
          <w:rtl/>
        </w:rPr>
        <w:t>אשכול</w:t>
      </w:r>
      <w:r w:rsidRPr="007534EA">
        <w:rPr>
          <w:rFonts w:eastAsia="Calibri" w:hint="cs"/>
          <w:sz w:val="19"/>
          <w:szCs w:val="19"/>
          <w:rtl/>
        </w:rPr>
        <w:t xml:space="preserve"> ו</w:t>
      </w:r>
      <w:r w:rsidRPr="007534EA">
        <w:rPr>
          <w:rFonts w:eastAsia="Calibri" w:hint="cs"/>
          <w:b/>
          <w:bCs/>
          <w:sz w:val="19"/>
          <w:szCs w:val="19"/>
          <w:rtl/>
        </w:rPr>
        <w:t xml:space="preserve">חוף אשקלון </w:t>
      </w:r>
      <w:r w:rsidRPr="007534EA">
        <w:rPr>
          <w:rFonts w:eastAsia="Calibri" w:hint="cs"/>
          <w:sz w:val="19"/>
          <w:szCs w:val="19"/>
          <w:rtl/>
        </w:rPr>
        <w:t xml:space="preserve">העבירו לתושביהן המפונים מידע באמצעים שונים </w:t>
      </w:r>
      <w:r w:rsidRPr="007534EA">
        <w:rPr>
          <w:rFonts w:hint="cs"/>
          <w:sz w:val="19"/>
          <w:szCs w:val="19"/>
          <w:rtl/>
        </w:rPr>
        <w:t>ובכללם</w:t>
      </w:r>
      <w:r w:rsidRPr="007534EA">
        <w:rPr>
          <w:rFonts w:eastAsia="Calibri" w:hint="cs"/>
          <w:sz w:val="19"/>
          <w:szCs w:val="19"/>
          <w:rtl/>
        </w:rPr>
        <w:t xml:space="preserve"> אתר האינטרנט העירוני</w:t>
      </w:r>
      <w:r w:rsidRPr="007534EA">
        <w:rPr>
          <w:rFonts w:eastAsia="Calibri" w:hint="cs"/>
          <w:sz w:val="19"/>
          <w:szCs w:val="19"/>
          <w:rtl/>
        </w:rPr>
        <w:t>, רשתות חברתיות, הודעות טקסט לנייד וקבוצות ווטסאפ. השימוש במגוון האמצעים הרחב פעל לטובת העברת מידע חשוב ושימושי בזמן לחימה וכמענה לחיזוק הקשר, השייכות ותחושת הביטחון של התושבים.</w:t>
      </w:r>
    </w:p>
    <w:tbl>
      <w:tblPr>
        <w:tblStyle w:val="TableGrid"/>
        <w:tblpPr w:leftFromText="180" w:rightFromText="180" w:vertAnchor="text" w:tblpXSpec="center" w:tblpY="1"/>
        <w:tblOverlap w:val="never"/>
        <w:bidiVisual/>
        <w:tblW w:w="9074" w:type="dxa"/>
        <w:tblLayout w:type="fixed"/>
        <w:tblLook w:val="04A0"/>
      </w:tblPr>
      <w:tblGrid>
        <w:gridCol w:w="9074"/>
      </w:tblGrid>
      <w:tr w:rsidTr="009E37AC">
        <w:tblPrEx>
          <w:tblW w:w="9074" w:type="dxa"/>
          <w:tblLayout w:type="fixed"/>
          <w:tblLook w:val="04A0"/>
        </w:tblPrEx>
        <w:trPr>
          <w:trHeight w:val="851"/>
        </w:trPr>
        <w:tc>
          <w:tcPr>
            <w:tcW w:w="9074" w:type="dxa"/>
            <w:tcBorders>
              <w:top w:val="nil"/>
              <w:left w:val="nil"/>
              <w:bottom w:val="nil"/>
              <w:right w:val="nil"/>
            </w:tcBorders>
          </w:tcPr>
          <w:p w:rsidR="00AE4BB7" w:rsidRPr="00F66FC8" w:rsidP="009E37AC">
            <w:pPr>
              <w:spacing w:before="240" w:after="180" w:line="288" w:lineRule="auto"/>
              <w:rPr>
                <w:rFonts w:ascii="Tahoma" w:hAnsi="Tahoma" w:cs="Tahoma"/>
                <w:sz w:val="19"/>
                <w:szCs w:val="19"/>
                <w:rtl/>
              </w:rPr>
            </w:pPr>
            <w:r w:rsidRPr="00F66FC8">
              <w:rPr>
                <w:rFonts w:ascii="Tahoma" w:hAnsi="Tahoma" w:cs="Tahoma"/>
                <w:noProof/>
                <w:sz w:val="19"/>
                <w:szCs w:val="19"/>
                <w:rtl/>
              </w:rPr>
              <w:drawing>
                <wp:inline distT="0" distB="0" distL="0" distR="0">
                  <wp:extent cx="5574030" cy="438784"/>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קציר תמונה 3.4.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19160" cy="450209"/>
                          </a:xfrm>
                          <a:prstGeom prst="rect">
                            <a:avLst/>
                          </a:prstGeom>
                        </pic:spPr>
                      </pic:pic>
                    </a:graphicData>
                  </a:graphic>
                </wp:inline>
              </w:drawing>
            </w:r>
          </w:p>
        </w:tc>
      </w:tr>
      <w:tr w:rsidTr="009E37AC">
        <w:tblPrEx>
          <w:tblW w:w="9074" w:type="dxa"/>
          <w:tblLayout w:type="fixed"/>
          <w:tblLook w:val="04A0"/>
        </w:tblPrEx>
        <w:trPr>
          <w:trHeight w:val="2156"/>
        </w:trPr>
        <w:tc>
          <w:tcPr>
            <w:tcW w:w="9074" w:type="dxa"/>
            <w:tcBorders>
              <w:top w:val="nil"/>
              <w:left w:val="nil"/>
              <w:bottom w:val="nil"/>
              <w:right w:val="nil"/>
            </w:tcBorders>
            <w:shd w:val="clear" w:color="auto" w:fill="F1F5F9"/>
          </w:tcPr>
          <w:p w:rsidR="007534EA" w:rsidP="00783DDB">
            <w:pPr>
              <w:pStyle w:val="ListParagraph"/>
              <w:numPr>
                <w:ilvl w:val="0"/>
                <w:numId w:val="12"/>
              </w:numPr>
              <w:spacing w:before="120" w:after="140" w:line="288" w:lineRule="auto"/>
              <w:ind w:left="516" w:right="176" w:hanging="516"/>
              <w:contextualSpacing w:val="0"/>
              <w:rPr>
                <w:rFonts w:ascii="Tahoma" w:hAnsi="Tahoma" w:cs="Tahoma"/>
                <w:sz w:val="19"/>
                <w:szCs w:val="19"/>
              </w:rPr>
            </w:pPr>
            <w:r>
              <w:rPr>
                <w:rFonts w:ascii="Tahoma" w:hAnsi="Tahoma" w:cs="Tahoma" w:hint="cs"/>
                <w:sz w:val="19"/>
                <w:szCs w:val="19"/>
                <w:rtl/>
              </w:rPr>
              <w:t xml:space="preserve">על </w:t>
            </w:r>
            <w:r w:rsidRPr="002445FD">
              <w:rPr>
                <w:rFonts w:ascii="Tahoma" w:hAnsi="Tahoma" w:cs="Tahoma"/>
                <w:sz w:val="19"/>
                <w:szCs w:val="19"/>
                <w:rtl/>
              </w:rPr>
              <w:t>משרד הפנים</w:t>
            </w:r>
            <w:r w:rsidRPr="002445FD">
              <w:rPr>
                <w:rFonts w:ascii="Tahoma" w:hAnsi="Tahoma" w:cs="Tahoma" w:hint="cs"/>
                <w:sz w:val="19"/>
                <w:szCs w:val="19"/>
                <w:rtl/>
              </w:rPr>
              <w:t xml:space="preserve"> </w:t>
            </w:r>
            <w:r w:rsidRPr="002445FD">
              <w:rPr>
                <w:rFonts w:ascii="Tahoma" w:hAnsi="Tahoma" w:cs="Tahoma"/>
                <w:sz w:val="19"/>
                <w:szCs w:val="19"/>
                <w:rtl/>
              </w:rPr>
              <w:t xml:space="preserve">לפעול </w:t>
            </w:r>
            <w:r w:rsidRPr="002445FD">
              <w:rPr>
                <w:rFonts w:ascii="Tahoma" w:hAnsi="Tahoma" w:cs="Tahoma" w:hint="cs"/>
                <w:sz w:val="19"/>
                <w:szCs w:val="19"/>
                <w:rtl/>
              </w:rPr>
              <w:t xml:space="preserve">לקביעת </w:t>
            </w:r>
            <w:r w:rsidRPr="002445FD">
              <w:rPr>
                <w:rFonts w:ascii="Tahoma" w:hAnsi="Tahoma" w:cs="Tahoma"/>
                <w:sz w:val="19"/>
                <w:szCs w:val="19"/>
                <w:rtl/>
              </w:rPr>
              <w:t xml:space="preserve">נוהל </w:t>
            </w:r>
            <w:r w:rsidRPr="002445FD">
              <w:rPr>
                <w:rFonts w:ascii="Tahoma" w:hAnsi="Tahoma" w:cs="Tahoma" w:hint="eastAsia"/>
                <w:sz w:val="19"/>
                <w:szCs w:val="19"/>
                <w:rtl/>
              </w:rPr>
              <w:t>ל</w:t>
            </w:r>
            <w:r w:rsidRPr="002445FD">
              <w:rPr>
                <w:rFonts w:ascii="Tahoma" w:hAnsi="Tahoma" w:cs="Tahoma"/>
                <w:sz w:val="19"/>
                <w:szCs w:val="19"/>
                <w:rtl/>
              </w:rPr>
              <w:t>בניית מערך ה</w:t>
            </w:r>
            <w:r w:rsidRPr="002445FD">
              <w:rPr>
                <w:rFonts w:ascii="Tahoma" w:hAnsi="Tahoma" w:cs="Tahoma" w:hint="eastAsia"/>
                <w:sz w:val="19"/>
                <w:szCs w:val="19"/>
                <w:rtl/>
              </w:rPr>
              <w:t>פינוי</w:t>
            </w:r>
            <w:r w:rsidRPr="002445FD">
              <w:rPr>
                <w:rFonts w:ascii="Tahoma" w:hAnsi="Tahoma" w:cs="Tahoma"/>
                <w:sz w:val="19"/>
                <w:szCs w:val="19"/>
                <w:rtl/>
              </w:rPr>
              <w:t xml:space="preserve"> ברשות המקומית</w:t>
            </w:r>
            <w:r w:rsidRPr="002445FD">
              <w:rPr>
                <w:rFonts w:ascii="Tahoma" w:hAnsi="Tahoma" w:cs="Tahoma" w:hint="cs"/>
                <w:sz w:val="19"/>
                <w:szCs w:val="19"/>
                <w:rtl/>
              </w:rPr>
              <w:t xml:space="preserve"> ולאופן</w:t>
            </w:r>
            <w:r w:rsidRPr="002445FD">
              <w:rPr>
                <w:rFonts w:ascii="Tahoma" w:hAnsi="Tahoma" w:cs="Tahoma"/>
                <w:sz w:val="19"/>
                <w:szCs w:val="19"/>
                <w:rtl/>
              </w:rPr>
              <w:t xml:space="preserve"> הפעלתו ב</w:t>
            </w:r>
            <w:r w:rsidRPr="002445FD">
              <w:rPr>
                <w:rFonts w:ascii="Tahoma" w:hAnsi="Tahoma" w:cs="Tahoma" w:hint="cs"/>
                <w:sz w:val="19"/>
                <w:szCs w:val="19"/>
                <w:rtl/>
              </w:rPr>
              <w:t xml:space="preserve">שעת </w:t>
            </w:r>
            <w:r w:rsidRPr="002445FD">
              <w:rPr>
                <w:rFonts w:ascii="Tahoma" w:hAnsi="Tahoma" w:cs="Tahoma"/>
                <w:sz w:val="19"/>
                <w:szCs w:val="19"/>
                <w:rtl/>
              </w:rPr>
              <w:t>חירום זאת, בהתייעצות עם רח"ל כגורם מנחה וכן כגורם מתאם שכן על הנוהל להיות מתואם עם תכניות פינוי צה"ליות ותכניות של משרד הרווחה ומשרד הבריאות לביצוע פינוי של מי שמוחזקים במוסדות בחזקתם</w:t>
            </w:r>
            <w:r w:rsidRPr="002445FD">
              <w:rPr>
                <w:rFonts w:ascii="Tahoma" w:hAnsi="Tahoma" w:cs="Tahoma" w:hint="cs"/>
                <w:sz w:val="19"/>
                <w:szCs w:val="19"/>
                <w:rtl/>
              </w:rPr>
              <w:t xml:space="preserve">. נוהל כזה יכיל </w:t>
            </w:r>
            <w:r w:rsidRPr="002445FD">
              <w:rPr>
                <w:rFonts w:ascii="Tahoma" w:hAnsi="Tahoma" w:cs="Tahoma"/>
                <w:sz w:val="19"/>
                <w:szCs w:val="19"/>
                <w:rtl/>
              </w:rPr>
              <w:t xml:space="preserve">הוראות מפורטות </w:t>
            </w:r>
            <w:r w:rsidRPr="002445FD">
              <w:rPr>
                <w:rFonts w:ascii="Tahoma" w:hAnsi="Tahoma" w:cs="Tahoma" w:hint="cs"/>
                <w:sz w:val="19"/>
                <w:szCs w:val="19"/>
                <w:rtl/>
              </w:rPr>
              <w:t xml:space="preserve">לרשויות </w:t>
            </w:r>
            <w:r>
              <w:rPr>
                <w:rFonts w:ascii="Tahoma" w:hAnsi="Tahoma" w:cs="Tahoma" w:hint="cs"/>
                <w:sz w:val="19"/>
                <w:szCs w:val="19"/>
                <w:rtl/>
              </w:rPr>
              <w:t xml:space="preserve">מקומיות </w:t>
            </w:r>
            <w:r w:rsidRPr="002445FD">
              <w:rPr>
                <w:rFonts w:ascii="Tahoma" w:hAnsi="Tahoma" w:cs="Tahoma" w:hint="cs"/>
                <w:sz w:val="19"/>
                <w:szCs w:val="19"/>
                <w:rtl/>
              </w:rPr>
              <w:t>מפונות,</w:t>
            </w:r>
            <w:r w:rsidRPr="002445FD">
              <w:rPr>
                <w:rFonts w:ascii="Tahoma" w:hAnsi="Tahoma" w:cs="Tahoma"/>
                <w:sz w:val="19"/>
                <w:szCs w:val="19"/>
                <w:rtl/>
              </w:rPr>
              <w:t xml:space="preserve"> ובכלל</w:t>
            </w:r>
            <w:r w:rsidRPr="002445FD">
              <w:rPr>
                <w:rFonts w:ascii="Tahoma" w:hAnsi="Tahoma" w:cs="Tahoma"/>
                <w:sz w:val="19"/>
                <w:szCs w:val="19"/>
                <w:rtl/>
              </w:rPr>
              <w:t xml:space="preserve"> זה הוראות </w:t>
            </w:r>
            <w:r w:rsidRPr="002445FD">
              <w:rPr>
                <w:rFonts w:ascii="Tahoma" w:hAnsi="Tahoma" w:cs="Tahoma" w:hint="cs"/>
                <w:sz w:val="19"/>
                <w:szCs w:val="19"/>
                <w:rtl/>
              </w:rPr>
              <w:t>שעניינן</w:t>
            </w:r>
            <w:r w:rsidRPr="002445FD">
              <w:rPr>
                <w:rFonts w:ascii="Tahoma" w:hAnsi="Tahoma" w:cs="Tahoma"/>
                <w:sz w:val="19"/>
                <w:szCs w:val="19"/>
                <w:rtl/>
              </w:rPr>
              <w:t xml:space="preserve"> התארגנות הרשויות המקומיות לפינוי תושביהן, ניהול הליך פינוי על ידן, או הסיוע לפינוי שבאחריות צה"ל, העברת הודעות לתושבים, ארגון הסעות</w:t>
            </w:r>
            <w:r w:rsidRPr="002445FD">
              <w:rPr>
                <w:rFonts w:ascii="Tahoma" w:hAnsi="Tahoma" w:cs="Tahoma" w:hint="cs"/>
                <w:sz w:val="19"/>
                <w:szCs w:val="19"/>
                <w:rtl/>
              </w:rPr>
              <w:t>,</w:t>
            </w:r>
            <w:r w:rsidRPr="002445FD">
              <w:rPr>
                <w:rFonts w:ascii="Tahoma" w:hAnsi="Tahoma" w:cs="Tahoma"/>
                <w:sz w:val="19"/>
                <w:szCs w:val="19"/>
                <w:rtl/>
              </w:rPr>
              <w:t xml:space="preserve"> הפעלת כוח אדם </w:t>
            </w:r>
            <w:r w:rsidRPr="002445FD">
              <w:rPr>
                <w:rFonts w:ascii="Tahoma" w:hAnsi="Tahoma" w:cs="Tahoma" w:hint="cs"/>
                <w:sz w:val="19"/>
                <w:szCs w:val="19"/>
                <w:rtl/>
              </w:rPr>
              <w:t xml:space="preserve">ייעודי </w:t>
            </w:r>
            <w:r w:rsidRPr="002445FD">
              <w:rPr>
                <w:rFonts w:ascii="Tahoma" w:hAnsi="Tahoma" w:cs="Tahoma"/>
                <w:sz w:val="19"/>
                <w:szCs w:val="19"/>
                <w:rtl/>
              </w:rPr>
              <w:t xml:space="preserve">והוראות המסדירות </w:t>
            </w:r>
            <w:r w:rsidRPr="002445FD">
              <w:rPr>
                <w:rFonts w:ascii="Tahoma" w:hAnsi="Tahoma" w:cs="Tahoma" w:hint="cs"/>
                <w:sz w:val="19"/>
                <w:szCs w:val="19"/>
                <w:rtl/>
              </w:rPr>
              <w:t xml:space="preserve">את הקשר מול הרשות </w:t>
            </w:r>
            <w:r>
              <w:rPr>
                <w:rFonts w:ascii="Tahoma" w:hAnsi="Tahoma" w:cs="Tahoma" w:hint="cs"/>
                <w:sz w:val="19"/>
                <w:szCs w:val="19"/>
                <w:rtl/>
              </w:rPr>
              <w:t xml:space="preserve">המקומית </w:t>
            </w:r>
            <w:r w:rsidRPr="002445FD">
              <w:rPr>
                <w:rFonts w:ascii="Tahoma" w:hAnsi="Tahoma" w:cs="Tahoma" w:hint="cs"/>
                <w:sz w:val="19"/>
                <w:szCs w:val="19"/>
                <w:rtl/>
              </w:rPr>
              <w:t>הקולטת</w:t>
            </w:r>
            <w:r w:rsidRPr="002445FD">
              <w:rPr>
                <w:rFonts w:ascii="Tahoma" w:hAnsi="Tahoma" w:cs="Tahoma"/>
                <w:sz w:val="19"/>
                <w:szCs w:val="19"/>
                <w:rtl/>
              </w:rPr>
              <w:t>.</w:t>
            </w:r>
            <w:r w:rsidRPr="002445FD">
              <w:rPr>
                <w:rFonts w:ascii="Tahoma" w:hAnsi="Tahoma" w:cs="Tahoma" w:hint="cs"/>
                <w:sz w:val="19"/>
                <w:szCs w:val="19"/>
                <w:rtl/>
              </w:rPr>
              <w:t xml:space="preserve"> </w:t>
            </w:r>
            <w:r w:rsidRPr="002445FD">
              <w:rPr>
                <w:rFonts w:ascii="Tahoma" w:hAnsi="Tahoma" w:cs="Tahoma"/>
                <w:sz w:val="19"/>
                <w:szCs w:val="19"/>
                <w:rtl/>
              </w:rPr>
              <w:t xml:space="preserve">על משרד הפנים להגדיר בהוראות את </w:t>
            </w:r>
            <w:r w:rsidRPr="002445FD">
              <w:rPr>
                <w:rFonts w:ascii="Tahoma" w:hAnsi="Tahoma" w:cs="Tahoma"/>
                <w:sz w:val="19"/>
                <w:szCs w:val="19"/>
                <w:rtl/>
              </w:rPr>
              <w:t>תפקידי הרשויות המפונות ויחסי הגומלין ביניהן לבין הרשויות הקולטות,</w:t>
            </w:r>
            <w:r w:rsidRPr="002445FD">
              <w:rPr>
                <w:rFonts w:ascii="Tahoma" w:hAnsi="Tahoma" w:cs="Tahoma" w:hint="cs"/>
                <w:sz w:val="19"/>
                <w:szCs w:val="19"/>
                <w:rtl/>
              </w:rPr>
              <w:t xml:space="preserve"> </w:t>
            </w:r>
            <w:r w:rsidRPr="002445FD">
              <w:rPr>
                <w:rFonts w:ascii="Tahoma" w:hAnsi="Tahoma" w:cs="Tahoma"/>
                <w:sz w:val="19"/>
                <w:szCs w:val="19"/>
                <w:rtl/>
              </w:rPr>
              <w:t xml:space="preserve">בכל הנוגע </w:t>
            </w:r>
            <w:r w:rsidRPr="002445FD">
              <w:rPr>
                <w:rFonts w:ascii="Tahoma" w:hAnsi="Tahoma" w:cs="Tahoma" w:hint="cs"/>
                <w:sz w:val="19"/>
                <w:szCs w:val="19"/>
                <w:rtl/>
              </w:rPr>
              <w:t>לניהול הליך הפינוי ו</w:t>
            </w:r>
            <w:r w:rsidRPr="002445FD">
              <w:rPr>
                <w:rFonts w:ascii="Tahoma" w:hAnsi="Tahoma" w:cs="Tahoma"/>
                <w:sz w:val="19"/>
                <w:szCs w:val="19"/>
                <w:rtl/>
              </w:rPr>
              <w:t>למילוי צורכי תושביהן המפונים</w:t>
            </w:r>
            <w:r w:rsidRPr="002445FD">
              <w:rPr>
                <w:rFonts w:ascii="Tahoma" w:hAnsi="Tahoma" w:cs="Tahoma" w:hint="cs"/>
                <w:sz w:val="19"/>
                <w:szCs w:val="19"/>
                <w:rtl/>
              </w:rPr>
              <w:t xml:space="preserve"> </w:t>
            </w:r>
            <w:r w:rsidRPr="002445FD">
              <w:rPr>
                <w:rFonts w:ascii="Tahoma" w:hAnsi="Tahoma" w:cs="Tahoma"/>
                <w:sz w:val="19"/>
                <w:szCs w:val="19"/>
                <w:rtl/>
              </w:rPr>
              <w:t>במתקני הקליטה שמחוץ לתחומי הרשות.</w:t>
            </w:r>
            <w:r w:rsidRPr="002445FD">
              <w:rPr>
                <w:rFonts w:ascii="Tahoma" w:hAnsi="Tahoma" w:cs="Tahoma" w:hint="cs"/>
                <w:sz w:val="19"/>
                <w:szCs w:val="19"/>
                <w:rtl/>
              </w:rPr>
              <w:t xml:space="preserve"> על משרד הביטחון </w:t>
            </w:r>
            <w:r w:rsidRPr="002445FD">
              <w:rPr>
                <w:rFonts w:ascii="Tahoma" w:hAnsi="Tahoma" w:cs="Tahoma"/>
                <w:sz w:val="19"/>
                <w:szCs w:val="19"/>
                <w:rtl/>
              </w:rPr>
              <w:t>להחזיק בידיו רשימות מעודכנות של אנשי קשר בשלטון המרכזי וברשויות המקומיות לעניין ת</w:t>
            </w:r>
            <w:r w:rsidRPr="002445FD">
              <w:rPr>
                <w:rFonts w:ascii="Tahoma" w:hAnsi="Tahoma" w:cs="Tahoma"/>
                <w:sz w:val="19"/>
                <w:szCs w:val="19"/>
                <w:rtl/>
              </w:rPr>
              <w:t>פקידם בקליטת מפונים ועם קבלת החלטה על פינוי לכלול בהודעות</w:t>
            </w:r>
            <w:r w:rsidRPr="002445FD">
              <w:rPr>
                <w:rFonts w:ascii="Tahoma" w:hAnsi="Tahoma" w:cs="Tahoma" w:hint="cs"/>
                <w:sz w:val="19"/>
                <w:szCs w:val="19"/>
                <w:rtl/>
              </w:rPr>
              <w:t xml:space="preserve"> </w:t>
            </w:r>
            <w:r w:rsidRPr="002445FD">
              <w:rPr>
                <w:rFonts w:ascii="Tahoma" w:hAnsi="Tahoma" w:cs="Tahoma"/>
                <w:sz w:val="19"/>
                <w:szCs w:val="19"/>
                <w:rtl/>
              </w:rPr>
              <w:t>הפינוי מידע הנוגע לשלב של לאחר הוצאת התושבים</w:t>
            </w:r>
            <w:r w:rsidRPr="002445FD">
              <w:rPr>
                <w:rFonts w:ascii="Tahoma" w:hAnsi="Tahoma" w:cs="Tahoma" w:hint="cs"/>
                <w:sz w:val="19"/>
                <w:szCs w:val="19"/>
                <w:rtl/>
              </w:rPr>
              <w:t xml:space="preserve"> </w:t>
            </w:r>
            <w:r w:rsidRPr="002445FD">
              <w:rPr>
                <w:rFonts w:ascii="Tahoma" w:hAnsi="Tahoma" w:cs="Tahoma"/>
                <w:sz w:val="19"/>
                <w:szCs w:val="19"/>
                <w:rtl/>
              </w:rPr>
              <w:t xml:space="preserve">מאזור הסכנה </w:t>
            </w:r>
            <w:r w:rsidRPr="002445FD">
              <w:rPr>
                <w:rFonts w:ascii="Tahoma" w:hAnsi="Tahoma" w:cs="Tahoma" w:hint="cs"/>
                <w:sz w:val="19"/>
                <w:szCs w:val="19"/>
                <w:rtl/>
              </w:rPr>
              <w:t xml:space="preserve">ובכלל זה יעדי הקליטה, אנשי הקשר </w:t>
            </w:r>
            <w:r w:rsidRPr="002445FD">
              <w:rPr>
                <w:rFonts w:ascii="Tahoma" w:hAnsi="Tahoma" w:cs="Tahoma"/>
                <w:sz w:val="19"/>
                <w:szCs w:val="19"/>
                <w:rtl/>
              </w:rPr>
              <w:t xml:space="preserve">בשלטון המרכזי </w:t>
            </w:r>
            <w:r w:rsidRPr="002445FD">
              <w:rPr>
                <w:rFonts w:ascii="Tahoma" w:hAnsi="Tahoma" w:cs="Tahoma" w:hint="cs"/>
                <w:sz w:val="19"/>
                <w:szCs w:val="19"/>
                <w:rtl/>
              </w:rPr>
              <w:t>וברשויות המקומיות ועוד</w:t>
            </w:r>
            <w:r>
              <w:rPr>
                <w:rFonts w:ascii="Tahoma" w:hAnsi="Tahoma" w:cs="Tahoma" w:hint="cs"/>
                <w:sz w:val="19"/>
                <w:szCs w:val="19"/>
                <w:rtl/>
              </w:rPr>
              <w:t>.</w:t>
            </w:r>
          </w:p>
          <w:p w:rsidR="00335A27" w:rsidRPr="00314917" w:rsidP="00335A27">
            <w:pPr>
              <w:pStyle w:val="ListParagraph"/>
              <w:spacing w:before="120" w:after="140" w:line="288" w:lineRule="auto"/>
              <w:ind w:left="516" w:right="176"/>
              <w:contextualSpacing w:val="0"/>
              <w:rPr>
                <w:rFonts w:ascii="Tahoma" w:hAnsi="Tahoma" w:cs="Tahoma"/>
                <w:sz w:val="9"/>
                <w:szCs w:val="9"/>
              </w:rPr>
            </w:pPr>
          </w:p>
          <w:p w:rsidR="007534EA" w:rsidRPr="004A4F03" w:rsidP="00783DDB">
            <w:pPr>
              <w:pStyle w:val="ListParagraph"/>
              <w:numPr>
                <w:ilvl w:val="0"/>
                <w:numId w:val="12"/>
              </w:numPr>
              <w:spacing w:before="120" w:after="140" w:line="288" w:lineRule="auto"/>
              <w:ind w:left="516" w:right="176" w:hanging="516"/>
              <w:contextualSpacing w:val="0"/>
              <w:rPr>
                <w:rFonts w:ascii="Tahoma" w:hAnsi="Tahoma" w:cs="Tahoma"/>
                <w:sz w:val="19"/>
                <w:szCs w:val="19"/>
              </w:rPr>
            </w:pPr>
            <w:r w:rsidRPr="004A4F03">
              <w:rPr>
                <w:rFonts w:ascii="Tahoma" w:hAnsi="Tahoma" w:cs="Tahoma"/>
                <w:sz w:val="19"/>
                <w:szCs w:val="19"/>
                <w:rtl/>
              </w:rPr>
              <w:t>על רח"ל</w:t>
            </w:r>
            <w:r>
              <w:rPr>
                <w:rtl/>
              </w:rPr>
              <w:t xml:space="preserve"> </w:t>
            </w:r>
            <w:r w:rsidRPr="00E37148">
              <w:rPr>
                <w:rFonts w:ascii="Tahoma" w:hAnsi="Tahoma" w:cs="Tahoma"/>
                <w:sz w:val="19"/>
                <w:szCs w:val="19"/>
                <w:rtl/>
              </w:rPr>
              <w:t xml:space="preserve">לפעול בשיתוף </w:t>
            </w:r>
            <w:r w:rsidRPr="004A4F03">
              <w:rPr>
                <w:rFonts w:ascii="Tahoma" w:hAnsi="Tahoma" w:cs="Tahoma"/>
                <w:sz w:val="19"/>
                <w:szCs w:val="19"/>
                <w:rtl/>
              </w:rPr>
              <w:t>משרד הפנים</w:t>
            </w:r>
            <w:r>
              <w:rPr>
                <w:rFonts w:ascii="Tahoma" w:hAnsi="Tahoma" w:cs="Tahoma" w:hint="cs"/>
                <w:sz w:val="19"/>
                <w:szCs w:val="19"/>
                <w:rtl/>
              </w:rPr>
              <w:t>,</w:t>
            </w:r>
            <w:r w:rsidRPr="004A4F03">
              <w:rPr>
                <w:rFonts w:ascii="Tahoma" w:hAnsi="Tahoma" w:cs="Tahoma"/>
                <w:sz w:val="19"/>
                <w:szCs w:val="19"/>
                <w:rtl/>
              </w:rPr>
              <w:t xml:space="preserve"> </w:t>
            </w:r>
            <w:r w:rsidRPr="004A4F03">
              <w:rPr>
                <w:rFonts w:ascii="Tahoma" w:hAnsi="Tahoma" w:cs="Tahoma" w:hint="cs"/>
                <w:sz w:val="19"/>
                <w:szCs w:val="19"/>
                <w:rtl/>
              </w:rPr>
              <w:t xml:space="preserve">בתיאום עם </w:t>
            </w:r>
            <w:r w:rsidRPr="004A4F03">
              <w:rPr>
                <w:rFonts w:ascii="Tahoma" w:hAnsi="Tahoma" w:cs="Tahoma"/>
                <w:sz w:val="19"/>
                <w:szCs w:val="19"/>
                <w:rtl/>
              </w:rPr>
              <w:t xml:space="preserve">הרשויות המקומיות </w:t>
            </w:r>
            <w:r w:rsidRPr="004A4F03">
              <w:rPr>
                <w:rFonts w:ascii="Tahoma" w:hAnsi="Tahoma" w:cs="Tahoma" w:hint="cs"/>
                <w:sz w:val="19"/>
                <w:szCs w:val="19"/>
                <w:rtl/>
              </w:rPr>
              <w:t>ו</w:t>
            </w:r>
            <w:r w:rsidRPr="004A4F03">
              <w:rPr>
                <w:rFonts w:ascii="Tahoma" w:hAnsi="Tahoma" w:cs="Tahoma"/>
                <w:sz w:val="19"/>
                <w:szCs w:val="19"/>
                <w:rtl/>
              </w:rPr>
              <w:t xml:space="preserve">משרד </w:t>
            </w:r>
            <w:r w:rsidRPr="004A4F03">
              <w:rPr>
                <w:rFonts w:ascii="Tahoma" w:hAnsi="Tahoma" w:cs="Tahoma"/>
                <w:sz w:val="19"/>
                <w:szCs w:val="19"/>
                <w:rtl/>
              </w:rPr>
              <w:t>התיירות</w:t>
            </w:r>
            <w:r>
              <w:rPr>
                <w:rFonts w:ascii="Tahoma" w:hAnsi="Tahoma" w:cs="Tahoma" w:hint="cs"/>
                <w:sz w:val="19"/>
                <w:szCs w:val="19"/>
                <w:rtl/>
              </w:rPr>
              <w:t xml:space="preserve">, </w:t>
            </w:r>
            <w:r w:rsidRPr="004A4F03">
              <w:rPr>
                <w:rFonts w:ascii="Tahoma" w:hAnsi="Tahoma" w:cs="Tahoma"/>
                <w:sz w:val="19"/>
                <w:szCs w:val="19"/>
                <w:rtl/>
              </w:rPr>
              <w:t xml:space="preserve">לגיבוש תוכניות סדורות </w:t>
            </w:r>
            <w:r w:rsidRPr="00E37148">
              <w:rPr>
                <w:rFonts w:ascii="Tahoma" w:hAnsi="Tahoma" w:cs="Tahoma"/>
                <w:sz w:val="19"/>
                <w:szCs w:val="19"/>
                <w:rtl/>
              </w:rPr>
              <w:t xml:space="preserve">לשיבוץ מפונים </w:t>
            </w:r>
            <w:r w:rsidRPr="0044055C">
              <w:rPr>
                <w:rFonts w:ascii="Tahoma" w:hAnsi="Tahoma" w:cs="Tahoma"/>
                <w:sz w:val="19"/>
                <w:szCs w:val="19"/>
                <w:rtl/>
              </w:rPr>
              <w:t>במתקני אירוח</w:t>
            </w:r>
            <w:r w:rsidRPr="00E37148">
              <w:rPr>
                <w:rFonts w:ascii="Tahoma" w:hAnsi="Tahoma" w:cs="Tahoma"/>
                <w:sz w:val="19"/>
                <w:szCs w:val="19"/>
                <w:rtl/>
              </w:rPr>
              <w:t xml:space="preserve"> </w:t>
            </w:r>
            <w:r w:rsidRPr="004A4F03">
              <w:rPr>
                <w:rFonts w:ascii="Tahoma" w:hAnsi="Tahoma" w:cs="Tahoma"/>
                <w:sz w:val="19"/>
                <w:szCs w:val="19"/>
                <w:rtl/>
              </w:rPr>
              <w:t>בהתבסס על הליך הפקת לקחים מהפינויים שהתקיימו בעקבות מלחמת חרבות ברזל, ובהן יש לתת מענה לכשלים שהתרחשו בפינויים אלו</w:t>
            </w:r>
            <w:r w:rsidRPr="00E37148">
              <w:rPr>
                <w:rFonts w:ascii="Tahoma" w:hAnsi="Tahoma" w:cs="Tahoma"/>
                <w:sz w:val="19"/>
                <w:szCs w:val="19"/>
                <w:rtl/>
              </w:rPr>
              <w:t>, ולהביאן לאישור הממשלה</w:t>
            </w:r>
            <w:r w:rsidRPr="004A4F03">
              <w:rPr>
                <w:rFonts w:ascii="Tahoma" w:hAnsi="Tahoma" w:cs="Tahoma"/>
                <w:sz w:val="19"/>
                <w:szCs w:val="19"/>
                <w:rtl/>
              </w:rPr>
              <w:t>. בכלל המענים הנדרשים, קביעת יעדי קליטה המאפשרים לשמור על שגר</w:t>
            </w:r>
            <w:r w:rsidRPr="004A4F03">
              <w:rPr>
                <w:rFonts w:ascii="Tahoma" w:hAnsi="Tahoma" w:cs="Tahoma"/>
                <w:sz w:val="19"/>
                <w:szCs w:val="19"/>
                <w:rtl/>
              </w:rPr>
              <w:t>ת חיים בתקופת פינוי ממושכת ועל הקהילתיות, הימנעות עד כמה שניתן מפיזור תושבי הרשות המקומית בין אתרי הקליטה ברחבי הארץ, קביעת קריטריונים לחלוקת חדרים ב</w:t>
            </w:r>
            <w:r>
              <w:rPr>
                <w:rFonts w:ascii="Tahoma" w:hAnsi="Tahoma" w:cs="Tahoma" w:hint="cs"/>
                <w:sz w:val="19"/>
                <w:szCs w:val="19"/>
                <w:rtl/>
              </w:rPr>
              <w:t>מתקני האירוח</w:t>
            </w:r>
            <w:r w:rsidRPr="004A4F03">
              <w:rPr>
                <w:rFonts w:ascii="Tahoma" w:hAnsi="Tahoma" w:cs="Tahoma"/>
                <w:sz w:val="19"/>
                <w:szCs w:val="19"/>
                <w:rtl/>
              </w:rPr>
              <w:t xml:space="preserve"> תוך התאמה למבנה התא המשפחתי.</w:t>
            </w:r>
          </w:p>
          <w:p w:rsidR="007534EA" w:rsidRPr="004A4F03" w:rsidP="00783DDB">
            <w:pPr>
              <w:pStyle w:val="ListParagraph"/>
              <w:numPr>
                <w:ilvl w:val="0"/>
                <w:numId w:val="12"/>
              </w:numPr>
              <w:spacing w:before="120" w:after="140" w:line="288" w:lineRule="auto"/>
              <w:ind w:left="516" w:right="176" w:hanging="516"/>
              <w:contextualSpacing w:val="0"/>
              <w:rPr>
                <w:rFonts w:ascii="Tahoma" w:hAnsi="Tahoma" w:cs="Tahoma"/>
                <w:sz w:val="19"/>
                <w:szCs w:val="19"/>
              </w:rPr>
            </w:pPr>
            <w:r w:rsidRPr="004A4F03">
              <w:rPr>
                <w:rFonts w:ascii="Tahoma" w:hAnsi="Tahoma" w:cs="Tahoma" w:hint="eastAsia"/>
                <w:sz w:val="19"/>
                <w:szCs w:val="19"/>
                <w:rtl/>
              </w:rPr>
              <w:t>על</w:t>
            </w:r>
            <w:r w:rsidRPr="004A4F03">
              <w:rPr>
                <w:rFonts w:ascii="Tahoma" w:hAnsi="Tahoma" w:cs="Tahoma" w:hint="cs"/>
                <w:sz w:val="19"/>
                <w:szCs w:val="19"/>
                <w:rtl/>
              </w:rPr>
              <w:t xml:space="preserve"> עיריית </w:t>
            </w:r>
            <w:r w:rsidRPr="004A4F03">
              <w:rPr>
                <w:rFonts w:ascii="Tahoma" w:hAnsi="Tahoma" w:cs="Tahoma" w:hint="cs"/>
                <w:b/>
                <w:bCs/>
                <w:sz w:val="19"/>
                <w:szCs w:val="19"/>
                <w:rtl/>
              </w:rPr>
              <w:t>אופקים</w:t>
            </w:r>
            <w:r w:rsidRPr="004A4F03">
              <w:rPr>
                <w:rFonts w:ascii="Tahoma" w:hAnsi="Tahoma" w:cs="Tahoma" w:hint="cs"/>
                <w:sz w:val="19"/>
                <w:szCs w:val="19"/>
                <w:rtl/>
              </w:rPr>
              <w:t xml:space="preserve"> לקיים הליך הפקת לקחים ובמסגרתו </w:t>
            </w:r>
            <w:r w:rsidRPr="00E37148">
              <w:rPr>
                <w:rFonts w:ascii="Tahoma" w:hAnsi="Tahoma" w:cs="Tahoma"/>
                <w:sz w:val="19"/>
                <w:szCs w:val="19"/>
                <w:rtl/>
              </w:rPr>
              <w:t>ייבחנו הנקודות הא</w:t>
            </w:r>
            <w:r w:rsidRPr="00E37148">
              <w:rPr>
                <w:rFonts w:ascii="Tahoma" w:hAnsi="Tahoma" w:cs="Tahoma"/>
                <w:sz w:val="19"/>
                <w:szCs w:val="19"/>
                <w:rtl/>
              </w:rPr>
              <w:t>לה: תרחישים אפשריים של פינוי תושבים</w:t>
            </w:r>
            <w:r>
              <w:rPr>
                <w:rFonts w:ascii="Tahoma" w:hAnsi="Tahoma" w:cs="Tahoma" w:hint="cs"/>
                <w:sz w:val="19"/>
                <w:szCs w:val="19"/>
                <w:rtl/>
              </w:rPr>
              <w:t xml:space="preserve">, </w:t>
            </w:r>
            <w:r w:rsidRPr="004A4F03">
              <w:rPr>
                <w:rFonts w:ascii="Tahoma" w:hAnsi="Tahoma" w:cs="Tahoma" w:hint="cs"/>
                <w:sz w:val="19"/>
                <w:szCs w:val="19"/>
                <w:rtl/>
              </w:rPr>
              <w:t>הצורך בהתקשרות מוקדמת, על פי כללי מינהל תקין, עם חברות היסעים, סוכני תיירות ומלונות לטובת הפעלת תוכניות פינוי וריענון בשעת חירום</w:t>
            </w:r>
            <w:r>
              <w:rPr>
                <w:rFonts w:ascii="Tahoma" w:hAnsi="Tahoma" w:cs="Tahoma" w:hint="cs"/>
                <w:sz w:val="19"/>
                <w:szCs w:val="19"/>
                <w:rtl/>
              </w:rPr>
              <w:t>, והכנת</w:t>
            </w:r>
            <w:r w:rsidRPr="004A4F03">
              <w:rPr>
                <w:rFonts w:ascii="Tahoma" w:hAnsi="Tahoma" w:cs="Tahoma" w:hint="cs"/>
                <w:sz w:val="19"/>
                <w:szCs w:val="19"/>
                <w:rtl/>
              </w:rPr>
              <w:t xml:space="preserve"> תוכנית מוסדרת לניהול הליך שכזה. במסגרת תוכנית זו יש להתייחס להליכי הפרסום והרישום, </w:t>
            </w:r>
            <w:r w:rsidRPr="004A4F03">
              <w:rPr>
                <w:rFonts w:ascii="Tahoma" w:hAnsi="Tahoma" w:cs="Tahoma" w:hint="cs"/>
                <w:sz w:val="19"/>
                <w:szCs w:val="19"/>
                <w:rtl/>
              </w:rPr>
              <w:t>לקביעת הקריטריונים ולבחינתם</w:t>
            </w:r>
            <w:r>
              <w:rPr>
                <w:rFonts w:ascii="Tahoma" w:hAnsi="Tahoma" w:cs="Tahoma" w:hint="cs"/>
                <w:sz w:val="19"/>
                <w:szCs w:val="19"/>
                <w:rtl/>
              </w:rPr>
              <w:t>, וכן יש</w:t>
            </w:r>
            <w:r w:rsidRPr="004A4F03">
              <w:rPr>
                <w:rFonts w:ascii="Tahoma" w:hAnsi="Tahoma" w:cs="Tahoma" w:hint="cs"/>
                <w:sz w:val="19"/>
                <w:szCs w:val="19"/>
                <w:rtl/>
              </w:rPr>
              <w:t xml:space="preserve"> להקפיד </w:t>
            </w:r>
            <w:r>
              <w:rPr>
                <w:rFonts w:ascii="Tahoma" w:hAnsi="Tahoma" w:cs="Tahoma" w:hint="cs"/>
                <w:sz w:val="19"/>
                <w:szCs w:val="19"/>
                <w:rtl/>
              </w:rPr>
              <w:t>ש</w:t>
            </w:r>
            <w:r w:rsidRPr="004A4F03">
              <w:rPr>
                <w:rFonts w:ascii="Tahoma" w:hAnsi="Tahoma" w:cs="Tahoma" w:hint="cs"/>
                <w:sz w:val="19"/>
                <w:szCs w:val="19"/>
                <w:rtl/>
              </w:rPr>
              <w:t xml:space="preserve">התהליך </w:t>
            </w:r>
            <w:r>
              <w:rPr>
                <w:rFonts w:ascii="Tahoma" w:hAnsi="Tahoma" w:cs="Tahoma" w:hint="cs"/>
                <w:sz w:val="19"/>
                <w:szCs w:val="19"/>
                <w:rtl/>
              </w:rPr>
              <w:t xml:space="preserve">יתועד </w:t>
            </w:r>
            <w:r w:rsidRPr="004A4F03">
              <w:rPr>
                <w:rFonts w:ascii="Tahoma" w:hAnsi="Tahoma" w:cs="Tahoma" w:hint="cs"/>
                <w:sz w:val="19"/>
                <w:szCs w:val="19"/>
                <w:rtl/>
              </w:rPr>
              <w:t xml:space="preserve">באורח מלא. </w:t>
            </w:r>
            <w:r w:rsidRPr="004A4F03">
              <w:rPr>
                <w:rFonts w:ascii="Tahoma" w:hAnsi="Tahoma" w:cs="Tahoma" w:hint="eastAsia"/>
                <w:sz w:val="19"/>
                <w:szCs w:val="19"/>
                <w:rtl/>
              </w:rPr>
              <w:t>על</w:t>
            </w:r>
            <w:r w:rsidRPr="004A4F03">
              <w:rPr>
                <w:rFonts w:ascii="Tahoma" w:hAnsi="Tahoma" w:cs="Tahoma" w:hint="cs"/>
                <w:sz w:val="19"/>
                <w:szCs w:val="19"/>
                <w:rtl/>
              </w:rPr>
              <w:t xml:space="preserve"> המועצה האזורית </w:t>
            </w:r>
            <w:r w:rsidRPr="004A4F03">
              <w:rPr>
                <w:rFonts w:ascii="Tahoma" w:hAnsi="Tahoma" w:cs="Tahoma" w:hint="cs"/>
                <w:b/>
                <w:bCs/>
                <w:sz w:val="19"/>
                <w:szCs w:val="19"/>
                <w:rtl/>
              </w:rPr>
              <w:t>חוף אשקלון</w:t>
            </w:r>
            <w:r w:rsidRPr="004A4F03">
              <w:rPr>
                <w:rFonts w:ascii="Tahoma" w:hAnsi="Tahoma" w:cs="Tahoma" w:hint="cs"/>
                <w:sz w:val="19"/>
                <w:szCs w:val="19"/>
                <w:rtl/>
              </w:rPr>
              <w:t xml:space="preserve"> להקפיד</w:t>
            </w:r>
            <w:r>
              <w:rPr>
                <w:rFonts w:ascii="Tahoma" w:hAnsi="Tahoma" w:cs="Tahoma" w:hint="cs"/>
                <w:sz w:val="19"/>
                <w:szCs w:val="19"/>
                <w:rtl/>
              </w:rPr>
              <w:t>,</w:t>
            </w:r>
            <w:r w:rsidRPr="004A4F03">
              <w:rPr>
                <w:rFonts w:ascii="Tahoma" w:hAnsi="Tahoma" w:cs="Tahoma" w:hint="cs"/>
                <w:sz w:val="19"/>
                <w:szCs w:val="19"/>
                <w:rtl/>
              </w:rPr>
              <w:t xml:space="preserve"> עת היא פועלת לפינוי </w:t>
            </w:r>
            <w:r w:rsidRPr="00E37148">
              <w:rPr>
                <w:rFonts w:ascii="Tahoma" w:hAnsi="Tahoma" w:cs="Tahoma"/>
                <w:sz w:val="19"/>
                <w:szCs w:val="19"/>
                <w:rtl/>
              </w:rPr>
              <w:t>או הוצאה לריענון של תושביה</w:t>
            </w:r>
            <w:r>
              <w:rPr>
                <w:rFonts w:ascii="Tahoma" w:hAnsi="Tahoma" w:cs="Tahoma" w:hint="cs"/>
                <w:sz w:val="19"/>
                <w:szCs w:val="19"/>
                <w:rtl/>
              </w:rPr>
              <w:t xml:space="preserve"> </w:t>
            </w:r>
            <w:r w:rsidRPr="004A4F03">
              <w:rPr>
                <w:rFonts w:ascii="Tahoma" w:hAnsi="Tahoma" w:cs="Tahoma" w:hint="cs"/>
                <w:sz w:val="19"/>
                <w:szCs w:val="19"/>
                <w:rtl/>
              </w:rPr>
              <w:t xml:space="preserve">לנהל </w:t>
            </w:r>
            <w:r>
              <w:rPr>
                <w:rFonts w:ascii="Tahoma" w:hAnsi="Tahoma" w:cs="Tahoma" w:hint="cs"/>
                <w:sz w:val="19"/>
                <w:szCs w:val="19"/>
                <w:rtl/>
              </w:rPr>
              <w:t>ז</w:t>
            </w:r>
            <w:r w:rsidRPr="004A4F03">
              <w:rPr>
                <w:rFonts w:ascii="Tahoma" w:hAnsi="Tahoma" w:cs="Tahoma" w:hint="cs"/>
                <w:sz w:val="19"/>
                <w:szCs w:val="19"/>
                <w:rtl/>
              </w:rPr>
              <w:t>את תוך שקיפות מלאה של הליך קביעת הקריטריונים לזכאות ובאופן שמאפשר בקרה על ההליכים בכללותם</w:t>
            </w:r>
            <w:r w:rsidRPr="004A4F03">
              <w:rPr>
                <w:rFonts w:ascii="Tahoma" w:hAnsi="Tahoma" w:cs="Tahoma"/>
                <w:sz w:val="19"/>
                <w:szCs w:val="19"/>
                <w:rtl/>
              </w:rPr>
              <w:t>.</w:t>
            </w:r>
          </w:p>
          <w:p w:rsidR="007534EA" w:rsidRPr="004A4F03" w:rsidP="00783DDB">
            <w:pPr>
              <w:pStyle w:val="ListParagraph"/>
              <w:numPr>
                <w:ilvl w:val="0"/>
                <w:numId w:val="12"/>
              </w:numPr>
              <w:spacing w:before="120" w:after="140" w:line="288" w:lineRule="auto"/>
              <w:ind w:left="516" w:right="176" w:hanging="516"/>
              <w:contextualSpacing w:val="0"/>
              <w:rPr>
                <w:rFonts w:ascii="Tahoma" w:hAnsi="Tahoma" w:cs="Tahoma"/>
                <w:sz w:val="19"/>
                <w:szCs w:val="19"/>
              </w:rPr>
            </w:pPr>
            <w:r w:rsidRPr="004A4F03">
              <w:rPr>
                <w:rFonts w:ascii="Tahoma" w:hAnsi="Tahoma" w:cs="Tahoma" w:hint="cs"/>
                <w:sz w:val="19"/>
                <w:szCs w:val="19"/>
                <w:rtl/>
              </w:rPr>
              <w:t xml:space="preserve">על </w:t>
            </w:r>
            <w:r w:rsidRPr="004A4F03">
              <w:rPr>
                <w:rFonts w:ascii="Tahoma" w:hAnsi="Tahoma" w:cs="Tahoma"/>
                <w:sz w:val="19"/>
                <w:szCs w:val="19"/>
                <w:rtl/>
              </w:rPr>
              <w:t>עירי</w:t>
            </w:r>
            <w:r w:rsidRPr="004A4F03">
              <w:rPr>
                <w:rFonts w:ascii="Tahoma" w:hAnsi="Tahoma" w:cs="Tahoma" w:hint="cs"/>
                <w:sz w:val="19"/>
                <w:szCs w:val="19"/>
                <w:rtl/>
              </w:rPr>
              <w:t>ו</w:t>
            </w:r>
            <w:r w:rsidRPr="004A4F03">
              <w:rPr>
                <w:rFonts w:ascii="Tahoma" w:hAnsi="Tahoma" w:cs="Tahoma"/>
                <w:sz w:val="19"/>
                <w:szCs w:val="19"/>
                <w:rtl/>
              </w:rPr>
              <w:t xml:space="preserve">ת </w:t>
            </w:r>
            <w:r w:rsidRPr="004A4F03">
              <w:rPr>
                <w:rFonts w:ascii="Tahoma" w:hAnsi="Tahoma" w:cs="Tahoma"/>
                <w:b/>
                <w:bCs/>
                <w:sz w:val="19"/>
                <w:szCs w:val="19"/>
                <w:rtl/>
              </w:rPr>
              <w:t>אשקלון</w:t>
            </w:r>
            <w:r w:rsidRPr="004A4F03">
              <w:rPr>
                <w:rFonts w:ascii="Tahoma" w:hAnsi="Tahoma" w:cs="Tahoma" w:hint="cs"/>
                <w:sz w:val="19"/>
                <w:szCs w:val="19"/>
                <w:rtl/>
              </w:rPr>
              <w:t xml:space="preserve"> ו</w:t>
            </w:r>
            <w:r w:rsidRPr="004A4F03">
              <w:rPr>
                <w:rFonts w:ascii="Tahoma" w:hAnsi="Tahoma" w:cs="Tahoma" w:hint="cs"/>
                <w:b/>
                <w:bCs/>
                <w:sz w:val="19"/>
                <w:szCs w:val="19"/>
                <w:rtl/>
              </w:rPr>
              <w:t>שדרות</w:t>
            </w:r>
            <w:r w:rsidRPr="004A4F03">
              <w:rPr>
                <w:rFonts w:ascii="Tahoma" w:hAnsi="Tahoma" w:cs="Tahoma" w:hint="cs"/>
                <w:sz w:val="19"/>
                <w:szCs w:val="19"/>
                <w:rtl/>
              </w:rPr>
              <w:t xml:space="preserve"> והמועצה האזורית </w:t>
            </w:r>
            <w:r w:rsidRPr="004A4F03">
              <w:rPr>
                <w:rFonts w:ascii="Tahoma" w:hAnsi="Tahoma" w:cs="Tahoma" w:hint="cs"/>
                <w:b/>
                <w:bCs/>
                <w:sz w:val="19"/>
                <w:szCs w:val="19"/>
                <w:rtl/>
              </w:rPr>
              <w:t>חוף אשקלון</w:t>
            </w:r>
            <w:r w:rsidRPr="004A4F03">
              <w:rPr>
                <w:rFonts w:ascii="Tahoma" w:hAnsi="Tahoma" w:cs="Tahoma"/>
                <w:sz w:val="19"/>
                <w:szCs w:val="19"/>
                <w:rtl/>
              </w:rPr>
              <w:t xml:space="preserve"> </w:t>
            </w:r>
            <w:r>
              <w:rPr>
                <w:rFonts w:ascii="Tahoma" w:hAnsi="Tahoma" w:cs="Tahoma" w:hint="cs"/>
                <w:sz w:val="19"/>
                <w:szCs w:val="19"/>
                <w:rtl/>
              </w:rPr>
              <w:t>לקבוע</w:t>
            </w:r>
            <w:r w:rsidRPr="004A4F03">
              <w:rPr>
                <w:rFonts w:ascii="Tahoma" w:hAnsi="Tahoma" w:cs="Tahoma" w:hint="cs"/>
                <w:sz w:val="19"/>
                <w:szCs w:val="19"/>
                <w:rtl/>
              </w:rPr>
              <w:t xml:space="preserve"> מנגנון שיאפשר להן לנהל קשר</w:t>
            </w:r>
            <w:r w:rsidRPr="004A4F03">
              <w:rPr>
                <w:rFonts w:ascii="Tahoma" w:hAnsi="Tahoma" w:cs="Tahoma"/>
                <w:sz w:val="19"/>
                <w:szCs w:val="19"/>
                <w:rtl/>
              </w:rPr>
              <w:t xml:space="preserve"> </w:t>
            </w:r>
            <w:r>
              <w:rPr>
                <w:rFonts w:ascii="Tahoma" w:hAnsi="Tahoma" w:cs="Tahoma" w:hint="cs"/>
                <w:sz w:val="19"/>
                <w:szCs w:val="19"/>
                <w:rtl/>
              </w:rPr>
              <w:t xml:space="preserve">שוטף </w:t>
            </w:r>
            <w:r w:rsidRPr="004A4F03">
              <w:rPr>
                <w:rFonts w:ascii="Tahoma" w:hAnsi="Tahoma" w:cs="Tahoma" w:hint="cs"/>
                <w:sz w:val="19"/>
                <w:szCs w:val="19"/>
                <w:rtl/>
              </w:rPr>
              <w:t xml:space="preserve">עם </w:t>
            </w:r>
            <w:r w:rsidRPr="004A4F03">
              <w:rPr>
                <w:rFonts w:ascii="Tahoma" w:hAnsi="Tahoma" w:cs="Tahoma"/>
                <w:sz w:val="19"/>
                <w:szCs w:val="19"/>
                <w:rtl/>
              </w:rPr>
              <w:t>כל</w:t>
            </w:r>
            <w:r>
              <w:rPr>
                <w:rFonts w:ascii="Tahoma" w:hAnsi="Tahoma" w:cs="Tahoma" w:hint="cs"/>
                <w:sz w:val="19"/>
                <w:szCs w:val="19"/>
                <w:rtl/>
              </w:rPr>
              <w:t>ל</w:t>
            </w:r>
            <w:r w:rsidRPr="004A4F03">
              <w:rPr>
                <w:rFonts w:ascii="Tahoma" w:hAnsi="Tahoma" w:cs="Tahoma"/>
                <w:sz w:val="19"/>
                <w:szCs w:val="19"/>
                <w:rtl/>
              </w:rPr>
              <w:t xml:space="preserve"> תושביה</w:t>
            </w:r>
            <w:r w:rsidRPr="004A4F03">
              <w:rPr>
                <w:rFonts w:ascii="Tahoma" w:hAnsi="Tahoma" w:cs="Tahoma" w:hint="cs"/>
                <w:sz w:val="19"/>
                <w:szCs w:val="19"/>
                <w:rtl/>
              </w:rPr>
              <w:t>ן</w:t>
            </w:r>
            <w:r w:rsidRPr="004A4F03">
              <w:rPr>
                <w:rFonts w:ascii="Tahoma" w:hAnsi="Tahoma" w:cs="Tahoma"/>
                <w:sz w:val="19"/>
                <w:szCs w:val="19"/>
                <w:rtl/>
              </w:rPr>
              <w:t xml:space="preserve"> </w:t>
            </w:r>
            <w:r>
              <w:rPr>
                <w:rFonts w:ascii="Tahoma" w:hAnsi="Tahoma" w:cs="Tahoma" w:hint="cs"/>
                <w:sz w:val="19"/>
                <w:szCs w:val="19"/>
                <w:rtl/>
              </w:rPr>
              <w:t xml:space="preserve">המפונים, </w:t>
            </w:r>
            <w:r w:rsidRPr="004A4F03">
              <w:rPr>
                <w:rFonts w:ascii="Tahoma" w:hAnsi="Tahoma" w:cs="Tahoma"/>
                <w:sz w:val="19"/>
                <w:szCs w:val="19"/>
                <w:rtl/>
              </w:rPr>
              <w:t xml:space="preserve">לרבות אלה </w:t>
            </w:r>
            <w:r>
              <w:rPr>
                <w:rFonts w:ascii="Tahoma" w:hAnsi="Tahoma" w:cs="Tahoma" w:hint="cs"/>
                <w:sz w:val="19"/>
                <w:szCs w:val="19"/>
                <w:rtl/>
              </w:rPr>
              <w:t xml:space="preserve">המתפנים </w:t>
            </w:r>
            <w:r w:rsidRPr="004A4F03">
              <w:rPr>
                <w:rFonts w:ascii="Tahoma" w:hAnsi="Tahoma" w:cs="Tahoma"/>
                <w:sz w:val="19"/>
                <w:szCs w:val="19"/>
                <w:rtl/>
              </w:rPr>
              <w:t>בקהילה או עצמאית</w:t>
            </w:r>
            <w:r>
              <w:rPr>
                <w:rFonts w:ascii="Tahoma" w:hAnsi="Tahoma" w:cs="Tahoma" w:hint="cs"/>
                <w:sz w:val="19"/>
                <w:szCs w:val="19"/>
                <w:rtl/>
              </w:rPr>
              <w:t xml:space="preserve">. </w:t>
            </w:r>
            <w:r w:rsidRPr="00B12056">
              <w:rPr>
                <w:rFonts w:ascii="Tahoma" w:hAnsi="Tahoma" w:cs="Tahoma" w:hint="cs"/>
                <w:sz w:val="19"/>
                <w:szCs w:val="19"/>
                <w:rtl/>
              </w:rPr>
              <w:t>על עיריית</w:t>
            </w:r>
            <w:r w:rsidRPr="000D6988">
              <w:rPr>
                <w:rFonts w:ascii="Tahoma" w:hAnsi="Tahoma" w:cs="Tahoma"/>
                <w:b/>
                <w:bCs/>
                <w:sz w:val="19"/>
                <w:szCs w:val="19"/>
                <w:rtl/>
              </w:rPr>
              <w:t xml:space="preserve"> שדרות</w:t>
            </w:r>
            <w:r>
              <w:rPr>
                <w:rFonts w:ascii="Tahoma" w:hAnsi="Tahoma" w:cs="Tahoma" w:hint="cs"/>
                <w:sz w:val="19"/>
                <w:szCs w:val="19"/>
                <w:rtl/>
              </w:rPr>
              <w:t xml:space="preserve"> </w:t>
            </w:r>
            <w:r>
              <w:rPr>
                <w:rtl/>
              </w:rPr>
              <w:t xml:space="preserve"> </w:t>
            </w:r>
            <w:r>
              <w:rPr>
                <w:rFonts w:ascii="Tahoma" w:hAnsi="Tahoma" w:cs="Tahoma" w:hint="cs"/>
                <w:sz w:val="19"/>
                <w:szCs w:val="19"/>
                <w:rtl/>
              </w:rPr>
              <w:t>ו</w:t>
            </w:r>
            <w:r w:rsidRPr="00B12056">
              <w:rPr>
                <w:rFonts w:ascii="Tahoma" w:hAnsi="Tahoma" w:cs="Tahoma"/>
                <w:sz w:val="19"/>
                <w:szCs w:val="19"/>
                <w:rtl/>
              </w:rPr>
              <w:t xml:space="preserve">המועצה האזורית </w:t>
            </w:r>
            <w:r w:rsidRPr="000D6988">
              <w:rPr>
                <w:rFonts w:ascii="Tahoma" w:hAnsi="Tahoma" w:cs="Tahoma"/>
                <w:b/>
                <w:bCs/>
                <w:sz w:val="19"/>
                <w:szCs w:val="19"/>
                <w:rtl/>
              </w:rPr>
              <w:t>חוף אשקלון</w:t>
            </w:r>
            <w:r w:rsidRPr="004A4F03">
              <w:rPr>
                <w:rFonts w:ascii="Tahoma" w:hAnsi="Tahoma" w:cs="Tahoma"/>
                <w:sz w:val="19"/>
                <w:szCs w:val="19"/>
                <w:rtl/>
              </w:rPr>
              <w:t xml:space="preserve"> </w:t>
            </w:r>
            <w:r w:rsidRPr="004A4F03">
              <w:rPr>
                <w:rFonts w:ascii="Tahoma" w:hAnsi="Tahoma" w:cs="Tahoma" w:hint="eastAsia"/>
                <w:sz w:val="19"/>
                <w:szCs w:val="19"/>
                <w:rtl/>
              </w:rPr>
              <w:t>לקיים</w:t>
            </w:r>
            <w:r w:rsidRPr="004A4F03">
              <w:rPr>
                <w:rFonts w:ascii="Tahoma" w:hAnsi="Tahoma" w:cs="Tahoma"/>
                <w:sz w:val="19"/>
                <w:szCs w:val="19"/>
                <w:rtl/>
              </w:rPr>
              <w:t xml:space="preserve"> </w:t>
            </w:r>
            <w:r w:rsidRPr="004A4F03">
              <w:rPr>
                <w:rFonts w:ascii="Tahoma" w:hAnsi="Tahoma" w:cs="Tahoma" w:hint="eastAsia"/>
                <w:sz w:val="19"/>
                <w:szCs w:val="19"/>
                <w:rtl/>
              </w:rPr>
              <w:t>מעקב</w:t>
            </w:r>
            <w:r w:rsidRPr="004A4F03">
              <w:rPr>
                <w:rFonts w:ascii="Tahoma" w:hAnsi="Tahoma" w:cs="Tahoma"/>
                <w:sz w:val="19"/>
                <w:szCs w:val="19"/>
                <w:rtl/>
              </w:rPr>
              <w:t xml:space="preserve"> </w:t>
            </w:r>
            <w:r w:rsidRPr="004A4F03">
              <w:rPr>
                <w:rFonts w:ascii="Tahoma" w:hAnsi="Tahoma" w:cs="Tahoma" w:hint="eastAsia"/>
                <w:sz w:val="19"/>
                <w:szCs w:val="19"/>
                <w:rtl/>
              </w:rPr>
              <w:t>רציף</w:t>
            </w:r>
            <w:r w:rsidRPr="004A4F03">
              <w:rPr>
                <w:rFonts w:ascii="Tahoma" w:hAnsi="Tahoma" w:cs="Tahoma"/>
                <w:sz w:val="19"/>
                <w:szCs w:val="19"/>
                <w:rtl/>
              </w:rPr>
              <w:t xml:space="preserve"> </w:t>
            </w:r>
            <w:r w:rsidRPr="004A4F03">
              <w:rPr>
                <w:rFonts w:ascii="Tahoma" w:hAnsi="Tahoma" w:cs="Tahoma" w:hint="eastAsia"/>
                <w:sz w:val="19"/>
                <w:szCs w:val="19"/>
                <w:rtl/>
              </w:rPr>
              <w:t>ומתועד</w:t>
            </w:r>
            <w:r w:rsidRPr="004A4F03">
              <w:rPr>
                <w:rFonts w:ascii="Tahoma" w:hAnsi="Tahoma" w:cs="Tahoma"/>
                <w:sz w:val="19"/>
                <w:szCs w:val="19"/>
                <w:rtl/>
              </w:rPr>
              <w:t xml:space="preserve"> </w:t>
            </w:r>
            <w:r w:rsidRPr="004A4F03">
              <w:rPr>
                <w:rFonts w:ascii="Tahoma" w:hAnsi="Tahoma" w:cs="Tahoma" w:hint="eastAsia"/>
                <w:sz w:val="19"/>
                <w:szCs w:val="19"/>
                <w:rtl/>
              </w:rPr>
              <w:t>אחר</w:t>
            </w:r>
            <w:r w:rsidRPr="004A4F03">
              <w:rPr>
                <w:rFonts w:ascii="Tahoma" w:hAnsi="Tahoma" w:cs="Tahoma"/>
                <w:sz w:val="19"/>
                <w:szCs w:val="19"/>
                <w:rtl/>
              </w:rPr>
              <w:t xml:space="preserve"> </w:t>
            </w:r>
            <w:r w:rsidRPr="004A4F03">
              <w:rPr>
                <w:rFonts w:ascii="Tahoma" w:hAnsi="Tahoma" w:cs="Tahoma" w:hint="eastAsia"/>
                <w:sz w:val="19"/>
                <w:szCs w:val="19"/>
                <w:rtl/>
              </w:rPr>
              <w:t>שינויים</w:t>
            </w:r>
            <w:r w:rsidRPr="004A4F03">
              <w:rPr>
                <w:rFonts w:ascii="Tahoma" w:hAnsi="Tahoma" w:cs="Tahoma"/>
                <w:sz w:val="19"/>
                <w:szCs w:val="19"/>
                <w:rtl/>
              </w:rPr>
              <w:t xml:space="preserve"> </w:t>
            </w:r>
            <w:r w:rsidRPr="004A4F03">
              <w:rPr>
                <w:rFonts w:ascii="Tahoma" w:hAnsi="Tahoma" w:cs="Tahoma" w:hint="eastAsia"/>
                <w:sz w:val="19"/>
                <w:szCs w:val="19"/>
                <w:rtl/>
              </w:rPr>
              <w:t>במקום</w:t>
            </w:r>
            <w:r w:rsidRPr="004A4F03">
              <w:rPr>
                <w:rFonts w:ascii="Tahoma" w:hAnsi="Tahoma" w:cs="Tahoma"/>
                <w:sz w:val="19"/>
                <w:szCs w:val="19"/>
                <w:rtl/>
              </w:rPr>
              <w:t xml:space="preserve"> </w:t>
            </w:r>
            <w:r w:rsidRPr="004A4F03">
              <w:rPr>
                <w:rFonts w:ascii="Tahoma" w:hAnsi="Tahoma" w:cs="Tahoma" w:hint="eastAsia"/>
                <w:sz w:val="19"/>
                <w:szCs w:val="19"/>
                <w:rtl/>
              </w:rPr>
              <w:t>שהייתם</w:t>
            </w:r>
            <w:r>
              <w:rPr>
                <w:rFonts w:ascii="Tahoma" w:hAnsi="Tahoma" w:cs="Tahoma" w:hint="cs"/>
                <w:sz w:val="19"/>
                <w:szCs w:val="19"/>
                <w:rtl/>
              </w:rPr>
              <w:t xml:space="preserve"> של מפונים</w:t>
            </w:r>
            <w:r w:rsidRPr="004A4F03">
              <w:rPr>
                <w:rFonts w:ascii="Tahoma" w:hAnsi="Tahoma" w:cs="Tahoma" w:hint="cs"/>
                <w:sz w:val="19"/>
                <w:szCs w:val="19"/>
                <w:rtl/>
              </w:rPr>
              <w:t xml:space="preserve">, </w:t>
            </w:r>
            <w:r>
              <w:rPr>
                <w:rFonts w:ascii="Tahoma" w:hAnsi="Tahoma" w:cs="Tahoma" w:hint="cs"/>
                <w:sz w:val="19"/>
                <w:szCs w:val="19"/>
                <w:rtl/>
              </w:rPr>
              <w:t>לרבות</w:t>
            </w:r>
            <w:r w:rsidRPr="004A4F03">
              <w:rPr>
                <w:rFonts w:ascii="Tahoma" w:hAnsi="Tahoma" w:cs="Tahoma" w:hint="cs"/>
                <w:sz w:val="19"/>
                <w:szCs w:val="19"/>
                <w:rtl/>
              </w:rPr>
              <w:t xml:space="preserve"> </w:t>
            </w:r>
            <w:r>
              <w:rPr>
                <w:rFonts w:ascii="Tahoma" w:hAnsi="Tahoma" w:cs="Tahoma" w:hint="cs"/>
                <w:sz w:val="19"/>
                <w:szCs w:val="19"/>
                <w:rtl/>
              </w:rPr>
              <w:t xml:space="preserve">מועד </w:t>
            </w:r>
            <w:r w:rsidRPr="004A4F03">
              <w:rPr>
                <w:rFonts w:ascii="Tahoma" w:hAnsi="Tahoma" w:cs="Tahoma" w:hint="cs"/>
                <w:sz w:val="19"/>
                <w:szCs w:val="19"/>
                <w:rtl/>
              </w:rPr>
              <w:t>חזרתם הביתה</w:t>
            </w:r>
            <w:r>
              <w:rPr>
                <w:rFonts w:ascii="Tahoma" w:hAnsi="Tahoma" w:cs="Tahoma" w:hint="cs"/>
                <w:sz w:val="19"/>
                <w:szCs w:val="19"/>
                <w:rtl/>
              </w:rPr>
              <w:t>,</w:t>
            </w:r>
            <w:r w:rsidRPr="004A4F03">
              <w:rPr>
                <w:rFonts w:ascii="Tahoma" w:hAnsi="Tahoma" w:cs="Tahoma" w:hint="cs"/>
                <w:sz w:val="19"/>
                <w:szCs w:val="19"/>
                <w:rtl/>
              </w:rPr>
              <w:t xml:space="preserve"> למימוש אחריותה כלפיהם. מומלץ לעיריות </w:t>
            </w:r>
            <w:r w:rsidRPr="004A4F03">
              <w:rPr>
                <w:rFonts w:ascii="Tahoma" w:hAnsi="Tahoma" w:cs="Tahoma" w:hint="cs"/>
                <w:b/>
                <w:bCs/>
                <w:sz w:val="19"/>
                <w:szCs w:val="19"/>
                <w:rtl/>
              </w:rPr>
              <w:t>אופקים</w:t>
            </w:r>
            <w:r w:rsidRPr="004A4F03">
              <w:rPr>
                <w:rFonts w:ascii="Tahoma" w:hAnsi="Tahoma" w:cs="Tahoma" w:hint="cs"/>
                <w:sz w:val="19"/>
                <w:szCs w:val="19"/>
                <w:rtl/>
              </w:rPr>
              <w:t xml:space="preserve"> ו</w:t>
            </w:r>
            <w:r w:rsidRPr="004A4F03">
              <w:rPr>
                <w:rFonts w:ascii="Tahoma" w:hAnsi="Tahoma" w:cs="Tahoma" w:hint="cs"/>
                <w:b/>
                <w:bCs/>
                <w:sz w:val="19"/>
                <w:szCs w:val="19"/>
                <w:rtl/>
              </w:rPr>
              <w:t>אשקלון</w:t>
            </w:r>
            <w:r w:rsidRPr="004A4F03">
              <w:rPr>
                <w:rFonts w:ascii="Tahoma" w:hAnsi="Tahoma" w:cs="Tahoma" w:hint="cs"/>
                <w:sz w:val="19"/>
                <w:szCs w:val="19"/>
                <w:rtl/>
              </w:rPr>
              <w:t xml:space="preserve"> ולמועצה האזורית </w:t>
            </w:r>
            <w:r w:rsidRPr="004A4F03">
              <w:rPr>
                <w:rFonts w:ascii="Tahoma" w:hAnsi="Tahoma" w:cs="Tahoma" w:hint="cs"/>
                <w:b/>
                <w:bCs/>
                <w:sz w:val="19"/>
                <w:szCs w:val="19"/>
                <w:rtl/>
              </w:rPr>
              <w:t>חוף אשקלון</w:t>
            </w:r>
            <w:r w:rsidRPr="004A4F03">
              <w:rPr>
                <w:rFonts w:ascii="Tahoma" w:hAnsi="Tahoma" w:cs="Tahoma" w:hint="cs"/>
                <w:sz w:val="19"/>
                <w:szCs w:val="19"/>
                <w:rtl/>
              </w:rPr>
              <w:t xml:space="preserve"> כי י</w:t>
            </w:r>
            <w:r>
              <w:rPr>
                <w:rFonts w:ascii="Tahoma" w:hAnsi="Tahoma" w:cs="Tahoma" w:hint="cs"/>
                <w:sz w:val="19"/>
                <w:szCs w:val="19"/>
                <w:rtl/>
              </w:rPr>
              <w:t>י</w:t>
            </w:r>
            <w:r w:rsidRPr="004A4F03">
              <w:rPr>
                <w:rFonts w:ascii="Tahoma" w:hAnsi="Tahoma" w:cs="Tahoma" w:hint="cs"/>
                <w:sz w:val="19"/>
                <w:szCs w:val="19"/>
                <w:rtl/>
              </w:rPr>
              <w:t xml:space="preserve">תנו את דעתן לצורך בהקמת מנגנון שיסייע להן </w:t>
            </w:r>
            <w:r>
              <w:rPr>
                <w:rFonts w:ascii="Tahoma" w:hAnsi="Tahoma" w:cs="Tahoma" w:hint="cs"/>
                <w:sz w:val="19"/>
                <w:szCs w:val="19"/>
                <w:rtl/>
              </w:rPr>
              <w:t>לרכז</w:t>
            </w:r>
            <w:r w:rsidRPr="004A4F03">
              <w:rPr>
                <w:rFonts w:ascii="Tahoma" w:hAnsi="Tahoma" w:cs="Tahoma" w:hint="cs"/>
                <w:sz w:val="19"/>
                <w:szCs w:val="19"/>
                <w:rtl/>
              </w:rPr>
              <w:t xml:space="preserve"> מידע מלא גם על תושביהן </w:t>
            </w:r>
            <w:r>
              <w:rPr>
                <w:rFonts w:ascii="Tahoma" w:hAnsi="Tahoma" w:cs="Tahoma" w:hint="cs"/>
                <w:sz w:val="19"/>
                <w:szCs w:val="19"/>
                <w:rtl/>
              </w:rPr>
              <w:t>המתפנים</w:t>
            </w:r>
            <w:r w:rsidRPr="004A4F03">
              <w:rPr>
                <w:rFonts w:ascii="Tahoma" w:hAnsi="Tahoma" w:cs="Tahoma" w:hint="cs"/>
                <w:sz w:val="19"/>
                <w:szCs w:val="19"/>
                <w:rtl/>
              </w:rPr>
              <w:t xml:space="preserve"> באופן עצמאי, </w:t>
            </w:r>
            <w:r>
              <w:rPr>
                <w:rFonts w:ascii="Tahoma" w:hAnsi="Tahoma" w:cs="Tahoma" w:hint="cs"/>
                <w:sz w:val="19"/>
                <w:szCs w:val="19"/>
                <w:rtl/>
              </w:rPr>
              <w:t>כדי</w:t>
            </w:r>
            <w:r w:rsidRPr="004A4F03">
              <w:rPr>
                <w:rFonts w:ascii="Tahoma" w:hAnsi="Tahoma" w:cs="Tahoma" w:hint="cs"/>
                <w:sz w:val="19"/>
                <w:szCs w:val="19"/>
                <w:rtl/>
              </w:rPr>
              <w:t xml:space="preserve"> </w:t>
            </w:r>
            <w:r>
              <w:rPr>
                <w:rFonts w:ascii="Tahoma" w:hAnsi="Tahoma" w:cs="Tahoma" w:hint="cs"/>
                <w:sz w:val="19"/>
                <w:szCs w:val="19"/>
                <w:rtl/>
              </w:rPr>
              <w:t>שהן יוכלו</w:t>
            </w:r>
            <w:r w:rsidRPr="004A4F03">
              <w:rPr>
                <w:rFonts w:ascii="Tahoma" w:hAnsi="Tahoma" w:cs="Tahoma" w:hint="cs"/>
                <w:sz w:val="19"/>
                <w:szCs w:val="19"/>
                <w:rtl/>
              </w:rPr>
              <w:t xml:space="preserve"> להיעזר במידע לצורך קיום קשר עימם</w:t>
            </w:r>
            <w:r>
              <w:rPr>
                <w:rtl/>
              </w:rPr>
              <w:t xml:space="preserve"> </w:t>
            </w:r>
            <w:r w:rsidRPr="00B6419E">
              <w:rPr>
                <w:rFonts w:ascii="Tahoma" w:hAnsi="Tahoma" w:cs="Tahoma"/>
                <w:sz w:val="19"/>
                <w:szCs w:val="19"/>
                <w:rtl/>
              </w:rPr>
              <w:t>וכדי לתת להם בעת הצור</w:t>
            </w:r>
            <w:r w:rsidRPr="00B6419E">
              <w:rPr>
                <w:rFonts w:ascii="Tahoma" w:hAnsi="Tahoma" w:cs="Tahoma"/>
                <w:sz w:val="19"/>
                <w:szCs w:val="19"/>
                <w:rtl/>
              </w:rPr>
              <w:t xml:space="preserve">ך את </w:t>
            </w:r>
            <w:r w:rsidRPr="004A4F03">
              <w:rPr>
                <w:rFonts w:ascii="Tahoma" w:hAnsi="Tahoma" w:cs="Tahoma" w:hint="cs"/>
                <w:sz w:val="19"/>
                <w:szCs w:val="19"/>
                <w:rtl/>
              </w:rPr>
              <w:t>המענים הנדרשים.</w:t>
            </w:r>
          </w:p>
          <w:p w:rsidR="007534EA" w:rsidRPr="004A4F03" w:rsidP="00783DDB">
            <w:pPr>
              <w:pStyle w:val="ListParagraph"/>
              <w:numPr>
                <w:ilvl w:val="0"/>
                <w:numId w:val="12"/>
              </w:numPr>
              <w:spacing w:before="120" w:after="140" w:line="288" w:lineRule="auto"/>
              <w:ind w:left="516" w:right="176" w:hanging="516"/>
              <w:contextualSpacing w:val="0"/>
              <w:rPr>
                <w:rFonts w:ascii="Tahoma" w:hAnsi="Tahoma" w:cs="Tahoma"/>
                <w:sz w:val="19"/>
                <w:szCs w:val="19"/>
              </w:rPr>
            </w:pPr>
            <w:r w:rsidRPr="004A4F03">
              <w:rPr>
                <w:rFonts w:ascii="Tahoma" w:hAnsi="Tahoma" w:cs="Tahoma" w:hint="cs"/>
                <w:sz w:val="19"/>
                <w:szCs w:val="19"/>
                <w:rtl/>
              </w:rPr>
              <w:t>מומלץ למשרד התיירות</w:t>
            </w:r>
            <w:r>
              <w:rPr>
                <w:rFonts w:ascii="Tahoma" w:hAnsi="Tahoma" w:cs="Tahoma" w:hint="cs"/>
                <w:sz w:val="19"/>
                <w:szCs w:val="19"/>
                <w:rtl/>
              </w:rPr>
              <w:t>,</w:t>
            </w:r>
            <w:r>
              <w:rPr>
                <w:rtl/>
              </w:rPr>
              <w:t xml:space="preserve"> </w:t>
            </w:r>
            <w:r w:rsidRPr="00197B48">
              <w:rPr>
                <w:rFonts w:ascii="Tahoma" w:hAnsi="Tahoma" w:cs="Tahoma"/>
                <w:sz w:val="19"/>
                <w:szCs w:val="19"/>
                <w:rtl/>
              </w:rPr>
              <w:t>לצורך גיבוי ובקרה, לפעול מול התאחדות המלונות להסדרת כלי שיסייע לרשויות המקומיות בגיבוש מאגרי הנתונים בדבר תושביה</w:t>
            </w:r>
            <w:r>
              <w:rPr>
                <w:rFonts w:ascii="Tahoma" w:hAnsi="Tahoma" w:cs="Tahoma" w:hint="cs"/>
                <w:sz w:val="19"/>
                <w:szCs w:val="19"/>
                <w:rtl/>
              </w:rPr>
              <w:t>ם</w:t>
            </w:r>
            <w:r w:rsidRPr="00197B48">
              <w:rPr>
                <w:rFonts w:ascii="Tahoma" w:hAnsi="Tahoma" w:cs="Tahoma"/>
                <w:sz w:val="19"/>
                <w:szCs w:val="19"/>
                <w:rtl/>
              </w:rPr>
              <w:t xml:space="preserve"> מפונים בהקדם האפשרי. למשל, באמצעות הסדרת טפסי רישום כניסה ויציאה יעודיים (צ'ק אין וצ'ק אאוט) לשימוש </w:t>
            </w:r>
            <w:r w:rsidRPr="00197B48">
              <w:rPr>
                <w:rFonts w:ascii="Tahoma" w:hAnsi="Tahoma" w:cs="Tahoma"/>
                <w:sz w:val="19"/>
                <w:szCs w:val="19"/>
                <w:rtl/>
              </w:rPr>
              <w:t>בתי המלון בזמן חירום בו המפונה יוכל לסמן אם הוא מסכים כי הטופס ישמש לעדכון פרטיו במערכת האחודה לניהול נתוני המפונים</w:t>
            </w:r>
            <w:r w:rsidRPr="004A4F03">
              <w:rPr>
                <w:rFonts w:ascii="Tahoma" w:hAnsi="Tahoma" w:cs="Tahoma" w:hint="cs"/>
                <w:sz w:val="19"/>
                <w:szCs w:val="19"/>
                <w:rtl/>
              </w:rPr>
              <w:t xml:space="preserve">. הסדרת דרישה זו מול בתי המלון תאפשר בקרה טובה יותר </w:t>
            </w:r>
            <w:r w:rsidRPr="00197B48">
              <w:rPr>
                <w:rFonts w:ascii="Tahoma" w:hAnsi="Tahoma" w:cs="Tahoma"/>
                <w:sz w:val="19"/>
                <w:szCs w:val="19"/>
                <w:rtl/>
              </w:rPr>
              <w:t>על התשלומים ל</w:t>
            </w:r>
            <w:r>
              <w:rPr>
                <w:rFonts w:ascii="Tahoma" w:hAnsi="Tahoma" w:cs="Tahoma" w:hint="cs"/>
                <w:sz w:val="19"/>
                <w:szCs w:val="19"/>
                <w:rtl/>
              </w:rPr>
              <w:t>מתקני אירוח</w:t>
            </w:r>
            <w:r w:rsidRPr="00197B48">
              <w:rPr>
                <w:rFonts w:ascii="Tahoma" w:hAnsi="Tahoma" w:cs="Tahoma"/>
                <w:sz w:val="19"/>
                <w:szCs w:val="19"/>
                <w:rtl/>
              </w:rPr>
              <w:t xml:space="preserve"> ושל </w:t>
            </w:r>
            <w:r w:rsidRPr="004A4F03">
              <w:rPr>
                <w:rFonts w:ascii="Tahoma" w:hAnsi="Tahoma" w:cs="Tahoma" w:hint="cs"/>
                <w:sz w:val="19"/>
                <w:szCs w:val="19"/>
                <w:rtl/>
              </w:rPr>
              <w:t>השלטון המרכזי והרשויות המקומיות על מיקום המפונים.</w:t>
            </w:r>
          </w:p>
          <w:p w:rsidR="00AE4BB7" w:rsidRPr="00BE22D7" w:rsidP="00783DDB">
            <w:pPr>
              <w:pStyle w:val="ListParagraph"/>
              <w:numPr>
                <w:ilvl w:val="0"/>
                <w:numId w:val="12"/>
              </w:numPr>
              <w:spacing w:after="240" w:line="288" w:lineRule="auto"/>
              <w:ind w:left="515" w:right="173" w:hanging="515"/>
              <w:contextualSpacing w:val="0"/>
              <w:rPr>
                <w:rtl/>
              </w:rPr>
            </w:pPr>
            <w:r w:rsidRPr="004A4F03">
              <w:rPr>
                <w:rFonts w:ascii="Tahoma" w:hAnsi="Tahoma" w:cs="Tahoma" w:hint="eastAsia"/>
                <w:sz w:val="19"/>
                <w:szCs w:val="19"/>
                <w:rtl/>
              </w:rPr>
              <w:t>מומלץ</w:t>
            </w:r>
            <w:r w:rsidRPr="004A4F03">
              <w:rPr>
                <w:rFonts w:ascii="Tahoma" w:hAnsi="Tahoma" w:cs="Tahoma"/>
                <w:sz w:val="19"/>
                <w:szCs w:val="19"/>
                <w:rtl/>
              </w:rPr>
              <w:t xml:space="preserve"> </w:t>
            </w:r>
            <w:r w:rsidRPr="004A4F03">
              <w:rPr>
                <w:rFonts w:ascii="Tahoma" w:hAnsi="Tahoma" w:cs="Tahoma" w:hint="eastAsia"/>
                <w:sz w:val="19"/>
                <w:szCs w:val="19"/>
                <w:rtl/>
              </w:rPr>
              <w:t>שעיריות</w:t>
            </w:r>
            <w:r w:rsidRPr="004A4F03">
              <w:rPr>
                <w:rFonts w:ascii="Tahoma" w:hAnsi="Tahoma" w:cs="Tahoma"/>
                <w:sz w:val="19"/>
                <w:szCs w:val="19"/>
                <w:rtl/>
              </w:rPr>
              <w:t xml:space="preserve"> </w:t>
            </w:r>
            <w:r w:rsidRPr="004A4F03">
              <w:rPr>
                <w:rFonts w:ascii="Tahoma" w:hAnsi="Tahoma" w:cs="Tahoma" w:hint="eastAsia"/>
                <w:b/>
                <w:bCs/>
                <w:sz w:val="19"/>
                <w:szCs w:val="19"/>
                <w:rtl/>
              </w:rPr>
              <w:t>אופקים</w:t>
            </w:r>
            <w:r w:rsidRPr="004A4F03">
              <w:rPr>
                <w:rFonts w:ascii="Tahoma" w:hAnsi="Tahoma" w:cs="Tahoma"/>
                <w:sz w:val="19"/>
                <w:szCs w:val="19"/>
                <w:rtl/>
              </w:rPr>
              <w:t xml:space="preserve">, </w:t>
            </w:r>
            <w:r w:rsidRPr="004A4F03">
              <w:rPr>
                <w:rFonts w:ascii="Tahoma" w:hAnsi="Tahoma" w:cs="Tahoma" w:hint="eastAsia"/>
                <w:b/>
                <w:bCs/>
                <w:sz w:val="19"/>
                <w:szCs w:val="19"/>
                <w:rtl/>
              </w:rPr>
              <w:t>אשקלון</w:t>
            </w:r>
            <w:r w:rsidRPr="004A4F03">
              <w:rPr>
                <w:rFonts w:ascii="Tahoma" w:hAnsi="Tahoma" w:cs="Tahoma"/>
                <w:sz w:val="19"/>
                <w:szCs w:val="19"/>
                <w:rtl/>
              </w:rPr>
              <w:t xml:space="preserve"> </w:t>
            </w:r>
            <w:r w:rsidRPr="004A4F03">
              <w:rPr>
                <w:rFonts w:ascii="Tahoma" w:hAnsi="Tahoma" w:cs="Tahoma" w:hint="eastAsia"/>
                <w:sz w:val="19"/>
                <w:szCs w:val="19"/>
                <w:rtl/>
              </w:rPr>
              <w:t>ו</w:t>
            </w:r>
            <w:r w:rsidRPr="004A4F03">
              <w:rPr>
                <w:rFonts w:ascii="Tahoma" w:hAnsi="Tahoma" w:cs="Tahoma" w:hint="eastAsia"/>
                <w:b/>
                <w:bCs/>
                <w:sz w:val="19"/>
                <w:szCs w:val="19"/>
                <w:rtl/>
              </w:rPr>
              <w:t>שדרות</w:t>
            </w:r>
            <w:r w:rsidRPr="004A4F03">
              <w:rPr>
                <w:rFonts w:ascii="Tahoma" w:hAnsi="Tahoma" w:cs="Tahoma"/>
                <w:sz w:val="19"/>
                <w:szCs w:val="19"/>
                <w:rtl/>
              </w:rPr>
              <w:t xml:space="preserve"> </w:t>
            </w:r>
            <w:r w:rsidRPr="004A4F03">
              <w:rPr>
                <w:rFonts w:ascii="Tahoma" w:hAnsi="Tahoma" w:cs="Tahoma" w:hint="eastAsia"/>
                <w:sz w:val="19"/>
                <w:szCs w:val="19"/>
                <w:rtl/>
              </w:rPr>
              <w:t>והמועצות</w:t>
            </w:r>
            <w:r w:rsidRPr="004A4F03">
              <w:rPr>
                <w:rFonts w:ascii="Tahoma" w:hAnsi="Tahoma" w:cs="Tahoma"/>
                <w:sz w:val="19"/>
                <w:szCs w:val="19"/>
                <w:rtl/>
              </w:rPr>
              <w:t xml:space="preserve"> האזוריות </w:t>
            </w:r>
            <w:r w:rsidRPr="004A4F03">
              <w:rPr>
                <w:rFonts w:ascii="Tahoma" w:hAnsi="Tahoma" w:cs="Tahoma" w:hint="eastAsia"/>
                <w:b/>
                <w:bCs/>
                <w:sz w:val="19"/>
                <w:szCs w:val="19"/>
                <w:rtl/>
              </w:rPr>
              <w:t>אשכול</w:t>
            </w:r>
            <w:r w:rsidRPr="004A4F03">
              <w:rPr>
                <w:rFonts w:ascii="Tahoma" w:hAnsi="Tahoma" w:cs="Tahoma"/>
                <w:sz w:val="19"/>
                <w:szCs w:val="19"/>
                <w:rtl/>
              </w:rPr>
              <w:t xml:space="preserve"> ו</w:t>
            </w:r>
            <w:r w:rsidRPr="004A4F03">
              <w:rPr>
                <w:rFonts w:ascii="Tahoma" w:hAnsi="Tahoma" w:cs="Tahoma"/>
                <w:b/>
                <w:bCs/>
                <w:sz w:val="19"/>
                <w:szCs w:val="19"/>
                <w:rtl/>
              </w:rPr>
              <w:t>חוף אשקלון</w:t>
            </w:r>
            <w:r w:rsidRPr="004A4F03">
              <w:rPr>
                <w:rFonts w:ascii="Tahoma" w:hAnsi="Tahoma" w:cs="Tahoma"/>
                <w:sz w:val="19"/>
                <w:szCs w:val="19"/>
                <w:rtl/>
              </w:rPr>
              <w:t>, בסיוע</w:t>
            </w:r>
            <w:r w:rsidRPr="004A4F03">
              <w:rPr>
                <w:rFonts w:ascii="Tahoma" w:hAnsi="Tahoma" w:cs="Tahoma" w:hint="cs"/>
                <w:sz w:val="19"/>
                <w:szCs w:val="19"/>
                <w:rtl/>
              </w:rPr>
              <w:t xml:space="preserve"> משרד הפנים </w:t>
            </w:r>
            <w:r>
              <w:rPr>
                <w:rFonts w:ascii="Tahoma" w:hAnsi="Tahoma" w:cs="Tahoma" w:hint="cs"/>
                <w:sz w:val="19"/>
                <w:szCs w:val="19"/>
                <w:rtl/>
              </w:rPr>
              <w:t>ו</w:t>
            </w:r>
            <w:r w:rsidRPr="004A4F03">
              <w:rPr>
                <w:rFonts w:ascii="Tahoma" w:hAnsi="Tahoma" w:cs="Tahoma" w:hint="cs"/>
                <w:sz w:val="19"/>
                <w:szCs w:val="19"/>
                <w:rtl/>
              </w:rPr>
              <w:t xml:space="preserve">בשיתוף עם רח"ל ומערך הדיגיטל הלאומי, יפעלו </w:t>
            </w:r>
            <w:r w:rsidRPr="004A4F03">
              <w:rPr>
                <w:rFonts w:ascii="Tahoma" w:hAnsi="Tahoma" w:cs="Tahoma"/>
                <w:sz w:val="19"/>
                <w:szCs w:val="19"/>
                <w:rtl/>
              </w:rPr>
              <w:t>לפיתוח מנגנון - כגון הודע</w:t>
            </w:r>
            <w:r>
              <w:rPr>
                <w:rFonts w:ascii="Tahoma" w:hAnsi="Tahoma" w:cs="Tahoma" w:hint="cs"/>
                <w:sz w:val="19"/>
                <w:szCs w:val="19"/>
                <w:rtl/>
              </w:rPr>
              <w:t>ת</w:t>
            </w:r>
            <w:r w:rsidRPr="004A4F03">
              <w:rPr>
                <w:rFonts w:ascii="Tahoma" w:hAnsi="Tahoma" w:cs="Tahoma"/>
                <w:sz w:val="19"/>
                <w:szCs w:val="19"/>
                <w:rtl/>
              </w:rPr>
              <w:t xml:space="preserve"> טקסט או טופס מקוון</w:t>
            </w:r>
            <w:r>
              <w:rPr>
                <w:rFonts w:ascii="Tahoma" w:hAnsi="Tahoma" w:cs="Tahoma" w:hint="cs"/>
                <w:sz w:val="19"/>
                <w:szCs w:val="19"/>
                <w:rtl/>
              </w:rPr>
              <w:t xml:space="preserve"> -</w:t>
            </w:r>
            <w:r w:rsidRPr="004A4F03">
              <w:rPr>
                <w:rFonts w:ascii="Tahoma" w:hAnsi="Tahoma" w:cs="Tahoma"/>
                <w:sz w:val="19"/>
                <w:szCs w:val="19"/>
                <w:rtl/>
              </w:rPr>
              <w:t xml:space="preserve"> שיאפשר לרשויות מקומיות </w:t>
            </w:r>
            <w:r w:rsidRPr="00CF3EFC">
              <w:rPr>
                <w:rFonts w:ascii="Tahoma" w:hAnsi="Tahoma" w:cs="Tahoma"/>
                <w:sz w:val="19"/>
                <w:szCs w:val="19"/>
                <w:rtl/>
              </w:rPr>
              <w:t xml:space="preserve">להעביר לתושביהן מידע בנושאי חירום וביטחון </w:t>
            </w:r>
            <w:r>
              <w:rPr>
                <w:rFonts w:ascii="Tahoma" w:hAnsi="Tahoma" w:cs="Tahoma" w:hint="cs"/>
                <w:sz w:val="19"/>
                <w:szCs w:val="19"/>
                <w:rtl/>
              </w:rPr>
              <w:t>ו</w:t>
            </w:r>
            <w:r w:rsidRPr="004A4F03">
              <w:rPr>
                <w:rFonts w:ascii="Tahoma" w:hAnsi="Tahoma" w:cs="Tahoma"/>
                <w:sz w:val="19"/>
                <w:szCs w:val="19"/>
                <w:rtl/>
              </w:rPr>
              <w:t xml:space="preserve">להיות בקשר עם </w:t>
            </w:r>
            <w:r w:rsidRPr="004A4F03">
              <w:rPr>
                <w:rFonts w:ascii="Tahoma" w:hAnsi="Tahoma" w:cs="Tahoma"/>
                <w:sz w:val="19"/>
                <w:szCs w:val="19"/>
                <w:rtl/>
              </w:rPr>
              <w:t>תושביהן גם ב</w:t>
            </w:r>
            <w:r>
              <w:rPr>
                <w:rFonts w:ascii="Tahoma" w:hAnsi="Tahoma" w:cs="Tahoma" w:hint="cs"/>
                <w:sz w:val="19"/>
                <w:szCs w:val="19"/>
                <w:rtl/>
              </w:rPr>
              <w:t>ש</w:t>
            </w:r>
            <w:r w:rsidRPr="004A4F03">
              <w:rPr>
                <w:rFonts w:ascii="Tahoma" w:hAnsi="Tahoma" w:cs="Tahoma"/>
                <w:sz w:val="19"/>
                <w:szCs w:val="19"/>
                <w:rtl/>
              </w:rPr>
              <w:t>עת חירום</w:t>
            </w:r>
            <w:r>
              <w:rPr>
                <w:rFonts w:ascii="Tahoma" w:hAnsi="Tahoma" w:cs="Tahoma" w:hint="cs"/>
                <w:sz w:val="19"/>
                <w:szCs w:val="19"/>
                <w:rtl/>
              </w:rPr>
              <w:t>. כן</w:t>
            </w:r>
            <w:r w:rsidRPr="004A4F03">
              <w:rPr>
                <w:rFonts w:ascii="Tahoma" w:hAnsi="Tahoma" w:cs="Tahoma"/>
                <w:sz w:val="19"/>
                <w:szCs w:val="19"/>
                <w:rtl/>
              </w:rPr>
              <w:t xml:space="preserve"> </w:t>
            </w:r>
            <w:r>
              <w:rPr>
                <w:rFonts w:ascii="Tahoma" w:hAnsi="Tahoma" w:cs="Tahoma" w:hint="cs"/>
                <w:sz w:val="19"/>
                <w:szCs w:val="19"/>
                <w:rtl/>
              </w:rPr>
              <w:t>ב</w:t>
            </w:r>
            <w:r w:rsidRPr="004A4F03">
              <w:rPr>
                <w:rFonts w:ascii="Tahoma" w:hAnsi="Tahoma" w:cs="Tahoma"/>
                <w:sz w:val="19"/>
                <w:szCs w:val="19"/>
                <w:rtl/>
              </w:rPr>
              <w:t xml:space="preserve">כדי לוודא שהם מקבלים מענה לצרכיהם, ובעיקר בכל הנוגע לילדים, </w:t>
            </w:r>
            <w:r>
              <w:rPr>
                <w:rFonts w:ascii="Tahoma" w:hAnsi="Tahoma" w:cs="Tahoma" w:hint="cs"/>
                <w:sz w:val="19"/>
                <w:szCs w:val="19"/>
                <w:rtl/>
              </w:rPr>
              <w:t>ל</w:t>
            </w:r>
            <w:r w:rsidRPr="004A4F03">
              <w:rPr>
                <w:rFonts w:ascii="Tahoma" w:hAnsi="Tahoma" w:cs="Tahoma"/>
                <w:sz w:val="19"/>
                <w:szCs w:val="19"/>
                <w:rtl/>
              </w:rPr>
              <w:t>קשישים ו</w:t>
            </w:r>
            <w:r>
              <w:rPr>
                <w:rFonts w:ascii="Tahoma" w:hAnsi="Tahoma" w:cs="Tahoma" w:hint="cs"/>
                <w:sz w:val="19"/>
                <w:szCs w:val="19"/>
                <w:rtl/>
              </w:rPr>
              <w:t>ל</w:t>
            </w:r>
            <w:r w:rsidRPr="004A4F03">
              <w:rPr>
                <w:rFonts w:ascii="Tahoma" w:hAnsi="Tahoma" w:cs="Tahoma"/>
                <w:sz w:val="19"/>
                <w:szCs w:val="19"/>
                <w:rtl/>
              </w:rPr>
              <w:t xml:space="preserve">אנשים מאוכלוסיות </w:t>
            </w:r>
            <w:r w:rsidRPr="00934A61">
              <w:rPr>
                <w:rFonts w:ascii="Tahoma" w:hAnsi="Tahoma" w:cs="Tahoma"/>
                <w:sz w:val="19"/>
                <w:szCs w:val="19"/>
                <w:rtl/>
              </w:rPr>
              <w:t>בעלות צרכים מיוחדים</w:t>
            </w:r>
            <w:r>
              <w:rPr>
                <w:rFonts w:ascii="Tahoma" w:hAnsi="Tahoma" w:cs="Tahoma"/>
                <w:sz w:val="19"/>
                <w:szCs w:val="19"/>
                <w:rtl/>
              </w:rPr>
              <w:t>,</w:t>
            </w:r>
            <w:r w:rsidRPr="004A4F03">
              <w:rPr>
                <w:rFonts w:ascii="Tahoma" w:hAnsi="Tahoma" w:cs="Tahoma"/>
                <w:sz w:val="19"/>
                <w:szCs w:val="19"/>
                <w:rtl/>
              </w:rPr>
              <w:t xml:space="preserve"> </w:t>
            </w:r>
            <w:r w:rsidRPr="00CF3EFC">
              <w:rPr>
                <w:rFonts w:ascii="Tahoma" w:hAnsi="Tahoma" w:cs="Tahoma"/>
                <w:sz w:val="19"/>
                <w:szCs w:val="19"/>
                <w:rtl/>
              </w:rPr>
              <w:t>שישנה סבירות גבוה שהיקפן של אוכלוסיות אלה יגדל בעקבות אירוע טראומתי כמתקפת הפתע בשבעה באוקטובר</w:t>
            </w:r>
            <w:r w:rsidRPr="004A4F03">
              <w:rPr>
                <w:rFonts w:ascii="Tahoma" w:hAnsi="Tahoma" w:cs="Tahoma" w:hint="cs"/>
                <w:sz w:val="19"/>
                <w:szCs w:val="19"/>
                <w:rtl/>
              </w:rPr>
              <w:t>.</w:t>
            </w:r>
          </w:p>
        </w:tc>
      </w:tr>
    </w:tbl>
    <w:p w:rsidR="00AE4BB7" w:rsidP="00AE4BB7">
      <w:pPr>
        <w:bidi w:val="0"/>
        <w:spacing w:after="160" w:line="259" w:lineRule="auto"/>
        <w:ind w:left="-1"/>
        <w:jc w:val="left"/>
        <w:rPr>
          <w:sz w:val="2"/>
          <w:szCs w:val="2"/>
        </w:rPr>
      </w:pPr>
    </w:p>
    <w:p w:rsidR="004E0191" w:rsidP="004E0191">
      <w:pPr>
        <w:bidi w:val="0"/>
        <w:spacing w:after="160" w:line="259" w:lineRule="auto"/>
        <w:ind w:left="-1"/>
        <w:jc w:val="left"/>
        <w:rPr>
          <w:sz w:val="2"/>
          <w:szCs w:val="2"/>
        </w:rPr>
      </w:pPr>
    </w:p>
    <w:p w:rsidR="00AE4BB7" w:rsidRPr="00D57BE9" w:rsidP="00AE4BB7">
      <w:pPr>
        <w:rPr>
          <w:rtl/>
        </w:rPr>
      </w:pPr>
      <w:r w:rsidRPr="00D527BD">
        <w:rPr>
          <w:noProof/>
          <w:szCs w:val="20"/>
          <w:rtl/>
        </w:rPr>
        <w:drawing>
          <wp:anchor distT="0" distB="0" distL="114300" distR="114300" simplePos="0" relativeHeight="251659264" behindDoc="0" locked="0" layoutInCell="1" allowOverlap="1">
            <wp:simplePos x="0" y="0"/>
            <wp:positionH relativeFrom="column">
              <wp:posOffset>-127635</wp:posOffset>
            </wp:positionH>
            <wp:positionV relativeFrom="paragraph">
              <wp:posOffset>-1905</wp:posOffset>
            </wp:positionV>
            <wp:extent cx="6015355" cy="761365"/>
            <wp:effectExtent l="0" t="0" r="0" b="0"/>
            <wp:wrapNone/>
            <wp:docPr id="1451066646" name="Picture 5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6646" name="Picture 54">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15355" cy="761365"/>
                    </a:xfrm>
                    <a:prstGeom prst="rect">
                      <a:avLst/>
                    </a:prstGeom>
                  </pic:spPr>
                </pic:pic>
              </a:graphicData>
            </a:graphic>
            <wp14:sizeRelH relativeFrom="margin">
              <wp14:pctWidth>0</wp14:pctWidth>
            </wp14:sizeRelH>
            <wp14:sizeRelV relativeFrom="margin">
              <wp14:pctHeight>0</wp14:pctHeight>
            </wp14:sizeRelV>
          </wp:anchor>
        </w:drawing>
      </w:r>
      <w:r w:rsidRPr="00D527BD">
        <w:rPr>
          <w:noProof/>
          <w:szCs w:val="20"/>
          <w:rtl/>
        </w:rPr>
        <mc:AlternateContent>
          <mc:Choice Requires="wps">
            <w:drawing>
              <wp:anchor distT="0" distB="0" distL="114300" distR="114300" simplePos="0" relativeHeight="251661312" behindDoc="0" locked="0" layoutInCell="1" allowOverlap="1">
                <wp:simplePos x="0" y="0"/>
                <wp:positionH relativeFrom="column">
                  <wp:posOffset>241935</wp:posOffset>
                </wp:positionH>
                <wp:positionV relativeFrom="paragraph">
                  <wp:posOffset>102870</wp:posOffset>
                </wp:positionV>
                <wp:extent cx="5417820" cy="434975"/>
                <wp:effectExtent l="0" t="0" r="5080" b="0"/>
                <wp:wrapNone/>
                <wp:docPr id="14510666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17820" cy="434975"/>
                        </a:xfrm>
                        <a:prstGeom prst="rect">
                          <a:avLst/>
                        </a:prstGeom>
                        <a:solidFill>
                          <a:srgbClr val="F05260"/>
                        </a:solidFill>
                        <a:ln w="9525">
                          <a:noFill/>
                          <a:miter lim="800000"/>
                          <a:headEnd/>
                          <a:tailEnd/>
                        </a:ln>
                      </wps:spPr>
                      <wps:txbx>
                        <w:txbxContent>
                          <w:p w:rsidR="00AE4BB7" w:rsidRPr="005C7ABF" w:rsidP="00783DDB">
                            <w:pPr>
                              <w:pStyle w:val="733"/>
                              <w:ind w:left="-135"/>
                              <w:rPr>
                                <w:rtl/>
                              </w:rPr>
                            </w:pPr>
                            <w:r w:rsidRPr="007534EA">
                              <w:rPr>
                                <w:rtl/>
                              </w:rPr>
                              <w:t xml:space="preserve">מספר </w:t>
                            </w:r>
                            <w:r w:rsidR="0080403C">
                              <w:rPr>
                                <w:rFonts w:hint="cs"/>
                                <w:rtl/>
                              </w:rPr>
                              <w:t>ה</w:t>
                            </w:r>
                            <w:r w:rsidRPr="007534EA">
                              <w:rPr>
                                <w:rtl/>
                              </w:rPr>
                              <w:t xml:space="preserve">מפונים </w:t>
                            </w:r>
                            <w:r w:rsidRPr="007534EA">
                              <w:rPr>
                                <w:rtl/>
                              </w:rPr>
                              <w:t>במימון המדינה לעומת כלל אוכלוסיית הרשות המקומית</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width:426.6pt;height:34.25pt;margin-top:8.1pt;margin-left:19.05pt;mso-height-percent:0;mso-height-relative:margin;mso-width-percent:0;mso-width-relative:margin;mso-wrap-distance-bottom:0;mso-wrap-distance-left:9pt;mso-wrap-distance-right:9pt;mso-wrap-distance-top:0;position:absolute;v-text-anchor:middle;z-index:251660288" fillcolor="#f05260" stroked="f" strokeweight="0.75pt">
                <v:textbox>
                  <w:txbxContent>
                    <w:p w:rsidR="00AE4BB7" w:rsidRPr="005C7ABF" w:rsidP="00783DDB">
                      <w:pPr>
                        <w:pStyle w:val="733"/>
                        <w:ind w:left="-135"/>
                        <w:rPr>
                          <w:rtl/>
                        </w:rPr>
                      </w:pPr>
                      <w:r w:rsidRPr="007534EA">
                        <w:rPr>
                          <w:rtl/>
                        </w:rPr>
                        <w:t xml:space="preserve">מספר </w:t>
                      </w:r>
                      <w:r w:rsidR="0080403C">
                        <w:rPr>
                          <w:rFonts w:hint="cs"/>
                          <w:rtl/>
                        </w:rPr>
                        <w:t>ה</w:t>
                      </w:r>
                      <w:r w:rsidRPr="007534EA">
                        <w:rPr>
                          <w:rtl/>
                        </w:rPr>
                        <w:t xml:space="preserve">מפונים </w:t>
                      </w:r>
                      <w:r w:rsidRPr="007534EA">
                        <w:rPr>
                          <w:rtl/>
                        </w:rPr>
                        <w:t>במימון המדינה לעומת כלל אוכלוסיית הרשות המקומית</w:t>
                      </w:r>
                    </w:p>
                  </w:txbxContent>
                </v:textbox>
              </v:shape>
            </w:pict>
          </mc:Fallback>
        </mc:AlternateContent>
      </w:r>
    </w:p>
    <w:p w:rsidR="00AE4BB7" w:rsidRPr="00D57BE9" w:rsidP="00AE4BB7">
      <w:pPr>
        <w:spacing w:before="840"/>
        <w:rPr>
          <w:rtl/>
        </w:rPr>
      </w:pPr>
      <w:r w:rsidRPr="007534EA">
        <w:rPr>
          <w:rFonts w:eastAsia="Calibri"/>
          <w:noProof/>
          <w:sz w:val="16"/>
          <w:szCs w:val="16"/>
          <w:rtl/>
        </w:rPr>
        <w:drawing>
          <wp:inline distT="0" distB="0" distL="0" distR="0">
            <wp:extent cx="5220335" cy="3175635"/>
            <wp:effectExtent l="0" t="0" r="0" b="5715"/>
            <wp:docPr id="4" name="תמונה 4" descr="התרשים מציג עבור הרשויות המקומיות שנבדקו בדוח את מספר המפונים (בשיא) ביחס למספר התושבים ברשות הכלולים בהחלטות הממשלה לפינוי וביחס למספר התושבים ברש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ה1 לדוח.PNG"/>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5220335" cy="3175635"/>
                    </a:xfrm>
                    <a:prstGeom prst="rect">
                      <a:avLst/>
                    </a:prstGeom>
                  </pic:spPr>
                </pic:pic>
              </a:graphicData>
            </a:graphic>
          </wp:inline>
        </w:drawing>
      </w:r>
    </w:p>
    <w:p w:rsidR="00AE4BB7" w:rsidP="00AE4BB7">
      <w:pPr>
        <w:ind w:left="-1"/>
        <w:jc w:val="left"/>
        <w:rPr>
          <w:rtl/>
        </w:rPr>
      </w:pPr>
    </w:p>
    <w:p w:rsidR="007534EA" w:rsidP="00B57F4F">
      <w:pPr>
        <w:pStyle w:val="731"/>
        <w:spacing w:before="0" w:after="0" w:line="288" w:lineRule="auto"/>
        <w:rPr>
          <w:rFonts w:eastAsiaTheme="majorEastAsia"/>
          <w:b/>
          <w:rtl/>
        </w:rPr>
      </w:pPr>
      <w:r w:rsidRPr="00B01DFF">
        <w:rPr>
          <w:rFonts w:eastAsiaTheme="majorEastAsia"/>
          <w:b/>
          <w:rtl/>
        </w:rPr>
        <w:t xml:space="preserve">על פי נתוני </w:t>
      </w:r>
      <w:r>
        <w:rPr>
          <w:rFonts w:eastAsiaTheme="majorEastAsia" w:hint="cs"/>
          <w:b/>
          <w:rtl/>
        </w:rPr>
        <w:t>הלשכה המרכזית לסטטיסטיקה (</w:t>
      </w:r>
      <w:r w:rsidRPr="00AC17A0">
        <w:rPr>
          <w:rFonts w:eastAsiaTheme="majorEastAsia" w:hint="eastAsia"/>
          <w:b/>
          <w:rtl/>
        </w:rPr>
        <w:t>הלמ</w:t>
      </w:r>
      <w:r w:rsidRPr="00AC17A0">
        <w:rPr>
          <w:rFonts w:eastAsiaTheme="majorEastAsia"/>
          <w:b/>
          <w:rtl/>
        </w:rPr>
        <w:t>"ס</w:t>
      </w:r>
      <w:r>
        <w:rPr>
          <w:rFonts w:eastAsiaTheme="majorEastAsia" w:hint="cs"/>
          <w:b/>
          <w:rtl/>
        </w:rPr>
        <w:t>)</w:t>
      </w:r>
      <w:r w:rsidRPr="00AC17A0">
        <w:rPr>
          <w:rFonts w:eastAsiaTheme="majorEastAsia"/>
          <w:b/>
          <w:rtl/>
        </w:rPr>
        <w:t xml:space="preserve">, </w:t>
      </w:r>
      <w:r w:rsidRPr="00AC17A0">
        <w:rPr>
          <w:rFonts w:eastAsiaTheme="majorEastAsia" w:hint="eastAsia"/>
          <w:b/>
          <w:rtl/>
        </w:rPr>
        <w:t>נתונים</w:t>
      </w:r>
      <w:r w:rsidRPr="00AC17A0">
        <w:rPr>
          <w:rFonts w:eastAsiaTheme="majorEastAsia"/>
          <w:b/>
          <w:rtl/>
        </w:rPr>
        <w:t xml:space="preserve"> </w:t>
      </w:r>
      <w:r w:rsidRPr="00AC17A0">
        <w:rPr>
          <w:rFonts w:eastAsiaTheme="majorEastAsia" w:hint="eastAsia"/>
          <w:b/>
          <w:rtl/>
        </w:rPr>
        <w:t>מהחלטות</w:t>
      </w:r>
      <w:r w:rsidRPr="00AC17A0">
        <w:rPr>
          <w:rFonts w:eastAsiaTheme="majorEastAsia"/>
          <w:b/>
          <w:rtl/>
        </w:rPr>
        <w:t xml:space="preserve"> </w:t>
      </w:r>
      <w:r w:rsidRPr="00AC17A0">
        <w:rPr>
          <w:rFonts w:eastAsiaTheme="majorEastAsia" w:hint="eastAsia"/>
          <w:b/>
          <w:rtl/>
        </w:rPr>
        <w:t>הפינוי</w:t>
      </w:r>
      <w:r w:rsidRPr="00AC17A0">
        <w:rPr>
          <w:rFonts w:eastAsiaTheme="majorEastAsia"/>
          <w:b/>
          <w:rtl/>
        </w:rPr>
        <w:t xml:space="preserve"> </w:t>
      </w:r>
      <w:r w:rsidRPr="00AC17A0">
        <w:rPr>
          <w:rFonts w:eastAsiaTheme="majorEastAsia" w:hint="eastAsia"/>
          <w:b/>
          <w:rtl/>
        </w:rPr>
        <w:t>של</w:t>
      </w:r>
      <w:r w:rsidRPr="00AC17A0">
        <w:rPr>
          <w:rFonts w:eastAsiaTheme="majorEastAsia"/>
          <w:b/>
          <w:rtl/>
        </w:rPr>
        <w:t xml:space="preserve"> </w:t>
      </w:r>
      <w:r w:rsidRPr="00AC17A0">
        <w:rPr>
          <w:rFonts w:eastAsiaTheme="majorEastAsia" w:hint="eastAsia"/>
          <w:b/>
          <w:rtl/>
        </w:rPr>
        <w:t>המדינה</w:t>
      </w:r>
      <w:r w:rsidRPr="00AC17A0">
        <w:rPr>
          <w:rFonts w:eastAsiaTheme="majorEastAsia"/>
          <w:b/>
          <w:rtl/>
        </w:rPr>
        <w:t xml:space="preserve"> ונתונים שהתקבלו מהרשויות המקומיות שנבדקו, בעיבוד משרד </w:t>
      </w:r>
      <w:r w:rsidRPr="00B57F4F">
        <w:rPr>
          <w:rtl/>
        </w:rPr>
        <w:t>מבקר</w:t>
      </w:r>
      <w:r w:rsidRPr="00AC17A0">
        <w:rPr>
          <w:rFonts w:eastAsiaTheme="majorEastAsia"/>
          <w:b/>
          <w:rtl/>
        </w:rPr>
        <w:t xml:space="preserve"> המדינה.</w:t>
      </w:r>
    </w:p>
    <w:p w:rsidR="007534EA" w:rsidP="00B57F4F">
      <w:pPr>
        <w:pStyle w:val="731"/>
        <w:spacing w:before="0" w:after="0" w:line="288" w:lineRule="auto"/>
        <w:rPr>
          <w:rFonts w:eastAsiaTheme="majorEastAsia"/>
          <w:b/>
          <w:rtl/>
        </w:rPr>
      </w:pPr>
      <w:r>
        <w:rPr>
          <w:rFonts w:hint="cs"/>
          <w:rtl/>
        </w:rPr>
        <w:t xml:space="preserve">* </w:t>
      </w:r>
      <w:r w:rsidRPr="007E5B41">
        <w:rPr>
          <w:rFonts w:hint="eastAsia"/>
          <w:rtl/>
        </w:rPr>
        <w:t>מספר</w:t>
      </w:r>
      <w:r w:rsidRPr="007E5B41">
        <w:rPr>
          <w:rtl/>
        </w:rPr>
        <w:t xml:space="preserve"> התושבים ברשות מובא מנתוני </w:t>
      </w:r>
      <w:r w:rsidRPr="007E5B41">
        <w:rPr>
          <w:rFonts w:hint="eastAsia"/>
          <w:rtl/>
        </w:rPr>
        <w:t>ה</w:t>
      </w:r>
      <w:r w:rsidRPr="007E5B41">
        <w:rPr>
          <w:rtl/>
        </w:rPr>
        <w:t xml:space="preserve">למ"ס, "תושבים בישראל לפי </w:t>
      </w:r>
      <w:r w:rsidRPr="007E5B41">
        <w:rPr>
          <w:rtl/>
        </w:rPr>
        <w:t>ישובים וקבוצות גיל - מתעדכן" (יוני 2024).</w:t>
      </w:r>
    </w:p>
    <w:p w:rsidR="007534EA" w:rsidP="00B57F4F">
      <w:pPr>
        <w:pStyle w:val="731"/>
        <w:spacing w:before="0" w:after="0" w:line="288" w:lineRule="auto"/>
        <w:rPr>
          <w:rFonts w:eastAsiaTheme="majorEastAsia"/>
          <w:b/>
          <w:rtl/>
        </w:rPr>
      </w:pPr>
      <w:r>
        <w:rPr>
          <w:rFonts w:hint="cs"/>
          <w:rtl/>
        </w:rPr>
        <w:t xml:space="preserve">** </w:t>
      </w:r>
      <w:r w:rsidRPr="007E5B41">
        <w:rPr>
          <w:rFonts w:hint="eastAsia"/>
          <w:rtl/>
        </w:rPr>
        <w:t>נתוני</w:t>
      </w:r>
      <w:r w:rsidRPr="007E5B41">
        <w:rPr>
          <w:rtl/>
        </w:rPr>
        <w:t xml:space="preserve"> המפונים בפועל (בשיא) בעיר </w:t>
      </w:r>
      <w:r w:rsidRPr="007E5B41">
        <w:rPr>
          <w:rFonts w:hint="eastAsia"/>
          <w:b/>
          <w:bCs/>
          <w:rtl/>
        </w:rPr>
        <w:t>שדרות</w:t>
      </w:r>
      <w:r w:rsidRPr="007E5B41">
        <w:rPr>
          <w:rtl/>
        </w:rPr>
        <w:t xml:space="preserve"> ובמועצה האזורית </w:t>
      </w:r>
      <w:r w:rsidRPr="007E5B41">
        <w:rPr>
          <w:rFonts w:hint="eastAsia"/>
          <w:b/>
          <w:bCs/>
          <w:rtl/>
        </w:rPr>
        <w:t>חוף</w:t>
      </w:r>
      <w:r w:rsidRPr="007E5B41">
        <w:rPr>
          <w:b/>
          <w:bCs/>
          <w:rtl/>
        </w:rPr>
        <w:t xml:space="preserve"> </w:t>
      </w:r>
      <w:r w:rsidRPr="007E5B41">
        <w:rPr>
          <w:rFonts w:hint="eastAsia"/>
          <w:b/>
          <w:bCs/>
          <w:rtl/>
        </w:rPr>
        <w:t>אשקלון</w:t>
      </w:r>
      <w:r w:rsidRPr="007E5B41">
        <w:rPr>
          <w:rtl/>
        </w:rPr>
        <w:t xml:space="preserve"> </w:t>
      </w:r>
      <w:r w:rsidRPr="007E5B41">
        <w:rPr>
          <w:rFonts w:hint="eastAsia"/>
          <w:rtl/>
        </w:rPr>
        <w:t>הם</w:t>
      </w:r>
      <w:r w:rsidRPr="007E5B41">
        <w:rPr>
          <w:rtl/>
        </w:rPr>
        <w:t xml:space="preserve"> </w:t>
      </w:r>
      <w:r w:rsidRPr="007E5B41">
        <w:rPr>
          <w:rFonts w:hint="eastAsia"/>
          <w:rtl/>
        </w:rPr>
        <w:t>נתונים</w:t>
      </w:r>
      <w:r w:rsidRPr="007E5B41">
        <w:rPr>
          <w:rtl/>
        </w:rPr>
        <w:t xml:space="preserve"> </w:t>
      </w:r>
      <w:r w:rsidRPr="007E5B41">
        <w:rPr>
          <w:rFonts w:hint="eastAsia"/>
          <w:rtl/>
        </w:rPr>
        <w:t>בקירוב</w:t>
      </w:r>
      <w:r w:rsidRPr="007E5B41">
        <w:rPr>
          <w:rtl/>
        </w:rPr>
        <w:t>.</w:t>
      </w:r>
    </w:p>
    <w:p w:rsidR="007534EA" w:rsidRPr="007E5B41" w:rsidP="00783DDB">
      <w:pPr>
        <w:pStyle w:val="731"/>
        <w:spacing w:before="0" w:after="0" w:line="288" w:lineRule="auto"/>
        <w:ind w:left="283" w:hanging="283"/>
        <w:rPr>
          <w:rFonts w:eastAsiaTheme="majorEastAsia"/>
          <w:b/>
        </w:rPr>
      </w:pPr>
      <w:r>
        <w:rPr>
          <w:rFonts w:hint="cs"/>
          <w:rtl/>
        </w:rPr>
        <w:t xml:space="preserve">*** </w:t>
      </w:r>
      <w:r w:rsidRPr="007E5B41">
        <w:rPr>
          <w:rFonts w:hint="eastAsia"/>
          <w:rtl/>
        </w:rPr>
        <w:t>בהחלטת</w:t>
      </w:r>
      <w:r w:rsidRPr="007E5B41">
        <w:rPr>
          <w:rtl/>
        </w:rPr>
        <w:t xml:space="preserve"> הממשלה על פינוי תושבי העיר </w:t>
      </w:r>
      <w:r w:rsidRPr="007E5B41">
        <w:rPr>
          <w:rFonts w:hint="eastAsia"/>
          <w:b/>
          <w:bCs/>
          <w:rtl/>
        </w:rPr>
        <w:t>שדרות</w:t>
      </w:r>
      <w:r w:rsidRPr="007E5B41">
        <w:rPr>
          <w:rtl/>
        </w:rPr>
        <w:t xml:space="preserve"> נקבע כי כלל תושבי העיר זכאים לפינוי בהיקף כולל של 31,000 תושבים. זאת </w:t>
      </w:r>
      <w:r w:rsidRPr="007E5B41">
        <w:rPr>
          <w:rFonts w:hint="eastAsia"/>
          <w:rtl/>
        </w:rPr>
        <w:t>אף</w:t>
      </w:r>
      <w:r w:rsidRPr="007E5B41">
        <w:rPr>
          <w:rtl/>
        </w:rPr>
        <w:t xml:space="preserve"> </w:t>
      </w:r>
      <w:r w:rsidRPr="007E5B41">
        <w:rPr>
          <w:rFonts w:hint="eastAsia"/>
          <w:rtl/>
        </w:rPr>
        <w:t>שבפועל</w:t>
      </w:r>
      <w:r w:rsidRPr="007E5B41">
        <w:rPr>
          <w:rtl/>
        </w:rPr>
        <w:t xml:space="preserve"> </w:t>
      </w:r>
      <w:r w:rsidRPr="007E5B41">
        <w:rPr>
          <w:rFonts w:hint="eastAsia"/>
          <w:rtl/>
        </w:rPr>
        <w:t>מתגור</w:t>
      </w:r>
      <w:r w:rsidRPr="007E5B41">
        <w:rPr>
          <w:rFonts w:hint="eastAsia"/>
          <w:rtl/>
        </w:rPr>
        <w:t>רים</w:t>
      </w:r>
      <w:r w:rsidRPr="007E5B41">
        <w:rPr>
          <w:rtl/>
        </w:rPr>
        <w:t xml:space="preserve"> </w:t>
      </w:r>
      <w:r w:rsidRPr="007E5B41">
        <w:rPr>
          <w:rFonts w:hint="eastAsia"/>
          <w:rtl/>
        </w:rPr>
        <w:t>בעיר</w:t>
      </w:r>
      <w:r w:rsidRPr="007E5B41">
        <w:rPr>
          <w:rtl/>
        </w:rPr>
        <w:t xml:space="preserve"> 37,730 </w:t>
      </w:r>
      <w:r w:rsidRPr="007E5B41">
        <w:rPr>
          <w:rFonts w:hint="eastAsia"/>
          <w:rtl/>
        </w:rPr>
        <w:t>על</w:t>
      </w:r>
      <w:r w:rsidRPr="007E5B41">
        <w:rPr>
          <w:rtl/>
        </w:rPr>
        <w:t xml:space="preserve"> </w:t>
      </w:r>
      <w:r w:rsidRPr="007E5B41">
        <w:rPr>
          <w:rFonts w:hint="eastAsia"/>
          <w:rtl/>
        </w:rPr>
        <w:t>פי</w:t>
      </w:r>
      <w:r w:rsidRPr="007E5B41">
        <w:rPr>
          <w:rtl/>
        </w:rPr>
        <w:t xml:space="preserve"> </w:t>
      </w:r>
      <w:r w:rsidRPr="007E5B41">
        <w:rPr>
          <w:rFonts w:hint="eastAsia"/>
          <w:rtl/>
        </w:rPr>
        <w:t>נתוני</w:t>
      </w:r>
      <w:r w:rsidRPr="007E5B41">
        <w:rPr>
          <w:rtl/>
        </w:rPr>
        <w:t xml:space="preserve"> </w:t>
      </w:r>
      <w:r w:rsidRPr="007E5B41">
        <w:rPr>
          <w:rFonts w:hint="eastAsia"/>
          <w:rtl/>
        </w:rPr>
        <w:t>הלמ</w:t>
      </w:r>
      <w:r w:rsidRPr="007E5B41">
        <w:rPr>
          <w:rtl/>
        </w:rPr>
        <w:t>"ס.</w:t>
      </w:r>
    </w:p>
    <w:p w:rsidR="007534EA" w:rsidRPr="007534EA" w:rsidP="00780272">
      <w:pPr>
        <w:pStyle w:val="731"/>
        <w:rPr>
          <w:rtl/>
        </w:rPr>
      </w:pPr>
    </w:p>
    <w:p w:rsidR="00780272" w:rsidRPr="007534EA" w:rsidP="00AE4BB7">
      <w:pPr>
        <w:spacing w:after="160" w:line="288" w:lineRule="auto"/>
        <w:ind w:left="-1"/>
        <w:rPr>
          <w:rFonts w:ascii="Tahoma" w:hAnsi="Tahoma" w:cs="Tahoma"/>
        </w:rPr>
      </w:pPr>
    </w:p>
    <w:p w:rsidR="00780272" w:rsidP="00AE4BB7">
      <w:pPr>
        <w:spacing w:after="160" w:line="288" w:lineRule="auto"/>
        <w:ind w:left="-1"/>
        <w:rPr>
          <w:rFonts w:ascii="Tahoma" w:hAnsi="Tahoma" w:cs="Tahoma"/>
        </w:rPr>
      </w:pPr>
    </w:p>
    <w:p w:rsidR="00780272" w:rsidP="00AE4BB7">
      <w:pPr>
        <w:spacing w:after="160" w:line="288" w:lineRule="auto"/>
        <w:ind w:left="-1"/>
        <w:rPr>
          <w:rFonts w:ascii="Tahoma" w:hAnsi="Tahoma" w:cs="Tahoma"/>
        </w:rPr>
      </w:pPr>
    </w:p>
    <w:p w:rsidR="00AE4BB7" w:rsidRPr="006B7706" w:rsidP="00286287">
      <w:pPr>
        <w:spacing w:after="160" w:line="480" w:lineRule="auto"/>
        <w:ind w:left="-1"/>
        <w:rPr>
          <w:rFonts w:ascii="Tahoma" w:hAnsi="Tahoma" w:cs="Tahoma"/>
          <w:rtl/>
        </w:rPr>
      </w:pPr>
      <w:r w:rsidRPr="006C4033">
        <w:rPr>
          <w:rFonts w:ascii="Tahoma" w:hAnsi="Tahoma" w:cs="Tahoma"/>
          <w:noProof/>
        </w:rPr>
        <w:drawing>
          <wp:inline distT="0" distB="0" distL="0" distR="0">
            <wp:extent cx="5689600" cy="303530"/>
            <wp:effectExtent l="0" t="0" r="6350" b="127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06621" cy="304438"/>
                    </a:xfrm>
                    <a:prstGeom prst="rect">
                      <a:avLst/>
                    </a:prstGeom>
                    <a:noFill/>
                    <a:ln>
                      <a:noFill/>
                    </a:ln>
                  </pic:spPr>
                </pic:pic>
              </a:graphicData>
            </a:graphic>
          </wp:inline>
        </w:drawing>
      </w:r>
    </w:p>
    <w:p w:rsidR="007534EA" w:rsidRPr="007534EA" w:rsidP="00783DDB">
      <w:pPr>
        <w:pStyle w:val="739"/>
        <w:spacing w:after="120"/>
        <w:rPr>
          <w:sz w:val="19"/>
          <w:szCs w:val="19"/>
          <w:rtl/>
        </w:rPr>
      </w:pPr>
      <w:r w:rsidRPr="007534EA">
        <w:rPr>
          <w:sz w:val="19"/>
          <w:szCs w:val="19"/>
          <w:rtl/>
        </w:rPr>
        <w:t xml:space="preserve">פינוי של עשרות אלפי תושבים בעת מלחמה הוא הליך מורכב, שמטרתו העיקרית היא הצלת נפשות. לפינוי השפעות ארוכות טווח על חייהם של התושבים, בדורשו התמודדות נפשית עם אירוע הפינוי עצמו ועקב ההפסקה הפתאומית בשגרת החיים, הכרוכה </w:t>
      </w:r>
      <w:r w:rsidRPr="007534EA">
        <w:rPr>
          <w:sz w:val="19"/>
          <w:szCs w:val="19"/>
          <w:rtl/>
        </w:rPr>
        <w:t>בצורך להסתגל למציאות חדשה ולבנות שגרה חדשה למחרת הפינוי.</w:t>
      </w:r>
    </w:p>
    <w:p w:rsidR="007534EA" w:rsidRPr="007534EA" w:rsidP="00B57F4F">
      <w:pPr>
        <w:pStyle w:val="739"/>
        <w:spacing w:after="120"/>
        <w:rPr>
          <w:sz w:val="19"/>
          <w:szCs w:val="19"/>
          <w:rtl/>
        </w:rPr>
      </w:pPr>
      <w:r w:rsidRPr="007534EA">
        <w:rPr>
          <w:sz w:val="19"/>
          <w:szCs w:val="19"/>
          <w:rtl/>
        </w:rPr>
        <w:t>בהיעדר הגדרה ברורה של תפקידי רשות מקומית מפונה, כל רשות מפונה פעלה מול תושביה לפי יכולתה והבנתה. הממצאים מלמדים על פגיעה ביכולת של רשויות מפונות לעמוד לרשות תושביהן ולתת להם עוגן ותחושת ביטחון, שעה ש</w:t>
      </w:r>
      <w:r w:rsidRPr="007534EA">
        <w:rPr>
          <w:sz w:val="19"/>
          <w:szCs w:val="19"/>
          <w:rtl/>
        </w:rPr>
        <w:t xml:space="preserve">הם נתונים לאיום ביטחוני ונאלצים עקב כך להפסיק את שגרת חייהם המוכרת ולהתמודד עם מציאות חדשה שאינה קלה. זאת בהיעדר נהלים מנחים לרשויות המפונות לגבי כל שלבי הפינוי ותפקידם בטיפול במפונים שבאתרי הקליטה, וכן בהיעדר גורם מתכלל של הליכי הקליטה מטעם השלטון המרכזי </w:t>
      </w:r>
      <w:r w:rsidRPr="007534EA">
        <w:rPr>
          <w:sz w:val="19"/>
          <w:szCs w:val="19"/>
          <w:rtl/>
        </w:rPr>
        <w:t>שיפעל לאיגום המידע, להנגשת השירותים למפונים, לגיבוי ולתגבור של הרשויות המקומיות ולסיוע להן. מהממצאים עולה כי לא היה מידע מרוכז ומסודר לגבי מיקומם של המפונים ולא הייתה מערכת אחודה לניהול נתוני המפונים, והרשויות המקומיות התקשו לשמור על הקשר עם התושבים והתקשו</w:t>
      </w:r>
      <w:r w:rsidRPr="007534EA">
        <w:rPr>
          <w:sz w:val="19"/>
          <w:szCs w:val="19"/>
          <w:rtl/>
        </w:rPr>
        <w:t xml:space="preserve"> במתן מענה לפניות תושביהן, בעיקר בימים הראשונים למלחמה.</w:t>
      </w:r>
    </w:p>
    <w:p w:rsidR="001C33F8" w:rsidP="007534EA">
      <w:pPr>
        <w:pStyle w:val="739"/>
        <w:rPr>
          <w:sz w:val="19"/>
          <w:szCs w:val="19"/>
        </w:rPr>
      </w:pPr>
      <w:r w:rsidRPr="007534EA">
        <w:rPr>
          <w:sz w:val="19"/>
          <w:szCs w:val="19"/>
          <w:rtl/>
        </w:rPr>
        <w:t>על רח"ל ופקע"ר בשיתוף משרד הפנים, ובתיאום עם הרשויות המקומיות ומשרד התיירות, לפעול לגיבוש תוכניות סדורות לשיבוץ מפונים במתקני אירוח, בהתבסס על הליך הפקת לקחים ממלחמת חרבות ברזל, תוך בחינת חלופות שונות</w:t>
      </w:r>
      <w:r w:rsidRPr="007534EA">
        <w:rPr>
          <w:sz w:val="19"/>
          <w:szCs w:val="19"/>
          <w:rtl/>
        </w:rPr>
        <w:t xml:space="preserve"> ליעדי הקליטה, ולהביאן לאישור הממשלה. בבחינת החלופות יש להביא בחשבון את השמירה על שגרת חיים ועל הקהילתיות בתקופת פינוי ממושכת. כמו כן, בשל החשיבות הרבה שלרשויות המקומיות יהיה מידע מרוכז בדבר מצב תושביהן בשעת חירום, ובעיקר על הילדים, הקשישים, מטופלי הרווחה </w:t>
      </w:r>
      <w:r w:rsidRPr="007534EA">
        <w:rPr>
          <w:sz w:val="19"/>
          <w:szCs w:val="19"/>
          <w:rtl/>
        </w:rPr>
        <w:t>ותושבים אחרים בעלי צרכים מיוחדים, על כל הרשויות המקומיות המפונות לטייב את מנגנוני ניהול הקשר עם תושביהן ולדאוג להם, הן לאלה שיפונו למתקני אירוח, הן לאלה שיתפנו בקהילה והן לאלה שיישארו בביתם או ישובו אליו זמן קצר לאחר הפינוי, ולפעול למניעת מצבי סיכון ומצוקה</w:t>
      </w:r>
      <w:r w:rsidRPr="007534EA">
        <w:rPr>
          <w:sz w:val="19"/>
          <w:szCs w:val="19"/>
          <w:rtl/>
        </w:rPr>
        <w:t xml:space="preserve"> בקרבם.</w:t>
      </w:r>
    </w:p>
    <w:p w:rsidR="00C4789A" w:rsidRPr="009515F9" w:rsidP="009515F9">
      <w:pPr>
        <w:bidi w:val="0"/>
        <w:spacing w:after="200" w:line="276" w:lineRule="auto"/>
        <w:rPr>
          <w:rFonts w:ascii="Tahoma" w:hAnsi="Tahoma" w:cs="Tahoma"/>
          <w:b/>
          <w:bCs/>
          <w:sz w:val="36"/>
          <w:szCs w:val="36"/>
        </w:rPr>
        <w:sectPr w:rsidSect="008654CB">
          <w:headerReference w:type="even" r:id="rId17"/>
          <w:headerReference w:type="default" r:id="rId18"/>
          <w:footerReference w:type="even" r:id="rId19"/>
          <w:footerReference w:type="default" r:id="rId20"/>
          <w:headerReference w:type="first" r:id="rId21"/>
          <w:footerReference w:type="first" r:id="rId22"/>
          <w:pgSz w:w="11340" w:h="14175" w:code="9"/>
          <w:pgMar w:top="2268" w:right="1276" w:bottom="1588" w:left="1134" w:header="709" w:footer="709" w:gutter="0"/>
          <w:cols w:space="708"/>
          <w:titlePg/>
          <w:bidi/>
          <w:rtlGutter/>
          <w:docGrid w:linePitch="360"/>
        </w:sectPr>
      </w:pPr>
    </w:p>
    <w:bookmarkEnd w:id="0"/>
    <w:p w:rsidR="009A6817" w:rsidRPr="001C33F8" w:rsidP="001D3DA9">
      <w:pPr>
        <w:spacing w:after="160" w:line="259" w:lineRule="auto"/>
        <w:jc w:val="left"/>
        <w:rPr>
          <w:rFonts w:ascii="Tahoma" w:hAnsi="Tahoma" w:cs="Tahoma"/>
          <w:noProof/>
          <w:rtl/>
        </w:rPr>
      </w:pPr>
    </w:p>
    <w:sectPr w:rsidSect="00030DCF">
      <w:headerReference w:type="first" r:id="rId23"/>
      <w:type w:val="continuous"/>
      <w:pgSz w:w="11340" w:h="14175" w:code="9"/>
      <w:pgMar w:top="2268" w:right="1276" w:bottom="1588"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7E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7E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6CE4">
    <w:pPr>
      <w:pStyle w:val="Footer"/>
    </w:pPr>
    <w:r>
      <w:rPr>
        <w:noProof/>
      </w:rPr>
      <mc:AlternateContent>
        <mc:Choice Requires="wps">
          <w:drawing>
            <wp:anchor distT="0" distB="0" distL="114300" distR="114300" simplePos="0" relativeHeight="251660288" behindDoc="0" locked="0" layoutInCell="1" allowOverlap="1">
              <wp:simplePos x="0" y="0"/>
              <wp:positionH relativeFrom="column">
                <wp:posOffset>1384662</wp:posOffset>
              </wp:positionH>
              <wp:positionV relativeFrom="paragraph">
                <wp:posOffset>-352879</wp:posOffset>
              </wp:positionV>
              <wp:extent cx="2996838" cy="0"/>
              <wp:effectExtent l="0" t="0" r="0" b="0"/>
              <wp:wrapNone/>
              <wp:docPr id="21" name="מחבר ישר 21"/>
              <wp:cNvGraphicFramePr/>
              <a:graphic xmlns:a="http://schemas.openxmlformats.org/drawingml/2006/main">
                <a:graphicData uri="http://schemas.microsoft.com/office/word/2010/wordprocessingShape">
                  <wps:wsp xmlns:wps="http://schemas.microsoft.com/office/word/2010/wordprocessingShape">
                    <wps:cNvCnPr/>
                    <wps:spPr>
                      <a:xfrm>
                        <a:off x="0" y="0"/>
                        <a:ext cx="2996838"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מחבר ישר 21" o:spid="_x0000_s2063" style="mso-width-percent:0;mso-width-relative:margin;mso-wrap-distance-bottom:0;mso-wrap-distance-left:9pt;mso-wrap-distance-right:9pt;mso-wrap-distance-top:0;mso-wrap-style:square;position:absolute;visibility:visible;z-index:251663360" from="109.05pt,-27.8pt" to="345pt,-27.8pt" strokecolor="#002060" strokeweight="1.25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1624330</wp:posOffset>
              </wp:positionH>
              <wp:positionV relativeFrom="paragraph">
                <wp:posOffset>-169545</wp:posOffset>
              </wp:positionV>
              <wp:extent cx="2512060" cy="304800"/>
              <wp:effectExtent l="0" t="0" r="2540" b="0"/>
              <wp:wrapNone/>
              <wp:docPr id="20" name="tbMMHF"/>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2060" cy="304800"/>
                      </a:xfrm>
                      <a:prstGeom prst="rect">
                        <a:avLst/>
                      </a:prstGeom>
                      <a:solidFill>
                        <a:schemeClr val="bg1"/>
                      </a:solidFill>
                      <a:ln w="6350">
                        <a:noFill/>
                      </a:ln>
                    </wps:spPr>
                    <wps:txbx>
                      <w:txbxContent>
                        <w:p w:rsidR="0011074F" w:rsidRPr="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P="0011074F">
                          <w:pPr>
                            <w:spacing w:line="240" w:lineRule="auto"/>
                            <w:jc w:val="center"/>
                            <w:rPr>
                              <w:rFonts w:asciiTheme="minorHAnsi" w:hAnsiTheme="minorHAnsi" w:cstheme="minorHAnsi"/>
                              <w:color w:val="002060"/>
                              <w:spacing w:val="20"/>
                              <w:sz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bMMHF" o:spid="_x0000_s2064" type="#_x0000_t202" style="width:197.8pt;height:24pt;margin-top:-13.35pt;margin-left:127.9pt;mso-wrap-distance-bottom:0;mso-wrap-distance-left:9pt;mso-wrap-distance-right:9pt;mso-wrap-distance-top:0;mso-wrap-style:square;position:absolute;visibility:visible;v-text-anchor:top;z-index:251662336" fillcolor="white" stroked="f" strokeweight="0.5pt">
              <v:textbox>
                <w:txbxContent>
                  <w:p w:rsidR="0011074F" w:rsidRPr="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P="0011074F">
                    <w:pPr>
                      <w:spacing w:line="240" w:lineRule="auto"/>
                      <w:jc w:val="center"/>
                      <w:rPr>
                        <w:rFonts w:asciiTheme="minorHAnsi" w:hAnsiTheme="minorHAnsi" w:cstheme="minorHAnsi"/>
                        <w:color w:val="002060"/>
                        <w:spacing w:val="20"/>
                        <w:sz w:val="24"/>
                        <w:rtl/>
                      </w:rPr>
                    </w:pPr>
                  </w:p>
                </w:txbxContent>
              </v:textbox>
            </v:shape>
          </w:pict>
        </mc:Fallback>
      </mc:AlternateContent>
    </w:r>
    <w:r w:rsidR="009961E8">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F56CE4"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24785164" o:spid="_x0000_s2065" type="#_x0000_t202" style="width:233pt;height:21.5pt;margin-top:-87.15pt;margin-left:0;mso-position-horizontal:center;mso-position-horizontal-relative:page;mso-wrap-distance-bottom:0;mso-wrap-distance-left:9pt;mso-wrap-distance-right:9pt;mso-wrap-distance-top:0;mso-wrap-style:square;position:absolute;visibility:visible;v-text-anchor:top;z-index:251661312" filled="f" stroked="f" strokeweight="0.5pt">
              <v:textbox>
                <w:txbxContent>
                  <w:p w:rsidR="00F56CE4"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B2CFB">
      <w:pPr>
        <w:spacing w:line="240" w:lineRule="auto"/>
      </w:pPr>
      <w:r>
        <w:separator/>
      </w:r>
    </w:p>
  </w:footnote>
  <w:footnote w:type="continuationSeparator" w:id="1">
    <w:p w:rsidR="002B2CFB">
      <w:pPr>
        <w:spacing w:line="240" w:lineRule="auto"/>
      </w:pPr>
      <w:r>
        <w:continuationSeparator/>
      </w:r>
    </w:p>
  </w:footnote>
  <w:footnote w:id="2">
    <w:p w:rsidR="00F9422C" w:rsidRPr="007121C6" w:rsidP="00F9422C">
      <w:pPr>
        <w:pStyle w:val="FootnoteText"/>
        <w:ind w:left="-1" w:hanging="567"/>
        <w:rPr>
          <w:rFonts w:ascii="Tahoma" w:hAnsi="Tahoma" w:cs="Tahoma"/>
          <w:sz w:val="16"/>
          <w:szCs w:val="16"/>
          <w:rtl/>
        </w:rPr>
      </w:pPr>
      <w:r w:rsidRPr="007121C6">
        <w:rPr>
          <w:rStyle w:val="FootnoteReference1"/>
          <w:rFonts w:ascii="Tahoma" w:hAnsi="Tahoma" w:cs="Tahoma"/>
          <w:sz w:val="16"/>
          <w:szCs w:val="16"/>
        </w:rPr>
        <w:footnoteRef/>
      </w:r>
      <w:r w:rsidRPr="007121C6">
        <w:rPr>
          <w:rFonts w:ascii="Tahoma" w:hAnsi="Tahoma" w:cs="Tahoma"/>
          <w:sz w:val="16"/>
          <w:szCs w:val="16"/>
          <w:rtl/>
        </w:rPr>
        <w:tab/>
        <w:t xml:space="preserve">מערכת אמו"ן (מערכת איחוד מידע ונתונים) הוקמה לאחר פרוץ המלחמה, והיא מנוהלת על ידי מערך הדיגיטל </w:t>
      </w:r>
      <w:r>
        <w:rPr>
          <w:rFonts w:ascii="Tahoma" w:hAnsi="Tahoma" w:cs="Tahoma" w:hint="cs"/>
          <w:sz w:val="16"/>
          <w:szCs w:val="16"/>
          <w:rtl/>
        </w:rPr>
        <w:t xml:space="preserve">הלאומי </w:t>
      </w:r>
      <w:r w:rsidRPr="007121C6">
        <w:rPr>
          <w:rFonts w:ascii="Tahoma" w:hAnsi="Tahoma" w:cs="Tahoma"/>
          <w:sz w:val="16"/>
          <w:szCs w:val="16"/>
          <w:rtl/>
        </w:rPr>
        <w:t xml:space="preserve">לשירות משרדי הממשלה וניזונה ממקורות שונים ובהם פקע"ר. המערכת </w:t>
      </w:r>
      <w:r w:rsidRPr="007121C6">
        <w:rPr>
          <w:rFonts w:ascii="Tahoma" w:hAnsi="Tahoma" w:cs="Tahoma"/>
          <w:sz w:val="16"/>
          <w:szCs w:val="16"/>
          <w:rtl/>
        </w:rPr>
        <w:t>מציגה למשרדי הממשלה מידע כמותי מעודכן הנוגע להיבטים שונים שקשורים למלחמת חרבות ברזל (כגון מספר החטופים, טילים שנורו ליישובים ועוד), נתונים שהיא שואבת מבסיסי מידע שונים; בכל הנוגע לנתונים על תושבים מפונים ומתפנים היא מציגה נתונים כמותיים וניזונה ממידע שאוסף</w:t>
      </w:r>
      <w:r w:rsidRPr="007121C6">
        <w:rPr>
          <w:rFonts w:ascii="Tahoma" w:hAnsi="Tahoma" w:cs="Tahoma"/>
          <w:sz w:val="16"/>
          <w:szCs w:val="16"/>
          <w:rtl/>
        </w:rPr>
        <w:t xml:space="preserve"> ומנתח פקע"ר.</w:t>
      </w:r>
    </w:p>
  </w:footnote>
  <w:footnote w:id="3">
    <w:p w:rsidR="00F9422C" w:rsidRPr="007121C6" w:rsidP="00F9422C">
      <w:pPr>
        <w:pStyle w:val="FootnoteText"/>
        <w:ind w:left="-1" w:hanging="567"/>
        <w:rPr>
          <w:rFonts w:ascii="Tahoma" w:hAnsi="Tahoma" w:cs="Tahoma"/>
          <w:sz w:val="16"/>
          <w:szCs w:val="16"/>
        </w:rPr>
      </w:pPr>
      <w:r w:rsidRPr="007121C6">
        <w:rPr>
          <w:rStyle w:val="FootnoteReference1"/>
          <w:rFonts w:ascii="Tahoma" w:hAnsi="Tahoma" w:cs="Tahoma"/>
          <w:sz w:val="16"/>
          <w:szCs w:val="16"/>
        </w:rPr>
        <w:footnoteRef/>
      </w:r>
      <w:r w:rsidRPr="007121C6">
        <w:rPr>
          <w:rFonts w:ascii="Tahoma" w:hAnsi="Tahoma" w:cs="Tahoma"/>
          <w:sz w:val="16"/>
          <w:szCs w:val="16"/>
          <w:rtl/>
        </w:rPr>
        <w:tab/>
        <w:t xml:space="preserve">מספרם הכולל המדויק של המתפנים </w:t>
      </w:r>
      <w:r>
        <w:rPr>
          <w:rFonts w:ascii="Tahoma" w:hAnsi="Tahoma" w:cs="Tahoma" w:hint="cs"/>
          <w:sz w:val="16"/>
          <w:szCs w:val="16"/>
          <w:rtl/>
        </w:rPr>
        <w:t>עצמאית</w:t>
      </w:r>
      <w:r w:rsidRPr="007121C6">
        <w:rPr>
          <w:rFonts w:ascii="Tahoma" w:hAnsi="Tahoma" w:cs="Tahoma"/>
          <w:sz w:val="16"/>
          <w:szCs w:val="16"/>
          <w:rtl/>
        </w:rPr>
        <w:t xml:space="preserve"> אינו ידוע. בכל הנוגע לנתונים על תושבים שהם מתפנים עצמאית נרשמה הערת הסתייגות בנוגע לנתוני פקע"ר בקשר לרמת הדיוק והאמינות שלהם, בשל הקושי שהיה לאסוף מידע על מספר האנשים שהתפנו עצמאית, שכן הם לא תומרצו ולא</w:t>
      </w:r>
      <w:r w:rsidRPr="007121C6">
        <w:rPr>
          <w:rFonts w:ascii="Tahoma" w:hAnsi="Tahoma" w:cs="Tahoma"/>
          <w:sz w:val="16"/>
          <w:szCs w:val="16"/>
          <w:rtl/>
        </w:rPr>
        <w:t xml:space="preserve"> היו מחויבים על ידי גורם ממלכתי כלשהו למסור לו את פרטיהם. פקע"ר אסף את הנתונים עליהם באמצעים שונים, ובהם קריאת מדי מים ביישובים שלא פונו הסמוכים לגבולות המדינה, כדי להסיק אם פלוני התפנה מביתו או נשאר להתגורר בו.</w:t>
      </w:r>
    </w:p>
  </w:footnote>
  <w:footnote w:id="4">
    <w:p w:rsidR="00F9422C" w:rsidRPr="007121C6" w:rsidP="00F9422C">
      <w:pPr>
        <w:pStyle w:val="FootnoteText"/>
        <w:ind w:left="-1" w:hanging="567"/>
        <w:rPr>
          <w:rFonts w:ascii="Tahoma" w:hAnsi="Tahoma" w:cs="Tahoma"/>
          <w:sz w:val="16"/>
          <w:szCs w:val="16"/>
          <w:rtl/>
        </w:rPr>
      </w:pPr>
      <w:r w:rsidRPr="007121C6">
        <w:rPr>
          <w:rStyle w:val="FootnoteReference1"/>
          <w:rFonts w:ascii="Tahoma" w:hAnsi="Tahoma" w:cs="Tahoma"/>
          <w:sz w:val="16"/>
          <w:szCs w:val="16"/>
        </w:rPr>
        <w:footnoteRef/>
      </w:r>
      <w:r w:rsidRPr="007121C6">
        <w:rPr>
          <w:rStyle w:val="FootnoteReference1"/>
          <w:rFonts w:ascii="Tahoma" w:hAnsi="Tahoma" w:cs="Tahoma"/>
          <w:sz w:val="16"/>
          <w:szCs w:val="16"/>
          <w:rtl/>
        </w:rPr>
        <w:tab/>
      </w:r>
      <w:r w:rsidRPr="007121C6">
        <w:rPr>
          <w:rFonts w:ascii="Tahoma" w:hAnsi="Tahoma" w:cs="Tahoma"/>
          <w:sz w:val="16"/>
          <w:szCs w:val="16"/>
          <w:rtl/>
        </w:rPr>
        <w:t>על פי תשובת מערך הדיגיטל הלאומי ממרץ 2025,</w:t>
      </w:r>
      <w:r w:rsidRPr="007121C6">
        <w:rPr>
          <w:rFonts w:ascii="Tahoma" w:hAnsi="Tahoma" w:cs="Tahoma"/>
          <w:sz w:val="16"/>
          <w:szCs w:val="16"/>
          <w:rtl/>
        </w:rPr>
        <w:t xml:space="preserve"> בהתאם לנתונים המעודכנים במערכת "יחד", נכון לפברואר 2025. הנתון כולל את מספר התושבים שפונו במימון המדינה ברשויות המקומיות </w:t>
      </w:r>
      <w:r w:rsidRPr="007121C6">
        <w:rPr>
          <w:rFonts w:ascii="Tahoma" w:hAnsi="Tahoma" w:cs="Tahoma"/>
          <w:b/>
          <w:bCs/>
          <w:sz w:val="16"/>
          <w:szCs w:val="16"/>
          <w:rtl/>
        </w:rPr>
        <w:t>אשקלון</w:t>
      </w:r>
      <w:r w:rsidRPr="007121C6">
        <w:rPr>
          <w:rFonts w:ascii="Tahoma" w:hAnsi="Tahoma" w:cs="Tahoma"/>
          <w:sz w:val="16"/>
          <w:szCs w:val="16"/>
          <w:rtl/>
        </w:rPr>
        <w:t xml:space="preserve">, </w:t>
      </w:r>
      <w:r w:rsidRPr="007121C6">
        <w:rPr>
          <w:rFonts w:ascii="Tahoma" w:hAnsi="Tahoma" w:cs="Tahoma"/>
          <w:b/>
          <w:bCs/>
          <w:sz w:val="16"/>
          <w:szCs w:val="16"/>
          <w:rtl/>
        </w:rPr>
        <w:t>שדרות</w:t>
      </w:r>
      <w:r w:rsidRPr="007121C6">
        <w:rPr>
          <w:rFonts w:ascii="Tahoma" w:hAnsi="Tahoma" w:cs="Tahoma"/>
          <w:sz w:val="16"/>
          <w:szCs w:val="16"/>
          <w:rtl/>
        </w:rPr>
        <w:t xml:space="preserve">, </w:t>
      </w:r>
      <w:r w:rsidRPr="007121C6">
        <w:rPr>
          <w:rFonts w:ascii="Tahoma" w:hAnsi="Tahoma" w:cs="Tahoma"/>
          <w:b/>
          <w:bCs/>
          <w:sz w:val="16"/>
          <w:szCs w:val="16"/>
          <w:rtl/>
        </w:rPr>
        <w:t>אשכול</w:t>
      </w:r>
      <w:r w:rsidRPr="007121C6">
        <w:rPr>
          <w:rFonts w:ascii="Tahoma" w:hAnsi="Tahoma" w:cs="Tahoma"/>
          <w:sz w:val="16"/>
          <w:szCs w:val="16"/>
          <w:rtl/>
        </w:rPr>
        <w:t xml:space="preserve"> ו</w:t>
      </w:r>
      <w:r w:rsidRPr="007121C6">
        <w:rPr>
          <w:rFonts w:ascii="Tahoma" w:hAnsi="Tahoma" w:cs="Tahoma"/>
          <w:b/>
          <w:bCs/>
          <w:sz w:val="16"/>
          <w:szCs w:val="16"/>
          <w:rtl/>
        </w:rPr>
        <w:t xml:space="preserve">חוף אשקלון </w:t>
      </w:r>
      <w:r w:rsidRPr="007121C6">
        <w:rPr>
          <w:rFonts w:ascii="Tahoma" w:hAnsi="Tahoma" w:cs="Tahoma"/>
          <w:sz w:val="16"/>
          <w:szCs w:val="16"/>
          <w:rtl/>
        </w:rPr>
        <w:t>למת</w:t>
      </w:r>
      <w:r>
        <w:rPr>
          <w:rFonts w:ascii="Tahoma" w:hAnsi="Tahoma" w:cs="Tahoma" w:hint="cs"/>
          <w:sz w:val="16"/>
          <w:szCs w:val="16"/>
          <w:rtl/>
        </w:rPr>
        <w:t>קני אירוח</w:t>
      </w:r>
      <w:r w:rsidRPr="007121C6">
        <w:rPr>
          <w:rFonts w:ascii="Tahoma" w:hAnsi="Tahoma" w:cs="Tahoma"/>
          <w:sz w:val="16"/>
          <w:szCs w:val="16"/>
          <w:rtl/>
        </w:rPr>
        <w:t xml:space="preserve"> או לקהילה. הרשויות המקומיות שנבדקו מסרו לצוות הביקורת נתון של כ-55,000 מפונים במימון המד</w:t>
      </w:r>
      <w:r w:rsidRPr="007121C6">
        <w:rPr>
          <w:rFonts w:ascii="Tahoma" w:hAnsi="Tahoma" w:cs="Tahoma"/>
          <w:sz w:val="16"/>
          <w:szCs w:val="16"/>
          <w:rtl/>
        </w:rPr>
        <w:t xml:space="preserve">ינה. אולם יש לסייג נתון זה, שכן לא היה בידי הרשויות האמורות מידע על מפונים בקהילה. מעיריית </w:t>
      </w:r>
      <w:r w:rsidRPr="007121C6">
        <w:rPr>
          <w:rFonts w:ascii="Tahoma" w:hAnsi="Tahoma" w:cs="Tahoma"/>
          <w:b/>
          <w:bCs/>
          <w:sz w:val="16"/>
          <w:szCs w:val="16"/>
          <w:rtl/>
        </w:rPr>
        <w:t xml:space="preserve">אופקים </w:t>
      </w:r>
      <w:r w:rsidRPr="007121C6">
        <w:rPr>
          <w:rFonts w:ascii="Tahoma" w:hAnsi="Tahoma" w:cs="Tahoma"/>
          <w:sz w:val="16"/>
          <w:szCs w:val="16"/>
          <w:rtl/>
        </w:rPr>
        <w:t>לא פונו תושבים במימון המדינה (ראו להלן).</w:t>
      </w:r>
    </w:p>
  </w:footnote>
  <w:footnote w:id="5">
    <w:p w:rsidR="00F9422C" w:rsidRPr="0047091C" w:rsidP="00F9422C">
      <w:pPr>
        <w:pStyle w:val="FootnoteText"/>
        <w:ind w:left="-1" w:hanging="567"/>
        <w:rPr>
          <w:rFonts w:ascii="David" w:hAnsi="David"/>
          <w:rtl/>
        </w:rPr>
      </w:pPr>
      <w:r w:rsidRPr="007121C6">
        <w:rPr>
          <w:rStyle w:val="FootnoteReference1"/>
          <w:rFonts w:ascii="Tahoma" w:hAnsi="Tahoma" w:cs="Tahoma"/>
          <w:sz w:val="16"/>
          <w:szCs w:val="16"/>
        </w:rPr>
        <w:footnoteRef/>
      </w:r>
      <w:r w:rsidRPr="007121C6">
        <w:rPr>
          <w:rFonts w:ascii="Tahoma" w:hAnsi="Tahoma" w:cs="Tahoma"/>
          <w:sz w:val="16"/>
          <w:szCs w:val="16"/>
          <w:rtl/>
        </w:rPr>
        <w:tab/>
        <w:t>על פי נתונים שמסר המוסד לביטוח לאומי למשרד מבקר המדינה באוגוסט 2024. מענק האכלוס ניתן לתקופה בגינה הצהיר התושב שהיה</w:t>
      </w:r>
      <w:r w:rsidRPr="007121C6">
        <w:rPr>
          <w:rFonts w:ascii="Tahoma" w:hAnsi="Tahoma" w:cs="Tahoma"/>
          <w:sz w:val="16"/>
          <w:szCs w:val="16"/>
          <w:rtl/>
        </w:rPr>
        <w:t xml:space="preserve"> מפונה בקהילה. יצוין כי היו מפונים מאשקלון שבחלק מהתקופה היו במ</w:t>
      </w:r>
      <w:r>
        <w:rPr>
          <w:rFonts w:ascii="Tahoma" w:hAnsi="Tahoma" w:cs="Tahoma" w:hint="cs"/>
          <w:sz w:val="16"/>
          <w:szCs w:val="16"/>
          <w:rtl/>
        </w:rPr>
        <w:t>תקני אירוח</w:t>
      </w:r>
      <w:r w:rsidRPr="007121C6">
        <w:rPr>
          <w:rFonts w:ascii="Tahoma" w:hAnsi="Tahoma" w:cs="Tahoma"/>
          <w:sz w:val="16"/>
          <w:szCs w:val="16"/>
          <w:rtl/>
        </w:rPr>
        <w:t xml:space="preserve"> ועל שאר תקופת הזכאות לפינוי קיבלו מענק אכלוס, בכפוף להצהרה כי התפנו מבתיהם.</w:t>
      </w:r>
    </w:p>
  </w:footnote>
  <w:footnote w:id="6">
    <w:p w:rsidR="007534EA" w:rsidRPr="007121C6" w:rsidP="002E5375">
      <w:pPr>
        <w:pStyle w:val="FootnoteText"/>
        <w:rPr>
          <w:rFonts w:ascii="Tahoma" w:hAnsi="Tahoma" w:cs="Tahoma"/>
          <w:sz w:val="16"/>
          <w:szCs w:val="16"/>
        </w:rPr>
      </w:pPr>
      <w:r w:rsidRPr="007121C6">
        <w:rPr>
          <w:rStyle w:val="FootnoteReference1"/>
          <w:rFonts w:ascii="Tahoma" w:hAnsi="Tahoma" w:cs="Tahoma"/>
          <w:sz w:val="16"/>
          <w:szCs w:val="16"/>
        </w:rPr>
        <w:footnoteRef/>
      </w:r>
      <w:r w:rsidRPr="007121C6">
        <w:rPr>
          <w:rFonts w:ascii="Tahoma" w:hAnsi="Tahoma" w:cs="Tahoma"/>
          <w:sz w:val="16"/>
          <w:szCs w:val="16"/>
          <w:rtl/>
        </w:rPr>
        <w:t xml:space="preserve"> </w:t>
      </w:r>
      <w:r w:rsidRPr="007121C6">
        <w:rPr>
          <w:rFonts w:ascii="Tahoma" w:hAnsi="Tahoma" w:cs="Tahoma"/>
          <w:sz w:val="16"/>
          <w:szCs w:val="16"/>
          <w:rtl/>
        </w:rPr>
        <w:tab/>
        <w:t xml:space="preserve">מערכת ממוחשבת שפותחה במהלך מלחמת חרבות ברזל על ידי מערך הדיגיטל הלאומי, בהנחיית מנכ"ל משרד רה"ם, במטרה </w:t>
      </w:r>
      <w:r w:rsidRPr="007121C6">
        <w:rPr>
          <w:rFonts w:ascii="Tahoma" w:hAnsi="Tahoma" w:cs="Tahoma"/>
          <w:sz w:val="16"/>
          <w:szCs w:val="16"/>
          <w:rtl/>
        </w:rPr>
        <w:t>לתת למוסדות המדינה מידע על המפונים ועל צורכיהם.</w:t>
      </w:r>
    </w:p>
  </w:footnote>
  <w:footnote w:id="7">
    <w:p w:rsidR="007534EA" w:rsidRPr="0047091C" w:rsidP="007534EA">
      <w:pPr>
        <w:pStyle w:val="FootnoteText"/>
        <w:ind w:right="-567"/>
        <w:rPr>
          <w:rFonts w:ascii="David" w:hAnsi="David"/>
        </w:rPr>
      </w:pPr>
      <w:r w:rsidRPr="007121C6">
        <w:rPr>
          <w:rStyle w:val="FootnoteReference1"/>
          <w:rFonts w:ascii="Tahoma" w:hAnsi="Tahoma" w:cs="Tahoma"/>
          <w:sz w:val="16"/>
          <w:szCs w:val="16"/>
        </w:rPr>
        <w:footnoteRef/>
      </w:r>
      <w:r w:rsidRPr="007121C6">
        <w:rPr>
          <w:rFonts w:ascii="Tahoma" w:hAnsi="Tahoma" w:cs="Tahoma"/>
          <w:sz w:val="16"/>
          <w:szCs w:val="16"/>
          <w:rtl/>
        </w:rPr>
        <w:tab/>
        <w:t>ב</w:t>
      </w:r>
      <w:r w:rsidRPr="007121C6">
        <w:rPr>
          <w:rFonts w:ascii="Tahoma" w:hAnsi="Tahoma" w:cs="Tahoma"/>
          <w:b/>
          <w:bCs/>
          <w:sz w:val="16"/>
          <w:szCs w:val="16"/>
          <w:rtl/>
        </w:rPr>
        <w:t>שדרות</w:t>
      </w:r>
      <w:r w:rsidRPr="007121C6">
        <w:rPr>
          <w:rFonts w:ascii="Tahoma" w:hAnsi="Tahoma" w:cs="Tahoma"/>
          <w:sz w:val="16"/>
          <w:szCs w:val="16"/>
          <w:rtl/>
        </w:rPr>
        <w:t xml:space="preserve"> ובמועצה האזורית </w:t>
      </w:r>
      <w:r w:rsidRPr="007121C6">
        <w:rPr>
          <w:rFonts w:ascii="Tahoma" w:hAnsi="Tahoma" w:cs="Tahoma"/>
          <w:b/>
          <w:bCs/>
          <w:sz w:val="16"/>
          <w:szCs w:val="16"/>
          <w:rtl/>
        </w:rPr>
        <w:t>אשכול</w:t>
      </w:r>
      <w:r w:rsidRPr="007121C6">
        <w:rPr>
          <w:rFonts w:ascii="Tahoma" w:hAnsi="Tahoma" w:cs="Tahoma"/>
          <w:sz w:val="16"/>
          <w:szCs w:val="16"/>
          <w:rtl/>
        </w:rPr>
        <w:t>, שכלל תושביהן נכללו בהחלטות על פינוי תושבים, לא היו מתפנים עצמאי</w:t>
      </w:r>
      <w:r>
        <w:rPr>
          <w:rFonts w:ascii="Tahoma" w:hAnsi="Tahoma" w:cs="Tahoma" w:hint="cs"/>
          <w:sz w:val="16"/>
          <w:szCs w:val="16"/>
          <w:rtl/>
        </w:rPr>
        <w:t>ת</w:t>
      </w:r>
      <w:r w:rsidRPr="007121C6">
        <w:rPr>
          <w:rFonts w:ascii="Tahoma" w:hAnsi="Tahoma" w:cs="Tahoma"/>
          <w:sz w:val="16"/>
          <w:szCs w:val="16"/>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3049" w:rsidRPr="005C3049" w:rsidP="005C3049">
    <w:pPr>
      <w:pStyle w:val="Header"/>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rPr>
      <mc:AlternateContent>
        <mc:Choice Requires="wpg">
          <w:drawing>
            <wp:anchor distT="0" distB="0" distL="114300" distR="114300" simplePos="0" relativeHeight="251660288"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xmlns:wpg="http://schemas.microsoft.com/office/word/2010/wordprocessingGroup">
                    <wpg:cNvGrpSpPr/>
                    <wpg:grpSpPr>
                      <a:xfrm>
                        <a:off x="0" y="0"/>
                        <a:ext cx="6150310" cy="604586"/>
                        <a:chOff x="31750" y="0"/>
                        <a:chExt cx="6150310" cy="604586"/>
                      </a:xfrm>
                    </wpg:grpSpPr>
                    <wps:wsp xmlns:wps="http://schemas.microsoft.com/office/word/2010/wordprocessingShape">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5C3049" w:rsidRPr="0062451B"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xmlns:wps="http://schemas.microsoft.com/office/word/2010/wordprocessingShape">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5C3049" w:rsidRPr="0062451B"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5C3049" w:rsidRPr="001E204F"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2049" style="width:484.3pt;height:47.6pt;margin-top:-7.45pt;margin-left:-15.2pt;mso-height-relative:margin;mso-width-relative:margin;position:absolute;z-index:251667456" coordorigin="317,0" coordsize="61503,6045">
              <v:line id="מחבר ישר 1834351669" o:spid="_x0000_s2050"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51" type="#_x0000_t202" style="width:31642;height:2857;flip:x;left:30178;mso-wrap-style:square;position:absolute;visibility:visible;v-text-anchor:top" filled="f" stroked="f">
                <v:textbox>
                  <w:txbxContent>
                    <w:p w:rsidR="005C3049" w:rsidRPr="0062451B"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2052" type="#_x0000_t202" style="width:31642;height:2857;flip:x;left:317;mso-wrap-style:square;position:absolute;top:3188;visibility:visible;v-text-anchor:top" filled="f" stroked="f">
                <v:textbox>
                  <w:txbxContent>
                    <w:p w:rsidR="005C3049" w:rsidRPr="0062451B" w:rsidP="005C3049">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r>
                        <w:rPr>
                          <w:rFonts w:ascii="Calibri" w:hAnsi="Calibri" w:cs="Calibri" w:hint="cs"/>
                          <w:color w:val="002060"/>
                          <w:szCs w:val="20"/>
                          <w:rtl/>
                        </w:rPr>
                        <w:t>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2053" type="#_x0000_t202" style="width:35452;height:2858;flip:x;left:26326;mso-wrap-style:square;position:absolute;top:3181;visibility:visible;v-text-anchor:top" filled="f" stroked="f">
                <v:textbox>
                  <w:txbxContent>
                    <w:p w:rsidR="005C3049" w:rsidRPr="001E204F"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8C7" w:rsidRPr="0062451B" w:rsidP="00DA67CB">
    <w:pPr>
      <w:pStyle w:val="Header"/>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rPr>
      <mc:AlternateContent>
        <mc:Choice Requires="wpg">
          <w:drawing>
            <wp:anchor distT="0" distB="0" distL="114300" distR="114300" simplePos="0" relativeHeight="251659264" behindDoc="0" locked="0" layoutInCell="1" allowOverlap="1">
              <wp:simplePos x="0" y="0"/>
              <wp:positionH relativeFrom="column">
                <wp:posOffset>-193879</wp:posOffset>
              </wp:positionH>
              <wp:positionV relativeFrom="paragraph">
                <wp:posOffset>-96532</wp:posOffset>
              </wp:positionV>
              <wp:extent cx="6150310" cy="828136"/>
              <wp:effectExtent l="0" t="0" r="3175" b="0"/>
              <wp:wrapNone/>
              <wp:docPr id="37" name="קבוצה 37"/>
              <wp:cNvGraphicFramePr/>
              <a:graphic xmlns:a="http://schemas.openxmlformats.org/drawingml/2006/main">
                <a:graphicData uri="http://schemas.microsoft.com/office/word/2010/wordprocessingGroup">
                  <wpg:wgp xmlns:wpg="http://schemas.microsoft.com/office/word/2010/wordprocessingGroup">
                    <wpg:cNvGrpSpPr/>
                    <wpg:grpSpPr>
                      <a:xfrm>
                        <a:off x="0" y="0"/>
                        <a:ext cx="6150310" cy="828136"/>
                        <a:chOff x="31750" y="0"/>
                        <a:chExt cx="6150310" cy="828136"/>
                      </a:xfrm>
                    </wpg:grpSpPr>
                    <wps:wsp xmlns:wps="http://schemas.microsoft.com/office/word/2010/wordprocessingShape">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678C7" w:rsidRPr="0062451B" w:rsidP="003D6304">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w:t>
                            </w:r>
                            <w:r w:rsidR="003D6304">
                              <w:rPr>
                                <w:rFonts w:ascii="Calibri" w:hAnsi="Calibri" w:cs="Calibri" w:hint="cs"/>
                                <w:color w:val="002060"/>
                                <w:sz w:val="22"/>
                                <w:szCs w:val="22"/>
                                <w:rtl/>
                              </w:rPr>
                              <w:t xml:space="preserve"> </w:t>
                            </w:r>
                            <w:r>
                              <w:rPr>
                                <w:rFonts w:ascii="Calibri" w:hAnsi="Calibri" w:cs="Calibri" w:hint="cs"/>
                                <w:color w:val="002060"/>
                                <w:sz w:val="22"/>
                                <w:szCs w:val="22"/>
                                <w:rtl/>
                              </w:rPr>
                              <w:t>דוח מיוחד</w:t>
                            </w:r>
                          </w:p>
                        </w:txbxContent>
                      </wps:txbx>
                      <wps:bodyPr rot="0" vert="horz" wrap="square" lIns="91440" tIns="45720" rIns="91440" bIns="45720" anchor="t" anchorCtr="0"/>
                    </wps:wsp>
                    <wps:wsp xmlns:wps="http://schemas.microsoft.com/office/word/2010/wordprocessingShape">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678C7" w:rsidRPr="0062451B"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Pr="003D6304" w:rsidR="0019747C">
                              <w:rPr>
                                <w:rFonts w:ascii="Calibri" w:hAnsi="Calibri" w:cs="Calibri" w:hint="cs"/>
                                <w:color w:val="002060"/>
                                <w:sz w:val="12"/>
                                <w:szCs w:val="12"/>
                                <w:rtl/>
                              </w:rPr>
                              <w:t xml:space="preserve"> </w:t>
                            </w:r>
                            <w:r w:rsidRPr="003D6304" w:rsidR="009961E8">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Pr="0062451B" w:rsidR="009961E8">
                              <w:rPr>
                                <w:rFonts w:ascii="Calibri" w:hAnsi="Calibri" w:cs="Calibri" w:hint="cs"/>
                                <w:color w:val="002060"/>
                                <w:szCs w:val="20"/>
                                <w:rtl/>
                              </w:rPr>
                              <w:t xml:space="preserve"> </w:t>
                            </w:r>
                            <w:r w:rsidRPr="0062451B" w:rsidR="009961E8">
                              <w:rPr>
                                <w:rFonts w:asciiTheme="minorHAnsi" w:hAnsiTheme="minorHAnsi" w:cstheme="minorHAnsi"/>
                                <w:color w:val="002060"/>
                                <w:spacing w:val="20"/>
                                <w:sz w:val="22"/>
                                <w:szCs w:val="22"/>
                              </w:rPr>
                              <w:t xml:space="preserve"> </w:t>
                            </w:r>
                            <w:r w:rsidRPr="0062451B" w:rsidR="009961E8">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3D6304">
                              <w:rPr>
                                <w:rFonts w:ascii="Calibri" w:hAnsi="Calibri" w:cs="Calibri" w:hint="cs"/>
                                <w:color w:val="002060"/>
                                <w:sz w:val="12"/>
                                <w:szCs w:val="12"/>
                                <w:rtl/>
                              </w:rPr>
                              <w:t xml:space="preserve"> </w:t>
                            </w:r>
                            <w:r w:rsidRPr="003D6304" w:rsidR="009961E8">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wps:txbx>
                      <wps:bodyPr rot="0" vert="horz" wrap="square" lIns="91440" tIns="45720" rIns="91440" bIns="45720" anchor="t" anchorCtr="0"/>
                    </wps:wsp>
                    <wps:wsp xmlns:wps="http://schemas.microsoft.com/office/word/2010/wordprocessingShape">
                      <wps:cNvPr id="41" name="תיבת טקסט 2"/>
                      <wps:cNvSpPr txBox="1">
                        <a:spLocks noChangeArrowheads="1"/>
                      </wps:cNvSpPr>
                      <wps:spPr bwMode="auto">
                        <a:xfrm flipH="1">
                          <a:off x="1782817" y="318093"/>
                          <a:ext cx="4394290" cy="510043"/>
                        </a:xfrm>
                        <a:prstGeom prst="rect">
                          <a:avLst/>
                        </a:prstGeom>
                        <a:noFill/>
                        <a:ln w="9525">
                          <a:noFill/>
                          <a:miter lim="800000"/>
                          <a:headEnd/>
                          <a:tailEnd/>
                        </a:ln>
                      </wps:spPr>
                      <wps:txbx>
                        <w:txbxContent>
                          <w:p w:rsidR="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3D6304">
                              <w:rPr>
                                <w:rFonts w:ascii="Calibri" w:hAnsi="Calibri" w:cs="Calibri" w:hint="cs"/>
                                <w:color w:val="002060"/>
                                <w:szCs w:val="20"/>
                                <w:rtl/>
                              </w:rPr>
                              <w:t xml:space="preserve"> ברשויות המקומיות</w:t>
                            </w:r>
                          </w:p>
                          <w:p w:rsidR="00E678C7" w:rsidRPr="0063663E" w:rsidP="00F9422C">
                            <w:pPr>
                              <w:spacing w:line="240" w:lineRule="auto"/>
                              <w:rPr>
                                <w:rFonts w:ascii="Calibri" w:hAnsi="Calibri" w:cs="Calibri"/>
                                <w:color w:val="002060"/>
                                <w:sz w:val="19"/>
                                <w:szCs w:val="19"/>
                                <w:rtl/>
                              </w:rPr>
                            </w:pPr>
                            <w:r w:rsidRPr="00F9422C">
                              <w:rPr>
                                <w:rFonts w:ascii="Calibri" w:hAnsi="Calibri" w:cs="Calibri"/>
                                <w:color w:val="002060"/>
                                <w:sz w:val="19"/>
                                <w:szCs w:val="19"/>
                                <w:rtl/>
                              </w:rPr>
                              <w:t>פינוי אוכלוסייה מרשויות מקומיות בדרום הארץ והקשר עם התושבים המפונים</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2054" style="width:484.3pt;height:65.2pt;margin-top:-7.6pt;margin-left:-15.25pt;mso-height-relative:margin;mso-width-relative:margin;position:absolute;z-index:251664384" coordorigin="317,0" coordsize="61503,8281">
              <v:line id="מחבר ישר 38" o:spid="_x0000_s2055"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56" type="#_x0000_t202" style="width:31642;height:2857;flip:x;left:30178;mso-wrap-style:square;position:absolute;visibility:visible;v-text-anchor:top" filled="f" stroked="f">
                <v:textbox>
                  <w:txbxContent>
                    <w:p w:rsidR="00E678C7" w:rsidRPr="0062451B" w:rsidP="003D6304">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w:t>
                      </w:r>
                      <w:r w:rsidR="003D6304">
                        <w:rPr>
                          <w:rFonts w:ascii="Calibri" w:hAnsi="Calibri" w:cs="Calibri" w:hint="cs"/>
                          <w:color w:val="002060"/>
                          <w:sz w:val="22"/>
                          <w:szCs w:val="22"/>
                          <w:rtl/>
                        </w:rPr>
                        <w:t xml:space="preserve"> </w:t>
                      </w:r>
                      <w:r>
                        <w:rPr>
                          <w:rFonts w:ascii="Calibri" w:hAnsi="Calibri" w:cs="Calibri" w:hint="cs"/>
                          <w:color w:val="002060"/>
                          <w:sz w:val="22"/>
                          <w:szCs w:val="22"/>
                          <w:rtl/>
                        </w:rPr>
                        <w:t>דוח מיוחד</w:t>
                      </w:r>
                    </w:p>
                  </w:txbxContent>
                </v:textbox>
              </v:shape>
              <v:shape id="תיבת טקסט 2" o:spid="_x0000_s2057" type="#_x0000_t202" style="width:31642;height:2857;flip:x;left:317;mso-wrap-style:square;position:absolute;top:3188;visibility:visible;v-text-anchor:top" filled="f" stroked="f">
                <v:textbox>
                  <w:txbxContent>
                    <w:p w:rsidR="00E678C7" w:rsidRPr="0062451B"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Pr="003D6304" w:rsidR="0019747C">
                        <w:rPr>
                          <w:rFonts w:ascii="Calibri" w:hAnsi="Calibri" w:cs="Calibri" w:hint="cs"/>
                          <w:color w:val="002060"/>
                          <w:sz w:val="12"/>
                          <w:szCs w:val="12"/>
                          <w:rtl/>
                        </w:rPr>
                        <w:t xml:space="preserve"> </w:t>
                      </w:r>
                      <w:r w:rsidRPr="003D6304" w:rsidR="009961E8">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Pr="0062451B" w:rsidR="009961E8">
                        <w:rPr>
                          <w:rFonts w:ascii="Calibri" w:hAnsi="Calibri" w:cs="Calibri" w:hint="cs"/>
                          <w:color w:val="002060"/>
                          <w:szCs w:val="20"/>
                          <w:rtl/>
                        </w:rPr>
                        <w:t xml:space="preserve"> </w:t>
                      </w:r>
                      <w:r w:rsidRPr="0062451B" w:rsidR="009961E8">
                        <w:rPr>
                          <w:rFonts w:asciiTheme="minorHAnsi" w:hAnsiTheme="minorHAnsi" w:cstheme="minorHAnsi"/>
                          <w:color w:val="002060"/>
                          <w:spacing w:val="20"/>
                          <w:sz w:val="22"/>
                          <w:szCs w:val="22"/>
                        </w:rPr>
                        <w:t xml:space="preserve"> </w:t>
                      </w:r>
                      <w:r w:rsidRPr="0062451B" w:rsidR="009961E8">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3D6304">
                        <w:rPr>
                          <w:rFonts w:ascii="Calibri" w:hAnsi="Calibri" w:cs="Calibri" w:hint="cs"/>
                          <w:color w:val="002060"/>
                          <w:sz w:val="12"/>
                          <w:szCs w:val="12"/>
                          <w:rtl/>
                        </w:rPr>
                        <w:t xml:space="preserve"> </w:t>
                      </w:r>
                      <w:r w:rsidRPr="003D6304" w:rsidR="009961E8">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v:textbox>
              </v:shape>
              <v:shape id="תיבת טקסט 2" o:spid="_x0000_s2058" type="#_x0000_t202" style="width:43943;height:5101;flip:x;left:17828;mso-wrap-style:square;position:absolute;top:3180;visibility:visible;v-text-anchor:top" filled="f" stroked="f">
                <v:textbox>
                  <w:txbxContent>
                    <w:p w:rsidR="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3D6304">
                        <w:rPr>
                          <w:rFonts w:ascii="Calibri" w:hAnsi="Calibri" w:cs="Calibri" w:hint="cs"/>
                          <w:color w:val="002060"/>
                          <w:szCs w:val="20"/>
                          <w:rtl/>
                        </w:rPr>
                        <w:t xml:space="preserve"> בר</w:t>
                      </w:r>
                      <w:r w:rsidR="003D6304">
                        <w:rPr>
                          <w:rFonts w:ascii="Calibri" w:hAnsi="Calibri" w:cs="Calibri" w:hint="cs"/>
                          <w:color w:val="002060"/>
                          <w:szCs w:val="20"/>
                          <w:rtl/>
                        </w:rPr>
                        <w:t>שויות המקומיות</w:t>
                      </w:r>
                    </w:p>
                    <w:p w:rsidR="00E678C7" w:rsidRPr="0063663E" w:rsidP="00F9422C">
                      <w:pPr>
                        <w:spacing w:line="240" w:lineRule="auto"/>
                        <w:rPr>
                          <w:rFonts w:ascii="Calibri" w:hAnsi="Calibri" w:cs="Calibri"/>
                          <w:color w:val="002060"/>
                          <w:sz w:val="19"/>
                          <w:szCs w:val="19"/>
                          <w:rtl/>
                        </w:rPr>
                      </w:pPr>
                      <w:r w:rsidRPr="00F9422C">
                        <w:rPr>
                          <w:rFonts w:ascii="Calibri" w:hAnsi="Calibri" w:cs="Calibri"/>
                          <w:color w:val="002060"/>
                          <w:sz w:val="19"/>
                          <w:szCs w:val="19"/>
                          <w:rtl/>
                        </w:rPr>
                        <w:t>פינוי אוכלוסייה מרשויות מקומיות בדרום הארץ והקשר עם התושבים המפונים</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00102EB8">
      <w:rPr>
        <w:rFonts w:asciiTheme="minorHAnsi" w:hAnsiTheme="minorHAnsi" w:cstheme="minorHAnsi"/>
        <w:noProof/>
        <w:color w:val="002060"/>
        <w:szCs w:val="20"/>
        <w:rtl/>
      </w:rPr>
      <w:t>4</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6CE4" w:rsidRPr="00FB414E" w:rsidP="00FB414E">
    <w:pPr>
      <w:pStyle w:val="Header"/>
      <w:tabs>
        <w:tab w:val="clear" w:pos="8306"/>
      </w:tabs>
      <w:ind w:right="-142"/>
      <w:jc w:val="right"/>
      <w:rPr>
        <w:rFonts w:asciiTheme="minorHAnsi" w:hAnsiTheme="minorHAnsi" w:cstheme="minorHAnsi"/>
        <w:color w:val="002060"/>
        <w:szCs w:val="20"/>
      </w:rPr>
    </w:pPr>
    <w:r>
      <w:rPr>
        <w:noProof/>
      </w:rPr>
      <mc:AlternateContent>
        <mc:Choice Requires="wps">
          <w:drawing>
            <wp:anchor distT="0" distB="0" distL="114300" distR="114300" simplePos="0" relativeHeight="251666432" behindDoc="0" locked="0" layoutInCell="1" allowOverlap="1">
              <wp:simplePos x="0" y="0"/>
              <wp:positionH relativeFrom="page">
                <wp:posOffset>2022475</wp:posOffset>
              </wp:positionH>
              <wp:positionV relativeFrom="paragraph">
                <wp:posOffset>2412365</wp:posOffset>
              </wp:positionV>
              <wp:extent cx="3156858" cy="10886"/>
              <wp:effectExtent l="0" t="0" r="24765" b="27305"/>
              <wp:wrapNone/>
              <wp:docPr id="10" name="מחבר ישר 10"/>
              <wp:cNvGraphicFramePr/>
              <a:graphic xmlns:a="http://schemas.openxmlformats.org/drawingml/2006/main">
                <a:graphicData uri="http://schemas.microsoft.com/office/word/2010/wordprocessingShape">
                  <wps:wsp xmlns:wps="http://schemas.microsoft.com/office/word/2010/wordprocessingShape">
                    <wps:cNvCnPr/>
                    <wps:spPr>
                      <a:xfrm>
                        <a:off x="0" y="0"/>
                        <a:ext cx="3156858" cy="10886"/>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0" o:spid="_x0000_s2059" style="mso-height-percent:0;mso-height-relative:margin;mso-position-horizontal-relative:page;mso-width-percent:0;mso-width-relative:margin;mso-wrap-distance-bottom:0;mso-wrap-distance-left:9pt;mso-wrap-distance-right:9pt;mso-wrap-distance-top:0;mso-wrap-style:square;position:absolute;visibility:visible;z-index:251671552" from="159.25pt,189.95pt" to="407.8pt,190.8pt" strokecolor="#002060" strokeweight="1.25p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2029934</wp:posOffset>
              </wp:positionH>
              <wp:positionV relativeFrom="paragraph">
                <wp:posOffset>1269402</wp:posOffset>
              </wp:positionV>
              <wp:extent cx="1691005" cy="719825"/>
              <wp:effectExtent l="0" t="0" r="4445" b="4445"/>
              <wp:wrapNone/>
              <wp:docPr id="2" name="מלבן 2"/>
              <wp:cNvGraphicFramePr/>
              <a:graphic xmlns:a="http://schemas.openxmlformats.org/drawingml/2006/main">
                <a:graphicData uri="http://schemas.microsoft.com/office/word/2010/wordprocessingShape">
                  <wps:wsp xmlns:wps="http://schemas.microsoft.com/office/word/2010/wordprocessingShape">
                    <wps:cNvSpPr/>
                    <wps:spPr>
                      <a:xfrm>
                        <a:off x="0" y="0"/>
                        <a:ext cx="1691005" cy="71982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מלבן 2" o:spid="_x0000_s2060" style="width:133.15pt;height:56.7pt;margin-top:99.95pt;margin-left:159.85pt;mso-height-percent:0;mso-height-relative:margin;mso-wrap-distance-bottom:0;mso-wrap-distance-left:9pt;mso-wrap-distance-right:9pt;mso-wrap-distance-top:0;mso-wrap-style:square;position:absolute;visibility:visible;v-text-anchor:middle;z-index:251661312" fillcolor="#002060" stroked="f" strokeweight="2pt"/>
          </w:pict>
        </mc:Fallback>
      </mc:AlternateContent>
    </w:r>
    <w:r w:rsidRPr="00A5605A">
      <w:rPr>
        <w:rFonts w:asciiTheme="minorHAnsi" w:hAnsiTheme="minorHAnsi" w:cs="Calibri"/>
        <w:noProof/>
        <w:color w:val="002060"/>
        <w:szCs w:val="20"/>
        <w:rtl/>
      </w:rPr>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paragraph">
                <wp:posOffset>1447070</wp:posOffset>
              </wp:positionV>
              <wp:extent cx="2959100" cy="455930"/>
              <wp:effectExtent l="0" t="0" r="0" b="1270"/>
              <wp:wrapNone/>
              <wp:docPr id="23" name="תיבת טקסט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455930"/>
                      </a:xfrm>
                      <a:prstGeom prst="rect">
                        <a:avLst/>
                      </a:prstGeom>
                      <a:noFill/>
                      <a:ln w="6350">
                        <a:noFill/>
                      </a:ln>
                    </wps:spPr>
                    <wps:txbx>
                      <w:txbxContent>
                        <w:p w:rsidR="00A5605A" w:rsidRPr="00EE06A0"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w:t>
                          </w:r>
                          <w:r w:rsidR="00F9422C">
                            <w:rPr>
                              <w:rFonts w:ascii="Calibri" w:hAnsi="Calibri" w:cs="Calibri" w:hint="cs"/>
                              <w:color w:val="FFFFFF" w:themeColor="background1"/>
                              <w:spacing w:val="80"/>
                              <w:sz w:val="28"/>
                              <w:szCs w:val="36"/>
                              <w:rtl/>
                            </w:rPr>
                            <w:t>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23" o:spid="_x0000_s2061" type="#_x0000_t202" style="width:233pt;height:35.9pt;margin-top:113.95pt;margin-left:0;mso-position-horizontal:center;mso-position-horizontal-relative:page;mso-wrap-distance-bottom:0;mso-wrap-distance-left:9pt;mso-wrap-distance-right:9pt;mso-wrap-distance-top:0;mso-wrap-style:square;position:absolute;visibility:visible;v-text-anchor:top;z-index:251670528" filled="f" stroked="f" strokeweight="0.5pt">
              <v:textbox>
                <w:txbxContent>
                  <w:p w:rsidR="00A5605A" w:rsidRPr="00EE06A0"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w:t>
                    </w:r>
                    <w:r w:rsidR="00F9422C">
                      <w:rPr>
                        <w:rFonts w:ascii="Calibri" w:hAnsi="Calibri" w:cs="Calibri" w:hint="cs"/>
                        <w:color w:val="FFFFFF" w:themeColor="background1"/>
                        <w:spacing w:val="80"/>
                        <w:sz w:val="28"/>
                        <w:szCs w:val="36"/>
                        <w:rtl/>
                      </w:rPr>
                      <w:t>ה'</w:t>
                    </w:r>
                  </w:p>
                </w:txbxContent>
              </v:textbox>
            </v:shape>
          </w:pict>
        </mc:Fallback>
      </mc:AlternateContent>
    </w:r>
    <w:r w:rsidR="0011074F">
      <w:rPr>
        <w:rFonts w:asciiTheme="minorHAnsi" w:hAnsiTheme="minorHAnsi" w:cs="Calibri"/>
        <w:noProof/>
        <w:color w:val="002060"/>
        <w:szCs w:val="20"/>
        <w:rtl/>
      </w:rPr>
      <mc:AlternateContent>
        <mc:Choice Requires="wps">
          <w:drawing>
            <wp:anchor distT="0" distB="0" distL="114300" distR="114300" simplePos="0" relativeHeight="251663360" behindDoc="0" locked="0" layoutInCell="1" allowOverlap="1">
              <wp:simplePos x="0" y="0"/>
              <wp:positionH relativeFrom="column">
                <wp:posOffset>2042160</wp:posOffset>
              </wp:positionH>
              <wp:positionV relativeFrom="paragraph">
                <wp:posOffset>1979930</wp:posOffset>
              </wp:positionV>
              <wp:extent cx="1676400" cy="0"/>
              <wp:effectExtent l="0" t="0" r="0" b="0"/>
              <wp:wrapNone/>
              <wp:docPr id="16" name="מחבר ישר 16"/>
              <wp:cNvGraphicFramePr/>
              <a:graphic xmlns:a="http://schemas.openxmlformats.org/drawingml/2006/main">
                <a:graphicData uri="http://schemas.microsoft.com/office/word/2010/wordprocessingShape">
                  <wps:wsp xmlns:wps="http://schemas.microsoft.com/office/word/2010/wordprocessingShape">
                    <wps:cNvCnPr/>
                    <wps:spPr>
                      <a:xfrm>
                        <a:off x="0" y="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מחבר ישר 16" o:spid="_x0000_s2062" style="mso-wrap-distance-bottom:0;mso-wrap-distance-left:9pt;mso-wrap-distance-right:9pt;mso-wrap-distance-top:0;mso-wrap-style:square;position:absolute;visibility:visible;z-index:251669504" from="160.8pt,155.9pt" to="292.8pt,155.9pt" strokecolor="#002060"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789A" w:rsidRPr="00FB414E" w:rsidP="00FB414E">
    <w:pPr>
      <w:pStyle w:val="Header"/>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rPr>
      <mc:AlternateContent>
        <mc:Choice Requires="wpg">
          <w:drawing>
            <wp:anchor distT="0" distB="0" distL="114300" distR="114300" simplePos="0" relativeHeight="25166233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701308960" name="קבוצה 701308960"/>
              <wp:cNvGraphicFramePr/>
              <a:graphic xmlns:a="http://schemas.openxmlformats.org/drawingml/2006/main">
                <a:graphicData uri="http://schemas.microsoft.com/office/word/2010/wordprocessingGroup">
                  <wpg:wgp xmlns:wpg="http://schemas.microsoft.com/office/word/2010/wordprocessingGroup">
                    <wpg:cNvGrpSpPr/>
                    <wpg:grpSpPr>
                      <a:xfrm>
                        <a:off x="0" y="0"/>
                        <a:ext cx="6150310" cy="604586"/>
                        <a:chOff x="31750" y="0"/>
                        <a:chExt cx="6150310" cy="604586"/>
                      </a:xfrm>
                    </wpg:grpSpPr>
                    <wps:wsp xmlns:wps="http://schemas.microsoft.com/office/word/2010/wordprocessingShape">
                      <wps:cNvPr id="1166979208" name="מחבר ישר 116697920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76116240"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C4789A" w:rsidRPr="0062451B"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xmlns:wps="http://schemas.microsoft.com/office/word/2010/wordprocessingShape">
                      <wps:cNvPr id="1059587155"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C4789A" w:rsidRPr="0062451B"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160023683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C4789A" w:rsidRPr="001E204F"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P="00FB414E">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701308960" o:spid="_x0000_s2066" style="width:484.3pt;height:47.6pt;margin-top:-7.45pt;margin-left:-15.2pt;mso-height-relative:margin;mso-width-relative:margin;position:absolute;z-index:251668480" coordorigin="317,0" coordsize="61503,6045">
              <v:line id="מחבר ישר 1166979208" o:spid="_x0000_s2067"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68" type="#_x0000_t202" style="width:31642;height:2857;flip:x;left:30178;mso-wrap-style:square;position:absolute;visibility:visible;v-text-anchor:top" filled="f" stroked="f">
                <v:textbox>
                  <w:txbxContent>
                    <w:p w:rsidR="00C4789A" w:rsidRPr="0062451B"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2069" type="#_x0000_t202" style="width:31642;height:2857;flip:x;left:317;mso-wrap-style:square;position:absolute;top:3188;visibility:visible;v-text-anchor:top" filled="f" stroked="f">
                <v:textbox>
                  <w:txbxContent>
                    <w:p w:rsidR="00C4789A" w:rsidRPr="0062451B"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2070" type="#_x0000_t202" style="width:35452;height:2858;flip:x;left:26326;mso-wrap-style:square;position:absolute;top:3181;visibility:visible;v-text-anchor:top" filled="f" stroked="f">
                <v:textbox>
                  <w:txbxContent>
                    <w:p w:rsidR="00C4789A" w:rsidRPr="001E204F"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P="00FB414E">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7.25pt" o:bullet="t">
        <v:imagedata r:id="rId1" o:title="hand-red"/>
      </v:shape>
    </w:pict>
  </w:numPicBullet>
  <w:numPicBullet w:numPicBulletId="1">
    <w:pict>
      <v:shape id="_x0000_i1026" type="#_x0000_t75" style="width:255pt;height:255pt" o:bullet="t">
        <v:imagedata r:id="rId2" o:title=""/>
      </v:shape>
    </w:pict>
  </w:numPicBullet>
  <w:abstractNum w:abstractNumId="0" w15:restartNumberingAfterBreak="0">
    <w:nsid w:val="088216AB"/>
    <w:multiLevelType w:val="hybridMultilevel"/>
    <w:tmpl w:val="BB7ADECA"/>
    <w:lvl w:ilvl="0">
      <w:start w:val="1"/>
      <w:numFmt w:val="hebrew1"/>
      <w:pStyle w:val="15"/>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1" w15:restartNumberingAfterBreak="0">
    <w:nsid w:val="0CBD5F52"/>
    <w:multiLevelType w:val="hybridMultilevel"/>
    <w:tmpl w:val="D94CDEE4"/>
    <w:lvl w:ilvl="0">
      <w:start w:val="1"/>
      <w:numFmt w:val="decimal"/>
      <w:lvlText w:val="%1."/>
      <w:lvlJc w:val="left"/>
      <w:pPr>
        <w:ind w:left="397" w:hanging="397"/>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E697B12"/>
    <w:multiLevelType w:val="hybridMultilevel"/>
    <w:tmpl w:val="30EA0890"/>
    <w:lvl w:ilvl="0">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2806966"/>
    <w:multiLevelType w:val="hybridMultilevel"/>
    <w:tmpl w:val="FC6ED52C"/>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CF648D2"/>
    <w:multiLevelType w:val="hybridMultilevel"/>
    <w:tmpl w:val="E2B6F6AA"/>
    <w:lvl w:ilvl="0">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5" w15:restartNumberingAfterBreak="0">
    <w:nsid w:val="1D587F94"/>
    <w:multiLevelType w:val="hybridMultilevel"/>
    <w:tmpl w:val="FF2AB340"/>
    <w:lvl w:ilvl="0">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DB951A8"/>
    <w:multiLevelType w:val="hybridMultilevel"/>
    <w:tmpl w:val="477266D6"/>
    <w:lvl w:ilvl="0">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7" w15:restartNumberingAfterBreak="0">
    <w:nsid w:val="2EC744C3"/>
    <w:multiLevelType w:val="hybridMultilevel"/>
    <w:tmpl w:val="4A68CCE0"/>
    <w:lvl w:ilvl="0">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9" w15:restartNumberingAfterBreak="0">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0" w15:restartNumberingAfterBreak="0">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11" w15:restartNumberingAfterBreak="0">
    <w:nsid w:val="355B1DDE"/>
    <w:multiLevelType w:val="hybridMultilevel"/>
    <w:tmpl w:val="0382FD12"/>
    <w:lvl w:ilvl="0">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15:restartNumberingAfterBreak="0">
    <w:nsid w:val="392E622D"/>
    <w:multiLevelType w:val="hybridMultilevel"/>
    <w:tmpl w:val="7D5E01EA"/>
    <w:lvl w:ilvl="0">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13" w15:restartNumberingAfterBreak="0">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4" w15:restartNumberingAfterBreak="0">
    <w:nsid w:val="3B0B597E"/>
    <w:multiLevelType w:val="hybridMultilevel"/>
    <w:tmpl w:val="C582C6B2"/>
    <w:lvl w:ilvl="0">
      <w:start w:val="0"/>
      <w:numFmt w:val="bullet"/>
      <w:lvlText w:val="•"/>
      <w:lvlJc w:val="left"/>
      <w:pPr>
        <w:ind w:left="1003" w:hanging="360"/>
      </w:pPr>
      <w:rPr>
        <w:rFonts w:ascii="Tahoma" w:hAnsi="Tahoma" w:eastAsiaTheme="minorHAnsi" w:cs="Tahoma" w:hint="default"/>
        <w:b/>
        <w:i w:val="0"/>
        <w:caps w:val="0"/>
        <w:strike w:val="0"/>
        <w:dstrike w:val="0"/>
        <w:vanish w:val="0"/>
        <w:color w:val="FF0000"/>
        <w:position w:val="0"/>
        <w:sz w:val="21"/>
        <w:szCs w:val="25"/>
        <w:vertAlign w:val="baseline"/>
        <w14:ligatures w14:val="all"/>
        <w14:numForm w14:val="default"/>
        <w14:numSpacing w14:val="default"/>
        <w14:stylisticSets xmlns:w14="http://schemas.microsoft.com/office/word/2010/wordml"/>
      </w:rPr>
    </w:lvl>
    <w:lvl w:ilvl="1">
      <w:start w:val="0"/>
      <w:numFmt w:val="bullet"/>
      <w:lvlText w:val="•"/>
      <w:lvlJc w:val="left"/>
      <w:pPr>
        <w:ind w:left="1528" w:hanging="165"/>
      </w:pPr>
      <w:rPr>
        <w:rFonts w:ascii="Tahoma" w:hAnsi="Tahoma" w:eastAsiaTheme="minorHAnsi" w:cs="Tahoma" w:hint="default"/>
        <w:b/>
        <w:color w:val="FF0000"/>
        <w:sz w:val="21"/>
      </w:rPr>
    </w:lvl>
    <w:lvl w:ilvl="2" w:tentative="1">
      <w:start w:val="1"/>
      <w:numFmt w:val="bullet"/>
      <w:lvlText w:val=""/>
      <w:lvlJc w:val="left"/>
      <w:pPr>
        <w:ind w:left="2443" w:hanging="360"/>
      </w:pPr>
      <w:rPr>
        <w:rFonts w:ascii="Wingdings" w:hAnsi="Wingdings" w:hint="default"/>
      </w:rPr>
    </w:lvl>
    <w:lvl w:ilvl="3" w:tentative="1">
      <w:start w:val="1"/>
      <w:numFmt w:val="bullet"/>
      <w:lvlText w:val=""/>
      <w:lvlJc w:val="left"/>
      <w:pPr>
        <w:ind w:left="3163" w:hanging="360"/>
      </w:pPr>
      <w:rPr>
        <w:rFonts w:ascii="Symbol" w:hAnsi="Symbol" w:hint="default"/>
      </w:rPr>
    </w:lvl>
    <w:lvl w:ilvl="4" w:tentative="1">
      <w:start w:val="1"/>
      <w:numFmt w:val="bullet"/>
      <w:lvlText w:val="o"/>
      <w:lvlJc w:val="left"/>
      <w:pPr>
        <w:ind w:left="3883" w:hanging="360"/>
      </w:pPr>
      <w:rPr>
        <w:rFonts w:ascii="Courier New" w:hAnsi="Courier New" w:cs="Courier New" w:hint="default"/>
      </w:rPr>
    </w:lvl>
    <w:lvl w:ilvl="5" w:tentative="1">
      <w:start w:val="1"/>
      <w:numFmt w:val="bullet"/>
      <w:lvlText w:val=""/>
      <w:lvlJc w:val="left"/>
      <w:pPr>
        <w:ind w:left="4603" w:hanging="360"/>
      </w:pPr>
      <w:rPr>
        <w:rFonts w:ascii="Wingdings" w:hAnsi="Wingdings" w:hint="default"/>
      </w:rPr>
    </w:lvl>
    <w:lvl w:ilvl="6" w:tentative="1">
      <w:start w:val="1"/>
      <w:numFmt w:val="bullet"/>
      <w:lvlText w:val=""/>
      <w:lvlJc w:val="left"/>
      <w:pPr>
        <w:ind w:left="5323" w:hanging="360"/>
      </w:pPr>
      <w:rPr>
        <w:rFonts w:ascii="Symbol" w:hAnsi="Symbol" w:hint="default"/>
      </w:rPr>
    </w:lvl>
    <w:lvl w:ilvl="7" w:tentative="1">
      <w:start w:val="1"/>
      <w:numFmt w:val="bullet"/>
      <w:lvlText w:val="o"/>
      <w:lvlJc w:val="left"/>
      <w:pPr>
        <w:ind w:left="6043" w:hanging="360"/>
      </w:pPr>
      <w:rPr>
        <w:rFonts w:ascii="Courier New" w:hAnsi="Courier New" w:cs="Courier New" w:hint="default"/>
      </w:rPr>
    </w:lvl>
    <w:lvl w:ilvl="8" w:tentative="1">
      <w:start w:val="1"/>
      <w:numFmt w:val="bullet"/>
      <w:lvlText w:val=""/>
      <w:lvlJc w:val="left"/>
      <w:pPr>
        <w:ind w:left="6763" w:hanging="360"/>
      </w:pPr>
      <w:rPr>
        <w:rFonts w:ascii="Wingdings" w:hAnsi="Wingdings" w:hint="default"/>
      </w:rPr>
    </w:lvl>
  </w:abstractNum>
  <w:abstractNum w:abstractNumId="15" w15:restartNumberingAfterBreak="0">
    <w:nsid w:val="3DFC3F2B"/>
    <w:multiLevelType w:val="hybridMultilevel"/>
    <w:tmpl w:val="27902D54"/>
    <w:lvl w:ilvl="0">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7" w15:restartNumberingAfterBreak="0">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18" w15:restartNumberingAfterBreak="0">
    <w:nsid w:val="4DD35436"/>
    <w:multiLevelType w:val="hybridMultilevel"/>
    <w:tmpl w:val="EC1EC164"/>
    <w:lvl w:ilvl="0">
      <w:start w:val="1"/>
      <w:numFmt w:val="decimal"/>
      <w:pStyle w:val="20"/>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19" w15:restartNumberingAfterBreak="0">
    <w:nsid w:val="59F011FB"/>
    <w:multiLevelType w:val="hybridMultilevel"/>
    <w:tmpl w:val="FBB8779C"/>
    <w:lvl w:ilvl="0">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6079445E"/>
    <w:multiLevelType w:val="hybridMultilevel"/>
    <w:tmpl w:val="CDCA638E"/>
    <w:lvl w:ilvl="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15:restartNumberingAfterBreak="0">
    <w:nsid w:val="65D5678F"/>
    <w:multiLevelType w:val="hybridMultilevel"/>
    <w:tmpl w:val="8844FB18"/>
    <w:lvl w:ilvl="0">
      <w:start w:val="1"/>
      <w:numFmt w:val="bullet"/>
      <w:lvlText w:val=""/>
      <w:lvlJc w:val="left"/>
      <w:pPr>
        <w:ind w:left="1080" w:hanging="360"/>
      </w:pPr>
      <w:rPr>
        <w:rFonts w:ascii="Symbol" w:hAnsi="Symbol" w:hint="default"/>
        <w:color w:val="FF0000"/>
        <w:lang w:val="en-U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15:restartNumberingAfterBreak="0">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3" w15:restartNumberingAfterBreak="0">
    <w:nsid w:val="6699458C"/>
    <w:multiLevelType w:val="hybridMultilevel"/>
    <w:tmpl w:val="B9E2BA98"/>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15:restartNumberingAfterBreak="0">
    <w:nsid w:val="778F7677"/>
    <w:multiLevelType w:val="hybridMultilevel"/>
    <w:tmpl w:val="257EC434"/>
    <w:lvl w:ilvl="0">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7E431D00"/>
    <w:multiLevelType w:val="hybridMultilevel"/>
    <w:tmpl w:val="7576C230"/>
    <w:lvl w:ilvl="0">
      <w:start w:val="1"/>
      <w:numFmt w:val="decimal"/>
      <w:pStyle w:val="13"/>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num w:numId="1">
    <w:abstractNumId w:val="25"/>
  </w:num>
  <w:num w:numId="2">
    <w:abstractNumId w:val="18"/>
  </w:num>
  <w:num w:numId="3">
    <w:abstractNumId w:val="16"/>
  </w:num>
  <w:num w:numId="4">
    <w:abstractNumId w:val="0"/>
  </w:num>
  <w:num w:numId="5">
    <w:abstractNumId w:val="17"/>
  </w:num>
  <w:num w:numId="6">
    <w:abstractNumId w:val="22"/>
  </w:num>
  <w:num w:numId="7">
    <w:abstractNumId w:val="13"/>
  </w:num>
  <w:num w:numId="8">
    <w:abstractNumId w:val="9"/>
  </w:num>
  <w:num w:numId="9">
    <w:abstractNumId w:val="8"/>
  </w:num>
  <w:num w:numId="10">
    <w:abstractNumId w:val="10"/>
  </w:num>
  <w:num w:numId="11">
    <w:abstractNumId w:val="23"/>
  </w:num>
  <w:num w:numId="12">
    <w:abstractNumId w:val="20"/>
  </w:num>
  <w:num w:numId="13">
    <w:abstractNumId w:val="19"/>
  </w:num>
  <w:num w:numId="14">
    <w:abstractNumId w:val="21"/>
  </w:num>
  <w:num w:numId="15">
    <w:abstractNumId w:val="1"/>
  </w:num>
  <w:num w:numId="16">
    <w:abstractNumId w:val="6"/>
  </w:num>
  <w:num w:numId="17">
    <w:abstractNumId w:val="7"/>
  </w:num>
  <w:num w:numId="18">
    <w:abstractNumId w:val="2"/>
  </w:num>
  <w:num w:numId="19">
    <w:abstractNumId w:val="11"/>
  </w:num>
  <w:num w:numId="20">
    <w:abstractNumId w:val="15"/>
  </w:num>
  <w:num w:numId="21">
    <w:abstractNumId w:val="5"/>
  </w:num>
  <w:num w:numId="22">
    <w:abstractNumId w:val="3"/>
  </w:num>
  <w:num w:numId="23">
    <w:abstractNumId w:val="24"/>
  </w:num>
  <w:num w:numId="24">
    <w:abstractNumId w:val="4"/>
  </w:num>
  <w:num w:numId="25">
    <w:abstractNumId w:val="12"/>
  </w:num>
  <w:num w:numId="2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SortMethod w:val="name"/>
  <w:defaultTabStop w:val="720"/>
  <w:drawingGridHorizontalSpacing w:val="10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1B"/>
    <w:rsid w:val="00001576"/>
    <w:rsid w:val="00003B77"/>
    <w:rsid w:val="0001735B"/>
    <w:rsid w:val="00030DCF"/>
    <w:rsid w:val="000314B9"/>
    <w:rsid w:val="00042837"/>
    <w:rsid w:val="000501A4"/>
    <w:rsid w:val="000532AA"/>
    <w:rsid w:val="0007624D"/>
    <w:rsid w:val="00084768"/>
    <w:rsid w:val="00092F16"/>
    <w:rsid w:val="000B1102"/>
    <w:rsid w:val="000B463F"/>
    <w:rsid w:val="000C6528"/>
    <w:rsid w:val="000C7459"/>
    <w:rsid w:val="000D221E"/>
    <w:rsid w:val="000D6988"/>
    <w:rsid w:val="000E013E"/>
    <w:rsid w:val="000F7725"/>
    <w:rsid w:val="00101958"/>
    <w:rsid w:val="00101D0F"/>
    <w:rsid w:val="00102EB8"/>
    <w:rsid w:val="0011074F"/>
    <w:rsid w:val="00113E28"/>
    <w:rsid w:val="00114325"/>
    <w:rsid w:val="00123EC7"/>
    <w:rsid w:val="00164D9B"/>
    <w:rsid w:val="00166477"/>
    <w:rsid w:val="001730B0"/>
    <w:rsid w:val="001960B4"/>
    <w:rsid w:val="0019747C"/>
    <w:rsid w:val="00197B48"/>
    <w:rsid w:val="001A3BBC"/>
    <w:rsid w:val="001A613C"/>
    <w:rsid w:val="001B2821"/>
    <w:rsid w:val="001C057E"/>
    <w:rsid w:val="001C33F8"/>
    <w:rsid w:val="001C6185"/>
    <w:rsid w:val="001D3DA9"/>
    <w:rsid w:val="001E204F"/>
    <w:rsid w:val="001F0CD9"/>
    <w:rsid w:val="00203604"/>
    <w:rsid w:val="002064F7"/>
    <w:rsid w:val="00212D9D"/>
    <w:rsid w:val="0023497D"/>
    <w:rsid w:val="00240887"/>
    <w:rsid w:val="002445FD"/>
    <w:rsid w:val="002602F0"/>
    <w:rsid w:val="00263521"/>
    <w:rsid w:val="00276705"/>
    <w:rsid w:val="00286287"/>
    <w:rsid w:val="00291629"/>
    <w:rsid w:val="002A7D21"/>
    <w:rsid w:val="002B2CFB"/>
    <w:rsid w:val="002B55E8"/>
    <w:rsid w:val="002C0C75"/>
    <w:rsid w:val="002C0FD0"/>
    <w:rsid w:val="002C1EE0"/>
    <w:rsid w:val="002C4139"/>
    <w:rsid w:val="002D176C"/>
    <w:rsid w:val="002D3E49"/>
    <w:rsid w:val="002E5375"/>
    <w:rsid w:val="00301153"/>
    <w:rsid w:val="0030602D"/>
    <w:rsid w:val="00310345"/>
    <w:rsid w:val="00313DEA"/>
    <w:rsid w:val="00314917"/>
    <w:rsid w:val="0032268D"/>
    <w:rsid w:val="00323027"/>
    <w:rsid w:val="00330009"/>
    <w:rsid w:val="00335A27"/>
    <w:rsid w:val="00340353"/>
    <w:rsid w:val="0036735A"/>
    <w:rsid w:val="0037370B"/>
    <w:rsid w:val="0037752E"/>
    <w:rsid w:val="0037780B"/>
    <w:rsid w:val="00380052"/>
    <w:rsid w:val="00386E9B"/>
    <w:rsid w:val="0039415D"/>
    <w:rsid w:val="003D61C6"/>
    <w:rsid w:val="003D6304"/>
    <w:rsid w:val="003E32D2"/>
    <w:rsid w:val="003E58C2"/>
    <w:rsid w:val="003E6853"/>
    <w:rsid w:val="00411396"/>
    <w:rsid w:val="0042177E"/>
    <w:rsid w:val="0044055C"/>
    <w:rsid w:val="00450C77"/>
    <w:rsid w:val="004562F8"/>
    <w:rsid w:val="004672FB"/>
    <w:rsid w:val="0047091C"/>
    <w:rsid w:val="004779AA"/>
    <w:rsid w:val="00493AB8"/>
    <w:rsid w:val="004A0385"/>
    <w:rsid w:val="004A0D80"/>
    <w:rsid w:val="004A4F03"/>
    <w:rsid w:val="004B2FF6"/>
    <w:rsid w:val="004C7D9F"/>
    <w:rsid w:val="004E0191"/>
    <w:rsid w:val="004E2733"/>
    <w:rsid w:val="004E488A"/>
    <w:rsid w:val="004F0AB4"/>
    <w:rsid w:val="005006C5"/>
    <w:rsid w:val="005033E4"/>
    <w:rsid w:val="00524C99"/>
    <w:rsid w:val="00551B42"/>
    <w:rsid w:val="00551FF7"/>
    <w:rsid w:val="00574579"/>
    <w:rsid w:val="00577CAE"/>
    <w:rsid w:val="00580C5C"/>
    <w:rsid w:val="005A021D"/>
    <w:rsid w:val="005A09B4"/>
    <w:rsid w:val="005B2688"/>
    <w:rsid w:val="005C3049"/>
    <w:rsid w:val="005C7ABF"/>
    <w:rsid w:val="005D135D"/>
    <w:rsid w:val="005D2CBD"/>
    <w:rsid w:val="005D7324"/>
    <w:rsid w:val="005E62A6"/>
    <w:rsid w:val="005E7DF1"/>
    <w:rsid w:val="005F4A6D"/>
    <w:rsid w:val="00602674"/>
    <w:rsid w:val="0062451B"/>
    <w:rsid w:val="0062456C"/>
    <w:rsid w:val="00634DAD"/>
    <w:rsid w:val="0063556C"/>
    <w:rsid w:val="0063663E"/>
    <w:rsid w:val="006378E0"/>
    <w:rsid w:val="00640B60"/>
    <w:rsid w:val="006457EB"/>
    <w:rsid w:val="006531CB"/>
    <w:rsid w:val="006569CD"/>
    <w:rsid w:val="006615C6"/>
    <w:rsid w:val="00673BC4"/>
    <w:rsid w:val="006A0446"/>
    <w:rsid w:val="006A56C2"/>
    <w:rsid w:val="006A646E"/>
    <w:rsid w:val="006B1593"/>
    <w:rsid w:val="006B7706"/>
    <w:rsid w:val="006C4033"/>
    <w:rsid w:val="006D4161"/>
    <w:rsid w:val="006D4240"/>
    <w:rsid w:val="006D50F1"/>
    <w:rsid w:val="006D786C"/>
    <w:rsid w:val="006E1414"/>
    <w:rsid w:val="006F285F"/>
    <w:rsid w:val="007121C6"/>
    <w:rsid w:val="00716AFD"/>
    <w:rsid w:val="0072219B"/>
    <w:rsid w:val="00743747"/>
    <w:rsid w:val="007474F0"/>
    <w:rsid w:val="007534EA"/>
    <w:rsid w:val="00753ADE"/>
    <w:rsid w:val="00773F61"/>
    <w:rsid w:val="00780272"/>
    <w:rsid w:val="00783DDB"/>
    <w:rsid w:val="007A4EBD"/>
    <w:rsid w:val="007B112B"/>
    <w:rsid w:val="007B5B26"/>
    <w:rsid w:val="007B691A"/>
    <w:rsid w:val="007C1FF6"/>
    <w:rsid w:val="007D61B8"/>
    <w:rsid w:val="007E24BD"/>
    <w:rsid w:val="007E5B41"/>
    <w:rsid w:val="007F15B5"/>
    <w:rsid w:val="007F7FF2"/>
    <w:rsid w:val="0080403C"/>
    <w:rsid w:val="00805B42"/>
    <w:rsid w:val="008102AD"/>
    <w:rsid w:val="00824AB2"/>
    <w:rsid w:val="0083106F"/>
    <w:rsid w:val="00837997"/>
    <w:rsid w:val="00846FFB"/>
    <w:rsid w:val="008654CB"/>
    <w:rsid w:val="00867FC5"/>
    <w:rsid w:val="0088743F"/>
    <w:rsid w:val="00892F80"/>
    <w:rsid w:val="00893D9C"/>
    <w:rsid w:val="00897698"/>
    <w:rsid w:val="008A0F82"/>
    <w:rsid w:val="008A2E0E"/>
    <w:rsid w:val="008B4F41"/>
    <w:rsid w:val="008B5B82"/>
    <w:rsid w:val="008C1428"/>
    <w:rsid w:val="008C6F75"/>
    <w:rsid w:val="008D750B"/>
    <w:rsid w:val="009015B2"/>
    <w:rsid w:val="00906E90"/>
    <w:rsid w:val="0091051D"/>
    <w:rsid w:val="00934A61"/>
    <w:rsid w:val="00936F84"/>
    <w:rsid w:val="00940851"/>
    <w:rsid w:val="009515F9"/>
    <w:rsid w:val="00961F73"/>
    <w:rsid w:val="009679D9"/>
    <w:rsid w:val="009912C8"/>
    <w:rsid w:val="009961E8"/>
    <w:rsid w:val="009A6817"/>
    <w:rsid w:val="009B0AEC"/>
    <w:rsid w:val="009B497A"/>
    <w:rsid w:val="009C6066"/>
    <w:rsid w:val="009D45C5"/>
    <w:rsid w:val="009D52FE"/>
    <w:rsid w:val="009D73F5"/>
    <w:rsid w:val="009E1A3F"/>
    <w:rsid w:val="009E37AC"/>
    <w:rsid w:val="009E53CF"/>
    <w:rsid w:val="009F0BD3"/>
    <w:rsid w:val="00A055D0"/>
    <w:rsid w:val="00A222E2"/>
    <w:rsid w:val="00A30B00"/>
    <w:rsid w:val="00A5605A"/>
    <w:rsid w:val="00A61AD5"/>
    <w:rsid w:val="00A73038"/>
    <w:rsid w:val="00A76C99"/>
    <w:rsid w:val="00A81EBE"/>
    <w:rsid w:val="00AB2566"/>
    <w:rsid w:val="00AB465B"/>
    <w:rsid w:val="00AB66C8"/>
    <w:rsid w:val="00AC17A0"/>
    <w:rsid w:val="00AC6B95"/>
    <w:rsid w:val="00AD1000"/>
    <w:rsid w:val="00AE4BB7"/>
    <w:rsid w:val="00AE741B"/>
    <w:rsid w:val="00AF3B73"/>
    <w:rsid w:val="00B00E5C"/>
    <w:rsid w:val="00B01DFF"/>
    <w:rsid w:val="00B04068"/>
    <w:rsid w:val="00B11264"/>
    <w:rsid w:val="00B12056"/>
    <w:rsid w:val="00B14FC8"/>
    <w:rsid w:val="00B34ADF"/>
    <w:rsid w:val="00B40090"/>
    <w:rsid w:val="00B4321D"/>
    <w:rsid w:val="00B57F4F"/>
    <w:rsid w:val="00B64110"/>
    <w:rsid w:val="00B6419E"/>
    <w:rsid w:val="00B666B9"/>
    <w:rsid w:val="00B75E06"/>
    <w:rsid w:val="00B76DC1"/>
    <w:rsid w:val="00B862C0"/>
    <w:rsid w:val="00BD2291"/>
    <w:rsid w:val="00BD291C"/>
    <w:rsid w:val="00BE22D7"/>
    <w:rsid w:val="00BE2DD8"/>
    <w:rsid w:val="00BE3CDE"/>
    <w:rsid w:val="00BF4C2F"/>
    <w:rsid w:val="00C2305A"/>
    <w:rsid w:val="00C23CC9"/>
    <w:rsid w:val="00C30B3D"/>
    <w:rsid w:val="00C33AE2"/>
    <w:rsid w:val="00C34319"/>
    <w:rsid w:val="00C36C5E"/>
    <w:rsid w:val="00C4664C"/>
    <w:rsid w:val="00C4789A"/>
    <w:rsid w:val="00C57871"/>
    <w:rsid w:val="00C66ECA"/>
    <w:rsid w:val="00C75A49"/>
    <w:rsid w:val="00C8096C"/>
    <w:rsid w:val="00C8100B"/>
    <w:rsid w:val="00C92141"/>
    <w:rsid w:val="00CA38DE"/>
    <w:rsid w:val="00CA41D2"/>
    <w:rsid w:val="00CA4EB1"/>
    <w:rsid w:val="00CA4F20"/>
    <w:rsid w:val="00CD5320"/>
    <w:rsid w:val="00CD6EEC"/>
    <w:rsid w:val="00CF3EFC"/>
    <w:rsid w:val="00CF6518"/>
    <w:rsid w:val="00D22748"/>
    <w:rsid w:val="00D26918"/>
    <w:rsid w:val="00D3542D"/>
    <w:rsid w:val="00D37121"/>
    <w:rsid w:val="00D50035"/>
    <w:rsid w:val="00D57BE9"/>
    <w:rsid w:val="00D71966"/>
    <w:rsid w:val="00D779F7"/>
    <w:rsid w:val="00D87542"/>
    <w:rsid w:val="00D95C20"/>
    <w:rsid w:val="00D97C16"/>
    <w:rsid w:val="00DA3406"/>
    <w:rsid w:val="00DA67CB"/>
    <w:rsid w:val="00DB2E3A"/>
    <w:rsid w:val="00DB6E18"/>
    <w:rsid w:val="00DE1DAB"/>
    <w:rsid w:val="00DE20A2"/>
    <w:rsid w:val="00DF0B89"/>
    <w:rsid w:val="00E27E2C"/>
    <w:rsid w:val="00E35682"/>
    <w:rsid w:val="00E37148"/>
    <w:rsid w:val="00E46EA3"/>
    <w:rsid w:val="00E51C1B"/>
    <w:rsid w:val="00E52143"/>
    <w:rsid w:val="00E53DA7"/>
    <w:rsid w:val="00E678C7"/>
    <w:rsid w:val="00E725B9"/>
    <w:rsid w:val="00EB5989"/>
    <w:rsid w:val="00EC6B44"/>
    <w:rsid w:val="00EE06A0"/>
    <w:rsid w:val="00EE37A3"/>
    <w:rsid w:val="00EE407E"/>
    <w:rsid w:val="00EE67C7"/>
    <w:rsid w:val="00F06490"/>
    <w:rsid w:val="00F30558"/>
    <w:rsid w:val="00F4385E"/>
    <w:rsid w:val="00F51DD6"/>
    <w:rsid w:val="00F56CE4"/>
    <w:rsid w:val="00F627EB"/>
    <w:rsid w:val="00F66FC8"/>
    <w:rsid w:val="00F75A10"/>
    <w:rsid w:val="00F77276"/>
    <w:rsid w:val="00F86C1B"/>
    <w:rsid w:val="00F91BE9"/>
    <w:rsid w:val="00F92629"/>
    <w:rsid w:val="00F9422C"/>
    <w:rsid w:val="00F95853"/>
    <w:rsid w:val="00FA48C8"/>
    <w:rsid w:val="00FB3F26"/>
    <w:rsid w:val="00FB414E"/>
    <w:rsid w:val="00FC3213"/>
    <w:rsid w:val="00FC48C6"/>
    <w:rsid w:val="00FE12E8"/>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1A4"/>
    <w:pPr>
      <w:bidi/>
      <w:spacing w:after="0" w:line="312" w:lineRule="auto"/>
    </w:pPr>
  </w:style>
  <w:style w:type="paragraph" w:styleId="Heading1">
    <w:name w:val="heading 1"/>
    <w:basedOn w:val="Normal"/>
    <w:next w:val="Normal"/>
    <w:link w:val="1"/>
    <w:uiPriority w:val="9"/>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9"/>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9"/>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9"/>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9"/>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9"/>
    <w:rsid w:val="006D786C"/>
    <w:rPr>
      <w:rFonts w:eastAsiaTheme="majorEastAsia"/>
      <w:bCs/>
      <w:szCs w:val="28"/>
      <w:u w:val="single"/>
    </w:rPr>
  </w:style>
  <w:style w:type="character" w:customStyle="1" w:styleId="4">
    <w:name w:val="כותרת 4 תו"/>
    <w:basedOn w:val="DefaultParagraphFont"/>
    <w:link w:val="Heading4"/>
    <w:uiPriority w:val="9"/>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1,FOOTNOTES,Footnote Text - Sharp,Footnote Text - Sharp Char,Footnote Text - Sharp Char Char,Footnote Text Char Char Char Char Char,Footnote reference,Sharp - Footnote Text,Sharp - Footnote Text1 Char,fn,footnote text"/>
    <w:basedOn w:val="Normal"/>
    <w:link w:val="a4"/>
    <w:uiPriority w:val="99"/>
    <w:qFormat/>
    <w:rsid w:val="00574579"/>
    <w:pPr>
      <w:spacing w:line="240" w:lineRule="auto"/>
      <w:ind w:left="720" w:hanging="720"/>
    </w:pPr>
    <w:rPr>
      <w:szCs w:val="20"/>
    </w:rPr>
  </w:style>
  <w:style w:type="character" w:customStyle="1" w:styleId="a4">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fr,מ"/>
    <w:basedOn w:val="DefaultParagraphFont"/>
    <w:uiPriority w:val="99"/>
    <w:unhideWhenUsed/>
    <w:rsid w:val="000501A4"/>
    <w:rPr>
      <w:vertAlign w:val="superscript"/>
    </w:rPr>
  </w:style>
  <w:style w:type="paragraph" w:styleId="ListParagraph">
    <w:name w:val="List Paragraph"/>
    <w:aliases w:val="Bullet Number,Num Bullet 1,Use Case List Paragraph,style 2,פיסקת רשימה1"/>
    <w:basedOn w:val="Normal"/>
    <w:link w:val="a9"/>
    <w:uiPriority w:val="34"/>
    <w:qFormat/>
    <w:rsid w:val="00B4321D"/>
    <w:pPr>
      <w:ind w:left="720"/>
      <w:contextualSpacing/>
    </w:pPr>
  </w:style>
  <w:style w:type="table" w:styleId="TableGrid">
    <w:name w:val="Table Grid"/>
    <w:basedOn w:val="TableNormal"/>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rsid w:val="00B4321D"/>
    <w:rPr>
      <w:rFonts w:ascii="Tahoma" w:hAnsi="Tahoma" w:cs="Tahoma"/>
      <w:sz w:val="18"/>
      <w:szCs w:val="18"/>
    </w:rPr>
  </w:style>
  <w:style w:type="character" w:styleId="CommentReference">
    <w:name w:val="annotation reference"/>
    <w:basedOn w:val="DefaultParagraphFont"/>
    <w:uiPriority w:val="99"/>
    <w:semiHidden/>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1">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Number תו,Num Bullet 1 תו,Use Case List Paragraph תו,style 2 תו,פיסקת רשימה1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customStyle="1"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3">
    <w:name w:val="כותרת 1 ממה"/>
    <w:basedOn w:val="Normal"/>
    <w:next w:val="Normal"/>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DefaultParagraphFont"/>
    <w:link w:val="13"/>
    <w:rsid w:val="00B4321D"/>
    <w:rPr>
      <w:rFonts w:ascii="Calibri" w:eastAsia="Calibri" w:hAnsi="Calibri" w:cs="Calibri"/>
      <w:b/>
      <w:bCs/>
      <w:color w:val="002060"/>
      <w:sz w:val="40"/>
      <w:szCs w:val="40"/>
    </w:rPr>
  </w:style>
  <w:style w:type="paragraph" w:customStyle="1" w:styleId="20">
    <w:name w:val="כותרת 2 ממה"/>
    <w:basedOn w:val="Normal"/>
    <w:next w:val="Normal"/>
    <w:link w:val="21"/>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1">
    <w:name w:val="כותרת 2 ממה תו"/>
    <w:basedOn w:val="2"/>
    <w:link w:val="20"/>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5">
    <w:name w:val="רשימה1 ממה"/>
    <w:basedOn w:val="Normal"/>
    <w:link w:val="16"/>
    <w:qFormat/>
    <w:rsid w:val="00B4321D"/>
    <w:pPr>
      <w:widowControl w:val="0"/>
      <w:numPr>
        <w:numId w:val="4"/>
      </w:numPr>
      <w:spacing w:line="280" w:lineRule="exact"/>
    </w:pPr>
    <w:rPr>
      <w:rFonts w:ascii="Calibri" w:eastAsia="Calibri" w:hAnsi="Calibri" w:cs="Calibri"/>
      <w:color w:val="002060"/>
      <w:sz w:val="24"/>
    </w:rPr>
  </w:style>
  <w:style w:type="character" w:customStyle="1" w:styleId="16">
    <w:name w:val="רשימה1 ממה תו"/>
    <w:basedOn w:val="DefaultParagraphFont"/>
    <w:link w:val="15"/>
    <w:rsid w:val="00B4321D"/>
    <w:rPr>
      <w:rFonts w:ascii="Calibri" w:eastAsia="Calibri" w:hAnsi="Calibri" w:cs="Calibri"/>
      <w:color w:val="002060"/>
      <w:sz w:val="24"/>
    </w:rPr>
  </w:style>
  <w:style w:type="paragraph" w:customStyle="1" w:styleId="22">
    <w:name w:val="רשימה2 ממה"/>
    <w:basedOn w:val="Normal"/>
    <w:link w:val="23"/>
    <w:qFormat/>
    <w:rsid w:val="00B4321D"/>
    <w:pPr>
      <w:widowControl w:val="0"/>
      <w:spacing w:line="280" w:lineRule="exact"/>
      <w:ind w:left="1871"/>
    </w:pPr>
    <w:rPr>
      <w:rFonts w:ascii="Calibri" w:eastAsia="Calibri" w:hAnsi="Calibri" w:cs="Calibri"/>
      <w:color w:val="002060"/>
      <w:sz w:val="24"/>
    </w:rPr>
  </w:style>
  <w:style w:type="character" w:customStyle="1" w:styleId="23">
    <w:name w:val="רשימה2 ממה תו"/>
    <w:basedOn w:val="DefaultParagraphFont"/>
    <w:link w:val="22"/>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7">
    <w:name w:val="ליקוי/ממצא חיובי/המלצה1 ממה"/>
    <w:next w:val="Normal"/>
    <w:link w:val="18"/>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8">
    <w:name w:val="ליקוי/ממצא חיובי/המלצה1 ממה תו"/>
    <w:basedOn w:val="DefaultParagraphFont"/>
    <w:link w:val="17"/>
    <w:rsid w:val="00B4321D"/>
    <w:rPr>
      <w:rFonts w:ascii="Calibri" w:eastAsia="Calibri" w:hAnsi="Calibri" w:cs="Calibri"/>
      <w:color w:val="002060"/>
      <w:sz w:val="24"/>
    </w:rPr>
  </w:style>
  <w:style w:type="paragraph" w:customStyle="1" w:styleId="24">
    <w:name w:val="ליקוי/ממצא חיובי/המלצה2 ממה"/>
    <w:basedOn w:val="Normal"/>
    <w:next w:val="Normal"/>
    <w:link w:val="25"/>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5">
    <w:name w:val="ליקוי/ממצא חיובי/המלצה2 ממה תו"/>
    <w:basedOn w:val="18"/>
    <w:link w:val="24"/>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32268D"/>
    <w:pPr>
      <w:spacing w:after="180" w:line="288" w:lineRule="auto"/>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32268D"/>
    <w:rPr>
      <w:rFonts w:ascii="Tahoma" w:hAnsi="Tahoma" w:cs="Tahoma"/>
      <w:color w:val="0D0D0D" w:themeColor="text1" w:themeTint="F2"/>
      <w:sz w:val="18"/>
      <w:szCs w:val="18"/>
    </w:rPr>
  </w:style>
  <w:style w:type="paragraph" w:customStyle="1" w:styleId="71">
    <w:name w:val="71ג הערות שוליים"/>
    <w:basedOn w:val="FootnoteText"/>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DefaultParagraphFont"/>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Normal"/>
    <w:link w:val="2021Char"/>
    <w:qFormat/>
    <w:rsid w:val="00BE22D7"/>
    <w:pPr>
      <w:spacing w:before="120" w:line="240" w:lineRule="auto"/>
      <w:jc w:val="left"/>
      <w:outlineLvl w:val="0"/>
    </w:pPr>
    <w:rPr>
      <w:rFonts w:ascii="Tahoma" w:hAnsi="Tahoma" w:eastAsiaTheme="minorEastAsia" w:cs="Tahoma"/>
      <w:b/>
      <w:bCs/>
      <w:color w:val="0D0D0D" w:themeColor="text1" w:themeTint="F2"/>
      <w:sz w:val="36"/>
      <w:szCs w:val="36"/>
    </w:rPr>
  </w:style>
  <w:style w:type="character" w:customStyle="1" w:styleId="2021Char">
    <w:name w:val="מספרים גדולים בטבלת תקציר 2021 Char"/>
    <w:basedOn w:val="DefaultParagraphFont"/>
    <w:link w:val="2021"/>
    <w:rsid w:val="00BE22D7"/>
    <w:rPr>
      <w:rFonts w:ascii="Tahoma" w:hAnsi="Tahoma" w:eastAsiaTheme="minorEastAsia" w:cs="Tahoma"/>
      <w:b/>
      <w:bCs/>
      <w:color w:val="0D0D0D" w:themeColor="text1" w:themeTint="F2"/>
      <w:sz w:val="36"/>
      <w:szCs w:val="36"/>
    </w:rPr>
  </w:style>
  <w:style w:type="paragraph" w:customStyle="1" w:styleId="732021">
    <w:name w:val="73א כיתוב בתוך טבלת תקציר 2021"/>
    <w:basedOn w:val="Normal"/>
    <w:link w:val="7320210"/>
    <w:qFormat/>
    <w:rsid w:val="00BE22D7"/>
    <w:pPr>
      <w:keepNext/>
      <w:spacing w:before="60" w:after="180" w:line="260" w:lineRule="exact"/>
      <w:jc w:val="left"/>
      <w:outlineLvl w:val="0"/>
    </w:pPr>
    <w:rPr>
      <w:rFonts w:ascii="Tahoma" w:hAnsi="Tahoma" w:eastAsiaTheme="minorEastAsia" w:cs="Tahoma"/>
      <w:color w:val="0D0D0D" w:themeColor="text1" w:themeTint="F2"/>
      <w:w w:val="90"/>
      <w:sz w:val="18"/>
      <w:szCs w:val="18"/>
    </w:rPr>
  </w:style>
  <w:style w:type="character" w:customStyle="1" w:styleId="7320210">
    <w:name w:val="73א כיתוב בתוך טבלת תקציר 2021 תו"/>
    <w:basedOn w:val="DefaultParagraphFont"/>
    <w:link w:val="732021"/>
    <w:rsid w:val="00BE22D7"/>
    <w:rPr>
      <w:rFonts w:ascii="Tahoma" w:hAnsi="Tahoma" w:eastAsiaTheme="minorEastAsia" w:cs="Tahoma"/>
      <w:color w:val="0D0D0D" w:themeColor="text1" w:themeTint="F2"/>
      <w:w w:val="90"/>
      <w:sz w:val="18"/>
      <w:szCs w:val="18"/>
    </w:rPr>
  </w:style>
  <w:style w:type="paragraph" w:customStyle="1" w:styleId="73">
    <w:name w:val="73א הזחה ראשונה ללא מספר"/>
    <w:basedOn w:val="Normal"/>
    <w:qFormat/>
    <w:rsid w:val="0032268D"/>
    <w:pPr>
      <w:spacing w:after="240" w:line="288" w:lineRule="auto"/>
      <w:ind w:left="397"/>
    </w:pPr>
    <w:rPr>
      <w:rFonts w:ascii="Tahoma" w:hAnsi="Tahoma" w:cs="Tahoma"/>
      <w:color w:val="0D0D0D" w:themeColor="text1" w:themeTint="F2"/>
      <w:sz w:val="18"/>
      <w:szCs w:val="18"/>
    </w:rPr>
  </w:style>
  <w:style w:type="paragraph" w:customStyle="1" w:styleId="730">
    <w:name w:val="73א פעולות ביקורת"/>
    <w:basedOn w:val="Normal"/>
    <w:qFormat/>
    <w:rsid w:val="00BE22D7"/>
    <w:pPr>
      <w:keepNext/>
      <w:keepLines/>
      <w:pBdr>
        <w:top w:val="double" w:sz="12" w:space="5" w:color="auto"/>
      </w:pBdr>
      <w:spacing w:before="480" w:after="360" w:line="240" w:lineRule="atLeast"/>
      <w:jc w:val="left"/>
    </w:pPr>
    <w:rPr>
      <w:rFonts w:ascii="Tahoma" w:hAnsi="Tahoma" w:eastAsiaTheme="minorEastAsia" w:cs="Tahoma"/>
      <w:b/>
      <w:bCs/>
      <w:noProof/>
      <w:color w:val="00305F"/>
      <w:sz w:val="31"/>
      <w:szCs w:val="31"/>
      <w:lang w:val="he-IL"/>
    </w:rPr>
  </w:style>
  <w:style w:type="character" w:customStyle="1" w:styleId="737">
    <w:name w:val="73א כותרת 7 הדגשת קטע בטקסט רץ תו"/>
    <w:basedOn w:val="DefaultParagraphFont"/>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Normal"/>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DefaultParagraphFont"/>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Normal"/>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DefaultParagraphFont"/>
    <w:link w:val="733"/>
    <w:rsid w:val="00BE22D7"/>
    <w:rPr>
      <w:rFonts w:ascii="Tahoma" w:hAnsi="Tahoma" w:cs="Tahoma"/>
      <w:b/>
      <w:bCs/>
      <w:color w:val="FFFFFF" w:themeColor="background1"/>
      <w:sz w:val="22"/>
      <w:szCs w:val="22"/>
    </w:rPr>
  </w:style>
  <w:style w:type="character" w:styleId="PageNumber">
    <w:name w:val="page number"/>
    <w:basedOn w:val="DefaultParagraphFont"/>
    <w:uiPriority w:val="99"/>
    <w:semiHidden/>
    <w:unhideWhenUsed/>
    <w:rsid w:val="005C3049"/>
  </w:style>
  <w:style w:type="table" w:customStyle="1" w:styleId="26">
    <w:name w:val="רשת טבלה2"/>
    <w:basedOn w:val="TableNormal"/>
    <w:next w:val="TableGrid"/>
    <w:uiPriority w:val="59"/>
    <w:rsid w:val="005D7324"/>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רשת טבלה3"/>
    <w:basedOn w:val="TableNormal"/>
    <w:next w:val="TableGrid"/>
    <w:uiPriority w:val="59"/>
    <w:rsid w:val="009515F9"/>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eader" Target="header2.xml"/><Relationship Id="rId26" Type="http://schemas.openxmlformats.org/officeDocument/2006/relationships/styles" Target="styles.xml"/><Relationship Id="rId8" Type="http://schemas.openxmlformats.org/officeDocument/2006/relationships/image" Target="media/image3.jpeg"/><Relationship Id="rId21" Type="http://schemas.openxmlformats.org/officeDocument/2006/relationships/header" Target="header3.xml"/><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header" Target="header1.xml"/><Relationship Id="rId25" Type="http://schemas.openxmlformats.org/officeDocument/2006/relationships/numbering" Target="numbering.xml"/><Relationship Id="rId7" Type="http://schemas.openxmlformats.org/officeDocument/2006/relationships/image" Target="media/image2.jpeg"/><Relationship Id="rId16" Type="http://schemas.openxmlformats.org/officeDocument/2006/relationships/image" Target="media/image11.jpeg"/><Relationship Id="rId2" Type="http://schemas.openxmlformats.org/officeDocument/2006/relationships/settings" Target="settings.xml"/><Relationship Id="rId20" Type="http://schemas.openxmlformats.org/officeDocument/2006/relationships/footer" Target="footer2.xml"/><Relationship Id="rId29" Type="http://schemas.openxmlformats.org/officeDocument/2006/relationships/customXml" Target="../customXml/item4.xml"/><Relationship Id="rId1"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theme" Target="theme/theme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header" Target="header4.xml"/><Relationship Id="rId5" Type="http://schemas.openxmlformats.org/officeDocument/2006/relationships/customXml" Target="../customXml/item1.xml"/><Relationship Id="rId28" Type="http://schemas.openxmlformats.org/officeDocument/2006/relationships/customXml" Target="../customXml/item3.xml"/><Relationship Id="rId10" Type="http://schemas.openxmlformats.org/officeDocument/2006/relationships/image" Target="media/image5.jpeg"/><Relationship Id="rId19" Type="http://schemas.openxmlformats.org/officeDocument/2006/relationships/footer" Target="footer1.xml"/><Relationship Id="rId14" Type="http://schemas.openxmlformats.org/officeDocument/2006/relationships/image" Target="media/image9.jpeg"/><Relationship Id="rId22" Type="http://schemas.openxmlformats.org/officeDocument/2006/relationships/footer" Target="footer3.xml"/><Relationship Id="rId4" Type="http://schemas.openxmlformats.org/officeDocument/2006/relationships/fontTable" Target="fontTable.xml"/><Relationship Id="rId9" Type="http://schemas.openxmlformats.org/officeDocument/2006/relationships/image" Target="media/image4.jpeg"/><Relationship Id="rId27" Type="http://schemas.openxmlformats.org/officeDocument/2006/relationships/customXml" Target="../customXml/item2.xml"/></Relationships>
</file>

<file path=word/_rels/numbering.xml.rels><?xml version="1.0" encoding="utf-8" standalone="yes"?><Relationships xmlns="http://schemas.openxmlformats.org/package/2006/relationships"><Relationship Id="rId1" Type="http://schemas.openxmlformats.org/officeDocument/2006/relationships/image" Target="media/image12.png" /><Relationship Id="rId2" Type="http://schemas.openxmlformats.org/officeDocument/2006/relationships/image" Target="media/image13.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CF9631D-E25F-4FF9-8903-42E2BEB9464F}">
  <ds:schemaRefs>
    <ds:schemaRef ds:uri="http://schemas.openxmlformats.org/officeDocument/2006/bibliography"/>
  </ds:schemaRefs>
</ds:datastoreItem>
</file>

<file path=customXml/itemProps2.xml><?xml version="1.0" encoding="utf-8"?>
<ds:datastoreItem xmlns:ds="http://schemas.openxmlformats.org/officeDocument/2006/customXml" ds:itemID="{89688F43-496B-436D-AB29-E1DABAAA754A}"/>
</file>

<file path=customXml/itemProps3.xml><?xml version="1.0" encoding="utf-8"?>
<ds:datastoreItem xmlns:ds="http://schemas.openxmlformats.org/officeDocument/2006/customXml" ds:itemID="{34FB29A6-A0F7-4A3C-86C2-98B768B10076}"/>
</file>

<file path=customXml/itemProps4.xml><?xml version="1.0" encoding="utf-8"?>
<ds:datastoreItem xmlns:ds="http://schemas.openxmlformats.org/officeDocument/2006/customXml" ds:itemID="{1895A0D7-4AAA-4B78-B668-4D9264995565}"/>
</file>

<file path=docProps/app.xml><?xml version="1.0" encoding="utf-8"?>
<Properties xmlns="http://schemas.openxmlformats.org/officeDocument/2006/extended-properties" xmlns:vt="http://schemas.openxmlformats.org/officeDocument/2006/docPropsVTypes">
  <Template>Normal</Template>
  <TotalTime>0</TotalTime>
  <Pages>10</Pages>
  <Words>2815</Words>
  <Characters>14078</Characters>
  <Application>Microsoft Office Word</Application>
  <DocSecurity>0</DocSecurity>
  <Lines>117</Lines>
  <Paragraphs>33</Paragraphs>
  <ScaleCrop>false</ScaleCrop>
  <Company/>
  <LinksUpToDate>false</LinksUpToDate>
  <CharactersWithSpaces>16860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Atara Menachem</cp:lastModifiedBy>
  <cp:revision>1</cp:revision>
  <dcterms:created xsi:type="dcterms:W3CDTF">2026-02-24T12:46:00Z</dcterms:created>
  <dcterms:modified xsi:type="dcterms:W3CDTF">2026-02-24T12:46:00Z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