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2B781A" w:rsidP="009515F9">
      <w:pPr>
        <w:spacing w:line="560" w:lineRule="exact"/>
        <w:ind w:left="1701" w:right="1843"/>
        <w:jc w:val="center"/>
        <w:rPr>
          <w:rFonts w:ascii="Tahoma" w:hAnsi="Tahoma" w:cs="Tahoma"/>
          <w:sz w:val="19"/>
          <w:szCs w:val="19"/>
          <w:rtl/>
        </w:rPr>
      </w:pPr>
      <w:r w:rsidRPr="002B781A">
        <w:rPr>
          <w:rFonts w:ascii="Calibri" w:hAnsi="Calibri" w:cs="Calibri"/>
          <w:b/>
          <w:bCs/>
          <w:color w:val="002060"/>
          <w:sz w:val="56"/>
          <w:szCs w:val="56"/>
          <w:rtl/>
        </w:rPr>
        <w:t>פינוי אוכלוסייה מרשויות מקומיות בצפון הארץ והקשר עם התושבים המפונים</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38467A" w:rsidRDefault="0038467A" w:rsidP="009515F9">
      <w:pPr>
        <w:bidi w:val="0"/>
        <w:spacing w:after="200" w:line="276" w:lineRule="auto"/>
        <w:jc w:val="center"/>
        <w:rPr>
          <w:rFonts w:ascii="Tahoma" w:hAnsi="Tahoma" w:cs="Tahoma"/>
          <w:sz w:val="19"/>
          <w:szCs w:val="19"/>
          <w:rtl/>
        </w:rPr>
      </w:pPr>
    </w:p>
    <w:p w:rsidR="0038467A" w:rsidRDefault="0038467A" w:rsidP="0038467A">
      <w:pPr>
        <w:bidi w:val="0"/>
        <w:spacing w:after="200" w:line="276" w:lineRule="auto"/>
        <w:jc w:val="center"/>
        <w:rPr>
          <w:rFonts w:asciiTheme="minorBidi" w:hAnsiTheme="minorBidi" w:cs="Calibri"/>
          <w:color w:val="0F243E" w:themeColor="text2" w:themeShade="80"/>
          <w:sz w:val="22"/>
          <w:szCs w:val="22"/>
          <w:rtl/>
        </w:rPr>
      </w:pPr>
      <w:bookmarkStart w:id="1" w:name="_GoBack"/>
    </w:p>
    <w:bookmarkEnd w:id="1"/>
    <w:p w:rsidR="009515F9" w:rsidRDefault="0038467A" w:rsidP="0038467A">
      <w:pPr>
        <w:bidi w:val="0"/>
        <w:spacing w:after="200" w:line="276" w:lineRule="auto"/>
        <w:jc w:val="center"/>
        <w:rPr>
          <w:rFonts w:ascii="Tahoma" w:hAnsi="Tahoma" w:cs="Tahoma"/>
          <w:sz w:val="19"/>
          <w:szCs w:val="19"/>
        </w:rPr>
      </w:pPr>
      <w:r w:rsidRPr="0038467A">
        <w:rPr>
          <w:rFonts w:asciiTheme="minorBidi" w:hAnsiTheme="minorBidi" w:cs="Calibri"/>
          <w:color w:val="0F243E" w:themeColor="text2" w:themeShade="80"/>
          <w:sz w:val="22"/>
          <w:szCs w:val="22"/>
          <w:rtl/>
        </w:rPr>
        <w:t xml:space="preserve">גופן הכותרת מעוצב בכתב ידו של רס"ל במיל' </w:t>
      </w:r>
      <w:r w:rsidRPr="0038467A">
        <w:rPr>
          <w:rFonts w:asciiTheme="minorBidi" w:hAnsiTheme="minorBidi" w:cs="Calibri"/>
          <w:b/>
          <w:bCs/>
          <w:color w:val="0F243E" w:themeColor="text2" w:themeShade="80"/>
          <w:sz w:val="22"/>
          <w:szCs w:val="22"/>
          <w:rtl/>
        </w:rPr>
        <w:t>יעקב עוזרי</w:t>
      </w:r>
      <w:r w:rsidRPr="0038467A">
        <w:rPr>
          <w:rFonts w:asciiTheme="minorBidi" w:hAnsiTheme="minorBidi" w:cs="Calibri"/>
          <w:color w:val="0F243E" w:themeColor="text2" w:themeShade="80"/>
          <w:sz w:val="22"/>
          <w:szCs w:val="22"/>
          <w:rtl/>
        </w:rPr>
        <w:t xml:space="preserve"> ז"ל, אשר נפל בנובמבר 2023</w:t>
      </w:r>
      <w:r>
        <w:rPr>
          <w:rFonts w:asciiTheme="minorBidi" w:hAnsiTheme="minorBidi" w:cstheme="minorBidi" w:hint="cs"/>
          <w:color w:val="0F243E" w:themeColor="text2" w:themeShade="80"/>
          <w:sz w:val="22"/>
          <w:szCs w:val="22"/>
          <w:rtl/>
        </w:rPr>
        <w:t>.</w:t>
      </w:r>
      <w:r w:rsidRPr="0038467A">
        <w:rPr>
          <w:rtl/>
        </w:rPr>
        <w:t xml:space="preserve"> </w:t>
      </w:r>
      <w:r w:rsidRPr="0038467A">
        <w:rPr>
          <w:rFonts w:asciiTheme="minorBidi" w:hAnsiTheme="minorBidi" w:cs="Calibri"/>
          <w:color w:val="0F243E" w:themeColor="text2" w:themeShade="80"/>
          <w:sz w:val="22"/>
          <w:szCs w:val="22"/>
          <w:rtl/>
        </w:rPr>
        <w:t>יעקב גדל בכפר שמאי. הוא היה אומן, מקעקע וצייר. יעקב שירת במילואים בחיל השריון ונהרג בעת שירותו. בתו הבכורה נולדה כשלושה חודשים לאחר נופלו</w:t>
      </w:r>
      <w:r>
        <w:rPr>
          <w:rFonts w:asciiTheme="minorBidi" w:hAnsiTheme="minorBidi" w:cs="Calibri" w:hint="cs"/>
          <w:color w:val="0F243E" w:themeColor="text2" w:themeShade="80"/>
          <w:sz w:val="22"/>
          <w:szCs w:val="22"/>
          <w:rtl/>
        </w:rPr>
        <w:t>.</w:t>
      </w:r>
    </w:p>
    <w:p w:rsidR="009515F9" w:rsidRDefault="009515F9" w:rsidP="009515F9">
      <w:pPr>
        <w:bidi w:val="0"/>
        <w:spacing w:after="200" w:line="276" w:lineRule="auto"/>
        <w:jc w:val="center"/>
        <w:rPr>
          <w:rFonts w:ascii="Tahoma" w:hAnsi="Tahoma" w:cs="Tahoma"/>
          <w:sz w:val="19"/>
          <w:szCs w:val="19"/>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9515F9" w:rsidRDefault="002B781A" w:rsidP="009515F9">
            <w:pPr>
              <w:spacing w:before="120" w:line="240" w:lineRule="auto"/>
              <w:jc w:val="left"/>
              <w:rPr>
                <w:rFonts w:ascii="Tahoma" w:hAnsi="Tahoma" w:cs="Tahoma"/>
                <w:b/>
                <w:bCs/>
                <w:sz w:val="40"/>
                <w:szCs w:val="40"/>
                <w:rtl/>
              </w:rPr>
            </w:pPr>
            <w:r w:rsidRPr="002B781A">
              <w:rPr>
                <w:rFonts w:ascii="Tahoma" w:hAnsi="Tahoma" w:cs="Tahoma"/>
                <w:b/>
                <w:bCs/>
                <w:sz w:val="40"/>
                <w:szCs w:val="40"/>
                <w:rtl/>
              </w:rPr>
              <w:t>פינוי אוכלוסייה מרשויות מקומיות בצפון הארץ והקשר עם התושבים המפונים</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2B781A" w:rsidRPr="002B781A" w:rsidRDefault="002B781A" w:rsidP="002B781A">
      <w:pPr>
        <w:pStyle w:val="739"/>
        <w:spacing w:after="120"/>
        <w:rPr>
          <w:rFonts w:eastAsia="Calibri"/>
          <w:sz w:val="19"/>
          <w:szCs w:val="19"/>
          <w:rtl/>
        </w:rPr>
      </w:pPr>
      <w:r w:rsidRPr="002B781A">
        <w:rPr>
          <w:rFonts w:eastAsia="Calibri"/>
          <w:sz w:val="19"/>
          <w:szCs w:val="19"/>
          <w:rtl/>
        </w:rPr>
        <w:t xml:space="preserve">במהלך אוקטובר 2023 קיבלה הממשלה שורת החלטות בנוגע לפינוי אוכלוסייה ובהן החלטה 975 מ-18.10.23 לגבי יישובי </w:t>
      </w:r>
      <w:r w:rsidRPr="002B781A">
        <w:rPr>
          <w:sz w:val="19"/>
          <w:szCs w:val="19"/>
          <w:rtl/>
        </w:rPr>
        <w:t>הצפון</w:t>
      </w:r>
      <w:r w:rsidRPr="002B781A">
        <w:rPr>
          <w:rFonts w:eastAsia="Calibri"/>
          <w:sz w:val="19"/>
          <w:szCs w:val="19"/>
          <w:rtl/>
        </w:rPr>
        <w:t xml:space="preserve"> הממוקמים בטווח של 0 - 5 ק"מ מהגבול. חלק מההחלטות אישרו בדיעבד את הפינוי בפועל שבוצע לפי החלטת מערכת הביטחון לאור הדחיפות שאפיינה את המצב. בהחלטת </w:t>
      </w:r>
      <w:r w:rsidRPr="002B781A">
        <w:rPr>
          <w:rFonts w:eastAsia="Calibri" w:hint="cs"/>
          <w:sz w:val="19"/>
          <w:szCs w:val="19"/>
          <w:rtl/>
        </w:rPr>
        <w:t>ה</w:t>
      </w:r>
      <w:r w:rsidRPr="002B781A">
        <w:rPr>
          <w:rFonts w:eastAsia="Calibri"/>
          <w:sz w:val="19"/>
          <w:szCs w:val="19"/>
          <w:rtl/>
        </w:rPr>
        <w:t>ממשלה 975 הוחלט בין היתר, לפנות את האוכלוסייה המתגוררת במרחק של עד 2 ק"מ מגבול לבנון. ההחלטה מתייחסת לפינוי של אוכלוסייה מ-28 יישובים, בהתאם לתוכנית צה"ל "מרחק בטוח" (הפ</w:t>
      </w:r>
      <w:r w:rsidRPr="002B781A">
        <w:rPr>
          <w:rFonts w:eastAsia="Calibri" w:hint="cs"/>
          <w:sz w:val="19"/>
          <w:szCs w:val="19"/>
          <w:rtl/>
        </w:rPr>
        <w:t>י</w:t>
      </w:r>
      <w:r w:rsidRPr="002B781A">
        <w:rPr>
          <w:rFonts w:eastAsia="Calibri"/>
          <w:sz w:val="19"/>
          <w:szCs w:val="19"/>
          <w:rtl/>
        </w:rPr>
        <w:t xml:space="preserve">נוי הראשון). כן קבעה ההחלטה כי תפונה גם האוכלוסייה הנמצאת בטווח של 2 - 5 ק"מ מגבול לבנון מ-23 יישובים נוספים, ובכללם העיר </w:t>
      </w:r>
      <w:r w:rsidRPr="002B781A">
        <w:rPr>
          <w:rFonts w:eastAsia="Calibri"/>
          <w:b/>
          <w:bCs/>
          <w:sz w:val="19"/>
          <w:szCs w:val="19"/>
          <w:rtl/>
        </w:rPr>
        <w:t>קריית שמונה</w:t>
      </w:r>
      <w:r w:rsidRPr="002B781A">
        <w:rPr>
          <w:rFonts w:eastAsia="Calibri"/>
          <w:sz w:val="19"/>
          <w:szCs w:val="19"/>
          <w:rtl/>
        </w:rPr>
        <w:t xml:space="preserve">, זאת בהתאם להערכת מצב מבצעית של צה"ל. בהחלטה הוסמך שר הביטחון, בתיאום עם ראש הממשלה, להורות על עיתוי הפעלת תוכנית הפינוי, על פי שיקולים מבצעיים. בהמשך לכך הורה שר הביטחון ב-20.10.23 על פינוי </w:t>
      </w:r>
      <w:r w:rsidRPr="002B781A">
        <w:rPr>
          <w:rFonts w:eastAsia="Calibri"/>
          <w:b/>
          <w:bCs/>
          <w:sz w:val="19"/>
          <w:szCs w:val="19"/>
          <w:rtl/>
        </w:rPr>
        <w:t>קריית שמונה</w:t>
      </w:r>
      <w:r w:rsidRPr="002B781A">
        <w:rPr>
          <w:rFonts w:eastAsia="Calibri"/>
          <w:sz w:val="19"/>
          <w:szCs w:val="19"/>
          <w:rtl/>
        </w:rPr>
        <w:t xml:space="preserve"> וב-22.10.23 - על פינוי 14 יישובים מתוך ה-23 הנמצאים בטווח של 2 - 3 ק"מ מהגבול (הפינוי השני).</w:t>
      </w:r>
    </w:p>
    <w:p w:rsidR="002B781A" w:rsidRPr="002B781A" w:rsidRDefault="002B781A" w:rsidP="002B781A">
      <w:pPr>
        <w:pStyle w:val="739"/>
        <w:spacing w:after="120"/>
        <w:rPr>
          <w:rFonts w:eastAsia="Calibri"/>
          <w:sz w:val="19"/>
          <w:szCs w:val="19"/>
          <w:rtl/>
        </w:rPr>
      </w:pPr>
      <w:r w:rsidRPr="002B781A">
        <w:rPr>
          <w:rFonts w:eastAsia="Calibri"/>
          <w:sz w:val="19"/>
          <w:szCs w:val="19"/>
          <w:rtl/>
        </w:rPr>
        <w:t>המפונים מהיישובים שבגבול הצפון (כ-</w:t>
      </w:r>
      <w:r w:rsidRPr="002B781A">
        <w:rPr>
          <w:rFonts w:eastAsia="Calibri" w:hint="cs"/>
          <w:sz w:val="19"/>
          <w:szCs w:val="19"/>
          <w:rtl/>
        </w:rPr>
        <w:t>57,000</w:t>
      </w:r>
      <w:r w:rsidRPr="002B781A">
        <w:rPr>
          <w:rFonts w:eastAsia="Calibri"/>
          <w:sz w:val="19"/>
          <w:szCs w:val="19"/>
          <w:rtl/>
        </w:rPr>
        <w:t xml:space="preserve"> תושבים) שהו, על בסיס משפחתי, במספר גדול של </w:t>
      </w:r>
      <w:bookmarkStart w:id="2" w:name="_Hlk220847341"/>
      <w:r w:rsidRPr="002B781A">
        <w:rPr>
          <w:rFonts w:eastAsia="Calibri"/>
          <w:sz w:val="19"/>
          <w:szCs w:val="19"/>
          <w:rtl/>
        </w:rPr>
        <w:t>מתקני אירוח</w:t>
      </w:r>
      <w:r w:rsidRPr="002B781A">
        <w:rPr>
          <w:rFonts w:eastAsia="Calibri"/>
          <w:sz w:val="19"/>
          <w:szCs w:val="19"/>
          <w:vertAlign w:val="superscript"/>
          <w:rtl/>
        </w:rPr>
        <w:footnoteReference w:id="1"/>
      </w:r>
      <w:r w:rsidRPr="002B781A">
        <w:rPr>
          <w:rFonts w:eastAsia="Calibri" w:hint="cs"/>
          <w:sz w:val="19"/>
          <w:szCs w:val="19"/>
          <w:rtl/>
        </w:rPr>
        <w:t xml:space="preserve"> (</w:t>
      </w:r>
      <w:r w:rsidRPr="002B781A">
        <w:rPr>
          <w:rFonts w:eastAsia="Calibri"/>
          <w:sz w:val="19"/>
          <w:szCs w:val="19"/>
          <w:rtl/>
        </w:rPr>
        <w:t>מלונות, אכסניות ודירות אירוח</w:t>
      </w:r>
      <w:r w:rsidRPr="002B781A">
        <w:rPr>
          <w:rFonts w:eastAsia="Calibri" w:hint="cs"/>
          <w:sz w:val="19"/>
          <w:szCs w:val="19"/>
          <w:rtl/>
        </w:rPr>
        <w:t xml:space="preserve">) </w:t>
      </w:r>
      <w:bookmarkEnd w:id="2"/>
      <w:r w:rsidRPr="002B781A">
        <w:rPr>
          <w:rFonts w:eastAsia="Calibri"/>
          <w:sz w:val="19"/>
          <w:szCs w:val="19"/>
          <w:rtl/>
        </w:rPr>
        <w:t xml:space="preserve">ברחבי הארץ או בדיור בקהילה. במשך תקופה של למעלה משנה המפונים היו מצויים בתנאים של אי-ודאות גבוהה </w:t>
      </w:r>
      <w:r w:rsidRPr="002B781A">
        <w:rPr>
          <w:sz w:val="19"/>
          <w:szCs w:val="19"/>
          <w:rtl/>
        </w:rPr>
        <w:t>לגבי</w:t>
      </w:r>
      <w:r w:rsidRPr="002B781A">
        <w:rPr>
          <w:rFonts w:eastAsia="Calibri"/>
          <w:sz w:val="19"/>
          <w:szCs w:val="19"/>
          <w:rtl/>
        </w:rPr>
        <w:t xml:space="preserve"> עתידם עקב המצב הביטחוני והאפשרות להידרדרות למלחמה רחבה בצפון. בספטמבר 2024 חלה הסלמה והמלחמה והירי התרחבו גם ליישובים נוספים בצפון הארץ ובמרכזה, בהם גם יישובים אליהם פונו תושבי גבול הצפון. למצב זה היו השלכות קשות על מצבם הרגשי, הכלכלי, החינוכי והמשפחתי.</w:t>
      </w:r>
    </w:p>
    <w:p w:rsidR="00AE4BB7" w:rsidRPr="00C4789A" w:rsidRDefault="00AE4BB7" w:rsidP="00AE4BB7">
      <w:pPr>
        <w:bidi w:val="0"/>
        <w:spacing w:after="200" w:line="276" w:lineRule="auto"/>
        <w:rPr>
          <w:rFonts w:ascii="Tahoma" w:hAnsi="Tahoma" w:cs="Tahoma"/>
          <w:color w:val="0D0D0D" w:themeColor="text1" w:themeTint="F2"/>
          <w:sz w:val="18"/>
          <w:szCs w:val="18"/>
          <w:rtl/>
        </w:rPr>
      </w:pPr>
      <w:r>
        <w:rPr>
          <w:rtl/>
        </w:rPr>
        <w:br w:type="page"/>
      </w:r>
    </w:p>
    <w:p w:rsidR="00AE4BB7" w:rsidRDefault="00AE4BB7" w:rsidP="00AE4BB7">
      <w:pPr>
        <w:spacing w:line="288" w:lineRule="auto"/>
        <w:ind w:left="-284"/>
        <w:rPr>
          <w:sz w:val="12"/>
          <w:szCs w:val="16"/>
          <w:rtl/>
        </w:rPr>
      </w:pPr>
      <w:r w:rsidRPr="006C4033">
        <w:rPr>
          <w:rFonts w:ascii="Tahoma" w:hAnsi="Tahoma" w:cs="Tahoma"/>
          <w:noProof/>
          <w:rtl/>
        </w:rPr>
        <w:lastRenderedPageBreak/>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9515F9" w:rsidRDefault="009515F9" w:rsidP="00AE4BB7">
      <w:pPr>
        <w:spacing w:line="288" w:lineRule="auto"/>
        <w:ind w:left="-284"/>
        <w:rPr>
          <w:sz w:val="12"/>
          <w:szCs w:val="16"/>
          <w:rtl/>
        </w:rPr>
      </w:pPr>
    </w:p>
    <w:p w:rsidR="002B781A" w:rsidRDefault="002B781A" w:rsidP="00AE4BB7">
      <w:pPr>
        <w:spacing w:line="288" w:lineRule="auto"/>
        <w:ind w:left="-284"/>
        <w:rPr>
          <w:sz w:val="12"/>
          <w:szCs w:val="16"/>
          <w:rtl/>
        </w:rPr>
      </w:pPr>
    </w:p>
    <w:tbl>
      <w:tblPr>
        <w:tblStyle w:val="45"/>
        <w:tblpPr w:leftFromText="180" w:rightFromText="180" w:vertAnchor="text" w:tblpXSpec="center" w:tblpY="1"/>
        <w:tblOverlap w:val="never"/>
        <w:bidiVisual/>
        <w:tblW w:w="8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277"/>
        <w:gridCol w:w="2147"/>
        <w:gridCol w:w="284"/>
        <w:gridCol w:w="1984"/>
        <w:gridCol w:w="284"/>
        <w:gridCol w:w="1839"/>
      </w:tblGrid>
      <w:tr w:rsidR="002B781A" w:rsidRPr="002B781A" w:rsidTr="002B781A">
        <w:trPr>
          <w:trHeight w:val="283"/>
        </w:trPr>
        <w:tc>
          <w:tcPr>
            <w:tcW w:w="1971" w:type="dxa"/>
            <w:tcBorders>
              <w:bottom w:val="single" w:sz="12" w:space="0" w:color="auto"/>
            </w:tcBorders>
            <w:shd w:val="clear" w:color="auto" w:fill="auto"/>
            <w:vAlign w:val="bottom"/>
          </w:tcPr>
          <w:p w:rsidR="002B781A" w:rsidRPr="002B781A" w:rsidRDefault="002B781A" w:rsidP="002B781A">
            <w:pPr>
              <w:spacing w:after="60" w:line="240" w:lineRule="auto"/>
              <w:rPr>
                <w:rFonts w:ascii="Tahoma" w:eastAsia="Calibri" w:hAnsi="Tahoma" w:cs="Tahoma"/>
                <w:spacing w:val="-10"/>
                <w:sz w:val="36"/>
                <w:szCs w:val="36"/>
                <w:rtl/>
              </w:rPr>
            </w:pPr>
            <w:r w:rsidRPr="002B781A">
              <w:rPr>
                <w:rFonts w:ascii="Tahoma" w:eastAsia="Calibri" w:hAnsi="Tahoma" w:cs="Tahoma" w:hint="cs"/>
                <w:spacing w:val="-10"/>
                <w:sz w:val="36"/>
                <w:szCs w:val="36"/>
                <w:rtl/>
              </w:rPr>
              <w:t>8.10.23</w:t>
            </w:r>
            <w:r w:rsidRPr="002B781A">
              <w:rPr>
                <w:rFonts w:ascii="Tahoma" w:eastAsia="Calibri" w:hAnsi="Tahoma" w:cs="Tahoma"/>
                <w:spacing w:val="-10"/>
                <w:sz w:val="36"/>
                <w:szCs w:val="36"/>
                <w:rtl/>
              </w:rPr>
              <w:t xml:space="preserve"> </w:t>
            </w:r>
          </w:p>
        </w:tc>
        <w:tc>
          <w:tcPr>
            <w:tcW w:w="277" w:type="dxa"/>
          </w:tcPr>
          <w:p w:rsidR="002B781A" w:rsidRPr="002B781A" w:rsidRDefault="002B781A" w:rsidP="002B781A">
            <w:pPr>
              <w:spacing w:line="240" w:lineRule="auto"/>
              <w:rPr>
                <w:rFonts w:ascii="Tahoma" w:eastAsia="Calibri" w:hAnsi="Tahoma" w:cs="Tahoma"/>
                <w:spacing w:val="-10"/>
              </w:rPr>
            </w:pPr>
          </w:p>
        </w:tc>
        <w:tc>
          <w:tcPr>
            <w:tcW w:w="2147" w:type="dxa"/>
            <w:tcBorders>
              <w:bottom w:val="single" w:sz="12" w:space="0" w:color="auto"/>
            </w:tcBorders>
            <w:vAlign w:val="bottom"/>
          </w:tcPr>
          <w:p w:rsidR="002B781A" w:rsidRPr="002B781A" w:rsidRDefault="002B781A" w:rsidP="002B781A">
            <w:pPr>
              <w:spacing w:after="60" w:line="240" w:lineRule="auto"/>
              <w:rPr>
                <w:rFonts w:ascii="Tahoma" w:eastAsia="Calibri" w:hAnsi="Tahoma" w:cs="Tahoma"/>
                <w:spacing w:val="-10"/>
                <w:sz w:val="36"/>
                <w:szCs w:val="36"/>
                <w:rtl/>
              </w:rPr>
            </w:pPr>
            <w:r w:rsidRPr="002B781A">
              <w:rPr>
                <w:rFonts w:ascii="Tahoma" w:eastAsia="Calibri" w:hAnsi="Tahoma" w:cs="Tahoma" w:hint="cs"/>
                <w:spacing w:val="-10"/>
                <w:sz w:val="26"/>
                <w:szCs w:val="26"/>
                <w:rtl/>
              </w:rPr>
              <w:t>כ</w:t>
            </w:r>
            <w:r w:rsidRPr="002B781A">
              <w:rPr>
                <w:rFonts w:ascii="Tahoma" w:eastAsia="Calibri" w:hAnsi="Tahoma" w:cs="Tahoma" w:hint="cs"/>
                <w:spacing w:val="-10"/>
                <w:sz w:val="36"/>
                <w:szCs w:val="36"/>
                <w:rtl/>
              </w:rPr>
              <w:t>-10,000</w:t>
            </w:r>
          </w:p>
        </w:tc>
        <w:tc>
          <w:tcPr>
            <w:tcW w:w="284" w:type="dxa"/>
          </w:tcPr>
          <w:p w:rsidR="002B781A" w:rsidRPr="002B781A" w:rsidRDefault="002B781A" w:rsidP="002B781A">
            <w:pPr>
              <w:spacing w:line="240" w:lineRule="auto"/>
              <w:rPr>
                <w:rFonts w:ascii="Tahoma" w:eastAsia="Calibri" w:hAnsi="Tahoma" w:cs="Tahoma"/>
                <w:spacing w:val="-10"/>
              </w:rPr>
            </w:pPr>
          </w:p>
        </w:tc>
        <w:tc>
          <w:tcPr>
            <w:tcW w:w="1984" w:type="dxa"/>
            <w:tcBorders>
              <w:bottom w:val="single" w:sz="12" w:space="0" w:color="auto"/>
            </w:tcBorders>
          </w:tcPr>
          <w:p w:rsidR="002B781A" w:rsidRPr="002B781A" w:rsidRDefault="002B781A" w:rsidP="002B781A">
            <w:pPr>
              <w:spacing w:line="240" w:lineRule="auto"/>
              <w:rPr>
                <w:rFonts w:ascii="Tahoma" w:eastAsia="Calibri" w:hAnsi="Tahoma" w:cs="Tahoma"/>
                <w:spacing w:val="-10"/>
                <w:sz w:val="36"/>
                <w:szCs w:val="36"/>
              </w:rPr>
            </w:pPr>
            <w:r w:rsidRPr="002B781A">
              <w:rPr>
                <w:rFonts w:ascii="Tahoma" w:eastAsia="Calibri" w:hAnsi="Tahoma" w:cs="Tahoma" w:hint="cs"/>
                <w:spacing w:val="-10"/>
                <w:sz w:val="36"/>
                <w:szCs w:val="36"/>
                <w:rtl/>
              </w:rPr>
              <w:t>16.10.23</w:t>
            </w:r>
          </w:p>
        </w:tc>
        <w:tc>
          <w:tcPr>
            <w:tcW w:w="284" w:type="dxa"/>
          </w:tcPr>
          <w:p w:rsidR="002B781A" w:rsidRPr="002B781A" w:rsidRDefault="002B781A" w:rsidP="002B781A">
            <w:pPr>
              <w:spacing w:line="240" w:lineRule="auto"/>
              <w:rPr>
                <w:rFonts w:ascii="Tahoma" w:eastAsia="Calibri" w:hAnsi="Tahoma" w:cs="Tahoma"/>
                <w:spacing w:val="-10"/>
              </w:rPr>
            </w:pPr>
          </w:p>
        </w:tc>
        <w:tc>
          <w:tcPr>
            <w:tcW w:w="1839" w:type="dxa"/>
            <w:tcBorders>
              <w:bottom w:val="single" w:sz="12" w:space="0" w:color="auto"/>
            </w:tcBorders>
            <w:vAlign w:val="center"/>
          </w:tcPr>
          <w:p w:rsidR="002B781A" w:rsidRPr="002B781A" w:rsidRDefault="002B781A" w:rsidP="002B781A">
            <w:pPr>
              <w:spacing w:line="240" w:lineRule="auto"/>
              <w:rPr>
                <w:rFonts w:ascii="Tahoma" w:eastAsia="Calibri" w:hAnsi="Tahoma" w:cs="Tahoma"/>
                <w:spacing w:val="-10"/>
                <w:sz w:val="36"/>
                <w:szCs w:val="36"/>
                <w:rtl/>
              </w:rPr>
            </w:pPr>
            <w:r w:rsidRPr="002B781A">
              <w:rPr>
                <w:rFonts w:ascii="Tahoma" w:eastAsia="Calibri" w:hAnsi="Tahoma" w:cs="Tahoma" w:hint="cs"/>
                <w:spacing w:val="-10"/>
                <w:sz w:val="36"/>
                <w:szCs w:val="36"/>
                <w:rtl/>
              </w:rPr>
              <w:t>22.10.23</w:t>
            </w:r>
          </w:p>
        </w:tc>
      </w:tr>
      <w:tr w:rsidR="002B781A" w:rsidRPr="002B781A" w:rsidTr="002B781A">
        <w:trPr>
          <w:trHeight w:val="85"/>
        </w:trPr>
        <w:tc>
          <w:tcPr>
            <w:tcW w:w="8786" w:type="dxa"/>
            <w:gridSpan w:val="7"/>
            <w:shd w:val="clear" w:color="auto" w:fill="auto"/>
            <w:vAlign w:val="center"/>
          </w:tcPr>
          <w:p w:rsidR="002B781A" w:rsidRPr="002B781A" w:rsidRDefault="002B781A" w:rsidP="002B781A">
            <w:pPr>
              <w:rPr>
                <w:rFonts w:ascii="Tahoma" w:eastAsia="Calibri" w:hAnsi="Tahoma" w:cs="Tahoma"/>
                <w:spacing w:val="-10"/>
                <w:sz w:val="6"/>
                <w:szCs w:val="6"/>
                <w:rtl/>
              </w:rPr>
            </w:pPr>
          </w:p>
        </w:tc>
      </w:tr>
      <w:tr w:rsidR="002B781A" w:rsidRPr="002B781A" w:rsidTr="002B781A">
        <w:trPr>
          <w:trHeight w:val="1155"/>
        </w:trPr>
        <w:tc>
          <w:tcPr>
            <w:tcW w:w="1971" w:type="dxa"/>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 xml:space="preserve">המועד </w:t>
            </w:r>
            <w:r w:rsidRPr="002B781A">
              <w:rPr>
                <w:rFonts w:ascii="Tahoma" w:eastAsia="Calibri" w:hAnsi="Tahoma" w:cs="Tahoma" w:hint="cs"/>
                <w:sz w:val="19"/>
                <w:szCs w:val="19"/>
                <w:rtl/>
              </w:rPr>
              <w:t>ש</w:t>
            </w:r>
            <w:r w:rsidRPr="002B781A">
              <w:rPr>
                <w:rFonts w:ascii="Tahoma" w:eastAsia="Calibri" w:hAnsi="Tahoma" w:cs="Tahoma"/>
                <w:sz w:val="19"/>
                <w:szCs w:val="19"/>
                <w:rtl/>
              </w:rPr>
              <w:t>בו ראש המועצ</w:t>
            </w:r>
            <w:r w:rsidRPr="002B781A">
              <w:rPr>
                <w:rFonts w:ascii="Tahoma" w:eastAsia="Calibri" w:hAnsi="Tahoma" w:cs="Tahoma" w:hint="cs"/>
                <w:sz w:val="19"/>
                <w:szCs w:val="19"/>
                <w:rtl/>
              </w:rPr>
              <w:t>ה</w:t>
            </w:r>
            <w:r w:rsidRPr="002B781A">
              <w:rPr>
                <w:rFonts w:ascii="Tahoma" w:eastAsia="Calibri" w:hAnsi="Tahoma" w:cs="Tahoma"/>
                <w:sz w:val="19"/>
                <w:szCs w:val="19"/>
                <w:rtl/>
              </w:rPr>
              <w:t xml:space="preserve"> המקומית של </w:t>
            </w:r>
            <w:r w:rsidRPr="002B781A">
              <w:rPr>
                <w:rFonts w:ascii="Tahoma" w:eastAsia="Calibri" w:hAnsi="Tahoma" w:cs="Tahoma"/>
                <w:b/>
                <w:bCs/>
                <w:sz w:val="19"/>
                <w:szCs w:val="19"/>
                <w:rtl/>
              </w:rPr>
              <w:t>מטולה</w:t>
            </w:r>
            <w:r w:rsidRPr="002B781A">
              <w:rPr>
                <w:rFonts w:ascii="Tahoma" w:eastAsia="Calibri" w:hAnsi="Tahoma" w:cs="Tahoma"/>
                <w:sz w:val="19"/>
                <w:szCs w:val="19"/>
                <w:rtl/>
              </w:rPr>
              <w:t xml:space="preserve"> </w:t>
            </w:r>
            <w:r w:rsidRPr="002B781A">
              <w:rPr>
                <w:rFonts w:ascii="Tahoma" w:eastAsia="Calibri" w:hAnsi="Tahoma" w:cs="Tahoma" w:hint="cs"/>
                <w:sz w:val="19"/>
                <w:szCs w:val="19"/>
                <w:rtl/>
              </w:rPr>
              <w:t xml:space="preserve">וראשי </w:t>
            </w:r>
            <w:r w:rsidRPr="002B781A">
              <w:rPr>
                <w:rFonts w:ascii="Tahoma" w:eastAsia="Calibri" w:hAnsi="Tahoma" w:cs="Tahoma"/>
                <w:sz w:val="19"/>
                <w:szCs w:val="19"/>
                <w:rtl/>
              </w:rPr>
              <w:t xml:space="preserve">המועצות האזוריות </w:t>
            </w:r>
            <w:r w:rsidRPr="002B781A">
              <w:rPr>
                <w:rFonts w:ascii="Tahoma" w:eastAsia="Calibri" w:hAnsi="Tahoma" w:cs="Tahoma"/>
                <w:b/>
                <w:bCs/>
                <w:sz w:val="19"/>
                <w:szCs w:val="19"/>
                <w:rtl/>
              </w:rPr>
              <w:t>הגליל העליון</w:t>
            </w:r>
            <w:r w:rsidRPr="002B781A">
              <w:rPr>
                <w:rFonts w:ascii="Tahoma" w:eastAsia="Calibri" w:hAnsi="Tahoma" w:cs="Tahoma"/>
                <w:sz w:val="19"/>
                <w:szCs w:val="19"/>
                <w:rtl/>
              </w:rPr>
              <w:t xml:space="preserve">, </w:t>
            </w:r>
            <w:r w:rsidRPr="002B781A">
              <w:rPr>
                <w:rFonts w:ascii="Tahoma" w:eastAsia="Calibri" w:hAnsi="Tahoma" w:cs="Tahoma"/>
                <w:b/>
                <w:bCs/>
                <w:sz w:val="19"/>
                <w:szCs w:val="19"/>
                <w:rtl/>
              </w:rPr>
              <w:t>מבואות החרמון</w:t>
            </w:r>
            <w:r w:rsidRPr="002B781A">
              <w:rPr>
                <w:rFonts w:ascii="Tahoma" w:eastAsia="Calibri" w:hAnsi="Tahoma" w:cs="Tahoma"/>
                <w:sz w:val="19"/>
                <w:szCs w:val="19"/>
                <w:rtl/>
              </w:rPr>
              <w:t xml:space="preserve"> ו</w:t>
            </w:r>
            <w:r w:rsidRPr="002B781A">
              <w:rPr>
                <w:rFonts w:ascii="Tahoma" w:eastAsia="Calibri" w:hAnsi="Tahoma" w:cs="Tahoma"/>
                <w:b/>
                <w:bCs/>
                <w:sz w:val="19"/>
                <w:szCs w:val="19"/>
                <w:rtl/>
              </w:rPr>
              <w:t>מטה</w:t>
            </w:r>
            <w:r w:rsidRPr="002B781A">
              <w:rPr>
                <w:rFonts w:ascii="Tahoma" w:eastAsia="Calibri" w:hAnsi="Tahoma" w:cs="Tahoma"/>
                <w:sz w:val="19"/>
                <w:szCs w:val="19"/>
                <w:rtl/>
              </w:rPr>
              <w:t xml:space="preserve"> </w:t>
            </w:r>
            <w:r w:rsidRPr="002B781A">
              <w:rPr>
                <w:rFonts w:ascii="Tahoma" w:eastAsia="Calibri" w:hAnsi="Tahoma" w:cs="Tahoma"/>
                <w:b/>
                <w:bCs/>
                <w:sz w:val="19"/>
                <w:szCs w:val="19"/>
                <w:rtl/>
              </w:rPr>
              <w:t>אשר</w:t>
            </w:r>
            <w:r w:rsidRPr="002B781A">
              <w:rPr>
                <w:rFonts w:ascii="Tahoma" w:eastAsia="Calibri" w:hAnsi="Tahoma" w:cs="Tahoma"/>
                <w:b/>
                <w:bCs/>
                <w:sz w:val="19"/>
                <w:szCs w:val="19"/>
              </w:rPr>
              <w:t xml:space="preserve"> </w:t>
            </w:r>
            <w:r w:rsidRPr="002B781A">
              <w:rPr>
                <w:rFonts w:ascii="Tahoma" w:eastAsia="Calibri" w:hAnsi="Tahoma" w:cs="Tahoma"/>
                <w:sz w:val="19"/>
                <w:szCs w:val="19"/>
                <w:rtl/>
              </w:rPr>
              <w:t xml:space="preserve">המליצו </w:t>
            </w:r>
            <w:r w:rsidRPr="002B781A">
              <w:rPr>
                <w:rFonts w:ascii="Tahoma" w:eastAsia="Calibri" w:hAnsi="Tahoma" w:cs="Tahoma" w:hint="cs"/>
                <w:sz w:val="19"/>
                <w:szCs w:val="19"/>
                <w:rtl/>
              </w:rPr>
              <w:t>ל</w:t>
            </w:r>
            <w:r w:rsidRPr="002B781A">
              <w:rPr>
                <w:rFonts w:ascii="Tahoma" w:eastAsia="Calibri" w:hAnsi="Tahoma" w:cs="Tahoma"/>
                <w:sz w:val="19"/>
                <w:szCs w:val="19"/>
                <w:rtl/>
              </w:rPr>
              <w:t>תושביהן להתפנות</w:t>
            </w:r>
          </w:p>
        </w:tc>
        <w:tc>
          <w:tcPr>
            <w:tcW w:w="277" w:type="dxa"/>
          </w:tcPr>
          <w:p w:rsidR="002B781A" w:rsidRPr="002B781A" w:rsidRDefault="002B781A" w:rsidP="002B781A">
            <w:pPr>
              <w:spacing w:line="240" w:lineRule="exact"/>
              <w:rPr>
                <w:rFonts w:ascii="Tahoma" w:eastAsia="Calibri" w:hAnsi="Tahoma" w:cs="Tahoma"/>
                <w:szCs w:val="24"/>
                <w:rtl/>
              </w:rPr>
            </w:pPr>
          </w:p>
        </w:tc>
        <w:tc>
          <w:tcPr>
            <w:tcW w:w="2147" w:type="dxa"/>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 xml:space="preserve">מספר תושבי עיריית </w:t>
            </w:r>
            <w:r w:rsidRPr="002B781A">
              <w:rPr>
                <w:rFonts w:ascii="Tahoma" w:eastAsia="Calibri" w:hAnsi="Tahoma" w:cs="Tahoma"/>
                <w:b/>
                <w:bCs/>
                <w:sz w:val="19"/>
                <w:szCs w:val="19"/>
                <w:rtl/>
              </w:rPr>
              <w:t>קריית שמונה</w:t>
            </w:r>
            <w:r w:rsidRPr="002B781A">
              <w:rPr>
                <w:rFonts w:ascii="Tahoma" w:eastAsia="Calibri" w:hAnsi="Tahoma" w:cs="Tahoma"/>
                <w:sz w:val="19"/>
                <w:szCs w:val="19"/>
                <w:rtl/>
              </w:rPr>
              <w:t xml:space="preserve"> שהחליטו לצאת מ</w:t>
            </w:r>
            <w:r w:rsidRPr="002B781A">
              <w:rPr>
                <w:rFonts w:ascii="Tahoma" w:eastAsia="Calibri" w:hAnsi="Tahoma" w:cs="Tahoma"/>
                <w:b/>
                <w:bCs/>
                <w:sz w:val="19"/>
                <w:szCs w:val="19"/>
                <w:rtl/>
              </w:rPr>
              <w:t xml:space="preserve">קריית שמונה </w:t>
            </w:r>
            <w:r w:rsidRPr="002B781A">
              <w:rPr>
                <w:rFonts w:ascii="Tahoma" w:eastAsia="Calibri" w:hAnsi="Tahoma" w:cs="Tahoma"/>
                <w:sz w:val="19"/>
                <w:szCs w:val="19"/>
                <w:rtl/>
              </w:rPr>
              <w:t xml:space="preserve">והתפנו באופן עצמאי, עוד </w:t>
            </w:r>
            <w:r w:rsidRPr="002B781A">
              <w:rPr>
                <w:rFonts w:ascii="Tahoma" w:eastAsia="Calibri" w:hAnsi="Tahoma" w:cs="Tahoma" w:hint="cs"/>
                <w:sz w:val="19"/>
                <w:szCs w:val="19"/>
                <w:rtl/>
              </w:rPr>
              <w:t>קודם</w:t>
            </w:r>
            <w:r w:rsidRPr="002B781A">
              <w:rPr>
                <w:rFonts w:ascii="Tahoma" w:eastAsia="Calibri" w:hAnsi="Tahoma" w:cs="Tahoma"/>
                <w:sz w:val="19"/>
                <w:szCs w:val="19"/>
                <w:rtl/>
              </w:rPr>
              <w:t xml:space="preserve"> החלטת </w:t>
            </w:r>
            <w:r w:rsidRPr="002B781A">
              <w:rPr>
                <w:rFonts w:ascii="Tahoma" w:eastAsia="Calibri" w:hAnsi="Tahoma" w:cs="Tahoma" w:hint="cs"/>
                <w:sz w:val="19"/>
                <w:szCs w:val="19"/>
                <w:rtl/>
              </w:rPr>
              <w:t>ה</w:t>
            </w:r>
            <w:r w:rsidRPr="002B781A">
              <w:rPr>
                <w:rFonts w:ascii="Tahoma" w:eastAsia="Calibri" w:hAnsi="Tahoma" w:cs="Tahoma"/>
                <w:sz w:val="19"/>
                <w:szCs w:val="19"/>
                <w:rtl/>
              </w:rPr>
              <w:t>ממשלה 975 מ-18.10.23</w:t>
            </w:r>
          </w:p>
        </w:tc>
        <w:tc>
          <w:tcPr>
            <w:tcW w:w="284" w:type="dxa"/>
          </w:tcPr>
          <w:p w:rsidR="002B781A" w:rsidRPr="002B781A" w:rsidRDefault="002B781A" w:rsidP="002B781A">
            <w:pPr>
              <w:spacing w:line="240" w:lineRule="exact"/>
              <w:rPr>
                <w:rFonts w:ascii="Tahoma" w:eastAsia="Calibri" w:hAnsi="Tahoma" w:cs="Tahoma"/>
                <w:sz w:val="19"/>
                <w:szCs w:val="19"/>
                <w:rtl/>
              </w:rPr>
            </w:pPr>
          </w:p>
        </w:tc>
        <w:tc>
          <w:tcPr>
            <w:tcW w:w="1984" w:type="dxa"/>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מועד החלטת שר הביטחון לפנות את האוכלוסייה המתגוררת במרחק של עד 2 ק"מ מגבול הצפון</w:t>
            </w:r>
          </w:p>
        </w:tc>
        <w:tc>
          <w:tcPr>
            <w:tcW w:w="284" w:type="dxa"/>
          </w:tcPr>
          <w:p w:rsidR="002B781A" w:rsidRPr="002B781A" w:rsidRDefault="002B781A" w:rsidP="002B781A">
            <w:pPr>
              <w:spacing w:line="240" w:lineRule="exact"/>
              <w:rPr>
                <w:rFonts w:ascii="Tahoma" w:eastAsia="Calibri" w:hAnsi="Tahoma" w:cs="Tahoma"/>
                <w:sz w:val="19"/>
                <w:szCs w:val="19"/>
                <w:rtl/>
              </w:rPr>
            </w:pPr>
          </w:p>
        </w:tc>
        <w:tc>
          <w:tcPr>
            <w:tcW w:w="1839" w:type="dxa"/>
          </w:tcPr>
          <w:p w:rsidR="002B781A" w:rsidRPr="002B781A" w:rsidRDefault="002B781A" w:rsidP="002B781A">
            <w:pPr>
              <w:spacing w:line="240" w:lineRule="auto"/>
              <w:ind w:right="23"/>
              <w:rPr>
                <w:rFonts w:ascii="Tahoma" w:eastAsia="Calibri" w:hAnsi="Tahoma" w:cs="Tahoma"/>
                <w:sz w:val="19"/>
                <w:szCs w:val="19"/>
              </w:rPr>
            </w:pPr>
            <w:r w:rsidRPr="002B781A">
              <w:rPr>
                <w:rFonts w:ascii="Tahoma" w:eastAsia="Calibri" w:hAnsi="Tahoma" w:cs="Tahoma"/>
                <w:sz w:val="19"/>
                <w:szCs w:val="19"/>
                <w:rtl/>
              </w:rPr>
              <w:t>מועד החלטת שר הביטחון על פינוי 14 י</w:t>
            </w:r>
            <w:r w:rsidRPr="002B781A">
              <w:rPr>
                <w:rFonts w:ascii="Tahoma" w:eastAsia="Calibri" w:hAnsi="Tahoma" w:cs="Tahoma" w:hint="cs"/>
                <w:sz w:val="19"/>
                <w:szCs w:val="19"/>
                <w:rtl/>
              </w:rPr>
              <w:t>י</w:t>
            </w:r>
            <w:r w:rsidRPr="002B781A">
              <w:rPr>
                <w:rFonts w:ascii="Tahoma" w:eastAsia="Calibri" w:hAnsi="Tahoma" w:cs="Tahoma"/>
                <w:sz w:val="19"/>
                <w:szCs w:val="19"/>
                <w:rtl/>
              </w:rPr>
              <w:t xml:space="preserve">שובים בטווח של 2 - 3 ק"מ מגבול </w:t>
            </w:r>
            <w:r w:rsidRPr="002B781A">
              <w:rPr>
                <w:rFonts w:ascii="Tahoma" w:eastAsia="Calibri" w:hAnsi="Tahoma" w:cs="Tahoma" w:hint="cs"/>
                <w:sz w:val="19"/>
                <w:szCs w:val="19"/>
                <w:rtl/>
              </w:rPr>
              <w:t>ה</w:t>
            </w:r>
            <w:r w:rsidRPr="002B781A">
              <w:rPr>
                <w:rFonts w:ascii="Tahoma" w:eastAsia="Calibri" w:hAnsi="Tahoma" w:cs="Tahoma"/>
                <w:sz w:val="19"/>
                <w:szCs w:val="19"/>
                <w:rtl/>
              </w:rPr>
              <w:t>צפון</w:t>
            </w:r>
          </w:p>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(ההחלטה של השר לפינוי קריית שמונה התקבלה ב-20.10.23)</w:t>
            </w:r>
          </w:p>
        </w:tc>
      </w:tr>
      <w:tr w:rsidR="002B781A" w:rsidRPr="002B781A" w:rsidTr="002B781A">
        <w:trPr>
          <w:trHeight w:val="363"/>
        </w:trPr>
        <w:tc>
          <w:tcPr>
            <w:tcW w:w="8786" w:type="dxa"/>
            <w:gridSpan w:val="7"/>
          </w:tcPr>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p w:rsidR="002B781A" w:rsidRPr="002B781A" w:rsidRDefault="002B781A" w:rsidP="002B781A">
            <w:pPr>
              <w:jc w:val="center"/>
              <w:rPr>
                <w:rFonts w:ascii="Tahoma" w:eastAsia="Calibri" w:hAnsi="Tahoma" w:cs="Tahoma"/>
                <w:sz w:val="6"/>
                <w:szCs w:val="6"/>
                <w:rtl/>
              </w:rPr>
            </w:pPr>
          </w:p>
        </w:tc>
      </w:tr>
      <w:tr w:rsidR="002B781A" w:rsidRPr="002B781A" w:rsidTr="002B781A">
        <w:trPr>
          <w:trHeight w:val="227"/>
        </w:trPr>
        <w:tc>
          <w:tcPr>
            <w:tcW w:w="1971" w:type="dxa"/>
            <w:tcBorders>
              <w:bottom w:val="single" w:sz="12" w:space="0" w:color="auto"/>
            </w:tcBorders>
            <w:vAlign w:val="bottom"/>
          </w:tcPr>
          <w:p w:rsidR="002B781A" w:rsidRPr="002B781A" w:rsidRDefault="002B781A" w:rsidP="002B781A">
            <w:pPr>
              <w:spacing w:after="60" w:line="240" w:lineRule="auto"/>
              <w:rPr>
                <w:rFonts w:ascii="Tahoma" w:eastAsia="Calibri" w:hAnsi="Tahoma" w:cs="Tahoma"/>
                <w:spacing w:val="-10"/>
                <w:sz w:val="36"/>
                <w:szCs w:val="36"/>
              </w:rPr>
            </w:pPr>
            <w:r w:rsidRPr="002B781A">
              <w:rPr>
                <w:rFonts w:ascii="Tahoma" w:eastAsia="Calibri" w:hAnsi="Tahoma" w:cs="Tahoma" w:hint="cs"/>
                <w:spacing w:val="-10"/>
                <w:sz w:val="26"/>
                <w:szCs w:val="26"/>
                <w:rtl/>
              </w:rPr>
              <w:t>כ-</w:t>
            </w:r>
            <w:r w:rsidRPr="002B781A">
              <w:rPr>
                <w:rFonts w:ascii="Tahoma" w:eastAsia="Calibri" w:hAnsi="Tahoma" w:cs="Tahoma" w:hint="cs"/>
                <w:spacing w:val="-10"/>
                <w:sz w:val="36"/>
                <w:szCs w:val="36"/>
                <w:rtl/>
              </w:rPr>
              <w:t>57,000</w:t>
            </w:r>
          </w:p>
        </w:tc>
        <w:tc>
          <w:tcPr>
            <w:tcW w:w="277" w:type="dxa"/>
          </w:tcPr>
          <w:p w:rsidR="002B781A" w:rsidRPr="002B781A" w:rsidRDefault="002B781A" w:rsidP="002B781A">
            <w:pPr>
              <w:spacing w:line="240" w:lineRule="auto"/>
              <w:rPr>
                <w:rFonts w:ascii="Tahoma" w:eastAsia="Calibri" w:hAnsi="Tahoma" w:cs="Tahoma"/>
                <w:spacing w:val="-10"/>
              </w:rPr>
            </w:pPr>
          </w:p>
        </w:tc>
        <w:tc>
          <w:tcPr>
            <w:tcW w:w="2147" w:type="dxa"/>
            <w:tcBorders>
              <w:bottom w:val="single" w:sz="12" w:space="0" w:color="auto"/>
            </w:tcBorders>
            <w:vAlign w:val="center"/>
          </w:tcPr>
          <w:p w:rsidR="002B781A" w:rsidRPr="002B781A" w:rsidRDefault="002B781A" w:rsidP="002B781A">
            <w:pPr>
              <w:spacing w:line="240" w:lineRule="auto"/>
              <w:rPr>
                <w:rFonts w:ascii="Tahoma" w:eastAsia="Calibri" w:hAnsi="Tahoma" w:cs="Tahoma"/>
                <w:spacing w:val="-10"/>
                <w:sz w:val="36"/>
                <w:szCs w:val="36"/>
              </w:rPr>
            </w:pPr>
            <w:r w:rsidRPr="002B781A">
              <w:rPr>
                <w:rFonts w:ascii="Tahoma" w:eastAsia="Calibri" w:hAnsi="Tahoma" w:cs="Tahoma" w:hint="cs"/>
                <w:spacing w:val="-10"/>
                <w:sz w:val="26"/>
                <w:szCs w:val="26"/>
                <w:rtl/>
              </w:rPr>
              <w:t>כ-</w:t>
            </w:r>
            <w:r w:rsidRPr="002B781A">
              <w:rPr>
                <w:rFonts w:ascii="Tahoma" w:eastAsia="Calibri" w:hAnsi="Tahoma" w:cs="Tahoma" w:hint="cs"/>
                <w:spacing w:val="-10"/>
                <w:sz w:val="36"/>
                <w:szCs w:val="36"/>
                <w:rtl/>
              </w:rPr>
              <w:t>300</w:t>
            </w:r>
          </w:p>
        </w:tc>
        <w:tc>
          <w:tcPr>
            <w:tcW w:w="284" w:type="dxa"/>
          </w:tcPr>
          <w:p w:rsidR="002B781A" w:rsidRPr="002B781A" w:rsidRDefault="002B781A" w:rsidP="002B781A">
            <w:pPr>
              <w:spacing w:line="240" w:lineRule="auto"/>
              <w:rPr>
                <w:rFonts w:ascii="Tahoma" w:eastAsia="Calibri" w:hAnsi="Tahoma" w:cs="Tahoma"/>
                <w:spacing w:val="-10"/>
              </w:rPr>
            </w:pPr>
          </w:p>
        </w:tc>
        <w:tc>
          <w:tcPr>
            <w:tcW w:w="1984" w:type="dxa"/>
            <w:tcBorders>
              <w:bottom w:val="single" w:sz="12" w:space="0" w:color="auto"/>
            </w:tcBorders>
          </w:tcPr>
          <w:p w:rsidR="002B781A" w:rsidRPr="002B781A" w:rsidRDefault="002B781A" w:rsidP="002B781A">
            <w:pPr>
              <w:spacing w:line="240" w:lineRule="auto"/>
              <w:rPr>
                <w:rFonts w:ascii="Tahoma" w:eastAsia="Calibri" w:hAnsi="Tahoma" w:cs="Tahoma"/>
                <w:spacing w:val="-10"/>
                <w:sz w:val="36"/>
                <w:szCs w:val="36"/>
              </w:rPr>
            </w:pPr>
            <w:r w:rsidRPr="002B781A">
              <w:rPr>
                <w:rFonts w:ascii="Tahoma" w:eastAsia="Calibri" w:hAnsi="Tahoma" w:cs="Tahoma" w:hint="cs"/>
                <w:spacing w:val="-10"/>
                <w:sz w:val="26"/>
                <w:szCs w:val="26"/>
                <w:rtl/>
              </w:rPr>
              <w:t>כ-</w:t>
            </w:r>
            <w:r w:rsidRPr="002B781A">
              <w:rPr>
                <w:rFonts w:ascii="Tahoma" w:eastAsia="Calibri" w:hAnsi="Tahoma" w:cs="Tahoma" w:hint="cs"/>
                <w:spacing w:val="-10"/>
                <w:sz w:val="36"/>
                <w:szCs w:val="36"/>
                <w:rtl/>
              </w:rPr>
              <w:t>9,424</w:t>
            </w:r>
          </w:p>
        </w:tc>
        <w:tc>
          <w:tcPr>
            <w:tcW w:w="284" w:type="dxa"/>
          </w:tcPr>
          <w:p w:rsidR="002B781A" w:rsidRPr="002B781A" w:rsidRDefault="002B781A" w:rsidP="002B781A">
            <w:pPr>
              <w:spacing w:line="240" w:lineRule="auto"/>
              <w:rPr>
                <w:rFonts w:ascii="Tahoma" w:eastAsia="Calibri" w:hAnsi="Tahoma" w:cs="Tahoma"/>
                <w:spacing w:val="-10"/>
              </w:rPr>
            </w:pPr>
          </w:p>
        </w:tc>
        <w:tc>
          <w:tcPr>
            <w:tcW w:w="1839" w:type="dxa"/>
            <w:tcBorders>
              <w:bottom w:val="single" w:sz="12" w:space="0" w:color="auto"/>
            </w:tcBorders>
            <w:vAlign w:val="center"/>
          </w:tcPr>
          <w:p w:rsidR="002B781A" w:rsidRPr="002B781A" w:rsidRDefault="002B781A" w:rsidP="002B781A">
            <w:pPr>
              <w:spacing w:line="240" w:lineRule="auto"/>
              <w:rPr>
                <w:rFonts w:ascii="Tahoma" w:eastAsia="Calibri" w:hAnsi="Tahoma" w:cs="Tahoma"/>
                <w:spacing w:val="-10"/>
                <w:sz w:val="36"/>
                <w:szCs w:val="36"/>
              </w:rPr>
            </w:pPr>
            <w:r w:rsidRPr="002B781A">
              <w:rPr>
                <w:rFonts w:ascii="Tahoma" w:eastAsia="Calibri" w:hAnsi="Tahoma" w:cs="Tahoma" w:hint="cs"/>
                <w:spacing w:val="-10"/>
                <w:sz w:val="36"/>
                <w:szCs w:val="36"/>
                <w:rtl/>
              </w:rPr>
              <w:t>30</w:t>
            </w:r>
          </w:p>
        </w:tc>
      </w:tr>
      <w:tr w:rsidR="002B781A" w:rsidRPr="002B781A" w:rsidTr="002B781A">
        <w:trPr>
          <w:trHeight w:val="70"/>
        </w:trPr>
        <w:tc>
          <w:tcPr>
            <w:tcW w:w="8786" w:type="dxa"/>
            <w:gridSpan w:val="7"/>
            <w:vAlign w:val="center"/>
          </w:tcPr>
          <w:p w:rsidR="002B781A" w:rsidRPr="002B781A" w:rsidRDefault="002B781A" w:rsidP="002B781A">
            <w:pPr>
              <w:rPr>
                <w:rFonts w:ascii="Tahoma" w:eastAsia="Calibri" w:hAnsi="Tahoma" w:cs="Tahoma"/>
                <w:spacing w:val="-10"/>
                <w:sz w:val="6"/>
                <w:szCs w:val="6"/>
                <w:rtl/>
              </w:rPr>
            </w:pPr>
          </w:p>
        </w:tc>
      </w:tr>
      <w:tr w:rsidR="002B781A" w:rsidRPr="002B781A" w:rsidTr="002B781A">
        <w:trPr>
          <w:trHeight w:val="1153"/>
        </w:trPr>
        <w:tc>
          <w:tcPr>
            <w:tcW w:w="1971" w:type="dxa"/>
          </w:tcPr>
          <w:p w:rsidR="002B781A" w:rsidRPr="002B781A" w:rsidRDefault="002B781A" w:rsidP="002B781A">
            <w:pPr>
              <w:spacing w:line="240" w:lineRule="auto"/>
              <w:rPr>
                <w:rFonts w:ascii="Tahoma" w:eastAsia="Calibri" w:hAnsi="Tahoma" w:cs="Tahoma"/>
                <w:sz w:val="19"/>
                <w:szCs w:val="19"/>
                <w:rtl/>
              </w:rPr>
            </w:pPr>
            <w:r w:rsidRPr="002B781A">
              <w:rPr>
                <w:rFonts w:ascii="Tahoma" w:eastAsia="Calibri" w:hAnsi="Tahoma" w:cs="Tahoma"/>
                <w:sz w:val="19"/>
                <w:szCs w:val="19"/>
                <w:rtl/>
              </w:rPr>
              <w:t>מספר התושבים המפונים מהיישובים שבגבול הצפון</w:t>
            </w:r>
          </w:p>
        </w:tc>
        <w:tc>
          <w:tcPr>
            <w:tcW w:w="277" w:type="dxa"/>
          </w:tcPr>
          <w:p w:rsidR="002B781A" w:rsidRPr="002B781A" w:rsidRDefault="002B781A" w:rsidP="002B781A">
            <w:pPr>
              <w:spacing w:line="240" w:lineRule="auto"/>
              <w:rPr>
                <w:rFonts w:ascii="Tahoma" w:eastAsia="Calibri" w:hAnsi="Tahoma" w:cs="Tahoma"/>
                <w:sz w:val="19"/>
                <w:szCs w:val="19"/>
                <w:rtl/>
              </w:rPr>
            </w:pPr>
          </w:p>
        </w:tc>
        <w:tc>
          <w:tcPr>
            <w:tcW w:w="2147" w:type="dxa"/>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 xml:space="preserve">מספר </w:t>
            </w:r>
            <w:r w:rsidRPr="002B781A">
              <w:rPr>
                <w:rFonts w:ascii="Tahoma" w:eastAsia="Calibri" w:hAnsi="Tahoma" w:cs="Tahoma" w:hint="cs"/>
                <w:sz w:val="19"/>
                <w:szCs w:val="19"/>
                <w:rtl/>
              </w:rPr>
              <w:t>מתקני האירוח</w:t>
            </w:r>
            <w:r w:rsidRPr="002B781A">
              <w:rPr>
                <w:rFonts w:ascii="Tahoma" w:eastAsia="Calibri" w:hAnsi="Tahoma" w:cs="Tahoma"/>
                <w:sz w:val="19"/>
                <w:szCs w:val="19"/>
                <w:rtl/>
              </w:rPr>
              <w:t xml:space="preserve">, אליהם פונו תושבי </w:t>
            </w:r>
            <w:r w:rsidRPr="002B781A">
              <w:rPr>
                <w:rFonts w:ascii="Tahoma" w:eastAsia="Calibri" w:hAnsi="Tahoma" w:cs="Tahoma"/>
                <w:b/>
                <w:bCs/>
                <w:sz w:val="19"/>
                <w:szCs w:val="19"/>
                <w:rtl/>
              </w:rPr>
              <w:t>קריית שמונה</w:t>
            </w:r>
          </w:p>
        </w:tc>
        <w:tc>
          <w:tcPr>
            <w:tcW w:w="284" w:type="dxa"/>
            <w:vAlign w:val="center"/>
          </w:tcPr>
          <w:p w:rsidR="002B781A" w:rsidRPr="002B781A" w:rsidRDefault="002B781A" w:rsidP="002B781A">
            <w:pPr>
              <w:spacing w:line="240" w:lineRule="auto"/>
              <w:rPr>
                <w:rFonts w:ascii="Tahoma" w:eastAsia="Calibri" w:hAnsi="Tahoma" w:cs="Tahoma"/>
                <w:sz w:val="19"/>
                <w:szCs w:val="19"/>
                <w:rtl/>
              </w:rPr>
            </w:pPr>
          </w:p>
        </w:tc>
        <w:tc>
          <w:tcPr>
            <w:tcW w:w="1984" w:type="dxa"/>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 xml:space="preserve">מספר המפונים מהעיר </w:t>
            </w:r>
            <w:r w:rsidRPr="002B781A">
              <w:rPr>
                <w:rFonts w:ascii="Tahoma" w:eastAsia="Calibri" w:hAnsi="Tahoma" w:cs="Tahoma"/>
                <w:b/>
                <w:bCs/>
                <w:sz w:val="19"/>
                <w:szCs w:val="19"/>
                <w:rtl/>
              </w:rPr>
              <w:t>קריית שמונה</w:t>
            </w:r>
            <w:r w:rsidRPr="002B781A">
              <w:rPr>
                <w:rFonts w:ascii="Tahoma" w:eastAsia="Calibri" w:hAnsi="Tahoma" w:cs="Tahoma"/>
                <w:sz w:val="19"/>
                <w:szCs w:val="19"/>
                <w:rtl/>
              </w:rPr>
              <w:t xml:space="preserve"> המתגוררים בטבריה והסביבה נכון למרץ 2024</w:t>
            </w:r>
          </w:p>
        </w:tc>
        <w:tc>
          <w:tcPr>
            <w:tcW w:w="284" w:type="dxa"/>
            <w:vAlign w:val="center"/>
          </w:tcPr>
          <w:p w:rsidR="002B781A" w:rsidRPr="002B781A" w:rsidRDefault="002B781A" w:rsidP="002B781A">
            <w:pPr>
              <w:spacing w:line="240" w:lineRule="auto"/>
              <w:rPr>
                <w:rFonts w:ascii="Tahoma" w:eastAsia="Calibri" w:hAnsi="Tahoma" w:cs="Tahoma"/>
                <w:sz w:val="19"/>
                <w:szCs w:val="19"/>
                <w:rtl/>
              </w:rPr>
            </w:pPr>
          </w:p>
        </w:tc>
        <w:tc>
          <w:tcPr>
            <w:tcW w:w="1839" w:type="dxa"/>
            <w:vAlign w:val="bottom"/>
          </w:tcPr>
          <w:p w:rsidR="002B781A" w:rsidRPr="002B781A" w:rsidRDefault="002B781A" w:rsidP="002B781A">
            <w:pPr>
              <w:spacing w:line="240" w:lineRule="auto"/>
              <w:ind w:right="23"/>
              <w:rPr>
                <w:rFonts w:ascii="Tahoma" w:eastAsia="Calibri" w:hAnsi="Tahoma" w:cs="Tahoma"/>
                <w:sz w:val="19"/>
                <w:szCs w:val="19"/>
                <w:rtl/>
              </w:rPr>
            </w:pPr>
            <w:r w:rsidRPr="002B781A">
              <w:rPr>
                <w:rFonts w:ascii="Tahoma" w:eastAsia="Calibri" w:hAnsi="Tahoma" w:cs="Tahoma"/>
                <w:sz w:val="19"/>
                <w:szCs w:val="19"/>
                <w:rtl/>
              </w:rPr>
              <w:t xml:space="preserve">מספר הימים במהלכם לא היה לעיריית </w:t>
            </w:r>
            <w:r w:rsidRPr="002B781A">
              <w:rPr>
                <w:rFonts w:ascii="Tahoma" w:eastAsia="Calibri" w:hAnsi="Tahoma" w:cs="Tahoma"/>
                <w:b/>
                <w:bCs/>
                <w:sz w:val="19"/>
                <w:szCs w:val="19"/>
                <w:rtl/>
              </w:rPr>
              <w:t xml:space="preserve">קריית שמונה </w:t>
            </w:r>
            <w:r w:rsidRPr="002B781A">
              <w:rPr>
                <w:rFonts w:ascii="Tahoma" w:eastAsia="Calibri" w:hAnsi="Tahoma" w:cs="Tahoma"/>
                <w:sz w:val="19"/>
                <w:szCs w:val="19"/>
                <w:rtl/>
              </w:rPr>
              <w:t>מידע מלא על מיקום התושבים שהתפנו בתחילת המלחמה</w:t>
            </w:r>
          </w:p>
        </w:tc>
      </w:tr>
    </w:tbl>
    <w:p w:rsidR="002B781A" w:rsidRPr="002B781A" w:rsidRDefault="002B781A" w:rsidP="00AE4BB7">
      <w:pPr>
        <w:spacing w:line="288" w:lineRule="auto"/>
        <w:ind w:left="-284"/>
        <w:rPr>
          <w:sz w:val="12"/>
          <w:szCs w:val="16"/>
          <w:rtl/>
        </w:rPr>
      </w:pPr>
    </w:p>
    <w:p w:rsidR="002B781A" w:rsidRDefault="002B781A" w:rsidP="00AE4BB7">
      <w:pPr>
        <w:spacing w:line="288" w:lineRule="auto"/>
        <w:ind w:left="-284"/>
        <w:rPr>
          <w:sz w:val="12"/>
          <w:szCs w:val="16"/>
          <w:rtl/>
        </w:rPr>
      </w:pPr>
    </w:p>
    <w:p w:rsidR="002B781A" w:rsidRDefault="002B781A" w:rsidP="00AE4BB7">
      <w:pPr>
        <w:spacing w:line="288" w:lineRule="auto"/>
        <w:ind w:left="-284"/>
        <w:rPr>
          <w:sz w:val="12"/>
          <w:szCs w:val="16"/>
          <w:rtl/>
        </w:rPr>
      </w:pPr>
    </w:p>
    <w:p w:rsidR="009515F9" w:rsidRPr="004B2FF6" w:rsidRDefault="009515F9" w:rsidP="00AE4BB7">
      <w:pPr>
        <w:spacing w:line="288" w:lineRule="auto"/>
        <w:ind w:left="-284"/>
        <w:rPr>
          <w:sz w:val="12"/>
          <w:szCs w:val="16"/>
          <w:rtl/>
        </w:rPr>
      </w:pPr>
    </w:p>
    <w:p w:rsidR="00AE4BB7" w:rsidRPr="005F4A6D" w:rsidRDefault="00AE4BB7" w:rsidP="00AE4BB7">
      <w:pPr>
        <w:spacing w:line="288" w:lineRule="auto"/>
        <w:ind w:left="-1"/>
        <w:rPr>
          <w:sz w:val="10"/>
          <w:szCs w:val="14"/>
          <w:rtl/>
        </w:rPr>
      </w:pPr>
    </w:p>
    <w:p w:rsidR="00AE4BB7" w:rsidRPr="00BE22D7" w:rsidRDefault="00AE4BB7" w:rsidP="00AE4BB7">
      <w:pPr>
        <w:spacing w:line="288" w:lineRule="auto"/>
        <w:ind w:left="-1"/>
        <w:rPr>
          <w:sz w:val="18"/>
          <w:szCs w:val="22"/>
          <w:rtl/>
        </w:rPr>
      </w:pPr>
    </w:p>
    <w:p w:rsidR="00AE4BB7" w:rsidRDefault="00AE4BB7" w:rsidP="00AE4BB7">
      <w:pPr>
        <w:ind w:left="-1"/>
      </w:pPr>
      <w:r>
        <w:br w:type="page"/>
      </w: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4E0191">
            <w:pPr>
              <w:spacing w:line="288" w:lineRule="auto"/>
              <w:ind w:left="-1"/>
              <w:jc w:val="left"/>
              <w:rPr>
                <w:rFonts w:ascii="Tahoma" w:hAnsi="Tahoma" w:cs="Tahoma"/>
                <w:sz w:val="17"/>
                <w:szCs w:val="17"/>
                <w:rtl/>
              </w:rPr>
            </w:pPr>
            <w:r w:rsidRPr="006C4033">
              <w:rPr>
                <w:rFonts w:ascii="Tahoma" w:hAnsi="Tahoma" w:cs="Tahoma"/>
                <w:noProof/>
              </w:rPr>
              <w:lastRenderedPageBreak/>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4E0191" w:rsidRDefault="00AE4BB7" w:rsidP="002B781A">
      <w:pPr>
        <w:pStyle w:val="73"/>
        <w:spacing w:after="120"/>
        <w:ind w:left="851"/>
        <w:rPr>
          <w:noProof/>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781A" w:rsidRPr="002B781A">
        <w:rPr>
          <w:rFonts w:eastAsia="Calibri"/>
          <w:color w:val="auto"/>
          <w:sz w:val="19"/>
          <w:szCs w:val="19"/>
          <w:rtl/>
        </w:rPr>
        <w:t xml:space="preserve">בחודשים דצמבר 2023 עד </w:t>
      </w:r>
      <w:r w:rsidR="002B781A" w:rsidRPr="002B781A">
        <w:rPr>
          <w:rFonts w:eastAsia="Calibri" w:hint="cs"/>
          <w:color w:val="auto"/>
          <w:sz w:val="19"/>
          <w:szCs w:val="19"/>
          <w:rtl/>
        </w:rPr>
        <w:t>יולי</w:t>
      </w:r>
      <w:r w:rsidR="002B781A" w:rsidRPr="002B781A">
        <w:rPr>
          <w:rFonts w:eastAsia="Calibri"/>
          <w:color w:val="auto"/>
          <w:sz w:val="19"/>
          <w:szCs w:val="19"/>
          <w:rtl/>
        </w:rPr>
        <w:t xml:space="preserve"> 2024 בדק משרד מבקר המדינה את הליך הפינוי והקליטה של המפונים בצפון הארץ. הביקורת נעשתה בין היתר בשמונה רשויות מקומיות מפונות בצפון שפונו על פי החלטות ממשלה: עיריית </w:t>
      </w:r>
      <w:r w:rsidR="002B781A" w:rsidRPr="002B781A">
        <w:rPr>
          <w:rFonts w:eastAsia="Calibri"/>
          <w:b/>
          <w:bCs/>
          <w:color w:val="auto"/>
          <w:sz w:val="19"/>
          <w:szCs w:val="19"/>
          <w:rtl/>
        </w:rPr>
        <w:t>קריית שמונה</w:t>
      </w:r>
      <w:r w:rsidR="002B781A" w:rsidRPr="002B781A">
        <w:rPr>
          <w:rFonts w:eastAsia="Calibri"/>
          <w:color w:val="auto"/>
          <w:sz w:val="19"/>
          <w:szCs w:val="19"/>
          <w:rtl/>
        </w:rPr>
        <w:t xml:space="preserve">, המועצות המקומיות </w:t>
      </w:r>
      <w:r w:rsidR="002B781A" w:rsidRPr="002B781A">
        <w:rPr>
          <w:rFonts w:eastAsia="Calibri"/>
          <w:b/>
          <w:bCs/>
          <w:color w:val="auto"/>
          <w:sz w:val="19"/>
          <w:szCs w:val="19"/>
          <w:rtl/>
        </w:rPr>
        <w:t>מטולה</w:t>
      </w:r>
      <w:r w:rsidR="002B781A" w:rsidRPr="002B781A">
        <w:rPr>
          <w:rFonts w:eastAsia="Calibri"/>
          <w:color w:val="auto"/>
          <w:sz w:val="19"/>
          <w:szCs w:val="19"/>
          <w:rtl/>
        </w:rPr>
        <w:t xml:space="preserve"> ו</w:t>
      </w:r>
      <w:r w:rsidR="002B781A" w:rsidRPr="002B781A">
        <w:rPr>
          <w:rFonts w:eastAsia="Calibri"/>
          <w:b/>
          <w:bCs/>
          <w:color w:val="auto"/>
          <w:sz w:val="19"/>
          <w:szCs w:val="19"/>
          <w:rtl/>
        </w:rPr>
        <w:t>שלומי</w:t>
      </w:r>
      <w:r w:rsidR="002B781A" w:rsidRPr="002B781A">
        <w:rPr>
          <w:rFonts w:eastAsia="Calibri"/>
          <w:color w:val="auto"/>
          <w:sz w:val="19"/>
          <w:szCs w:val="19"/>
          <w:rtl/>
        </w:rPr>
        <w:t xml:space="preserve">, המועצות האזוריות </w:t>
      </w:r>
      <w:r w:rsidR="002B781A" w:rsidRPr="002B781A">
        <w:rPr>
          <w:rFonts w:eastAsia="Calibri"/>
          <w:b/>
          <w:bCs/>
          <w:color w:val="auto"/>
          <w:sz w:val="19"/>
          <w:szCs w:val="19"/>
          <w:rtl/>
        </w:rPr>
        <w:t>הגליל העליון</w:t>
      </w:r>
      <w:r w:rsidR="002B781A" w:rsidRPr="002B781A">
        <w:rPr>
          <w:rFonts w:eastAsia="Calibri"/>
          <w:color w:val="auto"/>
          <w:sz w:val="19"/>
          <w:szCs w:val="19"/>
          <w:rtl/>
        </w:rPr>
        <w:t xml:space="preserve">, </w:t>
      </w:r>
      <w:r w:rsidR="002B781A" w:rsidRPr="002B781A">
        <w:rPr>
          <w:rFonts w:eastAsia="Calibri"/>
          <w:b/>
          <w:bCs/>
          <w:color w:val="auto"/>
          <w:sz w:val="19"/>
          <w:szCs w:val="19"/>
          <w:rtl/>
        </w:rPr>
        <w:t>מבואות החרמון</w:t>
      </w:r>
      <w:r w:rsidR="002B781A" w:rsidRPr="002B781A">
        <w:rPr>
          <w:rFonts w:eastAsia="Calibri"/>
          <w:color w:val="auto"/>
          <w:sz w:val="19"/>
          <w:szCs w:val="19"/>
          <w:rtl/>
        </w:rPr>
        <w:t xml:space="preserve">, </w:t>
      </w:r>
      <w:r w:rsidR="002B781A" w:rsidRPr="002B781A">
        <w:rPr>
          <w:rFonts w:eastAsia="Calibri"/>
          <w:b/>
          <w:bCs/>
          <w:color w:val="auto"/>
          <w:sz w:val="19"/>
          <w:szCs w:val="19"/>
          <w:rtl/>
        </w:rPr>
        <w:t>מטה אשר</w:t>
      </w:r>
      <w:r w:rsidR="002B781A" w:rsidRPr="002B781A">
        <w:rPr>
          <w:rFonts w:eastAsia="Calibri"/>
          <w:color w:val="auto"/>
          <w:sz w:val="19"/>
          <w:szCs w:val="19"/>
          <w:rtl/>
        </w:rPr>
        <w:t xml:space="preserve">, </w:t>
      </w:r>
      <w:r w:rsidR="002B781A" w:rsidRPr="002B781A">
        <w:rPr>
          <w:rFonts w:eastAsia="Calibri"/>
          <w:b/>
          <w:bCs/>
          <w:color w:val="auto"/>
          <w:sz w:val="19"/>
          <w:szCs w:val="19"/>
          <w:rtl/>
        </w:rPr>
        <w:t>מעלה יוסף</w:t>
      </w:r>
      <w:r w:rsidR="002B781A" w:rsidRPr="002B781A">
        <w:rPr>
          <w:rFonts w:eastAsia="Calibri"/>
          <w:color w:val="auto"/>
          <w:sz w:val="19"/>
          <w:szCs w:val="19"/>
          <w:rtl/>
        </w:rPr>
        <w:t xml:space="preserve"> ו</w:t>
      </w:r>
      <w:r w:rsidR="002B781A" w:rsidRPr="002B781A">
        <w:rPr>
          <w:rFonts w:eastAsia="Calibri"/>
          <w:b/>
          <w:bCs/>
          <w:color w:val="auto"/>
          <w:sz w:val="19"/>
          <w:szCs w:val="19"/>
          <w:rtl/>
        </w:rPr>
        <w:t>מרום הגליל</w:t>
      </w:r>
      <w:r w:rsidR="002B781A" w:rsidRPr="002B781A">
        <w:rPr>
          <w:rFonts w:eastAsia="Calibri"/>
          <w:color w:val="auto"/>
          <w:sz w:val="19"/>
          <w:szCs w:val="19"/>
          <w:rtl/>
        </w:rPr>
        <w:t>. פרק זה עוסק בפינוי האוכלוסייה משמונה הרשויות המקומיות האמורות והקשר שלהן עם התושבים המפונים. בדיקות השלמה נעשו ברשות החירום הלאומית (רח"ל) שבמשרד הביטחון, בפיקוד העורף (פקע"ר), במשרד הפנים, במשרד החינוך ובמשרד התיירות</w:t>
      </w:r>
      <w:r w:rsidR="004B2FF6" w:rsidRPr="00084768">
        <w:rPr>
          <w:rFonts w:hint="cs"/>
          <w:sz w:val="19"/>
          <w:szCs w:val="19"/>
          <w:rtl/>
        </w:rPr>
        <w:t>.</w:t>
      </w:r>
    </w:p>
    <w:p w:rsidR="004B2FF6" w:rsidRDefault="004B2FF6" w:rsidP="004B2FF6">
      <w:pPr>
        <w:pStyle w:val="73"/>
        <w:ind w:left="851"/>
        <w:rPr>
          <w:noProof/>
        </w:rPr>
      </w:pPr>
    </w:p>
    <w:p w:rsidR="00AE4BB7" w:rsidRPr="006C4033" w:rsidRDefault="00AE4BB7" w:rsidP="004E0191">
      <w:pPr>
        <w:pStyle w:val="73"/>
        <w:ind w:left="-1"/>
        <w:rPr>
          <w:noProof/>
          <w:rtl/>
        </w:rPr>
      </w:pPr>
      <w:r w:rsidRPr="006C4033">
        <w:rPr>
          <w:noProof/>
        </w:rPr>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2B781A" w:rsidRPr="00FE629A" w:rsidRDefault="002B781A" w:rsidP="00DB2E57">
      <w:pPr>
        <w:pStyle w:val="73"/>
        <w:numPr>
          <w:ilvl w:val="0"/>
          <w:numId w:val="25"/>
        </w:numPr>
        <w:rPr>
          <w:sz w:val="19"/>
          <w:szCs w:val="19"/>
        </w:rPr>
      </w:pPr>
      <w:r w:rsidRPr="00FE629A">
        <w:rPr>
          <w:b/>
          <w:bCs/>
          <w:sz w:val="19"/>
          <w:szCs w:val="19"/>
          <w:rtl/>
        </w:rPr>
        <w:t xml:space="preserve">תפקיד הרשות המפנה בהליך הפינוי </w:t>
      </w:r>
      <w:r w:rsidRPr="00FE629A">
        <w:rPr>
          <w:sz w:val="19"/>
          <w:szCs w:val="19"/>
          <w:rtl/>
        </w:rPr>
        <w:t>- בתוכנית "מרחק בטוח" הלאומית</w:t>
      </w:r>
      <w:r w:rsidRPr="00FE629A">
        <w:rPr>
          <w:rStyle w:val="af1"/>
          <w:sz w:val="19"/>
          <w:szCs w:val="19"/>
          <w:rtl/>
        </w:rPr>
        <w:footnoteReference w:id="2"/>
      </w:r>
      <w:r w:rsidRPr="00FE629A">
        <w:rPr>
          <w:sz w:val="19"/>
          <w:szCs w:val="19"/>
          <w:rtl/>
        </w:rPr>
        <w:t xml:space="preserve"> נקבעו המשימות של הגורמים השונים השותפים לתוכנית, ובהן הרשויות המקומיות המפנות, שאמורות, בין היתר, לסייע במאמץ הפינוי והקליטה של תושביהן וללוות את מאמץ הפינוי והקליטה של התושבים, בדגש על אוכלוסיות </w:t>
      </w:r>
      <w:r>
        <w:rPr>
          <w:rFonts w:hint="cs"/>
          <w:sz w:val="19"/>
          <w:szCs w:val="19"/>
          <w:rtl/>
        </w:rPr>
        <w:t xml:space="preserve">עם </w:t>
      </w:r>
      <w:r w:rsidRPr="00FE629A">
        <w:rPr>
          <w:sz w:val="19"/>
          <w:szCs w:val="19"/>
          <w:rtl/>
        </w:rPr>
        <w:t xml:space="preserve">צרכים מיוחדים השוהות בקהילה. משרד הפנים לא קבע נוהל ובו הוראות מפורטות בנוגע להתארגנות הרשות המקומית לפינוי תושביה, לניהול הליך פינוי על ידה או הסיוע לפינוי שבאחריות צה"ל, לקשר עם התושבים המפונים ולהעברת הודעות אליהם, להפעלת כוח אדם ייעודי, לארגון הסעות, ליצירת קשר עם הרשות הקולטת ועוד. בדוח מבקר המדינה בנושא "ההיערכות להגנת העורף מפני איום טילים ורקטות (מיגון פיזי, התרעה ופינוי אוכלוסייה) - ביקורת מעקב" משנת 2020, העיר משרד מבקר המדינה כי יש לסיים את התכנון לפינוי קריית שמונה מבעוד מועד ולא להמתין לשעת הצורך כדי שהביצוע, אם יידרש, יהיה מיטבי, וכי, נוכח פערי המיגון הקיימים בקריית שמונה ונוכח התרחיש של ירי רציף ומתמשך כפי שצופה צה"ל, על צה"ל - בשיתוף רח"ל ורשות פס"ח - להאיץ את התכנון וההיערכות לפינוי ולקליטה של תושבי </w:t>
      </w:r>
      <w:r w:rsidRPr="003E575F">
        <w:rPr>
          <w:b/>
          <w:bCs/>
          <w:sz w:val="19"/>
          <w:szCs w:val="19"/>
          <w:rtl/>
        </w:rPr>
        <w:t>קריית שמונה</w:t>
      </w:r>
      <w:r w:rsidRPr="00FE629A">
        <w:rPr>
          <w:sz w:val="19"/>
          <w:szCs w:val="19"/>
          <w:rtl/>
        </w:rPr>
        <w:t xml:space="preserve">. בביקורת עלה כי משרד הביטחון וצה"ל נמנעו מלהכין תוכנית לפינוי העיר </w:t>
      </w:r>
      <w:r w:rsidRPr="003E575F">
        <w:rPr>
          <w:b/>
          <w:bCs/>
          <w:sz w:val="19"/>
          <w:szCs w:val="19"/>
          <w:rtl/>
        </w:rPr>
        <w:t>קריית שמונה</w:t>
      </w:r>
      <w:r w:rsidRPr="00FE629A">
        <w:rPr>
          <w:sz w:val="19"/>
          <w:szCs w:val="19"/>
          <w:rtl/>
        </w:rPr>
        <w:t>, למרות ניסיון העבר, היעדר המיגון לתושבים והצפי לירי רציף לכיוונה - הימנעות שהביאה לכשל בפינוי העיר.</w:t>
      </w:r>
    </w:p>
    <w:p w:rsidR="002B781A" w:rsidRDefault="002B781A" w:rsidP="00DB2E57">
      <w:pPr>
        <w:pStyle w:val="73"/>
        <w:numPr>
          <w:ilvl w:val="0"/>
          <w:numId w:val="25"/>
        </w:numPr>
        <w:rPr>
          <w:sz w:val="19"/>
          <w:szCs w:val="19"/>
        </w:rPr>
      </w:pPr>
      <w:r w:rsidRPr="00CC4E9D">
        <w:rPr>
          <w:b/>
          <w:bCs/>
          <w:sz w:val="19"/>
          <w:szCs w:val="19"/>
          <w:rtl/>
        </w:rPr>
        <w:lastRenderedPageBreak/>
        <w:t xml:space="preserve">פינוי מיישובים בהמלצת ראשי הרשויות המקומית (שלא במימון המדינה) ומתפנים עצמאית </w:t>
      </w:r>
      <w:r w:rsidRPr="00CC4E9D">
        <w:rPr>
          <w:sz w:val="19"/>
          <w:szCs w:val="19"/>
          <w:rtl/>
        </w:rPr>
        <w:t xml:space="preserve">- </w:t>
      </w:r>
      <w:r w:rsidRPr="00DC0442">
        <w:rPr>
          <w:rFonts w:hint="cs"/>
          <w:sz w:val="19"/>
          <w:szCs w:val="19"/>
          <w:rtl/>
        </w:rPr>
        <w:t>ראש</w:t>
      </w:r>
      <w:r>
        <w:rPr>
          <w:rFonts w:hint="cs"/>
          <w:sz w:val="19"/>
          <w:szCs w:val="19"/>
          <w:rtl/>
        </w:rPr>
        <w:t xml:space="preserve"> </w:t>
      </w:r>
      <w:r w:rsidRPr="00DC0442">
        <w:rPr>
          <w:rFonts w:hint="cs"/>
          <w:sz w:val="19"/>
          <w:szCs w:val="19"/>
          <w:rtl/>
        </w:rPr>
        <w:t xml:space="preserve">המועצה המקומית </w:t>
      </w:r>
      <w:r w:rsidRPr="00DC0442">
        <w:rPr>
          <w:rFonts w:hint="cs"/>
          <w:b/>
          <w:bCs/>
          <w:sz w:val="19"/>
          <w:szCs w:val="19"/>
          <w:rtl/>
        </w:rPr>
        <w:t>מטולה</w:t>
      </w:r>
      <w:r w:rsidRPr="00DC0442">
        <w:rPr>
          <w:rFonts w:hint="cs"/>
          <w:sz w:val="19"/>
          <w:szCs w:val="19"/>
          <w:rtl/>
        </w:rPr>
        <w:t xml:space="preserve"> וראשי המועצות האזוריות </w:t>
      </w:r>
      <w:r w:rsidRPr="00DC0442">
        <w:rPr>
          <w:rFonts w:hint="cs"/>
          <w:b/>
          <w:bCs/>
          <w:sz w:val="19"/>
          <w:szCs w:val="19"/>
          <w:rtl/>
        </w:rPr>
        <w:t>הגליל העליון</w:t>
      </w:r>
      <w:r w:rsidRPr="00DC0442">
        <w:rPr>
          <w:rFonts w:hint="cs"/>
          <w:sz w:val="19"/>
          <w:szCs w:val="19"/>
          <w:rtl/>
        </w:rPr>
        <w:t xml:space="preserve">, </w:t>
      </w:r>
      <w:r w:rsidRPr="00DC0442">
        <w:rPr>
          <w:rFonts w:hint="cs"/>
          <w:b/>
          <w:bCs/>
          <w:sz w:val="19"/>
          <w:szCs w:val="19"/>
          <w:rtl/>
        </w:rPr>
        <w:t>מבואות החרמון</w:t>
      </w:r>
      <w:r w:rsidRPr="00DC0442">
        <w:rPr>
          <w:rFonts w:hint="cs"/>
          <w:sz w:val="19"/>
          <w:szCs w:val="19"/>
          <w:rtl/>
        </w:rPr>
        <w:t xml:space="preserve"> ו</w:t>
      </w:r>
      <w:r w:rsidRPr="00DC0442">
        <w:rPr>
          <w:rFonts w:hint="cs"/>
          <w:b/>
          <w:bCs/>
          <w:sz w:val="19"/>
          <w:szCs w:val="19"/>
          <w:rtl/>
        </w:rPr>
        <w:t>מטה אשר</w:t>
      </w:r>
      <w:r w:rsidRPr="00DC0442">
        <w:rPr>
          <w:rFonts w:hint="cs"/>
          <w:sz w:val="19"/>
          <w:szCs w:val="19"/>
          <w:rtl/>
        </w:rPr>
        <w:t>, המליצו לתושבי היישובים הקרובים לגבול</w:t>
      </w:r>
      <w:r>
        <w:rPr>
          <w:rFonts w:hint="cs"/>
          <w:sz w:val="19"/>
          <w:szCs w:val="19"/>
          <w:rtl/>
        </w:rPr>
        <w:t xml:space="preserve"> הצפון</w:t>
      </w:r>
      <w:r w:rsidRPr="00DC0442">
        <w:rPr>
          <w:rFonts w:hint="cs"/>
          <w:sz w:val="19"/>
          <w:szCs w:val="19"/>
          <w:rtl/>
        </w:rPr>
        <w:t xml:space="preserve"> לפנות את היישובים כבר ב-8.10.23, עוד בטרם התקבלה הוראת שר הביטחון לפנותם. תושבים ביישובים נוספים, ובכלל זאת בעיר </w:t>
      </w:r>
      <w:r w:rsidRPr="00DC0442">
        <w:rPr>
          <w:rFonts w:hint="cs"/>
          <w:b/>
          <w:bCs/>
          <w:sz w:val="19"/>
          <w:szCs w:val="19"/>
          <w:rtl/>
        </w:rPr>
        <w:t>קריית שמונה</w:t>
      </w:r>
      <w:r w:rsidRPr="00DC0442">
        <w:rPr>
          <w:rFonts w:hint="cs"/>
          <w:sz w:val="19"/>
          <w:szCs w:val="19"/>
          <w:rtl/>
        </w:rPr>
        <w:t>, התפנו עצמאית על דעתם</w:t>
      </w:r>
      <w:r>
        <w:rPr>
          <w:rFonts w:hint="cs"/>
          <w:sz w:val="19"/>
          <w:szCs w:val="19"/>
          <w:rtl/>
        </w:rPr>
        <w:t xml:space="preserve">. </w:t>
      </w:r>
    </w:p>
    <w:p w:rsidR="002B781A" w:rsidRPr="00CC4E9D" w:rsidRDefault="002B781A" w:rsidP="00DB2E57">
      <w:pPr>
        <w:pStyle w:val="73"/>
        <w:numPr>
          <w:ilvl w:val="0"/>
          <w:numId w:val="25"/>
        </w:numPr>
        <w:rPr>
          <w:sz w:val="19"/>
          <w:szCs w:val="19"/>
        </w:rPr>
      </w:pPr>
      <w:r w:rsidRPr="00CC4E9D">
        <w:rPr>
          <w:sz w:val="19"/>
          <w:szCs w:val="19"/>
          <w:rtl/>
        </w:rPr>
        <w:t>החלטת הממשלה 975 אישרה פינוי יישובים שבמרחק של עד 5 ק"מ מגבול</w:t>
      </w:r>
      <w:r>
        <w:rPr>
          <w:rFonts w:hint="cs"/>
          <w:sz w:val="19"/>
          <w:szCs w:val="19"/>
          <w:rtl/>
        </w:rPr>
        <w:t xml:space="preserve"> הצפון</w:t>
      </w:r>
      <w:r w:rsidRPr="00CC4E9D">
        <w:rPr>
          <w:sz w:val="19"/>
          <w:szCs w:val="19"/>
          <w:rtl/>
        </w:rPr>
        <w:t xml:space="preserve">, ובכפוף להוראת שר הביטחון לגבי היישובים שבמרחק 2 - 5 ק"מ מהגבול. בסופו של דבר, הוראת שר הביטחון ניתנה לגבי יישובים במרחק של 2 - 3 ק"מ מהגבול, וכך הפינוי לא כלל את התושבים </w:t>
      </w:r>
      <w:r>
        <w:rPr>
          <w:rFonts w:hint="cs"/>
          <w:sz w:val="19"/>
          <w:szCs w:val="19"/>
          <w:rtl/>
        </w:rPr>
        <w:t>המתגוררים ב-</w:t>
      </w:r>
      <w:r w:rsidRPr="00CC4E9D">
        <w:rPr>
          <w:sz w:val="19"/>
          <w:szCs w:val="19"/>
          <w:rtl/>
        </w:rPr>
        <w:t xml:space="preserve">15 יישובים בתחומי המועצה האזורית </w:t>
      </w:r>
      <w:r w:rsidRPr="00CC4E9D">
        <w:rPr>
          <w:b/>
          <w:bCs/>
          <w:sz w:val="19"/>
          <w:szCs w:val="19"/>
          <w:rtl/>
        </w:rPr>
        <w:t>הגליל העליון</w:t>
      </w:r>
      <w:r w:rsidRPr="00CC4E9D">
        <w:rPr>
          <w:sz w:val="19"/>
          <w:szCs w:val="19"/>
          <w:rtl/>
        </w:rPr>
        <w:t>, שמתוכם התפנו עצמאית בהמלצת</w:t>
      </w:r>
      <w:r>
        <w:rPr>
          <w:rFonts w:hint="cs"/>
          <w:sz w:val="19"/>
          <w:szCs w:val="19"/>
          <w:rtl/>
        </w:rPr>
        <w:t xml:space="preserve"> ראש </w:t>
      </w:r>
      <w:r w:rsidRPr="00CC4E9D">
        <w:rPr>
          <w:sz w:val="19"/>
          <w:szCs w:val="19"/>
          <w:rtl/>
        </w:rPr>
        <w:t xml:space="preserve">המועצה כ-5,700 תושבים; שני יישובים בתחומי המועצה האזורית </w:t>
      </w:r>
      <w:r w:rsidRPr="00CC4E9D">
        <w:rPr>
          <w:b/>
          <w:bCs/>
          <w:sz w:val="19"/>
          <w:szCs w:val="19"/>
          <w:rtl/>
        </w:rPr>
        <w:t>מעלה יוסף</w:t>
      </w:r>
      <w:r w:rsidRPr="00CC4E9D">
        <w:rPr>
          <w:sz w:val="19"/>
          <w:szCs w:val="19"/>
          <w:rtl/>
        </w:rPr>
        <w:t xml:space="preserve"> (כ-300 תושבים), שהתפנו עצמאית במימון תרומות עד יוני 2024. המועצה האזורית </w:t>
      </w:r>
      <w:r w:rsidRPr="00CC4E9D">
        <w:rPr>
          <w:b/>
          <w:bCs/>
          <w:sz w:val="19"/>
          <w:szCs w:val="19"/>
          <w:rtl/>
        </w:rPr>
        <w:t>מבואות החרמון</w:t>
      </w:r>
      <w:r w:rsidRPr="00CC4E9D">
        <w:rPr>
          <w:sz w:val="19"/>
          <w:szCs w:val="19"/>
          <w:rtl/>
        </w:rPr>
        <w:t xml:space="preserve"> פינתה </w:t>
      </w:r>
      <w:r>
        <w:rPr>
          <w:rFonts w:hint="cs"/>
          <w:sz w:val="19"/>
          <w:szCs w:val="19"/>
          <w:rtl/>
        </w:rPr>
        <w:t xml:space="preserve">אנשים עם </w:t>
      </w:r>
      <w:r w:rsidRPr="00CC4E9D">
        <w:rPr>
          <w:sz w:val="19"/>
          <w:szCs w:val="19"/>
          <w:rtl/>
        </w:rPr>
        <w:t xml:space="preserve">צרכים מיוחדים מיישובים בתחומה שלא פונו. כמו כן, התפנו עצמאית תושבים נוספים מהרשויות המקומיות שנבדקו. שהיית המתפנים עצמאית מחוץ לביתם מומנה על ידי המועצות האזוריות, המתפנים עצמם, ובאמצעות תרומות. התקציבים הניכרים שהשקיעה המדינה ביישובים ובתושבים המפונים מחד, המסתכמים במיליארדי שקלים, ומאידך היעדר תקצוב של רשויות ותושבים שלא פונו, ושנאלצו לנהל שגרת חיים תחת אש, לא נתנה מענה הולם לאוכלוסייה האזרחית והתעלמה למעשה ממצוקותיה הכלכליות והחברתיות היום-יומיות. היעדר תוכנית תקציבית מובנית לתמיכה ברשויות שלא פונו אך עמדו תקופה ארוכה מול איום ממשי של רקטות וכטב"מים, אינה מתיישבת עם ההשלכות של המציאות הקשה של המערכה בצפון, שבמהלכה אזורים רבים היו נתונים תחת אש. </w:t>
      </w:r>
    </w:p>
    <w:p w:rsidR="002B781A" w:rsidRPr="00FE629A" w:rsidRDefault="002B781A" w:rsidP="00DB2E57">
      <w:pPr>
        <w:pStyle w:val="73"/>
        <w:numPr>
          <w:ilvl w:val="0"/>
          <w:numId w:val="25"/>
        </w:numPr>
        <w:rPr>
          <w:sz w:val="19"/>
          <w:szCs w:val="19"/>
        </w:rPr>
      </w:pPr>
      <w:r w:rsidRPr="00CC4E9D">
        <w:rPr>
          <w:b/>
          <w:bCs/>
          <w:sz w:val="19"/>
          <w:szCs w:val="19"/>
          <w:rtl/>
        </w:rPr>
        <w:t xml:space="preserve">ההודעות על פינוי התושבים </w:t>
      </w:r>
      <w:r w:rsidRPr="00961F6B">
        <w:rPr>
          <w:sz w:val="19"/>
          <w:szCs w:val="19"/>
          <w:rtl/>
        </w:rPr>
        <w:t xml:space="preserve">- </w:t>
      </w:r>
      <w:r w:rsidRPr="00FE629A">
        <w:rPr>
          <w:sz w:val="19"/>
          <w:szCs w:val="19"/>
          <w:rtl/>
        </w:rPr>
        <w:t>הרשויות המקומיות שנבדקו קיבלו את הודעת הפינוי מגורמים שונים: משרד הביטחון, צה"ל, משרד הפנים ומשרד התיירות, ולא במתכונת אחידה. הרשויות המקומיות ציינו כי הודעות הפינוי לא כללו הנחיות אופרטיביות או מידע מגורם בשלטון המרכזי: משרד הביטחון, צה"ל, משרד הפנים ומשרד התיירות בנושאים כגון יעדי הפינוי ואנשי הקשר ברשויות הקולטות ובשלטון המרכזי.</w:t>
      </w:r>
      <w:r w:rsidRPr="00FE629A">
        <w:rPr>
          <w:b/>
          <w:bCs/>
          <w:sz w:val="19"/>
          <w:szCs w:val="19"/>
          <w:rtl/>
        </w:rPr>
        <w:t xml:space="preserve"> </w:t>
      </w:r>
    </w:p>
    <w:p w:rsidR="002B781A" w:rsidRPr="00CC4E9D" w:rsidRDefault="002B781A" w:rsidP="00DB2E57">
      <w:pPr>
        <w:pStyle w:val="73"/>
        <w:numPr>
          <w:ilvl w:val="0"/>
          <w:numId w:val="25"/>
        </w:numPr>
        <w:rPr>
          <w:sz w:val="19"/>
          <w:szCs w:val="19"/>
          <w:rtl/>
        </w:rPr>
      </w:pPr>
      <w:r w:rsidRPr="00CC4E9D">
        <w:rPr>
          <w:b/>
          <w:bCs/>
          <w:sz w:val="19"/>
          <w:szCs w:val="19"/>
          <w:rtl/>
        </w:rPr>
        <w:t xml:space="preserve">הליך פינוי התושבים ברשויות שנבדקו </w:t>
      </w:r>
      <w:r w:rsidRPr="00961F6B">
        <w:rPr>
          <w:sz w:val="19"/>
          <w:szCs w:val="19"/>
          <w:rtl/>
        </w:rPr>
        <w:t xml:space="preserve">- </w:t>
      </w:r>
      <w:r w:rsidRPr="00CC4E9D">
        <w:rPr>
          <w:sz w:val="19"/>
          <w:szCs w:val="19"/>
          <w:rtl/>
        </w:rPr>
        <w:t xml:space="preserve">בהתאם לתוכנית </w:t>
      </w:r>
      <w:r>
        <w:rPr>
          <w:rFonts w:hint="cs"/>
          <w:sz w:val="19"/>
          <w:szCs w:val="19"/>
          <w:rtl/>
        </w:rPr>
        <w:t>"</w:t>
      </w:r>
      <w:r w:rsidRPr="00CC4E9D">
        <w:rPr>
          <w:sz w:val="19"/>
          <w:szCs w:val="19"/>
          <w:rtl/>
        </w:rPr>
        <w:t xml:space="preserve">מרחק בטוח" הלאומית ובהתאם לתוכנית "מלון אורחים", המועצות המקומיות </w:t>
      </w:r>
      <w:r w:rsidRPr="00CC4E9D">
        <w:rPr>
          <w:b/>
          <w:bCs/>
          <w:sz w:val="19"/>
          <w:szCs w:val="19"/>
          <w:rtl/>
        </w:rPr>
        <w:t>מטולה</w:t>
      </w:r>
      <w:r w:rsidRPr="00CC4E9D">
        <w:rPr>
          <w:sz w:val="19"/>
          <w:szCs w:val="19"/>
          <w:rtl/>
        </w:rPr>
        <w:t xml:space="preserve"> ו</w:t>
      </w:r>
      <w:r w:rsidRPr="00CC4E9D">
        <w:rPr>
          <w:b/>
          <w:bCs/>
          <w:sz w:val="19"/>
          <w:szCs w:val="19"/>
          <w:rtl/>
        </w:rPr>
        <w:t>שלומי</w:t>
      </w:r>
      <w:r w:rsidRPr="00CC4E9D">
        <w:rPr>
          <w:sz w:val="19"/>
          <w:szCs w:val="19"/>
          <w:rtl/>
        </w:rPr>
        <w:t xml:space="preserve"> והמועצות האזוריות </w:t>
      </w:r>
      <w:r w:rsidRPr="00CC4E9D">
        <w:rPr>
          <w:b/>
          <w:bCs/>
          <w:sz w:val="19"/>
          <w:szCs w:val="19"/>
          <w:rtl/>
        </w:rPr>
        <w:t>הגליל העליון</w:t>
      </w:r>
      <w:r w:rsidRPr="00CC4E9D">
        <w:rPr>
          <w:sz w:val="19"/>
          <w:szCs w:val="19"/>
          <w:rtl/>
        </w:rPr>
        <w:t xml:space="preserve">, </w:t>
      </w:r>
      <w:r w:rsidRPr="00CC4E9D">
        <w:rPr>
          <w:b/>
          <w:bCs/>
          <w:sz w:val="19"/>
          <w:szCs w:val="19"/>
          <w:rtl/>
        </w:rPr>
        <w:t>מבואות החרמון</w:t>
      </w:r>
      <w:r w:rsidRPr="00CC4E9D">
        <w:rPr>
          <w:sz w:val="19"/>
          <w:szCs w:val="19"/>
          <w:rtl/>
        </w:rPr>
        <w:t xml:space="preserve">, </w:t>
      </w:r>
      <w:r w:rsidRPr="00CC4E9D">
        <w:rPr>
          <w:b/>
          <w:bCs/>
          <w:sz w:val="19"/>
          <w:szCs w:val="19"/>
          <w:rtl/>
        </w:rPr>
        <w:t>מטה אשר</w:t>
      </w:r>
      <w:r w:rsidRPr="00CC4E9D">
        <w:rPr>
          <w:sz w:val="19"/>
          <w:szCs w:val="19"/>
          <w:rtl/>
        </w:rPr>
        <w:t xml:space="preserve">, </w:t>
      </w:r>
      <w:r w:rsidRPr="00CC4E9D">
        <w:rPr>
          <w:b/>
          <w:bCs/>
          <w:sz w:val="19"/>
          <w:szCs w:val="19"/>
          <w:rtl/>
        </w:rPr>
        <w:t>מעלה יוסף</w:t>
      </w:r>
      <w:r w:rsidRPr="00CC4E9D">
        <w:rPr>
          <w:sz w:val="19"/>
          <w:szCs w:val="19"/>
          <w:rtl/>
        </w:rPr>
        <w:t xml:space="preserve"> ו</w:t>
      </w:r>
      <w:r w:rsidRPr="00CC4E9D">
        <w:rPr>
          <w:b/>
          <w:bCs/>
          <w:sz w:val="19"/>
          <w:szCs w:val="19"/>
          <w:rtl/>
        </w:rPr>
        <w:t xml:space="preserve">מרום הגליל </w:t>
      </w:r>
      <w:r w:rsidRPr="00CC4E9D">
        <w:rPr>
          <w:sz w:val="19"/>
          <w:szCs w:val="19"/>
          <w:rtl/>
        </w:rPr>
        <w:t>היו מיועדות לפינוי בשעת חירום לבתי ספר ולמוסדות ציבור בתחומי רשויות מקומיות קולטות (במתקני קליטה מקומיים) שהוגדרו בתוכניות: "מרחק בטוח" ותוכנית "מלון אורחים".</w:t>
      </w:r>
      <w:r w:rsidRPr="00CC4E9D">
        <w:rPr>
          <w:rtl/>
        </w:rPr>
        <w:t xml:space="preserve"> </w:t>
      </w:r>
      <w:r w:rsidRPr="00CC4E9D">
        <w:rPr>
          <w:sz w:val="19"/>
          <w:szCs w:val="19"/>
          <w:rtl/>
        </w:rPr>
        <w:t xml:space="preserve">בסופו של דבר, </w:t>
      </w:r>
      <w:bookmarkStart w:id="4" w:name="_Hlk182222870"/>
      <w:r w:rsidRPr="00CC4E9D">
        <w:rPr>
          <w:sz w:val="19"/>
          <w:szCs w:val="19"/>
          <w:rtl/>
        </w:rPr>
        <w:t>החלטת הממשלה 975 קבעה כי הפינוי יהיה ל</w:t>
      </w:r>
      <w:r>
        <w:rPr>
          <w:sz w:val="19"/>
          <w:szCs w:val="19"/>
          <w:rtl/>
        </w:rPr>
        <w:t>מתקני אירוח</w:t>
      </w:r>
      <w:bookmarkEnd w:id="4"/>
      <w:r w:rsidRPr="00CC4E9D">
        <w:rPr>
          <w:sz w:val="19"/>
          <w:szCs w:val="19"/>
          <w:rtl/>
        </w:rPr>
        <w:t>, והתושבים ברובם המכריע פונו לרשויות מקומיות שונות מהמתוכנן;</w:t>
      </w:r>
      <w:r w:rsidRPr="00CC4E9D">
        <w:rPr>
          <w:rtl/>
        </w:rPr>
        <w:t xml:space="preserve"> </w:t>
      </w:r>
      <w:r w:rsidRPr="00CC4E9D">
        <w:rPr>
          <w:sz w:val="19"/>
          <w:szCs w:val="19"/>
          <w:rtl/>
        </w:rPr>
        <w:t>הליך הפינוי נוהל בחיפזון, בין היתר בשל מצב החירום, והוא נוהל מול גורמים שונים בשלטון המרכזי: תחילה משרד הפנים ובהמשך משרד התיירות. צה"ל ומשרד הביטחון (רח"ל) היו מעורבים באופן חלקי;</w:t>
      </w:r>
      <w:r w:rsidRPr="00CC4E9D">
        <w:rPr>
          <w:sz w:val="19"/>
          <w:szCs w:val="19"/>
        </w:rPr>
        <w:t xml:space="preserve"> </w:t>
      </w:r>
      <w:r w:rsidRPr="00CC4E9D">
        <w:rPr>
          <w:sz w:val="19"/>
          <w:szCs w:val="19"/>
          <w:rtl/>
        </w:rPr>
        <w:t xml:space="preserve">בהעדר הערכות של רשויות השלטון בהיקף כפי שבוצע במלחמה, נטל ניהול הליך הפינוי הוטל רובו ככולו על כתפי הרשויות המקומיות. </w:t>
      </w:r>
      <w:r w:rsidRPr="00CC4E9D">
        <w:rPr>
          <w:sz w:val="19"/>
          <w:szCs w:val="19"/>
          <w:rtl/>
        </w:rPr>
        <w:lastRenderedPageBreak/>
        <w:t xml:space="preserve">משרד הפנים, ובהמשך משרד התיירות, פעלו בעיקר להסדרת ההתקשרויות מול </w:t>
      </w:r>
      <w:r>
        <w:rPr>
          <w:sz w:val="19"/>
          <w:szCs w:val="19"/>
          <w:rtl/>
        </w:rPr>
        <w:t xml:space="preserve">מתקני </w:t>
      </w:r>
      <w:r>
        <w:rPr>
          <w:rFonts w:hint="cs"/>
          <w:sz w:val="19"/>
          <w:szCs w:val="19"/>
          <w:rtl/>
        </w:rPr>
        <w:t>ה</w:t>
      </w:r>
      <w:r>
        <w:rPr>
          <w:sz w:val="19"/>
          <w:szCs w:val="19"/>
          <w:rtl/>
        </w:rPr>
        <w:t>אירוח</w:t>
      </w:r>
      <w:r w:rsidRPr="00CC4E9D">
        <w:rPr>
          <w:sz w:val="19"/>
          <w:szCs w:val="19"/>
          <w:rtl/>
        </w:rPr>
        <w:t>. השיבוץ של המפונים ב</w:t>
      </w:r>
      <w:r>
        <w:rPr>
          <w:rFonts w:hint="cs"/>
          <w:sz w:val="19"/>
          <w:szCs w:val="19"/>
          <w:rtl/>
        </w:rPr>
        <w:t xml:space="preserve">מתקני האירוח </w:t>
      </w:r>
      <w:r w:rsidRPr="00CC4E9D">
        <w:rPr>
          <w:sz w:val="19"/>
          <w:szCs w:val="19"/>
          <w:rtl/>
        </w:rPr>
        <w:t xml:space="preserve">נעשה שלא לפי תוכנית מוסדרת, וחלק מהתושבים הופנו </w:t>
      </w:r>
      <w:r>
        <w:rPr>
          <w:rFonts w:hint="cs"/>
          <w:sz w:val="19"/>
          <w:szCs w:val="19"/>
          <w:rtl/>
        </w:rPr>
        <w:t>למתקני אירוח</w:t>
      </w:r>
      <w:r w:rsidRPr="00CC4E9D">
        <w:rPr>
          <w:sz w:val="19"/>
          <w:szCs w:val="19"/>
          <w:rtl/>
        </w:rPr>
        <w:t xml:space="preserve"> שלא תאמו את צורכיהם. יעדי הקליטה לא תמיד נקבעו בהחלטות הפינוי, וגם ת</w:t>
      </w:r>
      <w:r>
        <w:rPr>
          <w:rFonts w:hint="cs"/>
          <w:sz w:val="19"/>
          <w:szCs w:val="19"/>
          <w:rtl/>
        </w:rPr>
        <w:t>ו</w:t>
      </w:r>
      <w:r w:rsidRPr="00CC4E9D">
        <w:rPr>
          <w:sz w:val="19"/>
          <w:szCs w:val="19"/>
          <w:rtl/>
        </w:rPr>
        <w:t>כניות קודמות שקבעו יעדי הקליטה לא יושמו, בין בשל מצב החירום שנוצר ובין בשל אי-התאמתם לשהות ממושכת. הרשויות המקומיות והאזוריות שנערכו בשגרה לתרחיש של פינוי התאימו את דרכי התנהלותן והשכילו לנהל את הליך הפינוי ולספק מענה לתושבים המפונים באופן מניח את הדעת.</w:t>
      </w:r>
    </w:p>
    <w:p w:rsidR="002B781A" w:rsidRPr="00CC4E9D" w:rsidRDefault="002B781A" w:rsidP="00DB2E57">
      <w:pPr>
        <w:pStyle w:val="73"/>
        <w:numPr>
          <w:ilvl w:val="0"/>
          <w:numId w:val="25"/>
        </w:numPr>
        <w:rPr>
          <w:sz w:val="19"/>
          <w:szCs w:val="19"/>
          <w:rtl/>
        </w:rPr>
      </w:pPr>
      <w:r w:rsidRPr="00CC4E9D">
        <w:rPr>
          <w:b/>
          <w:bCs/>
          <w:sz w:val="19"/>
          <w:szCs w:val="19"/>
          <w:rtl/>
        </w:rPr>
        <w:t>הליך פינוי תושבי קריית שמונה</w:t>
      </w:r>
      <w:r w:rsidRPr="00CC4E9D">
        <w:rPr>
          <w:sz w:val="19"/>
          <w:szCs w:val="19"/>
          <w:rtl/>
        </w:rPr>
        <w:t xml:space="preserve"> - תפיסת ההפעלה שחלה על </w:t>
      </w:r>
      <w:r w:rsidRPr="00CC4E9D">
        <w:rPr>
          <w:b/>
          <w:bCs/>
          <w:sz w:val="19"/>
          <w:szCs w:val="19"/>
          <w:rtl/>
        </w:rPr>
        <w:t>קריית שמונה</w:t>
      </w:r>
      <w:r w:rsidRPr="00CC4E9D">
        <w:rPr>
          <w:sz w:val="19"/>
          <w:szCs w:val="19"/>
          <w:rtl/>
        </w:rPr>
        <w:t xml:space="preserve"> בעשור האחרון וגובשה על ידי צה"ל ומשרד הביטחון קבעה שלא יהיה פינוי של כל התושבים בעיר. על כן תרחיש הייחוס שהכין פקע"ר לעיריית </w:t>
      </w:r>
      <w:r w:rsidRPr="00CC4E9D">
        <w:rPr>
          <w:b/>
          <w:bCs/>
          <w:sz w:val="19"/>
          <w:szCs w:val="19"/>
          <w:rtl/>
        </w:rPr>
        <w:t>קריית שמונה</w:t>
      </w:r>
      <w:r w:rsidRPr="00CC4E9D">
        <w:rPr>
          <w:sz w:val="19"/>
          <w:szCs w:val="19"/>
          <w:rtl/>
        </w:rPr>
        <w:t xml:space="preserve"> לא דרש  כמענה פינוי אוכלוסיית העיר אל מחוץ לתחומה</w:t>
      </w:r>
      <w:r>
        <w:rPr>
          <w:rFonts w:hint="cs"/>
          <w:sz w:val="19"/>
          <w:szCs w:val="19"/>
          <w:rtl/>
        </w:rPr>
        <w:t>.</w:t>
      </w:r>
      <w:r w:rsidRPr="00CC4E9D">
        <w:rPr>
          <w:sz w:val="19"/>
          <w:szCs w:val="19"/>
          <w:rtl/>
        </w:rPr>
        <w:t xml:space="preserve"> לכן עיריית </w:t>
      </w:r>
      <w:r w:rsidRPr="00CC4E9D">
        <w:rPr>
          <w:b/>
          <w:bCs/>
          <w:sz w:val="19"/>
          <w:szCs w:val="19"/>
          <w:rtl/>
        </w:rPr>
        <w:t>קריית שמונה</w:t>
      </w:r>
      <w:r w:rsidRPr="00CC4E9D">
        <w:rPr>
          <w:sz w:val="19"/>
          <w:szCs w:val="19"/>
          <w:rtl/>
        </w:rPr>
        <w:t xml:space="preserve"> שמספר תושביה גדול יותר לעומת הרשויות האחרות שפונו בצפון, לא נערכה ולא הכינה ת</w:t>
      </w:r>
      <w:r>
        <w:rPr>
          <w:rFonts w:hint="cs"/>
          <w:sz w:val="19"/>
          <w:szCs w:val="19"/>
          <w:rtl/>
        </w:rPr>
        <w:t>ו</w:t>
      </w:r>
      <w:r w:rsidRPr="00CC4E9D">
        <w:rPr>
          <w:sz w:val="19"/>
          <w:szCs w:val="19"/>
          <w:rtl/>
        </w:rPr>
        <w:t xml:space="preserve">כנית אופרטיבית לפינוי התושבים מהעיר. הפינוי לכ-180 </w:t>
      </w:r>
      <w:r>
        <w:rPr>
          <w:sz w:val="19"/>
          <w:szCs w:val="19"/>
          <w:rtl/>
        </w:rPr>
        <w:t>מתקני אירוח</w:t>
      </w:r>
      <w:r w:rsidRPr="00CC4E9D">
        <w:rPr>
          <w:sz w:val="19"/>
          <w:szCs w:val="19"/>
          <w:rtl/>
        </w:rPr>
        <w:t xml:space="preserve"> ב</w:t>
      </w:r>
      <w:r>
        <w:rPr>
          <w:rFonts w:hint="cs"/>
          <w:sz w:val="19"/>
          <w:szCs w:val="19"/>
          <w:rtl/>
        </w:rPr>
        <w:t>-100</w:t>
      </w:r>
      <w:r w:rsidRPr="00CC4E9D">
        <w:rPr>
          <w:sz w:val="19"/>
          <w:szCs w:val="19"/>
          <w:rtl/>
        </w:rPr>
        <w:t xml:space="preserve"> י</w:t>
      </w:r>
      <w:r>
        <w:rPr>
          <w:rFonts w:hint="cs"/>
          <w:sz w:val="19"/>
          <w:szCs w:val="19"/>
          <w:rtl/>
        </w:rPr>
        <w:t>י</w:t>
      </w:r>
      <w:r w:rsidRPr="00CC4E9D">
        <w:rPr>
          <w:sz w:val="19"/>
          <w:szCs w:val="19"/>
          <w:rtl/>
        </w:rPr>
        <w:t xml:space="preserve">שובים ברחבי הארץ, ובהמשך לכ-300 </w:t>
      </w:r>
      <w:r>
        <w:rPr>
          <w:sz w:val="19"/>
          <w:szCs w:val="19"/>
          <w:rtl/>
        </w:rPr>
        <w:t>מתקני אירוח</w:t>
      </w:r>
      <w:r w:rsidRPr="00CC4E9D">
        <w:rPr>
          <w:sz w:val="19"/>
          <w:szCs w:val="19"/>
          <w:rtl/>
        </w:rPr>
        <w:t>, התאפיין בהיעדר יכולת לספק מענה לתושבים, עד כדי גרימת סבל מיותר והגברת החרדה ואי-הוודאות.</w:t>
      </w:r>
    </w:p>
    <w:p w:rsidR="002B781A" w:rsidRPr="00FE629A" w:rsidRDefault="002B781A" w:rsidP="00DB2E57">
      <w:pPr>
        <w:pStyle w:val="73"/>
        <w:numPr>
          <w:ilvl w:val="0"/>
          <w:numId w:val="25"/>
        </w:numPr>
        <w:rPr>
          <w:sz w:val="19"/>
          <w:szCs w:val="19"/>
        </w:rPr>
      </w:pPr>
      <w:r w:rsidRPr="00FE629A">
        <w:rPr>
          <w:b/>
          <w:bCs/>
          <w:sz w:val="19"/>
          <w:szCs w:val="19"/>
          <w:rtl/>
        </w:rPr>
        <w:t>ניהול המידע ברשויות המקומיות על המפונים ועל המתפנים מתחומן</w:t>
      </w:r>
      <w:r w:rsidRPr="00FE629A">
        <w:rPr>
          <w:b/>
          <w:bCs/>
          <w:sz w:val="19"/>
          <w:szCs w:val="19"/>
        </w:rPr>
        <w:t xml:space="preserve"> </w:t>
      </w:r>
      <w:r w:rsidRPr="00961F6B">
        <w:rPr>
          <w:sz w:val="19"/>
          <w:szCs w:val="19"/>
          <w:rtl/>
        </w:rPr>
        <w:t>-</w:t>
      </w:r>
      <w:r w:rsidRPr="00FE629A">
        <w:rPr>
          <w:b/>
          <w:bCs/>
          <w:sz w:val="19"/>
          <w:szCs w:val="19"/>
        </w:rPr>
        <w:t xml:space="preserve"> </w:t>
      </w:r>
      <w:r w:rsidRPr="00FE629A">
        <w:rPr>
          <w:sz w:val="19"/>
          <w:szCs w:val="19"/>
          <w:rtl/>
        </w:rPr>
        <w:t xml:space="preserve">המועצות המקומיות </w:t>
      </w:r>
      <w:r w:rsidRPr="00FE629A">
        <w:rPr>
          <w:b/>
          <w:bCs/>
          <w:sz w:val="19"/>
          <w:szCs w:val="19"/>
          <w:rtl/>
        </w:rPr>
        <w:t>מטולה</w:t>
      </w:r>
      <w:r w:rsidRPr="00FE629A">
        <w:rPr>
          <w:sz w:val="19"/>
          <w:szCs w:val="19"/>
          <w:rtl/>
        </w:rPr>
        <w:t xml:space="preserve"> ו</w:t>
      </w:r>
      <w:r w:rsidRPr="00FE629A">
        <w:rPr>
          <w:b/>
          <w:bCs/>
          <w:sz w:val="19"/>
          <w:szCs w:val="19"/>
          <w:rtl/>
        </w:rPr>
        <w:t>שלומי</w:t>
      </w:r>
      <w:r w:rsidRPr="00FE629A">
        <w:rPr>
          <w:sz w:val="19"/>
          <w:szCs w:val="19"/>
          <w:rtl/>
        </w:rPr>
        <w:t xml:space="preserve"> והמועצות האזוריות </w:t>
      </w:r>
      <w:r w:rsidRPr="00FE629A">
        <w:rPr>
          <w:b/>
          <w:bCs/>
          <w:sz w:val="19"/>
          <w:szCs w:val="19"/>
          <w:rtl/>
        </w:rPr>
        <w:t>הגליל העליון</w:t>
      </w:r>
      <w:r w:rsidRPr="00FE629A">
        <w:rPr>
          <w:sz w:val="19"/>
          <w:szCs w:val="19"/>
          <w:rtl/>
        </w:rPr>
        <w:t xml:space="preserve">, </w:t>
      </w:r>
      <w:r w:rsidRPr="00FE629A">
        <w:rPr>
          <w:b/>
          <w:bCs/>
          <w:sz w:val="19"/>
          <w:szCs w:val="19"/>
          <w:rtl/>
        </w:rPr>
        <w:t>מבואות החרמון</w:t>
      </w:r>
      <w:r w:rsidRPr="00FE629A">
        <w:rPr>
          <w:sz w:val="19"/>
          <w:szCs w:val="19"/>
          <w:rtl/>
        </w:rPr>
        <w:t xml:space="preserve">, </w:t>
      </w:r>
      <w:r w:rsidRPr="00FE629A">
        <w:rPr>
          <w:b/>
          <w:bCs/>
          <w:sz w:val="19"/>
          <w:szCs w:val="19"/>
          <w:rtl/>
        </w:rPr>
        <w:t>מטה אשר</w:t>
      </w:r>
      <w:r w:rsidRPr="00FE629A">
        <w:rPr>
          <w:sz w:val="19"/>
          <w:szCs w:val="19"/>
          <w:rtl/>
        </w:rPr>
        <w:t xml:space="preserve"> ו</w:t>
      </w:r>
      <w:r w:rsidRPr="00FE629A">
        <w:rPr>
          <w:b/>
          <w:bCs/>
          <w:sz w:val="19"/>
          <w:szCs w:val="19"/>
          <w:rtl/>
        </w:rPr>
        <w:t xml:space="preserve">מרום הגליל </w:t>
      </w:r>
      <w:r w:rsidRPr="00FE629A">
        <w:rPr>
          <w:sz w:val="19"/>
          <w:szCs w:val="19"/>
          <w:rtl/>
        </w:rPr>
        <w:t>התחילו לנהל מאגר נתונים על אודות מיקום התושבים שפונו ל</w:t>
      </w:r>
      <w:r>
        <w:rPr>
          <w:sz w:val="19"/>
          <w:szCs w:val="19"/>
          <w:rtl/>
        </w:rPr>
        <w:t>מתקני אירוח</w:t>
      </w:r>
      <w:r w:rsidRPr="00FE629A">
        <w:rPr>
          <w:sz w:val="19"/>
          <w:szCs w:val="19"/>
          <w:rtl/>
        </w:rPr>
        <w:t xml:space="preserve"> מיד עם הפינוי או בסמוך לו. עיריית </w:t>
      </w:r>
      <w:r w:rsidRPr="00FE629A">
        <w:rPr>
          <w:b/>
          <w:bCs/>
          <w:sz w:val="19"/>
          <w:szCs w:val="19"/>
          <w:rtl/>
        </w:rPr>
        <w:t>קריית שמונה</w:t>
      </w:r>
      <w:r w:rsidRPr="00FE629A">
        <w:rPr>
          <w:sz w:val="19"/>
          <w:szCs w:val="19"/>
          <w:rtl/>
        </w:rPr>
        <w:t xml:space="preserve"> והמועצה האזורית </w:t>
      </w:r>
      <w:r w:rsidRPr="00FE629A">
        <w:rPr>
          <w:b/>
          <w:bCs/>
          <w:sz w:val="19"/>
          <w:szCs w:val="19"/>
          <w:rtl/>
        </w:rPr>
        <w:t>מעלה יוסף</w:t>
      </w:r>
      <w:r w:rsidRPr="00FE629A">
        <w:rPr>
          <w:sz w:val="19"/>
          <w:szCs w:val="19"/>
          <w:rtl/>
        </w:rPr>
        <w:t xml:space="preserve"> החלו לנהל מידע רק בחודש נובמבר 2023. לחלק מהרשויות המקומיות לא היו רשימות ומידע על אודות מיקום התושבים המפונים בקהילה - המועצות המקומיות </w:t>
      </w:r>
      <w:r w:rsidRPr="00FE629A">
        <w:rPr>
          <w:b/>
          <w:bCs/>
          <w:sz w:val="19"/>
          <w:szCs w:val="19"/>
          <w:rtl/>
        </w:rPr>
        <w:t xml:space="preserve">מטולה </w:t>
      </w:r>
      <w:r w:rsidRPr="00FE629A">
        <w:rPr>
          <w:sz w:val="19"/>
          <w:szCs w:val="19"/>
          <w:rtl/>
        </w:rPr>
        <w:t>(לה היה מידע רק עד</w:t>
      </w:r>
      <w:r w:rsidRPr="00FE629A">
        <w:rPr>
          <w:b/>
          <w:bCs/>
          <w:sz w:val="19"/>
          <w:szCs w:val="19"/>
          <w:rtl/>
        </w:rPr>
        <w:t xml:space="preserve"> </w:t>
      </w:r>
      <w:r w:rsidRPr="00FE629A">
        <w:rPr>
          <w:sz w:val="19"/>
          <w:szCs w:val="19"/>
          <w:rtl/>
        </w:rPr>
        <w:t>פברואר 2024) ו</w:t>
      </w:r>
      <w:r w:rsidRPr="00FE629A">
        <w:rPr>
          <w:b/>
          <w:bCs/>
          <w:sz w:val="19"/>
          <w:szCs w:val="19"/>
          <w:rtl/>
        </w:rPr>
        <w:t xml:space="preserve">שלומי </w:t>
      </w:r>
      <w:r w:rsidRPr="00FE629A">
        <w:rPr>
          <w:sz w:val="19"/>
          <w:szCs w:val="19"/>
          <w:rtl/>
        </w:rPr>
        <w:t xml:space="preserve">והמועצות האזוריות </w:t>
      </w:r>
      <w:r w:rsidRPr="00FE629A">
        <w:rPr>
          <w:b/>
          <w:bCs/>
          <w:sz w:val="19"/>
          <w:szCs w:val="19"/>
          <w:rtl/>
        </w:rPr>
        <w:t>הגליל העליון</w:t>
      </w:r>
      <w:r w:rsidRPr="00FE629A">
        <w:rPr>
          <w:sz w:val="19"/>
          <w:szCs w:val="19"/>
          <w:rtl/>
        </w:rPr>
        <w:t xml:space="preserve"> ו</w:t>
      </w:r>
      <w:r w:rsidRPr="00FE629A">
        <w:rPr>
          <w:b/>
          <w:bCs/>
          <w:sz w:val="19"/>
          <w:szCs w:val="19"/>
          <w:rtl/>
        </w:rPr>
        <w:t>מעלה יוסף</w:t>
      </w:r>
      <w:r w:rsidRPr="00FE629A">
        <w:rPr>
          <w:sz w:val="19"/>
          <w:szCs w:val="19"/>
          <w:rtl/>
        </w:rPr>
        <w:t xml:space="preserve">. לעיריית </w:t>
      </w:r>
      <w:r w:rsidRPr="00FE629A">
        <w:rPr>
          <w:b/>
          <w:bCs/>
          <w:sz w:val="19"/>
          <w:szCs w:val="19"/>
          <w:rtl/>
        </w:rPr>
        <w:t>קריית שמונה</w:t>
      </w:r>
      <w:r w:rsidRPr="00FE629A">
        <w:rPr>
          <w:sz w:val="19"/>
          <w:szCs w:val="19"/>
          <w:rtl/>
        </w:rPr>
        <w:t xml:space="preserve"> היה מידע על מיקום מפונים בקהילה רק מפברואר 2024. תדירות עדכון מאגר המידע הייתה שונה מרשות לרשות ונעה בין אחת ליום (המועצה המקומית </w:t>
      </w:r>
      <w:r w:rsidRPr="00FE629A">
        <w:rPr>
          <w:b/>
          <w:bCs/>
          <w:sz w:val="19"/>
          <w:szCs w:val="19"/>
          <w:rtl/>
        </w:rPr>
        <w:t>מטולה</w:t>
      </w:r>
      <w:r w:rsidRPr="00FE629A">
        <w:rPr>
          <w:sz w:val="19"/>
          <w:szCs w:val="19"/>
          <w:rtl/>
        </w:rPr>
        <w:t xml:space="preserve"> והמועצה האזורית </w:t>
      </w:r>
      <w:r w:rsidRPr="00FE629A">
        <w:rPr>
          <w:b/>
          <w:bCs/>
          <w:sz w:val="19"/>
          <w:szCs w:val="19"/>
          <w:rtl/>
        </w:rPr>
        <w:t>מרום הגליל</w:t>
      </w:r>
      <w:r w:rsidRPr="00FE629A">
        <w:rPr>
          <w:sz w:val="19"/>
          <w:szCs w:val="19"/>
          <w:rtl/>
        </w:rPr>
        <w:t xml:space="preserve">) ואחת לשבוע-שבועיים (המועצות האזוריות </w:t>
      </w:r>
      <w:r w:rsidRPr="00FE629A">
        <w:rPr>
          <w:b/>
          <w:bCs/>
          <w:sz w:val="19"/>
          <w:szCs w:val="19"/>
          <w:rtl/>
        </w:rPr>
        <w:t xml:space="preserve">הגליל העליון </w:t>
      </w:r>
      <w:r w:rsidRPr="00FE629A">
        <w:rPr>
          <w:sz w:val="19"/>
          <w:szCs w:val="19"/>
          <w:rtl/>
        </w:rPr>
        <w:t>ו</w:t>
      </w:r>
      <w:r w:rsidRPr="00FE629A">
        <w:rPr>
          <w:b/>
          <w:bCs/>
          <w:sz w:val="19"/>
          <w:szCs w:val="19"/>
          <w:rtl/>
        </w:rPr>
        <w:t>מטה אשר</w:t>
      </w:r>
      <w:r w:rsidRPr="00FE629A">
        <w:rPr>
          <w:sz w:val="19"/>
          <w:szCs w:val="19"/>
          <w:rtl/>
        </w:rPr>
        <w:t xml:space="preserve">, המועצה המקומית </w:t>
      </w:r>
      <w:r w:rsidRPr="00FE629A">
        <w:rPr>
          <w:b/>
          <w:bCs/>
          <w:sz w:val="19"/>
          <w:szCs w:val="19"/>
          <w:rtl/>
        </w:rPr>
        <w:t>שלומי</w:t>
      </w:r>
      <w:r w:rsidRPr="00FE629A">
        <w:rPr>
          <w:sz w:val="19"/>
          <w:szCs w:val="19"/>
          <w:rtl/>
        </w:rPr>
        <w:t xml:space="preserve">) ועד אחת לחודש (המועצה האזורית </w:t>
      </w:r>
      <w:r w:rsidRPr="00FE629A">
        <w:rPr>
          <w:b/>
          <w:bCs/>
          <w:sz w:val="19"/>
          <w:szCs w:val="19"/>
          <w:rtl/>
        </w:rPr>
        <w:t>מעלה יוסף</w:t>
      </w:r>
      <w:r w:rsidRPr="00FE629A">
        <w:rPr>
          <w:sz w:val="19"/>
          <w:szCs w:val="19"/>
          <w:rtl/>
        </w:rPr>
        <w:t xml:space="preserve">, עיריית </w:t>
      </w:r>
      <w:r w:rsidRPr="00FE629A">
        <w:rPr>
          <w:b/>
          <w:bCs/>
          <w:sz w:val="19"/>
          <w:szCs w:val="19"/>
          <w:rtl/>
        </w:rPr>
        <w:t>קריית שמונה</w:t>
      </w:r>
      <w:r w:rsidRPr="00FE629A">
        <w:rPr>
          <w:sz w:val="19"/>
          <w:szCs w:val="19"/>
          <w:rtl/>
        </w:rPr>
        <w:t>). היעדר מידע מרוכז ומסודר לגבי מיקום המפונים המצויים בבתי המלון, בקהילה ומתפנים עצמאית וכן לגבי התושבים שנשארו או חזרו לביתם, פגע ביכולת של הרשות לנהל קשר רציף עם תושביה וביכולתה לספק להם את השירותים הנדרשים כדי לאפשר להם המשך שגרת חיים ככל האפשר.</w:t>
      </w:r>
    </w:p>
    <w:p w:rsidR="002B781A" w:rsidRDefault="002B781A" w:rsidP="00DB2E57">
      <w:pPr>
        <w:pStyle w:val="73"/>
        <w:numPr>
          <w:ilvl w:val="0"/>
          <w:numId w:val="25"/>
        </w:numPr>
        <w:rPr>
          <w:sz w:val="19"/>
          <w:szCs w:val="19"/>
        </w:rPr>
      </w:pPr>
      <w:r w:rsidRPr="00CC4E9D">
        <w:rPr>
          <w:b/>
          <w:bCs/>
          <w:sz w:val="19"/>
          <w:szCs w:val="19"/>
          <w:rtl/>
        </w:rPr>
        <w:t>ניהול הקשר עם המפונים ומתן שירותים</w:t>
      </w:r>
      <w:r w:rsidRPr="00CC4E9D">
        <w:rPr>
          <w:b/>
          <w:bCs/>
          <w:sz w:val="19"/>
          <w:szCs w:val="19"/>
        </w:rPr>
        <w:t xml:space="preserve"> </w:t>
      </w:r>
      <w:r w:rsidRPr="00CC4E9D">
        <w:rPr>
          <w:sz w:val="19"/>
          <w:szCs w:val="19"/>
          <w:rtl/>
        </w:rPr>
        <w:t>-</w:t>
      </w:r>
      <w:r w:rsidRPr="00CC4E9D">
        <w:rPr>
          <w:sz w:val="19"/>
          <w:szCs w:val="19"/>
        </w:rPr>
        <w:t xml:space="preserve"> </w:t>
      </w:r>
      <w:r w:rsidRPr="00CC4E9D">
        <w:rPr>
          <w:sz w:val="19"/>
          <w:szCs w:val="19"/>
          <w:rtl/>
        </w:rPr>
        <w:t xml:space="preserve">עיריית </w:t>
      </w:r>
      <w:r w:rsidRPr="00CC4E9D">
        <w:rPr>
          <w:b/>
          <w:bCs/>
          <w:sz w:val="19"/>
          <w:szCs w:val="19"/>
          <w:rtl/>
        </w:rPr>
        <w:t>קריית שמונה</w:t>
      </w:r>
      <w:r w:rsidRPr="00CC4E9D">
        <w:rPr>
          <w:sz w:val="19"/>
          <w:szCs w:val="19"/>
          <w:rtl/>
        </w:rPr>
        <w:t xml:space="preserve"> התקשתה לשמור על קשר עם כל תושביה,  בין היתר בשל מספר המפונים הגדול והפיזור הרב של תושבי </w:t>
      </w:r>
      <w:bookmarkStart w:id="5" w:name="_Hlk184307922"/>
      <w:r w:rsidRPr="00CC4E9D">
        <w:rPr>
          <w:sz w:val="19"/>
          <w:szCs w:val="19"/>
          <w:rtl/>
        </w:rPr>
        <w:t xml:space="preserve">העיר </w:t>
      </w:r>
      <w:bookmarkEnd w:id="5"/>
      <w:r w:rsidRPr="00CC4E9D">
        <w:rPr>
          <w:sz w:val="19"/>
          <w:szCs w:val="19"/>
          <w:rtl/>
        </w:rPr>
        <w:t xml:space="preserve">(כ-300 </w:t>
      </w:r>
      <w:r>
        <w:rPr>
          <w:sz w:val="19"/>
          <w:szCs w:val="19"/>
          <w:rtl/>
        </w:rPr>
        <w:t>מתקני אירוח</w:t>
      </w:r>
      <w:r w:rsidRPr="00CC4E9D">
        <w:rPr>
          <w:sz w:val="19"/>
          <w:szCs w:val="19"/>
          <w:rtl/>
        </w:rPr>
        <w:t xml:space="preserve"> בשיא) בכל רחבי הארץ, ובשל אי-היערכות מוקדמת לפינוי מחוץ לתחומי הרשות (עקב היעדר תרחיש כזה) והיעדר מידע על מיקום התושבים</w:t>
      </w:r>
      <w:r>
        <w:rPr>
          <w:rFonts w:hint="cs"/>
          <w:sz w:val="19"/>
          <w:szCs w:val="19"/>
          <w:rtl/>
        </w:rPr>
        <w:t>.</w:t>
      </w:r>
      <w:r w:rsidRPr="00CC4E9D">
        <w:rPr>
          <w:sz w:val="19"/>
          <w:szCs w:val="19"/>
          <w:rtl/>
        </w:rPr>
        <w:t xml:space="preserve"> רק לאחר כחודש מתחילת הפינוי הקימה העירייה מנגנון למתן מענה לצורכי התושבים, אך נוכח הפיזור הרב היה לעירייה קושי להציב נציגים מטעמה בכל </w:t>
      </w:r>
      <w:r>
        <w:rPr>
          <w:rFonts w:hint="cs"/>
          <w:sz w:val="19"/>
          <w:szCs w:val="19"/>
          <w:rtl/>
        </w:rPr>
        <w:t>מתקני האירוח</w:t>
      </w:r>
      <w:r w:rsidRPr="00CC4E9D">
        <w:rPr>
          <w:sz w:val="19"/>
          <w:szCs w:val="19"/>
          <w:rtl/>
        </w:rPr>
        <w:t xml:space="preserve"> אליהם פונו תושביה.</w:t>
      </w:r>
    </w:p>
    <w:p w:rsidR="00AE4BB7" w:rsidRPr="000B463F" w:rsidRDefault="00AE4BB7" w:rsidP="00EE67C7">
      <w:pPr>
        <w:spacing w:before="240" w:after="160"/>
      </w:pPr>
      <w:r>
        <w:rPr>
          <w:noProof/>
        </w:rPr>
        <w:lastRenderedPageBreak/>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2B781A" w:rsidRPr="002B781A" w:rsidRDefault="002B781A" w:rsidP="00DB2E57">
      <w:pPr>
        <w:pStyle w:val="73"/>
        <w:rPr>
          <w:rFonts w:eastAsia="Calibri"/>
          <w:szCs w:val="24"/>
          <w:rtl/>
        </w:rPr>
      </w:pPr>
      <w:r w:rsidRPr="002B781A">
        <w:rPr>
          <w:rFonts w:eastAsia="Calibri"/>
          <w:b/>
          <w:bCs/>
          <w:sz w:val="19"/>
          <w:szCs w:val="19"/>
          <w:rtl/>
        </w:rPr>
        <w:t xml:space="preserve">העברת מידע לתושבים המפונים </w:t>
      </w:r>
      <w:r w:rsidRPr="002B781A">
        <w:rPr>
          <w:rFonts w:eastAsia="Calibri"/>
          <w:sz w:val="19"/>
          <w:szCs w:val="19"/>
          <w:rtl/>
        </w:rPr>
        <w:t xml:space="preserve">- כל הרשויות המקומיות שנבדקו העבירו מידע לתושבים באמצעי מידע שונים: אתר האינטרנט העירוני, רשתות חברתיות, הודעות טקסט וקבוצות </w:t>
      </w:r>
      <w:r w:rsidR="003E5BDC" w:rsidRPr="002B781A">
        <w:rPr>
          <w:rFonts w:eastAsia="Calibri" w:hint="cs"/>
          <w:sz w:val="19"/>
          <w:szCs w:val="19"/>
          <w:rtl/>
        </w:rPr>
        <w:t>ווטסא</w:t>
      </w:r>
      <w:r w:rsidR="003E5BDC" w:rsidRPr="002B781A">
        <w:rPr>
          <w:rFonts w:eastAsia="Calibri" w:hint="eastAsia"/>
          <w:sz w:val="19"/>
          <w:szCs w:val="19"/>
          <w:rtl/>
        </w:rPr>
        <w:t>פ</w:t>
      </w:r>
      <w:r w:rsidRPr="002B781A">
        <w:rPr>
          <w:rFonts w:eastAsia="Calibri"/>
          <w:sz w:val="19"/>
          <w:szCs w:val="19"/>
          <w:rtl/>
        </w:rPr>
        <w:t xml:space="preserve">. משרד מבקר המדינה מציין לחיוב את השימוש במגוון רחב של אמצעים להעברת מידע חשוב ושימושי בזמן מלחמה לטובת חיזוק הקשר, שמירת תחושת השייכות והעלאת תחושת הביטחון של התושבים. שבע מהרשויות המקומיות שנבדקו - </w:t>
      </w:r>
      <w:r w:rsidRPr="002B781A">
        <w:rPr>
          <w:rFonts w:eastAsia="Calibri"/>
          <w:b/>
          <w:bCs/>
          <w:sz w:val="19"/>
          <w:szCs w:val="19"/>
          <w:rtl/>
        </w:rPr>
        <w:t>מטולה</w:t>
      </w:r>
      <w:r w:rsidRPr="002B781A">
        <w:rPr>
          <w:rFonts w:eastAsia="Calibri"/>
          <w:sz w:val="19"/>
          <w:szCs w:val="19"/>
          <w:rtl/>
        </w:rPr>
        <w:t>,</w:t>
      </w:r>
      <w:r w:rsidRPr="002B781A">
        <w:rPr>
          <w:rFonts w:eastAsia="Calibri"/>
          <w:b/>
          <w:bCs/>
          <w:sz w:val="19"/>
          <w:szCs w:val="19"/>
          <w:rtl/>
        </w:rPr>
        <w:t xml:space="preserve"> שלומי</w:t>
      </w:r>
      <w:r w:rsidRPr="002B781A">
        <w:rPr>
          <w:rFonts w:eastAsia="Calibri"/>
          <w:sz w:val="19"/>
          <w:szCs w:val="19"/>
          <w:rtl/>
        </w:rPr>
        <w:t>,</w:t>
      </w:r>
      <w:r w:rsidRPr="002B781A">
        <w:rPr>
          <w:rFonts w:eastAsia="Calibri"/>
          <w:b/>
          <w:bCs/>
          <w:sz w:val="19"/>
          <w:szCs w:val="19"/>
          <w:rtl/>
        </w:rPr>
        <w:t xml:space="preserve"> הגליל העליון</w:t>
      </w:r>
      <w:r w:rsidRPr="002B781A">
        <w:rPr>
          <w:rFonts w:eastAsia="Calibri"/>
          <w:sz w:val="19"/>
          <w:szCs w:val="19"/>
          <w:rtl/>
        </w:rPr>
        <w:t xml:space="preserve">, </w:t>
      </w:r>
      <w:r w:rsidRPr="002B781A">
        <w:rPr>
          <w:rFonts w:eastAsia="Calibri"/>
          <w:b/>
          <w:bCs/>
          <w:sz w:val="19"/>
          <w:szCs w:val="19"/>
          <w:rtl/>
        </w:rPr>
        <w:t>מבואות החרמון</w:t>
      </w:r>
      <w:r w:rsidRPr="002B781A">
        <w:rPr>
          <w:rFonts w:eastAsia="Calibri"/>
          <w:sz w:val="19"/>
          <w:szCs w:val="19"/>
          <w:rtl/>
        </w:rPr>
        <w:t>,</w:t>
      </w:r>
      <w:r w:rsidRPr="002B781A">
        <w:rPr>
          <w:rFonts w:eastAsia="Calibri"/>
          <w:b/>
          <w:bCs/>
          <w:sz w:val="19"/>
          <w:szCs w:val="19"/>
          <w:rtl/>
        </w:rPr>
        <w:t xml:space="preserve"> מטה אשר</w:t>
      </w:r>
      <w:r w:rsidRPr="002B781A">
        <w:rPr>
          <w:rFonts w:eastAsia="Calibri"/>
          <w:sz w:val="19"/>
          <w:szCs w:val="19"/>
          <w:rtl/>
        </w:rPr>
        <w:t xml:space="preserve">, </w:t>
      </w:r>
      <w:r w:rsidRPr="002B781A">
        <w:rPr>
          <w:rFonts w:eastAsia="Calibri"/>
          <w:b/>
          <w:bCs/>
          <w:sz w:val="19"/>
          <w:szCs w:val="19"/>
          <w:rtl/>
        </w:rPr>
        <w:t xml:space="preserve">מעלה יוסף </w:t>
      </w:r>
      <w:r w:rsidRPr="002B781A">
        <w:rPr>
          <w:rFonts w:eastAsia="Calibri"/>
          <w:sz w:val="19"/>
          <w:szCs w:val="19"/>
          <w:rtl/>
        </w:rPr>
        <w:t>ו</w:t>
      </w:r>
      <w:r w:rsidRPr="002B781A">
        <w:rPr>
          <w:rFonts w:eastAsia="Calibri"/>
          <w:b/>
          <w:bCs/>
          <w:sz w:val="19"/>
          <w:szCs w:val="19"/>
          <w:rtl/>
        </w:rPr>
        <w:t>מרום הגליל</w:t>
      </w:r>
      <w:r w:rsidRPr="002B781A">
        <w:rPr>
          <w:rFonts w:eastAsia="Calibri"/>
          <w:sz w:val="19"/>
          <w:szCs w:val="19"/>
          <w:rtl/>
        </w:rPr>
        <w:t xml:space="preserve">, מינו רכזים ועובדים בכל </w:t>
      </w:r>
      <w:r w:rsidRPr="002B781A">
        <w:rPr>
          <w:rFonts w:eastAsia="Calibri" w:hint="cs"/>
          <w:sz w:val="19"/>
          <w:szCs w:val="19"/>
          <w:rtl/>
        </w:rPr>
        <w:t>מתקני האירוח</w:t>
      </w:r>
      <w:r w:rsidRPr="002B781A">
        <w:rPr>
          <w:rFonts w:eastAsia="Calibri"/>
          <w:sz w:val="19"/>
          <w:szCs w:val="19"/>
          <w:rtl/>
        </w:rPr>
        <w:t xml:space="preserve"> שבהם שהו תושביהן המפונים ושמרו על קשר ישיר עמם בכדי לתת מענה מיטבי ככל שניתן לצרכיהם.</w:t>
      </w:r>
    </w:p>
    <w:p w:rsidR="00780272" w:rsidRPr="00084768" w:rsidRDefault="00780272" w:rsidP="00780272">
      <w:pPr>
        <w:pStyle w:val="73"/>
        <w:rPr>
          <w:sz w:val="19"/>
          <w:szCs w:val="19"/>
        </w:rPr>
      </w:pP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2B781A" w:rsidRPr="00CC4E9D" w:rsidRDefault="002B781A" w:rsidP="00DB2E57">
            <w:pPr>
              <w:pStyle w:val="af2"/>
              <w:numPr>
                <w:ilvl w:val="0"/>
                <w:numId w:val="12"/>
              </w:numPr>
              <w:spacing w:before="120" w:after="240" w:line="288" w:lineRule="auto"/>
              <w:ind w:left="465" w:right="176" w:hanging="465"/>
              <w:contextualSpacing w:val="0"/>
              <w:rPr>
                <w:rFonts w:ascii="Tahoma" w:hAnsi="Tahoma" w:cs="Tahoma"/>
                <w:sz w:val="19"/>
                <w:szCs w:val="19"/>
              </w:rPr>
            </w:pPr>
            <w:r w:rsidRPr="00526604">
              <w:rPr>
                <w:rFonts w:ascii="Tahoma" w:hAnsi="Tahoma" w:cs="Tahoma"/>
                <w:sz w:val="19"/>
                <w:szCs w:val="19"/>
                <w:rtl/>
              </w:rPr>
              <w:t xml:space="preserve">על משרד הפנים לפעול לקביעת נוהל לבניית מערך הפינוי ברשות המקומית ולאופן הפעלתו בשעת חירום. זאת, בהתייעצות עם רח"ל כגורם מנחה וכן כגורם מתאם שכן על הנוהל להיות מתואם עם תכניות פינוי צה"ליות ותכניות של משרד הרווחה ומשרד הבריאות לביצוע פינוי של מי שמוחזקים במוסדות בחזקתם. </w:t>
            </w:r>
            <w:r w:rsidRPr="00CC4E9D">
              <w:rPr>
                <w:rFonts w:ascii="Tahoma" w:hAnsi="Tahoma" w:cs="Tahoma"/>
                <w:sz w:val="19"/>
                <w:szCs w:val="19"/>
                <w:rtl/>
              </w:rPr>
              <w:t>נוהל כזה יכיל הוראות מפורטות לרשויות מפונות, ובכלל זה הוראות הנוגעות להתארגנות הרשויות המקומיות לפינוי תושביהן, ניהול הליך פינוי על ידן או הסיוע לפינוי שבאחריות צה"ל, העברת הודעות לתושבים, ארגון הסעות הפעלת כוח אדם ייעודי והוראות המסדירות את הקשר מול הרשות הקולטת.</w:t>
            </w:r>
          </w:p>
          <w:p w:rsidR="002B781A" w:rsidRPr="00CC4E9D" w:rsidRDefault="002B781A" w:rsidP="002B781A">
            <w:pPr>
              <w:pStyle w:val="af2"/>
              <w:numPr>
                <w:ilvl w:val="0"/>
                <w:numId w:val="12"/>
              </w:numPr>
              <w:spacing w:after="240" w:line="288" w:lineRule="auto"/>
              <w:ind w:left="465" w:right="176" w:hanging="465"/>
              <w:contextualSpacing w:val="0"/>
              <w:rPr>
                <w:rFonts w:ascii="Tahoma" w:hAnsi="Tahoma" w:cs="Tahoma"/>
              </w:rPr>
            </w:pPr>
            <w:r w:rsidRPr="00CC4E9D">
              <w:rPr>
                <w:rFonts w:ascii="Tahoma" w:hAnsi="Tahoma" w:cs="Tahoma"/>
                <w:sz w:val="19"/>
                <w:szCs w:val="19"/>
                <w:rtl/>
              </w:rPr>
              <w:t>מומלץ כי משרדי הממשלה הרלוונטיים ובהם משרד הביטחון בשיתוף משרד הפנים ומשרד האוצר יגבשו ויעדכנו את התכניות הלאומיות הנדרשות לפינוי לזמן ממושך, לרבות של תושבי ערים בהתאם ללקחי המלחמה ויבחנו את ההשלכות על החוסן הלאומי של הפעלת תכניות אלו בעת מלחמה. בהמשך לכך על רח"ל להעביר את התוכניות לאישור הממשלה באופן שיחייב את כלל גופי הממשלה להוציא תכניות אופרטיביות בהתאם כדי להבטיח היערכות ומוכנות מיטבית של משרדי הממשלה למתן מענה במצבי חירום.</w:t>
            </w:r>
            <w:r w:rsidRPr="00CC4E9D">
              <w:rPr>
                <w:rFonts w:ascii="Tahoma" w:hAnsi="Tahoma" w:cs="Tahoma"/>
                <w:rtl/>
              </w:rPr>
              <w:t xml:space="preserve">  </w:t>
            </w:r>
          </w:p>
          <w:p w:rsidR="002B781A" w:rsidRDefault="002B781A" w:rsidP="00F1744A">
            <w:pPr>
              <w:pStyle w:val="af2"/>
              <w:numPr>
                <w:ilvl w:val="0"/>
                <w:numId w:val="12"/>
              </w:numPr>
              <w:spacing w:after="240" w:line="288" w:lineRule="auto"/>
              <w:ind w:left="465" w:right="176" w:hanging="465"/>
              <w:contextualSpacing w:val="0"/>
              <w:rPr>
                <w:rFonts w:ascii="Tahoma" w:hAnsi="Tahoma" w:cs="Tahoma"/>
              </w:rPr>
            </w:pPr>
            <w:r w:rsidRPr="00CC4E9D">
              <w:rPr>
                <w:rFonts w:ascii="Tahoma" w:hAnsi="Tahoma" w:cs="Tahoma"/>
                <w:sz w:val="19"/>
                <w:szCs w:val="19"/>
                <w:rtl/>
              </w:rPr>
              <w:t>על משרד הביטחון לדאוג להחזיק בידיו רשימות מעודכנות של אנשי קשר בשלטון המרכזי וברשויות המקומיות לעניין תפקידם בקליטת מפונים ועם קבלת החלטה על פינוי, לכלול בהודעות הפינוי מידע הנוגע לשלב של לאחר הוצאת התושבים מאזור הסכנה ובכלל זה: יעדי הקליטה, אנשי הקשר בשלטון המרכזי וברשויות המקומיות הקולטות.</w:t>
            </w:r>
          </w:p>
          <w:p w:rsidR="00D145DF" w:rsidRPr="00D145DF" w:rsidRDefault="00D145DF" w:rsidP="00D145DF">
            <w:pPr>
              <w:pStyle w:val="af2"/>
              <w:spacing w:line="240" w:lineRule="auto"/>
              <w:ind w:left="465" w:right="176"/>
              <w:contextualSpacing w:val="0"/>
              <w:rPr>
                <w:rFonts w:ascii="Tahoma" w:hAnsi="Tahoma" w:cs="Tahoma"/>
                <w:b/>
                <w:bCs/>
                <w:sz w:val="26"/>
                <w:szCs w:val="30"/>
              </w:rPr>
            </w:pPr>
          </w:p>
          <w:p w:rsidR="002B781A" w:rsidRPr="00CC4E9D" w:rsidRDefault="002B781A" w:rsidP="00D145DF">
            <w:pPr>
              <w:pStyle w:val="af2"/>
              <w:numPr>
                <w:ilvl w:val="0"/>
                <w:numId w:val="12"/>
              </w:numPr>
              <w:spacing w:after="240" w:line="288" w:lineRule="auto"/>
              <w:ind w:left="465" w:right="176" w:hanging="465"/>
              <w:contextualSpacing w:val="0"/>
              <w:rPr>
                <w:rFonts w:ascii="Tahoma" w:hAnsi="Tahoma" w:cs="Tahoma"/>
                <w:b/>
                <w:bCs/>
              </w:rPr>
            </w:pPr>
            <w:r w:rsidRPr="00CC4E9D">
              <w:rPr>
                <w:rFonts w:ascii="Tahoma" w:hAnsi="Tahoma" w:cs="Tahoma"/>
                <w:sz w:val="19"/>
                <w:szCs w:val="19"/>
                <w:rtl/>
              </w:rPr>
              <w:t>מומלץ כי משרד הפנים ומשרד האוצ</w:t>
            </w:r>
            <w:r>
              <w:rPr>
                <w:rFonts w:ascii="Tahoma" w:hAnsi="Tahoma" w:cs="Tahoma" w:hint="cs"/>
                <w:sz w:val="19"/>
                <w:szCs w:val="19"/>
                <w:rtl/>
              </w:rPr>
              <w:t>ר</w:t>
            </w:r>
            <w:r w:rsidRPr="00CC4E9D">
              <w:rPr>
                <w:rFonts w:ascii="Tahoma" w:hAnsi="Tahoma" w:cs="Tahoma"/>
                <w:sz w:val="19"/>
                <w:szCs w:val="19"/>
                <w:rtl/>
              </w:rPr>
              <w:t xml:space="preserve"> יגבשו תמונה של הצרכים הייחודיים של יישובים שלא התפנו, אך חוו קשיים בשל התמשכות המלחמה ולהביאה בפני הממשלה לצורך פיתוח מערכת מענים מדורגת וממוקדת שתעניק תמיכה ישירה לתושבים ולרשויות מקומיות אלה, במטרה להבטיח את רווחת האוכלוסייה ולאפשר לה להתמודד עם האתגרים שנוצרו נוכח המערכה בצפו</w:t>
            </w:r>
            <w:r>
              <w:rPr>
                <w:rFonts w:ascii="Tahoma" w:hAnsi="Tahoma" w:cs="Tahoma" w:hint="cs"/>
                <w:sz w:val="19"/>
                <w:szCs w:val="19"/>
                <w:rtl/>
              </w:rPr>
              <w:t>ן.</w:t>
            </w:r>
          </w:p>
          <w:p w:rsidR="002B781A" w:rsidRPr="00CC4E9D" w:rsidRDefault="002B781A" w:rsidP="002B781A">
            <w:pPr>
              <w:pStyle w:val="af2"/>
              <w:numPr>
                <w:ilvl w:val="0"/>
                <w:numId w:val="12"/>
              </w:numPr>
              <w:spacing w:after="240" w:line="288" w:lineRule="auto"/>
              <w:ind w:left="465" w:right="176" w:hanging="465"/>
              <w:contextualSpacing w:val="0"/>
              <w:rPr>
                <w:rFonts w:ascii="Tahoma" w:hAnsi="Tahoma" w:cs="Tahoma"/>
                <w:b/>
                <w:bCs/>
              </w:rPr>
            </w:pPr>
            <w:r w:rsidRPr="00CC4E9D">
              <w:rPr>
                <w:rFonts w:ascii="Tahoma" w:hAnsi="Tahoma" w:cs="Tahoma"/>
                <w:sz w:val="19"/>
                <w:szCs w:val="19"/>
                <w:rtl/>
              </w:rPr>
              <w:t xml:space="preserve">היה על הגורמים האמונים על ההיערכות לפינוי ולקליטה: רח"ל, משרד </w:t>
            </w:r>
            <w:r w:rsidR="003E5BDC" w:rsidRPr="00CC4E9D">
              <w:rPr>
                <w:rFonts w:ascii="Tahoma" w:hAnsi="Tahoma" w:cs="Tahoma" w:hint="cs"/>
                <w:sz w:val="19"/>
                <w:szCs w:val="19"/>
                <w:rtl/>
              </w:rPr>
              <w:t>הביטחו</w:t>
            </w:r>
            <w:r w:rsidR="003E5BDC" w:rsidRPr="00CC4E9D">
              <w:rPr>
                <w:rFonts w:ascii="Tahoma" w:hAnsi="Tahoma" w:cs="Tahoma" w:hint="eastAsia"/>
                <w:sz w:val="19"/>
                <w:szCs w:val="19"/>
                <w:rtl/>
              </w:rPr>
              <w:t>ן</w:t>
            </w:r>
            <w:r w:rsidRPr="00CC4E9D">
              <w:rPr>
                <w:rFonts w:ascii="Tahoma" w:hAnsi="Tahoma" w:cs="Tahoma"/>
                <w:sz w:val="19"/>
                <w:szCs w:val="19"/>
                <w:rtl/>
              </w:rPr>
              <w:t xml:space="preserve"> ומשרד הפנים, אשר החליטו לדבוק בתכנית פינוי שהייתה מיועדת ככלל לתקופות פינוי קצרות למתקני קליטה, ובלי לבחון חלופות נוספות, לנקוט במהלך המלחמה בצפון צעדים שישפרו את איכות החיים של המפונים ויקלו על סבלם בשעתם הקשה, ישקמו את הקהילות, ויאפשרו שמירה על שגרת חיים ועבודה גם בחירום.</w:t>
            </w:r>
          </w:p>
          <w:p w:rsidR="002B781A" w:rsidRPr="00CC4E9D" w:rsidRDefault="002B781A" w:rsidP="002B781A">
            <w:pPr>
              <w:pStyle w:val="af2"/>
              <w:numPr>
                <w:ilvl w:val="0"/>
                <w:numId w:val="12"/>
              </w:numPr>
              <w:spacing w:after="240" w:line="288" w:lineRule="auto"/>
              <w:ind w:left="465" w:right="176" w:hanging="465"/>
              <w:contextualSpacing w:val="0"/>
              <w:rPr>
                <w:rFonts w:ascii="Tahoma" w:hAnsi="Tahoma" w:cs="Tahoma"/>
                <w:b/>
                <w:bCs/>
              </w:rPr>
            </w:pPr>
            <w:r w:rsidRPr="00CC4E9D">
              <w:rPr>
                <w:rFonts w:ascii="Tahoma" w:hAnsi="Tahoma" w:cs="Tahoma"/>
                <w:sz w:val="19"/>
                <w:szCs w:val="19"/>
                <w:rtl/>
              </w:rPr>
              <w:t>על רח"ל, משרד הפנים, הרשויות המקומיות ובשיתוף משרד התיירות לפעול יחד לגיבוש תוכניות פינוי עתידיות סדורות, בהתבסס על הליך הפקת לקחים ממלחמת חרבות ברזל</w:t>
            </w:r>
            <w:r>
              <w:rPr>
                <w:rFonts w:ascii="Tahoma" w:hAnsi="Tahoma" w:cs="Tahoma" w:hint="cs"/>
                <w:sz w:val="19"/>
                <w:szCs w:val="19"/>
                <w:rtl/>
              </w:rPr>
              <w:t xml:space="preserve">. </w:t>
            </w:r>
            <w:r w:rsidRPr="00082A21">
              <w:rPr>
                <w:rFonts w:ascii="Tahoma" w:hAnsi="Tahoma" w:cs="Tahoma"/>
                <w:sz w:val="19"/>
                <w:szCs w:val="19"/>
                <w:rtl/>
              </w:rPr>
              <w:t xml:space="preserve">ובהן יש לתת מענה לכשלים שהתרחשו בפינויים אלו, ולהביאן לאישור הממשלה. בכלל המענים הנדרשים, קביעת יעדי קליטה המאפשרים לשמור על שגרת חיים בתקופת פינוי ממושכת ועל הקהילתיות, הימנעות עד כמה שניתן מפיזור תושבי הרשות המקומית בין </w:t>
            </w:r>
            <w:r>
              <w:rPr>
                <w:rFonts w:ascii="Tahoma" w:hAnsi="Tahoma" w:cs="Tahoma" w:hint="cs"/>
                <w:sz w:val="19"/>
                <w:szCs w:val="19"/>
                <w:rtl/>
              </w:rPr>
              <w:t>מתקני האירוח</w:t>
            </w:r>
            <w:r w:rsidRPr="00082A21">
              <w:rPr>
                <w:rFonts w:ascii="Tahoma" w:hAnsi="Tahoma" w:cs="Tahoma"/>
                <w:sz w:val="19"/>
                <w:szCs w:val="19"/>
                <w:rtl/>
              </w:rPr>
              <w:t xml:space="preserve"> ברחבי הארץ, קביעת קריטריונים לחלוקת חדרים </w:t>
            </w:r>
            <w:r>
              <w:rPr>
                <w:rFonts w:ascii="Tahoma" w:hAnsi="Tahoma" w:cs="Tahoma" w:hint="cs"/>
                <w:sz w:val="19"/>
                <w:szCs w:val="19"/>
                <w:rtl/>
              </w:rPr>
              <w:t>במתקני האירוח</w:t>
            </w:r>
            <w:r w:rsidRPr="00082A21">
              <w:rPr>
                <w:rFonts w:ascii="Tahoma" w:hAnsi="Tahoma" w:cs="Tahoma"/>
                <w:sz w:val="19"/>
                <w:szCs w:val="19"/>
                <w:rtl/>
              </w:rPr>
              <w:t xml:space="preserve"> תוך התאמה למבנה התא המשפחתי והכל תוך התחשבות ביכולת של הרשות הקולטת לתת מענה למספר הנקלטים הצפוי וזאת גם בלי לפגוע בשירותי הרשות הקולטת לתושביה, או הסיוע שתידרש לו לשם כך.</w:t>
            </w:r>
          </w:p>
          <w:p w:rsidR="00AE4BB7" w:rsidRPr="00BE22D7" w:rsidRDefault="002B781A" w:rsidP="00D145DF">
            <w:pPr>
              <w:pStyle w:val="af2"/>
              <w:numPr>
                <w:ilvl w:val="0"/>
                <w:numId w:val="12"/>
              </w:numPr>
              <w:spacing w:after="240" w:line="288" w:lineRule="auto"/>
              <w:ind w:left="465" w:right="176" w:hanging="465"/>
              <w:contextualSpacing w:val="0"/>
              <w:rPr>
                <w:rtl/>
              </w:rPr>
            </w:pPr>
            <w:r w:rsidRPr="00CC4E9D">
              <w:rPr>
                <w:rFonts w:ascii="Tahoma" w:hAnsi="Tahoma" w:cs="Tahoma"/>
                <w:sz w:val="19"/>
                <w:szCs w:val="19"/>
                <w:rtl/>
              </w:rPr>
              <w:t xml:space="preserve">מומלץ שהרשויות המקומיות שנבדקו - עיריית </w:t>
            </w:r>
            <w:r w:rsidRPr="00CC4E9D">
              <w:rPr>
                <w:rFonts w:ascii="Tahoma" w:hAnsi="Tahoma" w:cs="Tahoma"/>
                <w:b/>
                <w:bCs/>
                <w:sz w:val="19"/>
                <w:szCs w:val="19"/>
                <w:rtl/>
              </w:rPr>
              <w:t>קריית שמונה</w:t>
            </w:r>
            <w:r w:rsidRPr="00CC4E9D">
              <w:rPr>
                <w:rFonts w:ascii="Tahoma" w:hAnsi="Tahoma" w:cs="Tahoma"/>
                <w:sz w:val="19"/>
                <w:szCs w:val="19"/>
                <w:rtl/>
              </w:rPr>
              <w:t xml:space="preserve">, המועצות המקומיות </w:t>
            </w:r>
            <w:r w:rsidRPr="00CC4E9D">
              <w:rPr>
                <w:rFonts w:ascii="Tahoma" w:hAnsi="Tahoma" w:cs="Tahoma"/>
                <w:b/>
                <w:bCs/>
                <w:sz w:val="19"/>
                <w:szCs w:val="19"/>
                <w:rtl/>
              </w:rPr>
              <w:t xml:space="preserve">מטולה </w:t>
            </w:r>
            <w:r w:rsidRPr="00CC4E9D">
              <w:rPr>
                <w:rFonts w:ascii="Tahoma" w:hAnsi="Tahoma" w:cs="Tahoma"/>
                <w:sz w:val="19"/>
                <w:szCs w:val="19"/>
                <w:rtl/>
              </w:rPr>
              <w:t>ו</w:t>
            </w:r>
            <w:r w:rsidRPr="00CC4E9D">
              <w:rPr>
                <w:rFonts w:ascii="Tahoma" w:hAnsi="Tahoma" w:cs="Tahoma"/>
                <w:b/>
                <w:bCs/>
                <w:sz w:val="19"/>
                <w:szCs w:val="19"/>
                <w:rtl/>
              </w:rPr>
              <w:t>שלומי</w:t>
            </w:r>
            <w:r w:rsidRPr="00CC4E9D">
              <w:rPr>
                <w:rFonts w:ascii="Tahoma" w:hAnsi="Tahoma" w:cs="Tahoma"/>
                <w:sz w:val="19"/>
                <w:szCs w:val="19"/>
                <w:rtl/>
              </w:rPr>
              <w:t xml:space="preserve">, המועצות האזוריות </w:t>
            </w:r>
            <w:r w:rsidRPr="00CC4E9D">
              <w:rPr>
                <w:rFonts w:ascii="Tahoma" w:hAnsi="Tahoma" w:cs="Tahoma"/>
                <w:b/>
                <w:bCs/>
                <w:sz w:val="19"/>
                <w:szCs w:val="19"/>
                <w:rtl/>
              </w:rPr>
              <w:t>הגליל העליון</w:t>
            </w:r>
            <w:r w:rsidRPr="00CC4E9D">
              <w:rPr>
                <w:rFonts w:ascii="Tahoma" w:hAnsi="Tahoma" w:cs="Tahoma"/>
                <w:sz w:val="19"/>
                <w:szCs w:val="19"/>
                <w:rtl/>
              </w:rPr>
              <w:t xml:space="preserve">, </w:t>
            </w:r>
            <w:r w:rsidRPr="00CC4E9D">
              <w:rPr>
                <w:rFonts w:ascii="Tahoma" w:hAnsi="Tahoma" w:cs="Tahoma"/>
                <w:b/>
                <w:bCs/>
                <w:sz w:val="19"/>
                <w:szCs w:val="19"/>
                <w:rtl/>
              </w:rPr>
              <w:t>מבואות החרמון</w:t>
            </w:r>
            <w:r w:rsidRPr="00CC4E9D">
              <w:rPr>
                <w:rFonts w:ascii="Tahoma" w:hAnsi="Tahoma" w:cs="Tahoma"/>
                <w:sz w:val="19"/>
                <w:szCs w:val="19"/>
                <w:rtl/>
              </w:rPr>
              <w:t xml:space="preserve">, </w:t>
            </w:r>
            <w:r w:rsidRPr="00CC4E9D">
              <w:rPr>
                <w:rFonts w:ascii="Tahoma" w:hAnsi="Tahoma" w:cs="Tahoma"/>
                <w:b/>
                <w:bCs/>
                <w:sz w:val="19"/>
                <w:szCs w:val="19"/>
                <w:rtl/>
              </w:rPr>
              <w:t>מטה אשר</w:t>
            </w:r>
            <w:r w:rsidRPr="00CC4E9D">
              <w:rPr>
                <w:rFonts w:ascii="Tahoma" w:hAnsi="Tahoma" w:cs="Tahoma"/>
                <w:sz w:val="19"/>
                <w:szCs w:val="19"/>
                <w:rtl/>
              </w:rPr>
              <w:t xml:space="preserve">, </w:t>
            </w:r>
            <w:r w:rsidRPr="00CC4E9D">
              <w:rPr>
                <w:rFonts w:ascii="Tahoma" w:hAnsi="Tahoma" w:cs="Tahoma"/>
                <w:b/>
                <w:bCs/>
                <w:sz w:val="19"/>
                <w:szCs w:val="19"/>
                <w:rtl/>
              </w:rPr>
              <w:t>מעלה יוסף</w:t>
            </w:r>
            <w:r w:rsidRPr="00CC4E9D">
              <w:rPr>
                <w:rFonts w:ascii="Tahoma" w:hAnsi="Tahoma" w:cs="Tahoma"/>
                <w:sz w:val="19"/>
                <w:szCs w:val="19"/>
                <w:rtl/>
              </w:rPr>
              <w:t xml:space="preserve"> </w:t>
            </w:r>
            <w:r w:rsidRPr="00CC4E9D">
              <w:rPr>
                <w:rFonts w:ascii="Tahoma" w:hAnsi="Tahoma" w:cs="Tahoma"/>
                <w:b/>
                <w:bCs/>
                <w:sz w:val="19"/>
                <w:szCs w:val="19"/>
                <w:rtl/>
              </w:rPr>
              <w:t>ומרום הגליל</w:t>
            </w:r>
            <w:r>
              <w:rPr>
                <w:rFonts w:ascii="Tahoma" w:hAnsi="Tahoma" w:cs="Tahoma" w:hint="cs"/>
                <w:sz w:val="19"/>
                <w:szCs w:val="19"/>
                <w:rtl/>
              </w:rPr>
              <w:t xml:space="preserve"> </w:t>
            </w:r>
            <w:r w:rsidRPr="00CC4E9D">
              <w:rPr>
                <w:rFonts w:ascii="Tahoma" w:hAnsi="Tahoma" w:cs="Tahoma"/>
                <w:sz w:val="19"/>
                <w:szCs w:val="19"/>
                <w:rtl/>
              </w:rPr>
              <w:t>- בסיוע משרד הפנים בשיתוף עם רח"ל ומערך הדיגיטל הלאומי, יפעלו לפיתוח מנגנון - כגון הודעה טקסט או טופס מקוון - שיאפשר להן להיות בקשר עם תושביהן גם בעת חירום. זאת בכדי לוודא שהתושבים מקבלים מענה לצרכיהם, ובעיקר בכל הנוגע לילדים, קשישים, ואנשים עם צרכים מיוחדים, ולקבל מידע חוזר מהתושב עצמו, בין היתר, בנוגע למקום שהותו.</w:t>
            </w:r>
          </w:p>
        </w:tc>
      </w:tr>
    </w:tbl>
    <w:p w:rsidR="004E0191" w:rsidRDefault="004E0191" w:rsidP="004E0191">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tl/>
        </w:rPr>
      </w:pPr>
    </w:p>
    <w:p w:rsidR="00937D32" w:rsidRDefault="00937D32" w:rsidP="00937D32">
      <w:pPr>
        <w:bidi w:val="0"/>
        <w:spacing w:after="160" w:line="259" w:lineRule="auto"/>
        <w:ind w:left="-1"/>
        <w:jc w:val="left"/>
        <w:rPr>
          <w:sz w:val="2"/>
          <w:szCs w:val="2"/>
        </w:rPr>
      </w:pPr>
    </w:p>
    <w:p w:rsidR="00AE4BB7" w:rsidRPr="00D57BE9" w:rsidRDefault="00AE4BB7" w:rsidP="00AE4BB7">
      <w:pPr>
        <w:rPr>
          <w:rtl/>
        </w:rPr>
      </w:pPr>
      <w:r w:rsidRPr="00D527BD">
        <w:rPr>
          <w:noProof/>
          <w:szCs w:val="20"/>
          <w:rtl/>
        </w:rPr>
        <w:lastRenderedPageBreak/>
        <w:drawing>
          <wp:anchor distT="0" distB="0" distL="114300" distR="114300" simplePos="0" relativeHeight="251660288" behindDoc="0" locked="0" layoutInCell="1" allowOverlap="1" wp14:anchorId="24426BBC" wp14:editId="232BD999">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AE4BB7" w:rsidRPr="005C7ABF" w:rsidRDefault="002B781A" w:rsidP="00D145DF">
                            <w:pPr>
                              <w:pStyle w:val="733"/>
                              <w:rPr>
                                <w:rtl/>
                              </w:rPr>
                            </w:pPr>
                            <w:r w:rsidRPr="002B781A">
                              <w:rPr>
                                <w:rtl/>
                              </w:rPr>
                              <w:t>מגוריהם של תושבי קריית שמונה, לפי אזורי רשויות מקומיות, ראשית מרץ 2024</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19.05pt;margin-top:8.1pt;width:426.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" fillcolor="#f05260" stroked="f">
                <v:textbox>
                  <w:txbxContent>
                    <w:p w:rsidR="00AE4BB7" w:rsidRPr="005C7ABF" w:rsidRDefault="002B781A" w:rsidP="00D145DF">
                      <w:pPr>
                        <w:pStyle w:val="733"/>
                        <w:rPr>
                          <w:rtl/>
                        </w:rPr>
                      </w:pPr>
                      <w:r w:rsidRPr="002B781A">
                        <w:rPr>
                          <w:rtl/>
                        </w:rPr>
                        <w:t>מגוריהם של תושבי קריית שמונה, לפי אזורי רשויות מקומיות, ראשית מרץ 2024</w:t>
                      </w:r>
                    </w:p>
                  </w:txbxContent>
                </v:textbox>
              </v:shape>
            </w:pict>
          </mc:Fallback>
        </mc:AlternateContent>
      </w:r>
    </w:p>
    <w:p w:rsidR="00AE4BB7" w:rsidRDefault="00937D32" w:rsidP="00AE4BB7">
      <w:pPr>
        <w:spacing w:before="840"/>
        <w:rPr>
          <w:rtl/>
        </w:rPr>
      </w:pPr>
      <w:r w:rsidRPr="002B781A">
        <w:rPr>
          <w:rFonts w:ascii="Tahoma" w:eastAsia="Calibri" w:hAnsi="Tahoma" w:cs="Tahoma"/>
          <w:noProof/>
          <w:sz w:val="19"/>
          <w:szCs w:val="19"/>
          <w:rtl/>
          <w:lang w:val="he-IL"/>
        </w:rPr>
        <w:drawing>
          <wp:inline distT="0" distB="0" distL="0" distR="0" wp14:anchorId="14B42453">
            <wp:extent cx="5700395" cy="3251200"/>
            <wp:effectExtent l="0" t="0" r="0" b="6350"/>
            <wp:docPr id="3" name="תמונה 3" descr="בטבריה והסביבה 5255 בדירות שכורות ו4239 במלונות; בתל אביב והסביבה 1728 בדירות שכורות ו 3665 במלונות; בשרון והסביבה 967 בדירות שכורות ו1611 במלונות; באילת והסביבה 272 בדירות שכורות ו 1312 במלונות; בחיפה והסביבה 559 בדירות שכורות ו 443 במלונות ; בקריית שמונה נשארו 1811 שלא התפנ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6006" cy="3254400"/>
                    </a:xfrm>
                    <a:prstGeom prst="rect">
                      <a:avLst/>
                    </a:prstGeom>
                    <a:noFill/>
                  </pic:spPr>
                </pic:pic>
              </a:graphicData>
            </a:graphic>
          </wp:inline>
        </w:drawing>
      </w:r>
    </w:p>
    <w:p w:rsidR="002B781A" w:rsidRPr="002B781A" w:rsidRDefault="002B781A" w:rsidP="002B781A">
      <w:pPr>
        <w:spacing w:line="288" w:lineRule="auto"/>
        <w:ind w:left="-143"/>
        <w:rPr>
          <w:rFonts w:ascii="Tahoma" w:eastAsia="Calibri" w:hAnsi="Tahoma" w:cs="Tahoma"/>
          <w:b/>
          <w:bCs/>
          <w:noProof/>
          <w:color w:val="FFFFFF"/>
          <w:sz w:val="22"/>
          <w:szCs w:val="22"/>
          <w:rtl/>
        </w:rPr>
      </w:pPr>
      <w:r w:rsidRPr="002B781A">
        <w:rPr>
          <w:rFonts w:ascii="Tahoma" w:eastAsia="Calibri" w:hAnsi="Tahoma" w:cs="Tahoma"/>
          <w:sz w:val="16"/>
          <w:szCs w:val="16"/>
          <w:rtl/>
        </w:rPr>
        <w:t>על פי מסמך עיריית קריית שמונה ורשת המתנ"סים, "סיכום מערך בינוי קהילה", בעיבוד משרד מבקר המדינה.</w:t>
      </w: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937D32" w:rsidP="00937D32">
      <w:pPr>
        <w:bidi w:val="0"/>
        <w:spacing w:after="200" w:line="276" w:lineRule="auto"/>
        <w:rPr>
          <w:rFonts w:ascii="Tahoma" w:hAnsi="Tahoma" w:cs="Tahoma"/>
        </w:rPr>
      </w:pPr>
      <w:r>
        <w:rPr>
          <w:rFonts w:ascii="Tahoma" w:hAnsi="Tahoma" w:cs="Tahoma"/>
          <w:rtl/>
        </w:rPr>
        <w:br w:type="page"/>
      </w:r>
    </w:p>
    <w:p w:rsidR="00AE4BB7" w:rsidRPr="006B7706" w:rsidRDefault="00AE4BB7" w:rsidP="00D145DF">
      <w:pPr>
        <w:spacing w:after="160" w:line="48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2B781A" w:rsidRPr="002B781A" w:rsidRDefault="002B781A" w:rsidP="00DB2E57">
      <w:pPr>
        <w:pStyle w:val="739"/>
        <w:spacing w:after="120"/>
        <w:rPr>
          <w:sz w:val="19"/>
          <w:szCs w:val="19"/>
          <w:rtl/>
        </w:rPr>
      </w:pPr>
      <w:r w:rsidRPr="002B781A">
        <w:rPr>
          <w:sz w:val="19"/>
          <w:szCs w:val="19"/>
          <w:rtl/>
        </w:rPr>
        <w:t>פינוי של עשרות אלפי תושבים בעת מלחמה הוא הליך מורכב, שמטרתו העיקרית היא הצלת נפשות. לפינוי תושבים השפעות ארוכות טווח על חייהם בהיותו דורש התמודדות נפשית עם אירוע הפינוי ועקב ההפסקה הפתאומית בשגרת החיים והצורך להסתגל למציאות חדשה ולבנות שגרה חדשה למחרת הפינוי. פינוי התושבים מהיישובים בצפון התבצע הן באופן עצמאי והן באופן יזום על ידי הגופים הממלכתיים בתקופה מ-10.10.23 עד ל-22.10.23 ונעשה תחת השפעת האסון והטראומה הכבדים של מתקפת הטרור בשבעה באוקטובר ביישובי עוטף עזה.</w:t>
      </w:r>
    </w:p>
    <w:p w:rsidR="002B781A" w:rsidRPr="002B781A" w:rsidRDefault="002B781A" w:rsidP="00DB2E57">
      <w:pPr>
        <w:pStyle w:val="739"/>
        <w:spacing w:after="120"/>
        <w:rPr>
          <w:sz w:val="19"/>
          <w:szCs w:val="19"/>
          <w:rtl/>
        </w:rPr>
      </w:pPr>
      <w:r w:rsidRPr="002B781A">
        <w:rPr>
          <w:sz w:val="19"/>
          <w:szCs w:val="19"/>
          <w:rtl/>
        </w:rPr>
        <w:t xml:space="preserve">לא הייתה הגדרה ברורה לתפקידי הרשות המפונה בהליך הפינוי, דבר שגרם לכל רשות לפעול מול תושביה לפי יכולתה והבנתה. הממצאים מלמדים על הפגיעה שהייתה ביכולתן של הרשויות שפונו לעמוד לרשות תושביהן ולתת להם עוגן ותחושת ביטחון שעה שהם היו תחת איום ביטחוני ונאלצו עקב כך להפסיק את שגרת חייהם המוכרת ולהתמודד עם מציאות חדשה שאינה קלה. זאת, בהיעדר נהלים מנחים לרשויות המפונות לגבי כל שלבי הפינוי ותפקידן בטיפול במפונים במתקני האירוח וכן בהיעדר גורם מתכלל </w:t>
      </w:r>
      <w:r w:rsidR="00D145DF" w:rsidRPr="002B781A">
        <w:rPr>
          <w:rFonts w:hint="cs"/>
          <w:sz w:val="19"/>
          <w:szCs w:val="19"/>
          <w:rtl/>
        </w:rPr>
        <w:t>שייעודו</w:t>
      </w:r>
      <w:r w:rsidRPr="002B781A">
        <w:rPr>
          <w:sz w:val="19"/>
          <w:szCs w:val="19"/>
          <w:rtl/>
        </w:rPr>
        <w:t xml:space="preserve"> היה לדאוג לטיפול במפונים מטעם השלטון המרכזי ולפעול לאיגום המידע, להנגשת השירותים למפונים ולתגבור הסיוע לרשויות המקומיות.</w:t>
      </w:r>
    </w:p>
    <w:p w:rsidR="002B781A" w:rsidRPr="002B781A" w:rsidRDefault="002B781A" w:rsidP="00DB2E57">
      <w:pPr>
        <w:pStyle w:val="739"/>
        <w:spacing w:after="120"/>
        <w:rPr>
          <w:sz w:val="19"/>
          <w:szCs w:val="19"/>
          <w:rtl/>
        </w:rPr>
      </w:pPr>
      <w:r w:rsidRPr="002B781A">
        <w:rPr>
          <w:sz w:val="19"/>
          <w:szCs w:val="19"/>
          <w:rtl/>
        </w:rPr>
        <w:t>ככל שהתארך מצב החירום ויותר מפונים עברו לדיור בקהילה, לצד חזרה של חלק מהתושבים לבתיהם, היה על רח"ל ומשרד הפנים להקים לאלתר מנגנון ארגוני מסייע לרשויות המפונות, כדי לאפשר להן ליצור קשר עם תושביהן ולדאוג למצבם.</w:t>
      </w:r>
    </w:p>
    <w:p w:rsidR="00780272" w:rsidRPr="00084768" w:rsidRDefault="002B781A" w:rsidP="002B781A">
      <w:pPr>
        <w:pStyle w:val="739"/>
        <w:rPr>
          <w:sz w:val="19"/>
          <w:szCs w:val="19"/>
          <w:rtl/>
        </w:rPr>
      </w:pPr>
      <w:r w:rsidRPr="002B781A">
        <w:rPr>
          <w:sz w:val="19"/>
          <w:szCs w:val="19"/>
          <w:rtl/>
        </w:rPr>
        <w:t>מן הראוי לערוך תהליך הפקת לקחים מהליך פינוי האוכלוסייה במהלך המלחמה ולבנות מודל שיאפשר בתרחיש דומה בעתיד התמודדות יעילה יותר עם פינוי ממושך בשל אירועי לחימה או אירועי חירום אחרים כגון אסונות טבע, ויכלול מוקדי שירות לתושבים, שתפקידם לטייב ולייעל את הטיפול באוכלוסיית המפונים במתקני אירוח או מפונים בקהילה.</w:t>
      </w:r>
    </w:p>
    <w:p w:rsidR="001C33F8" w:rsidRDefault="001C33F8" w:rsidP="001C33F8">
      <w:pPr>
        <w:bidi w:val="0"/>
        <w:spacing w:after="200" w:line="276" w:lineRule="auto"/>
        <w:jc w:val="center"/>
        <w:rPr>
          <w:rFonts w:ascii="Tahoma" w:hAnsi="Tahoma" w:cs="Tahoma"/>
          <w:sz w:val="19"/>
          <w:szCs w:val="19"/>
        </w:rPr>
      </w:pPr>
    </w:p>
    <w:p w:rsidR="00C4789A" w:rsidRPr="009515F9" w:rsidRDefault="00C4789A" w:rsidP="009515F9">
      <w:pPr>
        <w:bidi w:val="0"/>
        <w:spacing w:after="200" w:line="276" w:lineRule="auto"/>
        <w:rPr>
          <w:rFonts w:ascii="Tahoma" w:hAnsi="Tahoma" w:cs="Tahoma"/>
          <w:b/>
          <w:bCs/>
          <w:sz w:val="36"/>
          <w:szCs w:val="36"/>
        </w:rPr>
        <w:sectPr w:rsidR="00C4789A" w:rsidRPr="009515F9" w:rsidSect="008654CB">
          <w:headerReference w:type="even" r:id="rId19"/>
          <w:headerReference w:type="default" r:id="rId20"/>
          <w:footerReference w:type="even" r:id="rId21"/>
          <w:footerReference w:type="default" r:id="rId22"/>
          <w:headerReference w:type="first" r:id="rId23"/>
          <w:footerReference w:type="first" r:id="rId24"/>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5"/>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BDC" w:rsidRDefault="003E5BD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BDC" w:rsidRDefault="003E5BDC">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3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3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2B781A" w:rsidRPr="00ED02AC" w:rsidRDefault="002B781A" w:rsidP="002B781A">
      <w:pPr>
        <w:pStyle w:val="af"/>
        <w:ind w:left="708" w:hanging="708"/>
        <w:rPr>
          <w:rFonts w:ascii="Tahoma" w:hAnsi="Tahoma" w:cs="Tahoma"/>
          <w:sz w:val="16"/>
          <w:szCs w:val="16"/>
        </w:rPr>
      </w:pPr>
      <w:r w:rsidRPr="00ED02AC">
        <w:rPr>
          <w:rStyle w:val="af1"/>
          <w:rFonts w:ascii="Tahoma" w:hAnsi="Tahoma" w:cs="Tahoma"/>
          <w:sz w:val="16"/>
          <w:szCs w:val="16"/>
        </w:rPr>
        <w:footnoteRef/>
      </w:r>
      <w:r w:rsidRPr="00ED02AC">
        <w:rPr>
          <w:rFonts w:ascii="Tahoma" w:hAnsi="Tahoma" w:cs="Tahoma"/>
          <w:sz w:val="16"/>
          <w:szCs w:val="16"/>
          <w:rtl/>
        </w:rPr>
        <w:t xml:space="preserve"> </w:t>
      </w:r>
      <w:r w:rsidRPr="00ED02AC">
        <w:rPr>
          <w:rFonts w:ascii="Tahoma" w:hAnsi="Tahoma" w:cs="Tahoma"/>
          <w:sz w:val="16"/>
          <w:szCs w:val="16"/>
          <w:rtl/>
        </w:rPr>
        <w:tab/>
        <w:t>על פי הסכמים שונים שחתמה מדינת ישראל, בהגדרה זו נכללים מלונות, מתקני אירוח כפרי (צימרים), דירות אירוח לטווח קצר וכן "מתקן אכסון אחוד", שהוא מתקן אכסון שאינו מתקן אכסון מלונאי וכולל לפחות 11 יחידות אירוח המרוכזות במבנה או במספר מבנים סמוכים או באזור גיאוגרפי תחום, הנסמכים על שטחים ציבוריים אחודים. המתקן הוא בבעלות גורם אחד, שפעילות האירוח בו מנוהלת על ידי גוף ניהולי אחד, ומיועד לספק לציבור אורחים בלתי מסוים ומתחלף שירותי לינה, יחד עם שירותים נלווים או בלעדיהם, בתמורה, ולפרקי זמן קצובים, - לרבות אכסניות נוער, מעונות סטודנטים, מדרשות, ישיבות, אולפנות, דירות בקיבוצים, חאנים ובתי ספר שדה.</w:t>
      </w:r>
    </w:p>
  </w:footnote>
  <w:footnote w:id="2">
    <w:p w:rsidR="002B781A" w:rsidRPr="00ED02AC" w:rsidRDefault="002B781A" w:rsidP="00D145DF">
      <w:pPr>
        <w:pStyle w:val="af"/>
        <w:ind w:hanging="708"/>
        <w:rPr>
          <w:rFonts w:ascii="Tahoma" w:hAnsi="Tahoma" w:cs="Tahoma"/>
          <w:sz w:val="16"/>
          <w:szCs w:val="16"/>
        </w:rPr>
      </w:pPr>
      <w:r w:rsidRPr="00ED02AC">
        <w:rPr>
          <w:rStyle w:val="af1"/>
          <w:rFonts w:ascii="Tahoma" w:hAnsi="Tahoma" w:cs="Tahoma"/>
          <w:sz w:val="16"/>
          <w:szCs w:val="16"/>
        </w:rPr>
        <w:footnoteRef/>
      </w:r>
      <w:r w:rsidRPr="00ED02AC">
        <w:rPr>
          <w:rFonts w:ascii="Tahoma" w:hAnsi="Tahoma" w:cs="Tahoma"/>
          <w:sz w:val="16"/>
          <w:szCs w:val="16"/>
          <w:rtl/>
        </w:rPr>
        <w:t xml:space="preserve"> </w:t>
      </w:r>
      <w:bookmarkStart w:id="3" w:name="_Hlk220586592"/>
      <w:r w:rsidRPr="00ED02AC">
        <w:rPr>
          <w:rFonts w:ascii="Tahoma" w:hAnsi="Tahoma" w:cs="Tahoma"/>
          <w:sz w:val="16"/>
          <w:szCs w:val="16"/>
          <w:rtl/>
        </w:rPr>
        <w:t xml:space="preserve">     </w:t>
      </w:r>
      <w:r w:rsidR="00D145DF">
        <w:rPr>
          <w:rFonts w:ascii="Tahoma" w:hAnsi="Tahoma" w:cs="Tahoma"/>
          <w:sz w:val="16"/>
          <w:szCs w:val="16"/>
          <w:rtl/>
        </w:rPr>
        <w:tab/>
      </w:r>
      <w:r w:rsidRPr="00ED02AC">
        <w:rPr>
          <w:rFonts w:ascii="Tahoma" w:hAnsi="Tahoma" w:cs="Tahoma"/>
          <w:sz w:val="16"/>
          <w:szCs w:val="16"/>
          <w:rtl/>
        </w:rPr>
        <w:t>ראו בקובץ דוחות זה בפרק</w:t>
      </w:r>
      <w:bookmarkEnd w:id="3"/>
      <w:r w:rsidRPr="00ED02AC">
        <w:rPr>
          <w:rFonts w:ascii="Tahoma" w:hAnsi="Tahoma" w:cs="Tahoma"/>
          <w:sz w:val="16"/>
          <w:szCs w:val="16"/>
          <w:rtl/>
        </w:rPr>
        <w:t xml:space="preserve"> "מהלך האירועים, הנורמות והגופים המבוקרים" הגדרות לתוכנית "מרחק בטוח" הצה"לית ולתוכנית</w:t>
      </w:r>
      <w:r w:rsidR="00DB2E57">
        <w:rPr>
          <w:rFonts w:ascii="Tahoma" w:hAnsi="Tahoma" w:cs="Tahoma" w:hint="cs"/>
          <w:sz w:val="16"/>
          <w:szCs w:val="16"/>
          <w:rtl/>
        </w:rPr>
        <w:t xml:space="preserve"> </w:t>
      </w:r>
      <w:r w:rsidRPr="00ED02AC">
        <w:rPr>
          <w:rFonts w:ascii="Tahoma" w:hAnsi="Tahoma" w:cs="Tahoma"/>
          <w:sz w:val="16"/>
          <w:szCs w:val="16"/>
          <w:rtl/>
        </w:rPr>
        <w:t>"מרחק בטוח" הלאומית. ההתייחסות בפרק זה לתוכנית "מרחק בטוח" היא לכל אחת מהתוכניות בהקשרים בהם הן חופפות.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2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2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2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F1744A">
                              <w:rPr>
                                <w:rFonts w:ascii="Calibri" w:hAnsi="Calibri" w:cs="Calibri" w:hint="cs"/>
                                <w:color w:val="002060"/>
                                <w:sz w:val="12"/>
                                <w:szCs w:val="12"/>
                                <w:rtl/>
                              </w:rPr>
                              <w:t xml:space="preserve"> </w:t>
                            </w:r>
                            <w:r w:rsidR="009961E8" w:rsidRPr="00F1744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F1744A">
                              <w:rPr>
                                <w:rFonts w:ascii="Calibri" w:hAnsi="Calibri" w:cs="Calibri" w:hint="cs"/>
                                <w:color w:val="002060"/>
                                <w:sz w:val="12"/>
                                <w:szCs w:val="12"/>
                                <w:rtl/>
                              </w:rPr>
                              <w:t xml:space="preserve"> </w:t>
                            </w:r>
                            <w:r w:rsidR="009961E8" w:rsidRPr="00F1744A">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225534">
                              <w:rPr>
                                <w:rFonts w:ascii="Calibri" w:hAnsi="Calibri" w:cs="Calibri" w:hint="cs"/>
                                <w:color w:val="002060"/>
                                <w:szCs w:val="20"/>
                                <w:rtl/>
                              </w:rPr>
                              <w:t xml:space="preserve"> ברשויות המקומיות</w:t>
                            </w:r>
                          </w:p>
                          <w:p w:rsidR="00E678C7" w:rsidRPr="003E5BDC" w:rsidRDefault="002B781A" w:rsidP="002B781A">
                            <w:pPr>
                              <w:spacing w:line="240" w:lineRule="auto"/>
                              <w:rPr>
                                <w:rFonts w:ascii="Calibri" w:hAnsi="Calibri" w:cs="Calibri"/>
                                <w:color w:val="002060"/>
                                <w:sz w:val="19"/>
                                <w:szCs w:val="19"/>
                                <w:rtl/>
                              </w:rPr>
                            </w:pPr>
                            <w:r w:rsidRPr="003E5BDC">
                              <w:rPr>
                                <w:rFonts w:ascii="Calibri" w:hAnsi="Calibri" w:cs="Calibri"/>
                                <w:color w:val="002060"/>
                                <w:sz w:val="19"/>
                                <w:szCs w:val="19"/>
                                <w:rtl/>
                              </w:rPr>
                              <w:t>פינוי אוכלוסייה מרשויות מקומיות בצפון הארץ והקשר עם התושבים המפונים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bookmarkStart w:id="6" w:name="_GoBack"/>
                      <w:bookmarkEnd w:id="6"/>
                      <w:r w:rsidR="0019747C" w:rsidRPr="00F1744A">
                        <w:rPr>
                          <w:rFonts w:ascii="Calibri" w:hAnsi="Calibri" w:cs="Calibri" w:hint="cs"/>
                          <w:color w:val="002060"/>
                          <w:sz w:val="12"/>
                          <w:szCs w:val="12"/>
                          <w:rtl/>
                        </w:rPr>
                        <w:t xml:space="preserve"> </w:t>
                      </w:r>
                      <w:r w:rsidR="009961E8" w:rsidRPr="00F1744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F1744A">
                        <w:rPr>
                          <w:rFonts w:ascii="Calibri" w:hAnsi="Calibri" w:cs="Calibri" w:hint="cs"/>
                          <w:color w:val="002060"/>
                          <w:sz w:val="12"/>
                          <w:szCs w:val="12"/>
                          <w:rtl/>
                        </w:rPr>
                        <w:t xml:space="preserve"> </w:t>
                      </w:r>
                      <w:r w:rsidR="009961E8" w:rsidRPr="00F1744A">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225534">
                        <w:rPr>
                          <w:rFonts w:ascii="Calibri" w:hAnsi="Calibri" w:cs="Calibri" w:hint="cs"/>
                          <w:color w:val="002060"/>
                          <w:szCs w:val="20"/>
                          <w:rtl/>
                        </w:rPr>
                        <w:t xml:space="preserve"> ברשויות המקומיות</w:t>
                      </w:r>
                    </w:p>
                    <w:p w:rsidR="00E678C7" w:rsidRPr="003E5BDC" w:rsidRDefault="002B781A" w:rsidP="002B781A">
                      <w:pPr>
                        <w:spacing w:line="240" w:lineRule="auto"/>
                        <w:rPr>
                          <w:rFonts w:ascii="Calibri" w:hAnsi="Calibri" w:cs="Calibri"/>
                          <w:color w:val="002060"/>
                          <w:sz w:val="19"/>
                          <w:szCs w:val="19"/>
                          <w:rtl/>
                        </w:rPr>
                      </w:pPr>
                      <w:r w:rsidRPr="003E5BDC">
                        <w:rPr>
                          <w:rFonts w:ascii="Calibri" w:hAnsi="Calibri" w:cs="Calibri"/>
                          <w:color w:val="002060"/>
                          <w:sz w:val="19"/>
                          <w:szCs w:val="19"/>
                          <w:rtl/>
                        </w:rPr>
                        <w:t>פינוי אוכלוסייה מרשויות מקומיות בצפון הארץ והקשר עם התושבים המפונים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2B781A">
                            <w:rPr>
                              <w:rFonts w:ascii="Calibri" w:hAnsi="Calibri" w:cs="Calibri" w:hint="cs"/>
                              <w:color w:val="FFFFFF" w:themeColor="background1"/>
                              <w:spacing w:val="80"/>
                              <w:sz w:val="28"/>
                              <w:szCs w:val="36"/>
                              <w:rtl/>
                            </w:rPr>
                            <w:t>ו</w:t>
                          </w:r>
                          <w:r w:rsidR="004B2FF6">
                            <w:rPr>
                              <w:rFonts w:ascii="Calibri" w:hAnsi="Calibri" w:cs="Calibri" w:hint="cs"/>
                              <w:color w:val="FFFFFF" w:themeColor="background1"/>
                              <w:spacing w:val="80"/>
                              <w:sz w:val="28"/>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3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2B781A">
                      <w:rPr>
                        <w:rFonts w:ascii="Calibri" w:hAnsi="Calibri" w:cs="Calibri" w:hint="cs"/>
                        <w:color w:val="FFFFFF" w:themeColor="background1"/>
                        <w:spacing w:val="80"/>
                        <w:sz w:val="28"/>
                        <w:szCs w:val="36"/>
                        <w:rtl/>
                      </w:rPr>
                      <w:t>ו</w:t>
                    </w:r>
                    <w:r w:rsidR="004B2FF6">
                      <w:rPr>
                        <w:rFonts w:ascii="Calibri" w:hAnsi="Calibri" w:cs="Calibri" w:hint="cs"/>
                        <w:color w:val="FFFFFF" w:themeColor="background1"/>
                        <w:spacing w:val="80"/>
                        <w:sz w:val="28"/>
                        <w:szCs w:val="36"/>
                        <w:rtl/>
                      </w:rPr>
                      <w:t>'</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4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4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4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1" type="#_x0000_t75" style="width:18.35pt;height:16.3pt" o:bullet="t">
        <v:imagedata r:id="rId1" o:title="hand-red"/>
      </v:shape>
    </w:pict>
  </w:numPicBullet>
  <w:numPicBullet w:numPicBulletId="1">
    <w:pict>
      <v:shape id="_x0000_i1282" type="#_x0000_t75" style="width:254.7pt;height:254.7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2448"/>
    <w:rsid w:val="001960B4"/>
    <w:rsid w:val="0019747C"/>
    <w:rsid w:val="001A3BBC"/>
    <w:rsid w:val="001A613C"/>
    <w:rsid w:val="001B0FEA"/>
    <w:rsid w:val="001B2821"/>
    <w:rsid w:val="001C057E"/>
    <w:rsid w:val="001C33F8"/>
    <w:rsid w:val="001C6185"/>
    <w:rsid w:val="001D3A45"/>
    <w:rsid w:val="001D3DA9"/>
    <w:rsid w:val="001E204F"/>
    <w:rsid w:val="001F0CD9"/>
    <w:rsid w:val="00203604"/>
    <w:rsid w:val="002064F7"/>
    <w:rsid w:val="00212D9D"/>
    <w:rsid w:val="00225534"/>
    <w:rsid w:val="0023497D"/>
    <w:rsid w:val="00240887"/>
    <w:rsid w:val="002602F0"/>
    <w:rsid w:val="00263521"/>
    <w:rsid w:val="00276705"/>
    <w:rsid w:val="00291629"/>
    <w:rsid w:val="002A7D21"/>
    <w:rsid w:val="002B55E8"/>
    <w:rsid w:val="002B781A"/>
    <w:rsid w:val="002C0C75"/>
    <w:rsid w:val="002C0FD0"/>
    <w:rsid w:val="002C1EE0"/>
    <w:rsid w:val="002C4139"/>
    <w:rsid w:val="00301153"/>
    <w:rsid w:val="0030602D"/>
    <w:rsid w:val="00310345"/>
    <w:rsid w:val="00313DEA"/>
    <w:rsid w:val="0032268D"/>
    <w:rsid w:val="00323027"/>
    <w:rsid w:val="00330009"/>
    <w:rsid w:val="00340353"/>
    <w:rsid w:val="0036735A"/>
    <w:rsid w:val="0037370B"/>
    <w:rsid w:val="0037752E"/>
    <w:rsid w:val="0037780B"/>
    <w:rsid w:val="00380052"/>
    <w:rsid w:val="0038467A"/>
    <w:rsid w:val="00386E9B"/>
    <w:rsid w:val="0039415D"/>
    <w:rsid w:val="003D61C6"/>
    <w:rsid w:val="003E32D2"/>
    <w:rsid w:val="003E58C2"/>
    <w:rsid w:val="003E5BDC"/>
    <w:rsid w:val="003E6853"/>
    <w:rsid w:val="00411396"/>
    <w:rsid w:val="0042177E"/>
    <w:rsid w:val="00450C77"/>
    <w:rsid w:val="004562F8"/>
    <w:rsid w:val="004672FB"/>
    <w:rsid w:val="004779AA"/>
    <w:rsid w:val="00493AB8"/>
    <w:rsid w:val="004A0385"/>
    <w:rsid w:val="004A0D80"/>
    <w:rsid w:val="004B2FF6"/>
    <w:rsid w:val="004C7D9F"/>
    <w:rsid w:val="004E0191"/>
    <w:rsid w:val="004E2733"/>
    <w:rsid w:val="004E488A"/>
    <w:rsid w:val="004F0AB4"/>
    <w:rsid w:val="005006C5"/>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786C"/>
    <w:rsid w:val="006E1414"/>
    <w:rsid w:val="006F285F"/>
    <w:rsid w:val="00716AFD"/>
    <w:rsid w:val="0072219B"/>
    <w:rsid w:val="00745F7A"/>
    <w:rsid w:val="007474F0"/>
    <w:rsid w:val="00753ADE"/>
    <w:rsid w:val="00773F61"/>
    <w:rsid w:val="00780272"/>
    <w:rsid w:val="007A4EBD"/>
    <w:rsid w:val="007B112B"/>
    <w:rsid w:val="007B5B26"/>
    <w:rsid w:val="007B691A"/>
    <w:rsid w:val="007C1FF6"/>
    <w:rsid w:val="007C317E"/>
    <w:rsid w:val="007D61B8"/>
    <w:rsid w:val="007E24BD"/>
    <w:rsid w:val="007F7FF2"/>
    <w:rsid w:val="00805B42"/>
    <w:rsid w:val="008102AD"/>
    <w:rsid w:val="00824AB2"/>
    <w:rsid w:val="0083106F"/>
    <w:rsid w:val="00837997"/>
    <w:rsid w:val="00846FFB"/>
    <w:rsid w:val="008654CB"/>
    <w:rsid w:val="00867FC5"/>
    <w:rsid w:val="0088743F"/>
    <w:rsid w:val="00892F80"/>
    <w:rsid w:val="00897698"/>
    <w:rsid w:val="008A2E0E"/>
    <w:rsid w:val="008B4F41"/>
    <w:rsid w:val="008B5B82"/>
    <w:rsid w:val="008C1428"/>
    <w:rsid w:val="008C6F75"/>
    <w:rsid w:val="008D750B"/>
    <w:rsid w:val="009015B2"/>
    <w:rsid w:val="00906E90"/>
    <w:rsid w:val="0091051D"/>
    <w:rsid w:val="00936F84"/>
    <w:rsid w:val="00937D32"/>
    <w:rsid w:val="00940851"/>
    <w:rsid w:val="009515F9"/>
    <w:rsid w:val="00961F73"/>
    <w:rsid w:val="009679D9"/>
    <w:rsid w:val="009912C8"/>
    <w:rsid w:val="009961E8"/>
    <w:rsid w:val="009A6817"/>
    <w:rsid w:val="009B0AEC"/>
    <w:rsid w:val="009B497A"/>
    <w:rsid w:val="009C6066"/>
    <w:rsid w:val="009D45C5"/>
    <w:rsid w:val="009D73F5"/>
    <w:rsid w:val="009E1A3F"/>
    <w:rsid w:val="009E53CF"/>
    <w:rsid w:val="009F0BD3"/>
    <w:rsid w:val="00A01457"/>
    <w:rsid w:val="00A055D0"/>
    <w:rsid w:val="00A222E2"/>
    <w:rsid w:val="00A30B00"/>
    <w:rsid w:val="00A5605A"/>
    <w:rsid w:val="00A61AD5"/>
    <w:rsid w:val="00A73038"/>
    <w:rsid w:val="00A76C99"/>
    <w:rsid w:val="00A81EBE"/>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E22D7"/>
    <w:rsid w:val="00BE2DD8"/>
    <w:rsid w:val="00C17AAE"/>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D5320"/>
    <w:rsid w:val="00CD6EEC"/>
    <w:rsid w:val="00CF6518"/>
    <w:rsid w:val="00D145DF"/>
    <w:rsid w:val="00D22748"/>
    <w:rsid w:val="00D26918"/>
    <w:rsid w:val="00D37121"/>
    <w:rsid w:val="00D57BE9"/>
    <w:rsid w:val="00D71966"/>
    <w:rsid w:val="00D779F7"/>
    <w:rsid w:val="00D87542"/>
    <w:rsid w:val="00D95C20"/>
    <w:rsid w:val="00D97C16"/>
    <w:rsid w:val="00DA3406"/>
    <w:rsid w:val="00DA67CB"/>
    <w:rsid w:val="00DB2E3A"/>
    <w:rsid w:val="00DB2E57"/>
    <w:rsid w:val="00DB6E18"/>
    <w:rsid w:val="00DE1DAB"/>
    <w:rsid w:val="00DE20A2"/>
    <w:rsid w:val="00DF0B89"/>
    <w:rsid w:val="00E35682"/>
    <w:rsid w:val="00E46EA3"/>
    <w:rsid w:val="00E51C1B"/>
    <w:rsid w:val="00E52143"/>
    <w:rsid w:val="00E53DA7"/>
    <w:rsid w:val="00E678C7"/>
    <w:rsid w:val="00E725B9"/>
    <w:rsid w:val="00EB5989"/>
    <w:rsid w:val="00EC6B44"/>
    <w:rsid w:val="00EE06A0"/>
    <w:rsid w:val="00EE37A3"/>
    <w:rsid w:val="00EE407E"/>
    <w:rsid w:val="00EE67C7"/>
    <w:rsid w:val="00F1744A"/>
    <w:rsid w:val="00F3055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8F288"/>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nhideWhenUsed/>
    <w:rsid w:val="000501A4"/>
    <w:rPr>
      <w:vertAlign w:val="superscript"/>
    </w:rPr>
  </w:style>
  <w:style w:type="paragraph" w:styleId="af2">
    <w:name w:val="List Paragraph"/>
    <w:aliases w:val="Bullet Number,Num Bullet 1,Use Case List Paragraph,style 2,פיסקת רשימה1,FooterText,LP1,List Paragraph1,List Paragraph_0,List Paragraph_1,Paragraphe de liste1,lp1,numbered,x.x.x.x,נספח 2 מתוקן,פיסקת bullets,פיסקת רשימה11,פיסקת רשימה12,Dell"/>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FooterText תו,LP1 תו,List Paragraph1 תו,List Paragraph_0 תו,List Paragraph_1 תו,Paragraphe de liste1 תו,lp1 תו,numbered תו,x.x.x.x תו,נספח 2 מתוקן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5"/>
    <w:next w:val="af4"/>
    <w:uiPriority w:val="59"/>
    <w:rsid w:val="002B781A"/>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286C49B-571D-4563-82A2-7598060BDF0E}">
  <ds:schemaRefs>
    <ds:schemaRef ds:uri="http://schemas.openxmlformats.org/officeDocument/2006/bibliography"/>
  </ds:schemaRefs>
</ds:datastoreItem>
</file>

<file path=customXml/itemProps2.xml><?xml version="1.0" encoding="utf-8"?>
<ds:datastoreItem xmlns:ds="http://schemas.openxmlformats.org/officeDocument/2006/customXml" ds:itemID="{E3AC15FC-69E5-4272-A159-A420816590AE}"/>
</file>

<file path=customXml/itemProps3.xml><?xml version="1.0" encoding="utf-8"?>
<ds:datastoreItem xmlns:ds="http://schemas.openxmlformats.org/officeDocument/2006/customXml" ds:itemID="{F7FFC369-7FC7-433D-A8EE-D67073B7B0A6}"/>
</file>

<file path=customXml/itemProps4.xml><?xml version="1.0" encoding="utf-8"?>
<ds:datastoreItem xmlns:ds="http://schemas.openxmlformats.org/officeDocument/2006/customXml" ds:itemID="{5CDC48D1-32BA-42D1-AD11-91008BE72510}"/>
</file>

<file path=docProps/app.xml><?xml version="1.0" encoding="utf-8"?>
<Properties xmlns="http://schemas.openxmlformats.org/officeDocument/2006/extended-properties" xmlns:vt="http://schemas.openxmlformats.org/officeDocument/2006/docPropsVTypes">
  <Template>Normal.dotm</Template>
  <TotalTime>0</TotalTime>
  <Pages>10</Pages>
  <Words>2461</Words>
  <Characters>12310</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2026-02-17T11:03:00Z</dcterms:created>
  <dcterms:modified xsi:type="dcterms:W3CDTF">2026-02-17T11:03:00Z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