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05A" w:rsidRDefault="00A5605A" w:rsidP="00A30B00">
      <w:pPr>
        <w:spacing w:after="160" w:line="259" w:lineRule="auto"/>
        <w:jc w:val="left"/>
        <w:rPr>
          <w:rFonts w:ascii="Tahoma" w:hAnsi="Tahoma" w:cs="Tahoma"/>
          <w:sz w:val="19"/>
          <w:szCs w:val="19"/>
          <w:rtl/>
        </w:rPr>
      </w:pPr>
      <w:bookmarkStart w:id="0" w:name="_Hlk192594390"/>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1C33F8" w:rsidRDefault="00CA53D9" w:rsidP="009515F9">
      <w:pPr>
        <w:spacing w:line="560" w:lineRule="exact"/>
        <w:ind w:left="1701" w:right="1843"/>
        <w:jc w:val="center"/>
        <w:rPr>
          <w:rFonts w:ascii="Tahoma" w:hAnsi="Tahoma" w:cs="Tahoma"/>
          <w:sz w:val="19"/>
          <w:szCs w:val="19"/>
          <w:rtl/>
        </w:rPr>
      </w:pPr>
      <w:r w:rsidRPr="00CA53D9">
        <w:rPr>
          <w:rFonts w:ascii="Calibri" w:hAnsi="Calibri" w:cs="Calibri"/>
          <w:b/>
          <w:bCs/>
          <w:color w:val="002060"/>
          <w:sz w:val="56"/>
          <w:szCs w:val="56"/>
          <w:rtl/>
        </w:rPr>
        <w:t>מתן שירותי רווחה למפונים</w:t>
      </w: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Pr>
      </w:pPr>
    </w:p>
    <w:p w:rsidR="009515F9" w:rsidRDefault="009515F9" w:rsidP="009515F9">
      <w:pPr>
        <w:bidi w:val="0"/>
        <w:spacing w:after="200" w:line="276" w:lineRule="auto"/>
        <w:jc w:val="center"/>
        <w:rPr>
          <w:rFonts w:ascii="Tahoma" w:hAnsi="Tahoma" w:cs="Tahoma"/>
          <w:sz w:val="19"/>
          <w:szCs w:val="19"/>
        </w:rPr>
      </w:pPr>
    </w:p>
    <w:p w:rsidR="009515F9" w:rsidRDefault="009515F9" w:rsidP="009515F9">
      <w:pPr>
        <w:bidi w:val="0"/>
        <w:spacing w:after="200" w:line="276" w:lineRule="auto"/>
        <w:jc w:val="center"/>
        <w:rPr>
          <w:rFonts w:ascii="Tahoma" w:hAnsi="Tahoma" w:cs="Tahoma"/>
          <w:sz w:val="19"/>
          <w:szCs w:val="19"/>
        </w:rPr>
      </w:pPr>
    </w:p>
    <w:p w:rsidR="002204A8" w:rsidRPr="002204A8" w:rsidRDefault="002204A8" w:rsidP="001C33F8">
      <w:pPr>
        <w:spacing w:after="200" w:line="276" w:lineRule="auto"/>
        <w:jc w:val="center"/>
        <w:rPr>
          <w:rFonts w:asciiTheme="minorBidi" w:hAnsiTheme="minorBidi" w:cstheme="minorBidi"/>
          <w:color w:val="0F243E" w:themeColor="text2" w:themeShade="80"/>
          <w:sz w:val="16"/>
          <w:szCs w:val="16"/>
          <w:rtl/>
        </w:rPr>
      </w:pPr>
    </w:p>
    <w:p w:rsidR="002204A8" w:rsidRPr="002204A8" w:rsidRDefault="002204A8" w:rsidP="002204A8">
      <w:pPr>
        <w:spacing w:after="200" w:line="276" w:lineRule="auto"/>
        <w:jc w:val="center"/>
        <w:rPr>
          <w:rFonts w:asciiTheme="minorBidi" w:hAnsiTheme="minorBidi" w:cstheme="minorBidi"/>
          <w:color w:val="0F243E" w:themeColor="text2" w:themeShade="80"/>
          <w:sz w:val="22"/>
          <w:szCs w:val="22"/>
          <w:rtl/>
        </w:rPr>
      </w:pPr>
      <w:r w:rsidRPr="002204A8">
        <w:rPr>
          <w:rFonts w:asciiTheme="minorBidi" w:hAnsiTheme="minorBidi" w:cstheme="minorBidi"/>
          <w:color w:val="0F243E" w:themeColor="text2" w:themeShade="80"/>
          <w:sz w:val="22"/>
          <w:szCs w:val="22"/>
          <w:rtl/>
        </w:rPr>
        <w:t xml:space="preserve">גופן הכותרת מעוצב בכתב ידה של </w:t>
      </w:r>
      <w:r w:rsidRPr="002204A8">
        <w:rPr>
          <w:rFonts w:asciiTheme="minorBidi" w:hAnsiTheme="minorBidi" w:cstheme="minorBidi"/>
          <w:b/>
          <w:bCs/>
          <w:color w:val="0F243E" w:themeColor="text2" w:themeShade="80"/>
          <w:sz w:val="22"/>
          <w:szCs w:val="22"/>
          <w:rtl/>
        </w:rPr>
        <w:t>ליאור אטיאס</w:t>
      </w:r>
      <w:r w:rsidRPr="002204A8">
        <w:rPr>
          <w:rFonts w:asciiTheme="minorBidi" w:hAnsiTheme="minorBidi" w:cstheme="minorBidi"/>
          <w:color w:val="0F243E" w:themeColor="text2" w:themeShade="80"/>
          <w:sz w:val="22"/>
          <w:szCs w:val="22"/>
          <w:rtl/>
        </w:rPr>
        <w:t xml:space="preserve"> ז"ל, אשר נרצחה בשבעה באוקטובר</w:t>
      </w:r>
      <w:r w:rsidRPr="002204A8">
        <w:rPr>
          <w:rFonts w:asciiTheme="minorBidi" w:hAnsiTheme="minorBidi" w:cstheme="minorBidi" w:hint="cs"/>
          <w:color w:val="0F243E" w:themeColor="text2" w:themeShade="80"/>
          <w:sz w:val="22"/>
          <w:szCs w:val="22"/>
          <w:rtl/>
        </w:rPr>
        <w:t>.</w:t>
      </w:r>
      <w:r w:rsidRPr="002204A8">
        <w:rPr>
          <w:rFonts w:asciiTheme="minorBidi" w:hAnsiTheme="minorBidi" w:cstheme="minorBidi"/>
          <w:color w:val="0F243E" w:themeColor="text2" w:themeShade="80"/>
          <w:sz w:val="22"/>
          <w:szCs w:val="22"/>
          <w:rtl/>
        </w:rPr>
        <w:t xml:space="preserve"> ליאור אהבה בעלי חיים, עבדה כאחות וטרינרית ושימשה משפחת אומנה לחיות במצוקה. היא התנדבה בעמותת "עלם" והגיעה למסיבת </w:t>
      </w:r>
      <w:proofErr w:type="spellStart"/>
      <w:r w:rsidRPr="002204A8">
        <w:rPr>
          <w:rFonts w:asciiTheme="minorBidi" w:hAnsiTheme="minorBidi" w:cstheme="minorBidi"/>
          <w:color w:val="0F243E" w:themeColor="text2" w:themeShade="80"/>
          <w:sz w:val="22"/>
          <w:szCs w:val="22"/>
          <w:rtl/>
        </w:rPr>
        <w:t>הנובה</w:t>
      </w:r>
      <w:bookmarkStart w:id="1" w:name="_GoBack"/>
      <w:bookmarkEnd w:id="1"/>
      <w:proofErr w:type="spellEnd"/>
      <w:r w:rsidRPr="002204A8">
        <w:rPr>
          <w:rFonts w:asciiTheme="minorBidi" w:hAnsiTheme="minorBidi" w:cstheme="minorBidi"/>
          <w:color w:val="0F243E" w:themeColor="text2" w:themeShade="80"/>
          <w:sz w:val="22"/>
          <w:szCs w:val="22"/>
          <w:rtl/>
        </w:rPr>
        <w:t xml:space="preserve"> כדי לסייע לחוגגים במקרה של מצוקה נפשית. ליאור הותירה אחריה בן זוג ובת</w:t>
      </w:r>
      <w:r w:rsidRPr="002204A8">
        <w:rPr>
          <w:rFonts w:asciiTheme="minorBidi" w:hAnsiTheme="minorBidi" w:cstheme="minorBidi" w:hint="cs"/>
          <w:color w:val="0F243E" w:themeColor="text2" w:themeShade="80"/>
          <w:sz w:val="22"/>
          <w:szCs w:val="22"/>
          <w:rtl/>
        </w:rPr>
        <w:t>.</w:t>
      </w:r>
    </w:p>
    <w:p w:rsidR="001C33F8" w:rsidRPr="002204A8" w:rsidRDefault="001C33F8" w:rsidP="002204A8">
      <w:pPr>
        <w:spacing w:after="200" w:line="276" w:lineRule="auto"/>
        <w:rPr>
          <w:rFonts w:asciiTheme="minorBidi" w:hAnsiTheme="minorBidi" w:cstheme="minorBidi"/>
          <w:color w:val="0F243E" w:themeColor="text2" w:themeShade="80"/>
          <w:sz w:val="14"/>
          <w:szCs w:val="14"/>
          <w:rtl/>
        </w:rPr>
      </w:pPr>
    </w:p>
    <w:tbl>
      <w:tblPr>
        <w:tblStyle w:val="af4"/>
        <w:tblpPr w:leftFromText="180" w:rightFromText="180" w:vertAnchor="text" w:tblpXSpec="center" w:tblpY="1"/>
        <w:tblOverlap w:val="never"/>
        <w:bidiVisual/>
        <w:tblW w:w="9076"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6"/>
      </w:tblGrid>
      <w:tr w:rsidR="00AE4BB7" w:rsidTr="009E37AC">
        <w:trPr>
          <w:trHeight w:val="77"/>
        </w:trPr>
        <w:tc>
          <w:tcPr>
            <w:tcW w:w="9076" w:type="dxa"/>
          </w:tcPr>
          <w:p w:rsidR="00AE4BB7" w:rsidRPr="005F4A6D" w:rsidRDefault="00AE4BB7" w:rsidP="009E37AC">
            <w:pPr>
              <w:tabs>
                <w:tab w:val="left" w:pos="1122"/>
              </w:tabs>
              <w:spacing w:line="288" w:lineRule="auto"/>
              <w:jc w:val="left"/>
              <w:rPr>
                <w:sz w:val="2"/>
                <w:szCs w:val="4"/>
                <w:rtl/>
              </w:rPr>
            </w:pPr>
          </w:p>
        </w:tc>
      </w:tr>
      <w:tr w:rsidR="00AE4BB7" w:rsidTr="009E37AC">
        <w:trPr>
          <w:trHeight w:val="1644"/>
        </w:trPr>
        <w:tc>
          <w:tcPr>
            <w:tcW w:w="9076" w:type="dxa"/>
          </w:tcPr>
          <w:p w:rsidR="009515F9" w:rsidRDefault="00CA53D9" w:rsidP="009515F9">
            <w:pPr>
              <w:spacing w:before="120" w:line="240" w:lineRule="auto"/>
              <w:jc w:val="left"/>
              <w:rPr>
                <w:rFonts w:ascii="Tahoma" w:hAnsi="Tahoma" w:cs="Tahoma"/>
                <w:b/>
                <w:bCs/>
                <w:sz w:val="40"/>
                <w:szCs w:val="40"/>
                <w:rtl/>
              </w:rPr>
            </w:pPr>
            <w:r w:rsidRPr="00CA53D9">
              <w:rPr>
                <w:rFonts w:ascii="Tahoma" w:hAnsi="Tahoma" w:cs="Tahoma"/>
                <w:b/>
                <w:bCs/>
                <w:sz w:val="40"/>
                <w:szCs w:val="40"/>
                <w:rtl/>
              </w:rPr>
              <w:t>מתן שירותי רווחה למפונים</w:t>
            </w:r>
          </w:p>
          <w:p w:rsidR="00AE4BB7" w:rsidRDefault="00AE4BB7" w:rsidP="009E37AC">
            <w:pPr>
              <w:spacing w:before="120" w:line="288" w:lineRule="auto"/>
              <w:jc w:val="left"/>
            </w:pPr>
            <w:r>
              <w:rPr>
                <w:rFonts w:ascii="Tahoma" w:hAnsi="Tahoma" w:cs="Tahoma"/>
                <w:sz w:val="36"/>
                <w:szCs w:val="36"/>
                <w:rtl/>
              </w:rPr>
              <w:t>תקציר</w:t>
            </w:r>
          </w:p>
          <w:p w:rsidR="00AE4BB7" w:rsidRPr="006C4033" w:rsidRDefault="00AE4BB7" w:rsidP="009E37AC">
            <w:pPr>
              <w:spacing w:line="288" w:lineRule="auto"/>
              <w:ind w:left="-851"/>
              <w:jc w:val="left"/>
              <w:rPr>
                <w:rtl/>
              </w:rPr>
            </w:pPr>
          </w:p>
        </w:tc>
      </w:tr>
    </w:tbl>
    <w:p w:rsidR="00AE4BB7" w:rsidRPr="006C4033" w:rsidRDefault="00AE4BB7" w:rsidP="00AE4BB7">
      <w:pPr>
        <w:spacing w:line="288" w:lineRule="auto"/>
        <w:ind w:left="-284"/>
        <w:rPr>
          <w:rtl/>
        </w:rPr>
      </w:pPr>
      <w:r w:rsidRPr="006C4033">
        <w:rPr>
          <w:rFonts w:ascii="Tahoma" w:hAnsi="Tahoma" w:cs="Tahoma"/>
          <w:noProof/>
          <w:rtl/>
        </w:rPr>
        <w:drawing>
          <wp:inline distT="0" distB="0" distL="0" distR="0" wp14:anchorId="3734391D" wp14:editId="697FEDAA">
            <wp:extent cx="1638300" cy="411480"/>
            <wp:effectExtent l="0" t="0" r="0" b="762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קציר-0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8300" cy="411480"/>
                    </a:xfrm>
                    <a:prstGeom prst="rect">
                      <a:avLst/>
                    </a:prstGeom>
                  </pic:spPr>
                </pic:pic>
              </a:graphicData>
            </a:graphic>
          </wp:inline>
        </w:drawing>
      </w:r>
    </w:p>
    <w:p w:rsidR="00CA53D9" w:rsidRPr="00CA53D9" w:rsidRDefault="00CA53D9" w:rsidP="00306123">
      <w:pPr>
        <w:pStyle w:val="739"/>
        <w:spacing w:after="120"/>
        <w:rPr>
          <w:rFonts w:eastAsia="Calibri"/>
          <w:sz w:val="19"/>
          <w:szCs w:val="19"/>
          <w:rtl/>
        </w:rPr>
      </w:pPr>
      <w:r w:rsidRPr="00CA53D9">
        <w:rPr>
          <w:rFonts w:eastAsia="Calibri" w:hint="cs"/>
          <w:sz w:val="19"/>
          <w:szCs w:val="19"/>
          <w:rtl/>
        </w:rPr>
        <w:t xml:space="preserve">הרשות המקומית מחויבת </w:t>
      </w:r>
      <w:r w:rsidRPr="00CA53D9">
        <w:rPr>
          <w:rFonts w:eastAsia="Calibri"/>
          <w:sz w:val="19"/>
          <w:szCs w:val="19"/>
          <w:rtl/>
        </w:rPr>
        <w:t xml:space="preserve">לספק </w:t>
      </w:r>
      <w:r w:rsidRPr="00CA53D9">
        <w:rPr>
          <w:rFonts w:eastAsia="Calibri" w:hint="cs"/>
          <w:sz w:val="19"/>
          <w:szCs w:val="19"/>
          <w:rtl/>
        </w:rPr>
        <w:t xml:space="preserve">גם </w:t>
      </w:r>
      <w:r w:rsidRPr="00CA53D9">
        <w:rPr>
          <w:rFonts w:eastAsia="Calibri"/>
          <w:sz w:val="19"/>
          <w:szCs w:val="19"/>
          <w:rtl/>
        </w:rPr>
        <w:t xml:space="preserve">את צרכיה של אוכלוסייה מרשות אחרת המפונה לתחומה. אחריות זו באה לידי ביטוי, בין היתר, בנוהל פס"ח 24 של משרד הפנים בדבר בניית מערך הקליטה ברשות המקומית, שעל פיו על הרשות הקולטת לתכנן את מערך הרווחה למעני </w:t>
      </w:r>
      <w:r w:rsidRPr="00CA53D9">
        <w:rPr>
          <w:sz w:val="19"/>
          <w:szCs w:val="19"/>
          <w:rtl/>
        </w:rPr>
        <w:t>המפונים</w:t>
      </w:r>
      <w:r w:rsidRPr="00CA53D9">
        <w:rPr>
          <w:rFonts w:eastAsia="Calibri"/>
          <w:sz w:val="19"/>
          <w:szCs w:val="19"/>
          <w:rtl/>
        </w:rPr>
        <w:t xml:space="preserve"> ממועד קליטתם, ולמשך כל זמן שהייתם במתקני הקליטה עד החזרה לבתיהם או עד למענה חלופי אחר בתום אירועי החירום.</w:t>
      </w:r>
      <w:r w:rsidRPr="00CA53D9">
        <w:rPr>
          <w:rFonts w:eastAsia="Calibri" w:hint="cs"/>
          <w:sz w:val="19"/>
          <w:szCs w:val="19"/>
          <w:rtl/>
        </w:rPr>
        <w:t xml:space="preserve"> </w:t>
      </w:r>
      <w:r w:rsidRPr="00CA53D9">
        <w:rPr>
          <w:rFonts w:eastAsia="Calibri"/>
          <w:sz w:val="19"/>
          <w:szCs w:val="19"/>
          <w:rtl/>
        </w:rPr>
        <w:t>תקנון עבודה סוציאלית (תע"ס) מסדיר את פעילות המחלקה לשירותים חברתיים ברשות המקומית</w:t>
      </w:r>
      <w:r w:rsidRPr="00CA53D9">
        <w:rPr>
          <w:rFonts w:eastAsia="Calibri" w:hint="cs"/>
          <w:sz w:val="19"/>
          <w:szCs w:val="19"/>
          <w:rtl/>
        </w:rPr>
        <w:t xml:space="preserve"> (גם - מחלקת הרווחה)</w:t>
      </w:r>
      <w:r w:rsidRPr="00CA53D9">
        <w:rPr>
          <w:rFonts w:eastAsia="Calibri"/>
          <w:sz w:val="19"/>
          <w:szCs w:val="19"/>
          <w:vertAlign w:val="superscript"/>
          <w:rtl/>
        </w:rPr>
        <w:footnoteReference w:id="1"/>
      </w:r>
      <w:r w:rsidRPr="00CA53D9">
        <w:rPr>
          <w:rFonts w:eastAsia="Calibri"/>
          <w:sz w:val="19"/>
          <w:szCs w:val="19"/>
          <w:rtl/>
        </w:rPr>
        <w:t>, בין היתר בשעת חירום.</w:t>
      </w:r>
      <w:r w:rsidRPr="00CA53D9">
        <w:rPr>
          <w:rFonts w:eastAsia="Calibri" w:hint="cs"/>
          <w:sz w:val="19"/>
          <w:szCs w:val="19"/>
          <w:rtl/>
        </w:rPr>
        <w:t xml:space="preserve"> </w:t>
      </w:r>
      <w:bookmarkStart w:id="2" w:name="tempMark"/>
      <w:bookmarkEnd w:id="2"/>
    </w:p>
    <w:p w:rsidR="00CA53D9" w:rsidRPr="00CA53D9" w:rsidRDefault="00CA53D9" w:rsidP="00306123">
      <w:pPr>
        <w:pStyle w:val="739"/>
        <w:spacing w:after="120"/>
        <w:rPr>
          <w:rFonts w:eastAsia="Calibri"/>
          <w:sz w:val="19"/>
          <w:szCs w:val="19"/>
          <w:rtl/>
        </w:rPr>
      </w:pPr>
      <w:r w:rsidRPr="00CA53D9">
        <w:rPr>
          <w:rFonts w:eastAsia="Calibri"/>
          <w:sz w:val="19"/>
          <w:szCs w:val="19"/>
          <w:rtl/>
        </w:rPr>
        <w:t>כל אירוע חירום, ובפרט אירוע מטלטל ונרחב כ</w:t>
      </w:r>
      <w:r w:rsidRPr="00CA53D9">
        <w:rPr>
          <w:rFonts w:eastAsia="Calibri" w:hint="cs"/>
          <w:sz w:val="19"/>
          <w:szCs w:val="19"/>
          <w:rtl/>
        </w:rPr>
        <w:t>מתקפת הטרור בשבעה באוקטובר ו</w:t>
      </w:r>
      <w:r w:rsidRPr="00CA53D9">
        <w:rPr>
          <w:rFonts w:eastAsia="Calibri"/>
          <w:sz w:val="19"/>
          <w:szCs w:val="19"/>
          <w:rtl/>
        </w:rPr>
        <w:t xml:space="preserve">מלחמת חרבות ברזל, משפיע השפעה עמוקה על אזרחי המדינה ופוגע בשגרת חייהם. ניכרת עלייה ברמת המצוקה של אוכלוסיית המפונים ובקשיים הרגשיים שעימם הם מתמודדים, וביתר שאת בקרב אוכלוסיות המתמודדות עם אתגרים עמוקים גם בעת שגרה, דוגמת אזרחים ותיקים ואנשים עם מוגבלות. </w:t>
      </w:r>
      <w:r w:rsidRPr="00CA53D9">
        <w:rPr>
          <w:rFonts w:eastAsia="Calibri" w:hint="cs"/>
          <w:sz w:val="19"/>
          <w:szCs w:val="19"/>
          <w:rtl/>
        </w:rPr>
        <w:t xml:space="preserve">נדרשת </w:t>
      </w:r>
      <w:r w:rsidRPr="00CA53D9">
        <w:rPr>
          <w:rFonts w:eastAsia="Calibri"/>
          <w:sz w:val="19"/>
          <w:szCs w:val="19"/>
          <w:rtl/>
        </w:rPr>
        <w:t>שימת לב ייחודית גם לבני הנוער, שניכרת עלייה במצוקתם - רבים מהם פונו מבתיהם ואיבדו בני משפחה, ואחרים ח</w:t>
      </w:r>
      <w:r w:rsidRPr="00CA53D9">
        <w:rPr>
          <w:rFonts w:eastAsia="Calibri" w:hint="cs"/>
          <w:sz w:val="19"/>
          <w:szCs w:val="19"/>
          <w:rtl/>
        </w:rPr>
        <w:t>וו</w:t>
      </w:r>
      <w:r w:rsidRPr="00CA53D9">
        <w:rPr>
          <w:rFonts w:eastAsia="Calibri"/>
          <w:sz w:val="19"/>
          <w:szCs w:val="19"/>
          <w:rtl/>
        </w:rPr>
        <w:t>ים חרדה מתמשכת, גם אם אינם מתגוררים באזורי לחימה.</w:t>
      </w:r>
      <w:r w:rsidRPr="00CA53D9">
        <w:rPr>
          <w:rFonts w:eastAsia="Calibri" w:hint="cs"/>
          <w:sz w:val="19"/>
          <w:szCs w:val="19"/>
          <w:rtl/>
        </w:rPr>
        <w:t xml:space="preserve"> מפונים רבים ציינו את דאגתם העמוקה ואת חוסר הוודאות בנוגע לעתיד לבוא, לעתיד חינוך </w:t>
      </w:r>
      <w:r w:rsidRPr="00CA53D9">
        <w:rPr>
          <w:rFonts w:hint="cs"/>
          <w:sz w:val="19"/>
          <w:szCs w:val="19"/>
          <w:rtl/>
        </w:rPr>
        <w:t>ילדיהם</w:t>
      </w:r>
      <w:r w:rsidRPr="00CA53D9">
        <w:rPr>
          <w:rFonts w:eastAsia="Calibri" w:hint="cs"/>
          <w:sz w:val="19"/>
          <w:szCs w:val="19"/>
          <w:rtl/>
        </w:rPr>
        <w:t xml:space="preserve"> ולמצבם התעסוקתי; דיווחו על מצוקה קשה בקרב חלק מהילדים אשר פוחדים לצאת מפתח המלון; על </w:t>
      </w:r>
      <w:r w:rsidRPr="00CA53D9">
        <w:rPr>
          <w:rFonts w:eastAsia="Calibri"/>
          <w:sz w:val="19"/>
          <w:szCs w:val="19"/>
          <w:rtl/>
        </w:rPr>
        <w:t xml:space="preserve">הורים שפוחדים לשלוח את </w:t>
      </w:r>
      <w:r w:rsidRPr="00CA53D9">
        <w:rPr>
          <w:rFonts w:eastAsia="Calibri" w:hint="cs"/>
          <w:sz w:val="19"/>
          <w:szCs w:val="19"/>
          <w:rtl/>
        </w:rPr>
        <w:t xml:space="preserve">ילדיהם בהסעות למסגרות החינוך בעיר הקולטת; על מפונים שאינם </w:t>
      </w:r>
      <w:r w:rsidRPr="00CA53D9">
        <w:rPr>
          <w:rFonts w:eastAsia="Calibri"/>
          <w:sz w:val="19"/>
          <w:szCs w:val="19"/>
          <w:rtl/>
        </w:rPr>
        <w:t xml:space="preserve">יוצאים מהחדר או שלא פונים </w:t>
      </w:r>
      <w:r w:rsidRPr="00CA53D9">
        <w:rPr>
          <w:rFonts w:eastAsia="Calibri" w:hint="cs"/>
          <w:sz w:val="19"/>
          <w:szCs w:val="19"/>
          <w:rtl/>
        </w:rPr>
        <w:t xml:space="preserve">לבקש עזרה; ובחלק מהמקומות אף דווח על ניסיונות אובדנות. עוד אפשר ללמוד על הלך רוחם של המפונים מקבוצות מיקוד שערך משרד מבקר המדינה, שבהן תיארו המפונים את עצמם כפליטים המתמודדים עם קשיים רגשיים ונפשיים ברמה האישית, המשפחתית והקהילתית: </w:t>
      </w:r>
    </w:p>
    <w:p w:rsidR="00CA53D9" w:rsidRPr="00CA53D9" w:rsidRDefault="00CA53D9" w:rsidP="00CA53D9">
      <w:pPr>
        <w:spacing w:line="288" w:lineRule="auto"/>
        <w:ind w:left="567" w:right="567"/>
        <w:rPr>
          <w:rFonts w:eastAsia="Calibri"/>
          <w:rtl/>
        </w:rPr>
      </w:pPr>
    </w:p>
    <w:p w:rsidR="00CA53D9" w:rsidRPr="00CA53D9" w:rsidRDefault="00CA53D9" w:rsidP="00CA53D9">
      <w:pPr>
        <w:spacing w:line="288" w:lineRule="auto"/>
        <w:ind w:left="567" w:right="567"/>
        <w:rPr>
          <w:rFonts w:ascii="Tahoma" w:eastAsia="Calibri" w:hAnsi="Tahoma" w:cs="Tahoma"/>
          <w:b/>
          <w:bCs/>
          <w:sz w:val="19"/>
          <w:szCs w:val="19"/>
          <w:rtl/>
        </w:rPr>
      </w:pPr>
      <w:r w:rsidRPr="00CA53D9">
        <w:rPr>
          <w:rFonts w:ascii="Tahoma" w:eastAsia="Calibri" w:hAnsi="Tahoma" w:cs="Tahoma" w:hint="cs"/>
          <w:b/>
          <w:bCs/>
          <w:sz w:val="19"/>
          <w:szCs w:val="19"/>
          <w:rtl/>
        </w:rPr>
        <w:t>"שיסתכלו עלינו בכבוד יותר, לא ככלבים משוטטים. אני מרגישה כלב משוטט... אני כבר לא מרגישה שאני במלון, אני מרגישה שאני במחנה פליטים"; "זה היה פשוט מאבק על כל דבר... כוחות נפש אדירים להשיג דבר הכי פשוט שנראה לך... דבר שאת לא מייחסת לו חשיבות כשאת בבית שלך, כמו מכונת כביסה, שם [במלון] - זה היה סיפור. כל דבר זה היה סיפור."</w:t>
      </w:r>
    </w:p>
    <w:p w:rsidR="00CA53D9" w:rsidRPr="00CA53D9" w:rsidRDefault="00CA53D9" w:rsidP="00CA53D9">
      <w:pPr>
        <w:spacing w:line="288" w:lineRule="auto"/>
        <w:ind w:left="567" w:right="567"/>
        <w:rPr>
          <w:rFonts w:ascii="Tahoma" w:eastAsia="Calibri" w:hAnsi="Tahoma" w:cs="Tahoma"/>
          <w:b/>
          <w:bCs/>
          <w:sz w:val="19"/>
          <w:szCs w:val="19"/>
          <w:rtl/>
        </w:rPr>
      </w:pPr>
    </w:p>
    <w:p w:rsidR="00CA53D9" w:rsidRPr="00CA53D9" w:rsidRDefault="00CA53D9" w:rsidP="00306123">
      <w:pPr>
        <w:pStyle w:val="739"/>
        <w:spacing w:after="120"/>
        <w:rPr>
          <w:rFonts w:eastAsia="Calibri"/>
          <w:sz w:val="19"/>
          <w:szCs w:val="19"/>
          <w:rtl/>
        </w:rPr>
      </w:pPr>
      <w:r w:rsidRPr="00CA53D9">
        <w:rPr>
          <w:rFonts w:eastAsia="Calibri"/>
          <w:sz w:val="19"/>
          <w:szCs w:val="19"/>
          <w:rtl/>
        </w:rPr>
        <w:lastRenderedPageBreak/>
        <w:t xml:space="preserve">הנסיבות הייחודיות שהביאו לפינוי אוכלוסייה עם פרוץ מלחמת חרבות ברזל חייבו את הרשויות הקולטות והמפונות כאחד למאמץ ייחודי לאספקת מענה רווחתי ונפשי לאוכלוסייה המפונה, הן לאוכלוסייה המוכרת לשירותי הרווחה קודם לפרוץ המלחמה, הן לאוכלוסייה שנזקקת לשירותי רווחה בעקבות </w:t>
      </w:r>
      <w:r w:rsidRPr="00CA53D9">
        <w:rPr>
          <w:rFonts w:eastAsia="Calibri" w:hint="cs"/>
          <w:sz w:val="19"/>
          <w:szCs w:val="19"/>
          <w:rtl/>
        </w:rPr>
        <w:t>מתקפת הטרור</w:t>
      </w:r>
      <w:r w:rsidRPr="00CA53D9">
        <w:rPr>
          <w:rFonts w:eastAsia="Calibri"/>
          <w:sz w:val="19"/>
          <w:szCs w:val="19"/>
          <w:rtl/>
        </w:rPr>
        <w:t xml:space="preserve"> </w:t>
      </w:r>
      <w:r w:rsidRPr="00CA53D9">
        <w:rPr>
          <w:rFonts w:eastAsia="Calibri" w:hint="cs"/>
          <w:sz w:val="19"/>
          <w:szCs w:val="19"/>
          <w:rtl/>
        </w:rPr>
        <w:t>ב</w:t>
      </w:r>
      <w:r w:rsidRPr="00CA53D9">
        <w:rPr>
          <w:rFonts w:eastAsia="Calibri"/>
          <w:sz w:val="19"/>
          <w:szCs w:val="19"/>
          <w:rtl/>
        </w:rPr>
        <w:t xml:space="preserve">שבעה באוקטובר והמלחמה והן לאוכלוסייה הזקוקה לתשומת לב מיוחדת - אוכלוסייה שאיננה מוכרת במחלקות </w:t>
      </w:r>
      <w:r w:rsidRPr="00CA53D9">
        <w:rPr>
          <w:rFonts w:eastAsia="Calibri" w:hint="cs"/>
          <w:sz w:val="19"/>
          <w:szCs w:val="19"/>
          <w:rtl/>
        </w:rPr>
        <w:t>הרווחה</w:t>
      </w:r>
      <w:r w:rsidRPr="00CA53D9">
        <w:rPr>
          <w:rFonts w:eastAsia="Calibri"/>
          <w:sz w:val="19"/>
          <w:szCs w:val="19"/>
          <w:rtl/>
        </w:rPr>
        <w:t xml:space="preserve"> ברשויות המקומיות, אולם צפויה להזדקק לשירותי רווחה בעקבות אירועי חירום. </w:t>
      </w:r>
    </w:p>
    <w:p w:rsidR="00CA53D9" w:rsidRPr="00CA53D9" w:rsidRDefault="00CA53D9" w:rsidP="00CA53D9">
      <w:pPr>
        <w:spacing w:line="288" w:lineRule="auto"/>
        <w:ind w:left="-710"/>
        <w:rPr>
          <w:rFonts w:eastAsia="Calibri"/>
          <w:rtl/>
        </w:rPr>
      </w:pPr>
    </w:p>
    <w:p w:rsidR="00AE4BB7" w:rsidRDefault="00AE4BB7" w:rsidP="00AE4BB7">
      <w:pPr>
        <w:spacing w:line="288" w:lineRule="auto"/>
        <w:ind w:left="-284"/>
        <w:rPr>
          <w:sz w:val="12"/>
          <w:szCs w:val="16"/>
          <w:rtl/>
        </w:rPr>
      </w:pPr>
      <w:r w:rsidRPr="006C4033">
        <w:rPr>
          <w:rFonts w:ascii="Tahoma" w:hAnsi="Tahoma" w:cs="Tahoma"/>
          <w:noProof/>
          <w:rtl/>
        </w:rPr>
        <w:drawing>
          <wp:inline distT="0" distB="0" distL="0" distR="0" wp14:anchorId="6BCD94AE" wp14:editId="48CDD610">
            <wp:extent cx="1674111" cy="381000"/>
            <wp:effectExtent l="0" t="0" r="254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קציר-0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p w:rsidR="009515F9" w:rsidRDefault="009515F9" w:rsidP="00AE4BB7">
      <w:pPr>
        <w:spacing w:line="288" w:lineRule="auto"/>
        <w:ind w:left="-284"/>
        <w:rPr>
          <w:sz w:val="12"/>
          <w:szCs w:val="16"/>
          <w:rtl/>
        </w:rPr>
      </w:pPr>
    </w:p>
    <w:tbl>
      <w:tblPr>
        <w:tblStyle w:val="45"/>
        <w:tblpPr w:leftFromText="180" w:rightFromText="180" w:vertAnchor="text" w:tblpXSpec="center" w:tblpY="1"/>
        <w:tblOverlap w:val="never"/>
        <w:bidiVisual/>
        <w:tblW w:w="8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274"/>
        <w:gridCol w:w="2135"/>
        <w:gridCol w:w="284"/>
        <w:gridCol w:w="1983"/>
        <w:gridCol w:w="283"/>
        <w:gridCol w:w="2131"/>
      </w:tblGrid>
      <w:tr w:rsidR="00CA53D9" w:rsidRPr="00CA53D9" w:rsidTr="00CA53D9">
        <w:trPr>
          <w:trHeight w:val="283"/>
        </w:trPr>
        <w:tc>
          <w:tcPr>
            <w:tcW w:w="1704" w:type="dxa"/>
            <w:tcBorders>
              <w:bottom w:val="single" w:sz="12" w:space="0" w:color="auto"/>
            </w:tcBorders>
            <w:shd w:val="clear" w:color="auto" w:fill="auto"/>
            <w:vAlign w:val="bottom"/>
          </w:tcPr>
          <w:p w:rsidR="00CA53D9" w:rsidRPr="00CA53D9" w:rsidRDefault="00CA53D9" w:rsidP="00CA53D9">
            <w:pPr>
              <w:spacing w:after="60" w:line="240" w:lineRule="auto"/>
              <w:rPr>
                <w:rFonts w:ascii="Tahoma" w:eastAsia="Calibri" w:hAnsi="Tahoma" w:cs="Tahoma"/>
                <w:spacing w:val="-10"/>
                <w:sz w:val="36"/>
                <w:szCs w:val="36"/>
                <w:rtl/>
              </w:rPr>
            </w:pPr>
            <w:r w:rsidRPr="00CA53D9">
              <w:rPr>
                <w:rFonts w:ascii="Tahoma" w:eastAsia="Calibri" w:hAnsi="Tahoma" w:cs="Tahoma" w:hint="cs"/>
                <w:spacing w:val="-10"/>
                <w:sz w:val="36"/>
                <w:szCs w:val="36"/>
                <w:rtl/>
              </w:rPr>
              <w:t>10</w:t>
            </w:r>
            <w:r w:rsidRPr="00CA53D9">
              <w:rPr>
                <w:rFonts w:ascii="Tahoma" w:eastAsia="Calibri" w:hAnsi="Tahoma" w:cs="Tahoma"/>
                <w:spacing w:val="-10"/>
                <w:sz w:val="36"/>
                <w:szCs w:val="36"/>
                <w:rtl/>
              </w:rPr>
              <w:t xml:space="preserve"> </w:t>
            </w:r>
            <w:r w:rsidRPr="00CA53D9">
              <w:rPr>
                <w:rFonts w:ascii="Tahoma" w:eastAsia="Calibri" w:hAnsi="Tahoma" w:cs="Tahoma" w:hint="eastAsia"/>
                <w:spacing w:val="-10"/>
                <w:sz w:val="26"/>
                <w:szCs w:val="26"/>
                <w:rtl/>
              </w:rPr>
              <w:t>בלבד</w:t>
            </w:r>
          </w:p>
        </w:tc>
        <w:tc>
          <w:tcPr>
            <w:tcW w:w="274" w:type="dxa"/>
            <w:vAlign w:val="bottom"/>
          </w:tcPr>
          <w:p w:rsidR="00CA53D9" w:rsidRPr="00CA53D9" w:rsidRDefault="00CA53D9" w:rsidP="00CA53D9">
            <w:pPr>
              <w:spacing w:line="240" w:lineRule="auto"/>
              <w:rPr>
                <w:rFonts w:ascii="Tahoma" w:eastAsia="Calibri" w:hAnsi="Tahoma" w:cs="Tahoma"/>
                <w:spacing w:val="-10"/>
              </w:rPr>
            </w:pPr>
          </w:p>
        </w:tc>
        <w:tc>
          <w:tcPr>
            <w:tcW w:w="2135" w:type="dxa"/>
            <w:tcBorders>
              <w:bottom w:val="single" w:sz="12" w:space="0" w:color="auto"/>
            </w:tcBorders>
            <w:vAlign w:val="bottom"/>
          </w:tcPr>
          <w:p w:rsidR="00CA53D9" w:rsidRPr="00CA53D9" w:rsidRDefault="00CA53D9" w:rsidP="00CA53D9">
            <w:pPr>
              <w:spacing w:after="60" w:line="240" w:lineRule="auto"/>
              <w:rPr>
                <w:rFonts w:ascii="Tahoma" w:eastAsia="Calibri" w:hAnsi="Tahoma" w:cs="Tahoma"/>
                <w:spacing w:val="-10"/>
                <w:sz w:val="36"/>
                <w:szCs w:val="36"/>
                <w:rtl/>
              </w:rPr>
            </w:pPr>
            <w:r w:rsidRPr="00CA53D9">
              <w:rPr>
                <w:rFonts w:ascii="Tahoma" w:eastAsia="Calibri" w:hAnsi="Tahoma" w:cs="Tahoma" w:hint="cs"/>
                <w:spacing w:val="-10"/>
                <w:sz w:val="36"/>
                <w:szCs w:val="36"/>
                <w:rtl/>
              </w:rPr>
              <w:t>0</w:t>
            </w:r>
          </w:p>
        </w:tc>
        <w:tc>
          <w:tcPr>
            <w:tcW w:w="284" w:type="dxa"/>
            <w:vAlign w:val="bottom"/>
          </w:tcPr>
          <w:p w:rsidR="00CA53D9" w:rsidRPr="00CA53D9" w:rsidRDefault="00CA53D9" w:rsidP="00CA53D9">
            <w:pPr>
              <w:spacing w:line="240" w:lineRule="auto"/>
              <w:rPr>
                <w:rFonts w:ascii="Tahoma" w:eastAsia="Calibri" w:hAnsi="Tahoma" w:cs="Tahoma"/>
                <w:spacing w:val="-10"/>
              </w:rPr>
            </w:pPr>
          </w:p>
        </w:tc>
        <w:tc>
          <w:tcPr>
            <w:tcW w:w="1983" w:type="dxa"/>
            <w:tcBorders>
              <w:bottom w:val="single" w:sz="12" w:space="0" w:color="auto"/>
            </w:tcBorders>
            <w:vAlign w:val="bottom"/>
          </w:tcPr>
          <w:p w:rsidR="00CA53D9" w:rsidRPr="00CA53D9" w:rsidRDefault="00CA53D9" w:rsidP="00CA53D9">
            <w:pPr>
              <w:spacing w:line="240" w:lineRule="auto"/>
              <w:rPr>
                <w:rFonts w:ascii="Tahoma" w:eastAsia="Calibri" w:hAnsi="Tahoma" w:cs="Tahoma"/>
                <w:spacing w:val="-10"/>
                <w:sz w:val="36"/>
                <w:szCs w:val="36"/>
              </w:rPr>
            </w:pPr>
            <w:r w:rsidRPr="00CA53D9">
              <w:rPr>
                <w:rFonts w:ascii="Tahoma" w:eastAsia="Calibri" w:hAnsi="Tahoma" w:cs="Tahoma" w:hint="cs"/>
                <w:spacing w:val="-10"/>
                <w:sz w:val="26"/>
                <w:szCs w:val="26"/>
                <w:rtl/>
              </w:rPr>
              <w:t>כ-</w:t>
            </w:r>
            <w:r w:rsidRPr="00CA53D9">
              <w:rPr>
                <w:rFonts w:ascii="Tahoma" w:eastAsia="Calibri" w:hAnsi="Tahoma" w:cs="Tahoma" w:hint="cs"/>
                <w:spacing w:val="-10"/>
                <w:sz w:val="36"/>
                <w:szCs w:val="36"/>
                <w:rtl/>
              </w:rPr>
              <w:t xml:space="preserve">1/3 </w:t>
            </w:r>
            <w:r w:rsidRPr="00CA53D9">
              <w:rPr>
                <w:rFonts w:ascii="Tahoma" w:eastAsia="Calibri" w:hAnsi="Tahoma" w:cs="Tahoma" w:hint="eastAsia"/>
                <w:spacing w:val="-10"/>
                <w:sz w:val="26"/>
                <w:szCs w:val="26"/>
                <w:rtl/>
              </w:rPr>
              <w:t>בלבד</w:t>
            </w:r>
          </w:p>
        </w:tc>
        <w:tc>
          <w:tcPr>
            <w:tcW w:w="283" w:type="dxa"/>
            <w:vAlign w:val="bottom"/>
          </w:tcPr>
          <w:p w:rsidR="00CA53D9" w:rsidRPr="00CA53D9" w:rsidRDefault="00CA53D9" w:rsidP="00CA53D9">
            <w:pPr>
              <w:spacing w:line="240" w:lineRule="auto"/>
              <w:rPr>
                <w:rFonts w:ascii="Tahoma" w:eastAsia="Calibri" w:hAnsi="Tahoma" w:cs="Tahoma"/>
                <w:spacing w:val="-10"/>
              </w:rPr>
            </w:pPr>
          </w:p>
        </w:tc>
        <w:tc>
          <w:tcPr>
            <w:tcW w:w="2131" w:type="dxa"/>
            <w:tcBorders>
              <w:bottom w:val="single" w:sz="12" w:space="0" w:color="auto"/>
            </w:tcBorders>
            <w:vAlign w:val="bottom"/>
          </w:tcPr>
          <w:p w:rsidR="00CA53D9" w:rsidRPr="00CA53D9" w:rsidRDefault="00CA53D9" w:rsidP="00CA53D9">
            <w:pPr>
              <w:spacing w:line="240" w:lineRule="auto"/>
              <w:rPr>
                <w:rFonts w:ascii="Tahoma" w:eastAsia="Calibri" w:hAnsi="Tahoma" w:cs="Tahoma"/>
                <w:spacing w:val="-10"/>
                <w:sz w:val="36"/>
                <w:szCs w:val="36"/>
                <w:rtl/>
              </w:rPr>
            </w:pPr>
            <w:r w:rsidRPr="00CA53D9">
              <w:rPr>
                <w:rFonts w:ascii="Tahoma" w:eastAsia="Calibri" w:hAnsi="Tahoma" w:cs="Tahoma" w:hint="cs"/>
                <w:spacing w:val="-10"/>
                <w:sz w:val="36"/>
                <w:szCs w:val="36"/>
                <w:rtl/>
              </w:rPr>
              <w:t xml:space="preserve"> 20% - 30%</w:t>
            </w:r>
          </w:p>
        </w:tc>
      </w:tr>
      <w:tr w:rsidR="00CA53D9" w:rsidRPr="00CA53D9" w:rsidTr="00CA53D9">
        <w:trPr>
          <w:trHeight w:val="85"/>
        </w:trPr>
        <w:tc>
          <w:tcPr>
            <w:tcW w:w="8794" w:type="dxa"/>
            <w:gridSpan w:val="7"/>
            <w:shd w:val="clear" w:color="auto" w:fill="auto"/>
            <w:vAlign w:val="center"/>
          </w:tcPr>
          <w:p w:rsidR="00CA53D9" w:rsidRPr="00CA53D9" w:rsidRDefault="00CA53D9" w:rsidP="00CA53D9">
            <w:pPr>
              <w:spacing w:line="288" w:lineRule="auto"/>
              <w:rPr>
                <w:rFonts w:ascii="Tahoma" w:eastAsia="Calibri" w:hAnsi="Tahoma" w:cs="Tahoma"/>
                <w:spacing w:val="-10"/>
                <w:sz w:val="6"/>
                <w:szCs w:val="6"/>
                <w:rtl/>
              </w:rPr>
            </w:pPr>
          </w:p>
        </w:tc>
      </w:tr>
      <w:tr w:rsidR="00CA53D9" w:rsidRPr="00CA53D9" w:rsidTr="00CA53D9">
        <w:trPr>
          <w:trHeight w:val="1155"/>
        </w:trPr>
        <w:tc>
          <w:tcPr>
            <w:tcW w:w="1704" w:type="dxa"/>
          </w:tcPr>
          <w:p w:rsidR="00CA53D9" w:rsidRPr="00CA53D9" w:rsidRDefault="00CA53D9" w:rsidP="00CA53D9">
            <w:pPr>
              <w:spacing w:line="240" w:lineRule="auto"/>
              <w:ind w:right="23"/>
              <w:rPr>
                <w:rFonts w:ascii="Tahoma" w:eastAsia="Calibri" w:hAnsi="Tahoma" w:cs="Tahoma"/>
                <w:sz w:val="19"/>
                <w:szCs w:val="19"/>
                <w:rtl/>
              </w:rPr>
            </w:pPr>
            <w:r w:rsidRPr="00CA53D9">
              <w:rPr>
                <w:rFonts w:ascii="Tahoma" w:eastAsia="Calibri" w:hAnsi="Tahoma" w:cs="Tahoma" w:hint="cs"/>
                <w:sz w:val="19"/>
                <w:szCs w:val="19"/>
                <w:rtl/>
              </w:rPr>
              <w:t xml:space="preserve">מספר התקנים שהקצה משרד הרווחה לעיריית </w:t>
            </w:r>
            <w:r w:rsidRPr="00CA53D9">
              <w:rPr>
                <w:rFonts w:ascii="Tahoma" w:eastAsia="Calibri" w:hAnsi="Tahoma" w:cs="Tahoma" w:hint="cs"/>
                <w:b/>
                <w:bCs/>
                <w:sz w:val="19"/>
                <w:szCs w:val="19"/>
                <w:rtl/>
              </w:rPr>
              <w:t>אילת</w:t>
            </w:r>
            <w:r w:rsidRPr="00CA53D9">
              <w:rPr>
                <w:rFonts w:ascii="Tahoma" w:eastAsia="Calibri" w:hAnsi="Tahoma" w:cs="Tahoma" w:hint="cs"/>
                <w:sz w:val="19"/>
                <w:szCs w:val="19"/>
                <w:rtl/>
              </w:rPr>
              <w:t xml:space="preserve"> לצורך טיפול במפונים, אף שמספר המפונים שקלטה בשיא היה הגבוה ביותר ביחס ליתר הרשויות הקולטות </w:t>
            </w:r>
            <w:r w:rsidR="00A356FE">
              <w:rPr>
                <w:rFonts w:ascii="Tahoma" w:eastAsia="Calibri" w:hAnsi="Tahoma" w:cs="Tahoma"/>
                <w:sz w:val="19"/>
                <w:szCs w:val="19"/>
                <w:rtl/>
              </w:rPr>
              <w:br/>
            </w:r>
            <w:r w:rsidRPr="00CA53D9">
              <w:rPr>
                <w:rFonts w:ascii="Tahoma" w:eastAsia="Calibri" w:hAnsi="Tahoma" w:cs="Tahoma" w:hint="cs"/>
                <w:sz w:val="19"/>
                <w:szCs w:val="19"/>
                <w:rtl/>
              </w:rPr>
              <w:t>(כ-60,000 מפונים)</w:t>
            </w:r>
          </w:p>
        </w:tc>
        <w:tc>
          <w:tcPr>
            <w:tcW w:w="274" w:type="dxa"/>
          </w:tcPr>
          <w:p w:rsidR="00CA53D9" w:rsidRPr="00CA53D9" w:rsidRDefault="00CA53D9" w:rsidP="00CA53D9">
            <w:pPr>
              <w:spacing w:line="240" w:lineRule="auto"/>
              <w:rPr>
                <w:rFonts w:ascii="Tahoma" w:eastAsia="Calibri" w:hAnsi="Tahoma" w:cs="Tahoma"/>
                <w:szCs w:val="24"/>
                <w:rtl/>
              </w:rPr>
            </w:pPr>
          </w:p>
        </w:tc>
        <w:tc>
          <w:tcPr>
            <w:tcW w:w="2135" w:type="dxa"/>
          </w:tcPr>
          <w:p w:rsidR="00CA53D9" w:rsidRPr="00CA53D9" w:rsidRDefault="00CA53D9" w:rsidP="00CA53D9">
            <w:pPr>
              <w:spacing w:line="240" w:lineRule="auto"/>
              <w:ind w:right="23"/>
              <w:rPr>
                <w:rFonts w:ascii="Tahoma" w:eastAsia="Calibri" w:hAnsi="Tahoma" w:cs="Tahoma"/>
                <w:sz w:val="19"/>
                <w:szCs w:val="19"/>
                <w:rtl/>
              </w:rPr>
            </w:pPr>
            <w:r w:rsidRPr="00CA53D9">
              <w:rPr>
                <w:rFonts w:ascii="Tahoma" w:eastAsia="Calibri" w:hAnsi="Tahoma" w:cs="Tahoma" w:hint="cs"/>
                <w:sz w:val="19"/>
                <w:szCs w:val="19"/>
                <w:rtl/>
              </w:rPr>
              <w:t xml:space="preserve">מספר התקנים שהקצה משרד הרווחה למועצה האזורית </w:t>
            </w:r>
            <w:r w:rsidRPr="00CA53D9">
              <w:rPr>
                <w:rFonts w:ascii="Tahoma" w:eastAsia="Calibri" w:hAnsi="Tahoma" w:cs="Tahoma" w:hint="cs"/>
                <w:b/>
                <w:bCs/>
                <w:sz w:val="19"/>
                <w:szCs w:val="19"/>
                <w:rtl/>
              </w:rPr>
              <w:t>תמר</w:t>
            </w:r>
            <w:r w:rsidRPr="00CA53D9">
              <w:rPr>
                <w:rFonts w:ascii="Tahoma" w:eastAsia="Calibri" w:hAnsi="Tahoma" w:cs="Tahoma" w:hint="cs"/>
                <w:sz w:val="19"/>
                <w:szCs w:val="19"/>
                <w:rtl/>
              </w:rPr>
              <w:t>, אף שמספר המפונים שקלטה בשיא היה כ-13,000, פי 8 ממספר תושביה</w:t>
            </w:r>
          </w:p>
        </w:tc>
        <w:tc>
          <w:tcPr>
            <w:tcW w:w="284" w:type="dxa"/>
          </w:tcPr>
          <w:p w:rsidR="00CA53D9" w:rsidRPr="00CA53D9" w:rsidRDefault="00CA53D9" w:rsidP="00CA53D9">
            <w:pPr>
              <w:spacing w:line="240" w:lineRule="auto"/>
              <w:rPr>
                <w:rFonts w:ascii="Tahoma" w:eastAsia="Calibri" w:hAnsi="Tahoma" w:cs="Tahoma"/>
                <w:sz w:val="19"/>
                <w:szCs w:val="19"/>
                <w:rtl/>
              </w:rPr>
            </w:pPr>
          </w:p>
        </w:tc>
        <w:tc>
          <w:tcPr>
            <w:tcW w:w="1983" w:type="dxa"/>
          </w:tcPr>
          <w:p w:rsidR="00CA53D9" w:rsidRPr="00CA53D9" w:rsidRDefault="00CA53D9" w:rsidP="00CA53D9">
            <w:pPr>
              <w:spacing w:line="240" w:lineRule="auto"/>
              <w:ind w:right="23"/>
              <w:rPr>
                <w:rFonts w:ascii="Tahoma" w:eastAsia="Calibri" w:hAnsi="Tahoma" w:cs="Tahoma"/>
                <w:sz w:val="19"/>
                <w:szCs w:val="19"/>
                <w:rtl/>
              </w:rPr>
            </w:pPr>
            <w:r w:rsidRPr="00CA53D9">
              <w:rPr>
                <w:rFonts w:ascii="Tahoma" w:eastAsia="Calibri" w:hAnsi="Tahoma" w:cs="Tahoma" w:hint="cs"/>
                <w:sz w:val="19"/>
                <w:szCs w:val="19"/>
                <w:rtl/>
              </w:rPr>
              <w:t>שיעור התקנים שאוישו מתוך התקנים שהקצה משרד הרווחה לכמה מהרשויות המפונות, נכון לינואר 2024</w:t>
            </w:r>
          </w:p>
        </w:tc>
        <w:tc>
          <w:tcPr>
            <w:tcW w:w="283" w:type="dxa"/>
          </w:tcPr>
          <w:p w:rsidR="00CA53D9" w:rsidRPr="00CA53D9" w:rsidRDefault="00CA53D9" w:rsidP="00CA53D9">
            <w:pPr>
              <w:spacing w:line="240" w:lineRule="auto"/>
              <w:rPr>
                <w:rFonts w:ascii="Tahoma" w:eastAsia="Calibri" w:hAnsi="Tahoma" w:cs="Tahoma"/>
                <w:sz w:val="19"/>
                <w:szCs w:val="19"/>
                <w:rtl/>
              </w:rPr>
            </w:pPr>
          </w:p>
        </w:tc>
        <w:tc>
          <w:tcPr>
            <w:tcW w:w="2131" w:type="dxa"/>
          </w:tcPr>
          <w:p w:rsidR="00CA53D9" w:rsidRPr="00CA53D9" w:rsidRDefault="00CA53D9" w:rsidP="00CA53D9">
            <w:pPr>
              <w:spacing w:line="240" w:lineRule="auto"/>
              <w:ind w:right="23"/>
              <w:rPr>
                <w:rFonts w:ascii="Tahoma" w:eastAsia="Calibri" w:hAnsi="Tahoma" w:cs="Tahoma"/>
                <w:sz w:val="19"/>
                <w:szCs w:val="19"/>
                <w:rtl/>
              </w:rPr>
            </w:pPr>
            <w:r w:rsidRPr="00CA53D9">
              <w:rPr>
                <w:rFonts w:ascii="Tahoma" w:eastAsia="Calibri" w:hAnsi="Tahoma" w:cs="Tahoma" w:hint="cs"/>
                <w:sz w:val="19"/>
                <w:szCs w:val="19"/>
                <w:rtl/>
              </w:rPr>
              <w:t>שיעור בני הנוער מ</w:t>
            </w:r>
            <w:r w:rsidRPr="00CA53D9">
              <w:rPr>
                <w:rFonts w:ascii="Tahoma" w:eastAsia="Calibri" w:hAnsi="Tahoma" w:cs="Tahoma" w:hint="cs"/>
                <w:b/>
                <w:bCs/>
                <w:sz w:val="19"/>
                <w:szCs w:val="19"/>
                <w:rtl/>
              </w:rPr>
              <w:t>שדרות</w:t>
            </w:r>
            <w:r w:rsidRPr="00CA53D9">
              <w:rPr>
                <w:rFonts w:ascii="Tahoma" w:eastAsia="Calibri" w:hAnsi="Tahoma" w:cs="Tahoma" w:hint="cs"/>
                <w:sz w:val="19"/>
                <w:szCs w:val="19"/>
                <w:rtl/>
              </w:rPr>
              <w:t xml:space="preserve"> שפונו ל</w:t>
            </w:r>
            <w:r w:rsidRPr="00CA53D9">
              <w:rPr>
                <w:rFonts w:ascii="Tahoma" w:eastAsia="Calibri" w:hAnsi="Tahoma" w:cs="Tahoma" w:hint="cs"/>
                <w:b/>
                <w:bCs/>
                <w:sz w:val="19"/>
                <w:szCs w:val="19"/>
                <w:rtl/>
              </w:rPr>
              <w:t>אילת</w:t>
            </w:r>
            <w:r w:rsidRPr="00CA53D9">
              <w:rPr>
                <w:rFonts w:ascii="Tahoma" w:eastAsia="Calibri" w:hAnsi="Tahoma" w:cs="Tahoma" w:hint="cs"/>
                <w:sz w:val="19"/>
                <w:szCs w:val="19"/>
                <w:rtl/>
              </w:rPr>
              <w:t>, שלא צרכו שום מענה מסודר ומפוקח</w:t>
            </w:r>
          </w:p>
        </w:tc>
      </w:tr>
      <w:tr w:rsidR="00CA53D9" w:rsidRPr="00CA53D9" w:rsidTr="00CA53D9">
        <w:trPr>
          <w:trHeight w:val="363"/>
        </w:trPr>
        <w:tc>
          <w:tcPr>
            <w:tcW w:w="8794" w:type="dxa"/>
            <w:gridSpan w:val="7"/>
          </w:tcPr>
          <w:p w:rsidR="00CA53D9" w:rsidRPr="00CA53D9" w:rsidRDefault="00CA53D9" w:rsidP="00CA53D9">
            <w:pPr>
              <w:spacing w:line="288" w:lineRule="auto"/>
              <w:jc w:val="center"/>
              <w:rPr>
                <w:rFonts w:ascii="Tahoma" w:eastAsia="Calibri" w:hAnsi="Tahoma" w:cs="Tahoma"/>
                <w:sz w:val="6"/>
                <w:szCs w:val="6"/>
                <w:rtl/>
              </w:rPr>
            </w:pPr>
          </w:p>
        </w:tc>
      </w:tr>
      <w:tr w:rsidR="00CA53D9" w:rsidRPr="00CA53D9" w:rsidTr="00CA53D9">
        <w:trPr>
          <w:trHeight w:val="227"/>
        </w:trPr>
        <w:tc>
          <w:tcPr>
            <w:tcW w:w="1704" w:type="dxa"/>
            <w:tcBorders>
              <w:bottom w:val="single" w:sz="12" w:space="0" w:color="auto"/>
            </w:tcBorders>
            <w:vAlign w:val="bottom"/>
          </w:tcPr>
          <w:p w:rsidR="00CA53D9" w:rsidRPr="00CA53D9" w:rsidRDefault="00CA53D9" w:rsidP="00CA53D9">
            <w:pPr>
              <w:spacing w:after="60" w:line="240" w:lineRule="auto"/>
              <w:rPr>
                <w:rFonts w:ascii="Tahoma" w:eastAsia="Calibri" w:hAnsi="Tahoma" w:cs="Tahoma"/>
                <w:spacing w:val="-10"/>
                <w:sz w:val="36"/>
                <w:szCs w:val="36"/>
              </w:rPr>
            </w:pPr>
            <w:r w:rsidRPr="00CA53D9">
              <w:rPr>
                <w:rFonts w:ascii="Tahoma" w:eastAsia="Calibri" w:hAnsi="Tahoma" w:cs="Tahoma" w:hint="cs"/>
                <w:spacing w:val="-10"/>
                <w:sz w:val="36"/>
                <w:szCs w:val="36"/>
                <w:rtl/>
              </w:rPr>
              <w:t>335%</w:t>
            </w:r>
          </w:p>
        </w:tc>
        <w:tc>
          <w:tcPr>
            <w:tcW w:w="274" w:type="dxa"/>
            <w:vAlign w:val="bottom"/>
          </w:tcPr>
          <w:p w:rsidR="00CA53D9" w:rsidRPr="00CA53D9" w:rsidRDefault="00CA53D9" w:rsidP="00CA53D9">
            <w:pPr>
              <w:spacing w:line="240" w:lineRule="auto"/>
              <w:rPr>
                <w:rFonts w:ascii="Tahoma" w:eastAsia="Calibri" w:hAnsi="Tahoma" w:cs="Tahoma"/>
                <w:spacing w:val="-10"/>
              </w:rPr>
            </w:pPr>
          </w:p>
        </w:tc>
        <w:tc>
          <w:tcPr>
            <w:tcW w:w="2135" w:type="dxa"/>
            <w:tcBorders>
              <w:bottom w:val="single" w:sz="12" w:space="0" w:color="auto"/>
            </w:tcBorders>
            <w:vAlign w:val="bottom"/>
          </w:tcPr>
          <w:p w:rsidR="00CA53D9" w:rsidRPr="00CA53D9" w:rsidRDefault="00CA53D9" w:rsidP="00CA53D9">
            <w:pPr>
              <w:spacing w:after="60" w:line="240" w:lineRule="auto"/>
              <w:rPr>
                <w:rFonts w:ascii="Tahoma" w:eastAsia="Calibri" w:hAnsi="Tahoma" w:cs="Tahoma"/>
                <w:spacing w:val="-10"/>
                <w:sz w:val="36"/>
                <w:szCs w:val="36"/>
              </w:rPr>
            </w:pPr>
            <w:r w:rsidRPr="00CA53D9">
              <w:rPr>
                <w:rFonts w:ascii="Tahoma" w:eastAsia="Calibri" w:hAnsi="Tahoma" w:cs="Tahoma" w:hint="cs"/>
                <w:spacing w:val="-10"/>
                <w:sz w:val="36"/>
                <w:szCs w:val="36"/>
                <w:rtl/>
              </w:rPr>
              <w:t>105%</w:t>
            </w:r>
          </w:p>
        </w:tc>
        <w:tc>
          <w:tcPr>
            <w:tcW w:w="284" w:type="dxa"/>
            <w:vAlign w:val="bottom"/>
          </w:tcPr>
          <w:p w:rsidR="00CA53D9" w:rsidRPr="00CA53D9" w:rsidRDefault="00CA53D9" w:rsidP="00CA53D9">
            <w:pPr>
              <w:spacing w:line="240" w:lineRule="auto"/>
              <w:rPr>
                <w:rFonts w:ascii="Tahoma" w:eastAsia="Calibri" w:hAnsi="Tahoma" w:cs="Tahoma"/>
                <w:spacing w:val="-10"/>
              </w:rPr>
            </w:pPr>
          </w:p>
        </w:tc>
        <w:tc>
          <w:tcPr>
            <w:tcW w:w="1983" w:type="dxa"/>
            <w:tcBorders>
              <w:bottom w:val="single" w:sz="12" w:space="0" w:color="auto"/>
            </w:tcBorders>
            <w:vAlign w:val="bottom"/>
          </w:tcPr>
          <w:p w:rsidR="00CA53D9" w:rsidRPr="00CA53D9" w:rsidRDefault="00CA53D9" w:rsidP="00CA53D9">
            <w:pPr>
              <w:spacing w:after="60" w:line="240" w:lineRule="auto"/>
              <w:rPr>
                <w:rFonts w:ascii="Tahoma" w:eastAsia="Calibri" w:hAnsi="Tahoma" w:cs="Tahoma"/>
                <w:spacing w:val="-10"/>
                <w:sz w:val="36"/>
                <w:szCs w:val="36"/>
              </w:rPr>
            </w:pPr>
            <w:r w:rsidRPr="00CA53D9">
              <w:rPr>
                <w:rFonts w:ascii="Tahoma" w:eastAsia="Calibri" w:hAnsi="Tahoma" w:cs="Tahoma" w:hint="eastAsia"/>
                <w:spacing w:val="-10"/>
                <w:sz w:val="26"/>
                <w:szCs w:val="26"/>
                <w:rtl/>
              </w:rPr>
              <w:t>כ</w:t>
            </w:r>
            <w:r w:rsidRPr="00CA53D9">
              <w:rPr>
                <w:rFonts w:ascii="Tahoma" w:eastAsia="Calibri" w:hAnsi="Tahoma" w:cs="Tahoma"/>
                <w:spacing w:val="-10"/>
                <w:sz w:val="26"/>
                <w:szCs w:val="26"/>
                <w:rtl/>
              </w:rPr>
              <w:t>-</w:t>
            </w:r>
            <w:r w:rsidRPr="00CA53D9">
              <w:rPr>
                <w:rFonts w:ascii="Tahoma" w:eastAsia="Calibri" w:hAnsi="Tahoma" w:cs="Tahoma" w:hint="cs"/>
                <w:spacing w:val="-10"/>
                <w:sz w:val="36"/>
                <w:szCs w:val="36"/>
                <w:rtl/>
              </w:rPr>
              <w:t>50%</w:t>
            </w:r>
          </w:p>
        </w:tc>
        <w:tc>
          <w:tcPr>
            <w:tcW w:w="283" w:type="dxa"/>
            <w:vAlign w:val="bottom"/>
          </w:tcPr>
          <w:p w:rsidR="00CA53D9" w:rsidRPr="00CA53D9" w:rsidRDefault="00CA53D9" w:rsidP="00CA53D9">
            <w:pPr>
              <w:spacing w:line="240" w:lineRule="auto"/>
              <w:rPr>
                <w:rFonts w:ascii="Tahoma" w:eastAsia="Calibri" w:hAnsi="Tahoma" w:cs="Tahoma"/>
                <w:spacing w:val="-10"/>
              </w:rPr>
            </w:pPr>
          </w:p>
        </w:tc>
        <w:tc>
          <w:tcPr>
            <w:tcW w:w="2131" w:type="dxa"/>
            <w:tcBorders>
              <w:bottom w:val="single" w:sz="12" w:space="0" w:color="auto"/>
            </w:tcBorders>
            <w:vAlign w:val="bottom"/>
          </w:tcPr>
          <w:p w:rsidR="00CA53D9" w:rsidRPr="00CA53D9" w:rsidRDefault="00CA53D9" w:rsidP="00CA53D9">
            <w:pPr>
              <w:spacing w:after="60" w:line="240" w:lineRule="auto"/>
              <w:rPr>
                <w:rFonts w:ascii="Tahoma" w:eastAsia="Calibri" w:hAnsi="Tahoma" w:cs="Tahoma"/>
                <w:spacing w:val="-10"/>
                <w:sz w:val="36"/>
                <w:szCs w:val="36"/>
              </w:rPr>
            </w:pPr>
            <w:r w:rsidRPr="00CA53D9">
              <w:rPr>
                <w:rFonts w:ascii="Tahoma" w:eastAsia="Calibri" w:hAnsi="Tahoma" w:cs="Tahoma" w:hint="eastAsia"/>
                <w:spacing w:val="-10"/>
                <w:sz w:val="26"/>
                <w:szCs w:val="26"/>
                <w:rtl/>
              </w:rPr>
              <w:t>יותר</w:t>
            </w:r>
            <w:r w:rsidRPr="00CA53D9">
              <w:rPr>
                <w:rFonts w:ascii="Tahoma" w:eastAsia="Calibri" w:hAnsi="Tahoma" w:cs="Tahoma"/>
                <w:spacing w:val="-10"/>
                <w:sz w:val="26"/>
                <w:szCs w:val="26"/>
                <w:rtl/>
              </w:rPr>
              <w:t xml:space="preserve"> </w:t>
            </w:r>
            <w:r w:rsidRPr="00CA53D9">
              <w:rPr>
                <w:rFonts w:ascii="Tahoma" w:eastAsia="Calibri" w:hAnsi="Tahoma" w:cs="Tahoma" w:hint="eastAsia"/>
                <w:spacing w:val="-10"/>
                <w:sz w:val="26"/>
                <w:szCs w:val="26"/>
                <w:rtl/>
              </w:rPr>
              <w:t>מ</w:t>
            </w:r>
            <w:r w:rsidRPr="00CA53D9">
              <w:rPr>
                <w:rFonts w:ascii="Tahoma" w:eastAsia="Calibri" w:hAnsi="Tahoma" w:cs="Tahoma"/>
                <w:spacing w:val="-10"/>
                <w:sz w:val="26"/>
                <w:szCs w:val="26"/>
                <w:rtl/>
              </w:rPr>
              <w:t>-</w:t>
            </w:r>
            <w:r w:rsidRPr="00CA53D9">
              <w:rPr>
                <w:rFonts w:ascii="Tahoma" w:eastAsia="Calibri" w:hAnsi="Tahoma" w:cs="Tahoma" w:hint="cs"/>
                <w:spacing w:val="-10"/>
                <w:sz w:val="36"/>
                <w:szCs w:val="36"/>
                <w:rtl/>
              </w:rPr>
              <w:t>150</w:t>
            </w:r>
          </w:p>
        </w:tc>
      </w:tr>
      <w:tr w:rsidR="00CA53D9" w:rsidRPr="00CA53D9" w:rsidTr="00CA53D9">
        <w:trPr>
          <w:trHeight w:val="70"/>
        </w:trPr>
        <w:tc>
          <w:tcPr>
            <w:tcW w:w="8794" w:type="dxa"/>
            <w:gridSpan w:val="7"/>
            <w:vAlign w:val="center"/>
          </w:tcPr>
          <w:p w:rsidR="00CA53D9" w:rsidRPr="00CA53D9" w:rsidRDefault="00CA53D9" w:rsidP="00CA53D9">
            <w:pPr>
              <w:spacing w:line="288" w:lineRule="auto"/>
              <w:rPr>
                <w:rFonts w:ascii="Tahoma" w:eastAsia="Calibri" w:hAnsi="Tahoma" w:cs="Tahoma"/>
                <w:spacing w:val="-10"/>
                <w:sz w:val="6"/>
                <w:szCs w:val="6"/>
                <w:rtl/>
              </w:rPr>
            </w:pPr>
          </w:p>
        </w:tc>
      </w:tr>
      <w:tr w:rsidR="00CA53D9" w:rsidRPr="00CA53D9" w:rsidTr="00CA53D9">
        <w:trPr>
          <w:trHeight w:val="1153"/>
        </w:trPr>
        <w:tc>
          <w:tcPr>
            <w:tcW w:w="1704" w:type="dxa"/>
          </w:tcPr>
          <w:p w:rsidR="00CA53D9" w:rsidRPr="00CA53D9" w:rsidRDefault="00CA53D9" w:rsidP="00CA53D9">
            <w:pPr>
              <w:spacing w:line="240" w:lineRule="auto"/>
              <w:ind w:right="23"/>
              <w:rPr>
                <w:rFonts w:ascii="Tahoma" w:eastAsia="Calibri" w:hAnsi="Tahoma" w:cs="Tahoma"/>
                <w:sz w:val="19"/>
                <w:szCs w:val="19"/>
                <w:rtl/>
              </w:rPr>
            </w:pPr>
            <w:r w:rsidRPr="00CA53D9">
              <w:rPr>
                <w:rFonts w:ascii="Tahoma" w:eastAsia="Calibri" w:hAnsi="Tahoma" w:cs="Tahoma" w:hint="cs"/>
                <w:sz w:val="19"/>
                <w:szCs w:val="19"/>
                <w:rtl/>
              </w:rPr>
              <w:t xml:space="preserve">שיעור הגידול במספר האזרחים הוותיקים מהעיר </w:t>
            </w:r>
            <w:r w:rsidRPr="00CA53D9">
              <w:rPr>
                <w:rFonts w:ascii="Tahoma" w:eastAsia="Calibri" w:hAnsi="Tahoma" w:cs="Tahoma" w:hint="cs"/>
                <w:b/>
                <w:bCs/>
                <w:sz w:val="19"/>
                <w:szCs w:val="19"/>
                <w:rtl/>
              </w:rPr>
              <w:t xml:space="preserve">שדרות </w:t>
            </w:r>
            <w:r w:rsidRPr="00CA53D9">
              <w:rPr>
                <w:rFonts w:ascii="Tahoma" w:eastAsia="Calibri" w:hAnsi="Tahoma" w:cs="Tahoma" w:hint="cs"/>
                <w:sz w:val="19"/>
                <w:szCs w:val="19"/>
                <w:rtl/>
              </w:rPr>
              <w:t>הזקוקים לסיוע מיוחד בעקבות המלחמה</w:t>
            </w:r>
          </w:p>
        </w:tc>
        <w:tc>
          <w:tcPr>
            <w:tcW w:w="274" w:type="dxa"/>
          </w:tcPr>
          <w:p w:rsidR="00CA53D9" w:rsidRPr="00CA53D9" w:rsidRDefault="00CA53D9" w:rsidP="00CA53D9">
            <w:pPr>
              <w:spacing w:line="240" w:lineRule="auto"/>
              <w:rPr>
                <w:rFonts w:ascii="Tahoma" w:eastAsia="Calibri" w:hAnsi="Tahoma" w:cs="Tahoma"/>
                <w:sz w:val="19"/>
                <w:szCs w:val="19"/>
                <w:rtl/>
              </w:rPr>
            </w:pPr>
          </w:p>
        </w:tc>
        <w:tc>
          <w:tcPr>
            <w:tcW w:w="2135" w:type="dxa"/>
          </w:tcPr>
          <w:p w:rsidR="00CA53D9" w:rsidRPr="00CA53D9" w:rsidRDefault="00CA53D9" w:rsidP="00CA53D9">
            <w:pPr>
              <w:spacing w:line="240" w:lineRule="auto"/>
              <w:ind w:right="23"/>
              <w:rPr>
                <w:rFonts w:ascii="Tahoma" w:eastAsia="Calibri" w:hAnsi="Tahoma" w:cs="Tahoma"/>
                <w:sz w:val="19"/>
                <w:szCs w:val="19"/>
                <w:rtl/>
              </w:rPr>
            </w:pPr>
            <w:r w:rsidRPr="00CA53D9">
              <w:rPr>
                <w:rFonts w:ascii="Tahoma" w:eastAsia="Calibri" w:hAnsi="Tahoma" w:cs="Tahoma" w:hint="cs"/>
                <w:sz w:val="19"/>
                <w:szCs w:val="19"/>
                <w:rtl/>
              </w:rPr>
              <w:t xml:space="preserve">שיעור הגידול במספר המטופלים עם מוגבלות וצרכים מיוחדים מהעיר </w:t>
            </w:r>
            <w:r w:rsidRPr="00CA53D9">
              <w:rPr>
                <w:rFonts w:ascii="Tahoma" w:eastAsia="Calibri" w:hAnsi="Tahoma" w:cs="Tahoma" w:hint="cs"/>
                <w:b/>
                <w:bCs/>
                <w:sz w:val="19"/>
                <w:szCs w:val="19"/>
                <w:rtl/>
              </w:rPr>
              <w:t xml:space="preserve">אשקלון </w:t>
            </w:r>
            <w:r w:rsidRPr="00CA53D9">
              <w:rPr>
                <w:rFonts w:ascii="Tahoma" w:eastAsia="Calibri" w:hAnsi="Tahoma" w:cs="Tahoma" w:hint="cs"/>
                <w:sz w:val="19"/>
                <w:szCs w:val="19"/>
                <w:rtl/>
              </w:rPr>
              <w:t>בעקבות המלחמה</w:t>
            </w:r>
          </w:p>
          <w:p w:rsidR="00CA53D9" w:rsidRPr="00CA53D9" w:rsidRDefault="00CA53D9" w:rsidP="00CA53D9">
            <w:pPr>
              <w:spacing w:line="240" w:lineRule="auto"/>
              <w:rPr>
                <w:rFonts w:ascii="Tahoma" w:eastAsia="Calibri" w:hAnsi="Tahoma" w:cs="Tahoma"/>
                <w:sz w:val="19"/>
                <w:szCs w:val="19"/>
                <w:rtl/>
              </w:rPr>
            </w:pPr>
          </w:p>
        </w:tc>
        <w:tc>
          <w:tcPr>
            <w:tcW w:w="284" w:type="dxa"/>
          </w:tcPr>
          <w:p w:rsidR="00CA53D9" w:rsidRPr="00CA53D9" w:rsidRDefault="00CA53D9" w:rsidP="00CA53D9">
            <w:pPr>
              <w:spacing w:line="240" w:lineRule="auto"/>
              <w:rPr>
                <w:rFonts w:ascii="Tahoma" w:eastAsia="Calibri" w:hAnsi="Tahoma" w:cs="Tahoma"/>
                <w:sz w:val="19"/>
                <w:szCs w:val="19"/>
                <w:rtl/>
              </w:rPr>
            </w:pPr>
          </w:p>
        </w:tc>
        <w:tc>
          <w:tcPr>
            <w:tcW w:w="1983" w:type="dxa"/>
          </w:tcPr>
          <w:p w:rsidR="00CA53D9" w:rsidRPr="00CA53D9" w:rsidRDefault="00CA53D9" w:rsidP="00CA53D9">
            <w:pPr>
              <w:spacing w:line="240" w:lineRule="auto"/>
              <w:ind w:right="23"/>
              <w:rPr>
                <w:rFonts w:ascii="Tahoma" w:eastAsia="Calibri" w:hAnsi="Tahoma" w:cs="Tahoma"/>
                <w:sz w:val="19"/>
                <w:szCs w:val="19"/>
                <w:rtl/>
              </w:rPr>
            </w:pPr>
            <w:r w:rsidRPr="00CA53D9">
              <w:rPr>
                <w:rFonts w:ascii="Tahoma" w:eastAsia="Calibri" w:hAnsi="Tahoma" w:cs="Tahoma" w:hint="cs"/>
                <w:sz w:val="19"/>
                <w:szCs w:val="19"/>
                <w:rtl/>
              </w:rPr>
              <w:t xml:space="preserve">שיעור הגידול במספר הפניות שהועברו למחלקת הרווחה בעיריית </w:t>
            </w:r>
            <w:r w:rsidRPr="00CA53D9">
              <w:rPr>
                <w:rFonts w:ascii="Tahoma" w:eastAsia="Calibri" w:hAnsi="Tahoma" w:cs="Tahoma" w:hint="cs"/>
                <w:b/>
                <w:bCs/>
                <w:sz w:val="19"/>
                <w:szCs w:val="19"/>
                <w:rtl/>
              </w:rPr>
              <w:t>קריית שמונה</w:t>
            </w:r>
            <w:r w:rsidRPr="00CA53D9">
              <w:rPr>
                <w:rFonts w:ascii="Tahoma" w:eastAsia="Calibri" w:hAnsi="Tahoma" w:cs="Tahoma" w:hint="cs"/>
                <w:sz w:val="19"/>
                <w:szCs w:val="19"/>
                <w:rtl/>
              </w:rPr>
              <w:t xml:space="preserve"> מתחילת המלחמה ועד פברואר 2024</w:t>
            </w:r>
          </w:p>
        </w:tc>
        <w:tc>
          <w:tcPr>
            <w:tcW w:w="283" w:type="dxa"/>
          </w:tcPr>
          <w:p w:rsidR="00CA53D9" w:rsidRPr="00CA53D9" w:rsidRDefault="00CA53D9" w:rsidP="00CA53D9">
            <w:pPr>
              <w:spacing w:line="240" w:lineRule="auto"/>
              <w:rPr>
                <w:rFonts w:ascii="Tahoma" w:eastAsia="Calibri" w:hAnsi="Tahoma" w:cs="Tahoma"/>
                <w:sz w:val="19"/>
                <w:szCs w:val="19"/>
                <w:rtl/>
              </w:rPr>
            </w:pPr>
          </w:p>
        </w:tc>
        <w:tc>
          <w:tcPr>
            <w:tcW w:w="2131" w:type="dxa"/>
          </w:tcPr>
          <w:p w:rsidR="00CA53D9" w:rsidRPr="00CA53D9" w:rsidRDefault="00CA53D9" w:rsidP="00CA53D9">
            <w:pPr>
              <w:spacing w:line="240" w:lineRule="auto"/>
              <w:ind w:right="23"/>
              <w:rPr>
                <w:rFonts w:ascii="Tahoma" w:eastAsia="Calibri" w:hAnsi="Tahoma" w:cs="Tahoma"/>
                <w:sz w:val="19"/>
                <w:szCs w:val="19"/>
                <w:rtl/>
              </w:rPr>
            </w:pPr>
            <w:r w:rsidRPr="00CA53D9">
              <w:rPr>
                <w:rFonts w:ascii="Tahoma" w:eastAsia="Calibri" w:hAnsi="Tahoma" w:cs="Tahoma" w:hint="cs"/>
                <w:sz w:val="19"/>
                <w:szCs w:val="19"/>
                <w:rtl/>
              </w:rPr>
              <w:t xml:space="preserve">מספר התיקים החדשים שנפתחו במחלקת הרווחה במועצה המקומית </w:t>
            </w:r>
            <w:r w:rsidRPr="00CA53D9">
              <w:rPr>
                <w:rFonts w:ascii="Tahoma" w:eastAsia="Calibri" w:hAnsi="Tahoma" w:cs="Tahoma" w:hint="cs"/>
                <w:b/>
                <w:bCs/>
                <w:sz w:val="19"/>
                <w:szCs w:val="19"/>
                <w:rtl/>
              </w:rPr>
              <w:t>שלומי</w:t>
            </w:r>
            <w:r w:rsidRPr="00CA53D9">
              <w:rPr>
                <w:rFonts w:ascii="Tahoma" w:eastAsia="Calibri" w:hAnsi="Tahoma" w:cs="Tahoma" w:hint="cs"/>
                <w:sz w:val="19"/>
                <w:szCs w:val="19"/>
                <w:rtl/>
              </w:rPr>
              <w:t xml:space="preserve"> לאחר תחילת המלחמה</w:t>
            </w:r>
          </w:p>
        </w:tc>
      </w:tr>
    </w:tbl>
    <w:p w:rsidR="00CA53D9" w:rsidRPr="00CA53D9" w:rsidRDefault="00CA53D9" w:rsidP="00AE4BB7">
      <w:pPr>
        <w:spacing w:line="288" w:lineRule="auto"/>
        <w:ind w:left="-284"/>
        <w:rPr>
          <w:sz w:val="12"/>
          <w:szCs w:val="16"/>
          <w:rtl/>
        </w:rPr>
      </w:pPr>
    </w:p>
    <w:p w:rsidR="00CA53D9" w:rsidRDefault="00CA53D9" w:rsidP="00AE4BB7">
      <w:pPr>
        <w:spacing w:line="288" w:lineRule="auto"/>
        <w:ind w:left="-284"/>
        <w:rPr>
          <w:sz w:val="12"/>
          <w:szCs w:val="16"/>
          <w:rtl/>
        </w:rPr>
      </w:pPr>
    </w:p>
    <w:p w:rsidR="00CA53D9" w:rsidRDefault="00CA53D9" w:rsidP="00AE4BB7">
      <w:pPr>
        <w:spacing w:line="288" w:lineRule="auto"/>
        <w:ind w:left="-284"/>
        <w:rPr>
          <w:sz w:val="12"/>
          <w:szCs w:val="16"/>
          <w:rtl/>
        </w:rPr>
      </w:pPr>
    </w:p>
    <w:p w:rsidR="009515F9" w:rsidRPr="004B2FF6" w:rsidRDefault="009515F9" w:rsidP="00AE4BB7">
      <w:pPr>
        <w:spacing w:line="288" w:lineRule="auto"/>
        <w:ind w:left="-284"/>
        <w:rPr>
          <w:sz w:val="12"/>
          <w:szCs w:val="16"/>
          <w:rtl/>
        </w:rPr>
      </w:pPr>
    </w:p>
    <w:p w:rsidR="00AE4BB7" w:rsidRPr="005F4A6D" w:rsidRDefault="00AE4BB7" w:rsidP="00AE4BB7">
      <w:pPr>
        <w:spacing w:line="288" w:lineRule="auto"/>
        <w:ind w:left="-1"/>
        <w:rPr>
          <w:sz w:val="10"/>
          <w:szCs w:val="14"/>
          <w:rtl/>
        </w:rPr>
      </w:pPr>
    </w:p>
    <w:p w:rsidR="00AE4BB7" w:rsidRPr="00BE22D7" w:rsidRDefault="00AE4BB7" w:rsidP="00AE4BB7">
      <w:pPr>
        <w:spacing w:line="288" w:lineRule="auto"/>
        <w:ind w:left="-1"/>
        <w:rPr>
          <w:sz w:val="18"/>
          <w:szCs w:val="22"/>
          <w:rtl/>
        </w:rPr>
      </w:pPr>
    </w:p>
    <w:p w:rsidR="00AE4BB7" w:rsidRDefault="00AE4BB7" w:rsidP="00AE4BB7">
      <w:pPr>
        <w:ind w:left="-1"/>
      </w:pPr>
      <w:r>
        <w:br w:type="page"/>
      </w:r>
    </w:p>
    <w:tbl>
      <w:tblPr>
        <w:tblStyle w:val="af4"/>
        <w:tblpPr w:leftFromText="180" w:rightFromText="180" w:vertAnchor="text" w:tblpXSpec="center" w:tblpY="1"/>
        <w:tblOverlap w:val="never"/>
        <w:bidiVisual/>
        <w:tblW w:w="8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65"/>
      </w:tblGrid>
      <w:tr w:rsidR="00AE4BB7" w:rsidTr="009E37AC">
        <w:trPr>
          <w:trHeight w:val="495"/>
        </w:trPr>
        <w:tc>
          <w:tcPr>
            <w:tcW w:w="8865" w:type="dxa"/>
            <w:vAlign w:val="center"/>
          </w:tcPr>
          <w:p w:rsidR="00AE4BB7" w:rsidRPr="006C4033" w:rsidRDefault="00AE4BB7" w:rsidP="004E0191">
            <w:pPr>
              <w:spacing w:line="288" w:lineRule="auto"/>
              <w:ind w:left="-1"/>
              <w:jc w:val="left"/>
              <w:rPr>
                <w:rFonts w:ascii="Tahoma" w:hAnsi="Tahoma" w:cs="Tahoma"/>
                <w:sz w:val="17"/>
                <w:szCs w:val="17"/>
                <w:rtl/>
              </w:rPr>
            </w:pPr>
            <w:r w:rsidRPr="006C4033">
              <w:rPr>
                <w:rFonts w:ascii="Tahoma" w:hAnsi="Tahoma" w:cs="Tahoma"/>
                <w:noProof/>
              </w:rPr>
              <w:lastRenderedPageBreak/>
              <w:drawing>
                <wp:inline distT="0" distB="0" distL="0" distR="0" wp14:anchorId="1B9A1196" wp14:editId="00A15EF1">
                  <wp:extent cx="6482715" cy="497814"/>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קציר תמונה 3.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02444" cy="530045"/>
                          </a:xfrm>
                          <a:prstGeom prst="rect">
                            <a:avLst/>
                          </a:prstGeom>
                        </pic:spPr>
                      </pic:pic>
                    </a:graphicData>
                  </a:graphic>
                </wp:inline>
              </w:drawing>
            </w:r>
          </w:p>
        </w:tc>
      </w:tr>
    </w:tbl>
    <w:p w:rsidR="00A356FE" w:rsidRPr="00A356FE" w:rsidRDefault="00AE4BB7" w:rsidP="00306123">
      <w:pPr>
        <w:pStyle w:val="73"/>
        <w:spacing w:after="120"/>
        <w:ind w:left="851"/>
        <w:rPr>
          <w:rFonts w:eastAsia="Calibri"/>
          <w:b/>
          <w:bCs/>
          <w:sz w:val="19"/>
          <w:szCs w:val="19"/>
          <w:rtl/>
        </w:rPr>
      </w:pPr>
      <w:r w:rsidRPr="00084768">
        <w:rPr>
          <w:noProof/>
          <w:sz w:val="19"/>
          <w:szCs w:val="19"/>
        </w:rPr>
        <w:drawing>
          <wp:anchor distT="0" distB="0" distL="71755" distR="71755" simplePos="0" relativeHeight="251659264" behindDoc="0" locked="0" layoutInCell="1" allowOverlap="1" wp14:anchorId="49C406E9" wp14:editId="0049FDCE">
            <wp:simplePos x="0" y="0"/>
            <wp:positionH relativeFrom="column">
              <wp:posOffset>5271135</wp:posOffset>
            </wp:positionH>
            <wp:positionV relativeFrom="paragraph">
              <wp:posOffset>550650</wp:posOffset>
            </wp:positionV>
            <wp:extent cx="384175" cy="384175"/>
            <wp:effectExtent l="0" t="0" r="0" b="0"/>
            <wp:wrapSquare wrapText="bothSides"/>
            <wp:docPr id="25" name="תמונה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תמונה 3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84175" cy="384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2FF6" w:rsidRPr="00084768">
        <w:rPr>
          <w:rFonts w:hint="cs"/>
          <w:sz w:val="19"/>
          <w:szCs w:val="19"/>
          <w:rtl/>
        </w:rPr>
        <w:t xml:space="preserve"> </w:t>
      </w:r>
      <w:bookmarkStart w:id="3" w:name="_Hlk208078696"/>
      <w:r w:rsidR="00A356FE" w:rsidRPr="00A356FE">
        <w:rPr>
          <w:rFonts w:eastAsia="Calibri"/>
          <w:sz w:val="19"/>
          <w:szCs w:val="19"/>
          <w:rtl/>
        </w:rPr>
        <w:t>בחודשים דצמבר 2023 עד יולי 2024 בדק משרד מבקר המדינה את הפינוי והקליטה של המפונים. הביקורת נעשתה ב-1</w:t>
      </w:r>
      <w:r w:rsidR="00A356FE" w:rsidRPr="00A356FE">
        <w:rPr>
          <w:rFonts w:eastAsia="Calibri" w:hint="cs"/>
          <w:sz w:val="19"/>
          <w:szCs w:val="19"/>
          <w:rtl/>
        </w:rPr>
        <w:t>2</w:t>
      </w:r>
      <w:r w:rsidR="00A356FE" w:rsidRPr="00A356FE">
        <w:rPr>
          <w:rFonts w:eastAsia="Calibri"/>
          <w:sz w:val="19"/>
          <w:szCs w:val="19"/>
          <w:rtl/>
        </w:rPr>
        <w:t xml:space="preserve"> רשויות מקומיות מפונות: העיריות </w:t>
      </w:r>
      <w:r w:rsidR="00A356FE" w:rsidRPr="00A356FE">
        <w:rPr>
          <w:rFonts w:eastAsia="Calibri"/>
          <w:b/>
          <w:bCs/>
          <w:sz w:val="19"/>
          <w:szCs w:val="19"/>
          <w:rtl/>
        </w:rPr>
        <w:t>אשקלון</w:t>
      </w:r>
      <w:r w:rsidR="00A356FE" w:rsidRPr="00A356FE">
        <w:rPr>
          <w:rFonts w:eastAsia="Calibri"/>
          <w:sz w:val="19"/>
          <w:szCs w:val="19"/>
          <w:rtl/>
        </w:rPr>
        <w:t xml:space="preserve">, </w:t>
      </w:r>
      <w:r w:rsidR="00A356FE" w:rsidRPr="00A356FE">
        <w:rPr>
          <w:rFonts w:eastAsia="Calibri"/>
          <w:b/>
          <w:bCs/>
          <w:sz w:val="19"/>
          <w:szCs w:val="19"/>
          <w:rtl/>
        </w:rPr>
        <w:t>קריית שמונה</w:t>
      </w:r>
      <w:r w:rsidR="00A356FE" w:rsidRPr="00A356FE">
        <w:rPr>
          <w:rFonts w:eastAsia="Calibri"/>
          <w:sz w:val="19"/>
          <w:szCs w:val="19"/>
          <w:rtl/>
        </w:rPr>
        <w:t xml:space="preserve"> ו</w:t>
      </w:r>
      <w:r w:rsidR="00A356FE" w:rsidRPr="00A356FE">
        <w:rPr>
          <w:rFonts w:eastAsia="Calibri"/>
          <w:b/>
          <w:bCs/>
          <w:sz w:val="19"/>
          <w:szCs w:val="19"/>
          <w:rtl/>
        </w:rPr>
        <w:t>שדרות</w:t>
      </w:r>
      <w:r w:rsidR="00A356FE" w:rsidRPr="00A356FE">
        <w:rPr>
          <w:rFonts w:eastAsia="Calibri" w:hint="cs"/>
          <w:sz w:val="19"/>
          <w:szCs w:val="19"/>
          <w:rtl/>
        </w:rPr>
        <w:t>,</w:t>
      </w:r>
      <w:r w:rsidR="00A356FE" w:rsidRPr="00A356FE">
        <w:rPr>
          <w:rFonts w:eastAsia="Calibri"/>
          <w:sz w:val="19"/>
          <w:szCs w:val="19"/>
          <w:rtl/>
        </w:rPr>
        <w:t xml:space="preserve"> המועצות המקומיות </w:t>
      </w:r>
      <w:r w:rsidR="00A356FE" w:rsidRPr="00A356FE">
        <w:rPr>
          <w:rFonts w:eastAsia="Calibri"/>
          <w:b/>
          <w:bCs/>
          <w:sz w:val="19"/>
          <w:szCs w:val="19"/>
          <w:rtl/>
        </w:rPr>
        <w:t>מטולה</w:t>
      </w:r>
      <w:r w:rsidR="00A356FE" w:rsidRPr="00A356FE">
        <w:rPr>
          <w:rFonts w:eastAsia="Calibri"/>
          <w:sz w:val="19"/>
          <w:szCs w:val="19"/>
          <w:rtl/>
        </w:rPr>
        <w:t xml:space="preserve"> ו</w:t>
      </w:r>
      <w:r w:rsidR="00A356FE" w:rsidRPr="00A356FE">
        <w:rPr>
          <w:rFonts w:eastAsia="Calibri"/>
          <w:b/>
          <w:bCs/>
          <w:sz w:val="19"/>
          <w:szCs w:val="19"/>
          <w:rtl/>
        </w:rPr>
        <w:t>שלומי</w:t>
      </w:r>
      <w:r w:rsidR="00A356FE" w:rsidRPr="00A356FE">
        <w:rPr>
          <w:rFonts w:eastAsia="Calibri"/>
          <w:sz w:val="19"/>
          <w:szCs w:val="19"/>
          <w:rtl/>
        </w:rPr>
        <w:t xml:space="preserve"> והמועצות האזוריות </w:t>
      </w:r>
      <w:r w:rsidR="00A356FE" w:rsidRPr="00A356FE">
        <w:rPr>
          <w:rFonts w:eastAsia="Calibri"/>
          <w:b/>
          <w:bCs/>
          <w:sz w:val="19"/>
          <w:szCs w:val="19"/>
          <w:rtl/>
        </w:rPr>
        <w:t>אשכול</w:t>
      </w:r>
      <w:r w:rsidR="00A356FE" w:rsidRPr="00A356FE">
        <w:rPr>
          <w:rFonts w:eastAsia="Calibri"/>
          <w:sz w:val="19"/>
          <w:szCs w:val="19"/>
          <w:rtl/>
        </w:rPr>
        <w:t xml:space="preserve">, </w:t>
      </w:r>
      <w:r w:rsidR="00A356FE" w:rsidRPr="00A356FE">
        <w:rPr>
          <w:rFonts w:eastAsia="Calibri"/>
          <w:b/>
          <w:bCs/>
          <w:sz w:val="19"/>
          <w:szCs w:val="19"/>
          <w:rtl/>
        </w:rPr>
        <w:t>הגליל העליון</w:t>
      </w:r>
      <w:r w:rsidR="00A356FE" w:rsidRPr="00A356FE">
        <w:rPr>
          <w:rFonts w:eastAsia="Calibri"/>
          <w:sz w:val="19"/>
          <w:szCs w:val="19"/>
          <w:rtl/>
        </w:rPr>
        <w:t xml:space="preserve">, </w:t>
      </w:r>
      <w:r w:rsidR="00A356FE" w:rsidRPr="00A356FE">
        <w:rPr>
          <w:rFonts w:eastAsia="Calibri"/>
          <w:b/>
          <w:bCs/>
          <w:sz w:val="19"/>
          <w:szCs w:val="19"/>
          <w:rtl/>
        </w:rPr>
        <w:t>חוף אשקלון</w:t>
      </w:r>
      <w:r w:rsidR="00A356FE" w:rsidRPr="00A356FE">
        <w:rPr>
          <w:rFonts w:eastAsia="Calibri"/>
          <w:sz w:val="19"/>
          <w:szCs w:val="19"/>
          <w:rtl/>
        </w:rPr>
        <w:t xml:space="preserve">, </w:t>
      </w:r>
      <w:r w:rsidR="00A356FE" w:rsidRPr="00A356FE">
        <w:rPr>
          <w:rFonts w:eastAsia="Calibri"/>
          <w:b/>
          <w:bCs/>
          <w:sz w:val="19"/>
          <w:szCs w:val="19"/>
          <w:rtl/>
        </w:rPr>
        <w:t xml:space="preserve">מבואות </w:t>
      </w:r>
      <w:r w:rsidR="00A356FE" w:rsidRPr="00A356FE">
        <w:rPr>
          <w:rFonts w:eastAsia="Calibri" w:hint="cs"/>
          <w:b/>
          <w:bCs/>
          <w:sz w:val="19"/>
          <w:szCs w:val="19"/>
          <w:rtl/>
        </w:rPr>
        <w:t>ה</w:t>
      </w:r>
      <w:r w:rsidR="00A356FE" w:rsidRPr="00A356FE">
        <w:rPr>
          <w:rFonts w:eastAsia="Calibri"/>
          <w:b/>
          <w:bCs/>
          <w:sz w:val="19"/>
          <w:szCs w:val="19"/>
          <w:rtl/>
        </w:rPr>
        <w:t>חרמון</w:t>
      </w:r>
      <w:r w:rsidR="00A356FE" w:rsidRPr="00A356FE">
        <w:rPr>
          <w:rFonts w:eastAsia="Calibri"/>
          <w:sz w:val="19"/>
          <w:szCs w:val="19"/>
          <w:rtl/>
        </w:rPr>
        <w:t xml:space="preserve">, </w:t>
      </w:r>
      <w:r w:rsidR="00A356FE" w:rsidRPr="00A356FE">
        <w:rPr>
          <w:rFonts w:eastAsia="Calibri"/>
          <w:b/>
          <w:bCs/>
          <w:sz w:val="19"/>
          <w:szCs w:val="19"/>
          <w:rtl/>
        </w:rPr>
        <w:t>מטה אשר</w:t>
      </w:r>
      <w:r w:rsidR="00A356FE" w:rsidRPr="00A356FE">
        <w:rPr>
          <w:rFonts w:eastAsia="Calibri"/>
          <w:sz w:val="19"/>
          <w:szCs w:val="19"/>
          <w:rtl/>
        </w:rPr>
        <w:t xml:space="preserve">, </w:t>
      </w:r>
      <w:r w:rsidR="00A356FE" w:rsidRPr="00A356FE">
        <w:rPr>
          <w:rFonts w:eastAsia="Calibri"/>
          <w:b/>
          <w:bCs/>
          <w:sz w:val="19"/>
          <w:szCs w:val="19"/>
          <w:rtl/>
        </w:rPr>
        <w:t>מעלה יוסף</w:t>
      </w:r>
      <w:r w:rsidR="00A356FE" w:rsidRPr="00A356FE">
        <w:rPr>
          <w:rFonts w:eastAsia="Calibri"/>
          <w:sz w:val="19"/>
          <w:szCs w:val="19"/>
          <w:rtl/>
        </w:rPr>
        <w:t xml:space="preserve"> ו</w:t>
      </w:r>
      <w:r w:rsidR="00A356FE" w:rsidRPr="00A356FE">
        <w:rPr>
          <w:rFonts w:eastAsia="Calibri"/>
          <w:b/>
          <w:bCs/>
          <w:sz w:val="19"/>
          <w:szCs w:val="19"/>
          <w:rtl/>
        </w:rPr>
        <w:t>מרום הגליל</w:t>
      </w:r>
      <w:r w:rsidR="00A356FE" w:rsidRPr="00A356FE">
        <w:rPr>
          <w:rFonts w:eastAsia="Calibri"/>
          <w:sz w:val="19"/>
          <w:szCs w:val="19"/>
          <w:rtl/>
        </w:rPr>
        <w:t xml:space="preserve">; וכן ב-14 רשויות שקלטו בתחומיהן מפונים: העיריות </w:t>
      </w:r>
      <w:r w:rsidR="00A356FE" w:rsidRPr="00A356FE">
        <w:rPr>
          <w:rFonts w:eastAsia="Calibri"/>
          <w:b/>
          <w:bCs/>
          <w:sz w:val="19"/>
          <w:szCs w:val="19"/>
          <w:rtl/>
        </w:rPr>
        <w:t>אילת</w:t>
      </w:r>
      <w:r w:rsidR="00A356FE" w:rsidRPr="00A356FE">
        <w:rPr>
          <w:rFonts w:eastAsia="Calibri"/>
          <w:sz w:val="19"/>
          <w:szCs w:val="19"/>
          <w:rtl/>
        </w:rPr>
        <w:t xml:space="preserve">, </w:t>
      </w:r>
      <w:r w:rsidR="00A356FE" w:rsidRPr="00A356FE">
        <w:rPr>
          <w:rFonts w:eastAsia="Calibri"/>
          <w:b/>
          <w:bCs/>
          <w:sz w:val="19"/>
          <w:szCs w:val="19"/>
          <w:rtl/>
        </w:rPr>
        <w:t>הרצלייה</w:t>
      </w:r>
      <w:r w:rsidR="00A356FE" w:rsidRPr="00A356FE">
        <w:rPr>
          <w:rFonts w:eastAsia="Calibri"/>
          <w:sz w:val="19"/>
          <w:szCs w:val="19"/>
          <w:rtl/>
        </w:rPr>
        <w:t xml:space="preserve">, </w:t>
      </w:r>
      <w:r w:rsidR="00A356FE" w:rsidRPr="00A356FE">
        <w:rPr>
          <w:rFonts w:eastAsia="Calibri"/>
          <w:b/>
          <w:bCs/>
          <w:sz w:val="19"/>
          <w:szCs w:val="19"/>
          <w:rtl/>
        </w:rPr>
        <w:t>חיפה</w:t>
      </w:r>
      <w:r w:rsidR="00A356FE" w:rsidRPr="00A356FE">
        <w:rPr>
          <w:rFonts w:eastAsia="Calibri"/>
          <w:sz w:val="19"/>
          <w:szCs w:val="19"/>
          <w:rtl/>
        </w:rPr>
        <w:t xml:space="preserve">, </w:t>
      </w:r>
      <w:r w:rsidR="00A356FE" w:rsidRPr="00A356FE">
        <w:rPr>
          <w:rFonts w:eastAsia="Calibri"/>
          <w:b/>
          <w:bCs/>
          <w:sz w:val="19"/>
          <w:szCs w:val="19"/>
          <w:rtl/>
        </w:rPr>
        <w:t>טבריה</w:t>
      </w:r>
      <w:r w:rsidR="00A356FE" w:rsidRPr="00A356FE">
        <w:rPr>
          <w:rFonts w:eastAsia="Calibri"/>
          <w:sz w:val="19"/>
          <w:szCs w:val="19"/>
          <w:rtl/>
        </w:rPr>
        <w:t xml:space="preserve">, </w:t>
      </w:r>
      <w:r w:rsidR="00A356FE" w:rsidRPr="00A356FE">
        <w:rPr>
          <w:rFonts w:eastAsia="Calibri"/>
          <w:b/>
          <w:bCs/>
          <w:sz w:val="19"/>
          <w:szCs w:val="19"/>
          <w:rtl/>
        </w:rPr>
        <w:t>ירושלים</w:t>
      </w:r>
      <w:r w:rsidR="00A356FE" w:rsidRPr="00A356FE">
        <w:rPr>
          <w:rFonts w:eastAsia="Calibri"/>
          <w:sz w:val="19"/>
          <w:szCs w:val="19"/>
          <w:rtl/>
        </w:rPr>
        <w:t xml:space="preserve">, </w:t>
      </w:r>
      <w:r w:rsidR="00A356FE" w:rsidRPr="00A356FE">
        <w:rPr>
          <w:rFonts w:eastAsia="Calibri"/>
          <w:b/>
          <w:bCs/>
          <w:sz w:val="19"/>
          <w:szCs w:val="19"/>
          <w:rtl/>
        </w:rPr>
        <w:t>נוף הגליל</w:t>
      </w:r>
      <w:r w:rsidR="00A356FE" w:rsidRPr="00A356FE">
        <w:rPr>
          <w:rFonts w:eastAsia="Calibri"/>
          <w:sz w:val="19"/>
          <w:szCs w:val="19"/>
          <w:rtl/>
        </w:rPr>
        <w:t xml:space="preserve">, </w:t>
      </w:r>
      <w:r w:rsidR="00A356FE" w:rsidRPr="00A356FE">
        <w:rPr>
          <w:rFonts w:eastAsia="Calibri"/>
          <w:b/>
          <w:bCs/>
          <w:sz w:val="19"/>
          <w:szCs w:val="19"/>
          <w:rtl/>
        </w:rPr>
        <w:t>נתניה</w:t>
      </w:r>
      <w:r w:rsidR="00A356FE" w:rsidRPr="00A356FE">
        <w:rPr>
          <w:rFonts w:eastAsia="Calibri"/>
          <w:sz w:val="19"/>
          <w:szCs w:val="19"/>
          <w:rtl/>
        </w:rPr>
        <w:t xml:space="preserve">, </w:t>
      </w:r>
      <w:r w:rsidR="00A356FE" w:rsidRPr="00A356FE">
        <w:rPr>
          <w:rFonts w:eastAsia="Calibri"/>
          <w:b/>
          <w:bCs/>
          <w:sz w:val="19"/>
          <w:szCs w:val="19"/>
          <w:rtl/>
        </w:rPr>
        <w:t>רמת גן</w:t>
      </w:r>
      <w:r w:rsidR="00A356FE" w:rsidRPr="00A356FE">
        <w:rPr>
          <w:rFonts w:eastAsia="Calibri"/>
          <w:sz w:val="19"/>
          <w:szCs w:val="19"/>
          <w:rtl/>
        </w:rPr>
        <w:t xml:space="preserve">, </w:t>
      </w:r>
      <w:r w:rsidR="00A356FE" w:rsidRPr="00A356FE">
        <w:rPr>
          <w:rFonts w:eastAsia="Calibri"/>
          <w:b/>
          <w:bCs/>
          <w:sz w:val="19"/>
          <w:szCs w:val="19"/>
          <w:rtl/>
        </w:rPr>
        <w:t>תל אביב-יפו</w:t>
      </w:r>
      <w:r w:rsidR="00A356FE" w:rsidRPr="00A356FE">
        <w:rPr>
          <w:rFonts w:eastAsia="Calibri" w:hint="cs"/>
          <w:sz w:val="19"/>
          <w:szCs w:val="19"/>
          <w:rtl/>
        </w:rPr>
        <w:t>,</w:t>
      </w:r>
      <w:r w:rsidR="00A356FE" w:rsidRPr="00A356FE">
        <w:rPr>
          <w:rFonts w:eastAsia="Calibri"/>
          <w:sz w:val="19"/>
          <w:szCs w:val="19"/>
          <w:rtl/>
        </w:rPr>
        <w:t xml:space="preserve"> המועצה המקומית </w:t>
      </w:r>
      <w:r w:rsidR="00A356FE" w:rsidRPr="00A356FE">
        <w:rPr>
          <w:rFonts w:eastAsia="Calibri"/>
          <w:b/>
          <w:bCs/>
          <w:sz w:val="19"/>
          <w:szCs w:val="19"/>
          <w:rtl/>
        </w:rPr>
        <w:t>זיכרון יעקב</w:t>
      </w:r>
      <w:r w:rsidR="00A356FE" w:rsidRPr="00A356FE">
        <w:rPr>
          <w:rFonts w:eastAsia="Calibri"/>
          <w:sz w:val="19"/>
          <w:szCs w:val="19"/>
          <w:rtl/>
        </w:rPr>
        <w:t xml:space="preserve"> והמועצות האזוריות </w:t>
      </w:r>
      <w:r w:rsidR="00A356FE" w:rsidRPr="00A356FE">
        <w:rPr>
          <w:rFonts w:eastAsia="Calibri"/>
          <w:b/>
          <w:bCs/>
          <w:sz w:val="19"/>
          <w:szCs w:val="19"/>
          <w:rtl/>
        </w:rPr>
        <w:t>חוף הכרמל</w:t>
      </w:r>
      <w:r w:rsidR="00A356FE" w:rsidRPr="00A356FE">
        <w:rPr>
          <w:rFonts w:eastAsia="Calibri"/>
          <w:sz w:val="19"/>
          <w:szCs w:val="19"/>
          <w:rtl/>
        </w:rPr>
        <w:t xml:space="preserve">, </w:t>
      </w:r>
      <w:r w:rsidR="00A356FE" w:rsidRPr="00A356FE">
        <w:rPr>
          <w:rFonts w:eastAsia="Calibri"/>
          <w:b/>
          <w:bCs/>
          <w:sz w:val="19"/>
          <w:szCs w:val="19"/>
          <w:rtl/>
        </w:rPr>
        <w:t>מטה יהודה</w:t>
      </w:r>
      <w:r w:rsidR="00A356FE" w:rsidRPr="00A356FE">
        <w:rPr>
          <w:rFonts w:eastAsia="Calibri"/>
          <w:sz w:val="19"/>
          <w:szCs w:val="19"/>
          <w:rtl/>
        </w:rPr>
        <w:t xml:space="preserve">, </w:t>
      </w:r>
      <w:r w:rsidR="00A356FE" w:rsidRPr="00A356FE">
        <w:rPr>
          <w:rFonts w:eastAsia="Calibri"/>
          <w:b/>
          <w:bCs/>
          <w:sz w:val="19"/>
          <w:szCs w:val="19"/>
          <w:rtl/>
        </w:rPr>
        <w:t>עמק הירדן</w:t>
      </w:r>
      <w:r w:rsidR="00A356FE" w:rsidRPr="00A356FE">
        <w:rPr>
          <w:rFonts w:eastAsia="Calibri"/>
          <w:sz w:val="19"/>
          <w:szCs w:val="19"/>
          <w:rtl/>
        </w:rPr>
        <w:t xml:space="preserve"> ו</w:t>
      </w:r>
      <w:r w:rsidR="00A356FE" w:rsidRPr="00A356FE">
        <w:rPr>
          <w:rFonts w:eastAsia="Calibri"/>
          <w:b/>
          <w:bCs/>
          <w:sz w:val="19"/>
          <w:szCs w:val="19"/>
          <w:rtl/>
        </w:rPr>
        <w:t>תמר</w:t>
      </w:r>
      <w:r w:rsidR="00A356FE" w:rsidRPr="00A356FE">
        <w:rPr>
          <w:rFonts w:eastAsia="Calibri"/>
          <w:sz w:val="19"/>
          <w:szCs w:val="19"/>
          <w:rtl/>
        </w:rPr>
        <w:t>.</w:t>
      </w:r>
      <w:r w:rsidR="00A356FE" w:rsidRPr="00A356FE">
        <w:rPr>
          <w:rFonts w:eastAsia="Calibri" w:hint="cs"/>
          <w:b/>
          <w:bCs/>
          <w:sz w:val="19"/>
          <w:szCs w:val="19"/>
          <w:rtl/>
        </w:rPr>
        <w:t xml:space="preserve"> </w:t>
      </w:r>
      <w:r w:rsidR="00A356FE" w:rsidRPr="00A356FE">
        <w:rPr>
          <w:rFonts w:eastAsia="Calibri"/>
          <w:sz w:val="19"/>
          <w:szCs w:val="19"/>
          <w:rtl/>
        </w:rPr>
        <w:t>במסגרת הביקורת נבדק</w:t>
      </w:r>
      <w:r w:rsidR="00A356FE" w:rsidRPr="00A356FE">
        <w:rPr>
          <w:rFonts w:eastAsia="Calibri" w:hint="cs"/>
          <w:sz w:val="19"/>
          <w:szCs w:val="19"/>
          <w:rtl/>
        </w:rPr>
        <w:t>ה</w:t>
      </w:r>
      <w:r w:rsidR="00A356FE" w:rsidRPr="00A356FE">
        <w:rPr>
          <w:rFonts w:eastAsia="Calibri"/>
          <w:sz w:val="19"/>
          <w:szCs w:val="19"/>
          <w:rtl/>
        </w:rPr>
        <w:t xml:space="preserve"> </w:t>
      </w:r>
      <w:r w:rsidR="00A356FE" w:rsidRPr="00A356FE">
        <w:rPr>
          <w:rFonts w:eastAsia="Calibri" w:hint="cs"/>
          <w:sz w:val="19"/>
          <w:szCs w:val="19"/>
          <w:rtl/>
        </w:rPr>
        <w:t>ה</w:t>
      </w:r>
      <w:r w:rsidR="00A356FE" w:rsidRPr="00A356FE">
        <w:rPr>
          <w:rFonts w:eastAsia="Calibri"/>
          <w:sz w:val="19"/>
          <w:szCs w:val="19"/>
          <w:rtl/>
        </w:rPr>
        <w:t xml:space="preserve">היערכות </w:t>
      </w:r>
      <w:r w:rsidR="00A356FE" w:rsidRPr="00A356FE">
        <w:rPr>
          <w:rFonts w:eastAsia="Calibri" w:hint="cs"/>
          <w:sz w:val="19"/>
          <w:szCs w:val="19"/>
          <w:rtl/>
        </w:rPr>
        <w:t>ל</w:t>
      </w:r>
      <w:r w:rsidR="00A356FE" w:rsidRPr="00A356FE">
        <w:rPr>
          <w:rFonts w:eastAsia="Calibri"/>
          <w:sz w:val="19"/>
          <w:szCs w:val="19"/>
          <w:rtl/>
        </w:rPr>
        <w:t xml:space="preserve">מתן השירותים למפונים, בדגש על שירותי </w:t>
      </w:r>
      <w:r w:rsidR="00A356FE" w:rsidRPr="00A356FE">
        <w:rPr>
          <w:rFonts w:eastAsia="Calibri" w:hint="cs"/>
          <w:sz w:val="19"/>
          <w:szCs w:val="19"/>
          <w:rtl/>
        </w:rPr>
        <w:t>רווחה</w:t>
      </w:r>
      <w:bookmarkEnd w:id="3"/>
      <w:r w:rsidR="00A356FE" w:rsidRPr="00A356FE">
        <w:rPr>
          <w:rFonts w:eastAsia="Calibri"/>
          <w:sz w:val="19"/>
          <w:szCs w:val="19"/>
          <w:rtl/>
        </w:rPr>
        <w:t xml:space="preserve">. </w:t>
      </w:r>
      <w:r w:rsidR="00A356FE" w:rsidRPr="00A356FE">
        <w:rPr>
          <w:rFonts w:eastAsia="Calibri" w:hint="cs"/>
          <w:sz w:val="19"/>
          <w:szCs w:val="19"/>
          <w:rtl/>
        </w:rPr>
        <w:t>עוד ראו בקובץ דוחות זה בפרק "קליטת האוכלוסייה שפונתה במלחמת חרבות ברזל והטיפול בה על ידי גופי הממשלה". יצוין כי ייתכנו פערים בנתונים בשל שונות במקורות המידע או במועד קבלתם.</w:t>
      </w:r>
    </w:p>
    <w:p w:rsidR="004B2FF6" w:rsidRDefault="004B2FF6" w:rsidP="004B2FF6">
      <w:pPr>
        <w:pStyle w:val="73"/>
        <w:ind w:left="851"/>
        <w:rPr>
          <w:noProof/>
          <w:rtl/>
        </w:rPr>
      </w:pPr>
    </w:p>
    <w:p w:rsidR="00AE4BB7" w:rsidRPr="006C4033" w:rsidRDefault="00AE4BB7" w:rsidP="004E0191">
      <w:pPr>
        <w:pStyle w:val="73"/>
        <w:ind w:left="-1"/>
        <w:rPr>
          <w:noProof/>
          <w:rtl/>
        </w:rPr>
      </w:pPr>
      <w:r w:rsidRPr="006C4033">
        <w:rPr>
          <w:noProof/>
        </w:rPr>
        <w:drawing>
          <wp:inline distT="0" distB="0" distL="0" distR="0" wp14:anchorId="319A68A8" wp14:editId="0BADBDF1">
            <wp:extent cx="5685790" cy="5334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קציר תמונה 2.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06362" cy="619761"/>
                    </a:xfrm>
                    <a:prstGeom prst="rect">
                      <a:avLst/>
                    </a:prstGeom>
                  </pic:spPr>
                </pic:pic>
              </a:graphicData>
            </a:graphic>
          </wp:inline>
        </w:drawing>
      </w:r>
    </w:p>
    <w:p w:rsidR="00AE4BB7" w:rsidRPr="00CF6518" w:rsidRDefault="00AE4BB7" w:rsidP="00EE67C7">
      <w:pPr>
        <w:spacing w:before="240" w:after="160"/>
        <w:rPr>
          <w:rtl/>
        </w:rPr>
      </w:pPr>
      <w:r>
        <w:rPr>
          <w:noProof/>
          <w:rtl/>
          <w:lang w:val="he-IL"/>
        </w:rPr>
        <w:drawing>
          <wp:inline distT="0" distB="0" distL="0" distR="0" wp14:anchorId="235C7E4D" wp14:editId="2E6608D8">
            <wp:extent cx="1981200" cy="190500"/>
            <wp:effectExtent l="0" t="0" r="0" b="0"/>
            <wp:docPr id="1310143038" name="תמונה 4" descr="ליקויים">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43038" name="תמונה 4" descr="ליקויים">
                      <a:extLst>
                        <a:ext uri="{C183D7F6-B498-43B3-948B-1728B52AA6E4}">
                          <adec:decorative xmlns:adec="http://schemas.microsoft.com/office/drawing/2017/decorative" val="0"/>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81200" cy="190500"/>
                    </a:xfrm>
                    <a:prstGeom prst="rect">
                      <a:avLst/>
                    </a:prstGeom>
                  </pic:spPr>
                </pic:pic>
              </a:graphicData>
            </a:graphic>
          </wp:inline>
        </w:drawing>
      </w:r>
    </w:p>
    <w:p w:rsidR="00A356FE" w:rsidRDefault="00A356FE" w:rsidP="00DD0944">
      <w:pPr>
        <w:pStyle w:val="73"/>
        <w:numPr>
          <w:ilvl w:val="0"/>
          <w:numId w:val="25"/>
        </w:numPr>
        <w:spacing w:after="160"/>
        <w:rPr>
          <w:sz w:val="19"/>
          <w:szCs w:val="19"/>
        </w:rPr>
      </w:pPr>
      <w:r w:rsidRPr="004B58B9">
        <w:rPr>
          <w:rFonts w:hint="cs"/>
          <w:b/>
          <w:bCs/>
          <w:sz w:val="19"/>
          <w:szCs w:val="19"/>
          <w:rtl/>
        </w:rPr>
        <w:t>מצב המפונים</w:t>
      </w:r>
      <w:r w:rsidRPr="004B58B9">
        <w:rPr>
          <w:rFonts w:hint="cs"/>
          <w:sz w:val="19"/>
          <w:szCs w:val="19"/>
          <w:rtl/>
        </w:rPr>
        <w:t xml:space="preserve"> - </w:t>
      </w:r>
      <w:r w:rsidRPr="004B58B9">
        <w:rPr>
          <w:sz w:val="19"/>
          <w:szCs w:val="19"/>
          <w:rtl/>
        </w:rPr>
        <w:t xml:space="preserve">בפגישות שקיימו נציגי משרד מבקר המדינה עם מפונים במלונות שבהם </w:t>
      </w:r>
      <w:r w:rsidRPr="004B58B9">
        <w:rPr>
          <w:rFonts w:hint="cs"/>
          <w:sz w:val="19"/>
          <w:szCs w:val="19"/>
          <w:rtl/>
        </w:rPr>
        <w:t xml:space="preserve">הם </w:t>
      </w:r>
      <w:r w:rsidRPr="004B58B9">
        <w:rPr>
          <w:sz w:val="19"/>
          <w:szCs w:val="19"/>
          <w:rtl/>
        </w:rPr>
        <w:t>שהו בחודשים אוקטובר ונובמבר 2023</w:t>
      </w:r>
      <w:r w:rsidRPr="004B58B9">
        <w:rPr>
          <w:rFonts w:hint="cs"/>
          <w:sz w:val="19"/>
          <w:szCs w:val="19"/>
          <w:rtl/>
        </w:rPr>
        <w:t xml:space="preserve"> הם </w:t>
      </w:r>
      <w:r>
        <w:rPr>
          <w:rFonts w:hint="cs"/>
          <w:sz w:val="19"/>
          <w:szCs w:val="19"/>
          <w:rtl/>
        </w:rPr>
        <w:t>תיארו</w:t>
      </w:r>
      <w:r w:rsidRPr="004B58B9">
        <w:rPr>
          <w:sz w:val="19"/>
          <w:szCs w:val="19"/>
          <w:rtl/>
        </w:rPr>
        <w:t xml:space="preserve"> בעיות וקשיים באספקת שירותי רווחה במלונות. מ</w:t>
      </w:r>
      <w:r>
        <w:rPr>
          <w:rFonts w:hint="cs"/>
          <w:sz w:val="19"/>
          <w:szCs w:val="19"/>
          <w:rtl/>
        </w:rPr>
        <w:t xml:space="preserve">דבריהם </w:t>
      </w:r>
      <w:r w:rsidRPr="004B58B9">
        <w:rPr>
          <w:sz w:val="19"/>
          <w:szCs w:val="19"/>
          <w:rtl/>
        </w:rPr>
        <w:t xml:space="preserve">עלה כי בשל היעדר מיפוי הצרכים, ולעיתים גם היעדר נוכחות של נציגים ממחלקות הרווחה של יישובי המפונים, הגורם העיקרי </w:t>
      </w:r>
      <w:r w:rsidRPr="004B58B9">
        <w:rPr>
          <w:rFonts w:hint="cs"/>
          <w:sz w:val="19"/>
          <w:szCs w:val="19"/>
          <w:rtl/>
        </w:rPr>
        <w:t>ש</w:t>
      </w:r>
      <w:r w:rsidRPr="004B58B9">
        <w:rPr>
          <w:sz w:val="19"/>
          <w:szCs w:val="19"/>
          <w:rtl/>
        </w:rPr>
        <w:t>ט</w:t>
      </w:r>
      <w:r w:rsidRPr="004B58B9">
        <w:rPr>
          <w:rFonts w:hint="cs"/>
          <w:sz w:val="19"/>
          <w:szCs w:val="19"/>
          <w:rtl/>
        </w:rPr>
        <w:t>י</w:t>
      </w:r>
      <w:r w:rsidRPr="004B58B9">
        <w:rPr>
          <w:sz w:val="19"/>
          <w:szCs w:val="19"/>
          <w:rtl/>
        </w:rPr>
        <w:t>פל בצורכי הרווחה</w:t>
      </w:r>
      <w:r w:rsidRPr="004B58B9">
        <w:rPr>
          <w:rFonts w:hint="cs"/>
          <w:sz w:val="19"/>
          <w:szCs w:val="19"/>
          <w:rtl/>
        </w:rPr>
        <w:t xml:space="preserve"> </w:t>
      </w:r>
      <w:r w:rsidRPr="004B58B9">
        <w:rPr>
          <w:sz w:val="19"/>
          <w:szCs w:val="19"/>
          <w:rtl/>
        </w:rPr>
        <w:t xml:space="preserve">הוא מחלקת הרווחה של הרשות הקולטת. הדבר </w:t>
      </w:r>
      <w:r w:rsidRPr="004B58B9">
        <w:rPr>
          <w:rFonts w:hint="cs"/>
          <w:sz w:val="19"/>
          <w:szCs w:val="19"/>
          <w:rtl/>
        </w:rPr>
        <w:t>ה</w:t>
      </w:r>
      <w:r w:rsidRPr="004B58B9">
        <w:rPr>
          <w:sz w:val="19"/>
          <w:szCs w:val="19"/>
          <w:rtl/>
        </w:rPr>
        <w:t xml:space="preserve">וביל למתן מענים חלקיים ולטיפול לקוי (לדוגמה, אישה </w:t>
      </w:r>
      <w:r w:rsidRPr="004B58B9">
        <w:rPr>
          <w:rFonts w:hint="cs"/>
          <w:sz w:val="19"/>
          <w:szCs w:val="19"/>
          <w:rtl/>
        </w:rPr>
        <w:t xml:space="preserve">נפגעת אלימות </w:t>
      </w:r>
      <w:r w:rsidRPr="004B58B9">
        <w:rPr>
          <w:sz w:val="19"/>
          <w:szCs w:val="19"/>
          <w:rtl/>
        </w:rPr>
        <w:t xml:space="preserve">שיצאה ממקלט לנשים </w:t>
      </w:r>
      <w:r>
        <w:rPr>
          <w:rFonts w:hint="cs"/>
          <w:sz w:val="19"/>
          <w:szCs w:val="19"/>
          <w:rtl/>
        </w:rPr>
        <w:t>שובצה</w:t>
      </w:r>
      <w:r w:rsidRPr="004B58B9">
        <w:rPr>
          <w:sz w:val="19"/>
          <w:szCs w:val="19"/>
          <w:rtl/>
        </w:rPr>
        <w:t xml:space="preserve"> </w:t>
      </w:r>
      <w:r>
        <w:rPr>
          <w:rFonts w:hint="cs"/>
          <w:sz w:val="19"/>
          <w:szCs w:val="19"/>
          <w:rtl/>
        </w:rPr>
        <w:t>ב</w:t>
      </w:r>
      <w:r w:rsidRPr="004B58B9">
        <w:rPr>
          <w:sz w:val="19"/>
          <w:szCs w:val="19"/>
          <w:rtl/>
        </w:rPr>
        <w:t xml:space="preserve">אותו חדר עם בעלה; </w:t>
      </w:r>
      <w:r w:rsidRPr="004B58B9">
        <w:rPr>
          <w:rFonts w:hint="cs"/>
          <w:sz w:val="19"/>
          <w:szCs w:val="19"/>
          <w:rtl/>
        </w:rPr>
        <w:t>ו</w:t>
      </w:r>
      <w:r w:rsidRPr="004B58B9">
        <w:rPr>
          <w:sz w:val="19"/>
          <w:szCs w:val="19"/>
          <w:rtl/>
        </w:rPr>
        <w:t xml:space="preserve">ילדה עם אוטיזם לא קיבלה מלווה והפניה לחינוך מיוחד עד להתערבות נציגת הקהילה). הסיוע </w:t>
      </w:r>
      <w:r w:rsidRPr="004B58B9">
        <w:rPr>
          <w:rFonts w:hint="cs"/>
          <w:sz w:val="19"/>
          <w:szCs w:val="19"/>
          <w:rtl/>
        </w:rPr>
        <w:t>שה</w:t>
      </w:r>
      <w:r w:rsidRPr="004B58B9">
        <w:rPr>
          <w:sz w:val="19"/>
          <w:szCs w:val="19"/>
          <w:rtl/>
        </w:rPr>
        <w:t>עניק</w:t>
      </w:r>
      <w:r w:rsidRPr="004B58B9">
        <w:rPr>
          <w:rFonts w:hint="cs"/>
          <w:sz w:val="19"/>
          <w:szCs w:val="19"/>
          <w:rtl/>
        </w:rPr>
        <w:t>ו</w:t>
      </w:r>
      <w:r w:rsidRPr="004B58B9">
        <w:rPr>
          <w:sz w:val="19"/>
          <w:szCs w:val="19"/>
          <w:rtl/>
        </w:rPr>
        <w:t xml:space="preserve"> נציגי משרד הרווחה</w:t>
      </w:r>
      <w:r w:rsidRPr="004B58B9">
        <w:rPr>
          <w:rFonts w:hint="cs"/>
          <w:sz w:val="19"/>
          <w:szCs w:val="19"/>
          <w:rtl/>
        </w:rPr>
        <w:t xml:space="preserve"> והביטחון החברתי (משרד הרווחה)</w:t>
      </w:r>
      <w:r w:rsidRPr="004B58B9">
        <w:rPr>
          <w:sz w:val="19"/>
          <w:szCs w:val="19"/>
          <w:rtl/>
        </w:rPr>
        <w:t xml:space="preserve"> </w:t>
      </w:r>
      <w:r w:rsidRPr="004B58B9">
        <w:rPr>
          <w:rFonts w:hint="cs"/>
          <w:sz w:val="19"/>
          <w:szCs w:val="19"/>
          <w:rtl/>
        </w:rPr>
        <w:t xml:space="preserve">בחודשים אלו היה </w:t>
      </w:r>
      <w:r w:rsidRPr="004B58B9">
        <w:rPr>
          <w:sz w:val="19"/>
          <w:szCs w:val="19"/>
          <w:rtl/>
        </w:rPr>
        <w:t xml:space="preserve">אד הוק ונקודתי: הם לא </w:t>
      </w:r>
      <w:r w:rsidRPr="004B58B9">
        <w:rPr>
          <w:rFonts w:hint="cs"/>
          <w:sz w:val="19"/>
          <w:szCs w:val="19"/>
          <w:rtl/>
        </w:rPr>
        <w:t xml:space="preserve">החזיקו </w:t>
      </w:r>
      <w:r w:rsidRPr="004B58B9">
        <w:rPr>
          <w:sz w:val="19"/>
          <w:szCs w:val="19"/>
          <w:rtl/>
        </w:rPr>
        <w:t xml:space="preserve">במידע על משפחות המוכרות לרווחה ביישובי המפונים; </w:t>
      </w:r>
      <w:r w:rsidRPr="004B58B9">
        <w:rPr>
          <w:rFonts w:hint="cs"/>
          <w:sz w:val="19"/>
          <w:szCs w:val="19"/>
          <w:rtl/>
        </w:rPr>
        <w:t xml:space="preserve">דווח על מחסור בשירותים חברתיים כגון </w:t>
      </w:r>
      <w:r w:rsidRPr="004B58B9">
        <w:rPr>
          <w:sz w:val="19"/>
          <w:szCs w:val="19"/>
          <w:rtl/>
        </w:rPr>
        <w:t xml:space="preserve">פעילויות או מרכז יום לאזרחים ותיקים ועל מחסור בכוח אדם של נציגי רווחה לטיפול באוכלוסייה זו; </w:t>
      </w:r>
      <w:r w:rsidRPr="004B58B9">
        <w:rPr>
          <w:rFonts w:hint="cs"/>
          <w:sz w:val="19"/>
          <w:szCs w:val="19"/>
          <w:rtl/>
        </w:rPr>
        <w:t xml:space="preserve">דווח על </w:t>
      </w:r>
      <w:r w:rsidRPr="004B58B9">
        <w:rPr>
          <w:sz w:val="19"/>
          <w:szCs w:val="19"/>
          <w:rtl/>
        </w:rPr>
        <w:t xml:space="preserve">מחסור במענים ובכוח אדם לטיפול בנוער בסיכון; </w:t>
      </w:r>
      <w:r w:rsidRPr="004B58B9">
        <w:rPr>
          <w:rFonts w:hint="cs"/>
          <w:sz w:val="19"/>
          <w:szCs w:val="19"/>
          <w:rtl/>
        </w:rPr>
        <w:t xml:space="preserve">דווח על </w:t>
      </w:r>
      <w:r w:rsidRPr="004B58B9">
        <w:rPr>
          <w:sz w:val="19"/>
          <w:szCs w:val="19"/>
          <w:rtl/>
        </w:rPr>
        <w:t>היעדר מטפלים לילדים עם צרכים מיוחדים</w:t>
      </w:r>
      <w:r w:rsidRPr="004B58B9">
        <w:rPr>
          <w:rFonts w:hint="cs"/>
          <w:sz w:val="19"/>
          <w:szCs w:val="19"/>
          <w:rtl/>
        </w:rPr>
        <w:t xml:space="preserve"> - </w:t>
      </w:r>
      <w:r w:rsidRPr="004B58B9">
        <w:rPr>
          <w:sz w:val="19"/>
          <w:szCs w:val="19"/>
          <w:rtl/>
        </w:rPr>
        <w:t>הפתרון הקיים ה</w:t>
      </w:r>
      <w:r w:rsidRPr="004B58B9">
        <w:rPr>
          <w:rFonts w:hint="cs"/>
          <w:sz w:val="19"/>
          <w:szCs w:val="19"/>
          <w:rtl/>
        </w:rPr>
        <w:t xml:space="preserve">יה </w:t>
      </w:r>
      <w:r w:rsidRPr="004B58B9">
        <w:rPr>
          <w:sz w:val="19"/>
          <w:szCs w:val="19"/>
          <w:rtl/>
        </w:rPr>
        <w:t xml:space="preserve">לנסוע למקום שבו ניתנים שירותים, אולם ההורים </w:t>
      </w:r>
      <w:r w:rsidRPr="004B58B9">
        <w:rPr>
          <w:rFonts w:hint="cs"/>
          <w:sz w:val="19"/>
          <w:szCs w:val="19"/>
          <w:rtl/>
        </w:rPr>
        <w:t xml:space="preserve">חששו </w:t>
      </w:r>
      <w:r w:rsidRPr="004B58B9">
        <w:rPr>
          <w:sz w:val="19"/>
          <w:szCs w:val="19"/>
          <w:rtl/>
        </w:rPr>
        <w:t xml:space="preserve">מכך והילדים </w:t>
      </w:r>
      <w:r w:rsidRPr="004B58B9">
        <w:rPr>
          <w:rFonts w:hint="cs"/>
          <w:sz w:val="19"/>
          <w:szCs w:val="19"/>
          <w:rtl/>
        </w:rPr>
        <w:t xml:space="preserve">לא קיבלו </w:t>
      </w:r>
      <w:r w:rsidRPr="004B58B9">
        <w:rPr>
          <w:sz w:val="19"/>
          <w:szCs w:val="19"/>
          <w:rtl/>
        </w:rPr>
        <w:t>טיפול.</w:t>
      </w:r>
    </w:p>
    <w:p w:rsidR="00A356FE" w:rsidRPr="00FE430E" w:rsidRDefault="00A356FE" w:rsidP="00DD0944">
      <w:pPr>
        <w:pStyle w:val="73"/>
        <w:numPr>
          <w:ilvl w:val="0"/>
          <w:numId w:val="25"/>
        </w:numPr>
        <w:spacing w:after="160"/>
        <w:rPr>
          <w:sz w:val="19"/>
          <w:szCs w:val="19"/>
        </w:rPr>
      </w:pPr>
      <w:r w:rsidRPr="00FE430E">
        <w:rPr>
          <w:rFonts w:hint="cs"/>
          <w:b/>
          <w:bCs/>
          <w:sz w:val="19"/>
          <w:szCs w:val="19"/>
          <w:rtl/>
        </w:rPr>
        <w:t>סיוע משרד הרווחה לרשויות המקומיות לצורך טיפול במפונים</w:t>
      </w:r>
      <w:r w:rsidRPr="00FE430E">
        <w:rPr>
          <w:rFonts w:hint="cs"/>
          <w:b/>
          <w:bCs/>
          <w:sz w:val="19"/>
          <w:szCs w:val="19"/>
        </w:rPr>
        <w:t xml:space="preserve"> </w:t>
      </w:r>
      <w:r>
        <w:rPr>
          <w:rFonts w:hint="cs"/>
          <w:sz w:val="19"/>
          <w:szCs w:val="19"/>
          <w:rtl/>
        </w:rPr>
        <w:t xml:space="preserve">- </w:t>
      </w:r>
      <w:r w:rsidRPr="00FE430E">
        <w:rPr>
          <w:sz w:val="19"/>
          <w:szCs w:val="19"/>
          <w:rtl/>
        </w:rPr>
        <w:t>השוואה בין שיעור המפונים שנקלטו ב</w:t>
      </w:r>
      <w:r>
        <w:rPr>
          <w:rFonts w:hint="cs"/>
          <w:sz w:val="19"/>
          <w:szCs w:val="19"/>
          <w:rtl/>
        </w:rPr>
        <w:t>כמה</w:t>
      </w:r>
      <w:r w:rsidRPr="00FE430E">
        <w:rPr>
          <w:sz w:val="19"/>
          <w:szCs w:val="19"/>
          <w:rtl/>
        </w:rPr>
        <w:t xml:space="preserve"> רשויות קולטות למספר התקנים </w:t>
      </w:r>
      <w:r>
        <w:rPr>
          <w:rFonts w:hint="cs"/>
          <w:sz w:val="19"/>
          <w:szCs w:val="19"/>
          <w:rtl/>
        </w:rPr>
        <w:t xml:space="preserve">של עובדים סוציאליים (עו"סים), עובדי מינהל ועובדים </w:t>
      </w:r>
      <w:r>
        <w:rPr>
          <w:rFonts w:hint="cs"/>
          <w:sz w:val="19"/>
          <w:szCs w:val="19"/>
          <w:rtl/>
        </w:rPr>
        <w:lastRenderedPageBreak/>
        <w:t xml:space="preserve">שתפקידם לסייע לעו"סים </w:t>
      </w:r>
      <w:r w:rsidRPr="00FE430E">
        <w:rPr>
          <w:sz w:val="19"/>
          <w:szCs w:val="19"/>
          <w:rtl/>
        </w:rPr>
        <w:t>שהקצה להן</w:t>
      </w:r>
      <w:r w:rsidRPr="004C3D87">
        <w:rPr>
          <w:sz w:val="19"/>
          <w:szCs w:val="19"/>
          <w:rtl/>
        </w:rPr>
        <w:t xml:space="preserve"> </w:t>
      </w:r>
      <w:r w:rsidRPr="00FE430E">
        <w:rPr>
          <w:sz w:val="19"/>
          <w:szCs w:val="19"/>
          <w:rtl/>
        </w:rPr>
        <w:t>משרד הרווחה</w:t>
      </w:r>
      <w:r>
        <w:rPr>
          <w:rFonts w:hint="cs"/>
          <w:sz w:val="19"/>
          <w:szCs w:val="19"/>
          <w:rtl/>
        </w:rPr>
        <w:t>,</w:t>
      </w:r>
      <w:r w:rsidRPr="00FE430E">
        <w:rPr>
          <w:sz w:val="19"/>
          <w:szCs w:val="19"/>
          <w:rtl/>
        </w:rPr>
        <w:t xml:space="preserve"> מצביעה על פער ניכר בין עומס העבודה שנוצר עקב קליטת המפונים להיקף המשאבים שהקצה משרד הרווחה לרשויות אלו </w:t>
      </w:r>
      <w:r>
        <w:rPr>
          <w:rFonts w:hint="cs"/>
          <w:sz w:val="19"/>
          <w:szCs w:val="19"/>
          <w:rtl/>
        </w:rPr>
        <w:t>כדי</w:t>
      </w:r>
      <w:r w:rsidRPr="00FE430E">
        <w:rPr>
          <w:sz w:val="19"/>
          <w:szCs w:val="19"/>
          <w:rtl/>
        </w:rPr>
        <w:t xml:space="preserve"> לסייע להן לטפל במפונים</w:t>
      </w:r>
      <w:r w:rsidRPr="00FE430E">
        <w:rPr>
          <w:rFonts w:hint="cs"/>
          <w:sz w:val="19"/>
          <w:szCs w:val="19"/>
          <w:rtl/>
        </w:rPr>
        <w:t>:</w:t>
      </w:r>
      <w:r w:rsidRPr="00FE430E">
        <w:rPr>
          <w:sz w:val="19"/>
          <w:szCs w:val="19"/>
          <w:rtl/>
        </w:rPr>
        <w:t xml:space="preserve"> ל</w:t>
      </w:r>
      <w:r w:rsidRPr="00FE430E">
        <w:rPr>
          <w:b/>
          <w:bCs/>
          <w:sz w:val="19"/>
          <w:szCs w:val="19"/>
          <w:rtl/>
        </w:rPr>
        <w:t>טבריה</w:t>
      </w:r>
      <w:r w:rsidRPr="00FE430E">
        <w:rPr>
          <w:sz w:val="19"/>
          <w:szCs w:val="19"/>
          <w:rtl/>
        </w:rPr>
        <w:t xml:space="preserve"> הוקצו 14 תקנים, </w:t>
      </w:r>
      <w:r>
        <w:rPr>
          <w:rFonts w:hint="cs"/>
          <w:sz w:val="19"/>
          <w:szCs w:val="19"/>
          <w:rtl/>
        </w:rPr>
        <w:t xml:space="preserve">והיא </w:t>
      </w:r>
      <w:r w:rsidRPr="00FE430E">
        <w:rPr>
          <w:sz w:val="19"/>
          <w:szCs w:val="19"/>
          <w:rtl/>
        </w:rPr>
        <w:t>קלטה 8% מכלל המפונים בשי</w:t>
      </w:r>
      <w:r w:rsidRPr="00FE430E">
        <w:rPr>
          <w:rFonts w:hint="cs"/>
          <w:sz w:val="19"/>
          <w:szCs w:val="19"/>
          <w:rtl/>
        </w:rPr>
        <w:t xml:space="preserve">א </w:t>
      </w:r>
      <w:r w:rsidRPr="00FE430E">
        <w:rPr>
          <w:sz w:val="19"/>
          <w:szCs w:val="19"/>
          <w:rtl/>
        </w:rPr>
        <w:t>(יחס של תקן אחד ל-787 מפונים)</w:t>
      </w:r>
      <w:r w:rsidRPr="00FE430E">
        <w:rPr>
          <w:rFonts w:hint="cs"/>
          <w:sz w:val="19"/>
          <w:szCs w:val="19"/>
          <w:rtl/>
        </w:rPr>
        <w:t xml:space="preserve">; </w:t>
      </w:r>
      <w:r w:rsidRPr="00FE430E">
        <w:rPr>
          <w:sz w:val="19"/>
          <w:szCs w:val="19"/>
          <w:rtl/>
        </w:rPr>
        <w:t>ל</w:t>
      </w:r>
      <w:r w:rsidRPr="00FE430E">
        <w:rPr>
          <w:b/>
          <w:bCs/>
          <w:sz w:val="19"/>
          <w:szCs w:val="19"/>
          <w:rtl/>
        </w:rPr>
        <w:t>ירושלים</w:t>
      </w:r>
      <w:r w:rsidRPr="00FE430E">
        <w:rPr>
          <w:sz w:val="19"/>
          <w:szCs w:val="19"/>
          <w:rtl/>
        </w:rPr>
        <w:t xml:space="preserve"> הוקצו 21 תקנים, </w:t>
      </w:r>
      <w:r>
        <w:rPr>
          <w:rFonts w:hint="cs"/>
          <w:sz w:val="19"/>
          <w:szCs w:val="19"/>
          <w:rtl/>
        </w:rPr>
        <w:t xml:space="preserve">והיא </w:t>
      </w:r>
      <w:r w:rsidRPr="00FE430E">
        <w:rPr>
          <w:sz w:val="19"/>
          <w:szCs w:val="19"/>
          <w:rtl/>
        </w:rPr>
        <w:t>קלטה 13% מכלל המפונים בשי</w:t>
      </w:r>
      <w:r w:rsidRPr="00FE430E">
        <w:rPr>
          <w:rFonts w:hint="cs"/>
          <w:sz w:val="19"/>
          <w:szCs w:val="19"/>
          <w:rtl/>
        </w:rPr>
        <w:t>א (</w:t>
      </w:r>
      <w:r w:rsidRPr="00FE430E">
        <w:rPr>
          <w:sz w:val="19"/>
          <w:szCs w:val="19"/>
          <w:rtl/>
        </w:rPr>
        <w:t>יחס של תקן אחד ל-890 מפונים)</w:t>
      </w:r>
      <w:r w:rsidRPr="00FE430E">
        <w:rPr>
          <w:rFonts w:hint="cs"/>
          <w:sz w:val="19"/>
          <w:szCs w:val="19"/>
          <w:rtl/>
        </w:rPr>
        <w:t xml:space="preserve">; </w:t>
      </w:r>
      <w:r w:rsidRPr="00FE430E">
        <w:rPr>
          <w:sz w:val="19"/>
          <w:szCs w:val="19"/>
          <w:rtl/>
        </w:rPr>
        <w:t>ול</w:t>
      </w:r>
      <w:r w:rsidRPr="00FE430E">
        <w:rPr>
          <w:b/>
          <w:bCs/>
          <w:sz w:val="19"/>
          <w:szCs w:val="19"/>
          <w:rtl/>
        </w:rPr>
        <w:t>תל אביב-יפו</w:t>
      </w:r>
      <w:r w:rsidRPr="00FE430E">
        <w:rPr>
          <w:sz w:val="19"/>
          <w:szCs w:val="19"/>
          <w:rtl/>
        </w:rPr>
        <w:t xml:space="preserve"> הוקצו 16 תקנים, </w:t>
      </w:r>
      <w:r>
        <w:rPr>
          <w:rFonts w:hint="cs"/>
          <w:sz w:val="19"/>
          <w:szCs w:val="19"/>
          <w:rtl/>
        </w:rPr>
        <w:t>והיא</w:t>
      </w:r>
      <w:r w:rsidRPr="00FE430E">
        <w:rPr>
          <w:sz w:val="19"/>
          <w:szCs w:val="19"/>
          <w:rtl/>
        </w:rPr>
        <w:t xml:space="preserve"> קלטה 9% מכלל המפונים בשי</w:t>
      </w:r>
      <w:r w:rsidRPr="00FE430E">
        <w:rPr>
          <w:rFonts w:hint="cs"/>
          <w:sz w:val="19"/>
          <w:szCs w:val="19"/>
          <w:rtl/>
        </w:rPr>
        <w:t xml:space="preserve">א </w:t>
      </w:r>
      <w:r w:rsidRPr="00FE430E">
        <w:rPr>
          <w:sz w:val="19"/>
          <w:szCs w:val="19"/>
          <w:rtl/>
        </w:rPr>
        <w:t>(יחס של תקן אחד ל-761 מפונים)</w:t>
      </w:r>
      <w:r w:rsidRPr="00FE430E">
        <w:rPr>
          <w:rFonts w:hint="cs"/>
          <w:sz w:val="19"/>
          <w:szCs w:val="19"/>
          <w:rtl/>
        </w:rPr>
        <w:t>.</w:t>
      </w:r>
      <w:r w:rsidRPr="00FE430E">
        <w:rPr>
          <w:sz w:val="19"/>
          <w:szCs w:val="19"/>
          <w:rtl/>
        </w:rPr>
        <w:t xml:space="preserve"> ל</w:t>
      </w:r>
      <w:r w:rsidRPr="00FE430E">
        <w:rPr>
          <w:b/>
          <w:bCs/>
          <w:sz w:val="19"/>
          <w:szCs w:val="19"/>
          <w:rtl/>
        </w:rPr>
        <w:t>אילת</w:t>
      </w:r>
      <w:r w:rsidRPr="00FE430E">
        <w:rPr>
          <w:sz w:val="19"/>
          <w:szCs w:val="19"/>
          <w:rtl/>
        </w:rPr>
        <w:t xml:space="preserve"> הוקצו 10 תקנים, אף ששיעור המפונים שקלטה היה גבוה מרשויות אלו - 43% מכלל המפונים בשי</w:t>
      </w:r>
      <w:r w:rsidRPr="00FE430E">
        <w:rPr>
          <w:rFonts w:hint="cs"/>
          <w:sz w:val="19"/>
          <w:szCs w:val="19"/>
          <w:rtl/>
        </w:rPr>
        <w:t xml:space="preserve">א </w:t>
      </w:r>
      <w:r w:rsidRPr="00FE430E">
        <w:rPr>
          <w:sz w:val="19"/>
          <w:szCs w:val="19"/>
          <w:rtl/>
        </w:rPr>
        <w:t>(יחס של תקן אחד ל-6,000 מפונים)</w:t>
      </w:r>
      <w:r w:rsidRPr="00FE430E">
        <w:rPr>
          <w:rFonts w:hint="cs"/>
          <w:sz w:val="19"/>
          <w:szCs w:val="19"/>
          <w:rtl/>
        </w:rPr>
        <w:t>. ע</w:t>
      </w:r>
      <w:r w:rsidRPr="00FE430E">
        <w:rPr>
          <w:sz w:val="19"/>
          <w:szCs w:val="19"/>
          <w:rtl/>
        </w:rPr>
        <w:t xml:space="preserve">וד עלה כי משרד הרווחה </w:t>
      </w:r>
      <w:r>
        <w:rPr>
          <w:rFonts w:hint="cs"/>
          <w:sz w:val="19"/>
          <w:szCs w:val="19"/>
          <w:rtl/>
        </w:rPr>
        <w:t xml:space="preserve">אמנם הקצה תקנים של עו"סים לצורך מתן שירותי רווחה למפונים שנקלטו במועצה </w:t>
      </w:r>
      <w:r w:rsidRPr="00FE430E">
        <w:rPr>
          <w:sz w:val="19"/>
          <w:szCs w:val="19"/>
          <w:rtl/>
        </w:rPr>
        <w:t xml:space="preserve">האזורית </w:t>
      </w:r>
      <w:r w:rsidRPr="00FE430E">
        <w:rPr>
          <w:b/>
          <w:bCs/>
          <w:sz w:val="19"/>
          <w:szCs w:val="19"/>
          <w:rtl/>
        </w:rPr>
        <w:t>תמר</w:t>
      </w:r>
      <w:r w:rsidRPr="00FE430E">
        <w:rPr>
          <w:sz w:val="19"/>
          <w:szCs w:val="19"/>
          <w:rtl/>
        </w:rPr>
        <w:t>, שמספר</w:t>
      </w:r>
      <w:r>
        <w:rPr>
          <w:rFonts w:hint="cs"/>
          <w:sz w:val="19"/>
          <w:szCs w:val="19"/>
          <w:rtl/>
        </w:rPr>
        <w:t>ם</w:t>
      </w:r>
      <w:r w:rsidRPr="00FE430E">
        <w:rPr>
          <w:sz w:val="19"/>
          <w:szCs w:val="19"/>
          <w:rtl/>
        </w:rPr>
        <w:t xml:space="preserve"> בשיא היה כ-13,000 - פי</w:t>
      </w:r>
      <w:r>
        <w:rPr>
          <w:rFonts w:hint="cs"/>
          <w:sz w:val="19"/>
          <w:szCs w:val="19"/>
          <w:rtl/>
        </w:rPr>
        <w:t xml:space="preserve"> שמונה</w:t>
      </w:r>
      <w:r w:rsidRPr="00FE430E">
        <w:rPr>
          <w:sz w:val="19"/>
          <w:szCs w:val="19"/>
          <w:rtl/>
        </w:rPr>
        <w:t xml:space="preserve"> ממספר תושביה</w:t>
      </w:r>
      <w:r>
        <w:rPr>
          <w:rFonts w:hint="cs"/>
          <w:sz w:val="19"/>
          <w:szCs w:val="19"/>
          <w:rtl/>
        </w:rPr>
        <w:t>, אך הוא לא הקצה תקנים למועצה עצמה אשר נדרשה אף היא לסייע</w:t>
      </w:r>
      <w:r w:rsidRPr="00FE430E">
        <w:rPr>
          <w:rFonts w:hint="cs"/>
          <w:sz w:val="19"/>
          <w:szCs w:val="19"/>
          <w:rtl/>
        </w:rPr>
        <w:t xml:space="preserve">. אף </w:t>
      </w:r>
      <w:r>
        <w:rPr>
          <w:rFonts w:hint="cs"/>
          <w:sz w:val="19"/>
          <w:szCs w:val="19"/>
          <w:rtl/>
        </w:rPr>
        <w:t xml:space="preserve">כי </w:t>
      </w:r>
      <w:r w:rsidRPr="00FE430E">
        <w:rPr>
          <w:rFonts w:hint="cs"/>
          <w:sz w:val="19"/>
          <w:szCs w:val="19"/>
          <w:rtl/>
        </w:rPr>
        <w:t xml:space="preserve">חלק מעובדי המטה והמחוזות של משרד הרווחה הוצבו במלונות שבהם שהו מפונים בתחומי העיר </w:t>
      </w:r>
      <w:r w:rsidRPr="00FE430E">
        <w:rPr>
          <w:rFonts w:hint="cs"/>
          <w:b/>
          <w:bCs/>
          <w:sz w:val="19"/>
          <w:szCs w:val="19"/>
          <w:rtl/>
        </w:rPr>
        <w:t xml:space="preserve">אילת </w:t>
      </w:r>
      <w:r w:rsidRPr="00FE430E">
        <w:rPr>
          <w:rFonts w:hint="cs"/>
          <w:sz w:val="19"/>
          <w:szCs w:val="19"/>
          <w:rtl/>
        </w:rPr>
        <w:t xml:space="preserve">והמועצה האזורית </w:t>
      </w:r>
      <w:r w:rsidRPr="00FE430E">
        <w:rPr>
          <w:rFonts w:hint="cs"/>
          <w:b/>
          <w:bCs/>
          <w:sz w:val="19"/>
          <w:szCs w:val="19"/>
          <w:rtl/>
        </w:rPr>
        <w:t>תמר</w:t>
      </w:r>
      <w:r w:rsidRPr="00FE430E">
        <w:rPr>
          <w:rFonts w:hint="cs"/>
          <w:sz w:val="19"/>
          <w:szCs w:val="19"/>
          <w:rtl/>
        </w:rPr>
        <w:t xml:space="preserve"> כדי לסייע לרשויות אלו בטיפול במפונים שקלטו, </w:t>
      </w:r>
      <w:r>
        <w:rPr>
          <w:rFonts w:hint="cs"/>
          <w:sz w:val="19"/>
          <w:szCs w:val="19"/>
          <w:rtl/>
        </w:rPr>
        <w:t>הרי ש</w:t>
      </w:r>
      <w:r w:rsidRPr="00FE430E">
        <w:rPr>
          <w:rFonts w:hint="cs"/>
          <w:sz w:val="19"/>
          <w:szCs w:val="19"/>
          <w:rtl/>
        </w:rPr>
        <w:t>מדובר</w:t>
      </w:r>
      <w:r>
        <w:rPr>
          <w:rFonts w:hint="cs"/>
          <w:sz w:val="19"/>
          <w:szCs w:val="19"/>
          <w:rtl/>
        </w:rPr>
        <w:t xml:space="preserve"> </w:t>
      </w:r>
      <w:r w:rsidRPr="00FE430E">
        <w:rPr>
          <w:rFonts w:hint="cs"/>
          <w:sz w:val="19"/>
          <w:szCs w:val="19"/>
          <w:rtl/>
        </w:rPr>
        <w:t>בהצבה זמנית ובמענה תחום בזמן, שאיננו תואם את שהייתם הממושכת של המפונים במלונות אלו</w:t>
      </w:r>
      <w:r w:rsidRPr="00FE430E">
        <w:rPr>
          <w:sz w:val="19"/>
          <w:szCs w:val="19"/>
          <w:rtl/>
        </w:rPr>
        <w:t>.</w:t>
      </w:r>
      <w:r w:rsidRPr="00FE430E">
        <w:rPr>
          <w:rFonts w:hint="cs"/>
          <w:sz w:val="19"/>
          <w:szCs w:val="19"/>
          <w:rtl/>
        </w:rPr>
        <w:t xml:space="preserve"> כמו כן, הוקצו תקנים נוספים ל</w:t>
      </w:r>
      <w:r>
        <w:rPr>
          <w:rFonts w:hint="cs"/>
          <w:sz w:val="19"/>
          <w:szCs w:val="19"/>
          <w:rtl/>
        </w:rPr>
        <w:t xml:space="preserve">כמה </w:t>
      </w:r>
      <w:r w:rsidRPr="00FE430E">
        <w:rPr>
          <w:rFonts w:hint="cs"/>
          <w:sz w:val="19"/>
          <w:szCs w:val="19"/>
          <w:rtl/>
        </w:rPr>
        <w:t>רשויות מפונות</w:t>
      </w:r>
      <w:r>
        <w:rPr>
          <w:rFonts w:hint="cs"/>
          <w:sz w:val="19"/>
          <w:szCs w:val="19"/>
          <w:rtl/>
        </w:rPr>
        <w:t>,</w:t>
      </w:r>
      <w:r w:rsidRPr="00FE430E">
        <w:rPr>
          <w:rFonts w:hint="cs"/>
          <w:sz w:val="19"/>
          <w:szCs w:val="19"/>
          <w:rtl/>
        </w:rPr>
        <w:t xml:space="preserve"> אולם רק </w:t>
      </w:r>
      <w:r>
        <w:rPr>
          <w:rFonts w:hint="cs"/>
          <w:sz w:val="19"/>
          <w:szCs w:val="19"/>
          <w:rtl/>
        </w:rPr>
        <w:t>כ</w:t>
      </w:r>
      <w:r w:rsidRPr="00FE430E">
        <w:rPr>
          <w:rFonts w:hint="cs"/>
          <w:sz w:val="19"/>
          <w:szCs w:val="19"/>
          <w:rtl/>
        </w:rPr>
        <w:t>שליש מהם אוישו עד ינואר 2024</w:t>
      </w:r>
      <w:r>
        <w:rPr>
          <w:rFonts w:hint="cs"/>
          <w:sz w:val="19"/>
          <w:szCs w:val="19"/>
          <w:rtl/>
        </w:rPr>
        <w:t>,</w:t>
      </w:r>
      <w:r w:rsidRPr="00FE430E">
        <w:rPr>
          <w:rFonts w:hint="cs"/>
          <w:sz w:val="19"/>
          <w:szCs w:val="19"/>
          <w:rtl/>
        </w:rPr>
        <w:t xml:space="preserve"> ולמשרד הרווחה אין מידע לאן הופנו שירותיהם של עובדים נוספים אלו. </w:t>
      </w:r>
    </w:p>
    <w:p w:rsidR="00A356FE" w:rsidRPr="003A3A1A" w:rsidRDefault="00A356FE" w:rsidP="00DD0944">
      <w:pPr>
        <w:pStyle w:val="73"/>
        <w:numPr>
          <w:ilvl w:val="0"/>
          <w:numId w:val="25"/>
        </w:numPr>
        <w:spacing w:after="160"/>
        <w:rPr>
          <w:sz w:val="19"/>
          <w:szCs w:val="19"/>
        </w:rPr>
      </w:pPr>
      <w:r w:rsidRPr="004B58B9">
        <w:rPr>
          <w:rFonts w:hint="cs"/>
          <w:b/>
          <w:bCs/>
          <w:sz w:val="19"/>
          <w:szCs w:val="19"/>
          <w:rtl/>
        </w:rPr>
        <w:t xml:space="preserve">סיוע הרשויות הקולטות למפונים הנזקקים לשירותי רווחה </w:t>
      </w:r>
      <w:r w:rsidRPr="009C5D22">
        <w:rPr>
          <w:rFonts w:hint="cs"/>
          <w:sz w:val="19"/>
          <w:szCs w:val="19"/>
          <w:rtl/>
        </w:rPr>
        <w:t>-</w:t>
      </w:r>
      <w:r w:rsidRPr="004B58B9">
        <w:rPr>
          <w:rFonts w:hint="cs"/>
          <w:b/>
          <w:bCs/>
          <w:sz w:val="19"/>
          <w:szCs w:val="19"/>
          <w:rtl/>
        </w:rPr>
        <w:t xml:space="preserve"> העברת מידע מהרשויות המפונות לרשויות הקולטות </w:t>
      </w:r>
      <w:r w:rsidRPr="004B58B9">
        <w:rPr>
          <w:sz w:val="19"/>
          <w:szCs w:val="19"/>
          <w:rtl/>
        </w:rPr>
        <w:t>-</w:t>
      </w:r>
      <w:r w:rsidRPr="004B58B9">
        <w:rPr>
          <w:rFonts w:hint="cs"/>
          <w:b/>
          <w:bCs/>
          <w:sz w:val="19"/>
          <w:szCs w:val="19"/>
        </w:rPr>
        <w:t xml:space="preserve"> </w:t>
      </w:r>
      <w:r w:rsidRPr="004B58B9">
        <w:rPr>
          <w:sz w:val="19"/>
          <w:szCs w:val="19"/>
          <w:rtl/>
        </w:rPr>
        <w:t xml:space="preserve">אף שבתורת ההפעלה </w:t>
      </w:r>
      <w:r w:rsidRPr="004B58B9">
        <w:rPr>
          <w:rFonts w:hint="cs"/>
          <w:sz w:val="19"/>
          <w:szCs w:val="19"/>
          <w:rtl/>
        </w:rPr>
        <w:t>לאירועי חירום ומשבר של משרד הרווחה</w:t>
      </w:r>
      <w:r>
        <w:rPr>
          <w:rFonts w:hint="cs"/>
          <w:sz w:val="19"/>
          <w:szCs w:val="19"/>
          <w:rtl/>
        </w:rPr>
        <w:t xml:space="preserve"> ממאי 2021</w:t>
      </w:r>
      <w:r w:rsidRPr="004B58B9">
        <w:rPr>
          <w:rFonts w:hint="cs"/>
          <w:sz w:val="19"/>
          <w:szCs w:val="19"/>
          <w:rtl/>
        </w:rPr>
        <w:t xml:space="preserve"> </w:t>
      </w:r>
      <w:r w:rsidRPr="004B58B9">
        <w:rPr>
          <w:sz w:val="19"/>
          <w:szCs w:val="19"/>
          <w:rtl/>
        </w:rPr>
        <w:t>הוגדר הצורך להבטיח תיאום ומחויבות של הגופים השלטוניים לספק שירותי רווחה גם בשעת חירום, ואף שמטופלי רווחה ב</w:t>
      </w:r>
      <w:r w:rsidRPr="004B58B9">
        <w:rPr>
          <w:rFonts w:hint="cs"/>
          <w:sz w:val="19"/>
          <w:szCs w:val="19"/>
          <w:rtl/>
        </w:rPr>
        <w:t xml:space="preserve">עת </w:t>
      </w:r>
      <w:r w:rsidRPr="004B58B9">
        <w:rPr>
          <w:sz w:val="19"/>
          <w:szCs w:val="19"/>
          <w:rtl/>
        </w:rPr>
        <w:t xml:space="preserve">שגרה ואנשים עם מוגבלות וצרכים מיוחדים אחרים עשויים בשעת חירום להזדקק לתשומת לב מיוחדת, </w:t>
      </w:r>
      <w:r w:rsidRPr="004B58B9">
        <w:rPr>
          <w:rFonts w:hint="cs"/>
          <w:sz w:val="19"/>
          <w:szCs w:val="19"/>
          <w:rtl/>
        </w:rPr>
        <w:t xml:space="preserve">נכון למועד סיום הביקורת </w:t>
      </w:r>
      <w:r w:rsidRPr="004B58B9">
        <w:rPr>
          <w:sz w:val="19"/>
          <w:szCs w:val="19"/>
          <w:rtl/>
        </w:rPr>
        <w:t>הוסדרה מסירת המידע רק לגבי אנשים עם מוגבלות</w:t>
      </w:r>
      <w:r w:rsidRPr="004B58B9">
        <w:rPr>
          <w:rFonts w:hint="cs"/>
          <w:sz w:val="19"/>
          <w:szCs w:val="19"/>
          <w:rtl/>
        </w:rPr>
        <w:t xml:space="preserve">, וגם זאת רק באוגוסט 2024. אף </w:t>
      </w:r>
      <w:r w:rsidRPr="004B58B9">
        <w:rPr>
          <w:sz w:val="19"/>
          <w:szCs w:val="19"/>
          <w:rtl/>
        </w:rPr>
        <w:t>שעל</w:t>
      </w:r>
      <w:r w:rsidRPr="003A3A1A">
        <w:rPr>
          <w:sz w:val="19"/>
          <w:szCs w:val="19"/>
          <w:rtl/>
        </w:rPr>
        <w:t xml:space="preserve"> פי נוהל פס"ח 21 </w:t>
      </w:r>
      <w:r>
        <w:rPr>
          <w:rFonts w:hint="cs"/>
          <w:sz w:val="19"/>
          <w:szCs w:val="19"/>
          <w:rtl/>
        </w:rPr>
        <w:t xml:space="preserve">בעת </w:t>
      </w:r>
      <w:r w:rsidRPr="003A3A1A">
        <w:rPr>
          <w:sz w:val="19"/>
          <w:szCs w:val="19"/>
          <w:rtl/>
        </w:rPr>
        <w:t xml:space="preserve">תכנון קליטת אוכלוסייה מרשויות אחרות ייעשה בירור נתוני האוכלוסייה המפונה מול הרשות המפונה, רוב הרשויות הקולטות שנבדקו - העיריות </w:t>
      </w:r>
      <w:r w:rsidRPr="003A3A1A">
        <w:rPr>
          <w:b/>
          <w:bCs/>
          <w:sz w:val="19"/>
          <w:szCs w:val="19"/>
          <w:rtl/>
        </w:rPr>
        <w:t>אילת</w:t>
      </w:r>
      <w:r w:rsidRPr="007309D8">
        <w:rPr>
          <w:sz w:val="19"/>
          <w:szCs w:val="19"/>
          <w:rtl/>
        </w:rPr>
        <w:t xml:space="preserve">, </w:t>
      </w:r>
      <w:r w:rsidRPr="003A3A1A">
        <w:rPr>
          <w:b/>
          <w:bCs/>
          <w:sz w:val="19"/>
          <w:szCs w:val="19"/>
          <w:rtl/>
        </w:rPr>
        <w:t>הרצלייה</w:t>
      </w:r>
      <w:r w:rsidRPr="007309D8">
        <w:rPr>
          <w:sz w:val="19"/>
          <w:szCs w:val="19"/>
          <w:rtl/>
        </w:rPr>
        <w:t xml:space="preserve">, </w:t>
      </w:r>
      <w:r w:rsidRPr="003A3A1A">
        <w:rPr>
          <w:b/>
          <w:bCs/>
          <w:sz w:val="19"/>
          <w:szCs w:val="19"/>
          <w:rtl/>
        </w:rPr>
        <w:t>חיפה</w:t>
      </w:r>
      <w:r w:rsidRPr="007309D8">
        <w:rPr>
          <w:sz w:val="19"/>
          <w:szCs w:val="19"/>
          <w:rtl/>
        </w:rPr>
        <w:t xml:space="preserve">, </w:t>
      </w:r>
      <w:r w:rsidRPr="003A3A1A">
        <w:rPr>
          <w:b/>
          <w:bCs/>
          <w:sz w:val="19"/>
          <w:szCs w:val="19"/>
          <w:rtl/>
        </w:rPr>
        <w:t>טבריה</w:t>
      </w:r>
      <w:r w:rsidRPr="007309D8">
        <w:rPr>
          <w:sz w:val="19"/>
          <w:szCs w:val="19"/>
          <w:rtl/>
        </w:rPr>
        <w:t xml:space="preserve">, </w:t>
      </w:r>
      <w:r w:rsidRPr="003A3A1A">
        <w:rPr>
          <w:b/>
          <w:bCs/>
          <w:sz w:val="19"/>
          <w:szCs w:val="19"/>
          <w:rtl/>
        </w:rPr>
        <w:t>נתניה</w:t>
      </w:r>
      <w:r w:rsidRPr="007309D8">
        <w:rPr>
          <w:sz w:val="19"/>
          <w:szCs w:val="19"/>
          <w:rtl/>
        </w:rPr>
        <w:t xml:space="preserve">, </w:t>
      </w:r>
      <w:r w:rsidRPr="003A3A1A">
        <w:rPr>
          <w:b/>
          <w:bCs/>
          <w:sz w:val="19"/>
          <w:szCs w:val="19"/>
          <w:rtl/>
        </w:rPr>
        <w:t xml:space="preserve">רמת גן </w:t>
      </w:r>
      <w:r w:rsidRPr="003A3A1A">
        <w:rPr>
          <w:sz w:val="19"/>
          <w:szCs w:val="19"/>
          <w:rtl/>
        </w:rPr>
        <w:t>ו</w:t>
      </w:r>
      <w:r w:rsidRPr="003A3A1A">
        <w:rPr>
          <w:b/>
          <w:bCs/>
          <w:sz w:val="19"/>
          <w:szCs w:val="19"/>
          <w:rtl/>
        </w:rPr>
        <w:t>תל אביב-יפו</w:t>
      </w:r>
      <w:r w:rsidRPr="003A3A1A">
        <w:rPr>
          <w:sz w:val="19"/>
          <w:szCs w:val="19"/>
          <w:rtl/>
        </w:rPr>
        <w:t xml:space="preserve">, המועצה המקומית </w:t>
      </w:r>
      <w:r w:rsidRPr="003A3A1A">
        <w:rPr>
          <w:b/>
          <w:bCs/>
          <w:sz w:val="19"/>
          <w:szCs w:val="19"/>
          <w:rtl/>
        </w:rPr>
        <w:t>זיכרון יעקב</w:t>
      </w:r>
      <w:r w:rsidRPr="003A3A1A">
        <w:rPr>
          <w:sz w:val="19"/>
          <w:szCs w:val="19"/>
          <w:rtl/>
        </w:rPr>
        <w:t xml:space="preserve"> והמועצות האזוריות </w:t>
      </w:r>
      <w:r w:rsidRPr="003A3A1A">
        <w:rPr>
          <w:b/>
          <w:bCs/>
          <w:sz w:val="19"/>
          <w:szCs w:val="19"/>
          <w:rtl/>
        </w:rPr>
        <w:t>חוף הכרמל</w:t>
      </w:r>
      <w:r w:rsidRPr="007309D8">
        <w:rPr>
          <w:sz w:val="19"/>
          <w:szCs w:val="19"/>
          <w:rtl/>
        </w:rPr>
        <w:t xml:space="preserve">, </w:t>
      </w:r>
      <w:r w:rsidRPr="003A3A1A">
        <w:rPr>
          <w:b/>
          <w:bCs/>
          <w:sz w:val="19"/>
          <w:szCs w:val="19"/>
          <w:rtl/>
        </w:rPr>
        <w:t xml:space="preserve">עמק הירדן </w:t>
      </w:r>
      <w:r w:rsidRPr="003A3A1A">
        <w:rPr>
          <w:sz w:val="19"/>
          <w:szCs w:val="19"/>
          <w:rtl/>
        </w:rPr>
        <w:t>ו</w:t>
      </w:r>
      <w:r w:rsidRPr="003A3A1A">
        <w:rPr>
          <w:b/>
          <w:bCs/>
          <w:sz w:val="19"/>
          <w:szCs w:val="19"/>
          <w:rtl/>
        </w:rPr>
        <w:t>תמר</w:t>
      </w:r>
      <w:r w:rsidRPr="003A3A1A">
        <w:rPr>
          <w:sz w:val="19"/>
          <w:szCs w:val="19"/>
          <w:rtl/>
        </w:rPr>
        <w:t xml:space="preserve"> - לא קיבלו את פרטיהם של המפונים שהסתייעו בעת שגרה בשירותי מחלקות הרווחה ברשויות המפונות. הפרטים לא הועברו אף בשלבי הקליטה הראשונים שבהם האחריות למתן שירותי הרווחה הייתה מוטלת בעיקרה על הרשויות הקולטות, בין היתר בשל היעדר הסדרה של מסירת המידע כמתחייב לפי חוק הגנת הפרטיות</w:t>
      </w:r>
      <w:r>
        <w:rPr>
          <w:rFonts w:hint="cs"/>
          <w:sz w:val="19"/>
          <w:szCs w:val="19"/>
          <w:rtl/>
        </w:rPr>
        <w:t>, התשמ"א-1981</w:t>
      </w:r>
      <w:r w:rsidRPr="003A3A1A">
        <w:rPr>
          <w:sz w:val="19"/>
          <w:szCs w:val="19"/>
          <w:rtl/>
        </w:rPr>
        <w:t>. אי</w:t>
      </w:r>
      <w:r>
        <w:rPr>
          <w:rFonts w:hint="cs"/>
          <w:sz w:val="19"/>
          <w:szCs w:val="19"/>
          <w:rtl/>
        </w:rPr>
        <w:t>-</w:t>
      </w:r>
      <w:r w:rsidRPr="003A3A1A">
        <w:rPr>
          <w:sz w:val="19"/>
          <w:szCs w:val="19"/>
          <w:rtl/>
        </w:rPr>
        <w:t>מסירת המידע עשויה להקשות על הרשויות הקולטות לתת מענה מיטבי לתושבים שפונו לתחומן.</w:t>
      </w:r>
      <w:r w:rsidRPr="003A3A1A">
        <w:rPr>
          <w:rFonts w:hint="cs"/>
          <w:sz w:val="19"/>
          <w:szCs w:val="19"/>
          <w:rtl/>
        </w:rPr>
        <w:t xml:space="preserve"> </w:t>
      </w:r>
    </w:p>
    <w:p w:rsidR="00A356FE" w:rsidRPr="005B255D" w:rsidRDefault="00A356FE" w:rsidP="00DD0944">
      <w:pPr>
        <w:pStyle w:val="73"/>
        <w:numPr>
          <w:ilvl w:val="0"/>
          <w:numId w:val="25"/>
        </w:numPr>
        <w:spacing w:after="160"/>
        <w:rPr>
          <w:sz w:val="19"/>
          <w:szCs w:val="19"/>
        </w:rPr>
      </w:pPr>
      <w:r>
        <w:rPr>
          <w:rFonts w:hint="cs"/>
          <w:b/>
          <w:bCs/>
          <w:sz w:val="19"/>
          <w:szCs w:val="19"/>
          <w:rtl/>
        </w:rPr>
        <w:t xml:space="preserve">סיוע הרשויות הקולטות למפונים הנזקקים לשירותי רווחה </w:t>
      </w:r>
      <w:r w:rsidRPr="009C5D22">
        <w:rPr>
          <w:rFonts w:hint="cs"/>
          <w:sz w:val="19"/>
          <w:szCs w:val="19"/>
          <w:rtl/>
        </w:rPr>
        <w:t>-</w:t>
      </w:r>
      <w:r w:rsidRPr="005B255D">
        <w:rPr>
          <w:rFonts w:hint="cs"/>
          <w:b/>
          <w:bCs/>
          <w:sz w:val="19"/>
          <w:szCs w:val="19"/>
          <w:rtl/>
        </w:rPr>
        <w:t xml:space="preserve"> איתור ומיפוי של אוכלוסיות </w:t>
      </w:r>
      <w:r>
        <w:rPr>
          <w:rFonts w:hint="cs"/>
          <w:b/>
          <w:bCs/>
          <w:sz w:val="19"/>
          <w:szCs w:val="19"/>
          <w:rtl/>
        </w:rPr>
        <w:t>הנזקקות</w:t>
      </w:r>
      <w:r w:rsidRPr="005B255D">
        <w:rPr>
          <w:rFonts w:hint="cs"/>
          <w:b/>
          <w:bCs/>
          <w:sz w:val="19"/>
          <w:szCs w:val="19"/>
          <w:rtl/>
        </w:rPr>
        <w:t xml:space="preserve"> לסיוע מיוחד</w:t>
      </w:r>
      <w:r>
        <w:rPr>
          <w:rFonts w:hint="cs"/>
          <w:b/>
          <w:bCs/>
          <w:sz w:val="19"/>
          <w:szCs w:val="19"/>
          <w:rtl/>
        </w:rPr>
        <w:t xml:space="preserve"> </w:t>
      </w:r>
      <w:r w:rsidRPr="00913716">
        <w:rPr>
          <w:sz w:val="19"/>
          <w:szCs w:val="19"/>
          <w:rtl/>
        </w:rPr>
        <w:t>-</w:t>
      </w:r>
      <w:r>
        <w:rPr>
          <w:rFonts w:hint="cs"/>
          <w:b/>
          <w:bCs/>
          <w:sz w:val="19"/>
          <w:szCs w:val="19"/>
          <w:rtl/>
        </w:rPr>
        <w:t xml:space="preserve"> </w:t>
      </w:r>
      <w:r w:rsidRPr="005B255D">
        <w:rPr>
          <w:rFonts w:hint="cs"/>
          <w:sz w:val="19"/>
          <w:szCs w:val="19"/>
          <w:rtl/>
        </w:rPr>
        <w:t xml:space="preserve">הועלה כי </w:t>
      </w:r>
      <w:r>
        <w:rPr>
          <w:rFonts w:hint="cs"/>
          <w:sz w:val="19"/>
          <w:szCs w:val="19"/>
          <w:rtl/>
        </w:rPr>
        <w:t>חלק מ</w:t>
      </w:r>
      <w:r w:rsidRPr="005B255D">
        <w:rPr>
          <w:rFonts w:hint="cs"/>
          <w:sz w:val="19"/>
          <w:szCs w:val="19"/>
          <w:rtl/>
        </w:rPr>
        <w:t>הרשויות שנבדקו לא תיעדו את תוצאות המיפוי והאיתור שעשו, בין היתר בשל מצב החירום.</w:t>
      </w:r>
      <w:r w:rsidRPr="005B255D">
        <w:rPr>
          <w:rFonts w:hint="cs"/>
          <w:sz w:val="19"/>
          <w:szCs w:val="19"/>
        </w:rPr>
        <w:t xml:space="preserve"> </w:t>
      </w:r>
    </w:p>
    <w:p w:rsidR="00A356FE" w:rsidRDefault="00A356FE" w:rsidP="00DD0944">
      <w:pPr>
        <w:pStyle w:val="73"/>
        <w:numPr>
          <w:ilvl w:val="0"/>
          <w:numId w:val="25"/>
        </w:numPr>
        <w:spacing w:after="160"/>
        <w:rPr>
          <w:sz w:val="19"/>
          <w:szCs w:val="19"/>
        </w:rPr>
      </w:pPr>
      <w:r w:rsidRPr="006464C3">
        <w:rPr>
          <w:rFonts w:hint="cs"/>
          <w:b/>
          <w:bCs/>
          <w:sz w:val="19"/>
          <w:szCs w:val="19"/>
          <w:rtl/>
        </w:rPr>
        <w:t xml:space="preserve">סיוע משרד הרווחה לרשויות המקומיות באיתור אוכלוסיות מיוחדות </w:t>
      </w:r>
      <w:r w:rsidRPr="009C5D22">
        <w:rPr>
          <w:rFonts w:hint="cs"/>
          <w:sz w:val="19"/>
          <w:szCs w:val="19"/>
          <w:rtl/>
        </w:rPr>
        <w:t>-</w:t>
      </w:r>
      <w:r w:rsidRPr="006464C3">
        <w:rPr>
          <w:rFonts w:hint="cs"/>
          <w:b/>
          <w:bCs/>
          <w:sz w:val="19"/>
          <w:szCs w:val="19"/>
          <w:rtl/>
        </w:rPr>
        <w:t xml:space="preserve"> </w:t>
      </w:r>
      <w:r w:rsidRPr="006464C3">
        <w:rPr>
          <w:sz w:val="19"/>
          <w:szCs w:val="19"/>
          <w:rtl/>
        </w:rPr>
        <w:t>נמצא כי נתוני</w:t>
      </w:r>
      <w:r>
        <w:rPr>
          <w:rFonts w:hint="cs"/>
          <w:sz w:val="19"/>
          <w:szCs w:val="19"/>
          <w:rtl/>
        </w:rPr>
        <w:t xml:space="preserve"> המוסד לביטוח לאומי,</w:t>
      </w:r>
      <w:r w:rsidRPr="006464C3">
        <w:rPr>
          <w:sz w:val="19"/>
          <w:szCs w:val="19"/>
          <w:rtl/>
        </w:rPr>
        <w:t xml:space="preserve"> </w:t>
      </w:r>
      <w:r>
        <w:rPr>
          <w:rFonts w:hint="cs"/>
          <w:sz w:val="19"/>
          <w:szCs w:val="19"/>
          <w:rtl/>
        </w:rPr>
        <w:t>שמעביר משרד הרווחה לרשויות המקומיות</w:t>
      </w:r>
      <w:r w:rsidRPr="006464C3">
        <w:rPr>
          <w:sz w:val="19"/>
          <w:szCs w:val="19"/>
          <w:rtl/>
        </w:rPr>
        <w:t xml:space="preserve"> במסגרת כספת</w:t>
      </w:r>
      <w:r>
        <w:rPr>
          <w:rFonts w:hint="cs"/>
          <w:sz w:val="19"/>
          <w:szCs w:val="19"/>
          <w:rtl/>
        </w:rPr>
        <w:t xml:space="preserve"> נצורה,</w:t>
      </w:r>
      <w:r w:rsidRPr="006464C3">
        <w:rPr>
          <w:sz w:val="19"/>
          <w:szCs w:val="19"/>
          <w:rtl/>
        </w:rPr>
        <w:t xml:space="preserve"> כוללים רק מקבלי גמלה בפועל (כולל גמלה זמנית)</w:t>
      </w:r>
      <w:r>
        <w:rPr>
          <w:rFonts w:hint="cs"/>
          <w:sz w:val="19"/>
          <w:szCs w:val="19"/>
          <w:rtl/>
        </w:rPr>
        <w:t>,</w:t>
      </w:r>
      <w:r w:rsidRPr="006464C3">
        <w:rPr>
          <w:sz w:val="19"/>
          <w:szCs w:val="19"/>
          <w:rtl/>
        </w:rPr>
        <w:t xml:space="preserve"> ואינם כוללים מקבלי גמלאות המוכרים על ידי גופים אחרים. ומכאן שאין הכרח שהמידע המועבר לרשויות המקומיות ממשרד הרווחה כולל את כל תושביהן הנזקקים לסיוע </w:t>
      </w:r>
      <w:r w:rsidRPr="006464C3">
        <w:rPr>
          <w:sz w:val="19"/>
          <w:szCs w:val="19"/>
          <w:rtl/>
        </w:rPr>
        <w:lastRenderedPageBreak/>
        <w:t>בשעת חירום. זאת ועוד, המידע מועבר לרשויות על תושביהן בלבד.</w:t>
      </w:r>
      <w:r w:rsidRPr="006464C3">
        <w:rPr>
          <w:rFonts w:hint="cs"/>
          <w:sz w:val="19"/>
          <w:szCs w:val="19"/>
          <w:rtl/>
        </w:rPr>
        <w:t xml:space="preserve"> </w:t>
      </w:r>
      <w:r w:rsidRPr="006464C3">
        <w:rPr>
          <w:sz w:val="19"/>
          <w:szCs w:val="19"/>
          <w:rtl/>
        </w:rPr>
        <w:t>בעקבות זאת לא יכ</w:t>
      </w:r>
      <w:r>
        <w:rPr>
          <w:rFonts w:hint="cs"/>
          <w:sz w:val="19"/>
          <w:szCs w:val="19"/>
          <w:rtl/>
        </w:rPr>
        <w:t xml:space="preserve">לו </w:t>
      </w:r>
      <w:r w:rsidRPr="006464C3">
        <w:rPr>
          <w:sz w:val="19"/>
          <w:szCs w:val="19"/>
          <w:rtl/>
        </w:rPr>
        <w:t xml:space="preserve">הרשויות הקולטות לקבל מידע חשוב זה בנוגע למפונים שאומנם משויכים לרשות המפונה, אך בפועל </w:t>
      </w:r>
      <w:r>
        <w:rPr>
          <w:rFonts w:hint="cs"/>
          <w:sz w:val="19"/>
          <w:szCs w:val="19"/>
          <w:rtl/>
        </w:rPr>
        <w:t>ה</w:t>
      </w:r>
      <w:r w:rsidRPr="006464C3">
        <w:rPr>
          <w:sz w:val="19"/>
          <w:szCs w:val="19"/>
          <w:rtl/>
        </w:rPr>
        <w:t>תגורר</w:t>
      </w:r>
      <w:r>
        <w:rPr>
          <w:rFonts w:hint="cs"/>
          <w:sz w:val="19"/>
          <w:szCs w:val="19"/>
          <w:rtl/>
        </w:rPr>
        <w:t>ו</w:t>
      </w:r>
      <w:r w:rsidRPr="006464C3">
        <w:rPr>
          <w:sz w:val="19"/>
          <w:szCs w:val="19"/>
          <w:rtl/>
        </w:rPr>
        <w:t xml:space="preserve"> זה זמן מה בתחומי הרשות הקולטת, וייתכן שיכלו להיעזר בשירותיה. יתר על כן, במצב חירום שבו הרשויות המפונות </w:t>
      </w:r>
      <w:r>
        <w:rPr>
          <w:rFonts w:hint="cs"/>
          <w:sz w:val="19"/>
          <w:szCs w:val="19"/>
          <w:rtl/>
        </w:rPr>
        <w:t>ה</w:t>
      </w:r>
      <w:r w:rsidRPr="006464C3">
        <w:rPr>
          <w:sz w:val="19"/>
          <w:szCs w:val="19"/>
          <w:rtl/>
        </w:rPr>
        <w:t>תקשו</w:t>
      </w:r>
      <w:r>
        <w:rPr>
          <w:rFonts w:hint="cs"/>
          <w:sz w:val="19"/>
          <w:szCs w:val="19"/>
          <w:rtl/>
        </w:rPr>
        <w:t xml:space="preserve"> </w:t>
      </w:r>
      <w:r w:rsidRPr="006464C3">
        <w:rPr>
          <w:sz w:val="19"/>
          <w:szCs w:val="19"/>
          <w:rtl/>
        </w:rPr>
        <w:t>לפעול באופן שוטף</w:t>
      </w:r>
      <w:r>
        <w:rPr>
          <w:rFonts w:hint="cs"/>
          <w:sz w:val="19"/>
          <w:szCs w:val="19"/>
          <w:rtl/>
        </w:rPr>
        <w:t>,</w:t>
      </w:r>
      <w:r w:rsidRPr="006464C3">
        <w:rPr>
          <w:sz w:val="19"/>
          <w:szCs w:val="19"/>
          <w:rtl/>
        </w:rPr>
        <w:t xml:space="preserve"> לא </w:t>
      </w:r>
      <w:r>
        <w:rPr>
          <w:rFonts w:hint="cs"/>
          <w:sz w:val="19"/>
          <w:szCs w:val="19"/>
          <w:rtl/>
        </w:rPr>
        <w:t>היית</w:t>
      </w:r>
      <w:r w:rsidRPr="006464C3">
        <w:rPr>
          <w:sz w:val="19"/>
          <w:szCs w:val="19"/>
          <w:rtl/>
        </w:rPr>
        <w:t xml:space="preserve">ה לרשות הקולטת גישה למידע. </w:t>
      </w:r>
      <w:r w:rsidRPr="006464C3">
        <w:rPr>
          <w:rFonts w:hint="cs"/>
          <w:sz w:val="19"/>
          <w:szCs w:val="19"/>
          <w:rtl/>
        </w:rPr>
        <w:t xml:space="preserve">עוד נמצא </w:t>
      </w:r>
      <w:r w:rsidRPr="006464C3">
        <w:rPr>
          <w:sz w:val="19"/>
          <w:szCs w:val="19"/>
          <w:rtl/>
        </w:rPr>
        <w:t xml:space="preserve">כי רוב הרשויות הקולטות שנבדקו - העיריות </w:t>
      </w:r>
      <w:r w:rsidRPr="006464C3">
        <w:rPr>
          <w:b/>
          <w:bCs/>
          <w:sz w:val="19"/>
          <w:szCs w:val="19"/>
          <w:rtl/>
        </w:rPr>
        <w:t>אילת</w:t>
      </w:r>
      <w:r w:rsidRPr="007309D8">
        <w:rPr>
          <w:sz w:val="19"/>
          <w:szCs w:val="19"/>
          <w:rtl/>
        </w:rPr>
        <w:t xml:space="preserve">, </w:t>
      </w:r>
      <w:r w:rsidRPr="006464C3">
        <w:rPr>
          <w:b/>
          <w:bCs/>
          <w:sz w:val="19"/>
          <w:szCs w:val="19"/>
          <w:rtl/>
        </w:rPr>
        <w:t>הרצלייה</w:t>
      </w:r>
      <w:r w:rsidRPr="007309D8">
        <w:rPr>
          <w:sz w:val="19"/>
          <w:szCs w:val="19"/>
          <w:rtl/>
        </w:rPr>
        <w:t xml:space="preserve">, </w:t>
      </w:r>
      <w:r w:rsidRPr="006464C3">
        <w:rPr>
          <w:b/>
          <w:bCs/>
          <w:sz w:val="19"/>
          <w:szCs w:val="19"/>
          <w:rtl/>
        </w:rPr>
        <w:t>חיפה</w:t>
      </w:r>
      <w:r w:rsidRPr="007309D8">
        <w:rPr>
          <w:sz w:val="19"/>
          <w:szCs w:val="19"/>
          <w:rtl/>
        </w:rPr>
        <w:t xml:space="preserve">, </w:t>
      </w:r>
      <w:r w:rsidRPr="006464C3">
        <w:rPr>
          <w:b/>
          <w:bCs/>
          <w:sz w:val="19"/>
          <w:szCs w:val="19"/>
          <w:rtl/>
        </w:rPr>
        <w:t>טבריה</w:t>
      </w:r>
      <w:r w:rsidRPr="007309D8">
        <w:rPr>
          <w:sz w:val="19"/>
          <w:szCs w:val="19"/>
          <w:rtl/>
        </w:rPr>
        <w:t xml:space="preserve">, </w:t>
      </w:r>
      <w:r w:rsidRPr="006464C3">
        <w:rPr>
          <w:b/>
          <w:bCs/>
          <w:sz w:val="19"/>
          <w:szCs w:val="19"/>
          <w:rtl/>
        </w:rPr>
        <w:t>נוף הגליל</w:t>
      </w:r>
      <w:r w:rsidRPr="007309D8">
        <w:rPr>
          <w:sz w:val="19"/>
          <w:szCs w:val="19"/>
          <w:rtl/>
        </w:rPr>
        <w:t xml:space="preserve">, </w:t>
      </w:r>
      <w:r w:rsidRPr="006464C3">
        <w:rPr>
          <w:b/>
          <w:bCs/>
          <w:sz w:val="19"/>
          <w:szCs w:val="19"/>
          <w:rtl/>
        </w:rPr>
        <w:t>נתניה</w:t>
      </w:r>
      <w:r w:rsidRPr="007309D8">
        <w:rPr>
          <w:sz w:val="19"/>
          <w:szCs w:val="19"/>
          <w:rtl/>
        </w:rPr>
        <w:t xml:space="preserve">, </w:t>
      </w:r>
      <w:r w:rsidRPr="006464C3">
        <w:rPr>
          <w:b/>
          <w:bCs/>
          <w:sz w:val="19"/>
          <w:szCs w:val="19"/>
          <w:rtl/>
        </w:rPr>
        <w:t xml:space="preserve">רמת גן </w:t>
      </w:r>
      <w:r w:rsidRPr="000C0DEB">
        <w:rPr>
          <w:sz w:val="19"/>
          <w:szCs w:val="19"/>
          <w:rtl/>
        </w:rPr>
        <w:t>ו</w:t>
      </w:r>
      <w:r w:rsidRPr="006464C3">
        <w:rPr>
          <w:b/>
          <w:bCs/>
          <w:sz w:val="19"/>
          <w:szCs w:val="19"/>
          <w:rtl/>
        </w:rPr>
        <w:t>תל אביב-יפו</w:t>
      </w:r>
      <w:r w:rsidRPr="006464C3">
        <w:rPr>
          <w:sz w:val="19"/>
          <w:szCs w:val="19"/>
          <w:rtl/>
        </w:rPr>
        <w:t xml:space="preserve">, המועצה המקומית </w:t>
      </w:r>
      <w:r w:rsidRPr="006464C3">
        <w:rPr>
          <w:b/>
          <w:bCs/>
          <w:sz w:val="19"/>
          <w:szCs w:val="19"/>
          <w:rtl/>
        </w:rPr>
        <w:t>זיכרון יעקב</w:t>
      </w:r>
      <w:r w:rsidRPr="006464C3">
        <w:rPr>
          <w:sz w:val="19"/>
          <w:szCs w:val="19"/>
          <w:rtl/>
        </w:rPr>
        <w:t xml:space="preserve"> והמועצות האזוריות </w:t>
      </w:r>
      <w:r w:rsidRPr="006464C3">
        <w:rPr>
          <w:b/>
          <w:bCs/>
          <w:sz w:val="19"/>
          <w:szCs w:val="19"/>
          <w:rtl/>
        </w:rPr>
        <w:t>חוף הכרמל</w:t>
      </w:r>
      <w:r w:rsidRPr="007309D8">
        <w:rPr>
          <w:sz w:val="19"/>
          <w:szCs w:val="19"/>
          <w:rtl/>
        </w:rPr>
        <w:t xml:space="preserve">, </w:t>
      </w:r>
      <w:r w:rsidRPr="006464C3">
        <w:rPr>
          <w:b/>
          <w:bCs/>
          <w:sz w:val="19"/>
          <w:szCs w:val="19"/>
          <w:rtl/>
        </w:rPr>
        <w:t xml:space="preserve">עמק הירדן </w:t>
      </w:r>
      <w:r w:rsidRPr="000C0DEB">
        <w:rPr>
          <w:sz w:val="19"/>
          <w:szCs w:val="19"/>
          <w:rtl/>
        </w:rPr>
        <w:t>ו</w:t>
      </w:r>
      <w:r w:rsidRPr="006464C3">
        <w:rPr>
          <w:b/>
          <w:bCs/>
          <w:sz w:val="19"/>
          <w:szCs w:val="19"/>
          <w:rtl/>
        </w:rPr>
        <w:t>תמר</w:t>
      </w:r>
      <w:r w:rsidRPr="006464C3">
        <w:rPr>
          <w:sz w:val="19"/>
          <w:szCs w:val="19"/>
          <w:rtl/>
        </w:rPr>
        <w:t xml:space="preserve"> </w:t>
      </w:r>
      <w:r>
        <w:rPr>
          <w:rFonts w:hint="cs"/>
          <w:sz w:val="19"/>
          <w:szCs w:val="19"/>
          <w:rtl/>
        </w:rPr>
        <w:t xml:space="preserve">- </w:t>
      </w:r>
      <w:r w:rsidRPr="006464C3">
        <w:rPr>
          <w:sz w:val="19"/>
          <w:szCs w:val="19"/>
          <w:rtl/>
        </w:rPr>
        <w:t>לא ביקשו</w:t>
      </w:r>
      <w:r>
        <w:rPr>
          <w:rFonts w:hint="cs"/>
          <w:sz w:val="19"/>
          <w:szCs w:val="19"/>
          <w:rtl/>
        </w:rPr>
        <w:t xml:space="preserve">, </w:t>
      </w:r>
      <w:r w:rsidRPr="006464C3">
        <w:rPr>
          <w:sz w:val="19"/>
          <w:szCs w:val="19"/>
          <w:rtl/>
        </w:rPr>
        <w:t>וממילא לא קיבלו</w:t>
      </w:r>
      <w:r>
        <w:rPr>
          <w:rFonts w:hint="cs"/>
          <w:sz w:val="19"/>
          <w:szCs w:val="19"/>
          <w:rtl/>
        </w:rPr>
        <w:t>,</w:t>
      </w:r>
      <w:r w:rsidRPr="006464C3">
        <w:rPr>
          <w:sz w:val="19"/>
          <w:szCs w:val="19"/>
          <w:rtl/>
        </w:rPr>
        <w:t xml:space="preserve"> מידע מה</w:t>
      </w:r>
      <w:r w:rsidRPr="006464C3">
        <w:rPr>
          <w:rFonts w:hint="cs"/>
          <w:sz w:val="19"/>
          <w:szCs w:val="19"/>
          <w:rtl/>
        </w:rPr>
        <w:t>מוסד ל</w:t>
      </w:r>
      <w:r w:rsidRPr="006464C3">
        <w:rPr>
          <w:sz w:val="19"/>
          <w:szCs w:val="19"/>
          <w:rtl/>
        </w:rPr>
        <w:t xml:space="preserve">ביטוח לאומי לגבי תושבים מפונים שהן קלטו. </w:t>
      </w:r>
    </w:p>
    <w:p w:rsidR="00A356FE" w:rsidRPr="00893433" w:rsidRDefault="00A356FE" w:rsidP="00306123">
      <w:pPr>
        <w:pStyle w:val="73"/>
        <w:numPr>
          <w:ilvl w:val="0"/>
          <w:numId w:val="25"/>
        </w:numPr>
        <w:spacing w:after="120"/>
        <w:rPr>
          <w:sz w:val="19"/>
          <w:szCs w:val="19"/>
        </w:rPr>
      </w:pPr>
      <w:r w:rsidRPr="00893433">
        <w:rPr>
          <w:rFonts w:hint="cs"/>
          <w:b/>
          <w:bCs/>
          <w:sz w:val="19"/>
          <w:szCs w:val="19"/>
          <w:rtl/>
        </w:rPr>
        <w:t xml:space="preserve">מעני הרווחה שנתנו הרשויות הקולטות למפונים </w:t>
      </w:r>
      <w:r w:rsidRPr="009C5D22">
        <w:rPr>
          <w:rFonts w:hint="cs"/>
          <w:sz w:val="19"/>
          <w:szCs w:val="19"/>
          <w:rtl/>
        </w:rPr>
        <w:t>-</w:t>
      </w:r>
      <w:r w:rsidRPr="00893433">
        <w:rPr>
          <w:rFonts w:hint="cs"/>
          <w:b/>
          <w:bCs/>
          <w:sz w:val="19"/>
          <w:szCs w:val="19"/>
          <w:rtl/>
        </w:rPr>
        <w:t xml:space="preserve"> </w:t>
      </w:r>
      <w:r w:rsidRPr="00893433">
        <w:rPr>
          <w:rFonts w:hint="cs"/>
          <w:sz w:val="19"/>
          <w:szCs w:val="19"/>
          <w:rtl/>
        </w:rPr>
        <w:t xml:space="preserve">הרשויות הקולטות נאלצו להתמודד עם מפונים רבים שפינויָם הבהול והכאוטי לא איפשר להיערך מבעוד מועד לקליטתם, והן </w:t>
      </w:r>
      <w:r w:rsidRPr="00893433">
        <w:rPr>
          <w:sz w:val="19"/>
          <w:szCs w:val="19"/>
          <w:rtl/>
        </w:rPr>
        <w:t>פעלו בדרכים שונות ומגוונות לתת מענה ראשוני למפונים</w:t>
      </w:r>
      <w:r w:rsidRPr="00893433">
        <w:rPr>
          <w:rFonts w:hint="cs"/>
          <w:sz w:val="19"/>
          <w:szCs w:val="19"/>
          <w:rtl/>
        </w:rPr>
        <w:t>,</w:t>
      </w:r>
      <w:r w:rsidRPr="00893433">
        <w:rPr>
          <w:sz w:val="19"/>
          <w:szCs w:val="19"/>
          <w:rtl/>
        </w:rPr>
        <w:t xml:space="preserve"> בלא שהייתה </w:t>
      </w:r>
      <w:r>
        <w:rPr>
          <w:rFonts w:hint="cs"/>
          <w:sz w:val="19"/>
          <w:szCs w:val="19"/>
          <w:rtl/>
        </w:rPr>
        <w:t xml:space="preserve">היערכות מתאימה של </w:t>
      </w:r>
      <w:r w:rsidRPr="00893433">
        <w:rPr>
          <w:sz w:val="19"/>
          <w:szCs w:val="19"/>
          <w:rtl/>
        </w:rPr>
        <w:t>משרד הרווחה לקליט</w:t>
      </w:r>
      <w:r w:rsidRPr="00893433">
        <w:rPr>
          <w:rFonts w:hint="cs"/>
          <w:sz w:val="19"/>
          <w:szCs w:val="19"/>
          <w:rtl/>
        </w:rPr>
        <w:t xml:space="preserve">ת מפונים </w:t>
      </w:r>
      <w:r w:rsidRPr="00893433">
        <w:rPr>
          <w:sz w:val="19"/>
          <w:szCs w:val="19"/>
          <w:rtl/>
        </w:rPr>
        <w:t>בשעת חירום</w:t>
      </w:r>
      <w:r w:rsidRPr="00893433">
        <w:rPr>
          <w:rFonts w:hint="cs"/>
          <w:sz w:val="19"/>
          <w:szCs w:val="19"/>
          <w:rtl/>
        </w:rPr>
        <w:t>,</w:t>
      </w:r>
      <w:r w:rsidRPr="00893433">
        <w:rPr>
          <w:sz w:val="19"/>
          <w:szCs w:val="19"/>
          <w:rtl/>
        </w:rPr>
        <w:t xml:space="preserve"> ש</w:t>
      </w:r>
      <w:r w:rsidRPr="00893433">
        <w:rPr>
          <w:rFonts w:hint="eastAsia"/>
          <w:sz w:val="19"/>
          <w:szCs w:val="19"/>
          <w:rtl/>
        </w:rPr>
        <w:t>הגדירה</w:t>
      </w:r>
      <w:r w:rsidRPr="00893433">
        <w:rPr>
          <w:sz w:val="19"/>
          <w:szCs w:val="19"/>
          <w:rtl/>
        </w:rPr>
        <w:t xml:space="preserve"> את תפקידיהן בתחום הרווחה ואת הפעולות שעליהן ל</w:t>
      </w:r>
      <w:r w:rsidRPr="00893433">
        <w:rPr>
          <w:rFonts w:hint="cs"/>
          <w:sz w:val="19"/>
          <w:szCs w:val="19"/>
          <w:rtl/>
        </w:rPr>
        <w:t>עשות</w:t>
      </w:r>
      <w:r w:rsidRPr="00893433">
        <w:rPr>
          <w:sz w:val="19"/>
          <w:szCs w:val="19"/>
          <w:rtl/>
        </w:rPr>
        <w:t xml:space="preserve"> </w:t>
      </w:r>
      <w:r w:rsidRPr="00893433">
        <w:rPr>
          <w:rFonts w:hint="eastAsia"/>
          <w:sz w:val="19"/>
          <w:szCs w:val="19"/>
          <w:rtl/>
        </w:rPr>
        <w:t>במסגרת</w:t>
      </w:r>
      <w:r w:rsidRPr="00893433">
        <w:rPr>
          <w:sz w:val="19"/>
          <w:szCs w:val="19"/>
          <w:rtl/>
        </w:rPr>
        <w:t xml:space="preserve"> </w:t>
      </w:r>
      <w:r w:rsidRPr="00893433">
        <w:rPr>
          <w:rFonts w:hint="eastAsia"/>
          <w:sz w:val="19"/>
          <w:szCs w:val="19"/>
          <w:rtl/>
        </w:rPr>
        <w:t>קליטת</w:t>
      </w:r>
      <w:r w:rsidRPr="00893433">
        <w:rPr>
          <w:sz w:val="19"/>
          <w:szCs w:val="19"/>
          <w:rtl/>
        </w:rPr>
        <w:t xml:space="preserve"> </w:t>
      </w:r>
      <w:r w:rsidRPr="00893433">
        <w:rPr>
          <w:rFonts w:hint="eastAsia"/>
          <w:sz w:val="19"/>
          <w:szCs w:val="19"/>
          <w:rtl/>
        </w:rPr>
        <w:t>מפונים</w:t>
      </w:r>
      <w:r w:rsidRPr="00893433">
        <w:rPr>
          <w:sz w:val="19"/>
          <w:szCs w:val="19"/>
          <w:rtl/>
        </w:rPr>
        <w:t xml:space="preserve"> </w:t>
      </w:r>
      <w:r w:rsidRPr="00893433">
        <w:rPr>
          <w:rFonts w:hint="eastAsia"/>
          <w:sz w:val="19"/>
          <w:szCs w:val="19"/>
          <w:rtl/>
        </w:rPr>
        <w:t>בהיקף</w:t>
      </w:r>
      <w:r w:rsidRPr="00893433">
        <w:rPr>
          <w:sz w:val="19"/>
          <w:szCs w:val="19"/>
          <w:rtl/>
        </w:rPr>
        <w:t xml:space="preserve"> </w:t>
      </w:r>
      <w:r w:rsidRPr="00893433">
        <w:rPr>
          <w:rFonts w:hint="eastAsia"/>
          <w:sz w:val="19"/>
          <w:szCs w:val="19"/>
          <w:rtl/>
        </w:rPr>
        <w:t>כה</w:t>
      </w:r>
      <w:r w:rsidRPr="00893433">
        <w:rPr>
          <w:sz w:val="19"/>
          <w:szCs w:val="19"/>
          <w:rtl/>
        </w:rPr>
        <w:t xml:space="preserve"> </w:t>
      </w:r>
      <w:r w:rsidRPr="00893433">
        <w:rPr>
          <w:rFonts w:hint="eastAsia"/>
          <w:sz w:val="19"/>
          <w:szCs w:val="19"/>
          <w:rtl/>
        </w:rPr>
        <w:t>גדול</w:t>
      </w:r>
      <w:r w:rsidRPr="00893433">
        <w:rPr>
          <w:sz w:val="19"/>
          <w:szCs w:val="19"/>
          <w:rtl/>
        </w:rPr>
        <w:t>.</w:t>
      </w:r>
      <w:r w:rsidRPr="00893433">
        <w:rPr>
          <w:rFonts w:hint="cs"/>
          <w:sz w:val="19"/>
          <w:szCs w:val="19"/>
          <w:rtl/>
        </w:rPr>
        <w:t xml:space="preserve"> </w:t>
      </w:r>
      <w:r w:rsidRPr="00913716">
        <w:rPr>
          <w:rFonts w:hint="cs"/>
          <w:sz w:val="19"/>
          <w:szCs w:val="19"/>
          <w:rtl/>
        </w:rPr>
        <w:t>המענים שנתנו הרשויות הקולטות ה</w:t>
      </w:r>
      <w:r>
        <w:rPr>
          <w:rFonts w:hint="cs"/>
          <w:sz w:val="19"/>
          <w:szCs w:val="19"/>
          <w:rtl/>
        </w:rPr>
        <w:t>שתנו</w:t>
      </w:r>
      <w:r w:rsidRPr="00913716">
        <w:rPr>
          <w:rFonts w:hint="cs"/>
          <w:sz w:val="19"/>
          <w:szCs w:val="19"/>
          <w:rtl/>
        </w:rPr>
        <w:t xml:space="preserve"> בהתאם למשאביהן, למידת הסיוע של משרד הרווחה ולשיתוף הפעולה עם הרשויות המפונות</w:t>
      </w:r>
      <w:r>
        <w:rPr>
          <w:rFonts w:hint="cs"/>
          <w:sz w:val="19"/>
          <w:szCs w:val="19"/>
          <w:rtl/>
        </w:rPr>
        <w:t>.</w:t>
      </w:r>
      <w:r w:rsidRPr="00893433">
        <w:rPr>
          <w:sz w:val="19"/>
          <w:szCs w:val="19"/>
          <w:rtl/>
        </w:rPr>
        <w:t xml:space="preserve"> בהיעדר </w:t>
      </w:r>
      <w:r>
        <w:rPr>
          <w:rFonts w:hint="cs"/>
          <w:sz w:val="19"/>
          <w:szCs w:val="19"/>
          <w:rtl/>
        </w:rPr>
        <w:t xml:space="preserve">היערכות מתאימה כאמור </w:t>
      </w:r>
      <w:r w:rsidRPr="00893433">
        <w:rPr>
          <w:sz w:val="19"/>
          <w:szCs w:val="19"/>
          <w:rtl/>
        </w:rPr>
        <w:t>לטיפול בחירום, גם בהיבט זה של מענה ראשוני</w:t>
      </w:r>
      <w:r>
        <w:rPr>
          <w:rFonts w:hint="cs"/>
          <w:sz w:val="19"/>
          <w:szCs w:val="19"/>
          <w:rtl/>
        </w:rPr>
        <w:t>,</w:t>
      </w:r>
      <w:r w:rsidRPr="00893433">
        <w:rPr>
          <w:sz w:val="19"/>
          <w:szCs w:val="19"/>
          <w:rtl/>
        </w:rPr>
        <w:t xml:space="preserve"> כל רשות קולטת הקימה מערך טיפולי שונה בהתאם ליכולתה ולהבנתה.</w:t>
      </w:r>
      <w:r w:rsidRPr="00893433">
        <w:rPr>
          <w:rFonts w:hint="cs"/>
          <w:sz w:val="19"/>
          <w:szCs w:val="19"/>
          <w:rtl/>
        </w:rPr>
        <w:t xml:space="preserve"> עוד עלה כי הרשויות הקולטות שנבדקו - העיריות </w:t>
      </w:r>
      <w:r w:rsidRPr="00893433">
        <w:rPr>
          <w:rFonts w:hint="cs"/>
          <w:b/>
          <w:bCs/>
          <w:sz w:val="19"/>
          <w:szCs w:val="19"/>
          <w:rtl/>
        </w:rPr>
        <w:t>אילת</w:t>
      </w:r>
      <w:r w:rsidRPr="00893433">
        <w:rPr>
          <w:sz w:val="19"/>
          <w:szCs w:val="19"/>
          <w:rtl/>
        </w:rPr>
        <w:t>,</w:t>
      </w:r>
      <w:r w:rsidRPr="00893433">
        <w:rPr>
          <w:rFonts w:hint="cs"/>
          <w:sz w:val="19"/>
          <w:szCs w:val="19"/>
          <w:rtl/>
        </w:rPr>
        <w:t xml:space="preserve"> </w:t>
      </w:r>
      <w:r w:rsidRPr="00893433">
        <w:rPr>
          <w:rFonts w:hint="cs"/>
          <w:b/>
          <w:bCs/>
          <w:sz w:val="19"/>
          <w:szCs w:val="19"/>
          <w:rtl/>
        </w:rPr>
        <w:t>הרצלייה</w:t>
      </w:r>
      <w:r w:rsidRPr="00893433">
        <w:rPr>
          <w:rFonts w:hint="cs"/>
          <w:sz w:val="19"/>
          <w:szCs w:val="19"/>
          <w:rtl/>
        </w:rPr>
        <w:t>,</w:t>
      </w:r>
      <w:r w:rsidRPr="00893433">
        <w:rPr>
          <w:sz w:val="19"/>
          <w:szCs w:val="19"/>
          <w:rtl/>
        </w:rPr>
        <w:t xml:space="preserve"> </w:t>
      </w:r>
      <w:r w:rsidRPr="00893433">
        <w:rPr>
          <w:rFonts w:hint="cs"/>
          <w:b/>
          <w:bCs/>
          <w:sz w:val="19"/>
          <w:szCs w:val="19"/>
          <w:rtl/>
        </w:rPr>
        <w:t>ח</w:t>
      </w:r>
      <w:r w:rsidRPr="00893433">
        <w:rPr>
          <w:rFonts w:hint="eastAsia"/>
          <w:b/>
          <w:bCs/>
          <w:sz w:val="19"/>
          <w:szCs w:val="19"/>
          <w:rtl/>
        </w:rPr>
        <w:t>יפה</w:t>
      </w:r>
      <w:r w:rsidRPr="00893433">
        <w:rPr>
          <w:sz w:val="19"/>
          <w:szCs w:val="19"/>
          <w:rtl/>
        </w:rPr>
        <w:t xml:space="preserve">, </w:t>
      </w:r>
      <w:r w:rsidRPr="00893433">
        <w:rPr>
          <w:rFonts w:hint="eastAsia"/>
          <w:b/>
          <w:bCs/>
          <w:sz w:val="19"/>
          <w:szCs w:val="19"/>
          <w:rtl/>
        </w:rPr>
        <w:t>טבריה</w:t>
      </w:r>
      <w:r w:rsidRPr="00893433">
        <w:rPr>
          <w:sz w:val="19"/>
          <w:szCs w:val="19"/>
          <w:rtl/>
        </w:rPr>
        <w:t xml:space="preserve">, </w:t>
      </w:r>
      <w:r w:rsidRPr="006437E4">
        <w:rPr>
          <w:rFonts w:hint="cs"/>
          <w:b/>
          <w:bCs/>
          <w:sz w:val="19"/>
          <w:szCs w:val="19"/>
          <w:rtl/>
        </w:rPr>
        <w:t>י</w:t>
      </w:r>
      <w:r w:rsidRPr="00893433">
        <w:rPr>
          <w:rFonts w:hint="cs"/>
          <w:b/>
          <w:bCs/>
          <w:sz w:val="19"/>
          <w:szCs w:val="19"/>
          <w:rtl/>
        </w:rPr>
        <w:t>רושלים</w:t>
      </w:r>
      <w:r w:rsidRPr="00893433">
        <w:rPr>
          <w:rFonts w:hint="cs"/>
          <w:sz w:val="19"/>
          <w:szCs w:val="19"/>
          <w:rtl/>
        </w:rPr>
        <w:t xml:space="preserve">, </w:t>
      </w:r>
      <w:r w:rsidRPr="00893433">
        <w:rPr>
          <w:b/>
          <w:bCs/>
          <w:sz w:val="19"/>
          <w:szCs w:val="19"/>
          <w:rtl/>
        </w:rPr>
        <w:t>נוף הגליל</w:t>
      </w:r>
      <w:r w:rsidRPr="00893433">
        <w:rPr>
          <w:sz w:val="19"/>
          <w:szCs w:val="19"/>
          <w:rtl/>
        </w:rPr>
        <w:t xml:space="preserve">, </w:t>
      </w:r>
      <w:r w:rsidRPr="00893433">
        <w:rPr>
          <w:rFonts w:hint="eastAsia"/>
          <w:b/>
          <w:bCs/>
          <w:sz w:val="19"/>
          <w:szCs w:val="19"/>
          <w:rtl/>
        </w:rPr>
        <w:t>נתניה</w:t>
      </w:r>
      <w:r w:rsidRPr="00893433">
        <w:rPr>
          <w:sz w:val="19"/>
          <w:szCs w:val="19"/>
          <w:rtl/>
        </w:rPr>
        <w:t xml:space="preserve">, </w:t>
      </w:r>
      <w:r w:rsidRPr="00893433">
        <w:rPr>
          <w:rFonts w:hint="eastAsia"/>
          <w:b/>
          <w:bCs/>
          <w:sz w:val="19"/>
          <w:szCs w:val="19"/>
          <w:rtl/>
        </w:rPr>
        <w:t>רמת</w:t>
      </w:r>
      <w:r w:rsidRPr="00893433">
        <w:rPr>
          <w:b/>
          <w:bCs/>
          <w:sz w:val="19"/>
          <w:szCs w:val="19"/>
          <w:rtl/>
        </w:rPr>
        <w:t xml:space="preserve"> </w:t>
      </w:r>
      <w:r w:rsidRPr="00893433">
        <w:rPr>
          <w:rFonts w:hint="eastAsia"/>
          <w:b/>
          <w:bCs/>
          <w:sz w:val="19"/>
          <w:szCs w:val="19"/>
          <w:rtl/>
        </w:rPr>
        <w:t>גן</w:t>
      </w:r>
      <w:r w:rsidRPr="00893433">
        <w:rPr>
          <w:rFonts w:hint="cs"/>
          <w:sz w:val="19"/>
          <w:szCs w:val="19"/>
          <w:rtl/>
        </w:rPr>
        <w:t xml:space="preserve"> ו</w:t>
      </w:r>
      <w:r w:rsidRPr="00893433">
        <w:rPr>
          <w:rFonts w:hint="eastAsia"/>
          <w:b/>
          <w:bCs/>
          <w:sz w:val="19"/>
          <w:szCs w:val="19"/>
          <w:rtl/>
        </w:rPr>
        <w:t>תל</w:t>
      </w:r>
      <w:r w:rsidRPr="00893433">
        <w:rPr>
          <w:b/>
          <w:bCs/>
          <w:sz w:val="19"/>
          <w:szCs w:val="19"/>
          <w:rtl/>
        </w:rPr>
        <w:t xml:space="preserve"> </w:t>
      </w:r>
      <w:r w:rsidRPr="00893433">
        <w:rPr>
          <w:rFonts w:hint="eastAsia"/>
          <w:b/>
          <w:bCs/>
          <w:sz w:val="19"/>
          <w:szCs w:val="19"/>
          <w:rtl/>
        </w:rPr>
        <w:t>אביב</w:t>
      </w:r>
      <w:r w:rsidRPr="00893433">
        <w:rPr>
          <w:b/>
          <w:bCs/>
          <w:sz w:val="19"/>
          <w:szCs w:val="19"/>
          <w:rtl/>
        </w:rPr>
        <w:t>-יפו</w:t>
      </w:r>
      <w:r w:rsidRPr="00893433">
        <w:rPr>
          <w:sz w:val="19"/>
          <w:szCs w:val="19"/>
          <w:rtl/>
        </w:rPr>
        <w:t>,</w:t>
      </w:r>
      <w:r w:rsidRPr="00893433">
        <w:rPr>
          <w:rFonts w:hint="cs"/>
          <w:sz w:val="19"/>
          <w:szCs w:val="19"/>
          <w:rtl/>
        </w:rPr>
        <w:t xml:space="preserve"> המועצה המקומית </w:t>
      </w:r>
      <w:r w:rsidRPr="00893433">
        <w:rPr>
          <w:rFonts w:hint="eastAsia"/>
          <w:b/>
          <w:bCs/>
          <w:sz w:val="19"/>
          <w:szCs w:val="19"/>
          <w:rtl/>
        </w:rPr>
        <w:t>ז</w:t>
      </w:r>
      <w:r w:rsidRPr="00893433">
        <w:rPr>
          <w:rFonts w:hint="cs"/>
          <w:b/>
          <w:bCs/>
          <w:sz w:val="19"/>
          <w:szCs w:val="19"/>
          <w:rtl/>
        </w:rPr>
        <w:t>י</w:t>
      </w:r>
      <w:r w:rsidRPr="00893433">
        <w:rPr>
          <w:rFonts w:hint="eastAsia"/>
          <w:b/>
          <w:bCs/>
          <w:sz w:val="19"/>
          <w:szCs w:val="19"/>
          <w:rtl/>
        </w:rPr>
        <w:t>כרון</w:t>
      </w:r>
      <w:r w:rsidRPr="00893433">
        <w:rPr>
          <w:b/>
          <w:bCs/>
          <w:sz w:val="19"/>
          <w:szCs w:val="19"/>
          <w:rtl/>
        </w:rPr>
        <w:t xml:space="preserve"> </w:t>
      </w:r>
      <w:r w:rsidRPr="00893433">
        <w:rPr>
          <w:rFonts w:hint="eastAsia"/>
          <w:b/>
          <w:bCs/>
          <w:sz w:val="19"/>
          <w:szCs w:val="19"/>
          <w:rtl/>
        </w:rPr>
        <w:t>יעקב</w:t>
      </w:r>
      <w:r w:rsidRPr="00893433">
        <w:rPr>
          <w:rFonts w:hint="cs"/>
          <w:sz w:val="19"/>
          <w:szCs w:val="19"/>
          <w:rtl/>
        </w:rPr>
        <w:t xml:space="preserve"> והמועצות האזוריות </w:t>
      </w:r>
      <w:r w:rsidRPr="00893433">
        <w:rPr>
          <w:rFonts w:hint="cs"/>
          <w:b/>
          <w:bCs/>
          <w:sz w:val="19"/>
          <w:szCs w:val="19"/>
          <w:rtl/>
        </w:rPr>
        <w:t>חוף הכרמל</w:t>
      </w:r>
      <w:r w:rsidRPr="00893433">
        <w:rPr>
          <w:rFonts w:hint="cs"/>
          <w:sz w:val="19"/>
          <w:szCs w:val="19"/>
          <w:rtl/>
        </w:rPr>
        <w:t xml:space="preserve">, </w:t>
      </w:r>
      <w:r w:rsidRPr="00893433">
        <w:rPr>
          <w:rFonts w:hint="cs"/>
          <w:b/>
          <w:bCs/>
          <w:sz w:val="19"/>
          <w:szCs w:val="19"/>
          <w:rtl/>
        </w:rPr>
        <w:t>מטה יהודה</w:t>
      </w:r>
      <w:r w:rsidRPr="00893433">
        <w:rPr>
          <w:rFonts w:hint="cs"/>
          <w:sz w:val="19"/>
          <w:szCs w:val="19"/>
          <w:rtl/>
        </w:rPr>
        <w:t xml:space="preserve">, </w:t>
      </w:r>
      <w:r w:rsidRPr="00893433">
        <w:rPr>
          <w:rFonts w:hint="cs"/>
          <w:b/>
          <w:bCs/>
          <w:sz w:val="19"/>
          <w:szCs w:val="19"/>
          <w:rtl/>
        </w:rPr>
        <w:t>עמק הירדן</w:t>
      </w:r>
      <w:r w:rsidRPr="00893433">
        <w:rPr>
          <w:rFonts w:hint="cs"/>
          <w:sz w:val="19"/>
          <w:szCs w:val="19"/>
          <w:rtl/>
        </w:rPr>
        <w:t xml:space="preserve"> </w:t>
      </w:r>
      <w:r w:rsidRPr="00893433">
        <w:rPr>
          <w:rFonts w:hint="eastAsia"/>
          <w:sz w:val="19"/>
          <w:szCs w:val="19"/>
          <w:rtl/>
        </w:rPr>
        <w:t>ו</w:t>
      </w:r>
      <w:r w:rsidRPr="00893433">
        <w:rPr>
          <w:rFonts w:hint="cs"/>
          <w:b/>
          <w:bCs/>
          <w:sz w:val="19"/>
          <w:szCs w:val="19"/>
          <w:rtl/>
        </w:rPr>
        <w:t>תמר</w:t>
      </w:r>
      <w:r w:rsidRPr="00893433">
        <w:rPr>
          <w:rFonts w:hint="cs"/>
          <w:sz w:val="19"/>
          <w:szCs w:val="19"/>
          <w:rtl/>
        </w:rPr>
        <w:t xml:space="preserve"> - הקימו ללא היערכות מוקדמת מערכים לאיתור אוכלוסיות נזקקות שפונו לתחומן ו</w:t>
      </w:r>
      <w:r>
        <w:rPr>
          <w:rFonts w:hint="cs"/>
          <w:sz w:val="19"/>
          <w:szCs w:val="19"/>
          <w:rtl/>
        </w:rPr>
        <w:t xml:space="preserve">הפעילו </w:t>
      </w:r>
      <w:r w:rsidRPr="00893433">
        <w:rPr>
          <w:rFonts w:hint="cs"/>
          <w:sz w:val="19"/>
          <w:szCs w:val="19"/>
          <w:rtl/>
        </w:rPr>
        <w:t xml:space="preserve">סוגים שונים של מענים נפשיים - מענה ראשוני ומענה מתמשך - לצורך טיפול במפונים שנזקקו לסיוע, כל אחת לפי הבנתה ויכולתה. המענים ניתנו בדרך כלל בשיתוף הרשויות המפונות או היישובים (הקהילות), משרד הרווחה, מערכת הבריאות וגורמים התנדבותיים. </w:t>
      </w:r>
    </w:p>
    <w:p w:rsidR="00A356FE" w:rsidRDefault="00A356FE" w:rsidP="00DD0944">
      <w:pPr>
        <w:pStyle w:val="73"/>
        <w:spacing w:after="160"/>
        <w:rPr>
          <w:sz w:val="19"/>
          <w:szCs w:val="19"/>
          <w:rtl/>
        </w:rPr>
      </w:pPr>
      <w:r w:rsidRPr="00E8396B">
        <w:rPr>
          <w:sz w:val="19"/>
          <w:szCs w:val="19"/>
          <w:rtl/>
        </w:rPr>
        <w:t>למשרד הרווחה לא הייתה תוכנית מוסדרת לאספקת צורכי רווחה במצב שנוצר, והטיפול הנפשי שבאחריות מערכת הבריאות ניתן באיחור. אף שמשרד הרווחה שלח מייד את נציגיו לסייע במלונות ברשויות הקולטות, לא היה לו מענה כולל למפונים, והוא פעל בעיקר כגורם משלים לפעילות של הרשויות הקולטות. אלו נאלצו להתמודד עם מספר גדול של מפונים שרבים מהם נזקקו לטיפול, ללא הכוונה וללא היערכות מוקדמת של השלטון המרכזי. במצב דברים זה עולה חשש כי חלק מהמפונים לא קיבלו את המענה הטיפולי הנדרש, בעיקר מפונים בקהילה ומתפנים עצמאי</w:t>
      </w:r>
      <w:r>
        <w:rPr>
          <w:rFonts w:hint="cs"/>
          <w:sz w:val="19"/>
          <w:szCs w:val="19"/>
          <w:rtl/>
        </w:rPr>
        <w:t>ת</w:t>
      </w:r>
      <w:r w:rsidRPr="00E8396B">
        <w:rPr>
          <w:sz w:val="19"/>
          <w:szCs w:val="19"/>
          <w:rtl/>
        </w:rPr>
        <w:t xml:space="preserve"> שלא שהו במלונות, וכן מפונים ששהו במלונות מבודדים יותר וברשויות קטנות יותר.</w:t>
      </w:r>
    </w:p>
    <w:p w:rsidR="00A356FE" w:rsidRPr="00913716" w:rsidRDefault="00A356FE" w:rsidP="00DD0944">
      <w:pPr>
        <w:pStyle w:val="73"/>
        <w:numPr>
          <w:ilvl w:val="0"/>
          <w:numId w:val="25"/>
        </w:numPr>
        <w:spacing w:after="160"/>
        <w:rPr>
          <w:sz w:val="19"/>
          <w:szCs w:val="19"/>
        </w:rPr>
      </w:pPr>
      <w:r w:rsidRPr="00913716">
        <w:rPr>
          <w:rFonts w:hint="cs"/>
          <w:b/>
          <w:bCs/>
          <w:sz w:val="19"/>
          <w:szCs w:val="19"/>
          <w:rtl/>
        </w:rPr>
        <w:t xml:space="preserve">מתן שירותי רווחה על ידי רשויות מפונות מדרום הארץ </w:t>
      </w:r>
      <w:r w:rsidRPr="00913716">
        <w:rPr>
          <w:rFonts w:hint="cs"/>
          <w:sz w:val="19"/>
          <w:szCs w:val="19"/>
          <w:rtl/>
        </w:rPr>
        <w:t xml:space="preserve">- </w:t>
      </w:r>
      <w:r w:rsidRPr="00913716">
        <w:rPr>
          <w:sz w:val="19"/>
          <w:szCs w:val="19"/>
          <w:rtl/>
        </w:rPr>
        <w:t xml:space="preserve">ברשויות המקומיות שפונו מדרום הארץ - העיריות </w:t>
      </w:r>
      <w:r w:rsidRPr="00913716">
        <w:rPr>
          <w:b/>
          <w:bCs/>
          <w:sz w:val="19"/>
          <w:szCs w:val="19"/>
          <w:rtl/>
        </w:rPr>
        <w:t xml:space="preserve">אשקלון </w:t>
      </w:r>
      <w:r w:rsidRPr="00913716">
        <w:rPr>
          <w:sz w:val="19"/>
          <w:szCs w:val="19"/>
          <w:rtl/>
        </w:rPr>
        <w:t>ו</w:t>
      </w:r>
      <w:r w:rsidRPr="00913716">
        <w:rPr>
          <w:b/>
          <w:bCs/>
          <w:sz w:val="19"/>
          <w:szCs w:val="19"/>
          <w:rtl/>
        </w:rPr>
        <w:t xml:space="preserve">שדרות </w:t>
      </w:r>
      <w:r w:rsidRPr="00913716">
        <w:rPr>
          <w:sz w:val="19"/>
          <w:szCs w:val="19"/>
          <w:rtl/>
        </w:rPr>
        <w:t>והמועצות האזוריות</w:t>
      </w:r>
      <w:r w:rsidRPr="00913716">
        <w:rPr>
          <w:b/>
          <w:bCs/>
          <w:sz w:val="19"/>
          <w:szCs w:val="19"/>
          <w:rtl/>
        </w:rPr>
        <w:t xml:space="preserve"> אשכול </w:t>
      </w:r>
      <w:r w:rsidRPr="00913716">
        <w:rPr>
          <w:sz w:val="19"/>
          <w:szCs w:val="19"/>
          <w:rtl/>
        </w:rPr>
        <w:t>ו</w:t>
      </w:r>
      <w:r w:rsidRPr="00913716">
        <w:rPr>
          <w:b/>
          <w:bCs/>
          <w:sz w:val="19"/>
          <w:szCs w:val="19"/>
          <w:rtl/>
        </w:rPr>
        <w:t>חוף אשקלון</w:t>
      </w:r>
      <w:r w:rsidRPr="00913716">
        <w:rPr>
          <w:sz w:val="19"/>
          <w:szCs w:val="19"/>
          <w:rtl/>
        </w:rPr>
        <w:t xml:space="preserve"> - חל גידול במספר המטופלים שנזקקו לשירותי רווחה מקרב המפונים בתחומי הרווחה שנבדקו</w:t>
      </w:r>
      <w:r w:rsidRPr="00913716">
        <w:rPr>
          <w:rFonts w:hint="cs"/>
          <w:sz w:val="19"/>
          <w:szCs w:val="19"/>
          <w:rtl/>
        </w:rPr>
        <w:t xml:space="preserve">. בעיריית </w:t>
      </w:r>
      <w:r w:rsidRPr="00913716">
        <w:rPr>
          <w:rFonts w:hint="cs"/>
          <w:b/>
          <w:bCs/>
          <w:sz w:val="19"/>
          <w:szCs w:val="19"/>
          <w:rtl/>
        </w:rPr>
        <w:t xml:space="preserve">אשקלון </w:t>
      </w:r>
      <w:r w:rsidRPr="00913716">
        <w:rPr>
          <w:rFonts w:hint="cs"/>
          <w:sz w:val="19"/>
          <w:szCs w:val="19"/>
          <w:rtl/>
        </w:rPr>
        <w:t xml:space="preserve">גדל עקב המלחמה מספר המטופלים עם מוגבלות וצרכים מיוחדים בשיעור של 105%; בעיריית </w:t>
      </w:r>
      <w:r w:rsidRPr="00913716">
        <w:rPr>
          <w:rFonts w:hint="cs"/>
          <w:b/>
          <w:bCs/>
          <w:sz w:val="19"/>
          <w:szCs w:val="19"/>
          <w:rtl/>
        </w:rPr>
        <w:t>שדרות</w:t>
      </w:r>
      <w:r w:rsidRPr="00913716">
        <w:rPr>
          <w:rFonts w:hint="cs"/>
          <w:sz w:val="19"/>
          <w:szCs w:val="19"/>
          <w:rtl/>
        </w:rPr>
        <w:t xml:space="preserve"> היה גידול של 100% במספר המטופלים מקרב אנשים עם מוגבלות וצרכים מיוחדים ובמספר המטופלים בנושא אלימות, וגידול של 335% במספר המטופלים מקרב האזרחים הוותיקים הזקוקים לסיוע מיוחד. במועצה האזורית </w:t>
      </w:r>
      <w:r w:rsidRPr="00913716">
        <w:rPr>
          <w:rFonts w:hint="cs"/>
          <w:b/>
          <w:bCs/>
          <w:sz w:val="19"/>
          <w:szCs w:val="19"/>
          <w:rtl/>
        </w:rPr>
        <w:t>חוף אשקלון</w:t>
      </w:r>
      <w:r w:rsidRPr="00913716">
        <w:rPr>
          <w:rFonts w:hint="cs"/>
          <w:sz w:val="19"/>
          <w:szCs w:val="19"/>
          <w:rtl/>
        </w:rPr>
        <w:t xml:space="preserve"> גדל עקב המלחמה מספר המטופלים בנושא אלימות בשיעור של 20%. </w:t>
      </w:r>
      <w:r w:rsidRPr="00913716">
        <w:rPr>
          <w:sz w:val="19"/>
          <w:szCs w:val="19"/>
          <w:rtl/>
        </w:rPr>
        <w:t>המפונים מ</w:t>
      </w:r>
      <w:r w:rsidRPr="00913716">
        <w:rPr>
          <w:b/>
          <w:bCs/>
          <w:sz w:val="19"/>
          <w:szCs w:val="19"/>
          <w:rtl/>
        </w:rPr>
        <w:t>אשקלון</w:t>
      </w:r>
      <w:r w:rsidRPr="00913716">
        <w:rPr>
          <w:sz w:val="19"/>
          <w:szCs w:val="19"/>
          <w:rtl/>
        </w:rPr>
        <w:t xml:space="preserve"> </w:t>
      </w:r>
      <w:r w:rsidRPr="00913716">
        <w:rPr>
          <w:sz w:val="19"/>
          <w:szCs w:val="19"/>
          <w:rtl/>
        </w:rPr>
        <w:lastRenderedPageBreak/>
        <w:t xml:space="preserve">קיבלו שירותי רווחה בעיקר </w:t>
      </w:r>
      <w:r w:rsidRPr="00913716">
        <w:rPr>
          <w:rFonts w:hint="cs"/>
          <w:sz w:val="19"/>
          <w:szCs w:val="19"/>
          <w:rtl/>
        </w:rPr>
        <w:t xml:space="preserve">מעובדי הרווחה של </w:t>
      </w:r>
      <w:r w:rsidRPr="00913716">
        <w:rPr>
          <w:sz w:val="19"/>
          <w:szCs w:val="19"/>
          <w:rtl/>
        </w:rPr>
        <w:t>הרשויות הקולטות וממתנדבים, ו</w:t>
      </w:r>
      <w:r w:rsidRPr="00913716">
        <w:rPr>
          <w:rFonts w:hint="cs"/>
          <w:sz w:val="19"/>
          <w:szCs w:val="19"/>
          <w:rtl/>
        </w:rPr>
        <w:t>אין בידי ה</w:t>
      </w:r>
      <w:r w:rsidRPr="00913716">
        <w:rPr>
          <w:sz w:val="19"/>
          <w:szCs w:val="19"/>
          <w:rtl/>
        </w:rPr>
        <w:t>עירייה נתונים לגבי המענים שקיבלו</w:t>
      </w:r>
      <w:r w:rsidRPr="00913716">
        <w:rPr>
          <w:rFonts w:hint="cs"/>
          <w:sz w:val="19"/>
          <w:szCs w:val="19"/>
          <w:rtl/>
        </w:rPr>
        <w:t xml:space="preserve"> המפונים מהרשויות הקולטות</w:t>
      </w:r>
      <w:r w:rsidRPr="00913716">
        <w:rPr>
          <w:sz w:val="19"/>
          <w:szCs w:val="19"/>
          <w:rtl/>
        </w:rPr>
        <w:t xml:space="preserve">. עוד עלה כי </w:t>
      </w:r>
      <w:r>
        <w:rPr>
          <w:rFonts w:hint="cs"/>
          <w:sz w:val="19"/>
          <w:szCs w:val="19"/>
          <w:rtl/>
        </w:rPr>
        <w:t xml:space="preserve">בתקופת </w:t>
      </w:r>
      <w:r w:rsidRPr="00913716">
        <w:rPr>
          <w:sz w:val="19"/>
          <w:szCs w:val="19"/>
          <w:rtl/>
        </w:rPr>
        <w:t xml:space="preserve">הביקורת נוספו לטיפול מחלקת הרווחה במועצה האזורית </w:t>
      </w:r>
      <w:r w:rsidRPr="00913716">
        <w:rPr>
          <w:b/>
          <w:bCs/>
          <w:sz w:val="19"/>
          <w:szCs w:val="19"/>
          <w:rtl/>
        </w:rPr>
        <w:t>אשכול</w:t>
      </w:r>
      <w:r w:rsidRPr="00913716">
        <w:rPr>
          <w:sz w:val="19"/>
          <w:szCs w:val="19"/>
          <w:rtl/>
        </w:rPr>
        <w:t xml:space="preserve"> משפחות של 214 הרוגים ב-24 יישובים, 128 חטופים, מהם 33 ש</w:t>
      </w:r>
      <w:r>
        <w:rPr>
          <w:rFonts w:hint="cs"/>
          <w:sz w:val="19"/>
          <w:szCs w:val="19"/>
          <w:rtl/>
        </w:rPr>
        <w:t xml:space="preserve">היו </w:t>
      </w:r>
      <w:r w:rsidRPr="00913716">
        <w:rPr>
          <w:sz w:val="19"/>
          <w:szCs w:val="19"/>
          <w:rtl/>
        </w:rPr>
        <w:t>עדיין בשבי, יותר מ-120 פצועים וכ-160 יתומים מלידה עד גיל 30, מהם כ-30 יתומים משני הורים וכ-130 יתומים מהורה אחד.</w:t>
      </w:r>
      <w:r w:rsidRPr="00913716">
        <w:rPr>
          <w:rFonts w:hint="cs"/>
          <w:sz w:val="19"/>
          <w:szCs w:val="19"/>
          <w:rtl/>
        </w:rPr>
        <w:t xml:space="preserve"> </w:t>
      </w:r>
    </w:p>
    <w:p w:rsidR="00A356FE" w:rsidRPr="008E2447" w:rsidRDefault="00A356FE" w:rsidP="00DD0944">
      <w:pPr>
        <w:pStyle w:val="73"/>
        <w:numPr>
          <w:ilvl w:val="0"/>
          <w:numId w:val="25"/>
        </w:numPr>
        <w:spacing w:after="160"/>
        <w:rPr>
          <w:sz w:val="19"/>
          <w:szCs w:val="19"/>
        </w:rPr>
      </w:pPr>
      <w:r w:rsidRPr="008E2447">
        <w:rPr>
          <w:rFonts w:hint="cs"/>
          <w:sz w:val="19"/>
          <w:szCs w:val="19"/>
          <w:rtl/>
        </w:rPr>
        <w:t>עיריית</w:t>
      </w:r>
      <w:r w:rsidRPr="008E2447">
        <w:rPr>
          <w:sz w:val="19"/>
          <w:szCs w:val="19"/>
          <w:rtl/>
        </w:rPr>
        <w:t xml:space="preserve"> </w:t>
      </w:r>
      <w:r w:rsidRPr="008E2447">
        <w:rPr>
          <w:b/>
          <w:bCs/>
          <w:sz w:val="19"/>
          <w:szCs w:val="19"/>
          <w:rtl/>
        </w:rPr>
        <w:t>שדרות</w:t>
      </w:r>
      <w:r w:rsidRPr="008E2447">
        <w:rPr>
          <w:rFonts w:hint="cs"/>
          <w:b/>
          <w:bCs/>
          <w:sz w:val="19"/>
          <w:szCs w:val="19"/>
          <w:rtl/>
        </w:rPr>
        <w:t xml:space="preserve"> </w:t>
      </w:r>
      <w:r w:rsidRPr="008E2447">
        <w:rPr>
          <w:rFonts w:hint="cs"/>
          <w:sz w:val="19"/>
          <w:szCs w:val="19"/>
          <w:rtl/>
        </w:rPr>
        <w:t xml:space="preserve">והמועצות האזוריות </w:t>
      </w:r>
      <w:r w:rsidRPr="008E2447">
        <w:rPr>
          <w:rFonts w:hint="cs"/>
          <w:b/>
          <w:bCs/>
          <w:sz w:val="19"/>
          <w:szCs w:val="19"/>
          <w:rtl/>
        </w:rPr>
        <w:t xml:space="preserve">אשכול </w:t>
      </w:r>
      <w:r w:rsidRPr="008E2447">
        <w:rPr>
          <w:rFonts w:hint="cs"/>
          <w:sz w:val="19"/>
          <w:szCs w:val="19"/>
          <w:rtl/>
        </w:rPr>
        <w:t>ו</w:t>
      </w:r>
      <w:r w:rsidRPr="008E2447">
        <w:rPr>
          <w:b/>
          <w:bCs/>
          <w:sz w:val="19"/>
          <w:szCs w:val="19"/>
          <w:rtl/>
        </w:rPr>
        <w:t>חוף אשקלון</w:t>
      </w:r>
      <w:r w:rsidRPr="008E2447">
        <w:rPr>
          <w:sz w:val="19"/>
          <w:szCs w:val="19"/>
          <w:rtl/>
        </w:rPr>
        <w:t xml:space="preserve"> עסקו בתגובה לאסון של </w:t>
      </w:r>
      <w:r w:rsidRPr="008E2447">
        <w:rPr>
          <w:rFonts w:hint="cs"/>
          <w:sz w:val="19"/>
          <w:szCs w:val="19"/>
          <w:rtl/>
        </w:rPr>
        <w:t>מתקפת הטרור ב</w:t>
      </w:r>
      <w:r w:rsidRPr="008E2447">
        <w:rPr>
          <w:sz w:val="19"/>
          <w:szCs w:val="19"/>
          <w:rtl/>
        </w:rPr>
        <w:t xml:space="preserve">שבעה באוקטובר. </w:t>
      </w:r>
      <w:r w:rsidRPr="008E2447">
        <w:rPr>
          <w:rFonts w:hint="cs"/>
          <w:sz w:val="19"/>
          <w:szCs w:val="19"/>
          <w:rtl/>
        </w:rPr>
        <w:t xml:space="preserve">בתחילה </w:t>
      </w:r>
      <w:r w:rsidRPr="008E2447">
        <w:rPr>
          <w:sz w:val="19"/>
          <w:szCs w:val="19"/>
          <w:rtl/>
        </w:rPr>
        <w:t>ה</w:t>
      </w:r>
      <w:r w:rsidRPr="008E2447">
        <w:rPr>
          <w:rFonts w:hint="cs"/>
          <w:sz w:val="19"/>
          <w:szCs w:val="19"/>
          <w:rtl/>
        </w:rPr>
        <w:t>ן</w:t>
      </w:r>
      <w:r w:rsidRPr="008E2447">
        <w:rPr>
          <w:sz w:val="19"/>
          <w:szCs w:val="19"/>
          <w:rtl/>
        </w:rPr>
        <w:t xml:space="preserve"> מיפו את האוכלוסייה, סיפקו </w:t>
      </w:r>
      <w:r w:rsidRPr="008E2447">
        <w:rPr>
          <w:rFonts w:hint="cs"/>
          <w:sz w:val="19"/>
          <w:szCs w:val="19"/>
          <w:rtl/>
        </w:rPr>
        <w:t xml:space="preserve">מענים </w:t>
      </w:r>
      <w:r w:rsidRPr="008E2447">
        <w:rPr>
          <w:sz w:val="19"/>
          <w:szCs w:val="19"/>
          <w:rtl/>
        </w:rPr>
        <w:t xml:space="preserve">דחופים ובישרו בשורות מרות למשפחות, ובהמשך פעלו להעמקת שירותי הרווחה למפונים - תחילה במלונות ובהמשך לשבים הביתה ולמפונים שעברו למגורי הביניים. </w:t>
      </w:r>
      <w:r w:rsidRPr="008E2447">
        <w:rPr>
          <w:rFonts w:hint="cs"/>
          <w:sz w:val="19"/>
          <w:szCs w:val="19"/>
          <w:rtl/>
        </w:rPr>
        <w:t xml:space="preserve">מתקפת הטרור בשבעה </w:t>
      </w:r>
      <w:r w:rsidRPr="008E2447">
        <w:rPr>
          <w:sz w:val="19"/>
          <w:szCs w:val="19"/>
          <w:rtl/>
        </w:rPr>
        <w:t>באוקטובר, פריצתה של מלחמת חרבות ברזל</w:t>
      </w:r>
      <w:r w:rsidRPr="008E2447">
        <w:rPr>
          <w:rFonts w:hint="cs"/>
          <w:sz w:val="19"/>
          <w:szCs w:val="19"/>
          <w:rtl/>
        </w:rPr>
        <w:t>,</w:t>
      </w:r>
      <w:r w:rsidRPr="008E2447">
        <w:rPr>
          <w:sz w:val="19"/>
          <w:szCs w:val="19"/>
          <w:rtl/>
        </w:rPr>
        <w:t xml:space="preserve"> הצורך בפינוי תושבים וגידול ניכר במספרם של נזקקים לשירותי רווחה</w:t>
      </w:r>
      <w:r>
        <w:rPr>
          <w:rFonts w:hint="cs"/>
          <w:sz w:val="19"/>
          <w:szCs w:val="19"/>
          <w:rtl/>
        </w:rPr>
        <w:t>,</w:t>
      </w:r>
      <w:r w:rsidRPr="008E2447">
        <w:rPr>
          <w:sz w:val="19"/>
          <w:szCs w:val="19"/>
          <w:rtl/>
        </w:rPr>
        <w:t xml:space="preserve"> הציבו בפני הרשויות המפונות בדרום אתגרים מורכבים הן בהיקפם הן בעוצמתם. בראש ובראשונה</w:t>
      </w:r>
      <w:r w:rsidRPr="008E2447">
        <w:rPr>
          <w:rFonts w:hint="cs"/>
          <w:sz w:val="19"/>
          <w:szCs w:val="19"/>
          <w:rtl/>
        </w:rPr>
        <w:t>,</w:t>
      </w:r>
      <w:r w:rsidRPr="008E2447">
        <w:rPr>
          <w:sz w:val="19"/>
          <w:szCs w:val="19"/>
          <w:rtl/>
        </w:rPr>
        <w:t xml:space="preserve"> נערכו הרשויות לסייע בהתמודדות של תושבים עם אירועי שכול, חטיפה, נעדרים ופצועים רבים. הרשויות עשו מאמצים ניכרים </w:t>
      </w:r>
      <w:r w:rsidRPr="008E2447">
        <w:rPr>
          <w:rFonts w:hint="cs"/>
          <w:sz w:val="19"/>
          <w:szCs w:val="19"/>
          <w:rtl/>
        </w:rPr>
        <w:t xml:space="preserve">להתמודד עם מתן </w:t>
      </w:r>
      <w:r w:rsidRPr="008E2447">
        <w:rPr>
          <w:sz w:val="19"/>
          <w:szCs w:val="19"/>
          <w:rtl/>
        </w:rPr>
        <w:t xml:space="preserve">שירותי רווחה, ופעלו כל אחת באופן שונה ללא יד מכוונת. </w:t>
      </w:r>
      <w:r w:rsidRPr="008E2447">
        <w:rPr>
          <w:rFonts w:hint="cs"/>
          <w:sz w:val="19"/>
          <w:szCs w:val="19"/>
          <w:rtl/>
        </w:rPr>
        <w:t xml:space="preserve">אף שמשרד הרווחה אישר לרשויות אלו </w:t>
      </w:r>
      <w:r w:rsidRPr="008E2447">
        <w:rPr>
          <w:sz w:val="19"/>
          <w:szCs w:val="19"/>
          <w:rtl/>
        </w:rPr>
        <w:t>תוספת תקנים להתמודדות עם אתגרי המלחמה</w:t>
      </w:r>
      <w:r w:rsidRPr="008E2447">
        <w:rPr>
          <w:rFonts w:hint="cs"/>
          <w:sz w:val="19"/>
          <w:szCs w:val="19"/>
          <w:rtl/>
        </w:rPr>
        <w:t xml:space="preserve">, חלקן נתקלו בקשיים באיוש משרות אלו - </w:t>
      </w:r>
      <w:r w:rsidRPr="008E2447">
        <w:rPr>
          <w:sz w:val="19"/>
          <w:szCs w:val="19"/>
          <w:rtl/>
        </w:rPr>
        <w:t xml:space="preserve">עיריית </w:t>
      </w:r>
      <w:r w:rsidRPr="008E2447">
        <w:rPr>
          <w:b/>
          <w:bCs/>
          <w:sz w:val="19"/>
          <w:szCs w:val="19"/>
          <w:rtl/>
        </w:rPr>
        <w:t>שדרות</w:t>
      </w:r>
      <w:r w:rsidRPr="008E2447">
        <w:rPr>
          <w:sz w:val="19"/>
          <w:szCs w:val="19"/>
          <w:rtl/>
        </w:rPr>
        <w:t xml:space="preserve"> איישה 75% מהתקנים הנוספים שאושרו לה</w:t>
      </w:r>
      <w:r w:rsidRPr="008E2447">
        <w:rPr>
          <w:rFonts w:hint="cs"/>
          <w:sz w:val="19"/>
          <w:szCs w:val="19"/>
          <w:rtl/>
        </w:rPr>
        <w:t>,</w:t>
      </w:r>
      <w:r w:rsidRPr="008E2447">
        <w:rPr>
          <w:sz w:val="19"/>
          <w:szCs w:val="19"/>
          <w:rtl/>
        </w:rPr>
        <w:t xml:space="preserve"> וחסרו לה </w:t>
      </w:r>
      <w:r w:rsidRPr="008E2447">
        <w:rPr>
          <w:rFonts w:hint="cs"/>
          <w:sz w:val="19"/>
          <w:szCs w:val="19"/>
          <w:rtl/>
        </w:rPr>
        <w:t>חמישה</w:t>
      </w:r>
      <w:r w:rsidRPr="008E2447">
        <w:rPr>
          <w:sz w:val="19"/>
          <w:szCs w:val="19"/>
          <w:rtl/>
        </w:rPr>
        <w:t xml:space="preserve"> </w:t>
      </w:r>
      <w:r w:rsidRPr="008E2447">
        <w:rPr>
          <w:rFonts w:hint="cs"/>
          <w:sz w:val="19"/>
          <w:szCs w:val="19"/>
          <w:rtl/>
        </w:rPr>
        <w:t>עו"סים</w:t>
      </w:r>
      <w:r w:rsidRPr="008E2447">
        <w:rPr>
          <w:sz w:val="19"/>
          <w:szCs w:val="19"/>
          <w:rtl/>
        </w:rPr>
        <w:t xml:space="preserve">; המועצה האזורית </w:t>
      </w:r>
      <w:r w:rsidRPr="008E2447">
        <w:rPr>
          <w:b/>
          <w:bCs/>
          <w:sz w:val="19"/>
          <w:szCs w:val="19"/>
          <w:rtl/>
        </w:rPr>
        <w:t>אשכול</w:t>
      </w:r>
      <w:r w:rsidRPr="008E2447">
        <w:rPr>
          <w:sz w:val="19"/>
          <w:szCs w:val="19"/>
          <w:rtl/>
        </w:rPr>
        <w:t xml:space="preserve"> איישה רק 23% מהתקנים שאושרו לה</w:t>
      </w:r>
      <w:r w:rsidRPr="008E2447">
        <w:rPr>
          <w:rFonts w:hint="cs"/>
          <w:sz w:val="19"/>
          <w:szCs w:val="19"/>
          <w:rtl/>
        </w:rPr>
        <w:t>,</w:t>
      </w:r>
      <w:r w:rsidRPr="008E2447">
        <w:rPr>
          <w:sz w:val="19"/>
          <w:szCs w:val="19"/>
          <w:rtl/>
        </w:rPr>
        <w:t xml:space="preserve"> וחסרו לה 2</w:t>
      </w:r>
      <w:r w:rsidRPr="008E2447">
        <w:rPr>
          <w:rFonts w:hint="cs"/>
          <w:sz w:val="19"/>
          <w:szCs w:val="19"/>
          <w:rtl/>
        </w:rPr>
        <w:t>4</w:t>
      </w:r>
      <w:r w:rsidRPr="008E2447">
        <w:rPr>
          <w:sz w:val="19"/>
          <w:szCs w:val="19"/>
          <w:rtl/>
        </w:rPr>
        <w:t xml:space="preserve"> עו"סים; </w:t>
      </w:r>
      <w:r w:rsidRPr="008E2447">
        <w:rPr>
          <w:rFonts w:hint="cs"/>
          <w:sz w:val="19"/>
          <w:szCs w:val="19"/>
          <w:rtl/>
        </w:rPr>
        <w:t>ו</w:t>
      </w:r>
      <w:r w:rsidRPr="008E2447">
        <w:rPr>
          <w:sz w:val="19"/>
          <w:szCs w:val="19"/>
          <w:rtl/>
        </w:rPr>
        <w:t xml:space="preserve">המועצה האזורית </w:t>
      </w:r>
      <w:r w:rsidRPr="008E2447">
        <w:rPr>
          <w:b/>
          <w:bCs/>
          <w:sz w:val="19"/>
          <w:szCs w:val="19"/>
          <w:rtl/>
        </w:rPr>
        <w:t>חוף אשקלון</w:t>
      </w:r>
      <w:r w:rsidRPr="008E2447">
        <w:rPr>
          <w:sz w:val="19"/>
          <w:szCs w:val="19"/>
          <w:rtl/>
        </w:rPr>
        <w:t xml:space="preserve"> התקשתה לגייס עו"סים וחסרו לה ארבעה עו"סים בשלביה הראשונים של המלחמה.</w:t>
      </w:r>
    </w:p>
    <w:p w:rsidR="00A356FE" w:rsidRDefault="00A356FE" w:rsidP="00306123">
      <w:pPr>
        <w:pStyle w:val="73"/>
        <w:numPr>
          <w:ilvl w:val="0"/>
          <w:numId w:val="25"/>
        </w:numPr>
        <w:spacing w:after="120"/>
        <w:rPr>
          <w:sz w:val="19"/>
          <w:szCs w:val="19"/>
        </w:rPr>
      </w:pPr>
      <w:r w:rsidRPr="008E2447">
        <w:rPr>
          <w:rFonts w:hint="cs"/>
          <w:b/>
          <w:bCs/>
          <w:sz w:val="19"/>
          <w:szCs w:val="19"/>
          <w:rtl/>
        </w:rPr>
        <w:t>מתן שירותי רווחה על ידי רשויות מפונות מצפון הארץ</w:t>
      </w:r>
      <w:r w:rsidRPr="008E2447">
        <w:rPr>
          <w:rFonts w:hint="cs"/>
          <w:sz w:val="19"/>
          <w:szCs w:val="19"/>
        </w:rPr>
        <w:t xml:space="preserve"> </w:t>
      </w:r>
      <w:r w:rsidRPr="008E2447">
        <w:rPr>
          <w:rFonts w:hint="cs"/>
          <w:sz w:val="19"/>
          <w:szCs w:val="19"/>
          <w:rtl/>
        </w:rPr>
        <w:t xml:space="preserve">- </w:t>
      </w:r>
      <w:r w:rsidRPr="008E2447">
        <w:rPr>
          <w:sz w:val="19"/>
          <w:szCs w:val="19"/>
          <w:rtl/>
        </w:rPr>
        <w:t xml:space="preserve">ברשויות המקומיות שפונו מצפון הארץ - עיריית </w:t>
      </w:r>
      <w:r w:rsidRPr="008E2447">
        <w:rPr>
          <w:b/>
          <w:bCs/>
          <w:sz w:val="19"/>
          <w:szCs w:val="19"/>
          <w:rtl/>
        </w:rPr>
        <w:t>קריית שמונה</w:t>
      </w:r>
      <w:r w:rsidRPr="008E2447">
        <w:rPr>
          <w:sz w:val="19"/>
          <w:szCs w:val="19"/>
          <w:rtl/>
        </w:rPr>
        <w:t xml:space="preserve">, המועצות המקומיות </w:t>
      </w:r>
      <w:r w:rsidRPr="008E2447">
        <w:rPr>
          <w:b/>
          <w:bCs/>
          <w:sz w:val="19"/>
          <w:szCs w:val="19"/>
          <w:rtl/>
        </w:rPr>
        <w:t xml:space="preserve">מטולה </w:t>
      </w:r>
      <w:r w:rsidRPr="008E2447">
        <w:rPr>
          <w:sz w:val="19"/>
          <w:szCs w:val="19"/>
          <w:rtl/>
        </w:rPr>
        <w:t>ו</w:t>
      </w:r>
      <w:r w:rsidRPr="008E2447">
        <w:rPr>
          <w:b/>
          <w:bCs/>
          <w:sz w:val="19"/>
          <w:szCs w:val="19"/>
          <w:rtl/>
        </w:rPr>
        <w:t>שלומי</w:t>
      </w:r>
      <w:r w:rsidRPr="008E2447">
        <w:rPr>
          <w:sz w:val="19"/>
          <w:szCs w:val="19"/>
          <w:rtl/>
        </w:rPr>
        <w:t xml:space="preserve"> והמועצות האזוריות </w:t>
      </w:r>
      <w:r w:rsidRPr="008E2447">
        <w:rPr>
          <w:b/>
          <w:bCs/>
          <w:sz w:val="19"/>
          <w:szCs w:val="19"/>
          <w:rtl/>
        </w:rPr>
        <w:t>הגליל העליון</w:t>
      </w:r>
      <w:r w:rsidRPr="008E2447">
        <w:rPr>
          <w:sz w:val="19"/>
          <w:szCs w:val="19"/>
          <w:rtl/>
        </w:rPr>
        <w:t>,</w:t>
      </w:r>
      <w:r w:rsidRPr="008E2447">
        <w:rPr>
          <w:b/>
          <w:bCs/>
          <w:sz w:val="19"/>
          <w:szCs w:val="19"/>
          <w:rtl/>
        </w:rPr>
        <w:t xml:space="preserve"> מבואות החרמון</w:t>
      </w:r>
      <w:r w:rsidRPr="008E2447">
        <w:rPr>
          <w:sz w:val="19"/>
          <w:szCs w:val="19"/>
          <w:rtl/>
        </w:rPr>
        <w:t xml:space="preserve">, </w:t>
      </w:r>
      <w:r w:rsidRPr="008E2447">
        <w:rPr>
          <w:b/>
          <w:bCs/>
          <w:sz w:val="19"/>
          <w:szCs w:val="19"/>
          <w:rtl/>
        </w:rPr>
        <w:t>מטה אשר</w:t>
      </w:r>
      <w:r w:rsidRPr="008E2447">
        <w:rPr>
          <w:sz w:val="19"/>
          <w:szCs w:val="19"/>
          <w:rtl/>
        </w:rPr>
        <w:t xml:space="preserve">, </w:t>
      </w:r>
      <w:r w:rsidRPr="008E2447">
        <w:rPr>
          <w:b/>
          <w:bCs/>
          <w:sz w:val="19"/>
          <w:szCs w:val="19"/>
          <w:rtl/>
        </w:rPr>
        <w:t xml:space="preserve">מעלה יוסף </w:t>
      </w:r>
      <w:r w:rsidRPr="008E2447">
        <w:rPr>
          <w:sz w:val="19"/>
          <w:szCs w:val="19"/>
          <w:rtl/>
        </w:rPr>
        <w:t>ו</w:t>
      </w:r>
      <w:r w:rsidRPr="008E2447">
        <w:rPr>
          <w:b/>
          <w:bCs/>
          <w:sz w:val="19"/>
          <w:szCs w:val="19"/>
          <w:rtl/>
        </w:rPr>
        <w:t>מרום הגליל</w:t>
      </w:r>
      <w:r w:rsidRPr="008E2447">
        <w:rPr>
          <w:sz w:val="19"/>
          <w:szCs w:val="19"/>
          <w:rtl/>
        </w:rPr>
        <w:t xml:space="preserve"> - חל גידול במספר מטופלי הרווחה מאז פרוץ המלחמה</w:t>
      </w:r>
      <w:r w:rsidRPr="008E2447">
        <w:rPr>
          <w:rFonts w:hint="cs"/>
          <w:sz w:val="19"/>
          <w:szCs w:val="19"/>
          <w:rtl/>
        </w:rPr>
        <w:t xml:space="preserve">. למשל, מתחילת המלחמה ועד יוני 2024 נפתחו במחלקת הרווחה שבעיריית </w:t>
      </w:r>
      <w:r w:rsidRPr="008E2447">
        <w:rPr>
          <w:rFonts w:hint="cs"/>
          <w:b/>
          <w:bCs/>
          <w:sz w:val="19"/>
          <w:szCs w:val="19"/>
          <w:rtl/>
        </w:rPr>
        <w:t>קריית שמונה</w:t>
      </w:r>
      <w:r w:rsidRPr="008E2447">
        <w:rPr>
          <w:rFonts w:hint="cs"/>
          <w:sz w:val="19"/>
          <w:szCs w:val="19"/>
          <w:rtl/>
        </w:rPr>
        <w:t xml:space="preserve"> 265 תיקים חדשים, בעיקר על רקע מצבי סיכון; וכי מתחילת המלחמה ועד פברואר 2024 התקבלו במוקד העירוני 1,384 פניות שהועברו למחלקת הרווחה, המשקפות עלייה בשיעור של כ-50%</w:t>
      </w:r>
      <w:r w:rsidRPr="008E2447">
        <w:rPr>
          <w:rFonts w:hint="cs"/>
          <w:sz w:val="19"/>
          <w:szCs w:val="19"/>
        </w:rPr>
        <w:t xml:space="preserve"> </w:t>
      </w:r>
      <w:r>
        <w:rPr>
          <w:rFonts w:hint="cs"/>
          <w:sz w:val="19"/>
          <w:szCs w:val="19"/>
          <w:rtl/>
        </w:rPr>
        <w:t>לעומת</w:t>
      </w:r>
      <w:r w:rsidRPr="008E2447">
        <w:rPr>
          <w:rFonts w:hint="cs"/>
          <w:sz w:val="19"/>
          <w:szCs w:val="19"/>
          <w:rtl/>
        </w:rPr>
        <w:t xml:space="preserve"> הפניות בעת שגרה. לאחר תחילת המלחמה נפתחו במחלקת הרווחה במועצה המקומית </w:t>
      </w:r>
      <w:r w:rsidRPr="008E2447">
        <w:rPr>
          <w:rFonts w:hint="cs"/>
          <w:b/>
          <w:bCs/>
          <w:sz w:val="19"/>
          <w:szCs w:val="19"/>
          <w:rtl/>
        </w:rPr>
        <w:t xml:space="preserve">שלומי </w:t>
      </w:r>
      <w:r w:rsidRPr="008E2447">
        <w:rPr>
          <w:rFonts w:hint="cs"/>
          <w:sz w:val="19"/>
          <w:szCs w:val="19"/>
          <w:rtl/>
        </w:rPr>
        <w:t xml:space="preserve">יותר מ-150 תיקים חדשים, בעיקר בנושאי אלימות במשפחה, התמכרויות וצורך במענים רגשיים; ומתחילת המלחמה ועד מרץ 2024 נפתחו במחלקת הרווחה של המועצה האזורית </w:t>
      </w:r>
      <w:r w:rsidRPr="008E2447">
        <w:rPr>
          <w:rFonts w:hint="cs"/>
          <w:b/>
          <w:bCs/>
          <w:sz w:val="19"/>
          <w:szCs w:val="19"/>
          <w:rtl/>
        </w:rPr>
        <w:t>הגליל העליון</w:t>
      </w:r>
      <w:r w:rsidRPr="008E2447">
        <w:rPr>
          <w:rFonts w:hint="cs"/>
          <w:sz w:val="19"/>
          <w:szCs w:val="19"/>
          <w:rtl/>
        </w:rPr>
        <w:t xml:space="preserve"> 208 תיקים חדשים (כ-590 מטופלים חדשים), והגידול נבע בעיקר מבקשות לקבלת עזרה בצרכים כלכליים ורגשיים. עוד עלו </w:t>
      </w:r>
      <w:r w:rsidRPr="008E2447">
        <w:rPr>
          <w:sz w:val="19"/>
          <w:szCs w:val="19"/>
          <w:rtl/>
        </w:rPr>
        <w:t>פערים באיוש תקנים -</w:t>
      </w:r>
      <w:r w:rsidRPr="008E2447">
        <w:rPr>
          <w:rFonts w:hint="cs"/>
          <w:sz w:val="19"/>
          <w:szCs w:val="19"/>
          <w:rtl/>
        </w:rPr>
        <w:t xml:space="preserve"> </w:t>
      </w:r>
      <w:r w:rsidRPr="008E2447">
        <w:rPr>
          <w:sz w:val="19"/>
          <w:szCs w:val="19"/>
          <w:rtl/>
        </w:rPr>
        <w:t xml:space="preserve">עיריית </w:t>
      </w:r>
      <w:r w:rsidRPr="008E2447">
        <w:rPr>
          <w:b/>
          <w:bCs/>
          <w:sz w:val="19"/>
          <w:szCs w:val="19"/>
          <w:rtl/>
        </w:rPr>
        <w:t>קריית שמונה</w:t>
      </w:r>
      <w:r w:rsidRPr="008E2447">
        <w:rPr>
          <w:sz w:val="19"/>
          <w:szCs w:val="19"/>
          <w:rtl/>
        </w:rPr>
        <w:t xml:space="preserve"> והמועצה האזורית </w:t>
      </w:r>
      <w:r w:rsidRPr="008E2447">
        <w:rPr>
          <w:b/>
          <w:bCs/>
          <w:sz w:val="19"/>
          <w:szCs w:val="19"/>
          <w:rtl/>
        </w:rPr>
        <w:t>הגליל העליון</w:t>
      </w:r>
      <w:r w:rsidRPr="008E2447">
        <w:rPr>
          <w:sz w:val="19"/>
          <w:szCs w:val="19"/>
          <w:rtl/>
        </w:rPr>
        <w:t xml:space="preserve"> התקשו לאייש את התקנים הנוספים</w:t>
      </w:r>
      <w:r w:rsidRPr="008E2447">
        <w:rPr>
          <w:rFonts w:hint="cs"/>
          <w:sz w:val="19"/>
          <w:szCs w:val="19"/>
          <w:rtl/>
        </w:rPr>
        <w:t xml:space="preserve"> שהקצה להן משרד הרווחה</w:t>
      </w:r>
      <w:r w:rsidRPr="008E2447">
        <w:rPr>
          <w:sz w:val="19"/>
          <w:szCs w:val="19"/>
          <w:rtl/>
        </w:rPr>
        <w:t>.</w:t>
      </w:r>
      <w:r w:rsidRPr="008E2447">
        <w:rPr>
          <w:rFonts w:hint="cs"/>
          <w:sz w:val="19"/>
          <w:szCs w:val="19"/>
          <w:rtl/>
        </w:rPr>
        <w:t xml:space="preserve"> </w:t>
      </w:r>
    </w:p>
    <w:p w:rsidR="00A356FE" w:rsidRDefault="00A356FE" w:rsidP="00DD0944">
      <w:pPr>
        <w:pStyle w:val="73"/>
        <w:spacing w:after="160"/>
        <w:rPr>
          <w:sz w:val="19"/>
          <w:szCs w:val="19"/>
        </w:rPr>
      </w:pPr>
      <w:r w:rsidRPr="00871429">
        <w:rPr>
          <w:sz w:val="19"/>
          <w:szCs w:val="19"/>
          <w:rtl/>
        </w:rPr>
        <w:t xml:space="preserve">כל הרשויות המפונות מהצפון שנבדקו פעלו למתן שירותי רווחה לתושביהן המפונים, בסיוע משרד הרווחה, הרשויות הקולטות וארגונים התנדבותיים. בימים הראשונים הופנה עיקר המענה להסדרת הפינוי של מטופלי רווחה קיימים, ובהמשך הציבו רשויות אלו עו"סים במלונות ויצרו קשר שוטף עם התושבים כדי לספק את צורכי הרווחה, בעיקר באופן פרטני. עיקר הטיפול והמענה הרווחתי התמקד בתושבים </w:t>
      </w:r>
      <w:r w:rsidRPr="00871429">
        <w:rPr>
          <w:sz w:val="19"/>
          <w:szCs w:val="19"/>
          <w:rtl/>
        </w:rPr>
        <w:lastRenderedPageBreak/>
        <w:t>שפונו למלונות ובמתן מענה לפניות יזומות של המפונים עצמם. בהיעדר יד מכוונת פעלה כל רשות בהתאם ליכולתה ולהבנתה.</w:t>
      </w:r>
    </w:p>
    <w:p w:rsidR="00A356FE" w:rsidRDefault="00A356FE" w:rsidP="00DD0944">
      <w:pPr>
        <w:pStyle w:val="73"/>
        <w:numPr>
          <w:ilvl w:val="0"/>
          <w:numId w:val="25"/>
        </w:numPr>
        <w:spacing w:after="160"/>
        <w:rPr>
          <w:sz w:val="19"/>
          <w:szCs w:val="19"/>
        </w:rPr>
      </w:pPr>
      <w:r w:rsidRPr="008E2447">
        <w:rPr>
          <w:rFonts w:hint="cs"/>
          <w:b/>
          <w:bCs/>
          <w:sz w:val="19"/>
          <w:szCs w:val="19"/>
          <w:rtl/>
        </w:rPr>
        <w:t>הטיפול בנוער בסיכון - מענה לבני נוער ולנוער בסיכון ברשויות הקולטות</w:t>
      </w:r>
      <w:r w:rsidRPr="008E2447">
        <w:rPr>
          <w:rFonts w:hint="cs"/>
          <w:sz w:val="19"/>
          <w:szCs w:val="19"/>
          <w:rtl/>
        </w:rPr>
        <w:t xml:space="preserve"> - </w:t>
      </w:r>
      <w:r w:rsidRPr="008E2447">
        <w:rPr>
          <w:sz w:val="19"/>
          <w:szCs w:val="19"/>
          <w:rtl/>
        </w:rPr>
        <w:t>כלל הרשויות הקולטות שנבדקו סייעו באופן ממוקד גם לבני נוער מפונים בסיכון, הן באמצעות שירותים שיש בידיהן ובידי גורמים ממשלתיים שונים, הן באמצעות מענים ייעודיים שהוקמו בעקבות המלחמה</w:t>
      </w:r>
      <w:r>
        <w:rPr>
          <w:rFonts w:hint="cs"/>
          <w:sz w:val="19"/>
          <w:szCs w:val="19"/>
          <w:rtl/>
        </w:rPr>
        <w:t>,</w:t>
      </w:r>
      <w:r w:rsidRPr="008E2447">
        <w:rPr>
          <w:sz w:val="19"/>
          <w:szCs w:val="19"/>
          <w:rtl/>
        </w:rPr>
        <w:t xml:space="preserve"> והן בסיוע של ארגוני המגזר השלישי.</w:t>
      </w:r>
      <w:r w:rsidRPr="008E2447">
        <w:rPr>
          <w:rFonts w:hint="cs"/>
          <w:sz w:val="19"/>
          <w:szCs w:val="19"/>
          <w:rtl/>
        </w:rPr>
        <w:t xml:space="preserve"> </w:t>
      </w:r>
      <w:r w:rsidRPr="008E2447">
        <w:rPr>
          <w:sz w:val="19"/>
          <w:szCs w:val="19"/>
          <w:rtl/>
        </w:rPr>
        <w:t>עם זאת, התמונה העולה בנוגע לבני נוער בסיכון היא מדאיגה. למרות מודעות הרשויות הקולטות ומשרדי החינוך והרווחה וניסיונ</w:t>
      </w:r>
      <w:r w:rsidRPr="008E2447">
        <w:rPr>
          <w:rFonts w:hint="cs"/>
          <w:sz w:val="19"/>
          <w:szCs w:val="19"/>
          <w:rtl/>
        </w:rPr>
        <w:t>ם</w:t>
      </w:r>
      <w:r w:rsidRPr="008E2447">
        <w:rPr>
          <w:sz w:val="19"/>
          <w:szCs w:val="19"/>
          <w:rtl/>
        </w:rPr>
        <w:t xml:space="preserve"> לתת מענה לבעיות שעולות, המענה לבני הנוער </w:t>
      </w:r>
      <w:r w:rsidRPr="008E2447">
        <w:rPr>
          <w:rFonts w:hint="cs"/>
          <w:sz w:val="19"/>
          <w:szCs w:val="19"/>
          <w:rtl/>
        </w:rPr>
        <w:t>לא היה שי</w:t>
      </w:r>
      <w:r w:rsidRPr="008E2447">
        <w:rPr>
          <w:sz w:val="19"/>
          <w:szCs w:val="19"/>
          <w:rtl/>
        </w:rPr>
        <w:t>טתי, והדיווחים על מספרם הרב של בני הנוער שנמצא</w:t>
      </w:r>
      <w:r w:rsidRPr="008E2447">
        <w:rPr>
          <w:rFonts w:hint="cs"/>
          <w:sz w:val="19"/>
          <w:szCs w:val="19"/>
          <w:rtl/>
        </w:rPr>
        <w:t>ו</w:t>
      </w:r>
      <w:r w:rsidRPr="008E2447">
        <w:rPr>
          <w:sz w:val="19"/>
          <w:szCs w:val="19"/>
          <w:rtl/>
        </w:rPr>
        <w:t xml:space="preserve"> במצבי סיכון מעל</w:t>
      </w:r>
      <w:r w:rsidRPr="008E2447">
        <w:rPr>
          <w:rFonts w:hint="cs"/>
          <w:sz w:val="19"/>
          <w:szCs w:val="19"/>
          <w:rtl/>
        </w:rPr>
        <w:t>ים</w:t>
      </w:r>
      <w:r w:rsidRPr="008E2447">
        <w:rPr>
          <w:sz w:val="19"/>
          <w:szCs w:val="19"/>
          <w:rtl/>
        </w:rPr>
        <w:t xml:space="preserve"> חשש כי לא כולם </w:t>
      </w:r>
      <w:r w:rsidRPr="008E2447">
        <w:rPr>
          <w:rFonts w:hint="cs"/>
          <w:sz w:val="19"/>
          <w:szCs w:val="19"/>
          <w:rtl/>
        </w:rPr>
        <w:t>קיבלו</w:t>
      </w:r>
      <w:r w:rsidRPr="008E2447">
        <w:rPr>
          <w:sz w:val="19"/>
          <w:szCs w:val="19"/>
          <w:rtl/>
        </w:rPr>
        <w:t xml:space="preserve"> מענה. </w:t>
      </w:r>
      <w:r w:rsidRPr="008E2447">
        <w:rPr>
          <w:rFonts w:hint="cs"/>
          <w:sz w:val="19"/>
          <w:szCs w:val="19"/>
          <w:rtl/>
        </w:rPr>
        <w:t>עוד ע</w:t>
      </w:r>
      <w:r>
        <w:rPr>
          <w:rFonts w:hint="cs"/>
          <w:sz w:val="19"/>
          <w:szCs w:val="19"/>
          <w:rtl/>
        </w:rPr>
        <w:t>ו</w:t>
      </w:r>
      <w:r w:rsidRPr="008E2447">
        <w:rPr>
          <w:rFonts w:hint="cs"/>
          <w:sz w:val="19"/>
          <w:szCs w:val="19"/>
          <w:rtl/>
        </w:rPr>
        <w:t>ל</w:t>
      </w:r>
      <w:r w:rsidRPr="008E2447">
        <w:rPr>
          <w:sz w:val="19"/>
          <w:szCs w:val="19"/>
          <w:rtl/>
        </w:rPr>
        <w:t>ה חשש לדחיקתם של בני הנוער</w:t>
      </w:r>
      <w:r w:rsidRPr="008E2447">
        <w:rPr>
          <w:rFonts w:hint="cs"/>
          <w:sz w:val="19"/>
          <w:szCs w:val="19"/>
          <w:rtl/>
        </w:rPr>
        <w:t>,</w:t>
      </w:r>
      <w:r w:rsidRPr="008E2447">
        <w:rPr>
          <w:sz w:val="19"/>
          <w:szCs w:val="19"/>
          <w:rtl/>
        </w:rPr>
        <w:t xml:space="preserve"> </w:t>
      </w:r>
      <w:r w:rsidRPr="008E2447">
        <w:rPr>
          <w:rFonts w:hint="cs"/>
          <w:sz w:val="19"/>
          <w:szCs w:val="19"/>
          <w:rtl/>
        </w:rPr>
        <w:t>החווים</w:t>
      </w:r>
      <w:r w:rsidRPr="008E2447">
        <w:rPr>
          <w:sz w:val="19"/>
          <w:szCs w:val="19"/>
          <w:rtl/>
        </w:rPr>
        <w:t xml:space="preserve"> טראומה וחוסר יציבות בחייהם</w:t>
      </w:r>
      <w:r w:rsidRPr="008E2447">
        <w:rPr>
          <w:rFonts w:hint="cs"/>
          <w:sz w:val="19"/>
          <w:szCs w:val="19"/>
          <w:rtl/>
        </w:rPr>
        <w:t>,</w:t>
      </w:r>
      <w:r w:rsidRPr="008E2447">
        <w:rPr>
          <w:sz w:val="19"/>
          <w:szCs w:val="19"/>
          <w:rtl/>
        </w:rPr>
        <w:t xml:space="preserve"> לשולי החברה ולעבר התנהגויות סיכון. </w:t>
      </w:r>
    </w:p>
    <w:p w:rsidR="00A356FE" w:rsidRDefault="00A356FE" w:rsidP="00306123">
      <w:pPr>
        <w:pStyle w:val="73"/>
        <w:numPr>
          <w:ilvl w:val="0"/>
          <w:numId w:val="25"/>
        </w:numPr>
        <w:spacing w:after="120"/>
        <w:rPr>
          <w:sz w:val="19"/>
          <w:szCs w:val="19"/>
        </w:rPr>
      </w:pPr>
      <w:r w:rsidRPr="008E2447">
        <w:rPr>
          <w:rFonts w:hint="cs"/>
          <w:b/>
          <w:bCs/>
          <w:sz w:val="19"/>
          <w:szCs w:val="19"/>
          <w:rtl/>
        </w:rPr>
        <w:t xml:space="preserve">שירותי פנאי ופעילויות הפגה לטובת המפונים </w:t>
      </w:r>
      <w:r w:rsidRPr="008E2447">
        <w:rPr>
          <w:rFonts w:hint="cs"/>
          <w:sz w:val="19"/>
          <w:szCs w:val="19"/>
          <w:rtl/>
        </w:rPr>
        <w:t xml:space="preserve">- </w:t>
      </w:r>
      <w:r w:rsidRPr="008E2447">
        <w:rPr>
          <w:sz w:val="19"/>
          <w:szCs w:val="19"/>
          <w:rtl/>
        </w:rPr>
        <w:t xml:space="preserve">למרות החשיבות של </w:t>
      </w:r>
      <w:r w:rsidRPr="008E2447">
        <w:rPr>
          <w:rFonts w:hint="cs"/>
          <w:sz w:val="19"/>
          <w:szCs w:val="19"/>
          <w:rtl/>
        </w:rPr>
        <w:t xml:space="preserve">קיום </w:t>
      </w:r>
      <w:r w:rsidRPr="008E2447">
        <w:rPr>
          <w:sz w:val="19"/>
          <w:szCs w:val="19"/>
          <w:rtl/>
        </w:rPr>
        <w:t>פעילות הפגה במצבי טראומה וחירום לא ה</w:t>
      </w:r>
      <w:r w:rsidRPr="008E2447">
        <w:rPr>
          <w:rFonts w:hint="cs"/>
          <w:sz w:val="19"/>
          <w:szCs w:val="19"/>
          <w:rtl/>
        </w:rPr>
        <w:t xml:space="preserve">וקצה לכך תקציב ייעודי, וכל רשות קולטת או מפונה נתנה שירותי הפגה בהתאם לרצונה, יכולתה הארגונית </w:t>
      </w:r>
      <w:r w:rsidRPr="008E2447">
        <w:rPr>
          <w:sz w:val="19"/>
          <w:szCs w:val="19"/>
          <w:rtl/>
        </w:rPr>
        <w:t xml:space="preserve">והתקציבית והבנתה, </w:t>
      </w:r>
      <w:r w:rsidRPr="008E2447">
        <w:rPr>
          <w:rFonts w:hint="cs"/>
          <w:sz w:val="19"/>
          <w:szCs w:val="19"/>
          <w:rtl/>
        </w:rPr>
        <w:t xml:space="preserve">או לא נתנה כלל, כך שקבוצות אוכלוסייה שונות זכו למענים שונים </w:t>
      </w:r>
      <w:r>
        <w:rPr>
          <w:rFonts w:hint="cs"/>
          <w:sz w:val="19"/>
          <w:szCs w:val="19"/>
          <w:rtl/>
        </w:rPr>
        <w:t>ש</w:t>
      </w:r>
      <w:r w:rsidRPr="008E2447">
        <w:rPr>
          <w:rFonts w:hint="cs"/>
          <w:sz w:val="19"/>
          <w:szCs w:val="19"/>
          <w:rtl/>
        </w:rPr>
        <w:t>ל</w:t>
      </w:r>
      <w:r>
        <w:rPr>
          <w:rFonts w:hint="cs"/>
          <w:sz w:val="19"/>
          <w:szCs w:val="19"/>
          <w:rtl/>
        </w:rPr>
        <w:t xml:space="preserve"> </w:t>
      </w:r>
      <w:r w:rsidRPr="008E2447">
        <w:rPr>
          <w:rFonts w:hint="cs"/>
          <w:sz w:val="19"/>
          <w:szCs w:val="19"/>
          <w:rtl/>
        </w:rPr>
        <w:t>פעילויות הפגה והיו מפונים שלא קיבלו כל מענה בעניין.</w:t>
      </w:r>
      <w:r w:rsidRPr="00AD29B0">
        <w:rPr>
          <w:rFonts w:hint="eastAsia"/>
          <w:sz w:val="19"/>
          <w:szCs w:val="19"/>
          <w:rtl/>
        </w:rPr>
        <w:t xml:space="preserve"> </w:t>
      </w:r>
    </w:p>
    <w:p w:rsidR="00780272" w:rsidRDefault="00A356FE" w:rsidP="00DD0944">
      <w:pPr>
        <w:pStyle w:val="73"/>
        <w:spacing w:after="120"/>
      </w:pPr>
      <w:r w:rsidRPr="00AD29B0">
        <w:rPr>
          <w:rFonts w:hint="eastAsia"/>
          <w:sz w:val="19"/>
          <w:szCs w:val="19"/>
          <w:rtl/>
        </w:rPr>
        <w:t>נמצא</w:t>
      </w:r>
      <w:r w:rsidRPr="00AD29B0">
        <w:rPr>
          <w:sz w:val="19"/>
          <w:szCs w:val="19"/>
          <w:rtl/>
        </w:rPr>
        <w:t xml:space="preserve"> </w:t>
      </w:r>
      <w:r w:rsidRPr="00AD29B0">
        <w:rPr>
          <w:rFonts w:hint="eastAsia"/>
          <w:sz w:val="19"/>
          <w:szCs w:val="19"/>
          <w:rtl/>
        </w:rPr>
        <w:t>כי</w:t>
      </w:r>
      <w:r w:rsidRPr="00AD29B0">
        <w:rPr>
          <w:rFonts w:hint="cs"/>
          <w:sz w:val="19"/>
          <w:szCs w:val="19"/>
          <w:rtl/>
        </w:rPr>
        <w:t xml:space="preserve"> </w:t>
      </w:r>
      <w:r>
        <w:rPr>
          <w:rFonts w:hint="cs"/>
          <w:sz w:val="19"/>
          <w:szCs w:val="19"/>
          <w:rtl/>
        </w:rPr>
        <w:t>ה</w:t>
      </w:r>
      <w:r w:rsidRPr="00AD29B0">
        <w:rPr>
          <w:rFonts w:hint="cs"/>
          <w:sz w:val="19"/>
          <w:szCs w:val="19"/>
          <w:rtl/>
        </w:rPr>
        <w:t xml:space="preserve">עיריות </w:t>
      </w:r>
      <w:r w:rsidRPr="00AD29B0">
        <w:rPr>
          <w:rFonts w:hint="cs"/>
          <w:b/>
          <w:bCs/>
          <w:sz w:val="19"/>
          <w:szCs w:val="19"/>
          <w:rtl/>
        </w:rPr>
        <w:t xml:space="preserve">אופקים </w:t>
      </w:r>
      <w:r w:rsidRPr="00AD29B0">
        <w:rPr>
          <w:rFonts w:hint="cs"/>
          <w:sz w:val="19"/>
          <w:szCs w:val="19"/>
          <w:rtl/>
        </w:rPr>
        <w:t>ו</w:t>
      </w:r>
      <w:r w:rsidRPr="00AD29B0">
        <w:rPr>
          <w:rFonts w:hint="cs"/>
          <w:b/>
          <w:bCs/>
          <w:sz w:val="19"/>
          <w:szCs w:val="19"/>
          <w:rtl/>
        </w:rPr>
        <w:t>אשקלון</w:t>
      </w:r>
      <w:r w:rsidRPr="00AD29B0">
        <w:rPr>
          <w:rFonts w:hint="cs"/>
          <w:sz w:val="19"/>
          <w:szCs w:val="19"/>
          <w:rtl/>
        </w:rPr>
        <w:t xml:space="preserve"> לא ארגנו מטעמן פעילויות </w:t>
      </w:r>
      <w:r>
        <w:rPr>
          <w:rFonts w:hint="cs"/>
          <w:sz w:val="19"/>
          <w:szCs w:val="19"/>
          <w:rtl/>
        </w:rPr>
        <w:t>תרבות ו</w:t>
      </w:r>
      <w:r w:rsidRPr="00AD29B0">
        <w:rPr>
          <w:rFonts w:hint="cs"/>
          <w:sz w:val="19"/>
          <w:szCs w:val="19"/>
          <w:rtl/>
        </w:rPr>
        <w:t xml:space="preserve">הפגה במלונות שבהם שהו תושביהן. </w:t>
      </w:r>
      <w:r w:rsidRPr="00AD29B0">
        <w:rPr>
          <w:sz w:val="19"/>
          <w:szCs w:val="19"/>
          <w:rtl/>
        </w:rPr>
        <w:t>הרשויות</w:t>
      </w:r>
      <w:r w:rsidRPr="002F1412">
        <w:rPr>
          <w:sz w:val="19"/>
          <w:szCs w:val="19"/>
          <w:rtl/>
        </w:rPr>
        <w:t xml:space="preserve"> המפונות </w:t>
      </w:r>
      <w:r w:rsidRPr="002F1412">
        <w:rPr>
          <w:rFonts w:hint="cs"/>
          <w:sz w:val="19"/>
          <w:szCs w:val="19"/>
          <w:rtl/>
        </w:rPr>
        <w:t>האחרות</w:t>
      </w:r>
      <w:r w:rsidRPr="002F1412">
        <w:rPr>
          <w:sz w:val="19"/>
          <w:szCs w:val="19"/>
          <w:rtl/>
        </w:rPr>
        <w:t xml:space="preserve"> </w:t>
      </w:r>
      <w:r w:rsidRPr="002F1412">
        <w:rPr>
          <w:rFonts w:hint="cs"/>
          <w:sz w:val="19"/>
          <w:szCs w:val="19"/>
          <w:rtl/>
        </w:rPr>
        <w:t>ו</w:t>
      </w:r>
      <w:r w:rsidRPr="002F1412">
        <w:rPr>
          <w:sz w:val="19"/>
          <w:szCs w:val="19"/>
          <w:rtl/>
        </w:rPr>
        <w:t>הרשויות הקולטות קיימו פעילות הפגה והעשרה לתושבים המפונים</w:t>
      </w:r>
      <w:r>
        <w:rPr>
          <w:rFonts w:hint="cs"/>
          <w:sz w:val="19"/>
          <w:szCs w:val="19"/>
          <w:rtl/>
        </w:rPr>
        <w:t>.</w:t>
      </w:r>
      <w:r w:rsidRPr="002F1412">
        <w:rPr>
          <w:sz w:val="19"/>
          <w:szCs w:val="19"/>
          <w:rtl/>
        </w:rPr>
        <w:t xml:space="preserve"> בשל</w:t>
      </w:r>
      <w:r>
        <w:rPr>
          <w:rFonts w:hint="cs"/>
          <w:sz w:val="19"/>
          <w:szCs w:val="19"/>
          <w:rtl/>
        </w:rPr>
        <w:t xml:space="preserve"> העדר תיאום ו</w:t>
      </w:r>
      <w:r w:rsidRPr="002F1412">
        <w:rPr>
          <w:sz w:val="19"/>
          <w:szCs w:val="19"/>
          <w:rtl/>
        </w:rPr>
        <w:t>הפיזור הגדול של ה</w:t>
      </w:r>
      <w:r>
        <w:rPr>
          <w:rFonts w:hint="cs"/>
          <w:sz w:val="19"/>
          <w:szCs w:val="19"/>
          <w:rtl/>
        </w:rPr>
        <w:t xml:space="preserve">מפונים, </w:t>
      </w:r>
      <w:r w:rsidRPr="002F1412">
        <w:rPr>
          <w:sz w:val="19"/>
          <w:szCs w:val="19"/>
          <w:rtl/>
        </w:rPr>
        <w:t xml:space="preserve">היו מלונות שבהם לא התקיימה </w:t>
      </w:r>
      <w:r>
        <w:rPr>
          <w:rFonts w:hint="cs"/>
          <w:sz w:val="19"/>
          <w:szCs w:val="19"/>
          <w:rtl/>
        </w:rPr>
        <w:t xml:space="preserve">כל </w:t>
      </w:r>
      <w:r w:rsidRPr="002F1412">
        <w:rPr>
          <w:sz w:val="19"/>
          <w:szCs w:val="19"/>
          <w:rtl/>
        </w:rPr>
        <w:t>פעילות הפגה. ה</w:t>
      </w:r>
      <w:r>
        <w:rPr>
          <w:rFonts w:hint="cs"/>
          <w:sz w:val="19"/>
          <w:szCs w:val="19"/>
          <w:rtl/>
        </w:rPr>
        <w:t>דבר</w:t>
      </w:r>
      <w:r w:rsidRPr="002F1412">
        <w:rPr>
          <w:sz w:val="19"/>
          <w:szCs w:val="19"/>
          <w:rtl/>
        </w:rPr>
        <w:t xml:space="preserve"> מחזק את החשש כי חלק מהמפונים "נפלו בין הכיסאות" ולא קיבלו סיוע ותמיכה הנדרשים במצב החירום והמצוקה שב</w:t>
      </w:r>
      <w:r>
        <w:rPr>
          <w:rFonts w:hint="cs"/>
          <w:sz w:val="19"/>
          <w:szCs w:val="19"/>
          <w:rtl/>
        </w:rPr>
        <w:t>ה</w:t>
      </w:r>
      <w:r w:rsidRPr="002F1412">
        <w:rPr>
          <w:sz w:val="19"/>
          <w:szCs w:val="19"/>
          <w:rtl/>
        </w:rPr>
        <w:t xml:space="preserve"> היו.</w:t>
      </w:r>
    </w:p>
    <w:p w:rsidR="00AE4BB7" w:rsidRPr="000B463F" w:rsidRDefault="00AE4BB7" w:rsidP="00EE67C7">
      <w:pPr>
        <w:spacing w:before="240" w:after="160"/>
      </w:pPr>
      <w:r>
        <w:rPr>
          <w:noProof/>
        </w:rPr>
        <w:drawing>
          <wp:inline distT="0" distB="0" distL="0" distR="0" wp14:anchorId="1B6E1B24" wp14:editId="6A13F14B">
            <wp:extent cx="2209800" cy="190500"/>
            <wp:effectExtent l="0" t="0" r="0" b="0"/>
            <wp:docPr id="374811198"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11198" name="תמונה 3" descr="ממצאים חיוביים"/>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A356FE" w:rsidRPr="00A356FE" w:rsidRDefault="00A356FE" w:rsidP="00306123">
      <w:pPr>
        <w:pStyle w:val="73"/>
        <w:rPr>
          <w:rFonts w:eastAsia="Calibri"/>
          <w:sz w:val="19"/>
          <w:szCs w:val="19"/>
          <w:rtl/>
        </w:rPr>
      </w:pPr>
      <w:r w:rsidRPr="00A356FE">
        <w:rPr>
          <w:rFonts w:eastAsia="Calibri" w:hint="cs"/>
          <w:b/>
          <w:bCs/>
          <w:sz w:val="19"/>
          <w:szCs w:val="19"/>
          <w:rtl/>
        </w:rPr>
        <w:t xml:space="preserve">סיוע הרשויות הקולטות למפונים הנזקקים לשירותי רווחה </w:t>
      </w:r>
      <w:r w:rsidRPr="00A356FE">
        <w:rPr>
          <w:rFonts w:eastAsia="Calibri" w:hint="cs"/>
          <w:sz w:val="19"/>
          <w:szCs w:val="19"/>
          <w:rtl/>
        </w:rPr>
        <w:t xml:space="preserve">- </w:t>
      </w:r>
      <w:r w:rsidRPr="00A356FE">
        <w:rPr>
          <w:rFonts w:eastAsia="Calibri"/>
          <w:sz w:val="19"/>
          <w:szCs w:val="19"/>
          <w:rtl/>
        </w:rPr>
        <w:t xml:space="preserve">בהיעדר תוכנית היערכות של משרד הרווחה למיפוי המפונים הזקוקים לסיוע שפונו לתחומי הרשויות הקולטות, רוב הרשויות הקולטות שנבדקו - העיריות </w:t>
      </w:r>
      <w:r w:rsidRPr="00A356FE">
        <w:rPr>
          <w:rFonts w:eastAsia="Calibri"/>
          <w:b/>
          <w:bCs/>
          <w:sz w:val="19"/>
          <w:szCs w:val="19"/>
          <w:rtl/>
        </w:rPr>
        <w:t>אילת</w:t>
      </w:r>
      <w:r w:rsidRPr="00A356FE">
        <w:rPr>
          <w:rFonts w:eastAsia="Calibri"/>
          <w:sz w:val="19"/>
          <w:szCs w:val="19"/>
          <w:rtl/>
        </w:rPr>
        <w:t xml:space="preserve">, </w:t>
      </w:r>
      <w:r w:rsidRPr="00A356FE">
        <w:rPr>
          <w:rFonts w:eastAsia="Calibri"/>
          <w:b/>
          <w:bCs/>
          <w:sz w:val="19"/>
          <w:szCs w:val="19"/>
          <w:rtl/>
        </w:rPr>
        <w:t>הרצלייה</w:t>
      </w:r>
      <w:r w:rsidRPr="00A356FE">
        <w:rPr>
          <w:rFonts w:eastAsia="Calibri"/>
          <w:sz w:val="19"/>
          <w:szCs w:val="19"/>
          <w:rtl/>
        </w:rPr>
        <w:t xml:space="preserve">, </w:t>
      </w:r>
      <w:r w:rsidRPr="00A356FE">
        <w:rPr>
          <w:rFonts w:eastAsia="Calibri"/>
          <w:b/>
          <w:bCs/>
          <w:sz w:val="19"/>
          <w:szCs w:val="19"/>
          <w:rtl/>
        </w:rPr>
        <w:t>חיפה, טבריה</w:t>
      </w:r>
      <w:r w:rsidRPr="00A356FE">
        <w:rPr>
          <w:rFonts w:eastAsia="Calibri"/>
          <w:sz w:val="19"/>
          <w:szCs w:val="19"/>
          <w:rtl/>
        </w:rPr>
        <w:t xml:space="preserve">, </w:t>
      </w:r>
      <w:r w:rsidRPr="00A356FE">
        <w:rPr>
          <w:rFonts w:eastAsia="Calibri"/>
          <w:b/>
          <w:bCs/>
          <w:sz w:val="19"/>
          <w:szCs w:val="19"/>
          <w:rtl/>
        </w:rPr>
        <w:t>ירושלים</w:t>
      </w:r>
      <w:r w:rsidRPr="00A356FE">
        <w:rPr>
          <w:rFonts w:eastAsia="Calibri"/>
          <w:sz w:val="19"/>
          <w:szCs w:val="19"/>
          <w:rtl/>
        </w:rPr>
        <w:t xml:space="preserve">, </w:t>
      </w:r>
      <w:r w:rsidRPr="00A356FE">
        <w:rPr>
          <w:rFonts w:eastAsia="Calibri"/>
          <w:b/>
          <w:bCs/>
          <w:sz w:val="19"/>
          <w:szCs w:val="19"/>
          <w:rtl/>
        </w:rPr>
        <w:t>נוף הגליל</w:t>
      </w:r>
      <w:r w:rsidRPr="00A356FE">
        <w:rPr>
          <w:rFonts w:eastAsia="Calibri"/>
          <w:sz w:val="19"/>
          <w:szCs w:val="19"/>
          <w:rtl/>
        </w:rPr>
        <w:t xml:space="preserve">, </w:t>
      </w:r>
      <w:r w:rsidRPr="00A356FE">
        <w:rPr>
          <w:rFonts w:eastAsia="Calibri"/>
          <w:b/>
          <w:bCs/>
          <w:sz w:val="19"/>
          <w:szCs w:val="19"/>
          <w:rtl/>
        </w:rPr>
        <w:t>נתניה</w:t>
      </w:r>
      <w:r w:rsidRPr="00A356FE">
        <w:rPr>
          <w:rFonts w:eastAsia="Calibri"/>
          <w:sz w:val="19"/>
          <w:szCs w:val="19"/>
          <w:rtl/>
        </w:rPr>
        <w:t xml:space="preserve">, </w:t>
      </w:r>
      <w:r w:rsidRPr="00A356FE">
        <w:rPr>
          <w:rFonts w:eastAsia="Calibri"/>
          <w:b/>
          <w:bCs/>
          <w:sz w:val="19"/>
          <w:szCs w:val="19"/>
          <w:rtl/>
        </w:rPr>
        <w:t xml:space="preserve">רמת גן </w:t>
      </w:r>
      <w:r w:rsidRPr="00A356FE">
        <w:rPr>
          <w:rFonts w:eastAsia="Calibri"/>
          <w:sz w:val="19"/>
          <w:szCs w:val="19"/>
          <w:rtl/>
        </w:rPr>
        <w:t>ו</w:t>
      </w:r>
      <w:r w:rsidRPr="00A356FE">
        <w:rPr>
          <w:rFonts w:eastAsia="Calibri"/>
          <w:b/>
          <w:bCs/>
          <w:sz w:val="19"/>
          <w:szCs w:val="19"/>
          <w:rtl/>
        </w:rPr>
        <w:t>תל אביב-יפו</w:t>
      </w:r>
      <w:r w:rsidRPr="00A356FE">
        <w:rPr>
          <w:rFonts w:eastAsia="Calibri"/>
          <w:sz w:val="19"/>
          <w:szCs w:val="19"/>
          <w:rtl/>
        </w:rPr>
        <w:t xml:space="preserve">, המועצה המקומית </w:t>
      </w:r>
      <w:r w:rsidRPr="00A356FE">
        <w:rPr>
          <w:rFonts w:eastAsia="Calibri"/>
          <w:b/>
          <w:bCs/>
          <w:sz w:val="19"/>
          <w:szCs w:val="19"/>
          <w:rtl/>
        </w:rPr>
        <w:t>זיכרון יעקב</w:t>
      </w:r>
      <w:r w:rsidRPr="00A356FE">
        <w:rPr>
          <w:rFonts w:eastAsia="Calibri"/>
          <w:sz w:val="19"/>
          <w:szCs w:val="19"/>
          <w:rtl/>
        </w:rPr>
        <w:t xml:space="preserve"> והמועצות האזוריות </w:t>
      </w:r>
      <w:r w:rsidRPr="00A356FE">
        <w:rPr>
          <w:rFonts w:eastAsia="Calibri"/>
          <w:b/>
          <w:bCs/>
          <w:sz w:val="19"/>
          <w:szCs w:val="19"/>
          <w:rtl/>
        </w:rPr>
        <w:t>חוף הכרמל</w:t>
      </w:r>
      <w:r w:rsidRPr="00A356FE">
        <w:rPr>
          <w:rFonts w:eastAsia="Calibri"/>
          <w:sz w:val="19"/>
          <w:szCs w:val="19"/>
          <w:rtl/>
        </w:rPr>
        <w:t xml:space="preserve">, </w:t>
      </w:r>
      <w:r w:rsidRPr="00A356FE">
        <w:rPr>
          <w:rFonts w:eastAsia="Calibri"/>
          <w:b/>
          <w:bCs/>
          <w:sz w:val="19"/>
          <w:szCs w:val="19"/>
          <w:rtl/>
        </w:rPr>
        <w:t xml:space="preserve">מטה יהודה </w:t>
      </w:r>
      <w:r w:rsidRPr="00A356FE">
        <w:rPr>
          <w:rFonts w:eastAsia="Calibri"/>
          <w:sz w:val="19"/>
          <w:szCs w:val="19"/>
          <w:rtl/>
        </w:rPr>
        <w:t>ו</w:t>
      </w:r>
      <w:r w:rsidRPr="00A356FE">
        <w:rPr>
          <w:rFonts w:eastAsia="Calibri"/>
          <w:b/>
          <w:bCs/>
          <w:sz w:val="19"/>
          <w:szCs w:val="19"/>
          <w:rtl/>
        </w:rPr>
        <w:t>עמק הירדן</w:t>
      </w:r>
      <w:r w:rsidRPr="00A356FE">
        <w:rPr>
          <w:rFonts w:eastAsia="Calibri"/>
          <w:sz w:val="19"/>
          <w:szCs w:val="19"/>
          <w:rtl/>
        </w:rPr>
        <w:t xml:space="preserve"> - הקימו, ללא הכנה </w:t>
      </w:r>
      <w:r w:rsidRPr="00A356FE">
        <w:rPr>
          <w:sz w:val="19"/>
          <w:szCs w:val="19"/>
          <w:rtl/>
        </w:rPr>
        <w:t>מוקדמת</w:t>
      </w:r>
      <w:r w:rsidRPr="00A356FE">
        <w:rPr>
          <w:rFonts w:eastAsia="Calibri"/>
          <w:sz w:val="19"/>
          <w:szCs w:val="19"/>
          <w:rtl/>
        </w:rPr>
        <w:t xml:space="preserve">, מערך </w:t>
      </w:r>
      <w:r w:rsidRPr="00A356FE">
        <w:rPr>
          <w:rFonts w:eastAsia="Calibri" w:hint="cs"/>
          <w:sz w:val="19"/>
          <w:szCs w:val="19"/>
          <w:rtl/>
        </w:rPr>
        <w:t>למיפוי ה</w:t>
      </w:r>
      <w:r w:rsidRPr="00A356FE">
        <w:rPr>
          <w:rFonts w:eastAsia="Calibri"/>
          <w:sz w:val="19"/>
          <w:szCs w:val="19"/>
          <w:rtl/>
        </w:rPr>
        <w:t xml:space="preserve">מפונים הזקוקים לסיוע, וכל אחת </w:t>
      </w:r>
      <w:r w:rsidRPr="00A356FE">
        <w:rPr>
          <w:rFonts w:eastAsia="Calibri" w:hint="cs"/>
          <w:sz w:val="19"/>
          <w:szCs w:val="19"/>
          <w:rtl/>
        </w:rPr>
        <w:t xml:space="preserve">מהן </w:t>
      </w:r>
      <w:r w:rsidRPr="00A356FE">
        <w:rPr>
          <w:rFonts w:eastAsia="Calibri"/>
          <w:sz w:val="19"/>
          <w:szCs w:val="19"/>
          <w:rtl/>
        </w:rPr>
        <w:t xml:space="preserve">עשתה זאת באופן שונה בהתאם ליכולתה ולהבנתה. </w:t>
      </w:r>
    </w:p>
    <w:p w:rsidR="00A356FE" w:rsidRPr="00A356FE" w:rsidRDefault="00A356FE" w:rsidP="00306123">
      <w:pPr>
        <w:pStyle w:val="73"/>
        <w:rPr>
          <w:rFonts w:eastAsia="Calibri"/>
          <w:sz w:val="19"/>
          <w:szCs w:val="19"/>
          <w:rtl/>
        </w:rPr>
      </w:pPr>
      <w:r w:rsidRPr="00A356FE">
        <w:rPr>
          <w:rFonts w:eastAsia="Calibri" w:hint="cs"/>
          <w:b/>
          <w:bCs/>
          <w:sz w:val="19"/>
          <w:szCs w:val="19"/>
          <w:rtl/>
        </w:rPr>
        <w:t xml:space="preserve">החברה האזרחית </w:t>
      </w:r>
      <w:r w:rsidRPr="00A356FE">
        <w:rPr>
          <w:rFonts w:eastAsia="Calibri"/>
          <w:sz w:val="19"/>
          <w:szCs w:val="19"/>
          <w:rtl/>
        </w:rPr>
        <w:t>-</w:t>
      </w:r>
      <w:r w:rsidRPr="00A356FE">
        <w:rPr>
          <w:rFonts w:eastAsia="Calibri" w:hint="cs"/>
          <w:b/>
          <w:bCs/>
          <w:sz w:val="19"/>
          <w:szCs w:val="19"/>
          <w:rtl/>
        </w:rPr>
        <w:t xml:space="preserve"> </w:t>
      </w:r>
      <w:r w:rsidRPr="00A356FE">
        <w:rPr>
          <w:rFonts w:eastAsia="Calibri" w:hint="cs"/>
          <w:sz w:val="19"/>
          <w:szCs w:val="19"/>
          <w:rtl/>
        </w:rPr>
        <w:t xml:space="preserve">ראוי </w:t>
      </w:r>
      <w:r w:rsidRPr="00A356FE">
        <w:rPr>
          <w:rFonts w:hint="cs"/>
          <w:sz w:val="19"/>
          <w:szCs w:val="19"/>
          <w:rtl/>
        </w:rPr>
        <w:t>לציין</w:t>
      </w:r>
      <w:r w:rsidRPr="00A356FE">
        <w:rPr>
          <w:rFonts w:eastAsia="Calibri" w:hint="cs"/>
          <w:sz w:val="19"/>
          <w:szCs w:val="19"/>
          <w:rtl/>
        </w:rPr>
        <w:t xml:space="preserve"> לשבח גם את רוח ההתנדבות ואת פועלה של החברה האזרחית בכללותה, אשר סייעה רבות למפונים ולכל מי שנזקק לסיוע מאז פרוץ המלחמה. </w:t>
      </w:r>
    </w:p>
    <w:p w:rsidR="00780272" w:rsidRPr="00084768" w:rsidRDefault="00A356FE" w:rsidP="00DD0944">
      <w:pPr>
        <w:pStyle w:val="73"/>
        <w:rPr>
          <w:sz w:val="19"/>
          <w:szCs w:val="19"/>
        </w:rPr>
      </w:pPr>
      <w:r w:rsidRPr="00A356FE">
        <w:rPr>
          <w:rFonts w:eastAsia="Calibri" w:hint="cs"/>
          <w:b/>
          <w:bCs/>
          <w:sz w:val="19"/>
          <w:szCs w:val="19"/>
          <w:rtl/>
        </w:rPr>
        <w:t>טיפול בנוער בסיכון שפונה משדרות לאילת</w:t>
      </w:r>
      <w:r w:rsidRPr="00A356FE">
        <w:rPr>
          <w:rFonts w:eastAsia="Calibri" w:hint="cs"/>
          <w:sz w:val="19"/>
          <w:szCs w:val="19"/>
          <w:rtl/>
        </w:rPr>
        <w:t xml:space="preserve"> - יצוינו לחיוב פעולת עיריית </w:t>
      </w:r>
      <w:r w:rsidRPr="00A356FE">
        <w:rPr>
          <w:rFonts w:eastAsia="Calibri" w:hint="cs"/>
          <w:b/>
          <w:bCs/>
          <w:sz w:val="19"/>
          <w:szCs w:val="19"/>
          <w:rtl/>
        </w:rPr>
        <w:t>שדרות</w:t>
      </w:r>
      <w:r w:rsidRPr="00A356FE">
        <w:rPr>
          <w:rFonts w:eastAsia="Calibri" w:hint="cs"/>
          <w:sz w:val="19"/>
          <w:szCs w:val="19"/>
          <w:rtl/>
        </w:rPr>
        <w:t xml:space="preserve"> ושיתוף הפעולה וההירתמות של עיריית </w:t>
      </w:r>
      <w:r w:rsidRPr="00A356FE">
        <w:rPr>
          <w:rFonts w:eastAsia="Calibri" w:hint="cs"/>
          <w:b/>
          <w:bCs/>
          <w:sz w:val="19"/>
          <w:szCs w:val="19"/>
          <w:rtl/>
        </w:rPr>
        <w:t>אילת</w:t>
      </w:r>
      <w:r w:rsidRPr="00A356FE">
        <w:rPr>
          <w:rFonts w:eastAsia="Calibri" w:hint="cs"/>
          <w:sz w:val="19"/>
          <w:szCs w:val="19"/>
          <w:rtl/>
        </w:rPr>
        <w:t>, משרדי החינוך והרווחה, החברה למתנ"סים, תנועות נוער וארגונים התנדבותיים למשימה של טיפול בנוער בסיכון.</w:t>
      </w:r>
    </w:p>
    <w:tbl>
      <w:tblPr>
        <w:tblStyle w:val="af4"/>
        <w:tblpPr w:leftFromText="180" w:rightFromText="180" w:vertAnchor="text" w:tblpXSpec="center" w:tblpY="1"/>
        <w:tblOverlap w:val="never"/>
        <w:bidiVisual/>
        <w:tblW w:w="9074" w:type="dxa"/>
        <w:tblLayout w:type="fixed"/>
        <w:tblLook w:val="04A0" w:firstRow="1" w:lastRow="0" w:firstColumn="1" w:lastColumn="0" w:noHBand="0" w:noVBand="1"/>
      </w:tblPr>
      <w:tblGrid>
        <w:gridCol w:w="9074"/>
      </w:tblGrid>
      <w:tr w:rsidR="00AE4BB7" w:rsidTr="009E37AC">
        <w:trPr>
          <w:trHeight w:val="851"/>
        </w:trPr>
        <w:tc>
          <w:tcPr>
            <w:tcW w:w="9074" w:type="dxa"/>
            <w:tcBorders>
              <w:top w:val="nil"/>
              <w:left w:val="nil"/>
              <w:bottom w:val="nil"/>
              <w:right w:val="nil"/>
            </w:tcBorders>
          </w:tcPr>
          <w:p w:rsidR="00AE4BB7" w:rsidRPr="00F66FC8" w:rsidRDefault="00AE4BB7" w:rsidP="009E37AC">
            <w:pPr>
              <w:spacing w:before="240" w:after="180" w:line="288" w:lineRule="auto"/>
              <w:rPr>
                <w:rFonts w:ascii="Tahoma" w:hAnsi="Tahoma" w:cs="Tahoma"/>
                <w:sz w:val="19"/>
                <w:szCs w:val="19"/>
                <w:rtl/>
              </w:rPr>
            </w:pPr>
            <w:r w:rsidRPr="00F66FC8">
              <w:rPr>
                <w:rFonts w:ascii="Tahoma" w:hAnsi="Tahoma" w:cs="Tahoma"/>
                <w:noProof/>
                <w:sz w:val="19"/>
                <w:szCs w:val="19"/>
                <w:rtl/>
              </w:rPr>
              <w:lastRenderedPageBreak/>
              <w:drawing>
                <wp:inline distT="0" distB="0" distL="0" distR="0" wp14:anchorId="1A1CB373" wp14:editId="5A1CF727">
                  <wp:extent cx="5574030" cy="438784"/>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קציר תמונה 3.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19160" cy="450209"/>
                          </a:xfrm>
                          <a:prstGeom prst="rect">
                            <a:avLst/>
                          </a:prstGeom>
                        </pic:spPr>
                      </pic:pic>
                    </a:graphicData>
                  </a:graphic>
                </wp:inline>
              </w:drawing>
            </w:r>
          </w:p>
        </w:tc>
      </w:tr>
      <w:tr w:rsidR="00AE4BB7" w:rsidTr="009E37AC">
        <w:trPr>
          <w:trHeight w:val="2156"/>
        </w:trPr>
        <w:tc>
          <w:tcPr>
            <w:tcW w:w="9074" w:type="dxa"/>
            <w:tcBorders>
              <w:top w:val="nil"/>
              <w:left w:val="nil"/>
              <w:bottom w:val="nil"/>
              <w:right w:val="nil"/>
            </w:tcBorders>
            <w:shd w:val="clear" w:color="auto" w:fill="F1F5F9"/>
          </w:tcPr>
          <w:p w:rsidR="00452920" w:rsidRPr="00452920" w:rsidRDefault="00452920" w:rsidP="00452920">
            <w:pPr>
              <w:pStyle w:val="af2"/>
              <w:spacing w:before="120" w:after="120" w:line="288" w:lineRule="auto"/>
              <w:ind w:left="510" w:right="176"/>
              <w:contextualSpacing w:val="0"/>
              <w:rPr>
                <w:rFonts w:ascii="Tahoma" w:hAnsi="Tahoma" w:cs="Tahoma"/>
                <w:sz w:val="10"/>
                <w:szCs w:val="10"/>
              </w:rPr>
            </w:pPr>
          </w:p>
          <w:p w:rsidR="00A356FE" w:rsidRPr="00913716" w:rsidRDefault="00A356FE" w:rsidP="00452920">
            <w:pPr>
              <w:pStyle w:val="af2"/>
              <w:numPr>
                <w:ilvl w:val="0"/>
                <w:numId w:val="12"/>
              </w:numPr>
              <w:spacing w:before="120" w:after="240" w:line="288" w:lineRule="auto"/>
              <w:ind w:left="739" w:right="456" w:hanging="611"/>
              <w:contextualSpacing w:val="0"/>
              <w:rPr>
                <w:rFonts w:ascii="Tahoma" w:hAnsi="Tahoma" w:cs="Tahoma"/>
                <w:sz w:val="19"/>
                <w:szCs w:val="19"/>
              </w:rPr>
            </w:pPr>
            <w:r w:rsidRPr="00913716">
              <w:rPr>
                <w:rFonts w:ascii="Tahoma" w:hAnsi="Tahoma" w:cs="Tahoma"/>
                <w:sz w:val="19"/>
                <w:szCs w:val="19"/>
                <w:rtl/>
              </w:rPr>
              <w:t xml:space="preserve">מומלץ כי משרד הרווחה יקבע מפתחות לצורך תגבור כוח האדם </w:t>
            </w:r>
            <w:r>
              <w:rPr>
                <w:rFonts w:ascii="Tahoma" w:hAnsi="Tahoma" w:cs="Tahoma" w:hint="cs"/>
                <w:sz w:val="19"/>
                <w:szCs w:val="19"/>
                <w:rtl/>
              </w:rPr>
              <w:t xml:space="preserve">בשעת חירום </w:t>
            </w:r>
            <w:r w:rsidRPr="00913716">
              <w:rPr>
                <w:rFonts w:ascii="Tahoma" w:hAnsi="Tahoma" w:cs="Tahoma"/>
                <w:sz w:val="19"/>
                <w:szCs w:val="19"/>
                <w:rtl/>
              </w:rPr>
              <w:t>ב</w:t>
            </w:r>
            <w:r w:rsidRPr="00913716">
              <w:rPr>
                <w:rFonts w:ascii="Tahoma" w:hAnsi="Tahoma" w:cs="Tahoma" w:hint="cs"/>
                <w:sz w:val="19"/>
                <w:szCs w:val="19"/>
                <w:rtl/>
              </w:rPr>
              <w:t>מחלקות הרווחה</w:t>
            </w:r>
            <w:r>
              <w:rPr>
                <w:rFonts w:ascii="Tahoma" w:hAnsi="Tahoma" w:cs="Tahoma" w:hint="cs"/>
                <w:sz w:val="19"/>
                <w:szCs w:val="19"/>
                <w:rtl/>
              </w:rPr>
              <w:t xml:space="preserve"> הן של הרשויות המפונות והן של הרשויות הקולטות בהתחשב בכלל הנסיבות</w:t>
            </w:r>
            <w:r w:rsidRPr="00913716">
              <w:rPr>
                <w:rFonts w:ascii="Tahoma" w:hAnsi="Tahoma" w:cs="Tahoma"/>
                <w:sz w:val="19"/>
                <w:szCs w:val="19"/>
                <w:rtl/>
              </w:rPr>
              <w:t xml:space="preserve">, </w:t>
            </w:r>
            <w:r w:rsidRPr="00913716">
              <w:rPr>
                <w:rFonts w:ascii="Tahoma" w:hAnsi="Tahoma" w:cs="Tahoma" w:hint="cs"/>
                <w:sz w:val="19"/>
                <w:szCs w:val="19"/>
                <w:rtl/>
              </w:rPr>
              <w:t>ו</w:t>
            </w:r>
            <w:r w:rsidRPr="00913716">
              <w:rPr>
                <w:rFonts w:ascii="Tahoma" w:hAnsi="Tahoma" w:cs="Tahoma"/>
                <w:sz w:val="19"/>
                <w:szCs w:val="19"/>
                <w:rtl/>
              </w:rPr>
              <w:t xml:space="preserve">יגדיר שיטה שתעודד גיוס של עו"סים לצורך איוש התקנים, בפרט </w:t>
            </w:r>
            <w:r w:rsidRPr="00913716">
              <w:rPr>
                <w:rFonts w:ascii="Tahoma" w:hAnsi="Tahoma" w:cs="Tahoma" w:hint="eastAsia"/>
                <w:sz w:val="19"/>
                <w:szCs w:val="19"/>
                <w:rtl/>
              </w:rPr>
              <w:t>ב</w:t>
            </w:r>
            <w:r>
              <w:rPr>
                <w:rFonts w:ascii="Tahoma" w:hAnsi="Tahoma" w:cs="Tahoma" w:hint="cs"/>
                <w:sz w:val="19"/>
                <w:szCs w:val="19"/>
                <w:rtl/>
              </w:rPr>
              <w:t>ש</w:t>
            </w:r>
            <w:r w:rsidRPr="00913716">
              <w:rPr>
                <w:rFonts w:ascii="Tahoma" w:hAnsi="Tahoma" w:cs="Tahoma" w:hint="eastAsia"/>
                <w:sz w:val="19"/>
                <w:szCs w:val="19"/>
                <w:rtl/>
              </w:rPr>
              <w:t>עת</w:t>
            </w:r>
            <w:r w:rsidRPr="00913716">
              <w:rPr>
                <w:rFonts w:ascii="Tahoma" w:hAnsi="Tahoma" w:cs="Tahoma"/>
                <w:sz w:val="19"/>
                <w:szCs w:val="19"/>
                <w:rtl/>
              </w:rPr>
              <w:t xml:space="preserve"> ח</w:t>
            </w:r>
            <w:r w:rsidRPr="00913716">
              <w:rPr>
                <w:rFonts w:ascii="Tahoma" w:hAnsi="Tahoma" w:cs="Tahoma" w:hint="cs"/>
                <w:sz w:val="19"/>
                <w:szCs w:val="19"/>
                <w:rtl/>
              </w:rPr>
              <w:t>י</w:t>
            </w:r>
            <w:r w:rsidRPr="00913716">
              <w:rPr>
                <w:rFonts w:ascii="Tahoma" w:hAnsi="Tahoma" w:cs="Tahoma"/>
                <w:sz w:val="19"/>
                <w:szCs w:val="19"/>
                <w:rtl/>
              </w:rPr>
              <w:t xml:space="preserve">רום. </w:t>
            </w:r>
            <w:r>
              <w:rPr>
                <w:rFonts w:ascii="Tahoma" w:hAnsi="Tahoma" w:cs="Tahoma" w:hint="cs"/>
                <w:sz w:val="19"/>
                <w:szCs w:val="19"/>
                <w:rtl/>
              </w:rPr>
              <w:t>ב</w:t>
            </w:r>
            <w:r w:rsidRPr="00913716">
              <w:rPr>
                <w:rFonts w:ascii="Tahoma" w:hAnsi="Tahoma" w:cs="Tahoma" w:hint="cs"/>
                <w:sz w:val="19"/>
                <w:szCs w:val="19"/>
                <w:rtl/>
              </w:rPr>
              <w:t xml:space="preserve">נוסף, על משרד הרווחה למצוא דרכים ותמריצים שיבטיחו איוש מלא של המשרות, שימור ההון האנושי ופיתוח כלים מקצועיים להתמודדות עם מצוקת המפונים. </w:t>
            </w:r>
          </w:p>
          <w:p w:rsidR="00A356FE" w:rsidRPr="00AD29B0" w:rsidRDefault="00A356FE" w:rsidP="00452920">
            <w:pPr>
              <w:pStyle w:val="af2"/>
              <w:numPr>
                <w:ilvl w:val="0"/>
                <w:numId w:val="12"/>
              </w:numPr>
              <w:spacing w:before="120" w:after="240" w:line="288" w:lineRule="auto"/>
              <w:ind w:left="739" w:right="456" w:hanging="611"/>
              <w:contextualSpacing w:val="0"/>
              <w:rPr>
                <w:rFonts w:ascii="Tahoma" w:hAnsi="Tahoma" w:cs="Tahoma"/>
                <w:sz w:val="19"/>
                <w:szCs w:val="19"/>
              </w:rPr>
            </w:pPr>
            <w:r w:rsidRPr="00913716">
              <w:rPr>
                <w:rFonts w:ascii="Tahoma" w:hAnsi="Tahoma" w:cs="Tahoma"/>
                <w:sz w:val="19"/>
                <w:szCs w:val="19"/>
                <w:rtl/>
              </w:rPr>
              <w:t>על משרד</w:t>
            </w:r>
            <w:r w:rsidRPr="00913716">
              <w:rPr>
                <w:rFonts w:ascii="Tahoma" w:hAnsi="Tahoma" w:cs="Tahoma" w:hint="cs"/>
                <w:sz w:val="19"/>
                <w:szCs w:val="19"/>
                <w:rtl/>
              </w:rPr>
              <w:t xml:space="preserve"> </w:t>
            </w:r>
            <w:r w:rsidRPr="00913716">
              <w:rPr>
                <w:rFonts w:ascii="Tahoma" w:hAnsi="Tahoma" w:cs="Tahoma"/>
                <w:sz w:val="19"/>
                <w:szCs w:val="19"/>
                <w:rtl/>
              </w:rPr>
              <w:t>הרווחה</w:t>
            </w:r>
            <w:r w:rsidRPr="00913716">
              <w:rPr>
                <w:rFonts w:ascii="Tahoma" w:hAnsi="Tahoma" w:cs="Tahoma" w:hint="cs"/>
                <w:sz w:val="19"/>
                <w:szCs w:val="19"/>
                <w:rtl/>
              </w:rPr>
              <w:t xml:space="preserve">, בשיתוף משרד הפנים, </w:t>
            </w:r>
            <w:r w:rsidRPr="00913716">
              <w:rPr>
                <w:rFonts w:ascii="Tahoma" w:hAnsi="Tahoma" w:cs="Tahoma"/>
                <w:sz w:val="19"/>
                <w:szCs w:val="19"/>
                <w:rtl/>
              </w:rPr>
              <w:t xml:space="preserve">להגדיר פעולות שיאפשרו </w:t>
            </w:r>
            <w:r w:rsidRPr="00913716">
              <w:rPr>
                <w:rFonts w:ascii="Tahoma" w:hAnsi="Tahoma" w:cs="Tahoma" w:hint="cs"/>
                <w:sz w:val="19"/>
                <w:szCs w:val="19"/>
                <w:rtl/>
              </w:rPr>
              <w:t>להעביר</w:t>
            </w:r>
            <w:r w:rsidRPr="00913716">
              <w:rPr>
                <w:rFonts w:ascii="Tahoma" w:hAnsi="Tahoma" w:cs="Tahoma"/>
                <w:sz w:val="19"/>
                <w:szCs w:val="19"/>
                <w:rtl/>
              </w:rPr>
              <w:t xml:space="preserve"> מידע נדרש על אוכלוסייה מפונה לרשות הקולטת</w:t>
            </w:r>
            <w:r w:rsidRPr="00913716">
              <w:rPr>
                <w:rFonts w:ascii="Tahoma" w:hAnsi="Tahoma" w:cs="Tahoma" w:hint="cs"/>
                <w:sz w:val="19"/>
                <w:szCs w:val="19"/>
                <w:rtl/>
              </w:rPr>
              <w:t>,</w:t>
            </w:r>
            <w:r w:rsidRPr="00913716">
              <w:rPr>
                <w:rFonts w:ascii="Tahoma" w:hAnsi="Tahoma" w:cs="Tahoma"/>
                <w:sz w:val="19"/>
                <w:szCs w:val="19"/>
                <w:rtl/>
              </w:rPr>
              <w:t xml:space="preserve"> לצורך אספקת שירותי רווחה גם לאנשים הזקוקים לכך מסיבות </w:t>
            </w:r>
            <w:r>
              <w:rPr>
                <w:rFonts w:ascii="Tahoma" w:hAnsi="Tahoma" w:cs="Tahoma" w:hint="cs"/>
                <w:sz w:val="19"/>
                <w:szCs w:val="19"/>
                <w:rtl/>
              </w:rPr>
              <w:t>שאינן קשורות למלחמה</w:t>
            </w:r>
            <w:r w:rsidRPr="00913716">
              <w:rPr>
                <w:rFonts w:ascii="Tahoma" w:hAnsi="Tahoma" w:cs="Tahoma"/>
                <w:sz w:val="19"/>
                <w:szCs w:val="19"/>
                <w:rtl/>
              </w:rPr>
              <w:t>. מומלץ</w:t>
            </w:r>
            <w:r w:rsidRPr="00AD29B0">
              <w:rPr>
                <w:rFonts w:ascii="Tahoma" w:hAnsi="Tahoma" w:cs="Tahoma"/>
                <w:sz w:val="19"/>
                <w:szCs w:val="19"/>
                <w:rtl/>
              </w:rPr>
              <w:t xml:space="preserve"> שמשרד הרווחה, בתיאום עם משרד המשפטים, יסדיר את הליכי העברת המידע </w:t>
            </w:r>
            <w:r>
              <w:rPr>
                <w:rFonts w:ascii="Tahoma" w:hAnsi="Tahoma" w:cs="Tahoma" w:hint="cs"/>
                <w:sz w:val="19"/>
                <w:szCs w:val="19"/>
                <w:rtl/>
              </w:rPr>
              <w:t xml:space="preserve">בין הרשות המפונה לרשות הקולטת בשעת </w:t>
            </w:r>
            <w:r w:rsidRPr="00AD29B0">
              <w:rPr>
                <w:rFonts w:ascii="Tahoma" w:hAnsi="Tahoma" w:cs="Tahoma"/>
                <w:sz w:val="19"/>
                <w:szCs w:val="19"/>
                <w:rtl/>
              </w:rPr>
              <w:t xml:space="preserve">בחירום (טכנית ומשפטית) </w:t>
            </w:r>
            <w:r>
              <w:rPr>
                <w:rFonts w:ascii="Tahoma" w:hAnsi="Tahoma" w:cs="Tahoma" w:hint="cs"/>
                <w:sz w:val="19"/>
                <w:szCs w:val="19"/>
                <w:rtl/>
              </w:rPr>
              <w:t>ל</w:t>
            </w:r>
            <w:r w:rsidRPr="00AD29B0">
              <w:rPr>
                <w:rFonts w:ascii="Tahoma" w:hAnsi="Tahoma" w:cs="Tahoma"/>
                <w:sz w:val="19"/>
                <w:szCs w:val="19"/>
                <w:rtl/>
              </w:rPr>
              <w:t>גבי אוכלוסיות עם צרכים מיוחדים. כדי להבטיח מתן סיוע לכמה שיותר נזקקים מקרב המפונים, מומלץ שמשרד הרווחה - בשיתוף הרשויות המ</w:t>
            </w:r>
            <w:r>
              <w:rPr>
                <w:rFonts w:ascii="Tahoma" w:hAnsi="Tahoma" w:cs="Tahoma" w:hint="cs"/>
                <w:sz w:val="19"/>
                <w:szCs w:val="19"/>
                <w:rtl/>
              </w:rPr>
              <w:t xml:space="preserve">קומיות - יגבש בהתאם </w:t>
            </w:r>
            <w:r w:rsidRPr="00AD29B0">
              <w:rPr>
                <w:rFonts w:ascii="Tahoma" w:hAnsi="Tahoma" w:cs="Tahoma"/>
                <w:sz w:val="19"/>
                <w:szCs w:val="19"/>
                <w:rtl/>
              </w:rPr>
              <w:t>להוראות חוק הגנת הפרטיות מנגנון שיאפשר לרשויות קולטות לקבל נתונים רלוונטיים על המפונים לתחומן באמצעות הכספת.</w:t>
            </w:r>
          </w:p>
          <w:p w:rsidR="00A356FE" w:rsidRDefault="00A356FE" w:rsidP="00452920">
            <w:pPr>
              <w:pStyle w:val="af2"/>
              <w:numPr>
                <w:ilvl w:val="0"/>
                <w:numId w:val="12"/>
              </w:numPr>
              <w:spacing w:before="120" w:after="240" w:line="288" w:lineRule="auto"/>
              <w:ind w:left="739" w:right="456" w:hanging="611"/>
              <w:contextualSpacing w:val="0"/>
              <w:rPr>
                <w:rFonts w:ascii="Tahoma" w:hAnsi="Tahoma" w:cs="Tahoma"/>
                <w:sz w:val="19"/>
                <w:szCs w:val="19"/>
              </w:rPr>
            </w:pPr>
            <w:r w:rsidRPr="00CD4B2B">
              <w:rPr>
                <w:rFonts w:ascii="Tahoma" w:hAnsi="Tahoma" w:cs="Tahoma" w:hint="cs"/>
                <w:sz w:val="19"/>
                <w:szCs w:val="19"/>
                <w:rtl/>
              </w:rPr>
              <w:t xml:space="preserve">על משרד הרווחה, בשיתוף מחלקות הרווחה ברשויות המקומיות, </w:t>
            </w:r>
            <w:r>
              <w:rPr>
                <w:rFonts w:ascii="Tahoma" w:hAnsi="Tahoma" w:cs="Tahoma" w:hint="cs"/>
                <w:sz w:val="19"/>
                <w:szCs w:val="19"/>
                <w:rtl/>
              </w:rPr>
              <w:t xml:space="preserve">להכין </w:t>
            </w:r>
            <w:r w:rsidRPr="00CD4B2B">
              <w:rPr>
                <w:rFonts w:ascii="Tahoma" w:hAnsi="Tahoma" w:cs="Tahoma" w:hint="cs"/>
                <w:sz w:val="19"/>
                <w:szCs w:val="19"/>
                <w:rtl/>
              </w:rPr>
              <w:t xml:space="preserve">תוכנית שתאפשר הפעלה מיידית של </w:t>
            </w:r>
            <w:r>
              <w:rPr>
                <w:rFonts w:ascii="Tahoma" w:hAnsi="Tahoma" w:cs="Tahoma" w:hint="cs"/>
                <w:sz w:val="19"/>
                <w:szCs w:val="19"/>
                <w:rtl/>
              </w:rPr>
              <w:t xml:space="preserve">מערך </w:t>
            </w:r>
            <w:r w:rsidRPr="00CD4B2B">
              <w:rPr>
                <w:rFonts w:ascii="Tahoma" w:hAnsi="Tahoma" w:cs="Tahoma" w:hint="cs"/>
                <w:sz w:val="19"/>
                <w:szCs w:val="19"/>
                <w:rtl/>
              </w:rPr>
              <w:t xml:space="preserve">מיפוי </w:t>
            </w:r>
            <w:r>
              <w:rPr>
                <w:rFonts w:ascii="Tahoma" w:hAnsi="Tahoma" w:cs="Tahoma" w:hint="cs"/>
                <w:sz w:val="19"/>
                <w:szCs w:val="19"/>
                <w:rtl/>
              </w:rPr>
              <w:t>ל</w:t>
            </w:r>
            <w:r w:rsidRPr="00CD4B2B">
              <w:rPr>
                <w:rFonts w:ascii="Tahoma" w:hAnsi="Tahoma" w:cs="Tahoma" w:hint="cs"/>
                <w:sz w:val="19"/>
                <w:szCs w:val="19"/>
                <w:rtl/>
              </w:rPr>
              <w:t>אוכלוסייה ש</w:t>
            </w:r>
            <w:r>
              <w:rPr>
                <w:rFonts w:ascii="Tahoma" w:hAnsi="Tahoma" w:cs="Tahoma" w:hint="cs"/>
                <w:sz w:val="19"/>
                <w:szCs w:val="19"/>
                <w:rtl/>
              </w:rPr>
              <w:t>תפונ</w:t>
            </w:r>
            <w:r w:rsidRPr="00CD4B2B">
              <w:rPr>
                <w:rFonts w:ascii="Tahoma" w:hAnsi="Tahoma" w:cs="Tahoma" w:hint="cs"/>
                <w:sz w:val="19"/>
                <w:szCs w:val="19"/>
                <w:rtl/>
              </w:rPr>
              <w:t>ה לתחומיהן, ותקבע עקרונות ותהליכי עבודה שיבטיחו איתור מהיר של אוכלוסייה נזקקת</w:t>
            </w:r>
            <w:r>
              <w:rPr>
                <w:rFonts w:ascii="Tahoma" w:hAnsi="Tahoma" w:cs="Tahoma" w:hint="cs"/>
                <w:sz w:val="19"/>
                <w:szCs w:val="19"/>
                <w:rtl/>
              </w:rPr>
              <w:t xml:space="preserve"> בשעת חירום,</w:t>
            </w:r>
            <w:r w:rsidRPr="00CD4B2B">
              <w:rPr>
                <w:rFonts w:ascii="Tahoma" w:hAnsi="Tahoma" w:cs="Tahoma" w:hint="cs"/>
                <w:sz w:val="19"/>
                <w:szCs w:val="19"/>
                <w:rtl/>
              </w:rPr>
              <w:t xml:space="preserve"> ובעיקר אוכלוסייה בסיכון. כמו כן, </w:t>
            </w:r>
            <w:r w:rsidRPr="00CD4B2B">
              <w:rPr>
                <w:rFonts w:ascii="Tahoma" w:hAnsi="Tahoma" w:cs="Tahoma"/>
                <w:sz w:val="19"/>
                <w:szCs w:val="19"/>
                <w:rtl/>
              </w:rPr>
              <w:t xml:space="preserve">על משרד הרווחה, בשיתוף פעולה עם משרד הפנים האמון על קליטת אוכלוסייה מפונה עקב מצב חירום, להסדיר את תחומי האחריות </w:t>
            </w:r>
            <w:r>
              <w:rPr>
                <w:rFonts w:ascii="Tahoma" w:hAnsi="Tahoma" w:cs="Tahoma" w:hint="cs"/>
                <w:sz w:val="19"/>
                <w:szCs w:val="19"/>
                <w:rtl/>
              </w:rPr>
              <w:t xml:space="preserve">והמנגנון </w:t>
            </w:r>
            <w:r w:rsidRPr="00CD4B2B">
              <w:rPr>
                <w:rFonts w:ascii="Tahoma" w:hAnsi="Tahoma" w:cs="Tahoma"/>
                <w:sz w:val="19"/>
                <w:szCs w:val="19"/>
                <w:rtl/>
              </w:rPr>
              <w:t xml:space="preserve">לאיתור ולאבחון של קבוצות אוכלוסייה </w:t>
            </w:r>
            <w:r>
              <w:rPr>
                <w:rFonts w:ascii="Tahoma" w:hAnsi="Tahoma" w:cs="Tahoma" w:hint="cs"/>
                <w:sz w:val="19"/>
                <w:szCs w:val="19"/>
                <w:rtl/>
              </w:rPr>
              <w:t xml:space="preserve">מבין המפונים הזקוקים </w:t>
            </w:r>
            <w:r w:rsidRPr="00CD4B2B">
              <w:rPr>
                <w:rFonts w:ascii="Tahoma" w:hAnsi="Tahoma" w:cs="Tahoma"/>
                <w:sz w:val="19"/>
                <w:szCs w:val="19"/>
                <w:rtl/>
              </w:rPr>
              <w:t>לסיוע מיוחד</w:t>
            </w:r>
            <w:r>
              <w:rPr>
                <w:rFonts w:ascii="Tahoma" w:hAnsi="Tahoma" w:cs="Tahoma" w:hint="cs"/>
                <w:sz w:val="19"/>
                <w:szCs w:val="19"/>
                <w:rtl/>
              </w:rPr>
              <w:t>, ואינם נכללים במאגרי המידע שהוסדרו מראש, או שאין בידי הרשות הקולטת לקבל מידע אודותיהם, כך שלא יה</w:t>
            </w:r>
            <w:r w:rsidRPr="00CD4B2B">
              <w:rPr>
                <w:rFonts w:ascii="Tahoma" w:hAnsi="Tahoma" w:cs="Tahoma"/>
                <w:sz w:val="19"/>
                <w:szCs w:val="19"/>
                <w:rtl/>
              </w:rPr>
              <w:t>יו מפונים עם צרכים מיוחדים או בעיות ייחודיות שאינם מקבלים מענה הולם לצורכיהם, ולעקוב אחר מימוש</w:t>
            </w:r>
            <w:r>
              <w:rPr>
                <w:rFonts w:ascii="Tahoma" w:hAnsi="Tahoma" w:cs="Tahoma" w:hint="cs"/>
                <w:sz w:val="19"/>
                <w:szCs w:val="19"/>
                <w:rtl/>
              </w:rPr>
              <w:t xml:space="preserve"> הסדרה ז</w:t>
            </w:r>
            <w:r w:rsidRPr="00CD4B2B">
              <w:rPr>
                <w:rFonts w:ascii="Tahoma" w:hAnsi="Tahoma" w:cs="Tahoma"/>
                <w:sz w:val="19"/>
                <w:szCs w:val="19"/>
                <w:rtl/>
              </w:rPr>
              <w:t>ו.</w:t>
            </w:r>
          </w:p>
          <w:p w:rsidR="00A356FE" w:rsidRDefault="00A356FE" w:rsidP="00452920">
            <w:pPr>
              <w:pStyle w:val="af2"/>
              <w:numPr>
                <w:ilvl w:val="0"/>
                <w:numId w:val="12"/>
              </w:numPr>
              <w:spacing w:before="120" w:after="240" w:line="288" w:lineRule="auto"/>
              <w:ind w:left="739" w:right="456" w:hanging="611"/>
              <w:contextualSpacing w:val="0"/>
              <w:rPr>
                <w:rFonts w:ascii="Tahoma" w:hAnsi="Tahoma" w:cs="Tahoma"/>
                <w:sz w:val="19"/>
                <w:szCs w:val="19"/>
              </w:rPr>
            </w:pPr>
            <w:r w:rsidRPr="00C13995">
              <w:rPr>
                <w:rFonts w:ascii="Tahoma" w:hAnsi="Tahoma" w:cs="Tahoma"/>
                <w:sz w:val="19"/>
                <w:szCs w:val="19"/>
                <w:rtl/>
              </w:rPr>
              <w:t>בצד פעילותן הראויה לציון</w:t>
            </w:r>
            <w:r>
              <w:rPr>
                <w:rFonts w:ascii="Tahoma" w:hAnsi="Tahoma" w:cs="Tahoma" w:hint="cs"/>
                <w:sz w:val="19"/>
                <w:szCs w:val="19"/>
                <w:rtl/>
              </w:rPr>
              <w:t xml:space="preserve"> של הרשויות הקולטות</w:t>
            </w:r>
            <w:r w:rsidRPr="00C13995">
              <w:rPr>
                <w:rFonts w:ascii="Tahoma" w:hAnsi="Tahoma" w:cs="Tahoma"/>
                <w:sz w:val="19"/>
                <w:szCs w:val="19"/>
                <w:rtl/>
              </w:rPr>
              <w:t xml:space="preserve">, מומלץ </w:t>
            </w:r>
            <w:r>
              <w:rPr>
                <w:rFonts w:ascii="Tahoma" w:hAnsi="Tahoma" w:cs="Tahoma" w:hint="cs"/>
                <w:sz w:val="19"/>
                <w:szCs w:val="19"/>
                <w:rtl/>
              </w:rPr>
              <w:t xml:space="preserve">כי יתעדו גם בשעת חירום </w:t>
            </w:r>
            <w:r w:rsidRPr="00C13995">
              <w:rPr>
                <w:rFonts w:ascii="Tahoma" w:hAnsi="Tahoma" w:cs="Tahoma"/>
                <w:sz w:val="19"/>
                <w:szCs w:val="19"/>
                <w:rtl/>
              </w:rPr>
              <w:t xml:space="preserve">את תוצאות האיתור </w:t>
            </w:r>
            <w:r>
              <w:rPr>
                <w:rFonts w:ascii="Tahoma" w:hAnsi="Tahoma" w:cs="Tahoma" w:hint="cs"/>
                <w:sz w:val="19"/>
                <w:szCs w:val="19"/>
                <w:rtl/>
              </w:rPr>
              <w:t xml:space="preserve">שעשו </w:t>
            </w:r>
            <w:r w:rsidRPr="00C13995">
              <w:rPr>
                <w:rFonts w:ascii="Tahoma" w:hAnsi="Tahoma" w:cs="Tahoma"/>
                <w:sz w:val="19"/>
                <w:szCs w:val="19"/>
                <w:rtl/>
              </w:rPr>
              <w:t xml:space="preserve">לגבי אוכלוסייה הנזקקת לסיוע מיוחד, כדי לאפשר למטופלים טיפול רציף. יש חשיבות יתרה </w:t>
            </w:r>
            <w:r>
              <w:rPr>
                <w:rFonts w:ascii="Tahoma" w:hAnsi="Tahoma" w:cs="Tahoma" w:hint="cs"/>
                <w:sz w:val="19"/>
                <w:szCs w:val="19"/>
                <w:rtl/>
              </w:rPr>
              <w:t xml:space="preserve">לתיעוד, שכן </w:t>
            </w:r>
            <w:r w:rsidRPr="00C13995">
              <w:rPr>
                <w:rFonts w:ascii="Tahoma" w:hAnsi="Tahoma" w:cs="Tahoma"/>
                <w:sz w:val="19"/>
                <w:szCs w:val="19"/>
                <w:rtl/>
              </w:rPr>
              <w:t xml:space="preserve">סביר להניח כי לפחות חלק מהמפונים </w:t>
            </w:r>
            <w:r>
              <w:rPr>
                <w:rFonts w:ascii="Tahoma" w:hAnsi="Tahoma" w:cs="Tahoma" w:hint="cs"/>
                <w:sz w:val="19"/>
                <w:szCs w:val="19"/>
                <w:rtl/>
              </w:rPr>
              <w:t>שלא היו מוכרים קודם לכן לגורמים המטפלים במקומות מגוריהם, עשויים לה</w:t>
            </w:r>
            <w:r w:rsidR="00435B1B">
              <w:rPr>
                <w:rFonts w:ascii="Tahoma" w:hAnsi="Tahoma" w:cs="Tahoma" w:hint="cs"/>
                <w:sz w:val="19"/>
                <w:szCs w:val="19"/>
                <w:rtl/>
              </w:rPr>
              <w:t>יז</w:t>
            </w:r>
            <w:r>
              <w:rPr>
                <w:rFonts w:ascii="Tahoma" w:hAnsi="Tahoma" w:cs="Tahoma" w:hint="cs"/>
                <w:sz w:val="19"/>
                <w:szCs w:val="19"/>
                <w:rtl/>
              </w:rPr>
              <w:t>קק לטיפול בעקבות החוויות הקשות והטראומה שעברו</w:t>
            </w:r>
            <w:r w:rsidRPr="00C13995">
              <w:rPr>
                <w:rFonts w:ascii="Tahoma" w:hAnsi="Tahoma" w:cs="Tahoma"/>
                <w:sz w:val="19"/>
                <w:szCs w:val="19"/>
                <w:rtl/>
              </w:rPr>
              <w:t>.</w:t>
            </w:r>
          </w:p>
          <w:p w:rsidR="00452920" w:rsidRPr="00452920" w:rsidRDefault="00452920" w:rsidP="00452920">
            <w:pPr>
              <w:pStyle w:val="af2"/>
              <w:spacing w:before="120" w:line="288" w:lineRule="auto"/>
              <w:ind w:left="737" w:right="454" w:hanging="611"/>
              <w:contextualSpacing w:val="0"/>
              <w:rPr>
                <w:rFonts w:ascii="Tahoma" w:hAnsi="Tahoma" w:cs="Tahoma"/>
                <w:sz w:val="11"/>
                <w:szCs w:val="11"/>
              </w:rPr>
            </w:pPr>
          </w:p>
          <w:p w:rsidR="00452920" w:rsidRPr="00452920" w:rsidRDefault="00452920" w:rsidP="00452920">
            <w:pPr>
              <w:pStyle w:val="af2"/>
              <w:spacing w:before="120" w:after="240" w:line="288" w:lineRule="auto"/>
              <w:ind w:left="739" w:right="456" w:hanging="611"/>
              <w:contextualSpacing w:val="0"/>
              <w:rPr>
                <w:rFonts w:ascii="Tahoma" w:hAnsi="Tahoma" w:cs="Tahoma"/>
                <w:sz w:val="7"/>
                <w:szCs w:val="7"/>
                <w:rtl/>
              </w:rPr>
            </w:pPr>
          </w:p>
          <w:p w:rsidR="00A356FE" w:rsidRDefault="00A356FE" w:rsidP="00452920">
            <w:pPr>
              <w:pStyle w:val="af2"/>
              <w:numPr>
                <w:ilvl w:val="0"/>
                <w:numId w:val="12"/>
              </w:numPr>
              <w:spacing w:before="120" w:after="240" w:line="288" w:lineRule="auto"/>
              <w:ind w:left="739" w:right="456" w:hanging="611"/>
              <w:contextualSpacing w:val="0"/>
              <w:rPr>
                <w:rFonts w:ascii="Tahoma" w:hAnsi="Tahoma" w:cs="Tahoma"/>
                <w:sz w:val="19"/>
                <w:szCs w:val="19"/>
              </w:rPr>
            </w:pPr>
            <w:r>
              <w:rPr>
                <w:rFonts w:ascii="Tahoma" w:hAnsi="Tahoma" w:cs="Tahoma" w:hint="cs"/>
                <w:sz w:val="19"/>
                <w:szCs w:val="19"/>
                <w:rtl/>
              </w:rPr>
              <w:t xml:space="preserve">על משרד הרווחה להכין, בשיתוף מחלקות הרווחה ברשויות המקומיות, תוכניות רווחה ייעודיות לקליטה בשעת חירום לשם מתן מענה טיפולי מיידי על ידי הרשות הקולטת לאוכלוסייה נזקקת שפונתה לתחום היישוב, ובכלל זה מענה למצבי דחק וטראומה הכרוכים בפינוי, להקצות את המשאבים הנדרשים לכך ולעקוב אחר יישומן של התוכניות. </w:t>
            </w:r>
          </w:p>
          <w:p w:rsidR="00A356FE" w:rsidRDefault="00A356FE" w:rsidP="00452920">
            <w:pPr>
              <w:pStyle w:val="af2"/>
              <w:numPr>
                <w:ilvl w:val="0"/>
                <w:numId w:val="12"/>
              </w:numPr>
              <w:spacing w:before="120" w:after="240" w:line="288" w:lineRule="auto"/>
              <w:ind w:left="739" w:right="456" w:hanging="611"/>
              <w:contextualSpacing w:val="0"/>
              <w:rPr>
                <w:rFonts w:ascii="Tahoma" w:hAnsi="Tahoma" w:cs="Tahoma"/>
                <w:sz w:val="19"/>
                <w:szCs w:val="19"/>
              </w:rPr>
            </w:pPr>
            <w:r>
              <w:rPr>
                <w:rFonts w:ascii="Tahoma" w:hAnsi="Tahoma" w:cs="Tahoma" w:hint="cs"/>
                <w:sz w:val="19"/>
                <w:szCs w:val="19"/>
                <w:rtl/>
              </w:rPr>
              <w:t>על הרשויות המקומיות ומשרדי הממשלה - בדגש על משרדי הרווחה והבריאות</w:t>
            </w:r>
            <w:r>
              <w:rPr>
                <w:rStyle w:val="af1"/>
                <w:rFonts w:ascii="Tahoma" w:hAnsi="Tahoma" w:cs="Tahoma"/>
                <w:sz w:val="19"/>
                <w:szCs w:val="19"/>
                <w:rtl/>
              </w:rPr>
              <w:footnoteReference w:id="2"/>
            </w:r>
            <w:r>
              <w:rPr>
                <w:rFonts w:ascii="Tahoma" w:hAnsi="Tahoma" w:cs="Tahoma" w:hint="cs"/>
                <w:sz w:val="19"/>
                <w:szCs w:val="19"/>
                <w:rtl/>
              </w:rPr>
              <w:t xml:space="preserve"> - לפעול להרחבת מעגל גורמי הטיפול לצורך הסדרה ואספקה של מענים בתחום זה, ככל שיידרשו בעקבות מתקפת הטרור בשבעה באוקטובר והשלכות מלחמת חרבות ברזל על המפונים בפרט, ועל האוכלוסייה במדינה בכלל. </w:t>
            </w:r>
          </w:p>
          <w:p w:rsidR="00A356FE" w:rsidRPr="000A57EB" w:rsidRDefault="00A356FE" w:rsidP="00452920">
            <w:pPr>
              <w:pStyle w:val="af2"/>
              <w:numPr>
                <w:ilvl w:val="0"/>
                <w:numId w:val="12"/>
              </w:numPr>
              <w:spacing w:before="120" w:after="240" w:line="288" w:lineRule="auto"/>
              <w:ind w:left="739" w:right="456" w:hanging="611"/>
              <w:contextualSpacing w:val="0"/>
              <w:rPr>
                <w:rFonts w:ascii="Tahoma" w:hAnsi="Tahoma" w:cs="Tahoma"/>
                <w:sz w:val="19"/>
                <w:szCs w:val="19"/>
              </w:rPr>
            </w:pPr>
            <w:r>
              <w:rPr>
                <w:rFonts w:ascii="Tahoma" w:hAnsi="Tahoma" w:cs="Tahoma" w:hint="cs"/>
                <w:sz w:val="19"/>
                <w:szCs w:val="19"/>
                <w:rtl/>
              </w:rPr>
              <w:t>על משרדי הרווחה והבריאות להפיק לקחים ולהכין, בשיתוף הרשויות המקומיות, תוכנית היערכות מתאימה לשעת חירום, שתסדיר את מתן המענה הטיפולי והרגשי למפונים.</w:t>
            </w:r>
            <w:r w:rsidRPr="000A57EB">
              <w:rPr>
                <w:rFonts w:ascii="Tahoma" w:hAnsi="Tahoma" w:cs="Tahoma"/>
                <w:sz w:val="19"/>
                <w:szCs w:val="19"/>
                <w:rtl/>
              </w:rPr>
              <w:t xml:space="preserve"> מומלץ כי משרד הרווחה - בשיתוף מערכת הבריאות - יפעל לגיבוש תוכנית למתן מענה טיפולי ונפשי בשעת חירום, ויקבע את המנגנון לאספקת מענים אלו בשיתוף פעולה ובתיאום עם הרשויות הקולטות, </w:t>
            </w:r>
            <w:r>
              <w:rPr>
                <w:rFonts w:ascii="Tahoma" w:hAnsi="Tahoma" w:cs="Tahoma" w:hint="cs"/>
                <w:sz w:val="19"/>
                <w:szCs w:val="19"/>
                <w:rtl/>
              </w:rPr>
              <w:t>כדי</w:t>
            </w:r>
            <w:r w:rsidRPr="000A57EB">
              <w:rPr>
                <w:rFonts w:ascii="Tahoma" w:hAnsi="Tahoma" w:cs="Tahoma"/>
                <w:sz w:val="19"/>
                <w:szCs w:val="19"/>
                <w:rtl/>
              </w:rPr>
              <w:t xml:space="preserve"> להבטיח כי המפונים יקבלו את המענים </w:t>
            </w:r>
            <w:r>
              <w:rPr>
                <w:rFonts w:ascii="Tahoma" w:hAnsi="Tahoma" w:cs="Tahoma" w:hint="cs"/>
                <w:sz w:val="19"/>
                <w:szCs w:val="19"/>
                <w:rtl/>
              </w:rPr>
              <w:t>ש</w:t>
            </w:r>
            <w:r w:rsidRPr="000A57EB">
              <w:rPr>
                <w:rFonts w:ascii="Tahoma" w:hAnsi="Tahoma" w:cs="Tahoma"/>
                <w:sz w:val="19"/>
                <w:szCs w:val="19"/>
                <w:rtl/>
              </w:rPr>
              <w:t xml:space="preserve">הם נזקקים להם ללא שיהוי. </w:t>
            </w:r>
          </w:p>
          <w:p w:rsidR="00A356FE" w:rsidRDefault="00A356FE" w:rsidP="00452920">
            <w:pPr>
              <w:pStyle w:val="af2"/>
              <w:numPr>
                <w:ilvl w:val="0"/>
                <w:numId w:val="12"/>
              </w:numPr>
              <w:spacing w:before="120" w:after="240" w:line="288" w:lineRule="auto"/>
              <w:ind w:left="739" w:right="456" w:hanging="611"/>
              <w:contextualSpacing w:val="0"/>
              <w:rPr>
                <w:rFonts w:ascii="Tahoma" w:hAnsi="Tahoma" w:cs="Tahoma"/>
                <w:sz w:val="19"/>
                <w:szCs w:val="19"/>
              </w:rPr>
            </w:pPr>
            <w:r w:rsidRPr="001377A1">
              <w:rPr>
                <w:rFonts w:ascii="Tahoma" w:hAnsi="Tahoma" w:cs="Tahoma"/>
                <w:sz w:val="19"/>
                <w:szCs w:val="19"/>
                <w:rtl/>
              </w:rPr>
              <w:t>על משרד הרווחה</w:t>
            </w:r>
            <w:r>
              <w:rPr>
                <w:rFonts w:ascii="Tahoma" w:hAnsi="Tahoma" w:cs="Tahoma" w:hint="cs"/>
                <w:sz w:val="19"/>
                <w:szCs w:val="19"/>
                <w:rtl/>
              </w:rPr>
              <w:t>,</w:t>
            </w:r>
            <w:r w:rsidRPr="001377A1">
              <w:rPr>
                <w:rFonts w:ascii="Tahoma" w:hAnsi="Tahoma" w:cs="Tahoma"/>
                <w:sz w:val="19"/>
                <w:szCs w:val="19"/>
                <w:rtl/>
              </w:rPr>
              <w:t xml:space="preserve"> בשיתוף הרשויות המקומיות</w:t>
            </w:r>
            <w:r>
              <w:rPr>
                <w:rFonts w:ascii="Tahoma" w:hAnsi="Tahoma" w:cs="Tahoma" w:hint="cs"/>
                <w:sz w:val="19"/>
                <w:szCs w:val="19"/>
                <w:rtl/>
              </w:rPr>
              <w:t>,</w:t>
            </w:r>
            <w:r w:rsidRPr="001377A1">
              <w:rPr>
                <w:rFonts w:ascii="Tahoma" w:hAnsi="Tahoma" w:cs="Tahoma"/>
                <w:sz w:val="19"/>
                <w:szCs w:val="19"/>
                <w:rtl/>
              </w:rPr>
              <w:t xml:space="preserve"> לבחון את מכלול ההיבטים של מתן שירותי הרווחה במהלך המלחמה</w:t>
            </w:r>
            <w:r>
              <w:rPr>
                <w:rFonts w:ascii="Tahoma" w:hAnsi="Tahoma" w:cs="Tahoma" w:hint="cs"/>
                <w:sz w:val="19"/>
                <w:szCs w:val="19"/>
                <w:rtl/>
              </w:rPr>
              <w:t>,</w:t>
            </w:r>
            <w:r w:rsidRPr="001377A1">
              <w:rPr>
                <w:rFonts w:ascii="Tahoma" w:hAnsi="Tahoma" w:cs="Tahoma"/>
                <w:sz w:val="19"/>
                <w:szCs w:val="19"/>
                <w:rtl/>
              </w:rPr>
              <w:t xml:space="preserve"> </w:t>
            </w:r>
            <w:r>
              <w:rPr>
                <w:rFonts w:ascii="Tahoma" w:hAnsi="Tahoma" w:cs="Tahoma" w:hint="cs"/>
                <w:sz w:val="19"/>
                <w:szCs w:val="19"/>
                <w:rtl/>
              </w:rPr>
              <w:t>ובייחוד</w:t>
            </w:r>
            <w:r w:rsidRPr="001377A1">
              <w:rPr>
                <w:rFonts w:ascii="Tahoma" w:hAnsi="Tahoma" w:cs="Tahoma"/>
                <w:sz w:val="19"/>
                <w:szCs w:val="19"/>
                <w:rtl/>
              </w:rPr>
              <w:t xml:space="preserve"> בשלביה הראשונים</w:t>
            </w:r>
            <w:r>
              <w:rPr>
                <w:rFonts w:ascii="Tahoma" w:hAnsi="Tahoma" w:cs="Tahoma" w:hint="cs"/>
                <w:sz w:val="19"/>
                <w:szCs w:val="19"/>
                <w:rtl/>
              </w:rPr>
              <w:t>;</w:t>
            </w:r>
            <w:r w:rsidRPr="001377A1">
              <w:rPr>
                <w:rFonts w:ascii="Tahoma" w:hAnsi="Tahoma" w:cs="Tahoma"/>
                <w:sz w:val="19"/>
                <w:szCs w:val="19"/>
                <w:rtl/>
              </w:rPr>
              <w:t xml:space="preserve"> להפיק לקחים מתוך ראייה כוללת</w:t>
            </w:r>
            <w:r>
              <w:rPr>
                <w:rFonts w:ascii="Tahoma" w:hAnsi="Tahoma" w:cs="Tahoma" w:hint="cs"/>
                <w:sz w:val="19"/>
                <w:szCs w:val="19"/>
                <w:rtl/>
              </w:rPr>
              <w:t xml:space="preserve"> בייחוד</w:t>
            </w:r>
            <w:r w:rsidRPr="001377A1">
              <w:rPr>
                <w:rFonts w:ascii="Tahoma" w:hAnsi="Tahoma" w:cs="Tahoma"/>
                <w:sz w:val="19"/>
                <w:szCs w:val="19"/>
                <w:rtl/>
              </w:rPr>
              <w:t xml:space="preserve"> בהיבטים של מתן מענים בהיקף נרחב, עקב הגידול בצרכים</w:t>
            </w:r>
            <w:r>
              <w:rPr>
                <w:rFonts w:ascii="Tahoma" w:hAnsi="Tahoma" w:cs="Tahoma" w:hint="cs"/>
                <w:sz w:val="19"/>
                <w:szCs w:val="19"/>
                <w:rtl/>
              </w:rPr>
              <w:t xml:space="preserve">, </w:t>
            </w:r>
            <w:r w:rsidRPr="001377A1">
              <w:rPr>
                <w:rFonts w:ascii="Tahoma" w:hAnsi="Tahoma" w:cs="Tahoma"/>
                <w:sz w:val="19"/>
                <w:szCs w:val="19"/>
                <w:rtl/>
              </w:rPr>
              <w:t>השוני במאפיינים של היישובים והקהילות</w:t>
            </w:r>
            <w:r>
              <w:rPr>
                <w:rFonts w:ascii="Tahoma" w:hAnsi="Tahoma" w:cs="Tahoma" w:hint="cs"/>
                <w:sz w:val="19"/>
                <w:szCs w:val="19"/>
                <w:rtl/>
              </w:rPr>
              <w:t>,</w:t>
            </w:r>
            <w:r w:rsidRPr="001377A1">
              <w:rPr>
                <w:rFonts w:ascii="Tahoma" w:hAnsi="Tahoma" w:cs="Tahoma"/>
                <w:sz w:val="19"/>
                <w:szCs w:val="19"/>
                <w:rtl/>
              </w:rPr>
              <w:t xml:space="preserve"> סוגיית הקצאה </w:t>
            </w:r>
            <w:r>
              <w:rPr>
                <w:rFonts w:ascii="Tahoma" w:hAnsi="Tahoma" w:cs="Tahoma" w:hint="cs"/>
                <w:sz w:val="19"/>
                <w:szCs w:val="19"/>
                <w:rtl/>
              </w:rPr>
              <w:t xml:space="preserve">של תקנים בשעת חירום </w:t>
            </w:r>
            <w:r w:rsidRPr="001377A1">
              <w:rPr>
                <w:rFonts w:ascii="Tahoma" w:hAnsi="Tahoma" w:cs="Tahoma"/>
                <w:sz w:val="19"/>
                <w:szCs w:val="19"/>
                <w:rtl/>
              </w:rPr>
              <w:t>וקושי באיוש</w:t>
            </w:r>
            <w:r>
              <w:rPr>
                <w:rFonts w:ascii="Tahoma" w:hAnsi="Tahoma" w:cs="Tahoma" w:hint="cs"/>
                <w:sz w:val="19"/>
                <w:szCs w:val="19"/>
                <w:rtl/>
              </w:rPr>
              <w:t xml:space="preserve">ם; </w:t>
            </w:r>
            <w:r w:rsidRPr="001377A1">
              <w:rPr>
                <w:rFonts w:ascii="Tahoma" w:hAnsi="Tahoma" w:cs="Tahoma"/>
                <w:sz w:val="19"/>
                <w:szCs w:val="19"/>
                <w:rtl/>
              </w:rPr>
              <w:t>ו</w:t>
            </w:r>
            <w:r>
              <w:rPr>
                <w:rFonts w:ascii="Tahoma" w:hAnsi="Tahoma" w:cs="Tahoma" w:hint="cs"/>
                <w:sz w:val="19"/>
                <w:szCs w:val="19"/>
                <w:rtl/>
              </w:rPr>
              <w:t>לגבש</w:t>
            </w:r>
            <w:r w:rsidRPr="001377A1">
              <w:rPr>
                <w:rFonts w:ascii="Tahoma" w:hAnsi="Tahoma" w:cs="Tahoma"/>
                <w:sz w:val="19"/>
                <w:szCs w:val="19"/>
                <w:rtl/>
              </w:rPr>
              <w:t xml:space="preserve"> תוכניות למתן מענים בתחום הרווחה</w:t>
            </w:r>
            <w:r>
              <w:rPr>
                <w:rFonts w:ascii="Tahoma" w:hAnsi="Tahoma" w:cs="Tahoma" w:hint="cs"/>
                <w:sz w:val="19"/>
                <w:szCs w:val="19"/>
                <w:rtl/>
              </w:rPr>
              <w:t>,</w:t>
            </w:r>
            <w:r w:rsidRPr="001377A1">
              <w:rPr>
                <w:rFonts w:ascii="Tahoma" w:hAnsi="Tahoma" w:cs="Tahoma"/>
                <w:sz w:val="19"/>
                <w:szCs w:val="19"/>
                <w:rtl/>
              </w:rPr>
              <w:t xml:space="preserve"> גם במצבים של פינוי תושבים בהיקף נרחב ופיזורם </w:t>
            </w:r>
            <w:r>
              <w:rPr>
                <w:rFonts w:ascii="Tahoma" w:hAnsi="Tahoma" w:cs="Tahoma" w:hint="cs"/>
                <w:sz w:val="19"/>
                <w:szCs w:val="19"/>
                <w:rtl/>
              </w:rPr>
              <w:t xml:space="preserve">ככורח המציאות </w:t>
            </w:r>
            <w:r w:rsidRPr="001377A1">
              <w:rPr>
                <w:rFonts w:ascii="Tahoma" w:hAnsi="Tahoma" w:cs="Tahoma"/>
                <w:sz w:val="19"/>
                <w:szCs w:val="19"/>
                <w:rtl/>
              </w:rPr>
              <w:t>באתרים רבים.</w:t>
            </w:r>
          </w:p>
          <w:p w:rsidR="00A356FE" w:rsidRDefault="00A356FE" w:rsidP="00452920">
            <w:pPr>
              <w:pStyle w:val="af2"/>
              <w:numPr>
                <w:ilvl w:val="0"/>
                <w:numId w:val="12"/>
              </w:numPr>
              <w:spacing w:before="120" w:after="240" w:line="288" w:lineRule="auto"/>
              <w:ind w:left="739" w:right="456" w:hanging="611"/>
              <w:contextualSpacing w:val="0"/>
              <w:rPr>
                <w:rFonts w:ascii="Tahoma" w:hAnsi="Tahoma" w:cs="Tahoma"/>
                <w:sz w:val="19"/>
                <w:szCs w:val="19"/>
              </w:rPr>
            </w:pPr>
            <w:r w:rsidRPr="00475BA8">
              <w:rPr>
                <w:rFonts w:ascii="Tahoma" w:hAnsi="Tahoma" w:cs="Tahoma" w:hint="cs"/>
                <w:sz w:val="19"/>
                <w:szCs w:val="19"/>
                <w:rtl/>
              </w:rPr>
              <w:t xml:space="preserve">על </w:t>
            </w:r>
            <w:r>
              <w:rPr>
                <w:rFonts w:ascii="Tahoma" w:hAnsi="Tahoma" w:cs="Tahoma" w:hint="cs"/>
                <w:sz w:val="19"/>
                <w:szCs w:val="19"/>
                <w:rtl/>
              </w:rPr>
              <w:t xml:space="preserve">משרדי הממשלה והרשויות המקומיות </w:t>
            </w:r>
            <w:r w:rsidRPr="00475BA8">
              <w:rPr>
                <w:rFonts w:ascii="Tahoma" w:hAnsi="Tahoma" w:cs="Tahoma" w:hint="cs"/>
                <w:sz w:val="19"/>
                <w:szCs w:val="19"/>
                <w:rtl/>
              </w:rPr>
              <w:t>לפתח מענים שיביאו בחשבון צרכים ש</w:t>
            </w:r>
            <w:r>
              <w:rPr>
                <w:rFonts w:ascii="Tahoma" w:hAnsi="Tahoma" w:cs="Tahoma" w:hint="cs"/>
                <w:sz w:val="19"/>
                <w:szCs w:val="19"/>
                <w:rtl/>
              </w:rPr>
              <w:t xml:space="preserve">היו קיימים </w:t>
            </w:r>
            <w:r w:rsidRPr="00475BA8">
              <w:rPr>
                <w:rFonts w:ascii="Tahoma" w:hAnsi="Tahoma" w:cs="Tahoma" w:hint="cs"/>
                <w:sz w:val="19"/>
                <w:szCs w:val="19"/>
                <w:rtl/>
              </w:rPr>
              <w:t>בעת שגרה והוחרפו, וצרכים חדשים שנוספו עקב מתקפת ה</w:t>
            </w:r>
            <w:r>
              <w:rPr>
                <w:rFonts w:ascii="Tahoma" w:hAnsi="Tahoma" w:cs="Tahoma" w:hint="cs"/>
                <w:sz w:val="19"/>
                <w:szCs w:val="19"/>
                <w:rtl/>
              </w:rPr>
              <w:t>טרור</w:t>
            </w:r>
            <w:r w:rsidRPr="00475BA8">
              <w:rPr>
                <w:rFonts w:ascii="Tahoma" w:hAnsi="Tahoma" w:cs="Tahoma" w:hint="cs"/>
                <w:sz w:val="19"/>
                <w:szCs w:val="19"/>
                <w:rtl/>
              </w:rPr>
              <w:t xml:space="preserve"> בשבעה באוקטובר, המלחמה והפינוי המתמשך. על משרד הרווחה, בשיתוף הרשויות המקומיות שטרם עשו כן, למפות את הצרכים</w:t>
            </w:r>
            <w:r>
              <w:rPr>
                <w:rFonts w:ascii="Tahoma" w:hAnsi="Tahoma" w:cs="Tahoma" w:hint="cs"/>
                <w:sz w:val="19"/>
                <w:szCs w:val="19"/>
                <w:rtl/>
              </w:rPr>
              <w:t>,</w:t>
            </w:r>
            <w:r w:rsidRPr="00475BA8">
              <w:rPr>
                <w:rFonts w:ascii="Tahoma" w:hAnsi="Tahoma" w:cs="Tahoma" w:hint="cs"/>
                <w:sz w:val="19"/>
                <w:szCs w:val="19"/>
                <w:rtl/>
              </w:rPr>
              <w:t xml:space="preserve"> בקרב המפונים השבים הביתה וגם בקרב אלו שבחרו שלא לשוב בשלב זה, ולהכין תוכנית תמיכה וסיוע מקיפ</w:t>
            </w:r>
            <w:r>
              <w:rPr>
                <w:rFonts w:ascii="Tahoma" w:hAnsi="Tahoma" w:cs="Tahoma" w:hint="cs"/>
                <w:sz w:val="19"/>
                <w:szCs w:val="19"/>
                <w:rtl/>
              </w:rPr>
              <w:t>ה</w:t>
            </w:r>
            <w:r w:rsidRPr="00475BA8">
              <w:rPr>
                <w:rFonts w:ascii="Tahoma" w:hAnsi="Tahoma" w:cs="Tahoma" w:hint="cs"/>
                <w:sz w:val="19"/>
                <w:szCs w:val="19"/>
                <w:rtl/>
              </w:rPr>
              <w:t xml:space="preserve"> כדי להבטיח מענה רווחתי ותמיכה נפשית לנזקקים ולאלו שמצבם הורע בשל המלחמה והפינוי הממושך. יש לתת את הדעת על הצורך בהנגשת השירותים ובחיזוק המנגנונים שיאפשרו מיצוי זכויות בקרב המפונים. </w:t>
            </w:r>
          </w:p>
          <w:p w:rsidR="00452920" w:rsidRPr="00452920" w:rsidRDefault="00452920" w:rsidP="00452920">
            <w:pPr>
              <w:pStyle w:val="af2"/>
              <w:spacing w:before="120" w:line="288" w:lineRule="auto"/>
              <w:ind w:left="737" w:right="454" w:hanging="611"/>
              <w:contextualSpacing w:val="0"/>
              <w:rPr>
                <w:rFonts w:ascii="Tahoma" w:hAnsi="Tahoma" w:cs="Tahoma"/>
                <w:sz w:val="9"/>
                <w:szCs w:val="9"/>
              </w:rPr>
            </w:pPr>
          </w:p>
          <w:p w:rsidR="00452920" w:rsidRPr="00452920" w:rsidRDefault="00452920" w:rsidP="00452920">
            <w:pPr>
              <w:pStyle w:val="af2"/>
              <w:keepNext/>
              <w:keepLines/>
              <w:widowControl w:val="0"/>
              <w:spacing w:before="120" w:after="120" w:line="288" w:lineRule="auto"/>
              <w:ind w:left="737" w:right="454" w:hanging="611"/>
              <w:contextualSpacing w:val="0"/>
              <w:rPr>
                <w:rFonts w:ascii="Tahoma" w:hAnsi="Tahoma" w:cs="Tahoma"/>
                <w:sz w:val="13"/>
                <w:szCs w:val="13"/>
                <w:rtl/>
              </w:rPr>
            </w:pPr>
          </w:p>
          <w:p w:rsidR="00A356FE" w:rsidRDefault="00A356FE" w:rsidP="00452920">
            <w:pPr>
              <w:pStyle w:val="af2"/>
              <w:keepNext/>
              <w:keepLines/>
              <w:widowControl w:val="0"/>
              <w:numPr>
                <w:ilvl w:val="0"/>
                <w:numId w:val="12"/>
              </w:numPr>
              <w:spacing w:before="120" w:after="240" w:line="288" w:lineRule="auto"/>
              <w:ind w:left="739" w:right="456" w:hanging="611"/>
              <w:contextualSpacing w:val="0"/>
              <w:rPr>
                <w:rFonts w:ascii="Tahoma" w:hAnsi="Tahoma" w:cs="Tahoma"/>
                <w:sz w:val="19"/>
                <w:szCs w:val="19"/>
              </w:rPr>
            </w:pPr>
            <w:r>
              <w:rPr>
                <w:rFonts w:ascii="Tahoma" w:hAnsi="Tahoma" w:cs="Tahoma" w:hint="cs"/>
                <w:sz w:val="19"/>
                <w:szCs w:val="19"/>
                <w:rtl/>
              </w:rPr>
              <w:t>משרד מבקר המדינה המליץ ל</w:t>
            </w:r>
            <w:r w:rsidRPr="00364F02">
              <w:rPr>
                <w:rFonts w:ascii="Tahoma" w:hAnsi="Tahoma" w:cs="Tahoma" w:hint="cs"/>
                <w:sz w:val="19"/>
                <w:szCs w:val="19"/>
                <w:rtl/>
              </w:rPr>
              <w:t>רשויות המפונות מצפון הארץ לפעול ליצירת קשר עם כלל תושביהן המפונים</w:t>
            </w:r>
            <w:r>
              <w:rPr>
                <w:rFonts w:ascii="Tahoma" w:hAnsi="Tahoma" w:cs="Tahoma" w:hint="cs"/>
                <w:sz w:val="19"/>
                <w:szCs w:val="19"/>
                <w:rtl/>
              </w:rPr>
              <w:t>,</w:t>
            </w:r>
            <w:r w:rsidRPr="00364F02">
              <w:rPr>
                <w:rFonts w:ascii="Tahoma" w:hAnsi="Tahoma" w:cs="Tahoma" w:hint="cs"/>
                <w:sz w:val="19"/>
                <w:szCs w:val="19"/>
                <w:rtl/>
              </w:rPr>
              <w:t xml:space="preserve"> כדי לוודא שגם המפונים בקהילה שטרם שבו לביתם מקבלים שירותי רווחה וסיוע שהם נזקקים להם במקום שהותם.</w:t>
            </w:r>
          </w:p>
          <w:p w:rsidR="00A356FE" w:rsidRPr="00364F02" w:rsidRDefault="00A356FE" w:rsidP="00452920">
            <w:pPr>
              <w:pStyle w:val="af2"/>
              <w:keepNext/>
              <w:keepLines/>
              <w:widowControl w:val="0"/>
              <w:numPr>
                <w:ilvl w:val="0"/>
                <w:numId w:val="12"/>
              </w:numPr>
              <w:spacing w:before="120" w:after="240" w:line="288" w:lineRule="auto"/>
              <w:ind w:left="739" w:right="456" w:hanging="611"/>
              <w:contextualSpacing w:val="0"/>
              <w:rPr>
                <w:rFonts w:ascii="Tahoma" w:hAnsi="Tahoma" w:cs="Tahoma"/>
                <w:sz w:val="19"/>
                <w:szCs w:val="19"/>
              </w:rPr>
            </w:pPr>
            <w:r w:rsidRPr="00364F02">
              <w:rPr>
                <w:rFonts w:ascii="Tahoma" w:hAnsi="Tahoma" w:cs="Tahoma"/>
                <w:sz w:val="19"/>
                <w:szCs w:val="19"/>
                <w:rtl/>
              </w:rPr>
              <w:t xml:space="preserve">במצב הקשה שנוצר </w:t>
            </w:r>
            <w:r w:rsidRPr="00364F02">
              <w:rPr>
                <w:rFonts w:ascii="Tahoma" w:hAnsi="Tahoma" w:cs="Tahoma" w:hint="cs"/>
                <w:sz w:val="19"/>
                <w:szCs w:val="19"/>
                <w:rtl/>
              </w:rPr>
              <w:t xml:space="preserve">בקרב בני הנוער </w:t>
            </w:r>
            <w:r w:rsidRPr="00364F02">
              <w:rPr>
                <w:rFonts w:ascii="Tahoma" w:hAnsi="Tahoma" w:cs="Tahoma"/>
                <w:sz w:val="19"/>
                <w:szCs w:val="19"/>
                <w:rtl/>
              </w:rPr>
              <w:t>אין די בפתרונות נקודתיים. על משרד</w:t>
            </w:r>
            <w:r w:rsidRPr="00364F02">
              <w:rPr>
                <w:rFonts w:ascii="Tahoma" w:hAnsi="Tahoma" w:cs="Tahoma" w:hint="cs"/>
                <w:sz w:val="19"/>
                <w:szCs w:val="19"/>
                <w:rtl/>
              </w:rPr>
              <w:t>י</w:t>
            </w:r>
            <w:r w:rsidRPr="00364F02">
              <w:rPr>
                <w:rFonts w:ascii="Tahoma" w:hAnsi="Tahoma" w:cs="Tahoma"/>
                <w:sz w:val="19"/>
                <w:szCs w:val="19"/>
                <w:rtl/>
              </w:rPr>
              <w:t xml:space="preserve"> החינוך והרווחה לתת את דעתם ל</w:t>
            </w:r>
            <w:r>
              <w:rPr>
                <w:rFonts w:ascii="Tahoma" w:hAnsi="Tahoma" w:cs="Tahoma" w:hint="cs"/>
                <w:sz w:val="19"/>
                <w:szCs w:val="19"/>
                <w:rtl/>
              </w:rPr>
              <w:t>צורך בהגדרת תפקידיהן של הרשויות המפונות והקולטות בטיפול בבני נוער מפונים במהלך הפינוי, באופן שיסייע לבני נוער בסיכון וימנע את הצטרפותם של בני נוער נוספים למעגל זה. בעת הזו, משהפינוי הסתיים, על משרד הרווחה לגבש</w:t>
            </w:r>
            <w:r w:rsidRPr="00364F02">
              <w:rPr>
                <w:rFonts w:ascii="Tahoma" w:hAnsi="Tahoma" w:cs="Tahoma"/>
                <w:sz w:val="19"/>
                <w:szCs w:val="19"/>
                <w:rtl/>
              </w:rPr>
              <w:t xml:space="preserve"> בשיתוף </w:t>
            </w:r>
            <w:r>
              <w:rPr>
                <w:rFonts w:ascii="Tahoma" w:hAnsi="Tahoma" w:cs="Tahoma" w:hint="cs"/>
                <w:sz w:val="19"/>
                <w:szCs w:val="19"/>
                <w:rtl/>
              </w:rPr>
              <w:t xml:space="preserve">עם </w:t>
            </w:r>
            <w:r w:rsidRPr="00364F02">
              <w:rPr>
                <w:rFonts w:ascii="Tahoma" w:hAnsi="Tahoma" w:cs="Tahoma"/>
                <w:sz w:val="19"/>
                <w:szCs w:val="19"/>
                <w:rtl/>
              </w:rPr>
              <w:t>הרשויות המפונות</w:t>
            </w:r>
            <w:r w:rsidRPr="00364F02">
              <w:rPr>
                <w:rFonts w:ascii="Tahoma" w:hAnsi="Tahoma" w:cs="Tahoma" w:hint="cs"/>
                <w:sz w:val="19"/>
                <w:szCs w:val="19"/>
                <w:rtl/>
              </w:rPr>
              <w:t xml:space="preserve"> שטרם עשו </w:t>
            </w:r>
            <w:r>
              <w:rPr>
                <w:rFonts w:ascii="Tahoma" w:hAnsi="Tahoma" w:cs="Tahoma" w:hint="cs"/>
                <w:sz w:val="19"/>
                <w:szCs w:val="19"/>
                <w:rtl/>
              </w:rPr>
              <w:t>זאת</w:t>
            </w:r>
            <w:r w:rsidRPr="00364F02">
              <w:rPr>
                <w:rFonts w:ascii="Tahoma" w:hAnsi="Tahoma" w:cs="Tahoma"/>
                <w:sz w:val="19"/>
                <w:szCs w:val="19"/>
                <w:rtl/>
              </w:rPr>
              <w:t xml:space="preserve">, </w:t>
            </w:r>
            <w:r>
              <w:rPr>
                <w:rFonts w:ascii="Tahoma" w:hAnsi="Tahoma" w:cs="Tahoma" w:hint="cs"/>
                <w:sz w:val="19"/>
                <w:szCs w:val="19"/>
                <w:rtl/>
              </w:rPr>
              <w:t xml:space="preserve">תוכנית פעולה מקיפה ומתכללת ליישום מיידי, לשיקום בני הנוער בסיכון והמועדים לסיכון ולמניעת הידרדרותם. </w:t>
            </w:r>
          </w:p>
          <w:p w:rsidR="00A356FE" w:rsidRDefault="00A356FE" w:rsidP="00452920">
            <w:pPr>
              <w:pStyle w:val="af2"/>
              <w:numPr>
                <w:ilvl w:val="0"/>
                <w:numId w:val="12"/>
              </w:numPr>
              <w:spacing w:before="120" w:after="240" w:line="288" w:lineRule="auto"/>
              <w:ind w:left="739" w:right="456" w:hanging="611"/>
              <w:contextualSpacing w:val="0"/>
              <w:rPr>
                <w:rFonts w:ascii="Tahoma" w:hAnsi="Tahoma" w:cs="Tahoma"/>
                <w:sz w:val="19"/>
                <w:szCs w:val="19"/>
              </w:rPr>
            </w:pPr>
            <w:r>
              <w:rPr>
                <w:rFonts w:ascii="Tahoma" w:hAnsi="Tahoma" w:cs="Tahoma" w:hint="cs"/>
                <w:sz w:val="19"/>
                <w:szCs w:val="19"/>
                <w:rtl/>
              </w:rPr>
              <w:t>מומלץ כי משר</w:t>
            </w:r>
            <w:r w:rsidRPr="00364F02">
              <w:rPr>
                <w:rFonts w:ascii="Tahoma" w:hAnsi="Tahoma" w:cs="Tahoma"/>
                <w:sz w:val="19"/>
                <w:szCs w:val="19"/>
                <w:rtl/>
              </w:rPr>
              <w:t>ד</w:t>
            </w:r>
            <w:r w:rsidRPr="00364F02">
              <w:rPr>
                <w:rFonts w:ascii="Tahoma" w:hAnsi="Tahoma" w:cs="Tahoma" w:hint="cs"/>
                <w:sz w:val="19"/>
                <w:szCs w:val="19"/>
                <w:rtl/>
              </w:rPr>
              <w:t>י</w:t>
            </w:r>
            <w:r w:rsidRPr="00364F02">
              <w:rPr>
                <w:rFonts w:ascii="Tahoma" w:hAnsi="Tahoma" w:cs="Tahoma"/>
                <w:sz w:val="19"/>
                <w:szCs w:val="19"/>
                <w:rtl/>
              </w:rPr>
              <w:t xml:space="preserve"> הרווחה והחינוך </w:t>
            </w:r>
            <w:r>
              <w:rPr>
                <w:rFonts w:ascii="Tahoma" w:hAnsi="Tahoma" w:cs="Tahoma" w:hint="cs"/>
                <w:sz w:val="19"/>
                <w:szCs w:val="19"/>
                <w:rtl/>
              </w:rPr>
              <w:t xml:space="preserve">יפעלו </w:t>
            </w:r>
            <w:r w:rsidRPr="00364F02">
              <w:rPr>
                <w:rFonts w:ascii="Tahoma" w:hAnsi="Tahoma" w:cs="Tahoma"/>
                <w:sz w:val="19"/>
                <w:szCs w:val="19"/>
                <w:rtl/>
              </w:rPr>
              <w:t>בתיאום ובשיתוף פעולה עם הרשויות</w:t>
            </w:r>
            <w:r w:rsidRPr="00364F02">
              <w:rPr>
                <w:rFonts w:ascii="Tahoma" w:hAnsi="Tahoma" w:cs="Tahoma" w:hint="cs"/>
                <w:sz w:val="19"/>
                <w:szCs w:val="19"/>
                <w:rtl/>
              </w:rPr>
              <w:t xml:space="preserve"> המפונות</w:t>
            </w:r>
            <w:r>
              <w:rPr>
                <w:rFonts w:ascii="Tahoma" w:hAnsi="Tahoma" w:cs="Tahoma" w:hint="cs"/>
                <w:sz w:val="19"/>
                <w:szCs w:val="19"/>
                <w:rtl/>
              </w:rPr>
              <w:t>,</w:t>
            </w:r>
            <w:r w:rsidRPr="00364F02">
              <w:rPr>
                <w:rFonts w:ascii="Tahoma" w:hAnsi="Tahoma" w:cs="Tahoma" w:hint="cs"/>
                <w:sz w:val="19"/>
                <w:szCs w:val="19"/>
                <w:rtl/>
              </w:rPr>
              <w:t xml:space="preserve"> </w:t>
            </w:r>
            <w:r w:rsidRPr="00364F02">
              <w:rPr>
                <w:rFonts w:ascii="Tahoma" w:hAnsi="Tahoma" w:cs="Tahoma"/>
                <w:sz w:val="19"/>
                <w:szCs w:val="19"/>
                <w:rtl/>
              </w:rPr>
              <w:t>כדי לאתר את בני הנוער</w:t>
            </w:r>
            <w:r w:rsidRPr="00364F02">
              <w:rPr>
                <w:rFonts w:ascii="Tahoma" w:hAnsi="Tahoma" w:cs="Tahoma" w:hint="cs"/>
                <w:sz w:val="19"/>
                <w:szCs w:val="19"/>
                <w:rtl/>
              </w:rPr>
              <w:t xml:space="preserve"> בסיכון ששבו לביתם</w:t>
            </w:r>
            <w:r>
              <w:rPr>
                <w:rFonts w:ascii="Tahoma" w:hAnsi="Tahoma" w:cs="Tahoma" w:hint="cs"/>
                <w:sz w:val="19"/>
                <w:szCs w:val="19"/>
                <w:rtl/>
              </w:rPr>
              <w:t xml:space="preserve"> והם בסיכון או מועדים לסיכון בעקבות המלחמה, ולבנות להם תוכניות התערבות.</w:t>
            </w:r>
          </w:p>
          <w:p w:rsidR="00AE4BB7" w:rsidRPr="00BE22D7" w:rsidRDefault="00A356FE" w:rsidP="00452920">
            <w:pPr>
              <w:pStyle w:val="af2"/>
              <w:numPr>
                <w:ilvl w:val="0"/>
                <w:numId w:val="12"/>
              </w:numPr>
              <w:spacing w:before="120" w:after="360" w:line="288" w:lineRule="auto"/>
              <w:ind w:left="737" w:right="454" w:hanging="611"/>
              <w:contextualSpacing w:val="0"/>
              <w:rPr>
                <w:rtl/>
              </w:rPr>
            </w:pPr>
            <w:r w:rsidRPr="001223C1">
              <w:rPr>
                <w:rFonts w:ascii="Tahoma" w:hAnsi="Tahoma" w:cs="Tahoma"/>
                <w:sz w:val="19"/>
                <w:szCs w:val="19"/>
                <w:rtl/>
              </w:rPr>
              <w:t>לפעילות הפגה בשעת חירום יש ערך גדול, והיא מסייעת לתושבים להתמודד עם מצב</w:t>
            </w:r>
            <w:r>
              <w:rPr>
                <w:rFonts w:ascii="Tahoma" w:hAnsi="Tahoma" w:cs="Tahoma" w:hint="cs"/>
                <w:sz w:val="19"/>
                <w:szCs w:val="19"/>
                <w:rtl/>
              </w:rPr>
              <w:t>י</w:t>
            </w:r>
            <w:r w:rsidRPr="001223C1">
              <w:rPr>
                <w:rFonts w:ascii="Tahoma" w:hAnsi="Tahoma" w:cs="Tahoma"/>
                <w:sz w:val="19"/>
                <w:szCs w:val="19"/>
                <w:rtl/>
              </w:rPr>
              <w:t xml:space="preserve"> דחק וטראומה הכרוכים בפינוי. בצד המאמצים הרבים שהשקיעו הרשויות המפונות והקולטות כאחד, </w:t>
            </w:r>
            <w:r>
              <w:rPr>
                <w:rFonts w:ascii="Tahoma" w:hAnsi="Tahoma" w:cs="Tahoma" w:hint="cs"/>
                <w:sz w:val="19"/>
                <w:szCs w:val="19"/>
                <w:rtl/>
              </w:rPr>
              <w:t>משרדי הממשלה ו</w:t>
            </w:r>
            <w:r w:rsidRPr="001223C1">
              <w:rPr>
                <w:rFonts w:ascii="Tahoma" w:hAnsi="Tahoma" w:cs="Tahoma"/>
                <w:sz w:val="19"/>
                <w:szCs w:val="19"/>
                <w:rtl/>
              </w:rPr>
              <w:t>ארגוני המגזר השלישי ומתנדבים</w:t>
            </w:r>
            <w:r>
              <w:rPr>
                <w:rFonts w:ascii="Tahoma" w:hAnsi="Tahoma" w:cs="Tahoma" w:hint="cs"/>
                <w:sz w:val="19"/>
                <w:szCs w:val="19"/>
                <w:rtl/>
              </w:rPr>
              <w:t>,</w:t>
            </w:r>
            <w:r w:rsidRPr="001223C1">
              <w:rPr>
                <w:rFonts w:ascii="Tahoma" w:hAnsi="Tahoma" w:cs="Tahoma"/>
                <w:sz w:val="19"/>
                <w:szCs w:val="19"/>
                <w:rtl/>
              </w:rPr>
              <w:t xml:space="preserve"> </w:t>
            </w:r>
            <w:r>
              <w:rPr>
                <w:rFonts w:ascii="Tahoma" w:hAnsi="Tahoma" w:cs="Tahoma" w:hint="cs"/>
                <w:sz w:val="19"/>
                <w:szCs w:val="19"/>
                <w:rtl/>
              </w:rPr>
              <w:t xml:space="preserve">עדיין, </w:t>
            </w:r>
            <w:r w:rsidRPr="001223C1">
              <w:rPr>
                <w:rFonts w:ascii="Tahoma" w:hAnsi="Tahoma" w:cs="Tahoma"/>
                <w:sz w:val="19"/>
                <w:szCs w:val="19"/>
                <w:rtl/>
              </w:rPr>
              <w:t xml:space="preserve">כדי לוודא </w:t>
            </w:r>
            <w:r>
              <w:rPr>
                <w:rFonts w:ascii="Tahoma" w:hAnsi="Tahoma" w:cs="Tahoma" w:hint="cs"/>
                <w:sz w:val="19"/>
                <w:szCs w:val="19"/>
                <w:rtl/>
              </w:rPr>
              <w:t>ש</w:t>
            </w:r>
            <w:r w:rsidRPr="001223C1">
              <w:rPr>
                <w:rFonts w:ascii="Tahoma" w:hAnsi="Tahoma" w:cs="Tahoma"/>
                <w:sz w:val="19"/>
                <w:szCs w:val="19"/>
                <w:rtl/>
              </w:rPr>
              <w:t xml:space="preserve">כל מפונה זוכה לתמיכה וסיוע, חשוב שהרשויות המפונות ירכזו מידע על היקף המפונים ופילוח לפי גיל בכל מתקן קליטה, </w:t>
            </w:r>
            <w:r>
              <w:rPr>
                <w:rFonts w:ascii="Tahoma" w:hAnsi="Tahoma" w:cs="Tahoma" w:hint="cs"/>
                <w:sz w:val="19"/>
                <w:szCs w:val="19"/>
                <w:rtl/>
              </w:rPr>
              <w:t xml:space="preserve">ישמרו </w:t>
            </w:r>
            <w:r w:rsidRPr="001223C1">
              <w:rPr>
                <w:rFonts w:ascii="Tahoma" w:hAnsi="Tahoma" w:cs="Tahoma"/>
                <w:sz w:val="19"/>
                <w:szCs w:val="19"/>
                <w:rtl/>
              </w:rPr>
              <w:t>על קשר עם התושבים ו</w:t>
            </w:r>
            <w:r>
              <w:rPr>
                <w:rFonts w:ascii="Tahoma" w:hAnsi="Tahoma" w:cs="Tahoma" w:hint="cs"/>
                <w:sz w:val="19"/>
                <w:szCs w:val="19"/>
                <w:rtl/>
              </w:rPr>
              <w:t xml:space="preserve">יפעלו </w:t>
            </w:r>
            <w:r w:rsidRPr="001223C1">
              <w:rPr>
                <w:rFonts w:ascii="Tahoma" w:hAnsi="Tahoma" w:cs="Tahoma"/>
                <w:sz w:val="19"/>
                <w:szCs w:val="19"/>
                <w:rtl/>
              </w:rPr>
              <w:t>ככל האפשר לשמירת המסגרת הקהילתית.</w:t>
            </w:r>
          </w:p>
        </w:tc>
      </w:tr>
    </w:tbl>
    <w:p w:rsidR="00AE4BB7" w:rsidRDefault="00AE4BB7" w:rsidP="00AE4BB7">
      <w:pPr>
        <w:bidi w:val="0"/>
        <w:spacing w:after="160" w:line="259" w:lineRule="auto"/>
        <w:ind w:left="-1"/>
        <w:jc w:val="left"/>
        <w:rPr>
          <w:sz w:val="2"/>
          <w:szCs w:val="2"/>
        </w:rPr>
      </w:pPr>
    </w:p>
    <w:p w:rsidR="004E0191" w:rsidRDefault="004E0191" w:rsidP="004E0191">
      <w:pPr>
        <w:bidi w:val="0"/>
        <w:spacing w:after="160" w:line="259" w:lineRule="auto"/>
        <w:ind w:left="-1"/>
        <w:jc w:val="left"/>
        <w:rPr>
          <w:sz w:val="2"/>
          <w:szCs w:val="2"/>
        </w:rPr>
      </w:pPr>
    </w:p>
    <w:p w:rsidR="004E0191" w:rsidRDefault="004E0191" w:rsidP="004E0191">
      <w:pPr>
        <w:bidi w:val="0"/>
        <w:spacing w:after="160" w:line="259" w:lineRule="auto"/>
        <w:ind w:left="-1"/>
        <w:jc w:val="left"/>
        <w:rPr>
          <w:sz w:val="2"/>
          <w:szCs w:val="2"/>
          <w:rtl/>
        </w:rPr>
      </w:pPr>
    </w:p>
    <w:p w:rsidR="00780272" w:rsidRDefault="00780272" w:rsidP="00780272">
      <w:pPr>
        <w:bidi w:val="0"/>
        <w:spacing w:after="160" w:line="259" w:lineRule="auto"/>
        <w:ind w:left="-1"/>
        <w:jc w:val="left"/>
        <w:rPr>
          <w:sz w:val="2"/>
          <w:szCs w:val="2"/>
          <w:rtl/>
        </w:rPr>
      </w:pPr>
    </w:p>
    <w:p w:rsidR="00780272" w:rsidRDefault="00780272" w:rsidP="00780272">
      <w:pPr>
        <w:bidi w:val="0"/>
        <w:spacing w:after="160" w:line="259" w:lineRule="auto"/>
        <w:ind w:left="-1"/>
        <w:jc w:val="left"/>
        <w:rPr>
          <w:sz w:val="2"/>
          <w:szCs w:val="2"/>
          <w:rtl/>
        </w:rPr>
      </w:pPr>
    </w:p>
    <w:p w:rsidR="00780272" w:rsidRDefault="00780272" w:rsidP="00780272">
      <w:pPr>
        <w:bidi w:val="0"/>
        <w:spacing w:after="160" w:line="259" w:lineRule="auto"/>
        <w:ind w:left="-1"/>
        <w:jc w:val="left"/>
        <w:rPr>
          <w:sz w:val="2"/>
          <w:szCs w:val="2"/>
          <w:rtl/>
        </w:rPr>
      </w:pPr>
    </w:p>
    <w:p w:rsidR="00780272" w:rsidRDefault="00780272" w:rsidP="00780272">
      <w:pPr>
        <w:bidi w:val="0"/>
        <w:spacing w:after="160" w:line="259" w:lineRule="auto"/>
        <w:ind w:left="-1"/>
        <w:jc w:val="left"/>
        <w:rPr>
          <w:sz w:val="2"/>
          <w:szCs w:val="2"/>
          <w:rtl/>
        </w:rPr>
      </w:pPr>
    </w:p>
    <w:p w:rsidR="00780272" w:rsidRDefault="00780272" w:rsidP="00780272">
      <w:pPr>
        <w:bidi w:val="0"/>
        <w:spacing w:after="160" w:line="259" w:lineRule="auto"/>
        <w:ind w:left="-1"/>
        <w:jc w:val="left"/>
        <w:rPr>
          <w:sz w:val="2"/>
          <w:szCs w:val="2"/>
          <w:rtl/>
        </w:rPr>
      </w:pPr>
    </w:p>
    <w:p w:rsidR="00780272" w:rsidRDefault="00780272" w:rsidP="00780272">
      <w:pPr>
        <w:bidi w:val="0"/>
        <w:spacing w:after="160" w:line="259" w:lineRule="auto"/>
        <w:ind w:left="-1"/>
        <w:jc w:val="left"/>
        <w:rPr>
          <w:sz w:val="2"/>
          <w:szCs w:val="2"/>
          <w:rtl/>
        </w:rPr>
      </w:pPr>
    </w:p>
    <w:p w:rsidR="00780272" w:rsidRDefault="00780272" w:rsidP="00780272">
      <w:pPr>
        <w:bidi w:val="0"/>
        <w:spacing w:after="160" w:line="259" w:lineRule="auto"/>
        <w:ind w:left="-1"/>
        <w:jc w:val="left"/>
        <w:rPr>
          <w:sz w:val="2"/>
          <w:szCs w:val="2"/>
          <w:rtl/>
        </w:rPr>
      </w:pPr>
    </w:p>
    <w:p w:rsidR="00780272" w:rsidRDefault="00780272" w:rsidP="00780272">
      <w:pPr>
        <w:bidi w:val="0"/>
        <w:spacing w:after="160" w:line="259" w:lineRule="auto"/>
        <w:ind w:left="-1"/>
        <w:jc w:val="left"/>
        <w:rPr>
          <w:sz w:val="2"/>
          <w:szCs w:val="2"/>
          <w:rtl/>
        </w:rPr>
      </w:pPr>
    </w:p>
    <w:p w:rsidR="00435B1B" w:rsidRDefault="00435B1B" w:rsidP="00435B1B">
      <w:pPr>
        <w:bidi w:val="0"/>
        <w:spacing w:after="160" w:line="259" w:lineRule="auto"/>
        <w:ind w:left="-1"/>
        <w:jc w:val="left"/>
        <w:rPr>
          <w:sz w:val="2"/>
          <w:szCs w:val="2"/>
          <w:rtl/>
        </w:rPr>
      </w:pPr>
    </w:p>
    <w:p w:rsidR="00435B1B" w:rsidRDefault="00435B1B" w:rsidP="00435B1B">
      <w:pPr>
        <w:bidi w:val="0"/>
        <w:spacing w:after="160" w:line="259" w:lineRule="auto"/>
        <w:ind w:left="-1"/>
        <w:jc w:val="left"/>
        <w:rPr>
          <w:sz w:val="2"/>
          <w:szCs w:val="2"/>
          <w:rtl/>
        </w:rPr>
      </w:pPr>
    </w:p>
    <w:p w:rsidR="00435B1B" w:rsidRDefault="00435B1B" w:rsidP="00435B1B">
      <w:pPr>
        <w:bidi w:val="0"/>
        <w:spacing w:after="160" w:line="259" w:lineRule="auto"/>
        <w:ind w:left="-1"/>
        <w:jc w:val="left"/>
        <w:rPr>
          <w:sz w:val="2"/>
          <w:szCs w:val="2"/>
          <w:rtl/>
        </w:rPr>
      </w:pPr>
    </w:p>
    <w:p w:rsidR="00435B1B" w:rsidRDefault="00435B1B" w:rsidP="00435B1B">
      <w:pPr>
        <w:bidi w:val="0"/>
        <w:spacing w:after="160" w:line="259" w:lineRule="auto"/>
        <w:ind w:left="-1"/>
        <w:jc w:val="left"/>
        <w:rPr>
          <w:sz w:val="2"/>
          <w:szCs w:val="2"/>
          <w:rtl/>
        </w:rPr>
      </w:pPr>
    </w:p>
    <w:p w:rsidR="00435B1B" w:rsidRDefault="00435B1B">
      <w:pPr>
        <w:bidi w:val="0"/>
        <w:spacing w:after="200" w:line="276" w:lineRule="auto"/>
        <w:rPr>
          <w:sz w:val="2"/>
          <w:szCs w:val="2"/>
          <w:rtl/>
        </w:rPr>
      </w:pPr>
      <w:r>
        <w:rPr>
          <w:sz w:val="2"/>
          <w:szCs w:val="2"/>
          <w:rtl/>
        </w:rPr>
        <w:br w:type="page"/>
      </w:r>
    </w:p>
    <w:p w:rsidR="00AE4BB7" w:rsidRPr="00D57BE9" w:rsidRDefault="00AE4BB7" w:rsidP="00AE4BB7">
      <w:pPr>
        <w:rPr>
          <w:rtl/>
        </w:rPr>
      </w:pPr>
      <w:r w:rsidRPr="00D527BD">
        <w:rPr>
          <w:noProof/>
          <w:szCs w:val="20"/>
          <w:rtl/>
        </w:rPr>
        <w:lastRenderedPageBreak/>
        <w:drawing>
          <wp:anchor distT="0" distB="0" distL="114300" distR="114300" simplePos="0" relativeHeight="251660288" behindDoc="0" locked="0" layoutInCell="1" allowOverlap="1" wp14:anchorId="24426BBC" wp14:editId="232BD999">
            <wp:simplePos x="0" y="0"/>
            <wp:positionH relativeFrom="column">
              <wp:posOffset>-127635</wp:posOffset>
            </wp:positionH>
            <wp:positionV relativeFrom="paragraph">
              <wp:posOffset>-1905</wp:posOffset>
            </wp:positionV>
            <wp:extent cx="6015355" cy="761365"/>
            <wp:effectExtent l="0" t="0" r="0" b="0"/>
            <wp:wrapNone/>
            <wp:docPr id="1451066646"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66646" name="Picture 54">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15355" cy="761365"/>
                    </a:xfrm>
                    <a:prstGeom prst="rect">
                      <a:avLst/>
                    </a:prstGeom>
                  </pic:spPr>
                </pic:pic>
              </a:graphicData>
            </a:graphic>
            <wp14:sizeRelH relativeFrom="margin">
              <wp14:pctWidth>0</wp14:pctWidth>
            </wp14:sizeRelH>
            <wp14:sizeRelV relativeFrom="margin">
              <wp14:pctHeight>0</wp14:pctHeight>
            </wp14:sizeRelV>
          </wp:anchor>
        </w:drawing>
      </w:r>
      <w:r w:rsidRPr="00D527BD">
        <w:rPr>
          <w:noProof/>
          <w:szCs w:val="20"/>
          <w:rtl/>
        </w:rPr>
        <mc:AlternateContent>
          <mc:Choice Requires="wps">
            <w:drawing>
              <wp:anchor distT="0" distB="0" distL="114300" distR="114300" simplePos="0" relativeHeight="251661312" behindDoc="0" locked="0" layoutInCell="1" allowOverlap="1" wp14:anchorId="6447954D" wp14:editId="29379932">
                <wp:simplePos x="0" y="0"/>
                <wp:positionH relativeFrom="column">
                  <wp:posOffset>241935</wp:posOffset>
                </wp:positionH>
                <wp:positionV relativeFrom="paragraph">
                  <wp:posOffset>102870</wp:posOffset>
                </wp:positionV>
                <wp:extent cx="5417820" cy="434975"/>
                <wp:effectExtent l="0" t="0" r="5080" b="0"/>
                <wp:wrapNone/>
                <wp:docPr id="1451066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434975"/>
                        </a:xfrm>
                        <a:prstGeom prst="rect">
                          <a:avLst/>
                        </a:prstGeom>
                        <a:solidFill>
                          <a:srgbClr val="F05260"/>
                        </a:solidFill>
                        <a:ln w="9525">
                          <a:noFill/>
                          <a:miter lim="800000"/>
                          <a:headEnd/>
                          <a:tailEnd/>
                        </a:ln>
                      </wps:spPr>
                      <wps:txbx>
                        <w:txbxContent>
                          <w:p w:rsidR="00AE4BB7" w:rsidRPr="005C7ABF" w:rsidRDefault="00A356FE" w:rsidP="00A356FE">
                            <w:pPr>
                              <w:pStyle w:val="733"/>
                              <w:rPr>
                                <w:rtl/>
                              </w:rPr>
                            </w:pPr>
                            <w:r>
                              <w:rPr>
                                <w:rtl/>
                              </w:rPr>
                              <w:t>שיעור המפונים ברשויות הקולטות שנבדקו ומספר התקנים שהקצה להן משרד הרווחה</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6447954D" id="_x0000_t202" coordsize="21600,21600" o:spt="202" path="m,l,21600r21600,l21600,xe">
                <v:stroke joinstyle="miter"/>
                <v:path gradientshapeok="t" o:connecttype="rect"/>
              </v:shapetype>
              <v:shape id="Text Box 2" o:spid="_x0000_s1026" type="#_x0000_t202" style="position:absolute;left:0;text-align:left;margin-left:19.05pt;margin-top:8.1pt;width:426.6pt;height:3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" fillcolor="#f05260" stroked="f">
                <v:textbox>
                  <w:txbxContent>
                    <w:p w:rsidR="00AE4BB7" w:rsidRPr="005C7ABF" w:rsidRDefault="00A356FE" w:rsidP="00A356FE">
                      <w:pPr>
                        <w:pStyle w:val="733"/>
                        <w:rPr>
                          <w:rtl/>
                        </w:rPr>
                      </w:pPr>
                      <w:r>
                        <w:rPr>
                          <w:rtl/>
                        </w:rPr>
                        <w:t>שיעור המפונים ברשויות הקולטות שנבדקו ומספר התקנים שהקצה להן משרד הרווחה</w:t>
                      </w:r>
                    </w:p>
                  </w:txbxContent>
                </v:textbox>
              </v:shape>
            </w:pict>
          </mc:Fallback>
        </mc:AlternateContent>
      </w:r>
    </w:p>
    <w:p w:rsidR="00AE4BB7" w:rsidRPr="00D57BE9" w:rsidRDefault="00A356FE" w:rsidP="00AE4BB7">
      <w:pPr>
        <w:spacing w:before="840"/>
        <w:rPr>
          <w:rtl/>
        </w:rPr>
      </w:pPr>
      <w:r w:rsidRPr="00A356FE">
        <w:rPr>
          <w:rFonts w:ascii="Tahoma" w:eastAsia="Calibri" w:hAnsi="Tahoma" w:cs="Tahoma"/>
          <w:noProof/>
          <w:sz w:val="19"/>
          <w:szCs w:val="19"/>
        </w:rPr>
        <w:drawing>
          <wp:inline distT="0" distB="0" distL="0" distR="0" wp14:anchorId="1C4CD73D" wp14:editId="4AE9F735">
            <wp:extent cx="5670550" cy="3084212"/>
            <wp:effectExtent l="0" t="0" r="6350" b="1905"/>
            <wp:docPr id="7" name="תמונה 7" descr="השוואה בין שיעור המפונים ברשויות הקולטות שנבדקו למספר התקנים שהקצה להן משרד הרווח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0550" cy="3084212"/>
                    </a:xfrm>
                    <a:prstGeom prst="rect">
                      <a:avLst/>
                    </a:prstGeom>
                    <a:noFill/>
                  </pic:spPr>
                </pic:pic>
              </a:graphicData>
            </a:graphic>
          </wp:inline>
        </w:drawing>
      </w:r>
    </w:p>
    <w:p w:rsidR="00AE4BB7" w:rsidRPr="00435B1B" w:rsidRDefault="00AE4BB7" w:rsidP="00AE4BB7">
      <w:pPr>
        <w:ind w:left="-1"/>
        <w:jc w:val="left"/>
        <w:rPr>
          <w:sz w:val="6"/>
          <w:szCs w:val="10"/>
          <w:rtl/>
        </w:rPr>
      </w:pPr>
    </w:p>
    <w:p w:rsidR="00A356FE" w:rsidRPr="00A356FE" w:rsidRDefault="00A356FE" w:rsidP="00A356FE">
      <w:pPr>
        <w:pStyle w:val="731"/>
        <w:spacing w:before="0" w:after="0" w:line="288" w:lineRule="auto"/>
        <w:rPr>
          <w:rFonts w:eastAsia="Calibri"/>
          <w:rtl/>
        </w:rPr>
      </w:pPr>
      <w:r w:rsidRPr="00A356FE">
        <w:rPr>
          <w:rFonts w:eastAsia="Calibri" w:hint="cs"/>
          <w:rtl/>
        </w:rPr>
        <w:t>על פי נתוני משרד הפנים ומשרד הרווחה, בעיבוד משרד מבקר המדינה.</w:t>
      </w:r>
    </w:p>
    <w:p w:rsidR="00A356FE" w:rsidRPr="00A356FE" w:rsidRDefault="00A356FE" w:rsidP="00A356FE">
      <w:pPr>
        <w:pStyle w:val="731"/>
        <w:spacing w:before="0" w:after="0" w:line="288" w:lineRule="auto"/>
        <w:rPr>
          <w:rFonts w:ascii="David" w:eastAsia="Times New Roman" w:hAnsi="David"/>
          <w:color w:val="000000"/>
          <w:rtl/>
        </w:rPr>
      </w:pPr>
      <w:r w:rsidRPr="00A356FE">
        <w:rPr>
          <w:rFonts w:eastAsia="Calibri" w:hint="cs"/>
          <w:rtl/>
        </w:rPr>
        <w:t>*</w:t>
      </w:r>
      <w:r w:rsidRPr="00A356FE">
        <w:rPr>
          <w:rFonts w:eastAsia="Calibri" w:hint="cs"/>
        </w:rPr>
        <w:t xml:space="preserve"> </w:t>
      </w:r>
      <w:r w:rsidRPr="00A356FE">
        <w:rPr>
          <w:rFonts w:eastAsia="Calibri" w:hint="cs"/>
          <w:rtl/>
        </w:rPr>
        <w:t>בתרשים זה לא מופיעות הרשויות הקולטות שמשרד הרווחה לא הקצה להן תקנים לטיפול במפונים:</w:t>
      </w:r>
      <w:r w:rsidRPr="00A356FE">
        <w:rPr>
          <w:rFonts w:eastAsia="Calibri" w:hint="cs"/>
        </w:rPr>
        <w:t xml:space="preserve"> </w:t>
      </w:r>
      <w:r w:rsidRPr="00A356FE">
        <w:rPr>
          <w:rFonts w:eastAsia="Calibri" w:hint="cs"/>
          <w:b/>
          <w:bCs/>
          <w:rtl/>
        </w:rPr>
        <w:t>נוף הגליל</w:t>
      </w:r>
      <w:r w:rsidRPr="00A356FE">
        <w:rPr>
          <w:rFonts w:eastAsia="Calibri" w:hint="cs"/>
          <w:rtl/>
        </w:rPr>
        <w:t xml:space="preserve">, המועצה המקומית </w:t>
      </w:r>
      <w:r w:rsidRPr="00A356FE">
        <w:rPr>
          <w:rFonts w:eastAsia="Calibri" w:hint="cs"/>
          <w:b/>
          <w:bCs/>
          <w:rtl/>
        </w:rPr>
        <w:t>זיכרון יעקב</w:t>
      </w:r>
      <w:r w:rsidRPr="00A356FE">
        <w:rPr>
          <w:rFonts w:eastAsia="Calibri" w:hint="cs"/>
          <w:rtl/>
        </w:rPr>
        <w:t xml:space="preserve"> והמועצה האזורית </w:t>
      </w:r>
      <w:r w:rsidRPr="00A356FE">
        <w:rPr>
          <w:rFonts w:eastAsia="Calibri" w:hint="cs"/>
          <w:b/>
          <w:bCs/>
          <w:rtl/>
        </w:rPr>
        <w:t>תמר</w:t>
      </w:r>
      <w:r w:rsidRPr="00A356FE">
        <w:rPr>
          <w:rFonts w:ascii="David" w:eastAsia="Times New Roman" w:hAnsi="David" w:hint="cs"/>
          <w:color w:val="000000"/>
          <w:rtl/>
        </w:rPr>
        <w:t xml:space="preserve">. </w:t>
      </w:r>
    </w:p>
    <w:p w:rsidR="00A356FE" w:rsidRDefault="00A356FE" w:rsidP="00780272">
      <w:pPr>
        <w:pStyle w:val="731"/>
        <w:rPr>
          <w:rtl/>
        </w:rPr>
      </w:pPr>
    </w:p>
    <w:p w:rsidR="00780272" w:rsidRDefault="00780272" w:rsidP="00AE4BB7">
      <w:pPr>
        <w:spacing w:after="160" w:line="288" w:lineRule="auto"/>
        <w:ind w:left="-1"/>
        <w:rPr>
          <w:rFonts w:ascii="Tahoma" w:hAnsi="Tahoma" w:cs="Tahoma"/>
        </w:rPr>
      </w:pPr>
    </w:p>
    <w:p w:rsidR="00780272" w:rsidRDefault="00780272" w:rsidP="00AE4BB7">
      <w:pPr>
        <w:spacing w:after="160" w:line="288" w:lineRule="auto"/>
        <w:ind w:left="-1"/>
        <w:rPr>
          <w:rFonts w:ascii="Tahoma" w:hAnsi="Tahoma" w:cs="Tahoma"/>
        </w:rPr>
      </w:pPr>
    </w:p>
    <w:p w:rsidR="00780272" w:rsidRDefault="00780272" w:rsidP="00AE4BB7">
      <w:pPr>
        <w:spacing w:after="160" w:line="288" w:lineRule="auto"/>
        <w:ind w:left="-1"/>
        <w:rPr>
          <w:rFonts w:ascii="Tahoma" w:hAnsi="Tahoma" w:cs="Tahoma"/>
        </w:rPr>
      </w:pPr>
    </w:p>
    <w:p w:rsidR="00780272" w:rsidRDefault="00780272" w:rsidP="00AE4BB7">
      <w:pPr>
        <w:spacing w:after="160" w:line="288" w:lineRule="auto"/>
        <w:ind w:left="-1"/>
        <w:rPr>
          <w:rFonts w:ascii="Tahoma" w:hAnsi="Tahoma" w:cs="Tahoma"/>
        </w:rPr>
      </w:pPr>
    </w:p>
    <w:p w:rsidR="00780272" w:rsidRDefault="00780272" w:rsidP="00AE4BB7">
      <w:pPr>
        <w:spacing w:after="160" w:line="288" w:lineRule="auto"/>
        <w:ind w:left="-1"/>
        <w:rPr>
          <w:rFonts w:ascii="Tahoma" w:hAnsi="Tahoma" w:cs="Tahoma"/>
        </w:rPr>
      </w:pPr>
    </w:p>
    <w:p w:rsidR="00AE4BB7" w:rsidRPr="006B7706" w:rsidRDefault="00AE4BB7" w:rsidP="00452920">
      <w:pPr>
        <w:spacing w:after="160" w:line="480" w:lineRule="auto"/>
        <w:ind w:left="-1"/>
        <w:rPr>
          <w:rFonts w:ascii="Tahoma" w:hAnsi="Tahoma" w:cs="Tahoma"/>
          <w:rtl/>
        </w:rPr>
      </w:pPr>
      <w:r w:rsidRPr="006C4033">
        <w:rPr>
          <w:rFonts w:ascii="Tahoma" w:hAnsi="Tahoma" w:cs="Tahoma"/>
          <w:noProof/>
        </w:rPr>
        <w:lastRenderedPageBreak/>
        <w:drawing>
          <wp:inline distT="0" distB="0" distL="0" distR="0" wp14:anchorId="3C8A8AD1" wp14:editId="29FC40E1">
            <wp:extent cx="5689600" cy="303530"/>
            <wp:effectExtent l="0" t="0" r="6350" b="127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706621" cy="304438"/>
                    </a:xfrm>
                    <a:prstGeom prst="rect">
                      <a:avLst/>
                    </a:prstGeom>
                    <a:noFill/>
                    <a:ln>
                      <a:noFill/>
                    </a:ln>
                  </pic:spPr>
                </pic:pic>
              </a:graphicData>
            </a:graphic>
          </wp:inline>
        </w:drawing>
      </w:r>
    </w:p>
    <w:p w:rsidR="00A356FE" w:rsidRPr="00A356FE" w:rsidRDefault="00A356FE" w:rsidP="00306123">
      <w:pPr>
        <w:spacing w:before="120" w:line="288" w:lineRule="auto"/>
        <w:ind w:left="-1"/>
        <w:rPr>
          <w:rFonts w:ascii="Tahoma" w:eastAsia="Calibri" w:hAnsi="Tahoma" w:cs="Tahoma"/>
          <w:sz w:val="19"/>
          <w:szCs w:val="19"/>
          <w:rtl/>
        </w:rPr>
      </w:pPr>
      <w:r w:rsidRPr="00A356FE">
        <w:rPr>
          <w:rFonts w:ascii="Tahoma" w:eastAsia="Calibri" w:hAnsi="Tahoma" w:cs="Tahoma" w:hint="cs"/>
          <w:sz w:val="19"/>
          <w:szCs w:val="19"/>
          <w:rtl/>
        </w:rPr>
        <w:t>מתקפת הטרור ב</w:t>
      </w:r>
      <w:r w:rsidRPr="00A356FE">
        <w:rPr>
          <w:rFonts w:ascii="Tahoma" w:eastAsia="Calibri" w:hAnsi="Tahoma" w:cs="Tahoma"/>
          <w:sz w:val="19"/>
          <w:szCs w:val="19"/>
          <w:rtl/>
        </w:rPr>
        <w:t xml:space="preserve">שבעה באוקטובר ופינוי מסיבי של תושבים רבים עם פרוץ המלחמה הציבו בפני מערכת הרווחה בישראל אתגרים שלא נודעו כמותם בהיקפם, במאפייניהם ובחומרתם מאז קום המדינה. רבים נפגעו במישרין או בעקיפין, איבדו את יקיריהם ובמקרים רבים גם את בתיהם, את עבודתם ואת שגרת חייהם, ונאלצו להעתיק את מגוריהם לפתרונות דיור שאינם מותאמים לשהייה ממושכת ולקיום אורח חיים סביר. ההתמודדות עם צורכי הרווחה של המפונים יצרה מגוון קשיים הקשורים לאיתור ולמיפוי של צורכיהם, לאופן אספקת המענים שהם נזקקים להם, לכוח האדם המוקצה לטיפול בהם ולסוג הסיוע הניתן להם; כל זאת בסביבה שבה פועלים גורמים ממשלתיים ופרטיים רבים ובעומס עבודה כבד. </w:t>
      </w:r>
    </w:p>
    <w:p w:rsidR="00A356FE" w:rsidRPr="00A356FE" w:rsidRDefault="00A356FE" w:rsidP="00306123">
      <w:pPr>
        <w:spacing w:before="120" w:line="288" w:lineRule="auto"/>
        <w:ind w:left="-1"/>
        <w:rPr>
          <w:rFonts w:ascii="Tahoma" w:eastAsia="Calibri" w:hAnsi="Tahoma" w:cs="Tahoma"/>
          <w:sz w:val="19"/>
          <w:szCs w:val="19"/>
          <w:rtl/>
        </w:rPr>
      </w:pPr>
      <w:r w:rsidRPr="00A356FE">
        <w:rPr>
          <w:rFonts w:ascii="Tahoma" w:eastAsia="Calibri" w:hAnsi="Tahoma" w:cs="Tahoma"/>
          <w:sz w:val="19"/>
          <w:szCs w:val="19"/>
          <w:rtl/>
        </w:rPr>
        <w:t xml:space="preserve">בביקורת עלה כי כל 14 הרשויות הקולטות שנבדקו - העיריות </w:t>
      </w:r>
      <w:r w:rsidRPr="00A356FE">
        <w:rPr>
          <w:rFonts w:ascii="Tahoma" w:eastAsia="Calibri" w:hAnsi="Tahoma" w:cs="Tahoma"/>
          <w:b/>
          <w:bCs/>
          <w:sz w:val="19"/>
          <w:szCs w:val="19"/>
          <w:rtl/>
        </w:rPr>
        <w:t>אילת</w:t>
      </w:r>
      <w:r w:rsidRPr="00A356FE">
        <w:rPr>
          <w:rFonts w:ascii="Tahoma" w:eastAsia="Calibri" w:hAnsi="Tahoma" w:cs="Tahoma"/>
          <w:sz w:val="19"/>
          <w:szCs w:val="19"/>
          <w:rtl/>
        </w:rPr>
        <w:t xml:space="preserve">, </w:t>
      </w:r>
      <w:r w:rsidRPr="00A356FE">
        <w:rPr>
          <w:rFonts w:ascii="Tahoma" w:eastAsia="Calibri" w:hAnsi="Tahoma" w:cs="Tahoma"/>
          <w:b/>
          <w:bCs/>
          <w:sz w:val="19"/>
          <w:szCs w:val="19"/>
          <w:rtl/>
        </w:rPr>
        <w:t>הרצלייה</w:t>
      </w:r>
      <w:r w:rsidRPr="00A356FE">
        <w:rPr>
          <w:rFonts w:ascii="Tahoma" w:eastAsia="Calibri" w:hAnsi="Tahoma" w:cs="Tahoma"/>
          <w:sz w:val="19"/>
          <w:szCs w:val="19"/>
          <w:rtl/>
        </w:rPr>
        <w:t xml:space="preserve">, </w:t>
      </w:r>
      <w:r w:rsidRPr="00A356FE">
        <w:rPr>
          <w:rFonts w:ascii="Tahoma" w:eastAsia="Calibri" w:hAnsi="Tahoma" w:cs="Tahoma"/>
          <w:b/>
          <w:bCs/>
          <w:sz w:val="19"/>
          <w:szCs w:val="19"/>
          <w:rtl/>
        </w:rPr>
        <w:t>חיפה</w:t>
      </w:r>
      <w:r w:rsidRPr="00A356FE">
        <w:rPr>
          <w:rFonts w:ascii="Tahoma" w:eastAsia="Calibri" w:hAnsi="Tahoma" w:cs="Tahoma"/>
          <w:sz w:val="19"/>
          <w:szCs w:val="19"/>
          <w:rtl/>
        </w:rPr>
        <w:t xml:space="preserve">, </w:t>
      </w:r>
      <w:r w:rsidRPr="00A356FE">
        <w:rPr>
          <w:rFonts w:ascii="Tahoma" w:eastAsia="Calibri" w:hAnsi="Tahoma" w:cs="Tahoma"/>
          <w:b/>
          <w:bCs/>
          <w:sz w:val="19"/>
          <w:szCs w:val="19"/>
          <w:rtl/>
        </w:rPr>
        <w:t>טבריה</w:t>
      </w:r>
      <w:r w:rsidRPr="00A356FE">
        <w:rPr>
          <w:rFonts w:ascii="Tahoma" w:eastAsia="Calibri" w:hAnsi="Tahoma" w:cs="Tahoma"/>
          <w:sz w:val="19"/>
          <w:szCs w:val="19"/>
          <w:rtl/>
        </w:rPr>
        <w:t xml:space="preserve">, </w:t>
      </w:r>
      <w:r w:rsidRPr="00A356FE">
        <w:rPr>
          <w:rFonts w:ascii="Tahoma" w:eastAsia="Calibri" w:hAnsi="Tahoma" w:cs="Tahoma"/>
          <w:b/>
          <w:bCs/>
          <w:sz w:val="19"/>
          <w:szCs w:val="19"/>
          <w:rtl/>
        </w:rPr>
        <w:t>ירושלים</w:t>
      </w:r>
      <w:r w:rsidRPr="00A356FE">
        <w:rPr>
          <w:rFonts w:ascii="Tahoma" w:eastAsia="Calibri" w:hAnsi="Tahoma" w:cs="Tahoma"/>
          <w:sz w:val="19"/>
          <w:szCs w:val="19"/>
          <w:rtl/>
        </w:rPr>
        <w:t xml:space="preserve">, </w:t>
      </w:r>
      <w:r w:rsidRPr="00A356FE">
        <w:rPr>
          <w:rFonts w:ascii="Tahoma" w:eastAsia="Calibri" w:hAnsi="Tahoma" w:cs="Tahoma"/>
          <w:b/>
          <w:bCs/>
          <w:sz w:val="19"/>
          <w:szCs w:val="19"/>
          <w:rtl/>
        </w:rPr>
        <w:t>נוף הגליל</w:t>
      </w:r>
      <w:r w:rsidRPr="00A356FE">
        <w:rPr>
          <w:rFonts w:ascii="Tahoma" w:eastAsia="Calibri" w:hAnsi="Tahoma" w:cs="Tahoma"/>
          <w:sz w:val="19"/>
          <w:szCs w:val="19"/>
          <w:rtl/>
        </w:rPr>
        <w:t xml:space="preserve">, </w:t>
      </w:r>
      <w:r w:rsidRPr="00A356FE">
        <w:rPr>
          <w:rFonts w:ascii="Tahoma" w:eastAsia="Calibri" w:hAnsi="Tahoma" w:cs="Tahoma"/>
          <w:b/>
          <w:bCs/>
          <w:sz w:val="19"/>
          <w:szCs w:val="19"/>
          <w:rtl/>
        </w:rPr>
        <w:t>נתניה</w:t>
      </w:r>
      <w:r w:rsidRPr="00A356FE">
        <w:rPr>
          <w:rFonts w:ascii="Tahoma" w:eastAsia="Calibri" w:hAnsi="Tahoma" w:cs="Tahoma"/>
          <w:sz w:val="19"/>
          <w:szCs w:val="19"/>
          <w:rtl/>
        </w:rPr>
        <w:t xml:space="preserve">, </w:t>
      </w:r>
      <w:r w:rsidRPr="00A356FE">
        <w:rPr>
          <w:rFonts w:ascii="Tahoma" w:eastAsia="Calibri" w:hAnsi="Tahoma" w:cs="Tahoma"/>
          <w:b/>
          <w:bCs/>
          <w:sz w:val="19"/>
          <w:szCs w:val="19"/>
          <w:rtl/>
        </w:rPr>
        <w:t xml:space="preserve">רמת גן </w:t>
      </w:r>
      <w:r w:rsidRPr="00A356FE">
        <w:rPr>
          <w:rFonts w:ascii="Tahoma" w:eastAsia="Calibri" w:hAnsi="Tahoma" w:cs="Tahoma"/>
          <w:sz w:val="19"/>
          <w:szCs w:val="19"/>
          <w:rtl/>
        </w:rPr>
        <w:t>ו</w:t>
      </w:r>
      <w:r w:rsidRPr="00A356FE">
        <w:rPr>
          <w:rFonts w:ascii="Tahoma" w:eastAsia="Calibri" w:hAnsi="Tahoma" w:cs="Tahoma"/>
          <w:b/>
          <w:bCs/>
          <w:sz w:val="19"/>
          <w:szCs w:val="19"/>
          <w:rtl/>
        </w:rPr>
        <w:t>תל אביב-יפו</w:t>
      </w:r>
      <w:r w:rsidRPr="00A356FE">
        <w:rPr>
          <w:rFonts w:ascii="Tahoma" w:eastAsia="Calibri" w:hAnsi="Tahoma" w:cs="Tahoma"/>
          <w:sz w:val="19"/>
          <w:szCs w:val="19"/>
          <w:rtl/>
        </w:rPr>
        <w:t xml:space="preserve">, המועצה המקומית </w:t>
      </w:r>
      <w:r w:rsidRPr="00A356FE">
        <w:rPr>
          <w:rFonts w:ascii="Tahoma" w:eastAsia="Calibri" w:hAnsi="Tahoma" w:cs="Tahoma"/>
          <w:b/>
          <w:bCs/>
          <w:sz w:val="19"/>
          <w:szCs w:val="19"/>
          <w:rtl/>
        </w:rPr>
        <w:t>זיכרון יעקב</w:t>
      </w:r>
      <w:r w:rsidRPr="00A356FE">
        <w:rPr>
          <w:rFonts w:ascii="Tahoma" w:eastAsia="Calibri" w:hAnsi="Tahoma" w:cs="Tahoma"/>
          <w:sz w:val="19"/>
          <w:szCs w:val="19"/>
          <w:rtl/>
        </w:rPr>
        <w:t xml:space="preserve"> והמועצות האזוריות </w:t>
      </w:r>
      <w:r w:rsidRPr="00A356FE">
        <w:rPr>
          <w:rFonts w:ascii="Tahoma" w:eastAsia="Calibri" w:hAnsi="Tahoma" w:cs="Tahoma"/>
          <w:b/>
          <w:bCs/>
          <w:sz w:val="19"/>
          <w:szCs w:val="19"/>
          <w:rtl/>
        </w:rPr>
        <w:t>חוף הכרמל</w:t>
      </w:r>
      <w:r w:rsidRPr="00A356FE">
        <w:rPr>
          <w:rFonts w:ascii="Tahoma" w:eastAsia="Calibri" w:hAnsi="Tahoma" w:cs="Tahoma"/>
          <w:sz w:val="19"/>
          <w:szCs w:val="19"/>
          <w:rtl/>
        </w:rPr>
        <w:t xml:space="preserve">, </w:t>
      </w:r>
      <w:r w:rsidRPr="00A356FE">
        <w:rPr>
          <w:rFonts w:ascii="Tahoma" w:eastAsia="Calibri" w:hAnsi="Tahoma" w:cs="Tahoma"/>
          <w:b/>
          <w:bCs/>
          <w:sz w:val="19"/>
          <w:szCs w:val="19"/>
          <w:rtl/>
        </w:rPr>
        <w:t>מטה יהודה</w:t>
      </w:r>
      <w:r w:rsidRPr="00A356FE">
        <w:rPr>
          <w:rFonts w:ascii="Tahoma" w:eastAsia="Calibri" w:hAnsi="Tahoma" w:cs="Tahoma"/>
          <w:sz w:val="19"/>
          <w:szCs w:val="19"/>
          <w:rtl/>
        </w:rPr>
        <w:t xml:space="preserve">, </w:t>
      </w:r>
      <w:r w:rsidRPr="00A356FE">
        <w:rPr>
          <w:rFonts w:ascii="Tahoma" w:eastAsia="Calibri" w:hAnsi="Tahoma" w:cs="Tahoma"/>
          <w:b/>
          <w:bCs/>
          <w:sz w:val="19"/>
          <w:szCs w:val="19"/>
          <w:rtl/>
        </w:rPr>
        <w:t xml:space="preserve">עמק הירדן </w:t>
      </w:r>
      <w:r w:rsidRPr="00A356FE">
        <w:rPr>
          <w:rFonts w:ascii="Tahoma" w:eastAsia="Calibri" w:hAnsi="Tahoma" w:cs="Tahoma"/>
          <w:sz w:val="19"/>
          <w:szCs w:val="19"/>
          <w:rtl/>
        </w:rPr>
        <w:t>ו</w:t>
      </w:r>
      <w:r w:rsidRPr="00A356FE">
        <w:rPr>
          <w:rFonts w:ascii="Tahoma" w:eastAsia="Calibri" w:hAnsi="Tahoma" w:cs="Tahoma"/>
          <w:b/>
          <w:bCs/>
          <w:sz w:val="19"/>
          <w:szCs w:val="19"/>
          <w:rtl/>
        </w:rPr>
        <w:t>תמר</w:t>
      </w:r>
      <w:r w:rsidRPr="00A356FE">
        <w:rPr>
          <w:rFonts w:ascii="Tahoma" w:eastAsia="Calibri" w:hAnsi="Tahoma" w:cs="Tahoma"/>
          <w:sz w:val="19"/>
          <w:szCs w:val="19"/>
          <w:rtl/>
        </w:rPr>
        <w:t xml:space="preserve"> - הצליחו לפעול בדרכים שונות ומגוונות לאיתור צורכי הרווחה של המפונים שהן קלטו ולספק להם </w:t>
      </w:r>
      <w:r w:rsidRPr="00A356FE">
        <w:rPr>
          <w:rFonts w:ascii="Tahoma" w:eastAsia="Calibri" w:hAnsi="Tahoma" w:cs="Tahoma" w:hint="cs"/>
          <w:sz w:val="19"/>
          <w:szCs w:val="19"/>
          <w:rtl/>
        </w:rPr>
        <w:t>סיוע נפשי ומענה טיפולי</w:t>
      </w:r>
      <w:r w:rsidRPr="00A356FE">
        <w:rPr>
          <w:rFonts w:ascii="Tahoma" w:eastAsia="Calibri" w:hAnsi="Tahoma" w:cs="Tahoma"/>
          <w:sz w:val="19"/>
          <w:szCs w:val="19"/>
          <w:rtl/>
        </w:rPr>
        <w:t xml:space="preserve"> באמצעות מחלקות הרווחה והש</w:t>
      </w:r>
      <w:r w:rsidRPr="00A356FE">
        <w:rPr>
          <w:rFonts w:ascii="Tahoma" w:eastAsia="Calibri" w:hAnsi="Tahoma" w:cs="Tahoma" w:hint="cs"/>
          <w:sz w:val="19"/>
          <w:szCs w:val="19"/>
          <w:rtl/>
        </w:rPr>
        <w:t>ירות הפסיכולוגי-החינוכי</w:t>
      </w:r>
      <w:r w:rsidRPr="00A356FE">
        <w:rPr>
          <w:rFonts w:ascii="Tahoma" w:eastAsia="Calibri" w:hAnsi="Tahoma" w:cs="Tahoma"/>
          <w:sz w:val="19"/>
          <w:szCs w:val="19"/>
          <w:rtl/>
        </w:rPr>
        <w:t xml:space="preserve"> שלהן ובאמצעות גורמים חיצוניים להן, דוגמת הרשויות המפונות, משרד הרווחה, מערכת הבריאות וגורמים התנדבותיים. תשומת לב טיפולית הן הפנו גם לבני נוער בסיכון, לאזרחים ותיקים ולאנשים עם מוגבלות וצרכים מיוחדים; כל זאת ללא ה</w:t>
      </w:r>
      <w:r w:rsidRPr="00A356FE">
        <w:rPr>
          <w:rFonts w:ascii="Tahoma" w:eastAsia="Calibri" w:hAnsi="Tahoma" w:cs="Tahoma" w:hint="cs"/>
          <w:sz w:val="19"/>
          <w:szCs w:val="19"/>
          <w:rtl/>
        </w:rPr>
        <w:t xml:space="preserve">יערכות מוקדמת, לא של משרדי הממשלה, ובעיקר משרד הרווחה, ולא של הרשויות המקומיות, שהתאימה להיקף הקליטה מבחינת מספר המפונים ומשך הפינוי, ועל רקע אירועים קשים ביותר שהעצימו את הצורך בשירותי </w:t>
      </w:r>
      <w:r w:rsidRPr="00A356FE">
        <w:rPr>
          <w:rFonts w:ascii="Tahoma" w:eastAsia="Calibri" w:hAnsi="Tahoma" w:cs="Tahoma"/>
          <w:sz w:val="19"/>
          <w:szCs w:val="19"/>
          <w:rtl/>
        </w:rPr>
        <w:t xml:space="preserve">רווחה. </w:t>
      </w:r>
    </w:p>
    <w:p w:rsidR="00A356FE" w:rsidRPr="00A356FE" w:rsidRDefault="00A356FE" w:rsidP="00306123">
      <w:pPr>
        <w:spacing w:before="120" w:line="288" w:lineRule="auto"/>
        <w:ind w:left="-1"/>
        <w:rPr>
          <w:rFonts w:ascii="Tahoma" w:eastAsia="Calibri" w:hAnsi="Tahoma" w:cs="Tahoma"/>
          <w:sz w:val="19"/>
          <w:szCs w:val="19"/>
          <w:rtl/>
        </w:rPr>
      </w:pPr>
      <w:r w:rsidRPr="00A356FE">
        <w:rPr>
          <w:rFonts w:ascii="Tahoma" w:eastAsia="Calibri" w:hAnsi="Tahoma" w:cs="Tahoma"/>
          <w:sz w:val="19"/>
          <w:szCs w:val="19"/>
          <w:rtl/>
        </w:rPr>
        <w:t xml:space="preserve">על אף סיועו הנרחב של משרד הרווחה בהקצאת כוח אדם טיפולי לרשויות הקולטות - הן בתוספת של תקני עו"סים והן באמצעות גיוס עובדיו (מטה ומחוזות) - לא הייתה לו תוכנית מוסדרת למתן מענה בנסיבות שנוצרו, והוא פעל בעיקר כגורם משלים לפעילות של הרשויות הקולטות. </w:t>
      </w:r>
      <w:r w:rsidRPr="00A356FE">
        <w:rPr>
          <w:rFonts w:ascii="Tahoma" w:eastAsia="Calibri" w:hAnsi="Tahoma" w:cs="Tahoma" w:hint="cs"/>
          <w:sz w:val="19"/>
          <w:szCs w:val="19"/>
          <w:rtl/>
        </w:rPr>
        <w:t xml:space="preserve">במצב דברים זה, </w:t>
      </w:r>
      <w:r w:rsidRPr="00A356FE">
        <w:rPr>
          <w:rFonts w:ascii="Tahoma" w:eastAsia="Calibri" w:hAnsi="Tahoma" w:cs="Tahoma"/>
          <w:sz w:val="19"/>
          <w:szCs w:val="19"/>
          <w:rtl/>
        </w:rPr>
        <w:t xml:space="preserve">עולה חשש כי חלק מהמפונים לא קיבלו את המענה הטיפולי </w:t>
      </w:r>
      <w:r w:rsidRPr="00A356FE">
        <w:rPr>
          <w:rFonts w:ascii="Tahoma" w:eastAsia="Calibri" w:hAnsi="Tahoma" w:cs="Tahoma" w:hint="cs"/>
          <w:sz w:val="19"/>
          <w:szCs w:val="19"/>
          <w:rtl/>
        </w:rPr>
        <w:t xml:space="preserve">הנדרש, </w:t>
      </w:r>
      <w:r w:rsidRPr="00A356FE">
        <w:rPr>
          <w:rFonts w:ascii="Tahoma" w:eastAsia="Calibri" w:hAnsi="Tahoma" w:cs="Tahoma"/>
          <w:sz w:val="19"/>
          <w:szCs w:val="19"/>
          <w:rtl/>
        </w:rPr>
        <w:t>בעיקר מפונים בקהילה ומתפנים עצמאי</w:t>
      </w:r>
      <w:r w:rsidRPr="00A356FE">
        <w:rPr>
          <w:rFonts w:ascii="Tahoma" w:eastAsia="Calibri" w:hAnsi="Tahoma" w:cs="Tahoma" w:hint="cs"/>
          <w:sz w:val="19"/>
          <w:szCs w:val="19"/>
          <w:rtl/>
        </w:rPr>
        <w:t>ת</w:t>
      </w:r>
      <w:r w:rsidRPr="00A356FE">
        <w:rPr>
          <w:rFonts w:ascii="Tahoma" w:eastAsia="Calibri" w:hAnsi="Tahoma" w:cs="Tahoma"/>
          <w:sz w:val="19"/>
          <w:szCs w:val="19"/>
          <w:rtl/>
        </w:rPr>
        <w:t xml:space="preserve"> שלא שה</w:t>
      </w:r>
      <w:r w:rsidRPr="00A356FE">
        <w:rPr>
          <w:rFonts w:ascii="Tahoma" w:eastAsia="Calibri" w:hAnsi="Tahoma" w:cs="Tahoma" w:hint="cs"/>
          <w:sz w:val="19"/>
          <w:szCs w:val="19"/>
          <w:rtl/>
        </w:rPr>
        <w:t>ו</w:t>
      </w:r>
      <w:r w:rsidRPr="00A356FE">
        <w:rPr>
          <w:rFonts w:ascii="Tahoma" w:eastAsia="Calibri" w:hAnsi="Tahoma" w:cs="Tahoma"/>
          <w:sz w:val="19"/>
          <w:szCs w:val="19"/>
          <w:rtl/>
        </w:rPr>
        <w:t xml:space="preserve"> במלונות, וכן מפונים ששהו במלונות מבודדים וברשויות קטנות יותר.</w:t>
      </w:r>
    </w:p>
    <w:p w:rsidR="00A356FE" w:rsidRPr="00A356FE" w:rsidRDefault="00A356FE" w:rsidP="00306123">
      <w:pPr>
        <w:spacing w:before="120" w:line="288" w:lineRule="auto"/>
        <w:ind w:left="-1"/>
        <w:rPr>
          <w:rFonts w:ascii="Tahoma" w:eastAsia="Calibri" w:hAnsi="Tahoma" w:cs="Tahoma"/>
          <w:sz w:val="19"/>
          <w:szCs w:val="19"/>
          <w:rtl/>
        </w:rPr>
      </w:pPr>
      <w:r w:rsidRPr="00A356FE">
        <w:rPr>
          <w:rFonts w:ascii="Tahoma" w:eastAsia="Calibri" w:hAnsi="Tahoma" w:cs="Tahoma"/>
          <w:sz w:val="19"/>
          <w:szCs w:val="19"/>
          <w:rtl/>
        </w:rPr>
        <w:t>המפונים מ</w:t>
      </w:r>
      <w:r w:rsidRPr="00A356FE">
        <w:rPr>
          <w:rFonts w:ascii="Tahoma" w:eastAsia="Calibri" w:hAnsi="Tahoma" w:cs="Tahoma"/>
          <w:b/>
          <w:bCs/>
          <w:sz w:val="19"/>
          <w:szCs w:val="19"/>
          <w:rtl/>
        </w:rPr>
        <w:t>אשקלון</w:t>
      </w:r>
      <w:r w:rsidRPr="00A356FE">
        <w:rPr>
          <w:rFonts w:ascii="Tahoma" w:eastAsia="Calibri" w:hAnsi="Tahoma" w:cs="Tahoma"/>
          <w:sz w:val="19"/>
          <w:szCs w:val="19"/>
          <w:rtl/>
        </w:rPr>
        <w:t xml:space="preserve"> קיבלו שירותי רווחה בעיקר מהרשויות הקולטות וממתנדבים, ולעירייה אין נתונים לגבי המענים שקיבלו. </w:t>
      </w:r>
      <w:r w:rsidRPr="00A356FE">
        <w:rPr>
          <w:rFonts w:ascii="Tahoma" w:eastAsia="Calibri" w:hAnsi="Tahoma" w:cs="Tahoma" w:hint="cs"/>
          <w:sz w:val="19"/>
          <w:szCs w:val="19"/>
          <w:rtl/>
        </w:rPr>
        <w:t>עיריית</w:t>
      </w:r>
      <w:r w:rsidRPr="00A356FE">
        <w:rPr>
          <w:rFonts w:ascii="Tahoma" w:eastAsia="Calibri" w:hAnsi="Tahoma" w:cs="Tahoma" w:hint="cs"/>
          <w:b/>
          <w:bCs/>
          <w:sz w:val="19"/>
          <w:szCs w:val="19"/>
          <w:rtl/>
        </w:rPr>
        <w:t xml:space="preserve"> </w:t>
      </w:r>
      <w:r w:rsidRPr="00A356FE">
        <w:rPr>
          <w:rFonts w:ascii="Tahoma" w:eastAsia="Calibri" w:hAnsi="Tahoma" w:cs="Tahoma"/>
          <w:b/>
          <w:bCs/>
          <w:sz w:val="19"/>
          <w:szCs w:val="19"/>
          <w:rtl/>
        </w:rPr>
        <w:t>שדרות</w:t>
      </w:r>
      <w:r w:rsidRPr="00A356FE">
        <w:rPr>
          <w:rFonts w:ascii="Tahoma" w:eastAsia="Calibri" w:hAnsi="Tahoma" w:cs="Tahoma" w:hint="cs"/>
          <w:sz w:val="19"/>
          <w:szCs w:val="19"/>
          <w:rtl/>
        </w:rPr>
        <w:t xml:space="preserve"> והמועצות האזוריות </w:t>
      </w:r>
      <w:r w:rsidRPr="00A356FE">
        <w:rPr>
          <w:rFonts w:ascii="Tahoma" w:eastAsia="Calibri" w:hAnsi="Tahoma" w:cs="Tahoma" w:hint="cs"/>
          <w:b/>
          <w:bCs/>
          <w:sz w:val="19"/>
          <w:szCs w:val="19"/>
          <w:rtl/>
        </w:rPr>
        <w:t xml:space="preserve">אשכול </w:t>
      </w:r>
      <w:r w:rsidRPr="00A356FE">
        <w:rPr>
          <w:rFonts w:ascii="Tahoma" w:eastAsia="Calibri" w:hAnsi="Tahoma" w:cs="Tahoma" w:hint="cs"/>
          <w:sz w:val="19"/>
          <w:szCs w:val="19"/>
          <w:rtl/>
        </w:rPr>
        <w:t>ו</w:t>
      </w:r>
      <w:r w:rsidRPr="00A356FE">
        <w:rPr>
          <w:rFonts w:ascii="Tahoma" w:eastAsia="Calibri" w:hAnsi="Tahoma" w:cs="Tahoma"/>
          <w:b/>
          <w:bCs/>
          <w:sz w:val="19"/>
          <w:szCs w:val="19"/>
          <w:rtl/>
        </w:rPr>
        <w:t>חוף אשקלון</w:t>
      </w:r>
      <w:r w:rsidRPr="00A356FE">
        <w:rPr>
          <w:rFonts w:ascii="Tahoma" w:eastAsia="Calibri" w:hAnsi="Tahoma" w:cs="Tahoma"/>
          <w:sz w:val="19"/>
          <w:szCs w:val="19"/>
          <w:rtl/>
        </w:rPr>
        <w:t xml:space="preserve"> עסקו בתגובה לאסון של </w:t>
      </w:r>
      <w:r w:rsidRPr="00A356FE">
        <w:rPr>
          <w:rFonts w:ascii="Tahoma" w:eastAsia="Calibri" w:hAnsi="Tahoma" w:cs="Tahoma" w:hint="cs"/>
          <w:sz w:val="19"/>
          <w:szCs w:val="19"/>
          <w:rtl/>
        </w:rPr>
        <w:t>מתקפת הטרור ב</w:t>
      </w:r>
      <w:r w:rsidRPr="00A356FE">
        <w:rPr>
          <w:rFonts w:ascii="Tahoma" w:eastAsia="Calibri" w:hAnsi="Tahoma" w:cs="Tahoma"/>
          <w:sz w:val="19"/>
          <w:szCs w:val="19"/>
          <w:rtl/>
        </w:rPr>
        <w:t>שבעה באוקטובר: במיפוי האוכלוסייה ובמתן מענים דחופים ובשורות מרות, ו</w:t>
      </w:r>
      <w:r w:rsidRPr="00A356FE">
        <w:rPr>
          <w:rFonts w:ascii="Tahoma" w:eastAsia="Calibri" w:hAnsi="Tahoma" w:cs="Tahoma" w:hint="cs"/>
          <w:sz w:val="19"/>
          <w:szCs w:val="19"/>
          <w:rtl/>
        </w:rPr>
        <w:t xml:space="preserve">פעלו להעמקת שירותי הרווחה למפונים, תחילה במלונות ובהמשך לשבים </w:t>
      </w:r>
      <w:r w:rsidRPr="00A356FE">
        <w:rPr>
          <w:rFonts w:ascii="Tahoma" w:eastAsia="Calibri" w:hAnsi="Tahoma" w:cs="Tahoma"/>
          <w:sz w:val="19"/>
          <w:szCs w:val="19"/>
          <w:rtl/>
        </w:rPr>
        <w:t xml:space="preserve">הביתה ולמפונים שעברו למגורי הביניים. </w:t>
      </w:r>
    </w:p>
    <w:p w:rsidR="00A356FE" w:rsidRPr="00A356FE" w:rsidRDefault="00A356FE" w:rsidP="00306123">
      <w:pPr>
        <w:spacing w:before="120" w:line="288" w:lineRule="auto"/>
        <w:ind w:left="-1"/>
        <w:rPr>
          <w:rFonts w:ascii="Tahoma" w:eastAsia="Calibri" w:hAnsi="Tahoma" w:cs="Tahoma"/>
          <w:sz w:val="19"/>
          <w:szCs w:val="19"/>
          <w:rtl/>
        </w:rPr>
      </w:pPr>
      <w:r w:rsidRPr="00A356FE">
        <w:rPr>
          <w:rFonts w:ascii="Tahoma" w:eastAsia="Calibri" w:hAnsi="Tahoma" w:cs="Tahoma"/>
          <w:sz w:val="19"/>
          <w:szCs w:val="19"/>
          <w:rtl/>
        </w:rPr>
        <w:t xml:space="preserve">כל הרשויות המפונות מצפון הארץ שנבדקו פעלו למתן שירותי רווחה לתושביהן המפונים, בסיוע משרד הרווחה, הרשויות הקולטות וארגונים התנדבותיים. בימים הראשונים לפינוי הופנה המענה בעיקרו להסדרת הפינוי של מטופלי רווחה קיימים, ובהמשך הציבו הרשויות עובדים סוציאליים במלונות ויצרו קשר שוטף עם התושבים כדי </w:t>
      </w:r>
      <w:r w:rsidRPr="00A356FE">
        <w:rPr>
          <w:rFonts w:ascii="Tahoma" w:eastAsia="Calibri" w:hAnsi="Tahoma" w:cs="Tahoma" w:hint="cs"/>
          <w:sz w:val="19"/>
          <w:szCs w:val="19"/>
          <w:rtl/>
        </w:rPr>
        <w:t>לספק את צ</w:t>
      </w:r>
      <w:r w:rsidRPr="00A356FE">
        <w:rPr>
          <w:rFonts w:ascii="Tahoma" w:eastAsia="Calibri" w:hAnsi="Tahoma" w:cs="Tahoma"/>
          <w:sz w:val="19"/>
          <w:szCs w:val="19"/>
          <w:rtl/>
        </w:rPr>
        <w:t xml:space="preserve">ורכי הרווחה, בעיקר </w:t>
      </w:r>
      <w:r w:rsidRPr="00A356FE">
        <w:rPr>
          <w:rFonts w:ascii="Tahoma" w:eastAsia="Calibri" w:hAnsi="Tahoma" w:cs="Tahoma" w:hint="cs"/>
          <w:sz w:val="19"/>
          <w:szCs w:val="19"/>
          <w:rtl/>
        </w:rPr>
        <w:t>באופן פרטני</w:t>
      </w:r>
      <w:r w:rsidRPr="00A356FE">
        <w:rPr>
          <w:rFonts w:ascii="Tahoma" w:eastAsia="Calibri" w:hAnsi="Tahoma" w:cs="Tahoma"/>
          <w:sz w:val="19"/>
          <w:szCs w:val="19"/>
          <w:rtl/>
        </w:rPr>
        <w:t>. עיקר הטיפול והמענה הרווחתי התמקד בתושבים המפונים במלונות ובמתן מענה לפניות יזומות של תושבים. עם זאת</w:t>
      </w:r>
      <w:r w:rsidRPr="00A356FE">
        <w:rPr>
          <w:rFonts w:ascii="Tahoma" w:eastAsia="Calibri" w:hAnsi="Tahoma" w:cs="Tahoma" w:hint="cs"/>
          <w:sz w:val="19"/>
          <w:szCs w:val="19"/>
          <w:rtl/>
        </w:rPr>
        <w:t>,</w:t>
      </w:r>
      <w:r w:rsidRPr="00A356FE">
        <w:rPr>
          <w:rFonts w:ascii="Tahoma" w:eastAsia="Calibri" w:hAnsi="Tahoma" w:cs="Tahoma"/>
          <w:sz w:val="19"/>
          <w:szCs w:val="19"/>
          <w:rtl/>
        </w:rPr>
        <w:t xml:space="preserve"> חלק מהרשויות המפונות התקשו לתת מענה לתושבים בשל פיזורם הרב</w:t>
      </w:r>
      <w:r w:rsidRPr="00A356FE">
        <w:rPr>
          <w:rFonts w:ascii="Tahoma" w:eastAsia="Calibri" w:hAnsi="Tahoma" w:cs="Tahoma" w:hint="cs"/>
          <w:sz w:val="19"/>
          <w:szCs w:val="19"/>
          <w:rtl/>
        </w:rPr>
        <w:t>.</w:t>
      </w:r>
    </w:p>
    <w:p w:rsidR="00A356FE" w:rsidRPr="00A356FE" w:rsidRDefault="00A356FE" w:rsidP="00306123">
      <w:pPr>
        <w:spacing w:before="120" w:line="288" w:lineRule="auto"/>
        <w:ind w:left="-1"/>
        <w:rPr>
          <w:rFonts w:eastAsia="Calibri"/>
          <w:rtl/>
        </w:rPr>
      </w:pPr>
      <w:r w:rsidRPr="00A356FE">
        <w:rPr>
          <w:rFonts w:ascii="Tahoma" w:eastAsia="Calibri" w:hAnsi="Tahoma" w:cs="Tahoma"/>
          <w:sz w:val="19"/>
          <w:szCs w:val="19"/>
          <w:rtl/>
        </w:rPr>
        <w:lastRenderedPageBreak/>
        <w:t xml:space="preserve">ממצאי הביקורת </w:t>
      </w:r>
      <w:r w:rsidRPr="00A356FE">
        <w:rPr>
          <w:rFonts w:ascii="Tahoma" w:eastAsia="Calibri" w:hAnsi="Tahoma" w:cs="Tahoma" w:hint="cs"/>
          <w:sz w:val="19"/>
          <w:szCs w:val="19"/>
          <w:rtl/>
        </w:rPr>
        <w:t>מדגישים את מרכזיותו של השלטון המקומי בשעת חירום, ו</w:t>
      </w:r>
      <w:r w:rsidRPr="00A356FE">
        <w:rPr>
          <w:rFonts w:ascii="Tahoma" w:eastAsia="Calibri" w:hAnsi="Tahoma" w:cs="Tahoma"/>
          <w:sz w:val="19"/>
          <w:szCs w:val="19"/>
          <w:rtl/>
        </w:rPr>
        <w:t>ממחישים כי על השלטון המקומי והמרכזי - בדגש על משרדי הרווחה והבריאות</w:t>
      </w:r>
      <w:r w:rsidRPr="00A356FE">
        <w:rPr>
          <w:rFonts w:ascii="Tahoma" w:eastAsia="Calibri" w:hAnsi="Tahoma" w:cs="Tahoma"/>
          <w:sz w:val="19"/>
          <w:szCs w:val="19"/>
          <w:vertAlign w:val="superscript"/>
          <w:rtl/>
        </w:rPr>
        <w:footnoteReference w:id="3"/>
      </w:r>
      <w:r w:rsidRPr="00A356FE">
        <w:rPr>
          <w:rFonts w:ascii="Tahoma" w:eastAsia="Calibri" w:hAnsi="Tahoma" w:cs="Tahoma"/>
          <w:sz w:val="19"/>
          <w:szCs w:val="19"/>
          <w:rtl/>
        </w:rPr>
        <w:t xml:space="preserve"> - לפעול להרחבת מעגל גורמי הטיפול לצורך הסדרה ואספקה של מענים בתחום זה, ככל שיידרשו בעקבות </w:t>
      </w:r>
      <w:r w:rsidRPr="00A356FE">
        <w:rPr>
          <w:rFonts w:ascii="Tahoma" w:eastAsia="Calibri" w:hAnsi="Tahoma" w:cs="Tahoma" w:hint="cs"/>
          <w:sz w:val="19"/>
          <w:szCs w:val="19"/>
          <w:rtl/>
        </w:rPr>
        <w:t>מתקפת הטרור ב</w:t>
      </w:r>
      <w:r w:rsidRPr="00A356FE">
        <w:rPr>
          <w:rFonts w:ascii="Tahoma" w:eastAsia="Calibri" w:hAnsi="Tahoma" w:cs="Tahoma"/>
          <w:sz w:val="19"/>
          <w:szCs w:val="19"/>
          <w:rtl/>
        </w:rPr>
        <w:t>שבעה באוקטובר והשלכות מלחמת חרבות ברזל על המפונים ועל אוכלוסיית המדינה בכלל</w:t>
      </w:r>
      <w:r w:rsidRPr="00A356FE">
        <w:rPr>
          <w:rFonts w:ascii="Tahoma" w:eastAsia="Calibri" w:hAnsi="Tahoma" w:cs="Tahoma" w:hint="cs"/>
          <w:sz w:val="19"/>
          <w:szCs w:val="19"/>
          <w:rtl/>
        </w:rPr>
        <w:t>, כדי לתת בידי הרשויות המקומיות את האמצעים והכלים שיאפשרו להן במצבי חירום הכרוכים בפינוי תושבים, להעניק למפונים את כלל שירותי הרווחה שהם יזדקקו להם במהלך הפינוי ולאחריו</w:t>
      </w:r>
      <w:r w:rsidRPr="00A356FE">
        <w:rPr>
          <w:rFonts w:ascii="Tahoma" w:eastAsia="Calibri" w:hAnsi="Tahoma" w:cs="Tahoma"/>
          <w:sz w:val="19"/>
          <w:szCs w:val="19"/>
          <w:rtl/>
        </w:rPr>
        <w:t>. ע</w:t>
      </w:r>
      <w:r w:rsidRPr="00A356FE">
        <w:rPr>
          <w:rFonts w:ascii="Tahoma" w:eastAsia="Calibri" w:hAnsi="Tahoma" w:cs="Tahoma" w:hint="cs"/>
          <w:sz w:val="19"/>
          <w:szCs w:val="19"/>
          <w:rtl/>
        </w:rPr>
        <w:t xml:space="preserve">וד מומלץ כי </w:t>
      </w:r>
      <w:r w:rsidRPr="00A356FE">
        <w:rPr>
          <w:rFonts w:ascii="Tahoma" w:eastAsia="Calibri" w:hAnsi="Tahoma" w:cs="Tahoma"/>
          <w:sz w:val="19"/>
          <w:szCs w:val="19"/>
          <w:rtl/>
        </w:rPr>
        <w:t>משרד הרווחה</w:t>
      </w:r>
      <w:r w:rsidRPr="00A356FE">
        <w:rPr>
          <w:rFonts w:ascii="Tahoma" w:eastAsia="Calibri" w:hAnsi="Tahoma" w:cs="Tahoma" w:hint="cs"/>
          <w:sz w:val="19"/>
          <w:szCs w:val="19"/>
          <w:rtl/>
        </w:rPr>
        <w:t xml:space="preserve"> יגבש</w:t>
      </w:r>
      <w:r w:rsidRPr="00A356FE">
        <w:rPr>
          <w:rFonts w:ascii="Tahoma" w:eastAsia="Calibri" w:hAnsi="Tahoma" w:cs="Tahoma"/>
          <w:sz w:val="19"/>
          <w:szCs w:val="19"/>
          <w:rtl/>
        </w:rPr>
        <w:t>, בשיתוף הרשויות המ</w:t>
      </w:r>
      <w:r w:rsidRPr="00A356FE">
        <w:rPr>
          <w:rFonts w:ascii="Tahoma" w:eastAsia="Calibri" w:hAnsi="Tahoma" w:cs="Tahoma" w:hint="cs"/>
          <w:sz w:val="19"/>
          <w:szCs w:val="19"/>
          <w:rtl/>
        </w:rPr>
        <w:t xml:space="preserve">פונות שטרם עשו זאת, תוכנית פעולה מקיפה ומתכללת ליישום מיידי, לשיקום בני הנוער בסיכון והמועדים לסיכון ולמניעת הידרדרותם, ובכלל זה הקצאת תקציב ומעקב אחר יישום תוכניות אלו. </w:t>
      </w:r>
    </w:p>
    <w:p w:rsidR="00A356FE" w:rsidRPr="00A356FE" w:rsidRDefault="00A356FE" w:rsidP="00A356FE">
      <w:pPr>
        <w:spacing w:before="120" w:line="288" w:lineRule="auto"/>
        <w:ind w:left="-851" w:right="-567"/>
        <w:rPr>
          <w:rFonts w:ascii="Tahoma" w:eastAsia="Calibri" w:hAnsi="Tahoma" w:cs="Tahoma"/>
          <w:sz w:val="19"/>
          <w:szCs w:val="19"/>
          <w:rtl/>
        </w:rPr>
      </w:pPr>
    </w:p>
    <w:p w:rsidR="001C33F8" w:rsidRDefault="001C33F8" w:rsidP="00A356FE">
      <w:pPr>
        <w:pStyle w:val="739"/>
        <w:spacing w:after="120"/>
        <w:rPr>
          <w:sz w:val="19"/>
          <w:szCs w:val="19"/>
        </w:rPr>
      </w:pPr>
    </w:p>
    <w:p w:rsidR="00C4789A" w:rsidRPr="009515F9" w:rsidRDefault="00C4789A" w:rsidP="009515F9">
      <w:pPr>
        <w:bidi w:val="0"/>
        <w:spacing w:after="200" w:line="276" w:lineRule="auto"/>
        <w:rPr>
          <w:rFonts w:ascii="Tahoma" w:hAnsi="Tahoma" w:cs="Tahoma"/>
          <w:b/>
          <w:bCs/>
          <w:sz w:val="36"/>
          <w:szCs w:val="36"/>
        </w:rPr>
        <w:sectPr w:rsidR="00C4789A" w:rsidRPr="009515F9" w:rsidSect="008654CB">
          <w:headerReference w:type="even" r:id="rId19"/>
          <w:headerReference w:type="default" r:id="rId20"/>
          <w:headerReference w:type="first" r:id="rId21"/>
          <w:footerReference w:type="first" r:id="rId22"/>
          <w:pgSz w:w="11340" w:h="14175" w:code="9"/>
          <w:pgMar w:top="2268" w:right="1276" w:bottom="1588" w:left="1134" w:header="709" w:footer="709" w:gutter="0"/>
          <w:cols w:space="708"/>
          <w:titlePg/>
          <w:bidi/>
          <w:rtlGutter/>
          <w:docGrid w:linePitch="360"/>
        </w:sectPr>
      </w:pPr>
    </w:p>
    <w:bookmarkEnd w:id="0"/>
    <w:p w:rsidR="009A6817" w:rsidRPr="001C33F8" w:rsidRDefault="009A6817" w:rsidP="001D3DA9">
      <w:pPr>
        <w:spacing w:after="160" w:line="259" w:lineRule="auto"/>
        <w:jc w:val="left"/>
        <w:rPr>
          <w:rFonts w:ascii="Tahoma" w:hAnsi="Tahoma" w:cs="Tahoma"/>
          <w:noProof/>
          <w:rtl/>
        </w:rPr>
      </w:pPr>
    </w:p>
    <w:sectPr w:rsidR="009A6817" w:rsidRPr="001C33F8" w:rsidSect="00030DCF">
      <w:headerReference w:type="first" r:id="rId23"/>
      <w:type w:val="continuous"/>
      <w:pgSz w:w="11340" w:h="14175" w:code="9"/>
      <w:pgMar w:top="2268" w:right="1276" w:bottom="1588"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10" w:rsidRDefault="00B64110">
      <w:pPr>
        <w:spacing w:line="240" w:lineRule="auto"/>
      </w:pPr>
      <w:r>
        <w:separator/>
      </w:r>
    </w:p>
  </w:endnote>
  <w:endnote w:type="continuationSeparator" w:id="0">
    <w:p w:rsidR="00B64110" w:rsidRDefault="00B64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CE4" w:rsidRDefault="00EE06A0">
    <w:pPr>
      <w:pStyle w:val="ab"/>
    </w:pPr>
    <w:r>
      <w:rPr>
        <w:noProof/>
      </w:rPr>
      <mc:AlternateContent>
        <mc:Choice Requires="wps">
          <w:drawing>
            <wp:anchor distT="0" distB="0" distL="114300" distR="114300" simplePos="0" relativeHeight="251665408" behindDoc="0" locked="0" layoutInCell="1" allowOverlap="1">
              <wp:simplePos x="0" y="0"/>
              <wp:positionH relativeFrom="column">
                <wp:posOffset>1384662</wp:posOffset>
              </wp:positionH>
              <wp:positionV relativeFrom="paragraph">
                <wp:posOffset>-352879</wp:posOffset>
              </wp:positionV>
              <wp:extent cx="2996838" cy="0"/>
              <wp:effectExtent l="0" t="0" r="0" b="0"/>
              <wp:wrapNone/>
              <wp:docPr id="21" name="מחבר ישר 21"/>
              <wp:cNvGraphicFramePr/>
              <a:graphic xmlns:a="http://schemas.openxmlformats.org/drawingml/2006/main">
                <a:graphicData uri="http://schemas.microsoft.com/office/word/2010/wordprocessingShape">
                  <wps:wsp>
                    <wps:cNvCnPr/>
                    <wps:spPr>
                      <a:xfrm>
                        <a:off x="0" y="0"/>
                        <a:ext cx="2996838"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C41520" id="מחבר ישר 21" o:spid="_x0000_s1026" style="position:absolute;left:0;text-align:lef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05pt,-27.8pt" to="34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" strokecolor="#002060" strokeweight="1.25p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1624330</wp:posOffset>
              </wp:positionH>
              <wp:positionV relativeFrom="paragraph">
                <wp:posOffset>-169545</wp:posOffset>
              </wp:positionV>
              <wp:extent cx="2512060" cy="304800"/>
              <wp:effectExtent l="0" t="0" r="2540" b="0"/>
              <wp:wrapNone/>
              <wp:docPr id="20" name="tbMMHF"/>
              <wp:cNvGraphicFramePr/>
              <a:graphic xmlns:a="http://schemas.openxmlformats.org/drawingml/2006/main">
                <a:graphicData uri="http://schemas.microsoft.com/office/word/2010/wordprocessingShape">
                  <wps:wsp>
                    <wps:cNvSpPr txBox="1"/>
                    <wps:spPr>
                      <a:xfrm>
                        <a:off x="0" y="0"/>
                        <a:ext cx="2512060" cy="304800"/>
                      </a:xfrm>
                      <a:prstGeom prst="rect">
                        <a:avLst/>
                      </a:prstGeom>
                      <a:solidFill>
                        <a:schemeClr val="bg1"/>
                      </a:solidFill>
                      <a:ln w="6350">
                        <a:noFill/>
                      </a:ln>
                    </wps:spPr>
                    <wps:txbx>
                      <w:txbxContent>
                        <w:p w:rsidR="0011074F" w:rsidRPr="0011074F" w:rsidRDefault="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RDefault="00A5605A" w:rsidP="0011074F">
                          <w:pPr>
                            <w:spacing w:line="240" w:lineRule="auto"/>
                            <w:jc w:val="center"/>
                            <w:rPr>
                              <w:rFonts w:asciiTheme="minorHAnsi" w:hAnsiTheme="minorHAnsi" w:cstheme="minorHAnsi"/>
                              <w:color w:val="002060"/>
                              <w:spacing w:val="20"/>
                              <w:sz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bMMHF" o:spid="_x0000_s1048" type="#_x0000_t202" style="position:absolute;left:0;text-align:left;margin-left:127.9pt;margin-top:-13.35pt;width:197.8pt;height:2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" fillcolor="white [3212]" stroked="f" strokeweight=".5pt">
              <v:textbox>
                <w:txbxContent>
                  <w:p w:rsidR="0011074F" w:rsidRPr="0011074F" w:rsidRDefault="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RDefault="00A5605A" w:rsidP="0011074F">
                    <w:pPr>
                      <w:spacing w:line="240" w:lineRule="auto"/>
                      <w:jc w:val="center"/>
                      <w:rPr>
                        <w:rFonts w:asciiTheme="minorHAnsi" w:hAnsiTheme="minorHAnsi" w:cstheme="minorHAnsi"/>
                        <w:color w:val="002060"/>
                        <w:spacing w:val="20"/>
                        <w:sz w:val="24"/>
                        <w:rtl/>
                      </w:rPr>
                    </w:pPr>
                  </w:p>
                </w:txbxContent>
              </v:textbox>
            </v:shape>
          </w:pict>
        </mc:Fallback>
      </mc:AlternateContent>
    </w:r>
    <w:r w:rsidR="009961E8">
      <w:rPr>
        <w:noProof/>
      </w:rPr>
      <mc:AlternateContent>
        <mc:Choice Requires="wps">
          <w:drawing>
            <wp:anchor distT="0" distB="0" distL="114300" distR="114300" simplePos="0" relativeHeight="251653120"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wps:cNvSpPr txBox="1"/>
                    <wps:spPr>
                      <a:xfrm>
                        <a:off x="0" y="0"/>
                        <a:ext cx="2959100" cy="273050"/>
                      </a:xfrm>
                      <a:prstGeom prst="rect">
                        <a:avLst/>
                      </a:prstGeom>
                      <a:noFill/>
                      <a:ln w="6350">
                        <a:noFill/>
                      </a:ln>
                    </wps:spPr>
                    <wps:txbx>
                      <w:txbxContent>
                        <w:p w:rsidR="00F56CE4" w:rsidRPr="00A222E2" w:rsidRDefault="009961E8"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תיבת טקסט 24785164" o:spid="_x0000_s1049" type="#_x0000_t202" style="position:absolute;left:0;text-align:left;margin-left:0;margin-top:-87.15pt;width:233pt;height:21.5pt;z-index:25165312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" filled="f" stroked="f" strokeweight=".5pt">
              <v:textbox>
                <w:txbxContent>
                  <w:p w:rsidR="00F56CE4" w:rsidRPr="00A222E2" w:rsidRDefault="009961E8"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10" w:rsidRDefault="00B64110">
      <w:pPr>
        <w:spacing w:line="240" w:lineRule="auto"/>
      </w:pPr>
      <w:r>
        <w:separator/>
      </w:r>
    </w:p>
  </w:footnote>
  <w:footnote w:type="continuationSeparator" w:id="0">
    <w:p w:rsidR="00B64110" w:rsidRDefault="00B64110">
      <w:pPr>
        <w:spacing w:line="240" w:lineRule="auto"/>
      </w:pPr>
      <w:r>
        <w:continuationSeparator/>
      </w:r>
    </w:p>
  </w:footnote>
  <w:footnote w:id="1">
    <w:p w:rsidR="00CA53D9" w:rsidRPr="002771EB" w:rsidRDefault="00CA53D9" w:rsidP="00CA53D9">
      <w:pPr>
        <w:pStyle w:val="af"/>
        <w:rPr>
          <w:rFonts w:ascii="Tahoma" w:hAnsi="Tahoma" w:cs="Tahoma"/>
          <w:sz w:val="16"/>
          <w:szCs w:val="16"/>
        </w:rPr>
      </w:pPr>
      <w:r w:rsidRPr="002771EB">
        <w:rPr>
          <w:rStyle w:val="af1"/>
          <w:rFonts w:ascii="Tahoma" w:hAnsi="Tahoma" w:cs="Tahoma"/>
          <w:sz w:val="16"/>
          <w:szCs w:val="16"/>
        </w:rPr>
        <w:footnoteRef/>
      </w:r>
      <w:r w:rsidRPr="002771EB">
        <w:rPr>
          <w:rFonts w:ascii="Tahoma" w:hAnsi="Tahoma" w:cs="Tahoma"/>
          <w:sz w:val="16"/>
          <w:szCs w:val="16"/>
          <w:rtl/>
        </w:rPr>
        <w:t xml:space="preserve"> </w:t>
      </w:r>
      <w:r w:rsidRPr="002771EB">
        <w:rPr>
          <w:rFonts w:ascii="Tahoma" w:hAnsi="Tahoma" w:cs="Tahoma"/>
          <w:sz w:val="16"/>
          <w:szCs w:val="16"/>
          <w:rtl/>
        </w:rPr>
        <w:tab/>
        <w:t>בהגדרה זו כלולים כל מינוחי תחום הרווחה ברשויות הנבדקות, ובהם מחלקת הרווחה, אגף הרווחה, האגף לשירותים חברתיים ומינהל השירותים החברתיים</w:t>
      </w:r>
      <w:r>
        <w:rPr>
          <w:rFonts w:ascii="Tahoma" w:hAnsi="Tahoma" w:cs="Tahoma" w:hint="cs"/>
          <w:sz w:val="16"/>
          <w:szCs w:val="16"/>
          <w:rtl/>
        </w:rPr>
        <w:t>.</w:t>
      </w:r>
    </w:p>
  </w:footnote>
  <w:footnote w:id="2">
    <w:p w:rsidR="00A356FE" w:rsidRDefault="00A356FE" w:rsidP="00A356FE">
      <w:pPr>
        <w:pStyle w:val="af"/>
      </w:pPr>
      <w:r w:rsidRPr="00AB43BE">
        <w:rPr>
          <w:rFonts w:ascii="Tahoma" w:hAnsi="Tahoma" w:cs="Tahoma"/>
          <w:sz w:val="16"/>
          <w:szCs w:val="16"/>
        </w:rPr>
        <w:footnoteRef/>
      </w:r>
      <w:r w:rsidRPr="00AB43BE">
        <w:rPr>
          <w:rFonts w:ascii="Tahoma" w:hAnsi="Tahoma" w:cs="Tahoma"/>
          <w:sz w:val="19"/>
          <w:szCs w:val="19"/>
          <w:rtl/>
        </w:rPr>
        <w:t xml:space="preserve"> </w:t>
      </w:r>
      <w:r w:rsidRPr="00AB43BE">
        <w:rPr>
          <w:rFonts w:ascii="Tahoma" w:hAnsi="Tahoma" w:cs="Tahoma"/>
          <w:sz w:val="19"/>
          <w:szCs w:val="19"/>
          <w:rtl/>
        </w:rPr>
        <w:tab/>
      </w:r>
      <w:r w:rsidRPr="00AB43BE">
        <w:rPr>
          <w:rFonts w:ascii="Tahoma" w:hAnsi="Tahoma" w:cs="Tahoma"/>
          <w:sz w:val="16"/>
          <w:szCs w:val="16"/>
          <w:rtl/>
        </w:rPr>
        <w:t xml:space="preserve">בכל בנוגע למערך בריאות הנפש, ראו בהרחבה במבקר המדינה, </w:t>
      </w:r>
      <w:r w:rsidRPr="00D732CB">
        <w:rPr>
          <w:rFonts w:ascii="Tahoma" w:hAnsi="Tahoma" w:cs="Tahoma"/>
          <w:b/>
          <w:bCs/>
          <w:sz w:val="16"/>
          <w:szCs w:val="16"/>
          <w:rtl/>
        </w:rPr>
        <w:t>דוח מיוחד על מתקפת הטרור בשבעה</w:t>
      </w:r>
      <w:r w:rsidRPr="00AB43BE">
        <w:rPr>
          <w:rFonts w:ascii="Tahoma" w:hAnsi="Tahoma" w:cs="Tahoma"/>
          <w:b/>
          <w:bCs/>
          <w:sz w:val="12"/>
          <w:szCs w:val="12"/>
          <w:rtl/>
        </w:rPr>
        <w:t xml:space="preserve"> </w:t>
      </w:r>
      <w:r w:rsidRPr="00475BA8">
        <w:rPr>
          <w:rFonts w:ascii="Tahoma" w:hAnsi="Tahoma" w:cs="Tahoma"/>
          <w:b/>
          <w:bCs/>
          <w:sz w:val="16"/>
          <w:szCs w:val="16"/>
          <w:rtl/>
        </w:rPr>
        <w:t>באוקטובר 2023 ומלחמת חרבות ברזל - הטיפול באוכלוסייה</w:t>
      </w:r>
      <w:r w:rsidRPr="00475BA8">
        <w:rPr>
          <w:rFonts w:ascii="Tahoma" w:hAnsi="Tahoma" w:cs="Tahoma"/>
          <w:sz w:val="16"/>
          <w:szCs w:val="16"/>
          <w:rtl/>
        </w:rPr>
        <w:t xml:space="preserve"> (2025), בפרק "הטיפול בבריאות הנפש בעקבות אירועי שבעה באוקטובר 2023 ומלחמת חרבות ברזל".</w:t>
      </w:r>
    </w:p>
  </w:footnote>
  <w:footnote w:id="3">
    <w:p w:rsidR="00A356FE" w:rsidRDefault="00A356FE" w:rsidP="00A356FE">
      <w:pPr>
        <w:pStyle w:val="af"/>
        <w:rPr>
          <w:rtl/>
        </w:rPr>
      </w:pPr>
      <w:r>
        <w:rPr>
          <w:rStyle w:val="af1"/>
        </w:rPr>
        <w:footnoteRef/>
      </w:r>
      <w:r>
        <w:rPr>
          <w:rtl/>
        </w:rPr>
        <w:t xml:space="preserve"> </w:t>
      </w:r>
      <w:r>
        <w:rPr>
          <w:rtl/>
        </w:rPr>
        <w:tab/>
      </w:r>
      <w:r w:rsidRPr="00475BA8">
        <w:rPr>
          <w:rFonts w:ascii="Tahoma" w:hAnsi="Tahoma" w:cs="Tahoma"/>
          <w:sz w:val="16"/>
          <w:szCs w:val="16"/>
          <w:rtl/>
        </w:rPr>
        <w:t xml:space="preserve">בכל בנוגע למערך בריאות הנפש, ראו בהרחבה מבקר המדינה, </w:t>
      </w:r>
      <w:r w:rsidRPr="00475BA8">
        <w:rPr>
          <w:rFonts w:ascii="Tahoma" w:hAnsi="Tahoma" w:cs="Tahoma"/>
          <w:b/>
          <w:bCs/>
          <w:sz w:val="16"/>
          <w:szCs w:val="16"/>
          <w:rtl/>
        </w:rPr>
        <w:t>דוח מיוחד על מתקפת הטרור בשבעה באוקטובר 2023 ומלחמת חרבות ברזל - הטיפול באוכלוסייה</w:t>
      </w:r>
      <w:r w:rsidRPr="00475BA8">
        <w:rPr>
          <w:rFonts w:ascii="Tahoma" w:hAnsi="Tahoma" w:cs="Tahoma"/>
          <w:sz w:val="16"/>
          <w:szCs w:val="16"/>
          <w:rtl/>
        </w:rPr>
        <w:t xml:space="preserve"> (2025), בפרק "הטיפול בבריאות הנפש בעקבות אירועי שבעה באוקטובר 2023 ומלחמת חרבות ברזל".</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049" w:rsidRPr="005C3049" w:rsidRDefault="009961E8" w:rsidP="005C3049">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6192"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5C3049" w:rsidRPr="001E204F" w:rsidRDefault="005C3049"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37" style="position:absolute;margin-left:-15.2pt;margin-top:-7.45pt;width:484.3pt;height:47.6pt;z-index:251656192;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38"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39"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0"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 xml:space="preserve">אלול </w:t>
                      </w:r>
                      <w:proofErr w:type="spellStart"/>
                      <w:r>
                        <w:rPr>
                          <w:rFonts w:ascii="Calibri" w:hAnsi="Calibri" w:cs="Calibri" w:hint="cs"/>
                          <w:color w:val="002060"/>
                          <w:szCs w:val="20"/>
                          <w:rtl/>
                        </w:rPr>
                        <w:t>התשפ"ה</w:t>
                      </w:r>
                      <w:proofErr w:type="spellEnd"/>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1"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5C3049" w:rsidRPr="001E204F" w:rsidRDefault="005C3049"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8C7" w:rsidRPr="0062451B" w:rsidRDefault="009961E8" w:rsidP="00DA67CB">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168" behindDoc="0" locked="0" layoutInCell="1" allowOverlap="1">
              <wp:simplePos x="0" y="0"/>
              <wp:positionH relativeFrom="column">
                <wp:posOffset>-193879</wp:posOffset>
              </wp:positionH>
              <wp:positionV relativeFrom="paragraph">
                <wp:posOffset>-96532</wp:posOffset>
              </wp:positionV>
              <wp:extent cx="6150310" cy="828136"/>
              <wp:effectExtent l="0" t="0" r="3175" b="0"/>
              <wp:wrapNone/>
              <wp:docPr id="37" name="קבוצה 37"/>
              <wp:cNvGraphicFramePr/>
              <a:graphic xmlns:a="http://schemas.openxmlformats.org/drawingml/2006/main">
                <a:graphicData uri="http://schemas.microsoft.com/office/word/2010/wordprocessingGroup">
                  <wpg:wgp>
                    <wpg:cNvGrpSpPr/>
                    <wpg:grpSpPr>
                      <a:xfrm>
                        <a:off x="0" y="0"/>
                        <a:ext cx="6150310" cy="828136"/>
                        <a:chOff x="31750" y="0"/>
                        <a:chExt cx="6150310" cy="828136"/>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r w:rsidR="00F51DD6">
                              <w:rPr>
                                <w:rFonts w:ascii="Calibri" w:hAnsi="Calibri" w:cs="Calibri" w:hint="cs"/>
                                <w:color w:val="002060"/>
                                <w:sz w:val="22"/>
                                <w:szCs w:val="22"/>
                                <w:rtl/>
                              </w:rPr>
                              <w:t xml:space="preserve"> </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E678C7" w:rsidRPr="0062451B" w:rsidRDefault="00EB5989"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19747C" w:rsidRPr="00452920">
                              <w:rPr>
                                <w:rFonts w:ascii="Calibri" w:hAnsi="Calibri" w:cs="Calibri" w:hint="cs"/>
                                <w:color w:val="002060"/>
                                <w:sz w:val="12"/>
                                <w:szCs w:val="12"/>
                                <w:rtl/>
                              </w:rPr>
                              <w:t xml:space="preserve"> </w:t>
                            </w:r>
                            <w:r w:rsidR="009961E8" w:rsidRPr="00452920">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452920">
                              <w:rPr>
                                <w:rFonts w:ascii="Calibri" w:hAnsi="Calibri" w:cs="Calibri" w:hint="cs"/>
                                <w:color w:val="002060"/>
                                <w:sz w:val="12"/>
                                <w:szCs w:val="12"/>
                                <w:rtl/>
                              </w:rPr>
                              <w:t xml:space="preserve"> </w:t>
                            </w:r>
                            <w:r w:rsidR="009961E8" w:rsidRPr="00452920">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wps:txbx>
                      <wps:bodyPr rot="0" vert="horz" wrap="square" lIns="91440" tIns="45720" rIns="91440" bIns="45720" anchor="t" anchorCtr="0"/>
                    </wps:wsp>
                    <wps:wsp>
                      <wps:cNvPr id="41" name="תיבת טקסט 2"/>
                      <wps:cNvSpPr txBox="1">
                        <a:spLocks noChangeArrowheads="1"/>
                      </wps:cNvSpPr>
                      <wps:spPr bwMode="auto">
                        <a:xfrm flipH="1">
                          <a:off x="1782817" y="318093"/>
                          <a:ext cx="4394290" cy="510043"/>
                        </a:xfrm>
                        <a:prstGeom prst="rect">
                          <a:avLst/>
                        </a:prstGeom>
                        <a:noFill/>
                        <a:ln w="9525">
                          <a:noFill/>
                          <a:miter lim="800000"/>
                          <a:headEnd/>
                          <a:tailEnd/>
                        </a:ln>
                      </wps:spPr>
                      <wps:txbx>
                        <w:txbxContent>
                          <w:p w:rsidR="0063663E" w:rsidRDefault="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DE75C7">
                              <w:rPr>
                                <w:rFonts w:ascii="Calibri" w:hAnsi="Calibri" w:cs="Calibri" w:hint="cs"/>
                                <w:color w:val="002060"/>
                                <w:szCs w:val="20"/>
                                <w:rtl/>
                              </w:rPr>
                              <w:t xml:space="preserve"> ברשויות המקומיות</w:t>
                            </w:r>
                          </w:p>
                          <w:p w:rsidR="00E678C7" w:rsidRPr="0063663E" w:rsidRDefault="00CA53D9" w:rsidP="00CA53D9">
                            <w:pPr>
                              <w:spacing w:line="240" w:lineRule="auto"/>
                              <w:rPr>
                                <w:rFonts w:ascii="Calibri" w:hAnsi="Calibri" w:cs="Calibri"/>
                                <w:color w:val="002060"/>
                                <w:sz w:val="19"/>
                                <w:szCs w:val="19"/>
                                <w:rtl/>
                              </w:rPr>
                            </w:pPr>
                            <w:r w:rsidRPr="00CA53D9">
                              <w:rPr>
                                <w:rFonts w:ascii="Calibri" w:hAnsi="Calibri" w:cs="Calibri"/>
                                <w:color w:val="002060"/>
                                <w:sz w:val="19"/>
                                <w:szCs w:val="19"/>
                                <w:rtl/>
                              </w:rPr>
                              <w:t>מתן שירותי רווחה למפונים</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1032" style="position:absolute;margin-left:-15.25pt;margin-top:-7.6pt;width:484.3pt;height:65.2pt;z-index:251655168;mso-width-relative:margin;mso-height-relative:margin" coordorigin="317" coordsize="61503,8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">
              <v:line id="מחבר ישר 38" o:spid="_x0000_s1033"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34"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r w:rsidR="00F51DD6">
                        <w:rPr>
                          <w:rFonts w:ascii="Calibri" w:hAnsi="Calibri" w:cs="Calibri" w:hint="cs"/>
                          <w:color w:val="002060"/>
                          <w:sz w:val="22"/>
                          <w:szCs w:val="22"/>
                          <w:rtl/>
                        </w:rPr>
                        <w:t xml:space="preserve"> </w:t>
                      </w:r>
                    </w:p>
                  </w:txbxContent>
                </v:textbox>
              </v:shape>
              <v:shape id="תיבת טקסט 2" o:spid="_x0000_s1035"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rsidR="00E678C7" w:rsidRPr="0062451B" w:rsidRDefault="00EB5989"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19747C" w:rsidRPr="00452920">
                        <w:rPr>
                          <w:rFonts w:ascii="Calibri" w:hAnsi="Calibri" w:cs="Calibri" w:hint="cs"/>
                          <w:color w:val="002060"/>
                          <w:sz w:val="12"/>
                          <w:szCs w:val="12"/>
                          <w:rtl/>
                        </w:rPr>
                        <w:t xml:space="preserve"> </w:t>
                      </w:r>
                      <w:r w:rsidR="009961E8" w:rsidRPr="00452920">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452920">
                        <w:rPr>
                          <w:rFonts w:ascii="Calibri" w:hAnsi="Calibri" w:cs="Calibri" w:hint="cs"/>
                          <w:color w:val="002060"/>
                          <w:sz w:val="12"/>
                          <w:szCs w:val="12"/>
                          <w:rtl/>
                        </w:rPr>
                        <w:t xml:space="preserve"> </w:t>
                      </w:r>
                      <w:r w:rsidR="009961E8" w:rsidRPr="00452920">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v:textbox>
              </v:shape>
              <v:shape id="תיבת טקסט 2" o:spid="_x0000_s1036" type="#_x0000_t202" style="position:absolute;left:17828;top:3180;width:43943;height:510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rsidR="0063663E" w:rsidRDefault="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DE75C7">
                        <w:rPr>
                          <w:rFonts w:ascii="Calibri" w:hAnsi="Calibri" w:cs="Calibri" w:hint="cs"/>
                          <w:color w:val="002060"/>
                          <w:szCs w:val="20"/>
                          <w:rtl/>
                        </w:rPr>
                        <w:t xml:space="preserve"> ברשויות המקומיות</w:t>
                      </w:r>
                    </w:p>
                    <w:p w:rsidR="00E678C7" w:rsidRPr="0063663E" w:rsidRDefault="00CA53D9" w:rsidP="00CA53D9">
                      <w:pPr>
                        <w:spacing w:line="240" w:lineRule="auto"/>
                        <w:rPr>
                          <w:rFonts w:ascii="Calibri" w:hAnsi="Calibri" w:cs="Calibri"/>
                          <w:color w:val="002060"/>
                          <w:sz w:val="19"/>
                          <w:szCs w:val="19"/>
                          <w:rtl/>
                        </w:rPr>
                      </w:pPr>
                      <w:r w:rsidRPr="00CA53D9">
                        <w:rPr>
                          <w:rFonts w:ascii="Calibri" w:hAnsi="Calibri" w:cs="Calibri"/>
                          <w:color w:val="002060"/>
                          <w:sz w:val="19"/>
                          <w:szCs w:val="19"/>
                          <w:rtl/>
                        </w:rPr>
                        <w:t>מתן שירותי רווחה למפונים</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CE4" w:rsidRPr="00FB414E" w:rsidRDefault="00EE06A0" w:rsidP="00FB414E">
    <w:pPr>
      <w:pStyle w:val="a9"/>
      <w:tabs>
        <w:tab w:val="clear" w:pos="8306"/>
      </w:tabs>
      <w:ind w:right="-142"/>
      <w:jc w:val="right"/>
      <w:rPr>
        <w:rFonts w:asciiTheme="minorHAnsi" w:hAnsiTheme="minorHAnsi" w:cstheme="minorHAnsi"/>
        <w:color w:val="002060"/>
        <w:szCs w:val="20"/>
      </w:rPr>
    </w:pPr>
    <w:r>
      <w:rPr>
        <w:noProof/>
      </w:rPr>
      <mc:AlternateContent>
        <mc:Choice Requires="wps">
          <w:drawing>
            <wp:anchor distT="0" distB="0" distL="114300" distR="114300" simplePos="0" relativeHeight="251669504" behindDoc="0" locked="0" layoutInCell="1" allowOverlap="1" wp14:anchorId="7CB849E6" wp14:editId="44F7F617">
              <wp:simplePos x="0" y="0"/>
              <wp:positionH relativeFrom="page">
                <wp:posOffset>2022475</wp:posOffset>
              </wp:positionH>
              <wp:positionV relativeFrom="paragraph">
                <wp:posOffset>2412365</wp:posOffset>
              </wp:positionV>
              <wp:extent cx="3156858" cy="10886"/>
              <wp:effectExtent l="0" t="0" r="24765" b="27305"/>
              <wp:wrapNone/>
              <wp:docPr id="10" name="מחבר ישר 10"/>
              <wp:cNvGraphicFramePr/>
              <a:graphic xmlns:a="http://schemas.openxmlformats.org/drawingml/2006/main">
                <a:graphicData uri="http://schemas.microsoft.com/office/word/2010/wordprocessingShape">
                  <wps:wsp>
                    <wps:cNvCnPr/>
                    <wps:spPr>
                      <a:xfrm>
                        <a:off x="0" y="0"/>
                        <a:ext cx="3156858" cy="10886"/>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69FE2" id="מחבר ישר 10"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9.25pt,189.95pt" to="407.8pt,1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" strokecolor="#002060" strokeweight="1.25pt">
              <w10:wrap anchorx="page"/>
            </v:line>
          </w:pict>
        </mc:Fallback>
      </mc:AlternateContent>
    </w:r>
    <w:r>
      <w:rPr>
        <w:noProof/>
      </w:rPr>
      <mc:AlternateContent>
        <mc:Choice Requires="wps">
          <w:drawing>
            <wp:anchor distT="0" distB="0" distL="114300" distR="114300" simplePos="0" relativeHeight="251649023" behindDoc="0" locked="0" layoutInCell="1" allowOverlap="1" wp14:anchorId="24C9CFC1" wp14:editId="6D33ECE3">
              <wp:simplePos x="0" y="0"/>
              <wp:positionH relativeFrom="column">
                <wp:posOffset>2029934</wp:posOffset>
              </wp:positionH>
              <wp:positionV relativeFrom="paragraph">
                <wp:posOffset>1269402</wp:posOffset>
              </wp:positionV>
              <wp:extent cx="1691005" cy="719825"/>
              <wp:effectExtent l="0" t="0" r="4445" b="4445"/>
              <wp:wrapNone/>
              <wp:docPr id="2" name="מלבן 2"/>
              <wp:cNvGraphicFramePr/>
              <a:graphic xmlns:a="http://schemas.openxmlformats.org/drawingml/2006/main">
                <a:graphicData uri="http://schemas.microsoft.com/office/word/2010/wordprocessingShape">
                  <wps:wsp>
                    <wps:cNvSpPr/>
                    <wps:spPr>
                      <a:xfrm>
                        <a:off x="0" y="0"/>
                        <a:ext cx="1691005" cy="71982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61269790" id="מלבן 2" o:spid="_x0000_s1026" style="position:absolute;left:0;text-align:left;margin-left:159.85pt;margin-top:99.95pt;width:133.15pt;height:56.7pt;z-index:2516490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" fillcolor="#002060" stroked="f" strokeweight="2pt"/>
          </w:pict>
        </mc:Fallback>
      </mc:AlternateContent>
    </w:r>
    <w:r w:rsidRPr="00A5605A">
      <w:rPr>
        <w:rFonts w:asciiTheme="minorHAnsi" w:hAnsiTheme="minorHAnsi" w:cs="Calibri"/>
        <w:noProof/>
        <w:color w:val="002060"/>
        <w:szCs w:val="20"/>
        <w:rtl/>
      </w:rPr>
      <mc:AlternateContent>
        <mc:Choice Requires="wps">
          <w:drawing>
            <wp:anchor distT="0" distB="0" distL="114300" distR="114300" simplePos="0" relativeHeight="251667456" behindDoc="0" locked="0" layoutInCell="1" allowOverlap="1" wp14:anchorId="499EF13E" wp14:editId="7199A9CB">
              <wp:simplePos x="0" y="0"/>
              <wp:positionH relativeFrom="page">
                <wp:align>center</wp:align>
              </wp:positionH>
              <wp:positionV relativeFrom="paragraph">
                <wp:posOffset>1447070</wp:posOffset>
              </wp:positionV>
              <wp:extent cx="2959100" cy="455930"/>
              <wp:effectExtent l="0" t="0" r="0" b="1270"/>
              <wp:wrapNone/>
              <wp:docPr id="23" name="תיבת טקסט 23"/>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A5605A" w:rsidRPr="00EE06A0" w:rsidRDefault="00846FFB"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CA53D9">
                            <w:rPr>
                              <w:rFonts w:ascii="Calibri" w:hAnsi="Calibri" w:cs="Calibri" w:hint="cs"/>
                              <w:color w:val="FFFFFF" w:themeColor="background1"/>
                              <w:spacing w:val="80"/>
                              <w:sz w:val="28"/>
                              <w:szCs w:val="36"/>
                              <w:rtl/>
                            </w:rPr>
                            <w:t xml:space="preserve"> י'</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w14:anchorId="499EF13E" id="_x0000_t202" coordsize="21600,21600" o:spt="202" path="m,l,21600r21600,l21600,xe">
              <v:stroke joinstyle="miter"/>
              <v:path gradientshapeok="t" o:connecttype="rect"/>
            </v:shapetype>
            <v:shape id="תיבת טקסט 23" o:spid="_x0000_s1047" type="#_x0000_t202" style="position:absolute;margin-left:0;margin-top:113.95pt;width:233pt;height:35.9pt;z-index:25166745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" filled="f" stroked="f" strokeweight=".5pt">
              <v:textbox>
                <w:txbxContent>
                  <w:p w:rsidR="00A5605A" w:rsidRPr="00EE06A0" w:rsidRDefault="00846FFB"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CA53D9">
                      <w:rPr>
                        <w:rFonts w:ascii="Calibri" w:hAnsi="Calibri" w:cs="Calibri" w:hint="cs"/>
                        <w:color w:val="FFFFFF" w:themeColor="background1"/>
                        <w:spacing w:val="80"/>
                        <w:sz w:val="28"/>
                        <w:szCs w:val="36"/>
                        <w:rtl/>
                      </w:rPr>
                      <w:t xml:space="preserve"> י'</w:t>
                    </w:r>
                  </w:p>
                </w:txbxContent>
              </v:textbox>
              <w10:wrap anchorx="page"/>
            </v:shape>
          </w:pict>
        </mc:Fallback>
      </mc:AlternateContent>
    </w:r>
    <w:r w:rsidR="0011074F">
      <w:rPr>
        <w:rFonts w:asciiTheme="minorHAnsi" w:hAnsiTheme="minorHAnsi" w:cs="Calibri"/>
        <w:noProof/>
        <w:color w:val="002060"/>
        <w:szCs w:val="20"/>
        <w:rtl/>
        <w:lang w:val="he-IL"/>
      </w:rPr>
      <mc:AlternateContent>
        <mc:Choice Requires="wps">
          <w:drawing>
            <wp:anchor distT="0" distB="0" distL="114300" distR="114300" simplePos="0" relativeHeight="251662336" behindDoc="0" locked="0" layoutInCell="1" allowOverlap="1">
              <wp:simplePos x="0" y="0"/>
              <wp:positionH relativeFrom="column">
                <wp:posOffset>2042160</wp:posOffset>
              </wp:positionH>
              <wp:positionV relativeFrom="paragraph">
                <wp:posOffset>1979930</wp:posOffset>
              </wp:positionV>
              <wp:extent cx="1676400" cy="0"/>
              <wp:effectExtent l="0" t="0" r="0" b="0"/>
              <wp:wrapNone/>
              <wp:docPr id="16" name="מחבר ישר 16"/>
              <wp:cNvGraphicFramePr/>
              <a:graphic xmlns:a="http://schemas.openxmlformats.org/drawingml/2006/main">
                <a:graphicData uri="http://schemas.microsoft.com/office/word/2010/wordprocessingShape">
                  <wps:wsp>
                    <wps:cNvCnPr/>
                    <wps:spPr>
                      <a:xfrm>
                        <a:off x="0" y="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D5069C" id="מחבר ישר 16"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60.8pt,155.9pt" to="292.8pt,1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" strokecolor="#002060"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89A" w:rsidRPr="00FB414E" w:rsidRDefault="009961E8" w:rsidP="00FB414E">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721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701308960" name="קבוצה 701308960"/>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166979208" name="מחבר ישר 116697920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6116240"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059587155"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60023683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RDefault="00C4789A" w:rsidP="00FB414E">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701308960" o:spid="_x0000_s1050" style="position:absolute;margin-left:-15.2pt;margin-top:-7.45pt;width:484.3pt;height:47.6pt;z-index:25165721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">
              <v:line id="מחבר ישר 1166979208" o:spid="_x0000_s1051"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" strokecolor="#4579b8 [3044]"/>
              <v:shapetype id="_x0000_t202" coordsize="21600,21600" o:spt="202" path="m,l,21600r21600,l21600,xe">
                <v:stroke joinstyle="miter"/>
                <v:path gradientshapeok="t" o:connecttype="rect"/>
              </v:shapetype>
              <v:shape id="תיבת טקסט 2" o:spid="_x0000_s1052"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" filled="f" stroked="f">
                <v:textbox>
                  <w:txbxContent>
                    <w:p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3"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" filled="f" stroked="f">
                <v:textbox>
                  <w:txbxContent>
                    <w:p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54"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" filled="f" stroked="f">
                <v:textbox>
                  <w:txbxContent>
                    <w:p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RDefault="00C4789A" w:rsidP="00FB414E">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1" type="#_x0000_t75" style="width:18pt;height:16.5pt" o:bullet="t">
        <v:imagedata r:id="rId1" o:title="hand-red"/>
      </v:shape>
    </w:pict>
  </w:numPicBullet>
  <w:numPicBullet w:numPicBulletId="1">
    <w:pict>
      <v:shape id="_x0000_i1322" type="#_x0000_t75" style="width:255pt;height:255pt" o:bullet="t">
        <v:imagedata r:id="rId2" o:title=""/>
      </v:shape>
    </w:pict>
  </w:numPicBullet>
  <w:abstractNum w:abstractNumId="0" w15:restartNumberingAfterBreak="0">
    <w:nsid w:val="088216AB"/>
    <w:multiLevelType w:val="hybridMultilevel"/>
    <w:tmpl w:val="BB7ADECA"/>
    <w:lvl w:ilvl="0" w:tplc="3A38C5B0">
      <w:start w:val="1"/>
      <w:numFmt w:val="hebrew1"/>
      <w:pStyle w:val="1"/>
      <w:lvlText w:val="%1."/>
      <w:lvlJc w:val="center"/>
      <w:pPr>
        <w:ind w:left="1915" w:hanging="360"/>
      </w:pPr>
    </w:lvl>
    <w:lvl w:ilvl="1" w:tplc="A9EEA3BA" w:tentative="1">
      <w:start w:val="1"/>
      <w:numFmt w:val="lowerLetter"/>
      <w:lvlText w:val="%2."/>
      <w:lvlJc w:val="left"/>
      <w:pPr>
        <w:ind w:left="2635" w:hanging="360"/>
      </w:pPr>
    </w:lvl>
    <w:lvl w:ilvl="2" w:tplc="9CC25F30" w:tentative="1">
      <w:start w:val="1"/>
      <w:numFmt w:val="lowerRoman"/>
      <w:lvlText w:val="%3."/>
      <w:lvlJc w:val="right"/>
      <w:pPr>
        <w:ind w:left="3355" w:hanging="180"/>
      </w:pPr>
    </w:lvl>
    <w:lvl w:ilvl="3" w:tplc="1D4C38E0" w:tentative="1">
      <w:start w:val="1"/>
      <w:numFmt w:val="decimal"/>
      <w:lvlText w:val="%4."/>
      <w:lvlJc w:val="left"/>
      <w:pPr>
        <w:ind w:left="4075" w:hanging="360"/>
      </w:pPr>
    </w:lvl>
    <w:lvl w:ilvl="4" w:tplc="54FE2B0E" w:tentative="1">
      <w:start w:val="1"/>
      <w:numFmt w:val="lowerLetter"/>
      <w:lvlText w:val="%5."/>
      <w:lvlJc w:val="left"/>
      <w:pPr>
        <w:ind w:left="4795" w:hanging="360"/>
      </w:pPr>
    </w:lvl>
    <w:lvl w:ilvl="5" w:tplc="142A03FE" w:tentative="1">
      <w:start w:val="1"/>
      <w:numFmt w:val="lowerRoman"/>
      <w:lvlText w:val="%6."/>
      <w:lvlJc w:val="right"/>
      <w:pPr>
        <w:ind w:left="5515" w:hanging="180"/>
      </w:pPr>
    </w:lvl>
    <w:lvl w:ilvl="6" w:tplc="AB48969C" w:tentative="1">
      <w:start w:val="1"/>
      <w:numFmt w:val="decimal"/>
      <w:lvlText w:val="%7."/>
      <w:lvlJc w:val="left"/>
      <w:pPr>
        <w:ind w:left="6235" w:hanging="360"/>
      </w:pPr>
    </w:lvl>
    <w:lvl w:ilvl="7" w:tplc="5BF07B4C" w:tentative="1">
      <w:start w:val="1"/>
      <w:numFmt w:val="lowerLetter"/>
      <w:lvlText w:val="%8."/>
      <w:lvlJc w:val="left"/>
      <w:pPr>
        <w:ind w:left="6955" w:hanging="360"/>
      </w:pPr>
    </w:lvl>
    <w:lvl w:ilvl="8" w:tplc="9D682F6E" w:tentative="1">
      <w:start w:val="1"/>
      <w:numFmt w:val="lowerRoman"/>
      <w:lvlText w:val="%9."/>
      <w:lvlJc w:val="right"/>
      <w:pPr>
        <w:ind w:left="7675" w:hanging="180"/>
      </w:pPr>
    </w:lvl>
  </w:abstractNum>
  <w:abstractNum w:abstractNumId="1" w15:restartNumberingAfterBreak="0">
    <w:nsid w:val="0CBD5F52"/>
    <w:multiLevelType w:val="hybridMultilevel"/>
    <w:tmpl w:val="D94CDEE4"/>
    <w:lvl w:ilvl="0" w:tplc="F01860D2">
      <w:start w:val="1"/>
      <w:numFmt w:val="decimal"/>
      <w:lvlText w:val="%1."/>
      <w:lvlJc w:val="left"/>
      <w:pPr>
        <w:ind w:left="397" w:hanging="397"/>
      </w:pPr>
      <w:rPr>
        <w:rFonts w:hint="default"/>
      </w:rPr>
    </w:lvl>
    <w:lvl w:ilvl="1" w:tplc="DF48574C" w:tentative="1">
      <w:start w:val="1"/>
      <w:numFmt w:val="lowerLetter"/>
      <w:lvlText w:val="%2."/>
      <w:lvlJc w:val="left"/>
      <w:pPr>
        <w:ind w:left="1440" w:hanging="360"/>
      </w:pPr>
    </w:lvl>
    <w:lvl w:ilvl="2" w:tplc="95E4D03A" w:tentative="1">
      <w:start w:val="1"/>
      <w:numFmt w:val="lowerRoman"/>
      <w:lvlText w:val="%3."/>
      <w:lvlJc w:val="right"/>
      <w:pPr>
        <w:ind w:left="2160" w:hanging="180"/>
      </w:pPr>
    </w:lvl>
    <w:lvl w:ilvl="3" w:tplc="D2E6577E" w:tentative="1">
      <w:start w:val="1"/>
      <w:numFmt w:val="decimal"/>
      <w:lvlText w:val="%4."/>
      <w:lvlJc w:val="left"/>
      <w:pPr>
        <w:ind w:left="2880" w:hanging="360"/>
      </w:pPr>
    </w:lvl>
    <w:lvl w:ilvl="4" w:tplc="164A9528" w:tentative="1">
      <w:start w:val="1"/>
      <w:numFmt w:val="lowerLetter"/>
      <w:lvlText w:val="%5."/>
      <w:lvlJc w:val="left"/>
      <w:pPr>
        <w:ind w:left="3600" w:hanging="360"/>
      </w:pPr>
    </w:lvl>
    <w:lvl w:ilvl="5" w:tplc="AE2675E6" w:tentative="1">
      <w:start w:val="1"/>
      <w:numFmt w:val="lowerRoman"/>
      <w:lvlText w:val="%6."/>
      <w:lvlJc w:val="right"/>
      <w:pPr>
        <w:ind w:left="4320" w:hanging="180"/>
      </w:pPr>
    </w:lvl>
    <w:lvl w:ilvl="6" w:tplc="96B65B04" w:tentative="1">
      <w:start w:val="1"/>
      <w:numFmt w:val="decimal"/>
      <w:lvlText w:val="%7."/>
      <w:lvlJc w:val="left"/>
      <w:pPr>
        <w:ind w:left="5040" w:hanging="360"/>
      </w:pPr>
    </w:lvl>
    <w:lvl w:ilvl="7" w:tplc="23E2F8F0" w:tentative="1">
      <w:start w:val="1"/>
      <w:numFmt w:val="lowerLetter"/>
      <w:lvlText w:val="%8."/>
      <w:lvlJc w:val="left"/>
      <w:pPr>
        <w:ind w:left="5760" w:hanging="360"/>
      </w:pPr>
    </w:lvl>
    <w:lvl w:ilvl="8" w:tplc="D352B236" w:tentative="1">
      <w:start w:val="1"/>
      <w:numFmt w:val="lowerRoman"/>
      <w:lvlText w:val="%9."/>
      <w:lvlJc w:val="right"/>
      <w:pPr>
        <w:ind w:left="6480" w:hanging="180"/>
      </w:pPr>
    </w:lvl>
  </w:abstractNum>
  <w:abstractNum w:abstractNumId="2" w15:restartNumberingAfterBreak="0">
    <w:nsid w:val="0E697B12"/>
    <w:multiLevelType w:val="hybridMultilevel"/>
    <w:tmpl w:val="30EA0890"/>
    <w:lvl w:ilvl="0" w:tplc="98FEDA48">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8992058E" w:tentative="1">
      <w:start w:val="1"/>
      <w:numFmt w:val="bullet"/>
      <w:lvlText w:val="o"/>
      <w:lvlJc w:val="left"/>
      <w:pPr>
        <w:ind w:left="1440" w:hanging="360"/>
      </w:pPr>
      <w:rPr>
        <w:rFonts w:ascii="Courier New" w:hAnsi="Courier New" w:cs="Courier New" w:hint="default"/>
      </w:rPr>
    </w:lvl>
    <w:lvl w:ilvl="2" w:tplc="5510C730" w:tentative="1">
      <w:start w:val="1"/>
      <w:numFmt w:val="bullet"/>
      <w:lvlText w:val=""/>
      <w:lvlJc w:val="left"/>
      <w:pPr>
        <w:ind w:left="2160" w:hanging="360"/>
      </w:pPr>
      <w:rPr>
        <w:rFonts w:ascii="Wingdings" w:hAnsi="Wingdings" w:hint="default"/>
      </w:rPr>
    </w:lvl>
    <w:lvl w:ilvl="3" w:tplc="0B226DD8" w:tentative="1">
      <w:start w:val="1"/>
      <w:numFmt w:val="bullet"/>
      <w:lvlText w:val=""/>
      <w:lvlJc w:val="left"/>
      <w:pPr>
        <w:ind w:left="2880" w:hanging="360"/>
      </w:pPr>
      <w:rPr>
        <w:rFonts w:ascii="Symbol" w:hAnsi="Symbol" w:hint="default"/>
      </w:rPr>
    </w:lvl>
    <w:lvl w:ilvl="4" w:tplc="81BEF50C" w:tentative="1">
      <w:start w:val="1"/>
      <w:numFmt w:val="bullet"/>
      <w:lvlText w:val="o"/>
      <w:lvlJc w:val="left"/>
      <w:pPr>
        <w:ind w:left="3600" w:hanging="360"/>
      </w:pPr>
      <w:rPr>
        <w:rFonts w:ascii="Courier New" w:hAnsi="Courier New" w:cs="Courier New" w:hint="default"/>
      </w:rPr>
    </w:lvl>
    <w:lvl w:ilvl="5" w:tplc="5A12E166" w:tentative="1">
      <w:start w:val="1"/>
      <w:numFmt w:val="bullet"/>
      <w:lvlText w:val=""/>
      <w:lvlJc w:val="left"/>
      <w:pPr>
        <w:ind w:left="4320" w:hanging="360"/>
      </w:pPr>
      <w:rPr>
        <w:rFonts w:ascii="Wingdings" w:hAnsi="Wingdings" w:hint="default"/>
      </w:rPr>
    </w:lvl>
    <w:lvl w:ilvl="6" w:tplc="93664AB4" w:tentative="1">
      <w:start w:val="1"/>
      <w:numFmt w:val="bullet"/>
      <w:lvlText w:val=""/>
      <w:lvlJc w:val="left"/>
      <w:pPr>
        <w:ind w:left="5040" w:hanging="360"/>
      </w:pPr>
      <w:rPr>
        <w:rFonts w:ascii="Symbol" w:hAnsi="Symbol" w:hint="default"/>
      </w:rPr>
    </w:lvl>
    <w:lvl w:ilvl="7" w:tplc="4DDA35FE" w:tentative="1">
      <w:start w:val="1"/>
      <w:numFmt w:val="bullet"/>
      <w:lvlText w:val="o"/>
      <w:lvlJc w:val="left"/>
      <w:pPr>
        <w:ind w:left="5760" w:hanging="360"/>
      </w:pPr>
      <w:rPr>
        <w:rFonts w:ascii="Courier New" w:hAnsi="Courier New" w:cs="Courier New" w:hint="default"/>
      </w:rPr>
    </w:lvl>
    <w:lvl w:ilvl="8" w:tplc="B81C7A88" w:tentative="1">
      <w:start w:val="1"/>
      <w:numFmt w:val="bullet"/>
      <w:lvlText w:val=""/>
      <w:lvlJc w:val="left"/>
      <w:pPr>
        <w:ind w:left="6480" w:hanging="360"/>
      </w:pPr>
      <w:rPr>
        <w:rFonts w:ascii="Wingdings" w:hAnsi="Wingdings" w:hint="default"/>
      </w:rPr>
    </w:lvl>
  </w:abstractNum>
  <w:abstractNum w:abstractNumId="3" w15:restartNumberingAfterBreak="0">
    <w:nsid w:val="12806966"/>
    <w:multiLevelType w:val="hybridMultilevel"/>
    <w:tmpl w:val="FC6ED52C"/>
    <w:lvl w:ilvl="0" w:tplc="48681146">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1A1C0A16" w:tentative="1">
      <w:start w:val="1"/>
      <w:numFmt w:val="bullet"/>
      <w:lvlText w:val="o"/>
      <w:lvlJc w:val="left"/>
      <w:pPr>
        <w:ind w:left="1440" w:hanging="360"/>
      </w:pPr>
      <w:rPr>
        <w:rFonts w:ascii="Courier New" w:hAnsi="Courier New" w:cs="Courier New" w:hint="default"/>
      </w:rPr>
    </w:lvl>
    <w:lvl w:ilvl="2" w:tplc="29FC0FAA" w:tentative="1">
      <w:start w:val="1"/>
      <w:numFmt w:val="bullet"/>
      <w:lvlText w:val=""/>
      <w:lvlJc w:val="left"/>
      <w:pPr>
        <w:ind w:left="2160" w:hanging="360"/>
      </w:pPr>
      <w:rPr>
        <w:rFonts w:ascii="Wingdings" w:hAnsi="Wingdings" w:hint="default"/>
      </w:rPr>
    </w:lvl>
    <w:lvl w:ilvl="3" w:tplc="6E66C352" w:tentative="1">
      <w:start w:val="1"/>
      <w:numFmt w:val="bullet"/>
      <w:lvlText w:val=""/>
      <w:lvlJc w:val="left"/>
      <w:pPr>
        <w:ind w:left="2880" w:hanging="360"/>
      </w:pPr>
      <w:rPr>
        <w:rFonts w:ascii="Symbol" w:hAnsi="Symbol" w:hint="default"/>
      </w:rPr>
    </w:lvl>
    <w:lvl w:ilvl="4" w:tplc="969EC8C2" w:tentative="1">
      <w:start w:val="1"/>
      <w:numFmt w:val="bullet"/>
      <w:lvlText w:val="o"/>
      <w:lvlJc w:val="left"/>
      <w:pPr>
        <w:ind w:left="3600" w:hanging="360"/>
      </w:pPr>
      <w:rPr>
        <w:rFonts w:ascii="Courier New" w:hAnsi="Courier New" w:cs="Courier New" w:hint="default"/>
      </w:rPr>
    </w:lvl>
    <w:lvl w:ilvl="5" w:tplc="749E3A52" w:tentative="1">
      <w:start w:val="1"/>
      <w:numFmt w:val="bullet"/>
      <w:lvlText w:val=""/>
      <w:lvlJc w:val="left"/>
      <w:pPr>
        <w:ind w:left="4320" w:hanging="360"/>
      </w:pPr>
      <w:rPr>
        <w:rFonts w:ascii="Wingdings" w:hAnsi="Wingdings" w:hint="default"/>
      </w:rPr>
    </w:lvl>
    <w:lvl w:ilvl="6" w:tplc="BBE84E80" w:tentative="1">
      <w:start w:val="1"/>
      <w:numFmt w:val="bullet"/>
      <w:lvlText w:val=""/>
      <w:lvlJc w:val="left"/>
      <w:pPr>
        <w:ind w:left="5040" w:hanging="360"/>
      </w:pPr>
      <w:rPr>
        <w:rFonts w:ascii="Symbol" w:hAnsi="Symbol" w:hint="default"/>
      </w:rPr>
    </w:lvl>
    <w:lvl w:ilvl="7" w:tplc="F8C2DFB4" w:tentative="1">
      <w:start w:val="1"/>
      <w:numFmt w:val="bullet"/>
      <w:lvlText w:val="o"/>
      <w:lvlJc w:val="left"/>
      <w:pPr>
        <w:ind w:left="5760" w:hanging="360"/>
      </w:pPr>
      <w:rPr>
        <w:rFonts w:ascii="Courier New" w:hAnsi="Courier New" w:cs="Courier New" w:hint="default"/>
      </w:rPr>
    </w:lvl>
    <w:lvl w:ilvl="8" w:tplc="9AC603B6" w:tentative="1">
      <w:start w:val="1"/>
      <w:numFmt w:val="bullet"/>
      <w:lvlText w:val=""/>
      <w:lvlJc w:val="left"/>
      <w:pPr>
        <w:ind w:left="6480" w:hanging="360"/>
      </w:pPr>
      <w:rPr>
        <w:rFonts w:ascii="Wingdings" w:hAnsi="Wingdings" w:hint="default"/>
      </w:rPr>
    </w:lvl>
  </w:abstractNum>
  <w:abstractNum w:abstractNumId="4" w15:restartNumberingAfterBreak="0">
    <w:nsid w:val="1CF648D2"/>
    <w:multiLevelType w:val="hybridMultilevel"/>
    <w:tmpl w:val="E2B6F6AA"/>
    <w:lvl w:ilvl="0" w:tplc="97FABDBA">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rPr>
    </w:lvl>
    <w:lvl w:ilvl="1" w:tplc="1F58ECD6" w:tentative="1">
      <w:start w:val="1"/>
      <w:numFmt w:val="bullet"/>
      <w:lvlText w:val="o"/>
      <w:lvlJc w:val="left"/>
      <w:pPr>
        <w:ind w:left="1837" w:hanging="360"/>
      </w:pPr>
      <w:rPr>
        <w:rFonts w:ascii="Courier New" w:hAnsi="Courier New" w:cs="Courier New" w:hint="default"/>
      </w:rPr>
    </w:lvl>
    <w:lvl w:ilvl="2" w:tplc="59F2F6B6" w:tentative="1">
      <w:start w:val="1"/>
      <w:numFmt w:val="bullet"/>
      <w:lvlText w:val=""/>
      <w:lvlJc w:val="left"/>
      <w:pPr>
        <w:ind w:left="2557" w:hanging="360"/>
      </w:pPr>
      <w:rPr>
        <w:rFonts w:ascii="Wingdings" w:hAnsi="Wingdings" w:hint="default"/>
      </w:rPr>
    </w:lvl>
    <w:lvl w:ilvl="3" w:tplc="62720D1C" w:tentative="1">
      <w:start w:val="1"/>
      <w:numFmt w:val="bullet"/>
      <w:lvlText w:val=""/>
      <w:lvlJc w:val="left"/>
      <w:pPr>
        <w:ind w:left="3277" w:hanging="360"/>
      </w:pPr>
      <w:rPr>
        <w:rFonts w:ascii="Symbol" w:hAnsi="Symbol" w:hint="default"/>
      </w:rPr>
    </w:lvl>
    <w:lvl w:ilvl="4" w:tplc="679A1012" w:tentative="1">
      <w:start w:val="1"/>
      <w:numFmt w:val="bullet"/>
      <w:lvlText w:val="o"/>
      <w:lvlJc w:val="left"/>
      <w:pPr>
        <w:ind w:left="3997" w:hanging="360"/>
      </w:pPr>
      <w:rPr>
        <w:rFonts w:ascii="Courier New" w:hAnsi="Courier New" w:cs="Courier New" w:hint="default"/>
      </w:rPr>
    </w:lvl>
    <w:lvl w:ilvl="5" w:tplc="CE26FBDA" w:tentative="1">
      <w:start w:val="1"/>
      <w:numFmt w:val="bullet"/>
      <w:lvlText w:val=""/>
      <w:lvlJc w:val="left"/>
      <w:pPr>
        <w:ind w:left="4717" w:hanging="360"/>
      </w:pPr>
      <w:rPr>
        <w:rFonts w:ascii="Wingdings" w:hAnsi="Wingdings" w:hint="default"/>
      </w:rPr>
    </w:lvl>
    <w:lvl w:ilvl="6" w:tplc="7DF0CE40" w:tentative="1">
      <w:start w:val="1"/>
      <w:numFmt w:val="bullet"/>
      <w:lvlText w:val=""/>
      <w:lvlJc w:val="left"/>
      <w:pPr>
        <w:ind w:left="5437" w:hanging="360"/>
      </w:pPr>
      <w:rPr>
        <w:rFonts w:ascii="Symbol" w:hAnsi="Symbol" w:hint="default"/>
      </w:rPr>
    </w:lvl>
    <w:lvl w:ilvl="7" w:tplc="0BC850FC" w:tentative="1">
      <w:start w:val="1"/>
      <w:numFmt w:val="bullet"/>
      <w:lvlText w:val="o"/>
      <w:lvlJc w:val="left"/>
      <w:pPr>
        <w:ind w:left="6157" w:hanging="360"/>
      </w:pPr>
      <w:rPr>
        <w:rFonts w:ascii="Courier New" w:hAnsi="Courier New" w:cs="Courier New" w:hint="default"/>
      </w:rPr>
    </w:lvl>
    <w:lvl w:ilvl="8" w:tplc="35124644" w:tentative="1">
      <w:start w:val="1"/>
      <w:numFmt w:val="bullet"/>
      <w:lvlText w:val=""/>
      <w:lvlJc w:val="left"/>
      <w:pPr>
        <w:ind w:left="6877" w:hanging="360"/>
      </w:pPr>
      <w:rPr>
        <w:rFonts w:ascii="Wingdings" w:hAnsi="Wingdings" w:hint="default"/>
      </w:rPr>
    </w:lvl>
  </w:abstractNum>
  <w:abstractNum w:abstractNumId="5" w15:restartNumberingAfterBreak="0">
    <w:nsid w:val="1D587F94"/>
    <w:multiLevelType w:val="hybridMultilevel"/>
    <w:tmpl w:val="FF2AB340"/>
    <w:lvl w:ilvl="0" w:tplc="7EF883A4">
      <w:start w:val="1"/>
      <w:numFmt w:val="decimal"/>
      <w:lvlText w:val="%1."/>
      <w:lvlJc w:val="left"/>
      <w:pPr>
        <w:ind w:left="397" w:hanging="397"/>
      </w:pPr>
      <w:rPr>
        <w:rFonts w:hint="default"/>
        <w:b/>
        <w:i w:val="0"/>
        <w:caps w:val="0"/>
        <w:strike w:val="0"/>
        <w:dstrike w:val="0"/>
        <w:vanish w:val="0"/>
        <w:color w:val="FF0000"/>
        <w:sz w:val="40"/>
        <w:szCs w:val="25"/>
        <w:vertAlign w:val="baseline"/>
      </w:rPr>
    </w:lvl>
    <w:lvl w:ilvl="1" w:tplc="9F3C496A" w:tentative="1">
      <w:start w:val="1"/>
      <w:numFmt w:val="bullet"/>
      <w:lvlText w:val="o"/>
      <w:lvlJc w:val="left"/>
      <w:pPr>
        <w:ind w:left="1440" w:hanging="360"/>
      </w:pPr>
      <w:rPr>
        <w:rFonts w:ascii="Courier New" w:hAnsi="Courier New" w:cs="Courier New" w:hint="default"/>
      </w:rPr>
    </w:lvl>
    <w:lvl w:ilvl="2" w:tplc="DDD26712" w:tentative="1">
      <w:start w:val="1"/>
      <w:numFmt w:val="bullet"/>
      <w:lvlText w:val=""/>
      <w:lvlJc w:val="left"/>
      <w:pPr>
        <w:ind w:left="2160" w:hanging="360"/>
      </w:pPr>
      <w:rPr>
        <w:rFonts w:ascii="Wingdings" w:hAnsi="Wingdings" w:hint="default"/>
      </w:rPr>
    </w:lvl>
    <w:lvl w:ilvl="3" w:tplc="A1E41774" w:tentative="1">
      <w:start w:val="1"/>
      <w:numFmt w:val="bullet"/>
      <w:lvlText w:val=""/>
      <w:lvlJc w:val="left"/>
      <w:pPr>
        <w:ind w:left="2880" w:hanging="360"/>
      </w:pPr>
      <w:rPr>
        <w:rFonts w:ascii="Symbol" w:hAnsi="Symbol" w:hint="default"/>
      </w:rPr>
    </w:lvl>
    <w:lvl w:ilvl="4" w:tplc="0666EAC8" w:tentative="1">
      <w:start w:val="1"/>
      <w:numFmt w:val="bullet"/>
      <w:lvlText w:val="o"/>
      <w:lvlJc w:val="left"/>
      <w:pPr>
        <w:ind w:left="3600" w:hanging="360"/>
      </w:pPr>
      <w:rPr>
        <w:rFonts w:ascii="Courier New" w:hAnsi="Courier New" w:cs="Courier New" w:hint="default"/>
      </w:rPr>
    </w:lvl>
    <w:lvl w:ilvl="5" w:tplc="973ED118" w:tentative="1">
      <w:start w:val="1"/>
      <w:numFmt w:val="bullet"/>
      <w:lvlText w:val=""/>
      <w:lvlJc w:val="left"/>
      <w:pPr>
        <w:ind w:left="4320" w:hanging="360"/>
      </w:pPr>
      <w:rPr>
        <w:rFonts w:ascii="Wingdings" w:hAnsi="Wingdings" w:hint="default"/>
      </w:rPr>
    </w:lvl>
    <w:lvl w:ilvl="6" w:tplc="2B56CE7C" w:tentative="1">
      <w:start w:val="1"/>
      <w:numFmt w:val="bullet"/>
      <w:lvlText w:val=""/>
      <w:lvlJc w:val="left"/>
      <w:pPr>
        <w:ind w:left="5040" w:hanging="360"/>
      </w:pPr>
      <w:rPr>
        <w:rFonts w:ascii="Symbol" w:hAnsi="Symbol" w:hint="default"/>
      </w:rPr>
    </w:lvl>
    <w:lvl w:ilvl="7" w:tplc="F808DC1C" w:tentative="1">
      <w:start w:val="1"/>
      <w:numFmt w:val="bullet"/>
      <w:lvlText w:val="o"/>
      <w:lvlJc w:val="left"/>
      <w:pPr>
        <w:ind w:left="5760" w:hanging="360"/>
      </w:pPr>
      <w:rPr>
        <w:rFonts w:ascii="Courier New" w:hAnsi="Courier New" w:cs="Courier New" w:hint="default"/>
      </w:rPr>
    </w:lvl>
    <w:lvl w:ilvl="8" w:tplc="BF4086AC" w:tentative="1">
      <w:start w:val="1"/>
      <w:numFmt w:val="bullet"/>
      <w:lvlText w:val=""/>
      <w:lvlJc w:val="left"/>
      <w:pPr>
        <w:ind w:left="6480" w:hanging="360"/>
      </w:pPr>
      <w:rPr>
        <w:rFonts w:ascii="Wingdings" w:hAnsi="Wingdings" w:hint="default"/>
      </w:rPr>
    </w:lvl>
  </w:abstractNum>
  <w:abstractNum w:abstractNumId="6" w15:restartNumberingAfterBreak="0">
    <w:nsid w:val="2DB951A8"/>
    <w:multiLevelType w:val="hybridMultilevel"/>
    <w:tmpl w:val="477266D6"/>
    <w:lvl w:ilvl="0" w:tplc="5ACCC4C6">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lang w:bidi="he-IL"/>
      </w:rPr>
    </w:lvl>
    <w:lvl w:ilvl="1" w:tplc="92CAFB02" w:tentative="1">
      <w:start w:val="1"/>
      <w:numFmt w:val="bullet"/>
      <w:lvlText w:val="o"/>
      <w:lvlJc w:val="left"/>
      <w:pPr>
        <w:ind w:left="1837" w:hanging="360"/>
      </w:pPr>
      <w:rPr>
        <w:rFonts w:ascii="Courier New" w:hAnsi="Courier New" w:cs="Courier New" w:hint="default"/>
      </w:rPr>
    </w:lvl>
    <w:lvl w:ilvl="2" w:tplc="158CFFC2" w:tentative="1">
      <w:start w:val="1"/>
      <w:numFmt w:val="bullet"/>
      <w:lvlText w:val=""/>
      <w:lvlJc w:val="left"/>
      <w:pPr>
        <w:ind w:left="2557" w:hanging="360"/>
      </w:pPr>
      <w:rPr>
        <w:rFonts w:ascii="Wingdings" w:hAnsi="Wingdings" w:hint="default"/>
      </w:rPr>
    </w:lvl>
    <w:lvl w:ilvl="3" w:tplc="5D02ADC2" w:tentative="1">
      <w:start w:val="1"/>
      <w:numFmt w:val="bullet"/>
      <w:lvlText w:val=""/>
      <w:lvlJc w:val="left"/>
      <w:pPr>
        <w:ind w:left="3277" w:hanging="360"/>
      </w:pPr>
      <w:rPr>
        <w:rFonts w:ascii="Symbol" w:hAnsi="Symbol" w:hint="default"/>
      </w:rPr>
    </w:lvl>
    <w:lvl w:ilvl="4" w:tplc="86063D80" w:tentative="1">
      <w:start w:val="1"/>
      <w:numFmt w:val="bullet"/>
      <w:lvlText w:val="o"/>
      <w:lvlJc w:val="left"/>
      <w:pPr>
        <w:ind w:left="3997" w:hanging="360"/>
      </w:pPr>
      <w:rPr>
        <w:rFonts w:ascii="Courier New" w:hAnsi="Courier New" w:cs="Courier New" w:hint="default"/>
      </w:rPr>
    </w:lvl>
    <w:lvl w:ilvl="5" w:tplc="DC2AC304" w:tentative="1">
      <w:start w:val="1"/>
      <w:numFmt w:val="bullet"/>
      <w:lvlText w:val=""/>
      <w:lvlJc w:val="left"/>
      <w:pPr>
        <w:ind w:left="4717" w:hanging="360"/>
      </w:pPr>
      <w:rPr>
        <w:rFonts w:ascii="Wingdings" w:hAnsi="Wingdings" w:hint="default"/>
      </w:rPr>
    </w:lvl>
    <w:lvl w:ilvl="6" w:tplc="EF96DC64" w:tentative="1">
      <w:start w:val="1"/>
      <w:numFmt w:val="bullet"/>
      <w:lvlText w:val=""/>
      <w:lvlJc w:val="left"/>
      <w:pPr>
        <w:ind w:left="5437" w:hanging="360"/>
      </w:pPr>
      <w:rPr>
        <w:rFonts w:ascii="Symbol" w:hAnsi="Symbol" w:hint="default"/>
      </w:rPr>
    </w:lvl>
    <w:lvl w:ilvl="7" w:tplc="9258E0B0" w:tentative="1">
      <w:start w:val="1"/>
      <w:numFmt w:val="bullet"/>
      <w:lvlText w:val="o"/>
      <w:lvlJc w:val="left"/>
      <w:pPr>
        <w:ind w:left="6157" w:hanging="360"/>
      </w:pPr>
      <w:rPr>
        <w:rFonts w:ascii="Courier New" w:hAnsi="Courier New" w:cs="Courier New" w:hint="default"/>
      </w:rPr>
    </w:lvl>
    <w:lvl w:ilvl="8" w:tplc="68202F4A" w:tentative="1">
      <w:start w:val="1"/>
      <w:numFmt w:val="bullet"/>
      <w:lvlText w:val=""/>
      <w:lvlJc w:val="left"/>
      <w:pPr>
        <w:ind w:left="6877" w:hanging="360"/>
      </w:pPr>
      <w:rPr>
        <w:rFonts w:ascii="Wingdings" w:hAnsi="Wingdings" w:hint="default"/>
      </w:rPr>
    </w:lvl>
  </w:abstractNum>
  <w:abstractNum w:abstractNumId="7" w15:restartNumberingAfterBreak="0">
    <w:nsid w:val="2EC744C3"/>
    <w:multiLevelType w:val="hybridMultilevel"/>
    <w:tmpl w:val="4A68CCE0"/>
    <w:lvl w:ilvl="0" w:tplc="D0D88004">
      <w:start w:val="1"/>
      <w:numFmt w:val="bullet"/>
      <w:lvlText w:val=""/>
      <w:lvlJc w:val="left"/>
      <w:pPr>
        <w:ind w:left="794" w:hanging="397"/>
      </w:pPr>
      <w:rPr>
        <w:rFonts w:ascii="Wingdings" w:hAnsi="Wingdings" w:cs="Wingdings" w:hint="default"/>
        <w:b/>
        <w:i w:val="0"/>
        <w:caps w:val="0"/>
        <w:strike w:val="0"/>
        <w:dstrike w:val="0"/>
        <w:vanish w:val="0"/>
        <w:color w:val="FF0000"/>
        <w:sz w:val="40"/>
        <w:szCs w:val="25"/>
        <w:vertAlign w:val="baseline"/>
      </w:rPr>
    </w:lvl>
    <w:lvl w:ilvl="1" w:tplc="A524F886" w:tentative="1">
      <w:start w:val="1"/>
      <w:numFmt w:val="bullet"/>
      <w:lvlText w:val="o"/>
      <w:lvlJc w:val="left"/>
      <w:pPr>
        <w:ind w:left="1440" w:hanging="360"/>
      </w:pPr>
      <w:rPr>
        <w:rFonts w:ascii="Courier New" w:hAnsi="Courier New" w:cs="Courier New" w:hint="default"/>
      </w:rPr>
    </w:lvl>
    <w:lvl w:ilvl="2" w:tplc="B12C6784" w:tentative="1">
      <w:start w:val="1"/>
      <w:numFmt w:val="bullet"/>
      <w:lvlText w:val=""/>
      <w:lvlJc w:val="left"/>
      <w:pPr>
        <w:ind w:left="2160" w:hanging="360"/>
      </w:pPr>
      <w:rPr>
        <w:rFonts w:ascii="Wingdings" w:hAnsi="Wingdings" w:hint="default"/>
      </w:rPr>
    </w:lvl>
    <w:lvl w:ilvl="3" w:tplc="BFDAA40A" w:tentative="1">
      <w:start w:val="1"/>
      <w:numFmt w:val="bullet"/>
      <w:lvlText w:val=""/>
      <w:lvlJc w:val="left"/>
      <w:pPr>
        <w:ind w:left="2880" w:hanging="360"/>
      </w:pPr>
      <w:rPr>
        <w:rFonts w:ascii="Symbol" w:hAnsi="Symbol" w:hint="default"/>
      </w:rPr>
    </w:lvl>
    <w:lvl w:ilvl="4" w:tplc="ABA0A2B2" w:tentative="1">
      <w:start w:val="1"/>
      <w:numFmt w:val="bullet"/>
      <w:lvlText w:val="o"/>
      <w:lvlJc w:val="left"/>
      <w:pPr>
        <w:ind w:left="3600" w:hanging="360"/>
      </w:pPr>
      <w:rPr>
        <w:rFonts w:ascii="Courier New" w:hAnsi="Courier New" w:cs="Courier New" w:hint="default"/>
      </w:rPr>
    </w:lvl>
    <w:lvl w:ilvl="5" w:tplc="27506C20" w:tentative="1">
      <w:start w:val="1"/>
      <w:numFmt w:val="bullet"/>
      <w:lvlText w:val=""/>
      <w:lvlJc w:val="left"/>
      <w:pPr>
        <w:ind w:left="4320" w:hanging="360"/>
      </w:pPr>
      <w:rPr>
        <w:rFonts w:ascii="Wingdings" w:hAnsi="Wingdings" w:hint="default"/>
      </w:rPr>
    </w:lvl>
    <w:lvl w:ilvl="6" w:tplc="A16C437E" w:tentative="1">
      <w:start w:val="1"/>
      <w:numFmt w:val="bullet"/>
      <w:lvlText w:val=""/>
      <w:lvlJc w:val="left"/>
      <w:pPr>
        <w:ind w:left="5040" w:hanging="360"/>
      </w:pPr>
      <w:rPr>
        <w:rFonts w:ascii="Symbol" w:hAnsi="Symbol" w:hint="default"/>
      </w:rPr>
    </w:lvl>
    <w:lvl w:ilvl="7" w:tplc="B2120F30" w:tentative="1">
      <w:start w:val="1"/>
      <w:numFmt w:val="bullet"/>
      <w:lvlText w:val="o"/>
      <w:lvlJc w:val="left"/>
      <w:pPr>
        <w:ind w:left="5760" w:hanging="360"/>
      </w:pPr>
      <w:rPr>
        <w:rFonts w:ascii="Courier New" w:hAnsi="Courier New" w:cs="Courier New" w:hint="default"/>
      </w:rPr>
    </w:lvl>
    <w:lvl w:ilvl="8" w:tplc="E612D94C" w:tentative="1">
      <w:start w:val="1"/>
      <w:numFmt w:val="bullet"/>
      <w:lvlText w:val=""/>
      <w:lvlJc w:val="left"/>
      <w:pPr>
        <w:ind w:left="6480" w:hanging="360"/>
      </w:pPr>
      <w:rPr>
        <w:rFonts w:ascii="Wingdings" w:hAnsi="Wingdings" w:hint="default"/>
      </w:rPr>
    </w:lvl>
  </w:abstractNum>
  <w:abstractNum w:abstractNumId="8" w15:restartNumberingAfterBreak="0">
    <w:nsid w:val="30D17255"/>
    <w:multiLevelType w:val="hybridMultilevel"/>
    <w:tmpl w:val="F1AE1FFC"/>
    <w:lvl w:ilvl="0" w:tplc="7CD6B5E2">
      <w:start w:val="1"/>
      <w:numFmt w:val="decimal"/>
      <w:pStyle w:val="a"/>
      <w:lvlText w:val="לוח %1:"/>
      <w:lvlJc w:val="left"/>
      <w:pPr>
        <w:ind w:left="1854" w:hanging="360"/>
      </w:pPr>
      <w:rPr>
        <w:rFonts w:ascii="Calibri" w:hAnsi="Calibri" w:cs="Calibri" w:hint="default"/>
        <w:b w:val="0"/>
        <w:bCs w:val="0"/>
        <w:i w:val="0"/>
        <w:iCs w:val="0"/>
        <w:color w:val="002060"/>
        <w:sz w:val="24"/>
        <w:szCs w:val="24"/>
      </w:rPr>
    </w:lvl>
    <w:lvl w:ilvl="1" w:tplc="54A47290" w:tentative="1">
      <w:start w:val="1"/>
      <w:numFmt w:val="lowerLetter"/>
      <w:lvlText w:val="%2."/>
      <w:lvlJc w:val="left"/>
      <w:pPr>
        <w:ind w:left="2574" w:hanging="360"/>
      </w:pPr>
    </w:lvl>
    <w:lvl w:ilvl="2" w:tplc="92321110" w:tentative="1">
      <w:start w:val="1"/>
      <w:numFmt w:val="lowerRoman"/>
      <w:lvlText w:val="%3."/>
      <w:lvlJc w:val="right"/>
      <w:pPr>
        <w:ind w:left="3294" w:hanging="180"/>
      </w:pPr>
    </w:lvl>
    <w:lvl w:ilvl="3" w:tplc="F1608DDE" w:tentative="1">
      <w:start w:val="1"/>
      <w:numFmt w:val="decimal"/>
      <w:lvlText w:val="%4."/>
      <w:lvlJc w:val="left"/>
      <w:pPr>
        <w:ind w:left="4014" w:hanging="360"/>
      </w:pPr>
    </w:lvl>
    <w:lvl w:ilvl="4" w:tplc="EB0E27A6" w:tentative="1">
      <w:start w:val="1"/>
      <w:numFmt w:val="lowerLetter"/>
      <w:lvlText w:val="%5."/>
      <w:lvlJc w:val="left"/>
      <w:pPr>
        <w:ind w:left="4734" w:hanging="360"/>
      </w:pPr>
    </w:lvl>
    <w:lvl w:ilvl="5" w:tplc="6C56B332" w:tentative="1">
      <w:start w:val="1"/>
      <w:numFmt w:val="lowerRoman"/>
      <w:lvlText w:val="%6."/>
      <w:lvlJc w:val="right"/>
      <w:pPr>
        <w:ind w:left="5454" w:hanging="180"/>
      </w:pPr>
    </w:lvl>
    <w:lvl w:ilvl="6" w:tplc="3A6803F0" w:tentative="1">
      <w:start w:val="1"/>
      <w:numFmt w:val="decimal"/>
      <w:lvlText w:val="%7."/>
      <w:lvlJc w:val="left"/>
      <w:pPr>
        <w:ind w:left="6174" w:hanging="360"/>
      </w:pPr>
    </w:lvl>
    <w:lvl w:ilvl="7" w:tplc="507C1F72" w:tentative="1">
      <w:start w:val="1"/>
      <w:numFmt w:val="lowerLetter"/>
      <w:lvlText w:val="%8."/>
      <w:lvlJc w:val="left"/>
      <w:pPr>
        <w:ind w:left="6894" w:hanging="360"/>
      </w:pPr>
    </w:lvl>
    <w:lvl w:ilvl="8" w:tplc="CBB69EF2" w:tentative="1">
      <w:start w:val="1"/>
      <w:numFmt w:val="lowerRoman"/>
      <w:lvlText w:val="%9."/>
      <w:lvlJc w:val="right"/>
      <w:pPr>
        <w:ind w:left="7614" w:hanging="180"/>
      </w:pPr>
    </w:lvl>
  </w:abstractNum>
  <w:abstractNum w:abstractNumId="9" w15:restartNumberingAfterBreak="0">
    <w:nsid w:val="316B14B9"/>
    <w:multiLevelType w:val="hybridMultilevel"/>
    <w:tmpl w:val="378E9214"/>
    <w:lvl w:ilvl="0" w:tplc="28D8300C">
      <w:start w:val="1"/>
      <w:numFmt w:val="decimal"/>
      <w:pStyle w:val="a0"/>
      <w:lvlText w:val="תמונה %1:"/>
      <w:lvlJc w:val="left"/>
      <w:pPr>
        <w:ind w:left="1494" w:hanging="360"/>
      </w:pPr>
      <w:rPr>
        <w:rFonts w:ascii="Calibri" w:hAnsi="Calibri" w:cs="Calibri" w:hint="default"/>
        <w:b w:val="0"/>
        <w:bCs w:val="0"/>
        <w:i w:val="0"/>
        <w:iCs w:val="0"/>
        <w:color w:val="002060"/>
        <w:sz w:val="24"/>
        <w:szCs w:val="24"/>
      </w:rPr>
    </w:lvl>
    <w:lvl w:ilvl="1" w:tplc="CD0AAEC2" w:tentative="1">
      <w:start w:val="1"/>
      <w:numFmt w:val="lowerLetter"/>
      <w:lvlText w:val="%2."/>
      <w:lvlJc w:val="left"/>
      <w:pPr>
        <w:ind w:left="2578" w:hanging="360"/>
      </w:pPr>
    </w:lvl>
    <w:lvl w:ilvl="2" w:tplc="D8304FAC" w:tentative="1">
      <w:start w:val="1"/>
      <w:numFmt w:val="lowerRoman"/>
      <w:lvlText w:val="%3."/>
      <w:lvlJc w:val="right"/>
      <w:pPr>
        <w:ind w:left="3298" w:hanging="180"/>
      </w:pPr>
    </w:lvl>
    <w:lvl w:ilvl="3" w:tplc="133E9A4C" w:tentative="1">
      <w:start w:val="1"/>
      <w:numFmt w:val="decimal"/>
      <w:lvlText w:val="%4."/>
      <w:lvlJc w:val="left"/>
      <w:pPr>
        <w:ind w:left="4018" w:hanging="360"/>
      </w:pPr>
    </w:lvl>
    <w:lvl w:ilvl="4" w:tplc="BF9EA782" w:tentative="1">
      <w:start w:val="1"/>
      <w:numFmt w:val="lowerLetter"/>
      <w:lvlText w:val="%5."/>
      <w:lvlJc w:val="left"/>
      <w:pPr>
        <w:ind w:left="4738" w:hanging="360"/>
      </w:pPr>
    </w:lvl>
    <w:lvl w:ilvl="5" w:tplc="8F8C7C52" w:tentative="1">
      <w:start w:val="1"/>
      <w:numFmt w:val="lowerRoman"/>
      <w:lvlText w:val="%6."/>
      <w:lvlJc w:val="right"/>
      <w:pPr>
        <w:ind w:left="5458" w:hanging="180"/>
      </w:pPr>
    </w:lvl>
    <w:lvl w:ilvl="6" w:tplc="B23C2082" w:tentative="1">
      <w:start w:val="1"/>
      <w:numFmt w:val="decimal"/>
      <w:lvlText w:val="%7."/>
      <w:lvlJc w:val="left"/>
      <w:pPr>
        <w:ind w:left="6178" w:hanging="360"/>
      </w:pPr>
    </w:lvl>
    <w:lvl w:ilvl="7" w:tplc="5F166C10" w:tentative="1">
      <w:start w:val="1"/>
      <w:numFmt w:val="lowerLetter"/>
      <w:lvlText w:val="%8."/>
      <w:lvlJc w:val="left"/>
      <w:pPr>
        <w:ind w:left="6898" w:hanging="360"/>
      </w:pPr>
    </w:lvl>
    <w:lvl w:ilvl="8" w:tplc="16BA2384" w:tentative="1">
      <w:start w:val="1"/>
      <w:numFmt w:val="lowerRoman"/>
      <w:lvlText w:val="%9."/>
      <w:lvlJc w:val="right"/>
      <w:pPr>
        <w:ind w:left="7618" w:hanging="180"/>
      </w:pPr>
    </w:lvl>
  </w:abstractNum>
  <w:abstractNum w:abstractNumId="10" w15:restartNumberingAfterBreak="0">
    <w:nsid w:val="33A86F96"/>
    <w:multiLevelType w:val="hybridMultilevel"/>
    <w:tmpl w:val="220A2AB2"/>
    <w:lvl w:ilvl="0" w:tplc="DB26D242">
      <w:start w:val="1"/>
      <w:numFmt w:val="decimal"/>
      <w:pStyle w:val="a1"/>
      <w:lvlText w:val="מפה %1:"/>
      <w:lvlJc w:val="left"/>
      <w:pPr>
        <w:ind w:left="1858" w:hanging="360"/>
      </w:pPr>
      <w:rPr>
        <w:rFonts w:ascii="Calibri" w:hAnsi="Calibri" w:cs="Calibri" w:hint="default"/>
        <w:b w:val="0"/>
        <w:bCs w:val="0"/>
        <w:i w:val="0"/>
        <w:iCs w:val="0"/>
        <w:color w:val="002060"/>
        <w:sz w:val="24"/>
        <w:szCs w:val="24"/>
      </w:rPr>
    </w:lvl>
    <w:lvl w:ilvl="1" w:tplc="D8E0949C" w:tentative="1">
      <w:start w:val="1"/>
      <w:numFmt w:val="lowerLetter"/>
      <w:lvlText w:val="%2."/>
      <w:lvlJc w:val="left"/>
      <w:pPr>
        <w:ind w:left="2934" w:hanging="360"/>
      </w:pPr>
    </w:lvl>
    <w:lvl w:ilvl="2" w:tplc="D30A9EDC" w:tentative="1">
      <w:start w:val="1"/>
      <w:numFmt w:val="lowerRoman"/>
      <w:lvlText w:val="%3."/>
      <w:lvlJc w:val="right"/>
      <w:pPr>
        <w:ind w:left="3654" w:hanging="180"/>
      </w:pPr>
    </w:lvl>
    <w:lvl w:ilvl="3" w:tplc="EC808DC6" w:tentative="1">
      <w:start w:val="1"/>
      <w:numFmt w:val="decimal"/>
      <w:lvlText w:val="%4."/>
      <w:lvlJc w:val="left"/>
      <w:pPr>
        <w:ind w:left="4374" w:hanging="360"/>
      </w:pPr>
    </w:lvl>
    <w:lvl w:ilvl="4" w:tplc="6882D456" w:tentative="1">
      <w:start w:val="1"/>
      <w:numFmt w:val="lowerLetter"/>
      <w:lvlText w:val="%5."/>
      <w:lvlJc w:val="left"/>
      <w:pPr>
        <w:ind w:left="5094" w:hanging="360"/>
      </w:pPr>
    </w:lvl>
    <w:lvl w:ilvl="5" w:tplc="86700D02" w:tentative="1">
      <w:start w:val="1"/>
      <w:numFmt w:val="lowerRoman"/>
      <w:lvlText w:val="%6."/>
      <w:lvlJc w:val="right"/>
      <w:pPr>
        <w:ind w:left="5814" w:hanging="180"/>
      </w:pPr>
    </w:lvl>
    <w:lvl w:ilvl="6" w:tplc="6A92EBD6" w:tentative="1">
      <w:start w:val="1"/>
      <w:numFmt w:val="decimal"/>
      <w:lvlText w:val="%7."/>
      <w:lvlJc w:val="left"/>
      <w:pPr>
        <w:ind w:left="6534" w:hanging="360"/>
      </w:pPr>
    </w:lvl>
    <w:lvl w:ilvl="7" w:tplc="FCF4D092" w:tentative="1">
      <w:start w:val="1"/>
      <w:numFmt w:val="lowerLetter"/>
      <w:lvlText w:val="%8."/>
      <w:lvlJc w:val="left"/>
      <w:pPr>
        <w:ind w:left="7254" w:hanging="360"/>
      </w:pPr>
    </w:lvl>
    <w:lvl w:ilvl="8" w:tplc="22D217C2" w:tentative="1">
      <w:start w:val="1"/>
      <w:numFmt w:val="lowerRoman"/>
      <w:lvlText w:val="%9."/>
      <w:lvlJc w:val="right"/>
      <w:pPr>
        <w:ind w:left="7974" w:hanging="180"/>
      </w:pPr>
    </w:lvl>
  </w:abstractNum>
  <w:abstractNum w:abstractNumId="11" w15:restartNumberingAfterBreak="0">
    <w:nsid w:val="355B1DDE"/>
    <w:multiLevelType w:val="hybridMultilevel"/>
    <w:tmpl w:val="0382FD12"/>
    <w:lvl w:ilvl="0" w:tplc="160E9BD0">
      <w:start w:val="1"/>
      <w:numFmt w:val="bullet"/>
      <w:lvlText w:val=""/>
      <w:lvlJc w:val="left"/>
      <w:pPr>
        <w:ind w:left="397" w:hanging="397"/>
      </w:pPr>
      <w:rPr>
        <w:rFonts w:ascii="Segoe MDL2 Assets" w:hAnsi="Segoe MDL2 Assets" w:cs="Segoe MDL2 Assets" w:hint="default"/>
        <w:b/>
        <w:bCs/>
        <w:i w:val="0"/>
        <w:iCs w:val="0"/>
        <w:color w:val="FFC000"/>
        <w:position w:val="-6"/>
        <w:sz w:val="28"/>
        <w:szCs w:val="32"/>
        <w:lang w:bidi="he-IL"/>
      </w:rPr>
    </w:lvl>
    <w:lvl w:ilvl="1" w:tplc="FF728216" w:tentative="1">
      <w:start w:val="1"/>
      <w:numFmt w:val="bullet"/>
      <w:lvlText w:val="o"/>
      <w:lvlJc w:val="left"/>
      <w:pPr>
        <w:ind w:left="1080" w:hanging="360"/>
      </w:pPr>
      <w:rPr>
        <w:rFonts w:ascii="Courier New" w:hAnsi="Courier New" w:cs="Courier New" w:hint="default"/>
      </w:rPr>
    </w:lvl>
    <w:lvl w:ilvl="2" w:tplc="2DBC06AC" w:tentative="1">
      <w:start w:val="1"/>
      <w:numFmt w:val="bullet"/>
      <w:lvlText w:val=""/>
      <w:lvlJc w:val="left"/>
      <w:pPr>
        <w:ind w:left="1800" w:hanging="360"/>
      </w:pPr>
      <w:rPr>
        <w:rFonts w:ascii="Wingdings" w:hAnsi="Wingdings" w:hint="default"/>
      </w:rPr>
    </w:lvl>
    <w:lvl w:ilvl="3" w:tplc="44CC9D74" w:tentative="1">
      <w:start w:val="1"/>
      <w:numFmt w:val="bullet"/>
      <w:lvlText w:val=""/>
      <w:lvlJc w:val="left"/>
      <w:pPr>
        <w:ind w:left="2520" w:hanging="360"/>
      </w:pPr>
      <w:rPr>
        <w:rFonts w:ascii="Symbol" w:hAnsi="Symbol" w:hint="default"/>
      </w:rPr>
    </w:lvl>
    <w:lvl w:ilvl="4" w:tplc="D3284F14" w:tentative="1">
      <w:start w:val="1"/>
      <w:numFmt w:val="bullet"/>
      <w:lvlText w:val="o"/>
      <w:lvlJc w:val="left"/>
      <w:pPr>
        <w:ind w:left="3240" w:hanging="360"/>
      </w:pPr>
      <w:rPr>
        <w:rFonts w:ascii="Courier New" w:hAnsi="Courier New" w:cs="Courier New" w:hint="default"/>
      </w:rPr>
    </w:lvl>
    <w:lvl w:ilvl="5" w:tplc="2C02C66E" w:tentative="1">
      <w:start w:val="1"/>
      <w:numFmt w:val="bullet"/>
      <w:lvlText w:val=""/>
      <w:lvlJc w:val="left"/>
      <w:pPr>
        <w:ind w:left="3960" w:hanging="360"/>
      </w:pPr>
      <w:rPr>
        <w:rFonts w:ascii="Wingdings" w:hAnsi="Wingdings" w:hint="default"/>
      </w:rPr>
    </w:lvl>
    <w:lvl w:ilvl="6" w:tplc="0674D49E" w:tentative="1">
      <w:start w:val="1"/>
      <w:numFmt w:val="bullet"/>
      <w:lvlText w:val=""/>
      <w:lvlJc w:val="left"/>
      <w:pPr>
        <w:ind w:left="4680" w:hanging="360"/>
      </w:pPr>
      <w:rPr>
        <w:rFonts w:ascii="Symbol" w:hAnsi="Symbol" w:hint="default"/>
      </w:rPr>
    </w:lvl>
    <w:lvl w:ilvl="7" w:tplc="3F52BD7A" w:tentative="1">
      <w:start w:val="1"/>
      <w:numFmt w:val="bullet"/>
      <w:lvlText w:val="o"/>
      <w:lvlJc w:val="left"/>
      <w:pPr>
        <w:ind w:left="5400" w:hanging="360"/>
      </w:pPr>
      <w:rPr>
        <w:rFonts w:ascii="Courier New" w:hAnsi="Courier New" w:cs="Courier New" w:hint="default"/>
      </w:rPr>
    </w:lvl>
    <w:lvl w:ilvl="8" w:tplc="876E1FD2" w:tentative="1">
      <w:start w:val="1"/>
      <w:numFmt w:val="bullet"/>
      <w:lvlText w:val=""/>
      <w:lvlJc w:val="left"/>
      <w:pPr>
        <w:ind w:left="6120" w:hanging="360"/>
      </w:pPr>
      <w:rPr>
        <w:rFonts w:ascii="Wingdings" w:hAnsi="Wingdings" w:hint="default"/>
      </w:rPr>
    </w:lvl>
  </w:abstractNum>
  <w:abstractNum w:abstractNumId="12" w15:restartNumberingAfterBreak="0">
    <w:nsid w:val="392E622D"/>
    <w:multiLevelType w:val="hybridMultilevel"/>
    <w:tmpl w:val="7D5E01EA"/>
    <w:lvl w:ilvl="0" w:tplc="1EC23A9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D9C27C78" w:tentative="1">
      <w:start w:val="1"/>
      <w:numFmt w:val="bullet"/>
      <w:lvlText w:val="o"/>
      <w:lvlJc w:val="left"/>
      <w:pPr>
        <w:ind w:left="1837" w:hanging="360"/>
      </w:pPr>
      <w:rPr>
        <w:rFonts w:ascii="Courier New" w:hAnsi="Courier New" w:cs="Courier New" w:hint="default"/>
      </w:rPr>
    </w:lvl>
    <w:lvl w:ilvl="2" w:tplc="662283E8" w:tentative="1">
      <w:start w:val="1"/>
      <w:numFmt w:val="bullet"/>
      <w:lvlText w:val=""/>
      <w:lvlJc w:val="left"/>
      <w:pPr>
        <w:ind w:left="2557" w:hanging="360"/>
      </w:pPr>
      <w:rPr>
        <w:rFonts w:ascii="Wingdings" w:hAnsi="Wingdings" w:hint="default"/>
      </w:rPr>
    </w:lvl>
    <w:lvl w:ilvl="3" w:tplc="EF3EA802" w:tentative="1">
      <w:start w:val="1"/>
      <w:numFmt w:val="bullet"/>
      <w:lvlText w:val=""/>
      <w:lvlJc w:val="left"/>
      <w:pPr>
        <w:ind w:left="3277" w:hanging="360"/>
      </w:pPr>
      <w:rPr>
        <w:rFonts w:ascii="Symbol" w:hAnsi="Symbol" w:hint="default"/>
      </w:rPr>
    </w:lvl>
    <w:lvl w:ilvl="4" w:tplc="061848C6" w:tentative="1">
      <w:start w:val="1"/>
      <w:numFmt w:val="bullet"/>
      <w:lvlText w:val="o"/>
      <w:lvlJc w:val="left"/>
      <w:pPr>
        <w:ind w:left="3997" w:hanging="360"/>
      </w:pPr>
      <w:rPr>
        <w:rFonts w:ascii="Courier New" w:hAnsi="Courier New" w:cs="Courier New" w:hint="default"/>
      </w:rPr>
    </w:lvl>
    <w:lvl w:ilvl="5" w:tplc="3BE88EEC" w:tentative="1">
      <w:start w:val="1"/>
      <w:numFmt w:val="bullet"/>
      <w:lvlText w:val=""/>
      <w:lvlJc w:val="left"/>
      <w:pPr>
        <w:ind w:left="4717" w:hanging="360"/>
      </w:pPr>
      <w:rPr>
        <w:rFonts w:ascii="Wingdings" w:hAnsi="Wingdings" w:hint="default"/>
      </w:rPr>
    </w:lvl>
    <w:lvl w:ilvl="6" w:tplc="91B69234" w:tentative="1">
      <w:start w:val="1"/>
      <w:numFmt w:val="bullet"/>
      <w:lvlText w:val=""/>
      <w:lvlJc w:val="left"/>
      <w:pPr>
        <w:ind w:left="5437" w:hanging="360"/>
      </w:pPr>
      <w:rPr>
        <w:rFonts w:ascii="Symbol" w:hAnsi="Symbol" w:hint="default"/>
      </w:rPr>
    </w:lvl>
    <w:lvl w:ilvl="7" w:tplc="8150720E" w:tentative="1">
      <w:start w:val="1"/>
      <w:numFmt w:val="bullet"/>
      <w:lvlText w:val="o"/>
      <w:lvlJc w:val="left"/>
      <w:pPr>
        <w:ind w:left="6157" w:hanging="360"/>
      </w:pPr>
      <w:rPr>
        <w:rFonts w:ascii="Courier New" w:hAnsi="Courier New" w:cs="Courier New" w:hint="default"/>
      </w:rPr>
    </w:lvl>
    <w:lvl w:ilvl="8" w:tplc="0C8CDAEC" w:tentative="1">
      <w:start w:val="1"/>
      <w:numFmt w:val="bullet"/>
      <w:lvlText w:val=""/>
      <w:lvlJc w:val="left"/>
      <w:pPr>
        <w:ind w:left="6877" w:hanging="360"/>
      </w:pPr>
      <w:rPr>
        <w:rFonts w:ascii="Wingdings" w:hAnsi="Wingdings" w:hint="default"/>
      </w:rPr>
    </w:lvl>
  </w:abstractNum>
  <w:abstractNum w:abstractNumId="13" w15:restartNumberingAfterBreak="0">
    <w:nsid w:val="3A923526"/>
    <w:multiLevelType w:val="hybridMultilevel"/>
    <w:tmpl w:val="4E74417E"/>
    <w:lvl w:ilvl="0" w:tplc="EB54A402">
      <w:start w:val="1"/>
      <w:numFmt w:val="decimal"/>
      <w:pStyle w:val="a2"/>
      <w:lvlText w:val="תרשים %1:"/>
      <w:lvlJc w:val="left"/>
      <w:pPr>
        <w:ind w:left="1494" w:hanging="360"/>
      </w:pPr>
      <w:rPr>
        <w:rFonts w:ascii="Calibri" w:hAnsi="Calibri" w:cs="Calibri" w:hint="default"/>
        <w:b w:val="0"/>
        <w:bCs w:val="0"/>
        <w:i w:val="0"/>
        <w:iCs w:val="0"/>
        <w:color w:val="002060"/>
        <w:sz w:val="24"/>
        <w:szCs w:val="24"/>
      </w:rPr>
    </w:lvl>
    <w:lvl w:ilvl="1" w:tplc="59988DA6" w:tentative="1">
      <w:start w:val="1"/>
      <w:numFmt w:val="lowerLetter"/>
      <w:lvlText w:val="%2."/>
      <w:lvlJc w:val="left"/>
      <w:pPr>
        <w:ind w:left="2578" w:hanging="360"/>
      </w:pPr>
    </w:lvl>
    <w:lvl w:ilvl="2" w:tplc="82FA166E" w:tentative="1">
      <w:start w:val="1"/>
      <w:numFmt w:val="lowerRoman"/>
      <w:lvlText w:val="%3."/>
      <w:lvlJc w:val="right"/>
      <w:pPr>
        <w:ind w:left="3298" w:hanging="180"/>
      </w:pPr>
    </w:lvl>
    <w:lvl w:ilvl="3" w:tplc="E9842300" w:tentative="1">
      <w:start w:val="1"/>
      <w:numFmt w:val="decimal"/>
      <w:lvlText w:val="%4."/>
      <w:lvlJc w:val="left"/>
      <w:pPr>
        <w:ind w:left="4018" w:hanging="360"/>
      </w:pPr>
    </w:lvl>
    <w:lvl w:ilvl="4" w:tplc="3AF8C768" w:tentative="1">
      <w:start w:val="1"/>
      <w:numFmt w:val="lowerLetter"/>
      <w:lvlText w:val="%5."/>
      <w:lvlJc w:val="left"/>
      <w:pPr>
        <w:ind w:left="4738" w:hanging="360"/>
      </w:pPr>
    </w:lvl>
    <w:lvl w:ilvl="5" w:tplc="99583DFA" w:tentative="1">
      <w:start w:val="1"/>
      <w:numFmt w:val="lowerRoman"/>
      <w:lvlText w:val="%6."/>
      <w:lvlJc w:val="right"/>
      <w:pPr>
        <w:ind w:left="5458" w:hanging="180"/>
      </w:pPr>
    </w:lvl>
    <w:lvl w:ilvl="6" w:tplc="F95AAF56" w:tentative="1">
      <w:start w:val="1"/>
      <w:numFmt w:val="decimal"/>
      <w:lvlText w:val="%7."/>
      <w:lvlJc w:val="left"/>
      <w:pPr>
        <w:ind w:left="6178" w:hanging="360"/>
      </w:pPr>
    </w:lvl>
    <w:lvl w:ilvl="7" w:tplc="2CD8BB24" w:tentative="1">
      <w:start w:val="1"/>
      <w:numFmt w:val="lowerLetter"/>
      <w:lvlText w:val="%8."/>
      <w:lvlJc w:val="left"/>
      <w:pPr>
        <w:ind w:left="6898" w:hanging="360"/>
      </w:pPr>
    </w:lvl>
    <w:lvl w:ilvl="8" w:tplc="FC087994" w:tentative="1">
      <w:start w:val="1"/>
      <w:numFmt w:val="lowerRoman"/>
      <w:lvlText w:val="%9."/>
      <w:lvlJc w:val="right"/>
      <w:pPr>
        <w:ind w:left="7618" w:hanging="180"/>
      </w:pPr>
    </w:lvl>
  </w:abstractNum>
  <w:abstractNum w:abstractNumId="14" w15:restartNumberingAfterBreak="0">
    <w:nsid w:val="3B0B597E"/>
    <w:multiLevelType w:val="hybridMultilevel"/>
    <w:tmpl w:val="C582C6B2"/>
    <w:lvl w:ilvl="0" w:tplc="00341AC4">
      <w:numFmt w:val="bullet"/>
      <w:lvlText w:val="•"/>
      <w:lvlJc w:val="left"/>
      <w:pPr>
        <w:ind w:left="1003" w:hanging="360"/>
      </w:pPr>
      <w:rPr>
        <w:rFonts w:ascii="Tahoma" w:eastAsiaTheme="minorHAnsi" w:hAnsi="Tahoma" w:cs="Tahoma" w:hint="default"/>
        <w:b/>
        <w:i w:val="0"/>
        <w:caps w:val="0"/>
        <w:strike w:val="0"/>
        <w:dstrike w:val="0"/>
        <w:vanish w:val="0"/>
        <w:color w:val="FF0000"/>
        <w:position w:val="0"/>
        <w:sz w:val="21"/>
        <w:szCs w:val="25"/>
        <w:vertAlign w:val="baseline"/>
        <w14:ligatures w14:val="all"/>
        <w14:numForm w14:val="default"/>
        <w14:numSpacing w14:val="default"/>
        <w14:stylisticSets/>
      </w:rPr>
    </w:lvl>
    <w:lvl w:ilvl="1" w:tplc="1494B1E4">
      <w:numFmt w:val="bullet"/>
      <w:lvlText w:val="•"/>
      <w:lvlJc w:val="left"/>
      <w:pPr>
        <w:ind w:left="1528" w:hanging="165"/>
      </w:pPr>
      <w:rPr>
        <w:rFonts w:ascii="Tahoma" w:eastAsiaTheme="minorHAnsi" w:hAnsi="Tahoma" w:cs="Tahoma" w:hint="default"/>
        <w:b/>
        <w:color w:val="FF0000"/>
        <w:sz w:val="21"/>
      </w:rPr>
    </w:lvl>
    <w:lvl w:ilvl="2" w:tplc="F8E87C48" w:tentative="1">
      <w:start w:val="1"/>
      <w:numFmt w:val="bullet"/>
      <w:lvlText w:val=""/>
      <w:lvlJc w:val="left"/>
      <w:pPr>
        <w:ind w:left="2443" w:hanging="360"/>
      </w:pPr>
      <w:rPr>
        <w:rFonts w:ascii="Wingdings" w:hAnsi="Wingdings" w:hint="default"/>
      </w:rPr>
    </w:lvl>
    <w:lvl w:ilvl="3" w:tplc="468CF052" w:tentative="1">
      <w:start w:val="1"/>
      <w:numFmt w:val="bullet"/>
      <w:lvlText w:val=""/>
      <w:lvlJc w:val="left"/>
      <w:pPr>
        <w:ind w:left="3163" w:hanging="360"/>
      </w:pPr>
      <w:rPr>
        <w:rFonts w:ascii="Symbol" w:hAnsi="Symbol" w:hint="default"/>
      </w:rPr>
    </w:lvl>
    <w:lvl w:ilvl="4" w:tplc="2D0EC768" w:tentative="1">
      <w:start w:val="1"/>
      <w:numFmt w:val="bullet"/>
      <w:lvlText w:val="o"/>
      <w:lvlJc w:val="left"/>
      <w:pPr>
        <w:ind w:left="3883" w:hanging="360"/>
      </w:pPr>
      <w:rPr>
        <w:rFonts w:ascii="Courier New" w:hAnsi="Courier New" w:cs="Courier New" w:hint="default"/>
      </w:rPr>
    </w:lvl>
    <w:lvl w:ilvl="5" w:tplc="62D274AC" w:tentative="1">
      <w:start w:val="1"/>
      <w:numFmt w:val="bullet"/>
      <w:lvlText w:val=""/>
      <w:lvlJc w:val="left"/>
      <w:pPr>
        <w:ind w:left="4603" w:hanging="360"/>
      </w:pPr>
      <w:rPr>
        <w:rFonts w:ascii="Wingdings" w:hAnsi="Wingdings" w:hint="default"/>
      </w:rPr>
    </w:lvl>
    <w:lvl w:ilvl="6" w:tplc="85A212DE" w:tentative="1">
      <w:start w:val="1"/>
      <w:numFmt w:val="bullet"/>
      <w:lvlText w:val=""/>
      <w:lvlJc w:val="left"/>
      <w:pPr>
        <w:ind w:left="5323" w:hanging="360"/>
      </w:pPr>
      <w:rPr>
        <w:rFonts w:ascii="Symbol" w:hAnsi="Symbol" w:hint="default"/>
      </w:rPr>
    </w:lvl>
    <w:lvl w:ilvl="7" w:tplc="1158BF2A" w:tentative="1">
      <w:start w:val="1"/>
      <w:numFmt w:val="bullet"/>
      <w:lvlText w:val="o"/>
      <w:lvlJc w:val="left"/>
      <w:pPr>
        <w:ind w:left="6043" w:hanging="360"/>
      </w:pPr>
      <w:rPr>
        <w:rFonts w:ascii="Courier New" w:hAnsi="Courier New" w:cs="Courier New" w:hint="default"/>
      </w:rPr>
    </w:lvl>
    <w:lvl w:ilvl="8" w:tplc="3FC27B4C" w:tentative="1">
      <w:start w:val="1"/>
      <w:numFmt w:val="bullet"/>
      <w:lvlText w:val=""/>
      <w:lvlJc w:val="left"/>
      <w:pPr>
        <w:ind w:left="6763" w:hanging="360"/>
      </w:pPr>
      <w:rPr>
        <w:rFonts w:ascii="Wingdings" w:hAnsi="Wingdings" w:hint="default"/>
      </w:rPr>
    </w:lvl>
  </w:abstractNum>
  <w:abstractNum w:abstractNumId="15" w15:restartNumberingAfterBreak="0">
    <w:nsid w:val="3DFC3F2B"/>
    <w:multiLevelType w:val="hybridMultilevel"/>
    <w:tmpl w:val="27902D54"/>
    <w:lvl w:ilvl="0" w:tplc="2DBCCB8C">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plc="531E28B6" w:tentative="1">
      <w:start w:val="1"/>
      <w:numFmt w:val="bullet"/>
      <w:lvlText w:val="o"/>
      <w:lvlJc w:val="left"/>
      <w:pPr>
        <w:ind w:left="1440" w:hanging="360"/>
      </w:pPr>
      <w:rPr>
        <w:rFonts w:ascii="Courier New" w:hAnsi="Courier New" w:cs="Courier New" w:hint="default"/>
      </w:rPr>
    </w:lvl>
    <w:lvl w:ilvl="2" w:tplc="252EA49E" w:tentative="1">
      <w:start w:val="1"/>
      <w:numFmt w:val="bullet"/>
      <w:lvlText w:val=""/>
      <w:lvlJc w:val="left"/>
      <w:pPr>
        <w:ind w:left="2160" w:hanging="360"/>
      </w:pPr>
      <w:rPr>
        <w:rFonts w:ascii="Wingdings" w:hAnsi="Wingdings" w:hint="default"/>
      </w:rPr>
    </w:lvl>
    <w:lvl w:ilvl="3" w:tplc="ADA05E64" w:tentative="1">
      <w:start w:val="1"/>
      <w:numFmt w:val="bullet"/>
      <w:lvlText w:val=""/>
      <w:lvlJc w:val="left"/>
      <w:pPr>
        <w:ind w:left="2880" w:hanging="360"/>
      </w:pPr>
      <w:rPr>
        <w:rFonts w:ascii="Symbol" w:hAnsi="Symbol" w:hint="default"/>
      </w:rPr>
    </w:lvl>
    <w:lvl w:ilvl="4" w:tplc="754ED1F0" w:tentative="1">
      <w:start w:val="1"/>
      <w:numFmt w:val="bullet"/>
      <w:lvlText w:val="o"/>
      <w:lvlJc w:val="left"/>
      <w:pPr>
        <w:ind w:left="3600" w:hanging="360"/>
      </w:pPr>
      <w:rPr>
        <w:rFonts w:ascii="Courier New" w:hAnsi="Courier New" w:cs="Courier New" w:hint="default"/>
      </w:rPr>
    </w:lvl>
    <w:lvl w:ilvl="5" w:tplc="6BDC6DA8" w:tentative="1">
      <w:start w:val="1"/>
      <w:numFmt w:val="bullet"/>
      <w:lvlText w:val=""/>
      <w:lvlJc w:val="left"/>
      <w:pPr>
        <w:ind w:left="4320" w:hanging="360"/>
      </w:pPr>
      <w:rPr>
        <w:rFonts w:ascii="Wingdings" w:hAnsi="Wingdings" w:hint="default"/>
      </w:rPr>
    </w:lvl>
    <w:lvl w:ilvl="6" w:tplc="57F4984C" w:tentative="1">
      <w:start w:val="1"/>
      <w:numFmt w:val="bullet"/>
      <w:lvlText w:val=""/>
      <w:lvlJc w:val="left"/>
      <w:pPr>
        <w:ind w:left="5040" w:hanging="360"/>
      </w:pPr>
      <w:rPr>
        <w:rFonts w:ascii="Symbol" w:hAnsi="Symbol" w:hint="default"/>
      </w:rPr>
    </w:lvl>
    <w:lvl w:ilvl="7" w:tplc="3C2A67A8" w:tentative="1">
      <w:start w:val="1"/>
      <w:numFmt w:val="bullet"/>
      <w:lvlText w:val="o"/>
      <w:lvlJc w:val="left"/>
      <w:pPr>
        <w:ind w:left="5760" w:hanging="360"/>
      </w:pPr>
      <w:rPr>
        <w:rFonts w:ascii="Courier New" w:hAnsi="Courier New" w:cs="Courier New" w:hint="default"/>
      </w:rPr>
    </w:lvl>
    <w:lvl w:ilvl="8" w:tplc="19A07C06" w:tentative="1">
      <w:start w:val="1"/>
      <w:numFmt w:val="bullet"/>
      <w:lvlText w:val=""/>
      <w:lvlJc w:val="left"/>
      <w:pPr>
        <w:ind w:left="6480" w:hanging="360"/>
      </w:pPr>
      <w:rPr>
        <w:rFonts w:ascii="Wingdings" w:hAnsi="Wingdings" w:hint="default"/>
      </w:rPr>
    </w:lvl>
  </w:abstractNum>
  <w:abstractNum w:abstractNumId="16" w15:restartNumberingAfterBreak="0">
    <w:nsid w:val="40DC7E01"/>
    <w:multiLevelType w:val="hybridMultilevel"/>
    <w:tmpl w:val="5D24C320"/>
    <w:lvl w:ilvl="0" w:tplc="0832B974">
      <w:start w:val="1"/>
      <w:numFmt w:val="decimal"/>
      <w:pStyle w:val="3"/>
      <w:lvlText w:val="%1.1.1"/>
      <w:lvlJc w:val="left"/>
      <w:pPr>
        <w:ind w:left="1854" w:hanging="360"/>
      </w:pPr>
      <w:rPr>
        <w:rFonts w:hint="default"/>
      </w:rPr>
    </w:lvl>
    <w:lvl w:ilvl="1" w:tplc="19D08F5A" w:tentative="1">
      <w:start w:val="1"/>
      <w:numFmt w:val="lowerLetter"/>
      <w:lvlText w:val="%2."/>
      <w:lvlJc w:val="left"/>
      <w:pPr>
        <w:ind w:left="2574" w:hanging="360"/>
      </w:pPr>
    </w:lvl>
    <w:lvl w:ilvl="2" w:tplc="EEDABCE0" w:tentative="1">
      <w:start w:val="1"/>
      <w:numFmt w:val="lowerRoman"/>
      <w:lvlText w:val="%3."/>
      <w:lvlJc w:val="right"/>
      <w:pPr>
        <w:ind w:left="3294" w:hanging="180"/>
      </w:pPr>
    </w:lvl>
    <w:lvl w:ilvl="3" w:tplc="93A21126" w:tentative="1">
      <w:start w:val="1"/>
      <w:numFmt w:val="decimal"/>
      <w:lvlText w:val="%4."/>
      <w:lvlJc w:val="left"/>
      <w:pPr>
        <w:ind w:left="4014" w:hanging="360"/>
      </w:pPr>
    </w:lvl>
    <w:lvl w:ilvl="4" w:tplc="1E089406" w:tentative="1">
      <w:start w:val="1"/>
      <w:numFmt w:val="lowerLetter"/>
      <w:lvlText w:val="%5."/>
      <w:lvlJc w:val="left"/>
      <w:pPr>
        <w:ind w:left="4734" w:hanging="360"/>
      </w:pPr>
    </w:lvl>
    <w:lvl w:ilvl="5" w:tplc="0E24C566" w:tentative="1">
      <w:start w:val="1"/>
      <w:numFmt w:val="lowerRoman"/>
      <w:lvlText w:val="%6."/>
      <w:lvlJc w:val="right"/>
      <w:pPr>
        <w:ind w:left="5454" w:hanging="180"/>
      </w:pPr>
    </w:lvl>
    <w:lvl w:ilvl="6" w:tplc="4EB62EA4" w:tentative="1">
      <w:start w:val="1"/>
      <w:numFmt w:val="decimal"/>
      <w:lvlText w:val="%7."/>
      <w:lvlJc w:val="left"/>
      <w:pPr>
        <w:ind w:left="6174" w:hanging="360"/>
      </w:pPr>
    </w:lvl>
    <w:lvl w:ilvl="7" w:tplc="A5368160" w:tentative="1">
      <w:start w:val="1"/>
      <w:numFmt w:val="lowerLetter"/>
      <w:lvlText w:val="%8."/>
      <w:lvlJc w:val="left"/>
      <w:pPr>
        <w:ind w:left="6894" w:hanging="360"/>
      </w:pPr>
    </w:lvl>
    <w:lvl w:ilvl="8" w:tplc="D0A293B2" w:tentative="1">
      <w:start w:val="1"/>
      <w:numFmt w:val="lowerRoman"/>
      <w:lvlText w:val="%9."/>
      <w:lvlJc w:val="right"/>
      <w:pPr>
        <w:ind w:left="7614" w:hanging="180"/>
      </w:pPr>
    </w:lvl>
  </w:abstractNum>
  <w:abstractNum w:abstractNumId="17" w15:restartNumberingAfterBreak="0">
    <w:nsid w:val="441A6670"/>
    <w:multiLevelType w:val="hybridMultilevel"/>
    <w:tmpl w:val="369C82D6"/>
    <w:lvl w:ilvl="0" w:tplc="C5C6EA24">
      <w:start w:val="1"/>
      <w:numFmt w:val="hebrew1"/>
      <w:pStyle w:val="30"/>
      <w:lvlText w:val="%1."/>
      <w:lvlJc w:val="center"/>
      <w:pPr>
        <w:ind w:left="2705" w:hanging="360"/>
      </w:pPr>
    </w:lvl>
    <w:lvl w:ilvl="1" w:tplc="043A797C" w:tentative="1">
      <w:start w:val="1"/>
      <w:numFmt w:val="lowerLetter"/>
      <w:lvlText w:val="%2."/>
      <w:lvlJc w:val="left"/>
      <w:pPr>
        <w:ind w:left="3425" w:hanging="360"/>
      </w:pPr>
    </w:lvl>
    <w:lvl w:ilvl="2" w:tplc="FDBE140C" w:tentative="1">
      <w:start w:val="1"/>
      <w:numFmt w:val="lowerRoman"/>
      <w:lvlText w:val="%3."/>
      <w:lvlJc w:val="right"/>
      <w:pPr>
        <w:ind w:left="4145" w:hanging="180"/>
      </w:pPr>
    </w:lvl>
    <w:lvl w:ilvl="3" w:tplc="9678E576" w:tentative="1">
      <w:start w:val="1"/>
      <w:numFmt w:val="decimal"/>
      <w:lvlText w:val="%4."/>
      <w:lvlJc w:val="left"/>
      <w:pPr>
        <w:ind w:left="4865" w:hanging="360"/>
      </w:pPr>
    </w:lvl>
    <w:lvl w:ilvl="4" w:tplc="618EF346" w:tentative="1">
      <w:start w:val="1"/>
      <w:numFmt w:val="lowerLetter"/>
      <w:lvlText w:val="%5."/>
      <w:lvlJc w:val="left"/>
      <w:pPr>
        <w:ind w:left="5585" w:hanging="360"/>
      </w:pPr>
    </w:lvl>
    <w:lvl w:ilvl="5" w:tplc="7428B7F6" w:tentative="1">
      <w:start w:val="1"/>
      <w:numFmt w:val="lowerRoman"/>
      <w:lvlText w:val="%6."/>
      <w:lvlJc w:val="right"/>
      <w:pPr>
        <w:ind w:left="6305" w:hanging="180"/>
      </w:pPr>
    </w:lvl>
    <w:lvl w:ilvl="6" w:tplc="053E9288" w:tentative="1">
      <w:start w:val="1"/>
      <w:numFmt w:val="decimal"/>
      <w:lvlText w:val="%7."/>
      <w:lvlJc w:val="left"/>
      <w:pPr>
        <w:ind w:left="7025" w:hanging="360"/>
      </w:pPr>
    </w:lvl>
    <w:lvl w:ilvl="7" w:tplc="EBFCD4CC" w:tentative="1">
      <w:start w:val="1"/>
      <w:numFmt w:val="lowerLetter"/>
      <w:lvlText w:val="%8."/>
      <w:lvlJc w:val="left"/>
      <w:pPr>
        <w:ind w:left="7745" w:hanging="360"/>
      </w:pPr>
    </w:lvl>
    <w:lvl w:ilvl="8" w:tplc="0F12A3F6" w:tentative="1">
      <w:start w:val="1"/>
      <w:numFmt w:val="lowerRoman"/>
      <w:lvlText w:val="%9."/>
      <w:lvlJc w:val="right"/>
      <w:pPr>
        <w:ind w:left="8465" w:hanging="180"/>
      </w:pPr>
    </w:lvl>
  </w:abstractNum>
  <w:abstractNum w:abstractNumId="18" w15:restartNumberingAfterBreak="0">
    <w:nsid w:val="4DD35436"/>
    <w:multiLevelType w:val="hybridMultilevel"/>
    <w:tmpl w:val="EC1EC164"/>
    <w:lvl w:ilvl="0" w:tplc="7A4E6818">
      <w:start w:val="1"/>
      <w:numFmt w:val="decimal"/>
      <w:pStyle w:val="2"/>
      <w:lvlText w:val="%1.1"/>
      <w:lvlJc w:val="left"/>
      <w:pPr>
        <w:ind w:left="1860" w:hanging="360"/>
      </w:pPr>
      <w:rPr>
        <w:rFonts w:hint="default"/>
      </w:rPr>
    </w:lvl>
    <w:lvl w:ilvl="1" w:tplc="C1EAE648" w:tentative="1">
      <w:start w:val="1"/>
      <w:numFmt w:val="lowerLetter"/>
      <w:lvlText w:val="%2."/>
      <w:lvlJc w:val="left"/>
      <w:pPr>
        <w:ind w:left="2580" w:hanging="360"/>
      </w:pPr>
    </w:lvl>
    <w:lvl w:ilvl="2" w:tplc="1BC0DFA2" w:tentative="1">
      <w:start w:val="1"/>
      <w:numFmt w:val="lowerRoman"/>
      <w:lvlText w:val="%3."/>
      <w:lvlJc w:val="right"/>
      <w:pPr>
        <w:ind w:left="3300" w:hanging="180"/>
      </w:pPr>
    </w:lvl>
    <w:lvl w:ilvl="3" w:tplc="D7BE3C76" w:tentative="1">
      <w:start w:val="1"/>
      <w:numFmt w:val="decimal"/>
      <w:lvlText w:val="%4."/>
      <w:lvlJc w:val="left"/>
      <w:pPr>
        <w:ind w:left="4020" w:hanging="360"/>
      </w:pPr>
    </w:lvl>
    <w:lvl w:ilvl="4" w:tplc="E35E12E0" w:tentative="1">
      <w:start w:val="1"/>
      <w:numFmt w:val="lowerLetter"/>
      <w:lvlText w:val="%5."/>
      <w:lvlJc w:val="left"/>
      <w:pPr>
        <w:ind w:left="4740" w:hanging="360"/>
      </w:pPr>
    </w:lvl>
    <w:lvl w:ilvl="5" w:tplc="72245E1E" w:tentative="1">
      <w:start w:val="1"/>
      <w:numFmt w:val="lowerRoman"/>
      <w:lvlText w:val="%6."/>
      <w:lvlJc w:val="right"/>
      <w:pPr>
        <w:ind w:left="5460" w:hanging="180"/>
      </w:pPr>
    </w:lvl>
    <w:lvl w:ilvl="6" w:tplc="12ACC07C" w:tentative="1">
      <w:start w:val="1"/>
      <w:numFmt w:val="decimal"/>
      <w:lvlText w:val="%7."/>
      <w:lvlJc w:val="left"/>
      <w:pPr>
        <w:ind w:left="6180" w:hanging="360"/>
      </w:pPr>
    </w:lvl>
    <w:lvl w:ilvl="7" w:tplc="E0E41D94" w:tentative="1">
      <w:start w:val="1"/>
      <w:numFmt w:val="lowerLetter"/>
      <w:lvlText w:val="%8."/>
      <w:lvlJc w:val="left"/>
      <w:pPr>
        <w:ind w:left="6900" w:hanging="360"/>
      </w:pPr>
    </w:lvl>
    <w:lvl w:ilvl="8" w:tplc="24E0FA28" w:tentative="1">
      <w:start w:val="1"/>
      <w:numFmt w:val="lowerRoman"/>
      <w:lvlText w:val="%9."/>
      <w:lvlJc w:val="right"/>
      <w:pPr>
        <w:ind w:left="7620" w:hanging="180"/>
      </w:pPr>
    </w:lvl>
  </w:abstractNum>
  <w:abstractNum w:abstractNumId="19" w15:restartNumberingAfterBreak="0">
    <w:nsid w:val="59F011FB"/>
    <w:multiLevelType w:val="hybridMultilevel"/>
    <w:tmpl w:val="FBB8779C"/>
    <w:lvl w:ilvl="0" w:tplc="02467CF8">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lang w:bidi="he-IL"/>
      </w:rPr>
    </w:lvl>
    <w:lvl w:ilvl="1" w:tplc="C2560EBA" w:tentative="1">
      <w:start w:val="1"/>
      <w:numFmt w:val="bullet"/>
      <w:lvlText w:val="o"/>
      <w:lvlJc w:val="left"/>
      <w:pPr>
        <w:ind w:left="1440" w:hanging="360"/>
      </w:pPr>
      <w:rPr>
        <w:rFonts w:ascii="Courier New" w:hAnsi="Courier New" w:cs="Courier New" w:hint="default"/>
      </w:rPr>
    </w:lvl>
    <w:lvl w:ilvl="2" w:tplc="39B086C2" w:tentative="1">
      <w:start w:val="1"/>
      <w:numFmt w:val="bullet"/>
      <w:lvlText w:val=""/>
      <w:lvlJc w:val="left"/>
      <w:pPr>
        <w:ind w:left="2160" w:hanging="360"/>
      </w:pPr>
      <w:rPr>
        <w:rFonts w:ascii="Wingdings" w:hAnsi="Wingdings" w:hint="default"/>
      </w:rPr>
    </w:lvl>
    <w:lvl w:ilvl="3" w:tplc="49B8A30C" w:tentative="1">
      <w:start w:val="1"/>
      <w:numFmt w:val="bullet"/>
      <w:lvlText w:val=""/>
      <w:lvlJc w:val="left"/>
      <w:pPr>
        <w:ind w:left="2880" w:hanging="360"/>
      </w:pPr>
      <w:rPr>
        <w:rFonts w:ascii="Symbol" w:hAnsi="Symbol" w:hint="default"/>
      </w:rPr>
    </w:lvl>
    <w:lvl w:ilvl="4" w:tplc="6BCE3440" w:tentative="1">
      <w:start w:val="1"/>
      <w:numFmt w:val="bullet"/>
      <w:lvlText w:val="o"/>
      <w:lvlJc w:val="left"/>
      <w:pPr>
        <w:ind w:left="3600" w:hanging="360"/>
      </w:pPr>
      <w:rPr>
        <w:rFonts w:ascii="Courier New" w:hAnsi="Courier New" w:cs="Courier New" w:hint="default"/>
      </w:rPr>
    </w:lvl>
    <w:lvl w:ilvl="5" w:tplc="DF8CAB42" w:tentative="1">
      <w:start w:val="1"/>
      <w:numFmt w:val="bullet"/>
      <w:lvlText w:val=""/>
      <w:lvlJc w:val="left"/>
      <w:pPr>
        <w:ind w:left="4320" w:hanging="360"/>
      </w:pPr>
      <w:rPr>
        <w:rFonts w:ascii="Wingdings" w:hAnsi="Wingdings" w:hint="default"/>
      </w:rPr>
    </w:lvl>
    <w:lvl w:ilvl="6" w:tplc="B544743C" w:tentative="1">
      <w:start w:val="1"/>
      <w:numFmt w:val="bullet"/>
      <w:lvlText w:val=""/>
      <w:lvlJc w:val="left"/>
      <w:pPr>
        <w:ind w:left="5040" w:hanging="360"/>
      </w:pPr>
      <w:rPr>
        <w:rFonts w:ascii="Symbol" w:hAnsi="Symbol" w:hint="default"/>
      </w:rPr>
    </w:lvl>
    <w:lvl w:ilvl="7" w:tplc="7C1A751E" w:tentative="1">
      <w:start w:val="1"/>
      <w:numFmt w:val="bullet"/>
      <w:lvlText w:val="o"/>
      <w:lvlJc w:val="left"/>
      <w:pPr>
        <w:ind w:left="5760" w:hanging="360"/>
      </w:pPr>
      <w:rPr>
        <w:rFonts w:ascii="Courier New" w:hAnsi="Courier New" w:cs="Courier New" w:hint="default"/>
      </w:rPr>
    </w:lvl>
    <w:lvl w:ilvl="8" w:tplc="9DFC61DC" w:tentative="1">
      <w:start w:val="1"/>
      <w:numFmt w:val="bullet"/>
      <w:lvlText w:val=""/>
      <w:lvlJc w:val="left"/>
      <w:pPr>
        <w:ind w:left="6480" w:hanging="360"/>
      </w:pPr>
      <w:rPr>
        <w:rFonts w:ascii="Wingdings" w:hAnsi="Wingdings" w:hint="default"/>
      </w:rPr>
    </w:lvl>
  </w:abstractNum>
  <w:abstractNum w:abstractNumId="20" w15:restartNumberingAfterBreak="0">
    <w:nsid w:val="6079445E"/>
    <w:multiLevelType w:val="hybridMultilevel"/>
    <w:tmpl w:val="CDCA638E"/>
    <w:lvl w:ilvl="0" w:tplc="429CB01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plc="FD1EF0D8" w:tentative="1">
      <w:start w:val="1"/>
      <w:numFmt w:val="bullet"/>
      <w:lvlText w:val="o"/>
      <w:lvlJc w:val="left"/>
      <w:pPr>
        <w:ind w:left="1080" w:hanging="360"/>
      </w:pPr>
      <w:rPr>
        <w:rFonts w:ascii="Courier New" w:hAnsi="Courier New" w:cs="Courier New" w:hint="default"/>
      </w:rPr>
    </w:lvl>
    <w:lvl w:ilvl="2" w:tplc="50BC8F94" w:tentative="1">
      <w:start w:val="1"/>
      <w:numFmt w:val="bullet"/>
      <w:lvlText w:val=""/>
      <w:lvlJc w:val="left"/>
      <w:pPr>
        <w:ind w:left="1800" w:hanging="360"/>
      </w:pPr>
      <w:rPr>
        <w:rFonts w:ascii="Wingdings" w:hAnsi="Wingdings" w:hint="default"/>
      </w:rPr>
    </w:lvl>
    <w:lvl w:ilvl="3" w:tplc="C052BE52" w:tentative="1">
      <w:start w:val="1"/>
      <w:numFmt w:val="bullet"/>
      <w:lvlText w:val=""/>
      <w:lvlJc w:val="left"/>
      <w:pPr>
        <w:ind w:left="2520" w:hanging="360"/>
      </w:pPr>
      <w:rPr>
        <w:rFonts w:ascii="Symbol" w:hAnsi="Symbol" w:hint="default"/>
      </w:rPr>
    </w:lvl>
    <w:lvl w:ilvl="4" w:tplc="CB9EF022" w:tentative="1">
      <w:start w:val="1"/>
      <w:numFmt w:val="bullet"/>
      <w:lvlText w:val="o"/>
      <w:lvlJc w:val="left"/>
      <w:pPr>
        <w:ind w:left="3240" w:hanging="360"/>
      </w:pPr>
      <w:rPr>
        <w:rFonts w:ascii="Courier New" w:hAnsi="Courier New" w:cs="Courier New" w:hint="default"/>
      </w:rPr>
    </w:lvl>
    <w:lvl w:ilvl="5" w:tplc="036A7524" w:tentative="1">
      <w:start w:val="1"/>
      <w:numFmt w:val="bullet"/>
      <w:lvlText w:val=""/>
      <w:lvlJc w:val="left"/>
      <w:pPr>
        <w:ind w:left="3960" w:hanging="360"/>
      </w:pPr>
      <w:rPr>
        <w:rFonts w:ascii="Wingdings" w:hAnsi="Wingdings" w:hint="default"/>
      </w:rPr>
    </w:lvl>
    <w:lvl w:ilvl="6" w:tplc="3F783808" w:tentative="1">
      <w:start w:val="1"/>
      <w:numFmt w:val="bullet"/>
      <w:lvlText w:val=""/>
      <w:lvlJc w:val="left"/>
      <w:pPr>
        <w:ind w:left="4680" w:hanging="360"/>
      </w:pPr>
      <w:rPr>
        <w:rFonts w:ascii="Symbol" w:hAnsi="Symbol" w:hint="default"/>
      </w:rPr>
    </w:lvl>
    <w:lvl w:ilvl="7" w:tplc="1DFC937C" w:tentative="1">
      <w:start w:val="1"/>
      <w:numFmt w:val="bullet"/>
      <w:lvlText w:val="o"/>
      <w:lvlJc w:val="left"/>
      <w:pPr>
        <w:ind w:left="5400" w:hanging="360"/>
      </w:pPr>
      <w:rPr>
        <w:rFonts w:ascii="Courier New" w:hAnsi="Courier New" w:cs="Courier New" w:hint="default"/>
      </w:rPr>
    </w:lvl>
    <w:lvl w:ilvl="8" w:tplc="6512EBE8" w:tentative="1">
      <w:start w:val="1"/>
      <w:numFmt w:val="bullet"/>
      <w:lvlText w:val=""/>
      <w:lvlJc w:val="left"/>
      <w:pPr>
        <w:ind w:left="6120" w:hanging="360"/>
      </w:pPr>
      <w:rPr>
        <w:rFonts w:ascii="Wingdings" w:hAnsi="Wingdings" w:hint="default"/>
      </w:rPr>
    </w:lvl>
  </w:abstractNum>
  <w:abstractNum w:abstractNumId="21" w15:restartNumberingAfterBreak="0">
    <w:nsid w:val="65D5678F"/>
    <w:multiLevelType w:val="hybridMultilevel"/>
    <w:tmpl w:val="8844FB18"/>
    <w:lvl w:ilvl="0" w:tplc="4AF60F5A">
      <w:start w:val="1"/>
      <w:numFmt w:val="bullet"/>
      <w:lvlText w:val=""/>
      <w:lvlJc w:val="left"/>
      <w:pPr>
        <w:ind w:left="1080" w:hanging="360"/>
      </w:pPr>
      <w:rPr>
        <w:rFonts w:ascii="Symbol" w:hAnsi="Symbol" w:hint="default"/>
        <w:color w:val="FF0000"/>
        <w:lang w:val="en-US"/>
      </w:rPr>
    </w:lvl>
    <w:lvl w:ilvl="1" w:tplc="5776A818" w:tentative="1">
      <w:start w:val="1"/>
      <w:numFmt w:val="lowerLetter"/>
      <w:lvlText w:val="%2."/>
      <w:lvlJc w:val="left"/>
      <w:pPr>
        <w:ind w:left="1800" w:hanging="360"/>
      </w:pPr>
    </w:lvl>
    <w:lvl w:ilvl="2" w:tplc="44C0D0AE" w:tentative="1">
      <w:start w:val="1"/>
      <w:numFmt w:val="lowerRoman"/>
      <w:lvlText w:val="%3."/>
      <w:lvlJc w:val="right"/>
      <w:pPr>
        <w:ind w:left="2520" w:hanging="180"/>
      </w:pPr>
    </w:lvl>
    <w:lvl w:ilvl="3" w:tplc="2780DA22" w:tentative="1">
      <w:start w:val="1"/>
      <w:numFmt w:val="decimal"/>
      <w:lvlText w:val="%4."/>
      <w:lvlJc w:val="left"/>
      <w:pPr>
        <w:ind w:left="3240" w:hanging="360"/>
      </w:pPr>
    </w:lvl>
    <w:lvl w:ilvl="4" w:tplc="F75C2932" w:tentative="1">
      <w:start w:val="1"/>
      <w:numFmt w:val="lowerLetter"/>
      <w:lvlText w:val="%5."/>
      <w:lvlJc w:val="left"/>
      <w:pPr>
        <w:ind w:left="3960" w:hanging="360"/>
      </w:pPr>
    </w:lvl>
    <w:lvl w:ilvl="5" w:tplc="C74C3B3E" w:tentative="1">
      <w:start w:val="1"/>
      <w:numFmt w:val="lowerRoman"/>
      <w:lvlText w:val="%6."/>
      <w:lvlJc w:val="right"/>
      <w:pPr>
        <w:ind w:left="4680" w:hanging="180"/>
      </w:pPr>
    </w:lvl>
    <w:lvl w:ilvl="6" w:tplc="1DCC7D52" w:tentative="1">
      <w:start w:val="1"/>
      <w:numFmt w:val="decimal"/>
      <w:lvlText w:val="%7."/>
      <w:lvlJc w:val="left"/>
      <w:pPr>
        <w:ind w:left="5400" w:hanging="360"/>
      </w:pPr>
    </w:lvl>
    <w:lvl w:ilvl="7" w:tplc="47E2FC74" w:tentative="1">
      <w:start w:val="1"/>
      <w:numFmt w:val="lowerLetter"/>
      <w:lvlText w:val="%8."/>
      <w:lvlJc w:val="left"/>
      <w:pPr>
        <w:ind w:left="6120" w:hanging="360"/>
      </w:pPr>
    </w:lvl>
    <w:lvl w:ilvl="8" w:tplc="9D462710" w:tentative="1">
      <w:start w:val="1"/>
      <w:numFmt w:val="lowerRoman"/>
      <w:lvlText w:val="%9."/>
      <w:lvlJc w:val="right"/>
      <w:pPr>
        <w:ind w:left="6840" w:hanging="180"/>
      </w:pPr>
    </w:lvl>
  </w:abstractNum>
  <w:abstractNum w:abstractNumId="22" w15:restartNumberingAfterBreak="0">
    <w:nsid w:val="665B09CB"/>
    <w:multiLevelType w:val="hybridMultilevel"/>
    <w:tmpl w:val="F98283A0"/>
    <w:lvl w:ilvl="0" w:tplc="DD102DDE">
      <w:start w:val="1"/>
      <w:numFmt w:val="bullet"/>
      <w:pStyle w:val="5"/>
      <w:lvlText w:val=""/>
      <w:lvlJc w:val="left"/>
      <w:pPr>
        <w:ind w:left="1854" w:hanging="360"/>
      </w:pPr>
      <w:rPr>
        <w:rFonts w:ascii="Wingdings" w:hAnsi="Wingdings" w:hint="default"/>
        <w:color w:val="FFF400"/>
      </w:rPr>
    </w:lvl>
    <w:lvl w:ilvl="1" w:tplc="FBC666D6" w:tentative="1">
      <w:start w:val="1"/>
      <w:numFmt w:val="lowerLetter"/>
      <w:lvlText w:val="%2."/>
      <w:lvlJc w:val="left"/>
      <w:pPr>
        <w:ind w:left="2574" w:hanging="360"/>
      </w:pPr>
    </w:lvl>
    <w:lvl w:ilvl="2" w:tplc="885EED60" w:tentative="1">
      <w:start w:val="1"/>
      <w:numFmt w:val="lowerRoman"/>
      <w:lvlText w:val="%3."/>
      <w:lvlJc w:val="right"/>
      <w:pPr>
        <w:ind w:left="3294" w:hanging="180"/>
      </w:pPr>
    </w:lvl>
    <w:lvl w:ilvl="3" w:tplc="16F050CC" w:tentative="1">
      <w:start w:val="1"/>
      <w:numFmt w:val="decimal"/>
      <w:lvlText w:val="%4."/>
      <w:lvlJc w:val="left"/>
      <w:pPr>
        <w:ind w:left="4014" w:hanging="360"/>
      </w:pPr>
    </w:lvl>
    <w:lvl w:ilvl="4" w:tplc="FD2C2C4A" w:tentative="1">
      <w:start w:val="1"/>
      <w:numFmt w:val="lowerLetter"/>
      <w:lvlText w:val="%5."/>
      <w:lvlJc w:val="left"/>
      <w:pPr>
        <w:ind w:left="4734" w:hanging="360"/>
      </w:pPr>
    </w:lvl>
    <w:lvl w:ilvl="5" w:tplc="A28A1B94" w:tentative="1">
      <w:start w:val="1"/>
      <w:numFmt w:val="lowerRoman"/>
      <w:lvlText w:val="%6."/>
      <w:lvlJc w:val="right"/>
      <w:pPr>
        <w:ind w:left="5454" w:hanging="180"/>
      </w:pPr>
    </w:lvl>
    <w:lvl w:ilvl="6" w:tplc="7A1C02A0" w:tentative="1">
      <w:start w:val="1"/>
      <w:numFmt w:val="decimal"/>
      <w:lvlText w:val="%7."/>
      <w:lvlJc w:val="left"/>
      <w:pPr>
        <w:ind w:left="6174" w:hanging="360"/>
      </w:pPr>
    </w:lvl>
    <w:lvl w:ilvl="7" w:tplc="2E0A939A" w:tentative="1">
      <w:start w:val="1"/>
      <w:numFmt w:val="lowerLetter"/>
      <w:lvlText w:val="%8."/>
      <w:lvlJc w:val="left"/>
      <w:pPr>
        <w:ind w:left="6894" w:hanging="360"/>
      </w:pPr>
    </w:lvl>
    <w:lvl w:ilvl="8" w:tplc="03A41422" w:tentative="1">
      <w:start w:val="1"/>
      <w:numFmt w:val="lowerRoman"/>
      <w:lvlText w:val="%9."/>
      <w:lvlJc w:val="right"/>
      <w:pPr>
        <w:ind w:left="7614" w:hanging="180"/>
      </w:pPr>
    </w:lvl>
  </w:abstractNum>
  <w:abstractNum w:abstractNumId="23" w15:restartNumberingAfterBreak="0">
    <w:nsid w:val="6699458C"/>
    <w:multiLevelType w:val="hybridMultilevel"/>
    <w:tmpl w:val="B9E2BA98"/>
    <w:lvl w:ilvl="0" w:tplc="B0564092">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8F6EE154" w:tentative="1">
      <w:start w:val="1"/>
      <w:numFmt w:val="bullet"/>
      <w:lvlText w:val="o"/>
      <w:lvlJc w:val="left"/>
      <w:pPr>
        <w:ind w:left="1080" w:hanging="360"/>
      </w:pPr>
      <w:rPr>
        <w:rFonts w:ascii="Courier New" w:hAnsi="Courier New" w:cs="Courier New" w:hint="default"/>
      </w:rPr>
    </w:lvl>
    <w:lvl w:ilvl="2" w:tplc="034607C4" w:tentative="1">
      <w:start w:val="1"/>
      <w:numFmt w:val="bullet"/>
      <w:lvlText w:val=""/>
      <w:lvlJc w:val="left"/>
      <w:pPr>
        <w:ind w:left="1800" w:hanging="360"/>
      </w:pPr>
      <w:rPr>
        <w:rFonts w:ascii="Wingdings" w:hAnsi="Wingdings" w:hint="default"/>
      </w:rPr>
    </w:lvl>
    <w:lvl w:ilvl="3" w:tplc="66369092" w:tentative="1">
      <w:start w:val="1"/>
      <w:numFmt w:val="bullet"/>
      <w:lvlText w:val=""/>
      <w:lvlJc w:val="left"/>
      <w:pPr>
        <w:ind w:left="2520" w:hanging="360"/>
      </w:pPr>
      <w:rPr>
        <w:rFonts w:ascii="Symbol" w:hAnsi="Symbol" w:hint="default"/>
      </w:rPr>
    </w:lvl>
    <w:lvl w:ilvl="4" w:tplc="AB3CCE0E" w:tentative="1">
      <w:start w:val="1"/>
      <w:numFmt w:val="bullet"/>
      <w:lvlText w:val="o"/>
      <w:lvlJc w:val="left"/>
      <w:pPr>
        <w:ind w:left="3240" w:hanging="360"/>
      </w:pPr>
      <w:rPr>
        <w:rFonts w:ascii="Courier New" w:hAnsi="Courier New" w:cs="Courier New" w:hint="default"/>
      </w:rPr>
    </w:lvl>
    <w:lvl w:ilvl="5" w:tplc="856C2816" w:tentative="1">
      <w:start w:val="1"/>
      <w:numFmt w:val="bullet"/>
      <w:lvlText w:val=""/>
      <w:lvlJc w:val="left"/>
      <w:pPr>
        <w:ind w:left="3960" w:hanging="360"/>
      </w:pPr>
      <w:rPr>
        <w:rFonts w:ascii="Wingdings" w:hAnsi="Wingdings" w:hint="default"/>
      </w:rPr>
    </w:lvl>
    <w:lvl w:ilvl="6" w:tplc="5652F9D2" w:tentative="1">
      <w:start w:val="1"/>
      <w:numFmt w:val="bullet"/>
      <w:lvlText w:val=""/>
      <w:lvlJc w:val="left"/>
      <w:pPr>
        <w:ind w:left="4680" w:hanging="360"/>
      </w:pPr>
      <w:rPr>
        <w:rFonts w:ascii="Symbol" w:hAnsi="Symbol" w:hint="default"/>
      </w:rPr>
    </w:lvl>
    <w:lvl w:ilvl="7" w:tplc="81A03430" w:tentative="1">
      <w:start w:val="1"/>
      <w:numFmt w:val="bullet"/>
      <w:lvlText w:val="o"/>
      <w:lvlJc w:val="left"/>
      <w:pPr>
        <w:ind w:left="5400" w:hanging="360"/>
      </w:pPr>
      <w:rPr>
        <w:rFonts w:ascii="Courier New" w:hAnsi="Courier New" w:cs="Courier New" w:hint="default"/>
      </w:rPr>
    </w:lvl>
    <w:lvl w:ilvl="8" w:tplc="9AA40BD4" w:tentative="1">
      <w:start w:val="1"/>
      <w:numFmt w:val="bullet"/>
      <w:lvlText w:val=""/>
      <w:lvlJc w:val="left"/>
      <w:pPr>
        <w:ind w:left="6120" w:hanging="360"/>
      </w:pPr>
      <w:rPr>
        <w:rFonts w:ascii="Wingdings" w:hAnsi="Wingdings" w:hint="default"/>
      </w:rPr>
    </w:lvl>
  </w:abstractNum>
  <w:abstractNum w:abstractNumId="24" w15:restartNumberingAfterBreak="0">
    <w:nsid w:val="778F7677"/>
    <w:multiLevelType w:val="hybridMultilevel"/>
    <w:tmpl w:val="257EC434"/>
    <w:lvl w:ilvl="0" w:tplc="5992A22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180E49DE" w:tentative="1">
      <w:start w:val="1"/>
      <w:numFmt w:val="bullet"/>
      <w:lvlText w:val="o"/>
      <w:lvlJc w:val="left"/>
      <w:pPr>
        <w:ind w:left="1440" w:hanging="360"/>
      </w:pPr>
      <w:rPr>
        <w:rFonts w:ascii="Courier New" w:hAnsi="Courier New" w:cs="Courier New" w:hint="default"/>
      </w:rPr>
    </w:lvl>
    <w:lvl w:ilvl="2" w:tplc="5AD88EF4" w:tentative="1">
      <w:start w:val="1"/>
      <w:numFmt w:val="bullet"/>
      <w:lvlText w:val=""/>
      <w:lvlJc w:val="left"/>
      <w:pPr>
        <w:ind w:left="2160" w:hanging="360"/>
      </w:pPr>
      <w:rPr>
        <w:rFonts w:ascii="Wingdings" w:hAnsi="Wingdings" w:hint="default"/>
      </w:rPr>
    </w:lvl>
    <w:lvl w:ilvl="3" w:tplc="BCF240EA" w:tentative="1">
      <w:start w:val="1"/>
      <w:numFmt w:val="bullet"/>
      <w:lvlText w:val=""/>
      <w:lvlJc w:val="left"/>
      <w:pPr>
        <w:ind w:left="2880" w:hanging="360"/>
      </w:pPr>
      <w:rPr>
        <w:rFonts w:ascii="Symbol" w:hAnsi="Symbol" w:hint="default"/>
      </w:rPr>
    </w:lvl>
    <w:lvl w:ilvl="4" w:tplc="D8F25C9C" w:tentative="1">
      <w:start w:val="1"/>
      <w:numFmt w:val="bullet"/>
      <w:lvlText w:val="o"/>
      <w:lvlJc w:val="left"/>
      <w:pPr>
        <w:ind w:left="3600" w:hanging="360"/>
      </w:pPr>
      <w:rPr>
        <w:rFonts w:ascii="Courier New" w:hAnsi="Courier New" w:cs="Courier New" w:hint="default"/>
      </w:rPr>
    </w:lvl>
    <w:lvl w:ilvl="5" w:tplc="65A859D6" w:tentative="1">
      <w:start w:val="1"/>
      <w:numFmt w:val="bullet"/>
      <w:lvlText w:val=""/>
      <w:lvlJc w:val="left"/>
      <w:pPr>
        <w:ind w:left="4320" w:hanging="360"/>
      </w:pPr>
      <w:rPr>
        <w:rFonts w:ascii="Wingdings" w:hAnsi="Wingdings" w:hint="default"/>
      </w:rPr>
    </w:lvl>
    <w:lvl w:ilvl="6" w:tplc="CC904CC2" w:tentative="1">
      <w:start w:val="1"/>
      <w:numFmt w:val="bullet"/>
      <w:lvlText w:val=""/>
      <w:lvlJc w:val="left"/>
      <w:pPr>
        <w:ind w:left="5040" w:hanging="360"/>
      </w:pPr>
      <w:rPr>
        <w:rFonts w:ascii="Symbol" w:hAnsi="Symbol" w:hint="default"/>
      </w:rPr>
    </w:lvl>
    <w:lvl w:ilvl="7" w:tplc="3F30906A" w:tentative="1">
      <w:start w:val="1"/>
      <w:numFmt w:val="bullet"/>
      <w:lvlText w:val="o"/>
      <w:lvlJc w:val="left"/>
      <w:pPr>
        <w:ind w:left="5760" w:hanging="360"/>
      </w:pPr>
      <w:rPr>
        <w:rFonts w:ascii="Courier New" w:hAnsi="Courier New" w:cs="Courier New" w:hint="default"/>
      </w:rPr>
    </w:lvl>
    <w:lvl w:ilvl="8" w:tplc="B1466458" w:tentative="1">
      <w:start w:val="1"/>
      <w:numFmt w:val="bullet"/>
      <w:lvlText w:val=""/>
      <w:lvlJc w:val="left"/>
      <w:pPr>
        <w:ind w:left="6480" w:hanging="360"/>
      </w:pPr>
      <w:rPr>
        <w:rFonts w:ascii="Wingdings" w:hAnsi="Wingdings" w:hint="default"/>
      </w:rPr>
    </w:lvl>
  </w:abstractNum>
  <w:abstractNum w:abstractNumId="25" w15:restartNumberingAfterBreak="0">
    <w:nsid w:val="7E431D00"/>
    <w:multiLevelType w:val="hybridMultilevel"/>
    <w:tmpl w:val="7576C230"/>
    <w:lvl w:ilvl="0" w:tplc="B9BCF9F4">
      <w:start w:val="1"/>
      <w:numFmt w:val="decimal"/>
      <w:pStyle w:val="10"/>
      <w:lvlText w:val="%1."/>
      <w:lvlJc w:val="left"/>
      <w:pPr>
        <w:ind w:left="1858" w:hanging="360"/>
      </w:pPr>
      <w:rPr>
        <w:rFonts w:ascii="Calibri" w:hAnsi="Calibri" w:cs="Calibri" w:hint="default"/>
        <w:b/>
        <w:bCs/>
        <w:i w:val="0"/>
        <w:iCs w:val="0"/>
        <w:color w:val="002060"/>
        <w:sz w:val="40"/>
        <w:szCs w:val="40"/>
      </w:rPr>
    </w:lvl>
    <w:lvl w:ilvl="1" w:tplc="A788AC88" w:tentative="1">
      <w:start w:val="1"/>
      <w:numFmt w:val="lowerLetter"/>
      <w:lvlText w:val="%2."/>
      <w:lvlJc w:val="left"/>
      <w:pPr>
        <w:ind w:left="2578" w:hanging="360"/>
      </w:pPr>
    </w:lvl>
    <w:lvl w:ilvl="2" w:tplc="807EDF1E" w:tentative="1">
      <w:start w:val="1"/>
      <w:numFmt w:val="lowerRoman"/>
      <w:lvlText w:val="%3."/>
      <w:lvlJc w:val="right"/>
      <w:pPr>
        <w:ind w:left="3298" w:hanging="180"/>
      </w:pPr>
    </w:lvl>
    <w:lvl w:ilvl="3" w:tplc="17F09038" w:tentative="1">
      <w:start w:val="1"/>
      <w:numFmt w:val="decimal"/>
      <w:lvlText w:val="%4."/>
      <w:lvlJc w:val="left"/>
      <w:pPr>
        <w:ind w:left="4018" w:hanging="360"/>
      </w:pPr>
    </w:lvl>
    <w:lvl w:ilvl="4" w:tplc="2AB260C6" w:tentative="1">
      <w:start w:val="1"/>
      <w:numFmt w:val="lowerLetter"/>
      <w:lvlText w:val="%5."/>
      <w:lvlJc w:val="left"/>
      <w:pPr>
        <w:ind w:left="4738" w:hanging="360"/>
      </w:pPr>
    </w:lvl>
    <w:lvl w:ilvl="5" w:tplc="FF96A898" w:tentative="1">
      <w:start w:val="1"/>
      <w:numFmt w:val="lowerRoman"/>
      <w:lvlText w:val="%6."/>
      <w:lvlJc w:val="right"/>
      <w:pPr>
        <w:ind w:left="5458" w:hanging="180"/>
      </w:pPr>
    </w:lvl>
    <w:lvl w:ilvl="6" w:tplc="75362FEC" w:tentative="1">
      <w:start w:val="1"/>
      <w:numFmt w:val="decimal"/>
      <w:lvlText w:val="%7."/>
      <w:lvlJc w:val="left"/>
      <w:pPr>
        <w:ind w:left="6178" w:hanging="360"/>
      </w:pPr>
    </w:lvl>
    <w:lvl w:ilvl="7" w:tplc="B7CE04BA" w:tentative="1">
      <w:start w:val="1"/>
      <w:numFmt w:val="lowerLetter"/>
      <w:lvlText w:val="%8."/>
      <w:lvlJc w:val="left"/>
      <w:pPr>
        <w:ind w:left="6898" w:hanging="360"/>
      </w:pPr>
    </w:lvl>
    <w:lvl w:ilvl="8" w:tplc="A658FC16" w:tentative="1">
      <w:start w:val="1"/>
      <w:numFmt w:val="lowerRoman"/>
      <w:lvlText w:val="%9."/>
      <w:lvlJc w:val="right"/>
      <w:pPr>
        <w:ind w:left="7618" w:hanging="180"/>
      </w:pPr>
    </w:lvl>
  </w:abstractNum>
  <w:num w:numId="1">
    <w:abstractNumId w:val="25"/>
  </w:num>
  <w:num w:numId="2">
    <w:abstractNumId w:val="18"/>
  </w:num>
  <w:num w:numId="3">
    <w:abstractNumId w:val="16"/>
  </w:num>
  <w:num w:numId="4">
    <w:abstractNumId w:val="0"/>
  </w:num>
  <w:num w:numId="5">
    <w:abstractNumId w:val="17"/>
  </w:num>
  <w:num w:numId="6">
    <w:abstractNumId w:val="22"/>
  </w:num>
  <w:num w:numId="7">
    <w:abstractNumId w:val="13"/>
  </w:num>
  <w:num w:numId="8">
    <w:abstractNumId w:val="9"/>
  </w:num>
  <w:num w:numId="9">
    <w:abstractNumId w:val="8"/>
  </w:num>
  <w:num w:numId="10">
    <w:abstractNumId w:val="10"/>
  </w:num>
  <w:num w:numId="11">
    <w:abstractNumId w:val="23"/>
  </w:num>
  <w:num w:numId="12">
    <w:abstractNumId w:val="20"/>
  </w:num>
  <w:num w:numId="13">
    <w:abstractNumId w:val="19"/>
  </w:num>
  <w:num w:numId="14">
    <w:abstractNumId w:val="21"/>
  </w:num>
  <w:num w:numId="15">
    <w:abstractNumId w:val="1"/>
  </w:num>
  <w:num w:numId="16">
    <w:abstractNumId w:val="6"/>
  </w:num>
  <w:num w:numId="17">
    <w:abstractNumId w:val="7"/>
  </w:num>
  <w:num w:numId="18">
    <w:abstractNumId w:val="2"/>
  </w:num>
  <w:num w:numId="19">
    <w:abstractNumId w:val="11"/>
  </w:num>
  <w:num w:numId="20">
    <w:abstractNumId w:val="15"/>
  </w:num>
  <w:num w:numId="21">
    <w:abstractNumId w:val="5"/>
  </w:num>
  <w:num w:numId="22">
    <w:abstractNumId w:val="3"/>
  </w:num>
  <w:num w:numId="23">
    <w:abstractNumId w:val="24"/>
  </w:num>
  <w:num w:numId="24">
    <w:abstractNumId w:val="4"/>
  </w:num>
  <w:num w:numId="25">
    <w:abstractNumId w:val="12"/>
  </w:num>
  <w:num w:numId="2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735B"/>
    <w:rsid w:val="00030DCF"/>
    <w:rsid w:val="000314B9"/>
    <w:rsid w:val="00042837"/>
    <w:rsid w:val="000501A4"/>
    <w:rsid w:val="000532AA"/>
    <w:rsid w:val="0007624D"/>
    <w:rsid w:val="00084768"/>
    <w:rsid w:val="00092F16"/>
    <w:rsid w:val="000B1102"/>
    <w:rsid w:val="000B463F"/>
    <w:rsid w:val="000C6528"/>
    <w:rsid w:val="000C7459"/>
    <w:rsid w:val="000D221E"/>
    <w:rsid w:val="000E013E"/>
    <w:rsid w:val="000F7725"/>
    <w:rsid w:val="00101958"/>
    <w:rsid w:val="00101D0F"/>
    <w:rsid w:val="0011074F"/>
    <w:rsid w:val="00113E28"/>
    <w:rsid w:val="00114325"/>
    <w:rsid w:val="00164D9B"/>
    <w:rsid w:val="00166477"/>
    <w:rsid w:val="001730B0"/>
    <w:rsid w:val="001960B4"/>
    <w:rsid w:val="0019747C"/>
    <w:rsid w:val="001A3BBC"/>
    <w:rsid w:val="001A613C"/>
    <w:rsid w:val="001B2821"/>
    <w:rsid w:val="001C057E"/>
    <w:rsid w:val="001C33F8"/>
    <w:rsid w:val="001C6185"/>
    <w:rsid w:val="001D3A45"/>
    <w:rsid w:val="001D3DA9"/>
    <w:rsid w:val="001E204F"/>
    <w:rsid w:val="001F0CD9"/>
    <w:rsid w:val="00203604"/>
    <w:rsid w:val="002064F7"/>
    <w:rsid w:val="00212D9D"/>
    <w:rsid w:val="002204A8"/>
    <w:rsid w:val="0023497D"/>
    <w:rsid w:val="00240887"/>
    <w:rsid w:val="002602F0"/>
    <w:rsid w:val="00263521"/>
    <w:rsid w:val="00276705"/>
    <w:rsid w:val="00291629"/>
    <w:rsid w:val="002A7D21"/>
    <w:rsid w:val="002B55E8"/>
    <w:rsid w:val="002C0C75"/>
    <w:rsid w:val="002C0FD0"/>
    <w:rsid w:val="002C1EE0"/>
    <w:rsid w:val="002C4139"/>
    <w:rsid w:val="00301153"/>
    <w:rsid w:val="0030602D"/>
    <w:rsid w:val="00306123"/>
    <w:rsid w:val="00310345"/>
    <w:rsid w:val="00313DEA"/>
    <w:rsid w:val="0032268D"/>
    <w:rsid w:val="00323027"/>
    <w:rsid w:val="00330009"/>
    <w:rsid w:val="00330A56"/>
    <w:rsid w:val="00340353"/>
    <w:rsid w:val="0036735A"/>
    <w:rsid w:val="0037370B"/>
    <w:rsid w:val="0037752E"/>
    <w:rsid w:val="0037780B"/>
    <w:rsid w:val="00380052"/>
    <w:rsid w:val="00386E9B"/>
    <w:rsid w:val="0039415D"/>
    <w:rsid w:val="003D61C6"/>
    <w:rsid w:val="003E32D2"/>
    <w:rsid w:val="003E58C2"/>
    <w:rsid w:val="003E6853"/>
    <w:rsid w:val="00411396"/>
    <w:rsid w:val="0042177E"/>
    <w:rsid w:val="00435B1B"/>
    <w:rsid w:val="00450C77"/>
    <w:rsid w:val="00452920"/>
    <w:rsid w:val="004562F8"/>
    <w:rsid w:val="004672FB"/>
    <w:rsid w:val="004779AA"/>
    <w:rsid w:val="00493AB8"/>
    <w:rsid w:val="004A0385"/>
    <w:rsid w:val="004A0D80"/>
    <w:rsid w:val="004B2FF6"/>
    <w:rsid w:val="004C7D9F"/>
    <w:rsid w:val="004E0191"/>
    <w:rsid w:val="004E2733"/>
    <w:rsid w:val="004E488A"/>
    <w:rsid w:val="004F0AB4"/>
    <w:rsid w:val="005006C5"/>
    <w:rsid w:val="00524C99"/>
    <w:rsid w:val="00551B42"/>
    <w:rsid w:val="00551FF7"/>
    <w:rsid w:val="00574579"/>
    <w:rsid w:val="00577CAE"/>
    <w:rsid w:val="00580C5C"/>
    <w:rsid w:val="005A021D"/>
    <w:rsid w:val="005A09B4"/>
    <w:rsid w:val="005B2688"/>
    <w:rsid w:val="005C3049"/>
    <w:rsid w:val="005C7ABF"/>
    <w:rsid w:val="005D135D"/>
    <w:rsid w:val="005D2CBD"/>
    <w:rsid w:val="005D7324"/>
    <w:rsid w:val="005E62A6"/>
    <w:rsid w:val="005E7DF1"/>
    <w:rsid w:val="005F4A6D"/>
    <w:rsid w:val="00602674"/>
    <w:rsid w:val="0062451B"/>
    <w:rsid w:val="0062456C"/>
    <w:rsid w:val="00634DAD"/>
    <w:rsid w:val="0063556C"/>
    <w:rsid w:val="0063663E"/>
    <w:rsid w:val="006378E0"/>
    <w:rsid w:val="00640B60"/>
    <w:rsid w:val="006457EB"/>
    <w:rsid w:val="006531CB"/>
    <w:rsid w:val="006569CD"/>
    <w:rsid w:val="006615C6"/>
    <w:rsid w:val="00673BC4"/>
    <w:rsid w:val="006A0446"/>
    <w:rsid w:val="006A56C2"/>
    <w:rsid w:val="006A646E"/>
    <w:rsid w:val="006B1593"/>
    <w:rsid w:val="006B7706"/>
    <w:rsid w:val="006C4033"/>
    <w:rsid w:val="006D4161"/>
    <w:rsid w:val="006D4240"/>
    <w:rsid w:val="006D786C"/>
    <w:rsid w:val="006E1414"/>
    <w:rsid w:val="006F285F"/>
    <w:rsid w:val="00716AFD"/>
    <w:rsid w:val="0072219B"/>
    <w:rsid w:val="007474F0"/>
    <w:rsid w:val="00753ADE"/>
    <w:rsid w:val="00773F61"/>
    <w:rsid w:val="00780272"/>
    <w:rsid w:val="00796F0D"/>
    <w:rsid w:val="007A4EBD"/>
    <w:rsid w:val="007B112B"/>
    <w:rsid w:val="007B5B26"/>
    <w:rsid w:val="007B691A"/>
    <w:rsid w:val="007C1FF6"/>
    <w:rsid w:val="007D61B8"/>
    <w:rsid w:val="007E24BD"/>
    <w:rsid w:val="007F7FF2"/>
    <w:rsid w:val="00805B42"/>
    <w:rsid w:val="008102AD"/>
    <w:rsid w:val="00824AB2"/>
    <w:rsid w:val="0083106F"/>
    <w:rsid w:val="00837997"/>
    <w:rsid w:val="00846FFB"/>
    <w:rsid w:val="008654CB"/>
    <w:rsid w:val="00867FC5"/>
    <w:rsid w:val="0088743F"/>
    <w:rsid w:val="00892F80"/>
    <w:rsid w:val="00897698"/>
    <w:rsid w:val="008A2E0E"/>
    <w:rsid w:val="008B4F41"/>
    <w:rsid w:val="008B5B82"/>
    <w:rsid w:val="008C1428"/>
    <w:rsid w:val="008C6F75"/>
    <w:rsid w:val="008D750B"/>
    <w:rsid w:val="009015B2"/>
    <w:rsid w:val="00906E90"/>
    <w:rsid w:val="0091051D"/>
    <w:rsid w:val="00936F84"/>
    <w:rsid w:val="00940851"/>
    <w:rsid w:val="009515F9"/>
    <w:rsid w:val="00961F73"/>
    <w:rsid w:val="009679D9"/>
    <w:rsid w:val="009912C8"/>
    <w:rsid w:val="009961E8"/>
    <w:rsid w:val="009A6817"/>
    <w:rsid w:val="009B0AEC"/>
    <w:rsid w:val="009B497A"/>
    <w:rsid w:val="009C6066"/>
    <w:rsid w:val="009D45C5"/>
    <w:rsid w:val="009D73F5"/>
    <w:rsid w:val="009E1A3F"/>
    <w:rsid w:val="009E53CF"/>
    <w:rsid w:val="009F0BD3"/>
    <w:rsid w:val="00A055D0"/>
    <w:rsid w:val="00A222E2"/>
    <w:rsid w:val="00A30B00"/>
    <w:rsid w:val="00A356FE"/>
    <w:rsid w:val="00A5605A"/>
    <w:rsid w:val="00A61AD5"/>
    <w:rsid w:val="00A73038"/>
    <w:rsid w:val="00A76C99"/>
    <w:rsid w:val="00A81EBE"/>
    <w:rsid w:val="00AB465B"/>
    <w:rsid w:val="00AB66C8"/>
    <w:rsid w:val="00AC6B95"/>
    <w:rsid w:val="00AD1000"/>
    <w:rsid w:val="00AE4BB7"/>
    <w:rsid w:val="00AE741B"/>
    <w:rsid w:val="00AF3B73"/>
    <w:rsid w:val="00B00E5C"/>
    <w:rsid w:val="00B04068"/>
    <w:rsid w:val="00B14FC8"/>
    <w:rsid w:val="00B40090"/>
    <w:rsid w:val="00B4321D"/>
    <w:rsid w:val="00B64110"/>
    <w:rsid w:val="00B666B9"/>
    <w:rsid w:val="00B75E06"/>
    <w:rsid w:val="00B76DC1"/>
    <w:rsid w:val="00B862C0"/>
    <w:rsid w:val="00BD2291"/>
    <w:rsid w:val="00BD291C"/>
    <w:rsid w:val="00BE22D7"/>
    <w:rsid w:val="00BE2DD8"/>
    <w:rsid w:val="00C2305A"/>
    <w:rsid w:val="00C23CC9"/>
    <w:rsid w:val="00C30B3D"/>
    <w:rsid w:val="00C33AE2"/>
    <w:rsid w:val="00C34319"/>
    <w:rsid w:val="00C36C5E"/>
    <w:rsid w:val="00C4664C"/>
    <w:rsid w:val="00C4789A"/>
    <w:rsid w:val="00C66ECA"/>
    <w:rsid w:val="00C75A49"/>
    <w:rsid w:val="00C8096C"/>
    <w:rsid w:val="00C8100B"/>
    <w:rsid w:val="00C92141"/>
    <w:rsid w:val="00CA38DE"/>
    <w:rsid w:val="00CA41D2"/>
    <w:rsid w:val="00CA4EB1"/>
    <w:rsid w:val="00CA4F20"/>
    <w:rsid w:val="00CA53D9"/>
    <w:rsid w:val="00CD5320"/>
    <w:rsid w:val="00CD6EEC"/>
    <w:rsid w:val="00CF6518"/>
    <w:rsid w:val="00D22748"/>
    <w:rsid w:val="00D26918"/>
    <w:rsid w:val="00D37121"/>
    <w:rsid w:val="00D57BE9"/>
    <w:rsid w:val="00D71966"/>
    <w:rsid w:val="00D779F7"/>
    <w:rsid w:val="00D87542"/>
    <w:rsid w:val="00D95C20"/>
    <w:rsid w:val="00D97C16"/>
    <w:rsid w:val="00DA3406"/>
    <w:rsid w:val="00DA67CB"/>
    <w:rsid w:val="00DB2E3A"/>
    <w:rsid w:val="00DB6E18"/>
    <w:rsid w:val="00DD0944"/>
    <w:rsid w:val="00DE1DAB"/>
    <w:rsid w:val="00DE20A2"/>
    <w:rsid w:val="00DE75C7"/>
    <w:rsid w:val="00DF0B89"/>
    <w:rsid w:val="00E35682"/>
    <w:rsid w:val="00E46EA3"/>
    <w:rsid w:val="00E51C1B"/>
    <w:rsid w:val="00E52143"/>
    <w:rsid w:val="00E53DA7"/>
    <w:rsid w:val="00E678C7"/>
    <w:rsid w:val="00E725B9"/>
    <w:rsid w:val="00EB5989"/>
    <w:rsid w:val="00EC6B44"/>
    <w:rsid w:val="00EE06A0"/>
    <w:rsid w:val="00EE37A3"/>
    <w:rsid w:val="00EE407E"/>
    <w:rsid w:val="00EE67C7"/>
    <w:rsid w:val="00F30558"/>
    <w:rsid w:val="00F4385E"/>
    <w:rsid w:val="00F51DD6"/>
    <w:rsid w:val="00F546CA"/>
    <w:rsid w:val="00F56CE4"/>
    <w:rsid w:val="00F627EB"/>
    <w:rsid w:val="00F66FC8"/>
    <w:rsid w:val="00F75A10"/>
    <w:rsid w:val="00F77276"/>
    <w:rsid w:val="00F86C1B"/>
    <w:rsid w:val="00F92629"/>
    <w:rsid w:val="00F95853"/>
    <w:rsid w:val="00FA48C8"/>
    <w:rsid w:val="00FB3F26"/>
    <w:rsid w:val="00FB414E"/>
    <w:rsid w:val="00FC3213"/>
    <w:rsid w:val="00FC48C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AA175"/>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0501A4"/>
    <w:pPr>
      <w:bidi/>
      <w:spacing w:after="0" w:line="312" w:lineRule="auto"/>
    </w:pPr>
  </w:style>
  <w:style w:type="paragraph" w:styleId="11">
    <w:name w:val="heading 1"/>
    <w:basedOn w:val="a3"/>
    <w:next w:val="a3"/>
    <w:link w:val="12"/>
    <w:uiPriority w:val="9"/>
    <w:qFormat/>
    <w:rsid w:val="000501A4"/>
    <w:pPr>
      <w:keepNext/>
      <w:keepLines/>
      <w:jc w:val="center"/>
      <w:outlineLvl w:val="0"/>
    </w:pPr>
    <w:rPr>
      <w:rFonts w:eastAsiaTheme="majorEastAsia"/>
      <w:bCs/>
      <w:szCs w:val="36"/>
      <w:u w:val="single"/>
    </w:rPr>
  </w:style>
  <w:style w:type="paragraph" w:styleId="20">
    <w:name w:val="heading 2"/>
    <w:basedOn w:val="a3"/>
    <w:next w:val="a3"/>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3"/>
    <w:next w:val="a3"/>
    <w:link w:val="32"/>
    <w:uiPriority w:val="9"/>
    <w:qFormat/>
    <w:rsid w:val="006D786C"/>
    <w:pPr>
      <w:keepNext/>
      <w:keepLines/>
      <w:spacing w:before="120"/>
      <w:outlineLvl w:val="2"/>
    </w:pPr>
    <w:rPr>
      <w:rFonts w:eastAsiaTheme="majorEastAsia"/>
      <w:bCs/>
      <w:szCs w:val="28"/>
      <w:u w:val="single"/>
    </w:rPr>
  </w:style>
  <w:style w:type="paragraph" w:styleId="4">
    <w:name w:val="heading 4"/>
    <w:basedOn w:val="a3"/>
    <w:next w:val="a3"/>
    <w:link w:val="40"/>
    <w:uiPriority w:val="9"/>
    <w:qFormat/>
    <w:rsid w:val="006D786C"/>
    <w:pPr>
      <w:keepNext/>
      <w:keepLines/>
      <w:spacing w:before="120"/>
      <w:outlineLvl w:val="3"/>
    </w:pPr>
    <w:rPr>
      <w:rFonts w:eastAsiaTheme="majorEastAsia"/>
      <w:bCs/>
      <w:szCs w:val="26"/>
    </w:rPr>
  </w:style>
  <w:style w:type="paragraph" w:styleId="50">
    <w:name w:val="heading 5"/>
    <w:basedOn w:val="a3"/>
    <w:next w:val="a3"/>
    <w:link w:val="51"/>
    <w:uiPriority w:val="1"/>
    <w:qFormat/>
    <w:rsid w:val="000501A4"/>
    <w:pPr>
      <w:keepNext/>
      <w:keepLines/>
      <w:outlineLvl w:val="4"/>
    </w:pPr>
    <w:rPr>
      <w:rFonts w:eastAsiaTheme="majorEastAsia"/>
      <w:bCs/>
      <w:spacing w:val="40"/>
    </w:rPr>
  </w:style>
  <w:style w:type="paragraph" w:styleId="6">
    <w:name w:val="heading 6"/>
    <w:basedOn w:val="a3"/>
    <w:next w:val="a3"/>
    <w:link w:val="60"/>
    <w:uiPriority w:val="1"/>
    <w:qFormat/>
    <w:rsid w:val="000501A4"/>
    <w:pPr>
      <w:keepNext/>
      <w:keepLines/>
      <w:outlineLvl w:val="5"/>
    </w:pPr>
    <w:rPr>
      <w:rFonts w:eastAsiaTheme="majorEastAsia"/>
      <w:spacing w:val="40"/>
    </w:rPr>
  </w:style>
  <w:style w:type="paragraph" w:styleId="7">
    <w:name w:val="heading 7"/>
    <w:basedOn w:val="a3"/>
    <w:next w:val="a3"/>
    <w:link w:val="70"/>
    <w:uiPriority w:val="9"/>
    <w:qFormat/>
    <w:rsid w:val="000501A4"/>
    <w:pPr>
      <w:keepNext/>
      <w:keepLines/>
      <w:outlineLvl w:val="6"/>
    </w:pPr>
    <w:rPr>
      <w:rFonts w:eastAsiaTheme="majorEastAsia"/>
      <w:bCs/>
      <w:spacing w:val="40"/>
    </w:rPr>
  </w:style>
  <w:style w:type="paragraph" w:styleId="8">
    <w:name w:val="heading 8"/>
    <w:basedOn w:val="a3"/>
    <w:next w:val="a3"/>
    <w:link w:val="80"/>
    <w:uiPriority w:val="1"/>
    <w:qFormat/>
    <w:rsid w:val="000501A4"/>
    <w:pPr>
      <w:keepNext/>
      <w:keepLines/>
      <w:outlineLvl w:val="7"/>
    </w:pPr>
    <w:rPr>
      <w:rFonts w:eastAsiaTheme="majorEastAsia"/>
      <w:spacing w:val="4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link w:val="11"/>
    <w:uiPriority w:val="9"/>
    <w:rsid w:val="000501A4"/>
    <w:rPr>
      <w:rFonts w:eastAsiaTheme="majorEastAsia"/>
      <w:bCs/>
      <w:szCs w:val="36"/>
      <w:u w:val="single"/>
    </w:rPr>
  </w:style>
  <w:style w:type="character" w:customStyle="1" w:styleId="21">
    <w:name w:val="כותרת 2 תו"/>
    <w:basedOn w:val="a4"/>
    <w:link w:val="20"/>
    <w:uiPriority w:val="1"/>
    <w:rsid w:val="000501A4"/>
    <w:rPr>
      <w:rFonts w:eastAsiaTheme="majorEastAsia"/>
      <w:bCs/>
      <w:szCs w:val="32"/>
    </w:rPr>
  </w:style>
  <w:style w:type="character" w:customStyle="1" w:styleId="32">
    <w:name w:val="כותרת 3 תו"/>
    <w:basedOn w:val="a4"/>
    <w:link w:val="31"/>
    <w:uiPriority w:val="9"/>
    <w:rsid w:val="006D786C"/>
    <w:rPr>
      <w:rFonts w:eastAsiaTheme="majorEastAsia"/>
      <w:bCs/>
      <w:szCs w:val="28"/>
      <w:u w:val="single"/>
    </w:rPr>
  </w:style>
  <w:style w:type="character" w:customStyle="1" w:styleId="40">
    <w:name w:val="כותרת 4 תו"/>
    <w:basedOn w:val="a4"/>
    <w:link w:val="4"/>
    <w:uiPriority w:val="9"/>
    <w:rsid w:val="006D786C"/>
    <w:rPr>
      <w:rFonts w:eastAsiaTheme="majorEastAsia"/>
      <w:bCs/>
      <w:szCs w:val="26"/>
    </w:rPr>
  </w:style>
  <w:style w:type="character" w:customStyle="1" w:styleId="51">
    <w:name w:val="כותרת 5 תו"/>
    <w:basedOn w:val="a4"/>
    <w:link w:val="50"/>
    <w:uiPriority w:val="1"/>
    <w:rsid w:val="000501A4"/>
    <w:rPr>
      <w:rFonts w:eastAsiaTheme="majorEastAsia"/>
      <w:bCs/>
      <w:spacing w:val="40"/>
    </w:rPr>
  </w:style>
  <w:style w:type="character" w:customStyle="1" w:styleId="60">
    <w:name w:val="כותרת 6 תו"/>
    <w:basedOn w:val="a4"/>
    <w:link w:val="6"/>
    <w:uiPriority w:val="1"/>
    <w:rsid w:val="000501A4"/>
    <w:rPr>
      <w:rFonts w:eastAsiaTheme="majorEastAsia"/>
      <w:spacing w:val="40"/>
    </w:rPr>
  </w:style>
  <w:style w:type="character" w:customStyle="1" w:styleId="70">
    <w:name w:val="כותרת 7 תו"/>
    <w:basedOn w:val="a4"/>
    <w:link w:val="7"/>
    <w:uiPriority w:val="1"/>
    <w:rsid w:val="000501A4"/>
    <w:rPr>
      <w:rFonts w:eastAsiaTheme="majorEastAsia"/>
      <w:bCs/>
      <w:spacing w:val="40"/>
    </w:rPr>
  </w:style>
  <w:style w:type="character" w:customStyle="1" w:styleId="80">
    <w:name w:val="כותרת 8 תו"/>
    <w:basedOn w:val="a4"/>
    <w:link w:val="8"/>
    <w:uiPriority w:val="1"/>
    <w:rsid w:val="000501A4"/>
    <w:rPr>
      <w:rFonts w:eastAsiaTheme="majorEastAsia"/>
      <w:spacing w:val="40"/>
    </w:rPr>
  </w:style>
  <w:style w:type="paragraph" w:customStyle="1" w:styleId="a7">
    <w:name w:val="נבנצאל"/>
    <w:basedOn w:val="a3"/>
    <w:next w:val="a3"/>
    <w:link w:val="a8"/>
    <w:uiPriority w:val="99"/>
    <w:rsid w:val="000501A4"/>
    <w:pPr>
      <w:ind w:left="-567"/>
    </w:pPr>
    <w:rPr>
      <w:szCs w:val="20"/>
    </w:rPr>
  </w:style>
  <w:style w:type="character" w:customStyle="1" w:styleId="a8">
    <w:name w:val="נבנצאל תו"/>
    <w:basedOn w:val="a4"/>
    <w:link w:val="a7"/>
    <w:uiPriority w:val="99"/>
    <w:rsid w:val="000501A4"/>
    <w:rPr>
      <w:szCs w:val="20"/>
    </w:rPr>
  </w:style>
  <w:style w:type="paragraph" w:styleId="a9">
    <w:name w:val="header"/>
    <w:basedOn w:val="a3"/>
    <w:link w:val="aa"/>
    <w:uiPriority w:val="99"/>
    <w:unhideWhenUsed/>
    <w:rsid w:val="000501A4"/>
    <w:pPr>
      <w:tabs>
        <w:tab w:val="center" w:pos="4153"/>
        <w:tab w:val="right" w:pos="8306"/>
      </w:tabs>
      <w:spacing w:line="240" w:lineRule="auto"/>
    </w:pPr>
  </w:style>
  <w:style w:type="character" w:customStyle="1" w:styleId="aa">
    <w:name w:val="כותרת עליונה תו"/>
    <w:basedOn w:val="a4"/>
    <w:link w:val="a9"/>
    <w:uiPriority w:val="99"/>
    <w:rsid w:val="000501A4"/>
  </w:style>
  <w:style w:type="paragraph" w:styleId="ab">
    <w:name w:val="footer"/>
    <w:basedOn w:val="a3"/>
    <w:link w:val="ac"/>
    <w:uiPriority w:val="99"/>
    <w:unhideWhenUsed/>
    <w:rsid w:val="000501A4"/>
    <w:pPr>
      <w:tabs>
        <w:tab w:val="center" w:pos="4153"/>
        <w:tab w:val="right" w:pos="8306"/>
      </w:tabs>
      <w:spacing w:line="240" w:lineRule="auto"/>
    </w:pPr>
  </w:style>
  <w:style w:type="character" w:customStyle="1" w:styleId="ac">
    <w:name w:val="כותרת תחתונה תו"/>
    <w:basedOn w:val="a4"/>
    <w:link w:val="ab"/>
    <w:uiPriority w:val="99"/>
    <w:rsid w:val="000501A4"/>
  </w:style>
  <w:style w:type="paragraph" w:styleId="ad">
    <w:name w:val="Date"/>
    <w:basedOn w:val="a3"/>
    <w:next w:val="a3"/>
    <w:link w:val="ae"/>
    <w:uiPriority w:val="99"/>
    <w:unhideWhenUsed/>
    <w:rsid w:val="000501A4"/>
    <w:pPr>
      <w:spacing w:before="120" w:line="240" w:lineRule="auto"/>
    </w:pPr>
  </w:style>
  <w:style w:type="character" w:customStyle="1" w:styleId="ae">
    <w:name w:val="תאריך תו"/>
    <w:basedOn w:val="a4"/>
    <w:link w:val="ad"/>
    <w:uiPriority w:val="99"/>
    <w:rsid w:val="000501A4"/>
  </w:style>
  <w:style w:type="paragraph" w:styleId="af">
    <w:name w:val="footnote text"/>
    <w:aliases w:val=" Char,Char,F1,FOOTNOTES,Footnote Text - Sharp,Footnote Text - Sharp Char,Footnote Text - Sharp Char Char,Footnote Text Char Char Char Char Char,Footnote reference,Sharp - Footnote Text,Sharp - Footnote Text1 Char,fn,footnote text"/>
    <w:basedOn w:val="a3"/>
    <w:link w:val="af0"/>
    <w:uiPriority w:val="99"/>
    <w:qFormat/>
    <w:rsid w:val="00574579"/>
    <w:pPr>
      <w:spacing w:line="240" w:lineRule="auto"/>
      <w:ind w:left="720" w:hanging="720"/>
    </w:pPr>
    <w:rPr>
      <w:szCs w:val="20"/>
    </w:rPr>
  </w:style>
  <w:style w:type="character" w:customStyle="1" w:styleId="af0">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4"/>
    <w:link w:val="af"/>
    <w:uiPriority w:val="99"/>
    <w:rsid w:val="00574579"/>
    <w:rPr>
      <w:szCs w:val="20"/>
    </w:rPr>
  </w:style>
  <w:style w:type="character" w:styleId="af1">
    <w:name w:val="footnote reference"/>
    <w:aliases w:val="Footnote Reference_0,Footnote Reference_0_0,Footnote Reference_0_0_0,Footnote Reference_0_0_0_0,Footnote Reference_1,Footnote Reference_2,Footnote Reference_3,Footnote Reference_3_0,Footnote Reference_4,Footnote text,fr,מ"/>
    <w:basedOn w:val="a4"/>
    <w:uiPriority w:val="99"/>
    <w:unhideWhenUsed/>
    <w:rsid w:val="000501A4"/>
    <w:rPr>
      <w:vertAlign w:val="superscript"/>
    </w:rPr>
  </w:style>
  <w:style w:type="paragraph" w:styleId="af2">
    <w:name w:val="List Paragraph"/>
    <w:aliases w:val="Bullet Number,Num Bullet 1,Use Case List Paragraph,style 2,פיסקת רשימה1"/>
    <w:basedOn w:val="a3"/>
    <w:link w:val="af3"/>
    <w:uiPriority w:val="34"/>
    <w:qFormat/>
    <w:rsid w:val="00B4321D"/>
    <w:pPr>
      <w:ind w:left="720"/>
      <w:contextualSpacing/>
    </w:pPr>
  </w:style>
  <w:style w:type="table" w:styleId="af4">
    <w:name w:val="Table Grid"/>
    <w:basedOn w:val="a5"/>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3"/>
    <w:link w:val="af6"/>
    <w:uiPriority w:val="99"/>
    <w:unhideWhenUsed/>
    <w:rsid w:val="00B4321D"/>
    <w:pPr>
      <w:spacing w:line="240" w:lineRule="auto"/>
    </w:pPr>
    <w:rPr>
      <w:rFonts w:ascii="Tahoma" w:hAnsi="Tahoma" w:cs="Tahoma"/>
      <w:sz w:val="18"/>
      <w:szCs w:val="18"/>
    </w:rPr>
  </w:style>
  <w:style w:type="character" w:customStyle="1" w:styleId="af6">
    <w:name w:val="טקסט בלונים תו"/>
    <w:basedOn w:val="a4"/>
    <w:link w:val="af5"/>
    <w:uiPriority w:val="99"/>
    <w:rsid w:val="00B4321D"/>
    <w:rPr>
      <w:rFonts w:ascii="Tahoma" w:hAnsi="Tahoma" w:cs="Tahoma"/>
      <w:sz w:val="18"/>
      <w:szCs w:val="18"/>
    </w:rPr>
  </w:style>
  <w:style w:type="character" w:styleId="af7">
    <w:name w:val="annotation reference"/>
    <w:basedOn w:val="a4"/>
    <w:uiPriority w:val="99"/>
    <w:semiHidden/>
    <w:unhideWhenUsed/>
    <w:rsid w:val="00B4321D"/>
    <w:rPr>
      <w:sz w:val="16"/>
      <w:szCs w:val="16"/>
    </w:rPr>
  </w:style>
  <w:style w:type="paragraph" w:styleId="af8">
    <w:name w:val="annotation text"/>
    <w:basedOn w:val="a3"/>
    <w:link w:val="af9"/>
    <w:uiPriority w:val="99"/>
    <w:unhideWhenUsed/>
    <w:rsid w:val="00B4321D"/>
    <w:pPr>
      <w:spacing w:line="240" w:lineRule="auto"/>
    </w:pPr>
    <w:rPr>
      <w:szCs w:val="20"/>
    </w:rPr>
  </w:style>
  <w:style w:type="character" w:customStyle="1" w:styleId="af9">
    <w:name w:val="טקסט הערה תו"/>
    <w:basedOn w:val="a4"/>
    <w:link w:val="af8"/>
    <w:uiPriority w:val="99"/>
    <w:rsid w:val="00B4321D"/>
    <w:rPr>
      <w:szCs w:val="20"/>
    </w:rPr>
  </w:style>
  <w:style w:type="paragraph" w:styleId="afa">
    <w:name w:val="annotation subject"/>
    <w:basedOn w:val="af8"/>
    <w:next w:val="af8"/>
    <w:link w:val="afb"/>
    <w:uiPriority w:val="99"/>
    <w:semiHidden/>
    <w:unhideWhenUsed/>
    <w:rsid w:val="00B4321D"/>
    <w:rPr>
      <w:b/>
      <w:bCs/>
    </w:rPr>
  </w:style>
  <w:style w:type="character" w:customStyle="1" w:styleId="afb">
    <w:name w:val="נושא הערה תו"/>
    <w:basedOn w:val="af9"/>
    <w:link w:val="afa"/>
    <w:uiPriority w:val="99"/>
    <w:semiHidden/>
    <w:rsid w:val="00B4321D"/>
    <w:rPr>
      <w:b/>
      <w:bCs/>
      <w:szCs w:val="20"/>
    </w:rPr>
  </w:style>
  <w:style w:type="paragraph" w:styleId="afc">
    <w:name w:val="Revision"/>
    <w:hidden/>
    <w:uiPriority w:val="99"/>
    <w:semiHidden/>
    <w:rsid w:val="00B4321D"/>
    <w:pPr>
      <w:spacing w:after="0" w:line="240" w:lineRule="auto"/>
      <w:jc w:val="left"/>
    </w:pPr>
  </w:style>
  <w:style w:type="paragraph" w:styleId="afd">
    <w:name w:val="No Spacing"/>
    <w:aliases w:val="מספורנוהל"/>
    <w:basedOn w:val="a3"/>
    <w:link w:val="afe"/>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e">
    <w:name w:val="ללא מרווח תו"/>
    <w:aliases w:val="מספורנוהל תו"/>
    <w:basedOn w:val="a4"/>
    <w:link w:val="afd"/>
    <w:uiPriority w:val="1"/>
    <w:rsid w:val="00B4321D"/>
    <w:rPr>
      <w:rFonts w:ascii="David" w:eastAsia="Times New Roman" w:hAnsi="David"/>
      <w:b/>
      <w:sz w:val="24"/>
      <w:lang w:eastAsia="he-IL"/>
    </w:rPr>
  </w:style>
  <w:style w:type="paragraph" w:styleId="NormalWeb">
    <w:name w:val="Normal (Web)"/>
    <w:basedOn w:val="a3"/>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5"/>
    <w:next w:val="af4"/>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פיסקת רשימה תו"/>
    <w:aliases w:val="Bullet Number תו,Num Bullet 1 תו,Use Case List Paragraph תו,style 2 תו,פיסקת רשימה1 תו"/>
    <w:link w:val="af2"/>
    <w:uiPriority w:val="34"/>
    <w:rsid w:val="00B4321D"/>
  </w:style>
  <w:style w:type="table" w:styleId="1-5">
    <w:name w:val="Grid Table 1 Light Accent 5"/>
    <w:basedOn w:val="a5"/>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4"/>
    <w:uiPriority w:val="99"/>
    <w:unhideWhenUsed/>
    <w:rsid w:val="00B4321D"/>
    <w:rPr>
      <w:color w:val="0000FF" w:themeColor="hyperlink"/>
      <w:u w:val="single"/>
    </w:rPr>
  </w:style>
  <w:style w:type="paragraph" w:customStyle="1" w:styleId="75">
    <w:name w:val="75א מספור הערות שוליים"/>
    <w:basedOn w:val="a3"/>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4"/>
    <w:uiPriority w:val="99"/>
    <w:semiHidden/>
    <w:unhideWhenUsed/>
    <w:rsid w:val="00B4321D"/>
    <w:rPr>
      <w:color w:val="800080" w:themeColor="followedHyperlink"/>
      <w:u w:val="single"/>
    </w:rPr>
  </w:style>
  <w:style w:type="character" w:styleId="aff">
    <w:name w:val="Unresolved Mention"/>
    <w:basedOn w:val="a4"/>
    <w:uiPriority w:val="99"/>
    <w:semiHidden/>
    <w:unhideWhenUsed/>
    <w:rsid w:val="00B4321D"/>
    <w:rPr>
      <w:color w:val="605E5C"/>
      <w:shd w:val="clear" w:color="auto" w:fill="E1DFDD"/>
    </w:rPr>
  </w:style>
  <w:style w:type="paragraph" w:customStyle="1" w:styleId="aff0">
    <w:name w:val="פרטי הדוח ממה"/>
    <w:basedOn w:val="a3"/>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1">
    <w:name w:val="כותרת הדוח ממה"/>
    <w:basedOn w:val="a3"/>
    <w:link w:val="aff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2">
    <w:name w:val="כותרת הדוח ממה תו"/>
    <w:basedOn w:val="a4"/>
    <w:link w:val="aff1"/>
    <w:rsid w:val="00B4321D"/>
    <w:rPr>
      <w:rFonts w:ascii="Calibri" w:hAnsi="Calibri" w:cs="Calibri"/>
      <w:b/>
      <w:bCs/>
      <w:color w:val="FFFFFF" w:themeColor="background1"/>
      <w:sz w:val="60"/>
      <w:szCs w:val="60"/>
    </w:rPr>
  </w:style>
  <w:style w:type="paragraph" w:customStyle="1" w:styleId="aff3">
    <w:name w:val="טקסט שם מונח ממה"/>
    <w:basedOn w:val="a3"/>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4">
    <w:name w:val="טקסט הגדרת מונח ממה"/>
    <w:link w:val="aff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5">
    <w:name w:val="טקסט הגדרת מונח ממה תו"/>
    <w:basedOn w:val="a4"/>
    <w:link w:val="aff4"/>
    <w:rsid w:val="00B4321D"/>
    <w:rPr>
      <w:rFonts w:ascii="Calibri" w:eastAsia="DengXian" w:hAnsi="Calibri" w:cs="Calibri"/>
      <w:color w:val="002060"/>
      <w:sz w:val="24"/>
      <w:lang w:val="en-GB"/>
    </w:rPr>
  </w:style>
  <w:style w:type="paragraph" w:customStyle="1" w:styleId="aff6">
    <w:name w:val="מבוא ממה"/>
    <w:basedOn w:val="a3"/>
    <w:next w:val="a3"/>
    <w:link w:val="aff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7">
    <w:name w:val="מבוא ממה תו"/>
    <w:basedOn w:val="a4"/>
    <w:link w:val="aff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8">
    <w:name w:val="מראה מקום ממה"/>
    <w:basedOn w:val="a3"/>
    <w:next w:val="a3"/>
    <w:link w:val="aff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9">
    <w:name w:val="מראה מקום ממה תו"/>
    <w:basedOn w:val="a4"/>
    <w:link w:val="aff8"/>
    <w:rsid w:val="00B4321D"/>
    <w:rPr>
      <w:rFonts w:ascii="Calibri" w:eastAsia="Calibri" w:hAnsi="Calibri" w:cs="Calibri"/>
      <w:b/>
      <w:bCs/>
      <w:color w:val="002060"/>
      <w:sz w:val="18"/>
      <w:szCs w:val="18"/>
      <w:shd w:val="solid" w:color="F3F7FF" w:fill="auto"/>
    </w:rPr>
  </w:style>
  <w:style w:type="paragraph" w:customStyle="1" w:styleId="affa">
    <w:name w:val="כותרת עליונה ממה"/>
    <w:basedOn w:val="a3"/>
    <w:next w:val="a3"/>
    <w:link w:val="affb"/>
    <w:qFormat/>
    <w:rsid w:val="00B4321D"/>
    <w:pPr>
      <w:spacing w:line="240" w:lineRule="auto"/>
      <w:ind w:left="737"/>
      <w:jc w:val="left"/>
    </w:pPr>
    <w:rPr>
      <w:rFonts w:ascii="Calibri" w:eastAsia="Calibri" w:hAnsi="Calibri" w:cs="Calibri"/>
      <w:color w:val="002060"/>
      <w:sz w:val="18"/>
      <w:szCs w:val="18"/>
    </w:rPr>
  </w:style>
  <w:style w:type="character" w:customStyle="1" w:styleId="affb">
    <w:name w:val="כותרת עליונה ממה תו"/>
    <w:basedOn w:val="a4"/>
    <w:link w:val="affa"/>
    <w:rsid w:val="00B4321D"/>
    <w:rPr>
      <w:rFonts w:ascii="Calibri" w:eastAsia="Calibri" w:hAnsi="Calibri" w:cs="Calibri"/>
      <w:color w:val="002060"/>
      <w:sz w:val="18"/>
      <w:szCs w:val="18"/>
    </w:rPr>
  </w:style>
  <w:style w:type="paragraph" w:customStyle="1" w:styleId="10">
    <w:name w:val="כותרת 1 ממה"/>
    <w:basedOn w:val="a3"/>
    <w:next w:val="a3"/>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4"/>
    <w:link w:val="10"/>
    <w:rsid w:val="00B4321D"/>
    <w:rPr>
      <w:rFonts w:ascii="Calibri" w:eastAsia="Calibri" w:hAnsi="Calibri" w:cs="Calibri"/>
      <w:b/>
      <w:bCs/>
      <w:color w:val="002060"/>
      <w:sz w:val="40"/>
      <w:szCs w:val="40"/>
    </w:rPr>
  </w:style>
  <w:style w:type="paragraph" w:customStyle="1" w:styleId="2">
    <w:name w:val="כותרת 2 ממה"/>
    <w:basedOn w:val="a3"/>
    <w:next w:val="a3"/>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3"/>
    <w:next w:val="a3"/>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3"/>
    <w:next w:val="a3"/>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4"/>
    <w:link w:val="41"/>
    <w:rsid w:val="00B4321D"/>
    <w:rPr>
      <w:rFonts w:ascii="Calibri" w:eastAsia="Calibri" w:hAnsi="Calibri" w:cs="Calibri"/>
      <w:color w:val="002060"/>
      <w:sz w:val="28"/>
      <w:szCs w:val="28"/>
    </w:rPr>
  </w:style>
  <w:style w:type="paragraph" w:customStyle="1" w:styleId="1">
    <w:name w:val="רשימה1 ממה"/>
    <w:basedOn w:val="a3"/>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4"/>
    <w:link w:val="1"/>
    <w:rsid w:val="00B4321D"/>
    <w:rPr>
      <w:rFonts w:ascii="Calibri" w:eastAsia="Calibri" w:hAnsi="Calibri" w:cs="Calibri"/>
      <w:color w:val="002060"/>
      <w:sz w:val="24"/>
    </w:rPr>
  </w:style>
  <w:style w:type="paragraph" w:customStyle="1" w:styleId="23">
    <w:name w:val="רשימה2 ממה"/>
    <w:basedOn w:val="a3"/>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4"/>
    <w:link w:val="23"/>
    <w:rsid w:val="00B4321D"/>
    <w:rPr>
      <w:rFonts w:ascii="Calibri" w:eastAsia="Calibri" w:hAnsi="Calibri" w:cs="Calibri"/>
      <w:color w:val="002060"/>
      <w:sz w:val="24"/>
    </w:rPr>
  </w:style>
  <w:style w:type="paragraph" w:customStyle="1" w:styleId="30">
    <w:name w:val="רשימה3 ממה"/>
    <w:basedOn w:val="a3"/>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4"/>
    <w:link w:val="30"/>
    <w:rsid w:val="00B4321D"/>
    <w:rPr>
      <w:rFonts w:ascii="Calibri" w:eastAsia="Calibri" w:hAnsi="Calibri" w:cs="Calibri"/>
      <w:color w:val="002060"/>
      <w:sz w:val="24"/>
    </w:rPr>
  </w:style>
  <w:style w:type="paragraph" w:customStyle="1" w:styleId="43">
    <w:name w:val="רשימה4 ממה"/>
    <w:basedOn w:val="a3"/>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4"/>
    <w:link w:val="43"/>
    <w:rsid w:val="00B4321D"/>
    <w:rPr>
      <w:rFonts w:ascii="Calibri" w:eastAsia="Calibri" w:hAnsi="Calibri" w:cs="Calibri"/>
      <w:color w:val="002060"/>
      <w:sz w:val="24"/>
    </w:rPr>
  </w:style>
  <w:style w:type="paragraph" w:customStyle="1" w:styleId="5">
    <w:name w:val="רשימה5 ממה"/>
    <w:basedOn w:val="a3"/>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4"/>
    <w:link w:val="5"/>
    <w:rsid w:val="00B4321D"/>
    <w:rPr>
      <w:rFonts w:ascii="Calibri" w:eastAsia="Calibri" w:hAnsi="Calibri" w:cs="Calibri"/>
      <w:color w:val="002060"/>
      <w:sz w:val="24"/>
    </w:rPr>
  </w:style>
  <w:style w:type="paragraph" w:customStyle="1" w:styleId="affc">
    <w:name w:val="הערת שוליים ממה"/>
    <w:basedOn w:val="a3"/>
    <w:link w:val="affd"/>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d">
    <w:name w:val="הערת שוליים ממה תו"/>
    <w:basedOn w:val="a4"/>
    <w:link w:val="affc"/>
    <w:rsid w:val="00B4321D"/>
    <w:rPr>
      <w:rFonts w:ascii="Calibri" w:eastAsia="Calibri" w:hAnsi="Calibri" w:cs="Calibri"/>
      <w:color w:val="002060"/>
      <w:sz w:val="24"/>
      <w:szCs w:val="20"/>
    </w:rPr>
  </w:style>
  <w:style w:type="paragraph" w:customStyle="1" w:styleId="affe">
    <w:name w:val="הערת סיום ממה"/>
    <w:basedOn w:val="a3"/>
    <w:link w:val="afff"/>
    <w:qFormat/>
    <w:rsid w:val="00B4321D"/>
    <w:pPr>
      <w:widowControl w:val="0"/>
      <w:spacing w:line="240" w:lineRule="auto"/>
      <w:ind w:left="1134"/>
    </w:pPr>
    <w:rPr>
      <w:rFonts w:ascii="Calibri" w:eastAsia="Calibri" w:hAnsi="Calibri" w:cs="Calibri"/>
      <w:color w:val="002060"/>
      <w:sz w:val="24"/>
      <w:szCs w:val="20"/>
    </w:rPr>
  </w:style>
  <w:style w:type="character" w:customStyle="1" w:styleId="afff">
    <w:name w:val="הערת סיום ממה תו"/>
    <w:basedOn w:val="a4"/>
    <w:link w:val="affe"/>
    <w:rsid w:val="00B4321D"/>
    <w:rPr>
      <w:rFonts w:ascii="Calibri" w:eastAsia="Calibri" w:hAnsi="Calibri" w:cs="Calibri"/>
      <w:color w:val="002060"/>
      <w:sz w:val="24"/>
      <w:szCs w:val="20"/>
    </w:rPr>
  </w:style>
  <w:style w:type="paragraph" w:customStyle="1" w:styleId="16">
    <w:name w:val="ליקוי/ממצא חיובי/המלצה1 ממה"/>
    <w:next w:val="a3"/>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4"/>
    <w:link w:val="16"/>
    <w:rsid w:val="00B4321D"/>
    <w:rPr>
      <w:rFonts w:ascii="Calibri" w:eastAsia="Calibri" w:hAnsi="Calibri" w:cs="Calibri"/>
      <w:color w:val="002060"/>
      <w:sz w:val="24"/>
    </w:rPr>
  </w:style>
  <w:style w:type="paragraph" w:customStyle="1" w:styleId="25">
    <w:name w:val="ליקוי/ממצא חיובי/המלצה2 ממה"/>
    <w:basedOn w:val="a3"/>
    <w:next w:val="a3"/>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3"/>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4"/>
    <w:link w:val="35"/>
    <w:rsid w:val="00B4321D"/>
    <w:rPr>
      <w:rFonts w:ascii="Calibri" w:eastAsia="Calibri" w:hAnsi="Calibri" w:cs="Calibri"/>
      <w:color w:val="002060"/>
      <w:sz w:val="24"/>
    </w:rPr>
  </w:style>
  <w:style w:type="paragraph" w:customStyle="1" w:styleId="afff0">
    <w:name w:val="נבנצאל ממה"/>
    <w:basedOn w:val="a3"/>
    <w:next w:val="a3"/>
    <w:link w:val="afff1"/>
    <w:uiPriority w:val="99"/>
    <w:qFormat/>
    <w:rsid w:val="00B4321D"/>
    <w:pPr>
      <w:keepNext/>
      <w:spacing w:line="280" w:lineRule="exact"/>
      <w:jc w:val="left"/>
    </w:pPr>
    <w:rPr>
      <w:rFonts w:ascii="Calibri" w:eastAsia="Calibri" w:hAnsi="Calibri" w:cs="Calibri"/>
      <w:color w:val="002060"/>
      <w:szCs w:val="20"/>
    </w:rPr>
  </w:style>
  <w:style w:type="character" w:customStyle="1" w:styleId="afff1">
    <w:name w:val="נבנצאל ממה תו"/>
    <w:basedOn w:val="a4"/>
    <w:link w:val="afff0"/>
    <w:uiPriority w:val="99"/>
    <w:rsid w:val="00B4321D"/>
    <w:rPr>
      <w:rFonts w:ascii="Calibri" w:eastAsia="Calibri" w:hAnsi="Calibri" w:cs="Calibri"/>
      <w:color w:val="002060"/>
      <w:szCs w:val="20"/>
    </w:rPr>
  </w:style>
  <w:style w:type="paragraph" w:customStyle="1" w:styleId="afff2">
    <w:name w:val="רגיל ממה"/>
    <w:basedOn w:val="a3"/>
    <w:link w:val="afff3"/>
    <w:qFormat/>
    <w:rsid w:val="00B4321D"/>
    <w:pPr>
      <w:widowControl w:val="0"/>
      <w:spacing w:line="280" w:lineRule="exact"/>
      <w:ind w:left="1134"/>
    </w:pPr>
    <w:rPr>
      <w:rFonts w:ascii="Calibri" w:eastAsia="Calibri" w:hAnsi="Calibri" w:cs="Calibri"/>
      <w:color w:val="002060"/>
      <w:sz w:val="24"/>
    </w:rPr>
  </w:style>
  <w:style w:type="character" w:customStyle="1" w:styleId="afff3">
    <w:name w:val="רגיל ממה תו"/>
    <w:basedOn w:val="a4"/>
    <w:link w:val="afff2"/>
    <w:rsid w:val="00B4321D"/>
    <w:rPr>
      <w:rFonts w:ascii="Calibri" w:eastAsia="Calibri" w:hAnsi="Calibri" w:cs="Calibri"/>
      <w:color w:val="002060"/>
      <w:sz w:val="24"/>
    </w:rPr>
  </w:style>
  <w:style w:type="paragraph" w:customStyle="1" w:styleId="afff4">
    <w:name w:val="סיכום ממה"/>
    <w:basedOn w:val="a3"/>
    <w:next w:val="a3"/>
    <w:link w:val="afff5"/>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5">
    <w:name w:val="סיכום ממה תו"/>
    <w:basedOn w:val="a4"/>
    <w:link w:val="afff4"/>
    <w:rsid w:val="00B4321D"/>
    <w:rPr>
      <w:rFonts w:ascii="Calibri" w:eastAsia="Calibri" w:hAnsi="Calibri" w:cs="Calibri"/>
      <w:b/>
      <w:bCs/>
      <w:color w:val="FFFFFF" w:themeColor="background1"/>
      <w:sz w:val="2"/>
      <w:szCs w:val="2"/>
    </w:rPr>
  </w:style>
  <w:style w:type="paragraph" w:customStyle="1" w:styleId="afff6">
    <w:name w:val="טקסט סיכום ממה"/>
    <w:basedOn w:val="a3"/>
    <w:next w:val="a3"/>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7">
    <w:name w:val="סיכום ביניים ממה"/>
    <w:basedOn w:val="a3"/>
    <w:next w:val="a3"/>
    <w:qFormat/>
    <w:rsid w:val="00B4321D"/>
    <w:pPr>
      <w:widowControl w:val="0"/>
      <w:spacing w:before="240" w:after="240"/>
      <w:ind w:left="1134"/>
    </w:pPr>
    <w:rPr>
      <w:rFonts w:ascii="Calibri" w:eastAsia="Calibri" w:hAnsi="Calibri" w:cs="Calibri"/>
      <w:noProof/>
      <w:color w:val="002060"/>
      <w:sz w:val="24"/>
    </w:rPr>
  </w:style>
  <w:style w:type="paragraph" w:customStyle="1" w:styleId="afff8">
    <w:name w:val="טקסט סיכום ביניים ממה"/>
    <w:basedOn w:val="a3"/>
    <w:next w:val="a3"/>
    <w:qFormat/>
    <w:rsid w:val="00B4321D"/>
    <w:pPr>
      <w:widowControl w:val="0"/>
      <w:spacing w:after="240" w:line="280" w:lineRule="exact"/>
      <w:ind w:left="1134"/>
    </w:pPr>
    <w:rPr>
      <w:rFonts w:ascii="Calibri" w:eastAsia="Calibri" w:hAnsi="Calibri" w:cs="Calibri"/>
      <w:bCs/>
      <w:color w:val="002060"/>
      <w:sz w:val="24"/>
    </w:rPr>
  </w:style>
  <w:style w:type="paragraph" w:customStyle="1" w:styleId="a2">
    <w:name w:val="תרשים ממה"/>
    <w:basedOn w:val="a3"/>
    <w:next w:val="a3"/>
    <w:link w:val="afff9"/>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9">
    <w:name w:val="תרשים ממה תו"/>
    <w:basedOn w:val="a4"/>
    <w:link w:val="a2"/>
    <w:rsid w:val="00B4321D"/>
    <w:rPr>
      <w:rFonts w:ascii="Calibri" w:eastAsia="Calibri" w:hAnsi="Calibri" w:cs="Calibri"/>
      <w:b/>
      <w:bCs/>
      <w:color w:val="002060"/>
      <w:sz w:val="24"/>
    </w:rPr>
  </w:style>
  <w:style w:type="paragraph" w:customStyle="1" w:styleId="a0">
    <w:name w:val="תמונה ממה"/>
    <w:basedOn w:val="a3"/>
    <w:next w:val="a3"/>
    <w:link w:val="afffa"/>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a">
    <w:name w:val="תמונה ממה תו"/>
    <w:basedOn w:val="a4"/>
    <w:link w:val="a0"/>
    <w:rsid w:val="00B4321D"/>
    <w:rPr>
      <w:rFonts w:ascii="Calibri" w:eastAsia="Calibri" w:hAnsi="Calibri" w:cs="Calibri"/>
      <w:b/>
      <w:bCs/>
      <w:color w:val="002060"/>
      <w:sz w:val="24"/>
    </w:rPr>
  </w:style>
  <w:style w:type="paragraph" w:customStyle="1" w:styleId="a">
    <w:name w:val="לוח ממה"/>
    <w:basedOn w:val="a3"/>
    <w:next w:val="a3"/>
    <w:link w:val="afffb"/>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b">
    <w:name w:val="לוח ממה תו"/>
    <w:basedOn w:val="a4"/>
    <w:link w:val="a"/>
    <w:rsid w:val="00B4321D"/>
    <w:rPr>
      <w:rFonts w:ascii="Calibri" w:eastAsia="Calibri" w:hAnsi="Calibri" w:cs="Calibri"/>
      <w:b/>
      <w:bCs/>
      <w:color w:val="002060"/>
      <w:sz w:val="24"/>
    </w:rPr>
  </w:style>
  <w:style w:type="paragraph" w:customStyle="1" w:styleId="a1">
    <w:name w:val="מפה ממה"/>
    <w:basedOn w:val="a3"/>
    <w:next w:val="a3"/>
    <w:link w:val="afffc"/>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c">
    <w:name w:val="מפה ממה תו"/>
    <w:basedOn w:val="a4"/>
    <w:link w:val="a1"/>
    <w:rsid w:val="00B4321D"/>
    <w:rPr>
      <w:rFonts w:ascii="Calibri" w:eastAsia="Calibri" w:hAnsi="Calibri" w:cs="Calibri"/>
      <w:b/>
      <w:bCs/>
      <w:color w:val="002060"/>
      <w:sz w:val="24"/>
    </w:rPr>
  </w:style>
  <w:style w:type="paragraph" w:customStyle="1" w:styleId="afffd">
    <w:name w:val="מקור ממה"/>
    <w:basedOn w:val="a3"/>
    <w:next w:val="a3"/>
    <w:qFormat/>
    <w:rsid w:val="00B4321D"/>
    <w:pPr>
      <w:keepNext/>
      <w:keepLines/>
      <w:widowControl w:val="0"/>
      <w:ind w:left="1134"/>
    </w:pPr>
    <w:rPr>
      <w:rFonts w:ascii="Calibri" w:eastAsia="Calibri" w:hAnsi="Calibri" w:cs="Calibri"/>
      <w:color w:val="002060"/>
      <w:szCs w:val="20"/>
    </w:rPr>
  </w:style>
  <w:style w:type="paragraph" w:customStyle="1" w:styleId="afffe">
    <w:name w:val="אובייקט ממה"/>
    <w:basedOn w:val="a3"/>
    <w:next w:val="a3"/>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
    <w:name w:val="רכיבי המבוא ממה"/>
    <w:basedOn w:val="a3"/>
    <w:link w:val="affff0"/>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0">
    <w:name w:val="רכיבי המבוא ממה תו"/>
    <w:basedOn w:val="a4"/>
    <w:link w:val="affff"/>
    <w:rsid w:val="00B4321D"/>
    <w:rPr>
      <w:rFonts w:ascii="Calibri" w:eastAsia="Calibri" w:hAnsi="Calibri" w:cs="Calibri"/>
      <w:color w:val="002060"/>
      <w:szCs w:val="20"/>
    </w:rPr>
  </w:style>
  <w:style w:type="paragraph" w:customStyle="1" w:styleId="affff1">
    <w:name w:val="אייקון במבוא ממה"/>
    <w:basedOn w:val="a3"/>
    <w:link w:val="affff2"/>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2">
    <w:name w:val="אייקון במבוא ממה תו"/>
    <w:basedOn w:val="a4"/>
    <w:link w:val="affff1"/>
    <w:rsid w:val="00B4321D"/>
    <w:rPr>
      <w:rFonts w:ascii="Calibri" w:eastAsia="Calibri" w:hAnsi="Calibri" w:cs="Calibri"/>
      <w:bCs/>
      <w:color w:val="002060"/>
      <w:sz w:val="24"/>
      <w:szCs w:val="20"/>
    </w:rPr>
  </w:style>
  <w:style w:type="paragraph" w:customStyle="1" w:styleId="739">
    <w:name w:val="73א טקסט רץ 9"/>
    <w:basedOn w:val="a3"/>
    <w:link w:val="7390"/>
    <w:qFormat/>
    <w:rsid w:val="0032268D"/>
    <w:pPr>
      <w:spacing w:after="180" w:line="288" w:lineRule="auto"/>
    </w:pPr>
    <w:rPr>
      <w:rFonts w:ascii="Tahoma" w:hAnsi="Tahoma" w:cs="Tahoma"/>
      <w:color w:val="0D0D0D" w:themeColor="text1" w:themeTint="F2"/>
      <w:sz w:val="18"/>
      <w:szCs w:val="18"/>
    </w:rPr>
  </w:style>
  <w:style w:type="character" w:customStyle="1" w:styleId="7390">
    <w:name w:val="73א טקסט רץ 9 תו"/>
    <w:basedOn w:val="a4"/>
    <w:link w:val="739"/>
    <w:rsid w:val="0032268D"/>
    <w:rPr>
      <w:rFonts w:ascii="Tahoma" w:hAnsi="Tahoma" w:cs="Tahoma"/>
      <w:color w:val="0D0D0D" w:themeColor="text1" w:themeTint="F2"/>
      <w:sz w:val="18"/>
      <w:szCs w:val="18"/>
    </w:rPr>
  </w:style>
  <w:style w:type="paragraph" w:customStyle="1" w:styleId="71">
    <w:name w:val="71ג הערות שוליים"/>
    <w:basedOn w:val="af"/>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4"/>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3"/>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4"/>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3"/>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4"/>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3"/>
    <w:qFormat/>
    <w:rsid w:val="0032268D"/>
    <w:pPr>
      <w:spacing w:after="240" w:line="288" w:lineRule="auto"/>
      <w:ind w:left="397"/>
    </w:pPr>
    <w:rPr>
      <w:rFonts w:ascii="Tahoma" w:hAnsi="Tahoma" w:cs="Tahoma"/>
      <w:color w:val="0D0D0D" w:themeColor="text1" w:themeTint="F2"/>
      <w:sz w:val="18"/>
      <w:szCs w:val="18"/>
    </w:rPr>
  </w:style>
  <w:style w:type="paragraph" w:customStyle="1" w:styleId="730">
    <w:name w:val="73א פעולות ביקורת"/>
    <w:basedOn w:val="a3"/>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4"/>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3"/>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4"/>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3"/>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4"/>
    <w:link w:val="733"/>
    <w:rsid w:val="00BE22D7"/>
    <w:rPr>
      <w:rFonts w:ascii="Tahoma" w:hAnsi="Tahoma" w:cs="Tahoma"/>
      <w:b/>
      <w:bCs/>
      <w:color w:val="FFFFFF" w:themeColor="background1"/>
      <w:sz w:val="22"/>
      <w:szCs w:val="22"/>
    </w:rPr>
  </w:style>
  <w:style w:type="character" w:styleId="affff3">
    <w:name w:val="page number"/>
    <w:basedOn w:val="a4"/>
    <w:uiPriority w:val="99"/>
    <w:semiHidden/>
    <w:unhideWhenUsed/>
    <w:rsid w:val="005C3049"/>
  </w:style>
  <w:style w:type="table" w:customStyle="1" w:styleId="27">
    <w:name w:val="רשת טבלה2"/>
    <w:basedOn w:val="a5"/>
    <w:next w:val="af4"/>
    <w:uiPriority w:val="59"/>
    <w:rsid w:val="005D7324"/>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רשת טבלה3"/>
    <w:basedOn w:val="a5"/>
    <w:next w:val="af4"/>
    <w:uiPriority w:val="59"/>
    <w:rsid w:val="009515F9"/>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רשת טבלה4"/>
    <w:basedOn w:val="a5"/>
    <w:next w:val="af4"/>
    <w:uiPriority w:val="59"/>
    <w:rsid w:val="00CA53D9"/>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header" Target="header4.xml"/><Relationship Id="rId28" Type="http://schemas.openxmlformats.org/officeDocument/2006/relationships/customXml" Target="../customXml/item4.xml"/><Relationship Id="rId10" Type="http://schemas.openxmlformats.org/officeDocument/2006/relationships/image" Target="media/image5.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oter" Target="footer1.xml"/><Relationship Id="rId27"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06A7362-4095-4C96-A212-66964593FC7A}">
  <ds:schemaRefs>
    <ds:schemaRef ds:uri="http://schemas.openxmlformats.org/officeDocument/2006/bibliography"/>
  </ds:schemaRefs>
</ds:datastoreItem>
</file>

<file path=customXml/itemProps2.xml><?xml version="1.0" encoding="utf-8"?>
<ds:datastoreItem xmlns:ds="http://schemas.openxmlformats.org/officeDocument/2006/customXml" ds:itemID="{228027ED-DC1B-4B83-B3BF-028D6AE11BEB}"/>
</file>

<file path=customXml/itemProps3.xml><?xml version="1.0" encoding="utf-8"?>
<ds:datastoreItem xmlns:ds="http://schemas.openxmlformats.org/officeDocument/2006/customXml" ds:itemID="{37EA9B61-0809-465C-8FE0-41922F62C899}"/>
</file>

<file path=customXml/itemProps4.xml><?xml version="1.0" encoding="utf-8"?>
<ds:datastoreItem xmlns:ds="http://schemas.openxmlformats.org/officeDocument/2006/customXml" ds:itemID="{C2A52823-AEF7-41C3-B7B7-9FE38F3DEBFC}"/>
</file>

<file path=docProps/app.xml><?xml version="1.0" encoding="utf-8"?>
<Properties xmlns="http://schemas.openxmlformats.org/officeDocument/2006/extended-properties" xmlns:vt="http://schemas.openxmlformats.org/officeDocument/2006/docPropsVTypes">
  <Template>Normal.dotm</Template>
  <TotalTime>0</TotalTime>
  <Pages>14</Pages>
  <Words>4106</Words>
  <Characters>20534</Characters>
  <Application>Microsoft Office Word</Application>
  <DocSecurity>0</DocSecurity>
  <Lines>171</Lines>
  <Paragraphs>49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מירב יקיר</dc:creator>
  <cp:lastModifiedBy>גיתית עטר</cp:lastModifiedBy>
  <cp:revision>2</cp:revision>
  <cp:lastPrinted>2025-10-15T10:06:00Z</cp:lastPrinted>
  <dcterms:created xsi:type="dcterms:W3CDTF">2026-02-17T11:36:00Z</dcterms:created>
  <dcterms:modified xsi:type="dcterms:W3CDTF">2026-02-17T11:36:00Z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