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A5605A" w:rsidP="00A30B00">
      <w:pPr>
        <w:spacing w:after="160" w:line="259" w:lineRule="auto"/>
        <w:jc w:val="left"/>
        <w:rPr>
          <w:rFonts w:ascii="Tahoma" w:hAnsi="Tahoma" w:cs="Tahoma"/>
          <w:sz w:val="19"/>
          <w:szCs w:val="19"/>
          <w:rtl/>
        </w:rPr>
      </w:pPr>
      <w:bookmarkStart w:id="0" w:name="_Hlk192594390"/>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11074F" w:rsidRPr="00EE06A0" w:rsidP="00EE06A0">
      <w:pPr>
        <w:spacing w:line="560" w:lineRule="exact"/>
        <w:ind w:left="1701" w:right="1843"/>
        <w:jc w:val="center"/>
        <w:rPr>
          <w:rFonts w:ascii="Tahoma" w:hAnsi="Tahoma" w:cs="Tahoma"/>
          <w:sz w:val="16"/>
          <w:szCs w:val="16"/>
          <w:rtl/>
        </w:rPr>
      </w:pPr>
      <w:bookmarkStart w:id="1" w:name="_GoBack"/>
      <w:r w:rsidRPr="00EE06A0">
        <w:rPr>
          <w:rFonts w:ascii="Calibri" w:hAnsi="Calibri" w:cs="Calibri"/>
          <w:b/>
          <w:bCs/>
          <w:color w:val="002060"/>
          <w:sz w:val="56"/>
          <w:szCs w:val="56"/>
          <w:rtl/>
        </w:rPr>
        <w:t>הסיוע הכלכלי לרשויות מקומיות מפונות וקולטות בחודשים הראשונים של המלחמה</w:t>
      </w:r>
      <w:bookmarkEnd w:id="1"/>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jc w:val="center"/>
        <w:rPr>
          <w:rFonts w:ascii="Tahoma" w:hAnsi="Tahoma" w:cs="Tahoma"/>
          <w:sz w:val="19"/>
          <w:szCs w:val="19"/>
          <w:rtl/>
        </w:rPr>
      </w:pPr>
    </w:p>
    <w:p w:rsidR="001C33F8" w:rsidP="001C33F8">
      <w:pPr>
        <w:bidi w:val="0"/>
        <w:spacing w:after="200" w:line="276" w:lineRule="auto"/>
        <w:jc w:val="center"/>
        <w:rPr>
          <w:rFonts w:ascii="Tahoma" w:hAnsi="Tahoma" w:cs="Tahoma"/>
          <w:sz w:val="19"/>
          <w:szCs w:val="19"/>
          <w:rtl/>
        </w:rPr>
      </w:pPr>
    </w:p>
    <w:p w:rsidR="001C33F8" w:rsidP="001C33F8">
      <w:pPr>
        <w:bidi w:val="0"/>
        <w:spacing w:after="200" w:line="276" w:lineRule="auto"/>
        <w:jc w:val="center"/>
        <w:rPr>
          <w:rFonts w:ascii="Tahoma" w:hAnsi="Tahoma" w:cs="Tahoma"/>
          <w:sz w:val="19"/>
          <w:szCs w:val="19"/>
          <w:rtl/>
        </w:rPr>
      </w:pPr>
    </w:p>
    <w:p w:rsidR="001C33F8" w:rsidP="001C33F8">
      <w:pPr>
        <w:spacing w:after="200" w:line="276" w:lineRule="auto"/>
        <w:jc w:val="center"/>
        <w:rPr>
          <w:rFonts w:asciiTheme="minorBidi" w:hAnsiTheme="minorBidi" w:cstheme="minorBidi"/>
          <w:color w:val="0F243E" w:themeColor="text2" w:themeShade="80"/>
          <w:sz w:val="22"/>
          <w:szCs w:val="22"/>
          <w:rtl/>
        </w:rPr>
      </w:pPr>
      <w:r w:rsidRPr="007157A4">
        <w:rPr>
          <w:rFonts w:asciiTheme="minorBidi" w:hAnsiTheme="minorBidi" w:cstheme="minorBidi"/>
          <w:color w:val="0F243E" w:themeColor="text2" w:themeShade="80"/>
          <w:sz w:val="22"/>
          <w:szCs w:val="22"/>
          <w:rtl/>
        </w:rPr>
        <w:t xml:space="preserve">גופן הכותרת מעוצב בכתב ידו של סמ"ר </w:t>
      </w:r>
      <w:r w:rsidRPr="007157A4">
        <w:rPr>
          <w:rFonts w:asciiTheme="minorBidi" w:hAnsiTheme="minorBidi" w:cstheme="minorBidi"/>
          <w:b/>
          <w:bCs/>
          <w:color w:val="0F243E" w:themeColor="text2" w:themeShade="80"/>
          <w:sz w:val="22"/>
          <w:szCs w:val="22"/>
          <w:rtl/>
        </w:rPr>
        <w:t>ענר אליקים שפירא</w:t>
      </w:r>
      <w:r w:rsidRPr="007157A4">
        <w:rPr>
          <w:rFonts w:asciiTheme="minorBidi" w:hAnsiTheme="minorBidi" w:cstheme="minorBidi"/>
          <w:color w:val="0F243E" w:themeColor="text2" w:themeShade="80"/>
          <w:sz w:val="22"/>
          <w:szCs w:val="22"/>
          <w:rtl/>
        </w:rPr>
        <w:t xml:space="preserve"> ז"ל, אשר נפל בשבעה באוקטובר</w:t>
      </w:r>
      <w:r w:rsidRPr="007157A4">
        <w:rPr>
          <w:rFonts w:asciiTheme="minorBidi" w:hAnsiTheme="minorBidi" w:cstheme="minorBidi" w:hint="cs"/>
          <w:color w:val="0F243E" w:themeColor="text2" w:themeShade="80"/>
          <w:sz w:val="22"/>
          <w:szCs w:val="22"/>
          <w:rtl/>
        </w:rPr>
        <w:t>.</w:t>
      </w:r>
      <w:r w:rsidRPr="007157A4">
        <w:rPr>
          <w:rFonts w:asciiTheme="minorBidi" w:hAnsiTheme="minorBidi" w:cstheme="minorBidi"/>
          <w:color w:val="0F243E" w:themeColor="text2" w:themeShade="80"/>
          <w:sz w:val="22"/>
          <w:szCs w:val="22"/>
          <w:rtl/>
        </w:rPr>
        <w:t xml:space="preserve"> ענר נולד וגדל בירושלים, ניגן בפסנתר ועסק במוז</w:t>
      </w:r>
      <w:r w:rsidRPr="007157A4">
        <w:rPr>
          <w:rFonts w:asciiTheme="minorBidi" w:hAnsiTheme="minorBidi" w:cstheme="minorBidi"/>
          <w:color w:val="0F243E" w:themeColor="text2" w:themeShade="80"/>
          <w:sz w:val="22"/>
          <w:szCs w:val="22"/>
          <w:rtl/>
        </w:rPr>
        <w:t>יקה. בשבעה באוקטובר היה ענר בחופשה והשתתף במסיבת הנובה. הוא הציל חיים של רבים במיגונית בצומת רעים כשהדף רימונים שהשליכו אליה מחבלי חמאס</w:t>
      </w:r>
      <w:r>
        <w:rPr>
          <w:rFonts w:asciiTheme="minorBidi" w:hAnsiTheme="minorBidi" w:cstheme="minorBidi" w:hint="cs"/>
          <w:color w:val="0F243E" w:themeColor="text2" w:themeShade="80"/>
          <w:sz w:val="22"/>
          <w:szCs w:val="22"/>
          <w:rtl/>
        </w:rPr>
        <w:t>.</w:t>
      </w:r>
    </w:p>
    <w:p w:rsidR="001C33F8" w:rsidRPr="001C33F8" w:rsidP="001C33F8">
      <w:pPr>
        <w:spacing w:after="200" w:line="276" w:lineRule="auto"/>
        <w:jc w:val="center"/>
        <w:rPr>
          <w:rFonts w:asciiTheme="minorBidi" w:hAnsiTheme="minorBidi" w:cstheme="minorBidi"/>
          <w:color w:val="0F243E" w:themeColor="text2" w:themeShade="80"/>
          <w:sz w:val="22"/>
          <w:szCs w:val="22"/>
        </w:rPr>
      </w:pPr>
    </w:p>
    <w:tbl>
      <w:tblPr>
        <w:tblStyle w:val="TableGrid"/>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76"/>
      </w:tblGrid>
      <w:tr w:rsidTr="009E37AC">
        <w:tblPrEx>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7"/>
        </w:trPr>
        <w:tc>
          <w:tcPr>
            <w:tcW w:w="9076" w:type="dxa"/>
          </w:tcPr>
          <w:p w:rsidR="003C49B0" w:rsidP="003C49B0">
            <w:pPr>
              <w:spacing w:before="120" w:after="120" w:line="240" w:lineRule="auto"/>
              <w:jc w:val="left"/>
              <w:rPr>
                <w:rFonts w:ascii="Tahoma" w:hAnsi="Tahoma" w:cs="Tahoma"/>
                <w:sz w:val="36"/>
                <w:szCs w:val="36"/>
                <w:rtl/>
              </w:rPr>
            </w:pPr>
            <w:r w:rsidRPr="008F466C">
              <w:rPr>
                <w:rFonts w:ascii="Tahoma" w:hAnsi="Tahoma" w:cs="Tahoma"/>
                <w:b/>
                <w:bCs/>
                <w:sz w:val="40"/>
                <w:szCs w:val="40"/>
                <w:rtl/>
              </w:rPr>
              <w:t xml:space="preserve">הסיוע הכלכלי לרשויות מקומיות מפונות וקולטות בחודשים הראשונים של המלחמה </w:t>
            </w:r>
          </w:p>
          <w:p w:rsidR="00AE4BB7" w:rsidP="003C49B0">
            <w:pPr>
              <w:tabs>
                <w:tab w:val="left" w:pos="1122"/>
              </w:tabs>
              <w:spacing w:line="288" w:lineRule="auto"/>
              <w:jc w:val="left"/>
              <w:rPr>
                <w:rFonts w:ascii="Tahoma" w:hAnsi="Tahoma" w:cs="Tahoma"/>
                <w:sz w:val="36"/>
                <w:szCs w:val="36"/>
                <w:rtl/>
              </w:rPr>
            </w:pPr>
            <w:r>
              <w:rPr>
                <w:rFonts w:ascii="Tahoma" w:hAnsi="Tahoma" w:cs="Tahoma"/>
                <w:sz w:val="36"/>
                <w:szCs w:val="36"/>
                <w:rtl/>
              </w:rPr>
              <w:t>תקציר</w:t>
            </w:r>
          </w:p>
          <w:p w:rsidR="003C49B0" w:rsidP="003C49B0">
            <w:pPr>
              <w:tabs>
                <w:tab w:val="left" w:pos="1122"/>
              </w:tabs>
              <w:spacing w:line="288" w:lineRule="auto"/>
              <w:jc w:val="left"/>
              <w:rPr>
                <w:sz w:val="2"/>
                <w:szCs w:val="4"/>
                <w:rtl/>
              </w:rPr>
            </w:pPr>
          </w:p>
          <w:p w:rsidR="0039199C" w:rsidP="003C49B0">
            <w:pPr>
              <w:tabs>
                <w:tab w:val="left" w:pos="1122"/>
              </w:tabs>
              <w:spacing w:line="288" w:lineRule="auto"/>
              <w:jc w:val="left"/>
              <w:rPr>
                <w:sz w:val="2"/>
                <w:szCs w:val="4"/>
                <w:rtl/>
              </w:rPr>
            </w:pPr>
          </w:p>
          <w:p w:rsidR="0039199C" w:rsidP="003C49B0">
            <w:pPr>
              <w:tabs>
                <w:tab w:val="left" w:pos="1122"/>
              </w:tabs>
              <w:spacing w:line="288" w:lineRule="auto"/>
              <w:jc w:val="left"/>
              <w:rPr>
                <w:sz w:val="2"/>
                <w:szCs w:val="4"/>
                <w:rtl/>
              </w:rPr>
            </w:pPr>
          </w:p>
          <w:p w:rsidR="0039199C" w:rsidP="003C49B0">
            <w:pPr>
              <w:tabs>
                <w:tab w:val="left" w:pos="1122"/>
              </w:tabs>
              <w:spacing w:line="288" w:lineRule="auto"/>
              <w:jc w:val="left"/>
              <w:rPr>
                <w:sz w:val="2"/>
                <w:szCs w:val="4"/>
                <w:rtl/>
              </w:rPr>
            </w:pPr>
          </w:p>
          <w:p w:rsidR="00C44DB6" w:rsidP="003C49B0">
            <w:pPr>
              <w:tabs>
                <w:tab w:val="left" w:pos="1122"/>
              </w:tabs>
              <w:spacing w:line="288" w:lineRule="auto"/>
              <w:jc w:val="left"/>
              <w:rPr>
                <w:sz w:val="2"/>
                <w:szCs w:val="4"/>
                <w:rtl/>
              </w:rPr>
            </w:pPr>
          </w:p>
          <w:p w:rsidR="00C44DB6" w:rsidP="003C49B0">
            <w:pPr>
              <w:tabs>
                <w:tab w:val="left" w:pos="1122"/>
              </w:tabs>
              <w:spacing w:line="288" w:lineRule="auto"/>
              <w:jc w:val="left"/>
              <w:rPr>
                <w:sz w:val="2"/>
                <w:szCs w:val="4"/>
                <w:rtl/>
              </w:rPr>
            </w:pPr>
          </w:p>
          <w:p w:rsidR="00C44DB6" w:rsidP="003C49B0">
            <w:pPr>
              <w:tabs>
                <w:tab w:val="left" w:pos="1122"/>
              </w:tabs>
              <w:spacing w:line="288" w:lineRule="auto"/>
              <w:jc w:val="left"/>
              <w:rPr>
                <w:sz w:val="2"/>
                <w:szCs w:val="4"/>
                <w:rtl/>
              </w:rPr>
            </w:pPr>
          </w:p>
          <w:p w:rsidR="00C44DB6" w:rsidRPr="005F4A6D" w:rsidP="003C49B0">
            <w:pPr>
              <w:tabs>
                <w:tab w:val="left" w:pos="1122"/>
              </w:tabs>
              <w:spacing w:line="288" w:lineRule="auto"/>
              <w:jc w:val="left"/>
              <w:rPr>
                <w:sz w:val="2"/>
                <w:szCs w:val="4"/>
                <w:rtl/>
              </w:rPr>
            </w:pPr>
          </w:p>
        </w:tc>
      </w:tr>
    </w:tbl>
    <w:p w:rsidR="00AE4BB7" w:rsidRPr="006C4033" w:rsidP="00AE4BB7">
      <w:pPr>
        <w:spacing w:line="288" w:lineRule="auto"/>
        <w:ind w:left="-284"/>
        <w:rPr>
          <w:rtl/>
        </w:rPr>
      </w:pPr>
      <w:r w:rsidRPr="006C4033">
        <w:rPr>
          <w:rFonts w:ascii="Tahoma" w:hAnsi="Tahoma" w:cs="Tahoma"/>
          <w:noProof/>
          <w:rtl/>
        </w:rPr>
        <w:drawing>
          <wp:inline distT="0" distB="0" distL="0" distR="0">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AE4BB7" w:rsidP="00C64F02">
      <w:pPr>
        <w:pStyle w:val="739"/>
        <w:rPr>
          <w:rtl/>
        </w:rPr>
      </w:pPr>
      <w:r w:rsidRPr="00C64F02">
        <w:rPr>
          <w:sz w:val="19"/>
          <w:szCs w:val="19"/>
          <w:rtl/>
        </w:rPr>
        <w:t xml:space="preserve">מלחמת חרבות ברזל גרמה, בין </w:t>
      </w:r>
      <w:r w:rsidRPr="00C64F02">
        <w:rPr>
          <w:sz w:val="19"/>
          <w:szCs w:val="19"/>
          <w:rtl/>
        </w:rPr>
        <w:t>היתר, לשינויים משמעותיים בהוצאותיהן של הרשויות המקומיות ובהכנסותיהן. מדיווחי הרשויות המקומיות למשרד מבקר המדינה עולה כי מחד גיסא חלק מהוצאותיהן קטנו, כיוון שהפעילות ברחבי הרשות צומצמה, ומאידך גיסא נוספו להן הוצאות, הן בשל מצב החירום והן בשל קליטת מפונים. ר</w:t>
      </w:r>
      <w:r w:rsidRPr="00C64F02">
        <w:rPr>
          <w:sz w:val="19"/>
          <w:szCs w:val="19"/>
          <w:rtl/>
        </w:rPr>
        <w:t>ק חלק מההוצאות שנוספו ניתנות לכימות, וכך גם לגבי ההכנסות שקטנו - רק חלקן ניתנות לכימות. יצוין כי משרדי הממשלה העניקו לרשויות המקומיות שיפוי חלקי הן בגין הוצאותיהן הנוספות והן בגין אובדן הכנסותיהן.</w:t>
      </w:r>
    </w:p>
    <w:p w:rsidR="00246ACB" w:rsidRPr="003D708B" w:rsidP="00C64F02">
      <w:pPr>
        <w:pStyle w:val="739"/>
        <w:rPr>
          <w:sz w:val="10"/>
          <w:szCs w:val="10"/>
          <w:rtl/>
        </w:rPr>
      </w:pPr>
    </w:p>
    <w:p w:rsidR="00AE4BB7" w:rsidP="00AE4BB7">
      <w:pPr>
        <w:spacing w:line="288" w:lineRule="auto"/>
        <w:ind w:left="-284"/>
        <w:rPr>
          <w:sz w:val="12"/>
          <w:szCs w:val="16"/>
          <w:rtl/>
        </w:rPr>
      </w:pPr>
      <w:r w:rsidRPr="006C4033">
        <w:rPr>
          <w:rFonts w:ascii="Tahoma" w:hAnsi="Tahoma" w:cs="Tahoma"/>
          <w:noProof/>
          <w:rtl/>
        </w:rPr>
        <w:drawing>
          <wp:inline distT="0" distB="0" distL="0" distR="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p w:rsidR="00366974" w:rsidP="00AE4BB7">
      <w:pPr>
        <w:spacing w:line="288" w:lineRule="auto"/>
        <w:ind w:left="-284"/>
        <w:rPr>
          <w:sz w:val="12"/>
          <w:szCs w:val="16"/>
          <w:rtl/>
        </w:rPr>
      </w:pPr>
    </w:p>
    <w:tbl>
      <w:tblPr>
        <w:tblStyle w:val="26"/>
        <w:tblpPr w:leftFromText="180" w:rightFromText="180" w:vertAnchor="text" w:tblpXSpec="center" w:tblpY="1"/>
        <w:tblOverlap w:val="never"/>
        <w:bidiVisual/>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3"/>
        <w:gridCol w:w="279"/>
        <w:gridCol w:w="2135"/>
        <w:gridCol w:w="279"/>
        <w:gridCol w:w="2130"/>
        <w:gridCol w:w="283"/>
        <w:gridCol w:w="1837"/>
      </w:tblGrid>
      <w:tr w:rsidTr="003D708B">
        <w:tblPrEx>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3"/>
        </w:trPr>
        <w:tc>
          <w:tcPr>
            <w:tcW w:w="1983" w:type="dxa"/>
            <w:tcBorders>
              <w:bottom w:val="single" w:sz="12" w:space="0" w:color="auto"/>
            </w:tcBorders>
            <w:shd w:val="clear" w:color="auto" w:fill="auto"/>
            <w:vAlign w:val="bottom"/>
          </w:tcPr>
          <w:p w:rsidR="00366974" w:rsidRPr="005D7324" w:rsidP="009E37AC">
            <w:pPr>
              <w:spacing w:after="60" w:line="240" w:lineRule="auto"/>
              <w:rPr>
                <w:rFonts w:ascii="Tahoma" w:eastAsia="Calibri" w:hAnsi="Tahoma" w:cs="Tahoma"/>
                <w:spacing w:val="-10"/>
                <w:sz w:val="36"/>
                <w:szCs w:val="36"/>
                <w:rtl/>
              </w:rPr>
            </w:pPr>
            <w:r w:rsidRPr="005D7324">
              <w:rPr>
                <w:rFonts w:ascii="Tahoma" w:eastAsia="Calibri" w:hAnsi="Tahoma" w:cs="Tahoma"/>
                <w:spacing w:val="-10"/>
                <w:sz w:val="36"/>
                <w:szCs w:val="36"/>
                <w:rtl/>
              </w:rPr>
              <w:t xml:space="preserve">13 </w:t>
            </w:r>
            <w:r w:rsidRPr="005D7324">
              <w:rPr>
                <w:rFonts w:ascii="Tahoma" w:eastAsia="Calibri" w:hAnsi="Tahoma" w:cs="Tahoma" w:hint="eastAsia"/>
                <w:spacing w:val="-10"/>
                <w:sz w:val="26"/>
                <w:szCs w:val="26"/>
                <w:rtl/>
              </w:rPr>
              <w:t>רשויות</w:t>
            </w:r>
            <w:r w:rsidRPr="005D7324">
              <w:rPr>
                <w:rFonts w:ascii="Tahoma" w:eastAsia="Calibri" w:hAnsi="Tahoma" w:cs="Tahoma"/>
                <w:spacing w:val="-10"/>
                <w:sz w:val="26"/>
                <w:szCs w:val="26"/>
                <w:rtl/>
              </w:rPr>
              <w:t xml:space="preserve"> </w:t>
            </w:r>
            <w:r w:rsidRPr="005D7324">
              <w:rPr>
                <w:rFonts w:ascii="Tahoma" w:eastAsia="Calibri" w:hAnsi="Tahoma" w:cs="Tahoma" w:hint="eastAsia"/>
                <w:spacing w:val="-10"/>
                <w:sz w:val="26"/>
                <w:szCs w:val="26"/>
                <w:rtl/>
              </w:rPr>
              <w:t>מקומיות</w:t>
            </w:r>
            <w:r w:rsidRPr="005D7324">
              <w:rPr>
                <w:rFonts w:ascii="Tahoma" w:eastAsia="Calibri" w:hAnsi="Tahoma" w:cs="Tahoma"/>
                <w:spacing w:val="-10"/>
                <w:sz w:val="26"/>
                <w:szCs w:val="26"/>
                <w:rtl/>
              </w:rPr>
              <w:t xml:space="preserve"> </w:t>
            </w:r>
            <w:r w:rsidRPr="005D7324">
              <w:rPr>
                <w:rFonts w:ascii="Tahoma" w:eastAsia="Calibri" w:hAnsi="Tahoma" w:cs="Tahoma" w:hint="eastAsia"/>
                <w:spacing w:val="-10"/>
                <w:sz w:val="26"/>
                <w:szCs w:val="26"/>
                <w:rtl/>
              </w:rPr>
              <w:t>מפ</w:t>
            </w:r>
            <w:r w:rsidRPr="005D7324">
              <w:rPr>
                <w:rFonts w:ascii="Tahoma" w:eastAsia="Calibri" w:hAnsi="Tahoma" w:cs="Tahoma" w:hint="cs"/>
                <w:spacing w:val="-10"/>
                <w:sz w:val="26"/>
                <w:szCs w:val="26"/>
                <w:rtl/>
              </w:rPr>
              <w:t>ו</w:t>
            </w:r>
            <w:r w:rsidRPr="005D7324">
              <w:rPr>
                <w:rFonts w:ascii="Tahoma" w:eastAsia="Calibri" w:hAnsi="Tahoma" w:cs="Tahoma" w:hint="eastAsia"/>
                <w:spacing w:val="-10"/>
                <w:sz w:val="26"/>
                <w:szCs w:val="26"/>
                <w:rtl/>
              </w:rPr>
              <w:t>נות</w:t>
            </w:r>
            <w:r w:rsidRPr="005D7324">
              <w:rPr>
                <w:rFonts w:ascii="Tahoma" w:eastAsia="Calibri" w:hAnsi="Tahoma" w:cs="Tahoma"/>
                <w:spacing w:val="-10"/>
                <w:sz w:val="26"/>
                <w:szCs w:val="26"/>
                <w:rtl/>
              </w:rPr>
              <w:t xml:space="preserve"> </w:t>
            </w:r>
            <w:r w:rsidRPr="005D7324">
              <w:rPr>
                <w:rFonts w:ascii="Tahoma" w:eastAsia="Calibri" w:hAnsi="Tahoma" w:cs="Tahoma"/>
                <w:spacing w:val="-10"/>
                <w:sz w:val="26"/>
                <w:szCs w:val="26"/>
                <w:rtl/>
              </w:rPr>
              <w:br/>
              <w:t>ו-</w:t>
            </w:r>
            <w:r w:rsidRPr="005D7324">
              <w:rPr>
                <w:rFonts w:ascii="Tahoma" w:eastAsia="Calibri" w:hAnsi="Tahoma" w:cs="Tahoma"/>
                <w:spacing w:val="-10"/>
                <w:sz w:val="36"/>
                <w:szCs w:val="36"/>
                <w:rtl/>
              </w:rPr>
              <w:t>14</w:t>
            </w:r>
            <w:r w:rsidRPr="005D7324">
              <w:rPr>
                <w:rFonts w:ascii="Tahoma" w:eastAsia="Calibri" w:hAnsi="Tahoma" w:cs="Tahoma"/>
                <w:spacing w:val="-10"/>
                <w:sz w:val="26"/>
                <w:szCs w:val="26"/>
                <w:rtl/>
              </w:rPr>
              <w:t xml:space="preserve"> רשויות קולטות</w:t>
            </w:r>
          </w:p>
        </w:tc>
        <w:tc>
          <w:tcPr>
            <w:tcW w:w="279" w:type="dxa"/>
          </w:tcPr>
          <w:p w:rsidR="00366974" w:rsidRPr="005D7324" w:rsidP="009E37AC">
            <w:pPr>
              <w:spacing w:after="60" w:line="288" w:lineRule="auto"/>
              <w:rPr>
                <w:rFonts w:ascii="Tahoma" w:eastAsia="Calibri" w:hAnsi="Tahoma" w:cs="Tahoma"/>
                <w:spacing w:val="-10"/>
              </w:rPr>
            </w:pPr>
          </w:p>
        </w:tc>
        <w:tc>
          <w:tcPr>
            <w:tcW w:w="2135" w:type="dxa"/>
            <w:tcBorders>
              <w:bottom w:val="single" w:sz="12" w:space="0" w:color="auto"/>
            </w:tcBorders>
            <w:vAlign w:val="bottom"/>
          </w:tcPr>
          <w:p w:rsidR="00366974" w:rsidRPr="005D7324" w:rsidP="009E37AC">
            <w:pPr>
              <w:spacing w:after="60" w:line="240" w:lineRule="auto"/>
              <w:ind w:right="23"/>
              <w:rPr>
                <w:rFonts w:ascii="Tahoma" w:eastAsia="Calibri" w:hAnsi="Tahoma" w:cs="Tahoma"/>
                <w:sz w:val="19"/>
                <w:szCs w:val="19"/>
                <w:rtl/>
              </w:rPr>
            </w:pPr>
            <w:r w:rsidRPr="005D7324">
              <w:rPr>
                <w:rFonts w:ascii="Tahoma" w:eastAsia="Calibri" w:hAnsi="Tahoma" w:cs="Tahoma"/>
                <w:spacing w:val="-10"/>
                <w:sz w:val="36"/>
                <w:szCs w:val="36"/>
                <w:rtl/>
              </w:rPr>
              <w:t xml:space="preserve">5 </w:t>
            </w:r>
            <w:r w:rsidRPr="005D7324">
              <w:rPr>
                <w:rFonts w:ascii="Tahoma" w:eastAsia="Calibri" w:hAnsi="Tahoma" w:cs="Tahoma" w:hint="eastAsia"/>
                <w:spacing w:val="-10"/>
                <w:sz w:val="26"/>
                <w:szCs w:val="26"/>
                <w:rtl/>
              </w:rPr>
              <w:t>ש</w:t>
            </w:r>
            <w:r w:rsidRPr="005D7324">
              <w:rPr>
                <w:rFonts w:ascii="Tahoma" w:eastAsia="Calibri" w:hAnsi="Tahoma" w:cs="Tahoma"/>
                <w:spacing w:val="-10"/>
                <w:sz w:val="26"/>
                <w:szCs w:val="26"/>
                <w:rtl/>
              </w:rPr>
              <w:t xml:space="preserve">"ח </w:t>
            </w:r>
            <w:r w:rsidRPr="005D7324">
              <w:rPr>
                <w:rFonts w:ascii="Tahoma" w:eastAsia="Calibri" w:hAnsi="Tahoma" w:cs="Tahoma" w:hint="eastAsia"/>
                <w:spacing w:val="-10"/>
                <w:sz w:val="26"/>
                <w:szCs w:val="26"/>
                <w:rtl/>
              </w:rPr>
              <w:t>ליום</w:t>
            </w:r>
            <w:r w:rsidRPr="005D7324">
              <w:rPr>
                <w:rFonts w:ascii="Tahoma" w:eastAsia="Calibri" w:hAnsi="Tahoma" w:cs="Tahoma" w:hint="cs"/>
                <w:spacing w:val="-10"/>
                <w:sz w:val="26"/>
                <w:szCs w:val="26"/>
                <w:rtl/>
              </w:rPr>
              <w:t xml:space="preserve"> בלבד</w:t>
            </w:r>
          </w:p>
        </w:tc>
        <w:tc>
          <w:tcPr>
            <w:tcW w:w="279" w:type="dxa"/>
            <w:vAlign w:val="bottom"/>
          </w:tcPr>
          <w:p w:rsidR="00366974" w:rsidRPr="005D7324" w:rsidP="009E37AC">
            <w:pPr>
              <w:spacing w:after="60" w:line="240" w:lineRule="auto"/>
              <w:rPr>
                <w:rFonts w:ascii="Tahoma" w:eastAsia="Calibri" w:hAnsi="Tahoma" w:cs="Tahoma"/>
                <w:spacing w:val="-10"/>
              </w:rPr>
            </w:pPr>
          </w:p>
        </w:tc>
        <w:tc>
          <w:tcPr>
            <w:tcW w:w="2130" w:type="dxa"/>
            <w:tcBorders>
              <w:bottom w:val="single" w:sz="12" w:space="0" w:color="auto"/>
            </w:tcBorders>
            <w:vAlign w:val="bottom"/>
          </w:tcPr>
          <w:p w:rsidR="00366974" w:rsidRPr="005D7324" w:rsidP="009E37AC">
            <w:pPr>
              <w:spacing w:after="60" w:line="240" w:lineRule="auto"/>
              <w:rPr>
                <w:rFonts w:ascii="Tahoma" w:eastAsia="Calibri" w:hAnsi="Tahoma" w:cs="Tahoma"/>
                <w:spacing w:val="-10"/>
                <w:sz w:val="36"/>
                <w:szCs w:val="36"/>
              </w:rPr>
            </w:pPr>
            <w:r w:rsidRPr="005D7324">
              <w:rPr>
                <w:rFonts w:ascii="Tahoma" w:eastAsia="Calibri" w:hAnsi="Tahoma" w:cs="Tahoma" w:hint="cs"/>
                <w:spacing w:val="-10"/>
                <w:sz w:val="26"/>
                <w:szCs w:val="26"/>
                <w:rtl/>
              </w:rPr>
              <w:t>כ-</w:t>
            </w:r>
            <w:r w:rsidRPr="005D7324">
              <w:rPr>
                <w:rFonts w:ascii="Tahoma" w:eastAsia="Calibri" w:hAnsi="Tahoma" w:cs="Tahoma" w:hint="cs"/>
                <w:spacing w:val="-10"/>
                <w:sz w:val="36"/>
                <w:szCs w:val="36"/>
                <w:rtl/>
              </w:rPr>
              <w:t xml:space="preserve">568 </w:t>
            </w:r>
            <w:r w:rsidRPr="005D7324">
              <w:rPr>
                <w:rFonts w:ascii="Tahoma" w:eastAsia="Calibri" w:hAnsi="Tahoma" w:cs="Tahoma" w:hint="cs"/>
                <w:spacing w:val="-10"/>
                <w:sz w:val="26"/>
                <w:szCs w:val="26"/>
                <w:rtl/>
              </w:rPr>
              <w:t>מיליון ש"ח</w:t>
            </w:r>
          </w:p>
        </w:tc>
        <w:tc>
          <w:tcPr>
            <w:tcW w:w="283" w:type="dxa"/>
            <w:vAlign w:val="bottom"/>
          </w:tcPr>
          <w:p w:rsidR="00366974" w:rsidRPr="005D7324" w:rsidP="009E37AC">
            <w:pPr>
              <w:spacing w:after="60" w:line="240" w:lineRule="auto"/>
              <w:rPr>
                <w:rFonts w:ascii="Tahoma" w:eastAsia="Calibri" w:hAnsi="Tahoma" w:cs="Tahoma"/>
                <w:spacing w:val="-10"/>
              </w:rPr>
            </w:pPr>
          </w:p>
        </w:tc>
        <w:tc>
          <w:tcPr>
            <w:tcW w:w="1837" w:type="dxa"/>
            <w:tcBorders>
              <w:bottom w:val="single" w:sz="12" w:space="0" w:color="auto"/>
            </w:tcBorders>
            <w:vAlign w:val="bottom"/>
          </w:tcPr>
          <w:p w:rsidR="00366974" w:rsidRPr="005D7324" w:rsidP="009E37AC">
            <w:pPr>
              <w:spacing w:after="60" w:line="240" w:lineRule="auto"/>
              <w:rPr>
                <w:rFonts w:ascii="Tahoma" w:eastAsia="Calibri" w:hAnsi="Tahoma" w:cs="Tahoma"/>
                <w:spacing w:val="-10"/>
                <w:sz w:val="36"/>
                <w:szCs w:val="36"/>
              </w:rPr>
            </w:pPr>
            <w:r w:rsidRPr="005D7324">
              <w:rPr>
                <w:rFonts w:ascii="Tahoma" w:eastAsia="Calibri" w:hAnsi="Tahoma" w:cs="Tahoma" w:hint="cs"/>
                <w:spacing w:val="-10"/>
                <w:sz w:val="26"/>
                <w:szCs w:val="26"/>
                <w:rtl/>
              </w:rPr>
              <w:t>כ-</w:t>
            </w:r>
            <w:r w:rsidRPr="005D7324">
              <w:rPr>
                <w:rFonts w:ascii="Tahoma" w:eastAsia="Calibri" w:hAnsi="Tahoma" w:cs="Tahoma" w:hint="cs"/>
                <w:spacing w:val="-10"/>
                <w:sz w:val="36"/>
                <w:szCs w:val="36"/>
                <w:rtl/>
              </w:rPr>
              <w:t xml:space="preserve">547 </w:t>
            </w:r>
            <w:r w:rsidRPr="005D7324">
              <w:rPr>
                <w:rFonts w:ascii="Tahoma" w:eastAsia="Calibri" w:hAnsi="Tahoma" w:cs="Tahoma" w:hint="cs"/>
                <w:spacing w:val="-10"/>
                <w:sz w:val="26"/>
                <w:szCs w:val="26"/>
                <w:rtl/>
              </w:rPr>
              <w:t>מיליון</w:t>
            </w:r>
            <w:r w:rsidRPr="005D7324">
              <w:rPr>
                <w:rFonts w:ascii="Tahoma" w:eastAsia="Calibri" w:hAnsi="Tahoma" w:cs="Tahoma" w:hint="cs"/>
                <w:spacing w:val="-10"/>
                <w:sz w:val="26"/>
                <w:szCs w:val="26"/>
              </w:rPr>
              <w:t xml:space="preserve"> </w:t>
            </w:r>
            <w:r w:rsidRPr="005D7324">
              <w:rPr>
                <w:rFonts w:ascii="Tahoma" w:eastAsia="Calibri" w:hAnsi="Tahoma" w:cs="Tahoma" w:hint="cs"/>
                <w:spacing w:val="-10"/>
                <w:sz w:val="26"/>
                <w:szCs w:val="26"/>
                <w:rtl/>
              </w:rPr>
              <w:t>ש"ח</w:t>
            </w:r>
          </w:p>
        </w:tc>
      </w:tr>
      <w:tr w:rsidTr="003D708B">
        <w:tblPrEx>
          <w:tblW w:w="8926" w:type="dxa"/>
          <w:tblLook w:val="04A0"/>
        </w:tblPrEx>
        <w:trPr>
          <w:trHeight w:val="85"/>
        </w:trPr>
        <w:tc>
          <w:tcPr>
            <w:tcW w:w="8926" w:type="dxa"/>
            <w:gridSpan w:val="7"/>
          </w:tcPr>
          <w:p w:rsidR="00366974" w:rsidRPr="005D7324" w:rsidP="009E37AC">
            <w:pPr>
              <w:spacing w:line="288" w:lineRule="auto"/>
              <w:rPr>
                <w:rFonts w:ascii="Tahoma" w:eastAsia="Calibri" w:hAnsi="Tahoma" w:cs="Tahoma"/>
                <w:spacing w:val="-10"/>
                <w:sz w:val="6"/>
                <w:szCs w:val="6"/>
                <w:rtl/>
              </w:rPr>
            </w:pPr>
          </w:p>
        </w:tc>
      </w:tr>
      <w:tr w:rsidTr="003D708B">
        <w:tblPrEx>
          <w:tblW w:w="8926" w:type="dxa"/>
          <w:tblLook w:val="04A0"/>
        </w:tblPrEx>
        <w:trPr>
          <w:trHeight w:val="1155"/>
        </w:trPr>
        <w:tc>
          <w:tcPr>
            <w:tcW w:w="1983" w:type="dxa"/>
          </w:tcPr>
          <w:p w:rsidR="00366974" w:rsidRPr="005D7324" w:rsidP="009E37AC">
            <w:pPr>
              <w:spacing w:line="240" w:lineRule="auto"/>
              <w:ind w:right="23"/>
              <w:rPr>
                <w:rFonts w:ascii="Tahoma" w:eastAsia="Calibri" w:hAnsi="Tahoma" w:cs="Tahoma"/>
                <w:sz w:val="19"/>
                <w:szCs w:val="19"/>
                <w:rtl/>
              </w:rPr>
            </w:pPr>
            <w:r w:rsidRPr="005D7324">
              <w:rPr>
                <w:rFonts w:ascii="Tahoma" w:eastAsia="Calibri" w:hAnsi="Tahoma" w:cs="Tahoma" w:hint="eastAsia"/>
                <w:sz w:val="19"/>
                <w:szCs w:val="19"/>
                <w:rtl/>
              </w:rPr>
              <w:t>מספר</w:t>
            </w:r>
            <w:r w:rsidRPr="005D7324">
              <w:rPr>
                <w:rFonts w:ascii="Tahoma" w:eastAsia="Calibri" w:hAnsi="Tahoma" w:cs="Tahoma"/>
                <w:sz w:val="19"/>
                <w:szCs w:val="19"/>
                <w:rtl/>
              </w:rPr>
              <w:t xml:space="preserve"> </w:t>
            </w:r>
            <w:r w:rsidRPr="005D7324">
              <w:rPr>
                <w:rFonts w:ascii="Tahoma" w:eastAsia="Calibri" w:hAnsi="Tahoma" w:cs="Tahoma" w:hint="eastAsia"/>
                <w:sz w:val="19"/>
                <w:szCs w:val="19"/>
                <w:rtl/>
              </w:rPr>
              <w:t>הרשויות</w:t>
            </w:r>
            <w:r w:rsidRPr="005D7324">
              <w:rPr>
                <w:rFonts w:ascii="Tahoma" w:eastAsia="Calibri" w:hAnsi="Tahoma" w:cs="Tahoma"/>
                <w:sz w:val="19"/>
                <w:szCs w:val="19"/>
                <w:rtl/>
              </w:rPr>
              <w:t xml:space="preserve"> </w:t>
            </w:r>
            <w:r w:rsidRPr="005D7324">
              <w:rPr>
                <w:rFonts w:ascii="Tahoma" w:eastAsia="Calibri" w:hAnsi="Tahoma" w:cs="Tahoma" w:hint="eastAsia"/>
                <w:sz w:val="19"/>
                <w:szCs w:val="19"/>
                <w:rtl/>
              </w:rPr>
              <w:t>המקומיות</w:t>
            </w:r>
            <w:r w:rsidRPr="005D7324">
              <w:rPr>
                <w:rFonts w:ascii="Tahoma" w:eastAsia="Calibri" w:hAnsi="Tahoma" w:cs="Tahoma"/>
                <w:sz w:val="19"/>
                <w:szCs w:val="19"/>
                <w:rtl/>
              </w:rPr>
              <w:t xml:space="preserve"> </w:t>
            </w:r>
            <w:r w:rsidRPr="005D7324">
              <w:rPr>
                <w:rFonts w:ascii="Tahoma" w:eastAsia="Calibri" w:hAnsi="Tahoma" w:cs="Tahoma" w:hint="eastAsia"/>
                <w:sz w:val="19"/>
                <w:szCs w:val="19"/>
                <w:rtl/>
              </w:rPr>
              <w:t>שנבדקו</w:t>
            </w:r>
          </w:p>
        </w:tc>
        <w:tc>
          <w:tcPr>
            <w:tcW w:w="279" w:type="dxa"/>
          </w:tcPr>
          <w:p w:rsidR="00366974" w:rsidRPr="005D7324" w:rsidP="009E37AC">
            <w:pPr>
              <w:spacing w:line="240" w:lineRule="auto"/>
              <w:rPr>
                <w:rFonts w:ascii="Tahoma" w:eastAsia="Calibri" w:hAnsi="Tahoma" w:cs="Tahoma"/>
                <w:szCs w:val="24"/>
                <w:rtl/>
              </w:rPr>
            </w:pPr>
          </w:p>
        </w:tc>
        <w:tc>
          <w:tcPr>
            <w:tcW w:w="2135" w:type="dxa"/>
          </w:tcPr>
          <w:p w:rsidR="00366974" w:rsidRPr="005D7324" w:rsidP="009E37AC">
            <w:pPr>
              <w:spacing w:line="240" w:lineRule="auto"/>
              <w:ind w:right="23"/>
              <w:rPr>
                <w:rFonts w:ascii="Tahoma" w:eastAsia="Calibri" w:hAnsi="Tahoma" w:cs="Tahoma"/>
                <w:sz w:val="19"/>
                <w:szCs w:val="19"/>
                <w:rtl/>
              </w:rPr>
            </w:pPr>
            <w:r w:rsidRPr="005D7324">
              <w:rPr>
                <w:rFonts w:ascii="Tahoma" w:eastAsia="Calibri" w:hAnsi="Tahoma" w:cs="Tahoma" w:hint="eastAsia"/>
                <w:sz w:val="19"/>
                <w:szCs w:val="19"/>
                <w:rtl/>
              </w:rPr>
              <w:t>סכום</w:t>
            </w:r>
            <w:r w:rsidRPr="005D7324">
              <w:rPr>
                <w:rFonts w:ascii="Tahoma" w:eastAsia="Calibri" w:hAnsi="Tahoma" w:cs="Tahoma"/>
                <w:sz w:val="19"/>
                <w:szCs w:val="19"/>
                <w:rtl/>
              </w:rPr>
              <w:t xml:space="preserve"> </w:t>
            </w:r>
            <w:r w:rsidRPr="005D7324">
              <w:rPr>
                <w:rFonts w:ascii="Tahoma" w:eastAsia="Calibri" w:hAnsi="Tahoma" w:cs="Tahoma" w:hint="eastAsia"/>
                <w:sz w:val="19"/>
                <w:szCs w:val="19"/>
                <w:rtl/>
              </w:rPr>
              <w:t>המענק</w:t>
            </w:r>
            <w:r w:rsidRPr="005D7324">
              <w:rPr>
                <w:rFonts w:ascii="Tahoma" w:eastAsia="Calibri" w:hAnsi="Tahoma" w:cs="Tahoma"/>
                <w:sz w:val="19"/>
                <w:szCs w:val="19"/>
                <w:rtl/>
              </w:rPr>
              <w:t xml:space="preserve"> ליום לרשויות מקומיות קולטות עבור כל מפונה</w:t>
            </w:r>
            <w:r w:rsidRPr="005D7324">
              <w:rPr>
                <w:rFonts w:ascii="Tahoma" w:eastAsia="Calibri" w:hAnsi="Tahoma" w:cs="Tahoma" w:hint="cs"/>
                <w:sz w:val="19"/>
                <w:szCs w:val="19"/>
                <w:rtl/>
              </w:rPr>
              <w:t xml:space="preserve"> </w:t>
            </w:r>
            <w:r w:rsidRPr="005D7324">
              <w:rPr>
                <w:rFonts w:ascii="Tahoma" w:eastAsia="Calibri" w:hAnsi="Tahoma" w:cs="Tahoma" w:hint="eastAsia"/>
                <w:sz w:val="19"/>
                <w:szCs w:val="19"/>
                <w:rtl/>
              </w:rPr>
              <w:t>שהוחלט</w:t>
            </w:r>
            <w:r w:rsidRPr="005D7324">
              <w:rPr>
                <w:rFonts w:ascii="Tahoma" w:eastAsia="Calibri" w:hAnsi="Tahoma" w:cs="Tahoma"/>
                <w:sz w:val="19"/>
                <w:szCs w:val="19"/>
                <w:rtl/>
              </w:rPr>
              <w:t xml:space="preserve"> </w:t>
            </w:r>
            <w:r w:rsidRPr="005D7324">
              <w:rPr>
                <w:rFonts w:ascii="Tahoma" w:eastAsia="Calibri" w:hAnsi="Tahoma" w:cs="Tahoma" w:hint="eastAsia"/>
                <w:sz w:val="19"/>
                <w:szCs w:val="19"/>
                <w:rtl/>
              </w:rPr>
              <w:t>לגביו</w:t>
            </w:r>
            <w:r w:rsidRPr="005D7324">
              <w:rPr>
                <w:rFonts w:ascii="Tahoma" w:eastAsia="Calibri" w:hAnsi="Tahoma" w:cs="Tahoma"/>
                <w:sz w:val="19"/>
                <w:szCs w:val="19"/>
                <w:rtl/>
              </w:rPr>
              <w:t xml:space="preserve"> </w:t>
            </w:r>
            <w:r w:rsidRPr="005D7324">
              <w:rPr>
                <w:rFonts w:ascii="Tahoma" w:eastAsia="Calibri" w:hAnsi="Tahoma" w:cs="Tahoma" w:hint="eastAsia"/>
                <w:sz w:val="19"/>
                <w:szCs w:val="19"/>
                <w:rtl/>
              </w:rPr>
              <w:t>בתחילת</w:t>
            </w:r>
            <w:r w:rsidRPr="005D7324">
              <w:rPr>
                <w:rFonts w:ascii="Tahoma" w:eastAsia="Calibri" w:hAnsi="Tahoma" w:cs="Tahoma"/>
                <w:sz w:val="19"/>
                <w:szCs w:val="19"/>
                <w:rtl/>
              </w:rPr>
              <w:t xml:space="preserve"> </w:t>
            </w:r>
            <w:r w:rsidRPr="005D7324">
              <w:rPr>
                <w:rFonts w:ascii="Tahoma" w:eastAsia="Calibri" w:hAnsi="Tahoma" w:cs="Tahoma" w:hint="eastAsia"/>
                <w:sz w:val="19"/>
                <w:szCs w:val="19"/>
                <w:rtl/>
              </w:rPr>
              <w:t>המלחמה</w:t>
            </w:r>
            <w:r w:rsidRPr="005D7324">
              <w:rPr>
                <w:rFonts w:ascii="Tahoma" w:eastAsia="Calibri" w:hAnsi="Tahoma" w:cs="Tahoma"/>
                <w:sz w:val="19"/>
                <w:szCs w:val="19"/>
                <w:rtl/>
              </w:rPr>
              <w:t>. הסכום חושב לפי מספר ממוצע של 5 נפשות במשפחה</w:t>
            </w:r>
            <w:r w:rsidRPr="005D7324">
              <w:rPr>
                <w:rFonts w:ascii="Tahoma" w:eastAsia="Calibri" w:hAnsi="Tahoma" w:cs="Tahoma" w:hint="cs"/>
                <w:sz w:val="19"/>
                <w:szCs w:val="19"/>
                <w:rtl/>
              </w:rPr>
              <w:t xml:space="preserve"> </w:t>
            </w:r>
            <w:r w:rsidRPr="005D7324">
              <w:rPr>
                <w:rFonts w:ascii="Tahoma" w:eastAsia="Calibri" w:hAnsi="Tahoma" w:cs="Tahoma"/>
                <w:sz w:val="19"/>
                <w:szCs w:val="19"/>
                <w:rtl/>
              </w:rPr>
              <w:t xml:space="preserve">- 750 </w:t>
            </w:r>
            <w:r w:rsidRPr="005D7324">
              <w:rPr>
                <w:rFonts w:ascii="Tahoma" w:eastAsia="Calibri" w:hAnsi="Tahoma" w:cs="Tahoma" w:hint="eastAsia"/>
                <w:sz w:val="19"/>
                <w:szCs w:val="19"/>
                <w:rtl/>
              </w:rPr>
              <w:t>ש</w:t>
            </w:r>
            <w:r w:rsidRPr="005D7324">
              <w:rPr>
                <w:rFonts w:ascii="Tahoma" w:eastAsia="Calibri" w:hAnsi="Tahoma" w:cs="Tahoma"/>
                <w:sz w:val="19"/>
                <w:szCs w:val="19"/>
                <w:rtl/>
              </w:rPr>
              <w:t xml:space="preserve">"ח לחודש: הסכום לא נבחן שוב גם לאחר שהתברר שאינו </w:t>
            </w:r>
            <w:r w:rsidRPr="005D7324">
              <w:rPr>
                <w:rFonts w:ascii="Tahoma" w:eastAsia="Calibri" w:hAnsi="Tahoma" w:cs="Tahoma" w:hint="cs"/>
                <w:sz w:val="19"/>
                <w:szCs w:val="19"/>
                <w:rtl/>
              </w:rPr>
              <w:t>סביר</w:t>
            </w:r>
            <w:r w:rsidRPr="005D7324">
              <w:rPr>
                <w:rFonts w:ascii="Tahoma" w:eastAsia="Calibri" w:hAnsi="Tahoma" w:cs="Tahoma"/>
                <w:sz w:val="19"/>
                <w:szCs w:val="19"/>
                <w:rtl/>
              </w:rPr>
              <w:t xml:space="preserve"> </w:t>
            </w:r>
          </w:p>
        </w:tc>
        <w:tc>
          <w:tcPr>
            <w:tcW w:w="279" w:type="dxa"/>
          </w:tcPr>
          <w:p w:rsidR="00366974" w:rsidRPr="005D7324" w:rsidP="009E37AC">
            <w:pPr>
              <w:spacing w:line="240" w:lineRule="auto"/>
              <w:rPr>
                <w:rFonts w:ascii="Tahoma" w:eastAsia="Calibri" w:hAnsi="Tahoma" w:cs="Tahoma"/>
                <w:sz w:val="19"/>
                <w:szCs w:val="19"/>
                <w:rtl/>
              </w:rPr>
            </w:pPr>
          </w:p>
        </w:tc>
        <w:tc>
          <w:tcPr>
            <w:tcW w:w="2130" w:type="dxa"/>
          </w:tcPr>
          <w:p w:rsidR="00366974" w:rsidRPr="005D7324" w:rsidP="009E37AC">
            <w:pPr>
              <w:spacing w:line="240" w:lineRule="auto"/>
              <w:ind w:right="23"/>
              <w:rPr>
                <w:rFonts w:ascii="Tahoma" w:eastAsia="Calibri" w:hAnsi="Tahoma" w:cs="Tahoma"/>
                <w:sz w:val="19"/>
                <w:szCs w:val="19"/>
                <w:rtl/>
              </w:rPr>
            </w:pPr>
            <w:r w:rsidRPr="005D7324">
              <w:rPr>
                <w:rFonts w:ascii="Tahoma" w:eastAsia="Calibri" w:hAnsi="Tahoma" w:cs="Tahoma" w:hint="cs"/>
                <w:sz w:val="19"/>
                <w:szCs w:val="19"/>
                <w:rtl/>
              </w:rPr>
              <w:t xml:space="preserve">סכום המענקים לפעולות חירום שניתנו לארבע רשויות מקומיות מפונות (עיריית </w:t>
            </w:r>
            <w:r w:rsidRPr="005D7324">
              <w:rPr>
                <w:rFonts w:ascii="Tahoma" w:eastAsia="Calibri" w:hAnsi="Tahoma" w:cs="Tahoma" w:hint="cs"/>
                <w:b/>
                <w:bCs/>
                <w:sz w:val="19"/>
                <w:szCs w:val="19"/>
                <w:rtl/>
              </w:rPr>
              <w:t>שדרות</w:t>
            </w:r>
            <w:r w:rsidRPr="005D7324">
              <w:rPr>
                <w:rFonts w:ascii="Tahoma" w:eastAsia="Calibri" w:hAnsi="Tahoma" w:cs="Tahoma" w:hint="cs"/>
                <w:sz w:val="19"/>
                <w:szCs w:val="19"/>
                <w:rtl/>
              </w:rPr>
              <w:t xml:space="preserve"> והמועצות האזוריות </w:t>
            </w:r>
            <w:r w:rsidRPr="005D7324">
              <w:rPr>
                <w:rFonts w:ascii="Tahoma" w:eastAsia="Calibri" w:hAnsi="Tahoma" w:cs="Tahoma" w:hint="cs"/>
                <w:b/>
                <w:bCs/>
                <w:sz w:val="19"/>
                <w:szCs w:val="19"/>
                <w:rtl/>
              </w:rPr>
              <w:t>אשכול</w:t>
            </w:r>
            <w:r w:rsidRPr="005D7324">
              <w:rPr>
                <w:rFonts w:ascii="Tahoma" w:eastAsia="Calibri" w:hAnsi="Tahoma" w:cs="Tahoma" w:hint="cs"/>
                <w:sz w:val="19"/>
                <w:szCs w:val="19"/>
                <w:rtl/>
              </w:rPr>
              <w:t xml:space="preserve">, </w:t>
            </w:r>
            <w:r w:rsidRPr="005D7324">
              <w:rPr>
                <w:rFonts w:ascii="Tahoma" w:eastAsia="Calibri" w:hAnsi="Tahoma" w:cs="Tahoma" w:hint="cs"/>
                <w:b/>
                <w:bCs/>
                <w:sz w:val="19"/>
                <w:szCs w:val="19"/>
                <w:rtl/>
              </w:rPr>
              <w:t>מטה אשר</w:t>
            </w:r>
            <w:r w:rsidRPr="005D7324">
              <w:rPr>
                <w:rFonts w:ascii="Tahoma" w:eastAsia="Calibri" w:hAnsi="Tahoma" w:cs="Tahoma" w:hint="cs"/>
                <w:sz w:val="19"/>
                <w:szCs w:val="19"/>
                <w:rtl/>
              </w:rPr>
              <w:t xml:space="preserve"> ו</w:t>
            </w:r>
            <w:r w:rsidRPr="005D7324">
              <w:rPr>
                <w:rFonts w:ascii="Tahoma" w:eastAsia="Calibri" w:hAnsi="Tahoma" w:cs="Tahoma" w:hint="cs"/>
                <w:b/>
                <w:bCs/>
                <w:sz w:val="19"/>
                <w:szCs w:val="19"/>
                <w:rtl/>
              </w:rPr>
              <w:t>מעלה יוסף</w:t>
            </w:r>
            <w:r w:rsidRPr="005D7324">
              <w:rPr>
                <w:rFonts w:ascii="Tahoma" w:eastAsia="Calibri" w:hAnsi="Tahoma" w:cs="Tahoma" w:hint="cs"/>
                <w:sz w:val="19"/>
                <w:szCs w:val="19"/>
                <w:rtl/>
              </w:rPr>
              <w:t>) בשלושת החודשים הראשונים למלחמה</w:t>
            </w:r>
          </w:p>
        </w:tc>
        <w:tc>
          <w:tcPr>
            <w:tcW w:w="283" w:type="dxa"/>
          </w:tcPr>
          <w:p w:rsidR="00366974" w:rsidRPr="005D7324" w:rsidP="009E37AC">
            <w:pPr>
              <w:spacing w:line="240" w:lineRule="auto"/>
              <w:rPr>
                <w:rFonts w:ascii="Tahoma" w:eastAsia="Calibri" w:hAnsi="Tahoma" w:cs="Tahoma"/>
                <w:sz w:val="19"/>
                <w:szCs w:val="19"/>
                <w:rtl/>
              </w:rPr>
            </w:pPr>
          </w:p>
        </w:tc>
        <w:tc>
          <w:tcPr>
            <w:tcW w:w="1837" w:type="dxa"/>
          </w:tcPr>
          <w:p w:rsidR="00366974" w:rsidRPr="005D7324" w:rsidP="009E37AC">
            <w:pPr>
              <w:spacing w:line="240" w:lineRule="auto"/>
              <w:ind w:right="23"/>
              <w:rPr>
                <w:rFonts w:ascii="Tahoma" w:eastAsia="Calibri" w:hAnsi="Tahoma" w:cs="Tahoma"/>
                <w:sz w:val="19"/>
                <w:szCs w:val="19"/>
                <w:rtl/>
              </w:rPr>
            </w:pPr>
            <w:r w:rsidRPr="005D7324">
              <w:rPr>
                <w:rFonts w:ascii="Tahoma" w:eastAsia="Calibri" w:hAnsi="Tahoma" w:cs="Tahoma" w:hint="cs"/>
                <w:sz w:val="19"/>
                <w:szCs w:val="19"/>
                <w:rtl/>
              </w:rPr>
              <w:t xml:space="preserve">סכום המענקים והשיפוי שהעניק משרד הפנים בשנת </w:t>
            </w:r>
            <w:r w:rsidRPr="005D7324">
              <w:rPr>
                <w:rFonts w:ascii="Tahoma" w:eastAsia="Calibri" w:hAnsi="Tahoma" w:cs="Tahoma" w:hint="cs"/>
                <w:sz w:val="19"/>
                <w:szCs w:val="19"/>
                <w:rtl/>
              </w:rPr>
              <w:t>2023 לכלל הרשויות בארבע תקנות תקציביות</w:t>
            </w:r>
          </w:p>
        </w:tc>
      </w:tr>
      <w:tr w:rsidTr="003D708B">
        <w:tblPrEx>
          <w:tblW w:w="8926" w:type="dxa"/>
          <w:tblLook w:val="04A0"/>
        </w:tblPrEx>
        <w:trPr>
          <w:trHeight w:val="142"/>
        </w:trPr>
        <w:tc>
          <w:tcPr>
            <w:tcW w:w="8926" w:type="dxa"/>
            <w:gridSpan w:val="7"/>
          </w:tcPr>
          <w:p w:rsidR="00366974" w:rsidRPr="005D7324" w:rsidP="009E37AC">
            <w:pPr>
              <w:spacing w:line="288" w:lineRule="auto"/>
              <w:jc w:val="both"/>
              <w:rPr>
                <w:rFonts w:ascii="Tahoma" w:eastAsia="Calibri" w:hAnsi="Tahoma" w:cs="Tahoma"/>
                <w:sz w:val="6"/>
                <w:szCs w:val="6"/>
                <w:rtl/>
              </w:rPr>
            </w:pPr>
          </w:p>
        </w:tc>
      </w:tr>
      <w:tr w:rsidTr="003D708B">
        <w:tblPrEx>
          <w:tblW w:w="8926" w:type="dxa"/>
          <w:tblLook w:val="04A0"/>
        </w:tblPrEx>
        <w:trPr>
          <w:trHeight w:val="227"/>
        </w:trPr>
        <w:tc>
          <w:tcPr>
            <w:tcW w:w="1983" w:type="dxa"/>
            <w:tcBorders>
              <w:bottom w:val="single" w:sz="12" w:space="0" w:color="auto"/>
            </w:tcBorders>
            <w:vAlign w:val="bottom"/>
          </w:tcPr>
          <w:p w:rsidR="00366974" w:rsidRPr="005D7324" w:rsidP="009E37AC">
            <w:pPr>
              <w:spacing w:after="60" w:line="240" w:lineRule="auto"/>
              <w:rPr>
                <w:rFonts w:ascii="Tahoma" w:eastAsia="Calibri" w:hAnsi="Tahoma" w:cs="Tahoma"/>
                <w:spacing w:val="-10"/>
                <w:sz w:val="36"/>
                <w:szCs w:val="36"/>
              </w:rPr>
            </w:pPr>
            <w:r w:rsidRPr="005D7324">
              <w:rPr>
                <w:rFonts w:ascii="Tahoma" w:eastAsia="Calibri" w:hAnsi="Tahoma" w:cs="Tahoma" w:hint="cs"/>
                <w:spacing w:val="-10"/>
                <w:sz w:val="26"/>
                <w:szCs w:val="26"/>
                <w:rtl/>
              </w:rPr>
              <w:t>כ-</w:t>
            </w:r>
            <w:r w:rsidRPr="005D7324">
              <w:rPr>
                <w:rFonts w:ascii="Tahoma" w:eastAsia="Calibri" w:hAnsi="Tahoma" w:cs="Tahoma" w:hint="cs"/>
                <w:spacing w:val="-10"/>
                <w:sz w:val="36"/>
                <w:szCs w:val="36"/>
                <w:rtl/>
              </w:rPr>
              <w:t xml:space="preserve">436 </w:t>
            </w:r>
            <w:r w:rsidRPr="005D7324">
              <w:rPr>
                <w:rFonts w:ascii="Tahoma" w:eastAsia="Calibri" w:hAnsi="Tahoma" w:cs="Tahoma" w:hint="cs"/>
                <w:spacing w:val="-10"/>
                <w:sz w:val="26"/>
                <w:szCs w:val="26"/>
                <w:rtl/>
              </w:rPr>
              <w:t>מיליון ש"ח</w:t>
            </w:r>
          </w:p>
        </w:tc>
        <w:tc>
          <w:tcPr>
            <w:tcW w:w="279" w:type="dxa"/>
            <w:vAlign w:val="bottom"/>
          </w:tcPr>
          <w:p w:rsidR="00366974" w:rsidRPr="005D7324" w:rsidP="009E37AC">
            <w:pPr>
              <w:spacing w:after="60" w:line="240" w:lineRule="auto"/>
              <w:rPr>
                <w:rFonts w:ascii="Tahoma" w:eastAsia="Calibri" w:hAnsi="Tahoma" w:cs="Tahoma"/>
                <w:spacing w:val="-10"/>
              </w:rPr>
            </w:pPr>
          </w:p>
        </w:tc>
        <w:tc>
          <w:tcPr>
            <w:tcW w:w="2135" w:type="dxa"/>
            <w:tcBorders>
              <w:bottom w:val="single" w:sz="12" w:space="0" w:color="auto"/>
            </w:tcBorders>
            <w:vAlign w:val="bottom"/>
          </w:tcPr>
          <w:p w:rsidR="00366974" w:rsidRPr="005D7324" w:rsidP="009E37AC">
            <w:pPr>
              <w:spacing w:after="60" w:line="240" w:lineRule="auto"/>
              <w:rPr>
                <w:rFonts w:ascii="Tahoma" w:eastAsia="Calibri" w:hAnsi="Tahoma" w:cs="Tahoma"/>
                <w:spacing w:val="-10"/>
                <w:sz w:val="36"/>
                <w:szCs w:val="36"/>
              </w:rPr>
            </w:pPr>
            <w:r w:rsidRPr="005D7324">
              <w:rPr>
                <w:rFonts w:ascii="Tahoma" w:eastAsia="Calibri" w:hAnsi="Tahoma" w:cs="Tahoma" w:hint="cs"/>
                <w:spacing w:val="-10"/>
                <w:sz w:val="26"/>
                <w:szCs w:val="26"/>
                <w:rtl/>
              </w:rPr>
              <w:t>כ-</w:t>
            </w:r>
            <w:r w:rsidRPr="005D7324">
              <w:rPr>
                <w:rFonts w:ascii="Tahoma" w:eastAsia="Calibri" w:hAnsi="Tahoma" w:cs="Tahoma" w:hint="cs"/>
                <w:spacing w:val="-10"/>
                <w:sz w:val="36"/>
                <w:szCs w:val="36"/>
                <w:rtl/>
              </w:rPr>
              <w:t xml:space="preserve">95 </w:t>
            </w:r>
            <w:r w:rsidRPr="005D7324">
              <w:rPr>
                <w:rFonts w:ascii="Tahoma" w:eastAsia="Calibri" w:hAnsi="Tahoma" w:cs="Tahoma" w:hint="cs"/>
                <w:spacing w:val="-10"/>
                <w:sz w:val="26"/>
                <w:szCs w:val="26"/>
                <w:rtl/>
              </w:rPr>
              <w:t>מיליון ש"ח</w:t>
            </w:r>
          </w:p>
        </w:tc>
        <w:tc>
          <w:tcPr>
            <w:tcW w:w="279" w:type="dxa"/>
            <w:vAlign w:val="bottom"/>
          </w:tcPr>
          <w:p w:rsidR="00366974" w:rsidRPr="005D7324" w:rsidP="009E37AC">
            <w:pPr>
              <w:spacing w:after="60" w:line="240" w:lineRule="auto"/>
              <w:rPr>
                <w:rFonts w:ascii="Tahoma" w:eastAsia="Calibri" w:hAnsi="Tahoma" w:cs="Tahoma"/>
                <w:spacing w:val="-10"/>
              </w:rPr>
            </w:pPr>
          </w:p>
        </w:tc>
        <w:tc>
          <w:tcPr>
            <w:tcW w:w="2130" w:type="dxa"/>
            <w:tcBorders>
              <w:bottom w:val="single" w:sz="12" w:space="0" w:color="auto"/>
            </w:tcBorders>
            <w:vAlign w:val="bottom"/>
          </w:tcPr>
          <w:p w:rsidR="00366974" w:rsidRPr="005D7324" w:rsidP="009E37AC">
            <w:pPr>
              <w:spacing w:after="60" w:line="240" w:lineRule="auto"/>
              <w:rPr>
                <w:rFonts w:ascii="Tahoma" w:eastAsia="Calibri" w:hAnsi="Tahoma" w:cs="Tahoma"/>
                <w:spacing w:val="-10"/>
                <w:sz w:val="36"/>
                <w:szCs w:val="36"/>
              </w:rPr>
            </w:pPr>
            <w:r w:rsidRPr="005D7324">
              <w:rPr>
                <w:rFonts w:ascii="Tahoma" w:eastAsia="Calibri" w:hAnsi="Tahoma" w:cs="Tahoma" w:hint="cs"/>
                <w:spacing w:val="-10"/>
                <w:sz w:val="26"/>
                <w:szCs w:val="26"/>
                <w:rtl/>
              </w:rPr>
              <w:t>כ-</w:t>
            </w:r>
            <w:r w:rsidRPr="005D7324">
              <w:rPr>
                <w:rFonts w:ascii="Tahoma" w:eastAsia="Calibri" w:hAnsi="Tahoma" w:cs="Tahoma" w:hint="cs"/>
                <w:spacing w:val="-10"/>
                <w:sz w:val="36"/>
                <w:szCs w:val="36"/>
                <w:rtl/>
              </w:rPr>
              <w:t xml:space="preserve">55 </w:t>
            </w:r>
            <w:r w:rsidRPr="005D7324">
              <w:rPr>
                <w:rFonts w:ascii="Tahoma" w:eastAsia="Calibri" w:hAnsi="Tahoma" w:cs="Tahoma" w:hint="cs"/>
                <w:spacing w:val="-10"/>
                <w:sz w:val="26"/>
                <w:szCs w:val="26"/>
                <w:rtl/>
              </w:rPr>
              <w:t>מיליון ש"ח</w:t>
            </w:r>
          </w:p>
        </w:tc>
        <w:tc>
          <w:tcPr>
            <w:tcW w:w="283" w:type="dxa"/>
            <w:vAlign w:val="bottom"/>
          </w:tcPr>
          <w:p w:rsidR="00366974" w:rsidRPr="005D7324" w:rsidP="009E37AC">
            <w:pPr>
              <w:spacing w:after="60" w:line="240" w:lineRule="auto"/>
              <w:rPr>
                <w:rFonts w:ascii="Tahoma" w:eastAsia="Calibri" w:hAnsi="Tahoma" w:cs="Tahoma"/>
                <w:spacing w:val="-10"/>
              </w:rPr>
            </w:pPr>
          </w:p>
        </w:tc>
        <w:tc>
          <w:tcPr>
            <w:tcW w:w="1837" w:type="dxa"/>
            <w:tcBorders>
              <w:bottom w:val="single" w:sz="12" w:space="0" w:color="000000"/>
            </w:tcBorders>
            <w:vAlign w:val="bottom"/>
          </w:tcPr>
          <w:p w:rsidR="00366974" w:rsidRPr="005D7324" w:rsidP="009E37AC">
            <w:pPr>
              <w:spacing w:after="60" w:line="240" w:lineRule="auto"/>
              <w:rPr>
                <w:rFonts w:ascii="Tahoma" w:eastAsia="Calibri" w:hAnsi="Tahoma" w:cs="Tahoma"/>
                <w:spacing w:val="-10"/>
                <w:sz w:val="36"/>
                <w:szCs w:val="36"/>
                <w:rtl/>
              </w:rPr>
            </w:pPr>
            <w:r w:rsidRPr="005D7324">
              <w:rPr>
                <w:rFonts w:ascii="Tahoma" w:eastAsia="Calibri" w:hAnsi="Tahoma" w:cs="Tahoma" w:hint="cs"/>
                <w:spacing w:val="-10"/>
                <w:sz w:val="26"/>
                <w:szCs w:val="26"/>
                <w:rtl/>
              </w:rPr>
              <w:t>כ-</w:t>
            </w:r>
            <w:r w:rsidRPr="005D7324">
              <w:rPr>
                <w:rFonts w:ascii="Tahoma" w:eastAsia="Calibri" w:hAnsi="Tahoma" w:cs="Tahoma" w:hint="cs"/>
                <w:spacing w:val="-10"/>
                <w:sz w:val="36"/>
                <w:szCs w:val="36"/>
                <w:rtl/>
              </w:rPr>
              <w:t xml:space="preserve">123 </w:t>
            </w:r>
            <w:r w:rsidRPr="005D7324">
              <w:rPr>
                <w:rFonts w:ascii="Tahoma" w:eastAsia="Calibri" w:hAnsi="Tahoma" w:cs="Tahoma" w:hint="cs"/>
                <w:spacing w:val="-10"/>
                <w:sz w:val="26"/>
                <w:szCs w:val="26"/>
                <w:rtl/>
              </w:rPr>
              <w:t>מיליון ש"ח</w:t>
            </w:r>
          </w:p>
        </w:tc>
      </w:tr>
      <w:tr w:rsidTr="003D708B">
        <w:tblPrEx>
          <w:tblW w:w="8926" w:type="dxa"/>
          <w:tblLook w:val="04A0"/>
        </w:tblPrEx>
        <w:trPr>
          <w:trHeight w:val="70"/>
        </w:trPr>
        <w:tc>
          <w:tcPr>
            <w:tcW w:w="8926" w:type="dxa"/>
            <w:gridSpan w:val="7"/>
            <w:tcBorders>
              <w:top w:val="single" w:sz="12" w:space="0" w:color="auto"/>
            </w:tcBorders>
          </w:tcPr>
          <w:p w:rsidR="00366974" w:rsidRPr="005D7324" w:rsidP="009E37AC">
            <w:pPr>
              <w:spacing w:line="288" w:lineRule="auto"/>
              <w:rPr>
                <w:rFonts w:ascii="Tahoma" w:eastAsia="Calibri" w:hAnsi="Tahoma" w:cs="Tahoma"/>
                <w:spacing w:val="-10"/>
                <w:sz w:val="6"/>
                <w:szCs w:val="6"/>
                <w:rtl/>
              </w:rPr>
            </w:pPr>
          </w:p>
        </w:tc>
      </w:tr>
      <w:tr w:rsidTr="003D708B">
        <w:tblPrEx>
          <w:tblW w:w="8926" w:type="dxa"/>
          <w:tblLook w:val="04A0"/>
        </w:tblPrEx>
        <w:trPr>
          <w:trHeight w:val="1153"/>
        </w:trPr>
        <w:tc>
          <w:tcPr>
            <w:tcW w:w="1983" w:type="dxa"/>
          </w:tcPr>
          <w:p w:rsidR="00366974" w:rsidRPr="005D7324" w:rsidP="009E37AC">
            <w:pPr>
              <w:spacing w:line="288" w:lineRule="auto"/>
              <w:ind w:right="23"/>
              <w:rPr>
                <w:rFonts w:ascii="Tahoma" w:eastAsia="Calibri" w:hAnsi="Tahoma" w:cs="Tahoma"/>
                <w:sz w:val="19"/>
                <w:szCs w:val="19"/>
                <w:rtl/>
              </w:rPr>
            </w:pPr>
            <w:r w:rsidRPr="005D7324">
              <w:rPr>
                <w:rFonts w:ascii="Tahoma" w:eastAsia="Calibri" w:hAnsi="Tahoma" w:cs="Tahoma" w:hint="cs"/>
                <w:sz w:val="19"/>
                <w:szCs w:val="19"/>
                <w:rtl/>
              </w:rPr>
              <w:t>סכום המענקים והשיפוי שהעניקו משרדי הפנים והגנת הסביבה בשנת 2024 (עד אוקטובר 2024) לכלל הרשויות בשלוש תקנות תקציביות</w:t>
            </w:r>
          </w:p>
        </w:tc>
        <w:tc>
          <w:tcPr>
            <w:tcW w:w="279" w:type="dxa"/>
          </w:tcPr>
          <w:p w:rsidR="00366974" w:rsidRPr="005D7324" w:rsidP="009E37AC">
            <w:pPr>
              <w:spacing w:line="288" w:lineRule="auto"/>
              <w:rPr>
                <w:rFonts w:ascii="Tahoma" w:eastAsia="Calibri" w:hAnsi="Tahoma" w:cs="Tahoma"/>
                <w:sz w:val="19"/>
                <w:szCs w:val="19"/>
                <w:rtl/>
              </w:rPr>
            </w:pPr>
          </w:p>
        </w:tc>
        <w:tc>
          <w:tcPr>
            <w:tcW w:w="2135" w:type="dxa"/>
          </w:tcPr>
          <w:p w:rsidR="00366974" w:rsidRPr="005D7324" w:rsidP="009E37AC">
            <w:pPr>
              <w:spacing w:line="288" w:lineRule="auto"/>
              <w:rPr>
                <w:rFonts w:ascii="Tahoma" w:eastAsia="Calibri" w:hAnsi="Tahoma" w:cs="Tahoma"/>
                <w:sz w:val="19"/>
                <w:szCs w:val="19"/>
                <w:rtl/>
              </w:rPr>
            </w:pPr>
            <w:r w:rsidRPr="005D7324">
              <w:rPr>
                <w:rFonts w:ascii="Tahoma" w:eastAsia="Calibri" w:hAnsi="Tahoma" w:cs="Tahoma"/>
                <w:sz w:val="19"/>
                <w:szCs w:val="19"/>
                <w:rtl/>
              </w:rPr>
              <w:t xml:space="preserve">אומדן ההוצאות של הרשויות </w:t>
            </w:r>
            <w:r w:rsidRPr="005D7324">
              <w:rPr>
                <w:rFonts w:ascii="Tahoma" w:eastAsia="Calibri" w:hAnsi="Tahoma" w:cs="Tahoma"/>
                <w:sz w:val="19"/>
                <w:szCs w:val="19"/>
                <w:rtl/>
              </w:rPr>
              <w:t>הקולטות, לפי דיווחיהן למשרד מבקר המדינה, בגין קליטת המפונים,</w:t>
            </w:r>
            <w:r w:rsidRPr="005D7324">
              <w:rPr>
                <w:rFonts w:ascii="Tahoma" w:eastAsia="Calibri" w:hAnsi="Tahoma" w:cs="Tahoma" w:hint="cs"/>
                <w:sz w:val="19"/>
                <w:szCs w:val="19"/>
                <w:rtl/>
              </w:rPr>
              <w:t xml:space="preserve"> בחודשים </w:t>
            </w:r>
            <w:r w:rsidRPr="005D7324">
              <w:rPr>
                <w:rFonts w:ascii="Tahoma" w:eastAsia="Calibri" w:hAnsi="Tahoma" w:cs="Tahoma"/>
                <w:sz w:val="19"/>
                <w:szCs w:val="19"/>
                <w:rtl/>
              </w:rPr>
              <w:t>אוקטובר-דצמבר 2023</w:t>
            </w:r>
          </w:p>
        </w:tc>
        <w:tc>
          <w:tcPr>
            <w:tcW w:w="279" w:type="dxa"/>
          </w:tcPr>
          <w:p w:rsidR="00366974" w:rsidRPr="005D7324" w:rsidP="009E37AC">
            <w:pPr>
              <w:spacing w:line="288" w:lineRule="auto"/>
              <w:rPr>
                <w:rFonts w:ascii="Tahoma" w:eastAsia="Calibri" w:hAnsi="Tahoma" w:cs="Tahoma"/>
                <w:sz w:val="19"/>
                <w:szCs w:val="19"/>
                <w:rtl/>
              </w:rPr>
            </w:pPr>
          </w:p>
        </w:tc>
        <w:tc>
          <w:tcPr>
            <w:tcW w:w="2130" w:type="dxa"/>
          </w:tcPr>
          <w:p w:rsidR="00366974" w:rsidRPr="005D7324" w:rsidP="009E37AC">
            <w:pPr>
              <w:spacing w:line="288" w:lineRule="auto"/>
              <w:ind w:right="23"/>
              <w:rPr>
                <w:rFonts w:ascii="Tahoma" w:eastAsia="Calibri" w:hAnsi="Tahoma" w:cs="Tahoma"/>
                <w:sz w:val="19"/>
                <w:szCs w:val="19"/>
                <w:rtl/>
              </w:rPr>
            </w:pPr>
            <w:r w:rsidRPr="005D7324">
              <w:rPr>
                <w:rFonts w:ascii="Tahoma" w:eastAsia="Calibri" w:hAnsi="Tahoma" w:cs="Tahoma" w:hint="cs"/>
                <w:sz w:val="19"/>
                <w:szCs w:val="19"/>
                <w:rtl/>
              </w:rPr>
              <w:t>הסכום המשוער של הפסדי שמונה רשויות מקומיות (</w:t>
            </w:r>
            <w:r w:rsidRPr="005D7324">
              <w:rPr>
                <w:rFonts w:ascii="Tahoma" w:eastAsia="Calibri" w:hAnsi="Tahoma" w:cs="Tahoma" w:hint="eastAsia"/>
                <w:b/>
                <w:bCs/>
                <w:sz w:val="19"/>
                <w:szCs w:val="19"/>
                <w:rtl/>
              </w:rPr>
              <w:t>אילת</w:t>
            </w:r>
            <w:r w:rsidRPr="005D7324">
              <w:rPr>
                <w:rFonts w:ascii="Tahoma" w:eastAsia="Calibri" w:hAnsi="Tahoma" w:cs="Tahoma"/>
                <w:b/>
                <w:bCs/>
                <w:sz w:val="19"/>
                <w:szCs w:val="19"/>
                <w:rtl/>
              </w:rPr>
              <w:t xml:space="preserve">, </w:t>
            </w:r>
            <w:r w:rsidRPr="005D7324">
              <w:rPr>
                <w:rFonts w:ascii="Tahoma" w:eastAsia="Calibri" w:hAnsi="Tahoma" w:cs="Tahoma" w:hint="eastAsia"/>
                <w:b/>
                <w:bCs/>
                <w:sz w:val="19"/>
                <w:szCs w:val="19"/>
                <w:rtl/>
              </w:rPr>
              <w:t>אשקלון</w:t>
            </w:r>
            <w:r w:rsidRPr="005D7324">
              <w:rPr>
                <w:rFonts w:ascii="Tahoma" w:eastAsia="Calibri" w:hAnsi="Tahoma" w:cs="Tahoma"/>
                <w:b/>
                <w:bCs/>
                <w:sz w:val="19"/>
                <w:szCs w:val="19"/>
                <w:rtl/>
              </w:rPr>
              <w:t xml:space="preserve">, </w:t>
            </w:r>
            <w:r w:rsidRPr="005D7324">
              <w:rPr>
                <w:rFonts w:ascii="Tahoma" w:eastAsia="Calibri" w:hAnsi="Tahoma" w:cs="Tahoma" w:hint="eastAsia"/>
                <w:b/>
                <w:bCs/>
                <w:sz w:val="19"/>
                <w:szCs w:val="19"/>
                <w:rtl/>
              </w:rPr>
              <w:t>הרצלייה</w:t>
            </w:r>
            <w:r w:rsidRPr="005D7324">
              <w:rPr>
                <w:rFonts w:ascii="Tahoma" w:eastAsia="Calibri" w:hAnsi="Tahoma" w:cs="Tahoma"/>
                <w:b/>
                <w:bCs/>
                <w:sz w:val="19"/>
                <w:szCs w:val="19"/>
                <w:rtl/>
              </w:rPr>
              <w:t xml:space="preserve">, </w:t>
            </w:r>
            <w:r w:rsidRPr="005D7324">
              <w:rPr>
                <w:rFonts w:ascii="Tahoma" w:eastAsia="Calibri" w:hAnsi="Tahoma" w:cs="Tahoma" w:hint="eastAsia"/>
                <w:b/>
                <w:bCs/>
                <w:sz w:val="19"/>
                <w:szCs w:val="19"/>
                <w:rtl/>
              </w:rPr>
              <w:t>טבריה</w:t>
            </w:r>
            <w:r w:rsidRPr="005D7324">
              <w:rPr>
                <w:rFonts w:ascii="Tahoma" w:eastAsia="Calibri" w:hAnsi="Tahoma" w:cs="Tahoma"/>
                <w:b/>
                <w:bCs/>
                <w:sz w:val="19"/>
                <w:szCs w:val="19"/>
                <w:rtl/>
              </w:rPr>
              <w:t xml:space="preserve">, </w:t>
            </w:r>
            <w:r w:rsidRPr="005D7324">
              <w:rPr>
                <w:rFonts w:ascii="Tahoma" w:eastAsia="Calibri" w:hAnsi="Tahoma" w:cs="Tahoma" w:hint="eastAsia"/>
                <w:b/>
                <w:bCs/>
                <w:sz w:val="19"/>
                <w:szCs w:val="19"/>
                <w:rtl/>
              </w:rPr>
              <w:t>רמת</w:t>
            </w:r>
            <w:r w:rsidRPr="005D7324">
              <w:rPr>
                <w:rFonts w:ascii="Tahoma" w:eastAsia="Calibri" w:hAnsi="Tahoma" w:cs="Tahoma"/>
                <w:b/>
                <w:bCs/>
                <w:sz w:val="19"/>
                <w:szCs w:val="19"/>
                <w:rtl/>
              </w:rPr>
              <w:t xml:space="preserve"> </w:t>
            </w:r>
            <w:r w:rsidRPr="005D7324">
              <w:rPr>
                <w:rFonts w:ascii="Tahoma" w:eastAsia="Calibri" w:hAnsi="Tahoma" w:cs="Tahoma" w:hint="eastAsia"/>
                <w:b/>
                <w:bCs/>
                <w:sz w:val="19"/>
                <w:szCs w:val="19"/>
                <w:rtl/>
              </w:rPr>
              <w:t>גן</w:t>
            </w:r>
            <w:r w:rsidRPr="005D7324">
              <w:rPr>
                <w:rFonts w:ascii="Tahoma" w:eastAsia="Calibri" w:hAnsi="Tahoma" w:cs="Tahoma"/>
                <w:b/>
                <w:bCs/>
                <w:sz w:val="19"/>
                <w:szCs w:val="19"/>
                <w:rtl/>
              </w:rPr>
              <w:t xml:space="preserve">, תל אביב-יפו, </w:t>
            </w:r>
            <w:r w:rsidRPr="005D7324">
              <w:rPr>
                <w:rFonts w:ascii="Tahoma" w:eastAsia="Calibri" w:hAnsi="Tahoma" w:cs="Tahoma" w:hint="eastAsia"/>
                <w:b/>
                <w:bCs/>
                <w:sz w:val="19"/>
                <w:szCs w:val="19"/>
                <w:rtl/>
              </w:rPr>
              <w:t>הגליל</w:t>
            </w:r>
            <w:r w:rsidRPr="005D7324">
              <w:rPr>
                <w:rFonts w:ascii="Tahoma" w:eastAsia="Calibri" w:hAnsi="Tahoma" w:cs="Tahoma"/>
                <w:b/>
                <w:bCs/>
                <w:sz w:val="19"/>
                <w:szCs w:val="19"/>
                <w:rtl/>
              </w:rPr>
              <w:t xml:space="preserve"> </w:t>
            </w:r>
            <w:r w:rsidRPr="005D7324">
              <w:rPr>
                <w:rFonts w:ascii="Tahoma" w:eastAsia="Calibri" w:hAnsi="Tahoma" w:cs="Tahoma" w:hint="eastAsia"/>
                <w:b/>
                <w:bCs/>
                <w:sz w:val="19"/>
                <w:szCs w:val="19"/>
                <w:rtl/>
              </w:rPr>
              <w:t>העליון</w:t>
            </w:r>
            <w:r w:rsidRPr="005D7324">
              <w:rPr>
                <w:rFonts w:ascii="Tahoma" w:eastAsia="Calibri" w:hAnsi="Tahoma" w:cs="Tahoma"/>
                <w:b/>
                <w:bCs/>
                <w:sz w:val="19"/>
                <w:szCs w:val="19"/>
                <w:rtl/>
              </w:rPr>
              <w:t xml:space="preserve"> </w:t>
            </w:r>
            <w:r w:rsidRPr="005D7324">
              <w:rPr>
                <w:rFonts w:ascii="Tahoma" w:eastAsia="Calibri" w:hAnsi="Tahoma" w:cs="Tahoma" w:hint="eastAsia"/>
                <w:b/>
                <w:bCs/>
                <w:sz w:val="19"/>
                <w:szCs w:val="19"/>
                <w:rtl/>
              </w:rPr>
              <w:t>ותמר</w:t>
            </w:r>
            <w:r w:rsidRPr="005D7324">
              <w:rPr>
                <w:rFonts w:ascii="Tahoma" w:eastAsia="Calibri" w:hAnsi="Tahoma" w:cs="Tahoma" w:hint="cs"/>
                <w:sz w:val="19"/>
                <w:szCs w:val="19"/>
                <w:rtl/>
              </w:rPr>
              <w:t xml:space="preserve">), לפי דיווחיהן למשרד מבקר המדינה בשלושת החודשים </w:t>
            </w:r>
            <w:r w:rsidRPr="005D7324">
              <w:rPr>
                <w:rFonts w:ascii="Tahoma" w:eastAsia="Calibri" w:hAnsi="Tahoma" w:cs="Tahoma" w:hint="cs"/>
                <w:sz w:val="19"/>
                <w:szCs w:val="19"/>
                <w:rtl/>
              </w:rPr>
              <w:t>הראשונים למלחמה</w:t>
            </w:r>
          </w:p>
        </w:tc>
        <w:tc>
          <w:tcPr>
            <w:tcW w:w="283" w:type="dxa"/>
          </w:tcPr>
          <w:p w:rsidR="00366974" w:rsidRPr="005D7324" w:rsidP="009E37AC">
            <w:pPr>
              <w:spacing w:line="288" w:lineRule="auto"/>
              <w:rPr>
                <w:rFonts w:ascii="Tahoma" w:eastAsia="Calibri" w:hAnsi="Tahoma" w:cs="Tahoma"/>
                <w:sz w:val="19"/>
                <w:szCs w:val="19"/>
                <w:rtl/>
              </w:rPr>
            </w:pPr>
          </w:p>
        </w:tc>
        <w:tc>
          <w:tcPr>
            <w:tcW w:w="1837" w:type="dxa"/>
          </w:tcPr>
          <w:p w:rsidR="00366974" w:rsidRPr="005D7324" w:rsidP="009E37AC">
            <w:pPr>
              <w:spacing w:line="288" w:lineRule="auto"/>
              <w:ind w:right="23"/>
              <w:rPr>
                <w:rFonts w:ascii="Tahoma" w:eastAsia="Calibri" w:hAnsi="Tahoma" w:cs="Tahoma"/>
                <w:sz w:val="19"/>
                <w:szCs w:val="19"/>
                <w:rtl/>
              </w:rPr>
            </w:pPr>
            <w:r w:rsidRPr="005D7324">
              <w:rPr>
                <w:rFonts w:ascii="Tahoma" w:eastAsia="Calibri" w:hAnsi="Tahoma" w:cs="Tahoma"/>
                <w:sz w:val="19"/>
                <w:szCs w:val="19"/>
                <w:rtl/>
              </w:rPr>
              <w:t>סכומים משוערים של אובדן הכנסות שנגרמו לתאגידים עירוניים בחלק מהרשויות המקומיות שנבדקו, לפי דיווחיהן למשרד מבקר המדינה, אוקטובר-דצמבר 2023</w:t>
            </w:r>
          </w:p>
        </w:tc>
      </w:tr>
    </w:tbl>
    <w:p w:rsidR="00AE4BB7" w:rsidP="003D708B"/>
    <w:tbl>
      <w:tblPr>
        <w:tblStyle w:val="TableGrid"/>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865"/>
      </w:tblGrid>
      <w:tr w:rsidTr="009E37AC">
        <w:tblPrEx>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495"/>
        </w:trPr>
        <w:tc>
          <w:tcPr>
            <w:tcW w:w="8865" w:type="dxa"/>
            <w:vAlign w:val="center"/>
          </w:tcPr>
          <w:p w:rsidR="00AE4BB7" w:rsidRPr="006C4033" w:rsidP="009E37AC">
            <w:pPr>
              <w:spacing w:line="288" w:lineRule="auto"/>
              <w:ind w:left="-1"/>
              <w:rPr>
                <w:rFonts w:ascii="Tahoma" w:hAnsi="Tahoma" w:cs="Tahoma"/>
                <w:sz w:val="17"/>
                <w:szCs w:val="17"/>
                <w:rtl/>
              </w:rPr>
            </w:pPr>
            <w:r w:rsidRPr="006C4033">
              <w:rPr>
                <w:rFonts w:ascii="Tahoma" w:hAnsi="Tahoma" w:cs="Tahoma"/>
                <w:noProof/>
              </w:rPr>
              <w:drawing>
                <wp:inline distT="0" distB="0" distL="0" distR="0">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366974" w:rsidRPr="00366974" w:rsidP="003D708B">
      <w:pPr>
        <w:pStyle w:val="73"/>
        <w:spacing w:after="120"/>
        <w:ind w:left="851"/>
        <w:rPr>
          <w:sz w:val="19"/>
          <w:szCs w:val="19"/>
          <w:rtl/>
        </w:rPr>
      </w:pPr>
      <w:r w:rsidRPr="00084768">
        <w:rPr>
          <w:noProof/>
          <w:sz w:val="19"/>
          <w:szCs w:val="19"/>
        </w:rPr>
        <w:drawing>
          <wp:anchor distT="0" distB="0" distL="71755" distR="71755" simplePos="0" relativeHeight="251658240" behindDoc="0" locked="0" layoutInCell="1" allowOverlap="1">
            <wp:simplePos x="0" y="0"/>
            <wp:positionH relativeFrom="column">
              <wp:posOffset>5271135</wp:posOffset>
            </wp:positionH>
            <wp:positionV relativeFrom="paragraph">
              <wp:posOffset>550650</wp:posOffset>
            </wp:positionV>
            <wp:extent cx="384175" cy="384175"/>
            <wp:effectExtent l="0" t="0" r="0" b="0"/>
            <wp:wrapSquare wrapText="bothSides"/>
            <wp:docPr id="25" name="תמונה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9"/>
          <w:szCs w:val="19"/>
          <w:rtl/>
        </w:rPr>
        <w:t>משרד</w:t>
      </w:r>
      <w:r w:rsidRPr="00084768">
        <w:rPr>
          <w:rFonts w:hint="cs"/>
          <w:sz w:val="19"/>
          <w:szCs w:val="19"/>
          <w:rtl/>
        </w:rPr>
        <w:t xml:space="preserve"> </w:t>
      </w:r>
      <w:r w:rsidRPr="00366974">
        <w:rPr>
          <w:sz w:val="19"/>
          <w:szCs w:val="19"/>
          <w:rtl/>
        </w:rPr>
        <w:t xml:space="preserve">מבקר המדינה בדק את המגמות של ההוצאות וההכנסות של הרשויות המקומיות בעקבות מלחמת חרבות ברזל </w:t>
      </w:r>
      <w:r w:rsidRPr="00366974">
        <w:rPr>
          <w:sz w:val="19"/>
          <w:szCs w:val="19"/>
          <w:rtl/>
        </w:rPr>
        <w:t>ב-13 רשויות מקומיות מפונות (עיריות אופקים, אשקלון, קריית שמונה ושדרות; המועצות המקומיות מטולה ושלומי; המועצות האזוריות אשכול, גליל עליון, חוף אשקלון, מבואות החרמון, מטה אשר, מעלה יוסף, מרום הגליל), ב-14 רשויות מקומיות קולטות (עיריות אילת, הרצלייה, חיפה, טב</w:t>
      </w:r>
      <w:r w:rsidRPr="00366974">
        <w:rPr>
          <w:sz w:val="19"/>
          <w:szCs w:val="19"/>
          <w:rtl/>
        </w:rPr>
        <w:t>ריה, ירושלים, נוף הגליל, נתניה, רמת גן ותל אביב-יפו; המועצה המקומית זיכרון יעקב; המועצות האזוריות חוף הכרמל, מטה יהודה, עמק הירדן ותמר), במשרדי הממשלה: משרד האוצר, משרד הפנים, משרד החינוך, משרד הרווחה, משרד הנגב, הגליל והחוסן הלאומי, משרד התרבות והספורט; ו</w:t>
      </w:r>
      <w:r w:rsidRPr="00366974">
        <w:rPr>
          <w:sz w:val="19"/>
          <w:szCs w:val="19"/>
          <w:rtl/>
        </w:rPr>
        <w:t>במרכז לשלטון מקומי. הביקורת עסקה בעיקר בחודשים אוקטובר-דצמבר 2023 ובתחילת שנת 2024.</w:t>
      </w:r>
    </w:p>
    <w:p w:rsidR="00AE4BB7" w:rsidRPr="00084768" w:rsidP="00366974">
      <w:pPr>
        <w:pStyle w:val="73"/>
        <w:ind w:left="851"/>
        <w:rPr>
          <w:sz w:val="19"/>
          <w:szCs w:val="19"/>
        </w:rPr>
      </w:pPr>
      <w:r w:rsidRPr="00366974">
        <w:rPr>
          <w:sz w:val="19"/>
          <w:szCs w:val="19"/>
          <w:rtl/>
        </w:rPr>
        <w:t>יצוין כי חלק מממצאי הביקורת שלהלן מתבססים על נתונים חלקיים בלבד. ההכנסות שהפסידו הרשויות המקומיות בגין המלחמה, כגון ארנונה ואגרות, חלקן נגבה בהמשך שנת 2024</w:t>
      </w:r>
      <w:r w:rsidR="000A39C5">
        <w:rPr>
          <w:rFonts w:hint="cs"/>
          <w:sz w:val="19"/>
          <w:szCs w:val="19"/>
          <w:rtl/>
        </w:rPr>
        <w:t>,</w:t>
      </w:r>
      <w:r w:rsidRPr="00366974">
        <w:rPr>
          <w:sz w:val="19"/>
          <w:szCs w:val="19"/>
          <w:rtl/>
        </w:rPr>
        <w:t xml:space="preserve"> ולכן נתוני הפסדי ההכנסות הם נתונים משוערים בלבד. אשר להוצאות הנוספות שהוטלו על הרשויות המקומיות בגין המלחמה, לעיתים הוצאות אלו לא נרשמו בספרי הנהלת החשבונות של הרשויות בסעיפים נפרדים אלא נכללו בסעיפי הוצאות רגילים, ולפיכך לא ניתן להפריד בין ההוצאות המיוחד</w:t>
      </w:r>
      <w:r w:rsidRPr="00366974">
        <w:rPr>
          <w:sz w:val="19"/>
          <w:szCs w:val="19"/>
          <w:rtl/>
        </w:rPr>
        <w:t>ות של הרשויות בגין המלחמה ובין שאר הוצאותיהן. בדומה לכך קשה להפריד בין ההעברות של משרדי הממשלה לרשויות המקומיות בגין המלחמה ובין שאר העברותיהם לרשויות, לפי שחלק ניכר מהסכומים הועברו באמצעות סעיפי תקציב רגילים ללא חלוקה בין כספי השתתפות רגילה לבין כספי השתת</w:t>
      </w:r>
      <w:r w:rsidRPr="00366974">
        <w:rPr>
          <w:sz w:val="19"/>
          <w:szCs w:val="19"/>
          <w:rtl/>
        </w:rPr>
        <w:t>פות בגין המלחמה.</w:t>
      </w:r>
    </w:p>
    <w:p w:rsidR="00AE4BB7" w:rsidRPr="006C4033" w:rsidP="00AE4BB7">
      <w:pPr>
        <w:spacing w:before="600" w:line="288" w:lineRule="auto"/>
        <w:ind w:left="-1"/>
        <w:rPr>
          <w:rFonts w:ascii="Tahoma" w:hAnsi="Tahoma" w:cs="Tahoma"/>
          <w:noProof/>
          <w:rtl/>
        </w:rPr>
      </w:pPr>
      <w:r w:rsidRPr="006C4033">
        <w:rPr>
          <w:rFonts w:ascii="Tahoma" w:hAnsi="Tahoma" w:cs="Tahoma"/>
          <w:noProof/>
        </w:rPr>
        <w:drawing>
          <wp:inline distT="0" distB="0" distL="0" distR="0">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rsidR="00AE4BB7" w:rsidRPr="00CF6518" w:rsidP="003D708B">
      <w:pPr>
        <w:spacing w:before="240" w:after="160"/>
        <w:rPr>
          <w:rtl/>
        </w:rPr>
      </w:pPr>
      <w:r>
        <w:rPr>
          <w:noProof/>
          <w:rtl/>
          <w:lang w:val="he-IL"/>
        </w:rPr>
        <w:drawing>
          <wp:inline distT="0" distB="0" distL="0" distR="0">
            <wp:extent cx="1981200" cy="190500"/>
            <wp:effectExtent l="0" t="0" r="0" b="0"/>
            <wp:docPr id="1310143038" name="תמונה 4" descr="ליקויים">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xmlns:a="http://schemas.openxmlformats.org/drawingml/2006/main" uri="{C183D7F6-B498-43B3-948B-1728B52AA6E4}">
                          <adec:decorative xmlns:adec="http://schemas.microsoft.com/office/drawing/2017/decorative" val="0"/>
                        </a:ext>
                      </a:extLst>
                    </pic:cNvPr>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6D779B" w:rsidRPr="00A61C84" w:rsidP="00B53544">
      <w:pPr>
        <w:pStyle w:val="73"/>
        <w:numPr>
          <w:ilvl w:val="0"/>
          <w:numId w:val="25"/>
        </w:numPr>
        <w:spacing w:after="180"/>
        <w:rPr>
          <w:b/>
          <w:sz w:val="19"/>
          <w:szCs w:val="19"/>
        </w:rPr>
      </w:pPr>
      <w:r w:rsidRPr="00A61C84">
        <w:rPr>
          <w:b/>
          <w:bCs/>
          <w:sz w:val="19"/>
          <w:szCs w:val="19"/>
          <w:rtl/>
        </w:rPr>
        <w:t>פטור לעסקים מארנונה</w:t>
      </w:r>
      <w:r w:rsidRPr="00A61C84">
        <w:rPr>
          <w:sz w:val="19"/>
          <w:szCs w:val="19"/>
          <w:rtl/>
        </w:rPr>
        <w:t xml:space="preserve"> </w:t>
      </w:r>
      <w:r w:rsidRPr="00BD0330">
        <w:rPr>
          <w:sz w:val="19"/>
          <w:szCs w:val="19"/>
          <w:rtl/>
        </w:rPr>
        <w:t>-</w:t>
      </w:r>
      <w:r w:rsidRPr="00A61C84">
        <w:rPr>
          <w:b/>
          <w:bCs/>
          <w:sz w:val="19"/>
          <w:szCs w:val="19"/>
          <w:rtl/>
        </w:rPr>
        <w:t xml:space="preserve"> </w:t>
      </w:r>
      <w:r w:rsidRPr="002C7A46">
        <w:rPr>
          <w:sz w:val="19"/>
          <w:szCs w:val="19"/>
          <w:rtl/>
        </w:rPr>
        <w:t>פיצוי מסוים ניתן לעסקים במסגרת מסלולי הפיצויים שנקבעו במסגרת חוק מס רכוש וקרן הפיצויים</w:t>
      </w:r>
      <w:r w:rsidRPr="002C7A46">
        <w:rPr>
          <w:rFonts w:hint="cs"/>
          <w:sz w:val="19"/>
          <w:szCs w:val="19"/>
          <w:rtl/>
        </w:rPr>
        <w:t>,</w:t>
      </w:r>
      <w:r w:rsidRPr="002C7A46">
        <w:rPr>
          <w:sz w:val="19"/>
          <w:szCs w:val="19"/>
          <w:rtl/>
        </w:rPr>
        <w:t xml:space="preserve"> שלא כבתקופת הקורונה</w:t>
      </w:r>
      <w:r w:rsidR="000A39C5">
        <w:rPr>
          <w:rFonts w:hint="cs"/>
          <w:sz w:val="19"/>
          <w:szCs w:val="19"/>
          <w:rtl/>
        </w:rPr>
        <w:t>,</w:t>
      </w:r>
      <w:r w:rsidRPr="002C7A46">
        <w:rPr>
          <w:sz w:val="19"/>
          <w:szCs w:val="19"/>
          <w:rtl/>
        </w:rPr>
        <w:t xml:space="preserve"> </w:t>
      </w:r>
      <w:r w:rsidR="000A39C5">
        <w:rPr>
          <w:rFonts w:hint="cs"/>
          <w:sz w:val="19"/>
          <w:szCs w:val="19"/>
          <w:rtl/>
        </w:rPr>
        <w:t>ש</w:t>
      </w:r>
      <w:r w:rsidRPr="002C7A46">
        <w:rPr>
          <w:sz w:val="19"/>
          <w:szCs w:val="19"/>
          <w:rtl/>
        </w:rPr>
        <w:t>בה ניתן הסיוע</w:t>
      </w:r>
      <w:r w:rsidRPr="00A61C84">
        <w:rPr>
          <w:sz w:val="19"/>
          <w:szCs w:val="19"/>
          <w:rtl/>
        </w:rPr>
        <w:t xml:space="preserve"> בדרך של הנחות </w:t>
      </w:r>
      <w:r>
        <w:rPr>
          <w:rFonts w:hint="cs"/>
          <w:sz w:val="19"/>
          <w:szCs w:val="19"/>
          <w:rtl/>
        </w:rPr>
        <w:t xml:space="preserve">בארנונה </w:t>
      </w:r>
      <w:r w:rsidRPr="00A61C84">
        <w:rPr>
          <w:sz w:val="19"/>
          <w:szCs w:val="19"/>
          <w:rtl/>
        </w:rPr>
        <w:t>בשיעור של 95% לעסקים שנפגעו במידה נכרת. זאת, אף שלעסקים בתחומי</w:t>
      </w:r>
      <w:r>
        <w:rPr>
          <w:rFonts w:hint="cs"/>
          <w:sz w:val="19"/>
          <w:szCs w:val="19"/>
          <w:rtl/>
        </w:rPr>
        <w:t xml:space="preserve"> הרשו</w:t>
      </w:r>
      <w:r>
        <w:rPr>
          <w:rFonts w:hint="cs"/>
          <w:sz w:val="19"/>
          <w:szCs w:val="19"/>
          <w:rtl/>
        </w:rPr>
        <w:t xml:space="preserve">יות המקומיות שפונו </w:t>
      </w:r>
      <w:r w:rsidRPr="00A61C84">
        <w:rPr>
          <w:sz w:val="19"/>
          <w:szCs w:val="19"/>
          <w:rtl/>
        </w:rPr>
        <w:t>לא היו כלל הכנסות בתקופות אלו.</w:t>
      </w:r>
      <w:r w:rsidRPr="00A61C84">
        <w:rPr>
          <w:b/>
          <w:bCs/>
          <w:sz w:val="19"/>
          <w:szCs w:val="19"/>
          <w:rtl/>
        </w:rPr>
        <w:t xml:space="preserve"> </w:t>
      </w:r>
    </w:p>
    <w:p w:rsidR="006D779B" w:rsidRPr="00A61C84" w:rsidP="00B53544">
      <w:pPr>
        <w:pStyle w:val="73"/>
        <w:numPr>
          <w:ilvl w:val="0"/>
          <w:numId w:val="25"/>
        </w:numPr>
        <w:spacing w:after="180"/>
        <w:rPr>
          <w:sz w:val="19"/>
          <w:szCs w:val="19"/>
          <w:rtl/>
        </w:rPr>
      </w:pPr>
      <w:r w:rsidRPr="00A61C84">
        <w:rPr>
          <w:b/>
          <w:bCs/>
          <w:sz w:val="19"/>
          <w:szCs w:val="19"/>
          <w:rtl/>
        </w:rPr>
        <w:t xml:space="preserve">ממשקי השלטון המקומי והשלטון המרכזי בחירום </w:t>
      </w:r>
      <w:r w:rsidRPr="00BD0330">
        <w:rPr>
          <w:sz w:val="19"/>
          <w:szCs w:val="19"/>
          <w:rtl/>
        </w:rPr>
        <w:t>-</w:t>
      </w:r>
      <w:r w:rsidRPr="00A61C84">
        <w:rPr>
          <w:b/>
          <w:bCs/>
          <w:sz w:val="19"/>
          <w:szCs w:val="19"/>
          <w:rtl/>
        </w:rPr>
        <w:t xml:space="preserve"> </w:t>
      </w:r>
      <w:r w:rsidRPr="00A61C84">
        <w:rPr>
          <w:sz w:val="19"/>
          <w:szCs w:val="19"/>
          <w:rtl/>
        </w:rPr>
        <w:t xml:space="preserve">נראה שלקחי הקורונה בעניין ממשקי השלטון המקומי והשלטון המרכזי, בייחוד בנוגע לשילוב נציגי הרשויות המקומיות בגיבוש המדיניות ולבחינת הרחבת העצמאות והגמישות הניהולית </w:t>
      </w:r>
      <w:r w:rsidRPr="00A61C84">
        <w:rPr>
          <w:sz w:val="19"/>
          <w:szCs w:val="19"/>
          <w:rtl/>
        </w:rPr>
        <w:t>לרשויות, בפרט בשעת חירום, לא הופנמו. כמו כן, המלצות הביקורת דאז לא יושמו בשעת החירום הנוכחית: מרכז השלטון המקומי פנה פעמים רבות לשרי האוצר והפנים בנוגע לנושאים תקציביים הנוגעים לרשויות המקומיות, לרבות קשיים בתזרימי מזומנים, הקדמת תשלומי מענקים, שחרור כספים</w:t>
      </w:r>
      <w:r w:rsidRPr="00A61C84">
        <w:rPr>
          <w:sz w:val="19"/>
          <w:szCs w:val="19"/>
          <w:rtl/>
        </w:rPr>
        <w:t xml:space="preserve"> מעוכבים במשרדי הממשלה </w:t>
      </w:r>
      <w:r>
        <w:rPr>
          <w:rFonts w:hint="cs"/>
          <w:sz w:val="19"/>
          <w:szCs w:val="19"/>
          <w:rtl/>
        </w:rPr>
        <w:t>ו</w:t>
      </w:r>
      <w:r w:rsidRPr="00A61C84">
        <w:rPr>
          <w:sz w:val="19"/>
          <w:szCs w:val="19"/>
          <w:rtl/>
        </w:rPr>
        <w:t xml:space="preserve">הקלות בבירוקרטיה. ביוני 2024, בחלוף כשמונה חודשים מתחילת המלחמה ולאחר פניות חוזרות ונשנות לגורמי ממשל שונים בעניין החסמים והקשיים של הרשויות המקומיות בשעת החירום הנוכחית, עדכן מרכז השלטון המקומי את משרד מבקר המדינה כי טרם קיבל ממשרדי הממשלה מענה תכליתי על </w:t>
      </w:r>
      <w:r w:rsidRPr="00A61C84">
        <w:rPr>
          <w:sz w:val="19"/>
          <w:szCs w:val="19"/>
          <w:rtl/>
        </w:rPr>
        <w:t xml:space="preserve">פניותיו. </w:t>
      </w:r>
    </w:p>
    <w:p w:rsidR="006D779B" w:rsidRPr="00A61C84" w:rsidP="00B53544">
      <w:pPr>
        <w:pStyle w:val="73"/>
        <w:numPr>
          <w:ilvl w:val="0"/>
          <w:numId w:val="25"/>
        </w:numPr>
        <w:spacing w:after="180"/>
        <w:rPr>
          <w:b/>
          <w:bCs/>
          <w:sz w:val="19"/>
          <w:szCs w:val="19"/>
          <w:rtl/>
        </w:rPr>
      </w:pPr>
      <w:r w:rsidRPr="00A61C84">
        <w:rPr>
          <w:b/>
          <w:bCs/>
          <w:sz w:val="19"/>
          <w:szCs w:val="19"/>
          <w:rtl/>
        </w:rPr>
        <w:t>הפסדי התאגידים העירוניים</w:t>
      </w:r>
      <w:r w:rsidRPr="00BD0330">
        <w:rPr>
          <w:sz w:val="19"/>
          <w:szCs w:val="19"/>
          <w:rtl/>
        </w:rPr>
        <w:t xml:space="preserve"> -</w:t>
      </w:r>
      <w:r w:rsidRPr="00A61C84">
        <w:rPr>
          <w:b/>
          <w:bCs/>
          <w:sz w:val="19"/>
          <w:szCs w:val="19"/>
          <w:rtl/>
        </w:rPr>
        <w:t xml:space="preserve"> </w:t>
      </w:r>
      <w:r w:rsidRPr="00A61C84">
        <w:rPr>
          <w:sz w:val="19"/>
          <w:szCs w:val="19"/>
          <w:rtl/>
        </w:rPr>
        <w:t xml:space="preserve">לתאגידים העירוניים בעיריות </w:t>
      </w:r>
      <w:r w:rsidRPr="002C7A46">
        <w:rPr>
          <w:b/>
          <w:bCs/>
          <w:sz w:val="19"/>
          <w:szCs w:val="19"/>
          <w:rtl/>
        </w:rPr>
        <w:t>אילת, הרצלייה, חיפה, רמת גן ותל אביב-יפו</w:t>
      </w:r>
      <w:r w:rsidRPr="00A61C84">
        <w:rPr>
          <w:sz w:val="19"/>
          <w:szCs w:val="19"/>
          <w:rtl/>
        </w:rPr>
        <w:t xml:space="preserve"> ובמועצות האזוריות </w:t>
      </w:r>
      <w:r w:rsidRPr="002C7A46">
        <w:rPr>
          <w:b/>
          <w:bCs/>
          <w:sz w:val="19"/>
          <w:szCs w:val="19"/>
          <w:rtl/>
        </w:rPr>
        <w:t>מרום הגליל ותמר</w:t>
      </w:r>
      <w:r w:rsidRPr="00A61C84">
        <w:rPr>
          <w:sz w:val="19"/>
          <w:szCs w:val="19"/>
          <w:rtl/>
        </w:rPr>
        <w:t xml:space="preserve"> נגרם בשלושת החודשים הראשונים למלחמה, לפי דיווחיהן, אובדן הכנסות בסך כ-123 מיליון ש"ח, בלא שקיבלו שיפוי ייעודי על כך.</w:t>
      </w:r>
    </w:p>
    <w:p w:rsidR="006D779B" w:rsidRPr="00A61C84" w:rsidP="00B53544">
      <w:pPr>
        <w:pStyle w:val="73"/>
        <w:numPr>
          <w:ilvl w:val="0"/>
          <w:numId w:val="25"/>
        </w:numPr>
        <w:spacing w:after="180"/>
        <w:rPr>
          <w:sz w:val="19"/>
          <w:szCs w:val="19"/>
          <w:rtl/>
        </w:rPr>
      </w:pPr>
      <w:r w:rsidRPr="00A61C84">
        <w:rPr>
          <w:b/>
          <w:bCs/>
          <w:sz w:val="19"/>
          <w:szCs w:val="19"/>
          <w:rtl/>
        </w:rPr>
        <w:t>סיכום ההשפעות הכלכליות של מלחמת חרבות ברזל</w:t>
      </w:r>
      <w:r>
        <w:rPr>
          <w:b/>
          <w:bCs/>
          <w:sz w:val="19"/>
          <w:szCs w:val="19"/>
          <w:rtl/>
        </w:rPr>
        <w:t xml:space="preserve"> </w:t>
      </w:r>
      <w:r w:rsidRPr="00BD0330">
        <w:rPr>
          <w:sz w:val="19"/>
          <w:szCs w:val="19"/>
          <w:rtl/>
        </w:rPr>
        <w:t>-</w:t>
      </w:r>
      <w:r w:rsidRPr="00A61C84">
        <w:rPr>
          <w:b/>
          <w:bCs/>
          <w:sz w:val="19"/>
          <w:szCs w:val="19"/>
          <w:rtl/>
        </w:rPr>
        <w:t xml:space="preserve"> </w:t>
      </w:r>
      <w:r w:rsidRPr="00A61C84">
        <w:rPr>
          <w:sz w:val="19"/>
          <w:szCs w:val="19"/>
          <w:rtl/>
        </w:rPr>
        <w:t>נמצא כי נכון לסוף אוקטובר 2024, משרד הפנים טרם סיכם את ההשפעות הכלכליות של מלחמת חרבות ברזל על הפעילות הכלכלית של הרשויות המקומיות, כפי שדווחו על ידי הרשויות המקומיות בדוחות הכספיים המבוקרים לשנת 2023, וממילא לא</w:t>
      </w:r>
      <w:r w:rsidRPr="00A61C84">
        <w:rPr>
          <w:sz w:val="19"/>
          <w:szCs w:val="19"/>
          <w:rtl/>
        </w:rPr>
        <w:t xml:space="preserve"> הציג השפעות אלה למנכ"ל המשרד או לכל גורם בכיר אחר.</w:t>
      </w:r>
    </w:p>
    <w:p w:rsidR="006D779B" w:rsidRPr="007F7DF3" w:rsidP="003D708B">
      <w:pPr>
        <w:pStyle w:val="73"/>
        <w:numPr>
          <w:ilvl w:val="0"/>
          <w:numId w:val="25"/>
        </w:numPr>
        <w:spacing w:after="160"/>
        <w:rPr>
          <w:sz w:val="19"/>
          <w:szCs w:val="19"/>
          <w:rtl/>
        </w:rPr>
      </w:pPr>
      <w:r w:rsidRPr="007F7DF3">
        <w:rPr>
          <w:b/>
          <w:bCs/>
          <w:sz w:val="19"/>
          <w:szCs w:val="19"/>
          <w:rtl/>
        </w:rPr>
        <w:t>מועד העברת הש</w:t>
      </w:r>
      <w:r w:rsidRPr="000F57EE">
        <w:rPr>
          <w:b/>
          <w:bCs/>
          <w:sz w:val="19"/>
          <w:szCs w:val="19"/>
          <w:rtl/>
        </w:rPr>
        <w:t>יפ</w:t>
      </w:r>
      <w:r w:rsidRPr="007F7DF3">
        <w:rPr>
          <w:b/>
          <w:bCs/>
          <w:sz w:val="19"/>
          <w:szCs w:val="19"/>
          <w:rtl/>
        </w:rPr>
        <w:t xml:space="preserve">וי והסיוע השוטף לרשויות המקומיות </w:t>
      </w:r>
      <w:r w:rsidRPr="00BD0330">
        <w:rPr>
          <w:sz w:val="19"/>
          <w:szCs w:val="19"/>
          <w:rtl/>
        </w:rPr>
        <w:t>-</w:t>
      </w:r>
      <w:r w:rsidRPr="007F7DF3">
        <w:rPr>
          <w:b/>
          <w:bCs/>
          <w:sz w:val="19"/>
          <w:szCs w:val="19"/>
          <w:rtl/>
        </w:rPr>
        <w:t xml:space="preserve"> </w:t>
      </w:r>
      <w:r w:rsidRPr="007F7DF3">
        <w:rPr>
          <w:sz w:val="19"/>
          <w:szCs w:val="19"/>
          <w:rtl/>
        </w:rPr>
        <w:t>כ-123</w:t>
      </w:r>
      <w:r>
        <w:rPr>
          <w:sz w:val="19"/>
          <w:szCs w:val="19"/>
          <w:rtl/>
        </w:rPr>
        <w:t xml:space="preserve"> </w:t>
      </w:r>
      <w:r>
        <w:rPr>
          <w:rFonts w:hint="cs"/>
          <w:sz w:val="19"/>
          <w:szCs w:val="19"/>
          <w:rtl/>
        </w:rPr>
        <w:t xml:space="preserve">מיליון ש"ח </w:t>
      </w:r>
      <w:r w:rsidRPr="007F7DF3">
        <w:rPr>
          <w:sz w:val="19"/>
          <w:szCs w:val="19"/>
          <w:rtl/>
        </w:rPr>
        <w:t xml:space="preserve">שהעבירו משרדי הממשלה בשלושת החודשים הראשונים למלחמה </w:t>
      </w:r>
      <w:r w:rsidRPr="000F57EE">
        <w:rPr>
          <w:sz w:val="19"/>
          <w:szCs w:val="19"/>
          <w:rtl/>
        </w:rPr>
        <w:t xml:space="preserve">לשיפוי הרשויות המקומיות בגין המלחמה הועברו באיחור, בדצמבר 2023, </w:t>
      </w:r>
      <w:r w:rsidRPr="007F7DF3">
        <w:rPr>
          <w:sz w:val="19"/>
          <w:szCs w:val="19"/>
          <w:rtl/>
        </w:rPr>
        <w:t>ועקב כך הרשויות המקומ</w:t>
      </w:r>
      <w:r w:rsidRPr="007F7DF3">
        <w:rPr>
          <w:sz w:val="19"/>
          <w:szCs w:val="19"/>
          <w:rtl/>
        </w:rPr>
        <w:t>יות, ובייחוד אלו שמצבן הכספי קשה, נאלצו לצמצם את פעילותן השגרתית השוטפת באותה תקופה. כמו כן, לא הייתה בקרב הרשויות המקומיות ודאות</w:t>
      </w:r>
      <w:r>
        <w:rPr>
          <w:sz w:val="19"/>
          <w:szCs w:val="19"/>
          <w:rtl/>
        </w:rPr>
        <w:t xml:space="preserve"> </w:t>
      </w:r>
      <w:r w:rsidRPr="007F7DF3">
        <w:rPr>
          <w:sz w:val="19"/>
          <w:szCs w:val="19"/>
          <w:rtl/>
        </w:rPr>
        <w:t xml:space="preserve">הן בנוגע לסכומן של ההעברות הכספיות שיקבלו והן לגבי מועדן. לדוגמה, השיפוי בסך 36 מיליון ש"ח בגין </w:t>
      </w:r>
      <w:r w:rsidRPr="007F7DF3">
        <w:rPr>
          <w:sz w:val="19"/>
          <w:szCs w:val="19"/>
          <w:rtl/>
        </w:rPr>
        <w:t>אובדן הכנסות בהתאם להחלטת הממש</w:t>
      </w:r>
      <w:r w:rsidRPr="007F7DF3">
        <w:rPr>
          <w:sz w:val="19"/>
          <w:szCs w:val="19"/>
          <w:rtl/>
        </w:rPr>
        <w:t xml:space="preserve">לה 1051 מתחילת נובמבר </w:t>
      </w:r>
      <w:r>
        <w:rPr>
          <w:rFonts w:hint="cs"/>
          <w:sz w:val="19"/>
          <w:szCs w:val="19"/>
          <w:rtl/>
        </w:rPr>
        <w:t>2023</w:t>
      </w:r>
      <w:r w:rsidRPr="007F7DF3">
        <w:rPr>
          <w:sz w:val="19"/>
          <w:szCs w:val="19"/>
          <w:rtl/>
        </w:rPr>
        <w:t xml:space="preserve"> הועבר לרשויות שבהן עוסקת ההחלטה רק בסוף דצמבר 2023. כמו כן, רק בדצמבר 2023 העביר משרד החינוך ל-175 רשויות מקומיות מכל רחבי המדינה סך של כ-53 מיליון ש"ח - שיפוי בגין הוצאות ייחודיות שנגרמו לרשויות מפאת המלחמה. </w:t>
      </w:r>
      <w:r w:rsidRPr="007F7DF3">
        <w:rPr>
          <w:rFonts w:hint="cs"/>
          <w:sz w:val="19"/>
          <w:szCs w:val="19"/>
          <w:rtl/>
        </w:rPr>
        <w:t>כן נמצא כי</w:t>
      </w:r>
      <w:r w:rsidRPr="007F7DF3">
        <w:rPr>
          <w:sz w:val="19"/>
          <w:szCs w:val="19"/>
          <w:rtl/>
        </w:rPr>
        <w:t xml:space="preserve"> ה</w:t>
      </w:r>
      <w:r w:rsidRPr="000F57EE">
        <w:rPr>
          <w:sz w:val="19"/>
          <w:szCs w:val="19"/>
          <w:rtl/>
        </w:rPr>
        <w:t>סיוע ה</w:t>
      </w:r>
      <w:r w:rsidRPr="007F7DF3">
        <w:rPr>
          <w:sz w:val="19"/>
          <w:szCs w:val="19"/>
          <w:rtl/>
        </w:rPr>
        <w:t>שו</w:t>
      </w:r>
      <w:r w:rsidRPr="007F7DF3">
        <w:rPr>
          <w:sz w:val="19"/>
          <w:szCs w:val="19"/>
          <w:rtl/>
        </w:rPr>
        <w:t>טף לרשויות הצפון מכוח החלטת הממשלה 1786 התעכב. נמצא כי עברו כחודשיים וחצי ממועד ההחלטה המקורי בסוף מאי 2024 עד להעברת 140 מיליון ש"ח לרשויות המקומיות שבהן עוסקת ההחלטה.</w:t>
      </w:r>
    </w:p>
    <w:p w:rsidR="006D779B" w:rsidRPr="00A61C84" w:rsidP="003D708B">
      <w:pPr>
        <w:pStyle w:val="73"/>
        <w:numPr>
          <w:ilvl w:val="0"/>
          <w:numId w:val="25"/>
        </w:numPr>
        <w:spacing w:after="160"/>
        <w:rPr>
          <w:sz w:val="19"/>
          <w:szCs w:val="19"/>
        </w:rPr>
      </w:pPr>
      <w:r w:rsidRPr="00A61C84">
        <w:rPr>
          <w:b/>
          <w:bCs/>
          <w:sz w:val="19"/>
          <w:szCs w:val="19"/>
          <w:rtl/>
        </w:rPr>
        <w:t xml:space="preserve">מנגנון סיוע כלכלי בחירום </w:t>
      </w:r>
      <w:r w:rsidRPr="00BD0330">
        <w:rPr>
          <w:sz w:val="19"/>
          <w:szCs w:val="19"/>
          <w:rtl/>
        </w:rPr>
        <w:t>-</w:t>
      </w:r>
      <w:r w:rsidRPr="00A61C84">
        <w:rPr>
          <w:b/>
          <w:bCs/>
          <w:sz w:val="19"/>
          <w:szCs w:val="19"/>
          <w:rtl/>
        </w:rPr>
        <w:t xml:space="preserve"> </w:t>
      </w:r>
      <w:r w:rsidRPr="00A61C84">
        <w:rPr>
          <w:sz w:val="19"/>
          <w:szCs w:val="19"/>
          <w:rtl/>
        </w:rPr>
        <w:t xml:space="preserve">למשרדי האוצר והפנים לא היה מודל מוכן מראש של מנגנון העברת </w:t>
      </w:r>
      <w:r w:rsidRPr="00A61C84">
        <w:rPr>
          <w:sz w:val="19"/>
          <w:szCs w:val="19"/>
          <w:rtl/>
        </w:rPr>
        <w:t>כספים לגורמים השונים, לרבות לרשויות מקומיות, במקרי חירום כגון מלחמת חרבות ברזל, ואף לא היה למשרדים אלה מנגנון לעדכון הרשויות על אשר מגיע להן.</w:t>
      </w:r>
      <w:r w:rsidRPr="00A61C84">
        <w:rPr>
          <w:b/>
          <w:bCs/>
          <w:sz w:val="19"/>
          <w:szCs w:val="19"/>
          <w:rtl/>
        </w:rPr>
        <w:t xml:space="preserve"> </w:t>
      </w:r>
      <w:r w:rsidRPr="00A61C84">
        <w:rPr>
          <w:sz w:val="19"/>
          <w:szCs w:val="19"/>
          <w:rtl/>
        </w:rPr>
        <w:t>עקב כך רשויות מקומיות לא ידעו אילו סכומים יקבלו ומתי יקבלו אותם, וגם לא הייתה להן גמישות תקציבית מיידית, שתאפשר לה</w:t>
      </w:r>
      <w:r w:rsidRPr="00A61C84">
        <w:rPr>
          <w:sz w:val="19"/>
          <w:szCs w:val="19"/>
          <w:rtl/>
        </w:rPr>
        <w:t>ן ניצול כספים מתוך הקרנות שלהן, ללא קבלת אישורו של משרד הפנים,</w:t>
      </w:r>
      <w:r>
        <w:rPr>
          <w:sz w:val="19"/>
          <w:szCs w:val="19"/>
          <w:rtl/>
        </w:rPr>
        <w:t xml:space="preserve"> </w:t>
      </w:r>
      <w:r w:rsidRPr="00A61C84">
        <w:rPr>
          <w:sz w:val="19"/>
          <w:szCs w:val="19"/>
          <w:rtl/>
        </w:rPr>
        <w:t>והדבר השפיע על הפעילות הנדרשת מהן בתקופת המלחמה.</w:t>
      </w:r>
    </w:p>
    <w:p w:rsidR="006D779B" w:rsidRPr="00A61C84" w:rsidP="003D708B">
      <w:pPr>
        <w:pStyle w:val="73"/>
        <w:numPr>
          <w:ilvl w:val="0"/>
          <w:numId w:val="25"/>
        </w:numPr>
        <w:spacing w:after="160"/>
        <w:rPr>
          <w:sz w:val="19"/>
          <w:szCs w:val="19"/>
          <w:rtl/>
        </w:rPr>
      </w:pPr>
      <w:r w:rsidRPr="00A61C84">
        <w:rPr>
          <w:b/>
          <w:bCs/>
          <w:sz w:val="19"/>
          <w:szCs w:val="19"/>
          <w:rtl/>
        </w:rPr>
        <w:t>מענק לרשויות הקולטות בסך 5 ש"ח ליום עבור כל מפונה</w:t>
      </w:r>
      <w:r>
        <w:rPr>
          <w:b/>
          <w:bCs/>
          <w:sz w:val="19"/>
          <w:szCs w:val="19"/>
          <w:rtl/>
        </w:rPr>
        <w:t xml:space="preserve"> </w:t>
      </w:r>
      <w:r w:rsidRPr="00BD0330">
        <w:rPr>
          <w:sz w:val="19"/>
          <w:szCs w:val="19"/>
          <w:rtl/>
        </w:rPr>
        <w:t>-</w:t>
      </w:r>
      <w:r w:rsidRPr="00A61C84">
        <w:rPr>
          <w:b/>
          <w:bCs/>
          <w:sz w:val="19"/>
          <w:szCs w:val="19"/>
          <w:rtl/>
        </w:rPr>
        <w:t xml:space="preserve"> </w:t>
      </w:r>
      <w:r w:rsidRPr="00A61C84">
        <w:rPr>
          <w:sz w:val="19"/>
          <w:szCs w:val="19"/>
          <w:rtl/>
        </w:rPr>
        <w:t>נמצא כי המענק בסך 5 ש"ח שניתן לרשויות המקומיות הקולטות על ידי משרד הפנים, סכום שנקבע לאחר הי</w:t>
      </w:r>
      <w:r w:rsidRPr="00A61C84">
        <w:rPr>
          <w:sz w:val="19"/>
          <w:szCs w:val="19"/>
          <w:rtl/>
        </w:rPr>
        <w:t>דברות בין המשרד לבין מרכז השלטון המקומי בסמוך לפרוץ המלחמה, לא נבחן שנית בהמשך גם לאחר שהתברר לרשויות המקומיות ולמרכז השלטון המקומי שאינו סביר ואינו מכסה את כלל הוצאות הרשויות. יצוין כי משרדי האוצר והפנים העבירו לרשויות המקומיות תקציבים אחרים במסלולים ייעו</w:t>
      </w:r>
      <w:r w:rsidRPr="00A61C84">
        <w:rPr>
          <w:sz w:val="19"/>
          <w:szCs w:val="19"/>
          <w:rtl/>
        </w:rPr>
        <w:t>דיים.</w:t>
      </w:r>
    </w:p>
    <w:p w:rsidR="006D779B" w:rsidRPr="00A61C84" w:rsidP="003D708B">
      <w:pPr>
        <w:pStyle w:val="73"/>
        <w:numPr>
          <w:ilvl w:val="0"/>
          <w:numId w:val="25"/>
        </w:numPr>
        <w:spacing w:after="160"/>
        <w:rPr>
          <w:sz w:val="19"/>
          <w:szCs w:val="19"/>
          <w:rtl/>
        </w:rPr>
      </w:pPr>
      <w:r w:rsidRPr="00A61C84">
        <w:rPr>
          <w:b/>
          <w:bCs/>
          <w:sz w:val="19"/>
          <w:szCs w:val="19"/>
          <w:rtl/>
        </w:rPr>
        <w:t xml:space="preserve">מידע על זכאות לשיפוי </w:t>
      </w:r>
      <w:r w:rsidRPr="00BD0330">
        <w:rPr>
          <w:sz w:val="19"/>
          <w:szCs w:val="19"/>
          <w:rtl/>
        </w:rPr>
        <w:t>-</w:t>
      </w:r>
      <w:r w:rsidRPr="00A61C84">
        <w:rPr>
          <w:b/>
          <w:bCs/>
          <w:sz w:val="19"/>
          <w:szCs w:val="19"/>
          <w:rtl/>
        </w:rPr>
        <w:t xml:space="preserve"> </w:t>
      </w:r>
      <w:r w:rsidRPr="00A61C84">
        <w:rPr>
          <w:sz w:val="19"/>
          <w:szCs w:val="19"/>
          <w:rtl/>
        </w:rPr>
        <w:t xml:space="preserve">בדרג משרדי הממשלה לא היה גורם מתכלל שהביא במרוכז לידיעת הרשויות המקומיות את דבר זכאותן לשיפוי באמצעות מענקים והשתתפויות של משרדי הממשלה בגין הגידול בהוצאותיהן והקיטון בהכנסותיהן בעקבות המלחמה. </w:t>
      </w:r>
    </w:p>
    <w:p w:rsidR="006D779B" w:rsidRPr="006D779B" w:rsidP="006D779B">
      <w:pPr>
        <w:pStyle w:val="73"/>
        <w:numPr>
          <w:ilvl w:val="0"/>
          <w:numId w:val="25"/>
        </w:numPr>
        <w:rPr>
          <w:sz w:val="19"/>
          <w:szCs w:val="19"/>
          <w:rtl/>
        </w:rPr>
      </w:pPr>
      <w:r w:rsidRPr="006D779B">
        <w:rPr>
          <w:b/>
          <w:bCs/>
          <w:sz w:val="19"/>
          <w:szCs w:val="19"/>
          <w:rtl/>
        </w:rPr>
        <w:t>גיוס תרומות על ידי רשויות מקומיות</w:t>
      </w:r>
      <w:r w:rsidRPr="006D779B">
        <w:rPr>
          <w:b/>
          <w:bCs/>
          <w:sz w:val="19"/>
          <w:szCs w:val="19"/>
          <w:rtl/>
        </w:rPr>
        <w:t xml:space="preserve"> בחירום </w:t>
      </w:r>
      <w:r w:rsidRPr="006D779B">
        <w:rPr>
          <w:sz w:val="19"/>
          <w:szCs w:val="19"/>
          <w:rtl/>
        </w:rPr>
        <w:t xml:space="preserve">- בחודשים הראשונים של המלחמה קיבלו שבע רשויות קולטות ומפונות שנבדקו תרומות בסך כ-22 מיליון ש"ח מאנשים פרטיים ומגופים ציבוריים. עם זאת, משרד הפנים לא עדכן את הנוהל בעניין גיוס תרומות על ידי רשויות מקומיות בתקופת חירום, בדומה למה שקבע אגף החשב הכללי </w:t>
      </w:r>
      <w:r w:rsidRPr="006D779B">
        <w:rPr>
          <w:sz w:val="19"/>
          <w:szCs w:val="19"/>
          <w:rtl/>
        </w:rPr>
        <w:t>שבמשרד האוצר בנוגע לקבלת תרומות על ידי משרדי הממשלה בתקופת החירום.</w:t>
      </w:r>
    </w:p>
    <w:p w:rsidR="00AE4BB7" w:rsidRPr="000B463F" w:rsidP="003D708B">
      <w:pPr>
        <w:spacing w:before="240" w:after="160"/>
      </w:pPr>
      <w:r>
        <w:rPr>
          <w:noProof/>
        </w:rPr>
        <w:drawing>
          <wp:inline distT="0" distB="0" distL="0" distR="0">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6D779B" w:rsidRPr="0023497D" w:rsidP="009E37AC">
      <w:pPr>
        <w:pStyle w:val="73"/>
        <w:rPr>
          <w:rFonts w:eastAsia="Calibri"/>
          <w:sz w:val="19"/>
          <w:szCs w:val="19"/>
          <w:rtl/>
        </w:rPr>
      </w:pPr>
      <w:r w:rsidRPr="0023497D">
        <w:rPr>
          <w:rFonts w:eastAsia="Calibri"/>
          <w:sz w:val="19"/>
          <w:szCs w:val="19"/>
          <w:rtl/>
        </w:rPr>
        <w:t xml:space="preserve">משרד מבקר המדינה מציין לחיוב את </w:t>
      </w:r>
      <w:r>
        <w:rPr>
          <w:rFonts w:hint="cs"/>
          <w:sz w:val="19"/>
          <w:szCs w:val="19"/>
          <w:rtl/>
        </w:rPr>
        <w:t>ה</w:t>
      </w:r>
      <w:r w:rsidRPr="0023497D">
        <w:rPr>
          <w:sz w:val="19"/>
          <w:szCs w:val="19"/>
          <w:rtl/>
        </w:rPr>
        <w:t>התגייסות</w:t>
      </w:r>
      <w:r w:rsidRPr="0023497D">
        <w:rPr>
          <w:rFonts w:eastAsia="Calibri"/>
          <w:sz w:val="19"/>
          <w:szCs w:val="19"/>
          <w:rtl/>
        </w:rPr>
        <w:t xml:space="preserve"> המיידית של הרשויות המקומיות הקולטות לקליטת המפונים ולטיפול בהם ואת הירתמותן לכך, וזאת על אף המעמסה התקציבית וההוצאות הנוספות שנגרמו להן בעקבות הק</w:t>
      </w:r>
      <w:r w:rsidRPr="0023497D">
        <w:rPr>
          <w:rFonts w:eastAsia="Calibri"/>
          <w:sz w:val="19"/>
          <w:szCs w:val="19"/>
          <w:rtl/>
        </w:rPr>
        <w:t>ליטה.</w:t>
      </w:r>
    </w:p>
    <w:p w:rsidR="006D779B" w:rsidRPr="0023497D" w:rsidP="006D779B">
      <w:pPr>
        <w:pStyle w:val="73"/>
        <w:rPr>
          <w:rFonts w:eastAsia="Calibri"/>
          <w:sz w:val="19"/>
          <w:szCs w:val="19"/>
          <w:rtl/>
        </w:rPr>
      </w:pPr>
      <w:bookmarkStart w:id="2" w:name="_Hlk182838500"/>
      <w:r w:rsidRPr="0023497D">
        <w:rPr>
          <w:rFonts w:eastAsia="Calibri"/>
          <w:sz w:val="19"/>
          <w:szCs w:val="19"/>
          <w:rtl/>
        </w:rPr>
        <w:t>משרד מבקר המדינה מציין לחיוב את התגייסות משרד הנגב, הגליל והחוסן הלאומי להעברה המיידית של הכספים לרשויות המקומיות לטובת המפונים.</w:t>
      </w:r>
      <w:bookmarkEnd w:id="2"/>
    </w:p>
    <w:tbl>
      <w:tblPr>
        <w:tblStyle w:val="TableGrid"/>
        <w:tblpPr w:leftFromText="180" w:rightFromText="180" w:vertAnchor="text" w:tblpXSpec="center" w:tblpY="1"/>
        <w:tblOverlap w:val="never"/>
        <w:bidiVisual/>
        <w:tblW w:w="9074" w:type="dxa"/>
        <w:tblLayout w:type="fixed"/>
        <w:tblLook w:val="04A0"/>
      </w:tblPr>
      <w:tblGrid>
        <w:gridCol w:w="9074"/>
      </w:tblGrid>
      <w:tr w:rsidTr="003F2E19">
        <w:tblPrEx>
          <w:tblW w:w="9074" w:type="dxa"/>
          <w:tblLayout w:type="fixed"/>
          <w:tblLook w:val="04A0"/>
        </w:tblPrEx>
        <w:trPr>
          <w:trHeight w:val="851"/>
        </w:trPr>
        <w:tc>
          <w:tcPr>
            <w:tcW w:w="9074" w:type="dxa"/>
            <w:tcBorders>
              <w:top w:val="nil"/>
              <w:left w:val="nil"/>
              <w:bottom w:val="nil"/>
              <w:right w:val="nil"/>
            </w:tcBorders>
          </w:tcPr>
          <w:p w:rsidR="00AE4BB7" w:rsidRPr="00F66FC8" w:rsidP="009E37AC">
            <w:pPr>
              <w:spacing w:before="240" w:after="180" w:line="288" w:lineRule="auto"/>
              <w:rPr>
                <w:rFonts w:ascii="Tahoma" w:hAnsi="Tahoma" w:cs="Tahoma"/>
                <w:sz w:val="19"/>
                <w:szCs w:val="19"/>
                <w:rtl/>
              </w:rPr>
            </w:pPr>
            <w:r w:rsidRPr="00F66FC8">
              <w:rPr>
                <w:rFonts w:ascii="Tahoma" w:hAnsi="Tahoma" w:cs="Tahoma"/>
                <w:noProof/>
                <w:sz w:val="19"/>
                <w:szCs w:val="19"/>
                <w:rtl/>
              </w:rPr>
              <w:drawing>
                <wp:inline distT="0" distB="0" distL="0" distR="0">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Tr="003F2E19">
        <w:tblPrEx>
          <w:tblW w:w="9074" w:type="dxa"/>
          <w:tblLayout w:type="fixed"/>
          <w:tblLook w:val="04A0"/>
        </w:tblPrEx>
        <w:trPr>
          <w:trHeight w:val="2156"/>
        </w:trPr>
        <w:tc>
          <w:tcPr>
            <w:tcW w:w="9074" w:type="dxa"/>
            <w:tcBorders>
              <w:top w:val="nil"/>
              <w:left w:val="nil"/>
              <w:bottom w:val="nil"/>
              <w:right w:val="nil"/>
            </w:tcBorders>
            <w:shd w:val="clear" w:color="auto" w:fill="F1F5F9"/>
          </w:tcPr>
          <w:p w:rsidR="006D779B" w:rsidRPr="00C44DB6" w:rsidP="003F2E19">
            <w:pPr>
              <w:pStyle w:val="ListParagraph"/>
              <w:numPr>
                <w:ilvl w:val="0"/>
                <w:numId w:val="12"/>
              </w:numPr>
              <w:spacing w:before="160" w:after="200" w:line="288" w:lineRule="auto"/>
              <w:ind w:left="516" w:right="176" w:hanging="516"/>
              <w:contextualSpacing w:val="0"/>
              <w:rPr>
                <w:rFonts w:ascii="Tahoma" w:hAnsi="Tahoma" w:cs="Tahoma"/>
                <w:sz w:val="19"/>
                <w:szCs w:val="19"/>
              </w:rPr>
            </w:pPr>
            <w:r w:rsidRPr="00C44DB6">
              <w:rPr>
                <w:rFonts w:ascii="Tahoma" w:hAnsi="Tahoma" w:cs="Tahoma"/>
                <w:sz w:val="19"/>
                <w:szCs w:val="19"/>
                <w:rtl/>
              </w:rPr>
              <w:t>מומלץ למשרד הפנים ולמשרד האוצר ליצור, כבר בתחילת אירועי חירום, ודאות תקציבית בקרב רשויות מקומיות השוכנות באזורי עימות,</w:t>
            </w:r>
            <w:r w:rsidRPr="00C44DB6">
              <w:rPr>
                <w:rFonts w:ascii="Tahoma" w:hAnsi="Tahoma" w:cs="Tahoma"/>
                <w:sz w:val="19"/>
                <w:szCs w:val="19"/>
                <w:rtl/>
              </w:rPr>
              <w:t xml:space="preserve"> כך שיתייתר הצורך להעביר החלטות ממשלה על בסיס עיתי וכדי לאפשר לרשויות לפעול תוך ודאות תקציבית ומזעור פערי תזרים.</w:t>
            </w:r>
          </w:p>
          <w:p w:rsidR="006D779B" w:rsidRPr="00C44DB6" w:rsidP="003F2E19">
            <w:pPr>
              <w:pStyle w:val="ListParagraph"/>
              <w:numPr>
                <w:ilvl w:val="0"/>
                <w:numId w:val="12"/>
              </w:numPr>
              <w:spacing w:before="120" w:after="200" w:line="288" w:lineRule="auto"/>
              <w:ind w:left="516" w:right="176" w:hanging="516"/>
              <w:contextualSpacing w:val="0"/>
              <w:rPr>
                <w:rFonts w:ascii="Tahoma" w:hAnsi="Tahoma" w:cs="Tahoma"/>
                <w:sz w:val="19"/>
                <w:szCs w:val="19"/>
              </w:rPr>
            </w:pPr>
            <w:r w:rsidRPr="00C44DB6">
              <w:rPr>
                <w:rFonts w:ascii="Tahoma" w:hAnsi="Tahoma" w:cs="Tahoma"/>
                <w:sz w:val="19"/>
                <w:szCs w:val="19"/>
                <w:rtl/>
              </w:rPr>
              <w:t>מומלץ כי משרד הפנים ומשרד האוצר יבחנו למול הרשויות המקומיות בקווי העימות, אלו שפונו ואלו שלא הוחלט על פינוין, את סוגיית המשך גביית הארנונה מעסק</w:t>
            </w:r>
            <w:r w:rsidRPr="00C44DB6">
              <w:rPr>
                <w:rFonts w:ascii="Tahoma" w:hAnsi="Tahoma" w:cs="Tahoma"/>
                <w:sz w:val="19"/>
                <w:szCs w:val="19"/>
                <w:rtl/>
              </w:rPr>
              <w:t>ים בתחום שיפוטן, את הצורך בהתאמת מודל השיפוי לעסקים ואת המענקים לרשויות המקומיות בקווי העימות בגין שיפוי ההכנסות מארנונה לעסקים.</w:t>
            </w:r>
          </w:p>
          <w:p w:rsidR="006D779B" w:rsidRPr="00C44DB6" w:rsidP="003F2E19">
            <w:pPr>
              <w:pStyle w:val="ListParagraph"/>
              <w:numPr>
                <w:ilvl w:val="0"/>
                <w:numId w:val="12"/>
              </w:numPr>
              <w:spacing w:before="120" w:after="200" w:line="288" w:lineRule="auto"/>
              <w:ind w:left="516" w:right="176" w:hanging="516"/>
              <w:contextualSpacing w:val="0"/>
              <w:rPr>
                <w:rFonts w:ascii="Tahoma" w:hAnsi="Tahoma" w:cs="Tahoma"/>
                <w:sz w:val="19"/>
                <w:szCs w:val="19"/>
              </w:rPr>
            </w:pPr>
            <w:r w:rsidRPr="00C44DB6">
              <w:rPr>
                <w:rFonts w:ascii="Tahoma" w:hAnsi="Tahoma" w:cs="Tahoma"/>
                <w:sz w:val="19"/>
                <w:szCs w:val="19"/>
                <w:rtl/>
              </w:rPr>
              <w:t>מומלץ למשרד הפנים לעקוב אחר הפערים בהכנסות הרשויות המקומיות, בפרט רשויות מפונות קטנות, ולבחון מודל מתאים לתמיכה בהן לשם המשך פע</w:t>
            </w:r>
            <w:r w:rsidRPr="00C44DB6">
              <w:rPr>
                <w:rFonts w:ascii="Tahoma" w:hAnsi="Tahoma" w:cs="Tahoma"/>
                <w:sz w:val="19"/>
                <w:szCs w:val="19"/>
                <w:rtl/>
              </w:rPr>
              <w:t>ילותן התקינה ומניעת הידרדרותן הכלכלית.</w:t>
            </w:r>
          </w:p>
          <w:p w:rsidR="006D779B" w:rsidRPr="00C44DB6" w:rsidP="003F2E19">
            <w:pPr>
              <w:pStyle w:val="ListParagraph"/>
              <w:numPr>
                <w:ilvl w:val="0"/>
                <w:numId w:val="12"/>
              </w:numPr>
              <w:spacing w:before="120" w:after="200" w:line="288" w:lineRule="auto"/>
              <w:ind w:left="516" w:right="176" w:hanging="516"/>
              <w:contextualSpacing w:val="0"/>
              <w:rPr>
                <w:rFonts w:ascii="Tahoma" w:hAnsi="Tahoma" w:cs="Tahoma"/>
                <w:sz w:val="19"/>
                <w:szCs w:val="19"/>
              </w:rPr>
            </w:pPr>
            <w:r w:rsidRPr="00C44DB6">
              <w:rPr>
                <w:rFonts w:ascii="Tahoma" w:hAnsi="Tahoma" w:cs="Tahoma"/>
                <w:sz w:val="19"/>
                <w:szCs w:val="19"/>
                <w:rtl/>
              </w:rPr>
              <w:t>מצופה כי במצב חירום מתמשך - ולנוכח הצורך להקל את פעילותן של הרשויות הקולטות שנדרשות לנהל את החזית האזרחית של הלחימה - יבוזרו הסמכויות המוחזקות בידי הרשות המרכזית ותו</w:t>
            </w:r>
            <w:r w:rsidR="00FD4712">
              <w:rPr>
                <w:rFonts w:ascii="Tahoma" w:hAnsi="Tahoma" w:cs="Tahoma" w:hint="cs"/>
                <w:sz w:val="19"/>
                <w:szCs w:val="19"/>
                <w:rtl/>
              </w:rPr>
              <w:t>ּ</w:t>
            </w:r>
            <w:r w:rsidRPr="00C44DB6">
              <w:rPr>
                <w:rFonts w:ascii="Tahoma" w:hAnsi="Tahoma" w:cs="Tahoma"/>
                <w:sz w:val="19"/>
                <w:szCs w:val="19"/>
                <w:rtl/>
              </w:rPr>
              <w:t>פ</w:t>
            </w:r>
            <w:r w:rsidR="00FD4712">
              <w:rPr>
                <w:rFonts w:ascii="Tahoma" w:hAnsi="Tahoma" w:cs="Tahoma" w:hint="cs"/>
                <w:sz w:val="19"/>
                <w:szCs w:val="19"/>
                <w:rtl/>
              </w:rPr>
              <w:t>ְ</w:t>
            </w:r>
            <w:r w:rsidRPr="00C44DB6">
              <w:rPr>
                <w:rFonts w:ascii="Tahoma" w:hAnsi="Tahoma" w:cs="Tahoma"/>
                <w:sz w:val="19"/>
                <w:szCs w:val="19"/>
                <w:rtl/>
              </w:rPr>
              <w:t>חת האסדרה העודפת לצד אסדרת מנגנוני פיקוח ובקרה מת</w:t>
            </w:r>
            <w:r w:rsidRPr="00C44DB6">
              <w:rPr>
                <w:rFonts w:ascii="Tahoma" w:hAnsi="Tahoma" w:cs="Tahoma"/>
                <w:sz w:val="19"/>
                <w:szCs w:val="19"/>
                <w:rtl/>
              </w:rPr>
              <w:t>אימים. במסגרת זאת יש לתת את הדעת על ההיערכות לעת חירום ועל ניהול תחום זה ברמה המקומית, מתוך שיתוף של גופי ההצלה המקומיים, ארגוני החברה האזרחית והקהילה וכן גופים פרטיים. על משרד הפנים, בשיתוף משרדי הממשלה הרלוונטיים ובתיאום עם מרכז השלטון המקומי, לבחון מנגנ</w:t>
            </w:r>
            <w:r w:rsidRPr="00C44DB6">
              <w:rPr>
                <w:rFonts w:ascii="Tahoma" w:hAnsi="Tahoma" w:cs="Tahoma"/>
                <w:sz w:val="19"/>
                <w:szCs w:val="19"/>
                <w:rtl/>
              </w:rPr>
              <w:t>ון שיאפשר גמישות ניהולית לרשויות המקומיות בעיתות חירום ולפעול להטמיעו בשעת חירום.</w:t>
            </w:r>
          </w:p>
          <w:p w:rsidR="006D779B" w:rsidRPr="00C44DB6" w:rsidP="003F2E19">
            <w:pPr>
              <w:pStyle w:val="ListParagraph"/>
              <w:numPr>
                <w:ilvl w:val="0"/>
                <w:numId w:val="12"/>
              </w:numPr>
              <w:spacing w:before="120" w:after="200" w:line="288" w:lineRule="auto"/>
              <w:ind w:left="516" w:right="176" w:hanging="516"/>
              <w:contextualSpacing w:val="0"/>
              <w:rPr>
                <w:rFonts w:ascii="Tahoma" w:hAnsi="Tahoma" w:cs="Tahoma"/>
                <w:sz w:val="19"/>
                <w:szCs w:val="19"/>
              </w:rPr>
            </w:pPr>
            <w:r w:rsidRPr="00C44DB6">
              <w:rPr>
                <w:rFonts w:ascii="Tahoma" w:hAnsi="Tahoma" w:cs="Tahoma"/>
                <w:sz w:val="19"/>
                <w:szCs w:val="19"/>
                <w:rtl/>
              </w:rPr>
              <w:t>מומלץ למשרדי האוצר והפנים כי במסגרת השיפוי שמעבירים משרדי הממשלה לרשויות המקומיות יובא בחשבון גם אובדן ההכנסות של התאגידים העירוניים.</w:t>
            </w:r>
          </w:p>
          <w:p w:rsidR="006D779B" w:rsidRPr="00C44DB6" w:rsidP="003F2E19">
            <w:pPr>
              <w:pStyle w:val="ListParagraph"/>
              <w:numPr>
                <w:ilvl w:val="0"/>
                <w:numId w:val="12"/>
              </w:numPr>
              <w:spacing w:before="120" w:after="200" w:line="288" w:lineRule="auto"/>
              <w:ind w:left="516" w:right="176" w:hanging="516"/>
              <w:contextualSpacing w:val="0"/>
              <w:rPr>
                <w:rFonts w:ascii="Tahoma" w:hAnsi="Tahoma" w:cs="Tahoma"/>
                <w:sz w:val="19"/>
                <w:szCs w:val="19"/>
              </w:rPr>
            </w:pPr>
            <w:r w:rsidRPr="00C44DB6">
              <w:rPr>
                <w:rFonts w:ascii="Tahoma" w:hAnsi="Tahoma" w:cs="Tahoma"/>
                <w:sz w:val="19"/>
                <w:szCs w:val="19"/>
                <w:rtl/>
              </w:rPr>
              <w:t>מומלץ כי משרד הפנים יבצע סיכום של השפעות</w:t>
            </w:r>
            <w:r w:rsidRPr="00C44DB6">
              <w:rPr>
                <w:rFonts w:ascii="Tahoma" w:hAnsi="Tahoma" w:cs="Tahoma"/>
                <w:sz w:val="19"/>
                <w:szCs w:val="19"/>
                <w:rtl/>
              </w:rPr>
              <w:t xml:space="preserve"> המלחמה על מצבן הכלכלי של הרשויות המקומיות, בייחוד הקולטות והמפונות, ויציג את התוצאות למקבלי ההחלטות במשרד כדי לבחון ולהתאים את תוכניות הסיוע שלו לרשויות. </w:t>
            </w:r>
          </w:p>
          <w:p w:rsidR="003F2E19" w:rsidRPr="003F2E19" w:rsidP="003F2E19">
            <w:pPr>
              <w:pStyle w:val="ListParagraph"/>
              <w:numPr>
                <w:ilvl w:val="0"/>
                <w:numId w:val="12"/>
              </w:numPr>
              <w:spacing w:before="120" w:after="200" w:line="288" w:lineRule="auto"/>
              <w:ind w:left="516" w:right="176" w:hanging="516"/>
              <w:contextualSpacing w:val="0"/>
              <w:rPr>
                <w:rFonts w:ascii="Tahoma" w:hAnsi="Tahoma" w:cs="Tahoma"/>
                <w:sz w:val="2"/>
                <w:szCs w:val="2"/>
              </w:rPr>
            </w:pPr>
            <w:r w:rsidRPr="008850C5">
              <w:rPr>
                <w:rFonts w:ascii="Tahoma" w:hAnsi="Tahoma" w:cs="Tahoma"/>
                <w:b/>
                <w:bCs/>
                <w:sz w:val="19"/>
                <w:szCs w:val="19"/>
                <w:rtl/>
              </w:rPr>
              <w:t>מענק בסך 5 ש"ח</w:t>
            </w:r>
            <w:r w:rsidRPr="003F2E19">
              <w:rPr>
                <w:rFonts w:ascii="Tahoma" w:hAnsi="Tahoma" w:cs="Tahoma"/>
                <w:sz w:val="19"/>
                <w:szCs w:val="19"/>
                <w:rtl/>
              </w:rPr>
              <w:t xml:space="preserve"> - ברגע שהתב</w:t>
            </w:r>
            <w:r w:rsidR="008850C5">
              <w:rPr>
                <w:rFonts w:ascii="Tahoma" w:hAnsi="Tahoma" w:cs="Tahoma" w:hint="cs"/>
                <w:sz w:val="19"/>
                <w:szCs w:val="19"/>
                <w:rtl/>
              </w:rPr>
              <w:t>ר</w:t>
            </w:r>
            <w:r w:rsidRPr="003F2E19">
              <w:rPr>
                <w:rFonts w:ascii="Tahoma" w:hAnsi="Tahoma" w:cs="Tahoma"/>
                <w:sz w:val="19"/>
                <w:szCs w:val="19"/>
                <w:rtl/>
              </w:rPr>
              <w:t>ר שהסכום שנקבע אינו סביר בשל התמשכות הלחימה, היה על משרדי הפנים ומרכז השל</w:t>
            </w:r>
            <w:r w:rsidRPr="003F2E19">
              <w:rPr>
                <w:rFonts w:ascii="Tahoma" w:hAnsi="Tahoma" w:cs="Tahoma"/>
                <w:sz w:val="19"/>
                <w:szCs w:val="19"/>
                <w:rtl/>
              </w:rPr>
              <w:t>טון המקומי לבחון מחדש את הסכום שנקבע ולהתאימו למציאות של מלחמה מתמשכת והוצאות הולכות וגדלות. היה מקום כי עם כל הגדלה של תקציב הסיוע משרדי</w:t>
            </w:r>
            <w:r w:rsidRPr="003F2E19">
              <w:rPr>
                <w:rFonts w:ascii="Tahoma" w:hAnsi="Tahoma" w:cs="Tahoma" w:hint="cs"/>
                <w:sz w:val="19"/>
                <w:szCs w:val="19"/>
                <w:rtl/>
              </w:rPr>
              <w:t xml:space="preserve"> </w:t>
            </w:r>
            <w:r w:rsidRPr="003F2E19" w:rsidR="00C44DB6">
              <w:rPr>
                <w:rFonts w:ascii="Tahoma" w:hAnsi="Tahoma" w:cs="Tahoma"/>
                <w:sz w:val="19"/>
                <w:szCs w:val="19"/>
                <w:rtl/>
              </w:rPr>
              <w:br/>
            </w:r>
            <w:r w:rsidRPr="003F2E19">
              <w:rPr>
                <w:rFonts w:ascii="Tahoma" w:hAnsi="Tahoma" w:cs="Tahoma"/>
                <w:sz w:val="19"/>
                <w:szCs w:val="19"/>
                <w:rtl/>
              </w:rPr>
              <w:t xml:space="preserve">הממשלה, ובהם משרד הפנים, יבחנו בשיתוף מרכז השלטון המקומי את מודל הסיוע הבסיסי ויוודאו </w:t>
            </w:r>
            <w:r w:rsidRPr="003F2E19">
              <w:rPr>
                <w:rFonts w:ascii="Tahoma" w:hAnsi="Tahoma" w:cs="Tahoma"/>
                <w:sz w:val="19"/>
                <w:szCs w:val="19"/>
                <w:rtl/>
              </w:rPr>
              <w:br/>
            </w:r>
          </w:p>
          <w:p w:rsidR="006D779B" w:rsidRPr="003F2E19" w:rsidP="003F2E19">
            <w:pPr>
              <w:pStyle w:val="ListParagraph"/>
              <w:spacing w:before="120" w:after="200" w:line="288" w:lineRule="auto"/>
              <w:ind w:left="516" w:right="176"/>
              <w:contextualSpacing w:val="0"/>
              <w:rPr>
                <w:rFonts w:ascii="Tahoma" w:hAnsi="Tahoma" w:cs="Tahoma"/>
                <w:sz w:val="19"/>
                <w:szCs w:val="19"/>
              </w:rPr>
            </w:pPr>
            <w:r w:rsidRPr="003F2E19">
              <w:rPr>
                <w:rFonts w:ascii="Tahoma" w:hAnsi="Tahoma" w:cs="Tahoma"/>
                <w:sz w:val="15"/>
                <w:szCs w:val="15"/>
                <w:rtl/>
              </w:rPr>
              <w:br/>
            </w:r>
            <w:r w:rsidRPr="003F2E19">
              <w:rPr>
                <w:rFonts w:ascii="Tahoma" w:hAnsi="Tahoma" w:cs="Tahoma"/>
                <w:sz w:val="19"/>
                <w:szCs w:val="19"/>
                <w:rtl/>
              </w:rPr>
              <w:t xml:space="preserve">את התאמתו למצב בפועל בהתחשב </w:t>
            </w:r>
            <w:r w:rsidRPr="003F2E19">
              <w:rPr>
                <w:rFonts w:ascii="Tahoma" w:hAnsi="Tahoma" w:cs="Tahoma"/>
                <w:sz w:val="19"/>
                <w:szCs w:val="19"/>
                <w:rtl/>
              </w:rPr>
              <w:t>גם בהבדלים בין הרשויות הקולטות</w:t>
            </w:r>
            <w:r w:rsidR="008850C5">
              <w:rPr>
                <w:rFonts w:ascii="Tahoma" w:hAnsi="Tahoma" w:cs="Tahoma" w:hint="cs"/>
                <w:sz w:val="19"/>
                <w:szCs w:val="19"/>
                <w:rtl/>
              </w:rPr>
              <w:t xml:space="preserve"> -</w:t>
            </w:r>
            <w:r w:rsidRPr="003F2E19">
              <w:rPr>
                <w:rFonts w:ascii="Tahoma" w:hAnsi="Tahoma" w:cs="Tahoma"/>
                <w:sz w:val="19"/>
                <w:szCs w:val="19"/>
                <w:rtl/>
              </w:rPr>
              <w:t xml:space="preserve"> זאת בעיקר לעניין היחס בין הוצאותיהן לכלל מקורות המימון שעומדים לרשותן, לרבות סיוע ממשלתי אחר שהוענק להן</w:t>
            </w:r>
            <w:r w:rsidR="008850C5">
              <w:rPr>
                <w:rFonts w:ascii="Tahoma" w:hAnsi="Tahoma" w:cs="Tahoma" w:hint="cs"/>
                <w:sz w:val="19"/>
                <w:szCs w:val="19"/>
                <w:rtl/>
              </w:rPr>
              <w:t>,</w:t>
            </w:r>
            <w:r w:rsidRPr="003F2E19">
              <w:rPr>
                <w:rFonts w:ascii="Tahoma" w:hAnsi="Tahoma" w:cs="Tahoma"/>
                <w:sz w:val="19"/>
                <w:szCs w:val="19"/>
                <w:rtl/>
              </w:rPr>
              <w:t xml:space="preserve"> ו</w:t>
            </w:r>
            <w:r w:rsidR="008850C5">
              <w:rPr>
                <w:rFonts w:ascii="Tahoma" w:hAnsi="Tahoma" w:cs="Tahoma" w:hint="cs"/>
                <w:sz w:val="19"/>
                <w:szCs w:val="19"/>
                <w:rtl/>
              </w:rPr>
              <w:t xml:space="preserve">לעניין </w:t>
            </w:r>
            <w:r w:rsidRPr="003F2E19">
              <w:rPr>
                <w:rFonts w:ascii="Tahoma" w:hAnsi="Tahoma" w:cs="Tahoma"/>
                <w:sz w:val="19"/>
                <w:szCs w:val="19"/>
                <w:rtl/>
              </w:rPr>
              <w:t>קיומם של צרכים החורגים משירותים מוניציפליים בסיסיים</w:t>
            </w:r>
            <w:r w:rsidR="008850C5">
              <w:rPr>
                <w:rFonts w:ascii="Tahoma" w:hAnsi="Tahoma" w:cs="Tahoma" w:hint="cs"/>
                <w:sz w:val="19"/>
                <w:szCs w:val="19"/>
                <w:rtl/>
              </w:rPr>
              <w:t xml:space="preserve"> -</w:t>
            </w:r>
            <w:r w:rsidRPr="003F2E19">
              <w:rPr>
                <w:rFonts w:ascii="Tahoma" w:hAnsi="Tahoma" w:cs="Tahoma"/>
                <w:sz w:val="19"/>
                <w:szCs w:val="19"/>
                <w:rtl/>
              </w:rPr>
              <w:t xml:space="preserve"> ובמידת הצורך יפעלו מול הממשלה להגדלת תקציב הסיוע. </w:t>
            </w:r>
          </w:p>
          <w:p w:rsidR="006D779B" w:rsidRPr="00C44DB6" w:rsidP="003F2E19">
            <w:pPr>
              <w:pStyle w:val="ListParagraph"/>
              <w:numPr>
                <w:ilvl w:val="0"/>
                <w:numId w:val="12"/>
              </w:numPr>
              <w:spacing w:before="120" w:after="200" w:line="288" w:lineRule="auto"/>
              <w:ind w:left="516" w:right="176" w:hanging="516"/>
              <w:contextualSpacing w:val="0"/>
              <w:rPr>
                <w:rFonts w:ascii="Tahoma" w:hAnsi="Tahoma" w:cs="Tahoma"/>
                <w:sz w:val="19"/>
                <w:szCs w:val="19"/>
              </w:rPr>
            </w:pPr>
            <w:r w:rsidRPr="00C44DB6">
              <w:rPr>
                <w:rFonts w:ascii="Tahoma" w:hAnsi="Tahoma" w:cs="Tahoma"/>
                <w:sz w:val="19"/>
                <w:szCs w:val="19"/>
                <w:rtl/>
              </w:rPr>
              <w:t>מומלץ</w:t>
            </w:r>
            <w:r w:rsidRPr="00C44DB6">
              <w:rPr>
                <w:rFonts w:ascii="Tahoma" w:hAnsi="Tahoma" w:cs="Tahoma"/>
                <w:sz w:val="19"/>
                <w:szCs w:val="19"/>
                <w:rtl/>
              </w:rPr>
              <w:t xml:space="preserve"> למשרד החינוך להיערך מבעוד מועד למצבי חירום בדרך שתיצור ודאות תקציבית בקרב הרשויות המקומיות עם פרוץ מצב החירום, לשם ביצוע הפעולות הנדרשות לנוכח מצב החירום. הדבר נכון בייחוד ברשויות קטנות, במעמד חברתי כלכי נמוך, וחסרות עורף כלכלי ועודפי מזומנים. רשויות אלה </w:t>
            </w:r>
            <w:r w:rsidRPr="00C44DB6">
              <w:rPr>
                <w:rFonts w:ascii="Tahoma" w:hAnsi="Tahoma" w:cs="Tahoma"/>
                <w:sz w:val="19"/>
                <w:szCs w:val="19"/>
                <w:rtl/>
              </w:rPr>
              <w:t>עלולות להתקשות במתן השירותים הנדרשים עם פרוץ מצב חירום.</w:t>
            </w:r>
          </w:p>
          <w:p w:rsidR="00AE4BB7" w:rsidRPr="00C44DB6" w:rsidP="003F2E19">
            <w:pPr>
              <w:pStyle w:val="ListParagraph"/>
              <w:numPr>
                <w:ilvl w:val="0"/>
                <w:numId w:val="12"/>
              </w:numPr>
              <w:spacing w:before="120" w:after="200" w:line="288" w:lineRule="auto"/>
              <w:ind w:left="516" w:right="176" w:hanging="516"/>
              <w:contextualSpacing w:val="0"/>
              <w:rPr>
                <w:rFonts w:ascii="Tahoma" w:hAnsi="Tahoma" w:cs="Tahoma"/>
                <w:rtl/>
              </w:rPr>
            </w:pPr>
            <w:r w:rsidRPr="00C44DB6">
              <w:rPr>
                <w:rFonts w:ascii="Tahoma" w:hAnsi="Tahoma" w:cs="Tahoma"/>
                <w:sz w:val="19"/>
                <w:szCs w:val="19"/>
                <w:rtl/>
              </w:rPr>
              <w:t>מומלץ למשרד הפנים להעמיד מקור מידע מרוכז שבו יפרסמו משרדי הממשלה את המידע על זכאותן של הרשויות המקומיות (המפונות והקולטות) לקבל תקציבים (באמצעות קולות קוראים או בדרכים אחרות) בגין הטיפול במפונים.</w:t>
            </w:r>
          </w:p>
        </w:tc>
      </w:tr>
    </w:tbl>
    <w:p w:rsidR="00AE4BB7" w:rsidRPr="00DA3406" w:rsidP="00AE4BB7">
      <w:pPr>
        <w:bidi w:val="0"/>
        <w:spacing w:after="160" w:line="259" w:lineRule="auto"/>
        <w:ind w:left="-1"/>
        <w:jc w:val="left"/>
        <w:rPr>
          <w:sz w:val="2"/>
          <w:szCs w:val="2"/>
          <w:rtl/>
        </w:rPr>
      </w:pPr>
    </w:p>
    <w:p w:rsidR="00AE4BB7" w:rsidRPr="00D57BE9" w:rsidP="00AE4BB7">
      <w:pPr>
        <w:rPr>
          <w:rtl/>
        </w:rPr>
      </w:pPr>
      <w:r w:rsidRPr="00D527BD">
        <w:rPr>
          <w:noProof/>
          <w:szCs w:val="20"/>
          <w:rtl/>
        </w:rPr>
        <w:drawing>
          <wp:anchor distT="0" distB="0" distL="114300" distR="114300" simplePos="0" relativeHeight="251659264" behindDoc="0" locked="0" layoutInCell="1" allowOverlap="1">
            <wp:simplePos x="0" y="0"/>
            <wp:positionH relativeFrom="column">
              <wp:posOffset>-127635</wp:posOffset>
            </wp:positionH>
            <wp:positionV relativeFrom="paragraph">
              <wp:posOffset>-1905</wp:posOffset>
            </wp:positionV>
            <wp:extent cx="6015355" cy="761365"/>
            <wp:effectExtent l="0" t="0" r="0" b="0"/>
            <wp:wrapNone/>
            <wp:docPr id="1451066646" name="Picture 5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5355" cy="761365"/>
                    </a:xfrm>
                    <a:prstGeom prst="rect">
                      <a:avLst/>
                    </a:prstGeom>
                  </pic:spPr>
                </pic:pic>
              </a:graphicData>
            </a:graphic>
            <wp14:sizeRelH relativeFrom="margin">
              <wp14:pctWidth>0</wp14:pctWidth>
            </wp14:sizeRelH>
            <wp14:sizeRelV relativeFrom="margin">
              <wp14:pctHeight>0</wp14:pctHeight>
            </wp14:sizeRelV>
          </wp:anchor>
        </w:drawing>
      </w:r>
      <w:r w:rsidRPr="00D527BD">
        <w:rPr>
          <w:noProof/>
          <w:szCs w:val="20"/>
          <w:rtl/>
        </w:rPr>
        <mc:AlternateContent>
          <mc:Choice Requires="wps">
            <w:drawing>
              <wp:anchor distT="0" distB="0" distL="114300" distR="114300" simplePos="0" relativeHeight="251660288" behindDoc="0" locked="0" layoutInCell="1" allowOverlap="1">
                <wp:simplePos x="0" y="0"/>
                <wp:positionH relativeFrom="column">
                  <wp:posOffset>241935</wp:posOffset>
                </wp:positionH>
                <wp:positionV relativeFrom="paragraph">
                  <wp:posOffset>102870</wp:posOffset>
                </wp:positionV>
                <wp:extent cx="5417820" cy="434975"/>
                <wp:effectExtent l="0" t="0" r="5080" b="0"/>
                <wp:wrapNone/>
                <wp:docPr id="14510666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17820" cy="434975"/>
                        </a:xfrm>
                        <a:prstGeom prst="rect">
                          <a:avLst/>
                        </a:prstGeom>
                        <a:solidFill>
                          <a:srgbClr val="F05260"/>
                        </a:solidFill>
                        <a:ln w="9525">
                          <a:noFill/>
                          <a:miter lim="800000"/>
                          <a:headEnd/>
                          <a:tailEnd/>
                        </a:ln>
                      </wps:spPr>
                      <wps:txbx>
                        <w:txbxContent>
                          <w:p w:rsidR="00127774" w:rsidRPr="005C7ABF" w:rsidP="00127774">
                            <w:pPr>
                              <w:pStyle w:val="733"/>
                              <w:ind w:left="-135"/>
                              <w:rPr>
                                <w:rtl/>
                              </w:rPr>
                            </w:pPr>
                            <w:r w:rsidRPr="00C66ECA">
                              <w:rPr>
                                <w:rtl/>
                              </w:rPr>
                              <w:t>ההוצאות השנתיות של הרשויות המקומיות המפונות כפי שדווחו בדוחות הכספיים המבוקרים שלהן לשנת 2023 (באלפי ש"ח) ו</w:t>
                            </w:r>
                            <w:r>
                              <w:rPr>
                                <w:rFonts w:hint="cs"/>
                                <w:rtl/>
                              </w:rPr>
                              <w:t>שיעור</w:t>
                            </w:r>
                            <w:r w:rsidRPr="00C66ECA">
                              <w:rPr>
                                <w:rtl/>
                              </w:rPr>
                              <w:t xml:space="preserve"> השינוי בהוצאה</w:t>
                            </w:r>
                          </w:p>
                          <w:p w:rsidR="00AE4BB7" w:rsidRPr="005C7ABF" w:rsidP="00AE4BB7">
                            <w:pPr>
                              <w:pStyle w:val="733"/>
                              <w:rPr>
                                <w:rtl/>
                              </w:rPr>
                            </w:pP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426.6pt;height:34.25pt;margin-top:8.1pt;margin-left:19.05pt;mso-height-percent:0;mso-height-relative:margin;mso-width-percent:0;mso-width-relative:margin;mso-wrap-distance-bottom:0;mso-wrap-distance-left:9pt;mso-wrap-distance-right:9pt;mso-wrap-distance-top:0;mso-wrap-style:square;position:absolute;visibility:visible;v-text-anchor:middle;z-index:251661312" fillcolor="#f05260" stroked="f">
                <v:textbox>
                  <w:txbxContent>
                    <w:p w:rsidR="00127774" w:rsidRPr="005C7ABF" w:rsidP="00127774">
                      <w:pPr>
                        <w:pStyle w:val="733"/>
                        <w:ind w:left="-135"/>
                        <w:rPr>
                          <w:rtl/>
                        </w:rPr>
                      </w:pPr>
                      <w:r w:rsidRPr="00C66ECA">
                        <w:rPr>
                          <w:rtl/>
                        </w:rPr>
                        <w:t>ההוצאות השנתיות של הרשויות המקומיות המפונות כפי שדווחו בדוחות הכספיים המבוקרים שלהן לשנת 2023 (באלפי ש"ח) ו</w:t>
                      </w:r>
                      <w:r>
                        <w:rPr>
                          <w:rFonts w:hint="cs"/>
                          <w:rtl/>
                        </w:rPr>
                        <w:t>שיעור</w:t>
                      </w:r>
                      <w:r w:rsidRPr="00C66ECA">
                        <w:rPr>
                          <w:rtl/>
                        </w:rPr>
                        <w:t xml:space="preserve"> השינוי בהוצאה</w:t>
                      </w:r>
                    </w:p>
                    <w:p w:rsidR="00AE4BB7" w:rsidRPr="005C7ABF" w:rsidP="00AE4BB7">
                      <w:pPr>
                        <w:pStyle w:val="733"/>
                        <w:rPr>
                          <w:rtl/>
                        </w:rPr>
                      </w:pPr>
                    </w:p>
                  </w:txbxContent>
                </v:textbox>
              </v:shape>
            </w:pict>
          </mc:Fallback>
        </mc:AlternateContent>
      </w:r>
    </w:p>
    <w:p w:rsidR="00AE4BB7" w:rsidRPr="00D57BE9" w:rsidP="00127774">
      <w:pPr>
        <w:spacing w:before="840"/>
        <w:jc w:val="center"/>
        <w:rPr>
          <w:rtl/>
        </w:rPr>
      </w:pPr>
      <w:r>
        <w:rPr>
          <w:noProof/>
        </w:rPr>
        <w:drawing>
          <wp:inline distT="0" distB="0" distL="0" distR="0">
            <wp:extent cx="5350598" cy="3217933"/>
            <wp:effectExtent l="0" t="0" r="2540" b="1905"/>
            <wp:docPr id="3" name="תמונה 3" descr="מהתרשים עולה בקצרה:&#10;&#10;מעלה יוסף – גידול של 9.63%&#10;מטה אשר – גידול של 11.04%&#10;מבואות החרמון – גידול של 8.99%&#10;נחל עילון – גידול של 8.94%&#10;אשכול – גידול של 107.39%&#10;שדרות – גידול של 104.57%&#10;אופקים – גידול של 13.30%&#10;&#10;התופעה הבולטת ביותר היא שבשדרות ובאשכול ההוצאות בשנת 2023 היו גבוהות ביותר מפי שניים מההוצאות בשנת 2022, בעוד שביתר הרשויות העלייה נעה סביב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350598" cy="3217933"/>
                    </a:xfrm>
                    <a:prstGeom prst="rect">
                      <a:avLst/>
                    </a:prstGeom>
                    <a:noFill/>
                  </pic:spPr>
                </pic:pic>
              </a:graphicData>
            </a:graphic>
          </wp:inline>
        </w:drawing>
      </w:r>
    </w:p>
    <w:p w:rsidR="00127774" w:rsidP="00AE4BB7">
      <w:pPr>
        <w:ind w:left="-1"/>
        <w:jc w:val="left"/>
        <w:rPr>
          <w:rtl/>
        </w:rPr>
      </w:pPr>
      <w:r w:rsidRPr="00127774">
        <w:rPr>
          <w:noProof/>
          <w:szCs w:val="20"/>
          <w:rtl/>
        </w:rPr>
        <mc:AlternateContent>
          <mc:Choice Requires="wps">
            <w:drawing>
              <wp:anchor distT="0" distB="0" distL="114300" distR="114300" simplePos="0" relativeHeight="251663360" behindDoc="0" locked="0" layoutInCell="1" allowOverlap="1">
                <wp:simplePos x="0" y="0"/>
                <wp:positionH relativeFrom="column">
                  <wp:posOffset>426525</wp:posOffset>
                </wp:positionH>
                <wp:positionV relativeFrom="paragraph">
                  <wp:posOffset>85041</wp:posOffset>
                </wp:positionV>
                <wp:extent cx="5417820" cy="434975"/>
                <wp:effectExtent l="0" t="0" r="5080" b="0"/>
                <wp:wrapNone/>
                <wp:docPr id="1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17820" cy="434975"/>
                        </a:xfrm>
                        <a:prstGeom prst="rect">
                          <a:avLst/>
                        </a:prstGeom>
                        <a:solidFill>
                          <a:srgbClr val="F05260"/>
                        </a:solidFill>
                        <a:ln w="9525">
                          <a:noFill/>
                          <a:miter lim="800000"/>
                          <a:headEnd/>
                          <a:tailEnd/>
                        </a:ln>
                      </wps:spPr>
                      <wps:txbx>
                        <w:txbxContent>
                          <w:p w:rsidR="00127774" w:rsidRPr="005C7ABF" w:rsidP="00127774">
                            <w:pPr>
                              <w:pStyle w:val="733"/>
                              <w:ind w:left="-136"/>
                              <w:rPr>
                                <w:rtl/>
                              </w:rPr>
                            </w:pPr>
                            <w:r w:rsidRPr="00C66ECA">
                              <w:rPr>
                                <w:rtl/>
                              </w:rPr>
                              <w:t xml:space="preserve">ההוצאות השנתיות של הרשויות המקומיות הקולטות כפי שדווחו בדוחות הכספיים המבוקרים שלהן לשנת 2023 (באלפי ש"ח) ושיעור השינוי </w:t>
                            </w:r>
                            <w:r w:rsidRPr="00C66ECA">
                              <w:rPr>
                                <w:rtl/>
                              </w:rPr>
                              <w:t>בהוצאה</w:t>
                            </w:r>
                          </w:p>
                          <w:p w:rsidR="00127774" w:rsidRPr="005C7ABF" w:rsidP="00127774">
                            <w:pPr>
                              <w:pStyle w:val="733"/>
                              <w:rPr>
                                <w:rtl/>
                              </w:rPr>
                            </w:pP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id="_x0000_s1028" type="#_x0000_t202" style="width:426.6pt;height:34.25pt;margin-top:6.7pt;margin-left:33.6pt;mso-height-percent:0;mso-height-relative:margin;mso-width-percent:0;mso-width-relative:margin;mso-wrap-distance-bottom:0;mso-wrap-distance-left:9pt;mso-wrap-distance-right:9pt;mso-wrap-distance-top:0;mso-wrap-style:square;position:absolute;visibility:visible;v-text-anchor:middle;z-index:251664384" fillcolor="#f05260" stroked="f">
                <v:textbox>
                  <w:txbxContent>
                    <w:p w:rsidR="00127774" w:rsidRPr="005C7ABF" w:rsidP="00127774">
                      <w:pPr>
                        <w:pStyle w:val="733"/>
                        <w:ind w:left="-136"/>
                        <w:rPr>
                          <w:rtl/>
                        </w:rPr>
                      </w:pPr>
                      <w:r w:rsidRPr="00C66ECA">
                        <w:rPr>
                          <w:rtl/>
                        </w:rPr>
                        <w:t xml:space="preserve">ההוצאות השנתיות של הרשויות המקומיות הקולטות כפי שדווחו בדוחות הכספיים המבוקרים שלהן לשנת 2023 (באלפי ש"ח) ושיעור השינוי </w:t>
                      </w:r>
                      <w:r w:rsidRPr="00C66ECA">
                        <w:rPr>
                          <w:rtl/>
                        </w:rPr>
                        <w:t>בהוצאה</w:t>
                      </w:r>
                    </w:p>
                    <w:p w:rsidR="00127774" w:rsidRPr="005C7ABF" w:rsidP="00127774">
                      <w:pPr>
                        <w:pStyle w:val="733"/>
                        <w:rPr>
                          <w:rtl/>
                        </w:rPr>
                      </w:pPr>
                    </w:p>
                  </w:txbxContent>
                </v:textbox>
              </v:shape>
            </w:pict>
          </mc:Fallback>
        </mc:AlternateContent>
      </w:r>
      <w:r w:rsidRPr="00D527BD">
        <w:rPr>
          <w:noProof/>
          <w:szCs w:val="20"/>
          <w:rtl/>
        </w:rPr>
        <w:drawing>
          <wp:anchor distT="0" distB="0" distL="114300" distR="114300" simplePos="0" relativeHeight="251662336" behindDoc="0" locked="0" layoutInCell="1" allowOverlap="1">
            <wp:simplePos x="0" y="0"/>
            <wp:positionH relativeFrom="column">
              <wp:posOffset>0</wp:posOffset>
            </wp:positionH>
            <wp:positionV relativeFrom="paragraph">
              <wp:posOffset>-635</wp:posOffset>
            </wp:positionV>
            <wp:extent cx="6015355" cy="761365"/>
            <wp:effectExtent l="0" t="0" r="0" b="0"/>
            <wp:wrapNone/>
            <wp:docPr id="8" name="Picture 5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4">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5355" cy="761365"/>
                    </a:xfrm>
                    <a:prstGeom prst="rect">
                      <a:avLst/>
                    </a:prstGeom>
                  </pic:spPr>
                </pic:pic>
              </a:graphicData>
            </a:graphic>
            <wp14:sizeRelH relativeFrom="margin">
              <wp14:pctWidth>0</wp14:pctWidth>
            </wp14:sizeRelH>
            <wp14:sizeRelV relativeFrom="margin">
              <wp14:pctHeight>0</wp14:pctHeight>
            </wp14:sizeRelV>
          </wp:anchor>
        </w:drawing>
      </w:r>
    </w:p>
    <w:p w:rsidR="00B53544" w:rsidP="00AE4BB7">
      <w:pPr>
        <w:bidi w:val="0"/>
        <w:spacing w:after="200" w:line="276" w:lineRule="auto"/>
        <w:rPr>
          <w:rtl/>
        </w:rPr>
      </w:pPr>
    </w:p>
    <w:p w:rsidR="00AE4BB7" w:rsidP="00B53544">
      <w:pPr>
        <w:bidi w:val="0"/>
        <w:spacing w:after="200" w:line="276" w:lineRule="auto"/>
        <w:jc w:val="center"/>
        <w:rPr>
          <w:rtl/>
        </w:rPr>
      </w:pPr>
      <w:r>
        <w:rPr>
          <w:noProof/>
        </w:rPr>
        <w:drawing>
          <wp:inline distT="0" distB="0" distL="0" distR="0">
            <wp:extent cx="5477346" cy="3297448"/>
            <wp:effectExtent l="0" t="0" r="0" b="0"/>
            <wp:docPr id="15" name="תמונה 15" descr="ההוצאות השנתיות של הרשויות המקומיות הקולטות כפי שדווחו בדוחות הכספיים המבוקרים שלהן לשנת 2023 (באלפי ש&quot;ח) ואחוז השינוי בהוצאה. ברשויות הקולטות  שנבדקו היה גידול בהוצאות בשנת 2023 לעומת שנת 2022 בשיעורים שנעו בין 4.78% בהרצלייה ועד ל 14.61% בתמ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512954" cy="3318884"/>
                    </a:xfrm>
                    <a:prstGeom prst="rect">
                      <a:avLst/>
                    </a:prstGeom>
                    <a:noFill/>
                    <a:effectLst>
                      <a:softEdge rad="38100"/>
                    </a:effectLst>
                  </pic:spPr>
                </pic:pic>
              </a:graphicData>
            </a:graphic>
          </wp:inline>
        </w:drawing>
      </w:r>
    </w:p>
    <w:p w:rsidR="00127774" w:rsidP="00127774">
      <w:pPr>
        <w:bidi w:val="0"/>
        <w:spacing w:after="200" w:line="276" w:lineRule="auto"/>
        <w:jc w:val="right"/>
        <w:rPr>
          <w:rFonts w:ascii="Tahoma" w:eastAsia="Calibri" w:hAnsi="Tahoma" w:cs="Tahoma"/>
          <w:sz w:val="16"/>
          <w:szCs w:val="16"/>
          <w:rtl/>
        </w:rPr>
      </w:pPr>
      <w:r w:rsidRPr="00C66ECA">
        <w:rPr>
          <w:rFonts w:ascii="Tahoma" w:eastAsia="Calibri" w:hAnsi="Tahoma" w:cs="Tahoma"/>
          <w:noProof/>
          <w:sz w:val="16"/>
          <w:szCs w:val="16"/>
          <w:rtl/>
        </w:rPr>
        <w:t>על פי הדוחות</w:t>
      </w:r>
      <w:r w:rsidRPr="00C66ECA">
        <w:rPr>
          <w:rFonts w:ascii="Tahoma" w:eastAsia="Calibri" w:hAnsi="Tahoma" w:cs="Tahoma"/>
          <w:sz w:val="16"/>
          <w:szCs w:val="16"/>
          <w:rtl/>
        </w:rPr>
        <w:t xml:space="preserve"> הכספיים המבוקרים </w:t>
      </w:r>
      <w:r w:rsidRPr="00C66ECA">
        <w:rPr>
          <w:rFonts w:ascii="Tahoma" w:eastAsia="Calibri" w:hAnsi="Tahoma" w:cs="Tahoma"/>
          <w:noProof/>
          <w:sz w:val="16"/>
          <w:szCs w:val="16"/>
          <w:rtl/>
        </w:rPr>
        <w:t>של הרשויות המקומיות, בעיבוד משרד מבקר המדינה</w:t>
      </w:r>
      <w:r w:rsidRPr="00C66ECA">
        <w:rPr>
          <w:rFonts w:ascii="Tahoma" w:eastAsia="Calibri" w:hAnsi="Tahoma" w:cs="Tahoma"/>
          <w:sz w:val="16"/>
          <w:szCs w:val="16"/>
          <w:rtl/>
        </w:rPr>
        <w:t>.</w:t>
      </w:r>
    </w:p>
    <w:p w:rsidR="002301B3">
      <w:pPr>
        <w:bidi w:val="0"/>
        <w:spacing w:after="200" w:line="276" w:lineRule="auto"/>
      </w:pPr>
      <w:r>
        <w:br w:type="page"/>
      </w:r>
    </w:p>
    <w:p w:rsidR="00AE4BB7" w:rsidRPr="006B7706" w:rsidP="00AE4BB7">
      <w:pPr>
        <w:spacing w:after="160" w:line="288" w:lineRule="auto"/>
        <w:ind w:left="-1"/>
        <w:rPr>
          <w:rFonts w:ascii="Tahoma" w:hAnsi="Tahoma" w:cs="Tahoma"/>
          <w:rtl/>
        </w:rPr>
      </w:pPr>
      <w:r w:rsidRPr="006C4033">
        <w:rPr>
          <w:rFonts w:ascii="Tahoma" w:hAnsi="Tahoma" w:cs="Tahoma"/>
          <w:noProof/>
        </w:rPr>
        <w:drawing>
          <wp:inline distT="0" distB="0" distL="0" distR="0">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127774" w:rsidRPr="00127774" w:rsidP="00127774">
      <w:pPr>
        <w:pStyle w:val="739"/>
        <w:rPr>
          <w:sz w:val="19"/>
          <w:szCs w:val="19"/>
          <w:rtl/>
        </w:rPr>
      </w:pPr>
      <w:r w:rsidRPr="00127774">
        <w:rPr>
          <w:sz w:val="19"/>
          <w:szCs w:val="19"/>
          <w:rtl/>
        </w:rPr>
        <w:t>מלחמת חרבות ברזל השפיעה על תחומים רבים במדינת ישראל. בתחום האזרחי שימשו חלק גדול מהרשויות המקומיות ערי מקלט לתושבים שפונו מיישובים בעוטף עזה ובקרבת גבול הצפון.</w:t>
      </w:r>
    </w:p>
    <w:p w:rsidR="00127774" w:rsidRPr="00127774" w:rsidP="00127774">
      <w:pPr>
        <w:pStyle w:val="739"/>
        <w:rPr>
          <w:sz w:val="19"/>
          <w:szCs w:val="19"/>
          <w:rtl/>
        </w:rPr>
      </w:pPr>
      <w:r w:rsidRPr="00127774">
        <w:rPr>
          <w:sz w:val="19"/>
          <w:szCs w:val="19"/>
          <w:rtl/>
        </w:rPr>
        <w:t>בדיקת הדוחות הכספיים לסוף שנת 2023 של הרשויות המפונות והרשויות הקולטות העלתה כי רשויות רבות דיווחו כי למלחמה לא הייתה השפעה מהותית על תוצאות הפעילות שלהן. עוד עולה כי מצבן הכספי לסוף שנת 2023 השתפר לעומת סוף שנת 2022, הן מבחינת העודף הנצבר בקופתן והן מבחינ</w:t>
      </w:r>
      <w:r w:rsidRPr="00127774">
        <w:rPr>
          <w:sz w:val="19"/>
          <w:szCs w:val="19"/>
          <w:rtl/>
        </w:rPr>
        <w:t xml:space="preserve">ת עומס המלוות שלהן, וזאת בזכות המענקים הממשלתיים שהתקבלו. </w:t>
      </w:r>
    </w:p>
    <w:p w:rsidR="00127774" w:rsidRPr="00127774" w:rsidP="00127774">
      <w:pPr>
        <w:pStyle w:val="739"/>
        <w:rPr>
          <w:sz w:val="19"/>
          <w:szCs w:val="19"/>
          <w:rtl/>
        </w:rPr>
      </w:pPr>
      <w:r w:rsidRPr="00127774">
        <w:rPr>
          <w:sz w:val="19"/>
          <w:szCs w:val="19"/>
          <w:rtl/>
        </w:rPr>
        <w:t>עם זאת, בשיחות שקיים צוות הביקורת עם כמה גזברים ברשויות המקומיות שנבדקו ציינו הללו כי חלק גדול מהרשויות לא ביצעו עבודות פיתוח, והדבר גרם להאטה בהתפתחותן, משרד הפנים התיר לעשות שימוש זמני בכספי קרנו</w:t>
      </w:r>
      <w:r w:rsidRPr="00127774">
        <w:rPr>
          <w:sz w:val="19"/>
          <w:szCs w:val="19"/>
          <w:rtl/>
        </w:rPr>
        <w:t>ת הרשות כנגד הלוואה שתועמד ותוחזר לקרן בתוך חמש שנים, כולל ריבית; חלק מהפעילות השוטפת באותן רשויות לא בוצעה בגלל העברת תקציבים מסעיפי תקציב אלו לסעיפי הוצאות שגדלו בעקבות המלחמה</w:t>
      </w:r>
      <w:r w:rsidR="0026788A">
        <w:rPr>
          <w:rFonts w:hint="cs"/>
          <w:sz w:val="19"/>
          <w:szCs w:val="19"/>
          <w:rtl/>
        </w:rPr>
        <w:t>.</w:t>
      </w:r>
      <w:r w:rsidRPr="00127774">
        <w:rPr>
          <w:sz w:val="19"/>
          <w:szCs w:val="19"/>
          <w:rtl/>
        </w:rPr>
        <w:t xml:space="preserve"> משרדי הממשלה סייעו לרשויות המקומיות בגין גידול בהוצאות וקיטון בהכנסות בעקבות </w:t>
      </w:r>
      <w:r w:rsidRPr="00127774">
        <w:rPr>
          <w:sz w:val="19"/>
          <w:szCs w:val="19"/>
          <w:rtl/>
        </w:rPr>
        <w:t xml:space="preserve">המלחמה. </w:t>
      </w:r>
    </w:p>
    <w:p w:rsidR="00127774" w:rsidRPr="00127774" w:rsidP="00127774">
      <w:pPr>
        <w:pStyle w:val="739"/>
        <w:rPr>
          <w:sz w:val="19"/>
          <w:szCs w:val="19"/>
          <w:rtl/>
        </w:rPr>
      </w:pPr>
      <w:r w:rsidRPr="00127774">
        <w:rPr>
          <w:sz w:val="19"/>
          <w:szCs w:val="19"/>
          <w:rtl/>
        </w:rPr>
        <w:t>למשרדי האוצר והפנים לא היה מודל מוכן מראש של מנגנון העברת כספים לגורמים השונים, לרבות רשויות מקומיות, במקרי חירום כגון מלחמת חרבות ברזל. נוסף על כך לא הייתה בקרב הרשויות המקומיות ודאות הן בנוגע לסכום ההעברות הכספיות שיקבלו והן לגבי מועדן. גם לא הי</w:t>
      </w:r>
      <w:r w:rsidRPr="00127774">
        <w:rPr>
          <w:sz w:val="19"/>
          <w:szCs w:val="19"/>
          <w:rtl/>
        </w:rPr>
        <w:t>ה מנגנון לעדכון הרשויות על אשר מגיע להן.</w:t>
      </w:r>
    </w:p>
    <w:p w:rsidR="00127774" w:rsidRPr="00127774" w:rsidP="00127774">
      <w:pPr>
        <w:pStyle w:val="739"/>
        <w:rPr>
          <w:sz w:val="19"/>
          <w:szCs w:val="19"/>
          <w:rtl/>
        </w:rPr>
      </w:pPr>
      <w:r w:rsidRPr="00127774">
        <w:rPr>
          <w:sz w:val="19"/>
          <w:szCs w:val="19"/>
          <w:rtl/>
        </w:rPr>
        <w:t>חלק מהכספים שהעבירו משרדי הפנים, החינוך והתרבות והספורט לשיפוי הרשויות המקומיות בגין המלחמה הועברו באיחור, ועקב כך הרשויות המקומיות, ובייחוד אלו שמצבן הכספי קשה, נאלצו לצמצם את פעילותן השגרתית השוטפת באותה תקופה, וה</w:t>
      </w:r>
      <w:r w:rsidRPr="00127774">
        <w:rPr>
          <w:sz w:val="19"/>
          <w:szCs w:val="19"/>
          <w:rtl/>
        </w:rPr>
        <w:t xml:space="preserve">דבר גרם לקשיי תפקוד ברשויות אלה בעת שהן נדרשו לתפקד מעל ומעבר לנדרש מהן בשל המלחמה שהתמשכה. </w:t>
      </w:r>
    </w:p>
    <w:p w:rsidR="00127774" w:rsidRPr="00127774" w:rsidP="00127774">
      <w:pPr>
        <w:pStyle w:val="739"/>
        <w:rPr>
          <w:sz w:val="19"/>
          <w:szCs w:val="19"/>
          <w:rtl/>
        </w:rPr>
      </w:pPr>
      <w:r w:rsidRPr="00127774">
        <w:rPr>
          <w:sz w:val="19"/>
          <w:szCs w:val="19"/>
          <w:rtl/>
        </w:rPr>
        <w:t>כוחות צה"ל רבים שהו בתקופת המלחמה ביישובים השוכנים במרחב עוטף עזה ובקרבת גבול הצפון. שהייה זו גרמה להוצאות גדולות של הרשויות המקומיות שבתחום שיפוטן שהו, כגון הוצאו</w:t>
      </w:r>
      <w:r w:rsidRPr="00127774">
        <w:rPr>
          <w:sz w:val="19"/>
          <w:szCs w:val="19"/>
          <w:rtl/>
        </w:rPr>
        <w:t xml:space="preserve">ת על תיקון נזקים לתשתיות כבישים ולשטחים חקלאיים, הוצאות על חשמל, מים וביוב באתרים ששהו בהם כוחות הביטחון והוצאות על פינוי אשפה. </w:t>
      </w:r>
    </w:p>
    <w:p w:rsidR="00127774" w:rsidRPr="00127774" w:rsidP="00127774">
      <w:pPr>
        <w:pStyle w:val="739"/>
        <w:rPr>
          <w:sz w:val="19"/>
          <w:szCs w:val="19"/>
          <w:rtl/>
        </w:rPr>
      </w:pPr>
      <w:r w:rsidRPr="00127774">
        <w:rPr>
          <w:sz w:val="19"/>
          <w:szCs w:val="19"/>
          <w:rtl/>
        </w:rPr>
        <w:t>בחלק גדול מהתאגידים העירוניים ברשויות המקומיות שנבדקו לא התקיימו פעילויות בתקופת המלחמה</w:t>
      </w:r>
      <w:r w:rsidR="0026788A">
        <w:rPr>
          <w:rFonts w:hint="cs"/>
          <w:sz w:val="19"/>
          <w:szCs w:val="19"/>
          <w:rtl/>
        </w:rPr>
        <w:t>,</w:t>
      </w:r>
      <w:r w:rsidRPr="00127774">
        <w:rPr>
          <w:sz w:val="19"/>
          <w:szCs w:val="19"/>
          <w:rtl/>
        </w:rPr>
        <w:t xml:space="preserve"> ומכאן שחל קיטון ניכר בהכנסותיהם, ועקב </w:t>
      </w:r>
      <w:r w:rsidRPr="00127774">
        <w:rPr>
          <w:sz w:val="19"/>
          <w:szCs w:val="19"/>
          <w:rtl/>
        </w:rPr>
        <w:t>כך נגרם להם אובדן כספי גדול.</w:t>
      </w:r>
    </w:p>
    <w:p w:rsidR="00AE4BB7" w:rsidRPr="00084768" w:rsidP="002301B3">
      <w:pPr>
        <w:pStyle w:val="739"/>
        <w:rPr>
          <w:sz w:val="19"/>
          <w:szCs w:val="19"/>
          <w:rtl/>
        </w:rPr>
      </w:pPr>
      <w:r w:rsidRPr="00127774">
        <w:rPr>
          <w:sz w:val="19"/>
          <w:szCs w:val="19"/>
          <w:rtl/>
        </w:rPr>
        <w:t>משרד מבקר המדינה מדגיש את החשיבות של יצירת ודאות תקציבית, בייחוד בקרב רשויות מקומיות במעמד חברתי כלכי נמוך, ואת חשיבות העברת הסיוע התקציבי מבעוד מועד, לצד הטמעת מנגנוני בקרה. זאת כדי למנוע פערים בתזרימי המזומנים של הרשויות ולאפ</w:t>
      </w:r>
      <w:r w:rsidRPr="00127774">
        <w:rPr>
          <w:sz w:val="19"/>
          <w:szCs w:val="19"/>
          <w:rtl/>
        </w:rPr>
        <w:t>שר להן לפעול כנדרש, בייחוד בעת חירום.</w:t>
      </w:r>
    </w:p>
    <w:p w:rsidR="00C4789A" w:rsidRPr="00C00C17" w:rsidP="00C00C17">
      <w:pPr>
        <w:bidi w:val="0"/>
        <w:spacing w:after="200" w:line="276" w:lineRule="auto"/>
        <w:rPr>
          <w:rFonts w:ascii="Tahoma" w:hAnsi="Tahoma" w:cs="Tahoma"/>
          <w:b/>
          <w:bCs/>
          <w:sz w:val="36"/>
          <w:szCs w:val="36"/>
        </w:rPr>
        <w:sectPr w:rsidSect="008654CB">
          <w:headerReference w:type="even" r:id="rId20"/>
          <w:headerReference w:type="default" r:id="rId21"/>
          <w:headerReference w:type="first" r:id="rId22"/>
          <w:footerReference w:type="first" r:id="rId23"/>
          <w:pgSz w:w="11340" w:h="14175" w:code="9"/>
          <w:pgMar w:top="2268" w:right="1276" w:bottom="1588" w:left="1134" w:header="709" w:footer="709" w:gutter="0"/>
          <w:cols w:space="708"/>
          <w:titlePg/>
          <w:bidi/>
          <w:rtlGutter/>
          <w:docGrid w:linePitch="360"/>
        </w:sectPr>
      </w:pPr>
    </w:p>
    <w:bookmarkEnd w:id="0"/>
    <w:p w:rsidR="009A6817" w:rsidRPr="001C33F8" w:rsidP="001D3DA9">
      <w:pPr>
        <w:spacing w:after="160" w:line="259" w:lineRule="auto"/>
        <w:jc w:val="left"/>
        <w:rPr>
          <w:rFonts w:ascii="Tahoma" w:hAnsi="Tahoma" w:cs="Tahoma"/>
          <w:noProof/>
          <w:rtl/>
        </w:rPr>
      </w:pPr>
    </w:p>
    <w:sectPr w:rsidSect="00030DCF">
      <w:headerReference w:type="first" r:id="rId24"/>
      <w:type w:val="continuous"/>
      <w:pgSz w:w="11340" w:h="14175" w:code="9"/>
      <w:pgMar w:top="2268" w:right="1276" w:bottom="1588"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CE4">
    <w:pPr>
      <w:pStyle w:val="Footer"/>
    </w:pPr>
    <w:r>
      <w:rPr>
        <w:noProof/>
      </w:rPr>
      <mc:AlternateContent>
        <mc:Choice Requires="wps">
          <w:drawing>
            <wp:anchor distT="0" distB="0" distL="114300" distR="114300" simplePos="0" relativeHeight="251662336" behindDoc="0" locked="0" layoutInCell="1" allowOverlap="1">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xmlns:wps="http://schemas.microsoft.com/office/word/2010/wordprocessingShape">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מחבר ישר 21" o:spid="_x0000_s2063" style="mso-width-percent:0;mso-width-relative:margin;mso-wrap-distance-bottom:0;mso-wrap-distance-left:9pt;mso-wrap-distance-right:9pt;mso-wrap-distance-top:0;mso-wrap-style:square;position:absolute;visibility:visible;z-index:251663360" from="109.05pt,-27.8pt" to="345pt,-27.8pt" strokecolor="#002060" strokeweight="1.25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2060" cy="304800"/>
                      </a:xfrm>
                      <a:prstGeom prst="rect">
                        <a:avLst/>
                      </a:prstGeom>
                      <a:solidFill>
                        <a:schemeClr val="bg1"/>
                      </a:solidFill>
                      <a:ln w="6350">
                        <a:noFill/>
                      </a:ln>
                    </wps:spPr>
                    <wps:txbx>
                      <w:txbxContent>
                        <w:p w:rsidR="0011074F" w:rsidRPr="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2064" type="#_x0000_t202" style="width:197.8pt;height:24pt;margin-top:-13.35pt;margin-left:127.9pt;mso-wrap-distance-bottom:0;mso-wrap-distance-left:9pt;mso-wrap-distance-right:9pt;mso-wrap-distance-top:0;mso-wrap-style:square;position:absolute;visibility:visible;v-text-anchor:top;z-index:251661312" fillcolor="white" stroked="f" strokeweight="0.5pt">
              <v:textbox>
                <w:txbxContent>
                  <w:p w:rsidR="0011074F" w:rsidRPr="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F56CE4"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2065" type="#_x0000_t202" style="width:233pt;height:21.5pt;margin-top:-87.15pt;margin-left:0;mso-position-horizontal:center;mso-position-horizontal-relative:page;mso-wrap-distance-bottom:0;mso-wrap-distance-left:9pt;mso-wrap-distance-right:9pt;mso-wrap-distance-top:0;mso-wrap-style:square;position:absolute;visibility:visible;v-text-anchor:top;z-index:251659264" filled="f" stroked="f" strokeweight="0.5pt">
              <v:textbox>
                <w:txbxContent>
                  <w:p w:rsidR="00F56CE4"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3049" w:rsidRPr="005C3049" w:rsidP="005C3049">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312"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604586"/>
                        <a:chOff x="31750" y="0"/>
                        <a:chExt cx="6150310" cy="604586"/>
                      </a:xfrm>
                    </wpg:grpSpPr>
                    <wps:wsp xmlns:wps="http://schemas.microsoft.com/office/word/2010/wordprocessingShape">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2049" style="width:484.3pt;height:47.6pt;margin-top:-7.45pt;margin-left:-15.2pt;mso-height-relative:margin;mso-width-relative:margin;position:absolute;z-index:251662336" coordorigin="317,0" coordsize="61503,6045">
              <v:line id="מחבר ישר 1834351669" o:spid="_x0000_s2050"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51" type="#_x0000_t202" style="width:31642;height:2857;flip:x;left:30178;mso-wrap-style:square;position:absolute;visibility:visible;v-text-anchor:top" filled="f" stroked="f">
                <v:textbox>
                  <w:txbxContent>
                    <w:p w:rsidR="005C3049" w:rsidRPr="0062451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2052" type="#_x0000_t202" style="width:31642;height:2857;flip:x;left:317;mso-wrap-style:square;position:absolute;top:3188;visibility:visible;v-text-anchor:top" filled="f" stroked="f">
                <v:textbox>
                  <w:txbxContent>
                    <w:p w:rsidR="005C3049" w:rsidRPr="0062451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2053" type="#_x0000_t202" style="width:35452;height:2858;flip:x;left:26326;mso-wrap-style:square;position:absolute;top:3181;visibility:visible;v-text-anchor:top" filled="f" stroked="f">
                <v:textbox>
                  <w:txbxContent>
                    <w:p w:rsidR="005C3049" w:rsidRPr="001E204F"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8C7" w:rsidRPr="0062451B" w:rsidP="00DA67CB">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9264" behindDoc="0" locked="0" layoutInCell="1" allowOverlap="1">
              <wp:simplePos x="0" y="0"/>
              <wp:positionH relativeFrom="column">
                <wp:posOffset>-194310</wp:posOffset>
              </wp:positionH>
              <wp:positionV relativeFrom="paragraph">
                <wp:posOffset>-99695</wp:posOffset>
              </wp:positionV>
              <wp:extent cx="6163309" cy="828076"/>
              <wp:effectExtent l="0" t="0" r="9525" b="0"/>
              <wp:wrapNone/>
              <wp:docPr id="37" name="קבוצה 37"/>
              <wp:cNvGraphicFramePr/>
              <a:graphic xmlns:a="http://schemas.openxmlformats.org/drawingml/2006/main">
                <a:graphicData uri="http://schemas.microsoft.com/office/word/2010/wordprocessingGroup">
                  <wpg:wgp xmlns:wpg="http://schemas.microsoft.com/office/word/2010/wordprocessingGroup">
                    <wpg:cNvGrpSpPr/>
                    <wpg:grpSpPr>
                      <a:xfrm>
                        <a:off x="0" y="0"/>
                        <a:ext cx="6163309" cy="828076"/>
                        <a:chOff x="31750" y="0"/>
                        <a:chExt cx="6163309" cy="828076"/>
                      </a:xfrm>
                    </wpg:grpSpPr>
                    <wps:wsp xmlns:wps="http://schemas.microsoft.com/office/word/2010/wordprocessingShape">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9961E8">
                              <w:rPr>
                                <w:rFonts w:ascii="Calibri" w:hAnsi="Calibri" w:cs="Calibri" w:hint="cs"/>
                                <w:color w:val="002060"/>
                                <w:szCs w:val="20"/>
                                <w:rtl/>
                              </w:rPr>
                              <w:t xml:space="preserve"> התשפ"</w:t>
                            </w:r>
                            <w:r w:rsidR="0019747C">
                              <w:rPr>
                                <w:rFonts w:ascii="Calibri" w:hAnsi="Calibri" w:cs="Calibri" w:hint="cs"/>
                                <w:color w:val="002060"/>
                                <w:szCs w:val="20"/>
                                <w:rtl/>
                              </w:rPr>
                              <w:t>ו</w:t>
                            </w:r>
                            <w:r w:rsidRPr="0062451B" w:rsidR="009961E8">
                              <w:rPr>
                                <w:rFonts w:ascii="Calibri" w:hAnsi="Calibri" w:cs="Calibri" w:hint="cs"/>
                                <w:color w:val="002060"/>
                                <w:szCs w:val="20"/>
                                <w:rtl/>
                              </w:rPr>
                              <w:t xml:space="preserve"> </w:t>
                            </w:r>
                            <w:r w:rsidRPr="0062451B" w:rsidR="009961E8">
                              <w:rPr>
                                <w:rFonts w:asciiTheme="minorHAnsi" w:hAnsiTheme="minorHAnsi" w:cstheme="minorHAnsi"/>
                                <w:color w:val="002060"/>
                                <w:spacing w:val="20"/>
                                <w:sz w:val="22"/>
                                <w:szCs w:val="22"/>
                              </w:rPr>
                              <w:t xml:space="preserve"> </w:t>
                            </w:r>
                            <w:r w:rsidRPr="0062451B" w:rsidR="009961E8">
                              <w:rPr>
                                <w:rFonts w:ascii="Wingdings" w:hAnsi="Wingdings" w:cstheme="minorHAnsi"/>
                                <w:color w:val="002060"/>
                                <w:spacing w:val="20"/>
                                <w:sz w:val="22"/>
                                <w:szCs w:val="22"/>
                              </w:rPr>
                              <w:sym w:font="Wingdings" w:char="F0A7"/>
                            </w:r>
                            <w:r w:rsidR="003B1B12">
                              <w:rPr>
                                <w:rFonts w:ascii="Calibri" w:hAnsi="Calibri" w:cs="Calibri" w:hint="cs"/>
                                <w:color w:val="002060"/>
                                <w:szCs w:val="20"/>
                                <w:rtl/>
                              </w:rPr>
                              <w:t>פברואר</w:t>
                            </w:r>
                            <w:r w:rsidR="009961E8">
                              <w:rPr>
                                <w:rFonts w:ascii="Calibri" w:hAnsi="Calibri" w:cs="Calibri" w:hint="cs"/>
                                <w:color w:val="002060"/>
                                <w:szCs w:val="20"/>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xmlns:wps="http://schemas.microsoft.com/office/word/2010/wordprocessingShape">
                      <wps:cNvPr id="41" name="תיבת טקסט 2"/>
                      <wps:cNvSpPr txBox="1">
                        <a:spLocks noChangeArrowheads="1"/>
                      </wps:cNvSpPr>
                      <wps:spPr bwMode="auto">
                        <a:xfrm flipH="1">
                          <a:off x="1782625" y="318033"/>
                          <a:ext cx="4412434" cy="510043"/>
                        </a:xfrm>
                        <a:prstGeom prst="rect">
                          <a:avLst/>
                        </a:prstGeom>
                        <a:noFill/>
                        <a:ln w="9525">
                          <a:noFill/>
                          <a:miter lim="800000"/>
                          <a:headEnd/>
                          <a:tailEnd/>
                        </a:ln>
                      </wps:spPr>
                      <wps:txbx>
                        <w:txbxContent>
                          <w:p w:rsidR="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0120E2">
                              <w:rPr>
                                <w:rFonts w:ascii="Calibri" w:hAnsi="Calibri" w:cs="Calibri" w:hint="cs"/>
                                <w:color w:val="002060"/>
                                <w:szCs w:val="20"/>
                                <w:rtl/>
                              </w:rPr>
                              <w:t xml:space="preserve"> ברשויות המקומיות</w:t>
                            </w:r>
                          </w:p>
                          <w:p w:rsidR="00E678C7" w:rsidRPr="0063663E" w:rsidP="008F466C">
                            <w:pPr>
                              <w:spacing w:line="240" w:lineRule="auto"/>
                              <w:rPr>
                                <w:rFonts w:ascii="Calibri" w:hAnsi="Calibri" w:cs="Calibri"/>
                                <w:color w:val="002060"/>
                                <w:sz w:val="19"/>
                                <w:szCs w:val="19"/>
                                <w:rtl/>
                              </w:rPr>
                            </w:pPr>
                            <w:r w:rsidRPr="008F466C">
                              <w:rPr>
                                <w:rFonts w:ascii="Calibri" w:hAnsi="Calibri" w:cs="Calibri"/>
                                <w:color w:val="002060"/>
                                <w:sz w:val="19"/>
                                <w:szCs w:val="19"/>
                                <w:rtl/>
                              </w:rPr>
                              <w:t>הסיוע הכלכלי לרשויות מקומיות מפונות וקולטות בחודשים הראשונים של המלחמה</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2054" style="width:485.3pt;height:65.2pt;margin-top:-7.85pt;margin-left:-15.3pt;mso-height-relative:margin;mso-width-relative:margin;position:absolute;z-index:251660288" coordorigin="317,0" coordsize="61633,8280">
              <v:line id="מחבר ישר 38" o:spid="_x0000_s2055"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56" type="#_x0000_t202" style="width:31642;height:2857;flip:x;left:30178;mso-wrap-style:square;position:absolute;visibility:visible;v-text-anchor:top" filled="f" stroked="f">
                <v:textbox>
                  <w:txbxContent>
                    <w:p w:rsidR="00E678C7" w:rsidRPr="0062451B">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v:textbox>
              </v:shape>
              <v:shape id="תיבת טקסט 2" o:spid="_x0000_s2057" type="#_x0000_t202" style="width:31642;height:2857;flip:x;left:317;mso-wrap-style:square;position:absolute;top:3188;visibility:visible;v-text-anchor:top" filled="f" stroked="f">
                <v:textbox>
                  <w:txbxContent>
                    <w:p w:rsidR="00E678C7" w:rsidRPr="0062451B"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9961E8">
                        <w:rPr>
                          <w:rFonts w:ascii="Calibri" w:hAnsi="Calibri" w:cs="Calibri" w:hint="cs"/>
                          <w:color w:val="002060"/>
                          <w:szCs w:val="20"/>
                          <w:rtl/>
                        </w:rPr>
                        <w:t xml:space="preserve"> התשפ"</w:t>
                      </w:r>
                      <w:r w:rsidR="0019747C">
                        <w:rPr>
                          <w:rFonts w:ascii="Calibri" w:hAnsi="Calibri" w:cs="Calibri" w:hint="cs"/>
                          <w:color w:val="002060"/>
                          <w:szCs w:val="20"/>
                          <w:rtl/>
                        </w:rPr>
                        <w:t>ו</w:t>
                      </w:r>
                      <w:r w:rsidRPr="0062451B" w:rsidR="009961E8">
                        <w:rPr>
                          <w:rFonts w:ascii="Calibri" w:hAnsi="Calibri" w:cs="Calibri" w:hint="cs"/>
                          <w:color w:val="002060"/>
                          <w:szCs w:val="20"/>
                          <w:rtl/>
                        </w:rPr>
                        <w:t xml:space="preserve"> </w:t>
                      </w:r>
                      <w:r w:rsidRPr="0062451B" w:rsidR="009961E8">
                        <w:rPr>
                          <w:rFonts w:asciiTheme="minorHAnsi" w:hAnsiTheme="minorHAnsi" w:cstheme="minorHAnsi"/>
                          <w:color w:val="002060"/>
                          <w:spacing w:val="20"/>
                          <w:sz w:val="22"/>
                          <w:szCs w:val="22"/>
                        </w:rPr>
                        <w:t xml:space="preserve"> </w:t>
                      </w:r>
                      <w:r w:rsidRPr="0062451B" w:rsidR="009961E8">
                        <w:rPr>
                          <w:rFonts w:ascii="Wingdings" w:hAnsi="Wingdings" w:cstheme="minorHAnsi"/>
                          <w:color w:val="002060"/>
                          <w:spacing w:val="20"/>
                          <w:sz w:val="22"/>
                          <w:szCs w:val="22"/>
                        </w:rPr>
                        <w:sym w:font="Wingdings" w:char="F0A7"/>
                      </w:r>
                      <w:r w:rsidR="003B1B12">
                        <w:rPr>
                          <w:rFonts w:ascii="Calibri" w:hAnsi="Calibri" w:cs="Calibri" w:hint="cs"/>
                          <w:color w:val="002060"/>
                          <w:szCs w:val="20"/>
                          <w:rtl/>
                        </w:rPr>
                        <w:t>פברואר</w:t>
                      </w:r>
                      <w:r w:rsidR="009961E8">
                        <w:rPr>
                          <w:rFonts w:ascii="Calibri" w:hAnsi="Calibri" w:cs="Calibri" w:hint="cs"/>
                          <w:color w:val="002060"/>
                          <w:szCs w:val="20"/>
                          <w:rtl/>
                        </w:rPr>
                        <w:t xml:space="preserve"> </w:t>
                      </w:r>
                      <w:r w:rsidR="009912C8">
                        <w:rPr>
                          <w:rFonts w:ascii="Calibri" w:hAnsi="Calibri" w:cs="Calibri" w:hint="cs"/>
                          <w:color w:val="002060"/>
                          <w:szCs w:val="20"/>
                          <w:rtl/>
                        </w:rPr>
                        <w:t>2026</w:t>
                      </w:r>
                    </w:p>
                  </w:txbxContent>
                </v:textbox>
              </v:shape>
              <v:shape id="תיבת טקסט 2" o:spid="_x0000_s2058" type="#_x0000_t202" style="width:44124;height:5100;flip:x;left:17826;mso-wrap-style:square;position:absolute;top:3180;visibility:visible;v-text-anchor:top" filled="f" stroked="f">
                <v:textbox>
                  <w:txbxContent>
                    <w:p w:rsidR="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0120E2">
                        <w:rPr>
                          <w:rFonts w:ascii="Calibri" w:hAnsi="Calibri" w:cs="Calibri" w:hint="cs"/>
                          <w:color w:val="002060"/>
                          <w:szCs w:val="20"/>
                          <w:rtl/>
                        </w:rPr>
                        <w:t xml:space="preserve"> ברשויות המקומיות</w:t>
                      </w:r>
                    </w:p>
                    <w:p w:rsidR="00E678C7" w:rsidRPr="0063663E" w:rsidP="008F466C">
                      <w:pPr>
                        <w:spacing w:line="240" w:lineRule="auto"/>
                        <w:rPr>
                          <w:rFonts w:ascii="Calibri" w:hAnsi="Calibri" w:cs="Calibri"/>
                          <w:color w:val="002060"/>
                          <w:sz w:val="19"/>
                          <w:szCs w:val="19"/>
                          <w:rtl/>
                        </w:rPr>
                      </w:pPr>
                      <w:r w:rsidRPr="008F466C">
                        <w:rPr>
                          <w:rFonts w:ascii="Calibri" w:hAnsi="Calibri" w:cs="Calibri"/>
                          <w:color w:val="002060"/>
                          <w:sz w:val="19"/>
                          <w:szCs w:val="19"/>
                          <w:rtl/>
                        </w:rPr>
                        <w:t>הסיוע הכלכלי לרשויות מקומיות מפונות וקולטות בחודשים הראשונים של המלחמה</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CE4" w:rsidRPr="00FB414E" w:rsidP="00FB414E">
    <w:pPr>
      <w:pStyle w:val="Header"/>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9504" behindDoc="0" locked="0" layoutInCell="1" allowOverlap="1">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xmlns:wps="http://schemas.microsoft.com/office/word/2010/wordprocessingShape">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0" o:spid="_x0000_s2059" style="mso-height-percent:0;mso-height-relative:margin;mso-position-horizontal-relative:page;mso-width-percent:0;mso-width-relative:margin;mso-wrap-distance-bottom:0;mso-wrap-distance-left:9pt;mso-wrap-distance-right:9pt;mso-wrap-distance-top:0;mso-wrap-style:square;position:absolute;visibility:visible;z-index:251671552" from="159.25pt,189.95pt" to="407.8pt,190.8pt" strokecolor="#002060" strokeweight="1.25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xmlns:wps="http://schemas.microsoft.com/office/word/2010/wordprocessingShape">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מלבן 2" o:spid="_x0000_s2060" style="width:133.15pt;height:56.7pt;margin-top:99.95pt;margin-left:159.85pt;mso-height-percent:0;mso-height-relative:margin;mso-wrap-distance-bottom:0;mso-wrap-distance-left:9pt;mso-wrap-distance-right:9pt;mso-wrap-distance-top:0;mso-wrap-style:square;position:absolute;visibility:visible;v-text-anchor:middle;z-index:251663360"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7456" behindDoc="0" locked="0" layoutInCell="1" allowOverlap="1">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455930"/>
                      </a:xfrm>
                      <a:prstGeom prst="rect">
                        <a:avLst/>
                      </a:prstGeom>
                      <a:noFill/>
                      <a:ln w="6350">
                        <a:noFill/>
                      </a:ln>
                    </wps:spPr>
                    <wps:txbx>
                      <w:txbxContent>
                        <w:p w:rsidR="00A5605A" w:rsidRPr="00EE06A0"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8F466C">
                            <w:rPr>
                              <w:rFonts w:ascii="Calibri" w:hAnsi="Calibri" w:cs="Calibri" w:hint="cs"/>
                              <w:color w:val="FFFFFF" w:themeColor="background1"/>
                              <w:spacing w:val="80"/>
                              <w:sz w:val="28"/>
                              <w:szCs w:val="36"/>
                              <w:rtl/>
                            </w:rPr>
                            <w:t xml:space="preserve"> י"א</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3" o:spid="_x0000_s2061" type="#_x0000_t202" style="width:233pt;height:35.9pt;margin-top:113.95pt;margin-left:0;mso-position-horizontal:center;mso-position-horizontal-relative:page;mso-wrap-distance-bottom:0;mso-wrap-distance-left:9pt;mso-wrap-distance-right:9pt;mso-wrap-distance-top:0;mso-wrap-style:square;position:absolute;visibility:visible;v-text-anchor:top;z-index:251668480" filled="f" stroked="f" strokeweight="0.5pt">
              <v:textbox>
                <w:txbxContent>
                  <w:p w:rsidR="00A5605A" w:rsidRPr="00EE06A0"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8F466C">
                      <w:rPr>
                        <w:rFonts w:ascii="Calibri" w:hAnsi="Calibri" w:cs="Calibri" w:hint="cs"/>
                        <w:color w:val="FFFFFF" w:themeColor="background1"/>
                        <w:spacing w:val="80"/>
                        <w:sz w:val="28"/>
                        <w:szCs w:val="36"/>
                        <w:rtl/>
                      </w:rPr>
                      <w:t xml:space="preserve"> י"א</w:t>
                    </w:r>
                  </w:p>
                </w:txbxContent>
              </v:textbox>
            </v:shape>
          </w:pict>
        </mc:Fallback>
      </mc:AlternateContent>
    </w:r>
    <w:r w:rsidR="0011074F">
      <w:rPr>
        <w:rFonts w:asciiTheme="minorHAnsi" w:hAnsiTheme="minorHAnsi" w:cs="Calibri"/>
        <w:noProof/>
        <w:color w:val="002060"/>
        <w:szCs w:val="20"/>
        <w:rtl/>
        <w:lang w:val="he-IL"/>
      </w:rPr>
      <mc:AlternateContent>
        <mc:Choice Requires="wps">
          <w:drawing>
            <wp:anchor distT="0" distB="0" distL="114300" distR="114300" simplePos="0" relativeHeight="251666432" behindDoc="0" locked="0" layoutInCell="1" allowOverlap="1">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xmlns:wps="http://schemas.microsoft.com/office/word/2010/wordprocessingShape">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מחבר ישר 16" o:spid="_x0000_s2062" style="mso-wrap-distance-bottom:0;mso-wrap-distance-left:9pt;mso-wrap-distance-right:9pt;mso-wrap-distance-top:0;mso-wrap-style:square;position:absolute;visibility:visible;z-index:251670528" from="160.8pt,155.9pt" to="292.8pt,155.9pt" strokecolor="#002060"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789A" w:rsidRPr="00FB414E" w:rsidP="00FB414E">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438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604586"/>
                        <a:chOff x="31750" y="0"/>
                        <a:chExt cx="6150310" cy="604586"/>
                      </a:xfrm>
                    </wpg:grpSpPr>
                    <wps:wsp xmlns:wps="http://schemas.microsoft.com/office/word/2010/wordprocessingShape">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2066" style="width:484.3pt;height:47.6pt;margin-top:-7.45pt;margin-left:-15.2pt;mso-height-relative:margin;mso-width-relative:margin;position:absolute;z-index:251665408" coordorigin="317,0" coordsize="61503,6045">
              <v:line id="מחבר ישר 1166979208" o:spid="_x0000_s2067"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68" type="#_x0000_t202" style="width:31642;height:2857;flip:x;left:30178;mso-wrap-style:square;position:absolute;visibility:visible;v-text-anchor:top" filled="f" stroked="f">
                <v:textbox>
                  <w:txbxContent>
                    <w:p w:rsidR="00C4789A" w:rsidRPr="0062451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2069" type="#_x0000_t202" style="width:31642;height:2857;flip:x;left:317;mso-wrap-style:square;position:absolute;top:3188;visibility:visible;v-text-anchor:top" filled="f" stroked="f">
                <v:textbox>
                  <w:txbxContent>
                    <w:p w:rsidR="00C4789A" w:rsidRPr="0062451B"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2070" type="#_x0000_t202" style="width:35452;height:2858;flip:x;left:26326;mso-wrap-style:square;position:absolute;top:3181;visibility:visible;v-text-anchor:top" filled="f" stroked="f">
                <v:textbox>
                  <w:txbxContent>
                    <w:p w:rsidR="00C4789A" w:rsidRPr="001E204F"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pt" o:bullet="t">
        <v:imagedata r:id="rId1" o:title="hand-red"/>
      </v:shape>
    </w:pict>
  </w:numPicBullet>
  <w:numPicBullet w:numPicBulletId="1">
    <w:pict>
      <v:shape id="_x0000_i1026" type="#_x0000_t75" style="width:255pt;height:255pt" o:bullet="t">
        <v:imagedata r:id="rId2" o:title=""/>
      </v:shape>
    </w:pict>
  </w:numPicBullet>
  <w:abstractNum w:abstractNumId="0">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1">
    <w:nsid w:val="0CBD5F52"/>
    <w:multiLevelType w:val="hybridMultilevel"/>
    <w:tmpl w:val="D94CDEE4"/>
    <w:lvl w:ilvl="0">
      <w:start w:val="1"/>
      <w:numFmt w:val="decimal"/>
      <w:lvlText w:val="%1."/>
      <w:lvlJc w:val="left"/>
      <w:pPr>
        <w:ind w:left="397" w:hanging="397"/>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697B12"/>
    <w:multiLevelType w:val="hybridMultilevel"/>
    <w:tmpl w:val="30EA0890"/>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806966"/>
    <w:multiLevelType w:val="hybridMultilevel"/>
    <w:tmpl w:val="FC6ED52C"/>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CF648D2"/>
    <w:multiLevelType w:val="hybridMultilevel"/>
    <w:tmpl w:val="E2B6F6AA"/>
    <w:lvl w:ilvl="0">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5">
    <w:nsid w:val="1D587F94"/>
    <w:multiLevelType w:val="hybridMultilevel"/>
    <w:tmpl w:val="FF2AB340"/>
    <w:lvl w:ilvl="0">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DB951A8"/>
    <w:multiLevelType w:val="hybridMultilevel"/>
    <w:tmpl w:val="477266D6"/>
    <w:lvl w:ilvl="0">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7">
    <w:nsid w:val="2EC744C3"/>
    <w:multiLevelType w:val="hybridMultilevel"/>
    <w:tmpl w:val="4A68CCE0"/>
    <w:lvl w:ilvl="0">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9">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0">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1">
    <w:nsid w:val="355B1DDE"/>
    <w:multiLevelType w:val="hybridMultilevel"/>
    <w:tmpl w:val="0382FD12"/>
    <w:lvl w:ilvl="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92E622D"/>
    <w:multiLevelType w:val="hybridMultilevel"/>
    <w:tmpl w:val="7D5E01EA"/>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13">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4">
    <w:nsid w:val="3B0B597E"/>
    <w:multiLevelType w:val="hybridMultilevel"/>
    <w:tmpl w:val="C582C6B2"/>
    <w:lvl w:ilvl="0">
      <w:start w:val="0"/>
      <w:numFmt w:val="bullet"/>
      <w:lvlText w:val="•"/>
      <w:lvlJc w:val="left"/>
      <w:pPr>
        <w:ind w:left="1003" w:hanging="360"/>
      </w:pPr>
      <w:rPr>
        <w:rFonts w:ascii="Tahoma" w:hAnsi="Tahoma" w:eastAsiaTheme="minorHAnsi" w:cs="Tahoma" w:hint="default"/>
        <w:b/>
        <w:i w:val="0"/>
        <w:caps w:val="0"/>
        <w:strike w:val="0"/>
        <w:dstrike w:val="0"/>
        <w:vanish w:val="0"/>
        <w:color w:val="FF0000"/>
        <w:position w:val="0"/>
        <w:sz w:val="21"/>
        <w:szCs w:val="25"/>
        <w:vertAlign w:val="baseline"/>
        <w14:ligatures w14:val="all"/>
        <w14:numForm w14:val="default"/>
        <w14:numSpacing w14:val="default"/>
        <w14:stylisticSets xmlns:w14="http://schemas.microsoft.com/office/word/2010/wordml"/>
      </w:rPr>
    </w:lvl>
    <w:lvl w:ilvl="1">
      <w:start w:val="0"/>
      <w:numFmt w:val="bullet"/>
      <w:lvlText w:val="•"/>
      <w:lvlJc w:val="left"/>
      <w:pPr>
        <w:ind w:left="1528" w:hanging="165"/>
      </w:pPr>
      <w:rPr>
        <w:rFonts w:ascii="Tahoma" w:hAnsi="Tahoma" w:eastAsiaTheme="minorHAnsi" w:cs="Tahoma" w:hint="default"/>
        <w:b/>
        <w:color w:val="FF0000"/>
        <w:sz w:val="21"/>
      </w:rPr>
    </w:lvl>
    <w:lvl w:ilvl="2" w:tentative="1">
      <w:start w:val="1"/>
      <w:numFmt w:val="bullet"/>
      <w:lvlText w:val=""/>
      <w:lvlJc w:val="left"/>
      <w:pPr>
        <w:ind w:left="2443" w:hanging="360"/>
      </w:pPr>
      <w:rPr>
        <w:rFonts w:ascii="Wingdings" w:hAnsi="Wingdings" w:hint="default"/>
      </w:rPr>
    </w:lvl>
    <w:lvl w:ilvl="3" w:tentative="1">
      <w:start w:val="1"/>
      <w:numFmt w:val="bullet"/>
      <w:lvlText w:val=""/>
      <w:lvlJc w:val="left"/>
      <w:pPr>
        <w:ind w:left="3163" w:hanging="360"/>
      </w:pPr>
      <w:rPr>
        <w:rFonts w:ascii="Symbol" w:hAnsi="Symbol" w:hint="default"/>
      </w:rPr>
    </w:lvl>
    <w:lvl w:ilvl="4" w:tentative="1">
      <w:start w:val="1"/>
      <w:numFmt w:val="bullet"/>
      <w:lvlText w:val="o"/>
      <w:lvlJc w:val="left"/>
      <w:pPr>
        <w:ind w:left="3883" w:hanging="360"/>
      </w:pPr>
      <w:rPr>
        <w:rFonts w:ascii="Courier New" w:hAnsi="Courier New" w:cs="Courier New" w:hint="default"/>
      </w:rPr>
    </w:lvl>
    <w:lvl w:ilvl="5" w:tentative="1">
      <w:start w:val="1"/>
      <w:numFmt w:val="bullet"/>
      <w:lvlText w:val=""/>
      <w:lvlJc w:val="left"/>
      <w:pPr>
        <w:ind w:left="4603" w:hanging="360"/>
      </w:pPr>
      <w:rPr>
        <w:rFonts w:ascii="Wingdings" w:hAnsi="Wingdings" w:hint="default"/>
      </w:rPr>
    </w:lvl>
    <w:lvl w:ilvl="6" w:tentative="1">
      <w:start w:val="1"/>
      <w:numFmt w:val="bullet"/>
      <w:lvlText w:val=""/>
      <w:lvlJc w:val="left"/>
      <w:pPr>
        <w:ind w:left="5323" w:hanging="360"/>
      </w:pPr>
      <w:rPr>
        <w:rFonts w:ascii="Symbol" w:hAnsi="Symbol" w:hint="default"/>
      </w:rPr>
    </w:lvl>
    <w:lvl w:ilvl="7" w:tentative="1">
      <w:start w:val="1"/>
      <w:numFmt w:val="bullet"/>
      <w:lvlText w:val="o"/>
      <w:lvlJc w:val="left"/>
      <w:pPr>
        <w:ind w:left="6043" w:hanging="360"/>
      </w:pPr>
      <w:rPr>
        <w:rFonts w:ascii="Courier New" w:hAnsi="Courier New" w:cs="Courier New" w:hint="default"/>
      </w:rPr>
    </w:lvl>
    <w:lvl w:ilvl="8" w:tentative="1">
      <w:start w:val="1"/>
      <w:numFmt w:val="bullet"/>
      <w:lvlText w:val=""/>
      <w:lvlJc w:val="left"/>
      <w:pPr>
        <w:ind w:left="6763" w:hanging="360"/>
      </w:pPr>
      <w:rPr>
        <w:rFonts w:ascii="Wingdings" w:hAnsi="Wingdings" w:hint="default"/>
      </w:rPr>
    </w:lvl>
  </w:abstractNum>
  <w:abstractNum w:abstractNumId="15">
    <w:nsid w:val="3DFC3F2B"/>
    <w:multiLevelType w:val="hybridMultilevel"/>
    <w:tmpl w:val="27902D54"/>
    <w:lvl w:ilvl="0">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7">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18">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19">
    <w:nsid w:val="59F011FB"/>
    <w:multiLevelType w:val="hybridMultilevel"/>
    <w:tmpl w:val="FBB8779C"/>
    <w:lvl w:ilvl="0">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079445E"/>
    <w:multiLevelType w:val="hybridMultilevel"/>
    <w:tmpl w:val="CDCA638E"/>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5D5678F"/>
    <w:multiLevelType w:val="hybridMultilevel"/>
    <w:tmpl w:val="8844FB18"/>
    <w:lvl w:ilvl="0">
      <w:start w:val="1"/>
      <w:numFmt w:val="bullet"/>
      <w:lvlText w:val=""/>
      <w:lvlJc w:val="left"/>
      <w:pPr>
        <w:ind w:left="1080" w:hanging="360"/>
      </w:pPr>
      <w:rPr>
        <w:rFonts w:ascii="Symbol" w:hAnsi="Symbol" w:hint="default"/>
        <w:color w:val="FF0000"/>
        <w:lang w:val="en-U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3">
    <w:nsid w:val="6699458C"/>
    <w:multiLevelType w:val="hybridMultilevel"/>
    <w:tmpl w:val="B9E2BA9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778F7677"/>
    <w:multiLevelType w:val="hybridMultilevel"/>
    <w:tmpl w:val="257EC434"/>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1576"/>
    <w:rsid w:val="00003B77"/>
    <w:rsid w:val="000120E2"/>
    <w:rsid w:val="0001735B"/>
    <w:rsid w:val="00030DCF"/>
    <w:rsid w:val="000314B9"/>
    <w:rsid w:val="00042837"/>
    <w:rsid w:val="000501A4"/>
    <w:rsid w:val="000532AA"/>
    <w:rsid w:val="00060CDC"/>
    <w:rsid w:val="00084768"/>
    <w:rsid w:val="00092F16"/>
    <w:rsid w:val="000A39C5"/>
    <w:rsid w:val="000B1102"/>
    <w:rsid w:val="000B463F"/>
    <w:rsid w:val="000C6528"/>
    <w:rsid w:val="000C7459"/>
    <w:rsid w:val="000D221E"/>
    <w:rsid w:val="000E013E"/>
    <w:rsid w:val="000F57EE"/>
    <w:rsid w:val="000F7725"/>
    <w:rsid w:val="00101958"/>
    <w:rsid w:val="00101D0F"/>
    <w:rsid w:val="00103765"/>
    <w:rsid w:val="0011074F"/>
    <w:rsid w:val="00113E28"/>
    <w:rsid w:val="00114325"/>
    <w:rsid w:val="00127774"/>
    <w:rsid w:val="00155B7A"/>
    <w:rsid w:val="00164D9B"/>
    <w:rsid w:val="00166477"/>
    <w:rsid w:val="001730B0"/>
    <w:rsid w:val="001960B4"/>
    <w:rsid w:val="0019747C"/>
    <w:rsid w:val="001A3BBC"/>
    <w:rsid w:val="001A613C"/>
    <w:rsid w:val="001B2821"/>
    <w:rsid w:val="001C057E"/>
    <w:rsid w:val="001C33F8"/>
    <w:rsid w:val="001C6185"/>
    <w:rsid w:val="001D3DA9"/>
    <w:rsid w:val="001E204F"/>
    <w:rsid w:val="001F0CD9"/>
    <w:rsid w:val="00203604"/>
    <w:rsid w:val="002064F7"/>
    <w:rsid w:val="00212D9D"/>
    <w:rsid w:val="002301B3"/>
    <w:rsid w:val="0023497D"/>
    <w:rsid w:val="00240887"/>
    <w:rsid w:val="00246ACB"/>
    <w:rsid w:val="002602F0"/>
    <w:rsid w:val="00263521"/>
    <w:rsid w:val="0026788A"/>
    <w:rsid w:val="00276705"/>
    <w:rsid w:val="00291629"/>
    <w:rsid w:val="002A7D21"/>
    <w:rsid w:val="002B55E8"/>
    <w:rsid w:val="002C0C75"/>
    <w:rsid w:val="002C0FD0"/>
    <w:rsid w:val="002C1EE0"/>
    <w:rsid w:val="002C4139"/>
    <w:rsid w:val="002C7A46"/>
    <w:rsid w:val="002C7FEF"/>
    <w:rsid w:val="00301153"/>
    <w:rsid w:val="0030602D"/>
    <w:rsid w:val="00310345"/>
    <w:rsid w:val="00313DEA"/>
    <w:rsid w:val="0032268D"/>
    <w:rsid w:val="00323027"/>
    <w:rsid w:val="00330009"/>
    <w:rsid w:val="00340353"/>
    <w:rsid w:val="00366974"/>
    <w:rsid w:val="0036735A"/>
    <w:rsid w:val="0037370B"/>
    <w:rsid w:val="0037752E"/>
    <w:rsid w:val="0037780B"/>
    <w:rsid w:val="00380052"/>
    <w:rsid w:val="00386E9B"/>
    <w:rsid w:val="0039199C"/>
    <w:rsid w:val="0039415D"/>
    <w:rsid w:val="003B1B12"/>
    <w:rsid w:val="003C49B0"/>
    <w:rsid w:val="003D61C6"/>
    <w:rsid w:val="003D708B"/>
    <w:rsid w:val="003E32D2"/>
    <w:rsid w:val="003E58C2"/>
    <w:rsid w:val="003E6853"/>
    <w:rsid w:val="003F2E19"/>
    <w:rsid w:val="00411396"/>
    <w:rsid w:val="0042177E"/>
    <w:rsid w:val="00450C77"/>
    <w:rsid w:val="004562F8"/>
    <w:rsid w:val="004672FB"/>
    <w:rsid w:val="004779AA"/>
    <w:rsid w:val="00493AB8"/>
    <w:rsid w:val="004A0385"/>
    <w:rsid w:val="004A0D80"/>
    <w:rsid w:val="004C7D9F"/>
    <w:rsid w:val="004E2733"/>
    <w:rsid w:val="004E488A"/>
    <w:rsid w:val="004F0AB4"/>
    <w:rsid w:val="004F22C1"/>
    <w:rsid w:val="005006C5"/>
    <w:rsid w:val="00524C99"/>
    <w:rsid w:val="00551B42"/>
    <w:rsid w:val="00551FF7"/>
    <w:rsid w:val="00574579"/>
    <w:rsid w:val="00577CAE"/>
    <w:rsid w:val="00580C5C"/>
    <w:rsid w:val="005A021D"/>
    <w:rsid w:val="005A09B4"/>
    <w:rsid w:val="005B2688"/>
    <w:rsid w:val="005C3049"/>
    <w:rsid w:val="005C7ABF"/>
    <w:rsid w:val="005D135D"/>
    <w:rsid w:val="005D2CBD"/>
    <w:rsid w:val="005D7324"/>
    <w:rsid w:val="005E62A6"/>
    <w:rsid w:val="005F4A6D"/>
    <w:rsid w:val="00602674"/>
    <w:rsid w:val="0062451B"/>
    <w:rsid w:val="0062456C"/>
    <w:rsid w:val="00634DAD"/>
    <w:rsid w:val="0063556C"/>
    <w:rsid w:val="0063663E"/>
    <w:rsid w:val="006378E0"/>
    <w:rsid w:val="00640B60"/>
    <w:rsid w:val="006457EB"/>
    <w:rsid w:val="006531CB"/>
    <w:rsid w:val="006569CD"/>
    <w:rsid w:val="006615C6"/>
    <w:rsid w:val="006A0446"/>
    <w:rsid w:val="006A56C2"/>
    <w:rsid w:val="006A646E"/>
    <w:rsid w:val="006B1593"/>
    <w:rsid w:val="006B7706"/>
    <w:rsid w:val="006C4033"/>
    <w:rsid w:val="006D4161"/>
    <w:rsid w:val="006D4240"/>
    <w:rsid w:val="006D779B"/>
    <w:rsid w:val="006D786C"/>
    <w:rsid w:val="006E1414"/>
    <w:rsid w:val="006F285F"/>
    <w:rsid w:val="007157A4"/>
    <w:rsid w:val="00716AFD"/>
    <w:rsid w:val="0072219B"/>
    <w:rsid w:val="007474F0"/>
    <w:rsid w:val="00753ADE"/>
    <w:rsid w:val="00773F61"/>
    <w:rsid w:val="00791DF7"/>
    <w:rsid w:val="007A4EBD"/>
    <w:rsid w:val="007B112B"/>
    <w:rsid w:val="007B5B26"/>
    <w:rsid w:val="007B691A"/>
    <w:rsid w:val="007C1FF6"/>
    <w:rsid w:val="007D61B8"/>
    <w:rsid w:val="007E24BD"/>
    <w:rsid w:val="007F7DF3"/>
    <w:rsid w:val="007F7FF2"/>
    <w:rsid w:val="00805B42"/>
    <w:rsid w:val="008102AD"/>
    <w:rsid w:val="00824AB2"/>
    <w:rsid w:val="0083106F"/>
    <w:rsid w:val="00837997"/>
    <w:rsid w:val="00846FFB"/>
    <w:rsid w:val="008654CB"/>
    <w:rsid w:val="00867FC5"/>
    <w:rsid w:val="008850C5"/>
    <w:rsid w:val="0088743F"/>
    <w:rsid w:val="00892F80"/>
    <w:rsid w:val="00897698"/>
    <w:rsid w:val="008A2E0E"/>
    <w:rsid w:val="008B4F41"/>
    <w:rsid w:val="008B5B82"/>
    <w:rsid w:val="008C1428"/>
    <w:rsid w:val="008C6F75"/>
    <w:rsid w:val="008D750B"/>
    <w:rsid w:val="008F466C"/>
    <w:rsid w:val="009015B2"/>
    <w:rsid w:val="00906E90"/>
    <w:rsid w:val="0091051D"/>
    <w:rsid w:val="00936F84"/>
    <w:rsid w:val="00940851"/>
    <w:rsid w:val="00961F73"/>
    <w:rsid w:val="009679D9"/>
    <w:rsid w:val="009912C8"/>
    <w:rsid w:val="009961E8"/>
    <w:rsid w:val="009A6817"/>
    <w:rsid w:val="009B0AEC"/>
    <w:rsid w:val="009B497A"/>
    <w:rsid w:val="009C6066"/>
    <w:rsid w:val="009D45C5"/>
    <w:rsid w:val="009D73F5"/>
    <w:rsid w:val="009E1A3F"/>
    <w:rsid w:val="009E2F40"/>
    <w:rsid w:val="009E37AC"/>
    <w:rsid w:val="009E53CF"/>
    <w:rsid w:val="009F0BD3"/>
    <w:rsid w:val="00A055D0"/>
    <w:rsid w:val="00A222E2"/>
    <w:rsid w:val="00A30B00"/>
    <w:rsid w:val="00A5605A"/>
    <w:rsid w:val="00A61AD5"/>
    <w:rsid w:val="00A61C84"/>
    <w:rsid w:val="00A73038"/>
    <w:rsid w:val="00A76C99"/>
    <w:rsid w:val="00A81EBE"/>
    <w:rsid w:val="00AB465B"/>
    <w:rsid w:val="00AB6435"/>
    <w:rsid w:val="00AB66C8"/>
    <w:rsid w:val="00AC6B95"/>
    <w:rsid w:val="00AD1000"/>
    <w:rsid w:val="00AE4BB7"/>
    <w:rsid w:val="00AE741B"/>
    <w:rsid w:val="00AF3B73"/>
    <w:rsid w:val="00B00E5C"/>
    <w:rsid w:val="00B04068"/>
    <w:rsid w:val="00B14FC8"/>
    <w:rsid w:val="00B40090"/>
    <w:rsid w:val="00B4321D"/>
    <w:rsid w:val="00B53544"/>
    <w:rsid w:val="00B64110"/>
    <w:rsid w:val="00B666B9"/>
    <w:rsid w:val="00B75E06"/>
    <w:rsid w:val="00B76DC1"/>
    <w:rsid w:val="00B862C0"/>
    <w:rsid w:val="00BD0330"/>
    <w:rsid w:val="00BD2291"/>
    <w:rsid w:val="00BD291C"/>
    <w:rsid w:val="00BE22D7"/>
    <w:rsid w:val="00BE2DD8"/>
    <w:rsid w:val="00C00C17"/>
    <w:rsid w:val="00C2305A"/>
    <w:rsid w:val="00C23B44"/>
    <w:rsid w:val="00C23CC9"/>
    <w:rsid w:val="00C30B3D"/>
    <w:rsid w:val="00C33AE2"/>
    <w:rsid w:val="00C34319"/>
    <w:rsid w:val="00C36C5E"/>
    <w:rsid w:val="00C44DB6"/>
    <w:rsid w:val="00C4664C"/>
    <w:rsid w:val="00C4789A"/>
    <w:rsid w:val="00C64F02"/>
    <w:rsid w:val="00C66ECA"/>
    <w:rsid w:val="00C75A49"/>
    <w:rsid w:val="00C8096C"/>
    <w:rsid w:val="00C8100B"/>
    <w:rsid w:val="00C92141"/>
    <w:rsid w:val="00CA38DE"/>
    <w:rsid w:val="00CA41D2"/>
    <w:rsid w:val="00CA4EB1"/>
    <w:rsid w:val="00CA4F20"/>
    <w:rsid w:val="00CD5320"/>
    <w:rsid w:val="00CD6EEC"/>
    <w:rsid w:val="00CF6518"/>
    <w:rsid w:val="00D22748"/>
    <w:rsid w:val="00D26918"/>
    <w:rsid w:val="00D37121"/>
    <w:rsid w:val="00D57BE9"/>
    <w:rsid w:val="00D71966"/>
    <w:rsid w:val="00D726D3"/>
    <w:rsid w:val="00D779F7"/>
    <w:rsid w:val="00D87542"/>
    <w:rsid w:val="00D95C20"/>
    <w:rsid w:val="00D97C16"/>
    <w:rsid w:val="00DA3406"/>
    <w:rsid w:val="00DA67CB"/>
    <w:rsid w:val="00DB2E3A"/>
    <w:rsid w:val="00DB6E18"/>
    <w:rsid w:val="00DC430C"/>
    <w:rsid w:val="00DE1DAB"/>
    <w:rsid w:val="00DE20A2"/>
    <w:rsid w:val="00DF0B89"/>
    <w:rsid w:val="00E35682"/>
    <w:rsid w:val="00E46EA3"/>
    <w:rsid w:val="00E51C1B"/>
    <w:rsid w:val="00E52143"/>
    <w:rsid w:val="00E53DA7"/>
    <w:rsid w:val="00E678C7"/>
    <w:rsid w:val="00E725B9"/>
    <w:rsid w:val="00EC6B44"/>
    <w:rsid w:val="00EE06A0"/>
    <w:rsid w:val="00EE37A3"/>
    <w:rsid w:val="00EE407E"/>
    <w:rsid w:val="00F30558"/>
    <w:rsid w:val="00F4385E"/>
    <w:rsid w:val="00F51DD6"/>
    <w:rsid w:val="00F56CE4"/>
    <w:rsid w:val="00F627EB"/>
    <w:rsid w:val="00F66FC8"/>
    <w:rsid w:val="00F75A10"/>
    <w:rsid w:val="00F77276"/>
    <w:rsid w:val="00F86C1B"/>
    <w:rsid w:val="00F92629"/>
    <w:rsid w:val="00F95853"/>
    <w:rsid w:val="00FA48C8"/>
    <w:rsid w:val="00FB3F26"/>
    <w:rsid w:val="00FB414E"/>
    <w:rsid w:val="00FC3213"/>
    <w:rsid w:val="00FC48C6"/>
    <w:rsid w:val="00FD4712"/>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49B0"/>
    <w:pPr>
      <w:bidi/>
      <w:spacing w:after="0" w:line="312" w:lineRule="auto"/>
    </w:pPr>
  </w:style>
  <w:style w:type="paragraph" w:styleId="Heading1">
    <w:name w:val="heading 1"/>
    <w:basedOn w:val="Normal"/>
    <w:next w:val="Normal"/>
    <w:link w:val="1"/>
    <w:uiPriority w:val="9"/>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9"/>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9"/>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9"/>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9"/>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9"/>
    <w:rsid w:val="006D786C"/>
    <w:rPr>
      <w:rFonts w:eastAsiaTheme="majorEastAsia"/>
      <w:bCs/>
      <w:szCs w:val="28"/>
      <w:u w:val="single"/>
    </w:rPr>
  </w:style>
  <w:style w:type="character" w:customStyle="1" w:styleId="4">
    <w:name w:val="כותרת 4 תו"/>
    <w:basedOn w:val="DefaultParagraphFont"/>
    <w:link w:val="Heading4"/>
    <w:uiPriority w:val="9"/>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1 תו,FOOTNOTES תו,Footnote Text - Sharp Char Char תו,Footnote Text - Sharp Char תו,Footnote Text - Sharp תו,Footnote Text Char Char Char Char Char תו,Footnote reference תו,Sharp - Footnote Text תו,fn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Number,Num Bullet 1,Use Case List Paragraph,style 2,פיסקת רשימה1"/>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Num Bullet 1 תו,Use Case List Paragraph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32268D"/>
    <w:rPr>
      <w:rFonts w:ascii="Tahoma" w:hAnsi="Tahoma" w:cs="Tahoma"/>
      <w:color w:val="0D0D0D" w:themeColor="text1" w:themeTint="F2"/>
      <w:sz w:val="18"/>
      <w:szCs w:val="18"/>
    </w:rPr>
  </w:style>
  <w:style w:type="paragraph" w:customStyle="1" w:styleId="71">
    <w:name w:val="71ג הערות שוליים"/>
    <w:basedOn w:val="FootnoteText"/>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DefaultParagraphFont"/>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Normal"/>
    <w:link w:val="2021Char"/>
    <w:qFormat/>
    <w:rsid w:val="00BE22D7"/>
    <w:pPr>
      <w:spacing w:before="120" w:line="240" w:lineRule="auto"/>
      <w:jc w:val="left"/>
      <w:outlineLvl w:val="0"/>
    </w:pPr>
    <w:rPr>
      <w:rFonts w:ascii="Tahoma" w:hAnsi="Tahoma" w:eastAsiaTheme="minorEastAsia" w:cs="Tahoma"/>
      <w:b/>
      <w:bCs/>
      <w:color w:val="0D0D0D" w:themeColor="text1" w:themeTint="F2"/>
      <w:sz w:val="36"/>
      <w:szCs w:val="36"/>
    </w:rPr>
  </w:style>
  <w:style w:type="character" w:customStyle="1" w:styleId="2021Char">
    <w:name w:val="מספרים גדולים בטבלת תקציר 2021 Char"/>
    <w:basedOn w:val="DefaultParagraphFont"/>
    <w:link w:val="2021"/>
    <w:rsid w:val="00BE22D7"/>
    <w:rPr>
      <w:rFonts w:ascii="Tahoma" w:hAnsi="Tahoma" w:eastAsiaTheme="minorEastAsia" w:cs="Tahoma"/>
      <w:b/>
      <w:bCs/>
      <w:color w:val="0D0D0D" w:themeColor="text1" w:themeTint="F2"/>
      <w:sz w:val="36"/>
      <w:szCs w:val="36"/>
    </w:rPr>
  </w:style>
  <w:style w:type="paragraph" w:customStyle="1" w:styleId="732021">
    <w:name w:val="73א כיתוב בתוך טבלת תקציר 2021"/>
    <w:basedOn w:val="Normal"/>
    <w:link w:val="7320210"/>
    <w:qFormat/>
    <w:rsid w:val="00BE22D7"/>
    <w:pPr>
      <w:keepNext/>
      <w:spacing w:before="60" w:after="180" w:line="260" w:lineRule="exact"/>
      <w:jc w:val="left"/>
      <w:outlineLvl w:val="0"/>
    </w:pPr>
    <w:rPr>
      <w:rFonts w:ascii="Tahoma" w:hAnsi="Tahoma" w:eastAsiaTheme="minorEastAsia" w:cs="Tahoma"/>
      <w:color w:val="0D0D0D" w:themeColor="text1" w:themeTint="F2"/>
      <w:w w:val="90"/>
      <w:sz w:val="18"/>
      <w:szCs w:val="18"/>
    </w:rPr>
  </w:style>
  <w:style w:type="character" w:customStyle="1" w:styleId="7320210">
    <w:name w:val="73א כיתוב בתוך טבלת תקציר 2021 תו"/>
    <w:basedOn w:val="DefaultParagraphFont"/>
    <w:link w:val="732021"/>
    <w:rsid w:val="00BE22D7"/>
    <w:rPr>
      <w:rFonts w:ascii="Tahoma" w:hAnsi="Tahoma" w:eastAsiaTheme="minorEastAsia" w:cs="Tahoma"/>
      <w:color w:val="0D0D0D" w:themeColor="text1" w:themeTint="F2"/>
      <w:w w:val="90"/>
      <w:sz w:val="18"/>
      <w:szCs w:val="18"/>
    </w:rPr>
  </w:style>
  <w:style w:type="paragraph" w:customStyle="1" w:styleId="73">
    <w:name w:val="73א הזחה ראשונה ללא מספר"/>
    <w:basedOn w:val="Normal"/>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Normal"/>
    <w:qFormat/>
    <w:rsid w:val="00BE22D7"/>
    <w:pPr>
      <w:keepNext/>
      <w:keepLines/>
      <w:pBdr>
        <w:top w:val="double" w:sz="12" w:space="5" w:color="auto"/>
      </w:pBdr>
      <w:spacing w:before="480" w:after="360" w:line="240" w:lineRule="atLeast"/>
      <w:jc w:val="left"/>
    </w:pPr>
    <w:rPr>
      <w:rFonts w:ascii="Tahoma" w:hAnsi="Tahoma" w:eastAsiaTheme="minorEastAsia" w:cs="Tahoma"/>
      <w:b/>
      <w:bCs/>
      <w:noProof/>
      <w:color w:val="00305F"/>
      <w:sz w:val="31"/>
      <w:szCs w:val="31"/>
      <w:lang w:val="he-IL"/>
    </w:rPr>
  </w:style>
  <w:style w:type="character" w:customStyle="1" w:styleId="737">
    <w:name w:val="73א כותרת 7 הדגשת קטע בטקסט רץ תו"/>
    <w:basedOn w:val="DefaultParagraphFont"/>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Normal"/>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DefaultParagraphFont"/>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Normal"/>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DefaultParagraphFont"/>
    <w:link w:val="733"/>
    <w:rsid w:val="00BE22D7"/>
    <w:rPr>
      <w:rFonts w:ascii="Tahoma" w:hAnsi="Tahoma" w:cs="Tahoma"/>
      <w:b/>
      <w:bCs/>
      <w:color w:val="FFFFFF" w:themeColor="background1"/>
      <w:sz w:val="22"/>
      <w:szCs w:val="22"/>
    </w:rPr>
  </w:style>
  <w:style w:type="character" w:styleId="PageNumber">
    <w:name w:val="page number"/>
    <w:basedOn w:val="DefaultParagraphFont"/>
    <w:uiPriority w:val="99"/>
    <w:semiHidden/>
    <w:unhideWhenUsed/>
    <w:rsid w:val="005C3049"/>
  </w:style>
  <w:style w:type="table" w:customStyle="1" w:styleId="26">
    <w:name w:val="רשת טבלה2"/>
    <w:basedOn w:val="TableNormal"/>
    <w:next w:val="TableGrid"/>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image" Target="media/image5.jpeg" /><Relationship Id="rId13" Type="http://schemas.openxmlformats.org/officeDocument/2006/relationships/image" Target="media/image6.jpeg" /><Relationship Id="rId14" Type="http://schemas.openxmlformats.org/officeDocument/2006/relationships/image" Target="media/image7.jpeg" /><Relationship Id="rId15" Type="http://schemas.openxmlformats.org/officeDocument/2006/relationships/image" Target="media/image8.jpeg" /><Relationship Id="rId16" Type="http://schemas.openxmlformats.org/officeDocument/2006/relationships/image" Target="media/image9.jpeg" /><Relationship Id="rId17" Type="http://schemas.openxmlformats.org/officeDocument/2006/relationships/image" Target="media/image10.jpeg" /><Relationship Id="rId18" Type="http://schemas.openxmlformats.org/officeDocument/2006/relationships/image" Target="media/image11.jpeg" /><Relationship Id="rId19" Type="http://schemas.openxmlformats.org/officeDocument/2006/relationships/image" Target="media/image12.jpeg"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header" Target="header3.xml" /><Relationship Id="rId23" Type="http://schemas.openxmlformats.org/officeDocument/2006/relationships/footer" Target="footer1.xml" /><Relationship Id="rId24" Type="http://schemas.openxmlformats.org/officeDocument/2006/relationships/header" Target="header4.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jpeg" /></Relationships>
</file>

<file path=word/_rels/numbering.xml.rels><?xml version="1.0" encoding="utf-8" standalone="yes"?><Relationships xmlns="http://schemas.openxmlformats.org/package/2006/relationships"><Relationship Id="rId1" Type="http://schemas.openxmlformats.org/officeDocument/2006/relationships/image" Target="media/image13.png" /><Relationship Id="rId2" Type="http://schemas.openxmlformats.org/officeDocument/2006/relationships/image" Target="media/image14.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695EA-DDB8-4E4C-98F5-433B954965E7}">
  <ds:schemaRefs/>
</ds:datastoreItem>
</file>

<file path=customXml/itemProps2.xml><?xml version="1.0" encoding="utf-8"?>
<ds:datastoreItem xmlns:ds="http://schemas.openxmlformats.org/officeDocument/2006/customXml" ds:itemID="{DC5B836E-6674-46B2-BFB0-690C1AB80637}">
  <ds:schemaRefs/>
</ds:datastoreItem>
</file>

<file path=customXml/itemProps3.xml><?xml version="1.0" encoding="utf-8"?>
<ds:datastoreItem xmlns:ds="http://schemas.openxmlformats.org/officeDocument/2006/customXml" ds:itemID="{3E9D66F7-46A9-4589-8236-0CE4AA63BEF5}">
  <ds:schemaRefs>
    <ds:schemaRef ds:uri="http://purl.org/dc/elements/1.1/"/>
    <ds:schemaRef ds:uri="http://www.w3.org/XML/1998/namespace"/>
    <ds:schemaRef ds:uri="2427becb-8270-4354-8f06-4353a268df37"/>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microsoft.com/sharepoint/v3"/>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D90BA80-0E0F-4D37-8E20-A1D84DBF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