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F136B3" w:rsidP="006E1414">
      <w:pPr>
        <w:spacing w:before="3480" w:after="2040" w:line="800" w:lineRule="exact"/>
        <w:jc w:val="center"/>
        <w:rPr>
          <w:rFonts w:ascii="Calibri" w:hAnsi="Calibri" w:cs="Calibri"/>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r w:rsidRPr="00F136B3">
        <w:rPr>
          <w:rFonts w:ascii="Calibri" w:hAnsi="Calibri" w:cs="Calibri"/>
          <w:b/>
          <w:bCs/>
          <w:color w:val="002060"/>
          <w:sz w:val="80"/>
          <w:szCs w:val="80"/>
          <w:rtl/>
        </w:rPr>
        <w:t xml:space="preserve">ניהול המידע בקשר לטיפול במפונים </w:t>
      </w:r>
    </w:p>
    <w:tbl>
      <w:tblPr>
        <w:tblStyle w:val="af4"/>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AE4BB7" w:rsidTr="009E37AC">
        <w:trPr>
          <w:trHeight w:val="77"/>
        </w:trPr>
        <w:tc>
          <w:tcPr>
            <w:tcW w:w="9076" w:type="dxa"/>
          </w:tcPr>
          <w:p w:rsidR="00AE4BB7" w:rsidRPr="005F4A6D" w:rsidRDefault="00AE4BB7" w:rsidP="009E37AC">
            <w:pPr>
              <w:tabs>
                <w:tab w:val="left" w:pos="1122"/>
              </w:tabs>
              <w:spacing w:line="288" w:lineRule="auto"/>
              <w:jc w:val="left"/>
              <w:rPr>
                <w:sz w:val="2"/>
                <w:szCs w:val="4"/>
                <w:rtl/>
              </w:rPr>
            </w:pPr>
            <w:bookmarkStart w:id="0" w:name="_Hlk192594390"/>
          </w:p>
        </w:tc>
      </w:tr>
      <w:tr w:rsidR="00AE4BB7" w:rsidTr="009E37AC">
        <w:trPr>
          <w:trHeight w:val="1644"/>
        </w:trPr>
        <w:tc>
          <w:tcPr>
            <w:tcW w:w="9076" w:type="dxa"/>
          </w:tcPr>
          <w:p w:rsidR="009515F9" w:rsidRDefault="00430D1F" w:rsidP="009515F9">
            <w:pPr>
              <w:spacing w:before="120" w:line="240" w:lineRule="auto"/>
              <w:jc w:val="left"/>
              <w:rPr>
                <w:rFonts w:ascii="Tahoma" w:hAnsi="Tahoma" w:cs="Tahoma"/>
                <w:b/>
                <w:bCs/>
                <w:sz w:val="40"/>
                <w:szCs w:val="40"/>
                <w:rtl/>
              </w:rPr>
            </w:pPr>
            <w:r w:rsidRPr="00430D1F">
              <w:rPr>
                <w:rFonts w:ascii="Tahoma" w:hAnsi="Tahoma" w:cs="Tahoma"/>
                <w:b/>
                <w:bCs/>
                <w:sz w:val="40"/>
                <w:szCs w:val="40"/>
                <w:rtl/>
              </w:rPr>
              <w:t>ניהול המידע בקשר לטיפול במפונים</w:t>
            </w:r>
          </w:p>
          <w:p w:rsidR="00AE4BB7" w:rsidRDefault="00AE4BB7" w:rsidP="009E37AC">
            <w:pPr>
              <w:spacing w:before="120" w:line="288" w:lineRule="auto"/>
              <w:jc w:val="left"/>
            </w:pPr>
            <w:r>
              <w:rPr>
                <w:rFonts w:ascii="Tahoma" w:hAnsi="Tahoma" w:cs="Tahoma"/>
                <w:sz w:val="36"/>
                <w:szCs w:val="36"/>
                <w:rtl/>
              </w:rPr>
              <w:t>תקציר</w:t>
            </w:r>
          </w:p>
          <w:p w:rsidR="00AE4BB7" w:rsidRPr="006C4033" w:rsidRDefault="00AE4BB7" w:rsidP="009E37AC">
            <w:pPr>
              <w:spacing w:line="288" w:lineRule="auto"/>
              <w:ind w:left="-851"/>
              <w:jc w:val="left"/>
              <w:rPr>
                <w:rtl/>
              </w:rPr>
            </w:pPr>
          </w:p>
        </w:tc>
      </w:tr>
    </w:tbl>
    <w:p w:rsidR="00AE4BB7" w:rsidRPr="006C4033" w:rsidRDefault="00AE4BB7" w:rsidP="00AE4BB7">
      <w:pPr>
        <w:spacing w:line="288" w:lineRule="auto"/>
        <w:ind w:left="-284"/>
        <w:rPr>
          <w:rtl/>
        </w:rPr>
      </w:pPr>
      <w:r w:rsidRPr="006C4033">
        <w:rPr>
          <w:rFonts w:ascii="Tahoma" w:hAnsi="Tahoma" w:cs="Tahoma"/>
          <w:noProof/>
          <w:rtl/>
        </w:rPr>
        <w:drawing>
          <wp:inline distT="0" distB="0" distL="0" distR="0" wp14:anchorId="3734391D" wp14:editId="697FEDAA">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ED6905" w:rsidRDefault="00430D1F" w:rsidP="00430D1F">
      <w:pPr>
        <w:spacing w:after="200" w:line="276" w:lineRule="auto"/>
        <w:rPr>
          <w:rtl/>
        </w:rPr>
      </w:pPr>
      <w:r w:rsidRPr="00430D1F">
        <w:rPr>
          <w:rFonts w:ascii="Tahoma" w:hAnsi="Tahoma" w:cs="Tahoma"/>
          <w:color w:val="0D0D0D" w:themeColor="text1" w:themeTint="F2"/>
          <w:sz w:val="19"/>
          <w:szCs w:val="19"/>
          <w:rtl/>
        </w:rPr>
        <w:t>מראשית ימיה נתונה מדינת ישראל לאיומים ביטחוניים ממדינות אויב ומארגוני טרור. איומים ב</w:t>
      </w:r>
      <w:r w:rsidR="005330FA">
        <w:rPr>
          <w:rFonts w:ascii="Tahoma" w:hAnsi="Tahoma" w:cs="Tahoma" w:hint="cs"/>
          <w:color w:val="0D0D0D" w:themeColor="text1" w:themeTint="F2"/>
          <w:sz w:val="19"/>
          <w:szCs w:val="19"/>
          <w:rtl/>
        </w:rPr>
        <w:t>י</w:t>
      </w:r>
      <w:r w:rsidRPr="00430D1F">
        <w:rPr>
          <w:rFonts w:ascii="Tahoma" w:hAnsi="Tahoma" w:cs="Tahoma"/>
          <w:color w:val="0D0D0D" w:themeColor="text1" w:themeTint="F2"/>
          <w:sz w:val="19"/>
          <w:szCs w:val="19"/>
          <w:rtl/>
        </w:rPr>
        <w:t>טחוניים או אסונות טבע שעומדים להתממש או מתממשים מעלים צורך לפנות אוכלוסייה מאזורי הסיכון. במלחמת חרבות ברזל פונו או התפנו מבתיהם כרבע מיליון תושבים ונוצר צורך ממשי ומשמעותי לספק שירותים לאוכלוסייה זו - מאות אלפי אנשים, מפונים (תושבי יישובים שהממשלה אישרה לפנות) ומתפנים (תושבי יישובים שלא פונו שהחליטו להתפנות כדי להתרחק מאזורי הסכנה). כדי לנהל את המידע על אוכלוס</w:t>
      </w:r>
      <w:r w:rsidR="005330FA">
        <w:rPr>
          <w:rFonts w:ascii="Tahoma" w:hAnsi="Tahoma" w:cs="Tahoma" w:hint="cs"/>
          <w:color w:val="0D0D0D" w:themeColor="text1" w:themeTint="F2"/>
          <w:sz w:val="19"/>
          <w:szCs w:val="19"/>
          <w:rtl/>
        </w:rPr>
        <w:t>י</w:t>
      </w:r>
      <w:r w:rsidRPr="00430D1F">
        <w:rPr>
          <w:rFonts w:ascii="Tahoma" w:hAnsi="Tahoma" w:cs="Tahoma"/>
          <w:color w:val="0D0D0D" w:themeColor="text1" w:themeTint="F2"/>
          <w:sz w:val="19"/>
          <w:szCs w:val="19"/>
          <w:rtl/>
        </w:rPr>
        <w:t>יה המפוזרת על פני מאות רבות של אתרים, נדרש מידע מפורט, עדכני וכולל אודות אותם תושבים - מי הם, באילו מקומות הם שוהים ומהם צורכיהם. לצורך כך נדרשת מערכת תקשוב לתכלול לאומי של מידע על המפונים והמתפנים, אליה יוזן המידע הרלוונטי עליהם והיא תספק בזמן אמת תמונת מצב לאומית כוללת ומידע מפורט על פי מאפיינים, לגופי ממשל ולרשויות המקומיות. מערכת תקשובית כזו אמורה לשמש בסיס לצורך קבלת החלטות בעת ניהול מהלך מורכב של קליטת המפונים וטיפול בצורכיהם ביישובים שונים, תיאום בין הגופים הממשלתיים והרשויות המקומיות, ויסות משאבים ועדכון דינמי של המידע על כל אדם שפונה על ידי המדינה או התפנה עצמאית ויש לתת לו מענה. הפעלה יעילה ומיידית בשעת חירום של מערכת תקשוב כזאת, כפי שנדרש היה עם פרוץ מלחמת חרבות ברזל, מצריכה היערכות מוקדמת בעת שגרה והפעלה מיטבית בזמן אמת</w:t>
      </w:r>
      <w:r w:rsidRPr="00430D1F">
        <w:rPr>
          <w:rFonts w:ascii="Tahoma" w:hAnsi="Tahoma" w:cs="Tahoma"/>
          <w:color w:val="0D0D0D" w:themeColor="text1" w:themeTint="F2"/>
          <w:sz w:val="19"/>
          <w:szCs w:val="19"/>
        </w:rPr>
        <w:t>.</w:t>
      </w:r>
    </w:p>
    <w:p w:rsidR="00260A52" w:rsidRDefault="00631A18" w:rsidP="00260A52">
      <w:pPr>
        <w:bidi w:val="0"/>
        <w:spacing w:after="200" w:line="276" w:lineRule="auto"/>
        <w:rPr>
          <w:rtl/>
        </w:rPr>
      </w:pPr>
      <w:r>
        <w:rPr>
          <w:rtl/>
        </w:rPr>
        <w:br w:type="page"/>
      </w:r>
    </w:p>
    <w:p w:rsidR="00ED6905" w:rsidRDefault="00631A18" w:rsidP="00260A52">
      <w:pPr>
        <w:bidi w:val="0"/>
        <w:spacing w:after="200" w:line="276" w:lineRule="auto"/>
        <w:rPr>
          <w:rtl/>
        </w:rPr>
      </w:pPr>
      <w:r w:rsidRPr="00631A18">
        <w:rPr>
          <w:noProof/>
          <w:szCs w:val="20"/>
          <w:rtl/>
        </w:rPr>
        <w:lastRenderedPageBreak/>
        <mc:AlternateContent>
          <mc:Choice Requires="wps">
            <w:drawing>
              <wp:anchor distT="0" distB="0" distL="114300" distR="114300" simplePos="0" relativeHeight="251665408" behindDoc="0" locked="0" layoutInCell="1" allowOverlap="1" wp14:anchorId="53CE2EAC" wp14:editId="27E15307">
                <wp:simplePos x="0" y="0"/>
                <wp:positionH relativeFrom="column">
                  <wp:posOffset>408305</wp:posOffset>
                </wp:positionH>
                <wp:positionV relativeFrom="paragraph">
                  <wp:posOffset>95581</wp:posOffset>
                </wp:positionV>
                <wp:extent cx="5417820" cy="434975"/>
                <wp:effectExtent l="0" t="0" r="0" b="31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434975"/>
                        </a:xfrm>
                        <a:prstGeom prst="rect">
                          <a:avLst/>
                        </a:prstGeom>
                        <a:solidFill>
                          <a:srgbClr val="F05260"/>
                        </a:solidFill>
                        <a:ln w="9525">
                          <a:noFill/>
                          <a:miter lim="800000"/>
                          <a:headEnd/>
                          <a:tailEnd/>
                        </a:ln>
                      </wps:spPr>
                      <wps:txbx>
                        <w:txbxContent>
                          <w:p w:rsidR="00631A18" w:rsidRPr="005C7ABF" w:rsidRDefault="00631A18" w:rsidP="00631A18">
                            <w:pPr>
                              <w:pStyle w:val="733"/>
                              <w:rPr>
                                <w:rtl/>
                              </w:rPr>
                            </w:pPr>
                            <w:r w:rsidRPr="00631A18">
                              <w:rPr>
                                <w:rtl/>
                              </w:rPr>
                              <w:t>סקירת מערכות התקשוב שהוקמו לפני פרוץ המלחמה ולאחריה בכל הנוגע למידע על המפונים</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53CE2EAC" id="_x0000_t202" coordsize="21600,21600" o:spt="202" path="m,l,21600r21600,l21600,xe">
                <v:stroke joinstyle="miter"/>
                <v:path gradientshapeok="t" o:connecttype="rect"/>
              </v:shapetype>
              <v:shape id="Text Box 2" o:spid="_x0000_s1026" type="#_x0000_t202" style="position:absolute;left:0;text-align:left;margin-left:32.15pt;margin-top:7.55pt;width:426.6pt;height:3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" fillcolor="#f05260" stroked="f">
                <v:textbox>
                  <w:txbxContent>
                    <w:p w:rsidR="00631A18" w:rsidRPr="005C7ABF" w:rsidRDefault="00631A18" w:rsidP="00631A18">
                      <w:pPr>
                        <w:pStyle w:val="733"/>
                        <w:rPr>
                          <w:rtl/>
                        </w:rPr>
                      </w:pPr>
                      <w:r w:rsidRPr="00631A18">
                        <w:rPr>
                          <w:rtl/>
                        </w:rPr>
                        <w:t>סקירת מערכות התקשוב שהוקמו לפני פרוץ המלחמה ולאחריה בכל הנוגע למידע על המפונים</w:t>
                      </w:r>
                    </w:p>
                  </w:txbxContent>
                </v:textbox>
              </v:shape>
            </w:pict>
          </mc:Fallback>
        </mc:AlternateContent>
      </w:r>
      <w:r w:rsidRPr="00D527BD">
        <w:rPr>
          <w:noProof/>
          <w:szCs w:val="20"/>
          <w:rtl/>
        </w:rPr>
        <w:drawing>
          <wp:anchor distT="0" distB="0" distL="114300" distR="114300" simplePos="0" relativeHeight="251663360" behindDoc="0" locked="0" layoutInCell="1" allowOverlap="1" wp14:anchorId="45E41185" wp14:editId="5980ECC3">
            <wp:simplePos x="0" y="0"/>
            <wp:positionH relativeFrom="column">
              <wp:posOffset>0</wp:posOffset>
            </wp:positionH>
            <wp:positionV relativeFrom="paragraph">
              <wp:posOffset>-635</wp:posOffset>
            </wp:positionV>
            <wp:extent cx="6015355" cy="761365"/>
            <wp:effectExtent l="0" t="0" r="0" b="0"/>
            <wp:wrapNone/>
            <wp:docPr id="8"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15355" cy="761365"/>
                    </a:xfrm>
                    <a:prstGeom prst="rect">
                      <a:avLst/>
                    </a:prstGeom>
                  </pic:spPr>
                </pic:pic>
              </a:graphicData>
            </a:graphic>
            <wp14:sizeRelH relativeFrom="margin">
              <wp14:pctWidth>0</wp14:pctWidth>
            </wp14:sizeRelH>
            <wp14:sizeRelV relativeFrom="margin">
              <wp14:pctHeight>0</wp14:pctHeight>
            </wp14:sizeRelV>
          </wp:anchor>
        </w:drawing>
      </w:r>
    </w:p>
    <w:p w:rsidR="00AE4BB7" w:rsidRPr="00C4789A" w:rsidRDefault="00ED6905" w:rsidP="00430D1F">
      <w:pPr>
        <w:spacing w:after="200" w:line="276" w:lineRule="auto"/>
        <w:rPr>
          <w:rFonts w:ascii="Tahoma" w:hAnsi="Tahoma" w:cs="Tahoma"/>
          <w:color w:val="0D0D0D" w:themeColor="text1" w:themeTint="F2"/>
          <w:sz w:val="18"/>
          <w:szCs w:val="18"/>
          <w:rtl/>
        </w:rPr>
      </w:pPr>
      <w:r w:rsidRPr="00ED6905">
        <w:rPr>
          <w:rFonts w:eastAsia="Calibri"/>
          <w:noProof/>
        </w:rPr>
        <w:drawing>
          <wp:anchor distT="0" distB="0" distL="114300" distR="114300" simplePos="0" relativeHeight="251666432" behindDoc="1" locked="0" layoutInCell="1" allowOverlap="1" wp14:anchorId="023D73E9">
            <wp:simplePos x="0" y="0"/>
            <wp:positionH relativeFrom="margin">
              <wp:align>right</wp:align>
            </wp:positionH>
            <wp:positionV relativeFrom="paragraph">
              <wp:posOffset>390884</wp:posOffset>
            </wp:positionV>
            <wp:extent cx="5220335" cy="2586990"/>
            <wp:effectExtent l="0" t="0" r="0" b="3810"/>
            <wp:wrapTight wrapText="bothSides">
              <wp:wrapPolygon edited="0">
                <wp:start x="0" y="0"/>
                <wp:lineTo x="0" y="21473"/>
                <wp:lineTo x="21519" y="21473"/>
                <wp:lineTo x="21519" y="0"/>
                <wp:lineTo x="0" y="0"/>
              </wp:wrapPolygon>
            </wp:wrapTight>
            <wp:docPr id="3" name="תמונה 3" descr="מערכת תיבת נח - הוקמה ב-2022 לפני פרוץ המלחמה ונועדה לספק מידע כמותי ודמוגרפי על המפונים במתקני קליטה.&#10;מערכת יחד - הוקמה באוקטובר 2023 לאחר פרוץ המלחמה ונועדה לספק מידע כמותי ופרטני על מפונים ומתפנים.&#10;מערכת אמו&quot;ן - הוקמה בנובמבר 2023 לאחר פרוץ המלחמה ונועדה לספק מידע כמותי רב-תחומי הנוגע להיבטים שונים שקשורים למלחמת חרבות ברז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20335" cy="2586990"/>
                    </a:xfrm>
                    <a:prstGeom prst="rect">
                      <a:avLst/>
                    </a:prstGeom>
                  </pic:spPr>
                </pic:pic>
              </a:graphicData>
            </a:graphic>
          </wp:anchor>
        </w:drawing>
      </w:r>
    </w:p>
    <w:p w:rsidR="005330FA" w:rsidRDefault="005330FA">
      <w:pPr>
        <w:bidi w:val="0"/>
        <w:spacing w:after="200" w:line="276" w:lineRule="auto"/>
        <w:rPr>
          <w:rFonts w:ascii="Tahoma" w:hAnsi="Tahoma" w:cs="Tahoma"/>
          <w:noProof/>
          <w:rtl/>
        </w:rPr>
      </w:pPr>
      <w:r>
        <w:rPr>
          <w:rFonts w:ascii="Tahoma" w:hAnsi="Tahoma" w:cs="Tahoma"/>
          <w:noProof/>
          <w:rtl/>
        </w:rPr>
        <w:br w:type="page"/>
      </w:r>
    </w:p>
    <w:p w:rsidR="00ED6905" w:rsidRDefault="00AE4BB7" w:rsidP="00260A52">
      <w:pPr>
        <w:spacing w:line="288" w:lineRule="auto"/>
        <w:ind w:left="-284"/>
        <w:rPr>
          <w:sz w:val="12"/>
          <w:szCs w:val="16"/>
          <w:rtl/>
        </w:rPr>
      </w:pPr>
      <w:r w:rsidRPr="006C4033">
        <w:rPr>
          <w:rFonts w:ascii="Tahoma" w:hAnsi="Tahoma" w:cs="Tahoma"/>
          <w:noProof/>
          <w:rtl/>
        </w:rPr>
        <w:lastRenderedPageBreak/>
        <w:drawing>
          <wp:inline distT="0" distB="0" distL="0" distR="0" wp14:anchorId="6BCD94AE" wp14:editId="48CDD61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45"/>
        <w:tblpPr w:leftFromText="180" w:rightFromText="180" w:vertAnchor="text" w:tblpXSpec="center" w:tblpY="1"/>
        <w:tblOverlap w:val="never"/>
        <w:bidiVisual/>
        <w:tblW w:w="8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36"/>
        <w:gridCol w:w="2126"/>
        <w:gridCol w:w="284"/>
        <w:gridCol w:w="1832"/>
        <w:gridCol w:w="283"/>
        <w:gridCol w:w="1981"/>
        <w:gridCol w:w="10"/>
      </w:tblGrid>
      <w:tr w:rsidR="00ED6905" w:rsidRPr="00ED6905" w:rsidTr="00260A52">
        <w:trPr>
          <w:trHeight w:val="283"/>
        </w:trPr>
        <w:tc>
          <w:tcPr>
            <w:tcW w:w="2194" w:type="dxa"/>
            <w:tcBorders>
              <w:bottom w:val="single" w:sz="12" w:space="0" w:color="auto"/>
            </w:tcBorders>
            <w:shd w:val="clear" w:color="auto" w:fill="auto"/>
            <w:vAlign w:val="bottom"/>
          </w:tcPr>
          <w:p w:rsidR="00ED6905" w:rsidRPr="00ED6905" w:rsidRDefault="00ED6905" w:rsidP="00830DF8">
            <w:pPr>
              <w:spacing w:after="60" w:line="240" w:lineRule="auto"/>
              <w:rPr>
                <w:rFonts w:ascii="Tahoma" w:eastAsia="Calibri" w:hAnsi="Tahoma" w:cs="Tahoma"/>
                <w:spacing w:val="-10"/>
                <w:sz w:val="36"/>
                <w:szCs w:val="36"/>
                <w:rtl/>
              </w:rPr>
            </w:pPr>
            <w:r w:rsidRPr="00ED6905">
              <w:rPr>
                <w:rFonts w:ascii="Tahoma" w:eastAsia="Calibri" w:hAnsi="Tahoma" w:cs="Tahoma" w:hint="cs"/>
                <w:spacing w:val="-10"/>
                <w:sz w:val="26"/>
                <w:szCs w:val="26"/>
                <w:rtl/>
              </w:rPr>
              <w:t xml:space="preserve">כבר </w:t>
            </w:r>
            <w:r w:rsidRPr="00ED6905">
              <w:rPr>
                <w:rFonts w:ascii="Tahoma" w:eastAsia="Calibri" w:hAnsi="Tahoma" w:cs="Tahoma"/>
                <w:spacing w:val="-10"/>
                <w:sz w:val="26"/>
                <w:szCs w:val="26"/>
                <w:rtl/>
              </w:rPr>
              <w:t>בשנת</w:t>
            </w:r>
            <w:r w:rsidRPr="00ED6905">
              <w:rPr>
                <w:rFonts w:ascii="Tahoma" w:eastAsia="Calibri" w:hAnsi="Tahoma" w:cs="Tahoma"/>
                <w:spacing w:val="-10"/>
                <w:sz w:val="28"/>
                <w:szCs w:val="28"/>
                <w:rtl/>
              </w:rPr>
              <w:t xml:space="preserve"> </w:t>
            </w:r>
            <w:r w:rsidRPr="00ED6905">
              <w:rPr>
                <w:rFonts w:ascii="Tahoma" w:eastAsia="Calibri" w:hAnsi="Tahoma" w:cs="Tahoma"/>
                <w:spacing w:val="-10"/>
                <w:sz w:val="36"/>
                <w:szCs w:val="36"/>
                <w:rtl/>
              </w:rPr>
              <w:t>2007</w:t>
            </w:r>
          </w:p>
        </w:tc>
        <w:tc>
          <w:tcPr>
            <w:tcW w:w="236" w:type="dxa"/>
          </w:tcPr>
          <w:p w:rsidR="00ED6905" w:rsidRPr="00ED6905" w:rsidRDefault="00ED6905" w:rsidP="00830DF8">
            <w:pPr>
              <w:spacing w:line="240" w:lineRule="auto"/>
              <w:rPr>
                <w:rFonts w:ascii="Tahoma" w:eastAsia="Calibri" w:hAnsi="Tahoma" w:cs="Tahoma"/>
                <w:spacing w:val="-10"/>
              </w:rPr>
            </w:pPr>
          </w:p>
        </w:tc>
        <w:tc>
          <w:tcPr>
            <w:tcW w:w="2126" w:type="dxa"/>
            <w:tcBorders>
              <w:bottom w:val="single" w:sz="12" w:space="0" w:color="auto"/>
            </w:tcBorders>
            <w:vAlign w:val="bottom"/>
          </w:tcPr>
          <w:p w:rsidR="00ED6905" w:rsidRPr="00ED6905" w:rsidRDefault="00ED6905" w:rsidP="00830DF8">
            <w:pPr>
              <w:spacing w:after="60" w:line="240" w:lineRule="auto"/>
              <w:rPr>
                <w:rFonts w:ascii="Tahoma" w:eastAsia="Calibri" w:hAnsi="Tahoma" w:cs="Tahoma"/>
                <w:spacing w:val="-10"/>
                <w:sz w:val="36"/>
                <w:szCs w:val="36"/>
                <w:rtl/>
              </w:rPr>
            </w:pPr>
            <w:r w:rsidRPr="00ED6905">
              <w:rPr>
                <w:rFonts w:ascii="Tahoma" w:eastAsia="Calibri" w:hAnsi="Tahoma" w:cs="Tahoma"/>
                <w:spacing w:val="-10"/>
                <w:sz w:val="36"/>
                <w:szCs w:val="36"/>
                <w:rtl/>
              </w:rPr>
              <w:t>כ</w:t>
            </w:r>
            <w:r w:rsidRPr="00ED6905">
              <w:rPr>
                <w:rFonts w:ascii="Tahoma" w:eastAsia="Calibri" w:hAnsi="Tahoma" w:cs="Tahoma" w:hint="cs"/>
                <w:spacing w:val="-10"/>
                <w:sz w:val="36"/>
                <w:szCs w:val="36"/>
                <w:rtl/>
              </w:rPr>
              <w:t xml:space="preserve">רבע מיליון </w:t>
            </w:r>
            <w:r w:rsidRPr="00ED6905">
              <w:rPr>
                <w:rFonts w:ascii="Tahoma" w:eastAsia="Calibri" w:hAnsi="Tahoma" w:cs="Tahoma"/>
                <w:spacing w:val="-10"/>
                <w:sz w:val="26"/>
                <w:szCs w:val="26"/>
                <w:rtl/>
              </w:rPr>
              <w:t>תושבים</w:t>
            </w:r>
          </w:p>
        </w:tc>
        <w:tc>
          <w:tcPr>
            <w:tcW w:w="284" w:type="dxa"/>
          </w:tcPr>
          <w:p w:rsidR="00ED6905" w:rsidRPr="00ED6905" w:rsidRDefault="00ED6905" w:rsidP="00830DF8">
            <w:pPr>
              <w:spacing w:line="240" w:lineRule="auto"/>
              <w:rPr>
                <w:rFonts w:ascii="Tahoma" w:eastAsia="Calibri" w:hAnsi="Tahoma" w:cs="Tahoma"/>
                <w:spacing w:val="-10"/>
              </w:rPr>
            </w:pPr>
          </w:p>
        </w:tc>
        <w:tc>
          <w:tcPr>
            <w:tcW w:w="1832" w:type="dxa"/>
            <w:tcBorders>
              <w:bottom w:val="single" w:sz="12" w:space="0" w:color="auto"/>
            </w:tcBorders>
            <w:vAlign w:val="bottom"/>
          </w:tcPr>
          <w:p w:rsidR="00ED6905" w:rsidRPr="00ED6905" w:rsidRDefault="00ED6905" w:rsidP="00830DF8">
            <w:pPr>
              <w:spacing w:after="60" w:line="240" w:lineRule="auto"/>
              <w:rPr>
                <w:rFonts w:ascii="Tahoma" w:eastAsia="Calibri" w:hAnsi="Tahoma" w:cs="Tahoma"/>
                <w:spacing w:val="-10"/>
                <w:sz w:val="36"/>
                <w:szCs w:val="36"/>
              </w:rPr>
            </w:pPr>
            <w:r w:rsidRPr="00ED6905">
              <w:rPr>
                <w:rFonts w:ascii="Tahoma" w:eastAsia="Calibri" w:hAnsi="Tahoma" w:cs="Tahoma" w:hint="cs"/>
                <w:spacing w:val="-10"/>
                <w:sz w:val="36"/>
                <w:szCs w:val="36"/>
                <w:rtl/>
              </w:rPr>
              <w:t xml:space="preserve">5.26 </w:t>
            </w:r>
            <w:r w:rsidRPr="00ED6905">
              <w:rPr>
                <w:rFonts w:ascii="Tahoma" w:eastAsia="Calibri" w:hAnsi="Tahoma" w:cs="Tahoma" w:hint="cs"/>
                <w:spacing w:val="-10"/>
                <w:sz w:val="26"/>
                <w:szCs w:val="26"/>
                <w:rtl/>
              </w:rPr>
              <w:t>מיליארד ש"ח</w:t>
            </w:r>
          </w:p>
        </w:tc>
        <w:tc>
          <w:tcPr>
            <w:tcW w:w="283" w:type="dxa"/>
          </w:tcPr>
          <w:p w:rsidR="00ED6905" w:rsidRPr="00ED6905" w:rsidRDefault="00ED6905" w:rsidP="00830DF8">
            <w:pPr>
              <w:spacing w:line="240" w:lineRule="auto"/>
              <w:rPr>
                <w:rFonts w:ascii="Tahoma" w:eastAsia="Calibri" w:hAnsi="Tahoma" w:cs="Tahoma"/>
                <w:spacing w:val="-10"/>
              </w:rPr>
            </w:pPr>
          </w:p>
        </w:tc>
        <w:tc>
          <w:tcPr>
            <w:tcW w:w="1991" w:type="dxa"/>
            <w:gridSpan w:val="2"/>
            <w:tcBorders>
              <w:bottom w:val="single" w:sz="12" w:space="0" w:color="auto"/>
            </w:tcBorders>
            <w:vAlign w:val="bottom"/>
          </w:tcPr>
          <w:p w:rsidR="00ED6905" w:rsidRPr="00ED6905" w:rsidRDefault="00ED6905" w:rsidP="00830DF8">
            <w:pPr>
              <w:spacing w:after="60" w:line="240" w:lineRule="auto"/>
              <w:rPr>
                <w:rFonts w:ascii="Tahoma" w:eastAsia="Calibri" w:hAnsi="Tahoma" w:cs="Tahoma"/>
                <w:spacing w:val="-10"/>
                <w:sz w:val="36"/>
                <w:szCs w:val="36"/>
                <w:rtl/>
              </w:rPr>
            </w:pPr>
            <w:r w:rsidRPr="00ED6905">
              <w:rPr>
                <w:rFonts w:ascii="Tahoma" w:eastAsia="Calibri" w:hAnsi="Tahoma" w:cs="Tahoma" w:hint="cs"/>
                <w:spacing w:val="-10"/>
                <w:sz w:val="36"/>
                <w:szCs w:val="36"/>
                <w:rtl/>
              </w:rPr>
              <w:t xml:space="preserve">15 </w:t>
            </w:r>
            <w:r w:rsidRPr="00ED6905">
              <w:rPr>
                <w:rFonts w:ascii="Tahoma" w:eastAsia="Calibri" w:hAnsi="Tahoma" w:cs="Tahoma" w:hint="cs"/>
                <w:spacing w:val="-10"/>
                <w:sz w:val="26"/>
                <w:szCs w:val="26"/>
                <w:rtl/>
              </w:rPr>
              <w:t>מיליון ש"ח</w:t>
            </w:r>
          </w:p>
        </w:tc>
      </w:tr>
      <w:tr w:rsidR="00ED6905" w:rsidRPr="00ED6905" w:rsidTr="00260A52">
        <w:trPr>
          <w:gridAfter w:val="1"/>
          <w:wAfter w:w="10" w:type="dxa"/>
          <w:trHeight w:val="85"/>
        </w:trPr>
        <w:tc>
          <w:tcPr>
            <w:tcW w:w="8936" w:type="dxa"/>
            <w:gridSpan w:val="7"/>
            <w:shd w:val="clear" w:color="auto" w:fill="auto"/>
            <w:vAlign w:val="center"/>
          </w:tcPr>
          <w:p w:rsidR="00ED6905" w:rsidRPr="00ED6905" w:rsidRDefault="00ED6905" w:rsidP="00ED6905">
            <w:pPr>
              <w:spacing w:line="288" w:lineRule="auto"/>
              <w:rPr>
                <w:rFonts w:ascii="Tahoma" w:eastAsia="Calibri" w:hAnsi="Tahoma" w:cs="Tahoma"/>
                <w:spacing w:val="-10"/>
                <w:sz w:val="6"/>
                <w:szCs w:val="6"/>
                <w:rtl/>
              </w:rPr>
            </w:pPr>
          </w:p>
        </w:tc>
      </w:tr>
      <w:tr w:rsidR="00ED6905" w:rsidRPr="00ED6905" w:rsidTr="00260A52">
        <w:trPr>
          <w:trHeight w:val="1155"/>
        </w:trPr>
        <w:tc>
          <w:tcPr>
            <w:tcW w:w="2194" w:type="dxa"/>
          </w:tcPr>
          <w:p w:rsidR="00ED6905" w:rsidRPr="00ED6905" w:rsidRDefault="00ED6905" w:rsidP="00ED6905">
            <w:pPr>
              <w:spacing w:line="240" w:lineRule="auto"/>
              <w:ind w:right="23"/>
              <w:rPr>
                <w:rFonts w:ascii="Tahoma" w:eastAsia="Calibri" w:hAnsi="Tahoma" w:cs="Tahoma"/>
                <w:sz w:val="19"/>
                <w:szCs w:val="19"/>
                <w:rtl/>
              </w:rPr>
            </w:pPr>
            <w:r w:rsidRPr="00ED6905">
              <w:rPr>
                <w:rFonts w:ascii="Tahoma" w:eastAsia="Calibri" w:hAnsi="Tahoma" w:cs="Tahoma"/>
                <w:sz w:val="19"/>
                <w:szCs w:val="19"/>
                <w:rtl/>
              </w:rPr>
              <w:t xml:space="preserve">התריע </w:t>
            </w:r>
            <w:r w:rsidRPr="00ED6905">
              <w:rPr>
                <w:rFonts w:ascii="Tahoma" w:eastAsia="Calibri" w:hAnsi="Tahoma" w:cs="Tahoma" w:hint="cs"/>
                <w:sz w:val="19"/>
                <w:szCs w:val="19"/>
                <w:rtl/>
              </w:rPr>
              <w:t xml:space="preserve">מבקר המדינה דאז </w:t>
            </w:r>
            <w:r w:rsidRPr="00ED6905">
              <w:rPr>
                <w:rFonts w:ascii="Tahoma" w:eastAsia="Calibri" w:hAnsi="Tahoma" w:cs="Tahoma"/>
                <w:sz w:val="19"/>
                <w:szCs w:val="19"/>
                <w:rtl/>
              </w:rPr>
              <w:t>על הצורך בהקמת מערך ממוחשב לניהול מעקב וקשר עם מפונים בשעת חירום</w:t>
            </w:r>
            <w:r w:rsidRPr="00ED6905">
              <w:rPr>
                <w:rFonts w:ascii="Tahoma" w:eastAsia="Calibri" w:hAnsi="Tahoma" w:cs="Tahoma" w:hint="cs"/>
                <w:sz w:val="19"/>
                <w:szCs w:val="19"/>
                <w:rtl/>
              </w:rPr>
              <w:t xml:space="preserve"> (בדוח על היערכות הממשלה לטיפול בעורף במלחמת לבנון השנייה</w:t>
            </w:r>
            <w:r w:rsidRPr="00ED6905">
              <w:rPr>
                <w:rFonts w:ascii="Tahoma" w:eastAsia="Calibri" w:hAnsi="Tahoma" w:cs="Tahoma"/>
                <w:sz w:val="19"/>
                <w:szCs w:val="19"/>
                <w:vertAlign w:val="superscript"/>
                <w:rtl/>
              </w:rPr>
              <w:footnoteReference w:id="1"/>
            </w:r>
            <w:r w:rsidRPr="00ED6905">
              <w:rPr>
                <w:rFonts w:ascii="Tahoma" w:eastAsia="Calibri" w:hAnsi="Tahoma" w:cs="Tahoma" w:hint="cs"/>
                <w:sz w:val="19"/>
                <w:szCs w:val="19"/>
                <w:rtl/>
              </w:rPr>
              <w:t>)</w:t>
            </w:r>
          </w:p>
        </w:tc>
        <w:tc>
          <w:tcPr>
            <w:tcW w:w="236" w:type="dxa"/>
          </w:tcPr>
          <w:p w:rsidR="00ED6905" w:rsidRPr="00ED6905" w:rsidRDefault="00ED6905" w:rsidP="00ED6905">
            <w:pPr>
              <w:spacing w:line="288" w:lineRule="auto"/>
              <w:rPr>
                <w:rFonts w:ascii="Tahoma" w:eastAsia="Calibri" w:hAnsi="Tahoma" w:cs="Tahoma"/>
                <w:szCs w:val="24"/>
                <w:rtl/>
              </w:rPr>
            </w:pPr>
          </w:p>
        </w:tc>
        <w:tc>
          <w:tcPr>
            <w:tcW w:w="2126" w:type="dxa"/>
          </w:tcPr>
          <w:p w:rsidR="00ED6905" w:rsidRPr="00ED6905" w:rsidRDefault="00ED6905" w:rsidP="00ED6905">
            <w:pPr>
              <w:spacing w:line="240" w:lineRule="auto"/>
              <w:ind w:right="23"/>
              <w:rPr>
                <w:rFonts w:ascii="Tahoma" w:eastAsia="Calibri" w:hAnsi="Tahoma" w:cs="Tahoma"/>
                <w:sz w:val="19"/>
                <w:szCs w:val="19"/>
                <w:rtl/>
              </w:rPr>
            </w:pPr>
            <w:r w:rsidRPr="00ED6905">
              <w:rPr>
                <w:rFonts w:ascii="Tahoma" w:eastAsia="Calibri" w:hAnsi="Tahoma" w:cs="Tahoma"/>
                <w:sz w:val="19"/>
                <w:szCs w:val="19"/>
                <w:rtl/>
              </w:rPr>
              <w:t>פונו על ידי המדינה או התפנו בהחלטה עצמאית</w:t>
            </w:r>
            <w:r w:rsidRPr="00ED6905">
              <w:rPr>
                <w:rFonts w:ascii="Tahoma" w:eastAsia="Calibri" w:hAnsi="Tahoma" w:cs="Tahoma" w:hint="cs"/>
                <w:sz w:val="19"/>
                <w:szCs w:val="19"/>
                <w:rtl/>
              </w:rPr>
              <w:t xml:space="preserve"> מיישובי מגוריהם</w:t>
            </w:r>
            <w:r w:rsidRPr="00ED6905">
              <w:rPr>
                <w:rFonts w:ascii="Tahoma" w:eastAsia="Calibri" w:hAnsi="Tahoma" w:cs="Tahoma"/>
                <w:sz w:val="19"/>
                <w:szCs w:val="19"/>
                <w:rtl/>
              </w:rPr>
              <w:t xml:space="preserve">, על פי </w:t>
            </w:r>
            <w:r w:rsidRPr="00ED6905">
              <w:rPr>
                <w:rFonts w:ascii="Tahoma" w:eastAsia="Calibri" w:hAnsi="Tahoma" w:cs="Tahoma" w:hint="cs"/>
                <w:sz w:val="19"/>
                <w:szCs w:val="19"/>
                <w:rtl/>
              </w:rPr>
              <w:t>אומדני</w:t>
            </w:r>
            <w:r w:rsidRPr="00ED6905">
              <w:rPr>
                <w:rFonts w:ascii="Tahoma" w:eastAsia="Calibri" w:hAnsi="Tahoma" w:cs="Tahoma"/>
                <w:sz w:val="19"/>
                <w:szCs w:val="19"/>
                <w:rtl/>
              </w:rPr>
              <w:t xml:space="preserve"> רשות החירום הלאומית (רח"ל) לתחילת נובמבר 2023</w:t>
            </w:r>
            <w:r w:rsidRPr="00ED6905">
              <w:rPr>
                <w:rFonts w:ascii="Tahoma" w:eastAsia="Calibri" w:hAnsi="Tahoma" w:cs="Tahoma"/>
                <w:sz w:val="19"/>
                <w:szCs w:val="19"/>
                <w:vertAlign w:val="superscript"/>
                <w:rtl/>
              </w:rPr>
              <w:footnoteReference w:id="2"/>
            </w:r>
            <w:r w:rsidRPr="00ED6905">
              <w:rPr>
                <w:rFonts w:ascii="Tahoma" w:eastAsia="Calibri" w:hAnsi="Tahoma" w:cs="Tahoma" w:hint="cs"/>
                <w:sz w:val="19"/>
                <w:szCs w:val="19"/>
                <w:rtl/>
              </w:rPr>
              <w:t xml:space="preserve"> </w:t>
            </w:r>
          </w:p>
        </w:tc>
        <w:tc>
          <w:tcPr>
            <w:tcW w:w="284" w:type="dxa"/>
          </w:tcPr>
          <w:p w:rsidR="00ED6905" w:rsidRPr="00ED6905" w:rsidRDefault="00ED6905" w:rsidP="00ED6905">
            <w:pPr>
              <w:spacing w:line="240" w:lineRule="auto"/>
              <w:rPr>
                <w:rFonts w:ascii="Tahoma" w:eastAsia="Calibri" w:hAnsi="Tahoma" w:cs="Tahoma"/>
                <w:sz w:val="19"/>
                <w:szCs w:val="19"/>
                <w:rtl/>
              </w:rPr>
            </w:pPr>
          </w:p>
        </w:tc>
        <w:tc>
          <w:tcPr>
            <w:tcW w:w="1832" w:type="dxa"/>
          </w:tcPr>
          <w:p w:rsidR="00ED6905" w:rsidRPr="00ED6905" w:rsidRDefault="00ED6905" w:rsidP="00ED6905">
            <w:pPr>
              <w:spacing w:line="240" w:lineRule="auto"/>
              <w:ind w:right="23"/>
              <w:rPr>
                <w:rFonts w:ascii="Tahoma" w:eastAsia="Calibri" w:hAnsi="Tahoma" w:cs="Tahoma"/>
                <w:sz w:val="19"/>
                <w:szCs w:val="19"/>
                <w:rtl/>
              </w:rPr>
            </w:pPr>
            <w:r w:rsidRPr="00ED6905">
              <w:rPr>
                <w:rFonts w:ascii="Tahoma" w:eastAsia="Calibri" w:hAnsi="Tahoma" w:cs="Tahoma"/>
                <w:sz w:val="19"/>
                <w:szCs w:val="19"/>
                <w:rtl/>
              </w:rPr>
              <w:t>היו סך כל התשלומים מקופת המדינה למימון שהיית מפונים בבתי-מלון החל מפרוץ המלחמה ועד סוף יולי 2024</w:t>
            </w:r>
          </w:p>
        </w:tc>
        <w:tc>
          <w:tcPr>
            <w:tcW w:w="283" w:type="dxa"/>
          </w:tcPr>
          <w:p w:rsidR="00ED6905" w:rsidRPr="00ED6905" w:rsidRDefault="00ED6905" w:rsidP="00ED6905">
            <w:pPr>
              <w:spacing w:line="240" w:lineRule="auto"/>
              <w:rPr>
                <w:rFonts w:ascii="Tahoma" w:eastAsia="Calibri" w:hAnsi="Tahoma" w:cs="Tahoma"/>
                <w:sz w:val="19"/>
                <w:szCs w:val="19"/>
                <w:rtl/>
              </w:rPr>
            </w:pPr>
          </w:p>
        </w:tc>
        <w:tc>
          <w:tcPr>
            <w:tcW w:w="1991" w:type="dxa"/>
            <w:gridSpan w:val="2"/>
          </w:tcPr>
          <w:p w:rsidR="00ED6905" w:rsidRPr="00ED6905" w:rsidRDefault="00ED6905" w:rsidP="00ED6905">
            <w:pPr>
              <w:spacing w:line="240" w:lineRule="auto"/>
              <w:ind w:right="23"/>
              <w:rPr>
                <w:rFonts w:ascii="Tahoma" w:eastAsia="Calibri" w:hAnsi="Tahoma" w:cs="Tahoma"/>
                <w:sz w:val="19"/>
                <w:szCs w:val="19"/>
                <w:rtl/>
              </w:rPr>
            </w:pPr>
            <w:r w:rsidRPr="00ED6905">
              <w:rPr>
                <w:rFonts w:ascii="Tahoma" w:eastAsia="Calibri" w:hAnsi="Tahoma" w:cs="Tahoma"/>
                <w:sz w:val="19"/>
                <w:szCs w:val="19"/>
                <w:rtl/>
              </w:rPr>
              <w:t xml:space="preserve">סך כל עלויות ההקמה והפיתוח של מערכת </w:t>
            </w:r>
            <w:r w:rsidRPr="00ED6905">
              <w:rPr>
                <w:rFonts w:ascii="Tahoma" w:eastAsia="Calibri" w:hAnsi="Tahoma" w:cs="Tahoma" w:hint="cs"/>
                <w:sz w:val="19"/>
                <w:szCs w:val="19"/>
                <w:rtl/>
              </w:rPr>
              <w:t>התקשוב לניהול המידע על המפונים והמתפנים</w:t>
            </w:r>
            <w:r w:rsidRPr="00ED6905">
              <w:rPr>
                <w:rFonts w:ascii="Tahoma" w:eastAsia="Calibri" w:hAnsi="Tahoma" w:cs="Tahoma"/>
                <w:sz w:val="19"/>
                <w:szCs w:val="19"/>
                <w:rtl/>
              </w:rPr>
              <w:t xml:space="preserve"> </w:t>
            </w:r>
            <w:r w:rsidRPr="00ED6905">
              <w:rPr>
                <w:rFonts w:ascii="Tahoma" w:eastAsia="Calibri" w:hAnsi="Tahoma" w:cs="Tahoma" w:hint="cs"/>
                <w:sz w:val="19"/>
                <w:szCs w:val="19"/>
                <w:rtl/>
              </w:rPr>
              <w:t xml:space="preserve">(מערכת "יחד") </w:t>
            </w:r>
            <w:r w:rsidRPr="00ED6905">
              <w:rPr>
                <w:rFonts w:ascii="Tahoma" w:eastAsia="Calibri" w:hAnsi="Tahoma" w:cs="Tahoma"/>
                <w:sz w:val="19"/>
                <w:szCs w:val="19"/>
                <w:rtl/>
              </w:rPr>
              <w:t xml:space="preserve">בתקופה אוקטובר 2023 </w:t>
            </w:r>
            <w:r w:rsidRPr="00ED6905">
              <w:rPr>
                <w:rFonts w:ascii="Tahoma" w:eastAsia="Calibri" w:hAnsi="Tahoma" w:cs="Tahoma" w:hint="cs"/>
                <w:sz w:val="19"/>
                <w:szCs w:val="19"/>
                <w:rtl/>
              </w:rPr>
              <w:t>-</w:t>
            </w:r>
            <w:r w:rsidRPr="00ED6905">
              <w:rPr>
                <w:rFonts w:ascii="Tahoma" w:eastAsia="Calibri" w:hAnsi="Tahoma" w:cs="Tahoma"/>
                <w:sz w:val="19"/>
                <w:szCs w:val="19"/>
                <w:rtl/>
              </w:rPr>
              <w:t xml:space="preserve"> מאי 2024</w:t>
            </w:r>
          </w:p>
        </w:tc>
      </w:tr>
      <w:tr w:rsidR="00ED6905" w:rsidRPr="00ED6905" w:rsidTr="00260A52">
        <w:trPr>
          <w:gridAfter w:val="1"/>
          <w:wAfter w:w="10" w:type="dxa"/>
          <w:trHeight w:val="363"/>
        </w:trPr>
        <w:tc>
          <w:tcPr>
            <w:tcW w:w="8936" w:type="dxa"/>
            <w:gridSpan w:val="7"/>
          </w:tcPr>
          <w:p w:rsidR="00ED6905" w:rsidRPr="00ED6905" w:rsidRDefault="00ED6905" w:rsidP="00ED6905">
            <w:pPr>
              <w:spacing w:line="288" w:lineRule="auto"/>
              <w:jc w:val="center"/>
              <w:rPr>
                <w:rFonts w:ascii="Tahoma" w:eastAsia="Calibri" w:hAnsi="Tahoma" w:cs="Tahoma"/>
                <w:sz w:val="6"/>
                <w:szCs w:val="6"/>
                <w:rtl/>
              </w:rPr>
            </w:pPr>
          </w:p>
        </w:tc>
      </w:tr>
      <w:tr w:rsidR="00ED6905" w:rsidRPr="00ED6905" w:rsidTr="00260A52">
        <w:trPr>
          <w:trHeight w:val="227"/>
        </w:trPr>
        <w:tc>
          <w:tcPr>
            <w:tcW w:w="2194" w:type="dxa"/>
            <w:tcBorders>
              <w:bottom w:val="single" w:sz="12" w:space="0" w:color="auto"/>
            </w:tcBorders>
            <w:vAlign w:val="bottom"/>
          </w:tcPr>
          <w:p w:rsidR="00ED6905" w:rsidRPr="00ED6905" w:rsidRDefault="00ED6905" w:rsidP="00071B06">
            <w:pPr>
              <w:spacing w:after="60" w:line="240" w:lineRule="auto"/>
              <w:rPr>
                <w:rFonts w:ascii="Tahoma" w:eastAsia="Calibri" w:hAnsi="Tahoma" w:cs="Tahoma"/>
                <w:spacing w:val="-10"/>
                <w:sz w:val="36"/>
                <w:szCs w:val="36"/>
              </w:rPr>
            </w:pPr>
            <w:r w:rsidRPr="00ED6905">
              <w:rPr>
                <w:rFonts w:ascii="Tahoma" w:eastAsia="Calibri" w:hAnsi="Tahoma" w:cs="Tahoma"/>
                <w:spacing w:val="-10"/>
                <w:sz w:val="36"/>
                <w:szCs w:val="36"/>
                <w:rtl/>
              </w:rPr>
              <w:t>0</w:t>
            </w:r>
          </w:p>
        </w:tc>
        <w:tc>
          <w:tcPr>
            <w:tcW w:w="236" w:type="dxa"/>
          </w:tcPr>
          <w:p w:rsidR="00ED6905" w:rsidRPr="00ED6905" w:rsidRDefault="00ED6905" w:rsidP="00071B06">
            <w:pPr>
              <w:spacing w:line="240" w:lineRule="auto"/>
              <w:rPr>
                <w:rFonts w:ascii="Tahoma" w:eastAsia="Calibri" w:hAnsi="Tahoma" w:cs="Tahoma"/>
                <w:spacing w:val="-10"/>
              </w:rPr>
            </w:pPr>
          </w:p>
        </w:tc>
        <w:tc>
          <w:tcPr>
            <w:tcW w:w="2126" w:type="dxa"/>
            <w:tcBorders>
              <w:bottom w:val="single" w:sz="12" w:space="0" w:color="auto"/>
            </w:tcBorders>
            <w:vAlign w:val="bottom"/>
          </w:tcPr>
          <w:p w:rsidR="00ED6905" w:rsidRPr="00ED6905" w:rsidRDefault="00ED6905" w:rsidP="00071B06">
            <w:pPr>
              <w:spacing w:after="60" w:line="240" w:lineRule="auto"/>
              <w:rPr>
                <w:rFonts w:ascii="Tahoma" w:eastAsia="Calibri" w:hAnsi="Tahoma" w:cs="Tahoma"/>
                <w:spacing w:val="-10"/>
                <w:sz w:val="36"/>
                <w:szCs w:val="36"/>
              </w:rPr>
            </w:pPr>
            <w:r w:rsidRPr="00ED6905">
              <w:rPr>
                <w:rFonts w:ascii="Tahoma" w:eastAsia="Calibri" w:hAnsi="Tahoma" w:cs="Tahoma" w:hint="cs"/>
                <w:spacing w:val="-10"/>
                <w:sz w:val="26"/>
                <w:szCs w:val="26"/>
                <w:rtl/>
              </w:rPr>
              <w:t>רק על</w:t>
            </w:r>
            <w:r w:rsidRPr="00ED6905">
              <w:rPr>
                <w:rFonts w:ascii="Tahoma" w:eastAsia="Calibri" w:hAnsi="Tahoma" w:cs="Tahoma" w:hint="cs"/>
                <w:spacing w:val="-10"/>
                <w:sz w:val="36"/>
                <w:szCs w:val="36"/>
                <w:rtl/>
              </w:rPr>
              <w:t xml:space="preserve"> </w:t>
            </w:r>
            <w:r w:rsidRPr="00ED6905">
              <w:rPr>
                <w:rFonts w:ascii="Tahoma" w:eastAsia="Calibri" w:hAnsi="Tahoma" w:cs="Tahoma"/>
                <w:spacing w:val="-10"/>
                <w:sz w:val="36"/>
                <w:szCs w:val="36"/>
                <w:rtl/>
              </w:rPr>
              <w:t>5</w:t>
            </w:r>
            <w:r w:rsidRPr="00ED6905">
              <w:rPr>
                <w:rFonts w:ascii="Tahoma" w:eastAsia="Calibri" w:hAnsi="Tahoma" w:cs="Tahoma" w:hint="cs"/>
                <w:spacing w:val="-10"/>
                <w:sz w:val="36"/>
                <w:szCs w:val="36"/>
                <w:rtl/>
              </w:rPr>
              <w:t>0</w:t>
            </w:r>
            <w:r w:rsidRPr="00ED6905">
              <w:rPr>
                <w:rFonts w:ascii="Tahoma" w:eastAsia="Calibri" w:hAnsi="Tahoma" w:cs="Tahoma"/>
                <w:spacing w:val="-10"/>
                <w:sz w:val="36"/>
                <w:szCs w:val="36"/>
                <w:rtl/>
              </w:rPr>
              <w:t>%</w:t>
            </w:r>
          </w:p>
        </w:tc>
        <w:tc>
          <w:tcPr>
            <w:tcW w:w="284" w:type="dxa"/>
          </w:tcPr>
          <w:p w:rsidR="00ED6905" w:rsidRPr="00ED6905" w:rsidRDefault="00ED6905" w:rsidP="00071B06">
            <w:pPr>
              <w:spacing w:line="240" w:lineRule="auto"/>
              <w:rPr>
                <w:rFonts w:ascii="Tahoma" w:eastAsia="Calibri" w:hAnsi="Tahoma" w:cs="Tahoma"/>
                <w:spacing w:val="-10"/>
              </w:rPr>
            </w:pPr>
          </w:p>
        </w:tc>
        <w:tc>
          <w:tcPr>
            <w:tcW w:w="1832" w:type="dxa"/>
            <w:tcBorders>
              <w:bottom w:val="single" w:sz="12" w:space="0" w:color="auto"/>
            </w:tcBorders>
            <w:vAlign w:val="bottom"/>
          </w:tcPr>
          <w:p w:rsidR="00ED6905" w:rsidRPr="00ED6905" w:rsidRDefault="00ED6905" w:rsidP="00071B06">
            <w:pPr>
              <w:spacing w:after="60" w:line="240" w:lineRule="auto"/>
              <w:rPr>
                <w:rFonts w:ascii="Tahoma" w:eastAsia="Calibri" w:hAnsi="Tahoma" w:cs="Tahoma"/>
                <w:spacing w:val="-10"/>
                <w:sz w:val="36"/>
                <w:szCs w:val="36"/>
              </w:rPr>
            </w:pPr>
            <w:r w:rsidRPr="00ED6905">
              <w:rPr>
                <w:rFonts w:ascii="Tahoma" w:eastAsia="Calibri" w:hAnsi="Tahoma" w:cs="Tahoma" w:hint="cs"/>
                <w:spacing w:val="-10"/>
                <w:sz w:val="26"/>
                <w:szCs w:val="26"/>
                <w:rtl/>
              </w:rPr>
              <w:t>רק על</w:t>
            </w:r>
            <w:r w:rsidRPr="00ED6905">
              <w:rPr>
                <w:rFonts w:ascii="Tahoma" w:eastAsia="Calibri" w:hAnsi="Tahoma" w:cs="Tahoma" w:hint="cs"/>
                <w:spacing w:val="-10"/>
                <w:sz w:val="36"/>
                <w:szCs w:val="36"/>
                <w:rtl/>
              </w:rPr>
              <w:t xml:space="preserve"> </w:t>
            </w:r>
            <w:r w:rsidRPr="00ED6905">
              <w:rPr>
                <w:rFonts w:ascii="Tahoma" w:eastAsia="Calibri" w:hAnsi="Tahoma" w:cs="Tahoma"/>
                <w:spacing w:val="-10"/>
                <w:sz w:val="36"/>
                <w:szCs w:val="36"/>
                <w:rtl/>
              </w:rPr>
              <w:t>13%</w:t>
            </w:r>
          </w:p>
        </w:tc>
        <w:tc>
          <w:tcPr>
            <w:tcW w:w="283" w:type="dxa"/>
          </w:tcPr>
          <w:p w:rsidR="00ED6905" w:rsidRPr="00ED6905" w:rsidRDefault="00ED6905" w:rsidP="00071B06">
            <w:pPr>
              <w:spacing w:line="240" w:lineRule="auto"/>
              <w:rPr>
                <w:rFonts w:ascii="Tahoma" w:eastAsia="Calibri" w:hAnsi="Tahoma" w:cs="Tahoma"/>
                <w:spacing w:val="-10"/>
              </w:rPr>
            </w:pPr>
          </w:p>
        </w:tc>
        <w:tc>
          <w:tcPr>
            <w:tcW w:w="1991" w:type="dxa"/>
            <w:gridSpan w:val="2"/>
            <w:tcBorders>
              <w:bottom w:val="single" w:sz="12" w:space="0" w:color="auto"/>
            </w:tcBorders>
            <w:vAlign w:val="bottom"/>
          </w:tcPr>
          <w:p w:rsidR="00ED6905" w:rsidRPr="00ED6905" w:rsidRDefault="00ED6905" w:rsidP="00071B06">
            <w:pPr>
              <w:spacing w:after="60" w:line="240" w:lineRule="auto"/>
              <w:rPr>
                <w:rFonts w:ascii="Tahoma" w:eastAsia="Calibri" w:hAnsi="Tahoma" w:cs="Tahoma"/>
                <w:spacing w:val="-10"/>
                <w:sz w:val="36"/>
                <w:szCs w:val="36"/>
              </w:rPr>
            </w:pPr>
            <w:r w:rsidRPr="00ED6905">
              <w:rPr>
                <w:rFonts w:ascii="Tahoma" w:eastAsia="Calibri" w:hAnsi="Tahoma" w:cs="Tahoma" w:hint="cs"/>
                <w:spacing w:val="-10"/>
                <w:sz w:val="26"/>
                <w:szCs w:val="26"/>
                <w:rtl/>
              </w:rPr>
              <w:t>כ-</w:t>
            </w:r>
            <w:r w:rsidRPr="00ED6905">
              <w:rPr>
                <w:rFonts w:ascii="Tahoma" w:eastAsia="Calibri" w:hAnsi="Tahoma" w:cs="Tahoma" w:hint="cs"/>
                <w:spacing w:val="-10"/>
                <w:sz w:val="36"/>
                <w:szCs w:val="36"/>
                <w:rtl/>
              </w:rPr>
              <w:t>500%</w:t>
            </w:r>
          </w:p>
        </w:tc>
      </w:tr>
      <w:tr w:rsidR="00ED6905" w:rsidRPr="00ED6905" w:rsidTr="00260A52">
        <w:trPr>
          <w:gridAfter w:val="1"/>
          <w:wAfter w:w="10" w:type="dxa"/>
          <w:trHeight w:val="70"/>
        </w:trPr>
        <w:tc>
          <w:tcPr>
            <w:tcW w:w="8936" w:type="dxa"/>
            <w:gridSpan w:val="7"/>
            <w:vAlign w:val="center"/>
          </w:tcPr>
          <w:p w:rsidR="00ED6905" w:rsidRPr="00ED6905" w:rsidRDefault="00ED6905" w:rsidP="00ED6905">
            <w:pPr>
              <w:spacing w:line="288" w:lineRule="auto"/>
              <w:rPr>
                <w:rFonts w:ascii="Tahoma" w:eastAsia="Calibri" w:hAnsi="Tahoma" w:cs="Tahoma"/>
                <w:spacing w:val="-10"/>
                <w:sz w:val="6"/>
                <w:szCs w:val="6"/>
                <w:rtl/>
              </w:rPr>
            </w:pPr>
          </w:p>
        </w:tc>
      </w:tr>
      <w:tr w:rsidR="00ED6905" w:rsidRPr="00ED6905" w:rsidTr="00260A52">
        <w:trPr>
          <w:trHeight w:val="1153"/>
        </w:trPr>
        <w:tc>
          <w:tcPr>
            <w:tcW w:w="2194" w:type="dxa"/>
          </w:tcPr>
          <w:p w:rsidR="00ED6905" w:rsidRPr="00ED6905" w:rsidRDefault="00ED6905" w:rsidP="00ED6905">
            <w:pPr>
              <w:spacing w:line="240" w:lineRule="auto"/>
              <w:ind w:right="23"/>
              <w:rPr>
                <w:rFonts w:ascii="Tahoma" w:eastAsia="Calibri" w:hAnsi="Tahoma" w:cs="Tahoma"/>
                <w:sz w:val="19"/>
                <w:szCs w:val="19"/>
              </w:rPr>
            </w:pPr>
            <w:r w:rsidRPr="00ED6905">
              <w:rPr>
                <w:rFonts w:ascii="Tahoma" w:eastAsia="Calibri" w:hAnsi="Tahoma" w:cs="Tahoma" w:hint="eastAsia"/>
                <w:sz w:val="19"/>
                <w:szCs w:val="19"/>
                <w:rtl/>
              </w:rPr>
              <w:t>מידע</w:t>
            </w:r>
            <w:r w:rsidRPr="00ED6905">
              <w:rPr>
                <w:rFonts w:ascii="Tahoma" w:eastAsia="Calibri" w:hAnsi="Tahoma" w:cs="Tahoma"/>
                <w:sz w:val="19"/>
                <w:szCs w:val="19"/>
                <w:rtl/>
              </w:rPr>
              <w:t xml:space="preserve"> </w:t>
            </w:r>
            <w:r w:rsidRPr="00ED6905">
              <w:rPr>
                <w:rFonts w:ascii="Tahoma" w:eastAsia="Calibri" w:hAnsi="Tahoma" w:cs="Tahoma" w:hint="cs"/>
                <w:sz w:val="19"/>
                <w:szCs w:val="19"/>
                <w:rtl/>
              </w:rPr>
              <w:t xml:space="preserve">דמוגרפי </w:t>
            </w:r>
            <w:r w:rsidRPr="00ED6905">
              <w:rPr>
                <w:rFonts w:ascii="Tahoma" w:eastAsia="Calibri" w:hAnsi="Tahoma" w:cs="Tahoma" w:hint="eastAsia"/>
                <w:sz w:val="19"/>
                <w:szCs w:val="19"/>
                <w:rtl/>
              </w:rPr>
              <w:t>היה</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לממשלה</w:t>
            </w:r>
            <w:r w:rsidRPr="00ED6905">
              <w:rPr>
                <w:rFonts w:ascii="Tahoma" w:eastAsia="Calibri" w:hAnsi="Tahoma" w:cs="Tahoma"/>
                <w:sz w:val="19"/>
                <w:szCs w:val="19"/>
                <w:rtl/>
              </w:rPr>
              <w:t xml:space="preserve"> על המפונים או המתפנים </w:t>
            </w:r>
            <w:r w:rsidRPr="00ED6905">
              <w:rPr>
                <w:rFonts w:ascii="Tahoma" w:eastAsia="Calibri" w:hAnsi="Tahoma" w:cs="Tahoma" w:hint="eastAsia"/>
                <w:sz w:val="19"/>
                <w:szCs w:val="19"/>
                <w:rtl/>
              </w:rPr>
              <w:t>וצרכיהם</w:t>
            </w:r>
            <w:r w:rsidRPr="00ED6905">
              <w:rPr>
                <w:rFonts w:ascii="Tahoma" w:eastAsia="Calibri" w:hAnsi="Tahoma" w:cs="Tahoma"/>
                <w:sz w:val="19"/>
                <w:szCs w:val="19"/>
                <w:rtl/>
              </w:rPr>
              <w:t xml:space="preserve"> הפרטניים בשלושת השבועות הראשונים לאחר פרוץ המלחמה. </w:t>
            </w:r>
            <w:r w:rsidRPr="00ED6905">
              <w:rPr>
                <w:rFonts w:ascii="Tahoma" w:eastAsia="Calibri" w:hAnsi="Tahoma" w:cs="Tahoma" w:hint="eastAsia"/>
                <w:sz w:val="19"/>
                <w:szCs w:val="19"/>
                <w:rtl/>
              </w:rPr>
              <w:t>פעולת</w:t>
            </w:r>
            <w:r w:rsidRPr="00ED6905">
              <w:rPr>
                <w:rFonts w:ascii="Tahoma" w:eastAsia="Calibri" w:hAnsi="Tahoma" w:cs="Tahoma"/>
                <w:sz w:val="19"/>
                <w:szCs w:val="19"/>
                <w:rtl/>
              </w:rPr>
              <w:t xml:space="preserve"> הממשלה נשענה בשבועות אלו על </w:t>
            </w:r>
            <w:r w:rsidRPr="00ED6905">
              <w:rPr>
                <w:rFonts w:ascii="Tahoma" w:eastAsia="Calibri" w:hAnsi="Tahoma" w:cs="Tahoma" w:hint="eastAsia"/>
                <w:sz w:val="19"/>
                <w:szCs w:val="19"/>
                <w:rtl/>
              </w:rPr>
              <w:t>א</w:t>
            </w:r>
            <w:r w:rsidR="00071B06">
              <w:rPr>
                <w:rFonts w:ascii="Tahoma" w:eastAsia="Calibri" w:hAnsi="Tahoma" w:cs="Tahoma" w:hint="cs"/>
                <w:sz w:val="19"/>
                <w:szCs w:val="19"/>
                <w:rtl/>
              </w:rPr>
              <w:t>ו</w:t>
            </w:r>
            <w:r w:rsidRPr="00ED6905">
              <w:rPr>
                <w:rFonts w:ascii="Tahoma" w:eastAsia="Calibri" w:hAnsi="Tahoma" w:cs="Tahoma" w:hint="eastAsia"/>
                <w:sz w:val="19"/>
                <w:szCs w:val="19"/>
                <w:rtl/>
              </w:rPr>
              <w:t>מדנים</w:t>
            </w:r>
            <w:r w:rsidRPr="00ED6905">
              <w:rPr>
                <w:rFonts w:ascii="Tahoma" w:eastAsia="Calibri" w:hAnsi="Tahoma" w:cs="Tahoma"/>
                <w:sz w:val="19"/>
                <w:szCs w:val="19"/>
                <w:rtl/>
              </w:rPr>
              <w:t xml:space="preserve"> כלליים</w:t>
            </w:r>
          </w:p>
        </w:tc>
        <w:tc>
          <w:tcPr>
            <w:tcW w:w="236" w:type="dxa"/>
          </w:tcPr>
          <w:p w:rsidR="00ED6905" w:rsidRPr="00ED6905" w:rsidRDefault="00ED6905" w:rsidP="00ED6905">
            <w:pPr>
              <w:spacing w:line="240" w:lineRule="auto"/>
              <w:rPr>
                <w:rFonts w:ascii="Tahoma" w:eastAsia="Calibri" w:hAnsi="Tahoma" w:cs="Tahoma"/>
                <w:sz w:val="19"/>
                <w:szCs w:val="19"/>
                <w:rtl/>
              </w:rPr>
            </w:pPr>
          </w:p>
        </w:tc>
        <w:tc>
          <w:tcPr>
            <w:tcW w:w="2126" w:type="dxa"/>
            <w:shd w:val="clear" w:color="auto" w:fill="auto"/>
          </w:tcPr>
          <w:p w:rsidR="00ED6905" w:rsidRPr="00ED6905" w:rsidRDefault="00ED6905" w:rsidP="00ED6905">
            <w:pPr>
              <w:spacing w:line="240" w:lineRule="auto"/>
              <w:rPr>
                <w:rFonts w:ascii="Tahoma" w:eastAsia="Calibri" w:hAnsi="Tahoma" w:cs="Tahoma"/>
                <w:sz w:val="19"/>
                <w:szCs w:val="19"/>
                <w:rtl/>
              </w:rPr>
            </w:pPr>
            <w:r w:rsidRPr="00ED6905">
              <w:rPr>
                <w:rFonts w:ascii="Tahoma" w:eastAsia="Calibri" w:hAnsi="Tahoma" w:cs="Tahoma" w:hint="cs"/>
                <w:sz w:val="19"/>
                <w:szCs w:val="19"/>
                <w:rtl/>
              </w:rPr>
              <w:t xml:space="preserve">מהמפונים והמתפנים </w:t>
            </w:r>
            <w:r w:rsidRPr="00ED6905">
              <w:rPr>
                <w:rFonts w:ascii="Tahoma" w:eastAsia="Calibri" w:hAnsi="Tahoma" w:cs="Tahoma" w:hint="eastAsia"/>
                <w:sz w:val="19"/>
                <w:szCs w:val="19"/>
                <w:rtl/>
              </w:rPr>
              <w:t>הי</w:t>
            </w:r>
            <w:r w:rsidRPr="00ED6905">
              <w:rPr>
                <w:rFonts w:ascii="Tahoma" w:eastAsia="Calibri" w:hAnsi="Tahoma" w:cs="Tahoma" w:hint="cs"/>
                <w:sz w:val="19"/>
                <w:szCs w:val="19"/>
                <w:rtl/>
              </w:rPr>
              <w:t>ו</w:t>
            </w:r>
            <w:r w:rsidRPr="00ED6905">
              <w:rPr>
                <w:rFonts w:ascii="Tahoma" w:eastAsia="Calibri" w:hAnsi="Tahoma" w:cs="Tahoma"/>
                <w:sz w:val="19"/>
                <w:szCs w:val="19"/>
                <w:rtl/>
              </w:rPr>
              <w:t xml:space="preserve"> פרטים מעודכנים </w:t>
            </w:r>
            <w:r w:rsidRPr="00ED6905">
              <w:rPr>
                <w:rFonts w:ascii="Tahoma" w:eastAsia="Calibri" w:hAnsi="Tahoma" w:cs="Tahoma" w:hint="cs"/>
                <w:sz w:val="19"/>
                <w:szCs w:val="19"/>
                <w:rtl/>
              </w:rPr>
              <w:t xml:space="preserve">במערכת יחד </w:t>
            </w:r>
            <w:r w:rsidRPr="00ED6905">
              <w:rPr>
                <w:rFonts w:ascii="Tahoma" w:eastAsia="Calibri" w:hAnsi="Tahoma" w:cs="Tahoma" w:hint="eastAsia"/>
                <w:sz w:val="19"/>
                <w:szCs w:val="19"/>
                <w:rtl/>
              </w:rPr>
              <w:t>בתום</w:t>
            </w:r>
            <w:r w:rsidRPr="00ED6905">
              <w:rPr>
                <w:rFonts w:ascii="Tahoma" w:eastAsia="Calibri" w:hAnsi="Tahoma" w:cs="Tahoma"/>
                <w:sz w:val="19"/>
                <w:szCs w:val="19"/>
                <w:rtl/>
              </w:rPr>
              <w:t xml:space="preserve"> שלושה חודשים </w:t>
            </w:r>
            <w:r w:rsidRPr="00ED6905">
              <w:rPr>
                <w:rFonts w:ascii="Tahoma" w:eastAsia="Calibri" w:hAnsi="Tahoma" w:cs="Tahoma" w:hint="cs"/>
                <w:sz w:val="19"/>
                <w:szCs w:val="19"/>
                <w:rtl/>
              </w:rPr>
              <w:t xml:space="preserve">כמו גם בתום שישה חודשים </w:t>
            </w:r>
            <w:r w:rsidRPr="00ED6905">
              <w:rPr>
                <w:rFonts w:ascii="Tahoma" w:eastAsia="Calibri" w:hAnsi="Tahoma" w:cs="Tahoma"/>
                <w:sz w:val="19"/>
                <w:szCs w:val="19"/>
                <w:rtl/>
              </w:rPr>
              <w:t>מפרוץ המלחמה</w:t>
            </w:r>
            <w:r w:rsidRPr="00ED6905">
              <w:rPr>
                <w:rFonts w:ascii="Tahoma" w:eastAsia="Calibri" w:hAnsi="Tahoma" w:cs="Tahoma"/>
                <w:sz w:val="19"/>
                <w:szCs w:val="19"/>
                <w:vertAlign w:val="superscript"/>
                <w:rtl/>
              </w:rPr>
              <w:footnoteReference w:id="3"/>
            </w:r>
          </w:p>
        </w:tc>
        <w:tc>
          <w:tcPr>
            <w:tcW w:w="284" w:type="dxa"/>
          </w:tcPr>
          <w:p w:rsidR="00ED6905" w:rsidRPr="00ED6905" w:rsidRDefault="00ED6905" w:rsidP="00ED6905">
            <w:pPr>
              <w:spacing w:line="240" w:lineRule="auto"/>
              <w:rPr>
                <w:rFonts w:ascii="Tahoma" w:eastAsia="Calibri" w:hAnsi="Tahoma" w:cs="Tahoma"/>
                <w:sz w:val="19"/>
                <w:szCs w:val="19"/>
                <w:rtl/>
              </w:rPr>
            </w:pPr>
          </w:p>
        </w:tc>
        <w:tc>
          <w:tcPr>
            <w:tcW w:w="1832" w:type="dxa"/>
          </w:tcPr>
          <w:p w:rsidR="00ED6905" w:rsidRPr="00ED6905" w:rsidRDefault="00ED6905" w:rsidP="00ED6905">
            <w:pPr>
              <w:spacing w:line="240" w:lineRule="auto"/>
              <w:ind w:right="23"/>
              <w:rPr>
                <w:rFonts w:ascii="Tahoma" w:eastAsia="Calibri" w:hAnsi="Tahoma" w:cs="Tahoma"/>
                <w:sz w:val="19"/>
                <w:szCs w:val="19"/>
                <w:rtl/>
              </w:rPr>
            </w:pPr>
            <w:r w:rsidRPr="00ED6905">
              <w:rPr>
                <w:rFonts w:ascii="Tahoma" w:eastAsia="Calibri" w:hAnsi="Tahoma" w:cs="Tahoma"/>
                <w:sz w:val="19"/>
                <w:szCs w:val="19"/>
                <w:rtl/>
              </w:rPr>
              <w:t>מ</w:t>
            </w:r>
            <w:r w:rsidRPr="00ED6905">
              <w:rPr>
                <w:rFonts w:ascii="Tahoma" w:eastAsia="Calibri" w:hAnsi="Tahoma" w:cs="Tahoma" w:hint="cs"/>
                <w:sz w:val="19"/>
                <w:szCs w:val="19"/>
                <w:rtl/>
              </w:rPr>
              <w:t>כלל</w:t>
            </w:r>
            <w:r w:rsidRPr="00ED6905">
              <w:rPr>
                <w:rFonts w:ascii="Tahoma" w:eastAsia="Calibri" w:hAnsi="Tahoma" w:cs="Tahoma"/>
                <w:sz w:val="19"/>
                <w:szCs w:val="19"/>
                <w:rtl/>
              </w:rPr>
              <w:t xml:space="preserve"> המפונים ששהו בבתי מלון במימון המדינה, הוזנו</w:t>
            </w:r>
            <w:r w:rsidRPr="00ED6905">
              <w:rPr>
                <w:rFonts w:ascii="Tahoma" w:eastAsia="Calibri" w:hAnsi="Tahoma" w:cs="Tahoma" w:hint="cs"/>
                <w:sz w:val="19"/>
                <w:szCs w:val="19"/>
                <w:rtl/>
              </w:rPr>
              <w:t xml:space="preserve"> הפרטים הדמוגרפיים</w:t>
            </w:r>
            <w:r w:rsidRPr="00ED6905">
              <w:rPr>
                <w:rFonts w:ascii="Tahoma" w:eastAsia="Calibri" w:hAnsi="Tahoma" w:cs="Tahoma"/>
                <w:sz w:val="19"/>
                <w:szCs w:val="19"/>
                <w:rtl/>
              </w:rPr>
              <w:t xml:space="preserve"> למערכת </w:t>
            </w:r>
            <w:r w:rsidRPr="00ED6905">
              <w:rPr>
                <w:rFonts w:ascii="Tahoma" w:eastAsia="Calibri" w:hAnsi="Tahoma" w:cs="Tahoma" w:hint="cs"/>
                <w:sz w:val="19"/>
                <w:szCs w:val="19"/>
                <w:rtl/>
              </w:rPr>
              <w:t xml:space="preserve">המידע </w:t>
            </w:r>
            <w:r w:rsidRPr="00ED6905">
              <w:rPr>
                <w:rFonts w:ascii="Tahoma" w:eastAsia="Calibri" w:hAnsi="Tahoma" w:cs="Tahoma"/>
                <w:sz w:val="19"/>
                <w:szCs w:val="19"/>
                <w:rtl/>
              </w:rPr>
              <w:t>תיבת נח (9,000 מתוך כ-70,000)</w:t>
            </w:r>
            <w:r w:rsidRPr="00ED6905">
              <w:rPr>
                <w:rFonts w:ascii="Tahoma" w:eastAsia="Calibri" w:hAnsi="Tahoma" w:cs="Tahoma" w:hint="cs"/>
                <w:sz w:val="19"/>
                <w:szCs w:val="19"/>
                <w:rtl/>
              </w:rPr>
              <w:t xml:space="preserve"> </w:t>
            </w:r>
            <w:r w:rsidRPr="00ED6905">
              <w:rPr>
                <w:rFonts w:ascii="Tahoma" w:eastAsia="Calibri" w:hAnsi="Tahoma" w:cs="Tahoma" w:hint="eastAsia"/>
                <w:sz w:val="19"/>
                <w:szCs w:val="19"/>
                <w:rtl/>
              </w:rPr>
              <w:t>הזנת</w:t>
            </w:r>
            <w:r w:rsidRPr="00ED6905">
              <w:rPr>
                <w:rFonts w:ascii="Tahoma" w:eastAsia="Calibri" w:hAnsi="Tahoma" w:cs="Tahoma"/>
                <w:sz w:val="19"/>
                <w:szCs w:val="19"/>
                <w:rtl/>
              </w:rPr>
              <w:t xml:space="preserve"> הפרטים </w:t>
            </w:r>
            <w:r w:rsidRPr="00ED6905">
              <w:rPr>
                <w:rFonts w:ascii="Tahoma" w:eastAsia="Calibri" w:hAnsi="Tahoma" w:cs="Tahoma" w:hint="eastAsia"/>
                <w:sz w:val="19"/>
                <w:szCs w:val="19"/>
                <w:rtl/>
              </w:rPr>
              <w:t>נעשתה</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במהלך</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תקופה</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קצרה</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שלאחר</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פרוץ</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המלחמה</w:t>
            </w:r>
            <w:r w:rsidRPr="00ED6905">
              <w:rPr>
                <w:rFonts w:ascii="Tahoma" w:eastAsia="Calibri" w:hAnsi="Tahoma" w:cs="Tahoma" w:hint="cs"/>
                <w:sz w:val="19"/>
                <w:szCs w:val="19"/>
                <w:rtl/>
              </w:rPr>
              <w:t xml:space="preserve"> שבה הפעיל פיקוד העורף (פקע"ר) את המערכת</w:t>
            </w:r>
          </w:p>
        </w:tc>
        <w:tc>
          <w:tcPr>
            <w:tcW w:w="283" w:type="dxa"/>
          </w:tcPr>
          <w:p w:rsidR="00ED6905" w:rsidRPr="00ED6905" w:rsidRDefault="00ED6905" w:rsidP="00ED6905">
            <w:pPr>
              <w:spacing w:line="240" w:lineRule="auto"/>
              <w:rPr>
                <w:rFonts w:ascii="Tahoma" w:eastAsia="Calibri" w:hAnsi="Tahoma" w:cs="Tahoma"/>
                <w:sz w:val="19"/>
                <w:szCs w:val="19"/>
                <w:rtl/>
              </w:rPr>
            </w:pPr>
          </w:p>
        </w:tc>
        <w:tc>
          <w:tcPr>
            <w:tcW w:w="1991" w:type="dxa"/>
            <w:gridSpan w:val="2"/>
          </w:tcPr>
          <w:p w:rsidR="00ED6905" w:rsidRPr="00ED6905" w:rsidRDefault="00ED6905" w:rsidP="00ED6905">
            <w:pPr>
              <w:spacing w:line="240" w:lineRule="auto"/>
              <w:ind w:right="23"/>
              <w:rPr>
                <w:rFonts w:ascii="Tahoma" w:eastAsia="Calibri" w:hAnsi="Tahoma" w:cs="Tahoma"/>
                <w:sz w:val="19"/>
                <w:szCs w:val="19"/>
                <w:rtl/>
              </w:rPr>
            </w:pPr>
            <w:r w:rsidRPr="00ED6905">
              <w:rPr>
                <w:rFonts w:ascii="Tahoma" w:eastAsia="Calibri" w:hAnsi="Tahoma" w:cs="Tahoma" w:hint="cs"/>
                <w:sz w:val="19"/>
                <w:szCs w:val="19"/>
                <w:rtl/>
              </w:rPr>
              <w:t xml:space="preserve">היה הפער בין הנתון המספרי על המפונים ששהו בבתי מלון, </w:t>
            </w:r>
            <w:r w:rsidRPr="00ED6905">
              <w:rPr>
                <w:rFonts w:ascii="Tahoma" w:eastAsia="Calibri" w:hAnsi="Tahoma" w:cs="Tahoma"/>
                <w:sz w:val="19"/>
                <w:szCs w:val="19"/>
                <w:rtl/>
              </w:rPr>
              <w:t xml:space="preserve">באמצע נובמבר 2023, </w:t>
            </w:r>
            <w:r w:rsidRPr="00ED6905">
              <w:rPr>
                <w:rFonts w:ascii="Tahoma" w:eastAsia="Calibri" w:hAnsi="Tahoma" w:cs="Tahoma" w:hint="cs"/>
                <w:sz w:val="19"/>
                <w:szCs w:val="19"/>
                <w:rtl/>
              </w:rPr>
              <w:t xml:space="preserve">על פי </w:t>
            </w:r>
            <w:r w:rsidRPr="00ED6905">
              <w:rPr>
                <w:rFonts w:ascii="Tahoma" w:eastAsia="Calibri" w:hAnsi="Tahoma" w:cs="Tahoma"/>
                <w:sz w:val="19"/>
                <w:szCs w:val="19"/>
                <w:rtl/>
              </w:rPr>
              <w:t xml:space="preserve">מערכת אמו"ן </w:t>
            </w:r>
            <w:r w:rsidRPr="00ED6905">
              <w:rPr>
                <w:rFonts w:ascii="Tahoma" w:eastAsia="Calibri" w:hAnsi="Tahoma" w:cs="Tahoma" w:hint="cs"/>
                <w:sz w:val="19"/>
                <w:szCs w:val="19"/>
                <w:rtl/>
              </w:rPr>
              <w:t>של מערך הדיגיטל הלאומי ב</w:t>
            </w:r>
            <w:r w:rsidRPr="00ED6905">
              <w:rPr>
                <w:rFonts w:ascii="Tahoma" w:eastAsia="Calibri" w:hAnsi="Tahoma" w:cs="Tahoma"/>
                <w:sz w:val="19"/>
                <w:szCs w:val="19"/>
                <w:rtl/>
              </w:rPr>
              <w:t>השוואה ל</w:t>
            </w:r>
            <w:r w:rsidRPr="00ED6905">
              <w:rPr>
                <w:rFonts w:ascii="Tahoma" w:eastAsia="Calibri" w:hAnsi="Tahoma" w:cs="Tahoma" w:hint="cs"/>
                <w:sz w:val="19"/>
                <w:szCs w:val="19"/>
                <w:rtl/>
              </w:rPr>
              <w:t>נתון המקביל לאותה עת שהיה ב</w:t>
            </w:r>
            <w:r w:rsidRPr="00ED6905">
              <w:rPr>
                <w:rFonts w:ascii="Tahoma" w:eastAsia="Calibri" w:hAnsi="Tahoma" w:cs="Tahoma"/>
                <w:sz w:val="19"/>
                <w:szCs w:val="19"/>
                <w:rtl/>
              </w:rPr>
              <w:t>מערכת יחד</w:t>
            </w:r>
            <w:r w:rsidRPr="00ED6905">
              <w:rPr>
                <w:rFonts w:ascii="Tahoma" w:eastAsia="Calibri" w:hAnsi="Tahoma" w:cs="Tahoma" w:hint="cs"/>
                <w:sz w:val="19"/>
                <w:szCs w:val="19"/>
                <w:rtl/>
              </w:rPr>
              <w:t xml:space="preserve"> של מערך הדיגיטל - 87,000 איש על פי מערכת אמו"ן לעומת 15,000 איש בלבד על פי מערכת יחד</w:t>
            </w:r>
            <w:r w:rsidRPr="00ED6905">
              <w:rPr>
                <w:rFonts w:ascii="Tahoma" w:eastAsia="Calibri" w:hAnsi="Tahoma" w:cs="Tahoma"/>
                <w:sz w:val="19"/>
                <w:szCs w:val="19"/>
                <w:vertAlign w:val="superscript"/>
                <w:rtl/>
              </w:rPr>
              <w:footnoteReference w:id="4"/>
            </w:r>
          </w:p>
        </w:tc>
      </w:tr>
    </w:tbl>
    <w:p w:rsidR="00ED6905" w:rsidRPr="00ED6905" w:rsidRDefault="00ED6905" w:rsidP="00AE4BB7">
      <w:pPr>
        <w:spacing w:line="288" w:lineRule="auto"/>
        <w:ind w:left="-284"/>
        <w:rPr>
          <w:sz w:val="12"/>
          <w:szCs w:val="16"/>
          <w:rtl/>
        </w:rPr>
      </w:pPr>
    </w:p>
    <w:tbl>
      <w:tblPr>
        <w:tblStyle w:val="af4"/>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tblGrid>
      <w:tr w:rsidR="00AE4BB7" w:rsidTr="009E37AC">
        <w:trPr>
          <w:trHeight w:val="495"/>
        </w:trPr>
        <w:tc>
          <w:tcPr>
            <w:tcW w:w="8865" w:type="dxa"/>
            <w:vAlign w:val="center"/>
          </w:tcPr>
          <w:p w:rsidR="00AE4BB7" w:rsidRPr="006C4033" w:rsidRDefault="00AE4BB7" w:rsidP="00E262FA">
            <w:pPr>
              <w:spacing w:line="480" w:lineRule="auto"/>
              <w:ind w:left="-1"/>
              <w:jc w:val="left"/>
              <w:rPr>
                <w:rFonts w:ascii="Tahoma" w:hAnsi="Tahoma" w:cs="Tahoma"/>
                <w:sz w:val="17"/>
                <w:szCs w:val="17"/>
                <w:rtl/>
              </w:rPr>
            </w:pPr>
            <w:r w:rsidRPr="006C4033">
              <w:rPr>
                <w:rFonts w:ascii="Tahoma" w:hAnsi="Tahoma" w:cs="Tahoma"/>
                <w:noProof/>
              </w:rPr>
              <w:lastRenderedPageBreak/>
              <w:drawing>
                <wp:inline distT="0" distB="0" distL="0" distR="0" wp14:anchorId="1B9A1196" wp14:editId="00A15EF1">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4B2FF6" w:rsidRDefault="00AE4BB7" w:rsidP="00ED6905">
      <w:pPr>
        <w:pStyle w:val="73"/>
        <w:spacing w:after="120"/>
        <w:ind w:left="851"/>
        <w:rPr>
          <w:noProof/>
          <w:rtl/>
        </w:rPr>
      </w:pPr>
      <w:r w:rsidRPr="00084768">
        <w:rPr>
          <w:noProof/>
          <w:sz w:val="19"/>
          <w:szCs w:val="19"/>
        </w:rPr>
        <w:drawing>
          <wp:anchor distT="0" distB="0" distL="71755" distR="71755" simplePos="0" relativeHeight="251659264" behindDoc="0" locked="0" layoutInCell="1" allowOverlap="1" wp14:anchorId="49C406E9" wp14:editId="0049FDCE">
            <wp:simplePos x="0" y="0"/>
            <wp:positionH relativeFrom="margin">
              <wp:align>right</wp:align>
            </wp:positionH>
            <wp:positionV relativeFrom="paragraph">
              <wp:posOffset>654717</wp:posOffset>
            </wp:positionV>
            <wp:extent cx="384175" cy="384175"/>
            <wp:effectExtent l="0" t="0" r="0" b="0"/>
            <wp:wrapSquare wrapText="bothSides"/>
            <wp:docPr id="25" name="תמונה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905" w:rsidRPr="00ED6905">
        <w:rPr>
          <w:sz w:val="19"/>
          <w:szCs w:val="19"/>
          <w:rtl/>
        </w:rPr>
        <w:t xml:space="preserve">בחודשים ינואר עד מאי 2024 ערך משרד מבקר המדינה ביקורת על ההיערכות לניהול המידע על המפונים לפני פרוץ המלחמה וניהול המידע במהלכה. בכלל זה נבחנה היכולת לאסוף את המידע, לרכזו ולנהלו באמצעות מערכת תקשוב ייעודית, ולנתבו לגופי הממשל השונים הנדרשים לספק שירותים למפונים ולמתפנים, כל אחד על פי תחומי אחריותו. הבדיקה כוונה לשתי תקופות זמן - לפני מלחמת חרבות ברזל ובמהלכה. נבדקה ההיערכות התקשובית שנעשתה לפני פרוץ </w:t>
      </w:r>
      <w:bookmarkStart w:id="1" w:name="_GoBack"/>
      <w:r w:rsidR="00ED6905" w:rsidRPr="00ED6905">
        <w:rPr>
          <w:sz w:val="19"/>
          <w:szCs w:val="19"/>
          <w:rtl/>
        </w:rPr>
        <w:t>מלחמת</w:t>
      </w:r>
      <w:bookmarkEnd w:id="1"/>
      <w:r w:rsidR="00ED6905" w:rsidRPr="00ED6905">
        <w:rPr>
          <w:sz w:val="19"/>
          <w:szCs w:val="19"/>
          <w:rtl/>
        </w:rPr>
        <w:t xml:space="preserve"> חרבות ברזל בכל הנוגע לאיסוף מידע על מפונים וצורכיהם ולהצגתו בפני גופי ממשל ורשויות מקומיות; כן נבחן המענה התקשובי שניתן לאחר פרוץ המלחמה, משנדרש בפועל לאסוף מידע זה ולהציגו להם. הביקורת נעשתה במשרד הפנים - במינהל החירום ובאגף פס"ח, במערך הדיגיטל הלאומי, במשרד הביטחון - ברח"ל, במשרד ראש הממשלה (רה"ם) ובפקע"ר. בדיקות השלמה נעשו במשרד החינוך, במשרד הבריאות, במשרד התיירות, במוסד לביטוח לאומי, וברשות המיסים בישראל.</w:t>
      </w:r>
    </w:p>
    <w:p w:rsidR="004B2FF6" w:rsidRDefault="004B2FF6" w:rsidP="004B2FF6">
      <w:pPr>
        <w:pStyle w:val="73"/>
        <w:ind w:left="851"/>
        <w:rPr>
          <w:noProof/>
        </w:rPr>
      </w:pPr>
    </w:p>
    <w:p w:rsidR="00AE4BB7" w:rsidRPr="006C4033" w:rsidRDefault="00AE4BB7" w:rsidP="004E0191">
      <w:pPr>
        <w:pStyle w:val="73"/>
        <w:ind w:left="-1"/>
        <w:rPr>
          <w:noProof/>
          <w:rtl/>
        </w:rPr>
      </w:pPr>
      <w:r w:rsidRPr="006C4033">
        <w:rPr>
          <w:noProof/>
        </w:rPr>
        <w:drawing>
          <wp:inline distT="0" distB="0" distL="0" distR="0" wp14:anchorId="319A68A8" wp14:editId="0BADBDF1">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RDefault="00AE4BB7" w:rsidP="00EE67C7">
      <w:pPr>
        <w:spacing w:before="240" w:after="160"/>
        <w:rPr>
          <w:rtl/>
        </w:rPr>
      </w:pPr>
      <w:r>
        <w:rPr>
          <w:noProof/>
          <w:rtl/>
          <w:lang w:val="he-IL"/>
        </w:rPr>
        <w:drawing>
          <wp:inline distT="0" distB="0" distL="0" distR="0" wp14:anchorId="235C7E4D" wp14:editId="2E6608D8">
            <wp:extent cx="1981200" cy="190500"/>
            <wp:effectExtent l="0" t="0" r="0" b="0"/>
            <wp:docPr id="1310143038" name="תמונה 4" descr="ליקויים">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uri="{C183D7F6-B498-43B3-948B-1728B52AA6E4}">
                          <adec:decorative xmlns:adec="http://schemas.microsoft.com/office/drawing/2017/decorative" val="0"/>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ED6905" w:rsidRDefault="00ED6905" w:rsidP="00071B06">
      <w:pPr>
        <w:pStyle w:val="73"/>
        <w:numPr>
          <w:ilvl w:val="0"/>
          <w:numId w:val="25"/>
        </w:numPr>
        <w:rPr>
          <w:rFonts w:eastAsia="Calibri"/>
          <w:b/>
          <w:bCs/>
          <w:sz w:val="19"/>
          <w:szCs w:val="19"/>
        </w:rPr>
      </w:pPr>
      <w:bookmarkStart w:id="2" w:name="_Hlk214353146"/>
      <w:r w:rsidRPr="00ED6905">
        <w:rPr>
          <w:rFonts w:eastAsia="Calibri" w:hint="eastAsia"/>
          <w:b/>
          <w:bCs/>
          <w:sz w:val="19"/>
          <w:szCs w:val="19"/>
          <w:rtl/>
        </w:rPr>
        <w:t>תשתית</w:t>
      </w:r>
      <w:r w:rsidRPr="00ED6905">
        <w:rPr>
          <w:rFonts w:eastAsia="Calibri"/>
          <w:b/>
          <w:bCs/>
          <w:sz w:val="19"/>
          <w:szCs w:val="19"/>
          <w:rtl/>
        </w:rPr>
        <w:t xml:space="preserve"> </w:t>
      </w:r>
      <w:r w:rsidRPr="00ED6905">
        <w:rPr>
          <w:rFonts w:eastAsia="Calibri" w:hint="eastAsia"/>
          <w:b/>
          <w:bCs/>
          <w:sz w:val="19"/>
          <w:szCs w:val="19"/>
          <w:rtl/>
        </w:rPr>
        <w:t>לאיסוף</w:t>
      </w:r>
      <w:r w:rsidRPr="00ED6905">
        <w:rPr>
          <w:rFonts w:eastAsia="Calibri"/>
          <w:b/>
          <w:bCs/>
          <w:sz w:val="19"/>
          <w:szCs w:val="19"/>
          <w:rtl/>
        </w:rPr>
        <w:t xml:space="preserve">, </w:t>
      </w:r>
      <w:r w:rsidRPr="00ED6905">
        <w:rPr>
          <w:rFonts w:eastAsia="Calibri" w:hint="eastAsia"/>
          <w:b/>
          <w:bCs/>
          <w:sz w:val="19"/>
          <w:szCs w:val="19"/>
          <w:rtl/>
        </w:rPr>
        <w:t>ניהול</w:t>
      </w:r>
      <w:r w:rsidRPr="00ED6905">
        <w:rPr>
          <w:rFonts w:eastAsia="Calibri"/>
          <w:b/>
          <w:bCs/>
          <w:sz w:val="19"/>
          <w:szCs w:val="19"/>
          <w:rtl/>
        </w:rPr>
        <w:t xml:space="preserve"> </w:t>
      </w:r>
      <w:r w:rsidRPr="00ED6905">
        <w:rPr>
          <w:rFonts w:eastAsia="Calibri" w:hint="cs"/>
          <w:b/>
          <w:bCs/>
          <w:sz w:val="19"/>
          <w:szCs w:val="19"/>
          <w:rtl/>
        </w:rPr>
        <w:t>ו</w:t>
      </w:r>
      <w:r w:rsidRPr="00ED6905">
        <w:rPr>
          <w:rFonts w:eastAsia="Calibri" w:hint="eastAsia"/>
          <w:b/>
          <w:bCs/>
          <w:sz w:val="19"/>
          <w:szCs w:val="19"/>
          <w:rtl/>
        </w:rPr>
        <w:t>הצג</w:t>
      </w:r>
      <w:r w:rsidR="00E262FA">
        <w:rPr>
          <w:rFonts w:eastAsia="Calibri" w:hint="cs"/>
          <w:b/>
          <w:bCs/>
          <w:sz w:val="19"/>
          <w:szCs w:val="19"/>
          <w:rtl/>
        </w:rPr>
        <w:t>ה של</w:t>
      </w:r>
      <w:r w:rsidRPr="00ED6905">
        <w:rPr>
          <w:rFonts w:eastAsia="Calibri"/>
          <w:b/>
          <w:bCs/>
          <w:sz w:val="19"/>
          <w:szCs w:val="19"/>
          <w:rtl/>
        </w:rPr>
        <w:t xml:space="preserve"> </w:t>
      </w:r>
      <w:r w:rsidRPr="00ED6905">
        <w:rPr>
          <w:rFonts w:eastAsia="Calibri" w:hint="eastAsia"/>
          <w:b/>
          <w:bCs/>
          <w:sz w:val="19"/>
          <w:szCs w:val="19"/>
          <w:rtl/>
        </w:rPr>
        <w:t>מידע</w:t>
      </w:r>
      <w:r w:rsidRPr="00ED6905">
        <w:rPr>
          <w:rFonts w:eastAsia="Calibri"/>
          <w:b/>
          <w:bCs/>
          <w:sz w:val="19"/>
          <w:szCs w:val="19"/>
          <w:rtl/>
        </w:rPr>
        <w:t xml:space="preserve"> </w:t>
      </w:r>
      <w:r w:rsidRPr="00ED6905">
        <w:rPr>
          <w:rFonts w:eastAsia="Calibri" w:hint="eastAsia"/>
          <w:b/>
          <w:bCs/>
          <w:sz w:val="19"/>
          <w:szCs w:val="19"/>
          <w:rtl/>
        </w:rPr>
        <w:t>על</w:t>
      </w:r>
      <w:r w:rsidRPr="00ED6905">
        <w:rPr>
          <w:rFonts w:eastAsia="Calibri"/>
          <w:b/>
          <w:bCs/>
          <w:sz w:val="19"/>
          <w:szCs w:val="19"/>
          <w:rtl/>
        </w:rPr>
        <w:t xml:space="preserve"> </w:t>
      </w:r>
      <w:r w:rsidRPr="00ED6905">
        <w:rPr>
          <w:rFonts w:eastAsia="Calibri" w:hint="eastAsia"/>
          <w:b/>
          <w:bCs/>
          <w:sz w:val="19"/>
          <w:szCs w:val="19"/>
          <w:rtl/>
        </w:rPr>
        <w:t>כלל</w:t>
      </w:r>
      <w:r w:rsidRPr="00ED6905">
        <w:rPr>
          <w:rFonts w:eastAsia="Calibri"/>
          <w:b/>
          <w:bCs/>
          <w:sz w:val="19"/>
          <w:szCs w:val="19"/>
          <w:rtl/>
        </w:rPr>
        <w:t xml:space="preserve"> </w:t>
      </w:r>
      <w:r w:rsidRPr="00ED6905">
        <w:rPr>
          <w:rFonts w:eastAsia="Calibri" w:hint="eastAsia"/>
          <w:b/>
          <w:bCs/>
          <w:sz w:val="19"/>
          <w:szCs w:val="19"/>
          <w:rtl/>
        </w:rPr>
        <w:t>המפונים</w:t>
      </w:r>
      <w:r w:rsidRPr="00ED6905">
        <w:rPr>
          <w:rFonts w:eastAsia="Calibri"/>
          <w:b/>
          <w:bCs/>
          <w:sz w:val="19"/>
          <w:szCs w:val="19"/>
          <w:rtl/>
        </w:rPr>
        <w:t xml:space="preserve"> </w:t>
      </w:r>
      <w:r w:rsidRPr="00ED6905">
        <w:rPr>
          <w:rFonts w:eastAsia="Calibri" w:hint="eastAsia"/>
          <w:b/>
          <w:bCs/>
          <w:sz w:val="19"/>
          <w:szCs w:val="19"/>
          <w:rtl/>
        </w:rPr>
        <w:t>והמתפנים</w:t>
      </w:r>
      <w:r w:rsidRPr="00ED6905">
        <w:rPr>
          <w:rFonts w:eastAsia="Calibri"/>
          <w:b/>
          <w:bCs/>
          <w:sz w:val="19"/>
          <w:szCs w:val="19"/>
          <w:rtl/>
        </w:rPr>
        <w:t xml:space="preserve"> </w:t>
      </w:r>
      <w:r w:rsidRPr="00ED6905">
        <w:rPr>
          <w:rFonts w:eastAsia="Calibri"/>
          <w:sz w:val="19"/>
          <w:szCs w:val="19"/>
          <w:rtl/>
        </w:rPr>
        <w:t>-</w:t>
      </w:r>
      <w:r w:rsidRPr="00ED6905">
        <w:rPr>
          <w:rFonts w:eastAsia="Calibri" w:hint="cs"/>
          <w:sz w:val="19"/>
          <w:szCs w:val="19"/>
          <w:rtl/>
        </w:rPr>
        <w:t xml:space="preserve"> </w:t>
      </w:r>
      <w:r w:rsidRPr="00ED6905">
        <w:rPr>
          <w:rFonts w:eastAsia="Calibri" w:hint="eastAsia"/>
          <w:sz w:val="19"/>
          <w:szCs w:val="19"/>
          <w:rtl/>
        </w:rPr>
        <w:t>לגופי</w:t>
      </w:r>
      <w:r w:rsidRPr="00ED6905">
        <w:rPr>
          <w:rFonts w:eastAsia="Calibri"/>
          <w:sz w:val="19"/>
          <w:szCs w:val="19"/>
          <w:rtl/>
        </w:rPr>
        <w:t xml:space="preserve"> </w:t>
      </w:r>
      <w:r w:rsidRPr="00ED6905">
        <w:rPr>
          <w:rFonts w:eastAsia="Calibri" w:hint="eastAsia"/>
          <w:sz w:val="19"/>
          <w:szCs w:val="19"/>
          <w:rtl/>
        </w:rPr>
        <w:t>הח</w:t>
      </w:r>
      <w:r w:rsidRPr="00ED6905">
        <w:rPr>
          <w:rFonts w:eastAsia="Calibri" w:hint="cs"/>
          <w:sz w:val="19"/>
          <w:szCs w:val="19"/>
          <w:rtl/>
        </w:rPr>
        <w:t>י</w:t>
      </w:r>
      <w:r w:rsidRPr="00ED6905">
        <w:rPr>
          <w:rFonts w:eastAsia="Calibri" w:hint="eastAsia"/>
          <w:sz w:val="19"/>
          <w:szCs w:val="19"/>
          <w:rtl/>
        </w:rPr>
        <w:t>רום</w:t>
      </w:r>
      <w:r w:rsidRPr="00ED6905">
        <w:rPr>
          <w:rFonts w:eastAsia="Calibri"/>
          <w:sz w:val="19"/>
          <w:szCs w:val="19"/>
          <w:rtl/>
        </w:rPr>
        <w:t xml:space="preserve"> </w:t>
      </w:r>
      <w:r w:rsidRPr="00ED6905">
        <w:rPr>
          <w:rFonts w:eastAsia="Calibri" w:hint="eastAsia"/>
          <w:sz w:val="19"/>
          <w:szCs w:val="19"/>
          <w:rtl/>
        </w:rPr>
        <w:t>ובראשם</w:t>
      </w:r>
      <w:r w:rsidRPr="00ED6905">
        <w:rPr>
          <w:rFonts w:eastAsia="Calibri"/>
          <w:sz w:val="19"/>
          <w:szCs w:val="19"/>
          <w:rtl/>
        </w:rPr>
        <w:t xml:space="preserve"> </w:t>
      </w:r>
      <w:r w:rsidRPr="00ED6905">
        <w:rPr>
          <w:rFonts w:eastAsia="Calibri" w:hint="eastAsia"/>
          <w:sz w:val="19"/>
          <w:szCs w:val="19"/>
          <w:rtl/>
        </w:rPr>
        <w:t>לרח</w:t>
      </w:r>
      <w:r w:rsidRPr="00ED6905">
        <w:rPr>
          <w:rFonts w:eastAsia="Calibri"/>
          <w:sz w:val="19"/>
          <w:szCs w:val="19"/>
          <w:rtl/>
        </w:rPr>
        <w:t xml:space="preserve">"ל, בהיותה הגוף שנדרש לרכז את עבודת המטה הבין-משרדית לפינוי וקליטה של </w:t>
      </w:r>
      <w:r w:rsidRPr="00ED6905">
        <w:rPr>
          <w:rFonts w:eastAsia="Calibri" w:hint="eastAsia"/>
          <w:sz w:val="19"/>
          <w:szCs w:val="19"/>
          <w:rtl/>
        </w:rPr>
        <w:t>אוכלוס</w:t>
      </w:r>
      <w:r w:rsidR="00E262FA">
        <w:rPr>
          <w:rFonts w:eastAsia="Calibri" w:hint="cs"/>
          <w:sz w:val="19"/>
          <w:szCs w:val="19"/>
          <w:rtl/>
        </w:rPr>
        <w:t>י</w:t>
      </w:r>
      <w:r w:rsidRPr="00ED6905">
        <w:rPr>
          <w:rFonts w:eastAsia="Calibri" w:hint="eastAsia"/>
          <w:sz w:val="19"/>
          <w:szCs w:val="19"/>
          <w:rtl/>
        </w:rPr>
        <w:t>יה</w:t>
      </w:r>
      <w:r w:rsidRPr="00ED6905">
        <w:rPr>
          <w:rFonts w:eastAsia="Calibri"/>
          <w:sz w:val="19"/>
          <w:szCs w:val="19"/>
          <w:rtl/>
        </w:rPr>
        <w:t xml:space="preserve"> במצב חירום</w:t>
      </w:r>
      <w:r w:rsidRPr="00ED6905">
        <w:rPr>
          <w:rFonts w:eastAsia="Calibri" w:hint="cs"/>
          <w:sz w:val="19"/>
          <w:szCs w:val="19"/>
          <w:rtl/>
        </w:rPr>
        <w:t xml:space="preserve"> על פי החלטת מלון אורחים</w:t>
      </w:r>
      <w:r w:rsidRPr="00ED6905">
        <w:rPr>
          <w:rFonts w:eastAsia="Calibri"/>
          <w:sz w:val="19"/>
          <w:szCs w:val="19"/>
          <w:rtl/>
        </w:rPr>
        <w:t xml:space="preserve">, לא </w:t>
      </w:r>
      <w:r w:rsidRPr="00ED6905">
        <w:rPr>
          <w:rFonts w:eastAsia="Calibri" w:hint="eastAsia"/>
          <w:sz w:val="19"/>
          <w:szCs w:val="19"/>
          <w:rtl/>
        </w:rPr>
        <w:t>היו</w:t>
      </w:r>
      <w:r w:rsidRPr="00ED6905">
        <w:rPr>
          <w:rFonts w:eastAsia="Calibri"/>
          <w:sz w:val="19"/>
          <w:szCs w:val="19"/>
          <w:rtl/>
        </w:rPr>
        <w:t xml:space="preserve"> עם פרוץ המלחמה מנגנונים לאיסוף מידע </w:t>
      </w:r>
      <w:r w:rsidRPr="00ED6905">
        <w:rPr>
          <w:rFonts w:eastAsia="Calibri" w:hint="eastAsia"/>
          <w:sz w:val="19"/>
          <w:szCs w:val="19"/>
          <w:rtl/>
        </w:rPr>
        <w:t>הכולל</w:t>
      </w:r>
      <w:r w:rsidRPr="00ED6905">
        <w:rPr>
          <w:rFonts w:eastAsia="Calibri"/>
          <w:sz w:val="19"/>
          <w:szCs w:val="19"/>
          <w:rtl/>
        </w:rPr>
        <w:t xml:space="preserve"> פרטים דמוגרפי</w:t>
      </w:r>
      <w:r w:rsidR="00E262FA">
        <w:rPr>
          <w:rFonts w:eastAsia="Calibri" w:hint="cs"/>
          <w:sz w:val="19"/>
          <w:szCs w:val="19"/>
          <w:rtl/>
        </w:rPr>
        <w:t>י</w:t>
      </w:r>
      <w:r w:rsidRPr="00ED6905">
        <w:rPr>
          <w:rFonts w:eastAsia="Calibri"/>
          <w:sz w:val="19"/>
          <w:szCs w:val="19"/>
          <w:rtl/>
        </w:rPr>
        <w:t>ם</w:t>
      </w:r>
      <w:r w:rsidRPr="00ED6905">
        <w:rPr>
          <w:rFonts w:eastAsia="Calibri" w:hint="cs"/>
          <w:sz w:val="19"/>
          <w:szCs w:val="19"/>
          <w:rtl/>
        </w:rPr>
        <w:t xml:space="preserve"> ומידע אישי אחר</w:t>
      </w:r>
      <w:r w:rsidRPr="00ED6905">
        <w:rPr>
          <w:rFonts w:eastAsia="Calibri"/>
          <w:sz w:val="19"/>
          <w:szCs w:val="19"/>
          <w:rtl/>
        </w:rPr>
        <w:t xml:space="preserve"> </w:t>
      </w:r>
      <w:r w:rsidRPr="00ED6905">
        <w:rPr>
          <w:rFonts w:eastAsia="Calibri" w:hint="eastAsia"/>
          <w:sz w:val="19"/>
          <w:szCs w:val="19"/>
          <w:rtl/>
        </w:rPr>
        <w:t>על</w:t>
      </w:r>
      <w:r w:rsidRPr="00ED6905">
        <w:rPr>
          <w:rFonts w:eastAsia="Calibri"/>
          <w:sz w:val="19"/>
          <w:szCs w:val="19"/>
          <w:rtl/>
        </w:rPr>
        <w:t xml:space="preserve"> </w:t>
      </w:r>
      <w:r w:rsidRPr="00ED6905">
        <w:rPr>
          <w:rFonts w:eastAsia="Calibri" w:hint="eastAsia"/>
          <w:sz w:val="19"/>
          <w:szCs w:val="19"/>
          <w:rtl/>
        </w:rPr>
        <w:t>כלל</w:t>
      </w:r>
      <w:r w:rsidRPr="00ED6905">
        <w:rPr>
          <w:rFonts w:eastAsia="Calibri"/>
          <w:sz w:val="19"/>
          <w:szCs w:val="19"/>
          <w:rtl/>
        </w:rPr>
        <w:t xml:space="preserve"> </w:t>
      </w:r>
      <w:r w:rsidRPr="00ED6905">
        <w:rPr>
          <w:rFonts w:eastAsia="Calibri" w:hint="eastAsia"/>
          <w:sz w:val="19"/>
          <w:szCs w:val="19"/>
          <w:rtl/>
        </w:rPr>
        <w:t>המפונים</w:t>
      </w:r>
      <w:r w:rsidRPr="00ED6905">
        <w:rPr>
          <w:rFonts w:eastAsia="Calibri"/>
          <w:sz w:val="19"/>
          <w:szCs w:val="19"/>
          <w:rtl/>
        </w:rPr>
        <w:t xml:space="preserve"> </w:t>
      </w:r>
      <w:r w:rsidRPr="00ED6905">
        <w:rPr>
          <w:rFonts w:eastAsia="Calibri" w:hint="eastAsia"/>
          <w:sz w:val="19"/>
          <w:szCs w:val="19"/>
          <w:rtl/>
        </w:rPr>
        <w:t>והמתפנים</w:t>
      </w:r>
      <w:r w:rsidRPr="00ED6905">
        <w:rPr>
          <w:rFonts w:eastAsia="Calibri"/>
          <w:sz w:val="19"/>
          <w:szCs w:val="19"/>
          <w:rtl/>
        </w:rPr>
        <w:t xml:space="preserve"> </w:t>
      </w:r>
      <w:r w:rsidRPr="00ED6905">
        <w:rPr>
          <w:rFonts w:eastAsia="Calibri" w:hint="eastAsia"/>
          <w:sz w:val="19"/>
          <w:szCs w:val="19"/>
          <w:rtl/>
        </w:rPr>
        <w:t>וגם</w:t>
      </w:r>
      <w:r w:rsidRPr="00ED6905">
        <w:rPr>
          <w:rFonts w:eastAsia="Calibri"/>
          <w:sz w:val="19"/>
          <w:szCs w:val="19"/>
          <w:rtl/>
        </w:rPr>
        <w:t xml:space="preserve"> </w:t>
      </w:r>
      <w:r w:rsidRPr="00ED6905">
        <w:rPr>
          <w:rFonts w:eastAsia="Calibri" w:hint="eastAsia"/>
          <w:sz w:val="19"/>
          <w:szCs w:val="19"/>
          <w:rtl/>
        </w:rPr>
        <w:t>לא</w:t>
      </w:r>
      <w:r w:rsidRPr="00ED6905">
        <w:rPr>
          <w:rFonts w:eastAsia="Calibri"/>
          <w:sz w:val="19"/>
          <w:szCs w:val="19"/>
          <w:rtl/>
        </w:rPr>
        <w:t xml:space="preserve"> </w:t>
      </w:r>
      <w:r w:rsidRPr="00ED6905">
        <w:rPr>
          <w:rFonts w:eastAsia="Calibri" w:hint="eastAsia"/>
          <w:sz w:val="19"/>
          <w:szCs w:val="19"/>
          <w:rtl/>
        </w:rPr>
        <w:t>מערכת</w:t>
      </w:r>
      <w:r w:rsidRPr="00ED6905">
        <w:rPr>
          <w:rFonts w:eastAsia="Calibri"/>
          <w:sz w:val="19"/>
          <w:szCs w:val="19"/>
          <w:rtl/>
        </w:rPr>
        <w:t xml:space="preserve"> </w:t>
      </w:r>
      <w:r w:rsidRPr="00ED6905">
        <w:rPr>
          <w:rFonts w:eastAsia="Calibri" w:hint="eastAsia"/>
          <w:sz w:val="19"/>
          <w:szCs w:val="19"/>
          <w:rtl/>
        </w:rPr>
        <w:t>תקשובית</w:t>
      </w:r>
      <w:r w:rsidRPr="00ED6905">
        <w:rPr>
          <w:rFonts w:eastAsia="Calibri"/>
          <w:sz w:val="19"/>
          <w:szCs w:val="19"/>
          <w:rtl/>
        </w:rPr>
        <w:t xml:space="preserve"> לריכוז, </w:t>
      </w:r>
      <w:r w:rsidRPr="00ED6905">
        <w:rPr>
          <w:rFonts w:eastAsia="Calibri" w:hint="eastAsia"/>
          <w:sz w:val="19"/>
          <w:szCs w:val="19"/>
          <w:rtl/>
        </w:rPr>
        <w:t>איגום</w:t>
      </w:r>
      <w:r w:rsidRPr="00ED6905">
        <w:rPr>
          <w:rFonts w:eastAsia="Calibri"/>
          <w:sz w:val="19"/>
          <w:szCs w:val="19"/>
          <w:rtl/>
        </w:rPr>
        <w:t xml:space="preserve"> וניהול </w:t>
      </w:r>
      <w:r w:rsidR="00E262FA">
        <w:rPr>
          <w:rFonts w:eastAsia="Calibri" w:hint="cs"/>
          <w:sz w:val="19"/>
          <w:szCs w:val="19"/>
          <w:rtl/>
        </w:rPr>
        <w:t xml:space="preserve">של </w:t>
      </w:r>
      <w:r w:rsidRPr="00ED6905">
        <w:rPr>
          <w:rFonts w:eastAsia="Calibri"/>
          <w:sz w:val="19"/>
          <w:szCs w:val="19"/>
          <w:rtl/>
        </w:rPr>
        <w:t>המידע על</w:t>
      </w:r>
      <w:r w:rsidRPr="00ED6905">
        <w:rPr>
          <w:rFonts w:eastAsia="Calibri" w:hint="eastAsia"/>
          <w:sz w:val="19"/>
          <w:szCs w:val="19"/>
          <w:rtl/>
        </w:rPr>
        <w:t>יהם</w:t>
      </w:r>
      <w:r w:rsidRPr="00ED6905">
        <w:rPr>
          <w:rFonts w:eastAsia="Calibri"/>
          <w:sz w:val="19"/>
          <w:szCs w:val="19"/>
          <w:rtl/>
        </w:rPr>
        <w:t xml:space="preserve">. </w:t>
      </w:r>
      <w:r w:rsidRPr="00ED6905">
        <w:rPr>
          <w:rFonts w:eastAsia="Calibri" w:hint="eastAsia"/>
          <w:sz w:val="19"/>
          <w:szCs w:val="19"/>
          <w:rtl/>
        </w:rPr>
        <w:t>ועל</w:t>
      </w:r>
      <w:r w:rsidRPr="00ED6905">
        <w:rPr>
          <w:rFonts w:eastAsia="Calibri"/>
          <w:sz w:val="19"/>
          <w:szCs w:val="19"/>
          <w:rtl/>
        </w:rPr>
        <w:t xml:space="preserve"> כן </w:t>
      </w:r>
      <w:r w:rsidRPr="00ED6905">
        <w:rPr>
          <w:rFonts w:eastAsia="Calibri" w:hint="eastAsia"/>
          <w:sz w:val="19"/>
          <w:szCs w:val="19"/>
          <w:rtl/>
        </w:rPr>
        <w:t>עם</w:t>
      </w:r>
      <w:r w:rsidRPr="00ED6905">
        <w:rPr>
          <w:rFonts w:eastAsia="Calibri"/>
          <w:sz w:val="19"/>
          <w:szCs w:val="19"/>
          <w:rtl/>
        </w:rPr>
        <w:t xml:space="preserve"> </w:t>
      </w:r>
      <w:r w:rsidRPr="00ED6905">
        <w:rPr>
          <w:rFonts w:eastAsia="Calibri" w:hint="eastAsia"/>
          <w:sz w:val="19"/>
          <w:szCs w:val="19"/>
          <w:rtl/>
        </w:rPr>
        <w:t>פרוץ</w:t>
      </w:r>
      <w:r w:rsidRPr="00ED6905">
        <w:rPr>
          <w:rFonts w:eastAsia="Calibri"/>
          <w:sz w:val="19"/>
          <w:szCs w:val="19"/>
          <w:rtl/>
        </w:rPr>
        <w:t xml:space="preserve"> </w:t>
      </w:r>
      <w:r w:rsidRPr="00ED6905">
        <w:rPr>
          <w:rFonts w:eastAsia="Calibri" w:hint="eastAsia"/>
          <w:sz w:val="19"/>
          <w:szCs w:val="19"/>
          <w:rtl/>
        </w:rPr>
        <w:t>המלחמה</w:t>
      </w:r>
      <w:r w:rsidRPr="00ED6905">
        <w:rPr>
          <w:rFonts w:eastAsia="Calibri" w:hint="cs"/>
          <w:sz w:val="19"/>
          <w:szCs w:val="19"/>
          <w:rtl/>
        </w:rPr>
        <w:t xml:space="preserve"> </w:t>
      </w:r>
      <w:r w:rsidRPr="00ED6905">
        <w:rPr>
          <w:rFonts w:eastAsia="Calibri"/>
          <w:sz w:val="19"/>
          <w:szCs w:val="19"/>
          <w:rtl/>
        </w:rPr>
        <w:t xml:space="preserve">הם לא היו ערוכים לרכז ולנהל את המידע על </w:t>
      </w:r>
      <w:r w:rsidRPr="00ED6905">
        <w:rPr>
          <w:rFonts w:eastAsia="Calibri" w:hint="eastAsia"/>
          <w:sz w:val="19"/>
          <w:szCs w:val="19"/>
          <w:rtl/>
        </w:rPr>
        <w:t>כרבע</w:t>
      </w:r>
      <w:r w:rsidRPr="00ED6905">
        <w:rPr>
          <w:rFonts w:eastAsia="Calibri"/>
          <w:sz w:val="19"/>
          <w:szCs w:val="19"/>
          <w:rtl/>
        </w:rPr>
        <w:t xml:space="preserve"> מיל</w:t>
      </w:r>
      <w:r w:rsidRPr="00ED6905">
        <w:rPr>
          <w:rFonts w:eastAsia="Calibri" w:hint="eastAsia"/>
          <w:sz w:val="19"/>
          <w:szCs w:val="19"/>
          <w:rtl/>
        </w:rPr>
        <w:t>י</w:t>
      </w:r>
      <w:r w:rsidRPr="00ED6905">
        <w:rPr>
          <w:rFonts w:eastAsia="Calibri"/>
          <w:sz w:val="19"/>
          <w:szCs w:val="19"/>
          <w:rtl/>
        </w:rPr>
        <w:t xml:space="preserve">ון </w:t>
      </w:r>
      <w:r w:rsidRPr="00ED6905">
        <w:rPr>
          <w:rFonts w:eastAsia="Calibri" w:hint="eastAsia"/>
          <w:sz w:val="19"/>
          <w:szCs w:val="19"/>
          <w:rtl/>
        </w:rPr>
        <w:t>התושבים</w:t>
      </w:r>
      <w:r w:rsidRPr="00ED6905">
        <w:rPr>
          <w:rFonts w:eastAsia="Calibri"/>
          <w:sz w:val="19"/>
          <w:szCs w:val="19"/>
          <w:rtl/>
        </w:rPr>
        <w:t xml:space="preserve"> </w:t>
      </w:r>
      <w:r w:rsidRPr="00ED6905">
        <w:rPr>
          <w:rFonts w:eastAsia="Calibri" w:hint="eastAsia"/>
          <w:sz w:val="19"/>
          <w:szCs w:val="19"/>
          <w:rtl/>
        </w:rPr>
        <w:t>שפונו</w:t>
      </w:r>
      <w:r w:rsidRPr="00ED6905">
        <w:rPr>
          <w:rFonts w:eastAsia="Calibri"/>
          <w:sz w:val="19"/>
          <w:szCs w:val="19"/>
          <w:rtl/>
        </w:rPr>
        <w:t xml:space="preserve"> </w:t>
      </w:r>
      <w:r w:rsidRPr="00ED6905">
        <w:rPr>
          <w:rFonts w:eastAsia="Calibri" w:hint="eastAsia"/>
          <w:sz w:val="19"/>
          <w:szCs w:val="19"/>
          <w:rtl/>
        </w:rPr>
        <w:t>והתפנו</w:t>
      </w:r>
      <w:r w:rsidRPr="00ED6905">
        <w:rPr>
          <w:rFonts w:eastAsia="Calibri"/>
          <w:sz w:val="19"/>
          <w:szCs w:val="19"/>
          <w:rtl/>
        </w:rPr>
        <w:t xml:space="preserve"> </w:t>
      </w:r>
      <w:r w:rsidRPr="00ED6905">
        <w:rPr>
          <w:rFonts w:eastAsia="Calibri" w:hint="eastAsia"/>
          <w:sz w:val="19"/>
          <w:szCs w:val="19"/>
          <w:rtl/>
        </w:rPr>
        <w:t>מבתיהם</w:t>
      </w:r>
      <w:r w:rsidRPr="00ED6905">
        <w:rPr>
          <w:rFonts w:eastAsia="Calibri"/>
          <w:sz w:val="19"/>
          <w:szCs w:val="19"/>
          <w:rtl/>
        </w:rPr>
        <w:t xml:space="preserve"> במלחמה, זאת </w:t>
      </w:r>
      <w:r w:rsidRPr="00ED6905">
        <w:rPr>
          <w:rFonts w:eastAsia="Calibri" w:hint="eastAsia"/>
          <w:sz w:val="19"/>
          <w:szCs w:val="19"/>
          <w:rtl/>
        </w:rPr>
        <w:t>כדי</w:t>
      </w:r>
      <w:r w:rsidRPr="00ED6905">
        <w:rPr>
          <w:rFonts w:eastAsia="Calibri"/>
          <w:sz w:val="19"/>
          <w:szCs w:val="19"/>
          <w:rtl/>
        </w:rPr>
        <w:t xml:space="preserve"> </w:t>
      </w:r>
      <w:r w:rsidRPr="00ED6905">
        <w:rPr>
          <w:rFonts w:eastAsia="Calibri" w:hint="eastAsia"/>
          <w:sz w:val="19"/>
          <w:szCs w:val="19"/>
          <w:rtl/>
        </w:rPr>
        <w:t>שהמידע</w:t>
      </w:r>
      <w:r w:rsidRPr="00ED6905">
        <w:rPr>
          <w:rFonts w:eastAsia="Calibri"/>
          <w:sz w:val="19"/>
          <w:szCs w:val="19"/>
          <w:rtl/>
        </w:rPr>
        <w:t xml:space="preserve"> </w:t>
      </w:r>
      <w:r w:rsidRPr="00ED6905">
        <w:rPr>
          <w:rFonts w:eastAsia="Calibri" w:hint="eastAsia"/>
          <w:sz w:val="19"/>
          <w:szCs w:val="19"/>
          <w:rtl/>
        </w:rPr>
        <w:t>יעמוד</w:t>
      </w:r>
      <w:r w:rsidRPr="00ED6905">
        <w:rPr>
          <w:rFonts w:eastAsia="Calibri"/>
          <w:sz w:val="19"/>
          <w:szCs w:val="19"/>
          <w:rtl/>
        </w:rPr>
        <w:t xml:space="preserve"> לשירות </w:t>
      </w:r>
      <w:r w:rsidRPr="00ED6905">
        <w:rPr>
          <w:rFonts w:eastAsia="Calibri" w:hint="eastAsia"/>
          <w:sz w:val="19"/>
          <w:szCs w:val="19"/>
          <w:rtl/>
        </w:rPr>
        <w:t>משרדי</w:t>
      </w:r>
      <w:r w:rsidRPr="00ED6905">
        <w:rPr>
          <w:rFonts w:eastAsia="Calibri"/>
          <w:sz w:val="19"/>
          <w:szCs w:val="19"/>
          <w:rtl/>
        </w:rPr>
        <w:t xml:space="preserve"> ממשלה ורשויות מקומיות שנדרשו לתת </w:t>
      </w:r>
      <w:r w:rsidRPr="00ED6905">
        <w:rPr>
          <w:rFonts w:eastAsia="Calibri" w:hint="eastAsia"/>
          <w:sz w:val="19"/>
          <w:szCs w:val="19"/>
          <w:rtl/>
        </w:rPr>
        <w:t>מענה</w:t>
      </w:r>
      <w:r w:rsidRPr="00ED6905">
        <w:rPr>
          <w:rFonts w:eastAsia="Calibri"/>
          <w:sz w:val="19"/>
          <w:szCs w:val="19"/>
          <w:rtl/>
        </w:rPr>
        <w:t xml:space="preserve"> </w:t>
      </w:r>
      <w:r w:rsidRPr="00ED6905">
        <w:rPr>
          <w:rFonts w:eastAsia="Calibri" w:hint="eastAsia"/>
          <w:sz w:val="19"/>
          <w:szCs w:val="19"/>
          <w:rtl/>
        </w:rPr>
        <w:t>לתושבים</w:t>
      </w:r>
      <w:r w:rsidRPr="00ED6905">
        <w:rPr>
          <w:rFonts w:eastAsia="Calibri"/>
          <w:sz w:val="19"/>
          <w:szCs w:val="19"/>
          <w:rtl/>
        </w:rPr>
        <w:t xml:space="preserve"> </w:t>
      </w:r>
      <w:r w:rsidRPr="00ED6905">
        <w:rPr>
          <w:rFonts w:eastAsia="Calibri" w:hint="eastAsia"/>
          <w:sz w:val="19"/>
          <w:szCs w:val="19"/>
          <w:rtl/>
        </w:rPr>
        <w:t>אלה</w:t>
      </w:r>
      <w:r w:rsidRPr="00ED6905">
        <w:rPr>
          <w:rFonts w:eastAsia="Calibri"/>
          <w:sz w:val="19"/>
          <w:szCs w:val="19"/>
          <w:rtl/>
        </w:rPr>
        <w:t>.</w:t>
      </w:r>
      <w:bookmarkEnd w:id="2"/>
      <w:r w:rsidRPr="00ED6905">
        <w:rPr>
          <w:rFonts w:eastAsia="Calibri"/>
          <w:sz w:val="19"/>
          <w:szCs w:val="19"/>
          <w:rtl/>
        </w:rPr>
        <w:t xml:space="preserve"> </w:t>
      </w:r>
      <w:r w:rsidRPr="00ED6905">
        <w:rPr>
          <w:rFonts w:eastAsia="Calibri" w:hint="eastAsia"/>
          <w:sz w:val="19"/>
          <w:szCs w:val="19"/>
          <w:rtl/>
        </w:rPr>
        <w:t>יצוין</w:t>
      </w:r>
      <w:r w:rsidRPr="00ED6905">
        <w:rPr>
          <w:rFonts w:eastAsia="Calibri"/>
          <w:sz w:val="19"/>
          <w:szCs w:val="19"/>
          <w:rtl/>
        </w:rPr>
        <w:t xml:space="preserve"> </w:t>
      </w:r>
      <w:r w:rsidRPr="00ED6905">
        <w:rPr>
          <w:rFonts w:eastAsia="Calibri" w:hint="eastAsia"/>
          <w:sz w:val="19"/>
          <w:szCs w:val="19"/>
          <w:rtl/>
        </w:rPr>
        <w:t>כי</w:t>
      </w:r>
      <w:r w:rsidRPr="00ED6905">
        <w:rPr>
          <w:rFonts w:eastAsia="Calibri"/>
          <w:sz w:val="19"/>
          <w:szCs w:val="19"/>
          <w:rtl/>
        </w:rPr>
        <w:t xml:space="preserve"> </w:t>
      </w:r>
      <w:r w:rsidRPr="00ED6905">
        <w:rPr>
          <w:rFonts w:eastAsia="Calibri" w:hint="eastAsia"/>
          <w:sz w:val="19"/>
          <w:szCs w:val="19"/>
          <w:rtl/>
        </w:rPr>
        <w:t>לפני</w:t>
      </w:r>
      <w:r w:rsidRPr="00ED6905">
        <w:rPr>
          <w:rFonts w:eastAsia="Calibri"/>
          <w:sz w:val="19"/>
          <w:szCs w:val="19"/>
          <w:rtl/>
        </w:rPr>
        <w:t xml:space="preserve"> פרוץ המלחמה </w:t>
      </w:r>
      <w:r w:rsidRPr="00ED6905">
        <w:rPr>
          <w:rFonts w:eastAsia="Calibri" w:hint="eastAsia"/>
          <w:sz w:val="19"/>
          <w:szCs w:val="19"/>
          <w:rtl/>
        </w:rPr>
        <w:t>הייתה</w:t>
      </w:r>
      <w:r w:rsidRPr="00ED6905">
        <w:rPr>
          <w:rFonts w:eastAsia="Calibri"/>
          <w:sz w:val="19"/>
          <w:szCs w:val="19"/>
          <w:rtl/>
        </w:rPr>
        <w:t xml:space="preserve"> </w:t>
      </w:r>
      <w:r w:rsidRPr="00ED6905">
        <w:rPr>
          <w:rFonts w:eastAsia="Calibri" w:hint="eastAsia"/>
          <w:sz w:val="19"/>
          <w:szCs w:val="19"/>
          <w:rtl/>
        </w:rPr>
        <w:t>מערכת</w:t>
      </w:r>
      <w:r w:rsidRPr="00ED6905">
        <w:rPr>
          <w:rFonts w:eastAsia="Calibri"/>
          <w:sz w:val="19"/>
          <w:szCs w:val="19"/>
          <w:rtl/>
        </w:rPr>
        <w:t xml:space="preserve"> </w:t>
      </w:r>
      <w:r w:rsidRPr="00ED6905">
        <w:rPr>
          <w:rFonts w:eastAsia="Calibri" w:hint="eastAsia"/>
          <w:sz w:val="19"/>
          <w:szCs w:val="19"/>
          <w:rtl/>
        </w:rPr>
        <w:t>תקשוב</w:t>
      </w:r>
      <w:r w:rsidRPr="00ED6905">
        <w:rPr>
          <w:rFonts w:eastAsia="Calibri"/>
          <w:sz w:val="19"/>
          <w:szCs w:val="19"/>
          <w:rtl/>
        </w:rPr>
        <w:t xml:space="preserve">, </w:t>
      </w:r>
      <w:r w:rsidRPr="00ED6905">
        <w:rPr>
          <w:rFonts w:eastAsia="Calibri" w:hint="eastAsia"/>
          <w:sz w:val="19"/>
          <w:szCs w:val="19"/>
          <w:rtl/>
        </w:rPr>
        <w:t>תיבת</w:t>
      </w:r>
      <w:r w:rsidRPr="00ED6905">
        <w:rPr>
          <w:rFonts w:eastAsia="Calibri"/>
          <w:sz w:val="19"/>
          <w:szCs w:val="19"/>
          <w:rtl/>
        </w:rPr>
        <w:t xml:space="preserve"> </w:t>
      </w:r>
      <w:r w:rsidRPr="00ED6905">
        <w:rPr>
          <w:rFonts w:eastAsia="Calibri" w:hint="eastAsia"/>
          <w:sz w:val="19"/>
          <w:szCs w:val="19"/>
          <w:rtl/>
        </w:rPr>
        <w:t>נח</w:t>
      </w:r>
      <w:r w:rsidRPr="00ED6905">
        <w:rPr>
          <w:rFonts w:eastAsia="Calibri"/>
          <w:sz w:val="19"/>
          <w:szCs w:val="19"/>
          <w:rtl/>
        </w:rPr>
        <w:t xml:space="preserve">, </w:t>
      </w:r>
      <w:r w:rsidRPr="00ED6905">
        <w:rPr>
          <w:rFonts w:eastAsia="Calibri" w:hint="eastAsia"/>
          <w:sz w:val="19"/>
          <w:szCs w:val="19"/>
          <w:rtl/>
        </w:rPr>
        <w:t>שהוקמה</w:t>
      </w:r>
      <w:r w:rsidRPr="00ED6905">
        <w:rPr>
          <w:rFonts w:eastAsia="Calibri"/>
          <w:sz w:val="19"/>
          <w:szCs w:val="19"/>
          <w:rtl/>
        </w:rPr>
        <w:t xml:space="preserve"> </w:t>
      </w:r>
      <w:r w:rsidRPr="00ED6905">
        <w:rPr>
          <w:rFonts w:eastAsia="Calibri" w:hint="eastAsia"/>
          <w:sz w:val="19"/>
          <w:szCs w:val="19"/>
          <w:rtl/>
        </w:rPr>
        <w:t>ביוזמת</w:t>
      </w:r>
      <w:r w:rsidRPr="00ED6905">
        <w:rPr>
          <w:rFonts w:eastAsia="Calibri"/>
          <w:sz w:val="19"/>
          <w:szCs w:val="19"/>
          <w:rtl/>
        </w:rPr>
        <w:t xml:space="preserve"> </w:t>
      </w:r>
      <w:r w:rsidRPr="00ED6905">
        <w:rPr>
          <w:rFonts w:eastAsia="Calibri" w:hint="eastAsia"/>
          <w:sz w:val="19"/>
          <w:szCs w:val="19"/>
          <w:rtl/>
        </w:rPr>
        <w:t>משרד</w:t>
      </w:r>
      <w:r w:rsidRPr="00ED6905">
        <w:rPr>
          <w:rFonts w:eastAsia="Calibri"/>
          <w:sz w:val="19"/>
          <w:szCs w:val="19"/>
          <w:rtl/>
        </w:rPr>
        <w:t xml:space="preserve"> </w:t>
      </w:r>
      <w:r w:rsidRPr="00ED6905">
        <w:rPr>
          <w:rFonts w:hint="eastAsia"/>
          <w:sz w:val="19"/>
          <w:szCs w:val="19"/>
          <w:rtl/>
        </w:rPr>
        <w:t>הפנים</w:t>
      </w:r>
      <w:r w:rsidRPr="00ED6905">
        <w:rPr>
          <w:rFonts w:eastAsia="Calibri"/>
          <w:sz w:val="19"/>
          <w:szCs w:val="19"/>
          <w:rtl/>
        </w:rPr>
        <w:t xml:space="preserve"> </w:t>
      </w:r>
      <w:r w:rsidRPr="00ED6905">
        <w:rPr>
          <w:rFonts w:eastAsia="Calibri" w:hint="eastAsia"/>
          <w:sz w:val="19"/>
          <w:szCs w:val="19"/>
          <w:rtl/>
        </w:rPr>
        <w:t>לשימוש</w:t>
      </w:r>
      <w:r w:rsidRPr="00ED6905">
        <w:rPr>
          <w:rFonts w:eastAsia="Calibri"/>
          <w:sz w:val="19"/>
          <w:szCs w:val="19"/>
          <w:rtl/>
        </w:rPr>
        <w:t xml:space="preserve"> של</w:t>
      </w:r>
      <w:r w:rsidRPr="00ED6905">
        <w:rPr>
          <w:rFonts w:eastAsia="Calibri" w:hint="eastAsia"/>
          <w:sz w:val="19"/>
          <w:szCs w:val="19"/>
          <w:rtl/>
        </w:rPr>
        <w:t>ו</w:t>
      </w:r>
      <w:r w:rsidRPr="00ED6905">
        <w:rPr>
          <w:rFonts w:eastAsia="Calibri"/>
          <w:sz w:val="19"/>
          <w:szCs w:val="19"/>
          <w:rtl/>
        </w:rPr>
        <w:t xml:space="preserve"> </w:t>
      </w:r>
      <w:r w:rsidRPr="00ED6905">
        <w:rPr>
          <w:rFonts w:eastAsia="Calibri" w:hint="eastAsia"/>
          <w:sz w:val="19"/>
          <w:szCs w:val="19"/>
          <w:rtl/>
        </w:rPr>
        <w:t>יחד</w:t>
      </w:r>
      <w:r w:rsidRPr="00ED6905">
        <w:rPr>
          <w:rFonts w:eastAsia="Calibri"/>
          <w:sz w:val="19"/>
          <w:szCs w:val="19"/>
          <w:rtl/>
        </w:rPr>
        <w:t xml:space="preserve"> עם </w:t>
      </w:r>
      <w:r w:rsidRPr="00ED6905">
        <w:rPr>
          <w:rFonts w:eastAsia="Calibri" w:hint="eastAsia"/>
          <w:sz w:val="19"/>
          <w:szCs w:val="19"/>
          <w:rtl/>
        </w:rPr>
        <w:t>מערך</w:t>
      </w:r>
      <w:r w:rsidRPr="00ED6905">
        <w:rPr>
          <w:rFonts w:eastAsia="Calibri"/>
          <w:sz w:val="19"/>
          <w:szCs w:val="19"/>
          <w:rtl/>
        </w:rPr>
        <w:t xml:space="preserve"> </w:t>
      </w:r>
      <w:r w:rsidRPr="00ED6905">
        <w:rPr>
          <w:rFonts w:eastAsia="Calibri" w:hint="eastAsia"/>
          <w:sz w:val="19"/>
          <w:szCs w:val="19"/>
          <w:rtl/>
        </w:rPr>
        <w:t>פס</w:t>
      </w:r>
      <w:r w:rsidRPr="00ED6905">
        <w:rPr>
          <w:rFonts w:eastAsia="Calibri"/>
          <w:sz w:val="19"/>
          <w:szCs w:val="19"/>
          <w:rtl/>
        </w:rPr>
        <w:t xml:space="preserve">"ח, </w:t>
      </w:r>
      <w:r w:rsidRPr="00ED6905">
        <w:rPr>
          <w:rFonts w:eastAsia="Calibri" w:hint="eastAsia"/>
          <w:sz w:val="19"/>
          <w:szCs w:val="19"/>
          <w:rtl/>
        </w:rPr>
        <w:t>לצורך</w:t>
      </w:r>
      <w:r w:rsidRPr="00ED6905">
        <w:rPr>
          <w:rFonts w:eastAsia="Calibri"/>
          <w:sz w:val="19"/>
          <w:szCs w:val="19"/>
          <w:rtl/>
        </w:rPr>
        <w:t xml:space="preserve"> ר</w:t>
      </w:r>
      <w:r w:rsidRPr="00ED6905">
        <w:rPr>
          <w:rFonts w:eastAsia="Calibri" w:hint="eastAsia"/>
          <w:sz w:val="19"/>
          <w:szCs w:val="19"/>
          <w:rtl/>
        </w:rPr>
        <w:t>יכוז</w:t>
      </w:r>
      <w:r w:rsidRPr="00ED6905">
        <w:rPr>
          <w:rFonts w:eastAsia="Calibri"/>
          <w:sz w:val="19"/>
          <w:szCs w:val="19"/>
          <w:rtl/>
        </w:rPr>
        <w:t xml:space="preserve">, </w:t>
      </w:r>
      <w:r w:rsidRPr="00ED6905">
        <w:rPr>
          <w:rFonts w:eastAsia="Calibri" w:hint="eastAsia"/>
          <w:sz w:val="19"/>
          <w:szCs w:val="19"/>
          <w:rtl/>
        </w:rPr>
        <w:t>ניהול</w:t>
      </w:r>
      <w:r w:rsidRPr="00ED6905">
        <w:rPr>
          <w:rFonts w:eastAsia="Calibri"/>
          <w:sz w:val="19"/>
          <w:szCs w:val="19"/>
          <w:rtl/>
        </w:rPr>
        <w:t xml:space="preserve"> </w:t>
      </w:r>
      <w:r w:rsidRPr="00ED6905">
        <w:rPr>
          <w:rFonts w:eastAsia="Calibri" w:hint="eastAsia"/>
          <w:sz w:val="19"/>
          <w:szCs w:val="19"/>
          <w:rtl/>
        </w:rPr>
        <w:t>והצגת</w:t>
      </w:r>
      <w:r w:rsidRPr="00ED6905">
        <w:rPr>
          <w:rFonts w:eastAsia="Calibri"/>
          <w:sz w:val="19"/>
          <w:szCs w:val="19"/>
          <w:rtl/>
        </w:rPr>
        <w:t xml:space="preserve"> תמונת מצב לגופי הממשל על אלה מבין המפונים שיג</w:t>
      </w:r>
      <w:r w:rsidRPr="00ED6905">
        <w:rPr>
          <w:rFonts w:eastAsia="Calibri" w:hint="eastAsia"/>
          <w:sz w:val="19"/>
          <w:szCs w:val="19"/>
          <w:rtl/>
        </w:rPr>
        <w:t>יעו</w:t>
      </w:r>
      <w:r w:rsidRPr="00ED6905">
        <w:rPr>
          <w:rFonts w:eastAsia="Calibri"/>
          <w:sz w:val="19"/>
          <w:szCs w:val="19"/>
          <w:rtl/>
        </w:rPr>
        <w:t xml:space="preserve"> </w:t>
      </w:r>
      <w:r w:rsidRPr="00ED6905">
        <w:rPr>
          <w:rFonts w:eastAsia="Calibri" w:hint="eastAsia"/>
          <w:sz w:val="19"/>
          <w:szCs w:val="19"/>
          <w:rtl/>
        </w:rPr>
        <w:t>למצוא</w:t>
      </w:r>
      <w:r w:rsidRPr="00ED6905">
        <w:rPr>
          <w:rFonts w:eastAsia="Calibri"/>
          <w:sz w:val="19"/>
          <w:szCs w:val="19"/>
          <w:rtl/>
        </w:rPr>
        <w:t xml:space="preserve"> </w:t>
      </w:r>
      <w:r w:rsidRPr="00ED6905">
        <w:rPr>
          <w:rFonts w:eastAsia="Calibri" w:hint="eastAsia"/>
          <w:sz w:val="19"/>
          <w:szCs w:val="19"/>
          <w:rtl/>
        </w:rPr>
        <w:t>מחסה</w:t>
      </w:r>
      <w:r w:rsidRPr="00ED6905">
        <w:rPr>
          <w:rFonts w:eastAsia="Calibri"/>
          <w:sz w:val="19"/>
          <w:szCs w:val="19"/>
          <w:rtl/>
        </w:rPr>
        <w:t xml:space="preserve"> </w:t>
      </w:r>
      <w:r w:rsidRPr="00ED6905">
        <w:rPr>
          <w:rFonts w:eastAsia="Calibri" w:hint="eastAsia"/>
          <w:sz w:val="19"/>
          <w:szCs w:val="19"/>
          <w:rtl/>
        </w:rPr>
        <w:t>במתקני</w:t>
      </w:r>
      <w:r w:rsidRPr="00ED6905">
        <w:rPr>
          <w:rFonts w:eastAsia="Calibri"/>
          <w:sz w:val="19"/>
          <w:szCs w:val="19"/>
          <w:rtl/>
        </w:rPr>
        <w:t xml:space="preserve"> </w:t>
      </w:r>
      <w:r w:rsidRPr="00ED6905">
        <w:rPr>
          <w:rFonts w:eastAsia="Calibri" w:hint="eastAsia"/>
          <w:sz w:val="19"/>
          <w:szCs w:val="19"/>
          <w:rtl/>
        </w:rPr>
        <w:t>קליטה</w:t>
      </w:r>
      <w:r w:rsidRPr="00ED6905">
        <w:rPr>
          <w:rFonts w:eastAsia="Calibri"/>
          <w:sz w:val="19"/>
          <w:szCs w:val="19"/>
          <w:rtl/>
        </w:rPr>
        <w:t xml:space="preserve"> - מספרם של אלה היה </w:t>
      </w:r>
      <w:r w:rsidRPr="00ED6905">
        <w:rPr>
          <w:rFonts w:eastAsia="Calibri" w:hint="cs"/>
          <w:sz w:val="19"/>
          <w:szCs w:val="19"/>
          <w:rtl/>
        </w:rPr>
        <w:t>בשבועות</w:t>
      </w:r>
      <w:r w:rsidRPr="00ED6905">
        <w:rPr>
          <w:rFonts w:eastAsia="Calibri"/>
          <w:sz w:val="19"/>
          <w:szCs w:val="19"/>
          <w:rtl/>
        </w:rPr>
        <w:t xml:space="preserve"> הראשונים למלחמת חרבות ברזל כ-70,000</w:t>
      </w:r>
      <w:r w:rsidRPr="00ED6905">
        <w:rPr>
          <w:rFonts w:eastAsia="Calibri" w:hint="cs"/>
          <w:sz w:val="19"/>
          <w:szCs w:val="19"/>
          <w:rtl/>
        </w:rPr>
        <w:t xml:space="preserve">, </w:t>
      </w:r>
      <w:r w:rsidRPr="00ED6905">
        <w:rPr>
          <w:rFonts w:eastAsia="Calibri" w:hint="eastAsia"/>
          <w:sz w:val="19"/>
          <w:szCs w:val="19"/>
          <w:rtl/>
        </w:rPr>
        <w:t>ואולם</w:t>
      </w:r>
      <w:r w:rsidRPr="00ED6905">
        <w:rPr>
          <w:rFonts w:eastAsia="Calibri"/>
          <w:sz w:val="19"/>
          <w:szCs w:val="19"/>
          <w:rtl/>
        </w:rPr>
        <w:t xml:space="preserve"> בפועל מערכת זו לא שימשה הלכה למעשה את גופי החירום (בעניין זה </w:t>
      </w:r>
      <w:r w:rsidRPr="00ED6905">
        <w:rPr>
          <w:rFonts w:eastAsia="Calibri" w:hint="eastAsia"/>
          <w:sz w:val="19"/>
          <w:szCs w:val="19"/>
          <w:rtl/>
        </w:rPr>
        <w:t>ראו</w:t>
      </w:r>
      <w:r w:rsidRPr="00ED6905">
        <w:rPr>
          <w:rFonts w:eastAsia="Calibri"/>
          <w:sz w:val="19"/>
          <w:szCs w:val="19"/>
          <w:rtl/>
        </w:rPr>
        <w:t xml:space="preserve"> </w:t>
      </w:r>
      <w:r w:rsidRPr="00ED6905">
        <w:rPr>
          <w:rFonts w:eastAsia="Calibri" w:hint="eastAsia"/>
          <w:sz w:val="19"/>
          <w:szCs w:val="19"/>
          <w:rtl/>
        </w:rPr>
        <w:t>להלן</w:t>
      </w:r>
      <w:r w:rsidRPr="00ED6905">
        <w:rPr>
          <w:rFonts w:eastAsia="Calibri"/>
          <w:sz w:val="19"/>
          <w:szCs w:val="19"/>
          <w:rtl/>
        </w:rPr>
        <w:t>).</w:t>
      </w:r>
    </w:p>
    <w:p w:rsidR="00366A7A" w:rsidRPr="00ED6905" w:rsidRDefault="00366A7A" w:rsidP="00366A7A">
      <w:pPr>
        <w:pStyle w:val="73"/>
        <w:rPr>
          <w:rFonts w:eastAsia="Calibri"/>
          <w:b/>
          <w:bCs/>
          <w:sz w:val="19"/>
          <w:szCs w:val="19"/>
        </w:rPr>
      </w:pPr>
    </w:p>
    <w:p w:rsidR="00ED6905" w:rsidRPr="00ED6905" w:rsidRDefault="00ED6905" w:rsidP="00071B06">
      <w:pPr>
        <w:pStyle w:val="73"/>
        <w:numPr>
          <w:ilvl w:val="0"/>
          <w:numId w:val="25"/>
        </w:numPr>
        <w:rPr>
          <w:rFonts w:eastAsia="Calibri"/>
          <w:sz w:val="19"/>
          <w:szCs w:val="19"/>
          <w:rtl/>
        </w:rPr>
      </w:pPr>
      <w:r w:rsidRPr="00ED6905">
        <w:rPr>
          <w:rFonts w:eastAsia="Calibri" w:hint="cs"/>
          <w:b/>
          <w:bCs/>
          <w:sz w:val="19"/>
          <w:szCs w:val="19"/>
          <w:rtl/>
        </w:rPr>
        <w:lastRenderedPageBreak/>
        <w:t xml:space="preserve">פיתוח מערכת תיבת נח טרם </w:t>
      </w:r>
      <w:r w:rsidRPr="00ED6905">
        <w:rPr>
          <w:rFonts w:eastAsia="Calibri" w:hint="eastAsia"/>
          <w:b/>
          <w:bCs/>
          <w:sz w:val="19"/>
          <w:szCs w:val="19"/>
          <w:rtl/>
        </w:rPr>
        <w:t>המלחמה</w:t>
      </w:r>
      <w:r w:rsidRPr="00ED6905">
        <w:rPr>
          <w:rFonts w:eastAsia="Calibri" w:hint="cs"/>
          <w:b/>
          <w:bCs/>
          <w:sz w:val="19"/>
          <w:szCs w:val="19"/>
          <w:rtl/>
        </w:rPr>
        <w:t xml:space="preserve"> ל</w:t>
      </w:r>
      <w:r w:rsidRPr="00ED6905">
        <w:rPr>
          <w:rFonts w:eastAsia="Calibri" w:hint="eastAsia"/>
          <w:b/>
          <w:bCs/>
          <w:sz w:val="19"/>
          <w:szCs w:val="19"/>
          <w:rtl/>
        </w:rPr>
        <w:t>ניהול</w:t>
      </w:r>
      <w:r w:rsidRPr="00ED6905">
        <w:rPr>
          <w:rFonts w:eastAsia="Calibri"/>
          <w:b/>
          <w:bCs/>
          <w:sz w:val="19"/>
          <w:szCs w:val="19"/>
          <w:rtl/>
        </w:rPr>
        <w:t xml:space="preserve"> </w:t>
      </w:r>
      <w:r w:rsidRPr="00ED6905">
        <w:rPr>
          <w:rFonts w:eastAsia="Calibri" w:hint="eastAsia"/>
          <w:b/>
          <w:bCs/>
          <w:sz w:val="19"/>
          <w:szCs w:val="19"/>
          <w:rtl/>
        </w:rPr>
        <w:t>המידע</w:t>
      </w:r>
      <w:r w:rsidRPr="00ED6905">
        <w:rPr>
          <w:rFonts w:eastAsia="Calibri"/>
          <w:b/>
          <w:bCs/>
          <w:sz w:val="19"/>
          <w:szCs w:val="19"/>
          <w:rtl/>
        </w:rPr>
        <w:t xml:space="preserve"> </w:t>
      </w:r>
      <w:r w:rsidRPr="00ED6905">
        <w:rPr>
          <w:rFonts w:eastAsia="Calibri" w:hint="eastAsia"/>
          <w:b/>
          <w:bCs/>
          <w:sz w:val="19"/>
          <w:szCs w:val="19"/>
          <w:rtl/>
        </w:rPr>
        <w:t>על</w:t>
      </w:r>
      <w:r w:rsidRPr="00ED6905">
        <w:rPr>
          <w:rFonts w:eastAsia="Calibri"/>
          <w:b/>
          <w:bCs/>
          <w:sz w:val="19"/>
          <w:szCs w:val="19"/>
          <w:rtl/>
        </w:rPr>
        <w:t xml:space="preserve"> </w:t>
      </w:r>
      <w:r w:rsidRPr="00ED6905">
        <w:rPr>
          <w:rFonts w:eastAsia="Calibri" w:hint="eastAsia"/>
          <w:b/>
          <w:bCs/>
          <w:sz w:val="19"/>
          <w:szCs w:val="19"/>
          <w:rtl/>
        </w:rPr>
        <w:t>מפונים</w:t>
      </w:r>
      <w:r w:rsidRPr="00ED6905">
        <w:rPr>
          <w:rFonts w:eastAsia="Calibri"/>
          <w:b/>
          <w:bCs/>
          <w:sz w:val="19"/>
          <w:szCs w:val="19"/>
          <w:rtl/>
        </w:rPr>
        <w:t xml:space="preserve"> </w:t>
      </w:r>
      <w:r w:rsidRPr="00ED6905">
        <w:rPr>
          <w:rFonts w:eastAsia="Calibri" w:hint="eastAsia"/>
          <w:b/>
          <w:bCs/>
          <w:sz w:val="19"/>
          <w:szCs w:val="19"/>
          <w:rtl/>
        </w:rPr>
        <w:t>במתקני</w:t>
      </w:r>
      <w:r w:rsidRPr="00ED6905">
        <w:rPr>
          <w:rFonts w:eastAsia="Calibri"/>
          <w:b/>
          <w:bCs/>
          <w:sz w:val="19"/>
          <w:szCs w:val="19"/>
          <w:rtl/>
        </w:rPr>
        <w:t xml:space="preserve"> קליטה </w:t>
      </w:r>
      <w:r w:rsidRPr="00ED6905">
        <w:rPr>
          <w:rFonts w:eastAsia="Calibri"/>
          <w:sz w:val="19"/>
          <w:szCs w:val="19"/>
          <w:rtl/>
        </w:rPr>
        <w:t>-</w:t>
      </w:r>
      <w:r w:rsidRPr="00ED6905">
        <w:rPr>
          <w:rFonts w:eastAsia="Calibri"/>
          <w:b/>
          <w:bCs/>
          <w:sz w:val="19"/>
          <w:szCs w:val="19"/>
          <w:rtl/>
        </w:rPr>
        <w:t xml:space="preserve"> </w:t>
      </w:r>
      <w:r w:rsidRPr="00ED6905">
        <w:rPr>
          <w:rFonts w:eastAsia="Calibri" w:hint="eastAsia"/>
          <w:sz w:val="19"/>
          <w:szCs w:val="19"/>
          <w:rtl/>
        </w:rPr>
        <w:t>החלטת</w:t>
      </w:r>
      <w:r w:rsidRPr="00ED6905">
        <w:rPr>
          <w:rFonts w:eastAsia="Calibri"/>
          <w:sz w:val="19"/>
          <w:szCs w:val="19"/>
          <w:rtl/>
        </w:rPr>
        <w:t xml:space="preserve"> </w:t>
      </w:r>
      <w:r w:rsidRPr="00ED6905">
        <w:rPr>
          <w:rFonts w:eastAsia="Calibri"/>
          <w:b/>
          <w:bCs/>
          <w:sz w:val="19"/>
          <w:szCs w:val="19"/>
          <w:rtl/>
        </w:rPr>
        <w:t>ממשלה</w:t>
      </w:r>
      <w:r w:rsidRPr="00ED6905">
        <w:rPr>
          <w:rFonts w:eastAsia="Calibri"/>
          <w:sz w:val="19"/>
          <w:szCs w:val="19"/>
          <w:rtl/>
        </w:rPr>
        <w:t xml:space="preserve"> "</w:t>
      </w:r>
      <w:r w:rsidRPr="00ED6905">
        <w:rPr>
          <w:rFonts w:eastAsia="Calibri" w:hint="eastAsia"/>
          <w:sz w:val="19"/>
          <w:szCs w:val="19"/>
          <w:rtl/>
        </w:rPr>
        <w:t>מלון</w:t>
      </w:r>
      <w:r w:rsidRPr="00ED6905">
        <w:rPr>
          <w:rFonts w:eastAsia="Calibri"/>
          <w:sz w:val="19"/>
          <w:szCs w:val="19"/>
          <w:rtl/>
        </w:rPr>
        <w:t xml:space="preserve"> </w:t>
      </w:r>
      <w:r w:rsidRPr="00ED6905">
        <w:rPr>
          <w:rFonts w:eastAsia="Calibri" w:hint="eastAsia"/>
          <w:sz w:val="19"/>
          <w:szCs w:val="19"/>
          <w:rtl/>
        </w:rPr>
        <w:t>אורחים</w:t>
      </w:r>
      <w:r w:rsidRPr="00ED6905">
        <w:rPr>
          <w:rFonts w:eastAsia="Calibri"/>
          <w:sz w:val="19"/>
          <w:szCs w:val="19"/>
          <w:rtl/>
        </w:rPr>
        <w:t>"</w:t>
      </w:r>
      <w:r w:rsidRPr="00ED6905">
        <w:rPr>
          <w:rFonts w:eastAsia="Calibri" w:hint="cs"/>
          <w:sz w:val="19"/>
          <w:szCs w:val="19"/>
          <w:rtl/>
        </w:rPr>
        <w:t xml:space="preserve"> </w:t>
      </w:r>
      <w:r w:rsidRPr="00ED6905">
        <w:rPr>
          <w:rFonts w:eastAsia="Calibri" w:hint="eastAsia"/>
          <w:sz w:val="19"/>
          <w:szCs w:val="19"/>
          <w:rtl/>
        </w:rPr>
        <w:t>משנת</w:t>
      </w:r>
      <w:r w:rsidRPr="00ED6905">
        <w:rPr>
          <w:rFonts w:eastAsia="Calibri"/>
          <w:sz w:val="19"/>
          <w:szCs w:val="19"/>
          <w:rtl/>
        </w:rPr>
        <w:t xml:space="preserve"> 2012 קבעה שיש להיערך ל</w:t>
      </w:r>
      <w:r w:rsidRPr="00ED6905">
        <w:rPr>
          <w:rFonts w:eastAsia="Calibri" w:hint="eastAsia"/>
          <w:sz w:val="19"/>
          <w:szCs w:val="19"/>
          <w:rtl/>
        </w:rPr>
        <w:t>מצב</w:t>
      </w:r>
      <w:r w:rsidRPr="00ED6905">
        <w:rPr>
          <w:rFonts w:eastAsia="Calibri"/>
          <w:sz w:val="19"/>
          <w:szCs w:val="19"/>
          <w:rtl/>
        </w:rPr>
        <w:t xml:space="preserve"> חירום שיכלול </w:t>
      </w:r>
      <w:r w:rsidRPr="00ED6905">
        <w:rPr>
          <w:rFonts w:eastAsia="Calibri" w:hint="eastAsia"/>
          <w:sz w:val="19"/>
          <w:szCs w:val="19"/>
          <w:rtl/>
        </w:rPr>
        <w:t>פינוי</w:t>
      </w:r>
      <w:r w:rsidRPr="00ED6905">
        <w:rPr>
          <w:rFonts w:eastAsia="Calibri"/>
          <w:sz w:val="19"/>
          <w:szCs w:val="19"/>
          <w:rtl/>
        </w:rPr>
        <w:t xml:space="preserve"> </w:t>
      </w:r>
      <w:r w:rsidRPr="00ED6905">
        <w:rPr>
          <w:rFonts w:eastAsia="Calibri" w:hint="eastAsia"/>
          <w:sz w:val="19"/>
          <w:szCs w:val="19"/>
          <w:rtl/>
        </w:rPr>
        <w:t>תושבים</w:t>
      </w:r>
      <w:r w:rsidRPr="00ED6905">
        <w:rPr>
          <w:rFonts w:eastAsia="Calibri"/>
          <w:sz w:val="19"/>
          <w:szCs w:val="19"/>
          <w:rtl/>
        </w:rPr>
        <w:t xml:space="preserve"> </w:t>
      </w:r>
      <w:r w:rsidRPr="00ED6905">
        <w:rPr>
          <w:rFonts w:eastAsia="Calibri" w:hint="eastAsia"/>
          <w:sz w:val="19"/>
          <w:szCs w:val="19"/>
          <w:rtl/>
        </w:rPr>
        <w:t>למתקני</w:t>
      </w:r>
      <w:r w:rsidRPr="00ED6905">
        <w:rPr>
          <w:rFonts w:eastAsia="Calibri"/>
          <w:sz w:val="19"/>
          <w:szCs w:val="19"/>
          <w:rtl/>
        </w:rPr>
        <w:t xml:space="preserve"> </w:t>
      </w:r>
      <w:r w:rsidRPr="00ED6905">
        <w:rPr>
          <w:rFonts w:eastAsia="Calibri" w:hint="eastAsia"/>
          <w:sz w:val="19"/>
          <w:szCs w:val="19"/>
          <w:rtl/>
        </w:rPr>
        <w:t>קליטה</w:t>
      </w:r>
      <w:r w:rsidRPr="00ED6905">
        <w:rPr>
          <w:rFonts w:eastAsia="Calibri"/>
          <w:sz w:val="19"/>
          <w:szCs w:val="19"/>
          <w:rtl/>
        </w:rPr>
        <w:t xml:space="preserve">, </w:t>
      </w:r>
      <w:r w:rsidRPr="00ED6905">
        <w:rPr>
          <w:rFonts w:eastAsia="Calibri" w:hint="eastAsia"/>
          <w:sz w:val="19"/>
          <w:szCs w:val="19"/>
          <w:rtl/>
        </w:rPr>
        <w:t>ולאפשר</w:t>
      </w:r>
      <w:r w:rsidRPr="00ED6905">
        <w:rPr>
          <w:rFonts w:eastAsia="Calibri"/>
          <w:sz w:val="19"/>
          <w:szCs w:val="19"/>
          <w:rtl/>
        </w:rPr>
        <w:t xml:space="preserve"> </w:t>
      </w:r>
      <w:r w:rsidRPr="00ED6905">
        <w:rPr>
          <w:rFonts w:eastAsia="Calibri" w:hint="eastAsia"/>
          <w:sz w:val="19"/>
          <w:szCs w:val="19"/>
          <w:rtl/>
        </w:rPr>
        <w:t>קליטה</w:t>
      </w:r>
      <w:r w:rsidRPr="00ED6905">
        <w:rPr>
          <w:rFonts w:eastAsia="Calibri"/>
          <w:sz w:val="19"/>
          <w:szCs w:val="19"/>
          <w:rtl/>
        </w:rPr>
        <w:t xml:space="preserve"> של עד כ-300,000 </w:t>
      </w:r>
      <w:r w:rsidRPr="00ED6905">
        <w:rPr>
          <w:rFonts w:eastAsia="Calibri" w:hint="eastAsia"/>
          <w:sz w:val="19"/>
          <w:szCs w:val="19"/>
          <w:rtl/>
        </w:rPr>
        <w:t>תושבים</w:t>
      </w:r>
      <w:r w:rsidRPr="00ED6905">
        <w:rPr>
          <w:rFonts w:eastAsia="Calibri"/>
          <w:sz w:val="19"/>
          <w:szCs w:val="19"/>
          <w:rtl/>
        </w:rPr>
        <w:t xml:space="preserve"> במתקנים </w:t>
      </w:r>
      <w:r w:rsidRPr="00ED6905">
        <w:rPr>
          <w:rFonts w:eastAsia="Calibri" w:hint="cs"/>
          <w:sz w:val="19"/>
          <w:szCs w:val="19"/>
          <w:rtl/>
        </w:rPr>
        <w:t xml:space="preserve">מקומיים - בבתי ספר, מוסדות ציבור ובמתקנים ארציים (חדרי אירוח בבתי מלון), עם עדיפות ראשונה לקליטה במתקנים מקומיים. </w:t>
      </w:r>
      <w:r w:rsidRPr="00ED6905">
        <w:rPr>
          <w:rFonts w:eastAsia="Calibri" w:hint="eastAsia"/>
          <w:sz w:val="19"/>
          <w:szCs w:val="19"/>
          <w:rtl/>
        </w:rPr>
        <w:t>בביקורת</w:t>
      </w:r>
      <w:r w:rsidRPr="00ED6905">
        <w:rPr>
          <w:rFonts w:eastAsia="Calibri" w:hint="cs"/>
          <w:sz w:val="19"/>
          <w:szCs w:val="19"/>
          <w:rtl/>
        </w:rPr>
        <w:t xml:space="preserve"> </w:t>
      </w:r>
      <w:r w:rsidRPr="00ED6905">
        <w:rPr>
          <w:rFonts w:eastAsia="Calibri"/>
          <w:sz w:val="19"/>
          <w:szCs w:val="19"/>
          <w:rtl/>
        </w:rPr>
        <w:t xml:space="preserve">נמצא כי רק בשנת 2022, כעשור לאחר קבלת החלטת הממשלה מלון אורחים, הקים משרד הפנים באמצעות פקע"ר </w:t>
      </w:r>
      <w:r w:rsidRPr="00ED6905">
        <w:rPr>
          <w:rFonts w:eastAsia="Calibri" w:hint="cs"/>
          <w:sz w:val="19"/>
          <w:szCs w:val="19"/>
          <w:rtl/>
        </w:rPr>
        <w:t xml:space="preserve">שפיתח אותה עבורו, את </w:t>
      </w:r>
      <w:r w:rsidRPr="00ED6905">
        <w:rPr>
          <w:rFonts w:eastAsia="Calibri"/>
          <w:sz w:val="19"/>
          <w:szCs w:val="19"/>
          <w:rtl/>
        </w:rPr>
        <w:t xml:space="preserve">מערכת התקשוב תיבת נח שיועדה לניהול המידע על מפונים שיגיעו למתקני קליטה. במערכת תוכנן להזין מידע על כל אחד מהתושבים המפונים שיגיע לשהות במתקני הקליטה </w:t>
      </w:r>
      <w:r w:rsidR="00E262FA">
        <w:rPr>
          <w:rFonts w:eastAsia="Calibri" w:hint="cs"/>
          <w:sz w:val="19"/>
          <w:szCs w:val="19"/>
          <w:rtl/>
        </w:rPr>
        <w:t>ש</w:t>
      </w:r>
      <w:r w:rsidRPr="00ED6905">
        <w:rPr>
          <w:rFonts w:eastAsia="Calibri"/>
          <w:sz w:val="19"/>
          <w:szCs w:val="19"/>
          <w:rtl/>
        </w:rPr>
        <w:t>אליהם תפנה המדינה, פיזור המפונים בין מתקני הקליטה על פי מחוז ורשות מקומית, פרטים דמוגרפ</w:t>
      </w:r>
      <w:r w:rsidR="00CE24EE">
        <w:rPr>
          <w:rFonts w:eastAsia="Calibri" w:hint="cs"/>
          <w:sz w:val="19"/>
          <w:szCs w:val="19"/>
          <w:rtl/>
        </w:rPr>
        <w:t>י</w:t>
      </w:r>
      <w:r w:rsidRPr="00ED6905">
        <w:rPr>
          <w:rFonts w:eastAsia="Calibri"/>
          <w:sz w:val="19"/>
          <w:szCs w:val="19"/>
          <w:rtl/>
        </w:rPr>
        <w:t xml:space="preserve">ים וצרכים שתושבים אלה מעלים בעת קליטתם במתקן קליטה. </w:t>
      </w:r>
    </w:p>
    <w:p w:rsidR="00ED6905" w:rsidRPr="00ED6905" w:rsidRDefault="00ED6905" w:rsidP="00071B06">
      <w:pPr>
        <w:pStyle w:val="73"/>
        <w:numPr>
          <w:ilvl w:val="0"/>
          <w:numId w:val="25"/>
        </w:numPr>
        <w:rPr>
          <w:rFonts w:eastAsia="Calibri"/>
          <w:sz w:val="19"/>
          <w:szCs w:val="19"/>
          <w:rtl/>
        </w:rPr>
      </w:pPr>
      <w:r w:rsidRPr="00ED6905">
        <w:rPr>
          <w:rFonts w:eastAsia="Calibri" w:hint="eastAsia"/>
          <w:b/>
          <w:bCs/>
          <w:sz w:val="19"/>
          <w:szCs w:val="19"/>
          <w:rtl/>
        </w:rPr>
        <w:t>אי</w:t>
      </w:r>
      <w:r w:rsidRPr="00ED6905">
        <w:rPr>
          <w:rFonts w:eastAsia="Calibri" w:hint="cs"/>
          <w:b/>
          <w:bCs/>
          <w:sz w:val="19"/>
          <w:szCs w:val="19"/>
          <w:rtl/>
        </w:rPr>
        <w:t>-</w:t>
      </w:r>
      <w:r w:rsidRPr="00ED6905">
        <w:rPr>
          <w:rFonts w:eastAsia="Calibri" w:hint="eastAsia"/>
          <w:b/>
          <w:bCs/>
          <w:sz w:val="19"/>
          <w:szCs w:val="19"/>
          <w:rtl/>
        </w:rPr>
        <w:t>הפעלת</w:t>
      </w:r>
      <w:r w:rsidRPr="00ED6905">
        <w:rPr>
          <w:rFonts w:eastAsia="Calibri"/>
          <w:b/>
          <w:bCs/>
          <w:sz w:val="19"/>
          <w:szCs w:val="19"/>
          <w:rtl/>
        </w:rPr>
        <w:t xml:space="preserve"> </w:t>
      </w:r>
      <w:r w:rsidRPr="00ED6905">
        <w:rPr>
          <w:rFonts w:eastAsia="Calibri" w:hint="eastAsia"/>
          <w:b/>
          <w:bCs/>
          <w:sz w:val="19"/>
          <w:szCs w:val="19"/>
          <w:rtl/>
        </w:rPr>
        <w:t>מערכת</w:t>
      </w:r>
      <w:r w:rsidRPr="00ED6905">
        <w:rPr>
          <w:rFonts w:eastAsia="Calibri"/>
          <w:b/>
          <w:bCs/>
          <w:sz w:val="19"/>
          <w:szCs w:val="19"/>
          <w:rtl/>
        </w:rPr>
        <w:t xml:space="preserve"> </w:t>
      </w:r>
      <w:r w:rsidRPr="00ED6905">
        <w:rPr>
          <w:rFonts w:eastAsia="Calibri" w:hint="eastAsia"/>
          <w:b/>
          <w:bCs/>
          <w:sz w:val="19"/>
          <w:szCs w:val="19"/>
          <w:rtl/>
        </w:rPr>
        <w:t>תיבת</w:t>
      </w:r>
      <w:r w:rsidRPr="00ED6905">
        <w:rPr>
          <w:rFonts w:eastAsia="Calibri"/>
          <w:b/>
          <w:bCs/>
          <w:sz w:val="19"/>
          <w:szCs w:val="19"/>
          <w:rtl/>
        </w:rPr>
        <w:t xml:space="preserve"> </w:t>
      </w:r>
      <w:r w:rsidRPr="00ED6905">
        <w:rPr>
          <w:rFonts w:eastAsia="Calibri" w:hint="eastAsia"/>
          <w:b/>
          <w:bCs/>
          <w:sz w:val="19"/>
          <w:szCs w:val="19"/>
          <w:rtl/>
        </w:rPr>
        <w:t>נח</w:t>
      </w:r>
      <w:r w:rsidRPr="00ED6905">
        <w:rPr>
          <w:rFonts w:eastAsia="Calibri"/>
          <w:b/>
          <w:bCs/>
          <w:sz w:val="19"/>
          <w:szCs w:val="19"/>
          <w:rtl/>
        </w:rPr>
        <w:t xml:space="preserve"> </w:t>
      </w:r>
      <w:r w:rsidRPr="00ED6905">
        <w:rPr>
          <w:rFonts w:eastAsia="Calibri" w:hint="eastAsia"/>
          <w:b/>
          <w:bCs/>
          <w:sz w:val="19"/>
          <w:szCs w:val="19"/>
          <w:rtl/>
        </w:rPr>
        <w:t>על</w:t>
      </w:r>
      <w:r w:rsidRPr="00ED6905">
        <w:rPr>
          <w:rFonts w:eastAsia="Calibri"/>
          <w:b/>
          <w:bCs/>
          <w:sz w:val="19"/>
          <w:szCs w:val="19"/>
          <w:rtl/>
        </w:rPr>
        <w:t xml:space="preserve"> </w:t>
      </w:r>
      <w:r w:rsidRPr="00ED6905">
        <w:rPr>
          <w:rFonts w:eastAsia="Calibri" w:hint="eastAsia"/>
          <w:b/>
          <w:bCs/>
          <w:sz w:val="19"/>
          <w:szCs w:val="19"/>
          <w:rtl/>
        </w:rPr>
        <w:t>ידי</w:t>
      </w:r>
      <w:r w:rsidRPr="00ED6905">
        <w:rPr>
          <w:rFonts w:eastAsia="Calibri"/>
          <w:b/>
          <w:bCs/>
          <w:sz w:val="19"/>
          <w:szCs w:val="19"/>
          <w:rtl/>
        </w:rPr>
        <w:t xml:space="preserve"> </w:t>
      </w:r>
      <w:r w:rsidRPr="00ED6905">
        <w:rPr>
          <w:rFonts w:eastAsia="Calibri" w:hint="eastAsia"/>
          <w:b/>
          <w:bCs/>
          <w:sz w:val="19"/>
          <w:szCs w:val="19"/>
          <w:rtl/>
        </w:rPr>
        <w:t>משרד</w:t>
      </w:r>
      <w:r w:rsidRPr="00ED6905">
        <w:rPr>
          <w:rFonts w:eastAsia="Calibri"/>
          <w:b/>
          <w:bCs/>
          <w:sz w:val="19"/>
          <w:szCs w:val="19"/>
          <w:rtl/>
        </w:rPr>
        <w:t xml:space="preserve"> </w:t>
      </w:r>
      <w:r w:rsidRPr="00ED6905">
        <w:rPr>
          <w:rFonts w:eastAsia="Calibri" w:hint="eastAsia"/>
          <w:b/>
          <w:bCs/>
          <w:sz w:val="19"/>
          <w:szCs w:val="19"/>
          <w:rtl/>
        </w:rPr>
        <w:t>הפנים</w:t>
      </w:r>
      <w:r w:rsidRPr="00ED6905">
        <w:rPr>
          <w:rFonts w:eastAsia="Calibri" w:hint="cs"/>
          <w:b/>
          <w:bCs/>
          <w:sz w:val="19"/>
          <w:szCs w:val="19"/>
          <w:rtl/>
        </w:rPr>
        <w:t xml:space="preserve"> </w:t>
      </w:r>
      <w:r w:rsidRPr="00ED6905">
        <w:rPr>
          <w:rFonts w:eastAsia="Calibri" w:hint="eastAsia"/>
          <w:b/>
          <w:bCs/>
          <w:sz w:val="19"/>
          <w:szCs w:val="19"/>
          <w:rtl/>
        </w:rPr>
        <w:t>לאחר</w:t>
      </w:r>
      <w:r w:rsidRPr="00ED6905">
        <w:rPr>
          <w:rFonts w:eastAsia="Calibri"/>
          <w:b/>
          <w:bCs/>
          <w:sz w:val="19"/>
          <w:szCs w:val="19"/>
          <w:rtl/>
        </w:rPr>
        <w:t xml:space="preserve"> </w:t>
      </w:r>
      <w:r w:rsidRPr="00ED6905">
        <w:rPr>
          <w:rFonts w:eastAsia="Calibri" w:hint="eastAsia"/>
          <w:b/>
          <w:bCs/>
          <w:sz w:val="19"/>
          <w:szCs w:val="19"/>
          <w:rtl/>
        </w:rPr>
        <w:t>פרוץ</w:t>
      </w:r>
      <w:r w:rsidRPr="00ED6905">
        <w:rPr>
          <w:rFonts w:eastAsia="Calibri"/>
          <w:b/>
          <w:bCs/>
          <w:sz w:val="19"/>
          <w:szCs w:val="19"/>
          <w:rtl/>
        </w:rPr>
        <w:t xml:space="preserve"> </w:t>
      </w:r>
      <w:r w:rsidRPr="00ED6905">
        <w:rPr>
          <w:rFonts w:eastAsia="Calibri" w:hint="eastAsia"/>
          <w:b/>
          <w:bCs/>
          <w:sz w:val="19"/>
          <w:szCs w:val="19"/>
          <w:rtl/>
        </w:rPr>
        <w:t>המלחמה</w:t>
      </w:r>
      <w:r w:rsidRPr="00ED6905">
        <w:rPr>
          <w:rFonts w:eastAsia="Calibri"/>
          <w:b/>
          <w:bCs/>
          <w:sz w:val="19"/>
          <w:szCs w:val="19"/>
          <w:rtl/>
        </w:rPr>
        <w:t xml:space="preserve"> </w:t>
      </w:r>
      <w:r w:rsidRPr="00ED6905">
        <w:rPr>
          <w:rFonts w:eastAsia="Calibri"/>
          <w:sz w:val="19"/>
          <w:szCs w:val="19"/>
          <w:rtl/>
        </w:rPr>
        <w:t>-</w:t>
      </w:r>
      <w:r w:rsidRPr="00ED6905">
        <w:rPr>
          <w:rFonts w:eastAsia="Calibri"/>
          <w:b/>
          <w:bCs/>
          <w:sz w:val="19"/>
          <w:szCs w:val="19"/>
          <w:rtl/>
        </w:rPr>
        <w:t xml:space="preserve"> </w:t>
      </w:r>
      <w:r w:rsidRPr="00ED6905">
        <w:rPr>
          <w:rFonts w:eastAsia="Calibri" w:hint="eastAsia"/>
          <w:sz w:val="19"/>
          <w:szCs w:val="19"/>
          <w:rtl/>
        </w:rPr>
        <w:t>בביקורת</w:t>
      </w:r>
      <w:r w:rsidRPr="00ED6905">
        <w:rPr>
          <w:rFonts w:eastAsia="Calibri"/>
          <w:sz w:val="19"/>
          <w:szCs w:val="19"/>
          <w:rtl/>
        </w:rPr>
        <w:t xml:space="preserve"> </w:t>
      </w:r>
      <w:r w:rsidRPr="00ED6905">
        <w:rPr>
          <w:rFonts w:eastAsia="Calibri" w:hint="eastAsia"/>
          <w:sz w:val="19"/>
          <w:szCs w:val="19"/>
          <w:rtl/>
        </w:rPr>
        <w:t>עלה</w:t>
      </w:r>
      <w:r w:rsidRPr="00ED6905">
        <w:rPr>
          <w:rFonts w:eastAsia="Calibri"/>
          <w:sz w:val="19"/>
          <w:szCs w:val="19"/>
          <w:rtl/>
        </w:rPr>
        <w:t xml:space="preserve"> </w:t>
      </w:r>
      <w:r w:rsidRPr="00ED6905">
        <w:rPr>
          <w:rFonts w:eastAsia="Calibri" w:hint="eastAsia"/>
          <w:sz w:val="19"/>
          <w:szCs w:val="19"/>
          <w:rtl/>
        </w:rPr>
        <w:t>כי</w:t>
      </w:r>
      <w:r w:rsidRPr="00ED6905">
        <w:rPr>
          <w:rFonts w:eastAsia="Calibri" w:hint="cs"/>
          <w:sz w:val="19"/>
          <w:szCs w:val="19"/>
          <w:rtl/>
        </w:rPr>
        <w:t xml:space="preserve"> </w:t>
      </w:r>
      <w:r w:rsidRPr="00ED6905">
        <w:rPr>
          <w:rFonts w:eastAsia="Calibri"/>
          <w:sz w:val="19"/>
          <w:szCs w:val="19"/>
          <w:rtl/>
        </w:rPr>
        <w:t xml:space="preserve">עם פרוץ מלחמת חרבות ברזל </w:t>
      </w:r>
      <w:r w:rsidRPr="00ED6905">
        <w:rPr>
          <w:rFonts w:eastAsia="Calibri" w:hint="eastAsia"/>
          <w:sz w:val="19"/>
          <w:szCs w:val="19"/>
          <w:rtl/>
        </w:rPr>
        <w:t>משרד</w:t>
      </w:r>
      <w:r w:rsidRPr="00ED6905">
        <w:rPr>
          <w:rFonts w:eastAsia="Calibri"/>
          <w:sz w:val="19"/>
          <w:szCs w:val="19"/>
          <w:rtl/>
        </w:rPr>
        <w:t xml:space="preserve"> </w:t>
      </w:r>
      <w:r w:rsidRPr="00ED6905">
        <w:rPr>
          <w:rFonts w:eastAsia="Calibri" w:hint="eastAsia"/>
          <w:sz w:val="19"/>
          <w:szCs w:val="19"/>
          <w:rtl/>
        </w:rPr>
        <w:t>הפנים</w:t>
      </w:r>
      <w:r w:rsidRPr="00ED6905">
        <w:rPr>
          <w:rFonts w:eastAsia="Calibri"/>
          <w:sz w:val="19"/>
          <w:szCs w:val="19"/>
          <w:rtl/>
        </w:rPr>
        <w:t xml:space="preserve"> לא הפעיל את מערכת תיבת נח </w:t>
      </w:r>
      <w:r w:rsidRPr="00ED6905">
        <w:rPr>
          <w:rFonts w:eastAsia="Calibri" w:hint="eastAsia"/>
          <w:sz w:val="19"/>
          <w:szCs w:val="19"/>
          <w:rtl/>
        </w:rPr>
        <w:t>ולא</w:t>
      </w:r>
      <w:r w:rsidRPr="00ED6905">
        <w:rPr>
          <w:rFonts w:eastAsia="Calibri"/>
          <w:sz w:val="19"/>
          <w:szCs w:val="19"/>
          <w:rtl/>
        </w:rPr>
        <w:t xml:space="preserve"> הזין אליה את פרטי המפונים שהגיעו לשהות במתקנים שאליהם הפנתה אותם המדינה - בתי מלון; </w:t>
      </w:r>
      <w:r w:rsidRPr="00ED6905">
        <w:rPr>
          <w:rFonts w:eastAsia="Calibri" w:hint="eastAsia"/>
          <w:sz w:val="19"/>
          <w:szCs w:val="19"/>
          <w:rtl/>
        </w:rPr>
        <w:t>זאת</w:t>
      </w:r>
      <w:r w:rsidRPr="00ED6905">
        <w:rPr>
          <w:rFonts w:eastAsia="Calibri"/>
          <w:sz w:val="19"/>
          <w:szCs w:val="19"/>
          <w:rtl/>
        </w:rPr>
        <w:t xml:space="preserve"> אף כי משרד הפנים, </w:t>
      </w:r>
      <w:r w:rsidRPr="00ED6905">
        <w:rPr>
          <w:rFonts w:eastAsia="Calibri" w:hint="eastAsia"/>
          <w:sz w:val="19"/>
          <w:szCs w:val="19"/>
          <w:rtl/>
        </w:rPr>
        <w:t>היה</w:t>
      </w:r>
      <w:r w:rsidRPr="00ED6905">
        <w:rPr>
          <w:rFonts w:eastAsia="Calibri"/>
          <w:sz w:val="19"/>
          <w:szCs w:val="19"/>
          <w:rtl/>
        </w:rPr>
        <w:t xml:space="preserve"> </w:t>
      </w:r>
      <w:r w:rsidRPr="00ED6905">
        <w:rPr>
          <w:rFonts w:eastAsia="Calibri" w:hint="eastAsia"/>
          <w:sz w:val="19"/>
          <w:szCs w:val="19"/>
          <w:rtl/>
        </w:rPr>
        <w:t>א</w:t>
      </w:r>
      <w:r w:rsidRPr="00ED6905">
        <w:rPr>
          <w:rFonts w:eastAsia="Calibri"/>
          <w:sz w:val="19"/>
          <w:szCs w:val="19"/>
          <w:rtl/>
        </w:rPr>
        <w:t xml:space="preserve">מון על הפעלתה ונערך מבעוד מועד לשם כך. </w:t>
      </w:r>
      <w:r w:rsidRPr="00ED6905">
        <w:rPr>
          <w:rFonts w:eastAsia="Calibri" w:hint="eastAsia"/>
          <w:sz w:val="19"/>
          <w:szCs w:val="19"/>
          <w:rtl/>
        </w:rPr>
        <w:t>כמו</w:t>
      </w:r>
      <w:r w:rsidRPr="00ED6905">
        <w:rPr>
          <w:rFonts w:eastAsia="Calibri"/>
          <w:sz w:val="19"/>
          <w:szCs w:val="19"/>
          <w:rtl/>
        </w:rPr>
        <w:t xml:space="preserve"> כן לא היה גורם אחר שייעודו היה להפעיל את המערכת או נדרש להיות ערוך לכך. במצב עניינים זה, עשרות אלפי תושבים מפונים נקלטו במהלך השבועות הראשונים בבתי המלון בלא שנרשמו פרטיהם במערכת מידע ממשלתית כלשהי.</w:t>
      </w:r>
      <w:r w:rsidRPr="00ED6905">
        <w:rPr>
          <w:rFonts w:eastAsia="Calibri"/>
          <w:szCs w:val="24"/>
          <w:rtl/>
        </w:rPr>
        <w:t xml:space="preserve"> </w:t>
      </w:r>
      <w:r w:rsidRPr="00ED6905">
        <w:rPr>
          <w:rFonts w:eastAsia="Calibri"/>
          <w:sz w:val="19"/>
          <w:szCs w:val="19"/>
          <w:rtl/>
        </w:rPr>
        <w:t xml:space="preserve">כתוצאה מכך משרדי ממשלה וגופי ממשל נוספים שנדרשו למידע לא היו יכולים לקבל פרטים על תושבים אלה ותמונת מצב על פיזורם בין </w:t>
      </w:r>
      <w:r w:rsidRPr="00ED6905">
        <w:rPr>
          <w:rFonts w:eastAsia="Calibri" w:hint="cs"/>
          <w:sz w:val="19"/>
          <w:szCs w:val="19"/>
          <w:rtl/>
        </w:rPr>
        <w:t>בתי המלון</w:t>
      </w:r>
      <w:r w:rsidRPr="00ED6905">
        <w:rPr>
          <w:rFonts w:eastAsia="Calibri"/>
          <w:sz w:val="19"/>
          <w:szCs w:val="19"/>
          <w:rtl/>
        </w:rPr>
        <w:t xml:space="preserve"> השונים ביישובים שבהם נקלטו. בכך נפגעה יכולתם </w:t>
      </w:r>
      <w:r w:rsidRPr="00ED6905">
        <w:rPr>
          <w:rFonts w:eastAsia="Calibri" w:hint="cs"/>
          <w:sz w:val="19"/>
          <w:szCs w:val="19"/>
          <w:rtl/>
        </w:rPr>
        <w:t xml:space="preserve">לתת </w:t>
      </w:r>
      <w:r w:rsidRPr="00ED6905">
        <w:rPr>
          <w:rFonts w:eastAsia="Calibri"/>
          <w:sz w:val="19"/>
          <w:szCs w:val="19"/>
          <w:rtl/>
        </w:rPr>
        <w:t xml:space="preserve">מענה מיטבי ומהיר לתושבים המפונים ששהו בבתי המלון. </w:t>
      </w:r>
    </w:p>
    <w:p w:rsidR="00ED6905" w:rsidRPr="00ED6905" w:rsidRDefault="00ED6905" w:rsidP="00071B06">
      <w:pPr>
        <w:pStyle w:val="73"/>
        <w:numPr>
          <w:ilvl w:val="0"/>
          <w:numId w:val="25"/>
        </w:numPr>
        <w:rPr>
          <w:rFonts w:eastAsia="Calibri"/>
          <w:sz w:val="19"/>
          <w:szCs w:val="19"/>
        </w:rPr>
      </w:pPr>
      <w:r w:rsidRPr="00ED6905">
        <w:rPr>
          <w:rFonts w:eastAsia="Calibri" w:hint="cs"/>
          <w:b/>
          <w:bCs/>
          <w:sz w:val="19"/>
          <w:szCs w:val="19"/>
          <w:rtl/>
        </w:rPr>
        <w:t xml:space="preserve">תשאול מפונים בבתי המלון על פרטיהם וצורכיהם על ידי </w:t>
      </w:r>
      <w:r w:rsidRPr="00ED6905">
        <w:rPr>
          <w:rFonts w:eastAsia="Calibri" w:hint="eastAsia"/>
          <w:b/>
          <w:bCs/>
          <w:sz w:val="19"/>
          <w:szCs w:val="19"/>
          <w:rtl/>
        </w:rPr>
        <w:t>שורה</w:t>
      </w:r>
      <w:r w:rsidRPr="00ED6905">
        <w:rPr>
          <w:rFonts w:eastAsia="Calibri"/>
          <w:b/>
          <w:bCs/>
          <w:sz w:val="19"/>
          <w:szCs w:val="19"/>
          <w:rtl/>
        </w:rPr>
        <w:t xml:space="preserve"> </w:t>
      </w:r>
      <w:r w:rsidRPr="00ED6905">
        <w:rPr>
          <w:rFonts w:eastAsia="Calibri" w:hint="eastAsia"/>
          <w:b/>
          <w:bCs/>
          <w:sz w:val="19"/>
          <w:szCs w:val="19"/>
          <w:rtl/>
        </w:rPr>
        <w:t>של</w:t>
      </w:r>
      <w:r w:rsidRPr="00ED6905">
        <w:rPr>
          <w:rFonts w:eastAsia="Calibri" w:hint="cs"/>
          <w:b/>
          <w:bCs/>
          <w:sz w:val="19"/>
          <w:szCs w:val="19"/>
          <w:rtl/>
        </w:rPr>
        <w:t xml:space="preserve"> </w:t>
      </w:r>
      <w:r w:rsidRPr="00ED6905">
        <w:rPr>
          <w:rFonts w:eastAsia="Calibri" w:hint="eastAsia"/>
          <w:b/>
          <w:bCs/>
          <w:sz w:val="19"/>
          <w:szCs w:val="19"/>
          <w:rtl/>
        </w:rPr>
        <w:t>משרדי</w:t>
      </w:r>
      <w:r w:rsidRPr="00ED6905">
        <w:rPr>
          <w:rFonts w:eastAsia="Calibri"/>
          <w:b/>
          <w:bCs/>
          <w:sz w:val="19"/>
          <w:szCs w:val="19"/>
          <w:rtl/>
        </w:rPr>
        <w:t xml:space="preserve"> </w:t>
      </w:r>
      <w:r w:rsidRPr="00ED6905">
        <w:rPr>
          <w:rFonts w:eastAsia="Calibri" w:hint="eastAsia"/>
          <w:b/>
          <w:bCs/>
          <w:sz w:val="19"/>
          <w:szCs w:val="19"/>
          <w:rtl/>
        </w:rPr>
        <w:t>ממשלה</w:t>
      </w:r>
      <w:r w:rsidRPr="00ED6905">
        <w:rPr>
          <w:rFonts w:eastAsia="Calibri" w:hint="cs"/>
          <w:b/>
          <w:bCs/>
          <w:sz w:val="19"/>
          <w:szCs w:val="19"/>
          <w:rtl/>
        </w:rPr>
        <w:t xml:space="preserve"> שונים במקביל </w:t>
      </w:r>
      <w:r w:rsidRPr="00ED6905">
        <w:rPr>
          <w:rFonts w:eastAsia="Calibri" w:hint="cs"/>
          <w:sz w:val="19"/>
          <w:szCs w:val="19"/>
          <w:rtl/>
        </w:rPr>
        <w:t>-</w:t>
      </w:r>
      <w:r w:rsidRPr="00ED6905">
        <w:rPr>
          <w:rFonts w:eastAsia="Calibri" w:hint="cs"/>
          <w:b/>
          <w:bCs/>
          <w:sz w:val="19"/>
          <w:szCs w:val="19"/>
          <w:rtl/>
        </w:rPr>
        <w:t xml:space="preserve"> </w:t>
      </w:r>
      <w:r w:rsidRPr="00ED6905">
        <w:rPr>
          <w:rFonts w:eastAsia="Calibri" w:hint="cs"/>
          <w:sz w:val="19"/>
          <w:szCs w:val="19"/>
          <w:rtl/>
        </w:rPr>
        <w:t xml:space="preserve">בהיעדר מידע ממערכת תיבת נח נאלץ </w:t>
      </w:r>
      <w:r w:rsidRPr="00ED6905">
        <w:rPr>
          <w:rFonts w:eastAsia="Calibri"/>
          <w:sz w:val="19"/>
          <w:szCs w:val="19"/>
          <w:rtl/>
        </w:rPr>
        <w:t>כל משרד ממשלתי</w:t>
      </w:r>
      <w:r w:rsidRPr="00ED6905">
        <w:rPr>
          <w:rFonts w:eastAsia="Calibri" w:hint="cs"/>
          <w:sz w:val="19"/>
          <w:szCs w:val="19"/>
          <w:rtl/>
        </w:rPr>
        <w:t xml:space="preserve"> שנזקק לתת מענה לתושבים המפונים שנקלטו בבתי המלון</w:t>
      </w:r>
      <w:r w:rsidRPr="00ED6905">
        <w:rPr>
          <w:rFonts w:eastAsia="Calibri"/>
          <w:sz w:val="19"/>
          <w:szCs w:val="19"/>
          <w:rtl/>
        </w:rPr>
        <w:t xml:space="preserve"> לפעול בשבועות ובחודשים הראשונים</w:t>
      </w:r>
      <w:r w:rsidRPr="00ED6905">
        <w:rPr>
          <w:rFonts w:eastAsia="Calibri" w:hint="cs"/>
          <w:sz w:val="19"/>
          <w:szCs w:val="19"/>
          <w:rtl/>
        </w:rPr>
        <w:t xml:space="preserve"> של המלחמה בכוחות עצמו על מנת לאסוף ולרכז חלקי מידע רלוונטי עליהם ממקורות שונים, ביניהם - מרשויות מקומיות ומפיקוד העורף. </w:t>
      </w:r>
      <w:r w:rsidRPr="00ED6905">
        <w:rPr>
          <w:rFonts w:eastAsia="Calibri" w:hint="eastAsia"/>
          <w:sz w:val="19"/>
          <w:szCs w:val="19"/>
          <w:rtl/>
        </w:rPr>
        <w:t>עוד</w:t>
      </w:r>
      <w:r w:rsidRPr="00ED6905">
        <w:rPr>
          <w:rFonts w:eastAsia="Calibri"/>
          <w:sz w:val="19"/>
          <w:szCs w:val="19"/>
          <w:rtl/>
        </w:rPr>
        <w:t xml:space="preserve"> </w:t>
      </w:r>
      <w:r w:rsidRPr="00ED6905">
        <w:rPr>
          <w:rFonts w:eastAsia="Calibri" w:hint="eastAsia"/>
          <w:sz w:val="19"/>
          <w:szCs w:val="19"/>
          <w:rtl/>
        </w:rPr>
        <w:t>נמצא</w:t>
      </w:r>
      <w:r w:rsidRPr="00ED6905">
        <w:rPr>
          <w:rFonts w:eastAsia="Calibri"/>
          <w:sz w:val="19"/>
          <w:szCs w:val="19"/>
          <w:rtl/>
        </w:rPr>
        <w:t xml:space="preserve"> כי </w:t>
      </w:r>
      <w:r w:rsidRPr="00ED6905">
        <w:rPr>
          <w:rFonts w:eastAsia="Calibri" w:hint="cs"/>
          <w:sz w:val="19"/>
          <w:szCs w:val="19"/>
          <w:rtl/>
        </w:rPr>
        <w:t xml:space="preserve">כל משרד ממשלתי שנדרש למידע, </w:t>
      </w:r>
      <w:r w:rsidRPr="00ED6905">
        <w:rPr>
          <w:rFonts w:eastAsia="Calibri" w:hint="eastAsia"/>
          <w:sz w:val="19"/>
          <w:szCs w:val="19"/>
          <w:rtl/>
        </w:rPr>
        <w:t>שלח</w:t>
      </w:r>
      <w:r w:rsidRPr="00ED6905">
        <w:rPr>
          <w:rFonts w:eastAsia="Calibri" w:hint="cs"/>
          <w:sz w:val="19"/>
          <w:szCs w:val="19"/>
          <w:rtl/>
        </w:rPr>
        <w:t xml:space="preserve"> נציגים מטעמו לבתי המלון לשם </w:t>
      </w:r>
      <w:r w:rsidR="00CE24EE" w:rsidRPr="00ED6905">
        <w:rPr>
          <w:rFonts w:eastAsia="Calibri" w:hint="cs"/>
          <w:sz w:val="19"/>
          <w:szCs w:val="19"/>
          <w:rtl/>
        </w:rPr>
        <w:t>תשאול</w:t>
      </w:r>
      <w:r w:rsidRPr="00ED6905">
        <w:rPr>
          <w:rFonts w:eastAsia="Calibri" w:hint="cs"/>
          <w:sz w:val="19"/>
          <w:szCs w:val="19"/>
          <w:rtl/>
        </w:rPr>
        <w:t xml:space="preserve"> תושבים מפונים ששהו שם על פרטיהם וצורכיהם. הדבר יצר כפילויות בפעילות המשרדים בבתי המלון, הטיל עומס על המפונים ששהו שם בבירוקרטיה מיותרת ושיקף פעילות ממשלתית בלתי מתואמת. </w:t>
      </w:r>
    </w:p>
    <w:p w:rsidR="00ED6905" w:rsidRPr="00ED6905" w:rsidRDefault="00ED6905" w:rsidP="00366A7A">
      <w:pPr>
        <w:pStyle w:val="73"/>
        <w:numPr>
          <w:ilvl w:val="0"/>
          <w:numId w:val="25"/>
        </w:numPr>
        <w:spacing w:after="120"/>
        <w:rPr>
          <w:rFonts w:eastAsia="Calibri"/>
          <w:sz w:val="19"/>
          <w:szCs w:val="19"/>
        </w:rPr>
      </w:pPr>
      <w:r w:rsidRPr="00ED6905">
        <w:rPr>
          <w:rFonts w:eastAsia="Calibri" w:hint="cs"/>
          <w:b/>
          <w:bCs/>
          <w:sz w:val="19"/>
          <w:szCs w:val="19"/>
          <w:rtl/>
        </w:rPr>
        <w:t xml:space="preserve">הפעלת מערכת תיבת נח על ידי פקע"ר </w:t>
      </w:r>
      <w:r w:rsidRPr="00ED6905">
        <w:rPr>
          <w:rFonts w:eastAsia="Calibri" w:hint="cs"/>
          <w:sz w:val="19"/>
          <w:szCs w:val="19"/>
          <w:rtl/>
        </w:rPr>
        <w:t>- ב-12.10.23 (החלטה 950) הטילה הממשלה על רח"ל, לרבות בהקצאת כוח אדם של צה"ל</w:t>
      </w:r>
      <w:r w:rsidR="00E81411">
        <w:rPr>
          <w:rFonts w:eastAsia="Calibri" w:hint="cs"/>
          <w:sz w:val="19"/>
          <w:szCs w:val="19"/>
          <w:rtl/>
        </w:rPr>
        <w:t>,</w:t>
      </w:r>
      <w:r w:rsidRPr="00ED6905">
        <w:rPr>
          <w:rFonts w:eastAsia="Calibri" w:hint="cs"/>
          <w:sz w:val="19"/>
          <w:szCs w:val="19"/>
          <w:rtl/>
        </w:rPr>
        <w:t xml:space="preserve"> את האחריות לניהול קליטת המפונים</w:t>
      </w:r>
      <w:r w:rsidRPr="00ED6905">
        <w:rPr>
          <w:rFonts w:eastAsia="Calibri"/>
          <w:sz w:val="19"/>
          <w:szCs w:val="19"/>
          <w:rtl/>
        </w:rPr>
        <w:t xml:space="preserve"> </w:t>
      </w:r>
      <w:r w:rsidRPr="00ED6905">
        <w:rPr>
          <w:rFonts w:eastAsia="Calibri" w:hint="cs"/>
          <w:sz w:val="19"/>
          <w:szCs w:val="19"/>
          <w:rtl/>
        </w:rPr>
        <w:t xml:space="preserve">בבתי המלון. </w:t>
      </w:r>
      <w:r w:rsidRPr="00ED6905">
        <w:rPr>
          <w:rFonts w:eastAsia="Calibri" w:hint="eastAsia"/>
          <w:sz w:val="19"/>
          <w:szCs w:val="19"/>
          <w:rtl/>
        </w:rPr>
        <w:t>בביקורת</w:t>
      </w:r>
      <w:r w:rsidRPr="00ED6905">
        <w:rPr>
          <w:rFonts w:eastAsia="Calibri"/>
          <w:sz w:val="19"/>
          <w:szCs w:val="19"/>
          <w:rtl/>
        </w:rPr>
        <w:t xml:space="preserve"> </w:t>
      </w:r>
      <w:r w:rsidRPr="00ED6905">
        <w:rPr>
          <w:rFonts w:eastAsia="Calibri" w:hint="eastAsia"/>
          <w:sz w:val="19"/>
          <w:szCs w:val="19"/>
          <w:rtl/>
        </w:rPr>
        <w:t>נמצא</w:t>
      </w:r>
      <w:r w:rsidRPr="00ED6905">
        <w:rPr>
          <w:rFonts w:eastAsia="Calibri"/>
          <w:sz w:val="19"/>
          <w:szCs w:val="19"/>
          <w:rtl/>
        </w:rPr>
        <w:t xml:space="preserve"> </w:t>
      </w:r>
      <w:r w:rsidRPr="00ED6905">
        <w:rPr>
          <w:rFonts w:eastAsia="Calibri" w:hint="eastAsia"/>
          <w:sz w:val="19"/>
          <w:szCs w:val="19"/>
          <w:rtl/>
        </w:rPr>
        <w:t>כי</w:t>
      </w:r>
      <w:r w:rsidRPr="00ED6905">
        <w:rPr>
          <w:rFonts w:eastAsia="Calibri" w:hint="cs"/>
          <w:sz w:val="19"/>
          <w:szCs w:val="19"/>
          <w:rtl/>
        </w:rPr>
        <w:t xml:space="preserve"> </w:t>
      </w:r>
      <w:r w:rsidRPr="00ED6905">
        <w:rPr>
          <w:rFonts w:eastAsia="Calibri"/>
          <w:sz w:val="19"/>
          <w:szCs w:val="19"/>
          <w:rtl/>
        </w:rPr>
        <w:t xml:space="preserve">פקע"ר </w:t>
      </w:r>
      <w:r w:rsidRPr="00ED6905">
        <w:rPr>
          <w:rFonts w:eastAsia="Calibri" w:hint="cs"/>
          <w:sz w:val="19"/>
          <w:szCs w:val="19"/>
          <w:rtl/>
        </w:rPr>
        <w:t xml:space="preserve">קיבל לידיו </w:t>
      </w:r>
      <w:r w:rsidRPr="00ED6905">
        <w:rPr>
          <w:rFonts w:eastAsia="Calibri"/>
          <w:sz w:val="19"/>
          <w:szCs w:val="19"/>
          <w:rtl/>
        </w:rPr>
        <w:t>את השימוש במערכת תיבת נח</w:t>
      </w:r>
      <w:r w:rsidRPr="00ED6905">
        <w:rPr>
          <w:rFonts w:eastAsia="Calibri" w:hint="cs"/>
          <w:sz w:val="19"/>
          <w:szCs w:val="19"/>
          <w:rtl/>
        </w:rPr>
        <w:t>.</w:t>
      </w:r>
    </w:p>
    <w:p w:rsidR="00ED6905" w:rsidRPr="00ED6905" w:rsidRDefault="00ED6905" w:rsidP="00366A7A">
      <w:pPr>
        <w:numPr>
          <w:ilvl w:val="0"/>
          <w:numId w:val="27"/>
        </w:numPr>
        <w:spacing w:after="120" w:line="288" w:lineRule="auto"/>
        <w:ind w:left="703" w:hanging="357"/>
        <w:contextualSpacing/>
        <w:rPr>
          <w:rFonts w:ascii="Tahoma" w:eastAsia="Calibri" w:hAnsi="Tahoma" w:cs="Tahoma"/>
          <w:sz w:val="19"/>
          <w:szCs w:val="19"/>
        </w:rPr>
      </w:pPr>
      <w:r w:rsidRPr="00ED6905">
        <w:rPr>
          <w:rFonts w:ascii="Tahoma" w:eastAsia="Calibri" w:hAnsi="Tahoma" w:cs="Tahoma" w:hint="eastAsia"/>
          <w:sz w:val="19"/>
          <w:szCs w:val="19"/>
          <w:u w:val="single"/>
          <w:rtl/>
        </w:rPr>
        <w:t>אי</w:t>
      </w:r>
      <w:r w:rsidR="00071B06">
        <w:rPr>
          <w:rFonts w:ascii="Tahoma" w:eastAsia="Calibri" w:hAnsi="Tahoma" w:cs="Tahoma" w:hint="cs"/>
          <w:sz w:val="19"/>
          <w:szCs w:val="19"/>
          <w:u w:val="single"/>
          <w:rtl/>
        </w:rPr>
        <w:t>-</w:t>
      </w:r>
      <w:r w:rsidRPr="00ED6905">
        <w:rPr>
          <w:rFonts w:ascii="Tahoma" w:eastAsia="Calibri" w:hAnsi="Tahoma" w:cs="Tahoma" w:hint="eastAsia"/>
          <w:sz w:val="19"/>
          <w:szCs w:val="19"/>
          <w:u w:val="single"/>
          <w:rtl/>
        </w:rPr>
        <w:t>רישום</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מאגר</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מידע</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על</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ידי</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משרד</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הפנים</w:t>
      </w:r>
      <w:r w:rsidRPr="00ED6905">
        <w:rPr>
          <w:rFonts w:ascii="Tahoma" w:eastAsia="Calibri" w:hAnsi="Tahoma" w:cs="Tahoma" w:hint="cs"/>
          <w:sz w:val="19"/>
          <w:szCs w:val="19"/>
          <w:rtl/>
        </w:rPr>
        <w:t xml:space="preserve"> - כשקיבל לידיו </w:t>
      </w:r>
      <w:r w:rsidRPr="00ED6905">
        <w:rPr>
          <w:rFonts w:ascii="Tahoma" w:eastAsia="Calibri" w:hAnsi="Tahoma" w:cs="Tahoma" w:hint="eastAsia"/>
          <w:sz w:val="19"/>
          <w:szCs w:val="19"/>
          <w:rtl/>
        </w:rPr>
        <w:t>פקע</w:t>
      </w:r>
      <w:r w:rsidRPr="00ED6905">
        <w:rPr>
          <w:rFonts w:ascii="Tahoma" w:eastAsia="Calibri" w:hAnsi="Tahoma" w:cs="Tahoma"/>
          <w:sz w:val="19"/>
          <w:szCs w:val="19"/>
          <w:rtl/>
        </w:rPr>
        <w:t>"ר</w:t>
      </w:r>
      <w:r w:rsidRPr="00ED6905">
        <w:rPr>
          <w:rFonts w:ascii="Tahoma" w:eastAsia="Calibri" w:hAnsi="Tahoma" w:cs="Tahoma" w:hint="cs"/>
          <w:sz w:val="19"/>
          <w:szCs w:val="19"/>
          <w:rtl/>
        </w:rPr>
        <w:t xml:space="preserve"> לאחר פרוץ המלחמה את הפעלת המערכת התברר לו </w:t>
      </w:r>
      <w:r w:rsidRPr="00ED6905">
        <w:rPr>
          <w:rFonts w:ascii="Tahoma" w:eastAsia="Calibri" w:hAnsi="Tahoma" w:cs="Tahoma"/>
          <w:sz w:val="19"/>
          <w:szCs w:val="19"/>
          <w:rtl/>
        </w:rPr>
        <w:t>שמשרד הפנים</w:t>
      </w:r>
      <w:r w:rsidR="00E262FA">
        <w:rPr>
          <w:rFonts w:ascii="Tahoma" w:eastAsia="Calibri" w:hAnsi="Tahoma" w:cs="Tahoma" w:hint="cs"/>
          <w:sz w:val="19"/>
          <w:szCs w:val="19"/>
          <w:rtl/>
        </w:rPr>
        <w:t>,</w:t>
      </w:r>
      <w:r w:rsidRPr="00ED6905">
        <w:rPr>
          <w:rFonts w:ascii="Tahoma" w:eastAsia="Calibri" w:hAnsi="Tahoma" w:cs="Tahoma"/>
          <w:sz w:val="19"/>
          <w:szCs w:val="19"/>
          <w:rtl/>
        </w:rPr>
        <w:t xml:space="preserve"> </w:t>
      </w:r>
      <w:r w:rsidRPr="00ED6905">
        <w:rPr>
          <w:rFonts w:ascii="Tahoma" w:eastAsia="Calibri" w:hAnsi="Tahoma" w:cs="Tahoma" w:hint="cs"/>
          <w:sz w:val="19"/>
          <w:szCs w:val="19"/>
          <w:rtl/>
        </w:rPr>
        <w:t>שהיה אמור להפעילה בעצמו על פי התכנון המקורי, לא</w:t>
      </w:r>
      <w:r w:rsidRPr="00ED6905">
        <w:rPr>
          <w:rFonts w:ascii="Tahoma" w:eastAsia="Calibri" w:hAnsi="Tahoma" w:cs="Tahoma"/>
          <w:sz w:val="19"/>
          <w:szCs w:val="19"/>
          <w:rtl/>
        </w:rPr>
        <w:t xml:space="preserve"> רשם מאגר מידע </w:t>
      </w:r>
      <w:r w:rsidRPr="00ED6905">
        <w:rPr>
          <w:rFonts w:ascii="Tahoma" w:eastAsia="Calibri" w:hAnsi="Tahoma" w:cs="Tahoma" w:hint="cs"/>
          <w:sz w:val="19"/>
          <w:szCs w:val="19"/>
          <w:rtl/>
        </w:rPr>
        <w:t>שיאפשר צבירה במערכת של מידע הכולל פרטים אישיים של תושבים מפונים. אי</w:t>
      </w:r>
      <w:r w:rsidR="00E262FA">
        <w:rPr>
          <w:rFonts w:ascii="Tahoma" w:eastAsia="Calibri" w:hAnsi="Tahoma" w:cs="Tahoma" w:hint="cs"/>
          <w:sz w:val="19"/>
          <w:szCs w:val="19"/>
          <w:rtl/>
        </w:rPr>
        <w:t>-</w:t>
      </w:r>
      <w:r w:rsidRPr="00ED6905">
        <w:rPr>
          <w:rFonts w:ascii="Tahoma" w:eastAsia="Calibri" w:hAnsi="Tahoma" w:cs="Tahoma" w:hint="cs"/>
          <w:sz w:val="19"/>
          <w:szCs w:val="19"/>
          <w:rtl/>
        </w:rPr>
        <w:t xml:space="preserve">רישום המאגר מבעוד מועד </w:t>
      </w:r>
      <w:r w:rsidRPr="00ED6905">
        <w:rPr>
          <w:rFonts w:ascii="Tahoma" w:eastAsia="Calibri" w:hAnsi="Tahoma" w:cs="Tahoma"/>
          <w:sz w:val="19"/>
          <w:szCs w:val="19"/>
          <w:rtl/>
        </w:rPr>
        <w:t xml:space="preserve">גרם לעיכוב </w:t>
      </w:r>
      <w:r w:rsidRPr="00ED6905">
        <w:rPr>
          <w:rFonts w:ascii="Tahoma" w:eastAsia="Calibri" w:hAnsi="Tahoma" w:cs="Tahoma" w:hint="cs"/>
          <w:sz w:val="19"/>
          <w:szCs w:val="19"/>
          <w:rtl/>
        </w:rPr>
        <w:t xml:space="preserve">נוסף </w:t>
      </w:r>
      <w:r w:rsidRPr="00ED6905">
        <w:rPr>
          <w:rFonts w:ascii="Tahoma" w:eastAsia="Calibri" w:hAnsi="Tahoma" w:cs="Tahoma"/>
          <w:sz w:val="19"/>
          <w:szCs w:val="19"/>
          <w:rtl/>
        </w:rPr>
        <w:t xml:space="preserve">באיסוף וריכוז </w:t>
      </w:r>
      <w:r w:rsidR="00E262FA">
        <w:rPr>
          <w:rFonts w:ascii="Tahoma" w:eastAsia="Calibri" w:hAnsi="Tahoma" w:cs="Tahoma" w:hint="cs"/>
          <w:sz w:val="19"/>
          <w:szCs w:val="19"/>
          <w:rtl/>
        </w:rPr>
        <w:t xml:space="preserve">של </w:t>
      </w:r>
      <w:r w:rsidRPr="00ED6905">
        <w:rPr>
          <w:rFonts w:ascii="Tahoma" w:eastAsia="Calibri" w:hAnsi="Tahoma" w:cs="Tahoma"/>
          <w:sz w:val="19"/>
          <w:szCs w:val="19"/>
          <w:rtl/>
        </w:rPr>
        <w:t>המידע</w:t>
      </w:r>
      <w:r w:rsidRPr="00ED6905">
        <w:rPr>
          <w:rFonts w:ascii="Tahoma" w:eastAsia="Calibri" w:hAnsi="Tahoma" w:cs="Tahoma" w:hint="cs"/>
          <w:sz w:val="19"/>
          <w:szCs w:val="19"/>
          <w:rtl/>
        </w:rPr>
        <w:t xml:space="preserve"> על תושבים אלה. כל זאת כאשר </w:t>
      </w:r>
      <w:r w:rsidRPr="00ED6905">
        <w:rPr>
          <w:rFonts w:ascii="Tahoma" w:eastAsia="Calibri" w:hAnsi="Tahoma" w:cs="Tahoma" w:hint="eastAsia"/>
          <w:sz w:val="19"/>
          <w:szCs w:val="19"/>
          <w:rtl/>
        </w:rPr>
        <w:lastRenderedPageBreak/>
        <w:t>עשרות</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אלפי</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מפונים</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כבר</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נקלטו</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בבתי</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המלון</w:t>
      </w:r>
      <w:r w:rsidRPr="00ED6905">
        <w:rPr>
          <w:rFonts w:ascii="Tahoma" w:eastAsia="Calibri" w:hAnsi="Tahoma" w:cs="Tahoma"/>
          <w:sz w:val="19"/>
          <w:szCs w:val="19"/>
          <w:rtl/>
        </w:rPr>
        <w:t xml:space="preserve"> </w:t>
      </w:r>
      <w:r w:rsidRPr="00ED6905">
        <w:rPr>
          <w:rFonts w:ascii="Tahoma" w:eastAsia="Calibri" w:hAnsi="Tahoma" w:cs="Tahoma" w:hint="cs"/>
          <w:sz w:val="19"/>
          <w:szCs w:val="19"/>
          <w:rtl/>
        </w:rPr>
        <w:t xml:space="preserve">בלי שפרטיהם נרשמו </w:t>
      </w:r>
      <w:r w:rsidRPr="00ED6905">
        <w:rPr>
          <w:rFonts w:ascii="Tahoma" w:eastAsia="Calibri" w:hAnsi="Tahoma" w:cs="Tahoma" w:hint="eastAsia"/>
          <w:sz w:val="19"/>
          <w:szCs w:val="19"/>
          <w:rtl/>
        </w:rPr>
        <w:t>במערכת</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מידע</w:t>
      </w:r>
      <w:r w:rsidRPr="00ED6905">
        <w:rPr>
          <w:rFonts w:ascii="Tahoma" w:eastAsia="Calibri" w:hAnsi="Tahoma" w:cs="Tahoma"/>
          <w:sz w:val="19"/>
          <w:szCs w:val="19"/>
          <w:rtl/>
        </w:rPr>
        <w:t xml:space="preserve"> </w:t>
      </w:r>
      <w:r w:rsidRPr="00ED6905">
        <w:rPr>
          <w:rFonts w:ascii="Tahoma" w:eastAsia="Calibri" w:hAnsi="Tahoma" w:cs="Tahoma" w:hint="cs"/>
          <w:sz w:val="19"/>
          <w:szCs w:val="19"/>
          <w:rtl/>
        </w:rPr>
        <w:t>ממלכתית כלשהי</w:t>
      </w:r>
      <w:r w:rsidRPr="00ED6905">
        <w:rPr>
          <w:rFonts w:ascii="Tahoma" w:eastAsia="Calibri" w:hAnsi="Tahoma" w:cs="Tahoma"/>
          <w:sz w:val="19"/>
          <w:szCs w:val="19"/>
          <w:rtl/>
        </w:rPr>
        <w:t>.</w:t>
      </w:r>
      <w:r w:rsidRPr="00ED6905">
        <w:rPr>
          <w:rFonts w:ascii="Tahoma" w:eastAsia="Calibri" w:hAnsi="Tahoma" w:cs="Tahoma" w:hint="cs"/>
          <w:sz w:val="19"/>
          <w:szCs w:val="19"/>
          <w:rtl/>
        </w:rPr>
        <w:t xml:space="preserve"> </w:t>
      </w:r>
      <w:r w:rsidRPr="00ED6905">
        <w:rPr>
          <w:rFonts w:ascii="Tahoma" w:eastAsia="Calibri" w:hAnsi="Tahoma" w:cs="Tahoma"/>
          <w:sz w:val="19"/>
          <w:szCs w:val="19"/>
          <w:rtl/>
        </w:rPr>
        <w:t xml:space="preserve">ב-16.10.23 לאחר שמשרד הביטחון פנה למשרד המשפטים ורשם על שמו מאגר מידע, </w:t>
      </w:r>
      <w:r w:rsidRPr="00ED6905">
        <w:rPr>
          <w:rFonts w:ascii="Tahoma" w:eastAsia="Calibri" w:hAnsi="Tahoma" w:cs="Tahoma" w:hint="cs"/>
          <w:sz w:val="19"/>
          <w:szCs w:val="19"/>
          <w:rtl/>
        </w:rPr>
        <w:t>החל</w:t>
      </w:r>
      <w:r w:rsidRPr="00ED6905">
        <w:rPr>
          <w:rFonts w:ascii="Tahoma" w:eastAsia="Calibri" w:hAnsi="Tahoma" w:cs="Tahoma"/>
          <w:sz w:val="19"/>
          <w:szCs w:val="19"/>
          <w:rtl/>
        </w:rPr>
        <w:t xml:space="preserve"> פקע"ר </w:t>
      </w:r>
      <w:r w:rsidRPr="00ED6905">
        <w:rPr>
          <w:rFonts w:ascii="Tahoma" w:eastAsia="Calibri" w:hAnsi="Tahoma" w:cs="Tahoma" w:hint="cs"/>
          <w:sz w:val="19"/>
          <w:szCs w:val="19"/>
          <w:rtl/>
        </w:rPr>
        <w:t xml:space="preserve">בפעולות להזנה במערכת של פרטי מפונים. </w:t>
      </w:r>
    </w:p>
    <w:p w:rsidR="00ED6905" w:rsidRPr="00ED6905" w:rsidRDefault="00ED6905" w:rsidP="00ED6905">
      <w:pPr>
        <w:spacing w:after="240" w:line="288" w:lineRule="auto"/>
        <w:ind w:left="360" w:right="-567"/>
        <w:contextualSpacing/>
        <w:rPr>
          <w:rFonts w:ascii="Tahoma" w:eastAsia="Calibri" w:hAnsi="Tahoma" w:cs="Tahoma"/>
          <w:sz w:val="16"/>
          <w:szCs w:val="16"/>
        </w:rPr>
      </w:pPr>
    </w:p>
    <w:p w:rsidR="00ED6905" w:rsidRDefault="00ED6905" w:rsidP="00071B06">
      <w:pPr>
        <w:numPr>
          <w:ilvl w:val="0"/>
          <w:numId w:val="27"/>
        </w:numPr>
        <w:spacing w:after="120" w:line="288" w:lineRule="auto"/>
        <w:ind w:left="703" w:hanging="357"/>
        <w:contextualSpacing/>
        <w:rPr>
          <w:rFonts w:ascii="Tahoma" w:eastAsia="Calibri" w:hAnsi="Tahoma" w:cs="Tahoma"/>
          <w:sz w:val="19"/>
          <w:szCs w:val="19"/>
        </w:rPr>
      </w:pPr>
      <w:r w:rsidRPr="00ED6905">
        <w:rPr>
          <w:rFonts w:ascii="Tahoma" w:eastAsia="Calibri" w:hAnsi="Tahoma" w:cs="Tahoma" w:hint="eastAsia"/>
          <w:sz w:val="19"/>
          <w:szCs w:val="19"/>
          <w:u w:val="single"/>
          <w:rtl/>
        </w:rPr>
        <w:t>איסוף</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פרטים</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למערכת</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תיבת</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נח</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רק</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על</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מיעוט</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המפונים</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ששהו</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בבתי</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המלון</w:t>
      </w:r>
      <w:r w:rsidRPr="00ED6905">
        <w:rPr>
          <w:rFonts w:ascii="Tahoma" w:eastAsia="Calibri" w:hAnsi="Tahoma" w:cs="Tahoma"/>
          <w:sz w:val="19"/>
          <w:szCs w:val="19"/>
          <w:rtl/>
        </w:rPr>
        <w:t xml:space="preserve"> - פקע"ר הפעיל את מערכת תיבת נח עשרה ימים בלבד - מ-16.10.23 עד אשר הוחלט ב-26.10.23, בדיון בין-משרדי שבראשו עמד מנכ"ל משרד רה"ם, כי מערכת </w:t>
      </w:r>
      <w:r w:rsidRPr="00ED6905">
        <w:rPr>
          <w:rFonts w:ascii="Tahoma" w:eastAsia="Calibri" w:hAnsi="Tahoma" w:cs="Tahoma"/>
          <w:sz w:val="19"/>
          <w:szCs w:val="19"/>
          <w:u w:val="single"/>
          <w:rtl/>
        </w:rPr>
        <w:t>התקשוב</w:t>
      </w:r>
      <w:r w:rsidRPr="00ED6905">
        <w:rPr>
          <w:rFonts w:ascii="Tahoma" w:eastAsia="Calibri" w:hAnsi="Tahoma" w:cs="Tahoma"/>
          <w:sz w:val="19"/>
          <w:szCs w:val="19"/>
          <w:rtl/>
        </w:rPr>
        <w:t xml:space="preserve"> שתשמש להצגה ולניהול המידע על תושבים מפונים תהיה מערכת חדשה, מערכת יחד</w:t>
      </w:r>
      <w:r w:rsidRPr="00ED6905">
        <w:rPr>
          <w:rFonts w:ascii="Tahoma" w:eastAsia="Calibri" w:hAnsi="Tahoma" w:cs="Tahoma" w:hint="cs"/>
          <w:sz w:val="19"/>
          <w:szCs w:val="19"/>
          <w:rtl/>
        </w:rPr>
        <w:t xml:space="preserve"> </w:t>
      </w:r>
      <w:r w:rsidRPr="00ED6905">
        <w:rPr>
          <w:rFonts w:ascii="Tahoma" w:eastAsia="Calibri" w:hAnsi="Tahoma" w:cs="Tahoma"/>
          <w:sz w:val="19"/>
          <w:szCs w:val="19"/>
          <w:rtl/>
        </w:rPr>
        <w:t>- מערכת שבמועד הדיון הייתה עוד בפיתוח, על ידי מערך הדיגיטל.</w:t>
      </w:r>
      <w:r w:rsidRPr="00ED6905">
        <w:rPr>
          <w:rFonts w:ascii="Tahoma" w:eastAsia="Calibri" w:hAnsi="Tahoma" w:cs="Tahoma" w:hint="cs"/>
          <w:sz w:val="19"/>
          <w:szCs w:val="19"/>
          <w:rtl/>
        </w:rPr>
        <w:t xml:space="preserve"> </w:t>
      </w:r>
    </w:p>
    <w:p w:rsidR="00071B06" w:rsidRPr="00ED6905" w:rsidRDefault="00071B06" w:rsidP="00071B06">
      <w:pPr>
        <w:spacing w:after="120" w:line="288" w:lineRule="auto"/>
        <w:contextualSpacing/>
        <w:rPr>
          <w:rFonts w:ascii="Tahoma" w:eastAsia="Calibri" w:hAnsi="Tahoma" w:cs="Tahoma"/>
          <w:sz w:val="10"/>
          <w:szCs w:val="10"/>
          <w:rtl/>
        </w:rPr>
      </w:pPr>
    </w:p>
    <w:p w:rsidR="00ED6905" w:rsidRPr="00ED6905" w:rsidRDefault="00ED6905" w:rsidP="00366A7A">
      <w:pPr>
        <w:spacing w:after="120" w:line="288" w:lineRule="auto"/>
        <w:ind w:left="709"/>
        <w:contextualSpacing/>
        <w:rPr>
          <w:rFonts w:ascii="Tahoma" w:eastAsia="Calibri" w:hAnsi="Tahoma" w:cs="Tahoma"/>
          <w:sz w:val="19"/>
          <w:szCs w:val="19"/>
          <w:highlight w:val="green"/>
          <w:u w:val="single"/>
          <w:rtl/>
        </w:rPr>
      </w:pPr>
      <w:r w:rsidRPr="00ED6905">
        <w:rPr>
          <w:rFonts w:ascii="Tahoma" w:eastAsia="Calibri" w:hAnsi="Tahoma" w:cs="Tahoma"/>
          <w:sz w:val="19"/>
          <w:szCs w:val="19"/>
          <w:rtl/>
        </w:rPr>
        <w:t>ב</w:t>
      </w:r>
      <w:r w:rsidRPr="00ED6905">
        <w:rPr>
          <w:rFonts w:ascii="Tahoma" w:eastAsia="Calibri" w:hAnsi="Tahoma" w:cs="Tahoma" w:hint="cs"/>
          <w:sz w:val="19"/>
          <w:szCs w:val="19"/>
          <w:rtl/>
        </w:rPr>
        <w:t xml:space="preserve">מהלך </w:t>
      </w:r>
      <w:r w:rsidRPr="00ED6905">
        <w:rPr>
          <w:rFonts w:ascii="Tahoma" w:eastAsia="Calibri" w:hAnsi="Tahoma" w:cs="Tahoma"/>
          <w:sz w:val="19"/>
          <w:szCs w:val="19"/>
          <w:rtl/>
        </w:rPr>
        <w:t>עשר</w:t>
      </w:r>
      <w:r w:rsidRPr="00ED6905">
        <w:rPr>
          <w:rFonts w:ascii="Tahoma" w:eastAsia="Calibri" w:hAnsi="Tahoma" w:cs="Tahoma" w:hint="cs"/>
          <w:sz w:val="19"/>
          <w:szCs w:val="19"/>
          <w:rtl/>
        </w:rPr>
        <w:t>ת</w:t>
      </w:r>
      <w:r w:rsidRPr="00ED6905">
        <w:rPr>
          <w:rFonts w:ascii="Tahoma" w:eastAsia="Calibri" w:hAnsi="Tahoma" w:cs="Tahoma"/>
          <w:sz w:val="19"/>
          <w:szCs w:val="19"/>
          <w:rtl/>
        </w:rPr>
        <w:t xml:space="preserve"> </w:t>
      </w:r>
      <w:r w:rsidRPr="00ED6905">
        <w:rPr>
          <w:rFonts w:ascii="Tahoma" w:eastAsia="Calibri" w:hAnsi="Tahoma" w:cs="Tahoma" w:hint="cs"/>
          <w:sz w:val="19"/>
          <w:szCs w:val="19"/>
          <w:rtl/>
        </w:rPr>
        <w:t>ה</w:t>
      </w:r>
      <w:r w:rsidRPr="00ED6905">
        <w:rPr>
          <w:rFonts w:ascii="Tahoma" w:eastAsia="Calibri" w:hAnsi="Tahoma" w:cs="Tahoma"/>
          <w:sz w:val="19"/>
          <w:szCs w:val="19"/>
          <w:rtl/>
        </w:rPr>
        <w:t>ימים שבהם הפעיל פקע"ר את מערכת תיבת נח הוא הצליח לאסוף ולהזין בה מידע חלקי בלבד - רק על כ-9,000 (כ-13%) תושבים מפונים מתוך כ-70,000 ששהו בפועל באותה העת בבתי מלון. נמצא, כי בה</w:t>
      </w:r>
      <w:r w:rsidRPr="00ED6905">
        <w:rPr>
          <w:rFonts w:ascii="Tahoma" w:eastAsia="Calibri" w:hAnsi="Tahoma" w:cs="Tahoma" w:hint="cs"/>
          <w:sz w:val="19"/>
          <w:szCs w:val="19"/>
          <w:rtl/>
        </w:rPr>
        <w:t>י</w:t>
      </w:r>
      <w:r w:rsidRPr="00ED6905">
        <w:rPr>
          <w:rFonts w:ascii="Tahoma" w:eastAsia="Calibri" w:hAnsi="Tahoma" w:cs="Tahoma"/>
          <w:sz w:val="19"/>
          <w:szCs w:val="19"/>
          <w:rtl/>
        </w:rPr>
        <w:t>עדר סמכויות או כלים מתאימים להניע את המפונים למסור מידע ל</w:t>
      </w:r>
      <w:r w:rsidRPr="00ED6905">
        <w:rPr>
          <w:rFonts w:ascii="Tahoma" w:eastAsia="Calibri" w:hAnsi="Tahoma" w:cs="Tahoma" w:hint="cs"/>
          <w:sz w:val="19"/>
          <w:szCs w:val="19"/>
          <w:rtl/>
        </w:rPr>
        <w:t>חוליות השליטה (</w:t>
      </w:r>
      <w:r w:rsidRPr="00ED6905">
        <w:rPr>
          <w:rFonts w:ascii="Tahoma" w:eastAsia="Calibri" w:hAnsi="Tahoma" w:cs="Tahoma"/>
          <w:sz w:val="19"/>
          <w:szCs w:val="19"/>
          <w:rtl/>
        </w:rPr>
        <w:t>חש"לים</w:t>
      </w:r>
      <w:r w:rsidRPr="00ED6905">
        <w:rPr>
          <w:rFonts w:ascii="Tahoma" w:eastAsia="Calibri" w:hAnsi="Tahoma" w:cs="Tahoma" w:hint="cs"/>
          <w:sz w:val="19"/>
          <w:szCs w:val="19"/>
          <w:rtl/>
        </w:rPr>
        <w:t>)</w:t>
      </w:r>
      <w:r w:rsidRPr="00ED6905">
        <w:rPr>
          <w:rFonts w:ascii="Tahoma" w:eastAsia="Calibri" w:hAnsi="Tahoma" w:cs="Tahoma"/>
          <w:sz w:val="19"/>
          <w:szCs w:val="19"/>
          <w:rtl/>
        </w:rPr>
        <w:t xml:space="preserve"> שהפעיל פקע"ר בבתי המלון ובה</w:t>
      </w:r>
      <w:r w:rsidRPr="00ED6905">
        <w:rPr>
          <w:rFonts w:ascii="Tahoma" w:eastAsia="Calibri" w:hAnsi="Tahoma" w:cs="Tahoma" w:hint="cs"/>
          <w:sz w:val="19"/>
          <w:szCs w:val="19"/>
          <w:rtl/>
        </w:rPr>
        <w:t>י</w:t>
      </w:r>
      <w:r w:rsidRPr="00ED6905">
        <w:rPr>
          <w:rFonts w:ascii="Tahoma" w:eastAsia="Calibri" w:hAnsi="Tahoma" w:cs="Tahoma"/>
          <w:sz w:val="19"/>
          <w:szCs w:val="19"/>
          <w:rtl/>
        </w:rPr>
        <w:t xml:space="preserve">עדר הסדרה של קבלת מידע פרטני </w:t>
      </w:r>
      <w:r w:rsidR="00E262FA">
        <w:rPr>
          <w:rFonts w:ascii="Tahoma" w:eastAsia="Calibri" w:hAnsi="Tahoma" w:cs="Tahoma" w:hint="cs"/>
          <w:sz w:val="19"/>
          <w:szCs w:val="19"/>
          <w:rtl/>
        </w:rPr>
        <w:t xml:space="preserve">על </w:t>
      </w:r>
      <w:r w:rsidRPr="00ED6905">
        <w:rPr>
          <w:rFonts w:ascii="Tahoma" w:eastAsia="Calibri" w:hAnsi="Tahoma" w:cs="Tahoma"/>
          <w:sz w:val="19"/>
          <w:szCs w:val="19"/>
          <w:rtl/>
        </w:rPr>
        <w:t>אודותיהם מבתי המלון, התקשו רח"ל ופקע"ר לאסוף את הפרטים של המפונים ששהו בבתי המלון.</w:t>
      </w:r>
      <w:r w:rsidRPr="00ED6905">
        <w:rPr>
          <w:rFonts w:ascii="Tahoma" w:eastAsia="Calibri" w:hAnsi="Tahoma" w:cs="Tahoma" w:hint="cs"/>
          <w:sz w:val="19"/>
          <w:szCs w:val="19"/>
          <w:rtl/>
        </w:rPr>
        <w:t xml:space="preserve"> </w:t>
      </w:r>
    </w:p>
    <w:p w:rsidR="00ED6905" w:rsidRPr="00ED6905" w:rsidRDefault="00ED6905" w:rsidP="00ED6905">
      <w:pPr>
        <w:spacing w:after="240" w:line="288" w:lineRule="auto"/>
        <w:ind w:left="360" w:right="-567"/>
        <w:contextualSpacing/>
        <w:rPr>
          <w:rFonts w:ascii="Tahoma" w:eastAsia="Calibri" w:hAnsi="Tahoma" w:cs="Tahoma"/>
          <w:sz w:val="16"/>
          <w:szCs w:val="16"/>
          <w:highlight w:val="green"/>
          <w:u w:val="single"/>
          <w:rtl/>
        </w:rPr>
      </w:pPr>
    </w:p>
    <w:p w:rsidR="00ED6905" w:rsidRPr="00ED6905" w:rsidRDefault="00ED6905" w:rsidP="00071B06">
      <w:pPr>
        <w:numPr>
          <w:ilvl w:val="0"/>
          <w:numId w:val="27"/>
        </w:numPr>
        <w:spacing w:after="120" w:line="288" w:lineRule="auto"/>
        <w:ind w:left="703" w:hanging="357"/>
        <w:contextualSpacing/>
        <w:rPr>
          <w:rFonts w:ascii="Tahoma" w:eastAsia="Calibri" w:hAnsi="Tahoma" w:cs="Tahoma"/>
          <w:sz w:val="19"/>
          <w:szCs w:val="19"/>
        </w:rPr>
      </w:pPr>
      <w:r w:rsidRPr="00ED6905">
        <w:rPr>
          <w:rFonts w:ascii="Tahoma" w:eastAsia="Calibri" w:hAnsi="Tahoma" w:cs="Tahoma" w:hint="eastAsia"/>
          <w:sz w:val="19"/>
          <w:szCs w:val="19"/>
          <w:u w:val="single"/>
          <w:rtl/>
        </w:rPr>
        <w:t>המידע</w:t>
      </w:r>
      <w:r w:rsidRPr="00ED6905">
        <w:rPr>
          <w:rFonts w:ascii="Tahoma" w:eastAsia="Calibri" w:hAnsi="Tahoma" w:cs="Tahoma"/>
          <w:sz w:val="19"/>
          <w:szCs w:val="19"/>
          <w:u w:val="single"/>
          <w:rtl/>
        </w:rPr>
        <w:t xml:space="preserve"> המועט </w:t>
      </w:r>
      <w:r w:rsidRPr="00ED6905">
        <w:rPr>
          <w:rFonts w:ascii="Tahoma" w:eastAsia="Calibri" w:hAnsi="Tahoma" w:cs="Tahoma" w:hint="eastAsia"/>
          <w:sz w:val="19"/>
          <w:szCs w:val="19"/>
          <w:u w:val="single"/>
          <w:rtl/>
        </w:rPr>
        <w:t>שהוזן</w:t>
      </w:r>
      <w:r w:rsidRPr="00ED6905">
        <w:rPr>
          <w:rFonts w:ascii="Tahoma" w:eastAsia="Calibri" w:hAnsi="Tahoma" w:cs="Tahoma"/>
          <w:sz w:val="19"/>
          <w:szCs w:val="19"/>
          <w:u w:val="single"/>
          <w:rtl/>
        </w:rPr>
        <w:t xml:space="preserve"> </w:t>
      </w:r>
      <w:r w:rsidRPr="00ED6905">
        <w:rPr>
          <w:rFonts w:ascii="Tahoma" w:eastAsia="Calibri" w:hAnsi="Tahoma" w:cs="Tahoma" w:hint="eastAsia"/>
          <w:sz w:val="19"/>
          <w:szCs w:val="19"/>
          <w:u w:val="single"/>
          <w:rtl/>
        </w:rPr>
        <w:t>למערכת</w:t>
      </w:r>
      <w:r w:rsidRPr="00ED6905">
        <w:rPr>
          <w:rFonts w:ascii="Tahoma" w:eastAsia="Calibri" w:hAnsi="Tahoma" w:cs="Tahoma"/>
          <w:sz w:val="19"/>
          <w:szCs w:val="19"/>
          <w:u w:val="single"/>
          <w:rtl/>
        </w:rPr>
        <w:t xml:space="preserve"> תיבת נח לא הגיע למשרדי הממשלה</w:t>
      </w:r>
      <w:r w:rsidRPr="00ED6905">
        <w:rPr>
          <w:rFonts w:ascii="Tahoma" w:eastAsia="Calibri" w:hAnsi="Tahoma" w:cs="Tahoma"/>
          <w:sz w:val="19"/>
          <w:szCs w:val="19"/>
          <w:rtl/>
        </w:rPr>
        <w:t xml:space="preserve"> -</w:t>
      </w:r>
      <w:r w:rsidRPr="00ED6905">
        <w:rPr>
          <w:rFonts w:ascii="Tahoma" w:eastAsia="Calibri" w:hAnsi="Tahoma" w:cs="Tahoma" w:hint="cs"/>
          <w:sz w:val="19"/>
          <w:szCs w:val="19"/>
          <w:rtl/>
        </w:rPr>
        <w:t xml:space="preserve"> </w:t>
      </w:r>
      <w:r w:rsidRPr="00ED6905">
        <w:rPr>
          <w:rFonts w:ascii="Tahoma" w:eastAsia="Calibri" w:hAnsi="Tahoma" w:cs="Tahoma"/>
          <w:sz w:val="19"/>
          <w:szCs w:val="19"/>
          <w:rtl/>
        </w:rPr>
        <w:t xml:space="preserve">נמצא כי גם </w:t>
      </w:r>
      <w:r w:rsidRPr="00ED6905">
        <w:rPr>
          <w:rFonts w:ascii="Tahoma" w:eastAsia="Calibri" w:hAnsi="Tahoma" w:cs="Tahoma" w:hint="cs"/>
          <w:sz w:val="19"/>
          <w:szCs w:val="19"/>
          <w:rtl/>
        </w:rPr>
        <w:t>ה</w:t>
      </w:r>
      <w:r w:rsidRPr="00ED6905">
        <w:rPr>
          <w:rFonts w:ascii="Tahoma" w:eastAsia="Calibri" w:hAnsi="Tahoma" w:cs="Tahoma"/>
          <w:sz w:val="19"/>
          <w:szCs w:val="19"/>
          <w:rtl/>
        </w:rPr>
        <w:t>מידע</w:t>
      </w:r>
      <w:r w:rsidRPr="00ED6905">
        <w:rPr>
          <w:rFonts w:ascii="Tahoma" w:eastAsia="Calibri" w:hAnsi="Tahoma" w:cs="Tahoma" w:hint="cs"/>
          <w:sz w:val="19"/>
          <w:szCs w:val="19"/>
          <w:rtl/>
        </w:rPr>
        <w:t xml:space="preserve"> הפרטני</w:t>
      </w:r>
      <w:r w:rsidRPr="00ED6905">
        <w:rPr>
          <w:rFonts w:ascii="Tahoma" w:eastAsia="Calibri" w:hAnsi="Tahoma" w:cs="Tahoma"/>
          <w:sz w:val="19"/>
          <w:szCs w:val="19"/>
          <w:rtl/>
        </w:rPr>
        <w:t xml:space="preserve"> </w:t>
      </w:r>
      <w:r w:rsidRPr="00ED6905">
        <w:rPr>
          <w:rFonts w:ascii="Tahoma" w:eastAsia="Calibri" w:hAnsi="Tahoma" w:cs="Tahoma" w:hint="cs"/>
          <w:sz w:val="19"/>
          <w:szCs w:val="19"/>
          <w:rtl/>
        </w:rPr>
        <w:t xml:space="preserve">שהיה </w:t>
      </w:r>
      <w:r w:rsidRPr="00ED6905">
        <w:rPr>
          <w:rFonts w:ascii="Tahoma" w:eastAsia="Calibri" w:hAnsi="Tahoma" w:cs="Tahoma"/>
          <w:sz w:val="19"/>
          <w:szCs w:val="19"/>
          <w:rtl/>
        </w:rPr>
        <w:t>על כ-9,000 מפונים</w:t>
      </w:r>
      <w:r w:rsidRPr="00ED6905">
        <w:rPr>
          <w:rFonts w:ascii="Tahoma" w:eastAsia="Calibri" w:hAnsi="Tahoma" w:cs="Tahoma" w:hint="cs"/>
          <w:sz w:val="19"/>
          <w:szCs w:val="19"/>
          <w:rtl/>
        </w:rPr>
        <w:t xml:space="preserve"> בלבד</w:t>
      </w:r>
      <w:r w:rsidRPr="00ED6905">
        <w:rPr>
          <w:rFonts w:ascii="Tahoma" w:eastAsia="Calibri" w:hAnsi="Tahoma" w:cs="Tahoma"/>
          <w:sz w:val="19"/>
          <w:szCs w:val="19"/>
          <w:rtl/>
        </w:rPr>
        <w:t xml:space="preserve"> </w:t>
      </w:r>
      <w:r w:rsidRPr="00ED6905">
        <w:rPr>
          <w:rFonts w:ascii="Tahoma" w:eastAsia="Calibri" w:hAnsi="Tahoma" w:cs="Tahoma" w:hint="cs"/>
          <w:sz w:val="19"/>
          <w:szCs w:val="19"/>
          <w:rtl/>
        </w:rPr>
        <w:t>ו</w:t>
      </w:r>
      <w:r w:rsidRPr="00ED6905">
        <w:rPr>
          <w:rFonts w:ascii="Tahoma" w:eastAsia="Calibri" w:hAnsi="Tahoma" w:cs="Tahoma"/>
          <w:sz w:val="19"/>
          <w:szCs w:val="19"/>
          <w:rtl/>
        </w:rPr>
        <w:t>הוזן למערכת תיבת נח במהלך עשרה ימים בחודש אוקטובר</w:t>
      </w:r>
      <w:r w:rsidRPr="00ED6905">
        <w:rPr>
          <w:rFonts w:ascii="Tahoma" w:eastAsia="Calibri" w:hAnsi="Tahoma" w:cs="Tahoma" w:hint="cs"/>
          <w:sz w:val="19"/>
          <w:szCs w:val="19"/>
          <w:rtl/>
        </w:rPr>
        <w:t xml:space="preserve"> </w:t>
      </w:r>
      <w:r w:rsidR="00E262FA">
        <w:rPr>
          <w:rFonts w:ascii="Tahoma" w:eastAsia="Calibri" w:hAnsi="Tahoma" w:cs="Tahoma" w:hint="cs"/>
          <w:sz w:val="19"/>
          <w:szCs w:val="19"/>
          <w:rtl/>
        </w:rPr>
        <w:t>ש</w:t>
      </w:r>
      <w:r w:rsidRPr="00ED6905">
        <w:rPr>
          <w:rFonts w:ascii="Tahoma" w:eastAsia="Calibri" w:hAnsi="Tahoma" w:cs="Tahoma" w:hint="cs"/>
          <w:sz w:val="19"/>
          <w:szCs w:val="19"/>
          <w:rtl/>
        </w:rPr>
        <w:t>בהם הופעלה המערכת על ידי פקע"ר,</w:t>
      </w:r>
      <w:r w:rsidRPr="00ED6905">
        <w:rPr>
          <w:rFonts w:ascii="Tahoma" w:eastAsia="Calibri" w:hAnsi="Tahoma" w:cs="Tahoma"/>
          <w:sz w:val="19"/>
          <w:szCs w:val="19"/>
          <w:rtl/>
        </w:rPr>
        <w:t xml:space="preserve"> לא הגיע במהלך אותו חודש למשרדי ממשלה</w:t>
      </w:r>
      <w:r w:rsidRPr="00ED6905">
        <w:rPr>
          <w:rFonts w:ascii="Tahoma" w:eastAsia="Calibri" w:hAnsi="Tahoma" w:cs="Tahoma" w:hint="cs"/>
          <w:sz w:val="19"/>
          <w:szCs w:val="19"/>
          <w:rtl/>
        </w:rPr>
        <w:t xml:space="preserve"> שנזקקו לו</w:t>
      </w:r>
      <w:r w:rsidRPr="00ED6905">
        <w:rPr>
          <w:rFonts w:ascii="Tahoma" w:eastAsia="Calibri" w:hAnsi="Tahoma" w:cs="Tahoma"/>
          <w:sz w:val="19"/>
          <w:szCs w:val="19"/>
          <w:rtl/>
        </w:rPr>
        <w:t xml:space="preserve">. </w:t>
      </w:r>
    </w:p>
    <w:p w:rsidR="00ED6905" w:rsidRPr="00ED6905" w:rsidRDefault="00ED6905" w:rsidP="00ED6905">
      <w:pPr>
        <w:spacing w:after="240" w:line="288" w:lineRule="auto"/>
        <w:ind w:left="360" w:right="-567"/>
        <w:contextualSpacing/>
        <w:rPr>
          <w:rFonts w:ascii="Tahoma" w:eastAsia="Calibri" w:hAnsi="Tahoma" w:cs="Tahoma"/>
          <w:b/>
          <w:bCs/>
          <w:sz w:val="10"/>
          <w:szCs w:val="10"/>
          <w:rtl/>
        </w:rPr>
      </w:pPr>
    </w:p>
    <w:p w:rsidR="00ED6905" w:rsidRPr="00ED6905" w:rsidRDefault="00ED6905" w:rsidP="00071B06">
      <w:pPr>
        <w:spacing w:after="240" w:line="288" w:lineRule="auto"/>
        <w:ind w:left="708"/>
        <w:contextualSpacing/>
        <w:rPr>
          <w:rFonts w:ascii="Tahoma" w:eastAsia="Calibri" w:hAnsi="Tahoma" w:cs="Tahoma"/>
          <w:b/>
          <w:bCs/>
          <w:sz w:val="19"/>
          <w:szCs w:val="19"/>
          <w:rtl/>
        </w:rPr>
      </w:pPr>
      <w:r w:rsidRPr="00ED6905">
        <w:rPr>
          <w:rFonts w:ascii="Tahoma" w:eastAsia="Calibri" w:hAnsi="Tahoma" w:cs="Tahoma"/>
          <w:sz w:val="19"/>
          <w:szCs w:val="19"/>
          <w:rtl/>
        </w:rPr>
        <w:t xml:space="preserve">איסוף המידע החלקי </w:t>
      </w:r>
      <w:r w:rsidRPr="00ED6905">
        <w:rPr>
          <w:rFonts w:ascii="Tahoma" w:eastAsia="Calibri" w:hAnsi="Tahoma" w:cs="Tahoma" w:hint="eastAsia"/>
          <w:sz w:val="19"/>
          <w:szCs w:val="19"/>
          <w:rtl/>
        </w:rPr>
        <w:t>ו</w:t>
      </w:r>
      <w:r w:rsidRPr="00ED6905">
        <w:rPr>
          <w:rFonts w:ascii="Tahoma" w:eastAsia="Calibri" w:hAnsi="Tahoma" w:cs="Tahoma" w:hint="cs"/>
          <w:sz w:val="19"/>
          <w:szCs w:val="19"/>
          <w:rtl/>
        </w:rPr>
        <w:t xml:space="preserve">העובדה שגם הוא לא הגיע </w:t>
      </w:r>
      <w:r w:rsidRPr="00ED6905">
        <w:rPr>
          <w:rFonts w:ascii="Tahoma" w:eastAsia="Calibri" w:hAnsi="Tahoma" w:cs="Tahoma" w:hint="eastAsia"/>
          <w:sz w:val="19"/>
          <w:szCs w:val="19"/>
          <w:rtl/>
        </w:rPr>
        <w:t>למשרדי</w:t>
      </w:r>
      <w:r w:rsidRPr="00ED6905">
        <w:rPr>
          <w:rFonts w:ascii="Tahoma" w:eastAsia="Calibri" w:hAnsi="Tahoma" w:cs="Tahoma"/>
          <w:sz w:val="19"/>
          <w:szCs w:val="19"/>
          <w:rtl/>
        </w:rPr>
        <w:t xml:space="preserve"> </w:t>
      </w:r>
      <w:r w:rsidRPr="00ED6905">
        <w:rPr>
          <w:rFonts w:ascii="Tahoma" w:eastAsia="Calibri" w:hAnsi="Tahoma" w:cs="Tahoma" w:hint="eastAsia"/>
          <w:sz w:val="19"/>
          <w:szCs w:val="19"/>
          <w:rtl/>
        </w:rPr>
        <w:t>הממשלה</w:t>
      </w:r>
      <w:r w:rsidRPr="00ED6905">
        <w:rPr>
          <w:rFonts w:ascii="Tahoma" w:eastAsia="Calibri" w:hAnsi="Tahoma" w:cs="Tahoma" w:hint="cs"/>
          <w:sz w:val="19"/>
          <w:szCs w:val="19"/>
          <w:rtl/>
        </w:rPr>
        <w:t xml:space="preserve"> </w:t>
      </w:r>
      <w:r w:rsidRPr="00ED6905">
        <w:rPr>
          <w:rFonts w:ascii="Tahoma" w:eastAsia="Calibri" w:hAnsi="Tahoma" w:cs="Tahoma"/>
          <w:sz w:val="19"/>
          <w:szCs w:val="19"/>
          <w:rtl/>
        </w:rPr>
        <w:t xml:space="preserve">פגע ביכולת לספק למפונים שירות מיטבי במהלך השבועות הראשונים </w:t>
      </w:r>
      <w:r w:rsidR="00E262FA">
        <w:rPr>
          <w:rFonts w:ascii="Tahoma" w:eastAsia="Calibri" w:hAnsi="Tahoma" w:cs="Tahoma" w:hint="cs"/>
          <w:sz w:val="19"/>
          <w:szCs w:val="19"/>
          <w:rtl/>
        </w:rPr>
        <w:t>ש</w:t>
      </w:r>
      <w:r w:rsidRPr="00ED6905">
        <w:rPr>
          <w:rFonts w:ascii="Tahoma" w:eastAsia="Calibri" w:hAnsi="Tahoma" w:cs="Tahoma"/>
          <w:sz w:val="19"/>
          <w:szCs w:val="19"/>
          <w:rtl/>
        </w:rPr>
        <w:t>בהם שהו בבתי המלון, כמו גם ביכולת לקיים בקרה אפקטיבית על יישום פרויקט השהייה של המפונים בבתי המלון. המדובר בפער שהיווה נדבך נוסף בפגיעה באפקטיביות הפעילות של פקע"ר בבואו לסייע בניהול ותיאום הפעולה מול המפונים בשבועות הראשונים למלחמה בבתי המלון שבהם שהו המפונים.</w:t>
      </w:r>
    </w:p>
    <w:p w:rsidR="00ED6905" w:rsidRPr="00ED6905" w:rsidRDefault="00ED6905" w:rsidP="00071B06">
      <w:pPr>
        <w:pStyle w:val="73"/>
        <w:numPr>
          <w:ilvl w:val="0"/>
          <w:numId w:val="25"/>
        </w:numPr>
        <w:rPr>
          <w:rFonts w:eastAsia="Calibri"/>
          <w:sz w:val="19"/>
          <w:szCs w:val="19"/>
        </w:rPr>
      </w:pPr>
      <w:r w:rsidRPr="00ED6905">
        <w:rPr>
          <w:rFonts w:eastAsia="Calibri" w:hint="eastAsia"/>
          <w:b/>
          <w:bCs/>
          <w:sz w:val="19"/>
          <w:szCs w:val="19"/>
          <w:rtl/>
        </w:rPr>
        <w:t>קידום</w:t>
      </w:r>
      <w:r w:rsidRPr="00ED6905">
        <w:rPr>
          <w:rFonts w:eastAsia="Calibri"/>
          <w:b/>
          <w:bCs/>
          <w:sz w:val="19"/>
          <w:szCs w:val="19"/>
          <w:rtl/>
        </w:rPr>
        <w:t xml:space="preserve"> </w:t>
      </w:r>
      <w:r w:rsidRPr="00ED6905">
        <w:rPr>
          <w:rFonts w:eastAsia="Calibri" w:hint="eastAsia"/>
          <w:b/>
          <w:bCs/>
          <w:sz w:val="19"/>
          <w:szCs w:val="19"/>
          <w:rtl/>
        </w:rPr>
        <w:t>פיתוחה</w:t>
      </w:r>
      <w:r w:rsidRPr="00ED6905">
        <w:rPr>
          <w:rFonts w:eastAsia="Calibri"/>
          <w:b/>
          <w:bCs/>
          <w:sz w:val="19"/>
          <w:szCs w:val="19"/>
          <w:rtl/>
        </w:rPr>
        <w:t xml:space="preserve"> </w:t>
      </w:r>
      <w:r w:rsidRPr="00ED6905">
        <w:rPr>
          <w:rFonts w:eastAsia="Calibri" w:hint="eastAsia"/>
          <w:b/>
          <w:bCs/>
          <w:sz w:val="19"/>
          <w:szCs w:val="19"/>
          <w:rtl/>
        </w:rPr>
        <w:t>של</w:t>
      </w:r>
      <w:r w:rsidRPr="00ED6905">
        <w:rPr>
          <w:rFonts w:eastAsia="Calibri" w:hint="cs"/>
          <w:b/>
          <w:bCs/>
          <w:sz w:val="19"/>
          <w:szCs w:val="19"/>
          <w:rtl/>
        </w:rPr>
        <w:t xml:space="preserve"> מערכת תקשוב חדשה (מערכת יחד) </w:t>
      </w:r>
      <w:r w:rsidRPr="00ED6905">
        <w:rPr>
          <w:rFonts w:eastAsia="Calibri" w:hint="eastAsia"/>
          <w:b/>
          <w:bCs/>
          <w:sz w:val="19"/>
          <w:szCs w:val="19"/>
          <w:rtl/>
        </w:rPr>
        <w:t>במהלך</w:t>
      </w:r>
      <w:r w:rsidRPr="00ED6905">
        <w:rPr>
          <w:rFonts w:eastAsia="Calibri"/>
          <w:b/>
          <w:bCs/>
          <w:sz w:val="19"/>
          <w:szCs w:val="19"/>
          <w:rtl/>
        </w:rPr>
        <w:t xml:space="preserve"> </w:t>
      </w:r>
      <w:r w:rsidRPr="00ED6905">
        <w:rPr>
          <w:rFonts w:eastAsia="Calibri" w:hint="eastAsia"/>
          <w:b/>
          <w:bCs/>
          <w:sz w:val="19"/>
          <w:szCs w:val="19"/>
          <w:rtl/>
        </w:rPr>
        <w:t>המלחמה</w:t>
      </w:r>
      <w:r w:rsidRPr="00ED6905">
        <w:rPr>
          <w:rFonts w:eastAsia="Calibri" w:hint="cs"/>
          <w:sz w:val="19"/>
          <w:szCs w:val="19"/>
          <w:rtl/>
        </w:rPr>
        <w:t xml:space="preserve"> -</w:t>
      </w:r>
      <w:r w:rsidRPr="00ED6905">
        <w:rPr>
          <w:rFonts w:eastAsia="Calibri" w:hint="cs"/>
          <w:b/>
          <w:bCs/>
          <w:sz w:val="19"/>
          <w:szCs w:val="19"/>
          <w:rtl/>
        </w:rPr>
        <w:t xml:space="preserve"> </w:t>
      </w:r>
      <w:r w:rsidRPr="00ED6905">
        <w:rPr>
          <w:rFonts w:eastAsia="Calibri" w:hint="eastAsia"/>
          <w:sz w:val="19"/>
          <w:szCs w:val="19"/>
          <w:rtl/>
        </w:rPr>
        <w:t>עשרה</w:t>
      </w:r>
      <w:r w:rsidRPr="00ED6905">
        <w:rPr>
          <w:rFonts w:eastAsia="Calibri"/>
          <w:sz w:val="19"/>
          <w:szCs w:val="19"/>
          <w:rtl/>
        </w:rPr>
        <w:t xml:space="preserve"> </w:t>
      </w:r>
      <w:r w:rsidRPr="00ED6905">
        <w:rPr>
          <w:rFonts w:eastAsia="Calibri" w:hint="eastAsia"/>
          <w:sz w:val="19"/>
          <w:szCs w:val="19"/>
          <w:rtl/>
        </w:rPr>
        <w:t>ימים</w:t>
      </w:r>
      <w:r w:rsidRPr="00ED6905">
        <w:rPr>
          <w:rFonts w:eastAsia="Calibri"/>
          <w:sz w:val="19"/>
          <w:szCs w:val="19"/>
          <w:rtl/>
        </w:rPr>
        <w:t xml:space="preserve"> לאחר שפקע"ר החל להשתמש במערכת תיבת נח, </w:t>
      </w:r>
      <w:r w:rsidRPr="00ED6905">
        <w:rPr>
          <w:rFonts w:eastAsia="Calibri" w:hint="eastAsia"/>
          <w:sz w:val="19"/>
          <w:szCs w:val="19"/>
          <w:rtl/>
        </w:rPr>
        <w:t>נקבע</w:t>
      </w:r>
      <w:r w:rsidRPr="00ED6905">
        <w:rPr>
          <w:rFonts w:eastAsia="Calibri"/>
          <w:sz w:val="19"/>
          <w:szCs w:val="19"/>
          <w:rtl/>
        </w:rPr>
        <w:t xml:space="preserve"> </w:t>
      </w:r>
      <w:r w:rsidRPr="00ED6905">
        <w:rPr>
          <w:rFonts w:eastAsia="Calibri" w:hint="eastAsia"/>
          <w:sz w:val="19"/>
          <w:szCs w:val="19"/>
          <w:rtl/>
        </w:rPr>
        <w:t>ב</w:t>
      </w:r>
      <w:r w:rsidRPr="00ED6905">
        <w:rPr>
          <w:rFonts w:eastAsia="Calibri"/>
          <w:sz w:val="19"/>
          <w:szCs w:val="19"/>
          <w:rtl/>
        </w:rPr>
        <w:t xml:space="preserve">דיון </w:t>
      </w:r>
      <w:r w:rsidRPr="00ED6905">
        <w:rPr>
          <w:rFonts w:eastAsia="Calibri" w:hint="eastAsia"/>
          <w:sz w:val="19"/>
          <w:szCs w:val="19"/>
          <w:rtl/>
        </w:rPr>
        <w:t>בין</w:t>
      </w:r>
      <w:r w:rsidRPr="00ED6905">
        <w:rPr>
          <w:rFonts w:eastAsia="Calibri"/>
          <w:sz w:val="19"/>
          <w:szCs w:val="19"/>
          <w:rtl/>
        </w:rPr>
        <w:t>-משרדי שהתקיים ב</w:t>
      </w:r>
      <w:r w:rsidRPr="00ED6905">
        <w:rPr>
          <w:rFonts w:eastAsia="Calibri" w:hint="eastAsia"/>
          <w:sz w:val="19"/>
          <w:szCs w:val="19"/>
          <w:rtl/>
        </w:rPr>
        <w:t>הובלת</w:t>
      </w:r>
      <w:r w:rsidRPr="00ED6905">
        <w:rPr>
          <w:rFonts w:eastAsia="Calibri" w:hint="cs"/>
          <w:sz w:val="19"/>
          <w:szCs w:val="19"/>
          <w:rtl/>
        </w:rPr>
        <w:t xml:space="preserve"> מנכ"ל משרד</w:t>
      </w:r>
      <w:r w:rsidRPr="00ED6905">
        <w:rPr>
          <w:rFonts w:eastAsia="Calibri"/>
          <w:sz w:val="19"/>
          <w:szCs w:val="19"/>
          <w:rtl/>
        </w:rPr>
        <w:t xml:space="preserve"> רה"ם </w:t>
      </w:r>
      <w:r w:rsidRPr="00ED6905">
        <w:rPr>
          <w:rFonts w:eastAsia="Calibri" w:hint="eastAsia"/>
          <w:sz w:val="19"/>
          <w:szCs w:val="19"/>
          <w:rtl/>
        </w:rPr>
        <w:t>כי</w:t>
      </w:r>
      <w:r w:rsidRPr="00ED6905">
        <w:rPr>
          <w:rFonts w:eastAsia="Calibri"/>
          <w:sz w:val="19"/>
          <w:szCs w:val="19"/>
          <w:rtl/>
        </w:rPr>
        <w:t xml:space="preserve"> מערך </w:t>
      </w:r>
      <w:r w:rsidRPr="00ED6905">
        <w:rPr>
          <w:rFonts w:eastAsia="Calibri" w:hint="eastAsia"/>
          <w:sz w:val="19"/>
          <w:szCs w:val="19"/>
          <w:rtl/>
        </w:rPr>
        <w:t>הדיגיטל</w:t>
      </w:r>
      <w:r w:rsidRPr="00ED6905">
        <w:rPr>
          <w:rFonts w:eastAsia="Calibri"/>
          <w:sz w:val="19"/>
          <w:szCs w:val="19"/>
          <w:rtl/>
        </w:rPr>
        <w:t xml:space="preserve"> יחל </w:t>
      </w:r>
      <w:r w:rsidRPr="00ED6905">
        <w:rPr>
          <w:rFonts w:eastAsia="Calibri" w:hint="eastAsia"/>
          <w:sz w:val="19"/>
          <w:szCs w:val="19"/>
          <w:rtl/>
        </w:rPr>
        <w:t>בקידום</w:t>
      </w:r>
      <w:r w:rsidRPr="00ED6905">
        <w:rPr>
          <w:rFonts w:eastAsia="Calibri"/>
          <w:sz w:val="19"/>
          <w:szCs w:val="19"/>
          <w:rtl/>
        </w:rPr>
        <w:t xml:space="preserve"> פיתוחה של מערכת </w:t>
      </w:r>
      <w:r w:rsidRPr="00ED6905">
        <w:rPr>
          <w:rFonts w:eastAsia="Calibri" w:hint="cs"/>
          <w:sz w:val="19"/>
          <w:szCs w:val="19"/>
          <w:rtl/>
        </w:rPr>
        <w:t xml:space="preserve">מידע </w:t>
      </w:r>
      <w:r w:rsidRPr="00ED6905">
        <w:rPr>
          <w:rFonts w:eastAsia="Calibri"/>
          <w:sz w:val="19"/>
          <w:szCs w:val="19"/>
          <w:rtl/>
        </w:rPr>
        <w:t>חדשה</w:t>
      </w:r>
      <w:r w:rsidRPr="00ED6905">
        <w:rPr>
          <w:rFonts w:eastAsia="Calibri" w:hint="cs"/>
          <w:sz w:val="19"/>
          <w:szCs w:val="19"/>
          <w:rtl/>
        </w:rPr>
        <w:t xml:space="preserve">, מערכת יחד, שבה ירוכז וינוהל המידע על כלל המפונים והמתפנים. </w:t>
      </w:r>
      <w:r w:rsidRPr="00ED6905">
        <w:rPr>
          <w:rFonts w:eastAsia="Calibri"/>
          <w:sz w:val="19"/>
          <w:szCs w:val="19"/>
          <w:rtl/>
        </w:rPr>
        <w:t xml:space="preserve">מהשתלשלות העניינים עולה כי </w:t>
      </w:r>
      <w:r w:rsidRPr="00ED6905">
        <w:rPr>
          <w:rFonts w:eastAsia="Calibri" w:hint="eastAsia"/>
          <w:sz w:val="19"/>
          <w:szCs w:val="19"/>
          <w:rtl/>
        </w:rPr>
        <w:t>הבחירה</w:t>
      </w:r>
      <w:r w:rsidRPr="00ED6905">
        <w:rPr>
          <w:rFonts w:eastAsia="Calibri"/>
          <w:sz w:val="19"/>
          <w:szCs w:val="19"/>
          <w:rtl/>
        </w:rPr>
        <w:t xml:space="preserve"> </w:t>
      </w:r>
      <w:r w:rsidRPr="00ED6905">
        <w:rPr>
          <w:rFonts w:eastAsia="Calibri" w:hint="eastAsia"/>
          <w:sz w:val="19"/>
          <w:szCs w:val="19"/>
          <w:rtl/>
        </w:rPr>
        <w:t>במענה</w:t>
      </w:r>
      <w:r w:rsidRPr="00ED6905">
        <w:rPr>
          <w:rFonts w:eastAsia="Calibri"/>
          <w:sz w:val="19"/>
          <w:szCs w:val="19"/>
          <w:rtl/>
        </w:rPr>
        <w:t xml:space="preserve"> </w:t>
      </w:r>
      <w:r w:rsidRPr="00ED6905">
        <w:rPr>
          <w:rFonts w:eastAsia="Calibri" w:hint="eastAsia"/>
          <w:sz w:val="19"/>
          <w:szCs w:val="19"/>
          <w:rtl/>
        </w:rPr>
        <w:t>של</w:t>
      </w:r>
      <w:r w:rsidRPr="00ED6905">
        <w:rPr>
          <w:rFonts w:eastAsia="Calibri" w:hint="cs"/>
          <w:sz w:val="19"/>
          <w:szCs w:val="19"/>
          <w:rtl/>
        </w:rPr>
        <w:t xml:space="preserve"> </w:t>
      </w:r>
      <w:r w:rsidRPr="00ED6905">
        <w:rPr>
          <w:rFonts w:eastAsia="Calibri"/>
          <w:sz w:val="19"/>
          <w:szCs w:val="19"/>
          <w:rtl/>
        </w:rPr>
        <w:t>הקמת מערכת חדשה (יחד), לא נבחנה בהשוואה לחלופה אחרת - המשך פיתוח של המערכת שהייתה כבר קיימת אז - תיבת נח. לא נעשתה למשל השוואה של אומדן העלויות של פיתוח המערכת החדשה בהשוואה להמשך פיתוח של המערכת הקיימת.</w:t>
      </w:r>
      <w:r w:rsidRPr="00ED6905">
        <w:rPr>
          <w:rFonts w:eastAsia="Calibri" w:hint="cs"/>
          <w:sz w:val="19"/>
          <w:szCs w:val="19"/>
          <w:rtl/>
        </w:rPr>
        <w:t xml:space="preserve"> </w:t>
      </w:r>
    </w:p>
    <w:p w:rsidR="00ED6905" w:rsidRPr="00ED6905" w:rsidRDefault="00ED6905" w:rsidP="00071B06">
      <w:pPr>
        <w:pStyle w:val="73"/>
        <w:numPr>
          <w:ilvl w:val="0"/>
          <w:numId w:val="25"/>
        </w:numPr>
        <w:rPr>
          <w:rFonts w:eastAsia="Calibri"/>
          <w:sz w:val="19"/>
          <w:szCs w:val="19"/>
        </w:rPr>
      </w:pPr>
      <w:r w:rsidRPr="00ED6905">
        <w:rPr>
          <w:rFonts w:eastAsia="Calibri" w:hint="cs"/>
          <w:b/>
          <w:bCs/>
          <w:sz w:val="19"/>
          <w:szCs w:val="19"/>
          <w:rtl/>
        </w:rPr>
        <w:t xml:space="preserve">שאלונים למפונים במערכת יחד </w:t>
      </w:r>
      <w:r w:rsidRPr="00ED6905">
        <w:rPr>
          <w:rFonts w:eastAsia="Calibri" w:hint="cs"/>
          <w:sz w:val="19"/>
          <w:szCs w:val="19"/>
          <w:rtl/>
        </w:rPr>
        <w:t xml:space="preserve">- </w:t>
      </w:r>
      <w:r w:rsidRPr="00ED6905">
        <w:rPr>
          <w:rFonts w:eastAsia="Calibri"/>
          <w:sz w:val="19"/>
          <w:szCs w:val="19"/>
          <w:rtl/>
        </w:rPr>
        <w:t>מערכת יחד החלה לפעול</w:t>
      </w:r>
      <w:r w:rsidRPr="00ED6905">
        <w:rPr>
          <w:rFonts w:eastAsia="Calibri" w:hint="cs"/>
          <w:sz w:val="19"/>
          <w:szCs w:val="19"/>
          <w:rtl/>
        </w:rPr>
        <w:t xml:space="preserve"> בסוף אוקטובר 2023,</w:t>
      </w:r>
      <w:r w:rsidRPr="00ED6905">
        <w:rPr>
          <w:rFonts w:eastAsia="Calibri"/>
          <w:sz w:val="19"/>
          <w:szCs w:val="19"/>
          <w:rtl/>
        </w:rPr>
        <w:t xml:space="preserve"> כשלושה שבועות לאחר פרוץ המלחמה</w:t>
      </w:r>
      <w:r w:rsidRPr="00ED6905">
        <w:rPr>
          <w:rFonts w:eastAsia="Calibri" w:hint="cs"/>
          <w:sz w:val="19"/>
          <w:szCs w:val="19"/>
          <w:rtl/>
        </w:rPr>
        <w:t xml:space="preserve"> והשקתה לוותה בקמפיין שקרא לציבור המפונים והמתפנים להיכנס לאתר מערך הדיגיטל במרשתת ולדווח בשאלונים שבמערכת על פרטיהם וצורכיהם כדי שמשרדי ממשלה יוכלו לתת </w:t>
      </w:r>
      <w:r w:rsidRPr="00ED6905">
        <w:rPr>
          <w:rFonts w:eastAsia="Calibri" w:hint="cs"/>
          <w:sz w:val="19"/>
          <w:szCs w:val="19"/>
          <w:rtl/>
        </w:rPr>
        <w:lastRenderedPageBreak/>
        <w:t>להם מענים. בעת שהחל להפעילה לא היו למערך הדיגיטל, כמו שלא היו לרח"ל ולפקע"ר כשניסו לרכז את המידע למערכת תיבת נח, סמכויות או</w:t>
      </w:r>
      <w:r w:rsidRPr="00ED6905">
        <w:rPr>
          <w:rFonts w:eastAsia="Calibri"/>
          <w:sz w:val="19"/>
          <w:szCs w:val="19"/>
          <w:rtl/>
        </w:rPr>
        <w:t xml:space="preserve"> כלים </w:t>
      </w:r>
      <w:r w:rsidRPr="00ED6905">
        <w:rPr>
          <w:rFonts w:eastAsia="Calibri" w:hint="eastAsia"/>
          <w:sz w:val="19"/>
          <w:szCs w:val="19"/>
          <w:rtl/>
        </w:rPr>
        <w:t>שיאפשרו</w:t>
      </w:r>
      <w:r w:rsidRPr="00ED6905">
        <w:rPr>
          <w:rFonts w:eastAsia="Calibri"/>
          <w:sz w:val="19"/>
          <w:szCs w:val="19"/>
          <w:rtl/>
        </w:rPr>
        <w:t xml:space="preserve"> </w:t>
      </w:r>
      <w:r w:rsidRPr="00ED6905">
        <w:rPr>
          <w:rFonts w:eastAsia="Calibri" w:hint="eastAsia"/>
          <w:sz w:val="19"/>
          <w:szCs w:val="19"/>
          <w:rtl/>
        </w:rPr>
        <w:t>לו</w:t>
      </w:r>
      <w:r w:rsidRPr="00ED6905">
        <w:rPr>
          <w:rFonts w:eastAsia="Calibri"/>
          <w:sz w:val="19"/>
          <w:szCs w:val="19"/>
          <w:rtl/>
        </w:rPr>
        <w:t xml:space="preserve"> </w:t>
      </w:r>
      <w:r w:rsidRPr="00ED6905">
        <w:rPr>
          <w:rFonts w:eastAsia="Calibri" w:hint="eastAsia"/>
          <w:sz w:val="19"/>
          <w:szCs w:val="19"/>
          <w:rtl/>
        </w:rPr>
        <w:t>לדרוש</w:t>
      </w:r>
      <w:r w:rsidRPr="00ED6905">
        <w:rPr>
          <w:rFonts w:eastAsia="Calibri"/>
          <w:sz w:val="19"/>
          <w:szCs w:val="19"/>
          <w:rtl/>
        </w:rPr>
        <w:t xml:space="preserve"> את המידע </w:t>
      </w:r>
      <w:r w:rsidRPr="00ED6905">
        <w:rPr>
          <w:rFonts w:eastAsia="Calibri" w:hint="eastAsia"/>
          <w:sz w:val="19"/>
          <w:szCs w:val="19"/>
          <w:rtl/>
        </w:rPr>
        <w:t>מהמפונים</w:t>
      </w:r>
      <w:r w:rsidRPr="00ED6905">
        <w:rPr>
          <w:rFonts w:eastAsia="Calibri"/>
          <w:sz w:val="19"/>
          <w:szCs w:val="19"/>
          <w:rtl/>
        </w:rPr>
        <w:t xml:space="preserve"> </w:t>
      </w:r>
      <w:r w:rsidRPr="00ED6905">
        <w:rPr>
          <w:rFonts w:eastAsia="Calibri" w:hint="eastAsia"/>
          <w:sz w:val="19"/>
          <w:szCs w:val="19"/>
          <w:rtl/>
        </w:rPr>
        <w:t>כדי</w:t>
      </w:r>
      <w:r w:rsidRPr="00ED6905">
        <w:rPr>
          <w:rFonts w:eastAsia="Calibri"/>
          <w:sz w:val="19"/>
          <w:szCs w:val="19"/>
          <w:rtl/>
        </w:rPr>
        <w:t xml:space="preserve"> שניתן יהיה לרכז אותו </w:t>
      </w:r>
      <w:r w:rsidRPr="00ED6905">
        <w:rPr>
          <w:rFonts w:eastAsia="Calibri" w:hint="eastAsia"/>
          <w:sz w:val="19"/>
          <w:szCs w:val="19"/>
          <w:rtl/>
        </w:rPr>
        <w:t>במהירות</w:t>
      </w:r>
      <w:r w:rsidRPr="00ED6905">
        <w:rPr>
          <w:rFonts w:eastAsia="Calibri"/>
          <w:sz w:val="19"/>
          <w:szCs w:val="19"/>
          <w:rtl/>
        </w:rPr>
        <w:t xml:space="preserve"> במער</w:t>
      </w:r>
      <w:r w:rsidRPr="00ED6905">
        <w:rPr>
          <w:rFonts w:eastAsia="Calibri" w:hint="eastAsia"/>
          <w:sz w:val="19"/>
          <w:szCs w:val="19"/>
          <w:rtl/>
        </w:rPr>
        <w:t>כת</w:t>
      </w:r>
      <w:r w:rsidRPr="00ED6905">
        <w:rPr>
          <w:rFonts w:eastAsia="Calibri"/>
          <w:sz w:val="19"/>
          <w:szCs w:val="19"/>
          <w:rtl/>
        </w:rPr>
        <w:t xml:space="preserve">. </w:t>
      </w:r>
      <w:r w:rsidRPr="00ED6905">
        <w:rPr>
          <w:rFonts w:eastAsia="Calibri" w:hint="eastAsia"/>
          <w:sz w:val="19"/>
          <w:szCs w:val="19"/>
          <w:rtl/>
        </w:rPr>
        <w:t>על</w:t>
      </w:r>
      <w:r w:rsidRPr="00ED6905">
        <w:rPr>
          <w:rFonts w:eastAsia="Calibri"/>
          <w:sz w:val="19"/>
          <w:szCs w:val="19"/>
          <w:rtl/>
        </w:rPr>
        <w:t xml:space="preserve"> כן מערך </w:t>
      </w:r>
      <w:r w:rsidRPr="00ED6905">
        <w:rPr>
          <w:rFonts w:eastAsia="Calibri" w:hint="eastAsia"/>
          <w:sz w:val="19"/>
          <w:szCs w:val="19"/>
          <w:rtl/>
        </w:rPr>
        <w:t>הדיגיטל</w:t>
      </w:r>
      <w:r w:rsidRPr="00ED6905">
        <w:rPr>
          <w:rFonts w:eastAsia="Calibri"/>
          <w:sz w:val="19"/>
          <w:szCs w:val="19"/>
          <w:rtl/>
        </w:rPr>
        <w:t xml:space="preserve"> </w:t>
      </w:r>
      <w:r w:rsidRPr="00ED6905">
        <w:rPr>
          <w:rFonts w:eastAsia="Calibri" w:hint="eastAsia"/>
          <w:sz w:val="19"/>
          <w:szCs w:val="19"/>
          <w:rtl/>
        </w:rPr>
        <w:t>נסמך</w:t>
      </w:r>
      <w:r w:rsidRPr="00ED6905">
        <w:rPr>
          <w:rFonts w:eastAsia="Calibri" w:hint="cs"/>
          <w:sz w:val="19"/>
          <w:szCs w:val="19"/>
          <w:rtl/>
        </w:rPr>
        <w:t xml:space="preserve"> על רצונם הטוב של המפונים למסור דיווחים במערכת. כפועל יוצא מכך, הגיע למערכת יחד מידע על חלק קטן מביניהם - עד אמצע נובמבר 2023, כשבועיים לאחר שמערכת יחד החלה לפעול התקבלו בה דיווחים רק של כ-15,000 תושבים מבין כ-70,000 ששהו בבתי המלון באותה עת. </w:t>
      </w:r>
    </w:p>
    <w:p w:rsidR="00ED6905" w:rsidRPr="00ED6905" w:rsidRDefault="00ED6905" w:rsidP="006C3AF6">
      <w:pPr>
        <w:pStyle w:val="73"/>
        <w:numPr>
          <w:ilvl w:val="0"/>
          <w:numId w:val="25"/>
        </w:numPr>
        <w:rPr>
          <w:rFonts w:eastAsia="Calibri"/>
          <w:sz w:val="19"/>
          <w:szCs w:val="19"/>
        </w:rPr>
      </w:pPr>
      <w:r w:rsidRPr="00ED6905">
        <w:rPr>
          <w:rFonts w:eastAsia="Calibri" w:hint="eastAsia"/>
          <w:b/>
          <w:bCs/>
          <w:sz w:val="19"/>
          <w:szCs w:val="19"/>
          <w:rtl/>
        </w:rPr>
        <w:t>עיכוב</w:t>
      </w:r>
      <w:r w:rsidRPr="00ED6905">
        <w:rPr>
          <w:rFonts w:eastAsia="Calibri"/>
          <w:b/>
          <w:bCs/>
          <w:sz w:val="19"/>
          <w:szCs w:val="19"/>
          <w:rtl/>
        </w:rPr>
        <w:t xml:space="preserve"> </w:t>
      </w:r>
      <w:r w:rsidRPr="00ED6905">
        <w:rPr>
          <w:rFonts w:eastAsia="Calibri" w:hint="eastAsia"/>
          <w:b/>
          <w:bCs/>
          <w:sz w:val="19"/>
          <w:szCs w:val="19"/>
          <w:rtl/>
        </w:rPr>
        <w:t>ניכר</w:t>
      </w:r>
      <w:r w:rsidRPr="00ED6905">
        <w:rPr>
          <w:rFonts w:eastAsia="Calibri"/>
          <w:b/>
          <w:bCs/>
          <w:sz w:val="19"/>
          <w:szCs w:val="19"/>
          <w:rtl/>
        </w:rPr>
        <w:t xml:space="preserve"> </w:t>
      </w:r>
      <w:r w:rsidRPr="00ED6905">
        <w:rPr>
          <w:rFonts w:eastAsia="Calibri" w:hint="eastAsia"/>
          <w:b/>
          <w:bCs/>
          <w:sz w:val="19"/>
          <w:szCs w:val="19"/>
          <w:rtl/>
        </w:rPr>
        <w:t>ב</w:t>
      </w:r>
      <w:r w:rsidRPr="00ED6905">
        <w:rPr>
          <w:rFonts w:eastAsia="Calibri" w:hint="cs"/>
          <w:b/>
          <w:bCs/>
          <w:sz w:val="19"/>
          <w:szCs w:val="19"/>
          <w:rtl/>
        </w:rPr>
        <w:t>העברת המידע ממערכת יחד למשרדי ממשלה</w:t>
      </w:r>
      <w:r w:rsidRPr="00ED6905">
        <w:rPr>
          <w:rFonts w:eastAsia="Calibri"/>
          <w:sz w:val="19"/>
          <w:szCs w:val="19"/>
          <w:rtl/>
        </w:rPr>
        <w:t xml:space="preserve"> </w:t>
      </w:r>
      <w:r w:rsidRPr="00ED6905">
        <w:rPr>
          <w:rFonts w:eastAsia="Calibri" w:hint="cs"/>
          <w:sz w:val="19"/>
          <w:szCs w:val="19"/>
          <w:rtl/>
        </w:rPr>
        <w:t>-</w:t>
      </w:r>
      <w:r w:rsidRPr="00ED6905">
        <w:rPr>
          <w:rFonts w:eastAsia="Calibri"/>
          <w:sz w:val="19"/>
          <w:szCs w:val="19"/>
          <w:rtl/>
        </w:rPr>
        <w:t xml:space="preserve"> </w:t>
      </w:r>
      <w:r w:rsidRPr="00ED6905">
        <w:rPr>
          <w:rFonts w:eastAsia="Calibri" w:hint="eastAsia"/>
          <w:sz w:val="19"/>
          <w:szCs w:val="19"/>
          <w:rtl/>
        </w:rPr>
        <w:t>נמצא</w:t>
      </w:r>
      <w:r w:rsidRPr="00ED6905">
        <w:rPr>
          <w:rFonts w:eastAsia="Calibri"/>
          <w:sz w:val="19"/>
          <w:szCs w:val="19"/>
          <w:rtl/>
        </w:rPr>
        <w:t xml:space="preserve"> </w:t>
      </w:r>
      <w:r w:rsidRPr="00ED6905">
        <w:rPr>
          <w:rFonts w:eastAsia="Calibri" w:hint="eastAsia"/>
          <w:sz w:val="19"/>
          <w:szCs w:val="19"/>
          <w:rtl/>
        </w:rPr>
        <w:t>כי</w:t>
      </w:r>
      <w:r w:rsidRPr="00ED6905">
        <w:rPr>
          <w:rFonts w:eastAsia="Calibri" w:hint="cs"/>
          <w:sz w:val="19"/>
          <w:szCs w:val="19"/>
          <w:rtl/>
        </w:rPr>
        <w:t xml:space="preserve"> </w:t>
      </w:r>
      <w:r w:rsidRPr="00ED6905">
        <w:rPr>
          <w:rFonts w:eastAsia="Calibri"/>
          <w:sz w:val="19"/>
          <w:szCs w:val="19"/>
          <w:rtl/>
        </w:rPr>
        <w:t>אף ששיא התפוסה בבתי המלון, מעל 70,000 מפונים, היה כחודש לאחר תחילת המלחמה, הנתונים מבתי המלון על אודות מפונים אלו הועברו ל</w:t>
      </w:r>
      <w:r w:rsidRPr="00ED6905">
        <w:rPr>
          <w:rFonts w:eastAsia="Calibri" w:hint="cs"/>
          <w:sz w:val="19"/>
          <w:szCs w:val="19"/>
          <w:rtl/>
        </w:rPr>
        <w:t xml:space="preserve">מערכת יחד יותר מחודש לאחר תחילת המלחמה. </w:t>
      </w:r>
      <w:r w:rsidRPr="00ED6905">
        <w:rPr>
          <w:rFonts w:eastAsia="Calibri" w:hint="eastAsia"/>
          <w:sz w:val="19"/>
          <w:szCs w:val="19"/>
          <w:rtl/>
        </w:rPr>
        <w:t>עוד</w:t>
      </w:r>
      <w:r w:rsidRPr="00ED6905">
        <w:rPr>
          <w:rFonts w:eastAsia="Calibri"/>
          <w:sz w:val="19"/>
          <w:szCs w:val="19"/>
          <w:rtl/>
        </w:rPr>
        <w:t xml:space="preserve"> </w:t>
      </w:r>
      <w:r w:rsidRPr="00ED6905">
        <w:rPr>
          <w:rFonts w:eastAsia="Calibri" w:hint="eastAsia"/>
          <w:sz w:val="19"/>
          <w:szCs w:val="19"/>
          <w:rtl/>
        </w:rPr>
        <w:t>נמצא</w:t>
      </w:r>
      <w:r w:rsidRPr="00ED6905">
        <w:rPr>
          <w:rFonts w:eastAsia="Calibri"/>
          <w:sz w:val="19"/>
          <w:szCs w:val="19"/>
          <w:rtl/>
        </w:rPr>
        <w:t xml:space="preserve"> </w:t>
      </w:r>
      <w:r w:rsidRPr="00ED6905">
        <w:rPr>
          <w:rFonts w:eastAsia="Calibri" w:hint="eastAsia"/>
          <w:sz w:val="19"/>
          <w:szCs w:val="19"/>
          <w:rtl/>
        </w:rPr>
        <w:t>כי</w:t>
      </w:r>
      <w:r w:rsidRPr="00ED6905">
        <w:rPr>
          <w:rFonts w:eastAsia="Calibri"/>
          <w:sz w:val="19"/>
          <w:szCs w:val="19"/>
          <w:rtl/>
        </w:rPr>
        <w:t xml:space="preserve"> </w:t>
      </w:r>
      <w:r w:rsidRPr="00ED6905">
        <w:rPr>
          <w:rFonts w:eastAsia="Calibri" w:hint="eastAsia"/>
          <w:sz w:val="19"/>
          <w:szCs w:val="19"/>
          <w:rtl/>
        </w:rPr>
        <w:t>העברת</w:t>
      </w:r>
      <w:r w:rsidRPr="00ED6905">
        <w:rPr>
          <w:rFonts w:eastAsia="Calibri"/>
          <w:sz w:val="19"/>
          <w:szCs w:val="19"/>
          <w:rtl/>
        </w:rPr>
        <w:t xml:space="preserve"> </w:t>
      </w:r>
      <w:r w:rsidRPr="00ED6905">
        <w:rPr>
          <w:rFonts w:eastAsia="Calibri" w:hint="eastAsia"/>
          <w:sz w:val="19"/>
          <w:szCs w:val="19"/>
          <w:rtl/>
        </w:rPr>
        <w:t>מידע</w:t>
      </w:r>
      <w:r w:rsidRPr="00ED6905">
        <w:rPr>
          <w:rFonts w:eastAsia="Calibri" w:hint="cs"/>
          <w:sz w:val="19"/>
          <w:szCs w:val="19"/>
          <w:rtl/>
        </w:rPr>
        <w:t xml:space="preserve"> על מפונים שמקורותיו במשרד התיירות (בתי המלון) ובמוסד לביטוח לאומי, באמצעות מ</w:t>
      </w:r>
      <w:r w:rsidRPr="00ED6905">
        <w:rPr>
          <w:rFonts w:eastAsia="Calibri" w:hint="eastAsia"/>
          <w:sz w:val="19"/>
          <w:szCs w:val="19"/>
          <w:rtl/>
        </w:rPr>
        <w:t>ערכת</w:t>
      </w:r>
      <w:r w:rsidRPr="00ED6905">
        <w:rPr>
          <w:rFonts w:eastAsia="Calibri"/>
          <w:sz w:val="19"/>
          <w:szCs w:val="19"/>
          <w:rtl/>
        </w:rPr>
        <w:t xml:space="preserve"> </w:t>
      </w:r>
      <w:r w:rsidRPr="00ED6905">
        <w:rPr>
          <w:rFonts w:eastAsia="Calibri" w:hint="eastAsia"/>
          <w:sz w:val="19"/>
          <w:szCs w:val="19"/>
          <w:rtl/>
        </w:rPr>
        <w:t>יחד</w:t>
      </w:r>
      <w:r w:rsidRPr="00ED6905">
        <w:rPr>
          <w:rFonts w:eastAsia="Calibri" w:hint="cs"/>
          <w:sz w:val="19"/>
          <w:szCs w:val="19"/>
          <w:rtl/>
        </w:rPr>
        <w:t>,</w:t>
      </w:r>
      <w:r w:rsidRPr="00ED6905">
        <w:rPr>
          <w:rFonts w:eastAsia="Calibri"/>
          <w:sz w:val="19"/>
          <w:szCs w:val="19"/>
          <w:rtl/>
        </w:rPr>
        <w:t xml:space="preserve"> </w:t>
      </w:r>
      <w:r w:rsidRPr="00ED6905">
        <w:rPr>
          <w:rFonts w:eastAsia="Calibri" w:hint="eastAsia"/>
          <w:sz w:val="19"/>
          <w:szCs w:val="19"/>
          <w:rtl/>
        </w:rPr>
        <w:t>למשרדי</w:t>
      </w:r>
      <w:r w:rsidRPr="00ED6905">
        <w:rPr>
          <w:rFonts w:eastAsia="Calibri"/>
          <w:sz w:val="19"/>
          <w:szCs w:val="19"/>
          <w:rtl/>
        </w:rPr>
        <w:t xml:space="preserve"> </w:t>
      </w:r>
      <w:r w:rsidRPr="00ED6905">
        <w:rPr>
          <w:rFonts w:eastAsia="Calibri" w:hint="eastAsia"/>
          <w:sz w:val="19"/>
          <w:szCs w:val="19"/>
          <w:rtl/>
        </w:rPr>
        <w:t>הממשלה</w:t>
      </w:r>
      <w:r w:rsidRPr="00ED6905">
        <w:rPr>
          <w:rFonts w:eastAsia="Calibri"/>
          <w:sz w:val="19"/>
          <w:szCs w:val="19"/>
          <w:rtl/>
        </w:rPr>
        <w:t xml:space="preserve"> </w:t>
      </w:r>
      <w:r w:rsidRPr="00ED6905">
        <w:rPr>
          <w:rFonts w:eastAsia="Calibri" w:hint="cs"/>
          <w:sz w:val="19"/>
          <w:szCs w:val="19"/>
          <w:rtl/>
        </w:rPr>
        <w:t xml:space="preserve">התעכב </w:t>
      </w:r>
      <w:r w:rsidRPr="00ED6905">
        <w:rPr>
          <w:rFonts w:eastAsia="Calibri" w:hint="eastAsia"/>
          <w:sz w:val="19"/>
          <w:szCs w:val="19"/>
          <w:rtl/>
        </w:rPr>
        <w:t>בין</w:t>
      </w:r>
      <w:r w:rsidRPr="00ED6905">
        <w:rPr>
          <w:rFonts w:eastAsia="Calibri"/>
          <w:sz w:val="19"/>
          <w:szCs w:val="19"/>
          <w:rtl/>
        </w:rPr>
        <w:t xml:space="preserve"> </w:t>
      </w:r>
      <w:r w:rsidRPr="00ED6905">
        <w:rPr>
          <w:rFonts w:eastAsia="Calibri" w:hint="eastAsia"/>
          <w:sz w:val="19"/>
          <w:szCs w:val="19"/>
          <w:rtl/>
        </w:rPr>
        <w:t>שבועות</w:t>
      </w:r>
      <w:r w:rsidRPr="00ED6905">
        <w:rPr>
          <w:rFonts w:eastAsia="Calibri"/>
          <w:sz w:val="19"/>
          <w:szCs w:val="19"/>
          <w:rtl/>
        </w:rPr>
        <w:t xml:space="preserve"> </w:t>
      </w:r>
      <w:r w:rsidRPr="00ED6905">
        <w:rPr>
          <w:rFonts w:eastAsia="Calibri" w:hint="eastAsia"/>
          <w:sz w:val="19"/>
          <w:szCs w:val="19"/>
          <w:rtl/>
        </w:rPr>
        <w:t>למספר</w:t>
      </w:r>
      <w:r w:rsidRPr="00ED6905">
        <w:rPr>
          <w:rFonts w:eastAsia="Calibri"/>
          <w:sz w:val="19"/>
          <w:szCs w:val="19"/>
          <w:rtl/>
        </w:rPr>
        <w:t xml:space="preserve"> </w:t>
      </w:r>
      <w:r w:rsidRPr="00ED6905">
        <w:rPr>
          <w:rFonts w:eastAsia="Calibri" w:hint="eastAsia"/>
          <w:sz w:val="19"/>
          <w:szCs w:val="19"/>
          <w:rtl/>
        </w:rPr>
        <w:t>חודשים</w:t>
      </w:r>
      <w:r w:rsidRPr="00ED6905">
        <w:rPr>
          <w:rFonts w:eastAsia="Calibri"/>
          <w:sz w:val="19"/>
          <w:szCs w:val="19"/>
          <w:rtl/>
        </w:rPr>
        <w:t xml:space="preserve"> </w:t>
      </w:r>
      <w:r w:rsidRPr="00ED6905">
        <w:rPr>
          <w:rFonts w:eastAsia="Calibri" w:hint="eastAsia"/>
          <w:sz w:val="19"/>
          <w:szCs w:val="19"/>
          <w:rtl/>
        </w:rPr>
        <w:t>נוספים</w:t>
      </w:r>
      <w:r w:rsidRPr="00ED6905">
        <w:rPr>
          <w:rFonts w:eastAsia="Calibri" w:hint="cs"/>
          <w:sz w:val="19"/>
          <w:szCs w:val="19"/>
          <w:rtl/>
        </w:rPr>
        <w:t xml:space="preserve">; זאת כיוון שכל משרד שנזקק למידע נדרש להסדיר מול מערך הדיגיטל אפשרות לקבלו, על פי כללי הגנת הפרטיות. </w:t>
      </w:r>
      <w:r w:rsidRPr="00ED6905">
        <w:rPr>
          <w:rFonts w:eastAsia="Calibri" w:hint="eastAsia"/>
          <w:sz w:val="19"/>
          <w:szCs w:val="19"/>
          <w:rtl/>
        </w:rPr>
        <w:t>משרד</w:t>
      </w:r>
      <w:r w:rsidRPr="00ED6905">
        <w:rPr>
          <w:rFonts w:eastAsia="Calibri" w:hint="cs"/>
          <w:sz w:val="19"/>
          <w:szCs w:val="19"/>
          <w:rtl/>
        </w:rPr>
        <w:t xml:space="preserve"> הבריאות מסר למשרד מבקר המדינה כי </w:t>
      </w:r>
      <w:r w:rsidRPr="00ED6905">
        <w:rPr>
          <w:rFonts w:eastAsia="Calibri"/>
          <w:sz w:val="19"/>
          <w:szCs w:val="19"/>
          <w:rtl/>
        </w:rPr>
        <w:t>רק בינואר 2024 החל לקבל נתונים ממערכת יחד שהיה יכול לעשות בהם שימוש. משרד החינוך לא היה ער לכך שלמערכת יחד הגיעו נוסף על נתונים משאלונים גם נתונים מ</w:t>
      </w:r>
      <w:r w:rsidRPr="00ED6905">
        <w:rPr>
          <w:rFonts w:eastAsia="Calibri" w:hint="eastAsia"/>
          <w:sz w:val="19"/>
          <w:szCs w:val="19"/>
          <w:rtl/>
        </w:rPr>
        <w:t>בתי</w:t>
      </w:r>
      <w:r w:rsidRPr="00ED6905">
        <w:rPr>
          <w:rFonts w:eastAsia="Calibri"/>
          <w:sz w:val="19"/>
          <w:szCs w:val="19"/>
          <w:rtl/>
        </w:rPr>
        <w:t xml:space="preserve"> המלון </w:t>
      </w:r>
      <w:r w:rsidRPr="00ED6905">
        <w:rPr>
          <w:rFonts w:eastAsia="Calibri" w:hint="eastAsia"/>
          <w:sz w:val="19"/>
          <w:szCs w:val="19"/>
          <w:rtl/>
        </w:rPr>
        <w:t>ומ</w:t>
      </w:r>
      <w:r w:rsidRPr="00ED6905">
        <w:rPr>
          <w:rFonts w:eastAsia="Calibri" w:hint="cs"/>
          <w:sz w:val="19"/>
          <w:szCs w:val="19"/>
          <w:rtl/>
        </w:rPr>
        <w:t>המוסד ל</w:t>
      </w:r>
      <w:r w:rsidRPr="00ED6905">
        <w:rPr>
          <w:rFonts w:eastAsia="Calibri" w:hint="eastAsia"/>
          <w:sz w:val="19"/>
          <w:szCs w:val="19"/>
          <w:rtl/>
        </w:rPr>
        <w:t>ביטוח</w:t>
      </w:r>
      <w:r w:rsidRPr="00ED6905">
        <w:rPr>
          <w:rFonts w:eastAsia="Calibri"/>
          <w:sz w:val="19"/>
          <w:szCs w:val="19"/>
          <w:rtl/>
        </w:rPr>
        <w:t xml:space="preserve"> </w:t>
      </w:r>
      <w:r w:rsidRPr="00ED6905">
        <w:rPr>
          <w:rFonts w:eastAsia="Calibri" w:hint="eastAsia"/>
          <w:sz w:val="19"/>
          <w:szCs w:val="19"/>
          <w:rtl/>
        </w:rPr>
        <w:t>לאומי</w:t>
      </w:r>
      <w:r w:rsidRPr="00ED6905">
        <w:rPr>
          <w:rFonts w:eastAsia="Calibri"/>
          <w:sz w:val="19"/>
          <w:szCs w:val="19"/>
          <w:rtl/>
        </w:rPr>
        <w:t>, ו</w:t>
      </w:r>
      <w:r w:rsidRPr="00ED6905">
        <w:rPr>
          <w:rFonts w:eastAsia="Calibri" w:hint="eastAsia"/>
          <w:sz w:val="19"/>
          <w:szCs w:val="19"/>
          <w:rtl/>
        </w:rPr>
        <w:t>על</w:t>
      </w:r>
      <w:r w:rsidRPr="00ED6905">
        <w:rPr>
          <w:rFonts w:eastAsia="Calibri"/>
          <w:sz w:val="19"/>
          <w:szCs w:val="19"/>
          <w:rtl/>
        </w:rPr>
        <w:t xml:space="preserve"> כן </w:t>
      </w:r>
      <w:r w:rsidRPr="00ED6905">
        <w:rPr>
          <w:rFonts w:eastAsia="Calibri" w:hint="eastAsia"/>
          <w:sz w:val="19"/>
          <w:szCs w:val="19"/>
          <w:rtl/>
        </w:rPr>
        <w:t>הוא</w:t>
      </w:r>
      <w:r w:rsidRPr="00ED6905">
        <w:rPr>
          <w:rFonts w:eastAsia="Calibri"/>
          <w:sz w:val="19"/>
          <w:szCs w:val="19"/>
          <w:rtl/>
        </w:rPr>
        <w:t xml:space="preserve"> </w:t>
      </w:r>
      <w:r w:rsidRPr="00ED6905">
        <w:rPr>
          <w:rFonts w:eastAsia="Calibri" w:hint="eastAsia"/>
          <w:sz w:val="19"/>
          <w:szCs w:val="19"/>
          <w:rtl/>
        </w:rPr>
        <w:t>לא</w:t>
      </w:r>
      <w:r w:rsidRPr="00ED6905">
        <w:rPr>
          <w:rFonts w:eastAsia="Calibri"/>
          <w:sz w:val="19"/>
          <w:szCs w:val="19"/>
          <w:rtl/>
        </w:rPr>
        <w:t xml:space="preserve"> </w:t>
      </w:r>
      <w:r w:rsidRPr="00ED6905">
        <w:rPr>
          <w:rFonts w:eastAsia="Calibri" w:hint="eastAsia"/>
          <w:sz w:val="19"/>
          <w:szCs w:val="19"/>
          <w:rtl/>
        </w:rPr>
        <w:t>הסדיר</w:t>
      </w:r>
      <w:r w:rsidRPr="00ED6905">
        <w:rPr>
          <w:rFonts w:eastAsia="Calibri"/>
          <w:sz w:val="19"/>
          <w:szCs w:val="19"/>
          <w:rtl/>
        </w:rPr>
        <w:t xml:space="preserve"> </w:t>
      </w:r>
      <w:r w:rsidRPr="00ED6905">
        <w:rPr>
          <w:rFonts w:eastAsia="Calibri" w:hint="eastAsia"/>
          <w:sz w:val="19"/>
          <w:szCs w:val="19"/>
          <w:rtl/>
        </w:rPr>
        <w:t>באותם</w:t>
      </w:r>
      <w:r w:rsidRPr="00ED6905">
        <w:rPr>
          <w:rFonts w:eastAsia="Calibri"/>
          <w:sz w:val="19"/>
          <w:szCs w:val="19"/>
          <w:rtl/>
        </w:rPr>
        <w:t xml:space="preserve"> </w:t>
      </w:r>
      <w:r w:rsidRPr="00ED6905">
        <w:rPr>
          <w:rFonts w:eastAsia="Calibri" w:hint="eastAsia"/>
          <w:sz w:val="19"/>
          <w:szCs w:val="19"/>
          <w:rtl/>
        </w:rPr>
        <w:t>שבועות</w:t>
      </w:r>
      <w:r w:rsidRPr="00ED6905">
        <w:rPr>
          <w:rFonts w:eastAsia="Calibri"/>
          <w:sz w:val="19"/>
          <w:szCs w:val="19"/>
          <w:rtl/>
        </w:rPr>
        <w:t xml:space="preserve"> מול מערך </w:t>
      </w:r>
      <w:r w:rsidRPr="00ED6905">
        <w:rPr>
          <w:rFonts w:eastAsia="Calibri" w:hint="eastAsia"/>
          <w:sz w:val="19"/>
          <w:szCs w:val="19"/>
          <w:rtl/>
        </w:rPr>
        <w:t>הדיגיטל</w:t>
      </w:r>
      <w:r w:rsidRPr="00ED6905">
        <w:rPr>
          <w:rFonts w:eastAsia="Calibri"/>
          <w:sz w:val="19"/>
          <w:szCs w:val="19"/>
          <w:rtl/>
        </w:rPr>
        <w:t xml:space="preserve"> אפשרות ל</w:t>
      </w:r>
      <w:r w:rsidRPr="00ED6905">
        <w:rPr>
          <w:rFonts w:eastAsia="Calibri" w:hint="eastAsia"/>
          <w:sz w:val="19"/>
          <w:szCs w:val="19"/>
          <w:rtl/>
        </w:rPr>
        <w:t>קבל</w:t>
      </w:r>
      <w:r w:rsidRPr="00ED6905">
        <w:rPr>
          <w:rFonts w:eastAsia="Calibri"/>
          <w:sz w:val="19"/>
          <w:szCs w:val="19"/>
          <w:rtl/>
        </w:rPr>
        <w:t xml:space="preserve"> מידע </w:t>
      </w:r>
      <w:r w:rsidRPr="00ED6905">
        <w:rPr>
          <w:rFonts w:eastAsia="Calibri" w:hint="eastAsia"/>
          <w:sz w:val="19"/>
          <w:szCs w:val="19"/>
          <w:rtl/>
        </w:rPr>
        <w:t>זה</w:t>
      </w:r>
      <w:r w:rsidRPr="00ED6905">
        <w:rPr>
          <w:rFonts w:eastAsia="Calibri"/>
          <w:sz w:val="19"/>
          <w:szCs w:val="19"/>
          <w:rtl/>
        </w:rPr>
        <w:t xml:space="preserve"> </w:t>
      </w:r>
      <w:r w:rsidRPr="00ED6905">
        <w:rPr>
          <w:rFonts w:eastAsia="Calibri" w:hint="eastAsia"/>
          <w:sz w:val="19"/>
          <w:szCs w:val="19"/>
          <w:rtl/>
        </w:rPr>
        <w:t>ממנו</w:t>
      </w:r>
      <w:r w:rsidRPr="00ED6905">
        <w:rPr>
          <w:rFonts w:eastAsia="Calibri"/>
          <w:sz w:val="19"/>
          <w:szCs w:val="19"/>
          <w:rtl/>
        </w:rPr>
        <w:t xml:space="preserve"> - </w:t>
      </w:r>
      <w:r w:rsidRPr="00ED6905">
        <w:rPr>
          <w:rFonts w:eastAsia="Calibri" w:hint="cs"/>
          <w:sz w:val="19"/>
          <w:szCs w:val="19"/>
          <w:rtl/>
        </w:rPr>
        <w:t xml:space="preserve">גם </w:t>
      </w:r>
      <w:r w:rsidRPr="00ED6905">
        <w:rPr>
          <w:rFonts w:eastAsia="Calibri"/>
          <w:sz w:val="19"/>
          <w:szCs w:val="19"/>
          <w:rtl/>
        </w:rPr>
        <w:t xml:space="preserve">בנובמבר 2024, כשנה לאחר תחילת הפינוי, </w:t>
      </w:r>
      <w:r w:rsidRPr="00ED6905">
        <w:rPr>
          <w:rFonts w:eastAsia="Calibri" w:hint="cs"/>
          <w:sz w:val="19"/>
          <w:szCs w:val="19"/>
          <w:rtl/>
        </w:rPr>
        <w:t>לא היה למשרד החינוך מידע ממערכת יחד על ה</w:t>
      </w:r>
      <w:r w:rsidRPr="00ED6905">
        <w:rPr>
          <w:rFonts w:eastAsia="Calibri"/>
          <w:sz w:val="19"/>
          <w:szCs w:val="19"/>
          <w:rtl/>
        </w:rPr>
        <w:t>מפונים ל</w:t>
      </w:r>
      <w:r w:rsidRPr="00ED6905">
        <w:rPr>
          <w:rFonts w:eastAsia="Calibri" w:hint="cs"/>
          <w:sz w:val="19"/>
          <w:szCs w:val="19"/>
          <w:rtl/>
        </w:rPr>
        <w:t>מעט ה</w:t>
      </w:r>
      <w:r w:rsidRPr="00ED6905">
        <w:rPr>
          <w:rFonts w:eastAsia="Calibri"/>
          <w:sz w:val="19"/>
          <w:szCs w:val="19"/>
          <w:rtl/>
        </w:rPr>
        <w:t>מידע החלקי מאד שמקורו בשאלונים - דבר שיש בו כדי לפגוע בשירות לתושב.</w:t>
      </w:r>
    </w:p>
    <w:p w:rsidR="00ED6905" w:rsidRPr="00ED6905" w:rsidRDefault="00ED6905" w:rsidP="006C3AF6">
      <w:pPr>
        <w:pStyle w:val="73"/>
        <w:numPr>
          <w:ilvl w:val="0"/>
          <w:numId w:val="25"/>
        </w:numPr>
        <w:rPr>
          <w:rFonts w:eastAsia="Calibri"/>
          <w:sz w:val="19"/>
          <w:szCs w:val="19"/>
        </w:rPr>
      </w:pPr>
      <w:r w:rsidRPr="00ED6905">
        <w:rPr>
          <w:rFonts w:eastAsia="Calibri" w:hint="cs"/>
          <w:b/>
          <w:bCs/>
          <w:sz w:val="19"/>
          <w:szCs w:val="19"/>
          <w:rtl/>
        </w:rPr>
        <w:t>היעדר מידע לצורך ביצוע בקרה כספית אפקטיבית</w:t>
      </w:r>
      <w:r w:rsidRPr="00ED6905">
        <w:rPr>
          <w:rFonts w:eastAsia="Calibri" w:hint="cs"/>
          <w:sz w:val="19"/>
          <w:szCs w:val="19"/>
          <w:rtl/>
        </w:rPr>
        <w:t xml:space="preserve"> </w:t>
      </w:r>
      <w:r w:rsidRPr="00ED6905">
        <w:rPr>
          <w:rFonts w:eastAsia="Calibri" w:hint="eastAsia"/>
          <w:b/>
          <w:bCs/>
          <w:sz w:val="19"/>
          <w:szCs w:val="19"/>
          <w:rtl/>
        </w:rPr>
        <w:t>על</w:t>
      </w:r>
      <w:r w:rsidRPr="00ED6905">
        <w:rPr>
          <w:rFonts w:eastAsia="Calibri"/>
          <w:b/>
          <w:bCs/>
          <w:sz w:val="19"/>
          <w:szCs w:val="19"/>
          <w:rtl/>
        </w:rPr>
        <w:t xml:space="preserve"> </w:t>
      </w:r>
      <w:r w:rsidRPr="00ED6905">
        <w:rPr>
          <w:rFonts w:eastAsia="Calibri" w:hint="eastAsia"/>
          <w:b/>
          <w:bCs/>
          <w:sz w:val="19"/>
          <w:szCs w:val="19"/>
          <w:rtl/>
        </w:rPr>
        <w:t>התשלומים</w:t>
      </w:r>
      <w:r w:rsidRPr="00ED6905">
        <w:rPr>
          <w:rFonts w:eastAsia="Calibri"/>
          <w:b/>
          <w:bCs/>
          <w:sz w:val="19"/>
          <w:szCs w:val="19"/>
          <w:rtl/>
        </w:rPr>
        <w:t xml:space="preserve"> </w:t>
      </w:r>
      <w:r w:rsidRPr="00ED6905">
        <w:rPr>
          <w:rFonts w:eastAsia="Calibri" w:hint="eastAsia"/>
          <w:b/>
          <w:bCs/>
          <w:sz w:val="19"/>
          <w:szCs w:val="19"/>
          <w:rtl/>
        </w:rPr>
        <w:t>לבתי</w:t>
      </w:r>
      <w:r w:rsidRPr="00ED6905">
        <w:rPr>
          <w:rFonts w:eastAsia="Calibri"/>
          <w:b/>
          <w:bCs/>
          <w:sz w:val="19"/>
          <w:szCs w:val="19"/>
          <w:rtl/>
        </w:rPr>
        <w:t xml:space="preserve"> </w:t>
      </w:r>
      <w:r w:rsidRPr="00ED6905">
        <w:rPr>
          <w:rFonts w:eastAsia="Calibri" w:hint="eastAsia"/>
          <w:b/>
          <w:bCs/>
          <w:sz w:val="19"/>
          <w:szCs w:val="19"/>
          <w:rtl/>
        </w:rPr>
        <w:t>המלון</w:t>
      </w:r>
      <w:r w:rsidRPr="00ED6905">
        <w:rPr>
          <w:rFonts w:eastAsia="Calibri"/>
          <w:b/>
          <w:bCs/>
          <w:sz w:val="19"/>
          <w:szCs w:val="19"/>
          <w:rtl/>
        </w:rPr>
        <w:t xml:space="preserve"> </w:t>
      </w:r>
      <w:r w:rsidRPr="00ED6905">
        <w:rPr>
          <w:rFonts w:eastAsia="Calibri"/>
          <w:sz w:val="19"/>
          <w:szCs w:val="19"/>
          <w:rtl/>
        </w:rPr>
        <w:t>-</w:t>
      </w:r>
      <w:r w:rsidRPr="00ED6905">
        <w:rPr>
          <w:rFonts w:eastAsia="Calibri" w:hint="cs"/>
          <w:sz w:val="19"/>
          <w:szCs w:val="19"/>
          <w:rtl/>
        </w:rPr>
        <w:t xml:space="preserve"> הוצאות </w:t>
      </w:r>
      <w:r w:rsidRPr="00ED6905">
        <w:rPr>
          <w:rFonts w:eastAsia="Calibri"/>
          <w:sz w:val="19"/>
          <w:szCs w:val="19"/>
          <w:rtl/>
        </w:rPr>
        <w:t xml:space="preserve">המדינה למימון עלויות שהותם של המפונים בבתי המלון ובבתי הארחה </w:t>
      </w:r>
      <w:r w:rsidRPr="00ED6905">
        <w:rPr>
          <w:rFonts w:eastAsia="Calibri" w:hint="cs"/>
          <w:sz w:val="19"/>
          <w:szCs w:val="19"/>
          <w:rtl/>
        </w:rPr>
        <w:t>הגיעו לכ</w:t>
      </w:r>
      <w:r w:rsidRPr="00ED6905">
        <w:rPr>
          <w:rFonts w:eastAsia="Calibri"/>
          <w:sz w:val="19"/>
          <w:szCs w:val="19"/>
          <w:rtl/>
        </w:rPr>
        <w:t>-5.26 מיליארד</w:t>
      </w:r>
      <w:r w:rsidRPr="00ED6905">
        <w:rPr>
          <w:rFonts w:eastAsia="Calibri" w:hint="cs"/>
          <w:sz w:val="19"/>
          <w:szCs w:val="19"/>
          <w:rtl/>
        </w:rPr>
        <w:t xml:space="preserve"> ש"ח</w:t>
      </w:r>
      <w:r w:rsidRPr="00ED6905">
        <w:rPr>
          <w:rFonts w:eastAsia="Calibri"/>
          <w:sz w:val="19"/>
          <w:szCs w:val="19"/>
          <w:rtl/>
        </w:rPr>
        <w:t xml:space="preserve"> עד לסוף יולי 2024</w:t>
      </w:r>
      <w:r w:rsidRPr="00ED6905">
        <w:rPr>
          <w:rFonts w:eastAsia="Calibri" w:hint="cs"/>
          <w:sz w:val="19"/>
          <w:szCs w:val="19"/>
          <w:rtl/>
        </w:rPr>
        <w:t xml:space="preserve">. כדי שניתן יהיה לבצע בקרה אפקטיבית ואף בזמן אמת על התשלומים לבתי המלון נדרש היה שהמידע על המפונים יגיע </w:t>
      </w:r>
      <w:r w:rsidRPr="00ED6905">
        <w:rPr>
          <w:rFonts w:eastAsia="Calibri" w:hint="eastAsia"/>
          <w:sz w:val="19"/>
          <w:szCs w:val="19"/>
          <w:rtl/>
        </w:rPr>
        <w:t>מגורם</w:t>
      </w:r>
      <w:r w:rsidRPr="00ED6905">
        <w:rPr>
          <w:rFonts w:eastAsia="Calibri"/>
          <w:sz w:val="19"/>
          <w:szCs w:val="19"/>
          <w:rtl/>
        </w:rPr>
        <w:t xml:space="preserve"> </w:t>
      </w:r>
      <w:r w:rsidRPr="00ED6905">
        <w:rPr>
          <w:rFonts w:eastAsia="Calibri" w:hint="eastAsia"/>
          <w:sz w:val="19"/>
          <w:szCs w:val="19"/>
          <w:rtl/>
        </w:rPr>
        <w:t>ממשלתי</w:t>
      </w:r>
      <w:r w:rsidRPr="00ED6905">
        <w:rPr>
          <w:rFonts w:eastAsia="Calibri" w:hint="cs"/>
          <w:sz w:val="19"/>
          <w:szCs w:val="19"/>
          <w:rtl/>
        </w:rPr>
        <w:t xml:space="preserve"> למערכת תקשוב ממשלתית ויוצלב עם </w:t>
      </w:r>
      <w:r w:rsidRPr="00ED6905">
        <w:rPr>
          <w:rFonts w:eastAsia="Calibri" w:hint="eastAsia"/>
          <w:sz w:val="19"/>
          <w:szCs w:val="19"/>
          <w:rtl/>
        </w:rPr>
        <w:t>ה</w:t>
      </w:r>
      <w:r w:rsidRPr="00ED6905">
        <w:rPr>
          <w:rFonts w:eastAsia="Calibri" w:hint="cs"/>
          <w:sz w:val="19"/>
          <w:szCs w:val="19"/>
          <w:rtl/>
        </w:rPr>
        <w:t xml:space="preserve">מידע </w:t>
      </w:r>
      <w:r w:rsidRPr="00ED6905">
        <w:rPr>
          <w:rFonts w:eastAsia="Calibri" w:hint="eastAsia"/>
          <w:sz w:val="19"/>
          <w:szCs w:val="19"/>
          <w:rtl/>
        </w:rPr>
        <w:t>המתקבל</w:t>
      </w:r>
      <w:r w:rsidRPr="00ED6905">
        <w:rPr>
          <w:rFonts w:eastAsia="Calibri" w:hint="cs"/>
          <w:sz w:val="19"/>
          <w:szCs w:val="19"/>
          <w:rtl/>
        </w:rPr>
        <w:t xml:space="preserve"> מבתי המלון. ואולם </w:t>
      </w:r>
      <w:r w:rsidRPr="00ED6905">
        <w:rPr>
          <w:rFonts w:eastAsia="Calibri" w:hint="eastAsia"/>
          <w:sz w:val="19"/>
          <w:szCs w:val="19"/>
          <w:rtl/>
        </w:rPr>
        <w:t>בביקורת</w:t>
      </w:r>
      <w:r w:rsidRPr="00ED6905">
        <w:rPr>
          <w:rFonts w:eastAsia="Calibri"/>
          <w:sz w:val="19"/>
          <w:szCs w:val="19"/>
          <w:rtl/>
        </w:rPr>
        <w:t xml:space="preserve"> </w:t>
      </w:r>
      <w:r w:rsidRPr="00ED6905">
        <w:rPr>
          <w:rFonts w:eastAsia="Calibri" w:hint="eastAsia"/>
          <w:sz w:val="19"/>
          <w:szCs w:val="19"/>
          <w:rtl/>
        </w:rPr>
        <w:t>עלה</w:t>
      </w:r>
      <w:r w:rsidRPr="00ED6905">
        <w:rPr>
          <w:rFonts w:eastAsia="Calibri"/>
          <w:sz w:val="19"/>
          <w:szCs w:val="19"/>
          <w:rtl/>
        </w:rPr>
        <w:t xml:space="preserve"> כי</w:t>
      </w:r>
      <w:r w:rsidRPr="00ED6905">
        <w:rPr>
          <w:rFonts w:eastAsia="Calibri" w:hint="cs"/>
          <w:sz w:val="19"/>
          <w:szCs w:val="19"/>
          <w:rtl/>
        </w:rPr>
        <w:t xml:space="preserve"> מידע על המפונים הגיע רק מבתי המלון ולא מגוף ממשלתי שאסף את המידע מהמפונים עצמם.</w:t>
      </w:r>
      <w:r w:rsidRPr="00ED6905">
        <w:rPr>
          <w:rFonts w:eastAsia="Calibri"/>
          <w:sz w:val="19"/>
          <w:szCs w:val="19"/>
          <w:rtl/>
        </w:rPr>
        <w:t xml:space="preserve"> </w:t>
      </w:r>
      <w:r w:rsidRPr="00ED6905">
        <w:rPr>
          <w:rFonts w:eastAsia="Calibri" w:hint="eastAsia"/>
          <w:sz w:val="19"/>
          <w:szCs w:val="19"/>
          <w:rtl/>
        </w:rPr>
        <w:t>יצוין</w:t>
      </w:r>
      <w:r w:rsidRPr="00ED6905">
        <w:rPr>
          <w:rFonts w:eastAsia="Calibri"/>
          <w:sz w:val="19"/>
          <w:szCs w:val="19"/>
          <w:rtl/>
        </w:rPr>
        <w:t xml:space="preserve"> </w:t>
      </w:r>
      <w:r w:rsidRPr="00ED6905">
        <w:rPr>
          <w:rFonts w:eastAsia="Calibri" w:hint="eastAsia"/>
          <w:sz w:val="19"/>
          <w:szCs w:val="19"/>
          <w:rtl/>
        </w:rPr>
        <w:t>כי</w:t>
      </w:r>
      <w:r w:rsidRPr="00ED6905">
        <w:rPr>
          <w:rFonts w:eastAsia="Calibri"/>
          <w:sz w:val="19"/>
          <w:szCs w:val="19"/>
          <w:rtl/>
        </w:rPr>
        <w:t xml:space="preserve"> </w:t>
      </w:r>
      <w:r w:rsidRPr="00ED6905">
        <w:rPr>
          <w:rFonts w:eastAsia="Calibri" w:hint="eastAsia"/>
          <w:sz w:val="19"/>
          <w:szCs w:val="19"/>
          <w:rtl/>
        </w:rPr>
        <w:t>גם</w:t>
      </w:r>
      <w:r w:rsidRPr="00ED6905">
        <w:rPr>
          <w:rFonts w:eastAsia="Calibri"/>
          <w:sz w:val="19"/>
          <w:szCs w:val="19"/>
          <w:rtl/>
        </w:rPr>
        <w:t xml:space="preserve"> </w:t>
      </w:r>
      <w:r w:rsidRPr="00ED6905">
        <w:rPr>
          <w:rFonts w:eastAsia="Calibri" w:hint="eastAsia"/>
          <w:sz w:val="19"/>
          <w:szCs w:val="19"/>
          <w:rtl/>
        </w:rPr>
        <w:t>המידע</w:t>
      </w:r>
      <w:r w:rsidRPr="00ED6905">
        <w:rPr>
          <w:rFonts w:eastAsia="Calibri"/>
          <w:sz w:val="19"/>
          <w:szCs w:val="19"/>
          <w:rtl/>
        </w:rPr>
        <w:t xml:space="preserve"> </w:t>
      </w:r>
      <w:r w:rsidRPr="00ED6905">
        <w:rPr>
          <w:rFonts w:eastAsia="Calibri" w:hint="eastAsia"/>
          <w:sz w:val="19"/>
          <w:szCs w:val="19"/>
          <w:rtl/>
        </w:rPr>
        <w:t>שהגיע</w:t>
      </w:r>
      <w:r w:rsidRPr="00ED6905">
        <w:rPr>
          <w:rFonts w:eastAsia="Calibri"/>
          <w:sz w:val="19"/>
          <w:szCs w:val="19"/>
          <w:rtl/>
        </w:rPr>
        <w:t xml:space="preserve"> </w:t>
      </w:r>
      <w:r w:rsidRPr="00ED6905">
        <w:rPr>
          <w:rFonts w:eastAsia="Calibri" w:hint="eastAsia"/>
          <w:sz w:val="19"/>
          <w:szCs w:val="19"/>
          <w:rtl/>
        </w:rPr>
        <w:t>מבתי</w:t>
      </w:r>
      <w:r w:rsidRPr="00ED6905">
        <w:rPr>
          <w:rFonts w:eastAsia="Calibri"/>
          <w:sz w:val="19"/>
          <w:szCs w:val="19"/>
          <w:rtl/>
        </w:rPr>
        <w:t xml:space="preserve"> </w:t>
      </w:r>
      <w:r w:rsidRPr="00ED6905">
        <w:rPr>
          <w:rFonts w:eastAsia="Calibri" w:hint="eastAsia"/>
          <w:sz w:val="19"/>
          <w:szCs w:val="19"/>
          <w:rtl/>
        </w:rPr>
        <w:t>המלון</w:t>
      </w:r>
      <w:r w:rsidRPr="00ED6905">
        <w:rPr>
          <w:rFonts w:eastAsia="Calibri"/>
          <w:sz w:val="19"/>
          <w:szCs w:val="19"/>
          <w:rtl/>
        </w:rPr>
        <w:t xml:space="preserve"> </w:t>
      </w:r>
      <w:r w:rsidRPr="00ED6905">
        <w:rPr>
          <w:rFonts w:eastAsia="Calibri" w:hint="eastAsia"/>
          <w:sz w:val="19"/>
          <w:szCs w:val="19"/>
          <w:rtl/>
        </w:rPr>
        <w:t>וכלל</w:t>
      </w:r>
      <w:r w:rsidRPr="00ED6905">
        <w:rPr>
          <w:rFonts w:eastAsia="Calibri"/>
          <w:sz w:val="19"/>
          <w:szCs w:val="19"/>
          <w:rtl/>
        </w:rPr>
        <w:t xml:space="preserve"> </w:t>
      </w:r>
      <w:r w:rsidRPr="00ED6905">
        <w:rPr>
          <w:rFonts w:eastAsia="Calibri" w:hint="eastAsia"/>
          <w:sz w:val="19"/>
          <w:szCs w:val="19"/>
          <w:rtl/>
        </w:rPr>
        <w:t>את</w:t>
      </w:r>
      <w:r w:rsidRPr="00ED6905">
        <w:rPr>
          <w:rFonts w:eastAsia="Calibri"/>
          <w:sz w:val="19"/>
          <w:szCs w:val="19"/>
          <w:rtl/>
        </w:rPr>
        <w:t xml:space="preserve"> </w:t>
      </w:r>
      <w:r w:rsidRPr="00ED6905">
        <w:rPr>
          <w:rFonts w:eastAsia="Calibri" w:hint="eastAsia"/>
          <w:sz w:val="19"/>
          <w:szCs w:val="19"/>
          <w:rtl/>
        </w:rPr>
        <w:t>פרטי</w:t>
      </w:r>
      <w:r w:rsidRPr="00ED6905">
        <w:rPr>
          <w:rFonts w:eastAsia="Calibri"/>
          <w:sz w:val="19"/>
          <w:szCs w:val="19"/>
          <w:rtl/>
        </w:rPr>
        <w:t xml:space="preserve"> המפונים ששוהים אצלם הגיע בעיכוב, רק לאחר שמשרד התיירות הופקד על ה</w:t>
      </w:r>
      <w:r w:rsidRPr="00ED6905">
        <w:rPr>
          <w:rFonts w:eastAsia="Calibri" w:hint="eastAsia"/>
          <w:sz w:val="19"/>
          <w:szCs w:val="19"/>
          <w:rtl/>
        </w:rPr>
        <w:t>עברת</w:t>
      </w:r>
      <w:r w:rsidRPr="00ED6905">
        <w:rPr>
          <w:rFonts w:eastAsia="Calibri"/>
          <w:sz w:val="19"/>
          <w:szCs w:val="19"/>
          <w:rtl/>
        </w:rPr>
        <w:t xml:space="preserve"> התשלומים אליהם. בכך נמ</w:t>
      </w:r>
      <w:r w:rsidRPr="00ED6905">
        <w:rPr>
          <w:rFonts w:eastAsia="Calibri" w:hint="eastAsia"/>
          <w:sz w:val="19"/>
          <w:szCs w:val="19"/>
          <w:rtl/>
        </w:rPr>
        <w:t>נ</w:t>
      </w:r>
      <w:r w:rsidRPr="00ED6905">
        <w:rPr>
          <w:rFonts w:eastAsia="Calibri"/>
          <w:sz w:val="19"/>
          <w:szCs w:val="19"/>
          <w:rtl/>
        </w:rPr>
        <w:t xml:space="preserve">עה היכולת לבצע </w:t>
      </w:r>
      <w:r w:rsidRPr="00ED6905">
        <w:rPr>
          <w:rFonts w:eastAsia="Calibri" w:hint="eastAsia"/>
          <w:sz w:val="19"/>
          <w:szCs w:val="19"/>
          <w:rtl/>
        </w:rPr>
        <w:t>בקרה</w:t>
      </w:r>
      <w:r w:rsidRPr="00ED6905">
        <w:rPr>
          <w:rFonts w:eastAsia="Calibri" w:hint="cs"/>
          <w:sz w:val="19"/>
          <w:szCs w:val="19"/>
          <w:rtl/>
        </w:rPr>
        <w:t xml:space="preserve"> אפקטיבית ואף בזמן אמת על תשלומי הממשלה לבתי המלון.</w:t>
      </w:r>
    </w:p>
    <w:p w:rsidR="00ED6905" w:rsidRPr="00ED6905" w:rsidRDefault="00ED6905" w:rsidP="006C3AF6">
      <w:pPr>
        <w:pStyle w:val="73"/>
        <w:numPr>
          <w:ilvl w:val="0"/>
          <w:numId w:val="25"/>
        </w:numPr>
        <w:rPr>
          <w:rFonts w:eastAsia="Calibri"/>
          <w:sz w:val="19"/>
          <w:szCs w:val="19"/>
        </w:rPr>
      </w:pPr>
      <w:r w:rsidRPr="00ED6905">
        <w:rPr>
          <w:rFonts w:eastAsia="Calibri" w:hint="cs"/>
          <w:b/>
          <w:bCs/>
          <w:sz w:val="19"/>
          <w:szCs w:val="19"/>
          <w:rtl/>
        </w:rPr>
        <w:t>מידע על מפונים ששהו במסגרות שונות בקהילה</w:t>
      </w:r>
      <w:r w:rsidRPr="00ED6905">
        <w:rPr>
          <w:rFonts w:eastAsia="Calibri" w:hint="cs"/>
          <w:sz w:val="19"/>
          <w:szCs w:val="19"/>
          <w:rtl/>
        </w:rPr>
        <w:t xml:space="preserve"> - עשרות אלפי מפונים שלא נקלטו בבתי מלון ובבתי הארחה במימון המדינה (מתקנים במימון המדינה), אלא העדיפו למצוא פתרונות אחרים בקהילה, כגון, שכירת דירה, היו זכאים לקבל מענק אכלוס מ</w:t>
      </w:r>
      <w:r w:rsidRPr="00ED6905">
        <w:rPr>
          <w:rFonts w:eastAsia="Calibri"/>
          <w:sz w:val="19"/>
          <w:szCs w:val="19"/>
          <w:rtl/>
        </w:rPr>
        <w:t>ה</w:t>
      </w:r>
      <w:r w:rsidRPr="00ED6905">
        <w:rPr>
          <w:rFonts w:eastAsia="Calibri" w:hint="cs"/>
          <w:sz w:val="19"/>
          <w:szCs w:val="19"/>
          <w:rtl/>
        </w:rPr>
        <w:t>מוסד ל</w:t>
      </w:r>
      <w:r w:rsidRPr="00ED6905">
        <w:rPr>
          <w:rFonts w:eastAsia="Calibri"/>
          <w:sz w:val="19"/>
          <w:szCs w:val="19"/>
          <w:rtl/>
        </w:rPr>
        <w:t>ביטוח לאומי; נמצא כי ה</w:t>
      </w:r>
      <w:r w:rsidRPr="00ED6905">
        <w:rPr>
          <w:rFonts w:eastAsia="Calibri" w:hint="cs"/>
          <w:sz w:val="19"/>
          <w:szCs w:val="19"/>
          <w:rtl/>
        </w:rPr>
        <w:t>מוסד ל</w:t>
      </w:r>
      <w:r w:rsidRPr="00ED6905">
        <w:rPr>
          <w:rFonts w:eastAsia="Calibri"/>
          <w:sz w:val="19"/>
          <w:szCs w:val="19"/>
          <w:rtl/>
        </w:rPr>
        <w:t>ביטוח לאומי לא כלל בטופס הבקשה של קבלת מענק אכלוס סעיף שבו נדרש התושב המפונה לציין באיזה יישוב הוא ומשפחתו שוהים, ולכן המידע שהעביר ה</w:t>
      </w:r>
      <w:r w:rsidRPr="00ED6905">
        <w:rPr>
          <w:rFonts w:eastAsia="Calibri" w:hint="cs"/>
          <w:sz w:val="19"/>
          <w:szCs w:val="19"/>
          <w:rtl/>
        </w:rPr>
        <w:t>מוסד ל</w:t>
      </w:r>
      <w:r w:rsidRPr="00ED6905">
        <w:rPr>
          <w:rFonts w:eastAsia="Calibri"/>
          <w:sz w:val="19"/>
          <w:szCs w:val="19"/>
          <w:rtl/>
        </w:rPr>
        <w:t xml:space="preserve">ביטוח לאומי למערכת יחד על תושבים מפונים בקהילה חסר נתון </w:t>
      </w:r>
      <w:r w:rsidRPr="00ED6905">
        <w:rPr>
          <w:rFonts w:eastAsia="Calibri" w:hint="eastAsia"/>
          <w:sz w:val="19"/>
          <w:szCs w:val="19"/>
          <w:rtl/>
        </w:rPr>
        <w:t>מרכזי</w:t>
      </w:r>
      <w:r w:rsidRPr="00ED6905">
        <w:rPr>
          <w:rFonts w:eastAsia="Calibri"/>
          <w:sz w:val="19"/>
          <w:szCs w:val="19"/>
          <w:rtl/>
        </w:rPr>
        <w:t xml:space="preserve"> </w:t>
      </w:r>
      <w:r w:rsidRPr="00ED6905">
        <w:rPr>
          <w:rFonts w:eastAsia="Calibri" w:hint="eastAsia"/>
          <w:sz w:val="19"/>
          <w:szCs w:val="19"/>
          <w:rtl/>
        </w:rPr>
        <w:t>ויסודי</w:t>
      </w:r>
      <w:r w:rsidRPr="00ED6905">
        <w:rPr>
          <w:rFonts w:eastAsia="Calibri"/>
          <w:sz w:val="19"/>
          <w:szCs w:val="19"/>
          <w:rtl/>
        </w:rPr>
        <w:t xml:space="preserve">. </w:t>
      </w:r>
      <w:r w:rsidRPr="00ED6905">
        <w:rPr>
          <w:rFonts w:eastAsia="Calibri" w:hint="eastAsia"/>
          <w:sz w:val="19"/>
          <w:szCs w:val="19"/>
          <w:rtl/>
        </w:rPr>
        <w:t>הכללת</w:t>
      </w:r>
      <w:r w:rsidRPr="00ED6905">
        <w:rPr>
          <w:rFonts w:eastAsia="Calibri"/>
          <w:sz w:val="19"/>
          <w:szCs w:val="19"/>
          <w:rtl/>
        </w:rPr>
        <w:t xml:space="preserve"> נתון זה </w:t>
      </w:r>
      <w:r w:rsidRPr="00ED6905">
        <w:rPr>
          <w:rFonts w:eastAsia="Calibri" w:hint="eastAsia"/>
          <w:sz w:val="19"/>
          <w:szCs w:val="19"/>
          <w:rtl/>
        </w:rPr>
        <w:t>בטופס</w:t>
      </w:r>
      <w:r w:rsidRPr="00ED6905">
        <w:rPr>
          <w:rFonts w:eastAsia="Calibri"/>
          <w:sz w:val="19"/>
          <w:szCs w:val="19"/>
          <w:rtl/>
        </w:rPr>
        <w:t xml:space="preserve"> </w:t>
      </w:r>
      <w:r w:rsidRPr="00ED6905">
        <w:rPr>
          <w:rFonts w:eastAsia="Calibri" w:hint="eastAsia"/>
          <w:sz w:val="19"/>
          <w:szCs w:val="19"/>
          <w:rtl/>
        </w:rPr>
        <w:t>הבקשה</w:t>
      </w:r>
      <w:r w:rsidRPr="00ED6905">
        <w:rPr>
          <w:rFonts w:eastAsia="Calibri"/>
          <w:sz w:val="19"/>
          <w:szCs w:val="19"/>
          <w:rtl/>
        </w:rPr>
        <w:t xml:space="preserve"> היה מאפשר למשרדי הממשלה לדעת היכן נמצאים תושבים ומשפחותיהם שעברו להתגורר ביישובים שונים, כך שיוכלו יחד עם הרשויות המקומיות שקלטו אותם להיערך להסדרת מענים עבורם</w:t>
      </w:r>
      <w:r w:rsidRPr="00ED6905">
        <w:rPr>
          <w:rFonts w:eastAsia="Calibri" w:hint="cs"/>
          <w:sz w:val="19"/>
          <w:szCs w:val="19"/>
          <w:rtl/>
        </w:rPr>
        <w:t xml:space="preserve">. </w:t>
      </w:r>
      <w:r w:rsidRPr="00ED6905">
        <w:rPr>
          <w:rFonts w:eastAsia="Calibri"/>
          <w:sz w:val="19"/>
          <w:szCs w:val="19"/>
          <w:rtl/>
        </w:rPr>
        <w:t>נוסף על כך, למרות שהיה ל</w:t>
      </w:r>
      <w:r w:rsidRPr="00ED6905">
        <w:rPr>
          <w:rFonts w:eastAsia="Calibri" w:hint="cs"/>
          <w:sz w:val="19"/>
          <w:szCs w:val="19"/>
          <w:rtl/>
        </w:rPr>
        <w:t>מוסד ל</w:t>
      </w:r>
      <w:r w:rsidRPr="00ED6905">
        <w:rPr>
          <w:rFonts w:eastAsia="Calibri"/>
          <w:sz w:val="19"/>
          <w:szCs w:val="19"/>
          <w:rtl/>
        </w:rPr>
        <w:t xml:space="preserve">ביטוח </w:t>
      </w:r>
      <w:r w:rsidRPr="00ED6905">
        <w:rPr>
          <w:rFonts w:eastAsia="Calibri"/>
          <w:sz w:val="19"/>
          <w:szCs w:val="19"/>
          <w:rtl/>
        </w:rPr>
        <w:lastRenderedPageBreak/>
        <w:t>לאומי מידע הכולל פרטים אישיים הן על מבוגרים והן על ילדים, מקרב המפונים בקהילה, הוא לא העביר למערכת יחד את המידע הפרטני על הילדים אלא רק על המבוגרים. כתוצאה מכל אלה</w:t>
      </w:r>
      <w:r w:rsidRPr="00ED6905">
        <w:rPr>
          <w:rFonts w:eastAsia="Calibri" w:hint="cs"/>
          <w:sz w:val="19"/>
          <w:szCs w:val="19"/>
          <w:rtl/>
        </w:rPr>
        <w:t>,</w:t>
      </w:r>
      <w:r w:rsidRPr="00ED6905">
        <w:rPr>
          <w:rFonts w:eastAsia="Calibri"/>
          <w:sz w:val="19"/>
          <w:szCs w:val="19"/>
          <w:rtl/>
        </w:rPr>
        <w:t xml:space="preserve"> המידע שמסר ה</w:t>
      </w:r>
      <w:r w:rsidRPr="00ED6905">
        <w:rPr>
          <w:rFonts w:eastAsia="Calibri" w:hint="cs"/>
          <w:sz w:val="19"/>
          <w:szCs w:val="19"/>
          <w:rtl/>
        </w:rPr>
        <w:t>מוסד ל</w:t>
      </w:r>
      <w:r w:rsidRPr="00ED6905">
        <w:rPr>
          <w:rFonts w:eastAsia="Calibri"/>
          <w:sz w:val="19"/>
          <w:szCs w:val="19"/>
          <w:rtl/>
        </w:rPr>
        <w:t>ביטוח לאומי למערכת יחד היה חלקי וחסר</w:t>
      </w:r>
      <w:r w:rsidRPr="00ED6905">
        <w:rPr>
          <w:rFonts w:eastAsia="Calibri" w:hint="cs"/>
          <w:sz w:val="19"/>
          <w:szCs w:val="19"/>
          <w:rtl/>
        </w:rPr>
        <w:t>.</w:t>
      </w:r>
    </w:p>
    <w:p w:rsidR="00780272" w:rsidRDefault="00ED6905" w:rsidP="00EE67C7">
      <w:pPr>
        <w:pStyle w:val="73"/>
        <w:numPr>
          <w:ilvl w:val="0"/>
          <w:numId w:val="25"/>
        </w:numPr>
        <w:spacing w:before="240" w:after="160"/>
      </w:pPr>
      <w:bookmarkStart w:id="3" w:name="_Hlk179291821"/>
      <w:r w:rsidRPr="00ED6905">
        <w:rPr>
          <w:rFonts w:eastAsia="Calibri"/>
          <w:b/>
          <w:bCs/>
          <w:sz w:val="19"/>
          <w:szCs w:val="19"/>
          <w:rtl/>
        </w:rPr>
        <w:t>העברת המידע הפרטני על המפונים ממערכת יחד לרשויות מקומיות</w:t>
      </w:r>
      <w:r w:rsidRPr="00ED6905">
        <w:rPr>
          <w:rFonts w:eastAsia="Calibri"/>
          <w:sz w:val="19"/>
          <w:szCs w:val="19"/>
          <w:rtl/>
        </w:rPr>
        <w:t xml:space="preserve"> </w:t>
      </w:r>
      <w:bookmarkEnd w:id="3"/>
      <w:r w:rsidRPr="00ED6905">
        <w:rPr>
          <w:rFonts w:eastAsia="Calibri"/>
          <w:sz w:val="19"/>
          <w:szCs w:val="19"/>
          <w:rtl/>
        </w:rPr>
        <w:t xml:space="preserve">- </w:t>
      </w:r>
      <w:r w:rsidRPr="00ED6905">
        <w:rPr>
          <w:rFonts w:eastAsia="Calibri" w:hint="cs"/>
          <w:sz w:val="19"/>
          <w:szCs w:val="19"/>
          <w:rtl/>
        </w:rPr>
        <w:t>בביקורת עלה כי ה</w:t>
      </w:r>
      <w:r w:rsidRPr="00ED6905">
        <w:rPr>
          <w:rFonts w:eastAsia="Calibri"/>
          <w:sz w:val="19"/>
          <w:szCs w:val="19"/>
          <w:rtl/>
        </w:rPr>
        <w:t>עבר</w:t>
      </w:r>
      <w:r w:rsidRPr="00ED6905">
        <w:rPr>
          <w:rFonts w:eastAsia="Calibri" w:hint="cs"/>
          <w:sz w:val="19"/>
          <w:szCs w:val="19"/>
          <w:rtl/>
        </w:rPr>
        <w:t>ת</w:t>
      </w:r>
      <w:r w:rsidRPr="00ED6905">
        <w:rPr>
          <w:rFonts w:eastAsia="Calibri"/>
          <w:sz w:val="19"/>
          <w:szCs w:val="19"/>
          <w:rtl/>
        </w:rPr>
        <w:t xml:space="preserve"> המידע הפרטני על המפונים ממערכת יחד לרשויות המקומיות </w:t>
      </w:r>
      <w:r w:rsidRPr="00ED6905">
        <w:rPr>
          <w:rFonts w:eastAsia="Calibri" w:hint="eastAsia"/>
          <w:sz w:val="19"/>
          <w:szCs w:val="19"/>
          <w:rtl/>
        </w:rPr>
        <w:t>על</w:t>
      </w:r>
      <w:r w:rsidRPr="00ED6905">
        <w:rPr>
          <w:rFonts w:eastAsia="Calibri"/>
          <w:sz w:val="19"/>
          <w:szCs w:val="19"/>
          <w:rtl/>
        </w:rPr>
        <w:t xml:space="preserve"> ידי מערך </w:t>
      </w:r>
      <w:r w:rsidRPr="00ED6905">
        <w:rPr>
          <w:rFonts w:eastAsia="Calibri" w:hint="eastAsia"/>
          <w:sz w:val="19"/>
          <w:szCs w:val="19"/>
          <w:rtl/>
        </w:rPr>
        <w:t>הדיגיטל</w:t>
      </w:r>
      <w:r w:rsidRPr="00ED6905">
        <w:rPr>
          <w:rFonts w:eastAsia="Calibri" w:hint="cs"/>
          <w:sz w:val="19"/>
          <w:szCs w:val="19"/>
          <w:rtl/>
        </w:rPr>
        <w:t xml:space="preserve"> </w:t>
      </w:r>
      <w:r w:rsidRPr="00ED6905">
        <w:rPr>
          <w:rFonts w:eastAsia="Calibri"/>
          <w:sz w:val="19"/>
          <w:szCs w:val="19"/>
          <w:rtl/>
        </w:rPr>
        <w:t>החלה לאחר יותר משלושה חודשים מפרוץ המלחמה</w:t>
      </w:r>
      <w:r w:rsidRPr="00ED6905">
        <w:rPr>
          <w:rFonts w:eastAsia="Calibri" w:hint="cs"/>
          <w:sz w:val="19"/>
          <w:szCs w:val="19"/>
          <w:rtl/>
        </w:rPr>
        <w:t>. העיכוב נבע מכך שרק בינואר 2024 לאחר שחלק מהרשויות המקומיות הסדירו הליך של קבלת מידע פרטני ממערכת יחד, על פי חוק הגנת הפרטיות, יכול היה מערך הדיגיטל להעביר להם את המידע. אי החזקה של רשויות מקומיות קולטות ב</w:t>
      </w:r>
      <w:r w:rsidRPr="00ED6905">
        <w:rPr>
          <w:rFonts w:eastAsia="Calibri"/>
          <w:sz w:val="19"/>
          <w:szCs w:val="19"/>
          <w:rtl/>
        </w:rPr>
        <w:t>מידע פרטני חיוני זה בחודשים הראשונים של המלחמה פגע ביכולתן להעניק שירותים למפונים שהגיעו אליהן ובהם שירותי חינוך ורווחה.</w:t>
      </w:r>
    </w:p>
    <w:p w:rsidR="00AE4BB7" w:rsidRPr="000B463F" w:rsidRDefault="00AE4BB7" w:rsidP="00EE67C7">
      <w:pPr>
        <w:spacing w:before="240" w:after="160"/>
      </w:pPr>
      <w:r>
        <w:rPr>
          <w:noProof/>
        </w:rPr>
        <w:drawing>
          <wp:inline distT="0" distB="0" distL="0" distR="0" wp14:anchorId="1B6E1B24" wp14:editId="6A13F14B">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ED6905" w:rsidRPr="00ED6905" w:rsidRDefault="00ED6905" w:rsidP="006C3AF6">
      <w:pPr>
        <w:pStyle w:val="73"/>
        <w:rPr>
          <w:rFonts w:eastAsia="Calibri"/>
          <w:sz w:val="19"/>
          <w:szCs w:val="19"/>
          <w:rtl/>
        </w:rPr>
      </w:pPr>
      <w:r w:rsidRPr="00ED6905">
        <w:rPr>
          <w:rFonts w:eastAsia="Calibri" w:hint="cs"/>
          <w:b/>
          <w:bCs/>
          <w:sz w:val="19"/>
          <w:szCs w:val="19"/>
          <w:rtl/>
        </w:rPr>
        <w:t>פעילות מערך הדיגיטל לריכוז וניהול המידע על מפונים ומתפנים</w:t>
      </w:r>
      <w:r w:rsidRPr="00ED6905">
        <w:rPr>
          <w:rFonts w:eastAsia="Calibri" w:hint="cs"/>
          <w:sz w:val="19"/>
          <w:szCs w:val="19"/>
          <w:rtl/>
        </w:rPr>
        <w:t xml:space="preserve"> - </w:t>
      </w:r>
      <w:r w:rsidRPr="00ED6905">
        <w:rPr>
          <w:rFonts w:eastAsia="Calibri"/>
          <w:sz w:val="19"/>
          <w:szCs w:val="19"/>
          <w:rtl/>
        </w:rPr>
        <w:t xml:space="preserve">יש לראות בחיוב את </w:t>
      </w:r>
      <w:r w:rsidRPr="00ED6905">
        <w:rPr>
          <w:rFonts w:eastAsia="Calibri" w:hint="cs"/>
          <w:sz w:val="19"/>
          <w:szCs w:val="19"/>
          <w:rtl/>
        </w:rPr>
        <w:t>היוזמה וההירתמות של מערך</w:t>
      </w:r>
      <w:r w:rsidRPr="00ED6905">
        <w:rPr>
          <w:rFonts w:eastAsia="Calibri"/>
          <w:sz w:val="19"/>
          <w:szCs w:val="19"/>
          <w:rtl/>
        </w:rPr>
        <w:t xml:space="preserve"> הדיגיטל</w:t>
      </w:r>
      <w:r w:rsidRPr="00ED6905">
        <w:rPr>
          <w:rFonts w:eastAsia="Calibri" w:hint="cs"/>
          <w:sz w:val="19"/>
          <w:szCs w:val="19"/>
          <w:rtl/>
        </w:rPr>
        <w:t xml:space="preserve"> עם תחילת המלחמה למאמץ לאיסוף, ריכוז וניהול המידע על המפונים והמתפנים. יוזמה שבאה לידי ביטוי בהצעתו לפתח </w:t>
      </w:r>
      <w:r w:rsidRPr="00ED6905">
        <w:rPr>
          <w:rFonts w:hint="cs"/>
          <w:sz w:val="19"/>
          <w:szCs w:val="19"/>
          <w:rtl/>
        </w:rPr>
        <w:t>את</w:t>
      </w:r>
      <w:r w:rsidRPr="00ED6905">
        <w:rPr>
          <w:rFonts w:eastAsia="Calibri" w:hint="cs"/>
          <w:sz w:val="19"/>
          <w:szCs w:val="19"/>
          <w:rtl/>
        </w:rPr>
        <w:t xml:space="preserve"> מערכת יחד ופעולותיו לפתחה ולנהלה כדי שתספק למשרדי ממשלה ולרשויות מקומיות תמונת מצב ומידע פרטני על אוכלוסייה זו. </w:t>
      </w:r>
    </w:p>
    <w:p w:rsidR="00ED6905" w:rsidRDefault="00ED6905" w:rsidP="006C3AF6">
      <w:pPr>
        <w:pStyle w:val="73"/>
        <w:rPr>
          <w:rFonts w:eastAsia="Calibri"/>
          <w:sz w:val="19"/>
          <w:szCs w:val="19"/>
          <w:rtl/>
        </w:rPr>
      </w:pPr>
      <w:r w:rsidRPr="00ED6905">
        <w:rPr>
          <w:rFonts w:eastAsia="Calibri" w:hint="eastAsia"/>
          <w:b/>
          <w:bCs/>
          <w:sz w:val="19"/>
          <w:szCs w:val="19"/>
          <w:rtl/>
        </w:rPr>
        <w:t>השלמה</w:t>
      </w:r>
      <w:r w:rsidRPr="00ED6905">
        <w:rPr>
          <w:rFonts w:eastAsia="Calibri"/>
          <w:b/>
          <w:bCs/>
          <w:sz w:val="19"/>
          <w:szCs w:val="19"/>
          <w:rtl/>
        </w:rPr>
        <w:t xml:space="preserve"> של פרטים על תושבים מפונים בקהילה</w:t>
      </w:r>
      <w:r w:rsidRPr="00ED6905">
        <w:rPr>
          <w:rFonts w:eastAsia="Calibri" w:hint="cs"/>
          <w:sz w:val="19"/>
          <w:szCs w:val="19"/>
          <w:rtl/>
        </w:rPr>
        <w:t xml:space="preserve"> </w:t>
      </w:r>
      <w:r w:rsidRPr="00ED6905">
        <w:rPr>
          <w:rFonts w:eastAsia="Calibri"/>
          <w:b/>
          <w:bCs/>
          <w:sz w:val="19"/>
          <w:szCs w:val="19"/>
          <w:rtl/>
        </w:rPr>
        <w:t>על ידי מערך הדיגיטל</w:t>
      </w:r>
      <w:r w:rsidRPr="00ED6905">
        <w:rPr>
          <w:rFonts w:eastAsia="Calibri" w:hint="cs"/>
          <w:sz w:val="19"/>
          <w:szCs w:val="19"/>
          <w:rtl/>
        </w:rPr>
        <w:t xml:space="preserve"> - עוד יש לראות בחיוב, את פעולותיו</w:t>
      </w:r>
      <w:r w:rsidRPr="00ED6905">
        <w:rPr>
          <w:rFonts w:eastAsia="Calibri"/>
          <w:sz w:val="19"/>
          <w:szCs w:val="19"/>
          <w:rtl/>
        </w:rPr>
        <w:t xml:space="preserve"> </w:t>
      </w:r>
      <w:r w:rsidRPr="00ED6905">
        <w:rPr>
          <w:rFonts w:eastAsia="Calibri" w:hint="cs"/>
          <w:sz w:val="19"/>
          <w:szCs w:val="19"/>
          <w:rtl/>
        </w:rPr>
        <w:t>של מערך הדיגיטל</w:t>
      </w:r>
      <w:r w:rsidRPr="00ED6905">
        <w:rPr>
          <w:rFonts w:eastAsia="Calibri"/>
          <w:sz w:val="19"/>
          <w:szCs w:val="19"/>
          <w:rtl/>
        </w:rPr>
        <w:t xml:space="preserve"> להשלמת פרטי המידע </w:t>
      </w:r>
      <w:r w:rsidRPr="00ED6905">
        <w:rPr>
          <w:rFonts w:eastAsia="Calibri" w:hint="cs"/>
          <w:sz w:val="19"/>
          <w:szCs w:val="19"/>
          <w:rtl/>
        </w:rPr>
        <w:t xml:space="preserve">שלא נכללו </w:t>
      </w:r>
      <w:r w:rsidRPr="00ED6905">
        <w:rPr>
          <w:rFonts w:hint="cs"/>
          <w:sz w:val="19"/>
          <w:szCs w:val="19"/>
          <w:rtl/>
        </w:rPr>
        <w:t>במידע</w:t>
      </w:r>
      <w:r w:rsidRPr="00ED6905">
        <w:rPr>
          <w:rFonts w:eastAsia="Calibri" w:hint="cs"/>
          <w:sz w:val="19"/>
          <w:szCs w:val="19"/>
          <w:rtl/>
        </w:rPr>
        <w:t xml:space="preserve"> שמסר לו </w:t>
      </w:r>
      <w:r w:rsidRPr="00ED6905">
        <w:rPr>
          <w:rFonts w:eastAsia="Calibri"/>
          <w:sz w:val="19"/>
          <w:szCs w:val="19"/>
          <w:rtl/>
        </w:rPr>
        <w:t>ה</w:t>
      </w:r>
      <w:r w:rsidRPr="00ED6905">
        <w:rPr>
          <w:rFonts w:eastAsia="Calibri" w:hint="cs"/>
          <w:sz w:val="19"/>
          <w:szCs w:val="19"/>
          <w:rtl/>
        </w:rPr>
        <w:t>מוסד ל</w:t>
      </w:r>
      <w:r w:rsidRPr="00ED6905">
        <w:rPr>
          <w:rFonts w:eastAsia="Calibri"/>
          <w:sz w:val="19"/>
          <w:szCs w:val="19"/>
          <w:rtl/>
        </w:rPr>
        <w:t xml:space="preserve">ביטוח לאומי </w:t>
      </w:r>
      <w:r w:rsidRPr="00ED6905">
        <w:rPr>
          <w:rFonts w:eastAsia="Calibri" w:hint="cs"/>
          <w:sz w:val="19"/>
          <w:szCs w:val="19"/>
          <w:rtl/>
        </w:rPr>
        <w:t xml:space="preserve">על תושבים מפונים בקהילה </w:t>
      </w:r>
      <w:r w:rsidRPr="00ED6905">
        <w:rPr>
          <w:rFonts w:eastAsia="Calibri"/>
          <w:sz w:val="19"/>
          <w:szCs w:val="19"/>
          <w:rtl/>
        </w:rPr>
        <w:t xml:space="preserve">- מספרי תעודות זהות וגילים של </w:t>
      </w:r>
      <w:r w:rsidRPr="00ED6905">
        <w:rPr>
          <w:rFonts w:eastAsia="Calibri" w:hint="cs"/>
          <w:sz w:val="19"/>
          <w:szCs w:val="19"/>
          <w:rtl/>
        </w:rPr>
        <w:t>ה</w:t>
      </w:r>
      <w:r w:rsidRPr="00ED6905">
        <w:rPr>
          <w:rFonts w:eastAsia="Calibri"/>
          <w:sz w:val="19"/>
          <w:szCs w:val="19"/>
          <w:rtl/>
        </w:rPr>
        <w:t xml:space="preserve">ילדים </w:t>
      </w:r>
      <w:r w:rsidRPr="00ED6905">
        <w:rPr>
          <w:rFonts w:eastAsia="Calibri" w:hint="cs"/>
          <w:sz w:val="19"/>
          <w:szCs w:val="19"/>
          <w:rtl/>
        </w:rPr>
        <w:t xml:space="preserve">מקרב תושבים אלה </w:t>
      </w:r>
      <w:r w:rsidRPr="00ED6905">
        <w:rPr>
          <w:rFonts w:eastAsia="Calibri"/>
          <w:sz w:val="19"/>
          <w:szCs w:val="19"/>
          <w:rtl/>
        </w:rPr>
        <w:t xml:space="preserve">- וזאת כדי לספק מידע </w:t>
      </w:r>
      <w:r w:rsidRPr="00ED6905">
        <w:rPr>
          <w:rFonts w:eastAsia="Calibri" w:hint="cs"/>
          <w:sz w:val="19"/>
          <w:szCs w:val="19"/>
          <w:rtl/>
        </w:rPr>
        <w:t xml:space="preserve">חיוני </w:t>
      </w:r>
      <w:r w:rsidRPr="00ED6905">
        <w:rPr>
          <w:rFonts w:eastAsia="Calibri"/>
          <w:sz w:val="19"/>
          <w:szCs w:val="19"/>
          <w:rtl/>
        </w:rPr>
        <w:t>זה למשרדי</w:t>
      </w:r>
      <w:r w:rsidRPr="00ED6905">
        <w:rPr>
          <w:rFonts w:eastAsia="Calibri" w:hint="cs"/>
          <w:sz w:val="19"/>
          <w:szCs w:val="19"/>
          <w:rtl/>
        </w:rPr>
        <w:t xml:space="preserve"> הממשלה</w:t>
      </w:r>
      <w:r w:rsidRPr="00ED6905">
        <w:rPr>
          <w:rFonts w:eastAsia="Calibri"/>
          <w:sz w:val="19"/>
          <w:szCs w:val="19"/>
          <w:rtl/>
        </w:rPr>
        <w:t>.</w:t>
      </w:r>
    </w:p>
    <w:p w:rsidR="0099494B" w:rsidRDefault="0099494B" w:rsidP="006C3AF6">
      <w:pPr>
        <w:pStyle w:val="73"/>
        <w:rPr>
          <w:rFonts w:eastAsia="Calibri"/>
          <w:sz w:val="19"/>
          <w:szCs w:val="19"/>
          <w:rtl/>
        </w:rPr>
      </w:pPr>
    </w:p>
    <w:p w:rsidR="0099494B" w:rsidRDefault="0099494B" w:rsidP="006C3AF6">
      <w:pPr>
        <w:pStyle w:val="73"/>
        <w:rPr>
          <w:rFonts w:eastAsia="Calibri"/>
          <w:sz w:val="19"/>
          <w:szCs w:val="19"/>
          <w:rtl/>
        </w:rPr>
      </w:pPr>
    </w:p>
    <w:p w:rsidR="0099494B" w:rsidRDefault="0099494B" w:rsidP="006C3AF6">
      <w:pPr>
        <w:pStyle w:val="73"/>
        <w:rPr>
          <w:rFonts w:eastAsia="Calibri"/>
          <w:sz w:val="19"/>
          <w:szCs w:val="19"/>
          <w:rtl/>
        </w:rPr>
      </w:pPr>
    </w:p>
    <w:p w:rsidR="0099494B" w:rsidRDefault="0099494B" w:rsidP="006C3AF6">
      <w:pPr>
        <w:pStyle w:val="73"/>
        <w:rPr>
          <w:rFonts w:eastAsia="Calibri"/>
          <w:sz w:val="19"/>
          <w:szCs w:val="19"/>
          <w:rtl/>
        </w:rPr>
      </w:pPr>
    </w:p>
    <w:p w:rsidR="00793FD5" w:rsidRPr="00ED6905" w:rsidRDefault="00793FD5" w:rsidP="006C3AF6">
      <w:pPr>
        <w:pStyle w:val="73"/>
        <w:rPr>
          <w:rFonts w:eastAsia="Calibri"/>
          <w:sz w:val="19"/>
          <w:szCs w:val="19"/>
          <w:rtl/>
        </w:rPr>
      </w:pPr>
    </w:p>
    <w:p w:rsidR="00780272" w:rsidRPr="00084768" w:rsidRDefault="00780272" w:rsidP="00780272">
      <w:pPr>
        <w:pStyle w:val="73"/>
        <w:rPr>
          <w:sz w:val="19"/>
          <w:szCs w:val="19"/>
        </w:rPr>
      </w:pPr>
    </w:p>
    <w:tbl>
      <w:tblPr>
        <w:tblStyle w:val="af4"/>
        <w:tblpPr w:leftFromText="180" w:rightFromText="180" w:vertAnchor="text" w:tblpXSpec="center" w:tblpY="1"/>
        <w:tblOverlap w:val="never"/>
        <w:bidiVisual/>
        <w:tblW w:w="9074" w:type="dxa"/>
        <w:tblLayout w:type="fixed"/>
        <w:tblLook w:val="04A0" w:firstRow="1" w:lastRow="0" w:firstColumn="1" w:lastColumn="0" w:noHBand="0" w:noVBand="1"/>
      </w:tblPr>
      <w:tblGrid>
        <w:gridCol w:w="9074"/>
      </w:tblGrid>
      <w:tr w:rsidR="00AE4BB7" w:rsidTr="009E37AC">
        <w:trPr>
          <w:trHeight w:val="851"/>
        </w:trPr>
        <w:tc>
          <w:tcPr>
            <w:tcW w:w="9074" w:type="dxa"/>
            <w:tcBorders>
              <w:top w:val="nil"/>
              <w:left w:val="nil"/>
              <w:bottom w:val="nil"/>
              <w:right w:val="nil"/>
            </w:tcBorders>
          </w:tcPr>
          <w:p w:rsidR="00AE4BB7" w:rsidRPr="00F66FC8" w:rsidRDefault="00AE4BB7" w:rsidP="00793FD5">
            <w:pPr>
              <w:spacing w:after="120" w:line="288" w:lineRule="auto"/>
              <w:rPr>
                <w:rFonts w:ascii="Tahoma" w:hAnsi="Tahoma" w:cs="Tahoma"/>
                <w:sz w:val="19"/>
                <w:szCs w:val="19"/>
                <w:rtl/>
              </w:rPr>
            </w:pPr>
            <w:r w:rsidRPr="00F66FC8">
              <w:rPr>
                <w:rFonts w:ascii="Tahoma" w:hAnsi="Tahoma" w:cs="Tahoma"/>
                <w:noProof/>
                <w:sz w:val="19"/>
                <w:szCs w:val="19"/>
                <w:rtl/>
              </w:rPr>
              <w:lastRenderedPageBreak/>
              <w:drawing>
                <wp:inline distT="0" distB="0" distL="0" distR="0" wp14:anchorId="1A1CB373" wp14:editId="5A1CF727">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R="00AE4BB7" w:rsidTr="00094148">
        <w:trPr>
          <w:trHeight w:val="1559"/>
        </w:trPr>
        <w:tc>
          <w:tcPr>
            <w:tcW w:w="9074" w:type="dxa"/>
            <w:tcBorders>
              <w:top w:val="nil"/>
              <w:left w:val="nil"/>
              <w:bottom w:val="nil"/>
              <w:right w:val="nil"/>
            </w:tcBorders>
            <w:shd w:val="clear" w:color="auto" w:fill="F1F5F9"/>
          </w:tcPr>
          <w:p w:rsidR="00ED6905" w:rsidRDefault="00ED6905" w:rsidP="00793FD5">
            <w:pPr>
              <w:pStyle w:val="af2"/>
              <w:numPr>
                <w:ilvl w:val="0"/>
                <w:numId w:val="12"/>
              </w:numPr>
              <w:spacing w:before="60" w:after="140" w:line="288" w:lineRule="auto"/>
              <w:ind w:left="516" w:right="176" w:hanging="516"/>
              <w:contextualSpacing w:val="0"/>
              <w:rPr>
                <w:rFonts w:ascii="Tahoma" w:hAnsi="Tahoma" w:cs="Tahoma"/>
                <w:sz w:val="19"/>
                <w:szCs w:val="19"/>
              </w:rPr>
            </w:pPr>
            <w:r w:rsidRPr="008E320D">
              <w:rPr>
                <w:rFonts w:ascii="Tahoma" w:hAnsi="Tahoma" w:cs="Tahoma" w:hint="eastAsia"/>
                <w:sz w:val="19"/>
                <w:szCs w:val="19"/>
                <w:rtl/>
              </w:rPr>
              <w:t>מומלץ</w:t>
            </w:r>
            <w:r w:rsidRPr="00F92782">
              <w:rPr>
                <w:rFonts w:ascii="Tahoma" w:hAnsi="Tahoma" w:cs="Tahoma"/>
                <w:sz w:val="19"/>
                <w:szCs w:val="19"/>
                <w:rtl/>
              </w:rPr>
              <w:t xml:space="preserve"> לגופי הממשל המוזכרים בהחלטת הממשלה מלון אורחים, כגופים האחראים לקליטה של מפונים ומתפנים ובראשם לרח"ל - הגוף שנדרש לתאם את ביצוע החלטת מלון אורחים - לבחון באופן שוטף את הפתרונות התקשוביים הקיימים, כדי שיהיה ניתן להמשיך לפתחם על פי הצורך, בזיקה לתרחישי הייחוס המתעדכנים מפעם לפעם.</w:t>
            </w:r>
          </w:p>
          <w:p w:rsidR="00ED6905" w:rsidRDefault="00ED6905" w:rsidP="00793FD5">
            <w:pPr>
              <w:pStyle w:val="af2"/>
              <w:numPr>
                <w:ilvl w:val="0"/>
                <w:numId w:val="12"/>
              </w:numPr>
              <w:spacing w:after="140" w:line="288" w:lineRule="auto"/>
              <w:ind w:left="516" w:right="176" w:hanging="516"/>
              <w:contextualSpacing w:val="0"/>
            </w:pPr>
            <w:r w:rsidRPr="008E320D">
              <w:rPr>
                <w:rFonts w:ascii="Tahoma" w:hAnsi="Tahoma" w:cs="Tahoma" w:hint="eastAsia"/>
                <w:sz w:val="19"/>
                <w:szCs w:val="19"/>
                <w:rtl/>
              </w:rPr>
              <w:t>על</w:t>
            </w:r>
            <w:r w:rsidRPr="008E320D">
              <w:rPr>
                <w:rFonts w:ascii="Tahoma" w:hAnsi="Tahoma" w:cs="Tahoma"/>
                <w:sz w:val="19"/>
                <w:szCs w:val="19"/>
                <w:rtl/>
              </w:rPr>
              <w:t xml:space="preserve"> </w:t>
            </w:r>
            <w:r w:rsidRPr="008E320D">
              <w:rPr>
                <w:rFonts w:ascii="Tahoma" w:hAnsi="Tahoma" w:cs="Tahoma" w:hint="eastAsia"/>
                <w:sz w:val="19"/>
                <w:szCs w:val="19"/>
                <w:rtl/>
              </w:rPr>
              <w:t>כל</w:t>
            </w:r>
            <w:r w:rsidRPr="008E320D">
              <w:rPr>
                <w:rFonts w:ascii="Tahoma" w:hAnsi="Tahoma" w:cs="Tahoma"/>
                <w:sz w:val="19"/>
                <w:szCs w:val="19"/>
                <w:rtl/>
              </w:rPr>
              <w:t xml:space="preserve"> גוף ממשל, לרבות משרד הפנים, שמתכנן</w:t>
            </w:r>
            <w:r w:rsidRPr="00F06452">
              <w:rPr>
                <w:rFonts w:ascii="Tahoma" w:hAnsi="Tahoma" w:cs="Tahoma"/>
                <w:sz w:val="19"/>
                <w:szCs w:val="19"/>
                <w:rtl/>
              </w:rPr>
              <w:t xml:space="preserve"> להפעיל</w:t>
            </w:r>
            <w:r>
              <w:rPr>
                <w:rFonts w:ascii="Tahoma" w:hAnsi="Tahoma" w:cs="Tahoma" w:hint="cs"/>
                <w:sz w:val="19"/>
                <w:szCs w:val="19"/>
                <w:rtl/>
              </w:rPr>
              <w:t xml:space="preserve"> </w:t>
            </w:r>
            <w:r w:rsidRPr="00F06452">
              <w:rPr>
                <w:rFonts w:ascii="Tahoma" w:hAnsi="Tahoma" w:cs="Tahoma"/>
                <w:sz w:val="19"/>
                <w:szCs w:val="19"/>
                <w:rtl/>
              </w:rPr>
              <w:t xml:space="preserve">מערכת </w:t>
            </w:r>
            <w:r>
              <w:rPr>
                <w:rFonts w:ascii="Tahoma" w:hAnsi="Tahoma" w:cs="Tahoma" w:hint="cs"/>
                <w:sz w:val="19"/>
                <w:szCs w:val="19"/>
                <w:rtl/>
              </w:rPr>
              <w:t>תקשובית ש</w:t>
            </w:r>
            <w:r w:rsidRPr="00F06452">
              <w:rPr>
                <w:rFonts w:ascii="Tahoma" w:hAnsi="Tahoma" w:cs="Tahoma"/>
                <w:sz w:val="19"/>
                <w:szCs w:val="19"/>
                <w:rtl/>
              </w:rPr>
              <w:t xml:space="preserve">אליה יוזן מידע אישי של תושבים, </w:t>
            </w:r>
            <w:r>
              <w:rPr>
                <w:rFonts w:ascii="Tahoma" w:hAnsi="Tahoma" w:cs="Tahoma" w:hint="cs"/>
                <w:sz w:val="19"/>
                <w:szCs w:val="19"/>
                <w:rtl/>
              </w:rPr>
              <w:t xml:space="preserve">בעיקר כזו שמיועדת לפעול בשעת חירום, </w:t>
            </w:r>
            <w:r w:rsidRPr="00F06452">
              <w:rPr>
                <w:rFonts w:ascii="Tahoma" w:hAnsi="Tahoma" w:cs="Tahoma"/>
                <w:sz w:val="19"/>
                <w:szCs w:val="19"/>
                <w:rtl/>
              </w:rPr>
              <w:t>לרשום על שמו</w:t>
            </w:r>
            <w:r>
              <w:rPr>
                <w:rFonts w:ascii="Tahoma" w:hAnsi="Tahoma" w:cs="Tahoma" w:hint="cs"/>
                <w:sz w:val="19"/>
                <w:szCs w:val="19"/>
                <w:rtl/>
              </w:rPr>
              <w:t xml:space="preserve"> מיד עם השקת המערכת</w:t>
            </w:r>
            <w:r w:rsidRPr="00F06452">
              <w:rPr>
                <w:rFonts w:ascii="Tahoma" w:hAnsi="Tahoma" w:cs="Tahoma"/>
                <w:sz w:val="19"/>
                <w:szCs w:val="19"/>
                <w:rtl/>
              </w:rPr>
              <w:t xml:space="preserve"> מאגר מידע </w:t>
            </w:r>
            <w:r>
              <w:rPr>
                <w:rFonts w:ascii="Tahoma" w:hAnsi="Tahoma" w:cs="Tahoma" w:hint="cs"/>
                <w:sz w:val="19"/>
                <w:szCs w:val="19"/>
                <w:rtl/>
              </w:rPr>
              <w:t>שיאפשר לו להחזיק ולעשות שימוש במידע ; זאת</w:t>
            </w:r>
            <w:r w:rsidRPr="00F06452">
              <w:rPr>
                <w:rFonts w:ascii="Tahoma" w:hAnsi="Tahoma" w:cs="Tahoma"/>
                <w:sz w:val="19"/>
                <w:szCs w:val="19"/>
                <w:rtl/>
              </w:rPr>
              <w:t xml:space="preserve"> כלקח מאי</w:t>
            </w:r>
            <w:r>
              <w:rPr>
                <w:rFonts w:ascii="Tahoma" w:hAnsi="Tahoma" w:cs="Tahoma" w:hint="cs"/>
                <w:sz w:val="19"/>
                <w:szCs w:val="19"/>
                <w:rtl/>
              </w:rPr>
              <w:t xml:space="preserve"> רישום מאגר מידע על ידי</w:t>
            </w:r>
            <w:r w:rsidRPr="00F06452">
              <w:rPr>
                <w:rFonts w:ascii="Tahoma" w:hAnsi="Tahoma" w:cs="Tahoma"/>
                <w:sz w:val="19"/>
                <w:szCs w:val="19"/>
                <w:rtl/>
              </w:rPr>
              <w:t xml:space="preserve"> משרד הפנים </w:t>
            </w:r>
            <w:r>
              <w:rPr>
                <w:rFonts w:ascii="Tahoma" w:hAnsi="Tahoma" w:cs="Tahoma" w:hint="cs"/>
                <w:sz w:val="19"/>
                <w:szCs w:val="19"/>
                <w:rtl/>
              </w:rPr>
              <w:t>לאחר שהשיק את</w:t>
            </w:r>
            <w:r w:rsidRPr="00F06452">
              <w:rPr>
                <w:rFonts w:ascii="Tahoma" w:hAnsi="Tahoma" w:cs="Tahoma"/>
                <w:sz w:val="19"/>
                <w:szCs w:val="19"/>
                <w:rtl/>
              </w:rPr>
              <w:t xml:space="preserve"> מערכת תיבת נח</w:t>
            </w:r>
            <w:r>
              <w:rPr>
                <w:rFonts w:ascii="Tahoma" w:hAnsi="Tahoma" w:cs="Tahoma" w:hint="cs"/>
                <w:sz w:val="19"/>
                <w:szCs w:val="19"/>
                <w:rtl/>
              </w:rPr>
              <w:t>, דבר שהביא לעיכוב בהפעלתה כשפרצה המלחמה והחל פינוי תושבים.</w:t>
            </w:r>
            <w:r w:rsidRPr="00F06452">
              <w:rPr>
                <w:rFonts w:ascii="Tahoma" w:hAnsi="Tahoma" w:cs="Tahoma"/>
                <w:sz w:val="19"/>
                <w:szCs w:val="19"/>
                <w:rtl/>
              </w:rPr>
              <w:t xml:space="preserve"> </w:t>
            </w:r>
          </w:p>
          <w:p w:rsidR="00ED6905" w:rsidRPr="00105C22" w:rsidRDefault="00ED6905" w:rsidP="00793FD5">
            <w:pPr>
              <w:pStyle w:val="af2"/>
              <w:numPr>
                <w:ilvl w:val="0"/>
                <w:numId w:val="12"/>
              </w:numPr>
              <w:spacing w:after="140" w:line="288" w:lineRule="auto"/>
              <w:ind w:left="516" w:right="176" w:hanging="516"/>
              <w:contextualSpacing w:val="0"/>
              <w:rPr>
                <w:rtl/>
              </w:rPr>
            </w:pPr>
            <w:r w:rsidRPr="00E60B59">
              <w:rPr>
                <w:rFonts w:ascii="Tahoma" w:hAnsi="Tahoma" w:cs="Tahoma" w:hint="eastAsia"/>
                <w:sz w:val="19"/>
                <w:szCs w:val="19"/>
                <w:rtl/>
              </w:rPr>
              <w:t>כ</w:t>
            </w:r>
            <w:r w:rsidRPr="00E60B59">
              <w:rPr>
                <w:rFonts w:ascii="Tahoma" w:hAnsi="Tahoma" w:cs="Tahoma"/>
                <w:sz w:val="19"/>
                <w:szCs w:val="19"/>
                <w:rtl/>
              </w:rPr>
              <w:t xml:space="preserve">די שבעתיד תוכל המדינה באמצעות גורם מטעמה, בין </w:t>
            </w:r>
            <w:r w:rsidR="00E81411">
              <w:rPr>
                <w:rFonts w:ascii="Tahoma" w:hAnsi="Tahoma" w:cs="Tahoma" w:hint="cs"/>
                <w:sz w:val="19"/>
                <w:szCs w:val="19"/>
                <w:rtl/>
              </w:rPr>
              <w:t>ש</w:t>
            </w:r>
            <w:r w:rsidRPr="00E60B59">
              <w:rPr>
                <w:rFonts w:ascii="Tahoma" w:hAnsi="Tahoma" w:cs="Tahoma"/>
                <w:sz w:val="19"/>
                <w:szCs w:val="19"/>
                <w:rtl/>
              </w:rPr>
              <w:t xml:space="preserve">יהיה זה משרד הפנים, פקע"ר, מערך הדיגיטל, או גורם אחר, לאסוף ולרכז מידע על מפונים במצב חירום, על משרד רה"ם כמשרד מוביל ועל גופי הממשל שאחראים על הטיפול בעורף במצבי חירום, ובראשם רח"ל, להסדיר את נושא קבלת הסמכויות והכלים לאסוף מידע על תושבים מפונים. </w:t>
            </w:r>
            <w:r w:rsidRPr="00E60B59">
              <w:rPr>
                <w:rFonts w:ascii="Tahoma" w:hAnsi="Tahoma" w:cs="Tahoma" w:hint="cs"/>
                <w:sz w:val="19"/>
                <w:szCs w:val="19"/>
                <w:rtl/>
              </w:rPr>
              <w:t xml:space="preserve">הדבר נדרש כדי שאותו </w:t>
            </w:r>
            <w:r w:rsidRPr="00E60B59">
              <w:rPr>
                <w:rFonts w:ascii="Tahoma" w:hAnsi="Tahoma" w:cs="Tahoma"/>
                <w:sz w:val="19"/>
                <w:szCs w:val="19"/>
                <w:rtl/>
              </w:rPr>
              <w:t xml:space="preserve">גורם </w:t>
            </w:r>
            <w:r w:rsidRPr="00E60B59">
              <w:rPr>
                <w:rFonts w:ascii="Tahoma" w:hAnsi="Tahoma" w:cs="Tahoma" w:hint="cs"/>
                <w:sz w:val="19"/>
                <w:szCs w:val="19"/>
                <w:rtl/>
              </w:rPr>
              <w:t>ש</w:t>
            </w:r>
            <w:r w:rsidR="00E81411">
              <w:rPr>
                <w:rFonts w:ascii="Tahoma" w:hAnsi="Tahoma" w:cs="Tahoma" w:hint="cs"/>
                <w:sz w:val="19"/>
                <w:szCs w:val="19"/>
                <w:rtl/>
              </w:rPr>
              <w:t>י</w:t>
            </w:r>
            <w:r w:rsidRPr="00E60B59">
              <w:rPr>
                <w:rFonts w:ascii="Tahoma" w:hAnsi="Tahoma" w:cs="Tahoma"/>
                <w:sz w:val="19"/>
                <w:szCs w:val="19"/>
                <w:rtl/>
              </w:rPr>
              <w:t>ידרש ל</w:t>
            </w:r>
            <w:r w:rsidRPr="00E60B59">
              <w:rPr>
                <w:rFonts w:ascii="Tahoma" w:hAnsi="Tahoma" w:cs="Tahoma" w:hint="cs"/>
                <w:sz w:val="19"/>
                <w:szCs w:val="19"/>
                <w:rtl/>
              </w:rPr>
              <w:t>אסוף ול</w:t>
            </w:r>
            <w:r w:rsidRPr="00E60B59">
              <w:rPr>
                <w:rFonts w:ascii="Tahoma" w:hAnsi="Tahoma" w:cs="Tahoma"/>
                <w:sz w:val="19"/>
                <w:szCs w:val="19"/>
                <w:rtl/>
              </w:rPr>
              <w:t>רכז את המידע על</w:t>
            </w:r>
            <w:r w:rsidRPr="00E60B59">
              <w:rPr>
                <w:rFonts w:ascii="Tahoma" w:hAnsi="Tahoma" w:cs="Tahoma" w:hint="cs"/>
                <w:sz w:val="19"/>
                <w:szCs w:val="19"/>
                <w:rtl/>
              </w:rPr>
              <w:t xml:space="preserve"> תושבים אלה יוכל להשלים את המשימה בהצלחה ובזמן קצר ו</w:t>
            </w:r>
            <w:r w:rsidRPr="00E60B59">
              <w:rPr>
                <w:rFonts w:ascii="Tahoma" w:hAnsi="Tahoma" w:cs="Tahoma"/>
                <w:sz w:val="19"/>
                <w:szCs w:val="19"/>
                <w:rtl/>
              </w:rPr>
              <w:t>לא יהיה תלוי</w:t>
            </w:r>
            <w:r w:rsidRPr="00E60B59">
              <w:rPr>
                <w:rFonts w:ascii="Tahoma" w:hAnsi="Tahoma" w:cs="Tahoma" w:hint="cs"/>
                <w:sz w:val="19"/>
                <w:szCs w:val="19"/>
                <w:rtl/>
              </w:rPr>
              <w:t xml:space="preserve"> לשם כך</w:t>
            </w:r>
            <w:r w:rsidRPr="00E60B59">
              <w:rPr>
                <w:rFonts w:ascii="Tahoma" w:hAnsi="Tahoma" w:cs="Tahoma"/>
                <w:sz w:val="19"/>
                <w:szCs w:val="19"/>
                <w:rtl/>
              </w:rPr>
              <w:t xml:space="preserve"> בשיתוף פעולה וולונטרי מצד התושבים המפונים </w:t>
            </w:r>
            <w:r w:rsidRPr="00E60B59">
              <w:rPr>
                <w:rFonts w:ascii="Tahoma" w:hAnsi="Tahoma" w:cs="Tahoma" w:hint="cs"/>
                <w:sz w:val="19"/>
                <w:szCs w:val="19"/>
                <w:rtl/>
              </w:rPr>
              <w:t xml:space="preserve">כדי שהם ימסרו </w:t>
            </w:r>
            <w:r w:rsidRPr="00E60B59">
              <w:rPr>
                <w:rFonts w:ascii="Tahoma" w:hAnsi="Tahoma" w:cs="Tahoma"/>
                <w:sz w:val="19"/>
                <w:szCs w:val="19"/>
                <w:rtl/>
              </w:rPr>
              <w:t xml:space="preserve">לו את המידע. </w:t>
            </w:r>
            <w:r w:rsidRPr="00E60B59">
              <w:rPr>
                <w:rFonts w:ascii="Tahoma" w:hAnsi="Tahoma" w:cs="Tahoma" w:hint="cs"/>
                <w:sz w:val="19"/>
                <w:szCs w:val="19"/>
                <w:rtl/>
              </w:rPr>
              <w:t xml:space="preserve">בעניין זה </w:t>
            </w:r>
            <w:r w:rsidRPr="00E60B59">
              <w:rPr>
                <w:rFonts w:ascii="Tahoma" w:hAnsi="Tahoma" w:cs="Tahoma"/>
                <w:sz w:val="19"/>
                <w:szCs w:val="19"/>
                <w:rtl/>
              </w:rPr>
              <w:t>יש להסדיר את חובת הדיווח של</w:t>
            </w:r>
            <w:r w:rsidRPr="00E60B59">
              <w:rPr>
                <w:rFonts w:ascii="Tahoma" w:hAnsi="Tahoma" w:cs="Tahoma" w:hint="cs"/>
                <w:sz w:val="19"/>
                <w:szCs w:val="19"/>
                <w:rtl/>
              </w:rPr>
              <w:t xml:space="preserve"> התושבים המפונים,</w:t>
            </w:r>
            <w:r w:rsidRPr="00E60B59">
              <w:rPr>
                <w:rFonts w:ascii="Tahoma" w:hAnsi="Tahoma" w:cs="Tahoma"/>
                <w:sz w:val="19"/>
                <w:szCs w:val="19"/>
                <w:rtl/>
              </w:rPr>
              <w:t xml:space="preserve"> על פרטיהם הדמוגרפיים, לגוף שיוסמך מטעם המדינה לאסוף את המידע עליהם. עוד יש להסדיר חובת דיווח לגוף המוסמך </w:t>
            </w:r>
            <w:r w:rsidRPr="00E60B59">
              <w:rPr>
                <w:rFonts w:ascii="Tahoma" w:hAnsi="Tahoma" w:cs="Tahoma" w:hint="cs"/>
                <w:sz w:val="19"/>
                <w:szCs w:val="19"/>
                <w:rtl/>
              </w:rPr>
              <w:t xml:space="preserve">שתחול </w:t>
            </w:r>
            <w:r w:rsidRPr="00E60B59">
              <w:rPr>
                <w:rFonts w:ascii="Tahoma" w:hAnsi="Tahoma" w:cs="Tahoma"/>
                <w:sz w:val="19"/>
                <w:szCs w:val="19"/>
                <w:rtl/>
              </w:rPr>
              <w:t>גם על גופי ממשל שנותנים לתושבים אלה מענקים או שירותים וכן על גופים כמו בתי מלון שמספקים להם שירותים במימון המדינה</w:t>
            </w:r>
            <w:r w:rsidRPr="00105C22">
              <w:rPr>
                <w:rtl/>
              </w:rPr>
              <w:t>.</w:t>
            </w:r>
          </w:p>
          <w:p w:rsidR="00094148" w:rsidRPr="00793FD5" w:rsidRDefault="00ED6905" w:rsidP="00793FD5">
            <w:pPr>
              <w:pStyle w:val="af2"/>
              <w:numPr>
                <w:ilvl w:val="0"/>
                <w:numId w:val="12"/>
              </w:numPr>
              <w:spacing w:after="140" w:line="288" w:lineRule="auto"/>
              <w:ind w:left="516" w:right="176" w:hanging="516"/>
              <w:contextualSpacing w:val="0"/>
              <w:rPr>
                <w:rFonts w:ascii="Tahoma" w:hAnsi="Tahoma" w:cs="Tahoma"/>
                <w:sz w:val="19"/>
                <w:szCs w:val="19"/>
              </w:rPr>
            </w:pPr>
            <w:r w:rsidRPr="00793FD5">
              <w:rPr>
                <w:rFonts w:ascii="Tahoma" w:hAnsi="Tahoma" w:cs="Tahoma"/>
                <w:sz w:val="19"/>
                <w:szCs w:val="19"/>
                <w:rtl/>
              </w:rPr>
              <w:t xml:space="preserve">מצב חירום - ובעיקר מלחמה שבה מידע על תושבים מפונים נדרש באופן מיידי למשרדי ממשלה - דורש קיצור הליכים בירוקרטיים שנוגעים להעברת מידע ביניהם. </w:t>
            </w:r>
            <w:bookmarkStart w:id="4" w:name="_Hlk214889869"/>
            <w:r w:rsidRPr="00793FD5">
              <w:rPr>
                <w:rFonts w:ascii="Tahoma" w:hAnsi="Tahoma" w:cs="Tahoma" w:hint="eastAsia"/>
                <w:sz w:val="19"/>
                <w:szCs w:val="19"/>
                <w:rtl/>
              </w:rPr>
              <w:t>מומלץ</w:t>
            </w:r>
            <w:r w:rsidRPr="00793FD5">
              <w:rPr>
                <w:rFonts w:ascii="Tahoma" w:hAnsi="Tahoma" w:cs="Tahoma"/>
                <w:sz w:val="19"/>
                <w:szCs w:val="19"/>
                <w:rtl/>
              </w:rPr>
              <w:t xml:space="preserve"> ל</w:t>
            </w:r>
            <w:r w:rsidRPr="00793FD5">
              <w:rPr>
                <w:rFonts w:ascii="Tahoma" w:hAnsi="Tahoma" w:cs="Tahoma" w:hint="cs"/>
                <w:sz w:val="19"/>
                <w:szCs w:val="19"/>
                <w:rtl/>
              </w:rPr>
              <w:t xml:space="preserve">משרד המשפטים, שעמד בראש צוות </w:t>
            </w:r>
            <w:r w:rsidRPr="00793FD5">
              <w:rPr>
                <w:rFonts w:ascii="Tahoma" w:hAnsi="Tahoma" w:cs="Tahoma"/>
                <w:sz w:val="19"/>
                <w:szCs w:val="19"/>
                <w:rtl/>
              </w:rPr>
              <w:t>בין-משרדי לבחינה של ההסדר הראוי להעברת מידע בין גופים ציבוריים לפי חוק הגנת הפרטיות</w:t>
            </w:r>
            <w:r w:rsidRPr="00793FD5">
              <w:rPr>
                <w:rFonts w:ascii="Tahoma" w:hAnsi="Tahoma" w:cs="Tahoma" w:hint="cs"/>
                <w:sz w:val="19"/>
                <w:szCs w:val="19"/>
                <w:rtl/>
              </w:rPr>
              <w:t xml:space="preserve">, ולגופים </w:t>
            </w:r>
            <w:r w:rsidRPr="00793FD5">
              <w:rPr>
                <w:rFonts w:ascii="Tahoma" w:hAnsi="Tahoma" w:cs="Tahoma"/>
                <w:sz w:val="19"/>
                <w:szCs w:val="19"/>
                <w:rtl/>
              </w:rPr>
              <w:t>שנציגיהם מונו להיות חברים ב</w:t>
            </w:r>
            <w:r w:rsidRPr="00793FD5">
              <w:rPr>
                <w:rFonts w:ascii="Tahoma" w:hAnsi="Tahoma" w:cs="Tahoma" w:hint="cs"/>
                <w:sz w:val="19"/>
                <w:szCs w:val="19"/>
                <w:rtl/>
              </w:rPr>
              <w:t xml:space="preserve">ו </w:t>
            </w:r>
            <w:r w:rsidRPr="00793FD5">
              <w:rPr>
                <w:rFonts w:ascii="Tahoma" w:hAnsi="Tahoma" w:cs="Tahoma"/>
                <w:sz w:val="19"/>
                <w:szCs w:val="19"/>
                <w:rtl/>
              </w:rPr>
              <w:t xml:space="preserve">- משרד רה"ם, </w:t>
            </w:r>
            <w:r w:rsidRPr="00793FD5">
              <w:rPr>
                <w:rFonts w:ascii="Tahoma" w:hAnsi="Tahoma" w:cs="Tahoma" w:hint="cs"/>
                <w:sz w:val="19"/>
                <w:szCs w:val="19"/>
                <w:rtl/>
              </w:rPr>
              <w:t xml:space="preserve">משרד המשפטים, </w:t>
            </w:r>
            <w:r w:rsidRPr="00793FD5">
              <w:rPr>
                <w:rFonts w:ascii="Tahoma" w:hAnsi="Tahoma" w:cs="Tahoma"/>
                <w:sz w:val="19"/>
                <w:szCs w:val="19"/>
                <w:rtl/>
              </w:rPr>
              <w:t>משרד האוצר, הרשות להגנת הפרטיות, מערך הסייבר הלאומי ומערך הדיגיטל</w:t>
            </w:r>
            <w:r w:rsidRPr="00793FD5">
              <w:rPr>
                <w:rFonts w:ascii="Tahoma" w:hAnsi="Tahoma" w:cs="Tahoma" w:hint="cs"/>
                <w:sz w:val="19"/>
                <w:szCs w:val="19"/>
                <w:rtl/>
              </w:rPr>
              <w:t xml:space="preserve"> הלאומי</w:t>
            </w:r>
            <w:r w:rsidRPr="00793FD5">
              <w:rPr>
                <w:rFonts w:ascii="Tahoma" w:hAnsi="Tahoma" w:cs="Tahoma"/>
                <w:sz w:val="19"/>
                <w:szCs w:val="19"/>
                <w:rtl/>
              </w:rPr>
              <w:t>, ל</w:t>
            </w:r>
            <w:r w:rsidRPr="00793FD5">
              <w:rPr>
                <w:rFonts w:ascii="Tahoma" w:hAnsi="Tahoma" w:cs="Tahoma" w:hint="cs"/>
                <w:sz w:val="19"/>
                <w:szCs w:val="19"/>
                <w:rtl/>
              </w:rPr>
              <w:t>המשיך ל</w:t>
            </w:r>
            <w:r w:rsidRPr="00793FD5">
              <w:rPr>
                <w:rFonts w:ascii="Tahoma" w:hAnsi="Tahoma" w:cs="Tahoma"/>
                <w:sz w:val="19"/>
                <w:szCs w:val="19"/>
                <w:rtl/>
              </w:rPr>
              <w:t xml:space="preserve">פעול </w:t>
            </w:r>
            <w:r w:rsidRPr="00793FD5">
              <w:rPr>
                <w:rFonts w:ascii="Tahoma" w:hAnsi="Tahoma" w:cs="Tahoma" w:hint="cs"/>
                <w:sz w:val="19"/>
                <w:szCs w:val="19"/>
                <w:rtl/>
              </w:rPr>
              <w:t>ו</w:t>
            </w:r>
            <w:r w:rsidRPr="00793FD5">
              <w:rPr>
                <w:rFonts w:ascii="Tahoma" w:hAnsi="Tahoma" w:cs="Tahoma"/>
                <w:sz w:val="19"/>
                <w:szCs w:val="19"/>
                <w:rtl/>
              </w:rPr>
              <w:t xml:space="preserve">בנמרצות </w:t>
            </w:r>
            <w:r w:rsidRPr="00793FD5">
              <w:rPr>
                <w:rFonts w:ascii="Tahoma" w:hAnsi="Tahoma" w:cs="Tahoma" w:hint="cs"/>
                <w:sz w:val="19"/>
                <w:szCs w:val="19"/>
                <w:rtl/>
              </w:rPr>
              <w:t xml:space="preserve">כדי </w:t>
            </w:r>
            <w:r w:rsidRPr="00793FD5">
              <w:rPr>
                <w:rFonts w:ascii="Tahoma" w:hAnsi="Tahoma" w:cs="Tahoma"/>
                <w:sz w:val="19"/>
                <w:szCs w:val="19"/>
                <w:rtl/>
              </w:rPr>
              <w:t>לקדם</w:t>
            </w:r>
            <w:r w:rsidRPr="00793FD5">
              <w:rPr>
                <w:rFonts w:ascii="Tahoma" w:hAnsi="Tahoma" w:cs="Tahoma" w:hint="cs"/>
                <w:sz w:val="19"/>
                <w:szCs w:val="19"/>
                <w:rtl/>
              </w:rPr>
              <w:t xml:space="preserve"> ולבסס</w:t>
            </w:r>
            <w:r w:rsidRPr="00793FD5">
              <w:rPr>
                <w:rFonts w:ascii="Tahoma" w:hAnsi="Tahoma" w:cs="Tahoma"/>
                <w:sz w:val="19"/>
                <w:szCs w:val="19"/>
                <w:rtl/>
              </w:rPr>
              <w:t xml:space="preserve"> הליכים מקוצרים להעברת מידע בשעת חירום בי</w:t>
            </w:r>
            <w:r w:rsidRPr="00793FD5">
              <w:rPr>
                <w:rFonts w:ascii="Tahoma" w:hAnsi="Tahoma" w:cs="Tahoma" w:hint="eastAsia"/>
                <w:sz w:val="19"/>
                <w:szCs w:val="19"/>
                <w:rtl/>
              </w:rPr>
              <w:t>ן</w:t>
            </w:r>
            <w:r w:rsidRPr="00793FD5">
              <w:rPr>
                <w:rFonts w:ascii="Tahoma" w:hAnsi="Tahoma" w:cs="Tahoma"/>
                <w:sz w:val="19"/>
                <w:szCs w:val="19"/>
                <w:rtl/>
              </w:rPr>
              <w:t xml:space="preserve"> </w:t>
            </w:r>
            <w:r w:rsidRPr="00793FD5">
              <w:rPr>
                <w:rFonts w:ascii="Tahoma" w:hAnsi="Tahoma" w:cs="Tahoma" w:hint="eastAsia"/>
                <w:sz w:val="19"/>
                <w:szCs w:val="19"/>
                <w:rtl/>
              </w:rPr>
              <w:t>גופי</w:t>
            </w:r>
            <w:r w:rsidRPr="00793FD5">
              <w:rPr>
                <w:rFonts w:ascii="Tahoma" w:hAnsi="Tahoma" w:cs="Tahoma"/>
                <w:sz w:val="19"/>
                <w:szCs w:val="19"/>
                <w:rtl/>
              </w:rPr>
              <w:t xml:space="preserve"> </w:t>
            </w:r>
            <w:r w:rsidRPr="00793FD5">
              <w:rPr>
                <w:rFonts w:ascii="Tahoma" w:hAnsi="Tahoma" w:cs="Tahoma" w:hint="eastAsia"/>
                <w:sz w:val="19"/>
                <w:szCs w:val="19"/>
                <w:rtl/>
              </w:rPr>
              <w:t>ציבור</w:t>
            </w:r>
            <w:r w:rsidRPr="00793FD5">
              <w:rPr>
                <w:rFonts w:ascii="Tahoma" w:hAnsi="Tahoma" w:cs="Tahoma"/>
                <w:sz w:val="19"/>
                <w:szCs w:val="19"/>
                <w:rtl/>
              </w:rPr>
              <w:t xml:space="preserve">, </w:t>
            </w:r>
            <w:r w:rsidRPr="00793FD5">
              <w:rPr>
                <w:rFonts w:ascii="Tahoma" w:hAnsi="Tahoma" w:cs="Tahoma" w:hint="eastAsia"/>
                <w:sz w:val="19"/>
                <w:szCs w:val="19"/>
                <w:rtl/>
              </w:rPr>
              <w:t>לרבות</w:t>
            </w:r>
            <w:r w:rsidRPr="00793FD5">
              <w:rPr>
                <w:rFonts w:ascii="Tahoma" w:hAnsi="Tahoma" w:cs="Tahoma"/>
                <w:sz w:val="19"/>
                <w:szCs w:val="19"/>
                <w:rtl/>
              </w:rPr>
              <w:t xml:space="preserve"> </w:t>
            </w:r>
            <w:r w:rsidRPr="00793FD5">
              <w:rPr>
                <w:rFonts w:ascii="Tahoma" w:hAnsi="Tahoma" w:cs="Tahoma" w:hint="eastAsia"/>
                <w:sz w:val="19"/>
                <w:szCs w:val="19"/>
                <w:rtl/>
              </w:rPr>
              <w:t>רשויות</w:t>
            </w:r>
            <w:r w:rsidRPr="00793FD5">
              <w:rPr>
                <w:rFonts w:ascii="Tahoma" w:hAnsi="Tahoma" w:cs="Tahoma"/>
                <w:sz w:val="19"/>
                <w:szCs w:val="19"/>
                <w:rtl/>
              </w:rPr>
              <w:t xml:space="preserve"> </w:t>
            </w:r>
            <w:r w:rsidRPr="00793FD5">
              <w:rPr>
                <w:rFonts w:ascii="Tahoma" w:hAnsi="Tahoma" w:cs="Tahoma" w:hint="eastAsia"/>
                <w:sz w:val="19"/>
                <w:szCs w:val="19"/>
                <w:rtl/>
              </w:rPr>
              <w:t>מקומיות</w:t>
            </w:r>
            <w:r w:rsidRPr="00793FD5">
              <w:rPr>
                <w:rFonts w:ascii="Tahoma" w:hAnsi="Tahoma" w:cs="Tahoma"/>
                <w:sz w:val="19"/>
                <w:szCs w:val="19"/>
                <w:rtl/>
              </w:rPr>
              <w:t>.</w:t>
            </w:r>
            <w:bookmarkEnd w:id="4"/>
          </w:p>
          <w:p w:rsidR="00ED6905" w:rsidRPr="00736F7B" w:rsidRDefault="00ED6905" w:rsidP="00793FD5">
            <w:pPr>
              <w:pStyle w:val="af2"/>
              <w:numPr>
                <w:ilvl w:val="0"/>
                <w:numId w:val="12"/>
              </w:numPr>
              <w:spacing w:after="140" w:line="288" w:lineRule="auto"/>
              <w:ind w:left="516" w:right="176" w:hanging="516"/>
              <w:contextualSpacing w:val="0"/>
              <w:rPr>
                <w:rFonts w:ascii="Tahoma" w:hAnsi="Tahoma" w:cs="Tahoma"/>
                <w:sz w:val="19"/>
                <w:szCs w:val="19"/>
              </w:rPr>
            </w:pPr>
            <w:r w:rsidRPr="00736F7B">
              <w:rPr>
                <w:rFonts w:ascii="Tahoma" w:hAnsi="Tahoma" w:cs="Tahoma"/>
                <w:sz w:val="19"/>
                <w:szCs w:val="19"/>
                <w:rtl/>
              </w:rPr>
              <w:t>ברא</w:t>
            </w:r>
            <w:r>
              <w:rPr>
                <w:rFonts w:ascii="Tahoma" w:hAnsi="Tahoma" w:cs="Tahoma" w:hint="cs"/>
                <w:sz w:val="19"/>
                <w:szCs w:val="19"/>
                <w:rtl/>
              </w:rPr>
              <w:t>י</w:t>
            </w:r>
            <w:r w:rsidRPr="00736F7B">
              <w:rPr>
                <w:rFonts w:ascii="Tahoma" w:hAnsi="Tahoma" w:cs="Tahoma"/>
                <w:sz w:val="19"/>
                <w:szCs w:val="19"/>
                <w:rtl/>
              </w:rPr>
              <w:t>יה צופה פני עתיד,</w:t>
            </w:r>
            <w:r w:rsidR="00F61C6B" w:rsidRPr="00736F7B">
              <w:rPr>
                <w:rFonts w:ascii="Tahoma" w:hAnsi="Tahoma" w:cs="Tahoma"/>
                <w:sz w:val="19"/>
                <w:szCs w:val="19"/>
                <w:rtl/>
              </w:rPr>
              <w:t xml:space="preserve"> מומלץ </w:t>
            </w:r>
            <w:r w:rsidRPr="00736F7B">
              <w:rPr>
                <w:rFonts w:ascii="Tahoma" w:hAnsi="Tahoma" w:cs="Tahoma"/>
                <w:sz w:val="19"/>
                <w:szCs w:val="19"/>
                <w:rtl/>
              </w:rPr>
              <w:t xml:space="preserve">למשרד רה"ם, למשרד הפנים ולמערך הדיגיטל שהשתתפו בדיון בין-משרדי </w:t>
            </w:r>
            <w:r w:rsidR="00F61C6B">
              <w:rPr>
                <w:rFonts w:ascii="Tahoma" w:hAnsi="Tahoma" w:cs="Tahoma" w:hint="cs"/>
                <w:sz w:val="19"/>
                <w:szCs w:val="19"/>
                <w:rtl/>
              </w:rPr>
              <w:t>ש</w:t>
            </w:r>
            <w:r w:rsidRPr="00736F7B">
              <w:rPr>
                <w:rFonts w:ascii="Tahoma" w:hAnsi="Tahoma" w:cs="Tahoma"/>
                <w:sz w:val="19"/>
                <w:szCs w:val="19"/>
                <w:rtl/>
              </w:rPr>
              <w:t xml:space="preserve">בו נקבעה הקמתה של מערכת </w:t>
            </w:r>
            <w:r w:rsidRPr="00C861C8">
              <w:rPr>
                <w:rFonts w:ascii="Tahoma" w:hAnsi="Tahoma" w:cs="Tahoma"/>
                <w:sz w:val="19"/>
                <w:szCs w:val="19"/>
                <w:rtl/>
              </w:rPr>
              <w:t>תקשוב חדשה (מערכת יחד) על ידי מערך הדיגיטל, לפעול כנדרש טרם קבלת החלטה על הקמת מערכת מידע חדשה לניהול מידע על מפונים - כבסיס להחלטה כזו יש לבצע הליך השוואה בין חלופות: חלופת ההקמה של המערכת החדשה למול</w:t>
            </w:r>
            <w:r>
              <w:rPr>
                <w:rFonts w:ascii="Tahoma" w:hAnsi="Tahoma" w:cs="Tahoma"/>
                <w:sz w:val="19"/>
                <w:szCs w:val="19"/>
                <w:rtl/>
              </w:rPr>
              <w:t xml:space="preserve"> </w:t>
            </w:r>
            <w:r w:rsidRPr="00C861C8">
              <w:rPr>
                <w:rFonts w:ascii="Tahoma" w:hAnsi="Tahoma" w:cs="Tahoma"/>
                <w:sz w:val="19"/>
                <w:szCs w:val="19"/>
                <w:rtl/>
              </w:rPr>
              <w:t xml:space="preserve">החלופה של המשך שימוש תוך פיתוח נוסף של המערכת הקיימת. בתהליך ניתוח זה יש לשתף את </w:t>
            </w:r>
            <w:r w:rsidRPr="00C861C8">
              <w:rPr>
                <w:rFonts w:ascii="Tahoma" w:hAnsi="Tahoma" w:cs="Tahoma"/>
                <w:sz w:val="19"/>
                <w:szCs w:val="19"/>
                <w:rtl/>
              </w:rPr>
              <w:lastRenderedPageBreak/>
              <w:t>כל הגורמים שעסקו בפיתוח המערכת שקיימת</w:t>
            </w:r>
            <w:r>
              <w:rPr>
                <w:rFonts w:ascii="Tahoma" w:hAnsi="Tahoma" w:cs="Tahoma"/>
                <w:sz w:val="19"/>
                <w:szCs w:val="19"/>
                <w:rtl/>
              </w:rPr>
              <w:t xml:space="preserve"> </w:t>
            </w:r>
            <w:r w:rsidRPr="00C861C8">
              <w:rPr>
                <w:rFonts w:ascii="Tahoma" w:hAnsi="Tahoma" w:cs="Tahoma"/>
                <w:sz w:val="19"/>
                <w:szCs w:val="19"/>
                <w:rtl/>
              </w:rPr>
              <w:t xml:space="preserve">ולנתח את מכלול ההיבטים שיאפשרו לבסס קבלת החלטה מושכלת, לרבות לוחות זמנים וזמינות של המערכת, עלויות, איכות המענה הסופי, המענה בתקופת הביניים ועוד. עוד מומלץ כי </w:t>
            </w:r>
            <w:bookmarkStart w:id="5" w:name="_Hlk177037560"/>
            <w:r w:rsidRPr="00C861C8">
              <w:rPr>
                <w:rFonts w:ascii="Tahoma" w:hAnsi="Tahoma" w:cs="Tahoma"/>
                <w:sz w:val="19"/>
                <w:szCs w:val="19"/>
                <w:rtl/>
              </w:rPr>
              <w:t xml:space="preserve">פעולות לפיתוח או </w:t>
            </w:r>
            <w:r w:rsidR="00CE24EE" w:rsidRPr="00C861C8">
              <w:rPr>
                <w:rFonts w:ascii="Tahoma" w:hAnsi="Tahoma" w:cs="Tahoma" w:hint="cs"/>
                <w:sz w:val="19"/>
                <w:szCs w:val="19"/>
                <w:rtl/>
              </w:rPr>
              <w:t>שדרוג</w:t>
            </w:r>
            <w:r w:rsidRPr="00C861C8">
              <w:rPr>
                <w:rFonts w:ascii="Tahoma" w:hAnsi="Tahoma" w:cs="Tahoma"/>
                <w:sz w:val="19"/>
                <w:szCs w:val="19"/>
                <w:rtl/>
              </w:rPr>
              <w:t xml:space="preserve"> של מערכת מידע כזו יעשו בתקופות הפוגה לצורך היערכות מבעוד</w:t>
            </w:r>
            <w:r w:rsidRPr="00736F7B">
              <w:rPr>
                <w:rFonts w:ascii="Tahoma" w:hAnsi="Tahoma" w:cs="Tahoma"/>
                <w:sz w:val="19"/>
                <w:szCs w:val="19"/>
                <w:rtl/>
              </w:rPr>
              <w:t xml:space="preserve"> מועד לשעת חירום. </w:t>
            </w:r>
          </w:p>
          <w:bookmarkEnd w:id="5"/>
          <w:p w:rsidR="00ED6905" w:rsidRPr="00D53893" w:rsidRDefault="00ED6905" w:rsidP="00793FD5">
            <w:pPr>
              <w:pStyle w:val="af2"/>
              <w:numPr>
                <w:ilvl w:val="0"/>
                <w:numId w:val="12"/>
              </w:numPr>
              <w:spacing w:after="140" w:line="288" w:lineRule="auto"/>
              <w:ind w:left="516" w:right="176" w:hanging="516"/>
              <w:contextualSpacing w:val="0"/>
              <w:rPr>
                <w:rFonts w:ascii="Tahoma" w:hAnsi="Tahoma" w:cs="Tahoma"/>
                <w:sz w:val="19"/>
                <w:szCs w:val="19"/>
              </w:rPr>
            </w:pPr>
            <w:r w:rsidRPr="00EF4079">
              <w:rPr>
                <w:rFonts w:ascii="Tahoma" w:hAnsi="Tahoma" w:cs="Tahoma"/>
                <w:sz w:val="19"/>
                <w:szCs w:val="19"/>
                <w:rtl/>
              </w:rPr>
              <w:t>על ה</w:t>
            </w:r>
            <w:r>
              <w:rPr>
                <w:rFonts w:ascii="Tahoma" w:hAnsi="Tahoma" w:cs="Tahoma" w:hint="cs"/>
                <w:sz w:val="19"/>
                <w:szCs w:val="19"/>
                <w:rtl/>
              </w:rPr>
              <w:t>מוסד ל</w:t>
            </w:r>
            <w:r w:rsidRPr="00EF4079">
              <w:rPr>
                <w:rFonts w:ascii="Tahoma" w:hAnsi="Tahoma" w:cs="Tahoma"/>
                <w:sz w:val="19"/>
                <w:szCs w:val="19"/>
                <w:rtl/>
              </w:rPr>
              <w:t>ביטוח לאומי לעדכן את הטופס לבקשת מענק אכלוס, כך שיכלול שאלה על היישוב שבו שוהה האדם הפונה, וזאת כדי לספק לגופי הממשל ולרשויות קולטות מידע על מקום שהייתם של המפונים בקהילה. כמו כן על ה</w:t>
            </w:r>
            <w:r>
              <w:rPr>
                <w:rFonts w:ascii="Tahoma" w:hAnsi="Tahoma" w:cs="Tahoma" w:hint="cs"/>
                <w:sz w:val="19"/>
                <w:szCs w:val="19"/>
                <w:rtl/>
              </w:rPr>
              <w:t>מוסד ל</w:t>
            </w:r>
            <w:r w:rsidRPr="00EF4079">
              <w:rPr>
                <w:rFonts w:ascii="Tahoma" w:hAnsi="Tahoma" w:cs="Tahoma"/>
                <w:sz w:val="19"/>
                <w:szCs w:val="19"/>
                <w:rtl/>
              </w:rPr>
              <w:t xml:space="preserve">ביטוח לאומי לפעול </w:t>
            </w:r>
            <w:r w:rsidRPr="00B82C7A">
              <w:rPr>
                <w:rFonts w:ascii="Tahoma" w:hAnsi="Tahoma" w:cs="Tahoma"/>
                <w:sz w:val="19"/>
                <w:szCs w:val="19"/>
                <w:rtl/>
              </w:rPr>
              <w:t>להעביר למערכת יחד את המידע על פרטי ילדים שפונו וששילם עבורם מענק אכלוס ולא להסתפק בהעברת המידע על מבוגרים בלבד.</w:t>
            </w:r>
            <w:r w:rsidRPr="00EF4079">
              <w:rPr>
                <w:rFonts w:ascii="Tahoma" w:hAnsi="Tahoma" w:cs="Tahoma"/>
                <w:sz w:val="19"/>
                <w:szCs w:val="19"/>
                <w:rtl/>
              </w:rPr>
              <w:t xml:space="preserve"> על רח"ל, בהיותה גורם מתכלל, לעמוד על כך שה</w:t>
            </w:r>
            <w:r>
              <w:rPr>
                <w:rFonts w:ascii="Tahoma" w:hAnsi="Tahoma" w:cs="Tahoma" w:hint="cs"/>
                <w:sz w:val="19"/>
                <w:szCs w:val="19"/>
                <w:rtl/>
              </w:rPr>
              <w:t>מוסד ל</w:t>
            </w:r>
            <w:r w:rsidRPr="00EF4079">
              <w:rPr>
                <w:rFonts w:ascii="Tahoma" w:hAnsi="Tahoma" w:cs="Tahoma"/>
                <w:sz w:val="19"/>
                <w:szCs w:val="19"/>
                <w:rtl/>
              </w:rPr>
              <w:t>ביטוח לאומי יעדכן את הטופס כנדרש.</w:t>
            </w:r>
            <w:r>
              <w:rPr>
                <w:rtl/>
              </w:rPr>
              <w:t xml:space="preserve"> </w:t>
            </w:r>
            <w:r w:rsidRPr="00EF4079">
              <w:rPr>
                <w:rFonts w:ascii="Tahoma" w:hAnsi="Tahoma" w:cs="Tahoma"/>
                <w:sz w:val="19"/>
                <w:szCs w:val="19"/>
                <w:rtl/>
              </w:rPr>
              <w:t>מומלץ למשרד האוצר, בהיותו בא כוח הממשלה, שבהסכם מול ה</w:t>
            </w:r>
            <w:r>
              <w:rPr>
                <w:rFonts w:ascii="Tahoma" w:hAnsi="Tahoma" w:cs="Tahoma" w:hint="cs"/>
                <w:sz w:val="19"/>
                <w:szCs w:val="19"/>
                <w:rtl/>
              </w:rPr>
              <w:t>מוסד ל</w:t>
            </w:r>
            <w:r w:rsidRPr="00EF4079">
              <w:rPr>
                <w:rFonts w:ascii="Tahoma" w:hAnsi="Tahoma" w:cs="Tahoma"/>
                <w:sz w:val="19"/>
                <w:szCs w:val="19"/>
                <w:rtl/>
              </w:rPr>
              <w:t>ביטוח לאומי לעניין תשלום מענק אכלוס למפונים, יעגן בגוף ההסכם גם את הדרישה כי מקבל מענק האכלוס יציין בטופס הבקשה את מקום שהייתו וכל פרט אחר שיהיה דרוש לצורך השלמת המידע הנחוץ לגופי הממשל על המפונים.</w:t>
            </w:r>
            <w:r>
              <w:rPr>
                <w:rFonts w:ascii="Tahoma" w:hAnsi="Tahoma" w:cs="Tahoma" w:hint="cs"/>
                <w:sz w:val="19"/>
                <w:szCs w:val="19"/>
                <w:rtl/>
              </w:rPr>
              <w:t xml:space="preserve"> </w:t>
            </w:r>
            <w:r w:rsidRPr="00C861C8">
              <w:rPr>
                <w:rFonts w:ascii="Tahoma" w:hAnsi="Tahoma" w:cs="Tahoma" w:hint="cs"/>
                <w:sz w:val="19"/>
                <w:szCs w:val="19"/>
                <w:rtl/>
              </w:rPr>
              <w:t>על כל הגופים הללו לפעול כדי לעגן באופן משפטי האפשרות לאסוף מהמפונים את כל המידע הנדרש לטיפול בהם. שיתוף המידע בין הגופים הציבוריים בנוגע לפרטים אישיים של מפונים יש לבצע בהתאם למידע שנדרש לכל גוף ובכפוף לכללי הגנת הפרטיות</w:t>
            </w:r>
            <w:r>
              <w:rPr>
                <w:rFonts w:ascii="Tahoma" w:hAnsi="Tahoma" w:cs="Tahoma" w:hint="cs"/>
                <w:sz w:val="19"/>
                <w:szCs w:val="19"/>
                <w:rtl/>
              </w:rPr>
              <w:t>.</w:t>
            </w:r>
          </w:p>
          <w:p w:rsidR="00ED6905" w:rsidRDefault="00ED6905" w:rsidP="00793FD5">
            <w:pPr>
              <w:pStyle w:val="af2"/>
              <w:numPr>
                <w:ilvl w:val="0"/>
                <w:numId w:val="12"/>
              </w:numPr>
              <w:spacing w:after="140" w:line="288" w:lineRule="auto"/>
              <w:ind w:left="516" w:right="176" w:hanging="516"/>
              <w:contextualSpacing w:val="0"/>
              <w:rPr>
                <w:rFonts w:ascii="Tahoma" w:hAnsi="Tahoma" w:cs="Tahoma"/>
                <w:sz w:val="19"/>
                <w:szCs w:val="19"/>
              </w:rPr>
            </w:pPr>
            <w:r w:rsidRPr="003F7E1A">
              <w:rPr>
                <w:rFonts w:ascii="Tahoma" w:hAnsi="Tahoma" w:cs="Tahoma"/>
                <w:sz w:val="19"/>
                <w:szCs w:val="19"/>
                <w:rtl/>
              </w:rPr>
              <w:t>על משרד</w:t>
            </w:r>
            <w:r w:rsidRPr="008558E5">
              <w:rPr>
                <w:rFonts w:ascii="Tahoma" w:hAnsi="Tahoma" w:cs="Tahoma"/>
                <w:sz w:val="19"/>
                <w:szCs w:val="19"/>
                <w:rtl/>
              </w:rPr>
              <w:t xml:space="preserve"> רה"ם כמשרד מוביל ועל רח"ל בשיתוף כל גופי הממשל שנדרשים לפעול במצב חירום שכולל פינוי וקליטה של תושבים - להפיק לקחים מהממצאים שעלו מדוח זה, כדי שבמקרה חירום עתידי הכולל פינוי, תפעל מערכת מידע ממשלתית</w:t>
            </w:r>
            <w:r>
              <w:rPr>
                <w:rFonts w:ascii="Tahoma" w:hAnsi="Tahoma" w:cs="Tahoma" w:hint="cs"/>
                <w:sz w:val="19"/>
                <w:szCs w:val="19"/>
                <w:rtl/>
              </w:rPr>
              <w:t>,</w:t>
            </w:r>
            <w:r w:rsidRPr="008558E5">
              <w:rPr>
                <w:rFonts w:ascii="Tahoma" w:hAnsi="Tahoma" w:cs="Tahoma"/>
                <w:sz w:val="19"/>
                <w:szCs w:val="19"/>
                <w:rtl/>
              </w:rPr>
              <w:t xml:space="preserve"> באופן מיידי, בצורה עקבית, רציפה ויעילה כדי לאסוף, ל</w:t>
            </w:r>
            <w:r>
              <w:rPr>
                <w:rFonts w:ascii="Tahoma" w:hAnsi="Tahoma" w:cs="Tahoma" w:hint="cs"/>
                <w:sz w:val="19"/>
                <w:szCs w:val="19"/>
                <w:rtl/>
              </w:rPr>
              <w:t>אגם,</w:t>
            </w:r>
            <w:r w:rsidRPr="008558E5">
              <w:rPr>
                <w:rFonts w:ascii="Tahoma" w:hAnsi="Tahoma" w:cs="Tahoma"/>
                <w:sz w:val="19"/>
                <w:szCs w:val="19"/>
                <w:rtl/>
              </w:rPr>
              <w:t xml:space="preserve"> לנהל </w:t>
            </w:r>
            <w:r>
              <w:rPr>
                <w:rFonts w:ascii="Tahoma" w:hAnsi="Tahoma" w:cs="Tahoma" w:hint="cs"/>
                <w:sz w:val="19"/>
                <w:szCs w:val="19"/>
                <w:rtl/>
              </w:rPr>
              <w:t xml:space="preserve">ולהציג </w:t>
            </w:r>
            <w:r w:rsidRPr="008558E5">
              <w:rPr>
                <w:rFonts w:ascii="Tahoma" w:hAnsi="Tahoma" w:cs="Tahoma"/>
                <w:sz w:val="19"/>
                <w:szCs w:val="19"/>
                <w:rtl/>
              </w:rPr>
              <w:t>את המידע על תושבים מפונים ומתפנים</w:t>
            </w:r>
            <w:r>
              <w:rPr>
                <w:rFonts w:ascii="Tahoma" w:hAnsi="Tahoma" w:cs="Tahoma" w:hint="cs"/>
                <w:sz w:val="19"/>
                <w:szCs w:val="19"/>
                <w:rtl/>
              </w:rPr>
              <w:t>; זאת</w:t>
            </w:r>
            <w:r w:rsidRPr="008558E5">
              <w:rPr>
                <w:rFonts w:ascii="Tahoma" w:hAnsi="Tahoma" w:cs="Tahoma"/>
                <w:sz w:val="19"/>
                <w:szCs w:val="19"/>
                <w:rtl/>
              </w:rPr>
              <w:t xml:space="preserve"> ללא תלות במתווה הקליטה שיוחלט עליו</w:t>
            </w:r>
            <w:r>
              <w:rPr>
                <w:rFonts w:ascii="Tahoma" w:hAnsi="Tahoma" w:cs="Tahoma" w:hint="cs"/>
                <w:sz w:val="19"/>
                <w:szCs w:val="19"/>
                <w:rtl/>
              </w:rPr>
              <w:t xml:space="preserve">. שכן המידע הוא הבסיס עבור משרדי הממשלה והרשויות המקומיות </w:t>
            </w:r>
            <w:r w:rsidRPr="008558E5">
              <w:rPr>
                <w:rFonts w:ascii="Tahoma" w:hAnsi="Tahoma" w:cs="Tahoma"/>
                <w:sz w:val="19"/>
                <w:szCs w:val="19"/>
                <w:rtl/>
              </w:rPr>
              <w:t>כדי ש</w:t>
            </w:r>
            <w:r>
              <w:rPr>
                <w:rFonts w:ascii="Tahoma" w:hAnsi="Tahoma" w:cs="Tahoma" w:hint="cs"/>
                <w:sz w:val="19"/>
                <w:szCs w:val="19"/>
                <w:rtl/>
              </w:rPr>
              <w:t>יוכלו להיערך ול</w:t>
            </w:r>
            <w:r w:rsidRPr="008558E5">
              <w:rPr>
                <w:rFonts w:ascii="Tahoma" w:hAnsi="Tahoma" w:cs="Tahoma"/>
                <w:sz w:val="19"/>
                <w:szCs w:val="19"/>
                <w:rtl/>
              </w:rPr>
              <w:t>ספק מענים</w:t>
            </w:r>
            <w:r>
              <w:rPr>
                <w:rFonts w:ascii="Tahoma" w:hAnsi="Tahoma" w:cs="Tahoma" w:hint="cs"/>
                <w:sz w:val="19"/>
                <w:szCs w:val="19"/>
                <w:rtl/>
              </w:rPr>
              <w:t xml:space="preserve"> לתושבים אלה</w:t>
            </w:r>
            <w:r w:rsidRPr="008558E5">
              <w:rPr>
                <w:rFonts w:ascii="Tahoma" w:hAnsi="Tahoma" w:cs="Tahoma"/>
                <w:sz w:val="19"/>
                <w:szCs w:val="19"/>
                <w:rtl/>
              </w:rPr>
              <w:t xml:space="preserve">. </w:t>
            </w:r>
          </w:p>
          <w:p w:rsidR="00ED6905" w:rsidRDefault="00ED6905" w:rsidP="00793FD5">
            <w:pPr>
              <w:pStyle w:val="af2"/>
              <w:numPr>
                <w:ilvl w:val="0"/>
                <w:numId w:val="12"/>
              </w:numPr>
              <w:spacing w:after="160" w:line="288" w:lineRule="auto"/>
              <w:ind w:left="516" w:right="176" w:hanging="516"/>
              <w:contextualSpacing w:val="0"/>
              <w:rPr>
                <w:rFonts w:ascii="Tahoma" w:hAnsi="Tahoma" w:cs="Tahoma"/>
                <w:sz w:val="19"/>
                <w:szCs w:val="19"/>
              </w:rPr>
            </w:pPr>
            <w:r w:rsidRPr="003F7E1A">
              <w:rPr>
                <w:rFonts w:ascii="Tahoma" w:hAnsi="Tahoma" w:cs="Tahoma"/>
                <w:sz w:val="19"/>
                <w:szCs w:val="19"/>
                <w:rtl/>
              </w:rPr>
              <w:t>על מערך</w:t>
            </w:r>
            <w:r w:rsidRPr="00FB1CB5">
              <w:rPr>
                <w:rFonts w:ascii="Tahoma" w:hAnsi="Tahoma" w:cs="Tahoma"/>
                <w:sz w:val="19"/>
                <w:szCs w:val="19"/>
                <w:rtl/>
              </w:rPr>
              <w:t xml:space="preserve"> הדיגיטל ויתר הגורמים העוסקים בניהול מידע על מפונים לבחון הקמת מערכת אחודה אשר תקלוט את פרטי המפונים, אך תשמש גם כלי למיצוי זכויות וקבלת שירות מגופי הממשל. עד להקמת מערכת כזאת</w:t>
            </w:r>
            <w:r>
              <w:rPr>
                <w:rFonts w:ascii="Tahoma" w:hAnsi="Tahoma" w:cs="Tahoma" w:hint="cs"/>
                <w:sz w:val="19"/>
                <w:szCs w:val="19"/>
                <w:rtl/>
              </w:rPr>
              <w:t>,</w:t>
            </w:r>
            <w:r w:rsidRPr="00FB1CB5">
              <w:rPr>
                <w:rFonts w:ascii="Tahoma" w:hAnsi="Tahoma" w:cs="Tahoma"/>
                <w:sz w:val="19"/>
                <w:szCs w:val="19"/>
                <w:rtl/>
              </w:rPr>
              <w:t xml:space="preserve"> על מערך הדיגיטל להקפיד הקפדה יתרה על דיוק המצג לאזרח, בייחוד במקרים רגישים של טיפול באוכלוסיית מפונים במצבי מלחמה או אסון. </w:t>
            </w:r>
            <w:r w:rsidRPr="00D54253">
              <w:rPr>
                <w:rFonts w:ascii="Tahoma" w:hAnsi="Tahoma" w:cs="Tahoma" w:hint="eastAsia"/>
                <w:sz w:val="19"/>
                <w:szCs w:val="19"/>
                <w:rtl/>
              </w:rPr>
              <w:t>מומלץ</w:t>
            </w:r>
            <w:r w:rsidRPr="00FB1CB5">
              <w:rPr>
                <w:rFonts w:ascii="Tahoma" w:hAnsi="Tahoma" w:cs="Tahoma"/>
                <w:sz w:val="19"/>
                <w:szCs w:val="19"/>
                <w:rtl/>
              </w:rPr>
              <w:t xml:space="preserve"> למערך הדיגיטל לעדכן את הניסוח המציג את מערכת יחד לציבור, כך שישקף נאמנה את מה שיש באפשרותה לספק וגם את מה שלא. בעניין זה ראוי לכתוב בפרסום כי דיווח פרטים למערכת יחד, בשלב זה, אינו משמש תחליף למילוי טפסים של גופים שונים בכל הקשור למיצוי זכויות ולקבלת שירות או מענק הקשורים לפינוי ולפגיעות בעטייה של המלחמה.</w:t>
            </w:r>
          </w:p>
          <w:p w:rsidR="00AE4BB7" w:rsidRPr="00BE22D7" w:rsidRDefault="00ED6905" w:rsidP="006C3AF6">
            <w:pPr>
              <w:pStyle w:val="af2"/>
              <w:numPr>
                <w:ilvl w:val="0"/>
                <w:numId w:val="12"/>
              </w:numPr>
              <w:spacing w:after="240" w:line="288" w:lineRule="auto"/>
              <w:ind w:left="515" w:right="173" w:hanging="515"/>
              <w:contextualSpacing w:val="0"/>
              <w:rPr>
                <w:rtl/>
              </w:rPr>
            </w:pPr>
            <w:r w:rsidRPr="003F7E1A">
              <w:rPr>
                <w:rFonts w:ascii="Tahoma" w:hAnsi="Tahoma" w:cs="Tahoma"/>
                <w:sz w:val="19"/>
                <w:szCs w:val="19"/>
                <w:rtl/>
              </w:rPr>
              <w:t>כדי לשפר</w:t>
            </w:r>
            <w:r w:rsidRPr="00FB1CB5">
              <w:rPr>
                <w:rFonts w:ascii="Tahoma" w:hAnsi="Tahoma" w:cs="Tahoma"/>
                <w:sz w:val="19"/>
                <w:szCs w:val="19"/>
                <w:rtl/>
              </w:rPr>
              <w:t xml:space="preserve"> את אמון הציבור בגופי הממשל, מן הראוי לפרסם בפומבי מידע המבוסס על נתונים שבמערכת יחד או במערכת אמו"ן, הנוגעים להיקף המפונים והמתפנים ולמאפיינים כללים של האוכלוסייה שעזבה את ביתה בעקבות המלחמה, כל עוד אין מדובר במידע אישי או כזה שיש מניעה לפרסמו. על מערך הדיגיטל לבחון בשיתוף עם גופי הממשל הרלוונטיים את המידע שאפשר לפרסם וכיצד יש להנגישו לציבור.</w:t>
            </w:r>
          </w:p>
        </w:tc>
      </w:tr>
    </w:tbl>
    <w:p w:rsidR="00AE4BB7" w:rsidRPr="00D57BE9" w:rsidRDefault="00AE4BB7" w:rsidP="00AE4BB7">
      <w:pPr>
        <w:rPr>
          <w:rtl/>
        </w:rPr>
      </w:pPr>
      <w:r w:rsidRPr="00D527BD">
        <w:rPr>
          <w:noProof/>
          <w:szCs w:val="20"/>
          <w:rtl/>
        </w:rPr>
        <w:lastRenderedPageBreak/>
        <w:drawing>
          <wp:anchor distT="0" distB="0" distL="114300" distR="114300" simplePos="0" relativeHeight="251660288" behindDoc="0" locked="0" layoutInCell="1" allowOverlap="1" wp14:anchorId="24426BBC" wp14:editId="232BD999">
            <wp:simplePos x="0" y="0"/>
            <wp:positionH relativeFrom="column">
              <wp:posOffset>-127635</wp:posOffset>
            </wp:positionH>
            <wp:positionV relativeFrom="paragraph">
              <wp:posOffset>-1905</wp:posOffset>
            </wp:positionV>
            <wp:extent cx="6015355" cy="761365"/>
            <wp:effectExtent l="0" t="0" r="0" b="0"/>
            <wp:wrapNone/>
            <wp:docPr id="1451066646"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15355" cy="761365"/>
                    </a:xfrm>
                    <a:prstGeom prst="rect">
                      <a:avLst/>
                    </a:prstGeom>
                  </pic:spPr>
                </pic:pic>
              </a:graphicData>
            </a:graphic>
            <wp14:sizeRelH relativeFrom="margin">
              <wp14:pctWidth>0</wp14:pctWidth>
            </wp14:sizeRelH>
            <wp14:sizeRelV relativeFrom="margin">
              <wp14:pctHeight>0</wp14:pctHeight>
            </wp14:sizeRelV>
          </wp:anchor>
        </w:drawing>
      </w:r>
      <w:r w:rsidRPr="00D527BD">
        <w:rPr>
          <w:noProof/>
          <w:szCs w:val="20"/>
          <w:rtl/>
        </w:rPr>
        <mc:AlternateContent>
          <mc:Choice Requires="wps">
            <w:drawing>
              <wp:anchor distT="0" distB="0" distL="114300" distR="114300" simplePos="0" relativeHeight="251661312" behindDoc="0" locked="0" layoutInCell="1" allowOverlap="1" wp14:anchorId="6447954D" wp14:editId="29379932">
                <wp:simplePos x="0" y="0"/>
                <wp:positionH relativeFrom="column">
                  <wp:posOffset>241935</wp:posOffset>
                </wp:positionH>
                <wp:positionV relativeFrom="paragraph">
                  <wp:posOffset>102870</wp:posOffset>
                </wp:positionV>
                <wp:extent cx="5417820" cy="434975"/>
                <wp:effectExtent l="0" t="0" r="5080" b="0"/>
                <wp:wrapNone/>
                <wp:docPr id="1451066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434975"/>
                        </a:xfrm>
                        <a:prstGeom prst="rect">
                          <a:avLst/>
                        </a:prstGeom>
                        <a:solidFill>
                          <a:srgbClr val="F05260"/>
                        </a:solidFill>
                        <a:ln w="9525">
                          <a:noFill/>
                          <a:miter lim="800000"/>
                          <a:headEnd/>
                          <a:tailEnd/>
                        </a:ln>
                      </wps:spPr>
                      <wps:txbx>
                        <w:txbxContent>
                          <w:p w:rsidR="00AE4BB7" w:rsidRPr="005C7ABF" w:rsidRDefault="00ED6905" w:rsidP="00AE4BB7">
                            <w:pPr>
                              <w:pStyle w:val="733"/>
                              <w:rPr>
                                <w:rtl/>
                              </w:rPr>
                            </w:pPr>
                            <w:r w:rsidRPr="00ED6905">
                              <w:rPr>
                                <w:rtl/>
                              </w:rPr>
                              <w:t>מידע על מספר המפונים והמתפנים על פני ציר הזמן - תמונת המצב הלאומית כפי שהוצגה במערכת יחד, אוקטובר 2023 - אפריל 2024</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w14:anchorId="6447954D" id="_x0000_s1027" type="#_x0000_t202" style="position:absolute;left:0;text-align:left;margin-left:19.05pt;margin-top:8.1pt;width:426.6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" fillcolor="#f05260" stroked="f">
                <v:textbox>
                  <w:txbxContent>
                    <w:p w:rsidR="00AE4BB7" w:rsidRPr="005C7ABF" w:rsidRDefault="00ED6905" w:rsidP="00AE4BB7">
                      <w:pPr>
                        <w:pStyle w:val="733"/>
                        <w:rPr>
                          <w:rtl/>
                        </w:rPr>
                      </w:pPr>
                      <w:r w:rsidRPr="00ED6905">
                        <w:rPr>
                          <w:rtl/>
                        </w:rPr>
                        <w:t>מידע על מספר המפונים והמתפנים על פני ציר הזמן - תמונת המצב הלאומית כפי שהוצגה במערכת יחד, אוקטובר 2023 - אפריל 2024</w:t>
                      </w:r>
                    </w:p>
                  </w:txbxContent>
                </v:textbox>
              </v:shape>
            </w:pict>
          </mc:Fallback>
        </mc:AlternateContent>
      </w:r>
    </w:p>
    <w:p w:rsidR="00AE4BB7" w:rsidRPr="00D57BE9" w:rsidRDefault="00ED6905" w:rsidP="006C3AF6">
      <w:pPr>
        <w:spacing w:before="840"/>
        <w:jc w:val="center"/>
        <w:rPr>
          <w:rtl/>
        </w:rPr>
      </w:pPr>
      <w:r w:rsidRPr="00ED6905">
        <w:rPr>
          <w:rFonts w:eastAsia="Calibri"/>
          <w:noProof/>
        </w:rPr>
        <w:drawing>
          <wp:inline distT="0" distB="0" distL="0" distR="0" wp14:anchorId="63ACDA41" wp14:editId="793DC8C6">
            <wp:extent cx="3942052" cy="5586770"/>
            <wp:effectExtent l="0" t="0" r="1905" b="0"/>
            <wp:docPr id="14" name="תמונה 14" descr="התרשים משקף את הנתונים החלקיים שהיו במערכת יחד לאורך תקופה של חצי שנה מפרוץ המלחמה: עד השבוע השלישי לא היו נתונים כלל כי המערכת לא פעלה; בשבוע הרביעי היו נתונים רק על 11% מהמפונים והמתפנים ממידע שהגיע מהשאלונים בלבד; בשבוע השישי היו 30%; בשבוע השמיני היו 50% גם ממידע שהגיע מבתי המלון; גם חצי שנה לאחר המלחמה היה מידע רק על כ-50% גם ממידע שהגיע מהביטוח הלאומי ומהשלמות מידע של מערך הדיגיט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57032" cy="5749722"/>
                    </a:xfrm>
                    <a:prstGeom prst="rect">
                      <a:avLst/>
                    </a:prstGeom>
                  </pic:spPr>
                </pic:pic>
              </a:graphicData>
            </a:graphic>
          </wp:inline>
        </w:drawing>
      </w:r>
    </w:p>
    <w:p w:rsidR="00780272" w:rsidRDefault="00ED6905" w:rsidP="00787AD9">
      <w:pPr>
        <w:spacing w:after="160" w:line="288" w:lineRule="auto"/>
        <w:ind w:left="-1"/>
        <w:rPr>
          <w:rFonts w:ascii="Tahoma" w:hAnsi="Tahoma" w:cs="Tahoma"/>
        </w:rPr>
      </w:pPr>
      <w:r w:rsidRPr="00ED6905">
        <w:rPr>
          <w:rFonts w:ascii="Tahoma" w:hAnsi="Tahoma" w:cs="Tahoma"/>
          <w:color w:val="0D0D0D" w:themeColor="text1" w:themeTint="F2"/>
          <w:sz w:val="16"/>
          <w:szCs w:val="16"/>
          <w:rtl/>
        </w:rPr>
        <w:t>על פי נתוני מערך הדיגיטל, בעיבוד משרד מבקר המדינה.</w:t>
      </w:r>
    </w:p>
    <w:p w:rsidR="00AE4BB7" w:rsidRPr="006B7706" w:rsidRDefault="00AE4BB7" w:rsidP="00AE4BB7">
      <w:pPr>
        <w:spacing w:after="160" w:line="288" w:lineRule="auto"/>
        <w:ind w:left="-1"/>
        <w:rPr>
          <w:rFonts w:ascii="Tahoma" w:hAnsi="Tahoma" w:cs="Tahoma"/>
          <w:rtl/>
        </w:rPr>
      </w:pPr>
      <w:r w:rsidRPr="006C4033">
        <w:rPr>
          <w:rFonts w:ascii="Tahoma" w:hAnsi="Tahoma" w:cs="Tahoma"/>
          <w:noProof/>
        </w:rPr>
        <w:lastRenderedPageBreak/>
        <w:drawing>
          <wp:inline distT="0" distB="0" distL="0" distR="0" wp14:anchorId="3C8A8AD1" wp14:editId="29FC40E1">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ED6905" w:rsidRPr="00ED6905" w:rsidRDefault="00ED6905" w:rsidP="00ED6905">
      <w:pPr>
        <w:pStyle w:val="739"/>
        <w:spacing w:after="120"/>
        <w:rPr>
          <w:sz w:val="19"/>
          <w:szCs w:val="19"/>
          <w:rtl/>
        </w:rPr>
      </w:pPr>
      <w:r w:rsidRPr="00ED6905">
        <w:rPr>
          <w:sz w:val="19"/>
          <w:szCs w:val="19"/>
          <w:rtl/>
        </w:rPr>
        <w:t>במלחמת חרבות ברזל פונו באישור הממשלה והתפנו בהחלטה עצמאית מיישובים שלא פונו, בסך הכ</w:t>
      </w:r>
      <w:r w:rsidR="00CE24EE">
        <w:rPr>
          <w:rFonts w:hint="cs"/>
          <w:sz w:val="19"/>
          <w:szCs w:val="19"/>
          <w:rtl/>
        </w:rPr>
        <w:t>ו</w:t>
      </w:r>
      <w:r w:rsidRPr="00ED6905">
        <w:rPr>
          <w:sz w:val="19"/>
          <w:szCs w:val="19"/>
          <w:rtl/>
        </w:rPr>
        <w:t xml:space="preserve">ל כרבע מיליון איש. המדובר במפונים שנקלטו בבתי מלון או מצאו פתרון דיור בקהילה וכן תושבים שהתפנו מיישובים שלא חלו עליהן החלטות הפינוי. כלל תושבים אלה - נשים וגברים, ילדים וקשישים, עברו להתגורר ביישובים שונים בפיזור בין מאות בתי מלון ואכסניות, בדירות שכורות או אצל קרובי משפחה ומכרים. כבר בתחילת המלחמה היה ברור כי מדובר במצב חירום חסר תקדים בעוצמתו ובהיקפו וכי תקופת השהייה של תושבים אלה מחוץ ליישובי מגוריהם המקוריים תתארך זמן רב ויש לתת להם מענים שתואמים ל"שגרה החדשה" </w:t>
      </w:r>
      <w:r w:rsidR="00E262FA">
        <w:rPr>
          <w:rFonts w:hint="cs"/>
          <w:sz w:val="19"/>
          <w:szCs w:val="19"/>
          <w:rtl/>
        </w:rPr>
        <w:t>ש</w:t>
      </w:r>
      <w:r w:rsidRPr="00ED6905">
        <w:rPr>
          <w:sz w:val="19"/>
          <w:szCs w:val="19"/>
          <w:rtl/>
        </w:rPr>
        <w:t xml:space="preserve">אליה נקלעו - דהיינו לא רק מענים של </w:t>
      </w:r>
      <w:r w:rsidR="00CE24EE">
        <w:rPr>
          <w:rFonts w:hint="cs"/>
          <w:sz w:val="19"/>
          <w:szCs w:val="19"/>
          <w:rtl/>
        </w:rPr>
        <w:t>"</w:t>
      </w:r>
      <w:r w:rsidRPr="00ED6905">
        <w:rPr>
          <w:sz w:val="19"/>
          <w:szCs w:val="19"/>
          <w:rtl/>
        </w:rPr>
        <w:t>מחסה ללילה</w:t>
      </w:r>
      <w:r w:rsidR="00CE24EE">
        <w:rPr>
          <w:rFonts w:hint="cs"/>
          <w:sz w:val="19"/>
          <w:szCs w:val="19"/>
          <w:rtl/>
        </w:rPr>
        <w:t>"</w:t>
      </w:r>
      <w:r w:rsidRPr="00ED6905">
        <w:rPr>
          <w:sz w:val="19"/>
          <w:szCs w:val="19"/>
          <w:rtl/>
        </w:rPr>
        <w:t xml:space="preserve"> אלא את השירותים שהם נזקקים להם, ביניהם מסגרות חינוך לילדים, שירותי בריאות ושירותי רווחה. הסדרים ומנגנונים לאיסוף המידע הרלוונטי בקשר לכרבע מיליון איש, ריכוזו, ניהולו והעברתו לגורמים הרלוונטיים במשרדי הממשלה וברשויות המקומיות, כל זאת באמצעות מערכת מידע ממוחשבת הם תנאי יסודי למתן המענה הממשלתי בנושא. המידע במערכת כזו נדרש גם כבסיס לביצוע בקרה אפקטיבית ואף בזמן אמת על הוצאות הממשלה למענקים או לשיפוי תושבים בגין הפינוי.</w:t>
      </w:r>
    </w:p>
    <w:p w:rsidR="00ED6905" w:rsidRPr="00ED6905" w:rsidRDefault="00ED6905" w:rsidP="00ED6905">
      <w:pPr>
        <w:pStyle w:val="739"/>
        <w:spacing w:after="120"/>
        <w:rPr>
          <w:sz w:val="19"/>
          <w:szCs w:val="19"/>
          <w:rtl/>
        </w:rPr>
      </w:pPr>
      <w:r w:rsidRPr="00ED6905">
        <w:rPr>
          <w:sz w:val="19"/>
          <w:szCs w:val="19"/>
          <w:rtl/>
        </w:rPr>
        <w:t>ממצאי דוח זה העלו פערים וליקויים מהותיים של המערכת הממשלתית בנוגע לריכוז וניהול המידע על תושבים מפונים ומתפנים: (א) לפני פרוץ המלחמה לא עמדה לרשות גופי הממשל תשתית תקשובית לריכוז, ניהול והצגת תמונת מצב על התושבים שפונו והתפנו. (ב) מערכת המידע שהייתה קיימת עם פרוץ המלחמה - מערכת תיבת נח, הוקמה לבקשתו של משרד הפנים, רק בשנת 2022 - כעשור לאחר שהתקבלה החלטת ממשלה שחייבה זאת. (ג) המערכת יועדה לשימוש של משרד הפנים במטרה לרכז ולנהל מידע על מפונים שיגיעו למתקני הקליטה ואולם כשפרצה המלחמה והחלה קליטת מפונים בבתי המלון לא הפעיל משרד הפנים את המערכת. בכך נמנע מגופי הממשלה גם חלק המידע שניתן היה לקבל בעזרת משרד הפנים באמצעות מערכת תיבת נח. (ד) פקע"ר</w:t>
      </w:r>
      <w:r w:rsidR="00E262FA">
        <w:rPr>
          <w:rFonts w:hint="cs"/>
          <w:sz w:val="19"/>
          <w:szCs w:val="19"/>
          <w:rtl/>
        </w:rPr>
        <w:t>,</w:t>
      </w:r>
      <w:r w:rsidRPr="00ED6905">
        <w:rPr>
          <w:sz w:val="19"/>
          <w:szCs w:val="19"/>
          <w:rtl/>
        </w:rPr>
        <w:t xml:space="preserve"> שהחל באמצע אוקטובר 2023 להפעיל בעצמו את מערכת תיבת נח נתקל בקשיים באיסוף המידע הפרטני על התושבים המפונים בבתי המלון ולא נחל הצלחה בביצוע משימה זו כיוון שלא היו לו סמכויות או כלים לקבל את המידע מהתושבים או מבתי המלון. (ה) פקע"ר ניסה לאסוף את המידע במשך עשרה ימים בלבד והפסיק לאחר שהוחלט בדיון בין-משרדי על קידום הפיתוח של מערכת תקשוב חדשה (מערכת יחד) שתופעל על ידי מערך הדיגיטל ותשמש לאיגום וניהול המידע על כלל המפונים והמתפנים. כל אלה יחדיו - החסמים ביישום ההיערכות המוקדמת בנושא והמעבר לאיתור ויישום מענה חלופי תוך כדי המלחמה - גרמו לכשל של המערך הממשלתי, בחודש הראשון למלחמה - אוקטובר 2023, שמנע איסוף וניהול פרטים דמוגרפיים וצרכים שנוגעים לרוב רובם של המפונים והמתפנים. </w:t>
      </w:r>
    </w:p>
    <w:p w:rsidR="00ED6905" w:rsidRPr="00ED6905" w:rsidRDefault="00ED6905" w:rsidP="00ED6905">
      <w:pPr>
        <w:pStyle w:val="739"/>
        <w:spacing w:after="120"/>
        <w:rPr>
          <w:sz w:val="19"/>
          <w:szCs w:val="19"/>
          <w:rtl/>
        </w:rPr>
      </w:pPr>
      <w:r w:rsidRPr="00ED6905">
        <w:rPr>
          <w:sz w:val="19"/>
          <w:szCs w:val="19"/>
          <w:rtl/>
        </w:rPr>
        <w:t xml:space="preserve">בחודשים לאחר מכן התברר כי למרות הציפיות שתלו גופי הממשל במערכת החדשה - יחד - שתספק להם בהקדם מידע פרטני ותמונת מצב על כלל המפונים והמתפנים, חלפו שבועות וחודשים יקרים עד שקיבל כל אחד מהם מידע משמעותי שיכול היה להתבסס עליו - זאת עקב קשיים וחסמים שונים שפורטו בדוח. </w:t>
      </w:r>
    </w:p>
    <w:p w:rsidR="00ED6905" w:rsidRPr="00ED6905" w:rsidRDefault="00ED6905" w:rsidP="00ED6905">
      <w:pPr>
        <w:pStyle w:val="739"/>
        <w:spacing w:after="120"/>
        <w:rPr>
          <w:sz w:val="19"/>
          <w:szCs w:val="19"/>
          <w:rtl/>
        </w:rPr>
      </w:pPr>
      <w:r w:rsidRPr="00ED6905">
        <w:rPr>
          <w:sz w:val="19"/>
          <w:szCs w:val="19"/>
          <w:rtl/>
        </w:rPr>
        <w:t>בסופו של יום, בחלוף כחצי שנה מאז פרוץ המלחמה נאסף מידע עדכני (במערכת יחד) רק על כמחצית מהמפונים והמתפנים.</w:t>
      </w:r>
    </w:p>
    <w:p w:rsidR="00C4789A" w:rsidRPr="00787AD9" w:rsidRDefault="00C4789A" w:rsidP="00787AD9">
      <w:pPr>
        <w:pStyle w:val="739"/>
        <w:spacing w:after="120"/>
        <w:rPr>
          <w:sz w:val="19"/>
          <w:szCs w:val="19"/>
        </w:rPr>
        <w:sectPr w:rsidR="00C4789A" w:rsidRPr="00787AD9" w:rsidSect="008654CB">
          <w:headerReference w:type="even" r:id="rId23"/>
          <w:headerReference w:type="default" r:id="rId24"/>
          <w:headerReference w:type="first" r:id="rId25"/>
          <w:footerReference w:type="first" r:id="rId26"/>
          <w:pgSz w:w="11340" w:h="14175" w:code="9"/>
          <w:pgMar w:top="2268" w:right="1276" w:bottom="1588" w:left="1134" w:header="709" w:footer="709" w:gutter="0"/>
          <w:cols w:space="708"/>
          <w:titlePg/>
          <w:bidi/>
          <w:rtlGutter/>
          <w:docGrid w:linePitch="360"/>
        </w:sectPr>
      </w:pPr>
    </w:p>
    <w:bookmarkEnd w:id="0"/>
    <w:p w:rsidR="009A6817" w:rsidRPr="001C33F8" w:rsidRDefault="009A6817" w:rsidP="001D3DA9">
      <w:pPr>
        <w:spacing w:after="160" w:line="259" w:lineRule="auto"/>
        <w:jc w:val="left"/>
        <w:rPr>
          <w:rFonts w:ascii="Tahoma" w:hAnsi="Tahoma" w:cs="Tahoma"/>
          <w:noProof/>
          <w:rtl/>
        </w:rPr>
      </w:pPr>
    </w:p>
    <w:sectPr w:rsidR="009A6817" w:rsidRPr="001C33F8" w:rsidSect="00030DCF">
      <w:headerReference w:type="first" r:id="rId27"/>
      <w:type w:val="continuous"/>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10" w:rsidRDefault="00B64110">
      <w:pPr>
        <w:spacing w:line="240" w:lineRule="auto"/>
      </w:pPr>
      <w:r>
        <w:separator/>
      </w:r>
    </w:p>
  </w:endnote>
  <w:endnote w:type="continuationSeparator" w:id="0">
    <w:p w:rsidR="00B64110" w:rsidRDefault="00B6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22E2" w:rsidRDefault="009961E8">
    <w:pPr>
      <w:pStyle w:val="ab"/>
      <w:rPr>
        <w:rtl/>
      </w:rPr>
    </w:pPr>
    <w:r>
      <w:rPr>
        <w:noProof/>
      </w:rPr>
      <mc:AlternateContent>
        <mc:Choice Requires="wpg">
          <w:drawing>
            <wp:anchor distT="0" distB="0" distL="114300" distR="114300" simplePos="0" relativeHeight="251651072"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62451B" w:rsidRPr="0062451B" w:rsidRDefault="009961E8"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sidR="00961F73">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sidR="009912C8">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sidR="00961F73">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sidR="009912C8">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4" style="position:absolute;left:0;text-align:left;margin-left:125.3pt;margin-top:-30.85pt;width:197.8pt;height:186.25pt;z-index:251651072"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_x0000_s1035"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62451B" w:rsidRPr="0062451B" w:rsidRDefault="009961E8"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sidR="00961F73">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sidR="009912C8">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sidR="00961F73">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sidR="009912C8">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6"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7"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Pr="005330FA" w:rsidRDefault="00F56CE4" w:rsidP="005330F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10" w:rsidRDefault="00B64110">
      <w:pPr>
        <w:spacing w:line="240" w:lineRule="auto"/>
      </w:pPr>
      <w:r>
        <w:separator/>
      </w:r>
    </w:p>
  </w:footnote>
  <w:footnote w:type="continuationSeparator" w:id="0">
    <w:p w:rsidR="00B64110" w:rsidRDefault="00B64110">
      <w:pPr>
        <w:spacing w:line="240" w:lineRule="auto"/>
      </w:pPr>
      <w:r>
        <w:continuationSeparator/>
      </w:r>
    </w:p>
  </w:footnote>
  <w:footnote w:id="1">
    <w:p w:rsidR="00ED6905" w:rsidRPr="00E60B59" w:rsidRDefault="00ED6905" w:rsidP="00ED6905">
      <w:pPr>
        <w:pStyle w:val="af"/>
        <w:rPr>
          <w:rFonts w:ascii="Tahoma" w:hAnsi="Tahoma" w:cs="Tahoma"/>
          <w:sz w:val="16"/>
          <w:szCs w:val="16"/>
          <w:rtl/>
        </w:rPr>
      </w:pPr>
      <w:r w:rsidRPr="00E60B59">
        <w:rPr>
          <w:rStyle w:val="af1"/>
          <w:rFonts w:ascii="Tahoma" w:hAnsi="Tahoma" w:cs="Tahoma"/>
          <w:sz w:val="16"/>
          <w:szCs w:val="16"/>
        </w:rPr>
        <w:footnoteRef/>
      </w:r>
      <w:r w:rsidRPr="00E60B59">
        <w:rPr>
          <w:rFonts w:ascii="Tahoma" w:hAnsi="Tahoma" w:cs="Tahoma"/>
          <w:sz w:val="16"/>
          <w:szCs w:val="16"/>
          <w:rtl/>
        </w:rPr>
        <w:t xml:space="preserve"> </w:t>
      </w:r>
      <w:r w:rsidRPr="00E60B59">
        <w:rPr>
          <w:rFonts w:ascii="Tahoma" w:hAnsi="Tahoma" w:cs="Tahoma"/>
          <w:sz w:val="16"/>
          <w:szCs w:val="16"/>
          <w:rtl/>
        </w:rPr>
        <w:tab/>
        <w:t xml:space="preserve">מבקר המדינה, </w:t>
      </w:r>
      <w:r w:rsidRPr="00E60B59">
        <w:rPr>
          <w:rFonts w:ascii="Tahoma" w:hAnsi="Tahoma" w:cs="Tahoma"/>
          <w:b/>
          <w:bCs/>
          <w:sz w:val="16"/>
          <w:szCs w:val="16"/>
          <w:rtl/>
        </w:rPr>
        <w:t>היערכות העורף ותפקודו במלחמת לבנון השנייה</w:t>
      </w:r>
      <w:r w:rsidRPr="00E60B59">
        <w:rPr>
          <w:rFonts w:ascii="Tahoma" w:hAnsi="Tahoma" w:cs="Tahoma"/>
          <w:sz w:val="16"/>
          <w:szCs w:val="16"/>
          <w:rtl/>
        </w:rPr>
        <w:t xml:space="preserve"> (2007).</w:t>
      </w:r>
    </w:p>
  </w:footnote>
  <w:footnote w:id="2">
    <w:p w:rsidR="00ED6905" w:rsidRPr="00E60B59" w:rsidRDefault="00ED6905" w:rsidP="00ED6905">
      <w:pPr>
        <w:pStyle w:val="af"/>
        <w:rPr>
          <w:rFonts w:ascii="Tahoma" w:hAnsi="Tahoma" w:cs="Tahoma"/>
          <w:sz w:val="16"/>
          <w:szCs w:val="16"/>
        </w:rPr>
      </w:pPr>
      <w:r w:rsidRPr="00E60B59">
        <w:rPr>
          <w:rStyle w:val="af1"/>
          <w:rFonts w:ascii="Tahoma" w:hAnsi="Tahoma" w:cs="Tahoma"/>
          <w:sz w:val="16"/>
          <w:szCs w:val="16"/>
        </w:rPr>
        <w:footnoteRef/>
      </w:r>
      <w:r w:rsidRPr="00E60B59">
        <w:rPr>
          <w:rFonts w:ascii="Tahoma" w:hAnsi="Tahoma" w:cs="Tahoma"/>
          <w:sz w:val="16"/>
          <w:szCs w:val="16"/>
          <w:rtl/>
        </w:rPr>
        <w:t xml:space="preserve"> </w:t>
      </w:r>
      <w:r w:rsidRPr="00E60B59">
        <w:rPr>
          <w:rFonts w:ascii="Tahoma" w:hAnsi="Tahoma" w:cs="Tahoma"/>
          <w:sz w:val="16"/>
          <w:szCs w:val="16"/>
          <w:rtl/>
        </w:rPr>
        <w:tab/>
        <w:t xml:space="preserve">הנתונים על מספר התושבים המפונים והמתפנים היו דינמיים ועודכנו במהלך תקופת המלחמה. </w:t>
      </w:r>
    </w:p>
  </w:footnote>
  <w:footnote w:id="3">
    <w:p w:rsidR="00ED6905" w:rsidRPr="00E60B59" w:rsidRDefault="00ED6905" w:rsidP="00ED6905">
      <w:pPr>
        <w:pStyle w:val="af"/>
        <w:ind w:left="708" w:right="-142" w:hanging="708"/>
        <w:rPr>
          <w:rFonts w:ascii="Tahoma" w:hAnsi="Tahoma" w:cs="Tahoma"/>
          <w:sz w:val="16"/>
          <w:szCs w:val="16"/>
        </w:rPr>
      </w:pPr>
      <w:r w:rsidRPr="00E60B59">
        <w:rPr>
          <w:rStyle w:val="af1"/>
          <w:rFonts w:ascii="Tahoma" w:hAnsi="Tahoma" w:cs="Tahoma"/>
          <w:sz w:val="16"/>
          <w:szCs w:val="16"/>
        </w:rPr>
        <w:footnoteRef/>
      </w:r>
      <w:r w:rsidRPr="00E60B59">
        <w:rPr>
          <w:rFonts w:ascii="Tahoma" w:hAnsi="Tahoma" w:cs="Tahoma"/>
          <w:sz w:val="16"/>
          <w:szCs w:val="16"/>
          <w:rtl/>
        </w:rPr>
        <w:t xml:space="preserve"> </w:t>
      </w:r>
      <w:r w:rsidRPr="00E60B59">
        <w:rPr>
          <w:rFonts w:ascii="Tahoma" w:hAnsi="Tahoma" w:cs="Tahoma"/>
          <w:sz w:val="16"/>
          <w:szCs w:val="16"/>
          <w:rtl/>
        </w:rPr>
        <w:tab/>
        <w:t>זאת כיוון שלא היה מקור למידע על מתפנים עצמאית אלא הערכות בלבד כמו גם דיווחים שמסרו רק חלק מ</w:t>
      </w:r>
      <w:r w:rsidR="00071B06">
        <w:rPr>
          <w:rFonts w:ascii="Tahoma" w:hAnsi="Tahoma" w:cs="Tahoma" w:hint="cs"/>
          <w:sz w:val="16"/>
          <w:szCs w:val="16"/>
          <w:rtl/>
        </w:rPr>
        <w:t>הם</w:t>
      </w:r>
      <w:r w:rsidRPr="00E60B59">
        <w:rPr>
          <w:rFonts w:ascii="Tahoma" w:hAnsi="Tahoma" w:cs="Tahoma"/>
          <w:sz w:val="16"/>
          <w:szCs w:val="16"/>
          <w:rtl/>
        </w:rPr>
        <w:t xml:space="preserve"> למערכת יחד ובאופן שלא התעדכן לאורך זמן; כפי שיפורט בדוח. </w:t>
      </w:r>
    </w:p>
  </w:footnote>
  <w:footnote w:id="4">
    <w:p w:rsidR="00ED6905" w:rsidRPr="00E60B59" w:rsidRDefault="00ED6905" w:rsidP="00366A7A">
      <w:pPr>
        <w:pStyle w:val="af"/>
        <w:ind w:left="708" w:right="-142" w:hanging="708"/>
        <w:rPr>
          <w:rFonts w:ascii="Tahoma" w:hAnsi="Tahoma" w:cs="Tahoma"/>
          <w:sz w:val="16"/>
          <w:szCs w:val="16"/>
          <w:rtl/>
        </w:rPr>
      </w:pPr>
      <w:r w:rsidRPr="00E60B59">
        <w:rPr>
          <w:rStyle w:val="af1"/>
          <w:rFonts w:ascii="Tahoma" w:hAnsi="Tahoma" w:cs="Tahoma"/>
          <w:sz w:val="16"/>
          <w:szCs w:val="16"/>
        </w:rPr>
        <w:footnoteRef/>
      </w:r>
      <w:r w:rsidRPr="00E60B59">
        <w:rPr>
          <w:rFonts w:ascii="Tahoma" w:hAnsi="Tahoma" w:cs="Tahoma"/>
          <w:sz w:val="16"/>
          <w:szCs w:val="16"/>
          <w:rtl/>
        </w:rPr>
        <w:t xml:space="preserve"> </w:t>
      </w:r>
      <w:r w:rsidRPr="00E60B59">
        <w:rPr>
          <w:rFonts w:ascii="Tahoma" w:hAnsi="Tahoma" w:cs="Tahoma"/>
          <w:sz w:val="16"/>
          <w:szCs w:val="16"/>
          <w:rtl/>
        </w:rPr>
        <w:tab/>
        <w:t xml:space="preserve">מקור הנתונים הכמותי לאותו מועד אודות מפונים ששהו בבתי מלון עבור מערכת אמו"ן היה אומדנים של פיקוד העורף; </w:t>
      </w:r>
      <w:r w:rsidR="00314E04">
        <w:rPr>
          <w:rFonts w:ascii="Tahoma" w:hAnsi="Tahoma" w:cs="Tahoma" w:hint="cs"/>
          <w:sz w:val="16"/>
          <w:szCs w:val="16"/>
          <w:rtl/>
        </w:rPr>
        <w:t>ואילו</w:t>
      </w:r>
      <w:r w:rsidRPr="00E60B59">
        <w:rPr>
          <w:rFonts w:ascii="Tahoma" w:hAnsi="Tahoma" w:cs="Tahoma"/>
          <w:sz w:val="16"/>
          <w:szCs w:val="16"/>
          <w:rtl/>
        </w:rPr>
        <w:t xml:space="preserve"> מקור הנתונים עבור מערכת יחד באותו מועד היו שאלונים שמילאו מפונים שמסרו דיווחים במערכת. כפי שעולה היה פער בין הנתונים שהציגו שני מקורות המידע. </w:t>
      </w:r>
    </w:p>
    <w:p w:rsidR="00ED6905" w:rsidRPr="00E60B59" w:rsidRDefault="00ED6905" w:rsidP="00ED6905">
      <w:pPr>
        <w:pStyle w:val="af"/>
        <w:ind w:left="708" w:right="-567" w:hanging="708"/>
        <w:rPr>
          <w:rFonts w:ascii="Tahoma" w:hAnsi="Tahoma" w:cs="Tahoma"/>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F75"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209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62451B"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sidR="00001576">
                              <w:rPr>
                                <w:rFonts w:ascii="Calibri" w:hAnsi="Calibri" w:cs="Calibri" w:hint="cs"/>
                                <w:color w:val="002060"/>
                                <w:sz w:val="22"/>
                                <w:szCs w:val="22"/>
                                <w:rtl/>
                              </w:rPr>
                              <w:t xml:space="preserve"> | דוח מיוחד</w:t>
                            </w:r>
                            <w:r w:rsidR="00A222E2">
                              <w:rPr>
                                <w:rFonts w:ascii="Calibri" w:hAnsi="Calibri" w:cs="Calibri" w:hint="cs"/>
                                <w:color w:val="002060"/>
                                <w:sz w:val="22"/>
                                <w:szCs w:val="22"/>
                                <w:rtl/>
                              </w:rPr>
                              <w:t xml:space="preserve">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62451B" w:rsidRPr="0062451B" w:rsidRDefault="009961E8" w:rsidP="00276705">
                            <w:pPr>
                              <w:spacing w:line="240" w:lineRule="auto"/>
                              <w:jc w:val="right"/>
                              <w:rPr>
                                <w:rFonts w:ascii="Calibri" w:hAnsi="Calibri" w:cs="Calibri"/>
                                <w:color w:val="002060"/>
                                <w:szCs w:val="20"/>
                                <w:rtl/>
                              </w:rPr>
                            </w:pPr>
                            <w:r>
                              <w:rPr>
                                <w:rFonts w:ascii="Calibri" w:hAnsi="Calibri" w:cs="Calibri" w:hint="cs"/>
                                <w:color w:val="002060"/>
                                <w:szCs w:val="20"/>
                                <w:rtl/>
                              </w:rPr>
                              <w:t>אלול</w:t>
                            </w:r>
                            <w:r w:rsidR="00B4321D">
                              <w:rPr>
                                <w:rFonts w:ascii="Calibri" w:hAnsi="Calibri" w:cs="Calibri" w:hint="cs"/>
                                <w:color w:val="002060"/>
                                <w:szCs w:val="20"/>
                                <w:rtl/>
                              </w:rPr>
                              <w:t xml:space="preserve"> התשפ"ה</w:t>
                            </w:r>
                            <w:r w:rsidRPr="0062451B">
                              <w:rPr>
                                <w:rFonts w:ascii="Calibri" w:hAnsi="Calibri" w:cs="Calibri" w:hint="cs"/>
                                <w:color w:val="002060"/>
                                <w:szCs w:val="20"/>
                                <w:rtl/>
                              </w:rPr>
                              <w:t xml:space="preserve"> </w:t>
                            </w:r>
                            <w:r w:rsidR="001E204F" w:rsidRPr="0062451B">
                              <w:rPr>
                                <w:rFonts w:asciiTheme="minorHAnsi" w:hAnsiTheme="minorHAnsi" w:cstheme="minorHAnsi"/>
                                <w:color w:val="002060"/>
                                <w:spacing w:val="20"/>
                                <w:sz w:val="22"/>
                                <w:szCs w:val="22"/>
                              </w:rPr>
                              <w:t xml:space="preserve"> </w:t>
                            </w:r>
                            <w:r w:rsidR="001E204F"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 xml:space="preserve">ספטמבר </w:t>
                            </w:r>
                            <w:r w:rsidR="0039415D">
                              <w:rPr>
                                <w:rFonts w:ascii="Calibri" w:hAnsi="Calibri" w:cs="Calibri" w:hint="cs"/>
                                <w:color w:val="002060"/>
                                <w:szCs w:val="20"/>
                                <w:rtl/>
                              </w:rPr>
                              <w:t xml:space="preserve">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1E204F" w:rsidRPr="001E204F" w:rsidRDefault="009961E8"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8" style="position:absolute;margin-left:-15.2pt;margin-top:-7.45pt;width:484.3pt;height:47.6pt;z-index:25165209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9"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30"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62451B"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sidR="00001576">
                        <w:rPr>
                          <w:rFonts w:ascii="Calibri" w:hAnsi="Calibri" w:cs="Calibri" w:hint="cs"/>
                          <w:color w:val="002060"/>
                          <w:sz w:val="22"/>
                          <w:szCs w:val="22"/>
                          <w:rtl/>
                        </w:rPr>
                        <w:t xml:space="preserve"> | דוח מיוחד</w:t>
                      </w:r>
                      <w:r w:rsidR="00A222E2">
                        <w:rPr>
                          <w:rFonts w:ascii="Calibri" w:hAnsi="Calibri" w:cs="Calibri" w:hint="cs"/>
                          <w:color w:val="002060"/>
                          <w:sz w:val="22"/>
                          <w:szCs w:val="22"/>
                          <w:rtl/>
                        </w:rPr>
                        <w:t xml:space="preserve"> </w:t>
                      </w:r>
                    </w:p>
                  </w:txbxContent>
                </v:textbox>
              </v:shape>
              <v:shape id="תיבת טקסט 2" o:spid="_x0000_s1031"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62451B" w:rsidRPr="0062451B" w:rsidRDefault="009961E8" w:rsidP="00276705">
                      <w:pPr>
                        <w:spacing w:line="240" w:lineRule="auto"/>
                        <w:jc w:val="right"/>
                        <w:rPr>
                          <w:rFonts w:ascii="Calibri" w:hAnsi="Calibri" w:cs="Calibri"/>
                          <w:color w:val="002060"/>
                          <w:szCs w:val="20"/>
                          <w:rtl/>
                        </w:rPr>
                      </w:pPr>
                      <w:r>
                        <w:rPr>
                          <w:rFonts w:ascii="Calibri" w:hAnsi="Calibri" w:cs="Calibri" w:hint="cs"/>
                          <w:color w:val="002060"/>
                          <w:szCs w:val="20"/>
                          <w:rtl/>
                        </w:rPr>
                        <w:t>אלול</w:t>
                      </w:r>
                      <w:r w:rsidR="00B4321D">
                        <w:rPr>
                          <w:rFonts w:ascii="Calibri" w:hAnsi="Calibri" w:cs="Calibri" w:hint="cs"/>
                          <w:color w:val="002060"/>
                          <w:szCs w:val="20"/>
                          <w:rtl/>
                        </w:rPr>
                        <w:t xml:space="preserve"> </w:t>
                      </w:r>
                      <w:proofErr w:type="spellStart"/>
                      <w:r w:rsidR="00B4321D">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001E204F" w:rsidRPr="0062451B">
                        <w:rPr>
                          <w:rFonts w:asciiTheme="minorHAnsi" w:hAnsiTheme="minorHAnsi" w:cstheme="minorHAnsi"/>
                          <w:color w:val="002060"/>
                          <w:spacing w:val="20"/>
                          <w:sz w:val="22"/>
                          <w:szCs w:val="22"/>
                        </w:rPr>
                        <w:t xml:space="preserve"> </w:t>
                      </w:r>
                      <w:r w:rsidR="001E204F"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 xml:space="preserve">ספטמבר </w:t>
                      </w:r>
                      <w:r w:rsidR="0039415D">
                        <w:rPr>
                          <w:rFonts w:ascii="Calibri" w:hAnsi="Calibri" w:cs="Calibri" w:hint="cs"/>
                          <w:color w:val="002060"/>
                          <w:szCs w:val="20"/>
                          <w:rtl/>
                        </w:rPr>
                        <w:t xml:space="preserve"> 2025</w:t>
                      </w:r>
                      <w:r w:rsidRPr="0062451B">
                        <w:rPr>
                          <w:rFonts w:ascii="Calibri" w:hAnsi="Calibri" w:cs="Calibri" w:hint="cs"/>
                          <w:color w:val="002060"/>
                          <w:szCs w:val="20"/>
                          <w:rtl/>
                        </w:rPr>
                        <w:t xml:space="preserve"> </w:t>
                      </w:r>
                    </w:p>
                  </w:txbxContent>
                </v:textbox>
              </v:shape>
              <v:shape id="תיבת טקסט 2" o:spid="_x0000_s1032"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1E204F" w:rsidRPr="001E204F" w:rsidRDefault="009961E8"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0062451B" w:rsidRPr="0062451B">
      <w:rPr>
        <w:rFonts w:asciiTheme="minorHAnsi" w:hAnsiTheme="minorHAnsi" w:cstheme="minorHAnsi"/>
        <w:color w:val="002060"/>
        <w:szCs w:val="20"/>
        <w:rtl/>
      </w:rPr>
      <w:t xml:space="preserve"> </w:t>
    </w:r>
    <w:r w:rsidR="0062451B" w:rsidRPr="0062451B">
      <w:rPr>
        <w:rFonts w:asciiTheme="minorHAnsi" w:hAnsiTheme="minorHAnsi" w:cstheme="minorHAnsi"/>
        <w:color w:val="002060"/>
        <w:szCs w:val="20"/>
        <w:rtl/>
      </w:rPr>
      <w:fldChar w:fldCharType="begin"/>
    </w:r>
    <w:r w:rsidR="0062451B" w:rsidRPr="0062451B">
      <w:rPr>
        <w:rFonts w:asciiTheme="minorHAnsi" w:hAnsiTheme="minorHAnsi" w:cstheme="minorHAnsi"/>
        <w:color w:val="002060"/>
        <w:szCs w:val="20"/>
        <w:rtl/>
      </w:rPr>
      <w:instrText xml:space="preserve"> </w:instrText>
    </w:r>
    <w:r w:rsidR="0062451B" w:rsidRPr="0062451B">
      <w:rPr>
        <w:rFonts w:asciiTheme="minorHAnsi" w:hAnsiTheme="minorHAnsi" w:cstheme="minorHAnsi"/>
        <w:color w:val="002060"/>
        <w:szCs w:val="20"/>
      </w:rPr>
      <w:instrText>PAGE</w:instrText>
    </w:r>
    <w:r w:rsidR="0062451B" w:rsidRPr="0062451B">
      <w:rPr>
        <w:rFonts w:asciiTheme="minorHAnsi" w:hAnsiTheme="minorHAnsi" w:cstheme="minorHAnsi"/>
        <w:color w:val="002060"/>
        <w:szCs w:val="20"/>
        <w:rtl/>
      </w:rPr>
      <w:instrText xml:space="preserve">  \* </w:instrText>
    </w:r>
    <w:r w:rsidR="0062451B" w:rsidRPr="0062451B">
      <w:rPr>
        <w:rFonts w:asciiTheme="minorHAnsi" w:hAnsiTheme="minorHAnsi" w:cstheme="minorHAnsi"/>
        <w:color w:val="002060"/>
        <w:szCs w:val="20"/>
      </w:rPr>
      <w:instrText>MERGEFORMAT</w:instrText>
    </w:r>
    <w:r w:rsidR="0062451B" w:rsidRPr="0062451B">
      <w:rPr>
        <w:rFonts w:asciiTheme="minorHAnsi" w:hAnsiTheme="minorHAnsi" w:cstheme="minorHAnsi"/>
        <w:color w:val="002060"/>
        <w:szCs w:val="20"/>
        <w:rtl/>
      </w:rPr>
      <w:instrText xml:space="preserve"> </w:instrText>
    </w:r>
    <w:r w:rsidR="0062451B" w:rsidRPr="0062451B">
      <w:rPr>
        <w:rFonts w:asciiTheme="minorHAnsi" w:hAnsiTheme="minorHAnsi" w:cstheme="minorHAnsi"/>
        <w:color w:val="002060"/>
        <w:szCs w:val="20"/>
        <w:rtl/>
      </w:rPr>
      <w:fldChar w:fldCharType="separate"/>
    </w:r>
    <w:r w:rsidR="0062451B" w:rsidRPr="0062451B">
      <w:rPr>
        <w:rFonts w:asciiTheme="minorHAnsi" w:hAnsiTheme="minorHAnsi" w:cstheme="minorHAnsi"/>
        <w:noProof/>
        <w:color w:val="002060"/>
        <w:szCs w:val="20"/>
        <w:rtl/>
      </w:rPr>
      <w:t>2</w:t>
    </w:r>
    <w:r w:rsidR="0062451B" w:rsidRPr="0062451B">
      <w:rPr>
        <w:rFonts w:asciiTheme="minorHAnsi" w:hAnsiTheme="minorHAnsi" w:cstheme="minorHAnsi"/>
        <w:color w:val="002060"/>
        <w:szCs w:val="20"/>
        <w:rtl/>
      </w:rPr>
      <w:fldChar w:fldCharType="end"/>
    </w:r>
    <w:r w:rsidR="0062451B"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F75" w:rsidRDefault="0019747C" w:rsidP="005E62A6">
    <w:pPr>
      <w:pStyle w:val="a9"/>
      <w:tabs>
        <w:tab w:val="clear" w:pos="8306"/>
      </w:tabs>
    </w:pPr>
    <w:r>
      <w:rPr>
        <w:noProof/>
      </w:rPr>
      <w:drawing>
        <wp:anchor distT="0" distB="0" distL="114300" distR="114300" simplePos="0" relativeHeight="251659264" behindDoc="0" locked="0" layoutInCell="1" allowOverlap="1" wp14:anchorId="32491AD6" wp14:editId="399756B0">
          <wp:simplePos x="0" y="0"/>
          <wp:positionH relativeFrom="margin">
            <wp:align>center</wp:align>
          </wp:positionH>
          <wp:positionV relativeFrom="paragraph">
            <wp:posOffset>984885</wp:posOffset>
          </wp:positionV>
          <wp:extent cx="871220" cy="570865"/>
          <wp:effectExtent l="0" t="0" r="5080" b="635"/>
          <wp:wrapNone/>
          <wp:docPr id="24" name="גרפיק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0048"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0FD49CE" id="קבוצה 53" o:spid="_x0000_s1026" style="position:absolute;left:0;text-align:left;margin-left:153.3pt;margin-top:-36.45pt;width:133.5pt;height:237pt;z-index:251650048"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sidR="009961E8">
      <w:rPr>
        <w:noProof/>
      </w:rPr>
      <mc:AlternateContent>
        <mc:Choice Requires="wps">
          <w:drawing>
            <wp:anchor distT="0" distB="0" distL="114300" distR="114300" simplePos="0" relativeHeight="251654144"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6A646E" w:rsidRPr="0019747C" w:rsidRDefault="009961E8" w:rsidP="006A646E">
                          <w:pPr>
                            <w:jc w:val="center"/>
                            <w:rPr>
                              <w:rFonts w:ascii="Calibri" w:hAnsi="Calibri" w:cs="Calibri"/>
                              <w:color w:val="002060"/>
                              <w:spacing w:val="80"/>
                              <w:sz w:val="28"/>
                              <w:szCs w:val="36"/>
                            </w:rPr>
                          </w:pPr>
                          <w:r w:rsidRPr="0019747C">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3" type="#_x0000_t202" style="position:absolute;left:0;text-align:left;margin-left:102.75pt;margin-top:164.6pt;width:233pt;height:35.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6A646E" w:rsidRPr="0019747C" w:rsidRDefault="009961E8" w:rsidP="006A646E">
                    <w:pPr>
                      <w:jc w:val="center"/>
                      <w:rPr>
                        <w:rFonts w:ascii="Calibri" w:hAnsi="Calibri" w:cs="Calibri"/>
                        <w:color w:val="002060"/>
                        <w:spacing w:val="80"/>
                        <w:sz w:val="28"/>
                        <w:szCs w:val="36"/>
                      </w:rPr>
                    </w:pPr>
                    <w:r w:rsidRPr="0019747C">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49" w:rsidRPr="005C3049" w:rsidRDefault="009961E8" w:rsidP="005C3049">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619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RDefault="005C304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8" style="position:absolute;margin-left:-15.2pt;margin-top:-7.45pt;width:484.3pt;height:47.6pt;z-index:251656192;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9"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40"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1"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2"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5C3049" w:rsidRPr="001E204F" w:rsidRDefault="005C304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8C7"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168"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5330FA">
                              <w:rPr>
                                <w:rFonts w:ascii="Calibri" w:hAnsi="Calibri" w:cs="Calibri" w:hint="cs"/>
                                <w:color w:val="002060"/>
                                <w:sz w:val="12"/>
                                <w:szCs w:val="12"/>
                                <w:rtl/>
                              </w:rPr>
                              <w:t xml:space="preserve"> </w:t>
                            </w:r>
                            <w:r w:rsidR="009961E8" w:rsidRPr="005330FA">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5330FA">
                              <w:rPr>
                                <w:rFonts w:ascii="Calibri" w:hAnsi="Calibri" w:cs="Calibri" w:hint="cs"/>
                                <w:color w:val="002060"/>
                                <w:sz w:val="12"/>
                                <w:szCs w:val="12"/>
                                <w:rtl/>
                              </w:rPr>
                              <w:t xml:space="preserve"> </w:t>
                            </w:r>
                            <w:r w:rsidR="009961E8">
                              <w:rPr>
                                <w:rFonts w:ascii="Calibri" w:hAnsi="Calibri" w:cs="Calibri" w:hint="cs"/>
                                <w:color w:val="002060"/>
                                <w:szCs w:val="20"/>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E678C7" w:rsidRPr="0063663E" w:rsidRDefault="005C7A8C" w:rsidP="009515F9">
                            <w:pPr>
                              <w:spacing w:line="240" w:lineRule="auto"/>
                              <w:rPr>
                                <w:rFonts w:ascii="Calibri" w:hAnsi="Calibri" w:cs="Calibri"/>
                                <w:color w:val="002060"/>
                                <w:sz w:val="19"/>
                                <w:szCs w:val="19"/>
                                <w:rtl/>
                              </w:rPr>
                            </w:pPr>
                            <w:r w:rsidRPr="005C7A8C">
                              <w:rPr>
                                <w:rFonts w:ascii="Calibri" w:hAnsi="Calibri" w:cs="Calibri"/>
                                <w:color w:val="002060"/>
                                <w:szCs w:val="20"/>
                                <w:rtl/>
                              </w:rPr>
                              <w:t>ניהול המידע בקשר לטיפול במפונים</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3" style="position:absolute;margin-left:-15.25pt;margin-top:-7.6pt;width:484.3pt;height:65.2pt;z-index:251655168;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">
              <v:line id="מחבר ישר 38" o:spid="_x0000_s1044"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5"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v:textbox>
              </v:shape>
              <v:shape id="תיבת טקסט 2" o:spid="_x0000_s1046"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5330FA">
                        <w:rPr>
                          <w:rFonts w:ascii="Calibri" w:hAnsi="Calibri" w:cs="Calibri" w:hint="cs"/>
                          <w:color w:val="002060"/>
                          <w:sz w:val="12"/>
                          <w:szCs w:val="12"/>
                          <w:rtl/>
                        </w:rPr>
                        <w:t xml:space="preserve"> </w:t>
                      </w:r>
                      <w:r w:rsidR="009961E8" w:rsidRPr="005330FA">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5330FA">
                        <w:rPr>
                          <w:rFonts w:ascii="Calibri" w:hAnsi="Calibri" w:cs="Calibri" w:hint="cs"/>
                          <w:color w:val="002060"/>
                          <w:sz w:val="12"/>
                          <w:szCs w:val="12"/>
                          <w:rtl/>
                        </w:rPr>
                        <w:t xml:space="preserve"> </w:t>
                      </w:r>
                      <w:r w:rsidR="009961E8">
                        <w:rPr>
                          <w:rFonts w:ascii="Calibri" w:hAnsi="Calibri" w:cs="Calibri" w:hint="cs"/>
                          <w:color w:val="002060"/>
                          <w:szCs w:val="20"/>
                          <w:rtl/>
                        </w:rPr>
                        <w:t xml:space="preserve"> </w:t>
                      </w:r>
                      <w:r w:rsidR="009912C8">
                        <w:rPr>
                          <w:rFonts w:ascii="Calibri" w:hAnsi="Calibri" w:cs="Calibri" w:hint="cs"/>
                          <w:color w:val="002060"/>
                          <w:szCs w:val="20"/>
                          <w:rtl/>
                        </w:rPr>
                        <w:t>2026</w:t>
                      </w:r>
                    </w:p>
                  </w:txbxContent>
                </v:textbox>
              </v:shape>
              <v:shape id="תיבת טקסט 2" o:spid="_x0000_s1047"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E678C7" w:rsidRPr="0063663E" w:rsidRDefault="005C7A8C" w:rsidP="009515F9">
                      <w:pPr>
                        <w:spacing w:line="240" w:lineRule="auto"/>
                        <w:rPr>
                          <w:rFonts w:ascii="Calibri" w:hAnsi="Calibri" w:cs="Calibri"/>
                          <w:color w:val="002060"/>
                          <w:sz w:val="19"/>
                          <w:szCs w:val="19"/>
                          <w:rtl/>
                        </w:rPr>
                      </w:pPr>
                      <w:r w:rsidRPr="005C7A8C">
                        <w:rPr>
                          <w:rFonts w:ascii="Calibri" w:hAnsi="Calibri" w:cs="Calibri"/>
                          <w:color w:val="002060"/>
                          <w:szCs w:val="20"/>
                          <w:rtl/>
                        </w:rPr>
                        <w:t>ניהול המידע בקשר לטיפול במפונים</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0FA" w:rsidRPr="0062451B" w:rsidRDefault="005330FA" w:rsidP="005330FA">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7456" behindDoc="0" locked="0" layoutInCell="1" allowOverlap="1" wp14:anchorId="1DD1837F" wp14:editId="09AE4E1F">
              <wp:simplePos x="0" y="0"/>
              <wp:positionH relativeFrom="column">
                <wp:posOffset>-193879</wp:posOffset>
              </wp:positionH>
              <wp:positionV relativeFrom="paragraph">
                <wp:posOffset>-96532</wp:posOffset>
              </wp:positionV>
              <wp:extent cx="6150310" cy="828136"/>
              <wp:effectExtent l="0" t="0" r="3175" b="0"/>
              <wp:wrapNone/>
              <wp:docPr id="15" name="קבוצה 15"/>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17" name="מחבר ישר 17"/>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330FA" w:rsidRPr="0062451B" w:rsidRDefault="005330FA" w:rsidP="005330F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2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330FA" w:rsidRPr="0062451B" w:rsidRDefault="005330FA" w:rsidP="005330FA">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p>
                        </w:txbxContent>
                      </wps:txbx>
                      <wps:bodyPr rot="0" vert="horz" wrap="square" lIns="91440" tIns="45720" rIns="91440" bIns="45720" anchor="t" anchorCtr="0"/>
                    </wps:wsp>
                    <wps:wsp>
                      <wps:cNvPr id="27"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5330FA" w:rsidRPr="0063663E" w:rsidRDefault="005330FA" w:rsidP="005330FA">
                            <w:pPr>
                              <w:spacing w:line="240" w:lineRule="auto"/>
                              <w:rPr>
                                <w:rFonts w:ascii="Calibri" w:hAnsi="Calibri" w:cs="Calibri"/>
                                <w:color w:val="002060"/>
                                <w:sz w:val="19"/>
                                <w:szCs w:val="19"/>
                                <w:rtl/>
                              </w:rPr>
                            </w:pPr>
                            <w:r w:rsidRPr="005C7A8C">
                              <w:rPr>
                                <w:rFonts w:ascii="Calibri" w:hAnsi="Calibri" w:cs="Calibri"/>
                                <w:color w:val="002060"/>
                                <w:szCs w:val="20"/>
                                <w:rtl/>
                              </w:rPr>
                              <w:t>ניהול המידע בקשר לטיפול במפונים</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DD1837F" id="קבוצה 15" o:spid="_x0000_s1048" style="position:absolute;margin-left:-15.25pt;margin-top:-7.6pt;width:484.3pt;height:65.2pt;z-index:251667456;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">
              <v:line id="מחבר ישר 17" o:spid="_x0000_s1049"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" strokecolor="#4579b8 [3044]"/>
              <v:shapetype id="_x0000_t202" coordsize="21600,21600" o:spt="202" path="m,l,21600r21600,l21600,xe">
                <v:stroke joinstyle="miter"/>
                <v:path gradientshapeok="t" o:connecttype="rect"/>
              </v:shapetype>
              <v:shape id="תיבת טקסט 2" o:spid="_x0000_s1050"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" filled="f" stroked="f">
                <v:textbox>
                  <w:txbxContent>
                    <w:p w:rsidR="005330FA" w:rsidRPr="0062451B" w:rsidRDefault="005330FA" w:rsidP="005330F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1"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" filled="f" stroked="f">
                <v:textbox>
                  <w:txbxContent>
                    <w:p w:rsidR="005330FA" w:rsidRPr="0062451B" w:rsidRDefault="005330FA" w:rsidP="005330FA">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p>
                  </w:txbxContent>
                </v:textbox>
              </v:shape>
              <v:shape id="תיבת טקסט 2" o:spid="_x0000_s1052"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" filled="f" stroked="f">
                <v:textbox>
                  <w:txbxContent>
                    <w:p w:rsidR="005330FA" w:rsidRPr="0063663E" w:rsidRDefault="005330FA" w:rsidP="005330FA">
                      <w:pPr>
                        <w:spacing w:line="240" w:lineRule="auto"/>
                        <w:rPr>
                          <w:rFonts w:ascii="Calibri" w:hAnsi="Calibri" w:cs="Calibri"/>
                          <w:color w:val="002060"/>
                          <w:sz w:val="19"/>
                          <w:szCs w:val="19"/>
                          <w:rtl/>
                        </w:rPr>
                      </w:pPr>
                      <w:r w:rsidRPr="005C7A8C">
                        <w:rPr>
                          <w:rFonts w:ascii="Calibri" w:hAnsi="Calibri" w:cs="Calibri"/>
                          <w:color w:val="002060"/>
                          <w:szCs w:val="20"/>
                          <w:rtl/>
                        </w:rPr>
                        <w:t>ניהול המידע בקשר לטיפול במפונים</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cstheme="minorHAnsi"/>
        <w:color w:val="002060"/>
        <w:szCs w:val="20"/>
        <w:rtl/>
      </w:rPr>
      <w:t>3</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F56CE4" w:rsidRPr="005330FA" w:rsidRDefault="00F56CE4" w:rsidP="005330FA">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9A" w:rsidRPr="00FB414E" w:rsidRDefault="009961E8" w:rsidP="00FB414E">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721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1051" style="position:absolute;margin-left:-15.2pt;margin-top:-7.45pt;width:484.3pt;height:47.6pt;z-index:25165721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2oleVogMAAIAMAAAOAAAAAAAAAAAAAAAAAC4CAABkcnMvZTJvRG9jLnhtbFBLAQItABQABgAI&#10;AAAAIQBvXoIP4QAAAAoBAAAPAAAAAAAAAAAAAAAAAPwFAABkcnMvZG93bnJldi54bWxQSwUGAAAA&#10;AAQABADzAAAACgcAAAAA&#10;">
              <v:line id="מחבר ישר 1166979208" o:spid="_x0000_s105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" strokecolor="#4579b8 [3044]"/>
              <v:shapetype id="_x0000_t202" coordsize="21600,21600" o:spt="202" path="m,l,21600r21600,l21600,xe">
                <v:stroke joinstyle="miter"/>
                <v:path gradientshapeok="t" o:connecttype="rect"/>
              </v:shapetype>
              <v:shape id="תיבת טקסט 2" o:spid="_x0000_s105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" filled="f" stroked="f">
                <v:textbo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" filled="f" stroked="f">
                <v:textbo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5"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" filled="f" stroked="f">
                <v:textbo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9" type="#_x0000_t75" style="width:18pt;height:16.5pt" o:bullet="t">
        <v:imagedata r:id="rId1" o:title="hand-red"/>
      </v:shape>
    </w:pict>
  </w:numPicBullet>
  <w:numPicBullet w:numPicBulletId="1">
    <w:pict>
      <v:shape id="_x0000_i1340" type="#_x0000_t75" style="width:254.25pt;height:254.25pt" o:bullet="t">
        <v:imagedata r:id="rId2" o:title=""/>
      </v:shape>
    </w:pict>
  </w:numPicBullet>
  <w:abstractNum w:abstractNumId="0" w15:restartNumberingAfterBreak="0">
    <w:nsid w:val="088216AB"/>
    <w:multiLevelType w:val="hybridMultilevel"/>
    <w:tmpl w:val="BB7ADECA"/>
    <w:lvl w:ilvl="0" w:tplc="3A38C5B0">
      <w:start w:val="1"/>
      <w:numFmt w:val="hebrew1"/>
      <w:pStyle w:val="1"/>
      <w:lvlText w:val="%1."/>
      <w:lvlJc w:val="center"/>
      <w:pPr>
        <w:ind w:left="1915" w:hanging="360"/>
      </w:pPr>
    </w:lvl>
    <w:lvl w:ilvl="1" w:tplc="A9EEA3BA" w:tentative="1">
      <w:start w:val="1"/>
      <w:numFmt w:val="lowerLetter"/>
      <w:lvlText w:val="%2."/>
      <w:lvlJc w:val="left"/>
      <w:pPr>
        <w:ind w:left="2635" w:hanging="360"/>
      </w:pPr>
    </w:lvl>
    <w:lvl w:ilvl="2" w:tplc="9CC25F30" w:tentative="1">
      <w:start w:val="1"/>
      <w:numFmt w:val="lowerRoman"/>
      <w:lvlText w:val="%3."/>
      <w:lvlJc w:val="right"/>
      <w:pPr>
        <w:ind w:left="3355" w:hanging="180"/>
      </w:pPr>
    </w:lvl>
    <w:lvl w:ilvl="3" w:tplc="1D4C38E0" w:tentative="1">
      <w:start w:val="1"/>
      <w:numFmt w:val="decimal"/>
      <w:lvlText w:val="%4."/>
      <w:lvlJc w:val="left"/>
      <w:pPr>
        <w:ind w:left="4075" w:hanging="360"/>
      </w:pPr>
    </w:lvl>
    <w:lvl w:ilvl="4" w:tplc="54FE2B0E" w:tentative="1">
      <w:start w:val="1"/>
      <w:numFmt w:val="lowerLetter"/>
      <w:lvlText w:val="%5."/>
      <w:lvlJc w:val="left"/>
      <w:pPr>
        <w:ind w:left="4795" w:hanging="360"/>
      </w:pPr>
    </w:lvl>
    <w:lvl w:ilvl="5" w:tplc="142A03FE" w:tentative="1">
      <w:start w:val="1"/>
      <w:numFmt w:val="lowerRoman"/>
      <w:lvlText w:val="%6."/>
      <w:lvlJc w:val="right"/>
      <w:pPr>
        <w:ind w:left="5515" w:hanging="180"/>
      </w:pPr>
    </w:lvl>
    <w:lvl w:ilvl="6" w:tplc="AB48969C" w:tentative="1">
      <w:start w:val="1"/>
      <w:numFmt w:val="decimal"/>
      <w:lvlText w:val="%7."/>
      <w:lvlJc w:val="left"/>
      <w:pPr>
        <w:ind w:left="6235" w:hanging="360"/>
      </w:pPr>
    </w:lvl>
    <w:lvl w:ilvl="7" w:tplc="5BF07B4C" w:tentative="1">
      <w:start w:val="1"/>
      <w:numFmt w:val="lowerLetter"/>
      <w:lvlText w:val="%8."/>
      <w:lvlJc w:val="left"/>
      <w:pPr>
        <w:ind w:left="6955" w:hanging="360"/>
      </w:pPr>
    </w:lvl>
    <w:lvl w:ilvl="8" w:tplc="9D682F6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F01860D2">
      <w:start w:val="1"/>
      <w:numFmt w:val="decimal"/>
      <w:lvlText w:val="%1."/>
      <w:lvlJc w:val="left"/>
      <w:pPr>
        <w:ind w:left="397" w:hanging="397"/>
      </w:pPr>
      <w:rPr>
        <w:rFonts w:hint="default"/>
      </w:rPr>
    </w:lvl>
    <w:lvl w:ilvl="1" w:tplc="DF48574C" w:tentative="1">
      <w:start w:val="1"/>
      <w:numFmt w:val="lowerLetter"/>
      <w:lvlText w:val="%2."/>
      <w:lvlJc w:val="left"/>
      <w:pPr>
        <w:ind w:left="1440" w:hanging="360"/>
      </w:pPr>
    </w:lvl>
    <w:lvl w:ilvl="2" w:tplc="95E4D03A" w:tentative="1">
      <w:start w:val="1"/>
      <w:numFmt w:val="lowerRoman"/>
      <w:lvlText w:val="%3."/>
      <w:lvlJc w:val="right"/>
      <w:pPr>
        <w:ind w:left="2160" w:hanging="180"/>
      </w:pPr>
    </w:lvl>
    <w:lvl w:ilvl="3" w:tplc="D2E6577E" w:tentative="1">
      <w:start w:val="1"/>
      <w:numFmt w:val="decimal"/>
      <w:lvlText w:val="%4."/>
      <w:lvlJc w:val="left"/>
      <w:pPr>
        <w:ind w:left="2880" w:hanging="360"/>
      </w:pPr>
    </w:lvl>
    <w:lvl w:ilvl="4" w:tplc="164A9528" w:tentative="1">
      <w:start w:val="1"/>
      <w:numFmt w:val="lowerLetter"/>
      <w:lvlText w:val="%5."/>
      <w:lvlJc w:val="left"/>
      <w:pPr>
        <w:ind w:left="3600" w:hanging="360"/>
      </w:pPr>
    </w:lvl>
    <w:lvl w:ilvl="5" w:tplc="AE2675E6" w:tentative="1">
      <w:start w:val="1"/>
      <w:numFmt w:val="lowerRoman"/>
      <w:lvlText w:val="%6."/>
      <w:lvlJc w:val="right"/>
      <w:pPr>
        <w:ind w:left="4320" w:hanging="180"/>
      </w:pPr>
    </w:lvl>
    <w:lvl w:ilvl="6" w:tplc="96B65B04" w:tentative="1">
      <w:start w:val="1"/>
      <w:numFmt w:val="decimal"/>
      <w:lvlText w:val="%7."/>
      <w:lvlJc w:val="left"/>
      <w:pPr>
        <w:ind w:left="5040" w:hanging="360"/>
      </w:pPr>
    </w:lvl>
    <w:lvl w:ilvl="7" w:tplc="23E2F8F0" w:tentative="1">
      <w:start w:val="1"/>
      <w:numFmt w:val="lowerLetter"/>
      <w:lvlText w:val="%8."/>
      <w:lvlJc w:val="left"/>
      <w:pPr>
        <w:ind w:left="5760" w:hanging="360"/>
      </w:pPr>
    </w:lvl>
    <w:lvl w:ilvl="8" w:tplc="D352B236"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98FEDA48">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8992058E" w:tentative="1">
      <w:start w:val="1"/>
      <w:numFmt w:val="bullet"/>
      <w:lvlText w:val="o"/>
      <w:lvlJc w:val="left"/>
      <w:pPr>
        <w:ind w:left="1440" w:hanging="360"/>
      </w:pPr>
      <w:rPr>
        <w:rFonts w:ascii="Courier New" w:hAnsi="Courier New" w:cs="Courier New" w:hint="default"/>
      </w:rPr>
    </w:lvl>
    <w:lvl w:ilvl="2" w:tplc="5510C730" w:tentative="1">
      <w:start w:val="1"/>
      <w:numFmt w:val="bullet"/>
      <w:lvlText w:val=""/>
      <w:lvlJc w:val="left"/>
      <w:pPr>
        <w:ind w:left="2160" w:hanging="360"/>
      </w:pPr>
      <w:rPr>
        <w:rFonts w:ascii="Wingdings" w:hAnsi="Wingdings" w:hint="default"/>
      </w:rPr>
    </w:lvl>
    <w:lvl w:ilvl="3" w:tplc="0B226DD8" w:tentative="1">
      <w:start w:val="1"/>
      <w:numFmt w:val="bullet"/>
      <w:lvlText w:val=""/>
      <w:lvlJc w:val="left"/>
      <w:pPr>
        <w:ind w:left="2880" w:hanging="360"/>
      </w:pPr>
      <w:rPr>
        <w:rFonts w:ascii="Symbol" w:hAnsi="Symbol" w:hint="default"/>
      </w:rPr>
    </w:lvl>
    <w:lvl w:ilvl="4" w:tplc="81BEF50C" w:tentative="1">
      <w:start w:val="1"/>
      <w:numFmt w:val="bullet"/>
      <w:lvlText w:val="o"/>
      <w:lvlJc w:val="left"/>
      <w:pPr>
        <w:ind w:left="3600" w:hanging="360"/>
      </w:pPr>
      <w:rPr>
        <w:rFonts w:ascii="Courier New" w:hAnsi="Courier New" w:cs="Courier New" w:hint="default"/>
      </w:rPr>
    </w:lvl>
    <w:lvl w:ilvl="5" w:tplc="5A12E166" w:tentative="1">
      <w:start w:val="1"/>
      <w:numFmt w:val="bullet"/>
      <w:lvlText w:val=""/>
      <w:lvlJc w:val="left"/>
      <w:pPr>
        <w:ind w:left="4320" w:hanging="360"/>
      </w:pPr>
      <w:rPr>
        <w:rFonts w:ascii="Wingdings" w:hAnsi="Wingdings" w:hint="default"/>
      </w:rPr>
    </w:lvl>
    <w:lvl w:ilvl="6" w:tplc="93664AB4" w:tentative="1">
      <w:start w:val="1"/>
      <w:numFmt w:val="bullet"/>
      <w:lvlText w:val=""/>
      <w:lvlJc w:val="left"/>
      <w:pPr>
        <w:ind w:left="5040" w:hanging="360"/>
      </w:pPr>
      <w:rPr>
        <w:rFonts w:ascii="Symbol" w:hAnsi="Symbol" w:hint="default"/>
      </w:rPr>
    </w:lvl>
    <w:lvl w:ilvl="7" w:tplc="4DDA35FE" w:tentative="1">
      <w:start w:val="1"/>
      <w:numFmt w:val="bullet"/>
      <w:lvlText w:val="o"/>
      <w:lvlJc w:val="left"/>
      <w:pPr>
        <w:ind w:left="5760" w:hanging="360"/>
      </w:pPr>
      <w:rPr>
        <w:rFonts w:ascii="Courier New" w:hAnsi="Courier New" w:cs="Courier New" w:hint="default"/>
      </w:rPr>
    </w:lvl>
    <w:lvl w:ilvl="8" w:tplc="B81C7A8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4868114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1A1C0A16" w:tentative="1">
      <w:start w:val="1"/>
      <w:numFmt w:val="bullet"/>
      <w:lvlText w:val="o"/>
      <w:lvlJc w:val="left"/>
      <w:pPr>
        <w:ind w:left="1440" w:hanging="360"/>
      </w:pPr>
      <w:rPr>
        <w:rFonts w:ascii="Courier New" w:hAnsi="Courier New" w:cs="Courier New" w:hint="default"/>
      </w:rPr>
    </w:lvl>
    <w:lvl w:ilvl="2" w:tplc="29FC0FAA" w:tentative="1">
      <w:start w:val="1"/>
      <w:numFmt w:val="bullet"/>
      <w:lvlText w:val=""/>
      <w:lvlJc w:val="left"/>
      <w:pPr>
        <w:ind w:left="2160" w:hanging="360"/>
      </w:pPr>
      <w:rPr>
        <w:rFonts w:ascii="Wingdings" w:hAnsi="Wingdings" w:hint="default"/>
      </w:rPr>
    </w:lvl>
    <w:lvl w:ilvl="3" w:tplc="6E66C352" w:tentative="1">
      <w:start w:val="1"/>
      <w:numFmt w:val="bullet"/>
      <w:lvlText w:val=""/>
      <w:lvlJc w:val="left"/>
      <w:pPr>
        <w:ind w:left="2880" w:hanging="360"/>
      </w:pPr>
      <w:rPr>
        <w:rFonts w:ascii="Symbol" w:hAnsi="Symbol" w:hint="default"/>
      </w:rPr>
    </w:lvl>
    <w:lvl w:ilvl="4" w:tplc="969EC8C2" w:tentative="1">
      <w:start w:val="1"/>
      <w:numFmt w:val="bullet"/>
      <w:lvlText w:val="o"/>
      <w:lvlJc w:val="left"/>
      <w:pPr>
        <w:ind w:left="3600" w:hanging="360"/>
      </w:pPr>
      <w:rPr>
        <w:rFonts w:ascii="Courier New" w:hAnsi="Courier New" w:cs="Courier New" w:hint="default"/>
      </w:rPr>
    </w:lvl>
    <w:lvl w:ilvl="5" w:tplc="749E3A52" w:tentative="1">
      <w:start w:val="1"/>
      <w:numFmt w:val="bullet"/>
      <w:lvlText w:val=""/>
      <w:lvlJc w:val="left"/>
      <w:pPr>
        <w:ind w:left="4320" w:hanging="360"/>
      </w:pPr>
      <w:rPr>
        <w:rFonts w:ascii="Wingdings" w:hAnsi="Wingdings" w:hint="default"/>
      </w:rPr>
    </w:lvl>
    <w:lvl w:ilvl="6" w:tplc="BBE84E80" w:tentative="1">
      <w:start w:val="1"/>
      <w:numFmt w:val="bullet"/>
      <w:lvlText w:val=""/>
      <w:lvlJc w:val="left"/>
      <w:pPr>
        <w:ind w:left="5040" w:hanging="360"/>
      </w:pPr>
      <w:rPr>
        <w:rFonts w:ascii="Symbol" w:hAnsi="Symbol" w:hint="default"/>
      </w:rPr>
    </w:lvl>
    <w:lvl w:ilvl="7" w:tplc="F8C2DFB4" w:tentative="1">
      <w:start w:val="1"/>
      <w:numFmt w:val="bullet"/>
      <w:lvlText w:val="o"/>
      <w:lvlJc w:val="left"/>
      <w:pPr>
        <w:ind w:left="5760" w:hanging="360"/>
      </w:pPr>
      <w:rPr>
        <w:rFonts w:ascii="Courier New" w:hAnsi="Courier New" w:cs="Courier New" w:hint="default"/>
      </w:rPr>
    </w:lvl>
    <w:lvl w:ilvl="8" w:tplc="9AC603B6"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97FABDBA">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1F58ECD6" w:tentative="1">
      <w:start w:val="1"/>
      <w:numFmt w:val="bullet"/>
      <w:lvlText w:val="o"/>
      <w:lvlJc w:val="left"/>
      <w:pPr>
        <w:ind w:left="1837" w:hanging="360"/>
      </w:pPr>
      <w:rPr>
        <w:rFonts w:ascii="Courier New" w:hAnsi="Courier New" w:cs="Courier New" w:hint="default"/>
      </w:rPr>
    </w:lvl>
    <w:lvl w:ilvl="2" w:tplc="59F2F6B6" w:tentative="1">
      <w:start w:val="1"/>
      <w:numFmt w:val="bullet"/>
      <w:lvlText w:val=""/>
      <w:lvlJc w:val="left"/>
      <w:pPr>
        <w:ind w:left="2557" w:hanging="360"/>
      </w:pPr>
      <w:rPr>
        <w:rFonts w:ascii="Wingdings" w:hAnsi="Wingdings" w:hint="default"/>
      </w:rPr>
    </w:lvl>
    <w:lvl w:ilvl="3" w:tplc="62720D1C" w:tentative="1">
      <w:start w:val="1"/>
      <w:numFmt w:val="bullet"/>
      <w:lvlText w:val=""/>
      <w:lvlJc w:val="left"/>
      <w:pPr>
        <w:ind w:left="3277" w:hanging="360"/>
      </w:pPr>
      <w:rPr>
        <w:rFonts w:ascii="Symbol" w:hAnsi="Symbol" w:hint="default"/>
      </w:rPr>
    </w:lvl>
    <w:lvl w:ilvl="4" w:tplc="679A1012" w:tentative="1">
      <w:start w:val="1"/>
      <w:numFmt w:val="bullet"/>
      <w:lvlText w:val="o"/>
      <w:lvlJc w:val="left"/>
      <w:pPr>
        <w:ind w:left="3997" w:hanging="360"/>
      </w:pPr>
      <w:rPr>
        <w:rFonts w:ascii="Courier New" w:hAnsi="Courier New" w:cs="Courier New" w:hint="default"/>
      </w:rPr>
    </w:lvl>
    <w:lvl w:ilvl="5" w:tplc="CE26FBDA" w:tentative="1">
      <w:start w:val="1"/>
      <w:numFmt w:val="bullet"/>
      <w:lvlText w:val=""/>
      <w:lvlJc w:val="left"/>
      <w:pPr>
        <w:ind w:left="4717" w:hanging="360"/>
      </w:pPr>
      <w:rPr>
        <w:rFonts w:ascii="Wingdings" w:hAnsi="Wingdings" w:hint="default"/>
      </w:rPr>
    </w:lvl>
    <w:lvl w:ilvl="6" w:tplc="7DF0CE40" w:tentative="1">
      <w:start w:val="1"/>
      <w:numFmt w:val="bullet"/>
      <w:lvlText w:val=""/>
      <w:lvlJc w:val="left"/>
      <w:pPr>
        <w:ind w:left="5437" w:hanging="360"/>
      </w:pPr>
      <w:rPr>
        <w:rFonts w:ascii="Symbol" w:hAnsi="Symbol" w:hint="default"/>
      </w:rPr>
    </w:lvl>
    <w:lvl w:ilvl="7" w:tplc="0BC850FC" w:tentative="1">
      <w:start w:val="1"/>
      <w:numFmt w:val="bullet"/>
      <w:lvlText w:val="o"/>
      <w:lvlJc w:val="left"/>
      <w:pPr>
        <w:ind w:left="6157" w:hanging="360"/>
      </w:pPr>
      <w:rPr>
        <w:rFonts w:ascii="Courier New" w:hAnsi="Courier New" w:cs="Courier New" w:hint="default"/>
      </w:rPr>
    </w:lvl>
    <w:lvl w:ilvl="8" w:tplc="35124644"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EF883A4">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9F3C496A" w:tentative="1">
      <w:start w:val="1"/>
      <w:numFmt w:val="bullet"/>
      <w:lvlText w:val="o"/>
      <w:lvlJc w:val="left"/>
      <w:pPr>
        <w:ind w:left="1440" w:hanging="360"/>
      </w:pPr>
      <w:rPr>
        <w:rFonts w:ascii="Courier New" w:hAnsi="Courier New" w:cs="Courier New" w:hint="default"/>
      </w:rPr>
    </w:lvl>
    <w:lvl w:ilvl="2" w:tplc="DDD26712" w:tentative="1">
      <w:start w:val="1"/>
      <w:numFmt w:val="bullet"/>
      <w:lvlText w:val=""/>
      <w:lvlJc w:val="left"/>
      <w:pPr>
        <w:ind w:left="2160" w:hanging="360"/>
      </w:pPr>
      <w:rPr>
        <w:rFonts w:ascii="Wingdings" w:hAnsi="Wingdings" w:hint="default"/>
      </w:rPr>
    </w:lvl>
    <w:lvl w:ilvl="3" w:tplc="A1E41774" w:tentative="1">
      <w:start w:val="1"/>
      <w:numFmt w:val="bullet"/>
      <w:lvlText w:val=""/>
      <w:lvlJc w:val="left"/>
      <w:pPr>
        <w:ind w:left="2880" w:hanging="360"/>
      </w:pPr>
      <w:rPr>
        <w:rFonts w:ascii="Symbol" w:hAnsi="Symbol" w:hint="default"/>
      </w:rPr>
    </w:lvl>
    <w:lvl w:ilvl="4" w:tplc="0666EAC8" w:tentative="1">
      <w:start w:val="1"/>
      <w:numFmt w:val="bullet"/>
      <w:lvlText w:val="o"/>
      <w:lvlJc w:val="left"/>
      <w:pPr>
        <w:ind w:left="3600" w:hanging="360"/>
      </w:pPr>
      <w:rPr>
        <w:rFonts w:ascii="Courier New" w:hAnsi="Courier New" w:cs="Courier New" w:hint="default"/>
      </w:rPr>
    </w:lvl>
    <w:lvl w:ilvl="5" w:tplc="973ED118" w:tentative="1">
      <w:start w:val="1"/>
      <w:numFmt w:val="bullet"/>
      <w:lvlText w:val=""/>
      <w:lvlJc w:val="left"/>
      <w:pPr>
        <w:ind w:left="4320" w:hanging="360"/>
      </w:pPr>
      <w:rPr>
        <w:rFonts w:ascii="Wingdings" w:hAnsi="Wingdings" w:hint="default"/>
      </w:rPr>
    </w:lvl>
    <w:lvl w:ilvl="6" w:tplc="2B56CE7C" w:tentative="1">
      <w:start w:val="1"/>
      <w:numFmt w:val="bullet"/>
      <w:lvlText w:val=""/>
      <w:lvlJc w:val="left"/>
      <w:pPr>
        <w:ind w:left="5040" w:hanging="360"/>
      </w:pPr>
      <w:rPr>
        <w:rFonts w:ascii="Symbol" w:hAnsi="Symbol" w:hint="default"/>
      </w:rPr>
    </w:lvl>
    <w:lvl w:ilvl="7" w:tplc="F808DC1C" w:tentative="1">
      <w:start w:val="1"/>
      <w:numFmt w:val="bullet"/>
      <w:lvlText w:val="o"/>
      <w:lvlJc w:val="left"/>
      <w:pPr>
        <w:ind w:left="5760" w:hanging="360"/>
      </w:pPr>
      <w:rPr>
        <w:rFonts w:ascii="Courier New" w:hAnsi="Courier New" w:cs="Courier New" w:hint="default"/>
      </w:rPr>
    </w:lvl>
    <w:lvl w:ilvl="8" w:tplc="BF4086AC"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tplc="5ACCC4C6">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92CAFB02" w:tentative="1">
      <w:start w:val="1"/>
      <w:numFmt w:val="bullet"/>
      <w:lvlText w:val="o"/>
      <w:lvlJc w:val="left"/>
      <w:pPr>
        <w:ind w:left="1837" w:hanging="360"/>
      </w:pPr>
      <w:rPr>
        <w:rFonts w:ascii="Courier New" w:hAnsi="Courier New" w:cs="Courier New" w:hint="default"/>
      </w:rPr>
    </w:lvl>
    <w:lvl w:ilvl="2" w:tplc="158CFFC2" w:tentative="1">
      <w:start w:val="1"/>
      <w:numFmt w:val="bullet"/>
      <w:lvlText w:val=""/>
      <w:lvlJc w:val="left"/>
      <w:pPr>
        <w:ind w:left="2557" w:hanging="360"/>
      </w:pPr>
      <w:rPr>
        <w:rFonts w:ascii="Wingdings" w:hAnsi="Wingdings" w:hint="default"/>
      </w:rPr>
    </w:lvl>
    <w:lvl w:ilvl="3" w:tplc="5D02ADC2" w:tentative="1">
      <w:start w:val="1"/>
      <w:numFmt w:val="bullet"/>
      <w:lvlText w:val=""/>
      <w:lvlJc w:val="left"/>
      <w:pPr>
        <w:ind w:left="3277" w:hanging="360"/>
      </w:pPr>
      <w:rPr>
        <w:rFonts w:ascii="Symbol" w:hAnsi="Symbol" w:hint="default"/>
      </w:rPr>
    </w:lvl>
    <w:lvl w:ilvl="4" w:tplc="86063D80" w:tentative="1">
      <w:start w:val="1"/>
      <w:numFmt w:val="bullet"/>
      <w:lvlText w:val="o"/>
      <w:lvlJc w:val="left"/>
      <w:pPr>
        <w:ind w:left="3997" w:hanging="360"/>
      </w:pPr>
      <w:rPr>
        <w:rFonts w:ascii="Courier New" w:hAnsi="Courier New" w:cs="Courier New" w:hint="default"/>
      </w:rPr>
    </w:lvl>
    <w:lvl w:ilvl="5" w:tplc="DC2AC304" w:tentative="1">
      <w:start w:val="1"/>
      <w:numFmt w:val="bullet"/>
      <w:lvlText w:val=""/>
      <w:lvlJc w:val="left"/>
      <w:pPr>
        <w:ind w:left="4717" w:hanging="360"/>
      </w:pPr>
      <w:rPr>
        <w:rFonts w:ascii="Wingdings" w:hAnsi="Wingdings" w:hint="default"/>
      </w:rPr>
    </w:lvl>
    <w:lvl w:ilvl="6" w:tplc="EF96DC64" w:tentative="1">
      <w:start w:val="1"/>
      <w:numFmt w:val="bullet"/>
      <w:lvlText w:val=""/>
      <w:lvlJc w:val="left"/>
      <w:pPr>
        <w:ind w:left="5437" w:hanging="360"/>
      </w:pPr>
      <w:rPr>
        <w:rFonts w:ascii="Symbol" w:hAnsi="Symbol" w:hint="default"/>
      </w:rPr>
    </w:lvl>
    <w:lvl w:ilvl="7" w:tplc="9258E0B0" w:tentative="1">
      <w:start w:val="1"/>
      <w:numFmt w:val="bullet"/>
      <w:lvlText w:val="o"/>
      <w:lvlJc w:val="left"/>
      <w:pPr>
        <w:ind w:left="6157" w:hanging="360"/>
      </w:pPr>
      <w:rPr>
        <w:rFonts w:ascii="Courier New" w:hAnsi="Courier New" w:cs="Courier New" w:hint="default"/>
      </w:rPr>
    </w:lvl>
    <w:lvl w:ilvl="8" w:tplc="68202F4A"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tplc="D0D88004">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A524F886" w:tentative="1">
      <w:start w:val="1"/>
      <w:numFmt w:val="bullet"/>
      <w:lvlText w:val="o"/>
      <w:lvlJc w:val="left"/>
      <w:pPr>
        <w:ind w:left="1440" w:hanging="360"/>
      </w:pPr>
      <w:rPr>
        <w:rFonts w:ascii="Courier New" w:hAnsi="Courier New" w:cs="Courier New" w:hint="default"/>
      </w:rPr>
    </w:lvl>
    <w:lvl w:ilvl="2" w:tplc="B12C6784" w:tentative="1">
      <w:start w:val="1"/>
      <w:numFmt w:val="bullet"/>
      <w:lvlText w:val=""/>
      <w:lvlJc w:val="left"/>
      <w:pPr>
        <w:ind w:left="2160" w:hanging="360"/>
      </w:pPr>
      <w:rPr>
        <w:rFonts w:ascii="Wingdings" w:hAnsi="Wingdings" w:hint="default"/>
      </w:rPr>
    </w:lvl>
    <w:lvl w:ilvl="3" w:tplc="BFDAA40A" w:tentative="1">
      <w:start w:val="1"/>
      <w:numFmt w:val="bullet"/>
      <w:lvlText w:val=""/>
      <w:lvlJc w:val="left"/>
      <w:pPr>
        <w:ind w:left="2880" w:hanging="360"/>
      </w:pPr>
      <w:rPr>
        <w:rFonts w:ascii="Symbol" w:hAnsi="Symbol" w:hint="default"/>
      </w:rPr>
    </w:lvl>
    <w:lvl w:ilvl="4" w:tplc="ABA0A2B2" w:tentative="1">
      <w:start w:val="1"/>
      <w:numFmt w:val="bullet"/>
      <w:lvlText w:val="o"/>
      <w:lvlJc w:val="left"/>
      <w:pPr>
        <w:ind w:left="3600" w:hanging="360"/>
      </w:pPr>
      <w:rPr>
        <w:rFonts w:ascii="Courier New" w:hAnsi="Courier New" w:cs="Courier New" w:hint="default"/>
      </w:rPr>
    </w:lvl>
    <w:lvl w:ilvl="5" w:tplc="27506C20" w:tentative="1">
      <w:start w:val="1"/>
      <w:numFmt w:val="bullet"/>
      <w:lvlText w:val=""/>
      <w:lvlJc w:val="left"/>
      <w:pPr>
        <w:ind w:left="4320" w:hanging="360"/>
      </w:pPr>
      <w:rPr>
        <w:rFonts w:ascii="Wingdings" w:hAnsi="Wingdings" w:hint="default"/>
      </w:rPr>
    </w:lvl>
    <w:lvl w:ilvl="6" w:tplc="A16C437E" w:tentative="1">
      <w:start w:val="1"/>
      <w:numFmt w:val="bullet"/>
      <w:lvlText w:val=""/>
      <w:lvlJc w:val="left"/>
      <w:pPr>
        <w:ind w:left="5040" w:hanging="360"/>
      </w:pPr>
      <w:rPr>
        <w:rFonts w:ascii="Symbol" w:hAnsi="Symbol" w:hint="default"/>
      </w:rPr>
    </w:lvl>
    <w:lvl w:ilvl="7" w:tplc="B2120F30" w:tentative="1">
      <w:start w:val="1"/>
      <w:numFmt w:val="bullet"/>
      <w:lvlText w:val="o"/>
      <w:lvlJc w:val="left"/>
      <w:pPr>
        <w:ind w:left="5760" w:hanging="360"/>
      </w:pPr>
      <w:rPr>
        <w:rFonts w:ascii="Courier New" w:hAnsi="Courier New" w:cs="Courier New" w:hint="default"/>
      </w:rPr>
    </w:lvl>
    <w:lvl w:ilvl="8" w:tplc="E612D94C"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tplc="7CD6B5E2">
      <w:start w:val="1"/>
      <w:numFmt w:val="decimal"/>
      <w:pStyle w:val="a"/>
      <w:lvlText w:val="לוח %1:"/>
      <w:lvlJc w:val="left"/>
      <w:pPr>
        <w:ind w:left="1854" w:hanging="360"/>
      </w:pPr>
      <w:rPr>
        <w:rFonts w:ascii="Calibri" w:hAnsi="Calibri" w:cs="Calibri" w:hint="default"/>
        <w:b w:val="0"/>
        <w:bCs w:val="0"/>
        <w:i w:val="0"/>
        <w:iCs w:val="0"/>
        <w:color w:val="002060"/>
        <w:sz w:val="24"/>
        <w:szCs w:val="24"/>
      </w:rPr>
    </w:lvl>
    <w:lvl w:ilvl="1" w:tplc="54A47290" w:tentative="1">
      <w:start w:val="1"/>
      <w:numFmt w:val="lowerLetter"/>
      <w:lvlText w:val="%2."/>
      <w:lvlJc w:val="left"/>
      <w:pPr>
        <w:ind w:left="2574" w:hanging="360"/>
      </w:pPr>
    </w:lvl>
    <w:lvl w:ilvl="2" w:tplc="92321110" w:tentative="1">
      <w:start w:val="1"/>
      <w:numFmt w:val="lowerRoman"/>
      <w:lvlText w:val="%3."/>
      <w:lvlJc w:val="right"/>
      <w:pPr>
        <w:ind w:left="3294" w:hanging="180"/>
      </w:pPr>
    </w:lvl>
    <w:lvl w:ilvl="3" w:tplc="F1608DDE" w:tentative="1">
      <w:start w:val="1"/>
      <w:numFmt w:val="decimal"/>
      <w:lvlText w:val="%4."/>
      <w:lvlJc w:val="left"/>
      <w:pPr>
        <w:ind w:left="4014" w:hanging="360"/>
      </w:pPr>
    </w:lvl>
    <w:lvl w:ilvl="4" w:tplc="EB0E27A6" w:tentative="1">
      <w:start w:val="1"/>
      <w:numFmt w:val="lowerLetter"/>
      <w:lvlText w:val="%5."/>
      <w:lvlJc w:val="left"/>
      <w:pPr>
        <w:ind w:left="4734" w:hanging="360"/>
      </w:pPr>
    </w:lvl>
    <w:lvl w:ilvl="5" w:tplc="6C56B332" w:tentative="1">
      <w:start w:val="1"/>
      <w:numFmt w:val="lowerRoman"/>
      <w:lvlText w:val="%6."/>
      <w:lvlJc w:val="right"/>
      <w:pPr>
        <w:ind w:left="5454" w:hanging="180"/>
      </w:pPr>
    </w:lvl>
    <w:lvl w:ilvl="6" w:tplc="3A6803F0" w:tentative="1">
      <w:start w:val="1"/>
      <w:numFmt w:val="decimal"/>
      <w:lvlText w:val="%7."/>
      <w:lvlJc w:val="left"/>
      <w:pPr>
        <w:ind w:left="6174" w:hanging="360"/>
      </w:pPr>
    </w:lvl>
    <w:lvl w:ilvl="7" w:tplc="507C1F72" w:tentative="1">
      <w:start w:val="1"/>
      <w:numFmt w:val="lowerLetter"/>
      <w:lvlText w:val="%8."/>
      <w:lvlJc w:val="left"/>
      <w:pPr>
        <w:ind w:left="6894" w:hanging="360"/>
      </w:pPr>
    </w:lvl>
    <w:lvl w:ilvl="8" w:tplc="CBB69EF2"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tplc="28D8300C">
      <w:start w:val="1"/>
      <w:numFmt w:val="decimal"/>
      <w:pStyle w:val="a0"/>
      <w:lvlText w:val="תמונה %1:"/>
      <w:lvlJc w:val="left"/>
      <w:pPr>
        <w:ind w:left="1494" w:hanging="360"/>
      </w:pPr>
      <w:rPr>
        <w:rFonts w:ascii="Calibri" w:hAnsi="Calibri" w:cs="Calibri" w:hint="default"/>
        <w:b w:val="0"/>
        <w:bCs w:val="0"/>
        <w:i w:val="0"/>
        <w:iCs w:val="0"/>
        <w:color w:val="002060"/>
        <w:sz w:val="24"/>
        <w:szCs w:val="24"/>
      </w:rPr>
    </w:lvl>
    <w:lvl w:ilvl="1" w:tplc="CD0AAEC2" w:tentative="1">
      <w:start w:val="1"/>
      <w:numFmt w:val="lowerLetter"/>
      <w:lvlText w:val="%2."/>
      <w:lvlJc w:val="left"/>
      <w:pPr>
        <w:ind w:left="2578" w:hanging="360"/>
      </w:pPr>
    </w:lvl>
    <w:lvl w:ilvl="2" w:tplc="D8304FAC" w:tentative="1">
      <w:start w:val="1"/>
      <w:numFmt w:val="lowerRoman"/>
      <w:lvlText w:val="%3."/>
      <w:lvlJc w:val="right"/>
      <w:pPr>
        <w:ind w:left="3298" w:hanging="180"/>
      </w:pPr>
    </w:lvl>
    <w:lvl w:ilvl="3" w:tplc="133E9A4C" w:tentative="1">
      <w:start w:val="1"/>
      <w:numFmt w:val="decimal"/>
      <w:lvlText w:val="%4."/>
      <w:lvlJc w:val="left"/>
      <w:pPr>
        <w:ind w:left="4018" w:hanging="360"/>
      </w:pPr>
    </w:lvl>
    <w:lvl w:ilvl="4" w:tplc="BF9EA782" w:tentative="1">
      <w:start w:val="1"/>
      <w:numFmt w:val="lowerLetter"/>
      <w:lvlText w:val="%5."/>
      <w:lvlJc w:val="left"/>
      <w:pPr>
        <w:ind w:left="4738" w:hanging="360"/>
      </w:pPr>
    </w:lvl>
    <w:lvl w:ilvl="5" w:tplc="8F8C7C52" w:tentative="1">
      <w:start w:val="1"/>
      <w:numFmt w:val="lowerRoman"/>
      <w:lvlText w:val="%6."/>
      <w:lvlJc w:val="right"/>
      <w:pPr>
        <w:ind w:left="5458" w:hanging="180"/>
      </w:pPr>
    </w:lvl>
    <w:lvl w:ilvl="6" w:tplc="B23C2082" w:tentative="1">
      <w:start w:val="1"/>
      <w:numFmt w:val="decimal"/>
      <w:lvlText w:val="%7."/>
      <w:lvlJc w:val="left"/>
      <w:pPr>
        <w:ind w:left="6178" w:hanging="360"/>
      </w:pPr>
    </w:lvl>
    <w:lvl w:ilvl="7" w:tplc="5F166C10" w:tentative="1">
      <w:start w:val="1"/>
      <w:numFmt w:val="lowerLetter"/>
      <w:lvlText w:val="%8."/>
      <w:lvlJc w:val="left"/>
      <w:pPr>
        <w:ind w:left="6898" w:hanging="360"/>
      </w:pPr>
    </w:lvl>
    <w:lvl w:ilvl="8" w:tplc="16BA2384"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tplc="DB26D242">
      <w:start w:val="1"/>
      <w:numFmt w:val="decimal"/>
      <w:pStyle w:val="a1"/>
      <w:lvlText w:val="מפה %1:"/>
      <w:lvlJc w:val="left"/>
      <w:pPr>
        <w:ind w:left="1858" w:hanging="360"/>
      </w:pPr>
      <w:rPr>
        <w:rFonts w:ascii="Calibri" w:hAnsi="Calibri" w:cs="Calibri" w:hint="default"/>
        <w:b w:val="0"/>
        <w:bCs w:val="0"/>
        <w:i w:val="0"/>
        <w:iCs w:val="0"/>
        <w:color w:val="002060"/>
        <w:sz w:val="24"/>
        <w:szCs w:val="24"/>
      </w:rPr>
    </w:lvl>
    <w:lvl w:ilvl="1" w:tplc="D8E0949C" w:tentative="1">
      <w:start w:val="1"/>
      <w:numFmt w:val="lowerLetter"/>
      <w:lvlText w:val="%2."/>
      <w:lvlJc w:val="left"/>
      <w:pPr>
        <w:ind w:left="2934" w:hanging="360"/>
      </w:pPr>
    </w:lvl>
    <w:lvl w:ilvl="2" w:tplc="D30A9EDC" w:tentative="1">
      <w:start w:val="1"/>
      <w:numFmt w:val="lowerRoman"/>
      <w:lvlText w:val="%3."/>
      <w:lvlJc w:val="right"/>
      <w:pPr>
        <w:ind w:left="3654" w:hanging="180"/>
      </w:pPr>
    </w:lvl>
    <w:lvl w:ilvl="3" w:tplc="EC808DC6" w:tentative="1">
      <w:start w:val="1"/>
      <w:numFmt w:val="decimal"/>
      <w:lvlText w:val="%4."/>
      <w:lvlJc w:val="left"/>
      <w:pPr>
        <w:ind w:left="4374" w:hanging="360"/>
      </w:pPr>
    </w:lvl>
    <w:lvl w:ilvl="4" w:tplc="6882D456" w:tentative="1">
      <w:start w:val="1"/>
      <w:numFmt w:val="lowerLetter"/>
      <w:lvlText w:val="%5."/>
      <w:lvlJc w:val="left"/>
      <w:pPr>
        <w:ind w:left="5094" w:hanging="360"/>
      </w:pPr>
    </w:lvl>
    <w:lvl w:ilvl="5" w:tplc="86700D02" w:tentative="1">
      <w:start w:val="1"/>
      <w:numFmt w:val="lowerRoman"/>
      <w:lvlText w:val="%6."/>
      <w:lvlJc w:val="right"/>
      <w:pPr>
        <w:ind w:left="5814" w:hanging="180"/>
      </w:pPr>
    </w:lvl>
    <w:lvl w:ilvl="6" w:tplc="6A92EBD6" w:tentative="1">
      <w:start w:val="1"/>
      <w:numFmt w:val="decimal"/>
      <w:lvlText w:val="%7."/>
      <w:lvlJc w:val="left"/>
      <w:pPr>
        <w:ind w:left="6534" w:hanging="360"/>
      </w:pPr>
    </w:lvl>
    <w:lvl w:ilvl="7" w:tplc="FCF4D092" w:tentative="1">
      <w:start w:val="1"/>
      <w:numFmt w:val="lowerLetter"/>
      <w:lvlText w:val="%8."/>
      <w:lvlJc w:val="left"/>
      <w:pPr>
        <w:ind w:left="7254" w:hanging="360"/>
      </w:pPr>
    </w:lvl>
    <w:lvl w:ilvl="8" w:tplc="22D217C2"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tplc="160E9BD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FF728216" w:tentative="1">
      <w:start w:val="1"/>
      <w:numFmt w:val="bullet"/>
      <w:lvlText w:val="o"/>
      <w:lvlJc w:val="left"/>
      <w:pPr>
        <w:ind w:left="1080" w:hanging="360"/>
      </w:pPr>
      <w:rPr>
        <w:rFonts w:ascii="Courier New" w:hAnsi="Courier New" w:cs="Courier New" w:hint="default"/>
      </w:rPr>
    </w:lvl>
    <w:lvl w:ilvl="2" w:tplc="2DBC06AC" w:tentative="1">
      <w:start w:val="1"/>
      <w:numFmt w:val="bullet"/>
      <w:lvlText w:val=""/>
      <w:lvlJc w:val="left"/>
      <w:pPr>
        <w:ind w:left="1800" w:hanging="360"/>
      </w:pPr>
      <w:rPr>
        <w:rFonts w:ascii="Wingdings" w:hAnsi="Wingdings" w:hint="default"/>
      </w:rPr>
    </w:lvl>
    <w:lvl w:ilvl="3" w:tplc="44CC9D74" w:tentative="1">
      <w:start w:val="1"/>
      <w:numFmt w:val="bullet"/>
      <w:lvlText w:val=""/>
      <w:lvlJc w:val="left"/>
      <w:pPr>
        <w:ind w:left="2520" w:hanging="360"/>
      </w:pPr>
      <w:rPr>
        <w:rFonts w:ascii="Symbol" w:hAnsi="Symbol" w:hint="default"/>
      </w:rPr>
    </w:lvl>
    <w:lvl w:ilvl="4" w:tplc="D3284F14" w:tentative="1">
      <w:start w:val="1"/>
      <w:numFmt w:val="bullet"/>
      <w:lvlText w:val="o"/>
      <w:lvlJc w:val="left"/>
      <w:pPr>
        <w:ind w:left="3240" w:hanging="360"/>
      </w:pPr>
      <w:rPr>
        <w:rFonts w:ascii="Courier New" w:hAnsi="Courier New" w:cs="Courier New" w:hint="default"/>
      </w:rPr>
    </w:lvl>
    <w:lvl w:ilvl="5" w:tplc="2C02C66E" w:tentative="1">
      <w:start w:val="1"/>
      <w:numFmt w:val="bullet"/>
      <w:lvlText w:val=""/>
      <w:lvlJc w:val="left"/>
      <w:pPr>
        <w:ind w:left="3960" w:hanging="360"/>
      </w:pPr>
      <w:rPr>
        <w:rFonts w:ascii="Wingdings" w:hAnsi="Wingdings" w:hint="default"/>
      </w:rPr>
    </w:lvl>
    <w:lvl w:ilvl="6" w:tplc="0674D49E" w:tentative="1">
      <w:start w:val="1"/>
      <w:numFmt w:val="bullet"/>
      <w:lvlText w:val=""/>
      <w:lvlJc w:val="left"/>
      <w:pPr>
        <w:ind w:left="4680" w:hanging="360"/>
      </w:pPr>
      <w:rPr>
        <w:rFonts w:ascii="Symbol" w:hAnsi="Symbol" w:hint="default"/>
      </w:rPr>
    </w:lvl>
    <w:lvl w:ilvl="7" w:tplc="3F52BD7A" w:tentative="1">
      <w:start w:val="1"/>
      <w:numFmt w:val="bullet"/>
      <w:lvlText w:val="o"/>
      <w:lvlJc w:val="left"/>
      <w:pPr>
        <w:ind w:left="5400" w:hanging="360"/>
      </w:pPr>
      <w:rPr>
        <w:rFonts w:ascii="Courier New" w:hAnsi="Courier New" w:cs="Courier New" w:hint="default"/>
      </w:rPr>
    </w:lvl>
    <w:lvl w:ilvl="8" w:tplc="876E1FD2"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tplc="1EC23A9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D9C27C78" w:tentative="1">
      <w:start w:val="1"/>
      <w:numFmt w:val="bullet"/>
      <w:lvlText w:val="o"/>
      <w:lvlJc w:val="left"/>
      <w:pPr>
        <w:ind w:left="1837" w:hanging="360"/>
      </w:pPr>
      <w:rPr>
        <w:rFonts w:ascii="Courier New" w:hAnsi="Courier New" w:cs="Courier New" w:hint="default"/>
      </w:rPr>
    </w:lvl>
    <w:lvl w:ilvl="2" w:tplc="662283E8" w:tentative="1">
      <w:start w:val="1"/>
      <w:numFmt w:val="bullet"/>
      <w:lvlText w:val=""/>
      <w:lvlJc w:val="left"/>
      <w:pPr>
        <w:ind w:left="2557" w:hanging="360"/>
      </w:pPr>
      <w:rPr>
        <w:rFonts w:ascii="Wingdings" w:hAnsi="Wingdings" w:hint="default"/>
      </w:rPr>
    </w:lvl>
    <w:lvl w:ilvl="3" w:tplc="EF3EA802" w:tentative="1">
      <w:start w:val="1"/>
      <w:numFmt w:val="bullet"/>
      <w:lvlText w:val=""/>
      <w:lvlJc w:val="left"/>
      <w:pPr>
        <w:ind w:left="3277" w:hanging="360"/>
      </w:pPr>
      <w:rPr>
        <w:rFonts w:ascii="Symbol" w:hAnsi="Symbol" w:hint="default"/>
      </w:rPr>
    </w:lvl>
    <w:lvl w:ilvl="4" w:tplc="061848C6" w:tentative="1">
      <w:start w:val="1"/>
      <w:numFmt w:val="bullet"/>
      <w:lvlText w:val="o"/>
      <w:lvlJc w:val="left"/>
      <w:pPr>
        <w:ind w:left="3997" w:hanging="360"/>
      </w:pPr>
      <w:rPr>
        <w:rFonts w:ascii="Courier New" w:hAnsi="Courier New" w:cs="Courier New" w:hint="default"/>
      </w:rPr>
    </w:lvl>
    <w:lvl w:ilvl="5" w:tplc="3BE88EEC" w:tentative="1">
      <w:start w:val="1"/>
      <w:numFmt w:val="bullet"/>
      <w:lvlText w:val=""/>
      <w:lvlJc w:val="left"/>
      <w:pPr>
        <w:ind w:left="4717" w:hanging="360"/>
      </w:pPr>
      <w:rPr>
        <w:rFonts w:ascii="Wingdings" w:hAnsi="Wingdings" w:hint="default"/>
      </w:rPr>
    </w:lvl>
    <w:lvl w:ilvl="6" w:tplc="91B69234" w:tentative="1">
      <w:start w:val="1"/>
      <w:numFmt w:val="bullet"/>
      <w:lvlText w:val=""/>
      <w:lvlJc w:val="left"/>
      <w:pPr>
        <w:ind w:left="5437" w:hanging="360"/>
      </w:pPr>
      <w:rPr>
        <w:rFonts w:ascii="Symbol" w:hAnsi="Symbol" w:hint="default"/>
      </w:rPr>
    </w:lvl>
    <w:lvl w:ilvl="7" w:tplc="8150720E" w:tentative="1">
      <w:start w:val="1"/>
      <w:numFmt w:val="bullet"/>
      <w:lvlText w:val="o"/>
      <w:lvlJc w:val="left"/>
      <w:pPr>
        <w:ind w:left="6157" w:hanging="360"/>
      </w:pPr>
      <w:rPr>
        <w:rFonts w:ascii="Courier New" w:hAnsi="Courier New" w:cs="Courier New" w:hint="default"/>
      </w:rPr>
    </w:lvl>
    <w:lvl w:ilvl="8" w:tplc="0C8CDAEC"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tplc="EB54A402">
      <w:start w:val="1"/>
      <w:numFmt w:val="decimal"/>
      <w:pStyle w:val="a2"/>
      <w:lvlText w:val="תרשים %1:"/>
      <w:lvlJc w:val="left"/>
      <w:pPr>
        <w:ind w:left="1494" w:hanging="360"/>
      </w:pPr>
      <w:rPr>
        <w:rFonts w:ascii="Calibri" w:hAnsi="Calibri" w:cs="Calibri" w:hint="default"/>
        <w:b w:val="0"/>
        <w:bCs w:val="0"/>
        <w:i w:val="0"/>
        <w:iCs w:val="0"/>
        <w:color w:val="002060"/>
        <w:sz w:val="24"/>
        <w:szCs w:val="24"/>
      </w:rPr>
    </w:lvl>
    <w:lvl w:ilvl="1" w:tplc="59988DA6" w:tentative="1">
      <w:start w:val="1"/>
      <w:numFmt w:val="lowerLetter"/>
      <w:lvlText w:val="%2."/>
      <w:lvlJc w:val="left"/>
      <w:pPr>
        <w:ind w:left="2578" w:hanging="360"/>
      </w:pPr>
    </w:lvl>
    <w:lvl w:ilvl="2" w:tplc="82FA166E" w:tentative="1">
      <w:start w:val="1"/>
      <w:numFmt w:val="lowerRoman"/>
      <w:lvlText w:val="%3."/>
      <w:lvlJc w:val="right"/>
      <w:pPr>
        <w:ind w:left="3298" w:hanging="180"/>
      </w:pPr>
    </w:lvl>
    <w:lvl w:ilvl="3" w:tplc="E9842300" w:tentative="1">
      <w:start w:val="1"/>
      <w:numFmt w:val="decimal"/>
      <w:lvlText w:val="%4."/>
      <w:lvlJc w:val="left"/>
      <w:pPr>
        <w:ind w:left="4018" w:hanging="360"/>
      </w:pPr>
    </w:lvl>
    <w:lvl w:ilvl="4" w:tplc="3AF8C768" w:tentative="1">
      <w:start w:val="1"/>
      <w:numFmt w:val="lowerLetter"/>
      <w:lvlText w:val="%5."/>
      <w:lvlJc w:val="left"/>
      <w:pPr>
        <w:ind w:left="4738" w:hanging="360"/>
      </w:pPr>
    </w:lvl>
    <w:lvl w:ilvl="5" w:tplc="99583DFA" w:tentative="1">
      <w:start w:val="1"/>
      <w:numFmt w:val="lowerRoman"/>
      <w:lvlText w:val="%6."/>
      <w:lvlJc w:val="right"/>
      <w:pPr>
        <w:ind w:left="5458" w:hanging="180"/>
      </w:pPr>
    </w:lvl>
    <w:lvl w:ilvl="6" w:tplc="F95AAF56" w:tentative="1">
      <w:start w:val="1"/>
      <w:numFmt w:val="decimal"/>
      <w:lvlText w:val="%7."/>
      <w:lvlJc w:val="left"/>
      <w:pPr>
        <w:ind w:left="6178" w:hanging="360"/>
      </w:pPr>
    </w:lvl>
    <w:lvl w:ilvl="7" w:tplc="2CD8BB24" w:tentative="1">
      <w:start w:val="1"/>
      <w:numFmt w:val="lowerLetter"/>
      <w:lvlText w:val="%8."/>
      <w:lvlJc w:val="left"/>
      <w:pPr>
        <w:ind w:left="6898" w:hanging="360"/>
      </w:pPr>
    </w:lvl>
    <w:lvl w:ilvl="8" w:tplc="FC087994"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tplc="00341AC4">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1494B1E4">
      <w:numFmt w:val="bullet"/>
      <w:lvlText w:val="•"/>
      <w:lvlJc w:val="left"/>
      <w:pPr>
        <w:ind w:left="1528" w:hanging="165"/>
      </w:pPr>
      <w:rPr>
        <w:rFonts w:ascii="Tahoma" w:eastAsiaTheme="minorHAnsi" w:hAnsi="Tahoma" w:cs="Tahoma" w:hint="default"/>
        <w:b/>
        <w:color w:val="FF0000"/>
        <w:sz w:val="21"/>
      </w:rPr>
    </w:lvl>
    <w:lvl w:ilvl="2" w:tplc="F8E87C48" w:tentative="1">
      <w:start w:val="1"/>
      <w:numFmt w:val="bullet"/>
      <w:lvlText w:val=""/>
      <w:lvlJc w:val="left"/>
      <w:pPr>
        <w:ind w:left="2443" w:hanging="360"/>
      </w:pPr>
      <w:rPr>
        <w:rFonts w:ascii="Wingdings" w:hAnsi="Wingdings" w:hint="default"/>
      </w:rPr>
    </w:lvl>
    <w:lvl w:ilvl="3" w:tplc="468CF052" w:tentative="1">
      <w:start w:val="1"/>
      <w:numFmt w:val="bullet"/>
      <w:lvlText w:val=""/>
      <w:lvlJc w:val="left"/>
      <w:pPr>
        <w:ind w:left="3163" w:hanging="360"/>
      </w:pPr>
      <w:rPr>
        <w:rFonts w:ascii="Symbol" w:hAnsi="Symbol" w:hint="default"/>
      </w:rPr>
    </w:lvl>
    <w:lvl w:ilvl="4" w:tplc="2D0EC768" w:tentative="1">
      <w:start w:val="1"/>
      <w:numFmt w:val="bullet"/>
      <w:lvlText w:val="o"/>
      <w:lvlJc w:val="left"/>
      <w:pPr>
        <w:ind w:left="3883" w:hanging="360"/>
      </w:pPr>
      <w:rPr>
        <w:rFonts w:ascii="Courier New" w:hAnsi="Courier New" w:cs="Courier New" w:hint="default"/>
      </w:rPr>
    </w:lvl>
    <w:lvl w:ilvl="5" w:tplc="62D274AC" w:tentative="1">
      <w:start w:val="1"/>
      <w:numFmt w:val="bullet"/>
      <w:lvlText w:val=""/>
      <w:lvlJc w:val="left"/>
      <w:pPr>
        <w:ind w:left="4603" w:hanging="360"/>
      </w:pPr>
      <w:rPr>
        <w:rFonts w:ascii="Wingdings" w:hAnsi="Wingdings" w:hint="default"/>
      </w:rPr>
    </w:lvl>
    <w:lvl w:ilvl="6" w:tplc="85A212DE" w:tentative="1">
      <w:start w:val="1"/>
      <w:numFmt w:val="bullet"/>
      <w:lvlText w:val=""/>
      <w:lvlJc w:val="left"/>
      <w:pPr>
        <w:ind w:left="5323" w:hanging="360"/>
      </w:pPr>
      <w:rPr>
        <w:rFonts w:ascii="Symbol" w:hAnsi="Symbol" w:hint="default"/>
      </w:rPr>
    </w:lvl>
    <w:lvl w:ilvl="7" w:tplc="1158BF2A" w:tentative="1">
      <w:start w:val="1"/>
      <w:numFmt w:val="bullet"/>
      <w:lvlText w:val="o"/>
      <w:lvlJc w:val="left"/>
      <w:pPr>
        <w:ind w:left="6043" w:hanging="360"/>
      </w:pPr>
      <w:rPr>
        <w:rFonts w:ascii="Courier New" w:hAnsi="Courier New" w:cs="Courier New" w:hint="default"/>
      </w:rPr>
    </w:lvl>
    <w:lvl w:ilvl="8" w:tplc="3FC27B4C"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tplc="2DBCCB8C">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531E28B6" w:tentative="1">
      <w:start w:val="1"/>
      <w:numFmt w:val="bullet"/>
      <w:lvlText w:val="o"/>
      <w:lvlJc w:val="left"/>
      <w:pPr>
        <w:ind w:left="1440" w:hanging="360"/>
      </w:pPr>
      <w:rPr>
        <w:rFonts w:ascii="Courier New" w:hAnsi="Courier New" w:cs="Courier New" w:hint="default"/>
      </w:rPr>
    </w:lvl>
    <w:lvl w:ilvl="2" w:tplc="252EA49E" w:tentative="1">
      <w:start w:val="1"/>
      <w:numFmt w:val="bullet"/>
      <w:lvlText w:val=""/>
      <w:lvlJc w:val="left"/>
      <w:pPr>
        <w:ind w:left="2160" w:hanging="360"/>
      </w:pPr>
      <w:rPr>
        <w:rFonts w:ascii="Wingdings" w:hAnsi="Wingdings" w:hint="default"/>
      </w:rPr>
    </w:lvl>
    <w:lvl w:ilvl="3" w:tplc="ADA05E64" w:tentative="1">
      <w:start w:val="1"/>
      <w:numFmt w:val="bullet"/>
      <w:lvlText w:val=""/>
      <w:lvlJc w:val="left"/>
      <w:pPr>
        <w:ind w:left="2880" w:hanging="360"/>
      </w:pPr>
      <w:rPr>
        <w:rFonts w:ascii="Symbol" w:hAnsi="Symbol" w:hint="default"/>
      </w:rPr>
    </w:lvl>
    <w:lvl w:ilvl="4" w:tplc="754ED1F0" w:tentative="1">
      <w:start w:val="1"/>
      <w:numFmt w:val="bullet"/>
      <w:lvlText w:val="o"/>
      <w:lvlJc w:val="left"/>
      <w:pPr>
        <w:ind w:left="3600" w:hanging="360"/>
      </w:pPr>
      <w:rPr>
        <w:rFonts w:ascii="Courier New" w:hAnsi="Courier New" w:cs="Courier New" w:hint="default"/>
      </w:rPr>
    </w:lvl>
    <w:lvl w:ilvl="5" w:tplc="6BDC6DA8" w:tentative="1">
      <w:start w:val="1"/>
      <w:numFmt w:val="bullet"/>
      <w:lvlText w:val=""/>
      <w:lvlJc w:val="left"/>
      <w:pPr>
        <w:ind w:left="4320" w:hanging="360"/>
      </w:pPr>
      <w:rPr>
        <w:rFonts w:ascii="Wingdings" w:hAnsi="Wingdings" w:hint="default"/>
      </w:rPr>
    </w:lvl>
    <w:lvl w:ilvl="6" w:tplc="57F4984C" w:tentative="1">
      <w:start w:val="1"/>
      <w:numFmt w:val="bullet"/>
      <w:lvlText w:val=""/>
      <w:lvlJc w:val="left"/>
      <w:pPr>
        <w:ind w:left="5040" w:hanging="360"/>
      </w:pPr>
      <w:rPr>
        <w:rFonts w:ascii="Symbol" w:hAnsi="Symbol" w:hint="default"/>
      </w:rPr>
    </w:lvl>
    <w:lvl w:ilvl="7" w:tplc="3C2A67A8" w:tentative="1">
      <w:start w:val="1"/>
      <w:numFmt w:val="bullet"/>
      <w:lvlText w:val="o"/>
      <w:lvlJc w:val="left"/>
      <w:pPr>
        <w:ind w:left="5760" w:hanging="360"/>
      </w:pPr>
      <w:rPr>
        <w:rFonts w:ascii="Courier New" w:hAnsi="Courier New" w:cs="Courier New" w:hint="default"/>
      </w:rPr>
    </w:lvl>
    <w:lvl w:ilvl="8" w:tplc="19A07C06"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tplc="0832B974">
      <w:start w:val="1"/>
      <w:numFmt w:val="decimal"/>
      <w:pStyle w:val="3"/>
      <w:lvlText w:val="%1.1.1"/>
      <w:lvlJc w:val="left"/>
      <w:pPr>
        <w:ind w:left="1854" w:hanging="360"/>
      </w:pPr>
      <w:rPr>
        <w:rFonts w:hint="default"/>
      </w:rPr>
    </w:lvl>
    <w:lvl w:ilvl="1" w:tplc="19D08F5A" w:tentative="1">
      <w:start w:val="1"/>
      <w:numFmt w:val="lowerLetter"/>
      <w:lvlText w:val="%2."/>
      <w:lvlJc w:val="left"/>
      <w:pPr>
        <w:ind w:left="2574" w:hanging="360"/>
      </w:pPr>
    </w:lvl>
    <w:lvl w:ilvl="2" w:tplc="EEDABCE0" w:tentative="1">
      <w:start w:val="1"/>
      <w:numFmt w:val="lowerRoman"/>
      <w:lvlText w:val="%3."/>
      <w:lvlJc w:val="right"/>
      <w:pPr>
        <w:ind w:left="3294" w:hanging="180"/>
      </w:pPr>
    </w:lvl>
    <w:lvl w:ilvl="3" w:tplc="93A21126" w:tentative="1">
      <w:start w:val="1"/>
      <w:numFmt w:val="decimal"/>
      <w:lvlText w:val="%4."/>
      <w:lvlJc w:val="left"/>
      <w:pPr>
        <w:ind w:left="4014" w:hanging="360"/>
      </w:pPr>
    </w:lvl>
    <w:lvl w:ilvl="4" w:tplc="1E089406" w:tentative="1">
      <w:start w:val="1"/>
      <w:numFmt w:val="lowerLetter"/>
      <w:lvlText w:val="%5."/>
      <w:lvlJc w:val="left"/>
      <w:pPr>
        <w:ind w:left="4734" w:hanging="360"/>
      </w:pPr>
    </w:lvl>
    <w:lvl w:ilvl="5" w:tplc="0E24C566" w:tentative="1">
      <w:start w:val="1"/>
      <w:numFmt w:val="lowerRoman"/>
      <w:lvlText w:val="%6."/>
      <w:lvlJc w:val="right"/>
      <w:pPr>
        <w:ind w:left="5454" w:hanging="180"/>
      </w:pPr>
    </w:lvl>
    <w:lvl w:ilvl="6" w:tplc="4EB62EA4" w:tentative="1">
      <w:start w:val="1"/>
      <w:numFmt w:val="decimal"/>
      <w:lvlText w:val="%7."/>
      <w:lvlJc w:val="left"/>
      <w:pPr>
        <w:ind w:left="6174" w:hanging="360"/>
      </w:pPr>
    </w:lvl>
    <w:lvl w:ilvl="7" w:tplc="A5368160" w:tentative="1">
      <w:start w:val="1"/>
      <w:numFmt w:val="lowerLetter"/>
      <w:lvlText w:val="%8."/>
      <w:lvlJc w:val="left"/>
      <w:pPr>
        <w:ind w:left="6894" w:hanging="360"/>
      </w:pPr>
    </w:lvl>
    <w:lvl w:ilvl="8" w:tplc="D0A293B2"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tplc="C5C6EA24">
      <w:start w:val="1"/>
      <w:numFmt w:val="hebrew1"/>
      <w:pStyle w:val="30"/>
      <w:lvlText w:val="%1."/>
      <w:lvlJc w:val="center"/>
      <w:pPr>
        <w:ind w:left="2705" w:hanging="360"/>
      </w:pPr>
    </w:lvl>
    <w:lvl w:ilvl="1" w:tplc="043A797C" w:tentative="1">
      <w:start w:val="1"/>
      <w:numFmt w:val="lowerLetter"/>
      <w:lvlText w:val="%2."/>
      <w:lvlJc w:val="left"/>
      <w:pPr>
        <w:ind w:left="3425" w:hanging="360"/>
      </w:pPr>
    </w:lvl>
    <w:lvl w:ilvl="2" w:tplc="FDBE140C" w:tentative="1">
      <w:start w:val="1"/>
      <w:numFmt w:val="lowerRoman"/>
      <w:lvlText w:val="%3."/>
      <w:lvlJc w:val="right"/>
      <w:pPr>
        <w:ind w:left="4145" w:hanging="180"/>
      </w:pPr>
    </w:lvl>
    <w:lvl w:ilvl="3" w:tplc="9678E576" w:tentative="1">
      <w:start w:val="1"/>
      <w:numFmt w:val="decimal"/>
      <w:lvlText w:val="%4."/>
      <w:lvlJc w:val="left"/>
      <w:pPr>
        <w:ind w:left="4865" w:hanging="360"/>
      </w:pPr>
    </w:lvl>
    <w:lvl w:ilvl="4" w:tplc="618EF346" w:tentative="1">
      <w:start w:val="1"/>
      <w:numFmt w:val="lowerLetter"/>
      <w:lvlText w:val="%5."/>
      <w:lvlJc w:val="left"/>
      <w:pPr>
        <w:ind w:left="5585" w:hanging="360"/>
      </w:pPr>
    </w:lvl>
    <w:lvl w:ilvl="5" w:tplc="7428B7F6" w:tentative="1">
      <w:start w:val="1"/>
      <w:numFmt w:val="lowerRoman"/>
      <w:lvlText w:val="%6."/>
      <w:lvlJc w:val="right"/>
      <w:pPr>
        <w:ind w:left="6305" w:hanging="180"/>
      </w:pPr>
    </w:lvl>
    <w:lvl w:ilvl="6" w:tplc="053E9288" w:tentative="1">
      <w:start w:val="1"/>
      <w:numFmt w:val="decimal"/>
      <w:lvlText w:val="%7."/>
      <w:lvlJc w:val="left"/>
      <w:pPr>
        <w:ind w:left="7025" w:hanging="360"/>
      </w:pPr>
    </w:lvl>
    <w:lvl w:ilvl="7" w:tplc="EBFCD4CC" w:tentative="1">
      <w:start w:val="1"/>
      <w:numFmt w:val="lowerLetter"/>
      <w:lvlText w:val="%8."/>
      <w:lvlJc w:val="left"/>
      <w:pPr>
        <w:ind w:left="7745" w:hanging="360"/>
      </w:pPr>
    </w:lvl>
    <w:lvl w:ilvl="8" w:tplc="0F12A3F6"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tplc="7A4E6818">
      <w:start w:val="1"/>
      <w:numFmt w:val="decimal"/>
      <w:pStyle w:val="2"/>
      <w:lvlText w:val="%1.1"/>
      <w:lvlJc w:val="left"/>
      <w:pPr>
        <w:ind w:left="1860" w:hanging="360"/>
      </w:pPr>
      <w:rPr>
        <w:rFonts w:hint="default"/>
      </w:rPr>
    </w:lvl>
    <w:lvl w:ilvl="1" w:tplc="C1EAE648" w:tentative="1">
      <w:start w:val="1"/>
      <w:numFmt w:val="lowerLetter"/>
      <w:lvlText w:val="%2."/>
      <w:lvlJc w:val="left"/>
      <w:pPr>
        <w:ind w:left="2580" w:hanging="360"/>
      </w:pPr>
    </w:lvl>
    <w:lvl w:ilvl="2" w:tplc="1BC0DFA2" w:tentative="1">
      <w:start w:val="1"/>
      <w:numFmt w:val="lowerRoman"/>
      <w:lvlText w:val="%3."/>
      <w:lvlJc w:val="right"/>
      <w:pPr>
        <w:ind w:left="3300" w:hanging="180"/>
      </w:pPr>
    </w:lvl>
    <w:lvl w:ilvl="3" w:tplc="D7BE3C76" w:tentative="1">
      <w:start w:val="1"/>
      <w:numFmt w:val="decimal"/>
      <w:lvlText w:val="%4."/>
      <w:lvlJc w:val="left"/>
      <w:pPr>
        <w:ind w:left="4020" w:hanging="360"/>
      </w:pPr>
    </w:lvl>
    <w:lvl w:ilvl="4" w:tplc="E35E12E0" w:tentative="1">
      <w:start w:val="1"/>
      <w:numFmt w:val="lowerLetter"/>
      <w:lvlText w:val="%5."/>
      <w:lvlJc w:val="left"/>
      <w:pPr>
        <w:ind w:left="4740" w:hanging="360"/>
      </w:pPr>
    </w:lvl>
    <w:lvl w:ilvl="5" w:tplc="72245E1E" w:tentative="1">
      <w:start w:val="1"/>
      <w:numFmt w:val="lowerRoman"/>
      <w:lvlText w:val="%6."/>
      <w:lvlJc w:val="right"/>
      <w:pPr>
        <w:ind w:left="5460" w:hanging="180"/>
      </w:pPr>
    </w:lvl>
    <w:lvl w:ilvl="6" w:tplc="12ACC07C" w:tentative="1">
      <w:start w:val="1"/>
      <w:numFmt w:val="decimal"/>
      <w:lvlText w:val="%7."/>
      <w:lvlJc w:val="left"/>
      <w:pPr>
        <w:ind w:left="6180" w:hanging="360"/>
      </w:pPr>
    </w:lvl>
    <w:lvl w:ilvl="7" w:tplc="E0E41D94" w:tentative="1">
      <w:start w:val="1"/>
      <w:numFmt w:val="lowerLetter"/>
      <w:lvlText w:val="%8."/>
      <w:lvlJc w:val="left"/>
      <w:pPr>
        <w:ind w:left="6900" w:hanging="360"/>
      </w:pPr>
    </w:lvl>
    <w:lvl w:ilvl="8" w:tplc="24E0FA28" w:tentative="1">
      <w:start w:val="1"/>
      <w:numFmt w:val="lowerRoman"/>
      <w:lvlText w:val="%9."/>
      <w:lvlJc w:val="right"/>
      <w:pPr>
        <w:ind w:left="7620" w:hanging="180"/>
      </w:pPr>
    </w:lvl>
  </w:abstractNum>
  <w:abstractNum w:abstractNumId="19" w15:restartNumberingAfterBreak="0">
    <w:nsid w:val="561538B7"/>
    <w:multiLevelType w:val="hybridMultilevel"/>
    <w:tmpl w:val="739215D8"/>
    <w:lvl w:ilvl="0" w:tplc="7D62A6FA">
      <w:start w:val="1"/>
      <w:numFmt w:val="bullet"/>
      <w:lvlText w:val=""/>
      <w:lvlJc w:val="left"/>
      <w:pPr>
        <w:ind w:left="360" w:hanging="360"/>
      </w:pPr>
      <w:rPr>
        <w:rFonts w:ascii="Symbol" w:hAnsi="Symbol" w:hint="default"/>
        <w:color w:val="FF000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9F011FB"/>
    <w:multiLevelType w:val="hybridMultilevel"/>
    <w:tmpl w:val="FBB8779C"/>
    <w:lvl w:ilvl="0" w:tplc="02467CF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C2560EBA" w:tentative="1">
      <w:start w:val="1"/>
      <w:numFmt w:val="bullet"/>
      <w:lvlText w:val="o"/>
      <w:lvlJc w:val="left"/>
      <w:pPr>
        <w:ind w:left="1440" w:hanging="360"/>
      </w:pPr>
      <w:rPr>
        <w:rFonts w:ascii="Courier New" w:hAnsi="Courier New" w:cs="Courier New" w:hint="default"/>
      </w:rPr>
    </w:lvl>
    <w:lvl w:ilvl="2" w:tplc="39B086C2" w:tentative="1">
      <w:start w:val="1"/>
      <w:numFmt w:val="bullet"/>
      <w:lvlText w:val=""/>
      <w:lvlJc w:val="left"/>
      <w:pPr>
        <w:ind w:left="2160" w:hanging="360"/>
      </w:pPr>
      <w:rPr>
        <w:rFonts w:ascii="Wingdings" w:hAnsi="Wingdings" w:hint="default"/>
      </w:rPr>
    </w:lvl>
    <w:lvl w:ilvl="3" w:tplc="49B8A30C" w:tentative="1">
      <w:start w:val="1"/>
      <w:numFmt w:val="bullet"/>
      <w:lvlText w:val=""/>
      <w:lvlJc w:val="left"/>
      <w:pPr>
        <w:ind w:left="2880" w:hanging="360"/>
      </w:pPr>
      <w:rPr>
        <w:rFonts w:ascii="Symbol" w:hAnsi="Symbol" w:hint="default"/>
      </w:rPr>
    </w:lvl>
    <w:lvl w:ilvl="4" w:tplc="6BCE3440" w:tentative="1">
      <w:start w:val="1"/>
      <w:numFmt w:val="bullet"/>
      <w:lvlText w:val="o"/>
      <w:lvlJc w:val="left"/>
      <w:pPr>
        <w:ind w:left="3600" w:hanging="360"/>
      </w:pPr>
      <w:rPr>
        <w:rFonts w:ascii="Courier New" w:hAnsi="Courier New" w:cs="Courier New" w:hint="default"/>
      </w:rPr>
    </w:lvl>
    <w:lvl w:ilvl="5" w:tplc="DF8CAB42" w:tentative="1">
      <w:start w:val="1"/>
      <w:numFmt w:val="bullet"/>
      <w:lvlText w:val=""/>
      <w:lvlJc w:val="left"/>
      <w:pPr>
        <w:ind w:left="4320" w:hanging="360"/>
      </w:pPr>
      <w:rPr>
        <w:rFonts w:ascii="Wingdings" w:hAnsi="Wingdings" w:hint="default"/>
      </w:rPr>
    </w:lvl>
    <w:lvl w:ilvl="6" w:tplc="B544743C" w:tentative="1">
      <w:start w:val="1"/>
      <w:numFmt w:val="bullet"/>
      <w:lvlText w:val=""/>
      <w:lvlJc w:val="left"/>
      <w:pPr>
        <w:ind w:left="5040" w:hanging="360"/>
      </w:pPr>
      <w:rPr>
        <w:rFonts w:ascii="Symbol" w:hAnsi="Symbol" w:hint="default"/>
      </w:rPr>
    </w:lvl>
    <w:lvl w:ilvl="7" w:tplc="7C1A751E" w:tentative="1">
      <w:start w:val="1"/>
      <w:numFmt w:val="bullet"/>
      <w:lvlText w:val="o"/>
      <w:lvlJc w:val="left"/>
      <w:pPr>
        <w:ind w:left="5760" w:hanging="360"/>
      </w:pPr>
      <w:rPr>
        <w:rFonts w:ascii="Courier New" w:hAnsi="Courier New" w:cs="Courier New" w:hint="default"/>
      </w:rPr>
    </w:lvl>
    <w:lvl w:ilvl="8" w:tplc="9DFC61DC" w:tentative="1">
      <w:start w:val="1"/>
      <w:numFmt w:val="bullet"/>
      <w:lvlText w:val=""/>
      <w:lvlJc w:val="left"/>
      <w:pPr>
        <w:ind w:left="6480" w:hanging="360"/>
      </w:pPr>
      <w:rPr>
        <w:rFonts w:ascii="Wingdings" w:hAnsi="Wingdings" w:hint="default"/>
      </w:rPr>
    </w:lvl>
  </w:abstractNum>
  <w:abstractNum w:abstractNumId="21" w15:restartNumberingAfterBreak="0">
    <w:nsid w:val="6079445E"/>
    <w:multiLevelType w:val="hybridMultilevel"/>
    <w:tmpl w:val="CDCA638E"/>
    <w:lvl w:ilvl="0" w:tplc="429CB01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FD1EF0D8" w:tentative="1">
      <w:start w:val="1"/>
      <w:numFmt w:val="bullet"/>
      <w:lvlText w:val="o"/>
      <w:lvlJc w:val="left"/>
      <w:pPr>
        <w:ind w:left="1080" w:hanging="360"/>
      </w:pPr>
      <w:rPr>
        <w:rFonts w:ascii="Courier New" w:hAnsi="Courier New" w:cs="Courier New" w:hint="default"/>
      </w:rPr>
    </w:lvl>
    <w:lvl w:ilvl="2" w:tplc="50BC8F94" w:tentative="1">
      <w:start w:val="1"/>
      <w:numFmt w:val="bullet"/>
      <w:lvlText w:val=""/>
      <w:lvlJc w:val="left"/>
      <w:pPr>
        <w:ind w:left="1800" w:hanging="360"/>
      </w:pPr>
      <w:rPr>
        <w:rFonts w:ascii="Wingdings" w:hAnsi="Wingdings" w:hint="default"/>
      </w:rPr>
    </w:lvl>
    <w:lvl w:ilvl="3" w:tplc="C052BE52" w:tentative="1">
      <w:start w:val="1"/>
      <w:numFmt w:val="bullet"/>
      <w:lvlText w:val=""/>
      <w:lvlJc w:val="left"/>
      <w:pPr>
        <w:ind w:left="2520" w:hanging="360"/>
      </w:pPr>
      <w:rPr>
        <w:rFonts w:ascii="Symbol" w:hAnsi="Symbol" w:hint="default"/>
      </w:rPr>
    </w:lvl>
    <w:lvl w:ilvl="4" w:tplc="CB9EF022" w:tentative="1">
      <w:start w:val="1"/>
      <w:numFmt w:val="bullet"/>
      <w:lvlText w:val="o"/>
      <w:lvlJc w:val="left"/>
      <w:pPr>
        <w:ind w:left="3240" w:hanging="360"/>
      </w:pPr>
      <w:rPr>
        <w:rFonts w:ascii="Courier New" w:hAnsi="Courier New" w:cs="Courier New" w:hint="default"/>
      </w:rPr>
    </w:lvl>
    <w:lvl w:ilvl="5" w:tplc="036A7524" w:tentative="1">
      <w:start w:val="1"/>
      <w:numFmt w:val="bullet"/>
      <w:lvlText w:val=""/>
      <w:lvlJc w:val="left"/>
      <w:pPr>
        <w:ind w:left="3960" w:hanging="360"/>
      </w:pPr>
      <w:rPr>
        <w:rFonts w:ascii="Wingdings" w:hAnsi="Wingdings" w:hint="default"/>
      </w:rPr>
    </w:lvl>
    <w:lvl w:ilvl="6" w:tplc="3F783808" w:tentative="1">
      <w:start w:val="1"/>
      <w:numFmt w:val="bullet"/>
      <w:lvlText w:val=""/>
      <w:lvlJc w:val="left"/>
      <w:pPr>
        <w:ind w:left="4680" w:hanging="360"/>
      </w:pPr>
      <w:rPr>
        <w:rFonts w:ascii="Symbol" w:hAnsi="Symbol" w:hint="default"/>
      </w:rPr>
    </w:lvl>
    <w:lvl w:ilvl="7" w:tplc="1DFC937C" w:tentative="1">
      <w:start w:val="1"/>
      <w:numFmt w:val="bullet"/>
      <w:lvlText w:val="o"/>
      <w:lvlJc w:val="left"/>
      <w:pPr>
        <w:ind w:left="5400" w:hanging="360"/>
      </w:pPr>
      <w:rPr>
        <w:rFonts w:ascii="Courier New" w:hAnsi="Courier New" w:cs="Courier New" w:hint="default"/>
      </w:rPr>
    </w:lvl>
    <w:lvl w:ilvl="8" w:tplc="6512EBE8" w:tentative="1">
      <w:start w:val="1"/>
      <w:numFmt w:val="bullet"/>
      <w:lvlText w:val=""/>
      <w:lvlJc w:val="left"/>
      <w:pPr>
        <w:ind w:left="6120" w:hanging="360"/>
      </w:pPr>
      <w:rPr>
        <w:rFonts w:ascii="Wingdings" w:hAnsi="Wingdings" w:hint="default"/>
      </w:rPr>
    </w:lvl>
  </w:abstractNum>
  <w:abstractNum w:abstractNumId="22" w15:restartNumberingAfterBreak="0">
    <w:nsid w:val="65D5678F"/>
    <w:multiLevelType w:val="hybridMultilevel"/>
    <w:tmpl w:val="8844FB18"/>
    <w:lvl w:ilvl="0" w:tplc="4AF60F5A">
      <w:start w:val="1"/>
      <w:numFmt w:val="bullet"/>
      <w:lvlText w:val=""/>
      <w:lvlJc w:val="left"/>
      <w:pPr>
        <w:ind w:left="1080" w:hanging="360"/>
      </w:pPr>
      <w:rPr>
        <w:rFonts w:ascii="Symbol" w:hAnsi="Symbol" w:hint="default"/>
        <w:color w:val="FF0000"/>
        <w:lang w:val="en-US"/>
      </w:rPr>
    </w:lvl>
    <w:lvl w:ilvl="1" w:tplc="5776A818" w:tentative="1">
      <w:start w:val="1"/>
      <w:numFmt w:val="lowerLetter"/>
      <w:lvlText w:val="%2."/>
      <w:lvlJc w:val="left"/>
      <w:pPr>
        <w:ind w:left="1800" w:hanging="360"/>
      </w:pPr>
    </w:lvl>
    <w:lvl w:ilvl="2" w:tplc="44C0D0AE" w:tentative="1">
      <w:start w:val="1"/>
      <w:numFmt w:val="lowerRoman"/>
      <w:lvlText w:val="%3."/>
      <w:lvlJc w:val="right"/>
      <w:pPr>
        <w:ind w:left="2520" w:hanging="180"/>
      </w:pPr>
    </w:lvl>
    <w:lvl w:ilvl="3" w:tplc="2780DA22" w:tentative="1">
      <w:start w:val="1"/>
      <w:numFmt w:val="decimal"/>
      <w:lvlText w:val="%4."/>
      <w:lvlJc w:val="left"/>
      <w:pPr>
        <w:ind w:left="3240" w:hanging="360"/>
      </w:pPr>
    </w:lvl>
    <w:lvl w:ilvl="4" w:tplc="F75C2932" w:tentative="1">
      <w:start w:val="1"/>
      <w:numFmt w:val="lowerLetter"/>
      <w:lvlText w:val="%5."/>
      <w:lvlJc w:val="left"/>
      <w:pPr>
        <w:ind w:left="3960" w:hanging="360"/>
      </w:pPr>
    </w:lvl>
    <w:lvl w:ilvl="5" w:tplc="C74C3B3E" w:tentative="1">
      <w:start w:val="1"/>
      <w:numFmt w:val="lowerRoman"/>
      <w:lvlText w:val="%6."/>
      <w:lvlJc w:val="right"/>
      <w:pPr>
        <w:ind w:left="4680" w:hanging="180"/>
      </w:pPr>
    </w:lvl>
    <w:lvl w:ilvl="6" w:tplc="1DCC7D52" w:tentative="1">
      <w:start w:val="1"/>
      <w:numFmt w:val="decimal"/>
      <w:lvlText w:val="%7."/>
      <w:lvlJc w:val="left"/>
      <w:pPr>
        <w:ind w:left="5400" w:hanging="360"/>
      </w:pPr>
    </w:lvl>
    <w:lvl w:ilvl="7" w:tplc="47E2FC74" w:tentative="1">
      <w:start w:val="1"/>
      <w:numFmt w:val="lowerLetter"/>
      <w:lvlText w:val="%8."/>
      <w:lvlJc w:val="left"/>
      <w:pPr>
        <w:ind w:left="6120" w:hanging="360"/>
      </w:pPr>
    </w:lvl>
    <w:lvl w:ilvl="8" w:tplc="9D462710" w:tentative="1">
      <w:start w:val="1"/>
      <w:numFmt w:val="lowerRoman"/>
      <w:lvlText w:val="%9."/>
      <w:lvlJc w:val="right"/>
      <w:pPr>
        <w:ind w:left="6840" w:hanging="180"/>
      </w:pPr>
    </w:lvl>
  </w:abstractNum>
  <w:abstractNum w:abstractNumId="23" w15:restartNumberingAfterBreak="0">
    <w:nsid w:val="665B09CB"/>
    <w:multiLevelType w:val="hybridMultilevel"/>
    <w:tmpl w:val="F98283A0"/>
    <w:lvl w:ilvl="0" w:tplc="DD102DDE">
      <w:start w:val="1"/>
      <w:numFmt w:val="bullet"/>
      <w:pStyle w:val="5"/>
      <w:lvlText w:val=""/>
      <w:lvlJc w:val="left"/>
      <w:pPr>
        <w:ind w:left="1854" w:hanging="360"/>
      </w:pPr>
      <w:rPr>
        <w:rFonts w:ascii="Wingdings" w:hAnsi="Wingdings" w:hint="default"/>
        <w:color w:val="FFF400"/>
      </w:rPr>
    </w:lvl>
    <w:lvl w:ilvl="1" w:tplc="FBC666D6" w:tentative="1">
      <w:start w:val="1"/>
      <w:numFmt w:val="lowerLetter"/>
      <w:lvlText w:val="%2."/>
      <w:lvlJc w:val="left"/>
      <w:pPr>
        <w:ind w:left="2574" w:hanging="360"/>
      </w:pPr>
    </w:lvl>
    <w:lvl w:ilvl="2" w:tplc="885EED60" w:tentative="1">
      <w:start w:val="1"/>
      <w:numFmt w:val="lowerRoman"/>
      <w:lvlText w:val="%3."/>
      <w:lvlJc w:val="right"/>
      <w:pPr>
        <w:ind w:left="3294" w:hanging="180"/>
      </w:pPr>
    </w:lvl>
    <w:lvl w:ilvl="3" w:tplc="16F050CC" w:tentative="1">
      <w:start w:val="1"/>
      <w:numFmt w:val="decimal"/>
      <w:lvlText w:val="%4."/>
      <w:lvlJc w:val="left"/>
      <w:pPr>
        <w:ind w:left="4014" w:hanging="360"/>
      </w:pPr>
    </w:lvl>
    <w:lvl w:ilvl="4" w:tplc="FD2C2C4A" w:tentative="1">
      <w:start w:val="1"/>
      <w:numFmt w:val="lowerLetter"/>
      <w:lvlText w:val="%5."/>
      <w:lvlJc w:val="left"/>
      <w:pPr>
        <w:ind w:left="4734" w:hanging="360"/>
      </w:pPr>
    </w:lvl>
    <w:lvl w:ilvl="5" w:tplc="A28A1B94" w:tentative="1">
      <w:start w:val="1"/>
      <w:numFmt w:val="lowerRoman"/>
      <w:lvlText w:val="%6."/>
      <w:lvlJc w:val="right"/>
      <w:pPr>
        <w:ind w:left="5454" w:hanging="180"/>
      </w:pPr>
    </w:lvl>
    <w:lvl w:ilvl="6" w:tplc="7A1C02A0" w:tentative="1">
      <w:start w:val="1"/>
      <w:numFmt w:val="decimal"/>
      <w:lvlText w:val="%7."/>
      <w:lvlJc w:val="left"/>
      <w:pPr>
        <w:ind w:left="6174" w:hanging="360"/>
      </w:pPr>
    </w:lvl>
    <w:lvl w:ilvl="7" w:tplc="2E0A939A" w:tentative="1">
      <w:start w:val="1"/>
      <w:numFmt w:val="lowerLetter"/>
      <w:lvlText w:val="%8."/>
      <w:lvlJc w:val="left"/>
      <w:pPr>
        <w:ind w:left="6894" w:hanging="360"/>
      </w:pPr>
    </w:lvl>
    <w:lvl w:ilvl="8" w:tplc="03A41422" w:tentative="1">
      <w:start w:val="1"/>
      <w:numFmt w:val="lowerRoman"/>
      <w:lvlText w:val="%9."/>
      <w:lvlJc w:val="right"/>
      <w:pPr>
        <w:ind w:left="7614" w:hanging="180"/>
      </w:pPr>
    </w:lvl>
  </w:abstractNum>
  <w:abstractNum w:abstractNumId="24" w15:restartNumberingAfterBreak="0">
    <w:nsid w:val="6699458C"/>
    <w:multiLevelType w:val="hybridMultilevel"/>
    <w:tmpl w:val="B9E2BA98"/>
    <w:lvl w:ilvl="0" w:tplc="B0564092">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F6EE154" w:tentative="1">
      <w:start w:val="1"/>
      <w:numFmt w:val="bullet"/>
      <w:lvlText w:val="o"/>
      <w:lvlJc w:val="left"/>
      <w:pPr>
        <w:ind w:left="1080" w:hanging="360"/>
      </w:pPr>
      <w:rPr>
        <w:rFonts w:ascii="Courier New" w:hAnsi="Courier New" w:cs="Courier New" w:hint="default"/>
      </w:rPr>
    </w:lvl>
    <w:lvl w:ilvl="2" w:tplc="034607C4" w:tentative="1">
      <w:start w:val="1"/>
      <w:numFmt w:val="bullet"/>
      <w:lvlText w:val=""/>
      <w:lvlJc w:val="left"/>
      <w:pPr>
        <w:ind w:left="1800" w:hanging="360"/>
      </w:pPr>
      <w:rPr>
        <w:rFonts w:ascii="Wingdings" w:hAnsi="Wingdings" w:hint="default"/>
      </w:rPr>
    </w:lvl>
    <w:lvl w:ilvl="3" w:tplc="66369092" w:tentative="1">
      <w:start w:val="1"/>
      <w:numFmt w:val="bullet"/>
      <w:lvlText w:val=""/>
      <w:lvlJc w:val="left"/>
      <w:pPr>
        <w:ind w:left="2520" w:hanging="360"/>
      </w:pPr>
      <w:rPr>
        <w:rFonts w:ascii="Symbol" w:hAnsi="Symbol" w:hint="default"/>
      </w:rPr>
    </w:lvl>
    <w:lvl w:ilvl="4" w:tplc="AB3CCE0E" w:tentative="1">
      <w:start w:val="1"/>
      <w:numFmt w:val="bullet"/>
      <w:lvlText w:val="o"/>
      <w:lvlJc w:val="left"/>
      <w:pPr>
        <w:ind w:left="3240" w:hanging="360"/>
      </w:pPr>
      <w:rPr>
        <w:rFonts w:ascii="Courier New" w:hAnsi="Courier New" w:cs="Courier New" w:hint="default"/>
      </w:rPr>
    </w:lvl>
    <w:lvl w:ilvl="5" w:tplc="856C2816" w:tentative="1">
      <w:start w:val="1"/>
      <w:numFmt w:val="bullet"/>
      <w:lvlText w:val=""/>
      <w:lvlJc w:val="left"/>
      <w:pPr>
        <w:ind w:left="3960" w:hanging="360"/>
      </w:pPr>
      <w:rPr>
        <w:rFonts w:ascii="Wingdings" w:hAnsi="Wingdings" w:hint="default"/>
      </w:rPr>
    </w:lvl>
    <w:lvl w:ilvl="6" w:tplc="5652F9D2" w:tentative="1">
      <w:start w:val="1"/>
      <w:numFmt w:val="bullet"/>
      <w:lvlText w:val=""/>
      <w:lvlJc w:val="left"/>
      <w:pPr>
        <w:ind w:left="4680" w:hanging="360"/>
      </w:pPr>
      <w:rPr>
        <w:rFonts w:ascii="Symbol" w:hAnsi="Symbol" w:hint="default"/>
      </w:rPr>
    </w:lvl>
    <w:lvl w:ilvl="7" w:tplc="81A03430" w:tentative="1">
      <w:start w:val="1"/>
      <w:numFmt w:val="bullet"/>
      <w:lvlText w:val="o"/>
      <w:lvlJc w:val="left"/>
      <w:pPr>
        <w:ind w:left="5400" w:hanging="360"/>
      </w:pPr>
      <w:rPr>
        <w:rFonts w:ascii="Courier New" w:hAnsi="Courier New" w:cs="Courier New" w:hint="default"/>
      </w:rPr>
    </w:lvl>
    <w:lvl w:ilvl="8" w:tplc="9AA40BD4" w:tentative="1">
      <w:start w:val="1"/>
      <w:numFmt w:val="bullet"/>
      <w:lvlText w:val=""/>
      <w:lvlJc w:val="left"/>
      <w:pPr>
        <w:ind w:left="6120" w:hanging="360"/>
      </w:pPr>
      <w:rPr>
        <w:rFonts w:ascii="Wingdings" w:hAnsi="Wingdings" w:hint="default"/>
      </w:rPr>
    </w:lvl>
  </w:abstractNum>
  <w:abstractNum w:abstractNumId="25" w15:restartNumberingAfterBreak="0">
    <w:nsid w:val="778F7677"/>
    <w:multiLevelType w:val="hybridMultilevel"/>
    <w:tmpl w:val="257EC434"/>
    <w:lvl w:ilvl="0" w:tplc="5992A22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180E49DE" w:tentative="1">
      <w:start w:val="1"/>
      <w:numFmt w:val="bullet"/>
      <w:lvlText w:val="o"/>
      <w:lvlJc w:val="left"/>
      <w:pPr>
        <w:ind w:left="1440" w:hanging="360"/>
      </w:pPr>
      <w:rPr>
        <w:rFonts w:ascii="Courier New" w:hAnsi="Courier New" w:cs="Courier New" w:hint="default"/>
      </w:rPr>
    </w:lvl>
    <w:lvl w:ilvl="2" w:tplc="5AD88EF4" w:tentative="1">
      <w:start w:val="1"/>
      <w:numFmt w:val="bullet"/>
      <w:lvlText w:val=""/>
      <w:lvlJc w:val="left"/>
      <w:pPr>
        <w:ind w:left="2160" w:hanging="360"/>
      </w:pPr>
      <w:rPr>
        <w:rFonts w:ascii="Wingdings" w:hAnsi="Wingdings" w:hint="default"/>
      </w:rPr>
    </w:lvl>
    <w:lvl w:ilvl="3" w:tplc="BCF240EA" w:tentative="1">
      <w:start w:val="1"/>
      <w:numFmt w:val="bullet"/>
      <w:lvlText w:val=""/>
      <w:lvlJc w:val="left"/>
      <w:pPr>
        <w:ind w:left="2880" w:hanging="360"/>
      </w:pPr>
      <w:rPr>
        <w:rFonts w:ascii="Symbol" w:hAnsi="Symbol" w:hint="default"/>
      </w:rPr>
    </w:lvl>
    <w:lvl w:ilvl="4" w:tplc="D8F25C9C" w:tentative="1">
      <w:start w:val="1"/>
      <w:numFmt w:val="bullet"/>
      <w:lvlText w:val="o"/>
      <w:lvlJc w:val="left"/>
      <w:pPr>
        <w:ind w:left="3600" w:hanging="360"/>
      </w:pPr>
      <w:rPr>
        <w:rFonts w:ascii="Courier New" w:hAnsi="Courier New" w:cs="Courier New" w:hint="default"/>
      </w:rPr>
    </w:lvl>
    <w:lvl w:ilvl="5" w:tplc="65A859D6" w:tentative="1">
      <w:start w:val="1"/>
      <w:numFmt w:val="bullet"/>
      <w:lvlText w:val=""/>
      <w:lvlJc w:val="left"/>
      <w:pPr>
        <w:ind w:left="4320" w:hanging="360"/>
      </w:pPr>
      <w:rPr>
        <w:rFonts w:ascii="Wingdings" w:hAnsi="Wingdings" w:hint="default"/>
      </w:rPr>
    </w:lvl>
    <w:lvl w:ilvl="6" w:tplc="CC904CC2" w:tentative="1">
      <w:start w:val="1"/>
      <w:numFmt w:val="bullet"/>
      <w:lvlText w:val=""/>
      <w:lvlJc w:val="left"/>
      <w:pPr>
        <w:ind w:left="5040" w:hanging="360"/>
      </w:pPr>
      <w:rPr>
        <w:rFonts w:ascii="Symbol" w:hAnsi="Symbol" w:hint="default"/>
      </w:rPr>
    </w:lvl>
    <w:lvl w:ilvl="7" w:tplc="3F30906A" w:tentative="1">
      <w:start w:val="1"/>
      <w:numFmt w:val="bullet"/>
      <w:lvlText w:val="o"/>
      <w:lvlJc w:val="left"/>
      <w:pPr>
        <w:ind w:left="5760" w:hanging="360"/>
      </w:pPr>
      <w:rPr>
        <w:rFonts w:ascii="Courier New" w:hAnsi="Courier New" w:cs="Courier New" w:hint="default"/>
      </w:rPr>
    </w:lvl>
    <w:lvl w:ilvl="8" w:tplc="B1466458" w:tentative="1">
      <w:start w:val="1"/>
      <w:numFmt w:val="bullet"/>
      <w:lvlText w:val=""/>
      <w:lvlJc w:val="left"/>
      <w:pPr>
        <w:ind w:left="6480" w:hanging="360"/>
      </w:pPr>
      <w:rPr>
        <w:rFonts w:ascii="Wingdings" w:hAnsi="Wingdings" w:hint="default"/>
      </w:rPr>
    </w:lvl>
  </w:abstractNum>
  <w:abstractNum w:abstractNumId="26" w15:restartNumberingAfterBreak="0">
    <w:nsid w:val="7E431D00"/>
    <w:multiLevelType w:val="hybridMultilevel"/>
    <w:tmpl w:val="7576C230"/>
    <w:lvl w:ilvl="0" w:tplc="B9BCF9F4">
      <w:start w:val="1"/>
      <w:numFmt w:val="decimal"/>
      <w:pStyle w:val="10"/>
      <w:lvlText w:val="%1."/>
      <w:lvlJc w:val="left"/>
      <w:pPr>
        <w:ind w:left="1858" w:hanging="360"/>
      </w:pPr>
      <w:rPr>
        <w:rFonts w:ascii="Calibri" w:hAnsi="Calibri" w:cs="Calibri" w:hint="default"/>
        <w:b/>
        <w:bCs/>
        <w:i w:val="0"/>
        <w:iCs w:val="0"/>
        <w:color w:val="002060"/>
        <w:sz w:val="40"/>
        <w:szCs w:val="40"/>
      </w:rPr>
    </w:lvl>
    <w:lvl w:ilvl="1" w:tplc="A788AC88" w:tentative="1">
      <w:start w:val="1"/>
      <w:numFmt w:val="lowerLetter"/>
      <w:lvlText w:val="%2."/>
      <w:lvlJc w:val="left"/>
      <w:pPr>
        <w:ind w:left="2578" w:hanging="360"/>
      </w:pPr>
    </w:lvl>
    <w:lvl w:ilvl="2" w:tplc="807EDF1E" w:tentative="1">
      <w:start w:val="1"/>
      <w:numFmt w:val="lowerRoman"/>
      <w:lvlText w:val="%3."/>
      <w:lvlJc w:val="right"/>
      <w:pPr>
        <w:ind w:left="3298" w:hanging="180"/>
      </w:pPr>
    </w:lvl>
    <w:lvl w:ilvl="3" w:tplc="17F09038" w:tentative="1">
      <w:start w:val="1"/>
      <w:numFmt w:val="decimal"/>
      <w:lvlText w:val="%4."/>
      <w:lvlJc w:val="left"/>
      <w:pPr>
        <w:ind w:left="4018" w:hanging="360"/>
      </w:pPr>
    </w:lvl>
    <w:lvl w:ilvl="4" w:tplc="2AB260C6" w:tentative="1">
      <w:start w:val="1"/>
      <w:numFmt w:val="lowerLetter"/>
      <w:lvlText w:val="%5."/>
      <w:lvlJc w:val="left"/>
      <w:pPr>
        <w:ind w:left="4738" w:hanging="360"/>
      </w:pPr>
    </w:lvl>
    <w:lvl w:ilvl="5" w:tplc="FF96A898" w:tentative="1">
      <w:start w:val="1"/>
      <w:numFmt w:val="lowerRoman"/>
      <w:lvlText w:val="%6."/>
      <w:lvlJc w:val="right"/>
      <w:pPr>
        <w:ind w:left="5458" w:hanging="180"/>
      </w:pPr>
    </w:lvl>
    <w:lvl w:ilvl="6" w:tplc="75362FEC" w:tentative="1">
      <w:start w:val="1"/>
      <w:numFmt w:val="decimal"/>
      <w:lvlText w:val="%7."/>
      <w:lvlJc w:val="left"/>
      <w:pPr>
        <w:ind w:left="6178" w:hanging="360"/>
      </w:pPr>
    </w:lvl>
    <w:lvl w:ilvl="7" w:tplc="B7CE04BA" w:tentative="1">
      <w:start w:val="1"/>
      <w:numFmt w:val="lowerLetter"/>
      <w:lvlText w:val="%8."/>
      <w:lvlJc w:val="left"/>
      <w:pPr>
        <w:ind w:left="6898" w:hanging="360"/>
      </w:pPr>
    </w:lvl>
    <w:lvl w:ilvl="8" w:tplc="A658FC16" w:tentative="1">
      <w:start w:val="1"/>
      <w:numFmt w:val="lowerRoman"/>
      <w:lvlText w:val="%9."/>
      <w:lvlJc w:val="right"/>
      <w:pPr>
        <w:ind w:left="7618" w:hanging="180"/>
      </w:pPr>
    </w:lvl>
  </w:abstractNum>
  <w:num w:numId="1">
    <w:abstractNumId w:val="26"/>
  </w:num>
  <w:num w:numId="2">
    <w:abstractNumId w:val="18"/>
  </w:num>
  <w:num w:numId="3">
    <w:abstractNumId w:val="16"/>
  </w:num>
  <w:num w:numId="4">
    <w:abstractNumId w:val="0"/>
  </w:num>
  <w:num w:numId="5">
    <w:abstractNumId w:val="17"/>
  </w:num>
  <w:num w:numId="6">
    <w:abstractNumId w:val="23"/>
  </w:num>
  <w:num w:numId="7">
    <w:abstractNumId w:val="13"/>
  </w:num>
  <w:num w:numId="8">
    <w:abstractNumId w:val="9"/>
  </w:num>
  <w:num w:numId="9">
    <w:abstractNumId w:val="8"/>
  </w:num>
  <w:num w:numId="10">
    <w:abstractNumId w:val="10"/>
  </w:num>
  <w:num w:numId="11">
    <w:abstractNumId w:val="24"/>
  </w:num>
  <w:num w:numId="12">
    <w:abstractNumId w:val="21"/>
  </w:num>
  <w:num w:numId="13">
    <w:abstractNumId w:val="20"/>
  </w:num>
  <w:num w:numId="14">
    <w:abstractNumId w:val="22"/>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5"/>
  </w:num>
  <w:num w:numId="24">
    <w:abstractNumId w:val="4"/>
  </w:num>
  <w:num w:numId="25">
    <w:abstractNumId w:val="12"/>
  </w:num>
  <w:num w:numId="26">
    <w:abstractNumId w:val="14"/>
  </w:num>
  <w:num w:numId="27">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30DCF"/>
    <w:rsid w:val="000314B9"/>
    <w:rsid w:val="00042837"/>
    <w:rsid w:val="000501A4"/>
    <w:rsid w:val="000532AA"/>
    <w:rsid w:val="00071B06"/>
    <w:rsid w:val="0007624D"/>
    <w:rsid w:val="00084768"/>
    <w:rsid w:val="00092F16"/>
    <w:rsid w:val="00094148"/>
    <w:rsid w:val="000B1102"/>
    <w:rsid w:val="000B463F"/>
    <w:rsid w:val="000C6528"/>
    <w:rsid w:val="000C7459"/>
    <w:rsid w:val="000D221E"/>
    <w:rsid w:val="000E013E"/>
    <w:rsid w:val="000F7725"/>
    <w:rsid w:val="00101958"/>
    <w:rsid w:val="00101D0F"/>
    <w:rsid w:val="0011074F"/>
    <w:rsid w:val="00113E28"/>
    <w:rsid w:val="00114325"/>
    <w:rsid w:val="00164D9B"/>
    <w:rsid w:val="00166477"/>
    <w:rsid w:val="001730B0"/>
    <w:rsid w:val="001960B4"/>
    <w:rsid w:val="0019747C"/>
    <w:rsid w:val="001A3BBC"/>
    <w:rsid w:val="001A613C"/>
    <w:rsid w:val="001B2821"/>
    <w:rsid w:val="001C057E"/>
    <w:rsid w:val="001C33F8"/>
    <w:rsid w:val="001C6185"/>
    <w:rsid w:val="001D3A45"/>
    <w:rsid w:val="001D3DA9"/>
    <w:rsid w:val="001E204F"/>
    <w:rsid w:val="001F0CD9"/>
    <w:rsid w:val="00203604"/>
    <w:rsid w:val="002064F7"/>
    <w:rsid w:val="00212D9D"/>
    <w:rsid w:val="0023497D"/>
    <w:rsid w:val="00240887"/>
    <w:rsid w:val="002602F0"/>
    <w:rsid w:val="00260A52"/>
    <w:rsid w:val="00263521"/>
    <w:rsid w:val="00276705"/>
    <w:rsid w:val="00291629"/>
    <w:rsid w:val="002A7D21"/>
    <w:rsid w:val="002B55E8"/>
    <w:rsid w:val="002C0C75"/>
    <w:rsid w:val="002C0FD0"/>
    <w:rsid w:val="002C1EE0"/>
    <w:rsid w:val="002C4139"/>
    <w:rsid w:val="00301153"/>
    <w:rsid w:val="0030602D"/>
    <w:rsid w:val="00310345"/>
    <w:rsid w:val="00313DEA"/>
    <w:rsid w:val="00314E04"/>
    <w:rsid w:val="0032268D"/>
    <w:rsid w:val="00323027"/>
    <w:rsid w:val="00330009"/>
    <w:rsid w:val="00340353"/>
    <w:rsid w:val="00366A7A"/>
    <w:rsid w:val="0036735A"/>
    <w:rsid w:val="0037370B"/>
    <w:rsid w:val="0037752E"/>
    <w:rsid w:val="0037780B"/>
    <w:rsid w:val="00380052"/>
    <w:rsid w:val="00386E9B"/>
    <w:rsid w:val="0039415D"/>
    <w:rsid w:val="003D61C6"/>
    <w:rsid w:val="003E32D2"/>
    <w:rsid w:val="003E58C2"/>
    <w:rsid w:val="003E6853"/>
    <w:rsid w:val="00411396"/>
    <w:rsid w:val="0042177E"/>
    <w:rsid w:val="00430D1F"/>
    <w:rsid w:val="00450C77"/>
    <w:rsid w:val="004562F8"/>
    <w:rsid w:val="004672FB"/>
    <w:rsid w:val="004779AA"/>
    <w:rsid w:val="00493AB8"/>
    <w:rsid w:val="004A0385"/>
    <w:rsid w:val="004A0D80"/>
    <w:rsid w:val="004B2FF6"/>
    <w:rsid w:val="004C7D9F"/>
    <w:rsid w:val="004E0191"/>
    <w:rsid w:val="004E2733"/>
    <w:rsid w:val="004E488A"/>
    <w:rsid w:val="004F0AB4"/>
    <w:rsid w:val="005006C5"/>
    <w:rsid w:val="00524C99"/>
    <w:rsid w:val="005330FA"/>
    <w:rsid w:val="00551B42"/>
    <w:rsid w:val="00551FF7"/>
    <w:rsid w:val="00574579"/>
    <w:rsid w:val="00577CAE"/>
    <w:rsid w:val="00580C5C"/>
    <w:rsid w:val="005A021D"/>
    <w:rsid w:val="005A09B4"/>
    <w:rsid w:val="005B2688"/>
    <w:rsid w:val="005C3049"/>
    <w:rsid w:val="005C7A8C"/>
    <w:rsid w:val="005C7ABF"/>
    <w:rsid w:val="005D135D"/>
    <w:rsid w:val="005D2CBD"/>
    <w:rsid w:val="005D7324"/>
    <w:rsid w:val="005E62A6"/>
    <w:rsid w:val="005E7DF1"/>
    <w:rsid w:val="005F4A6D"/>
    <w:rsid w:val="00602674"/>
    <w:rsid w:val="0062451B"/>
    <w:rsid w:val="0062456C"/>
    <w:rsid w:val="00631A18"/>
    <w:rsid w:val="00634DAD"/>
    <w:rsid w:val="0063556C"/>
    <w:rsid w:val="0063663E"/>
    <w:rsid w:val="006378E0"/>
    <w:rsid w:val="00640B60"/>
    <w:rsid w:val="006457EB"/>
    <w:rsid w:val="006531CB"/>
    <w:rsid w:val="006569CD"/>
    <w:rsid w:val="006578E0"/>
    <w:rsid w:val="006615C6"/>
    <w:rsid w:val="00673BC4"/>
    <w:rsid w:val="006A0446"/>
    <w:rsid w:val="006A56C2"/>
    <w:rsid w:val="006A646E"/>
    <w:rsid w:val="006B1593"/>
    <w:rsid w:val="006B7706"/>
    <w:rsid w:val="006C3AF6"/>
    <w:rsid w:val="006C4033"/>
    <w:rsid w:val="006D4161"/>
    <w:rsid w:val="006D4240"/>
    <w:rsid w:val="006D786C"/>
    <w:rsid w:val="006E1414"/>
    <w:rsid w:val="006F285F"/>
    <w:rsid w:val="00716AFD"/>
    <w:rsid w:val="0072219B"/>
    <w:rsid w:val="007474F0"/>
    <w:rsid w:val="00753ADE"/>
    <w:rsid w:val="00773F61"/>
    <w:rsid w:val="00780272"/>
    <w:rsid w:val="00784BFB"/>
    <w:rsid w:val="00787AD9"/>
    <w:rsid w:val="00793FD5"/>
    <w:rsid w:val="00796F0D"/>
    <w:rsid w:val="007A4EBD"/>
    <w:rsid w:val="007B112B"/>
    <w:rsid w:val="007B5B26"/>
    <w:rsid w:val="007B691A"/>
    <w:rsid w:val="007C1FF6"/>
    <w:rsid w:val="007D61B8"/>
    <w:rsid w:val="007E24BD"/>
    <w:rsid w:val="007F7FF2"/>
    <w:rsid w:val="00805B42"/>
    <w:rsid w:val="008102AD"/>
    <w:rsid w:val="00824AB2"/>
    <w:rsid w:val="00830DF8"/>
    <w:rsid w:val="0083106F"/>
    <w:rsid w:val="00837997"/>
    <w:rsid w:val="00846FFB"/>
    <w:rsid w:val="008654CB"/>
    <w:rsid w:val="00867FC5"/>
    <w:rsid w:val="0088743F"/>
    <w:rsid w:val="00892F80"/>
    <w:rsid w:val="00897698"/>
    <w:rsid w:val="008A2E0E"/>
    <w:rsid w:val="008B4F41"/>
    <w:rsid w:val="008B5B82"/>
    <w:rsid w:val="008C1428"/>
    <w:rsid w:val="008C6F75"/>
    <w:rsid w:val="008D750B"/>
    <w:rsid w:val="009015B2"/>
    <w:rsid w:val="00906E90"/>
    <w:rsid w:val="0091051D"/>
    <w:rsid w:val="00936F84"/>
    <w:rsid w:val="00940851"/>
    <w:rsid w:val="009515F9"/>
    <w:rsid w:val="00961F73"/>
    <w:rsid w:val="009679D9"/>
    <w:rsid w:val="009912C8"/>
    <w:rsid w:val="0099494B"/>
    <w:rsid w:val="009961E8"/>
    <w:rsid w:val="009A6817"/>
    <w:rsid w:val="009B0AEC"/>
    <w:rsid w:val="009B497A"/>
    <w:rsid w:val="009C6066"/>
    <w:rsid w:val="009D45C5"/>
    <w:rsid w:val="009D73F5"/>
    <w:rsid w:val="009E1A3F"/>
    <w:rsid w:val="009E53CF"/>
    <w:rsid w:val="009F0BD3"/>
    <w:rsid w:val="00A055D0"/>
    <w:rsid w:val="00A222E2"/>
    <w:rsid w:val="00A30B00"/>
    <w:rsid w:val="00A5605A"/>
    <w:rsid w:val="00A61AD5"/>
    <w:rsid w:val="00A73038"/>
    <w:rsid w:val="00A76C99"/>
    <w:rsid w:val="00A81EBE"/>
    <w:rsid w:val="00AB465B"/>
    <w:rsid w:val="00AB66C8"/>
    <w:rsid w:val="00AC6B95"/>
    <w:rsid w:val="00AD1000"/>
    <w:rsid w:val="00AE4BB7"/>
    <w:rsid w:val="00AE741B"/>
    <w:rsid w:val="00AF3B73"/>
    <w:rsid w:val="00B00E5C"/>
    <w:rsid w:val="00B04068"/>
    <w:rsid w:val="00B14FC8"/>
    <w:rsid w:val="00B40090"/>
    <w:rsid w:val="00B4321D"/>
    <w:rsid w:val="00B64110"/>
    <w:rsid w:val="00B666B9"/>
    <w:rsid w:val="00B75E06"/>
    <w:rsid w:val="00B76DC1"/>
    <w:rsid w:val="00B862C0"/>
    <w:rsid w:val="00BD2291"/>
    <w:rsid w:val="00BD291C"/>
    <w:rsid w:val="00BE22D7"/>
    <w:rsid w:val="00BE2DD8"/>
    <w:rsid w:val="00C2305A"/>
    <w:rsid w:val="00C23CC9"/>
    <w:rsid w:val="00C30B3D"/>
    <w:rsid w:val="00C33AE2"/>
    <w:rsid w:val="00C34319"/>
    <w:rsid w:val="00C36C5E"/>
    <w:rsid w:val="00C4664C"/>
    <w:rsid w:val="00C4789A"/>
    <w:rsid w:val="00C66ECA"/>
    <w:rsid w:val="00C75A49"/>
    <w:rsid w:val="00C8096C"/>
    <w:rsid w:val="00C8100B"/>
    <w:rsid w:val="00C92141"/>
    <w:rsid w:val="00CA38DE"/>
    <w:rsid w:val="00CA41D2"/>
    <w:rsid w:val="00CA4EB1"/>
    <w:rsid w:val="00CA4F20"/>
    <w:rsid w:val="00CD5320"/>
    <w:rsid w:val="00CD6EEC"/>
    <w:rsid w:val="00CE24EE"/>
    <w:rsid w:val="00CF6518"/>
    <w:rsid w:val="00D22748"/>
    <w:rsid w:val="00D26918"/>
    <w:rsid w:val="00D37121"/>
    <w:rsid w:val="00D57BE9"/>
    <w:rsid w:val="00D71966"/>
    <w:rsid w:val="00D779F7"/>
    <w:rsid w:val="00D87542"/>
    <w:rsid w:val="00D95C20"/>
    <w:rsid w:val="00D97C16"/>
    <w:rsid w:val="00DA3406"/>
    <w:rsid w:val="00DA67CB"/>
    <w:rsid w:val="00DB0F8D"/>
    <w:rsid w:val="00DB2E3A"/>
    <w:rsid w:val="00DB6E18"/>
    <w:rsid w:val="00DE1DAB"/>
    <w:rsid w:val="00DE20A2"/>
    <w:rsid w:val="00DF0B89"/>
    <w:rsid w:val="00E262FA"/>
    <w:rsid w:val="00E35682"/>
    <w:rsid w:val="00E46EA3"/>
    <w:rsid w:val="00E51C1B"/>
    <w:rsid w:val="00E52143"/>
    <w:rsid w:val="00E53DA7"/>
    <w:rsid w:val="00E678C7"/>
    <w:rsid w:val="00E725B9"/>
    <w:rsid w:val="00E81411"/>
    <w:rsid w:val="00EB5989"/>
    <w:rsid w:val="00EC6B44"/>
    <w:rsid w:val="00ED6905"/>
    <w:rsid w:val="00EE06A0"/>
    <w:rsid w:val="00EE37A3"/>
    <w:rsid w:val="00EE407E"/>
    <w:rsid w:val="00EE67C7"/>
    <w:rsid w:val="00F136B3"/>
    <w:rsid w:val="00F30558"/>
    <w:rsid w:val="00F4385E"/>
    <w:rsid w:val="00F51DD6"/>
    <w:rsid w:val="00F56CE4"/>
    <w:rsid w:val="00F61C6B"/>
    <w:rsid w:val="00F627EB"/>
    <w:rsid w:val="00F66FC8"/>
    <w:rsid w:val="00F75A10"/>
    <w:rsid w:val="00F77276"/>
    <w:rsid w:val="00F86C1B"/>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E3BCE"/>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0501A4"/>
    <w:pPr>
      <w:bidi/>
      <w:spacing w:after="0" w:line="312" w:lineRule="auto"/>
    </w:pPr>
  </w:style>
  <w:style w:type="paragraph" w:styleId="11">
    <w:name w:val="heading 1"/>
    <w:basedOn w:val="a3"/>
    <w:next w:val="a3"/>
    <w:link w:val="12"/>
    <w:uiPriority w:val="9"/>
    <w:qFormat/>
    <w:rsid w:val="000501A4"/>
    <w:pPr>
      <w:keepNext/>
      <w:keepLines/>
      <w:jc w:val="center"/>
      <w:outlineLvl w:val="0"/>
    </w:pPr>
    <w:rPr>
      <w:rFonts w:eastAsiaTheme="majorEastAsia"/>
      <w:bCs/>
      <w:szCs w:val="36"/>
      <w:u w:val="single"/>
    </w:rPr>
  </w:style>
  <w:style w:type="paragraph" w:styleId="20">
    <w:name w:val="heading 2"/>
    <w:basedOn w:val="a3"/>
    <w:next w:val="a3"/>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3"/>
    <w:next w:val="a3"/>
    <w:link w:val="32"/>
    <w:uiPriority w:val="9"/>
    <w:qFormat/>
    <w:rsid w:val="006D786C"/>
    <w:pPr>
      <w:keepNext/>
      <w:keepLines/>
      <w:spacing w:before="120"/>
      <w:outlineLvl w:val="2"/>
    </w:pPr>
    <w:rPr>
      <w:rFonts w:eastAsiaTheme="majorEastAsia"/>
      <w:bCs/>
      <w:szCs w:val="28"/>
      <w:u w:val="single"/>
    </w:rPr>
  </w:style>
  <w:style w:type="paragraph" w:styleId="4">
    <w:name w:val="heading 4"/>
    <w:basedOn w:val="a3"/>
    <w:next w:val="a3"/>
    <w:link w:val="40"/>
    <w:uiPriority w:val="9"/>
    <w:qFormat/>
    <w:rsid w:val="006D786C"/>
    <w:pPr>
      <w:keepNext/>
      <w:keepLines/>
      <w:spacing w:before="120"/>
      <w:outlineLvl w:val="3"/>
    </w:pPr>
    <w:rPr>
      <w:rFonts w:eastAsiaTheme="majorEastAsia"/>
      <w:bCs/>
      <w:szCs w:val="26"/>
    </w:rPr>
  </w:style>
  <w:style w:type="paragraph" w:styleId="50">
    <w:name w:val="heading 5"/>
    <w:basedOn w:val="a3"/>
    <w:next w:val="a3"/>
    <w:link w:val="51"/>
    <w:uiPriority w:val="1"/>
    <w:qFormat/>
    <w:rsid w:val="000501A4"/>
    <w:pPr>
      <w:keepNext/>
      <w:keepLines/>
      <w:outlineLvl w:val="4"/>
    </w:pPr>
    <w:rPr>
      <w:rFonts w:eastAsiaTheme="majorEastAsia"/>
      <w:bCs/>
      <w:spacing w:val="40"/>
    </w:rPr>
  </w:style>
  <w:style w:type="paragraph" w:styleId="6">
    <w:name w:val="heading 6"/>
    <w:basedOn w:val="a3"/>
    <w:next w:val="a3"/>
    <w:link w:val="60"/>
    <w:uiPriority w:val="1"/>
    <w:qFormat/>
    <w:rsid w:val="000501A4"/>
    <w:pPr>
      <w:keepNext/>
      <w:keepLines/>
      <w:outlineLvl w:val="5"/>
    </w:pPr>
    <w:rPr>
      <w:rFonts w:eastAsiaTheme="majorEastAsia"/>
      <w:spacing w:val="40"/>
    </w:rPr>
  </w:style>
  <w:style w:type="paragraph" w:styleId="7">
    <w:name w:val="heading 7"/>
    <w:basedOn w:val="a3"/>
    <w:next w:val="a3"/>
    <w:link w:val="70"/>
    <w:uiPriority w:val="9"/>
    <w:qFormat/>
    <w:rsid w:val="000501A4"/>
    <w:pPr>
      <w:keepNext/>
      <w:keepLines/>
      <w:outlineLvl w:val="6"/>
    </w:pPr>
    <w:rPr>
      <w:rFonts w:eastAsiaTheme="majorEastAsia"/>
      <w:bCs/>
      <w:spacing w:val="40"/>
    </w:rPr>
  </w:style>
  <w:style w:type="paragraph" w:styleId="8">
    <w:name w:val="heading 8"/>
    <w:basedOn w:val="a3"/>
    <w:next w:val="a3"/>
    <w:link w:val="80"/>
    <w:uiPriority w:val="1"/>
    <w:qFormat/>
    <w:rsid w:val="000501A4"/>
    <w:pPr>
      <w:keepNext/>
      <w:keepLines/>
      <w:outlineLvl w:val="7"/>
    </w:pPr>
    <w:rPr>
      <w:rFonts w:eastAsiaTheme="majorEastAsia"/>
      <w:spacing w:val="4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uiPriority w:val="9"/>
    <w:rsid w:val="000501A4"/>
    <w:rPr>
      <w:rFonts w:eastAsiaTheme="majorEastAsia"/>
      <w:bCs/>
      <w:szCs w:val="36"/>
      <w:u w:val="single"/>
    </w:rPr>
  </w:style>
  <w:style w:type="character" w:customStyle="1" w:styleId="21">
    <w:name w:val="כותרת 2 תו"/>
    <w:basedOn w:val="a4"/>
    <w:link w:val="20"/>
    <w:uiPriority w:val="1"/>
    <w:rsid w:val="000501A4"/>
    <w:rPr>
      <w:rFonts w:eastAsiaTheme="majorEastAsia"/>
      <w:bCs/>
      <w:szCs w:val="32"/>
    </w:rPr>
  </w:style>
  <w:style w:type="character" w:customStyle="1" w:styleId="32">
    <w:name w:val="כותרת 3 תו"/>
    <w:basedOn w:val="a4"/>
    <w:link w:val="31"/>
    <w:uiPriority w:val="9"/>
    <w:rsid w:val="006D786C"/>
    <w:rPr>
      <w:rFonts w:eastAsiaTheme="majorEastAsia"/>
      <w:bCs/>
      <w:szCs w:val="28"/>
      <w:u w:val="single"/>
    </w:rPr>
  </w:style>
  <w:style w:type="character" w:customStyle="1" w:styleId="40">
    <w:name w:val="כותרת 4 תו"/>
    <w:basedOn w:val="a4"/>
    <w:link w:val="4"/>
    <w:uiPriority w:val="9"/>
    <w:rsid w:val="006D786C"/>
    <w:rPr>
      <w:rFonts w:eastAsiaTheme="majorEastAsia"/>
      <w:bCs/>
      <w:szCs w:val="26"/>
    </w:rPr>
  </w:style>
  <w:style w:type="character" w:customStyle="1" w:styleId="51">
    <w:name w:val="כותרת 5 תו"/>
    <w:basedOn w:val="a4"/>
    <w:link w:val="50"/>
    <w:uiPriority w:val="1"/>
    <w:rsid w:val="000501A4"/>
    <w:rPr>
      <w:rFonts w:eastAsiaTheme="majorEastAsia"/>
      <w:bCs/>
      <w:spacing w:val="40"/>
    </w:rPr>
  </w:style>
  <w:style w:type="character" w:customStyle="1" w:styleId="60">
    <w:name w:val="כותרת 6 תו"/>
    <w:basedOn w:val="a4"/>
    <w:link w:val="6"/>
    <w:uiPriority w:val="1"/>
    <w:rsid w:val="000501A4"/>
    <w:rPr>
      <w:rFonts w:eastAsiaTheme="majorEastAsia"/>
      <w:spacing w:val="40"/>
    </w:rPr>
  </w:style>
  <w:style w:type="character" w:customStyle="1" w:styleId="70">
    <w:name w:val="כותרת 7 תו"/>
    <w:basedOn w:val="a4"/>
    <w:link w:val="7"/>
    <w:uiPriority w:val="1"/>
    <w:rsid w:val="000501A4"/>
    <w:rPr>
      <w:rFonts w:eastAsiaTheme="majorEastAsia"/>
      <w:bCs/>
      <w:spacing w:val="40"/>
    </w:rPr>
  </w:style>
  <w:style w:type="character" w:customStyle="1" w:styleId="80">
    <w:name w:val="כותרת 8 תו"/>
    <w:basedOn w:val="a4"/>
    <w:link w:val="8"/>
    <w:uiPriority w:val="1"/>
    <w:rsid w:val="000501A4"/>
    <w:rPr>
      <w:rFonts w:eastAsiaTheme="majorEastAsia"/>
      <w:spacing w:val="40"/>
    </w:rPr>
  </w:style>
  <w:style w:type="paragraph" w:customStyle="1" w:styleId="a7">
    <w:name w:val="נבנצאל"/>
    <w:basedOn w:val="a3"/>
    <w:next w:val="a3"/>
    <w:link w:val="a8"/>
    <w:uiPriority w:val="99"/>
    <w:rsid w:val="000501A4"/>
    <w:pPr>
      <w:ind w:left="-567"/>
    </w:pPr>
    <w:rPr>
      <w:szCs w:val="20"/>
    </w:rPr>
  </w:style>
  <w:style w:type="character" w:customStyle="1" w:styleId="a8">
    <w:name w:val="נבנצאל תו"/>
    <w:basedOn w:val="a4"/>
    <w:link w:val="a7"/>
    <w:uiPriority w:val="99"/>
    <w:rsid w:val="000501A4"/>
    <w:rPr>
      <w:szCs w:val="20"/>
    </w:rPr>
  </w:style>
  <w:style w:type="paragraph" w:styleId="a9">
    <w:name w:val="header"/>
    <w:basedOn w:val="a3"/>
    <w:link w:val="aa"/>
    <w:uiPriority w:val="99"/>
    <w:unhideWhenUsed/>
    <w:rsid w:val="000501A4"/>
    <w:pPr>
      <w:tabs>
        <w:tab w:val="center" w:pos="4153"/>
        <w:tab w:val="right" w:pos="8306"/>
      </w:tabs>
      <w:spacing w:line="240" w:lineRule="auto"/>
    </w:pPr>
  </w:style>
  <w:style w:type="character" w:customStyle="1" w:styleId="aa">
    <w:name w:val="כותרת עליונה תו"/>
    <w:basedOn w:val="a4"/>
    <w:link w:val="a9"/>
    <w:uiPriority w:val="99"/>
    <w:rsid w:val="000501A4"/>
  </w:style>
  <w:style w:type="paragraph" w:styleId="ab">
    <w:name w:val="footer"/>
    <w:basedOn w:val="a3"/>
    <w:link w:val="ac"/>
    <w:uiPriority w:val="99"/>
    <w:unhideWhenUsed/>
    <w:rsid w:val="000501A4"/>
    <w:pPr>
      <w:tabs>
        <w:tab w:val="center" w:pos="4153"/>
        <w:tab w:val="right" w:pos="8306"/>
      </w:tabs>
      <w:spacing w:line="240" w:lineRule="auto"/>
    </w:pPr>
  </w:style>
  <w:style w:type="character" w:customStyle="1" w:styleId="ac">
    <w:name w:val="כותרת תחתונה תו"/>
    <w:basedOn w:val="a4"/>
    <w:link w:val="ab"/>
    <w:uiPriority w:val="99"/>
    <w:rsid w:val="000501A4"/>
  </w:style>
  <w:style w:type="paragraph" w:styleId="ad">
    <w:name w:val="Date"/>
    <w:basedOn w:val="a3"/>
    <w:next w:val="a3"/>
    <w:link w:val="ae"/>
    <w:uiPriority w:val="99"/>
    <w:unhideWhenUsed/>
    <w:rsid w:val="000501A4"/>
    <w:pPr>
      <w:spacing w:before="120" w:line="240" w:lineRule="auto"/>
    </w:pPr>
  </w:style>
  <w:style w:type="character" w:customStyle="1" w:styleId="ae">
    <w:name w:val="תאריך תו"/>
    <w:basedOn w:val="a4"/>
    <w:link w:val="ad"/>
    <w:uiPriority w:val="99"/>
    <w:rsid w:val="000501A4"/>
  </w:style>
  <w:style w:type="paragraph" w:styleId="af">
    <w:name w:val="footnote text"/>
    <w:aliases w:val=" Char,Char,F1,FOOTNOTES,Footnote Text - Sharp,Footnote Text - Sharp Char,Footnote Text - Sharp Char Char,Footnote Text Char Char Char Char Char,Footnote reference,Sharp - Footnote Text,Sharp - Footnote Text1 Char,fn,footnote text"/>
    <w:basedOn w:val="a3"/>
    <w:link w:val="af0"/>
    <w:uiPriority w:val="99"/>
    <w:qFormat/>
    <w:rsid w:val="00574579"/>
    <w:pPr>
      <w:spacing w:line="240" w:lineRule="auto"/>
      <w:ind w:left="720" w:hanging="720"/>
    </w:pPr>
    <w:rPr>
      <w:szCs w:val="20"/>
    </w:rPr>
  </w:style>
  <w:style w:type="character" w:customStyle="1" w:styleId="af0">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4"/>
    <w:link w:val="af"/>
    <w:uiPriority w:val="99"/>
    <w:rsid w:val="00574579"/>
    <w:rPr>
      <w:szCs w:val="20"/>
    </w:rPr>
  </w:style>
  <w:style w:type="character" w:styleId="af1">
    <w:name w:val="footnote reference"/>
    <w:aliases w:val="Footnote Reference_0,Footnote Reference_0_0,Footnote Reference_0_0_0,Footnote Reference_0_0_0_0,Footnote Reference_1,Footnote Reference_2,Footnote Reference_3,Footnote Reference_3_0,Footnote Reference_4,Footnote text,fr,מ"/>
    <w:basedOn w:val="a4"/>
    <w:uiPriority w:val="99"/>
    <w:unhideWhenUsed/>
    <w:rsid w:val="000501A4"/>
    <w:rPr>
      <w:vertAlign w:val="superscript"/>
    </w:rPr>
  </w:style>
  <w:style w:type="paragraph" w:styleId="af2">
    <w:name w:val="List Paragraph"/>
    <w:aliases w:val="Bullet Number,Num Bullet 1,Use Case List Paragraph,style 2,פיסקת רשימה1"/>
    <w:basedOn w:val="a3"/>
    <w:link w:val="af3"/>
    <w:uiPriority w:val="34"/>
    <w:qFormat/>
    <w:rsid w:val="00B4321D"/>
    <w:pPr>
      <w:ind w:left="720"/>
      <w:contextualSpacing/>
    </w:pPr>
  </w:style>
  <w:style w:type="table" w:styleId="af4">
    <w:name w:val="Table Grid"/>
    <w:basedOn w:val="a5"/>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unhideWhenUsed/>
    <w:rsid w:val="00B4321D"/>
    <w:pPr>
      <w:spacing w:line="240" w:lineRule="auto"/>
    </w:pPr>
    <w:rPr>
      <w:rFonts w:ascii="Tahoma" w:hAnsi="Tahoma" w:cs="Tahoma"/>
      <w:sz w:val="18"/>
      <w:szCs w:val="18"/>
    </w:rPr>
  </w:style>
  <w:style w:type="character" w:customStyle="1" w:styleId="af6">
    <w:name w:val="טקסט בלונים תו"/>
    <w:basedOn w:val="a4"/>
    <w:link w:val="af5"/>
    <w:uiPriority w:val="99"/>
    <w:rsid w:val="00B4321D"/>
    <w:rPr>
      <w:rFonts w:ascii="Tahoma" w:hAnsi="Tahoma" w:cs="Tahoma"/>
      <w:sz w:val="18"/>
      <w:szCs w:val="18"/>
    </w:rPr>
  </w:style>
  <w:style w:type="character" w:styleId="af7">
    <w:name w:val="annotation reference"/>
    <w:basedOn w:val="a4"/>
    <w:uiPriority w:val="99"/>
    <w:semiHidden/>
    <w:unhideWhenUsed/>
    <w:rsid w:val="00B4321D"/>
    <w:rPr>
      <w:sz w:val="16"/>
      <w:szCs w:val="16"/>
    </w:rPr>
  </w:style>
  <w:style w:type="paragraph" w:styleId="af8">
    <w:name w:val="annotation text"/>
    <w:basedOn w:val="a3"/>
    <w:link w:val="af9"/>
    <w:uiPriority w:val="99"/>
    <w:unhideWhenUsed/>
    <w:rsid w:val="00B4321D"/>
    <w:pPr>
      <w:spacing w:line="240" w:lineRule="auto"/>
    </w:pPr>
    <w:rPr>
      <w:szCs w:val="20"/>
    </w:rPr>
  </w:style>
  <w:style w:type="character" w:customStyle="1" w:styleId="af9">
    <w:name w:val="טקסט הערה תו"/>
    <w:basedOn w:val="a4"/>
    <w:link w:val="af8"/>
    <w:uiPriority w:val="99"/>
    <w:rsid w:val="00B4321D"/>
    <w:rPr>
      <w:szCs w:val="20"/>
    </w:rPr>
  </w:style>
  <w:style w:type="paragraph" w:styleId="afa">
    <w:name w:val="annotation subject"/>
    <w:basedOn w:val="af8"/>
    <w:next w:val="af8"/>
    <w:link w:val="afb"/>
    <w:uiPriority w:val="99"/>
    <w:semiHidden/>
    <w:unhideWhenUsed/>
    <w:rsid w:val="00B4321D"/>
    <w:rPr>
      <w:b/>
      <w:bCs/>
    </w:rPr>
  </w:style>
  <w:style w:type="character" w:customStyle="1" w:styleId="afb">
    <w:name w:val="נושא הערה תו"/>
    <w:basedOn w:val="af9"/>
    <w:link w:val="afa"/>
    <w:uiPriority w:val="99"/>
    <w:semiHidden/>
    <w:rsid w:val="00B4321D"/>
    <w:rPr>
      <w:b/>
      <w:bCs/>
      <w:szCs w:val="20"/>
    </w:rPr>
  </w:style>
  <w:style w:type="paragraph" w:styleId="afc">
    <w:name w:val="Revision"/>
    <w:hidden/>
    <w:uiPriority w:val="99"/>
    <w:semiHidden/>
    <w:rsid w:val="00B4321D"/>
    <w:pPr>
      <w:spacing w:after="0" w:line="240" w:lineRule="auto"/>
      <w:jc w:val="left"/>
    </w:pPr>
  </w:style>
  <w:style w:type="paragraph" w:styleId="afd">
    <w:name w:val="No Spacing"/>
    <w:aliases w:val="מספורנוהל"/>
    <w:basedOn w:val="a3"/>
    <w:link w:val="afe"/>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e">
    <w:name w:val="ללא מרווח תו"/>
    <w:aliases w:val="מספורנוהל תו"/>
    <w:basedOn w:val="a4"/>
    <w:link w:val="afd"/>
    <w:uiPriority w:val="1"/>
    <w:rsid w:val="00B4321D"/>
    <w:rPr>
      <w:rFonts w:ascii="David" w:eastAsia="Times New Roman" w:hAnsi="David"/>
      <w:b/>
      <w:sz w:val="24"/>
      <w:lang w:eastAsia="he-IL"/>
    </w:rPr>
  </w:style>
  <w:style w:type="paragraph" w:styleId="NormalWeb">
    <w:name w:val="Normal (Web)"/>
    <w:basedOn w:val="a3"/>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5"/>
    <w:next w:val="af4"/>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פיסקת רשימה תו"/>
    <w:aliases w:val="Bullet Number תו,Num Bullet 1 תו,Use Case List Paragraph תו,style 2 תו,פיסקת רשימה1 תו"/>
    <w:link w:val="af2"/>
    <w:uiPriority w:val="34"/>
    <w:rsid w:val="00B4321D"/>
  </w:style>
  <w:style w:type="table" w:styleId="1-5">
    <w:name w:val="Grid Table 1 Light Accent 5"/>
    <w:basedOn w:val="a5"/>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4"/>
    <w:uiPriority w:val="99"/>
    <w:unhideWhenUsed/>
    <w:rsid w:val="00B4321D"/>
    <w:rPr>
      <w:color w:val="0000FF" w:themeColor="hyperlink"/>
      <w:u w:val="single"/>
    </w:rPr>
  </w:style>
  <w:style w:type="paragraph" w:customStyle="1" w:styleId="75">
    <w:name w:val="75א מספור הערות שוליים"/>
    <w:basedOn w:val="a3"/>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4"/>
    <w:uiPriority w:val="99"/>
    <w:semiHidden/>
    <w:unhideWhenUsed/>
    <w:rsid w:val="00B4321D"/>
    <w:rPr>
      <w:color w:val="800080" w:themeColor="followedHyperlink"/>
      <w:u w:val="single"/>
    </w:rPr>
  </w:style>
  <w:style w:type="character" w:styleId="aff">
    <w:name w:val="Unresolved Mention"/>
    <w:basedOn w:val="a4"/>
    <w:uiPriority w:val="99"/>
    <w:semiHidden/>
    <w:unhideWhenUsed/>
    <w:rsid w:val="00B4321D"/>
    <w:rPr>
      <w:color w:val="605E5C"/>
      <w:shd w:val="clear" w:color="auto" w:fill="E1DFDD"/>
    </w:rPr>
  </w:style>
  <w:style w:type="paragraph" w:customStyle="1" w:styleId="aff0">
    <w:name w:val="פרטי הדוח ממה"/>
    <w:basedOn w:val="a3"/>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1">
    <w:name w:val="כותרת הדוח ממה"/>
    <w:basedOn w:val="a3"/>
    <w:link w:val="aff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2">
    <w:name w:val="כותרת הדוח ממה תו"/>
    <w:basedOn w:val="a4"/>
    <w:link w:val="aff1"/>
    <w:rsid w:val="00B4321D"/>
    <w:rPr>
      <w:rFonts w:ascii="Calibri" w:hAnsi="Calibri" w:cs="Calibri"/>
      <w:b/>
      <w:bCs/>
      <w:color w:val="FFFFFF" w:themeColor="background1"/>
      <w:sz w:val="60"/>
      <w:szCs w:val="60"/>
    </w:rPr>
  </w:style>
  <w:style w:type="paragraph" w:customStyle="1" w:styleId="aff3">
    <w:name w:val="טקסט שם מונח ממה"/>
    <w:basedOn w:val="a3"/>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4">
    <w:name w:val="טקסט הגדרת מונח ממה"/>
    <w:link w:val="aff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5">
    <w:name w:val="טקסט הגדרת מונח ממה תו"/>
    <w:basedOn w:val="a4"/>
    <w:link w:val="aff4"/>
    <w:rsid w:val="00B4321D"/>
    <w:rPr>
      <w:rFonts w:ascii="Calibri" w:eastAsia="DengXian" w:hAnsi="Calibri" w:cs="Calibri"/>
      <w:color w:val="002060"/>
      <w:sz w:val="24"/>
      <w:lang w:val="en-GB"/>
    </w:rPr>
  </w:style>
  <w:style w:type="paragraph" w:customStyle="1" w:styleId="aff6">
    <w:name w:val="מבוא ממה"/>
    <w:basedOn w:val="a3"/>
    <w:next w:val="a3"/>
    <w:link w:val="aff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7">
    <w:name w:val="מבוא ממה תו"/>
    <w:basedOn w:val="a4"/>
    <w:link w:val="aff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8">
    <w:name w:val="מראה מקום ממה"/>
    <w:basedOn w:val="a3"/>
    <w:next w:val="a3"/>
    <w:link w:val="aff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9">
    <w:name w:val="מראה מקום ממה תו"/>
    <w:basedOn w:val="a4"/>
    <w:link w:val="aff8"/>
    <w:rsid w:val="00B4321D"/>
    <w:rPr>
      <w:rFonts w:ascii="Calibri" w:eastAsia="Calibri" w:hAnsi="Calibri" w:cs="Calibri"/>
      <w:b/>
      <w:bCs/>
      <w:color w:val="002060"/>
      <w:sz w:val="18"/>
      <w:szCs w:val="18"/>
      <w:shd w:val="solid" w:color="F3F7FF" w:fill="auto"/>
    </w:rPr>
  </w:style>
  <w:style w:type="paragraph" w:customStyle="1" w:styleId="affa">
    <w:name w:val="כותרת עליונה ממה"/>
    <w:basedOn w:val="a3"/>
    <w:next w:val="a3"/>
    <w:link w:val="affb"/>
    <w:qFormat/>
    <w:rsid w:val="00B4321D"/>
    <w:pPr>
      <w:spacing w:line="240" w:lineRule="auto"/>
      <w:ind w:left="737"/>
      <w:jc w:val="left"/>
    </w:pPr>
    <w:rPr>
      <w:rFonts w:ascii="Calibri" w:eastAsia="Calibri" w:hAnsi="Calibri" w:cs="Calibri"/>
      <w:color w:val="002060"/>
      <w:sz w:val="18"/>
      <w:szCs w:val="18"/>
    </w:rPr>
  </w:style>
  <w:style w:type="character" w:customStyle="1" w:styleId="affb">
    <w:name w:val="כותרת עליונה ממה תו"/>
    <w:basedOn w:val="a4"/>
    <w:link w:val="affa"/>
    <w:rsid w:val="00B4321D"/>
    <w:rPr>
      <w:rFonts w:ascii="Calibri" w:eastAsia="Calibri" w:hAnsi="Calibri" w:cs="Calibri"/>
      <w:color w:val="002060"/>
      <w:sz w:val="18"/>
      <w:szCs w:val="18"/>
    </w:rPr>
  </w:style>
  <w:style w:type="paragraph" w:customStyle="1" w:styleId="10">
    <w:name w:val="כותרת 1 ממה"/>
    <w:basedOn w:val="a3"/>
    <w:next w:val="a3"/>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4"/>
    <w:link w:val="10"/>
    <w:rsid w:val="00B4321D"/>
    <w:rPr>
      <w:rFonts w:ascii="Calibri" w:eastAsia="Calibri" w:hAnsi="Calibri" w:cs="Calibri"/>
      <w:b/>
      <w:bCs/>
      <w:color w:val="002060"/>
      <w:sz w:val="40"/>
      <w:szCs w:val="40"/>
    </w:rPr>
  </w:style>
  <w:style w:type="paragraph" w:customStyle="1" w:styleId="2">
    <w:name w:val="כותרת 2 ממה"/>
    <w:basedOn w:val="a3"/>
    <w:next w:val="a3"/>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3"/>
    <w:next w:val="a3"/>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3"/>
    <w:next w:val="a3"/>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4"/>
    <w:link w:val="41"/>
    <w:rsid w:val="00B4321D"/>
    <w:rPr>
      <w:rFonts w:ascii="Calibri" w:eastAsia="Calibri" w:hAnsi="Calibri" w:cs="Calibri"/>
      <w:color w:val="002060"/>
      <w:sz w:val="28"/>
      <w:szCs w:val="28"/>
    </w:rPr>
  </w:style>
  <w:style w:type="paragraph" w:customStyle="1" w:styleId="1">
    <w:name w:val="רשימה1 ממה"/>
    <w:basedOn w:val="a3"/>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4"/>
    <w:link w:val="1"/>
    <w:rsid w:val="00B4321D"/>
    <w:rPr>
      <w:rFonts w:ascii="Calibri" w:eastAsia="Calibri" w:hAnsi="Calibri" w:cs="Calibri"/>
      <w:color w:val="002060"/>
      <w:sz w:val="24"/>
    </w:rPr>
  </w:style>
  <w:style w:type="paragraph" w:customStyle="1" w:styleId="23">
    <w:name w:val="רשימה2 ממה"/>
    <w:basedOn w:val="a3"/>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4"/>
    <w:link w:val="23"/>
    <w:rsid w:val="00B4321D"/>
    <w:rPr>
      <w:rFonts w:ascii="Calibri" w:eastAsia="Calibri" w:hAnsi="Calibri" w:cs="Calibri"/>
      <w:color w:val="002060"/>
      <w:sz w:val="24"/>
    </w:rPr>
  </w:style>
  <w:style w:type="paragraph" w:customStyle="1" w:styleId="30">
    <w:name w:val="רשימה3 ממה"/>
    <w:basedOn w:val="a3"/>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4"/>
    <w:link w:val="30"/>
    <w:rsid w:val="00B4321D"/>
    <w:rPr>
      <w:rFonts w:ascii="Calibri" w:eastAsia="Calibri" w:hAnsi="Calibri" w:cs="Calibri"/>
      <w:color w:val="002060"/>
      <w:sz w:val="24"/>
    </w:rPr>
  </w:style>
  <w:style w:type="paragraph" w:customStyle="1" w:styleId="43">
    <w:name w:val="רשימה4 ממה"/>
    <w:basedOn w:val="a3"/>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4"/>
    <w:link w:val="43"/>
    <w:rsid w:val="00B4321D"/>
    <w:rPr>
      <w:rFonts w:ascii="Calibri" w:eastAsia="Calibri" w:hAnsi="Calibri" w:cs="Calibri"/>
      <w:color w:val="002060"/>
      <w:sz w:val="24"/>
    </w:rPr>
  </w:style>
  <w:style w:type="paragraph" w:customStyle="1" w:styleId="5">
    <w:name w:val="רשימה5 ממה"/>
    <w:basedOn w:val="a3"/>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4"/>
    <w:link w:val="5"/>
    <w:rsid w:val="00B4321D"/>
    <w:rPr>
      <w:rFonts w:ascii="Calibri" w:eastAsia="Calibri" w:hAnsi="Calibri" w:cs="Calibri"/>
      <w:color w:val="002060"/>
      <w:sz w:val="24"/>
    </w:rPr>
  </w:style>
  <w:style w:type="paragraph" w:customStyle="1" w:styleId="affc">
    <w:name w:val="הערת שוליים ממה"/>
    <w:basedOn w:val="a3"/>
    <w:link w:val="affd"/>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d">
    <w:name w:val="הערת שוליים ממה תו"/>
    <w:basedOn w:val="a4"/>
    <w:link w:val="affc"/>
    <w:rsid w:val="00B4321D"/>
    <w:rPr>
      <w:rFonts w:ascii="Calibri" w:eastAsia="Calibri" w:hAnsi="Calibri" w:cs="Calibri"/>
      <w:color w:val="002060"/>
      <w:sz w:val="24"/>
      <w:szCs w:val="20"/>
    </w:rPr>
  </w:style>
  <w:style w:type="paragraph" w:customStyle="1" w:styleId="affe">
    <w:name w:val="הערת סיום ממה"/>
    <w:basedOn w:val="a3"/>
    <w:link w:val="afff"/>
    <w:qFormat/>
    <w:rsid w:val="00B4321D"/>
    <w:pPr>
      <w:widowControl w:val="0"/>
      <w:spacing w:line="240" w:lineRule="auto"/>
      <w:ind w:left="1134"/>
    </w:pPr>
    <w:rPr>
      <w:rFonts w:ascii="Calibri" w:eastAsia="Calibri" w:hAnsi="Calibri" w:cs="Calibri"/>
      <w:color w:val="002060"/>
      <w:sz w:val="24"/>
      <w:szCs w:val="20"/>
    </w:rPr>
  </w:style>
  <w:style w:type="character" w:customStyle="1" w:styleId="afff">
    <w:name w:val="הערת סיום ממה תו"/>
    <w:basedOn w:val="a4"/>
    <w:link w:val="affe"/>
    <w:rsid w:val="00B4321D"/>
    <w:rPr>
      <w:rFonts w:ascii="Calibri" w:eastAsia="Calibri" w:hAnsi="Calibri" w:cs="Calibri"/>
      <w:color w:val="002060"/>
      <w:sz w:val="24"/>
      <w:szCs w:val="20"/>
    </w:rPr>
  </w:style>
  <w:style w:type="paragraph" w:customStyle="1" w:styleId="16">
    <w:name w:val="ליקוי/ממצא חיובי/המלצה1 ממה"/>
    <w:next w:val="a3"/>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4"/>
    <w:link w:val="16"/>
    <w:rsid w:val="00B4321D"/>
    <w:rPr>
      <w:rFonts w:ascii="Calibri" w:eastAsia="Calibri" w:hAnsi="Calibri" w:cs="Calibri"/>
      <w:color w:val="002060"/>
      <w:sz w:val="24"/>
    </w:rPr>
  </w:style>
  <w:style w:type="paragraph" w:customStyle="1" w:styleId="25">
    <w:name w:val="ליקוי/ממצא חיובי/המלצה2 ממה"/>
    <w:basedOn w:val="a3"/>
    <w:next w:val="a3"/>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3"/>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4"/>
    <w:link w:val="35"/>
    <w:rsid w:val="00B4321D"/>
    <w:rPr>
      <w:rFonts w:ascii="Calibri" w:eastAsia="Calibri" w:hAnsi="Calibri" w:cs="Calibri"/>
      <w:color w:val="002060"/>
      <w:sz w:val="24"/>
    </w:rPr>
  </w:style>
  <w:style w:type="paragraph" w:customStyle="1" w:styleId="afff0">
    <w:name w:val="נבנצאל ממה"/>
    <w:basedOn w:val="a3"/>
    <w:next w:val="a3"/>
    <w:link w:val="afff1"/>
    <w:uiPriority w:val="99"/>
    <w:qFormat/>
    <w:rsid w:val="00B4321D"/>
    <w:pPr>
      <w:keepNext/>
      <w:spacing w:line="280" w:lineRule="exact"/>
      <w:jc w:val="left"/>
    </w:pPr>
    <w:rPr>
      <w:rFonts w:ascii="Calibri" w:eastAsia="Calibri" w:hAnsi="Calibri" w:cs="Calibri"/>
      <w:color w:val="002060"/>
      <w:szCs w:val="20"/>
    </w:rPr>
  </w:style>
  <w:style w:type="character" w:customStyle="1" w:styleId="afff1">
    <w:name w:val="נבנצאל ממה תו"/>
    <w:basedOn w:val="a4"/>
    <w:link w:val="afff0"/>
    <w:uiPriority w:val="99"/>
    <w:rsid w:val="00B4321D"/>
    <w:rPr>
      <w:rFonts w:ascii="Calibri" w:eastAsia="Calibri" w:hAnsi="Calibri" w:cs="Calibri"/>
      <w:color w:val="002060"/>
      <w:szCs w:val="20"/>
    </w:rPr>
  </w:style>
  <w:style w:type="paragraph" w:customStyle="1" w:styleId="afff2">
    <w:name w:val="רגיל ממה"/>
    <w:basedOn w:val="a3"/>
    <w:link w:val="afff3"/>
    <w:qFormat/>
    <w:rsid w:val="00B4321D"/>
    <w:pPr>
      <w:widowControl w:val="0"/>
      <w:spacing w:line="280" w:lineRule="exact"/>
      <w:ind w:left="1134"/>
    </w:pPr>
    <w:rPr>
      <w:rFonts w:ascii="Calibri" w:eastAsia="Calibri" w:hAnsi="Calibri" w:cs="Calibri"/>
      <w:color w:val="002060"/>
      <w:sz w:val="24"/>
    </w:rPr>
  </w:style>
  <w:style w:type="character" w:customStyle="1" w:styleId="afff3">
    <w:name w:val="רגיל ממה תו"/>
    <w:basedOn w:val="a4"/>
    <w:link w:val="afff2"/>
    <w:rsid w:val="00B4321D"/>
    <w:rPr>
      <w:rFonts w:ascii="Calibri" w:eastAsia="Calibri" w:hAnsi="Calibri" w:cs="Calibri"/>
      <w:color w:val="002060"/>
      <w:sz w:val="24"/>
    </w:rPr>
  </w:style>
  <w:style w:type="paragraph" w:customStyle="1" w:styleId="afff4">
    <w:name w:val="סיכום ממה"/>
    <w:basedOn w:val="a3"/>
    <w:next w:val="a3"/>
    <w:link w:val="afff5"/>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5">
    <w:name w:val="סיכום ממה תו"/>
    <w:basedOn w:val="a4"/>
    <w:link w:val="afff4"/>
    <w:rsid w:val="00B4321D"/>
    <w:rPr>
      <w:rFonts w:ascii="Calibri" w:eastAsia="Calibri" w:hAnsi="Calibri" w:cs="Calibri"/>
      <w:b/>
      <w:bCs/>
      <w:color w:val="FFFFFF" w:themeColor="background1"/>
      <w:sz w:val="2"/>
      <w:szCs w:val="2"/>
    </w:rPr>
  </w:style>
  <w:style w:type="paragraph" w:customStyle="1" w:styleId="afff6">
    <w:name w:val="טקסט סיכום ממה"/>
    <w:basedOn w:val="a3"/>
    <w:next w:val="a3"/>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7">
    <w:name w:val="סיכום ביניים ממה"/>
    <w:basedOn w:val="a3"/>
    <w:next w:val="a3"/>
    <w:qFormat/>
    <w:rsid w:val="00B4321D"/>
    <w:pPr>
      <w:widowControl w:val="0"/>
      <w:spacing w:before="240" w:after="240"/>
      <w:ind w:left="1134"/>
    </w:pPr>
    <w:rPr>
      <w:rFonts w:ascii="Calibri" w:eastAsia="Calibri" w:hAnsi="Calibri" w:cs="Calibri"/>
      <w:noProof/>
      <w:color w:val="002060"/>
      <w:sz w:val="24"/>
    </w:rPr>
  </w:style>
  <w:style w:type="paragraph" w:customStyle="1" w:styleId="afff8">
    <w:name w:val="טקסט סיכום ביניים ממה"/>
    <w:basedOn w:val="a3"/>
    <w:next w:val="a3"/>
    <w:qFormat/>
    <w:rsid w:val="00B4321D"/>
    <w:pPr>
      <w:widowControl w:val="0"/>
      <w:spacing w:after="240" w:line="280" w:lineRule="exact"/>
      <w:ind w:left="1134"/>
    </w:pPr>
    <w:rPr>
      <w:rFonts w:ascii="Calibri" w:eastAsia="Calibri" w:hAnsi="Calibri" w:cs="Calibri"/>
      <w:bCs/>
      <w:color w:val="002060"/>
      <w:sz w:val="24"/>
    </w:rPr>
  </w:style>
  <w:style w:type="paragraph" w:customStyle="1" w:styleId="a2">
    <w:name w:val="תרשים ממה"/>
    <w:basedOn w:val="a3"/>
    <w:next w:val="a3"/>
    <w:link w:val="afff9"/>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9">
    <w:name w:val="תרשים ממה תו"/>
    <w:basedOn w:val="a4"/>
    <w:link w:val="a2"/>
    <w:rsid w:val="00B4321D"/>
    <w:rPr>
      <w:rFonts w:ascii="Calibri" w:eastAsia="Calibri" w:hAnsi="Calibri" w:cs="Calibri"/>
      <w:b/>
      <w:bCs/>
      <w:color w:val="002060"/>
      <w:sz w:val="24"/>
    </w:rPr>
  </w:style>
  <w:style w:type="paragraph" w:customStyle="1" w:styleId="a0">
    <w:name w:val="תמונה ממה"/>
    <w:basedOn w:val="a3"/>
    <w:next w:val="a3"/>
    <w:link w:val="afffa"/>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a">
    <w:name w:val="תמונה ממה תו"/>
    <w:basedOn w:val="a4"/>
    <w:link w:val="a0"/>
    <w:rsid w:val="00B4321D"/>
    <w:rPr>
      <w:rFonts w:ascii="Calibri" w:eastAsia="Calibri" w:hAnsi="Calibri" w:cs="Calibri"/>
      <w:b/>
      <w:bCs/>
      <w:color w:val="002060"/>
      <w:sz w:val="24"/>
    </w:rPr>
  </w:style>
  <w:style w:type="paragraph" w:customStyle="1" w:styleId="a">
    <w:name w:val="לוח ממה"/>
    <w:basedOn w:val="a3"/>
    <w:next w:val="a3"/>
    <w:link w:val="afffb"/>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b">
    <w:name w:val="לוח ממה תו"/>
    <w:basedOn w:val="a4"/>
    <w:link w:val="a"/>
    <w:rsid w:val="00B4321D"/>
    <w:rPr>
      <w:rFonts w:ascii="Calibri" w:eastAsia="Calibri" w:hAnsi="Calibri" w:cs="Calibri"/>
      <w:b/>
      <w:bCs/>
      <w:color w:val="002060"/>
      <w:sz w:val="24"/>
    </w:rPr>
  </w:style>
  <w:style w:type="paragraph" w:customStyle="1" w:styleId="a1">
    <w:name w:val="מפה ממה"/>
    <w:basedOn w:val="a3"/>
    <w:next w:val="a3"/>
    <w:link w:val="afffc"/>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c">
    <w:name w:val="מפה ממה תו"/>
    <w:basedOn w:val="a4"/>
    <w:link w:val="a1"/>
    <w:rsid w:val="00B4321D"/>
    <w:rPr>
      <w:rFonts w:ascii="Calibri" w:eastAsia="Calibri" w:hAnsi="Calibri" w:cs="Calibri"/>
      <w:b/>
      <w:bCs/>
      <w:color w:val="002060"/>
      <w:sz w:val="24"/>
    </w:rPr>
  </w:style>
  <w:style w:type="paragraph" w:customStyle="1" w:styleId="afffd">
    <w:name w:val="מקור ממה"/>
    <w:basedOn w:val="a3"/>
    <w:next w:val="a3"/>
    <w:qFormat/>
    <w:rsid w:val="00B4321D"/>
    <w:pPr>
      <w:keepNext/>
      <w:keepLines/>
      <w:widowControl w:val="0"/>
      <w:ind w:left="1134"/>
    </w:pPr>
    <w:rPr>
      <w:rFonts w:ascii="Calibri" w:eastAsia="Calibri" w:hAnsi="Calibri" w:cs="Calibri"/>
      <w:color w:val="002060"/>
      <w:szCs w:val="20"/>
    </w:rPr>
  </w:style>
  <w:style w:type="paragraph" w:customStyle="1" w:styleId="afffe">
    <w:name w:val="אובייקט ממה"/>
    <w:basedOn w:val="a3"/>
    <w:next w:val="a3"/>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
    <w:name w:val="רכיבי המבוא ממה"/>
    <w:basedOn w:val="a3"/>
    <w:link w:val="affff0"/>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0">
    <w:name w:val="רכיבי המבוא ממה תו"/>
    <w:basedOn w:val="a4"/>
    <w:link w:val="affff"/>
    <w:rsid w:val="00B4321D"/>
    <w:rPr>
      <w:rFonts w:ascii="Calibri" w:eastAsia="Calibri" w:hAnsi="Calibri" w:cs="Calibri"/>
      <w:color w:val="002060"/>
      <w:szCs w:val="20"/>
    </w:rPr>
  </w:style>
  <w:style w:type="paragraph" w:customStyle="1" w:styleId="affff1">
    <w:name w:val="אייקון במבוא ממה"/>
    <w:basedOn w:val="a3"/>
    <w:link w:val="affff2"/>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2">
    <w:name w:val="אייקון במבוא ממה תו"/>
    <w:basedOn w:val="a4"/>
    <w:link w:val="affff1"/>
    <w:rsid w:val="00B4321D"/>
    <w:rPr>
      <w:rFonts w:ascii="Calibri" w:eastAsia="Calibri" w:hAnsi="Calibri" w:cs="Calibri"/>
      <w:bCs/>
      <w:color w:val="002060"/>
      <w:sz w:val="24"/>
      <w:szCs w:val="20"/>
    </w:rPr>
  </w:style>
  <w:style w:type="paragraph" w:customStyle="1" w:styleId="739">
    <w:name w:val="73א טקסט רץ 9"/>
    <w:basedOn w:val="a3"/>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a4"/>
    <w:link w:val="739"/>
    <w:rsid w:val="0032268D"/>
    <w:rPr>
      <w:rFonts w:ascii="Tahoma" w:hAnsi="Tahoma" w:cs="Tahoma"/>
      <w:color w:val="0D0D0D" w:themeColor="text1" w:themeTint="F2"/>
      <w:sz w:val="18"/>
      <w:szCs w:val="18"/>
    </w:rPr>
  </w:style>
  <w:style w:type="paragraph" w:customStyle="1" w:styleId="71">
    <w:name w:val="71ג הערות שוליים"/>
    <w:basedOn w:val="af"/>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4"/>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3"/>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4"/>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3"/>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4"/>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3"/>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a3"/>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4"/>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3"/>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4"/>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3"/>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4"/>
    <w:link w:val="733"/>
    <w:rsid w:val="00BE22D7"/>
    <w:rPr>
      <w:rFonts w:ascii="Tahoma" w:hAnsi="Tahoma" w:cs="Tahoma"/>
      <w:b/>
      <w:bCs/>
      <w:color w:val="FFFFFF" w:themeColor="background1"/>
      <w:sz w:val="22"/>
      <w:szCs w:val="22"/>
    </w:rPr>
  </w:style>
  <w:style w:type="character" w:styleId="affff3">
    <w:name w:val="page number"/>
    <w:basedOn w:val="a4"/>
    <w:uiPriority w:val="99"/>
    <w:semiHidden/>
    <w:unhideWhenUsed/>
    <w:rsid w:val="005C3049"/>
  </w:style>
  <w:style w:type="table" w:customStyle="1" w:styleId="27">
    <w:name w:val="רשת טבלה2"/>
    <w:basedOn w:val="a5"/>
    <w:next w:val="af4"/>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a5"/>
    <w:next w:val="af4"/>
    <w:uiPriority w:val="59"/>
    <w:rsid w:val="009515F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רשת טבלה4"/>
    <w:basedOn w:val="a5"/>
    <w:next w:val="af4"/>
    <w:uiPriority w:val="59"/>
    <w:rsid w:val="00ED6905"/>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eader" Target="header4.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3.jpe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6.xml"/><Relationship Id="rId30"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43284DC-89E0-4DB4-BF8B-C9CA23CA7381}">
  <ds:schemaRefs>
    <ds:schemaRef ds:uri="http://schemas.openxmlformats.org/officeDocument/2006/bibliography"/>
  </ds:schemaRefs>
</ds:datastoreItem>
</file>

<file path=customXml/itemProps2.xml><?xml version="1.0" encoding="utf-8"?>
<ds:datastoreItem xmlns:ds="http://schemas.openxmlformats.org/officeDocument/2006/customXml" ds:itemID="{3A0402CC-DDF2-4F4B-B2EC-760EB19B24A8}"/>
</file>

<file path=customXml/itemProps3.xml><?xml version="1.0" encoding="utf-8"?>
<ds:datastoreItem xmlns:ds="http://schemas.openxmlformats.org/officeDocument/2006/customXml" ds:itemID="{09C84AAB-91F3-49A2-8480-A5963191DC7B}"/>
</file>

<file path=customXml/itemProps4.xml><?xml version="1.0" encoding="utf-8"?>
<ds:datastoreItem xmlns:ds="http://schemas.openxmlformats.org/officeDocument/2006/customXml" ds:itemID="{D155CED5-B102-4CEA-A1D3-8E980339FC78}"/>
</file>

<file path=docProps/app.xml><?xml version="1.0" encoding="utf-8"?>
<Properties xmlns="http://schemas.openxmlformats.org/officeDocument/2006/extended-properties" xmlns:vt="http://schemas.openxmlformats.org/officeDocument/2006/docPropsVTypes">
  <Template>Normal.dotm</Template>
  <TotalTime>1</TotalTime>
  <Pages>13</Pages>
  <Words>3514</Words>
  <Characters>17572</Characters>
  <Application>Microsoft Office Word</Application>
  <DocSecurity>0</DocSecurity>
  <Lines>146</Lines>
  <Paragraphs>42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גיתית עטר</cp:lastModifiedBy>
  <cp:revision>2</cp:revision>
  <cp:lastPrinted>2025-10-15T10:06:00Z</cp:lastPrinted>
  <dcterms:created xsi:type="dcterms:W3CDTF">2026-02-17T12:01:00Z</dcterms:created>
  <dcterms:modified xsi:type="dcterms:W3CDTF">2026-02-17T12:01:00Z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