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846ED2" w:rsidP="00846ED2">
      <w:pPr>
        <w:bidi w:val="0"/>
        <w:spacing w:line="560" w:lineRule="exact"/>
        <w:ind w:left="1701" w:right="1843"/>
        <w:jc w:val="center"/>
        <w:rPr>
          <w:rFonts w:ascii="Calibri" w:hAnsi="Calibri" w:cs="Calibri"/>
          <w:b/>
          <w:bCs/>
          <w:color w:val="002060"/>
          <w:sz w:val="56"/>
          <w:szCs w:val="56"/>
        </w:rPr>
      </w:pPr>
    </w:p>
    <w:p w:rsidR="00846ED2" w:rsidP="00846ED2">
      <w:pPr>
        <w:bidi w:val="0"/>
        <w:spacing w:line="560" w:lineRule="exact"/>
        <w:ind w:left="1701" w:right="1843"/>
        <w:jc w:val="center"/>
        <w:rPr>
          <w:rFonts w:ascii="Calibri" w:hAnsi="Calibri" w:cs="Calibri"/>
          <w:b/>
          <w:bCs/>
          <w:color w:val="002060"/>
          <w:sz w:val="56"/>
          <w:szCs w:val="56"/>
        </w:rPr>
      </w:pPr>
    </w:p>
    <w:p w:rsidR="00846ED2" w:rsidP="00846ED2">
      <w:pPr>
        <w:bidi w:val="0"/>
        <w:spacing w:line="560" w:lineRule="exact"/>
        <w:ind w:left="1701" w:right="1843"/>
        <w:jc w:val="center"/>
        <w:rPr>
          <w:rFonts w:ascii="Calibri" w:hAnsi="Calibri" w:cs="Calibri"/>
          <w:b/>
          <w:bCs/>
          <w:color w:val="002060"/>
          <w:sz w:val="56"/>
          <w:szCs w:val="56"/>
        </w:rPr>
      </w:pPr>
    </w:p>
    <w:p w:rsidR="00846ED2" w:rsidP="00846ED2">
      <w:pPr>
        <w:bidi w:val="0"/>
        <w:spacing w:line="560" w:lineRule="exact"/>
        <w:ind w:left="1701" w:right="1843"/>
        <w:jc w:val="center"/>
        <w:rPr>
          <w:rFonts w:ascii="Calibri" w:hAnsi="Calibri" w:cs="Calibri"/>
          <w:b/>
          <w:bCs/>
          <w:color w:val="002060"/>
          <w:sz w:val="56"/>
          <w:szCs w:val="56"/>
        </w:rPr>
      </w:pPr>
    </w:p>
    <w:p w:rsidR="00846ED2" w:rsidP="00846ED2">
      <w:pPr>
        <w:bidi w:val="0"/>
        <w:spacing w:line="560" w:lineRule="exact"/>
        <w:ind w:left="1701" w:right="1843"/>
        <w:jc w:val="center"/>
        <w:rPr>
          <w:rFonts w:ascii="Calibri" w:hAnsi="Calibri" w:cs="Calibri"/>
          <w:b/>
          <w:bCs/>
          <w:color w:val="002060"/>
          <w:sz w:val="56"/>
          <w:szCs w:val="56"/>
        </w:rPr>
      </w:pPr>
    </w:p>
    <w:p w:rsidR="007849E4" w:rsidP="00846ED2">
      <w:pPr>
        <w:bidi w:val="0"/>
        <w:spacing w:line="560" w:lineRule="exact"/>
        <w:ind w:left="1701" w:right="1843"/>
        <w:jc w:val="center"/>
        <w:rPr>
          <w:rFonts w:ascii="Calibri" w:hAnsi="Calibri" w:cs="Calibri"/>
          <w:b/>
          <w:bCs/>
          <w:color w:val="002060"/>
          <w:sz w:val="56"/>
          <w:szCs w:val="56"/>
        </w:rPr>
      </w:pPr>
      <w:r w:rsidRPr="00846ED2">
        <w:rPr>
          <w:rFonts w:ascii="Calibri" w:hAnsi="Calibri" w:cs="Calibri"/>
          <w:b/>
          <w:bCs/>
          <w:color w:val="002060"/>
          <w:sz w:val="56"/>
          <w:szCs w:val="56"/>
        </w:rPr>
        <w:t xml:space="preserve">Provision of </w:t>
      </w:r>
      <w:r w:rsidRPr="00846ED2">
        <w:rPr>
          <w:rFonts w:ascii="Calibri" w:hAnsi="Calibri" w:cs="Calibri"/>
          <w:b/>
          <w:bCs/>
          <w:color w:val="002060"/>
          <w:sz w:val="56"/>
          <w:szCs w:val="56"/>
          <w:lang w:val="en"/>
        </w:rPr>
        <w:t>Services</w:t>
      </w:r>
      <w:r w:rsidRPr="00846ED2">
        <w:rPr>
          <w:rFonts w:ascii="Calibri" w:hAnsi="Calibri" w:cs="Calibri"/>
          <w:b/>
          <w:bCs/>
          <w:color w:val="002060"/>
          <w:sz w:val="56"/>
          <w:szCs w:val="56"/>
        </w:rPr>
        <w:t xml:space="preserve"> to Evacuees – Assistance with Immediate and Basic Needs</w:t>
      </w:r>
    </w:p>
    <w:p w:rsidR="00383E60" w:rsidP="00383E60">
      <w:pPr>
        <w:bidi w:val="0"/>
        <w:spacing w:line="560" w:lineRule="exact"/>
        <w:ind w:left="1701" w:right="1843"/>
        <w:jc w:val="center"/>
        <w:rPr>
          <w:rFonts w:ascii="Calibri" w:hAnsi="Calibri" w:cs="Calibri"/>
          <w:b/>
          <w:bCs/>
          <w:color w:val="002060"/>
          <w:sz w:val="56"/>
          <w:szCs w:val="56"/>
        </w:rPr>
      </w:pPr>
    </w:p>
    <w:p w:rsidR="00383E60" w:rsidP="00383E60">
      <w:pPr>
        <w:bidi w:val="0"/>
        <w:spacing w:line="560" w:lineRule="exact"/>
        <w:ind w:left="1701" w:right="1843"/>
        <w:jc w:val="center"/>
        <w:rPr>
          <w:rFonts w:ascii="Calibri" w:hAnsi="Calibri" w:cs="Calibri"/>
          <w:b/>
          <w:bCs/>
          <w:color w:val="002060"/>
          <w:sz w:val="56"/>
          <w:szCs w:val="56"/>
        </w:rPr>
      </w:pPr>
    </w:p>
    <w:p w:rsidR="00383E60" w:rsidP="00383E60">
      <w:pPr>
        <w:bidi w:val="0"/>
        <w:spacing w:line="560" w:lineRule="exact"/>
        <w:ind w:left="1701" w:right="1843"/>
        <w:jc w:val="center"/>
        <w:rPr>
          <w:rFonts w:ascii="Calibri" w:hAnsi="Calibri" w:cs="Calibri"/>
          <w:b/>
          <w:bCs/>
          <w:color w:val="002060"/>
          <w:sz w:val="56"/>
          <w:szCs w:val="56"/>
        </w:rPr>
      </w:pPr>
    </w:p>
    <w:p w:rsidR="00383E60" w:rsidRPr="00846ED2" w:rsidP="00E30FE7">
      <w:pPr>
        <w:bidi w:val="0"/>
        <w:spacing w:line="560" w:lineRule="exact"/>
        <w:ind w:right="1843"/>
        <w:rPr>
          <w:rFonts w:ascii="Calibri" w:hAnsi="Calibri" w:cs="Calibri"/>
          <w:b/>
          <w:bCs/>
          <w:color w:val="002060"/>
          <w:sz w:val="56"/>
          <w:szCs w:val="56"/>
        </w:rPr>
      </w:pPr>
    </w:p>
    <w:p w:rsidR="00383E60" w:rsidP="00383E60">
      <w:pPr>
        <w:bidi w:val="0"/>
        <w:spacing w:after="200" w:line="276" w:lineRule="auto"/>
        <w:jc w:val="center"/>
        <w:rPr>
          <w:rFonts w:ascii="Tahoma" w:hAnsi="Tahoma" w:cs="Tahoma"/>
          <w:sz w:val="19"/>
          <w:szCs w:val="19"/>
        </w:rPr>
      </w:pPr>
      <w:r w:rsidRPr="00AB17AB">
        <w:rPr>
          <w:rFonts w:asciiTheme="minorBidi" w:hAnsiTheme="minorBidi" w:cstheme="minorBidi"/>
          <w:color w:val="0F243E" w:themeColor="text2" w:themeShade="80"/>
          <w:sz w:val="22"/>
          <w:szCs w:val="22"/>
          <w:lang w:val="en"/>
        </w:rPr>
        <w:t xml:space="preserve">The title font </w:t>
      </w:r>
      <w:r>
        <w:rPr>
          <w:rFonts w:asciiTheme="minorBidi" w:hAnsiTheme="minorBidi" w:cstheme="minorBidi"/>
          <w:color w:val="0F243E" w:themeColor="text2" w:themeShade="80"/>
          <w:sz w:val="22"/>
          <w:szCs w:val="22"/>
        </w:rPr>
        <w:t xml:space="preserve">[in the Hebrew version] </w:t>
      </w:r>
      <w:r w:rsidRPr="00AB17AB">
        <w:rPr>
          <w:rFonts w:asciiTheme="minorBidi" w:hAnsiTheme="minorBidi" w:cstheme="minorBidi"/>
          <w:color w:val="0F243E" w:themeColor="text2" w:themeShade="80"/>
          <w:sz w:val="22"/>
          <w:szCs w:val="22"/>
          <w:lang w:val="en"/>
        </w:rPr>
        <w:t xml:space="preserve">is designed in the handwriting of </w:t>
      </w:r>
      <w:r w:rsidRPr="00AB17AB">
        <w:rPr>
          <w:rFonts w:asciiTheme="minorBidi" w:hAnsiTheme="minorBidi" w:cstheme="minorBidi"/>
          <w:b/>
          <w:bCs/>
          <w:color w:val="0F243E" w:themeColor="text2" w:themeShade="80"/>
          <w:sz w:val="22"/>
          <w:szCs w:val="22"/>
          <w:lang w:val="en"/>
        </w:rPr>
        <w:t>Sav</w:t>
      </w:r>
      <w:r>
        <w:rPr>
          <w:rFonts w:asciiTheme="minorBidi" w:hAnsiTheme="minorBidi" w:cstheme="minorBidi"/>
          <w:b/>
          <w:bCs/>
          <w:color w:val="0F243E" w:themeColor="text2" w:themeShade="80"/>
          <w:sz w:val="22"/>
          <w:szCs w:val="22"/>
          <w:lang w:val="en"/>
        </w:rPr>
        <w:t>y</w:t>
      </w:r>
      <w:r w:rsidRPr="00AB17AB">
        <w:rPr>
          <w:rFonts w:asciiTheme="minorBidi" w:hAnsiTheme="minorBidi" w:cstheme="minorBidi"/>
          <w:b/>
          <w:bCs/>
          <w:color w:val="0F243E" w:themeColor="text2" w:themeShade="80"/>
          <w:sz w:val="22"/>
          <w:szCs w:val="22"/>
          <w:lang w:val="en"/>
        </w:rPr>
        <w:t>on</w:t>
      </w:r>
      <w:r w:rsidRPr="00AB17AB">
        <w:rPr>
          <w:rFonts w:asciiTheme="minorBidi" w:hAnsiTheme="minorBidi" w:cstheme="minorBidi"/>
          <w:b/>
          <w:bCs/>
          <w:color w:val="0F243E" w:themeColor="text2" w:themeShade="80"/>
          <w:sz w:val="22"/>
          <w:szCs w:val="22"/>
          <w:lang w:val="en"/>
        </w:rPr>
        <w:t xml:space="preserve"> Chen </w:t>
      </w:r>
      <w:r>
        <w:rPr>
          <w:rFonts w:asciiTheme="minorBidi" w:hAnsiTheme="minorBidi" w:cstheme="minorBidi"/>
          <w:b/>
          <w:bCs/>
          <w:color w:val="0F243E" w:themeColor="text2" w:themeShade="80"/>
          <w:sz w:val="22"/>
          <w:szCs w:val="22"/>
          <w:lang w:val="en"/>
        </w:rPr>
        <w:t>Kipper</w:t>
      </w:r>
      <w:r w:rsidRPr="00AB17AB">
        <w:rPr>
          <w:rFonts w:asciiTheme="minorBidi" w:hAnsiTheme="minorBidi" w:cstheme="minorBidi"/>
          <w:color w:val="0F243E" w:themeColor="text2" w:themeShade="80"/>
          <w:sz w:val="22"/>
          <w:szCs w:val="22"/>
          <w:lang w:val="en"/>
        </w:rPr>
        <w:t xml:space="preserve">, </w:t>
      </w:r>
      <w:r>
        <w:rPr>
          <w:rFonts w:asciiTheme="minorBidi" w:hAnsiTheme="minorBidi" w:cstheme="minorBidi"/>
          <w:color w:val="0F243E" w:themeColor="text2" w:themeShade="80"/>
          <w:sz w:val="22"/>
          <w:szCs w:val="22"/>
          <w:lang w:val="en"/>
        </w:rPr>
        <w:t xml:space="preserve">of blessed memory, </w:t>
      </w:r>
      <w:r w:rsidRPr="00AB17AB">
        <w:rPr>
          <w:rFonts w:asciiTheme="minorBidi" w:hAnsiTheme="minorBidi" w:cstheme="minorBidi"/>
          <w:color w:val="0F243E" w:themeColor="text2" w:themeShade="80"/>
          <w:sz w:val="22"/>
          <w:szCs w:val="22"/>
          <w:lang w:val="en"/>
        </w:rPr>
        <w:t xml:space="preserve">who was murdered on October 7. </w:t>
      </w:r>
      <w:r w:rsidRPr="00AB17AB">
        <w:rPr>
          <w:rFonts w:asciiTheme="minorBidi" w:hAnsiTheme="minorBidi" w:cstheme="minorBidi"/>
          <w:color w:val="0F243E" w:themeColor="text2" w:themeShade="80"/>
          <w:sz w:val="22"/>
          <w:szCs w:val="22"/>
          <w:lang w:val="en"/>
        </w:rPr>
        <w:t>Sav</w:t>
      </w:r>
      <w:r>
        <w:rPr>
          <w:rFonts w:asciiTheme="minorBidi" w:hAnsiTheme="minorBidi" w:cstheme="minorBidi"/>
          <w:color w:val="0F243E" w:themeColor="text2" w:themeShade="80"/>
          <w:sz w:val="22"/>
          <w:szCs w:val="22"/>
          <w:lang w:val="en"/>
        </w:rPr>
        <w:t>y</w:t>
      </w:r>
      <w:r w:rsidRPr="00AB17AB">
        <w:rPr>
          <w:rFonts w:asciiTheme="minorBidi" w:hAnsiTheme="minorBidi" w:cstheme="minorBidi"/>
          <w:color w:val="0F243E" w:themeColor="text2" w:themeShade="80"/>
          <w:sz w:val="22"/>
          <w:szCs w:val="22"/>
          <w:lang w:val="en"/>
        </w:rPr>
        <w:t>on</w:t>
      </w:r>
      <w:r w:rsidRPr="00AB17AB">
        <w:rPr>
          <w:rFonts w:asciiTheme="minorBidi" w:hAnsiTheme="minorBidi" w:cstheme="minorBidi"/>
          <w:color w:val="0F243E" w:themeColor="text2" w:themeShade="80"/>
          <w:sz w:val="22"/>
          <w:szCs w:val="22"/>
          <w:lang w:val="en"/>
        </w:rPr>
        <w:t xml:space="preserve"> </w:t>
      </w:r>
      <w:r>
        <w:rPr>
          <w:rFonts w:asciiTheme="minorBidi" w:hAnsiTheme="minorBidi" w:cstheme="minorBidi"/>
          <w:color w:val="0F243E" w:themeColor="text2" w:themeShade="80"/>
          <w:sz w:val="22"/>
          <w:szCs w:val="22"/>
        </w:rPr>
        <w:t>loved</w:t>
      </w:r>
      <w:r w:rsidRPr="00AB17AB">
        <w:rPr>
          <w:rFonts w:asciiTheme="minorBidi" w:hAnsiTheme="minorBidi" w:cstheme="minorBidi"/>
          <w:color w:val="0F243E" w:themeColor="text2" w:themeShade="80"/>
          <w:sz w:val="22"/>
          <w:szCs w:val="22"/>
          <w:lang w:val="en"/>
        </w:rPr>
        <w:t xml:space="preserve"> drawing, design, and makeup artistry and was a student of visual communication.</w:t>
      </w:r>
      <w:r>
        <w:rPr>
          <w:rFonts w:asciiTheme="minorBidi" w:hAnsiTheme="minorBidi" w:cstheme="minorBidi"/>
          <w:color w:val="0F243E" w:themeColor="text2" w:themeShade="80"/>
          <w:sz w:val="22"/>
          <w:szCs w:val="22"/>
          <w:lang w:val="en"/>
        </w:rPr>
        <w:t xml:space="preserve"> </w:t>
      </w:r>
      <w:r w:rsidRPr="00AB17AB">
        <w:rPr>
          <w:rFonts w:asciiTheme="minorBidi" w:hAnsiTheme="minorBidi" w:cstheme="minorBidi"/>
          <w:color w:val="0F243E" w:themeColor="text2" w:themeShade="80"/>
          <w:sz w:val="22"/>
          <w:szCs w:val="22"/>
          <w:lang w:val="en"/>
        </w:rPr>
        <w:t xml:space="preserve">Out of her deep love for children, she worked as a kindergarten teacher for five years. </w:t>
      </w:r>
      <w:r w:rsidRPr="00AB17AB">
        <w:rPr>
          <w:rFonts w:asciiTheme="minorBidi" w:hAnsiTheme="minorBidi" w:cstheme="minorBidi"/>
          <w:color w:val="0F243E" w:themeColor="text2" w:themeShade="80"/>
          <w:sz w:val="22"/>
          <w:szCs w:val="22"/>
          <w:lang w:val="en"/>
        </w:rPr>
        <w:t>Sav</w:t>
      </w:r>
      <w:r>
        <w:rPr>
          <w:rFonts w:asciiTheme="minorBidi" w:hAnsiTheme="minorBidi" w:cstheme="minorBidi"/>
          <w:color w:val="0F243E" w:themeColor="text2" w:themeShade="80"/>
          <w:sz w:val="22"/>
          <w:szCs w:val="22"/>
          <w:lang w:val="en"/>
        </w:rPr>
        <w:t>y</w:t>
      </w:r>
      <w:r w:rsidRPr="00AB17AB">
        <w:rPr>
          <w:rFonts w:asciiTheme="minorBidi" w:hAnsiTheme="minorBidi" w:cstheme="minorBidi"/>
          <w:color w:val="0F243E" w:themeColor="text2" w:themeShade="80"/>
          <w:sz w:val="22"/>
          <w:szCs w:val="22"/>
          <w:lang w:val="en"/>
        </w:rPr>
        <w:t>on</w:t>
      </w:r>
      <w:r w:rsidRPr="00AB17AB">
        <w:rPr>
          <w:rFonts w:asciiTheme="minorBidi" w:hAnsiTheme="minorBidi" w:cstheme="minorBidi"/>
          <w:color w:val="0F243E" w:themeColor="text2" w:themeShade="80"/>
          <w:sz w:val="22"/>
          <w:szCs w:val="22"/>
          <w:lang w:val="en"/>
        </w:rPr>
        <w:t xml:space="preserve"> and her partner were murdered at the Nova festival.</w:t>
      </w:r>
    </w:p>
    <w:p w:rsidR="00E30FE7" w:rsidP="008D07A0">
      <w:pPr>
        <w:pStyle w:val="712"/>
        <w:bidi w:val="0"/>
        <w:spacing w:before="0" w:after="0"/>
        <w:ind w:left="-142" w:right="-142"/>
        <w:rPr>
          <w:rFonts w:eastAsiaTheme="majorEastAsia"/>
          <w:noProof/>
          <w:sz w:val="34"/>
        </w:rPr>
      </w:pPr>
      <w:r w:rsidRPr="00552FFC">
        <w:rPr>
          <w:rFonts w:eastAsiaTheme="majorEastAsia"/>
          <w:noProof/>
          <w:sz w:val="34"/>
        </w:rPr>
        <w:t>Provision of Services to Evacuees – Assistance with Immediate and Basic Needs</w:t>
      </w:r>
    </w:p>
    <w:p w:rsidR="00E30FE7" w:rsidRPr="00A32C98" w:rsidP="00E30FE7">
      <w:pPr>
        <w:bidi w:val="0"/>
        <w:spacing w:before="120" w:line="288" w:lineRule="auto"/>
        <w:ind w:left="-142"/>
        <w:jc w:val="left"/>
        <w:rPr>
          <w:rFonts w:ascii="Tahoma" w:hAnsi="Tahoma" w:cs="Tahoma"/>
          <w:sz w:val="36"/>
          <w:szCs w:val="36"/>
        </w:rPr>
      </w:pPr>
      <w:r w:rsidRPr="00A32C98">
        <w:rPr>
          <w:rFonts w:ascii="Tahoma" w:hAnsi="Tahoma" w:cs="Tahoma"/>
          <w:sz w:val="36"/>
          <w:szCs w:val="36"/>
        </w:rPr>
        <w:t>Abstract</w:t>
      </w:r>
    </w:p>
    <w:p w:rsidR="00E30FE7" w:rsidRPr="008D07A0" w:rsidP="00E30FE7">
      <w:pPr>
        <w:pStyle w:val="712"/>
        <w:bidi w:val="0"/>
        <w:spacing w:before="0" w:after="120"/>
        <w:ind w:left="-142" w:right="-142"/>
        <w:rPr>
          <w:rFonts w:eastAsiaTheme="majorEastAsia"/>
          <w:noProof/>
          <w:sz w:val="28"/>
          <w:szCs w:val="28"/>
        </w:rPr>
      </w:pPr>
    </w:p>
    <w:p w:rsidR="00E30FE7" w:rsidRPr="008D07A0" w:rsidP="008D07A0">
      <w:pPr>
        <w:pStyle w:val="712"/>
        <w:bidi w:val="0"/>
        <w:spacing w:before="0" w:after="0"/>
        <w:ind w:left="-142" w:right="-142"/>
        <w:rPr>
          <w:rFonts w:eastAsiaTheme="majorEastAsia"/>
          <w:noProof/>
          <w:sz w:val="28"/>
          <w:szCs w:val="28"/>
        </w:rPr>
      </w:pPr>
    </w:p>
    <w:p w:rsidR="00552FFC" w:rsidRPr="00552FFC" w:rsidP="00552FFC">
      <w:pPr>
        <w:pStyle w:val="712"/>
        <w:bidi w:val="0"/>
        <w:spacing w:before="0" w:after="120"/>
        <w:ind w:left="-142" w:right="-142"/>
        <w:rPr>
          <w:rFonts w:eastAsiaTheme="majorEastAsia"/>
          <w:noProof/>
          <w:sz w:val="34"/>
        </w:rPr>
      </w:pPr>
      <w:r w:rsidRPr="00E8067D">
        <w:rPr>
          <w:rFonts w:eastAsia="Times New Roman"/>
          <w:b w:val="0"/>
          <w:bCs w:val="0"/>
          <w:noProof/>
          <w:color w:val="0D0D0D"/>
          <w:sz w:val="24"/>
          <w:szCs w:val="18"/>
          <w:rtl/>
        </w:rPr>
        <w:drawing>
          <wp:anchor distT="0" distB="0" distL="114300" distR="114300" simplePos="0" relativeHeight="251660288" behindDoc="1" locked="0" layoutInCell="1" allowOverlap="1">
            <wp:simplePos x="0" y="0"/>
            <wp:positionH relativeFrom="column">
              <wp:posOffset>-91937</wp:posOffset>
            </wp:positionH>
            <wp:positionV relativeFrom="paragraph">
              <wp:posOffset>-102566</wp:posOffset>
            </wp:positionV>
            <wp:extent cx="1335027" cy="320919"/>
            <wp:effectExtent l="0" t="0" r="0" b="3175"/>
            <wp:wrapTight wrapText="bothSides">
              <wp:wrapPolygon>
                <wp:start x="0" y="0"/>
                <wp:lineTo x="0" y="20531"/>
                <wp:lineTo x="21271" y="20531"/>
                <wp:lineTo x="21271" y="0"/>
                <wp:lineTo x="0" y="0"/>
              </wp:wrapPolygon>
            </wp:wrapTight>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anchor>
        </w:drawing>
      </w:r>
    </w:p>
    <w:p w:rsidR="00552FFC" w:rsidRPr="00552FFC" w:rsidP="008D07A0">
      <w:pPr>
        <w:pStyle w:val="739"/>
        <w:bidi w:val="0"/>
        <w:spacing w:after="120" w:line="288" w:lineRule="auto"/>
        <w:rPr>
          <w:rFonts w:eastAsia="Calibri"/>
          <w:rtl/>
        </w:rPr>
      </w:pPr>
      <w:r w:rsidRPr="00552FFC">
        <w:rPr>
          <w:rFonts w:eastAsia="Calibri" w:hint="cs"/>
          <w:lang w:val="en"/>
        </w:rPr>
        <w:t xml:space="preserve">On October 7, 2023, in the early hours </w:t>
      </w:r>
      <w:r w:rsidRPr="00552FFC">
        <w:rPr>
          <w:rFonts w:eastAsia="Calibri"/>
          <w:lang w:val="en"/>
        </w:rPr>
        <w:t xml:space="preserve">of the morning, </w:t>
      </w:r>
      <w:r w:rsidRPr="00552FFC">
        <w:rPr>
          <w:rFonts w:eastAsia="Calibri" w:hint="cs"/>
          <w:lang w:val="en"/>
        </w:rPr>
        <w:t xml:space="preserve">the State of Israel awoke to a murderous attack and to scenes of horror and devastation. Consequently, a large portion of the population that evacuated due to these events did so completely by surprise. Many </w:t>
      </w:r>
      <w:r w:rsidRPr="00552FFC">
        <w:rPr>
          <w:rFonts w:eastAsia="Calibri"/>
          <w:lang w:val="en"/>
        </w:rPr>
        <w:t>people</w:t>
      </w:r>
      <w:r w:rsidRPr="00552FFC">
        <w:rPr>
          <w:rFonts w:eastAsia="Calibri" w:hint="cs"/>
          <w:lang w:val="en"/>
        </w:rPr>
        <w:t xml:space="preserve"> were evacuated or self-evacuated from their homes without having </w:t>
      </w:r>
      <w:r w:rsidRPr="00552FFC">
        <w:rPr>
          <w:rFonts w:eastAsia="Calibri"/>
        </w:rPr>
        <w:t xml:space="preserve">had </w:t>
      </w:r>
      <w:r w:rsidRPr="00552FFC">
        <w:rPr>
          <w:rFonts w:eastAsia="Calibri" w:hint="cs"/>
          <w:lang w:val="en"/>
        </w:rPr>
        <w:t xml:space="preserve">time to prepare or to take with them </w:t>
      </w:r>
      <w:r w:rsidRPr="00552FFC">
        <w:rPr>
          <w:rFonts w:eastAsia="Calibri"/>
        </w:rPr>
        <w:t>essential belongings</w:t>
      </w:r>
      <w:r w:rsidRPr="00552FFC">
        <w:rPr>
          <w:rFonts w:eastAsia="Calibri" w:hint="cs"/>
          <w:lang w:val="en"/>
        </w:rPr>
        <w:t>, food, or medications; some left with only the clothes on their backs; and others</w:t>
      </w:r>
      <w:r w:rsidRPr="00552FFC">
        <w:rPr>
          <w:rFonts w:eastAsia="Calibri"/>
          <w:lang w:val="en"/>
        </w:rPr>
        <w:t xml:space="preserve"> who had come from "the line of fire", from communities along the confrontation lines </w:t>
      </w:r>
      <w:r w:rsidRPr="00552FFC">
        <w:rPr>
          <w:rFonts w:eastAsia="Calibri" w:hint="cs"/>
          <w:lang w:val="en"/>
        </w:rPr>
        <w:t xml:space="preserve">in the </w:t>
      </w:r>
      <w:r w:rsidRPr="00552FFC">
        <w:rPr>
          <w:rFonts w:eastAsia="Calibri"/>
          <w:lang w:val="en"/>
        </w:rPr>
        <w:t>S</w:t>
      </w:r>
      <w:r w:rsidRPr="00552FFC">
        <w:rPr>
          <w:rFonts w:eastAsia="Calibri" w:hint="cs"/>
          <w:lang w:val="en"/>
        </w:rPr>
        <w:t xml:space="preserve">outh and </w:t>
      </w:r>
      <w:r w:rsidRPr="00552FFC">
        <w:rPr>
          <w:rFonts w:eastAsia="Calibri"/>
          <w:lang w:val="en"/>
        </w:rPr>
        <w:t>N</w:t>
      </w:r>
      <w:r w:rsidRPr="00552FFC">
        <w:rPr>
          <w:rFonts w:eastAsia="Calibri" w:hint="cs"/>
          <w:lang w:val="en"/>
        </w:rPr>
        <w:t>orth, were uprooted from their homes and arrived without wallets, basic documents, or mobile phones. Accordingly, the evacuee population required immediate assistance in the form of basic supplies and food.</w:t>
      </w:r>
    </w:p>
    <w:p w:rsidR="00552FFC" w:rsidRPr="00552FFC" w:rsidP="008D07A0">
      <w:pPr>
        <w:bidi w:val="0"/>
        <w:spacing w:after="120" w:line="288" w:lineRule="auto"/>
        <w:rPr>
          <w:rFonts w:ascii="Tahoma" w:eastAsia="Calibri" w:hAnsi="Tahoma" w:cs="Tahoma"/>
          <w:color w:val="0D0D0D" w:themeColor="text1" w:themeTint="F2"/>
          <w:sz w:val="18"/>
          <w:szCs w:val="18"/>
          <w:rtl/>
        </w:rPr>
      </w:pPr>
      <w:r w:rsidRPr="00552FFC">
        <w:rPr>
          <w:rFonts w:ascii="Tahoma" w:eastAsia="Calibri" w:hAnsi="Tahoma" w:cs="Tahoma" w:hint="cs"/>
          <w:color w:val="0D0D0D" w:themeColor="text1" w:themeTint="F2"/>
          <w:sz w:val="18"/>
          <w:szCs w:val="18"/>
          <w:lang w:val="en"/>
        </w:rPr>
        <w:t xml:space="preserve">The population </w:t>
      </w:r>
      <w:r w:rsidRPr="00552FFC">
        <w:rPr>
          <w:rFonts w:ascii="Tahoma" w:eastAsia="Calibri" w:hAnsi="Tahoma" w:cs="Tahoma"/>
          <w:color w:val="0D0D0D" w:themeColor="text1" w:themeTint="F2"/>
          <w:sz w:val="18"/>
          <w:szCs w:val="18"/>
        </w:rPr>
        <w:t>evacuated</w:t>
      </w:r>
      <w:r w:rsidRPr="00552FFC">
        <w:rPr>
          <w:rFonts w:ascii="Tahoma" w:eastAsia="Calibri" w:hAnsi="Tahoma" w:cs="Tahoma" w:hint="cs"/>
          <w:color w:val="0D0D0D" w:themeColor="text1" w:themeTint="F2"/>
          <w:sz w:val="18"/>
          <w:szCs w:val="18"/>
          <w:lang w:val="en"/>
        </w:rPr>
        <w:t xml:space="preserve"> from their homes required a wide range of services, which </w:t>
      </w:r>
      <w:r w:rsidRPr="00552FFC">
        <w:rPr>
          <w:rFonts w:ascii="Tahoma" w:eastAsia="Calibri" w:hAnsi="Tahoma" w:cs="Tahoma"/>
          <w:color w:val="0D0D0D" w:themeColor="text1" w:themeTint="F2"/>
          <w:sz w:val="18"/>
          <w:szCs w:val="18"/>
          <w:lang w:val="en"/>
        </w:rPr>
        <w:t>were to be provided by</w:t>
      </w:r>
      <w:r w:rsidRPr="00552FFC">
        <w:rPr>
          <w:rFonts w:ascii="Tahoma" w:eastAsia="Calibri" w:hAnsi="Tahoma" w:cs="Tahoma" w:hint="cs"/>
          <w:color w:val="0D0D0D" w:themeColor="text1" w:themeTint="F2"/>
          <w:sz w:val="18"/>
          <w:szCs w:val="18"/>
          <w:lang w:val="en"/>
        </w:rPr>
        <w:t xml:space="preserve"> the local authority that received them (the host authority). Some of these were essential municipal services that, in routine times, they receive from the local authority in which they reside (the evacuated authority); others were services necessitated by the extraordinary circumstances in which they found themselves, intended to help them cope with the upheaval they had experienced and with the challenges of transition and adaptation to </w:t>
      </w:r>
      <w:r w:rsidRPr="00552FFC">
        <w:rPr>
          <w:rFonts w:ascii="Tahoma" w:eastAsia="Calibri" w:hAnsi="Tahoma" w:cs="Tahoma"/>
          <w:color w:val="0D0D0D" w:themeColor="text1" w:themeTint="F2"/>
          <w:sz w:val="18"/>
          <w:szCs w:val="18"/>
          <w:lang w:val="en"/>
        </w:rPr>
        <w:t>the</w:t>
      </w:r>
      <w:r w:rsidRPr="00552FFC">
        <w:rPr>
          <w:rFonts w:ascii="Tahoma" w:eastAsia="Calibri" w:hAnsi="Tahoma" w:cs="Tahoma" w:hint="cs"/>
          <w:color w:val="0D0D0D" w:themeColor="text1" w:themeTint="F2"/>
          <w:sz w:val="18"/>
          <w:szCs w:val="18"/>
          <w:lang w:val="en"/>
        </w:rPr>
        <w:t xml:space="preserve"> new, temporary reality – one </w:t>
      </w:r>
      <w:r w:rsidRPr="00552FFC">
        <w:rPr>
          <w:rFonts w:ascii="Tahoma" w:eastAsia="Calibri" w:hAnsi="Tahoma" w:cs="Tahoma"/>
          <w:color w:val="0D0D0D" w:themeColor="text1" w:themeTint="F2"/>
          <w:sz w:val="18"/>
          <w:szCs w:val="18"/>
          <w:lang w:val="en"/>
        </w:rPr>
        <w:t>also lacking certainty</w:t>
      </w:r>
      <w:r w:rsidRPr="00552FFC">
        <w:rPr>
          <w:rFonts w:ascii="Tahoma" w:eastAsia="Calibri" w:hAnsi="Tahoma" w:cs="Tahoma" w:hint="cs"/>
          <w:color w:val="0D0D0D" w:themeColor="text1" w:themeTint="F2"/>
          <w:sz w:val="18"/>
          <w:szCs w:val="18"/>
          <w:lang w:val="en"/>
        </w:rPr>
        <w:t xml:space="preserve"> – in order to safeguard their health, security, and welfare. Some of these services are not within the scope of services </w:t>
      </w:r>
      <w:r w:rsidRPr="00552FFC">
        <w:rPr>
          <w:rFonts w:ascii="Tahoma" w:eastAsia="Calibri" w:hAnsi="Tahoma" w:cs="Tahoma"/>
          <w:color w:val="0D0D0D" w:themeColor="text1" w:themeTint="F2"/>
          <w:sz w:val="18"/>
          <w:szCs w:val="18"/>
          <w:lang w:val="en"/>
        </w:rPr>
        <w:t>that the local authority is responsible for providing</w:t>
      </w:r>
      <w:r w:rsidRPr="00552FFC">
        <w:rPr>
          <w:rFonts w:ascii="Tahoma" w:eastAsia="Calibri" w:hAnsi="Tahoma" w:cs="Tahoma" w:hint="cs"/>
          <w:color w:val="0D0D0D" w:themeColor="text1" w:themeTint="F2"/>
          <w:sz w:val="18"/>
          <w:szCs w:val="18"/>
          <w:lang w:val="en"/>
        </w:rPr>
        <w:t xml:space="preserve"> in routine times. </w:t>
      </w:r>
    </w:p>
    <w:p w:rsidR="008D07A0" w:rsidP="008D07A0">
      <w:pPr>
        <w:bidi w:val="0"/>
        <w:spacing w:after="120" w:line="288" w:lineRule="auto"/>
        <w:rPr>
          <w:rFonts w:ascii="Tahoma" w:eastAsia="Calibri" w:hAnsi="Tahoma" w:cs="Tahoma"/>
          <w:color w:val="0D0D0D" w:themeColor="text1" w:themeTint="F2"/>
          <w:sz w:val="18"/>
          <w:szCs w:val="18"/>
          <w:lang w:val="en"/>
        </w:rPr>
        <w:sectPr w:rsidSect="008654CB">
          <w:headerReference w:type="default" r:id="rId8"/>
          <w:headerReference w:type="first" r:id="rId9"/>
          <w:footerReference w:type="first" r:id="rId10"/>
          <w:pgSz w:w="11340" w:h="14175" w:code="9"/>
          <w:pgMar w:top="2268" w:right="1276" w:bottom="1588" w:left="1134" w:header="709" w:footer="709" w:gutter="0"/>
          <w:cols w:space="708"/>
          <w:titlePg/>
          <w:bidi/>
          <w:rtlGutter/>
          <w:docGrid w:linePitch="360"/>
        </w:sectPr>
      </w:pPr>
      <w:r w:rsidRPr="00552FFC">
        <w:rPr>
          <w:rFonts w:ascii="Tahoma" w:eastAsia="Calibri" w:hAnsi="Tahoma" w:cs="Tahoma" w:hint="eastAsia"/>
          <w:color w:val="0D0D0D" w:themeColor="text1" w:themeTint="F2"/>
          <w:sz w:val="18"/>
          <w:szCs w:val="18"/>
          <w:lang w:val="en"/>
        </w:rPr>
        <w:t xml:space="preserve">Evacuees arrived without basic equipment and under conditions of uncertainty regarding the provision of </w:t>
      </w:r>
      <w:r w:rsidRPr="00552FFC">
        <w:rPr>
          <w:rFonts w:ascii="Tahoma" w:eastAsia="Calibri" w:hAnsi="Tahoma" w:cs="Tahoma"/>
          <w:color w:val="0D0D0D" w:themeColor="text1" w:themeTint="F2"/>
          <w:sz w:val="18"/>
          <w:szCs w:val="18"/>
          <w:lang w:val="en"/>
        </w:rPr>
        <w:t xml:space="preserve">the </w:t>
      </w:r>
      <w:r w:rsidRPr="00552FFC">
        <w:rPr>
          <w:rFonts w:ascii="Tahoma" w:eastAsia="Calibri" w:hAnsi="Tahoma" w:cs="Tahoma" w:hint="eastAsia"/>
          <w:color w:val="0D0D0D" w:themeColor="text1" w:themeTint="F2"/>
          <w:sz w:val="18"/>
          <w:szCs w:val="18"/>
          <w:lang w:val="en"/>
        </w:rPr>
        <w:t>essential services and supplies</w:t>
      </w:r>
      <w:r w:rsidRPr="00552FFC">
        <w:rPr>
          <w:rFonts w:ascii="Tahoma" w:eastAsia="Calibri" w:hAnsi="Tahoma" w:cs="Tahoma"/>
          <w:color w:val="0D0D0D" w:themeColor="text1" w:themeTint="F2"/>
          <w:sz w:val="18"/>
          <w:szCs w:val="18"/>
          <w:lang w:val="en"/>
        </w:rPr>
        <w:t xml:space="preserve"> that they required</w:t>
      </w:r>
      <w:r w:rsidRPr="00552FFC">
        <w:rPr>
          <w:rFonts w:ascii="Tahoma" w:eastAsia="Calibri" w:hAnsi="Tahoma" w:cs="Tahoma" w:hint="eastAsia"/>
          <w:color w:val="0D0D0D" w:themeColor="text1" w:themeTint="F2"/>
          <w:sz w:val="18"/>
          <w:szCs w:val="18"/>
          <w:lang w:val="en"/>
        </w:rPr>
        <w:t xml:space="preserve">. Many were forced to leave their homes at short notice, and numerous families were unprepared for a prolonged stay away from home. These difficulties were particularly acute among vulnerable populations such as older persons and children. Evacuees experienced shortages of clothing, hygiene products, medications, and everyday necessities, and many required immediate </w:t>
      </w:r>
      <w:r w:rsidRPr="00552FFC">
        <w:rPr>
          <w:rFonts w:ascii="Tahoma" w:eastAsia="Calibri" w:hAnsi="Tahoma" w:cs="Tahoma" w:hint="eastAsia"/>
          <w:color w:val="0D0D0D" w:themeColor="text1" w:themeTint="F2"/>
          <w:sz w:val="18"/>
          <w:szCs w:val="18"/>
          <w:lang w:val="en"/>
        </w:rPr>
        <w:t>assistance</w:t>
      </w:r>
      <w:r w:rsidRPr="00552FFC">
        <w:rPr>
          <w:rFonts w:ascii="Tahoma" w:eastAsia="Calibri" w:hAnsi="Tahoma" w:cs="Tahoma" w:hint="eastAsia"/>
          <w:color w:val="0D0D0D" w:themeColor="text1" w:themeTint="F2"/>
          <w:sz w:val="18"/>
          <w:szCs w:val="18"/>
          <w:lang w:val="en"/>
        </w:rPr>
        <w:t xml:space="preserve">. Aid organizations and communities across the country mobilized to help locate and distribute supplies, and volunteer </w:t>
      </w:r>
      <w:r w:rsidRPr="00552FFC">
        <w:rPr>
          <w:rFonts w:ascii="Tahoma" w:eastAsia="Calibri" w:hAnsi="Tahoma" w:cs="Tahoma"/>
          <w:color w:val="0D0D0D" w:themeColor="text1" w:themeTint="F2"/>
          <w:sz w:val="18"/>
          <w:szCs w:val="18"/>
          <w:lang w:val="en"/>
        </w:rPr>
        <w:t>frameworks</w:t>
      </w:r>
      <w:r w:rsidRPr="00552FFC">
        <w:rPr>
          <w:rFonts w:ascii="Tahoma" w:eastAsia="Calibri" w:hAnsi="Tahoma" w:cs="Tahoma" w:hint="eastAsia"/>
          <w:color w:val="0D0D0D" w:themeColor="text1" w:themeTint="F2"/>
          <w:sz w:val="18"/>
          <w:szCs w:val="18"/>
          <w:lang w:val="en"/>
        </w:rPr>
        <w:t xml:space="preserve"> were established to provide clothing and basic goods; however, these efforts did not suffice to provide stability and certainty. The principal challenge was the lack of preparedness for an emergency of this scale, and the need to rapidly provide essential services and basic necessities to thousands of people simultaneously. Participants in focus groups conducted by the State Comptroller</w:t>
      </w:r>
      <w:r w:rsidRPr="00552FFC">
        <w:rPr>
          <w:rFonts w:ascii="Tahoma" w:eastAsia="Calibri" w:hAnsi="Tahoma" w:cs="Tahoma"/>
          <w:color w:val="0D0D0D" w:themeColor="text1" w:themeTint="F2"/>
          <w:sz w:val="18"/>
          <w:szCs w:val="18"/>
          <w:lang w:val="en"/>
        </w:rPr>
        <w:t>'</w:t>
      </w:r>
      <w:r w:rsidRPr="00552FFC">
        <w:rPr>
          <w:rFonts w:ascii="Tahoma" w:eastAsia="Calibri" w:hAnsi="Tahoma" w:cs="Tahoma" w:hint="eastAsia"/>
          <w:color w:val="0D0D0D" w:themeColor="text1" w:themeTint="F2"/>
          <w:sz w:val="18"/>
          <w:szCs w:val="18"/>
          <w:lang w:val="en"/>
        </w:rPr>
        <w:t>s Office across the country aptly described the</w:t>
      </w:r>
      <w:r w:rsidRPr="00552FFC">
        <w:rPr>
          <w:rFonts w:ascii="Tahoma" w:eastAsia="Calibri" w:hAnsi="Tahoma" w:cs="Tahoma"/>
          <w:color w:val="0D0D0D" w:themeColor="text1" w:themeTint="F2"/>
          <w:sz w:val="18"/>
          <w:szCs w:val="18"/>
          <w:lang w:val="en"/>
        </w:rPr>
        <w:t>ir</w:t>
      </w:r>
      <w:r w:rsidRPr="00552FFC">
        <w:rPr>
          <w:rFonts w:ascii="Tahoma" w:eastAsia="Calibri" w:hAnsi="Tahoma" w:cs="Tahoma" w:hint="eastAsia"/>
          <w:color w:val="0D0D0D" w:themeColor="text1" w:themeTint="F2"/>
          <w:sz w:val="18"/>
          <w:szCs w:val="18"/>
          <w:lang w:val="en"/>
        </w:rPr>
        <w:t xml:space="preserve"> </w:t>
      </w:r>
    </w:p>
    <w:p w:rsidR="00552FFC" w:rsidRPr="00552FFC" w:rsidP="008D07A0">
      <w:pPr>
        <w:bidi w:val="0"/>
        <w:spacing w:after="120" w:line="288" w:lineRule="auto"/>
        <w:rPr>
          <w:rFonts w:ascii="Tahoma" w:eastAsia="Calibri" w:hAnsi="Tahoma" w:cs="Tahoma"/>
          <w:color w:val="0D0D0D" w:themeColor="text1" w:themeTint="F2"/>
          <w:sz w:val="18"/>
          <w:szCs w:val="18"/>
          <w:rtl/>
        </w:rPr>
      </w:pPr>
      <w:r w:rsidRPr="00552FFC">
        <w:rPr>
          <w:rFonts w:ascii="Tahoma" w:eastAsia="Calibri" w:hAnsi="Tahoma" w:cs="Tahoma" w:hint="eastAsia"/>
          <w:color w:val="0D0D0D" w:themeColor="text1" w:themeTint="F2"/>
          <w:sz w:val="18"/>
          <w:szCs w:val="18"/>
          <w:lang w:val="en"/>
        </w:rPr>
        <w:t>basic needs and the difficulties they encountered in attempting to maintain their daily routines following evacuation:</w:t>
      </w:r>
    </w:p>
    <w:p w:rsidR="00552FFC" w:rsidRPr="00552FFC" w:rsidP="008D07A0">
      <w:pPr>
        <w:spacing w:line="288" w:lineRule="auto"/>
        <w:rPr>
          <w:rFonts w:ascii="Tahoma" w:eastAsia="Calibri" w:hAnsi="Tahoma" w:cs="Tahoma"/>
          <w:sz w:val="18"/>
          <w:szCs w:val="18"/>
          <w:rtl/>
        </w:rPr>
      </w:pPr>
    </w:p>
    <w:p w:rsidR="00552FFC" w:rsidRPr="00552FFC" w:rsidP="008D07A0">
      <w:pPr>
        <w:bidi w:val="0"/>
        <w:spacing w:line="288" w:lineRule="auto"/>
        <w:ind w:left="567" w:right="567"/>
        <w:rPr>
          <w:rFonts w:ascii="Tahoma" w:eastAsia="Calibri" w:hAnsi="Tahoma" w:cs="Tahoma"/>
          <w:b/>
          <w:bCs/>
          <w:sz w:val="18"/>
          <w:szCs w:val="18"/>
          <w:rtl/>
        </w:rPr>
      </w:pPr>
      <w:r w:rsidRPr="00552FFC">
        <w:rPr>
          <w:rFonts w:ascii="Tahoma" w:eastAsia="Calibri" w:hAnsi="Tahoma" w:cs="Tahoma"/>
          <w:b/>
          <w:bCs/>
          <w:sz w:val="18"/>
          <w:szCs w:val="18"/>
          <w:lang w:val="en"/>
        </w:rPr>
        <w:t>"</w:t>
      </w:r>
      <w:r w:rsidRPr="00552FFC">
        <w:rPr>
          <w:rFonts w:ascii="Tahoma" w:eastAsia="Calibri" w:hAnsi="Tahoma" w:cs="Tahoma" w:hint="cs"/>
          <w:b/>
          <w:bCs/>
          <w:sz w:val="18"/>
          <w:szCs w:val="18"/>
          <w:lang w:val="en"/>
        </w:rPr>
        <w:t>It</w:t>
      </w:r>
      <w:r w:rsidRPr="00552FFC">
        <w:rPr>
          <w:rFonts w:ascii="Tahoma" w:eastAsia="Calibri" w:hAnsi="Tahoma" w:cs="Tahoma"/>
          <w:b/>
          <w:bCs/>
          <w:sz w:val="18"/>
          <w:szCs w:val="18"/>
          <w:lang w:val="en"/>
        </w:rPr>
        <w:t>'</w:t>
      </w:r>
      <w:r w:rsidRPr="00552FFC">
        <w:rPr>
          <w:rFonts w:ascii="Tahoma" w:eastAsia="Calibri" w:hAnsi="Tahoma" w:cs="Tahoma" w:hint="cs"/>
          <w:b/>
          <w:bCs/>
          <w:sz w:val="18"/>
          <w:szCs w:val="18"/>
          <w:lang w:val="en"/>
        </w:rPr>
        <w:t>s the smallest things… this is what residents expect from us – to do everything the state didn</w:t>
      </w:r>
      <w:r w:rsidRPr="00552FFC">
        <w:rPr>
          <w:rFonts w:ascii="Tahoma" w:eastAsia="Calibri" w:hAnsi="Tahoma" w:cs="Tahoma"/>
          <w:b/>
          <w:bCs/>
          <w:sz w:val="18"/>
          <w:szCs w:val="18"/>
          <w:lang w:val="en"/>
        </w:rPr>
        <w:t>'</w:t>
      </w:r>
      <w:r w:rsidRPr="00552FFC">
        <w:rPr>
          <w:rFonts w:ascii="Tahoma" w:eastAsia="Calibri" w:hAnsi="Tahoma" w:cs="Tahoma" w:hint="cs"/>
          <w:b/>
          <w:bCs/>
          <w:sz w:val="18"/>
          <w:szCs w:val="18"/>
          <w:lang w:val="en"/>
        </w:rPr>
        <w:t>t do. I have to arrange transportation to funerals; I had to arrange transportation for every medical appointment; I have to, we are everything. There is no state.</w:t>
      </w:r>
      <w:r w:rsidRPr="00552FFC">
        <w:rPr>
          <w:rFonts w:ascii="Tahoma" w:eastAsia="Calibri" w:hAnsi="Tahoma" w:cs="Tahoma"/>
          <w:b/>
          <w:bCs/>
          <w:sz w:val="18"/>
          <w:szCs w:val="18"/>
          <w:lang w:val="en"/>
        </w:rPr>
        <w:t>"</w:t>
      </w:r>
    </w:p>
    <w:p w:rsidR="00552FFC" w:rsidRPr="00552FFC" w:rsidP="008D07A0">
      <w:pPr>
        <w:bidi w:val="0"/>
        <w:spacing w:line="288" w:lineRule="auto"/>
        <w:ind w:left="567" w:right="567"/>
        <w:jc w:val="right"/>
        <w:rPr>
          <w:rFonts w:ascii="Tahoma" w:eastAsia="Calibri" w:hAnsi="Tahoma" w:cs="Tahoma"/>
          <w:b/>
          <w:bCs/>
          <w:sz w:val="18"/>
          <w:szCs w:val="18"/>
        </w:rPr>
      </w:pPr>
      <w:r w:rsidRPr="00552FFC">
        <w:rPr>
          <w:rFonts w:ascii="Tahoma" w:eastAsia="Calibri" w:hAnsi="Tahoma" w:cs="Tahoma"/>
          <w:sz w:val="18"/>
          <w:szCs w:val="18"/>
          <w:lang w:val="en"/>
        </w:rPr>
        <w:t>Evacuee from a kibbutz in southern Israel</w:t>
      </w:r>
    </w:p>
    <w:p w:rsidR="00552FFC" w:rsidRPr="00552FFC" w:rsidP="008D07A0">
      <w:pPr>
        <w:spacing w:line="288" w:lineRule="auto"/>
        <w:ind w:left="-284"/>
        <w:rPr>
          <w:rFonts w:ascii="Tahoma" w:eastAsia="Calibri" w:hAnsi="Tahoma" w:cs="Tahoma"/>
          <w:sz w:val="18"/>
          <w:szCs w:val="18"/>
          <w:rtl/>
        </w:rPr>
      </w:pPr>
    </w:p>
    <w:p w:rsidR="00552FFC" w:rsidP="008D07A0">
      <w:pPr>
        <w:bidi w:val="0"/>
        <w:spacing w:after="120" w:line="288" w:lineRule="auto"/>
        <w:rPr>
          <w:rFonts w:ascii="Tahoma" w:eastAsia="Calibri" w:hAnsi="Tahoma" w:cs="Tahoma"/>
          <w:color w:val="0D0D0D" w:themeColor="text1" w:themeTint="F2"/>
          <w:sz w:val="18"/>
          <w:szCs w:val="18"/>
          <w:lang w:val="en"/>
        </w:rPr>
      </w:pPr>
      <w:r w:rsidRPr="00552FFC">
        <w:rPr>
          <w:rFonts w:ascii="Tahoma" w:eastAsia="Calibri" w:hAnsi="Tahoma" w:cs="Tahoma" w:hint="cs"/>
          <w:color w:val="0D0D0D" w:themeColor="text1" w:themeTint="F2"/>
          <w:sz w:val="18"/>
          <w:szCs w:val="18"/>
          <w:lang w:val="en"/>
        </w:rPr>
        <w:t>The response to the population evacuated to hotels includes, first and foremost, assistance with the most basic subsistence needs. Some of these, such as personal laundry and sanitation services, are addressed in the procedures of the Evacuation, Relief and Casualties Authority</w:t>
      </w:r>
      <w:r w:rsidRPr="00552FFC">
        <w:rPr>
          <w:rFonts w:ascii="Tahoma" w:eastAsia="Calibri" w:hAnsi="Tahoma" w:cs="Tahoma"/>
          <w:color w:val="0D0D0D" w:themeColor="text1" w:themeTint="F2"/>
          <w:sz w:val="18"/>
          <w:szCs w:val="18"/>
          <w:lang w:val="en"/>
        </w:rPr>
        <w:t xml:space="preserve"> (ERC Authority)</w:t>
      </w:r>
      <w:r w:rsidRPr="00552FFC">
        <w:rPr>
          <w:rFonts w:ascii="Tahoma" w:eastAsia="Calibri" w:hAnsi="Tahoma" w:cs="Tahoma" w:hint="cs"/>
          <w:color w:val="0D0D0D" w:themeColor="text1" w:themeTint="F2"/>
          <w:sz w:val="18"/>
          <w:szCs w:val="18"/>
          <w:lang w:val="en"/>
        </w:rPr>
        <w:t xml:space="preserve">; others, such as food, clothing, personal hygiene supplies, and access to digital services, emerged as </w:t>
      </w:r>
      <w:r w:rsidRPr="00552FFC">
        <w:rPr>
          <w:rFonts w:ascii="Tahoma" w:eastAsia="Calibri" w:hAnsi="Tahoma" w:cs="Tahoma"/>
          <w:color w:val="0D0D0D" w:themeColor="text1" w:themeTint="F2"/>
          <w:sz w:val="18"/>
          <w:szCs w:val="18"/>
          <w:lang w:val="en"/>
        </w:rPr>
        <w:t xml:space="preserve">the </w:t>
      </w:r>
      <w:r w:rsidRPr="00552FFC">
        <w:rPr>
          <w:rFonts w:ascii="Tahoma" w:eastAsia="Calibri" w:hAnsi="Tahoma" w:cs="Tahoma" w:hint="cs"/>
          <w:color w:val="0D0D0D" w:themeColor="text1" w:themeTint="F2"/>
          <w:sz w:val="18"/>
          <w:szCs w:val="18"/>
          <w:lang w:val="en"/>
        </w:rPr>
        <w:t>immediate</w:t>
      </w:r>
      <w:r w:rsidRPr="00552FFC">
        <w:rPr>
          <w:rFonts w:ascii="Tahoma" w:eastAsia="Calibri" w:hAnsi="Tahoma" w:cs="Tahoma"/>
          <w:color w:val="0D0D0D" w:themeColor="text1" w:themeTint="F2"/>
          <w:sz w:val="18"/>
          <w:szCs w:val="18"/>
          <w:lang w:val="en"/>
        </w:rPr>
        <w:t>, initial needs on the ground</w:t>
      </w:r>
      <w:r w:rsidRPr="00552FFC">
        <w:rPr>
          <w:rFonts w:ascii="Tahoma" w:eastAsia="Calibri" w:hAnsi="Tahoma" w:cs="Tahoma" w:hint="cs"/>
          <w:color w:val="0D0D0D" w:themeColor="text1" w:themeTint="F2"/>
          <w:sz w:val="18"/>
          <w:szCs w:val="18"/>
          <w:lang w:val="en"/>
        </w:rPr>
        <w:t xml:space="preserve">, which, according to the definition set out in </w:t>
      </w:r>
      <w:r w:rsidRPr="00552FFC">
        <w:rPr>
          <w:rFonts w:ascii="Tahoma" w:eastAsia="Calibri" w:hAnsi="Tahoma" w:cs="Tahoma"/>
          <w:color w:val="0D0D0D" w:themeColor="text1" w:themeTint="F2"/>
          <w:sz w:val="18"/>
          <w:szCs w:val="18"/>
          <w:lang w:val="en"/>
        </w:rPr>
        <w:t>the ERC Authority</w:t>
      </w:r>
      <w:r w:rsidRPr="00552FFC">
        <w:rPr>
          <w:rFonts w:ascii="Tahoma" w:eastAsia="Calibri" w:hAnsi="Tahoma" w:cs="Tahoma" w:hint="cs"/>
          <w:color w:val="0D0D0D" w:themeColor="text1" w:themeTint="F2"/>
          <w:sz w:val="18"/>
          <w:szCs w:val="18"/>
          <w:lang w:val="en"/>
        </w:rPr>
        <w:t xml:space="preserve"> doctrine, are </w:t>
      </w:r>
      <w:r w:rsidRPr="00552FFC">
        <w:rPr>
          <w:rFonts w:ascii="Tahoma" w:eastAsia="Calibri" w:hAnsi="Tahoma" w:cs="Tahoma"/>
          <w:color w:val="0D0D0D" w:themeColor="text1" w:themeTint="F2"/>
          <w:sz w:val="18"/>
          <w:szCs w:val="18"/>
          <w:lang w:val="en"/>
        </w:rPr>
        <w:t>"</w:t>
      </w:r>
      <w:r w:rsidRPr="00552FFC">
        <w:rPr>
          <w:rFonts w:ascii="Tahoma" w:eastAsia="Calibri" w:hAnsi="Tahoma" w:cs="Tahoma" w:hint="cs"/>
          <w:color w:val="0D0D0D" w:themeColor="text1" w:themeTint="F2"/>
          <w:sz w:val="18"/>
          <w:szCs w:val="18"/>
          <w:lang w:val="en"/>
        </w:rPr>
        <w:t>responses that evacuees are unable to provide for themselves under such circumstances.</w:t>
      </w:r>
      <w:r w:rsidRPr="00552FFC">
        <w:rPr>
          <w:rFonts w:ascii="Tahoma" w:eastAsia="Calibri" w:hAnsi="Tahoma" w:cs="Tahoma"/>
          <w:color w:val="0D0D0D" w:themeColor="text1" w:themeTint="F2"/>
          <w:sz w:val="18"/>
          <w:szCs w:val="18"/>
          <w:lang w:val="en"/>
        </w:rPr>
        <w:t xml:space="preserve">" </w:t>
      </w:r>
      <w:r w:rsidRPr="00552FFC">
        <w:rPr>
          <w:rFonts w:ascii="Tahoma" w:eastAsia="Calibri" w:hAnsi="Tahoma" w:cs="Tahoma" w:hint="cs"/>
          <w:color w:val="0D0D0D" w:themeColor="text1" w:themeTint="F2"/>
          <w:sz w:val="18"/>
          <w:szCs w:val="18"/>
          <w:lang w:val="en"/>
        </w:rPr>
        <w:t>The provision of medical equipment, medications, and other medical needs of evacuees was not the responsibility of local government.</w:t>
      </w:r>
    </w:p>
    <w:p w:rsidR="009A5924">
      <w:pPr>
        <w:bidi w:val="0"/>
        <w:spacing w:after="200" w:line="276" w:lineRule="auto"/>
        <w:rPr>
          <w:rFonts w:ascii="Tahoma" w:eastAsia="Calibri" w:hAnsi="Tahoma" w:cs="Tahoma"/>
          <w:color w:val="0D0D0D" w:themeColor="text1" w:themeTint="F2"/>
          <w:sz w:val="18"/>
          <w:szCs w:val="18"/>
          <w:rtl/>
        </w:rPr>
      </w:pPr>
      <w:r>
        <w:rPr>
          <w:rFonts w:ascii="Tahoma" w:eastAsia="Calibri" w:hAnsi="Tahoma" w:cs="Tahoma"/>
          <w:color w:val="0D0D0D" w:themeColor="text1" w:themeTint="F2"/>
          <w:sz w:val="18"/>
          <w:szCs w:val="18"/>
          <w:rtl/>
        </w:rPr>
        <w:br w:type="page"/>
      </w:r>
    </w:p>
    <w:p w:rsidR="00552FFC" w:rsidRPr="00552FFC" w:rsidP="00552FFC">
      <w:pPr>
        <w:spacing w:line="288" w:lineRule="auto"/>
        <w:rPr>
          <w:rFonts w:eastAsia="Calibri"/>
          <w:sz w:val="18"/>
          <w:szCs w:val="18"/>
          <w:rtl/>
        </w:rPr>
      </w:pPr>
    </w:p>
    <w:p w:rsidR="00E30FE7" w:rsidRPr="00FE2E59" w:rsidP="00552FFC">
      <w:pPr>
        <w:pStyle w:val="719"/>
        <w:bidi w:val="0"/>
      </w:pPr>
      <w:r>
        <w:rPr>
          <w:noProof/>
        </w:rPr>
        <w:drawing>
          <wp:anchor distT="0" distB="0" distL="114300" distR="114300" simplePos="0" relativeHeight="251661312" behindDoc="1" locked="0" layoutInCell="1" allowOverlap="1">
            <wp:simplePos x="0" y="0"/>
            <wp:positionH relativeFrom="column">
              <wp:posOffset>3479</wp:posOffset>
            </wp:positionH>
            <wp:positionV relativeFrom="paragraph">
              <wp:posOffset>-194034</wp:posOffset>
            </wp:positionV>
            <wp:extent cx="1329055" cy="316865"/>
            <wp:effectExtent l="0" t="0" r="4445" b="6985"/>
            <wp:wrapTight wrapText="bothSides">
              <wp:wrapPolygon>
                <wp:start x="0" y="0"/>
                <wp:lineTo x="0" y="20778"/>
                <wp:lineTo x="21363" y="20778"/>
                <wp:lineTo x="21363" y="0"/>
                <wp:lineTo x="0" y="0"/>
              </wp:wrapPolygon>
            </wp:wrapTight>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anchor>
        </w:drawing>
      </w:r>
    </w:p>
    <w:tbl>
      <w:tblPr>
        <w:tblStyle w:val="44"/>
        <w:tblpPr w:leftFromText="180" w:rightFromText="180" w:vertAnchor="text" w:tblpXSpec="center" w:tblpY="1"/>
        <w:tblOverlap w:val="never"/>
        <w:tblW w:w="8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7"/>
        <w:gridCol w:w="245"/>
        <w:gridCol w:w="2349"/>
        <w:gridCol w:w="282"/>
        <w:gridCol w:w="1711"/>
        <w:gridCol w:w="270"/>
        <w:gridCol w:w="1796"/>
      </w:tblGrid>
      <w:tr w:rsidTr="00964016">
        <w:tblPrEx>
          <w:tblW w:w="8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2127" w:type="dxa"/>
            <w:tcBorders>
              <w:bottom w:val="single" w:sz="12" w:space="0" w:color="auto"/>
            </w:tcBorders>
            <w:shd w:val="clear" w:color="auto" w:fill="auto"/>
            <w:vAlign w:val="bottom"/>
          </w:tcPr>
          <w:p w:rsidR="00B52F9B" w:rsidRPr="007A2DC9" w:rsidP="003132B5">
            <w:pPr>
              <w:bidi w:val="0"/>
              <w:spacing w:after="60" w:line="240" w:lineRule="auto"/>
              <w:rPr>
                <w:rFonts w:ascii="Tahoma" w:eastAsia="Calibri" w:hAnsi="Tahoma" w:cs="Tahoma"/>
                <w:spacing w:val="-10"/>
                <w:sz w:val="36"/>
                <w:szCs w:val="36"/>
                <w:rtl/>
              </w:rPr>
            </w:pPr>
            <w:r w:rsidRPr="007A2DC9">
              <w:rPr>
                <w:rFonts w:ascii="Tahoma" w:eastAsia="Calibri" w:hAnsi="Tahoma" w:cs="Tahoma" w:hint="cs"/>
                <w:spacing w:val="-10"/>
                <w:sz w:val="26"/>
                <w:szCs w:val="26"/>
                <w:lang w:val="en"/>
              </w:rPr>
              <w:t>Only NIS</w:t>
            </w:r>
            <w:r w:rsidRPr="004851BF">
              <w:rPr>
                <w:rFonts w:ascii="Tahoma" w:eastAsia="Calibri" w:hAnsi="Tahoma" w:cs="Tahoma" w:hint="cs"/>
                <w:spacing w:val="-10"/>
                <w:sz w:val="36"/>
                <w:szCs w:val="36"/>
                <w:lang w:val="en"/>
              </w:rPr>
              <w:t xml:space="preserve"> 5 </w:t>
            </w:r>
            <w:r w:rsidRPr="007A2DC9">
              <w:rPr>
                <w:rFonts w:ascii="Tahoma" w:eastAsia="Calibri" w:hAnsi="Tahoma" w:cs="Tahoma" w:hint="cs"/>
                <w:spacing w:val="-10"/>
                <w:sz w:val="26"/>
                <w:szCs w:val="26"/>
                <w:lang w:val="en"/>
              </w:rPr>
              <w:t>per day per evacuee</w:t>
            </w:r>
          </w:p>
        </w:tc>
        <w:tc>
          <w:tcPr>
            <w:tcW w:w="245" w:type="dxa"/>
          </w:tcPr>
          <w:p w:rsidR="00B52F9B" w:rsidRPr="007A2DC9" w:rsidP="00BD4683">
            <w:pPr>
              <w:spacing w:line="240" w:lineRule="auto"/>
              <w:rPr>
                <w:rFonts w:ascii="Tahoma" w:eastAsia="Calibri" w:hAnsi="Tahoma" w:cs="Tahoma"/>
                <w:spacing w:val="-10"/>
              </w:rPr>
            </w:pPr>
          </w:p>
        </w:tc>
        <w:tc>
          <w:tcPr>
            <w:tcW w:w="2349" w:type="dxa"/>
            <w:tcBorders>
              <w:bottom w:val="single" w:sz="12" w:space="0" w:color="auto"/>
            </w:tcBorders>
            <w:vAlign w:val="bottom"/>
          </w:tcPr>
          <w:p w:rsidR="00B52F9B" w:rsidRPr="007A2DC9" w:rsidP="00BD4683">
            <w:pPr>
              <w:bidi w:val="0"/>
              <w:spacing w:after="60" w:line="240" w:lineRule="auto"/>
              <w:rPr>
                <w:rFonts w:ascii="Tahoma" w:eastAsia="Calibri" w:hAnsi="Tahoma" w:cs="Tahoma"/>
                <w:spacing w:val="-10"/>
                <w:sz w:val="36"/>
                <w:szCs w:val="36"/>
                <w:rtl/>
              </w:rPr>
            </w:pPr>
            <w:r w:rsidRPr="007A2DC9">
              <w:rPr>
                <w:rFonts w:ascii="Tahoma" w:eastAsia="Calibri" w:hAnsi="Tahoma" w:cs="Tahoma" w:hint="eastAsia"/>
                <w:spacing w:val="-10"/>
                <w:sz w:val="36"/>
                <w:szCs w:val="36"/>
                <w:lang w:val="en"/>
              </w:rPr>
              <w:t>Approximately one month</w:t>
            </w:r>
            <w:r w:rsidRPr="007A2DC9">
              <w:rPr>
                <w:rFonts w:ascii="Tahoma" w:eastAsia="Calibri" w:hAnsi="Tahoma" w:cs="Tahoma" w:hint="cs"/>
                <w:spacing w:val="-10"/>
                <w:sz w:val="26"/>
                <w:szCs w:val="26"/>
                <w:lang w:val="en"/>
              </w:rPr>
              <w:t xml:space="preserve"> </w:t>
            </w:r>
            <w:r w:rsidRPr="007A2DC9">
              <w:rPr>
                <w:rFonts w:ascii="Tahoma" w:eastAsia="Calibri" w:hAnsi="Tahoma" w:cs="Tahoma" w:hint="cs"/>
                <w:spacing w:val="-10"/>
                <w:sz w:val="26"/>
                <w:szCs w:val="26"/>
                <w:lang w:val="en"/>
              </w:rPr>
              <w:br/>
            </w:r>
            <w:r>
              <w:rPr>
                <w:rFonts w:ascii="Tahoma" w:eastAsia="Calibri" w:hAnsi="Tahoma" w:cs="Tahoma"/>
                <w:spacing w:val="-10"/>
                <w:sz w:val="26"/>
                <w:szCs w:val="26"/>
                <w:lang w:val="en"/>
              </w:rPr>
              <w:t>after</w:t>
            </w:r>
            <w:r w:rsidRPr="007A2DC9">
              <w:rPr>
                <w:rFonts w:ascii="Tahoma" w:eastAsia="Calibri" w:hAnsi="Tahoma" w:cs="Tahoma" w:hint="cs"/>
                <w:spacing w:val="-10"/>
                <w:sz w:val="26"/>
                <w:szCs w:val="26"/>
                <w:lang w:val="en"/>
              </w:rPr>
              <w:t xml:space="preserve"> the outbreak of the war</w:t>
            </w:r>
          </w:p>
        </w:tc>
        <w:tc>
          <w:tcPr>
            <w:tcW w:w="282" w:type="dxa"/>
          </w:tcPr>
          <w:p w:rsidR="00B52F9B" w:rsidRPr="007A2DC9" w:rsidP="00BD4683">
            <w:pPr>
              <w:spacing w:line="240" w:lineRule="auto"/>
              <w:rPr>
                <w:rFonts w:ascii="Tahoma" w:eastAsia="Calibri" w:hAnsi="Tahoma" w:cs="Tahoma"/>
                <w:spacing w:val="-10"/>
              </w:rPr>
            </w:pPr>
          </w:p>
        </w:tc>
        <w:tc>
          <w:tcPr>
            <w:tcW w:w="1711" w:type="dxa"/>
            <w:tcBorders>
              <w:bottom w:val="single" w:sz="12" w:space="0" w:color="auto"/>
            </w:tcBorders>
            <w:vAlign w:val="bottom"/>
          </w:tcPr>
          <w:p w:rsidR="00B52F9B" w:rsidRPr="007A2DC9" w:rsidP="00BD4683">
            <w:pPr>
              <w:bidi w:val="0"/>
              <w:spacing w:after="60" w:line="240" w:lineRule="auto"/>
              <w:rPr>
                <w:rFonts w:ascii="Tahoma" w:eastAsia="Calibri" w:hAnsi="Tahoma" w:cs="Tahoma"/>
                <w:spacing w:val="-10"/>
                <w:sz w:val="36"/>
                <w:szCs w:val="36"/>
              </w:rPr>
            </w:pPr>
            <w:r w:rsidRPr="007A2DC9">
              <w:rPr>
                <w:rFonts w:ascii="Tahoma" w:eastAsia="Calibri" w:hAnsi="Tahoma" w:cs="Tahoma" w:hint="cs"/>
                <w:spacing w:val="-10"/>
                <w:sz w:val="36"/>
                <w:szCs w:val="36"/>
                <w:lang w:val="en"/>
              </w:rPr>
              <w:t>3,000</w:t>
            </w:r>
          </w:p>
        </w:tc>
        <w:tc>
          <w:tcPr>
            <w:tcW w:w="270" w:type="dxa"/>
          </w:tcPr>
          <w:p w:rsidR="00B52F9B" w:rsidRPr="007A2DC9" w:rsidP="00BD4683">
            <w:pPr>
              <w:spacing w:line="240" w:lineRule="auto"/>
              <w:rPr>
                <w:rFonts w:ascii="Tahoma" w:eastAsia="Calibri" w:hAnsi="Tahoma" w:cs="Tahoma"/>
                <w:spacing w:val="-10"/>
              </w:rPr>
            </w:pPr>
          </w:p>
        </w:tc>
        <w:tc>
          <w:tcPr>
            <w:tcW w:w="1796" w:type="dxa"/>
            <w:tcBorders>
              <w:bottom w:val="single" w:sz="12" w:space="0" w:color="auto"/>
            </w:tcBorders>
            <w:vAlign w:val="bottom"/>
          </w:tcPr>
          <w:p w:rsidR="00B52F9B" w:rsidP="00BD4683">
            <w:pPr>
              <w:bidi w:val="0"/>
              <w:spacing w:after="60" w:line="240" w:lineRule="auto"/>
              <w:rPr>
                <w:rFonts w:ascii="Tahoma" w:eastAsia="Calibri" w:hAnsi="Tahoma" w:cs="Tahoma"/>
                <w:spacing w:val="-10"/>
                <w:sz w:val="36"/>
                <w:szCs w:val="36"/>
                <w:rtl/>
              </w:rPr>
            </w:pPr>
            <w:r>
              <w:rPr>
                <w:rFonts w:ascii="Tahoma" w:eastAsia="Calibri" w:hAnsi="Tahoma" w:cs="Tahoma"/>
                <w:spacing w:val="-10"/>
                <w:sz w:val="26"/>
                <w:szCs w:val="26"/>
                <w:lang w:val="en"/>
              </w:rPr>
              <w:t>By</w:t>
            </w:r>
            <w:r w:rsidRPr="007A2DC9">
              <w:rPr>
                <w:rFonts w:ascii="Tahoma" w:eastAsia="Calibri" w:hAnsi="Tahoma" w:cs="Tahoma" w:hint="cs"/>
                <w:spacing w:val="-10"/>
                <w:sz w:val="26"/>
                <w:szCs w:val="26"/>
                <w:lang w:val="en"/>
              </w:rPr>
              <w:t xml:space="preserve"> </w:t>
            </w:r>
          </w:p>
          <w:p w:rsidR="00B52F9B" w:rsidRPr="007A2DC9" w:rsidP="003132B5">
            <w:pPr>
              <w:bidi w:val="0"/>
              <w:spacing w:after="60" w:line="240" w:lineRule="auto"/>
              <w:rPr>
                <w:rFonts w:ascii="Tahoma" w:eastAsia="Calibri" w:hAnsi="Tahoma" w:cs="Tahoma"/>
                <w:spacing w:val="-10"/>
                <w:sz w:val="36"/>
                <w:szCs w:val="36"/>
                <w:rtl/>
              </w:rPr>
            </w:pPr>
            <w:r w:rsidRPr="007A2DC9">
              <w:rPr>
                <w:rFonts w:ascii="Tahoma" w:eastAsia="Calibri" w:hAnsi="Tahoma" w:cs="Tahoma" w:hint="eastAsia"/>
                <w:spacing w:val="-10"/>
                <w:sz w:val="36"/>
                <w:szCs w:val="36"/>
                <w:lang w:val="en"/>
              </w:rPr>
              <w:t>July 2024</w:t>
            </w:r>
          </w:p>
        </w:tc>
      </w:tr>
      <w:tr w:rsidTr="00B52F9B">
        <w:tblPrEx>
          <w:tblW w:w="8780" w:type="dxa"/>
          <w:tblLook w:val="04A0"/>
        </w:tblPrEx>
        <w:trPr>
          <w:trHeight w:val="85"/>
        </w:trPr>
        <w:tc>
          <w:tcPr>
            <w:tcW w:w="8780" w:type="dxa"/>
            <w:gridSpan w:val="7"/>
            <w:shd w:val="clear" w:color="auto" w:fill="auto"/>
            <w:vAlign w:val="center"/>
          </w:tcPr>
          <w:p w:rsidR="00B52F9B" w:rsidRPr="007A2DC9" w:rsidP="00BD4683">
            <w:pPr>
              <w:spacing w:line="288" w:lineRule="auto"/>
              <w:rPr>
                <w:rFonts w:ascii="Tahoma" w:eastAsia="Calibri" w:hAnsi="Tahoma" w:cs="Tahoma"/>
                <w:spacing w:val="-10"/>
                <w:sz w:val="6"/>
                <w:szCs w:val="6"/>
                <w:rtl/>
              </w:rPr>
            </w:pPr>
          </w:p>
        </w:tc>
      </w:tr>
      <w:tr w:rsidTr="00964016">
        <w:tblPrEx>
          <w:tblW w:w="8780" w:type="dxa"/>
          <w:tblLook w:val="04A0"/>
        </w:tblPrEx>
        <w:trPr>
          <w:trHeight w:val="1155"/>
        </w:trPr>
        <w:tc>
          <w:tcPr>
            <w:tcW w:w="2127" w:type="dxa"/>
          </w:tcPr>
          <w:p w:rsidR="00B52F9B" w:rsidRPr="007A2DC9" w:rsidP="00BD4683">
            <w:pPr>
              <w:bidi w:val="0"/>
              <w:spacing w:line="240" w:lineRule="auto"/>
              <w:ind w:right="23"/>
              <w:rPr>
                <w:rFonts w:ascii="Tahoma" w:eastAsia="Calibri" w:hAnsi="Tahoma" w:cs="Tahoma"/>
                <w:sz w:val="19"/>
                <w:szCs w:val="19"/>
                <w:rtl/>
              </w:rPr>
            </w:pPr>
            <w:r w:rsidRPr="007A2DC9">
              <w:rPr>
                <w:rFonts w:ascii="Tahoma" w:eastAsia="Calibri" w:hAnsi="Tahoma" w:cs="Tahoma" w:hint="cs"/>
                <w:sz w:val="19"/>
                <w:szCs w:val="19"/>
                <w:lang w:val="en"/>
              </w:rPr>
              <w:t xml:space="preserve">Amount of the grant provided by the Ministry of Interior as assistance to local authorities that received </w:t>
            </w:r>
            <w:r>
              <w:rPr>
                <w:rFonts w:ascii="Tahoma" w:eastAsia="Calibri" w:hAnsi="Tahoma" w:cs="Tahoma"/>
                <w:sz w:val="19"/>
                <w:szCs w:val="19"/>
                <w:lang w:val="en"/>
              </w:rPr>
              <w:t xml:space="preserve">a </w:t>
            </w:r>
            <w:r w:rsidRPr="007A2DC9">
              <w:rPr>
                <w:rFonts w:ascii="Tahoma" w:eastAsia="Calibri" w:hAnsi="Tahoma" w:cs="Tahoma" w:hint="cs"/>
                <w:sz w:val="19"/>
                <w:szCs w:val="19"/>
                <w:lang w:val="en"/>
              </w:rPr>
              <w:t>large</w:t>
            </w:r>
            <w:r>
              <w:rPr>
                <w:rFonts w:ascii="Tahoma" w:eastAsia="Calibri" w:hAnsi="Tahoma" w:cs="Tahoma"/>
                <w:sz w:val="19"/>
                <w:szCs w:val="19"/>
                <w:lang w:val="en"/>
              </w:rPr>
              <w:t xml:space="preserve"> number of people</w:t>
            </w:r>
            <w:r w:rsidRPr="007A2DC9">
              <w:rPr>
                <w:rFonts w:ascii="Tahoma" w:eastAsia="Calibri" w:hAnsi="Tahoma" w:cs="Tahoma" w:hint="cs"/>
                <w:sz w:val="19"/>
                <w:szCs w:val="19"/>
                <w:lang w:val="en"/>
              </w:rPr>
              <w:t xml:space="preserve">, in lieu of municipal property </w:t>
            </w:r>
            <w:r w:rsidRPr="007A2DC9">
              <w:rPr>
                <w:rFonts w:ascii="Tahoma" w:eastAsia="Calibri" w:hAnsi="Tahoma" w:cs="Tahoma"/>
                <w:sz w:val="19"/>
                <w:szCs w:val="19"/>
                <w:lang w:val="en"/>
              </w:rPr>
              <w:t>tax payments</w:t>
            </w:r>
            <w:r w:rsidRPr="007A2DC9">
              <w:rPr>
                <w:rFonts w:ascii="Tahoma" w:eastAsia="Calibri" w:hAnsi="Tahoma" w:cs="Tahoma" w:hint="cs"/>
                <w:sz w:val="19"/>
                <w:szCs w:val="19"/>
                <w:lang w:val="en"/>
              </w:rPr>
              <w:t xml:space="preserve">, for </w:t>
            </w:r>
            <w:bookmarkStart w:id="0" w:name="_Hlk167212512"/>
            <w:r w:rsidRPr="007A2DC9">
              <w:rPr>
                <w:rFonts w:ascii="Tahoma" w:eastAsia="Calibri" w:hAnsi="Tahoma" w:cs="Tahoma" w:hint="cs"/>
                <w:sz w:val="19"/>
                <w:szCs w:val="19"/>
                <w:lang w:val="en"/>
              </w:rPr>
              <w:t xml:space="preserve">each individual for each day of their stay in the host authority. </w:t>
            </w:r>
            <w:bookmarkEnd w:id="0"/>
            <w:r>
              <w:rPr>
                <w:rFonts w:ascii="Tahoma" w:eastAsia="Calibri" w:hAnsi="Tahoma" w:cs="Tahoma"/>
                <w:sz w:val="19"/>
                <w:szCs w:val="19"/>
                <w:lang w:val="en"/>
              </w:rPr>
              <w:t>T</w:t>
            </w:r>
            <w:r w:rsidRPr="007A2DC9">
              <w:rPr>
                <w:rFonts w:ascii="Tahoma" w:eastAsia="Calibri" w:hAnsi="Tahoma" w:cs="Tahoma" w:hint="cs"/>
                <w:sz w:val="19"/>
                <w:szCs w:val="19"/>
                <w:lang w:val="en"/>
              </w:rPr>
              <w:t>he Ministries of Finance and Interior transferred additional budgets to local authorities through designated channels</w:t>
            </w:r>
          </w:p>
        </w:tc>
        <w:tc>
          <w:tcPr>
            <w:tcW w:w="245" w:type="dxa"/>
          </w:tcPr>
          <w:p w:rsidR="00B52F9B" w:rsidRPr="007A2DC9" w:rsidP="00BD4683">
            <w:pPr>
              <w:spacing w:line="240" w:lineRule="auto"/>
              <w:rPr>
                <w:rFonts w:ascii="Tahoma" w:eastAsia="Calibri" w:hAnsi="Tahoma" w:cs="Tahoma"/>
                <w:szCs w:val="24"/>
                <w:rtl/>
              </w:rPr>
            </w:pPr>
          </w:p>
        </w:tc>
        <w:tc>
          <w:tcPr>
            <w:tcW w:w="2349" w:type="dxa"/>
          </w:tcPr>
          <w:p w:rsidR="00B52F9B" w:rsidRPr="007A2DC9" w:rsidP="00BD4683">
            <w:pPr>
              <w:bidi w:val="0"/>
              <w:spacing w:line="240" w:lineRule="auto"/>
              <w:ind w:right="23"/>
              <w:rPr>
                <w:rFonts w:ascii="Tahoma" w:eastAsia="Calibri" w:hAnsi="Tahoma" w:cs="Tahoma"/>
                <w:sz w:val="19"/>
                <w:szCs w:val="19"/>
                <w:rtl/>
              </w:rPr>
            </w:pPr>
            <w:r w:rsidRPr="007A2DC9">
              <w:rPr>
                <w:rFonts w:ascii="Tahoma" w:eastAsia="Calibri" w:hAnsi="Tahoma" w:cs="Tahoma" w:hint="cs"/>
                <w:sz w:val="19"/>
                <w:szCs w:val="19"/>
                <w:lang w:val="en"/>
              </w:rPr>
              <w:t>Only in early November 2023 did the Ministry of Finance announce that financial support would be provided for laundry services for the entire evacuee population, via prepaid debit cards</w:t>
            </w:r>
          </w:p>
        </w:tc>
        <w:tc>
          <w:tcPr>
            <w:tcW w:w="282" w:type="dxa"/>
          </w:tcPr>
          <w:p w:rsidR="00B52F9B" w:rsidRPr="007A2DC9" w:rsidP="00BD4683">
            <w:pPr>
              <w:spacing w:line="240" w:lineRule="auto"/>
              <w:rPr>
                <w:rFonts w:ascii="Tahoma" w:eastAsia="Calibri" w:hAnsi="Tahoma" w:cs="Tahoma"/>
                <w:sz w:val="19"/>
                <w:szCs w:val="19"/>
                <w:rtl/>
              </w:rPr>
            </w:pPr>
          </w:p>
        </w:tc>
        <w:tc>
          <w:tcPr>
            <w:tcW w:w="1711" w:type="dxa"/>
          </w:tcPr>
          <w:p w:rsidR="00B52F9B" w:rsidRPr="007A2DC9" w:rsidP="00BD4683">
            <w:pPr>
              <w:bidi w:val="0"/>
              <w:spacing w:line="240" w:lineRule="auto"/>
              <w:ind w:right="23"/>
              <w:rPr>
                <w:rFonts w:ascii="Tahoma" w:eastAsia="Calibri" w:hAnsi="Tahoma" w:cs="Tahoma"/>
                <w:sz w:val="19"/>
                <w:szCs w:val="19"/>
                <w:rtl/>
              </w:rPr>
            </w:pPr>
            <w:r>
              <w:rPr>
                <w:rFonts w:ascii="Tahoma" w:eastAsia="Calibri" w:hAnsi="Tahoma" w:cs="Tahoma"/>
                <w:sz w:val="19"/>
                <w:szCs w:val="19"/>
                <w:lang w:val="en"/>
              </w:rPr>
              <w:t>p</w:t>
            </w:r>
            <w:r w:rsidRPr="007A2DC9">
              <w:rPr>
                <w:rFonts w:ascii="Tahoma" w:eastAsia="Calibri" w:hAnsi="Tahoma" w:cs="Tahoma" w:hint="cs"/>
                <w:sz w:val="19"/>
                <w:szCs w:val="19"/>
                <w:lang w:val="en"/>
              </w:rPr>
              <w:t xml:space="preserve">re-packaged meals (food trays) per day, funded by a standing donation for evacuees in </w:t>
            </w:r>
            <w:r w:rsidRPr="007A2DC9">
              <w:rPr>
                <w:rFonts w:ascii="Tahoma" w:eastAsia="Calibri" w:hAnsi="Tahoma" w:cs="Tahoma" w:hint="cs"/>
                <w:b/>
                <w:bCs/>
                <w:sz w:val="19"/>
                <w:szCs w:val="19"/>
                <w:lang w:val="en"/>
              </w:rPr>
              <w:t>E</w:t>
            </w:r>
            <w:r>
              <w:rPr>
                <w:rFonts w:ascii="Tahoma" w:eastAsia="Calibri" w:hAnsi="Tahoma" w:cs="Tahoma"/>
                <w:b/>
                <w:bCs/>
                <w:sz w:val="19"/>
                <w:szCs w:val="19"/>
                <w:lang w:val="en"/>
              </w:rPr>
              <w:t>i</w:t>
            </w:r>
            <w:r w:rsidRPr="007A2DC9">
              <w:rPr>
                <w:rFonts w:ascii="Tahoma" w:eastAsia="Calibri" w:hAnsi="Tahoma" w:cs="Tahoma" w:hint="cs"/>
                <w:b/>
                <w:bCs/>
                <w:sz w:val="19"/>
                <w:szCs w:val="19"/>
                <w:lang w:val="en"/>
              </w:rPr>
              <w:t>lat</w:t>
            </w:r>
            <w:r>
              <w:rPr>
                <w:rFonts w:ascii="Tahoma" w:eastAsia="Calibri" w:hAnsi="Tahoma" w:cs="Tahoma"/>
                <w:b/>
                <w:bCs/>
                <w:sz w:val="19"/>
                <w:szCs w:val="19"/>
                <w:lang w:val="en"/>
              </w:rPr>
              <w:t>,</w:t>
            </w:r>
            <w:r w:rsidRPr="007A2DC9">
              <w:rPr>
                <w:rFonts w:ascii="Tahoma" w:eastAsia="Calibri" w:hAnsi="Tahoma" w:cs="Tahoma" w:hint="cs"/>
                <w:b/>
                <w:bCs/>
                <w:sz w:val="19"/>
                <w:szCs w:val="19"/>
                <w:lang w:val="en"/>
              </w:rPr>
              <w:t xml:space="preserve"> f</w:t>
            </w:r>
            <w:r w:rsidRPr="007A2DC9">
              <w:rPr>
                <w:rFonts w:ascii="Tahoma" w:eastAsia="Calibri" w:hAnsi="Tahoma" w:cs="Tahoma" w:hint="cs"/>
                <w:sz w:val="19"/>
                <w:szCs w:val="19"/>
                <w:lang w:val="en"/>
              </w:rPr>
              <w:t xml:space="preserve">rom the early days of the war until early December 2023, and double that amount on Fridays. The preparation and distribution of the </w:t>
            </w:r>
            <w:r>
              <w:rPr>
                <w:rFonts w:ascii="Tahoma" w:eastAsia="Calibri" w:hAnsi="Tahoma" w:cs="Tahoma"/>
                <w:sz w:val="19"/>
                <w:szCs w:val="19"/>
                <w:lang w:val="en"/>
              </w:rPr>
              <w:t>food trays</w:t>
            </w:r>
            <w:r w:rsidRPr="007A2DC9">
              <w:rPr>
                <w:rFonts w:ascii="Tahoma" w:eastAsia="Calibri" w:hAnsi="Tahoma" w:cs="Tahoma" w:hint="cs"/>
                <w:sz w:val="19"/>
                <w:szCs w:val="19"/>
                <w:lang w:val="en"/>
              </w:rPr>
              <w:t xml:space="preserve"> were handled and managed by the municipal assistance center </w:t>
            </w:r>
          </w:p>
          <w:p w:rsidR="00B52F9B" w:rsidRPr="007A2DC9" w:rsidP="00BD4683">
            <w:pPr>
              <w:spacing w:line="240" w:lineRule="auto"/>
              <w:ind w:right="23"/>
              <w:rPr>
                <w:rFonts w:ascii="Tahoma" w:eastAsia="Calibri" w:hAnsi="Tahoma" w:cs="Tahoma"/>
                <w:sz w:val="19"/>
                <w:szCs w:val="19"/>
                <w:rtl/>
              </w:rPr>
            </w:pPr>
          </w:p>
        </w:tc>
        <w:tc>
          <w:tcPr>
            <w:tcW w:w="270" w:type="dxa"/>
          </w:tcPr>
          <w:p w:rsidR="00B52F9B" w:rsidRPr="007A2DC9" w:rsidP="00BD4683">
            <w:pPr>
              <w:spacing w:line="240" w:lineRule="auto"/>
              <w:rPr>
                <w:rFonts w:ascii="Tahoma" w:eastAsia="Calibri" w:hAnsi="Tahoma" w:cs="Tahoma"/>
                <w:sz w:val="19"/>
                <w:szCs w:val="19"/>
                <w:rtl/>
              </w:rPr>
            </w:pPr>
          </w:p>
        </w:tc>
        <w:tc>
          <w:tcPr>
            <w:tcW w:w="1796" w:type="dxa"/>
          </w:tcPr>
          <w:p w:rsidR="00B52F9B" w:rsidRPr="007A2DC9" w:rsidP="00BD4683">
            <w:pPr>
              <w:bidi w:val="0"/>
              <w:spacing w:line="240" w:lineRule="auto"/>
              <w:ind w:right="23"/>
              <w:rPr>
                <w:rFonts w:ascii="Tahoma" w:eastAsia="Calibri" w:hAnsi="Tahoma" w:cs="Tahoma"/>
                <w:sz w:val="19"/>
                <w:szCs w:val="19"/>
                <w:rtl/>
              </w:rPr>
            </w:pPr>
            <w:r>
              <w:rPr>
                <w:rFonts w:ascii="Tahoma" w:eastAsia="Calibri" w:hAnsi="Tahoma" w:cs="Tahoma"/>
                <w:sz w:val="19"/>
                <w:szCs w:val="19"/>
                <w:lang w:val="en"/>
              </w:rPr>
              <w:t xml:space="preserve">the </w:t>
            </w:r>
            <w:r w:rsidRPr="007A2DC9">
              <w:rPr>
                <w:rFonts w:ascii="Tahoma" w:eastAsia="Calibri" w:hAnsi="Tahoma" w:cs="Tahoma" w:hint="cs"/>
                <w:sz w:val="19"/>
                <w:szCs w:val="19"/>
                <w:lang w:val="en"/>
              </w:rPr>
              <w:t>host local authorities</w:t>
            </w:r>
            <w:r>
              <w:rPr>
                <w:rFonts w:ascii="Tahoma" w:eastAsia="Calibri" w:hAnsi="Tahoma" w:cs="Tahoma"/>
                <w:sz w:val="19"/>
                <w:szCs w:val="19"/>
                <w:lang w:val="en"/>
              </w:rPr>
              <w:t xml:space="preserve"> had not yet been reimbursed</w:t>
            </w:r>
            <w:r w:rsidRPr="007A2DC9">
              <w:rPr>
                <w:rFonts w:ascii="Tahoma" w:eastAsia="Calibri" w:hAnsi="Tahoma" w:cs="Tahoma" w:hint="cs"/>
                <w:sz w:val="19"/>
                <w:szCs w:val="19"/>
                <w:lang w:val="en"/>
              </w:rPr>
              <w:t xml:space="preserve"> for </w:t>
            </w:r>
            <w:r>
              <w:rPr>
                <w:rFonts w:ascii="Tahoma" w:eastAsia="Calibri" w:hAnsi="Tahoma" w:cs="Tahoma"/>
                <w:sz w:val="19"/>
                <w:szCs w:val="19"/>
                <w:lang w:val="en"/>
              </w:rPr>
              <w:t xml:space="preserve">expenses incurred in providing </w:t>
            </w:r>
            <w:r w:rsidRPr="007A2DC9">
              <w:rPr>
                <w:rFonts w:ascii="Tahoma" w:eastAsia="Calibri" w:hAnsi="Tahoma" w:cs="Tahoma" w:hint="cs"/>
                <w:sz w:val="19"/>
                <w:szCs w:val="19"/>
                <w:lang w:val="en"/>
              </w:rPr>
              <w:t xml:space="preserve">basic services </w:t>
            </w:r>
            <w:r>
              <w:rPr>
                <w:rFonts w:ascii="Tahoma" w:eastAsia="Calibri" w:hAnsi="Tahoma" w:cs="Tahoma"/>
                <w:sz w:val="19"/>
                <w:szCs w:val="19"/>
                <w:lang w:val="en"/>
              </w:rPr>
              <w:t xml:space="preserve">and undertaking </w:t>
            </w:r>
            <w:r w:rsidRPr="007A2DC9">
              <w:rPr>
                <w:rFonts w:ascii="Tahoma" w:eastAsia="Calibri" w:hAnsi="Tahoma" w:cs="Tahoma"/>
                <w:sz w:val="19"/>
                <w:szCs w:val="19"/>
                <w:lang w:val="en"/>
              </w:rPr>
              <w:t>immediate</w:t>
            </w:r>
            <w:r w:rsidRPr="007A2DC9">
              <w:rPr>
                <w:rFonts w:ascii="Tahoma" w:eastAsia="Calibri" w:hAnsi="Tahoma" w:cs="Tahoma" w:hint="cs"/>
                <w:sz w:val="19"/>
                <w:szCs w:val="19"/>
                <w:lang w:val="en"/>
              </w:rPr>
              <w:t xml:space="preserve"> procurement during the first month of the war </w:t>
            </w:r>
          </w:p>
        </w:tc>
      </w:tr>
    </w:tbl>
    <w:p w:rsidR="007849E4" w:rsidP="0095502F">
      <w:pPr>
        <w:tabs>
          <w:tab w:val="left" w:pos="6774"/>
        </w:tabs>
        <w:bidi w:val="0"/>
        <w:spacing w:before="3480" w:line="800" w:lineRule="exact"/>
        <w:jc w:val="left"/>
        <w:rPr>
          <w:rFonts w:ascii="Calibri" w:hAnsi="Calibri" w:cs="Calibri"/>
          <w:b/>
          <w:bCs/>
          <w:color w:val="002060"/>
          <w:sz w:val="80"/>
          <w:szCs w:val="80"/>
        </w:rPr>
        <w:sectPr w:rsidSect="008654CB">
          <w:headerReference w:type="default" r:id="rId12"/>
          <w:headerReference w:type="first" r:id="rId13"/>
          <w:footerReference w:type="first" r:id="rId14"/>
          <w:pgSz w:w="11340" w:h="14175" w:code="9"/>
          <w:pgMar w:top="2268" w:right="1276" w:bottom="1588" w:left="1134" w:header="709" w:footer="709" w:gutter="0"/>
          <w:cols w:space="708"/>
          <w:titlePg/>
          <w:bidi/>
          <w:rtlGutter/>
          <w:docGrid w:linePitch="360"/>
        </w:sectPr>
      </w:pPr>
    </w:p>
    <w:p w:rsidR="00773A61" w:rsidP="00773A61">
      <w:pPr>
        <w:pStyle w:val="719"/>
        <w:bidi w:val="0"/>
      </w:pPr>
    </w:p>
    <w:p w:rsidR="00773A61" w:rsidP="00773A61">
      <w:pPr>
        <w:pStyle w:val="719"/>
        <w:bidi w:val="0"/>
      </w:pPr>
    </w:p>
    <w:p w:rsidR="00E903B4">
      <w:pPr>
        <w:bidi w:val="0"/>
        <w:spacing w:after="200" w:line="276" w:lineRule="auto"/>
        <w:rPr>
          <w:rFonts w:ascii="Tahoma" w:hAnsi="Tahoma" w:cs="Tahoma"/>
          <w:color w:val="0D0D0D" w:themeColor="text1" w:themeTint="F2"/>
          <w:sz w:val="18"/>
          <w:szCs w:val="18"/>
        </w:rPr>
      </w:pPr>
      <w:r>
        <w:br w:type="page"/>
      </w:r>
    </w:p>
    <w:p w:rsidR="0066416E" w:rsidP="0066416E">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366AB8" w:rsidRPr="009A5924" w:rsidP="003132B5">
      <w:pPr>
        <w:pStyle w:val="733"/>
        <w:bidi w:val="0"/>
        <w:spacing w:after="120"/>
        <w:ind w:left="567"/>
        <w:rPr>
          <w:sz w:val="14"/>
          <w:szCs w:val="14"/>
        </w:rPr>
      </w:pPr>
      <w:r w:rsidRPr="009A5924">
        <w:rPr>
          <w:rStyle w:val="7190"/>
          <w:noProof/>
          <w:highlight w:val="yellow"/>
        </w:rPr>
        <w:drawing>
          <wp:anchor distT="0" distB="0" distL="0" distR="0" simplePos="0" relativeHeight="251658240" behindDoc="1" locked="0" layoutInCell="1" allowOverlap="1">
            <wp:simplePos x="0" y="0"/>
            <wp:positionH relativeFrom="margin">
              <wp:posOffset>8890</wp:posOffset>
            </wp:positionH>
            <wp:positionV relativeFrom="margin">
              <wp:posOffset>668324</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A5924">
        <w:rPr>
          <w:rFonts w:eastAsia="Calibri" w:hint="eastAsia"/>
          <w:color w:val="auto"/>
          <w:lang w:val="en"/>
        </w:rPr>
        <w:t xml:space="preserve">From December 2023 to July 2024, the </w:t>
      </w:r>
      <w:r w:rsidRPr="009A5924">
        <w:rPr>
          <w:rFonts w:eastAsia="Calibri"/>
          <w:color w:val="auto"/>
          <w:lang w:val="en"/>
        </w:rPr>
        <w:t xml:space="preserve">Office of the </w:t>
      </w:r>
      <w:r w:rsidRPr="009A5924">
        <w:rPr>
          <w:rFonts w:eastAsia="Calibri" w:hint="eastAsia"/>
          <w:color w:val="auto"/>
          <w:lang w:val="en"/>
        </w:rPr>
        <w:t xml:space="preserve">State Comptroller examined the evacuation and </w:t>
      </w:r>
      <w:r w:rsidRPr="009A5924">
        <w:rPr>
          <w:rFonts w:eastAsia="Calibri"/>
          <w:color w:val="auto"/>
        </w:rPr>
        <w:t>reception</w:t>
      </w:r>
      <w:r w:rsidRPr="009A5924">
        <w:rPr>
          <w:rFonts w:eastAsia="Calibri" w:hint="eastAsia"/>
          <w:color w:val="auto"/>
          <w:lang w:val="en"/>
        </w:rPr>
        <w:t xml:space="preserve"> of evacuees during the Iron Swords War in 14 local authorities that received evacuees within their jurisdictions: the municipalities of </w:t>
      </w:r>
      <w:r w:rsidRPr="009A5924">
        <w:rPr>
          <w:rFonts w:eastAsia="Calibri" w:hint="eastAsia"/>
          <w:b/>
          <w:bCs/>
          <w:color w:val="auto"/>
          <w:lang w:val="en"/>
        </w:rPr>
        <w:t>E</w:t>
      </w:r>
      <w:r w:rsidRPr="009A5924">
        <w:rPr>
          <w:rFonts w:eastAsia="Calibri"/>
          <w:b/>
          <w:bCs/>
          <w:color w:val="auto"/>
          <w:lang w:val="en"/>
        </w:rPr>
        <w:t>i</w:t>
      </w:r>
      <w:r w:rsidRPr="009A5924">
        <w:rPr>
          <w:rFonts w:eastAsia="Calibri" w:hint="eastAsia"/>
          <w:b/>
          <w:bCs/>
          <w:color w:val="auto"/>
          <w:lang w:val="en"/>
        </w:rPr>
        <w:t>lat</w:t>
      </w:r>
      <w:r w:rsidRPr="009A5924">
        <w:rPr>
          <w:rFonts w:eastAsia="Calibri" w:hint="eastAsia"/>
          <w:color w:val="auto"/>
          <w:lang w:val="en"/>
        </w:rPr>
        <w:t xml:space="preserve">, </w:t>
      </w:r>
      <w:r w:rsidRPr="009A5924">
        <w:rPr>
          <w:rFonts w:eastAsia="Calibri" w:hint="eastAsia"/>
          <w:b/>
          <w:bCs/>
          <w:color w:val="auto"/>
          <w:lang w:val="en"/>
        </w:rPr>
        <w:t>Herzliya</w:t>
      </w:r>
      <w:r w:rsidRPr="009A5924">
        <w:rPr>
          <w:rFonts w:eastAsia="Calibri" w:hint="eastAsia"/>
          <w:color w:val="auto"/>
          <w:lang w:val="en"/>
        </w:rPr>
        <w:t xml:space="preserve">, </w:t>
      </w:r>
      <w:r w:rsidRPr="009A5924">
        <w:rPr>
          <w:rFonts w:eastAsia="Calibri" w:hint="eastAsia"/>
          <w:b/>
          <w:bCs/>
          <w:color w:val="auto"/>
          <w:lang w:val="en"/>
        </w:rPr>
        <w:t>Haifa</w:t>
      </w:r>
      <w:r w:rsidRPr="009A5924">
        <w:rPr>
          <w:rFonts w:eastAsia="Calibri" w:hint="eastAsia"/>
          <w:color w:val="auto"/>
          <w:lang w:val="en"/>
        </w:rPr>
        <w:t xml:space="preserve">, </w:t>
      </w:r>
      <w:r w:rsidRPr="009A5924">
        <w:rPr>
          <w:rFonts w:eastAsia="Calibri" w:hint="eastAsia"/>
          <w:b/>
          <w:bCs/>
          <w:color w:val="auto"/>
          <w:lang w:val="en"/>
        </w:rPr>
        <w:t>Tiberias</w:t>
      </w:r>
      <w:r w:rsidRPr="009A5924">
        <w:rPr>
          <w:rFonts w:eastAsia="Calibri" w:hint="eastAsia"/>
          <w:color w:val="auto"/>
          <w:lang w:val="en"/>
        </w:rPr>
        <w:t xml:space="preserve">, </w:t>
      </w:r>
      <w:r w:rsidRPr="009A5924">
        <w:rPr>
          <w:rFonts w:eastAsia="Calibri" w:hint="eastAsia"/>
          <w:b/>
          <w:bCs/>
          <w:color w:val="auto"/>
          <w:lang w:val="en"/>
        </w:rPr>
        <w:t>Jerusalem</w:t>
      </w:r>
      <w:r w:rsidRPr="009A5924">
        <w:rPr>
          <w:rFonts w:eastAsia="Calibri" w:hint="eastAsia"/>
          <w:color w:val="auto"/>
          <w:lang w:val="en"/>
        </w:rPr>
        <w:t xml:space="preserve">, </w:t>
      </w:r>
      <w:r w:rsidRPr="009A5924">
        <w:rPr>
          <w:rFonts w:eastAsia="Calibri" w:hint="eastAsia"/>
          <w:b/>
          <w:bCs/>
          <w:color w:val="auto"/>
          <w:lang w:val="en"/>
        </w:rPr>
        <w:t>Nof</w:t>
      </w:r>
      <w:r w:rsidRPr="009A5924">
        <w:rPr>
          <w:rFonts w:eastAsia="Calibri" w:hint="eastAsia"/>
          <w:b/>
          <w:bCs/>
          <w:color w:val="auto"/>
          <w:lang w:val="en"/>
        </w:rPr>
        <w:t xml:space="preserve"> </w:t>
      </w:r>
      <w:r w:rsidRPr="009A5924">
        <w:rPr>
          <w:rFonts w:eastAsia="Calibri" w:hint="eastAsia"/>
          <w:b/>
          <w:bCs/>
          <w:color w:val="auto"/>
          <w:lang w:val="en"/>
        </w:rPr>
        <w:t>HaGalil</w:t>
      </w:r>
      <w:r w:rsidRPr="009A5924">
        <w:rPr>
          <w:rFonts w:eastAsia="Calibri" w:hint="eastAsia"/>
          <w:color w:val="auto"/>
          <w:lang w:val="en"/>
        </w:rPr>
        <w:t xml:space="preserve">, </w:t>
      </w:r>
      <w:r w:rsidRPr="009A5924">
        <w:rPr>
          <w:rFonts w:eastAsia="Calibri" w:hint="eastAsia"/>
          <w:b/>
          <w:bCs/>
          <w:color w:val="auto"/>
          <w:lang w:val="en"/>
        </w:rPr>
        <w:t>Netanya</w:t>
      </w:r>
      <w:r w:rsidRPr="009A5924">
        <w:rPr>
          <w:rFonts w:eastAsia="Calibri" w:hint="eastAsia"/>
          <w:color w:val="auto"/>
          <w:lang w:val="en"/>
        </w:rPr>
        <w:t xml:space="preserve">, </w:t>
      </w:r>
      <w:r w:rsidRPr="009A5924">
        <w:rPr>
          <w:rFonts w:eastAsia="Calibri" w:hint="eastAsia"/>
          <w:b/>
          <w:bCs/>
          <w:color w:val="auto"/>
          <w:lang w:val="en"/>
        </w:rPr>
        <w:t>Ramat Gan</w:t>
      </w:r>
      <w:r w:rsidRPr="009A5924">
        <w:rPr>
          <w:rFonts w:eastAsia="Calibri" w:hint="eastAsia"/>
          <w:color w:val="auto"/>
          <w:lang w:val="en"/>
        </w:rPr>
        <w:t xml:space="preserve">, and </w:t>
      </w:r>
      <w:r w:rsidRPr="009A5924">
        <w:rPr>
          <w:rFonts w:eastAsia="Calibri" w:hint="eastAsia"/>
          <w:b/>
          <w:bCs/>
          <w:color w:val="auto"/>
          <w:lang w:val="en"/>
        </w:rPr>
        <w:t>Tel Aviv</w:t>
      </w:r>
      <w:r w:rsidRPr="009A5924">
        <w:rPr>
          <w:rFonts w:eastAsia="Calibri" w:hint="eastAsia"/>
          <w:b/>
          <w:bCs/>
          <w:color w:val="auto"/>
          <w:lang w:val="en"/>
        </w:rPr>
        <w:t>–</w:t>
      </w:r>
      <w:r w:rsidRPr="009A5924">
        <w:rPr>
          <w:rFonts w:eastAsia="Calibri" w:hint="eastAsia"/>
          <w:b/>
          <w:bCs/>
          <w:color w:val="auto"/>
          <w:lang w:val="en"/>
        </w:rPr>
        <w:t>Yafo</w:t>
      </w:r>
      <w:r w:rsidRPr="009A5924">
        <w:rPr>
          <w:rFonts w:eastAsia="Calibri" w:hint="eastAsia"/>
          <w:color w:val="auto"/>
          <w:lang w:val="en"/>
        </w:rPr>
        <w:t xml:space="preserve">; the local council of </w:t>
      </w:r>
      <w:r w:rsidRPr="009A5924">
        <w:rPr>
          <w:rFonts w:eastAsia="Calibri" w:hint="eastAsia"/>
          <w:b/>
          <w:bCs/>
          <w:color w:val="auto"/>
          <w:lang w:val="en"/>
        </w:rPr>
        <w:t>Zikhron</w:t>
      </w:r>
      <w:r w:rsidRPr="009A5924">
        <w:rPr>
          <w:rFonts w:eastAsia="Calibri" w:hint="eastAsia"/>
          <w:b/>
          <w:bCs/>
          <w:color w:val="auto"/>
          <w:lang w:val="en"/>
        </w:rPr>
        <w:t xml:space="preserve"> </w:t>
      </w:r>
      <w:r w:rsidRPr="009A5924">
        <w:rPr>
          <w:rFonts w:eastAsia="Calibri" w:hint="eastAsia"/>
          <w:b/>
          <w:bCs/>
          <w:color w:val="auto"/>
          <w:lang w:val="en"/>
        </w:rPr>
        <w:t>Ya</w:t>
      </w:r>
      <w:r w:rsidRPr="009A5924">
        <w:rPr>
          <w:rFonts w:eastAsia="Calibri"/>
          <w:b/>
          <w:bCs/>
          <w:color w:val="auto"/>
          <w:lang w:val="en"/>
        </w:rPr>
        <w:t>'</w:t>
      </w:r>
      <w:r w:rsidRPr="009A5924">
        <w:rPr>
          <w:rFonts w:eastAsia="Calibri" w:hint="eastAsia"/>
          <w:b/>
          <w:bCs/>
          <w:color w:val="auto"/>
          <w:lang w:val="en"/>
        </w:rPr>
        <w:t>akov</w:t>
      </w:r>
      <w:r w:rsidRPr="009A5924">
        <w:rPr>
          <w:rFonts w:eastAsia="Calibri" w:hint="eastAsia"/>
          <w:color w:val="auto"/>
          <w:lang w:val="en"/>
        </w:rPr>
        <w:t xml:space="preserve">; and the regional councils of </w:t>
      </w:r>
      <w:r w:rsidRPr="009A5924">
        <w:rPr>
          <w:rFonts w:eastAsia="Calibri" w:hint="eastAsia"/>
          <w:b/>
          <w:bCs/>
          <w:color w:val="auto"/>
          <w:lang w:val="en"/>
        </w:rPr>
        <w:t xml:space="preserve">Hof </w:t>
      </w:r>
      <w:r w:rsidRPr="009A5924">
        <w:rPr>
          <w:rFonts w:eastAsia="Calibri" w:hint="eastAsia"/>
          <w:b/>
          <w:bCs/>
          <w:color w:val="auto"/>
          <w:lang w:val="en"/>
        </w:rPr>
        <w:t>HaCarmel</w:t>
      </w:r>
      <w:r w:rsidRPr="009A5924">
        <w:rPr>
          <w:rFonts w:eastAsia="Calibri" w:hint="eastAsia"/>
          <w:color w:val="auto"/>
          <w:lang w:val="en"/>
        </w:rPr>
        <w:t xml:space="preserve">, </w:t>
      </w:r>
      <w:r w:rsidRPr="009A5924">
        <w:rPr>
          <w:rFonts w:eastAsia="Calibri" w:hint="eastAsia"/>
          <w:b/>
          <w:bCs/>
          <w:color w:val="auto"/>
          <w:lang w:val="en"/>
        </w:rPr>
        <w:t>Mateh</w:t>
      </w:r>
      <w:r w:rsidRPr="009A5924">
        <w:rPr>
          <w:rFonts w:eastAsia="Calibri" w:hint="eastAsia"/>
          <w:b/>
          <w:bCs/>
          <w:color w:val="auto"/>
          <w:lang w:val="en"/>
        </w:rPr>
        <w:t xml:space="preserve"> Yehuda</w:t>
      </w:r>
      <w:r w:rsidRPr="009A5924">
        <w:rPr>
          <w:rFonts w:eastAsia="Calibri" w:hint="eastAsia"/>
          <w:color w:val="auto"/>
          <w:lang w:val="en"/>
        </w:rPr>
        <w:t xml:space="preserve">, </w:t>
      </w:r>
      <w:r w:rsidRPr="009A5924">
        <w:rPr>
          <w:rFonts w:eastAsia="Calibri" w:hint="eastAsia"/>
          <w:b/>
          <w:bCs/>
          <w:color w:val="auto"/>
          <w:lang w:val="en"/>
        </w:rPr>
        <w:t>Emek</w:t>
      </w:r>
      <w:r w:rsidRPr="009A5924">
        <w:rPr>
          <w:rFonts w:eastAsia="Calibri" w:hint="eastAsia"/>
          <w:b/>
          <w:bCs/>
          <w:color w:val="auto"/>
          <w:lang w:val="en"/>
        </w:rPr>
        <w:t xml:space="preserve"> </w:t>
      </w:r>
      <w:r w:rsidRPr="009A5924">
        <w:rPr>
          <w:rFonts w:eastAsia="Calibri" w:hint="eastAsia"/>
          <w:b/>
          <w:bCs/>
          <w:color w:val="auto"/>
          <w:lang w:val="en"/>
        </w:rPr>
        <w:t>HaYarden</w:t>
      </w:r>
      <w:r w:rsidRPr="009A5924">
        <w:rPr>
          <w:rFonts w:eastAsia="Calibri" w:hint="eastAsia"/>
          <w:color w:val="auto"/>
          <w:lang w:val="en"/>
        </w:rPr>
        <w:t xml:space="preserve">, and </w:t>
      </w:r>
      <w:r w:rsidRPr="009A5924">
        <w:rPr>
          <w:rFonts w:eastAsia="Calibri" w:hint="eastAsia"/>
          <w:b/>
          <w:bCs/>
          <w:color w:val="auto"/>
          <w:lang w:val="en"/>
        </w:rPr>
        <w:t>Tamar</w:t>
      </w:r>
      <w:r w:rsidRPr="009A5924">
        <w:rPr>
          <w:rFonts w:eastAsia="Calibri" w:hint="eastAsia"/>
          <w:color w:val="auto"/>
          <w:lang w:val="en"/>
        </w:rPr>
        <w:t>.</w:t>
      </w:r>
      <w:r w:rsidRPr="009A5924">
        <w:rPr>
          <w:rFonts w:eastAsia="Calibri"/>
          <w:color w:val="auto"/>
          <w:lang w:val="en"/>
        </w:rPr>
        <w:t xml:space="preserve"> </w:t>
      </w:r>
      <w:r w:rsidRPr="009A5924">
        <w:rPr>
          <w:rFonts w:eastAsia="Calibri" w:hint="eastAsia"/>
          <w:color w:val="auto"/>
          <w:lang w:val="en"/>
        </w:rPr>
        <w:t>This chapter addresses the basic and immediate services provided by host local authorities to evacuees and to self-evacuees received within their jurisdictions.</w:t>
      </w: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pPr>
        <w:keepNext/>
        <w:keepLines/>
        <w:bidi w:val="0"/>
        <w:spacing w:before="120" w:after="180" w:line="240" w:lineRule="atLeast"/>
        <w:rPr>
          <w:rFonts w:ascii="Tahoma" w:hAnsi="Tahoma" w:cs="Tahoma"/>
          <w:b/>
          <w:bCs/>
          <w:color w:val="00305F"/>
          <w:sz w:val="32"/>
          <w:szCs w:val="32"/>
        </w:rPr>
      </w:pPr>
    </w:p>
    <w:p w:rsidR="00366AB8" w:rsidRPr="009A5924" w:rsidP="00366AB8">
      <w:pPr>
        <w:bidi w:val="0"/>
        <w:spacing w:after="180" w:line="260" w:lineRule="exact"/>
        <w:rPr>
          <w:rFonts w:ascii="Tahoma" w:eastAsia="Times New Roman" w:hAnsi="Tahoma" w:cs="Tahoma"/>
          <w:sz w:val="10"/>
          <w:szCs w:val="10"/>
        </w:rPr>
      </w:pPr>
    </w:p>
    <w:p w:rsidR="0095502F" w:rsidRPr="000529C6" w:rsidP="003132B5">
      <w:pPr>
        <w:pStyle w:val="733"/>
        <w:bidi w:val="0"/>
      </w:pPr>
      <w:r w:rsidRPr="000529C6">
        <w:rPr>
          <w:rFonts w:eastAsia="Century Gothic" w:hint="cs"/>
          <w:b/>
          <w:bCs/>
          <w:noProof/>
          <w:color w:val="0D0D0D"/>
          <w:highlight w:val="yellow"/>
          <w:rtl/>
        </w:rPr>
        <w:drawing>
          <wp:anchor distT="0" distB="0" distL="0" distR="0" simplePos="0" relativeHeight="251662336" behindDoc="0" locked="0" layoutInCell="1" allowOverlap="1">
            <wp:simplePos x="0" y="0"/>
            <wp:positionH relativeFrom="column">
              <wp:posOffset>0</wp:posOffset>
            </wp:positionH>
            <wp:positionV relativeFrom="paragraph">
              <wp:posOffset>33324</wp:posOffset>
            </wp:positionV>
            <wp:extent cx="161925" cy="161925"/>
            <wp:effectExtent l="0" t="0" r="9525" b="9525"/>
            <wp:wrapSquare wrapText="bothSides"/>
            <wp:docPr id="161117690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903"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529C6">
        <w:rPr>
          <w:rFonts w:hint="cs"/>
          <w:b/>
          <w:bCs/>
          <w:lang w:val="en"/>
        </w:rPr>
        <w:t>Provision of Basic Services</w:t>
      </w:r>
      <w:r w:rsidRPr="000529C6">
        <w:rPr>
          <w:lang w:val="en"/>
        </w:rPr>
        <w:t xml:space="preserve"> – In the host local authorities examined, immediate basic services – such as food, clothing, and personal hygiene supplies – were generally provided to evacuees, and laundry services were made available. However, it emerges that a substantial portion of these goods and services was supplied through donations and by civil society volunteers, with the assistance and facilitation of the host authorities, rather than by government bodies. </w:t>
      </w:r>
    </w:p>
    <w:p w:rsidR="0095502F" w:rsidRPr="000529C6" w:rsidP="004842C7">
      <w:pPr>
        <w:pStyle w:val="733"/>
        <w:bidi w:val="0"/>
      </w:pPr>
      <w:r w:rsidRPr="00B37355">
        <w:rPr>
          <w:rFonts w:eastAsia="Century Gothic" w:hint="cs"/>
          <w:b/>
          <w:bCs/>
          <w:noProof/>
          <w:color w:val="0D0D0D"/>
          <w:highlight w:val="yellow"/>
          <w:rtl/>
        </w:rPr>
        <w:drawing>
          <wp:anchor distT="0" distB="0" distL="0" distR="0" simplePos="0" relativeHeight="251663360" behindDoc="0" locked="0" layoutInCell="1" allowOverlap="1">
            <wp:simplePos x="0" y="0"/>
            <wp:positionH relativeFrom="column">
              <wp:posOffset>0</wp:posOffset>
            </wp:positionH>
            <wp:positionV relativeFrom="paragraph">
              <wp:posOffset>21894</wp:posOffset>
            </wp:positionV>
            <wp:extent cx="161925" cy="161925"/>
            <wp:effectExtent l="0" t="0" r="9525" b="9525"/>
            <wp:wrapSquare wrapText="bothSides"/>
            <wp:docPr id="16288252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9"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529C6">
        <w:rPr>
          <w:b/>
          <w:bCs/>
          <w:lang w:val="en"/>
        </w:rPr>
        <w:t>Differential Provision of Food Services to Evacuees from Different Authorities</w:t>
      </w:r>
      <w:r w:rsidRPr="000529C6">
        <w:rPr>
          <w:lang w:val="en"/>
        </w:rPr>
        <w:t xml:space="preserve"> – During the initial weeks of the war, disparities were observed in the number of meals provided to evacuees staying together in the same hotels, depending on their communities of origin: the hotels provided two meals, while some evacuee communities received a third meal through donations. Even after government resources were allocated, people were still in need of donations – a situation that is not appropriate in an emergency and that further heightened feelings of dependency among evacuees. Self-evacuees were generally required to pay for their own meals, except during the initial days, when their rights had not yet been clarified. In some cases, the provision of only two meals did not meet evacuees' needs and imposed an additional burden on them. This was particularly true for self-evacuees. </w:t>
      </w:r>
    </w:p>
    <w:p w:rsidR="0095502F" w:rsidRPr="000529C6" w:rsidP="004842C7">
      <w:pPr>
        <w:pStyle w:val="733"/>
        <w:bidi w:val="0"/>
      </w:pPr>
      <w:r w:rsidRPr="00B37355">
        <w:rPr>
          <w:rFonts w:eastAsia="Century Gothic" w:hint="cs"/>
          <w:b/>
          <w:bCs/>
          <w:noProof/>
          <w:color w:val="0D0D0D"/>
          <w:highlight w:val="yellow"/>
          <w:rtl/>
        </w:rPr>
        <w:drawing>
          <wp:anchor distT="0" distB="0" distL="0" distR="0" simplePos="0" relativeHeight="251664384" behindDoc="0" locked="0" layoutInCell="1" allowOverlap="1">
            <wp:simplePos x="0" y="0"/>
            <wp:positionH relativeFrom="column">
              <wp:posOffset>-25400</wp:posOffset>
            </wp:positionH>
            <wp:positionV relativeFrom="paragraph">
              <wp:posOffset>46051</wp:posOffset>
            </wp:positionV>
            <wp:extent cx="161925" cy="161925"/>
            <wp:effectExtent l="0" t="0" r="9525" b="9525"/>
            <wp:wrapSquare wrapText="bothSides"/>
            <wp:docPr id="161117690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904"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529C6">
        <w:rPr>
          <w:rFonts w:hint="cs"/>
          <w:b/>
          <w:bCs/>
          <w:lang w:val="en"/>
        </w:rPr>
        <w:t>Lack of Distinction between Evacuees and Self-Evacuees</w:t>
      </w:r>
      <w:r w:rsidRPr="000529C6">
        <w:rPr>
          <w:lang w:val="en"/>
        </w:rPr>
        <w:t xml:space="preserve"> – It was found that only at the end of November 2023 – approximately three years after the audit report on "Preparedness to  Defend the Home Front against the Threat of  Missiles and Rockets (Physical Protection, Warnings, and Population Evacuation) – Follow-Up Audit", and during the Swords of Iron War – did the National Emergency Management Authority (NEMA) publish the "National Policy for Addressing the Phenomenon of Self-Evacuation During Emergencies (War) ". Needless to say, the publication of this policy at </w:t>
      </w:r>
      <w:r w:rsidRPr="000529C6">
        <w:t>this</w:t>
      </w:r>
      <w:r w:rsidRPr="000529C6">
        <w:rPr>
          <w:lang w:val="en"/>
        </w:rPr>
        <w:t xml:space="preserve"> stage was too late and not relevant to many of the required responses. By this time, more than a month and a half after the outbreak of the war, most basic service needs of self-evacuees had already either been met prior to the publication of the policy or had not been met at all. </w:t>
      </w:r>
    </w:p>
    <w:p w:rsidR="0095502F" w:rsidRPr="000529C6" w:rsidP="004842C7">
      <w:pPr>
        <w:pStyle w:val="733"/>
        <w:bidi w:val="0"/>
      </w:pPr>
      <w:r w:rsidRPr="00B37355">
        <w:rPr>
          <w:rFonts w:eastAsia="Century Gothic" w:hint="cs"/>
          <w:b/>
          <w:bCs/>
          <w:noProof/>
          <w:color w:val="0D0D0D"/>
          <w:highlight w:val="yellow"/>
          <w:rtl/>
        </w:rPr>
        <w:drawing>
          <wp:anchor distT="0" distB="0" distL="0" distR="0" simplePos="0" relativeHeight="251665408" behindDoc="0" locked="0" layoutInCell="1" allowOverlap="1">
            <wp:simplePos x="0" y="0"/>
            <wp:positionH relativeFrom="column">
              <wp:posOffset>0</wp:posOffset>
            </wp:positionH>
            <wp:positionV relativeFrom="paragraph">
              <wp:posOffset>32054</wp:posOffset>
            </wp:positionV>
            <wp:extent cx="161925" cy="161925"/>
            <wp:effectExtent l="0" t="0" r="9525" b="9525"/>
            <wp:wrapSquare wrapText="bothSides"/>
            <wp:docPr id="161117690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905"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529C6">
        <w:rPr>
          <w:b/>
          <w:bCs/>
          <w:lang w:val="en"/>
        </w:rPr>
        <w:t>Clothing and Personal Hygiene Supplies</w:t>
      </w:r>
      <w:r w:rsidRPr="000529C6">
        <w:rPr>
          <w:lang w:val="en"/>
        </w:rPr>
        <w:t xml:space="preserve"> – In all the local authorities examined – the municipalities of </w:t>
      </w:r>
      <w:r w:rsidRPr="000529C6">
        <w:rPr>
          <w:b/>
          <w:bCs/>
          <w:lang w:val="en"/>
        </w:rPr>
        <w:t>Eilat</w:t>
      </w:r>
      <w:r w:rsidRPr="000529C6">
        <w:rPr>
          <w:lang w:val="en"/>
        </w:rPr>
        <w:t>,</w:t>
      </w:r>
      <w:r w:rsidRPr="000529C6">
        <w:rPr>
          <w:b/>
          <w:bCs/>
          <w:lang w:val="en"/>
        </w:rPr>
        <w:t xml:space="preserve"> Herzliya</w:t>
      </w:r>
      <w:r w:rsidRPr="000529C6">
        <w:rPr>
          <w:lang w:val="en"/>
        </w:rPr>
        <w:t>,</w:t>
      </w:r>
      <w:r w:rsidRPr="000529C6">
        <w:rPr>
          <w:b/>
          <w:bCs/>
          <w:lang w:val="en"/>
        </w:rPr>
        <w:t xml:space="preserve"> Haifa</w:t>
      </w:r>
      <w:r w:rsidRPr="000529C6">
        <w:rPr>
          <w:lang w:val="en"/>
        </w:rPr>
        <w:t>,</w:t>
      </w:r>
      <w:r w:rsidRPr="000529C6">
        <w:rPr>
          <w:b/>
          <w:bCs/>
          <w:lang w:val="en"/>
        </w:rPr>
        <w:t xml:space="preserve"> Tiberias</w:t>
      </w:r>
      <w:r w:rsidRPr="000529C6">
        <w:rPr>
          <w:lang w:val="en"/>
        </w:rPr>
        <w:t>,</w:t>
      </w:r>
      <w:r w:rsidRPr="000529C6">
        <w:rPr>
          <w:b/>
          <w:bCs/>
          <w:lang w:val="en"/>
        </w:rPr>
        <w:t xml:space="preserve"> Jerusalem</w:t>
      </w:r>
      <w:r w:rsidRPr="000529C6">
        <w:rPr>
          <w:lang w:val="en"/>
        </w:rPr>
        <w:t xml:space="preserve">, </w:t>
      </w:r>
      <w:r w:rsidRPr="000529C6">
        <w:rPr>
          <w:b/>
          <w:bCs/>
          <w:lang w:val="en"/>
        </w:rPr>
        <w:t>Nof</w:t>
      </w:r>
      <w:r w:rsidRPr="000529C6">
        <w:rPr>
          <w:b/>
          <w:bCs/>
          <w:lang w:val="en"/>
        </w:rPr>
        <w:t xml:space="preserve"> </w:t>
      </w:r>
      <w:r w:rsidRPr="000529C6">
        <w:rPr>
          <w:b/>
          <w:bCs/>
          <w:lang w:val="en"/>
        </w:rPr>
        <w:t>HaGalil</w:t>
      </w:r>
      <w:r w:rsidRPr="000529C6">
        <w:rPr>
          <w:lang w:val="en"/>
        </w:rPr>
        <w:t xml:space="preserve">, </w:t>
      </w:r>
      <w:r w:rsidRPr="000529C6">
        <w:rPr>
          <w:b/>
          <w:bCs/>
          <w:lang w:val="en"/>
        </w:rPr>
        <w:t>Netanya</w:t>
      </w:r>
      <w:r w:rsidRPr="000529C6">
        <w:rPr>
          <w:lang w:val="en"/>
        </w:rPr>
        <w:t>,</w:t>
      </w:r>
      <w:r w:rsidRPr="000529C6">
        <w:rPr>
          <w:b/>
          <w:bCs/>
          <w:lang w:val="en"/>
        </w:rPr>
        <w:t xml:space="preserve"> Ramat Gan</w:t>
      </w:r>
      <w:r w:rsidRPr="000529C6">
        <w:rPr>
          <w:lang w:val="en"/>
        </w:rPr>
        <w:t xml:space="preserve">, and </w:t>
      </w:r>
      <w:r w:rsidRPr="000529C6">
        <w:rPr>
          <w:b/>
          <w:bCs/>
          <w:lang w:val="en"/>
        </w:rPr>
        <w:t>Tel Aviv–Yafo</w:t>
      </w:r>
      <w:r w:rsidRPr="000529C6">
        <w:rPr>
          <w:lang w:val="en"/>
        </w:rPr>
        <w:t xml:space="preserve">; the local council of </w:t>
      </w:r>
      <w:r w:rsidRPr="000529C6">
        <w:rPr>
          <w:b/>
          <w:bCs/>
          <w:lang w:val="en"/>
        </w:rPr>
        <w:t>Zikhron</w:t>
      </w:r>
      <w:r w:rsidRPr="000529C6">
        <w:rPr>
          <w:b/>
          <w:bCs/>
          <w:lang w:val="en"/>
        </w:rPr>
        <w:t xml:space="preserve"> </w:t>
      </w:r>
      <w:r w:rsidRPr="000529C6">
        <w:rPr>
          <w:b/>
          <w:bCs/>
          <w:lang w:val="en"/>
        </w:rPr>
        <w:t>Ya'akov</w:t>
      </w:r>
      <w:r w:rsidRPr="000529C6">
        <w:rPr>
          <w:lang w:val="en"/>
        </w:rPr>
        <w:t xml:space="preserve">; and the regional councils of </w:t>
      </w:r>
      <w:r w:rsidRPr="000529C6">
        <w:rPr>
          <w:b/>
          <w:bCs/>
          <w:lang w:val="en"/>
        </w:rPr>
        <w:t xml:space="preserve">Hof </w:t>
      </w:r>
      <w:r w:rsidRPr="000529C6">
        <w:rPr>
          <w:b/>
          <w:bCs/>
          <w:lang w:val="en"/>
        </w:rPr>
        <w:t>HaCarmel</w:t>
      </w:r>
      <w:r w:rsidRPr="000529C6">
        <w:rPr>
          <w:lang w:val="en"/>
        </w:rPr>
        <w:t xml:space="preserve">, </w:t>
      </w:r>
      <w:r w:rsidRPr="000529C6">
        <w:rPr>
          <w:b/>
          <w:bCs/>
          <w:lang w:val="en"/>
        </w:rPr>
        <w:t>Mateh</w:t>
      </w:r>
      <w:r w:rsidRPr="000529C6">
        <w:rPr>
          <w:b/>
          <w:bCs/>
          <w:lang w:val="en"/>
        </w:rPr>
        <w:t xml:space="preserve"> Yehuda</w:t>
      </w:r>
      <w:r w:rsidRPr="000529C6">
        <w:rPr>
          <w:lang w:val="en"/>
        </w:rPr>
        <w:t xml:space="preserve">, </w:t>
      </w:r>
      <w:r w:rsidRPr="000529C6">
        <w:rPr>
          <w:b/>
          <w:bCs/>
          <w:lang w:val="en"/>
        </w:rPr>
        <w:t>Emek</w:t>
      </w:r>
      <w:r w:rsidRPr="000529C6">
        <w:rPr>
          <w:b/>
          <w:bCs/>
          <w:lang w:val="en"/>
        </w:rPr>
        <w:t xml:space="preserve"> </w:t>
      </w:r>
      <w:r w:rsidRPr="000529C6">
        <w:rPr>
          <w:b/>
          <w:bCs/>
          <w:lang w:val="en"/>
        </w:rPr>
        <w:t>HaYarden</w:t>
      </w:r>
      <w:r w:rsidRPr="000529C6">
        <w:rPr>
          <w:lang w:val="en"/>
        </w:rPr>
        <w:t xml:space="preserve">, and </w:t>
      </w:r>
      <w:r w:rsidRPr="000529C6">
        <w:rPr>
          <w:b/>
          <w:bCs/>
          <w:lang w:val="en"/>
        </w:rPr>
        <w:t>Tamar</w:t>
      </w:r>
      <w:r w:rsidRPr="000529C6">
        <w:rPr>
          <w:lang w:val="en"/>
        </w:rPr>
        <w:t xml:space="preserve"> – it was found that clothing and personal hygiene supplies were provided to evacuees through donations, at times facilitated by the host local authorities. The </w:t>
      </w:r>
      <w:r w:rsidRPr="000529C6">
        <w:rPr>
          <w:rFonts w:hint="cs"/>
          <w:b/>
          <w:bCs/>
          <w:lang w:val="en"/>
        </w:rPr>
        <w:t>E</w:t>
      </w:r>
      <w:r w:rsidRPr="000529C6">
        <w:rPr>
          <w:b/>
          <w:bCs/>
          <w:lang w:val="en"/>
        </w:rPr>
        <w:t>i</w:t>
      </w:r>
      <w:r w:rsidRPr="000529C6">
        <w:rPr>
          <w:rFonts w:hint="cs"/>
          <w:b/>
          <w:bCs/>
          <w:lang w:val="en"/>
        </w:rPr>
        <w:t>lat</w:t>
      </w:r>
      <w:r w:rsidRPr="000529C6">
        <w:rPr>
          <w:lang w:val="en"/>
        </w:rPr>
        <w:t xml:space="preserve"> Municipality, for example, reported that it had allocated a room for the collection of donated clothing for evacuees and subsequently opened a designated space for clothing distribution. The </w:t>
      </w:r>
      <w:r w:rsidRPr="000529C6">
        <w:rPr>
          <w:rFonts w:hint="cs"/>
          <w:b/>
          <w:bCs/>
          <w:lang w:val="en"/>
        </w:rPr>
        <w:t xml:space="preserve">Hof </w:t>
      </w:r>
      <w:r w:rsidRPr="000529C6">
        <w:rPr>
          <w:rFonts w:hint="cs"/>
          <w:b/>
          <w:bCs/>
          <w:lang w:val="en"/>
        </w:rPr>
        <w:t>HaCarmel</w:t>
      </w:r>
      <w:r w:rsidRPr="000529C6">
        <w:rPr>
          <w:lang w:val="en"/>
        </w:rPr>
        <w:t xml:space="preserve"> Regional Council reported that clothing and personal hygiene supplies were delivered directly to evacuees through donations. </w:t>
      </w:r>
    </w:p>
    <w:p w:rsidR="0095502F" w:rsidRPr="000529C6" w:rsidP="004842C7">
      <w:pPr>
        <w:pStyle w:val="733"/>
        <w:bidi w:val="0"/>
      </w:pPr>
      <w:r w:rsidRPr="00B37355">
        <w:rPr>
          <w:rFonts w:eastAsia="Century Gothic" w:hint="cs"/>
          <w:b/>
          <w:bCs/>
          <w:noProof/>
          <w:color w:val="0D0D0D"/>
          <w:highlight w:val="yellow"/>
          <w:rtl/>
        </w:rPr>
        <w:drawing>
          <wp:anchor distT="0" distB="0" distL="0" distR="0" simplePos="0" relativeHeight="251666432" behindDoc="0" locked="0" layoutInCell="1" allowOverlap="1">
            <wp:simplePos x="0" y="0"/>
            <wp:positionH relativeFrom="column">
              <wp:posOffset>0</wp:posOffset>
            </wp:positionH>
            <wp:positionV relativeFrom="paragraph">
              <wp:posOffset>33324</wp:posOffset>
            </wp:positionV>
            <wp:extent cx="161925" cy="161925"/>
            <wp:effectExtent l="0" t="0" r="9525" b="9525"/>
            <wp:wrapSquare wrapText="bothSides"/>
            <wp:docPr id="161117690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906"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529C6">
        <w:rPr>
          <w:b/>
          <w:bCs/>
          <w:lang w:val="en"/>
        </w:rPr>
        <w:t>Laundry Services</w:t>
      </w:r>
      <w:r w:rsidRPr="000529C6">
        <w:rPr>
          <w:lang w:val="en"/>
        </w:rPr>
        <w:t xml:space="preserve"> – In the initial days of the war, host local authorities did not provide laundry services for the evacuees, who relied on assistance from civil society volunteers. In some cases, the response was partial and inadequate. The municipalities of </w:t>
      </w:r>
      <w:r w:rsidRPr="000529C6">
        <w:rPr>
          <w:b/>
          <w:bCs/>
          <w:lang w:val="en"/>
        </w:rPr>
        <w:t>Eilat</w:t>
      </w:r>
      <w:r w:rsidRPr="000529C6">
        <w:rPr>
          <w:lang w:val="en"/>
        </w:rPr>
        <w:t xml:space="preserve">, </w:t>
      </w:r>
      <w:r w:rsidRPr="000529C6">
        <w:rPr>
          <w:rFonts w:hint="cs"/>
          <w:b/>
          <w:bCs/>
          <w:lang w:val="en"/>
        </w:rPr>
        <w:t>Herzliya</w:t>
      </w:r>
      <w:r w:rsidRPr="000529C6">
        <w:rPr>
          <w:lang w:val="en"/>
        </w:rPr>
        <w:t xml:space="preserve">, </w:t>
      </w:r>
      <w:r w:rsidRPr="000529C6">
        <w:rPr>
          <w:b/>
          <w:bCs/>
          <w:lang w:val="en"/>
        </w:rPr>
        <w:t>Haifa</w:t>
      </w:r>
      <w:r w:rsidRPr="000529C6">
        <w:rPr>
          <w:lang w:val="en"/>
        </w:rPr>
        <w:t xml:space="preserve">, </w:t>
      </w:r>
      <w:r w:rsidRPr="000529C6">
        <w:rPr>
          <w:rFonts w:hint="cs"/>
          <w:b/>
          <w:bCs/>
          <w:lang w:val="en"/>
        </w:rPr>
        <w:t>Ramat Gan</w:t>
      </w:r>
      <w:r w:rsidRPr="000529C6">
        <w:rPr>
          <w:lang w:val="en"/>
        </w:rPr>
        <w:t xml:space="preserve">, and </w:t>
      </w:r>
      <w:r w:rsidRPr="000529C6">
        <w:rPr>
          <w:b/>
          <w:bCs/>
          <w:lang w:val="en"/>
        </w:rPr>
        <w:t>Tel Aviv–Yafo</w:t>
      </w:r>
      <w:r w:rsidRPr="000529C6">
        <w:rPr>
          <w:lang w:val="en"/>
        </w:rPr>
        <w:t xml:space="preserve">; the local council of </w:t>
      </w:r>
      <w:r w:rsidRPr="000529C6">
        <w:rPr>
          <w:b/>
          <w:bCs/>
          <w:lang w:val="en"/>
        </w:rPr>
        <w:t>Zikhron</w:t>
      </w:r>
      <w:r w:rsidRPr="000529C6">
        <w:rPr>
          <w:b/>
          <w:bCs/>
          <w:lang w:val="en"/>
        </w:rPr>
        <w:t xml:space="preserve"> </w:t>
      </w:r>
      <w:r w:rsidRPr="000529C6">
        <w:rPr>
          <w:b/>
          <w:bCs/>
          <w:lang w:val="en"/>
        </w:rPr>
        <w:t>Ya'akov</w:t>
      </w:r>
      <w:r w:rsidRPr="000529C6">
        <w:rPr>
          <w:lang w:val="en"/>
        </w:rPr>
        <w:t xml:space="preserve">; and the regional councils of </w:t>
      </w:r>
      <w:r w:rsidRPr="000529C6">
        <w:rPr>
          <w:b/>
          <w:bCs/>
          <w:lang w:val="en"/>
        </w:rPr>
        <w:t xml:space="preserve">Hof </w:t>
      </w:r>
      <w:r w:rsidRPr="000529C6">
        <w:rPr>
          <w:b/>
          <w:bCs/>
          <w:lang w:val="en"/>
        </w:rPr>
        <w:t>HaCarmel</w:t>
      </w:r>
      <w:r w:rsidRPr="000529C6">
        <w:rPr>
          <w:lang w:val="en"/>
        </w:rPr>
        <w:t xml:space="preserve">, </w:t>
      </w:r>
      <w:r w:rsidRPr="000529C6">
        <w:rPr>
          <w:b/>
          <w:bCs/>
          <w:lang w:val="en"/>
        </w:rPr>
        <w:t>Mateh</w:t>
      </w:r>
      <w:r w:rsidRPr="000529C6">
        <w:rPr>
          <w:b/>
          <w:bCs/>
          <w:lang w:val="en"/>
        </w:rPr>
        <w:t xml:space="preserve"> Yehuda</w:t>
      </w:r>
      <w:r w:rsidRPr="000529C6">
        <w:rPr>
          <w:lang w:val="en"/>
        </w:rPr>
        <w:t xml:space="preserve">, and </w:t>
      </w:r>
      <w:r w:rsidRPr="000529C6">
        <w:rPr>
          <w:b/>
          <w:bCs/>
          <w:lang w:val="en"/>
        </w:rPr>
        <w:t>Tamar</w:t>
      </w:r>
      <w:r w:rsidRPr="000529C6">
        <w:rPr>
          <w:lang w:val="en"/>
        </w:rPr>
        <w:t xml:space="preserve"> reported that laundry services were provided through volunteers and by the hotels. After the initial days, host local authorities mobilized and procured washing machines, dryers, and other equipment, or distributed vouchers to evacuees for use at private laundries. Only in early November 2023, did the Ministry of Finance announce that financial support would be provided for laundry services to the entire evacuee population via prepaid debit cards. The delay in this reimbursement created a significant service gap, left evacuees helpless, and created unnecessary tensions among them. </w:t>
      </w:r>
    </w:p>
    <w:p w:rsidR="0095502F" w:rsidRPr="000529C6" w:rsidP="004842C7">
      <w:pPr>
        <w:pStyle w:val="733"/>
        <w:bidi w:val="0"/>
      </w:pPr>
      <w:r w:rsidRPr="00B37355">
        <w:rPr>
          <w:rFonts w:eastAsia="Century Gothic" w:hint="cs"/>
          <w:b/>
          <w:bCs/>
          <w:noProof/>
          <w:color w:val="0D0D0D"/>
          <w:highlight w:val="yellow"/>
          <w:rtl/>
        </w:rPr>
        <w:drawing>
          <wp:anchor distT="0" distB="0" distL="0" distR="0" simplePos="0" relativeHeight="251667456" behindDoc="0" locked="0" layoutInCell="1" allowOverlap="1">
            <wp:simplePos x="0" y="0"/>
            <wp:positionH relativeFrom="column">
              <wp:posOffset>0</wp:posOffset>
            </wp:positionH>
            <wp:positionV relativeFrom="paragraph">
              <wp:posOffset>33324</wp:posOffset>
            </wp:positionV>
            <wp:extent cx="161925" cy="161925"/>
            <wp:effectExtent l="0" t="0" r="9525" b="9525"/>
            <wp:wrapSquare wrapText="bothSides"/>
            <wp:docPr id="161117690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907"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529C6">
        <w:rPr>
          <w:b/>
          <w:bCs/>
          <w:lang w:val="en"/>
        </w:rPr>
        <w:t xml:space="preserve">Digital Accessibility </w:t>
      </w:r>
      <w:r w:rsidRPr="000529C6">
        <w:rPr>
          <w:lang w:val="en"/>
        </w:rPr>
        <w:t xml:space="preserve">– It was found that in hotels accommodating evacuees in the </w:t>
      </w:r>
      <w:r w:rsidRPr="000529C6">
        <w:rPr>
          <w:b/>
          <w:bCs/>
          <w:lang w:val="en"/>
        </w:rPr>
        <w:t xml:space="preserve">Tamar </w:t>
      </w:r>
      <w:r w:rsidRPr="000529C6">
        <w:rPr>
          <w:lang w:val="en"/>
        </w:rPr>
        <w:t>Regional Council, there were significant disparities in internet access between the public areas of the hotels and the guest rooms. The council reported that infrastructure and bandwidth constraints impaired the ability of evacuees to study and work remotely.</w:t>
      </w:r>
    </w:p>
    <w:p w:rsidR="0095502F" w:rsidRPr="000529C6" w:rsidP="004842C7">
      <w:pPr>
        <w:pStyle w:val="733"/>
        <w:bidi w:val="0"/>
        <w:spacing w:after="120"/>
      </w:pPr>
      <w:r w:rsidRPr="00B37355">
        <w:rPr>
          <w:rFonts w:eastAsia="Century Gothic" w:hint="cs"/>
          <w:b/>
          <w:bCs/>
          <w:noProof/>
          <w:color w:val="0D0D0D"/>
          <w:highlight w:val="yellow"/>
          <w:rtl/>
        </w:rPr>
        <w:drawing>
          <wp:anchor distT="0" distB="0" distL="0" distR="0" simplePos="0" relativeHeight="251668480" behindDoc="0" locked="0" layoutInCell="1" allowOverlap="1">
            <wp:simplePos x="0" y="0"/>
            <wp:positionH relativeFrom="column">
              <wp:posOffset>0</wp:posOffset>
            </wp:positionH>
            <wp:positionV relativeFrom="paragraph">
              <wp:posOffset>30811</wp:posOffset>
            </wp:positionV>
            <wp:extent cx="161925" cy="161925"/>
            <wp:effectExtent l="0" t="0" r="9525" b="9525"/>
            <wp:wrapSquare wrapText="bothSides"/>
            <wp:docPr id="161117690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76908"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0529C6">
        <w:rPr>
          <w:b/>
          <w:bCs/>
          <w:lang w:val="en"/>
        </w:rPr>
        <w:t>Reimbursement of Host Local Authorities</w:t>
      </w:r>
      <w:r w:rsidRPr="000529C6">
        <w:rPr>
          <w:lang w:val="en"/>
        </w:rPr>
        <w:t xml:space="preserve"> – It was found that, during the first month of the war, host local authorities did not receive reimbursement for their expenditures on the procurement of basic supplies for evacuees and for bereaved families, despite the fact that only a limited number of local authorities (approximately 14 authorities that received the vast majority of evacuees from the South) were involved, and notwithstanding the submission of flexible reimbursement requests aligned with their actual expenditures. </w:t>
      </w:r>
    </w:p>
    <w:p w:rsidR="00564496" w:rsidP="009A5924">
      <w:pPr>
        <w:pStyle w:val="ListParagraph"/>
        <w:bidi w:val="0"/>
        <w:spacing w:after="240" w:line="288" w:lineRule="auto"/>
        <w:ind w:left="397"/>
        <w:contextualSpacing w:val="0"/>
        <w:rPr>
          <w:rFonts w:ascii="Tahoma" w:eastAsia="Century Gothic" w:hAnsi="Tahoma" w:cs="Tahoma"/>
          <w:noProof/>
          <w:color w:val="0D0D0D"/>
          <w:sz w:val="18"/>
          <w:szCs w:val="18"/>
        </w:rPr>
      </w:pPr>
      <w:r w:rsidRPr="000529C6">
        <w:rPr>
          <w:rFonts w:ascii="Tahoma" w:hAnsi="Tahoma" w:cs="Tahoma" w:hint="cs"/>
          <w:sz w:val="18"/>
          <w:szCs w:val="18"/>
          <w:lang w:val="en"/>
        </w:rPr>
        <w:t xml:space="preserve">In addition, the grant provided by the Ministry of Interior as assistance to local authorities that received </w:t>
      </w:r>
      <w:r w:rsidRPr="000529C6">
        <w:rPr>
          <w:rFonts w:ascii="Tahoma" w:hAnsi="Tahoma" w:cs="Tahoma"/>
          <w:sz w:val="18"/>
          <w:szCs w:val="18"/>
          <w:lang w:val="en"/>
        </w:rPr>
        <w:t>a large number of people</w:t>
      </w:r>
      <w:r w:rsidRPr="000529C6">
        <w:rPr>
          <w:rFonts w:ascii="Tahoma" w:hAnsi="Tahoma" w:cs="Tahoma" w:hint="cs"/>
          <w:sz w:val="18"/>
          <w:szCs w:val="18"/>
          <w:lang w:val="en"/>
        </w:rPr>
        <w:t xml:space="preserve">, in lieu of municipal property tax payments, amounted to NIS 5 per person per day. This grant was negligible relative to actual expenditure and was based solely on the calculation of municipal expenses – that is, routine expenditures of the local authority for its residents, including waste removal, routine maintenance, and personnel for ongoing operations – and did not include expenditure for welfare and education. It should be stressed that this grant did not cover expenses incurred by local authorities during the first two weeks of receiving evacuees, including expenditure for accommodation, food, transportation of evacuees, the establishment of </w:t>
      </w:r>
      <w:r w:rsidRPr="000529C6">
        <w:rPr>
          <w:rFonts w:ascii="Tahoma" w:hAnsi="Tahoma" w:cs="Tahoma"/>
          <w:sz w:val="18"/>
          <w:szCs w:val="18"/>
          <w:lang w:val="en"/>
        </w:rPr>
        <w:t>aid</w:t>
      </w:r>
      <w:r w:rsidRPr="000529C6">
        <w:rPr>
          <w:rFonts w:ascii="Tahoma" w:hAnsi="Tahoma" w:cs="Tahoma" w:hint="cs"/>
          <w:sz w:val="18"/>
          <w:szCs w:val="18"/>
          <w:lang w:val="en"/>
        </w:rPr>
        <w:t xml:space="preserve"> centers, and the operation of emergency command centers around the clock, seven days a week, for the benefit of evacuees, as well as other </w:t>
      </w:r>
      <w:r w:rsidRPr="000529C6">
        <w:rPr>
          <w:rFonts w:ascii="Tahoma" w:hAnsi="Tahoma" w:cs="Tahoma"/>
          <w:sz w:val="18"/>
          <w:szCs w:val="18"/>
          <w:lang w:val="en"/>
        </w:rPr>
        <w:t>irregular</w:t>
      </w:r>
      <w:r w:rsidRPr="000529C6">
        <w:rPr>
          <w:rFonts w:ascii="Tahoma" w:hAnsi="Tahoma" w:cs="Tahoma" w:hint="cs"/>
          <w:sz w:val="18"/>
          <w:szCs w:val="18"/>
          <w:lang w:val="en"/>
        </w:rPr>
        <w:t xml:space="preserve"> requirements. The Ministries of Finance and Interior transferred additional budgets to local authorities through designated channels.</w:t>
      </w:r>
    </w:p>
    <w:p w:rsidR="003132B5" w:rsidRPr="003132B5" w:rsidP="003132B5">
      <w:pPr>
        <w:pStyle w:val="ListParagraph"/>
        <w:bidi w:val="0"/>
        <w:spacing w:after="240" w:line="288" w:lineRule="auto"/>
        <w:ind w:left="397"/>
        <w:contextualSpacing w:val="0"/>
        <w:rPr>
          <w:rFonts w:ascii="Tahoma" w:eastAsia="Century Gothic" w:hAnsi="Tahoma" w:cs="Tahoma"/>
          <w:noProof/>
          <w:color w:val="0D0D0D"/>
          <w:sz w:val="4"/>
          <w:szCs w:val="4"/>
        </w:rPr>
      </w:pPr>
    </w:p>
    <w:p w:rsidR="00366AB8" w:rsidP="003132B5">
      <w:pPr>
        <w:bidi w:val="0"/>
        <w:spacing w:before="240" w:after="180" w:line="260" w:lineRule="exact"/>
        <w:ind w:left="425"/>
        <w:outlineLvl w:val="3"/>
        <w:rPr>
          <w:rFonts w:ascii="Tahoma" w:hAnsi="Tahoma" w:cs="Tahoma"/>
          <w:b/>
          <w:bCs/>
          <w:color w:val="00305F"/>
          <w:sz w:val="32"/>
          <w:szCs w:val="32"/>
        </w:rPr>
      </w:pPr>
      <w:r>
        <w:rPr>
          <w:rFonts w:ascii="Tahoma" w:hAnsi="Tahoma" w:cs="Tahoma"/>
          <w:b/>
          <w:bCs/>
          <w:noProof/>
          <w:color w:val="00305F"/>
          <w:sz w:val="32"/>
          <w:szCs w:val="32"/>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95502F" w:rsidRPr="000529C6" w:rsidP="0095502F">
      <w:pPr>
        <w:pStyle w:val="733"/>
        <w:bidi w:val="0"/>
        <w:spacing w:before="240"/>
        <w:rPr>
          <w:rFonts w:eastAsia="Calibri"/>
          <w:rtl/>
        </w:rPr>
      </w:pPr>
      <w:r w:rsidRPr="000529C6">
        <w:rPr>
          <w:rFonts w:eastAsia="Calibri"/>
          <w:b/>
          <w:bCs/>
          <w:lang w:val="en"/>
        </w:rPr>
        <w:t>Initial Assistance Provided by Host Local Authorities</w:t>
      </w:r>
      <w:r w:rsidRPr="000529C6">
        <w:rPr>
          <w:rFonts w:eastAsia="Calibri"/>
          <w:lang w:val="en"/>
        </w:rPr>
        <w:t xml:space="preserve"> – It was found that host local authorities provided evacuees with initial assistance immediately, driven by an understanding of the urgency of the situation and the necessity arising from the irregular circumstances of individuals who had fled their homes and required urgent services, without examining issues of liability, and even before government decisions on the matter had been adopted. </w:t>
      </w:r>
    </w:p>
    <w:p w:rsidR="0095502F" w:rsidRPr="000529C6" w:rsidP="0095502F">
      <w:pPr>
        <w:pStyle w:val="733"/>
        <w:bidi w:val="0"/>
        <w:rPr>
          <w:rFonts w:eastAsia="Calibri"/>
          <w:rtl/>
        </w:rPr>
      </w:pPr>
      <w:r w:rsidRPr="000529C6">
        <w:rPr>
          <w:rFonts w:eastAsia="Calibri"/>
          <w:lang w:val="en"/>
        </w:rPr>
        <w:t xml:space="preserve">The municipalities of </w:t>
      </w:r>
      <w:r w:rsidRPr="000529C6">
        <w:rPr>
          <w:rFonts w:eastAsia="Calibri"/>
          <w:b/>
          <w:bCs/>
          <w:lang w:val="en"/>
        </w:rPr>
        <w:t xml:space="preserve">Eilat, Herzliya, Haifa, Tiberias, Jerusalem, </w:t>
      </w:r>
      <w:r w:rsidRPr="000529C6">
        <w:rPr>
          <w:rFonts w:eastAsia="Calibri"/>
          <w:b/>
          <w:bCs/>
          <w:lang w:val="en"/>
        </w:rPr>
        <w:t>Nof</w:t>
      </w:r>
      <w:r w:rsidRPr="000529C6">
        <w:rPr>
          <w:rFonts w:eastAsia="Calibri"/>
          <w:b/>
          <w:bCs/>
          <w:lang w:val="en"/>
        </w:rPr>
        <w:t xml:space="preserve"> </w:t>
      </w:r>
      <w:r w:rsidRPr="000529C6">
        <w:rPr>
          <w:rFonts w:eastAsia="Calibri"/>
          <w:b/>
          <w:bCs/>
          <w:lang w:val="en"/>
        </w:rPr>
        <w:t>HaGalil</w:t>
      </w:r>
      <w:r w:rsidRPr="000529C6">
        <w:rPr>
          <w:rFonts w:eastAsia="Calibri"/>
          <w:b/>
          <w:bCs/>
          <w:lang w:val="en"/>
        </w:rPr>
        <w:t xml:space="preserve">, Netanya, Ramat Gan, </w:t>
      </w:r>
      <w:r w:rsidRPr="000529C6">
        <w:rPr>
          <w:rFonts w:eastAsia="Calibri"/>
          <w:lang w:val="en"/>
        </w:rPr>
        <w:t xml:space="preserve">and </w:t>
      </w:r>
      <w:r w:rsidRPr="000529C6">
        <w:rPr>
          <w:rFonts w:eastAsia="Calibri"/>
          <w:b/>
          <w:bCs/>
          <w:lang w:val="en"/>
        </w:rPr>
        <w:t xml:space="preserve">Tel Aviv–Yafo; </w:t>
      </w:r>
      <w:r w:rsidRPr="000529C6">
        <w:rPr>
          <w:rFonts w:eastAsia="Calibri"/>
          <w:lang w:val="en"/>
        </w:rPr>
        <w:t>the local council of</w:t>
      </w:r>
      <w:r w:rsidRPr="000529C6">
        <w:rPr>
          <w:rFonts w:eastAsia="Calibri"/>
          <w:b/>
          <w:bCs/>
          <w:lang w:val="en"/>
        </w:rPr>
        <w:t xml:space="preserve"> </w:t>
      </w:r>
      <w:r w:rsidRPr="000529C6">
        <w:rPr>
          <w:rFonts w:eastAsia="Calibri"/>
          <w:b/>
          <w:bCs/>
          <w:lang w:val="en"/>
        </w:rPr>
        <w:t>Zikhron</w:t>
      </w:r>
      <w:r w:rsidRPr="000529C6">
        <w:rPr>
          <w:rFonts w:eastAsia="Calibri"/>
          <w:b/>
          <w:bCs/>
          <w:lang w:val="en"/>
        </w:rPr>
        <w:t xml:space="preserve"> </w:t>
      </w:r>
      <w:r w:rsidRPr="000529C6">
        <w:rPr>
          <w:rFonts w:eastAsia="Calibri"/>
          <w:b/>
          <w:bCs/>
          <w:lang w:val="en"/>
        </w:rPr>
        <w:t>Ya'akov</w:t>
      </w:r>
      <w:r w:rsidRPr="000529C6">
        <w:rPr>
          <w:rFonts w:eastAsia="Calibri"/>
          <w:b/>
          <w:bCs/>
          <w:lang w:val="en"/>
        </w:rPr>
        <w:t xml:space="preserve">; </w:t>
      </w:r>
      <w:r w:rsidRPr="000529C6">
        <w:rPr>
          <w:rFonts w:eastAsia="Calibri"/>
          <w:lang w:val="en"/>
        </w:rPr>
        <w:t>and the regional councils of</w:t>
      </w:r>
      <w:r w:rsidRPr="000529C6">
        <w:rPr>
          <w:rFonts w:eastAsia="Calibri"/>
          <w:b/>
          <w:bCs/>
          <w:lang w:val="en"/>
        </w:rPr>
        <w:t xml:space="preserve"> Hof </w:t>
      </w:r>
      <w:r w:rsidRPr="000529C6">
        <w:rPr>
          <w:rFonts w:eastAsia="Calibri"/>
          <w:b/>
          <w:bCs/>
          <w:lang w:val="en"/>
        </w:rPr>
        <w:t>HaCarmel</w:t>
      </w:r>
      <w:r w:rsidRPr="000529C6">
        <w:rPr>
          <w:rFonts w:eastAsia="Calibri"/>
          <w:b/>
          <w:bCs/>
          <w:lang w:val="en"/>
        </w:rPr>
        <w:t xml:space="preserve">, </w:t>
      </w:r>
      <w:r w:rsidRPr="000529C6">
        <w:rPr>
          <w:rFonts w:eastAsia="Calibri"/>
          <w:b/>
          <w:bCs/>
          <w:lang w:val="en"/>
        </w:rPr>
        <w:t>Mateh</w:t>
      </w:r>
      <w:r w:rsidRPr="000529C6">
        <w:rPr>
          <w:rFonts w:eastAsia="Calibri"/>
          <w:b/>
          <w:bCs/>
          <w:lang w:val="en"/>
        </w:rPr>
        <w:t xml:space="preserve"> Yehuda, </w:t>
      </w:r>
      <w:r w:rsidRPr="000529C6">
        <w:rPr>
          <w:rFonts w:eastAsia="Calibri"/>
          <w:b/>
          <w:bCs/>
          <w:lang w:val="en"/>
        </w:rPr>
        <w:t>Emek</w:t>
      </w:r>
      <w:r w:rsidRPr="000529C6">
        <w:rPr>
          <w:rFonts w:eastAsia="Calibri"/>
          <w:b/>
          <w:bCs/>
          <w:lang w:val="en"/>
        </w:rPr>
        <w:t xml:space="preserve"> </w:t>
      </w:r>
      <w:r w:rsidRPr="000529C6">
        <w:rPr>
          <w:rFonts w:eastAsia="Calibri"/>
          <w:b/>
          <w:bCs/>
          <w:lang w:val="en"/>
        </w:rPr>
        <w:t>HaYarden</w:t>
      </w:r>
      <w:r w:rsidRPr="000529C6">
        <w:rPr>
          <w:rFonts w:eastAsia="Calibri"/>
          <w:b/>
          <w:bCs/>
          <w:lang w:val="en"/>
        </w:rPr>
        <w:t xml:space="preserve">, </w:t>
      </w:r>
      <w:r w:rsidRPr="000529C6">
        <w:rPr>
          <w:rFonts w:eastAsia="Calibri"/>
          <w:lang w:val="en"/>
        </w:rPr>
        <w:t xml:space="preserve">and </w:t>
      </w:r>
      <w:r w:rsidRPr="000529C6">
        <w:rPr>
          <w:rFonts w:eastAsia="Calibri"/>
          <w:b/>
          <w:bCs/>
          <w:lang w:val="en"/>
        </w:rPr>
        <w:t>Tamar</w:t>
      </w:r>
      <w:r w:rsidRPr="000529C6">
        <w:rPr>
          <w:rFonts w:eastAsia="Calibri"/>
          <w:lang w:val="en"/>
        </w:rPr>
        <w:t xml:space="preserve"> – alongside the spirit of volunteerism in Israeli society – mobilized to receive evacuees and made efforts to meet their needs immediately and to provide them with services and support. </w:t>
      </w:r>
    </w:p>
    <w:p w:rsidR="0095502F" w:rsidRPr="000529C6" w:rsidP="0095502F">
      <w:pPr>
        <w:pStyle w:val="733"/>
        <w:bidi w:val="0"/>
        <w:rPr>
          <w:rFonts w:eastAsia="Calibri"/>
          <w:rtl/>
        </w:rPr>
      </w:pPr>
      <w:r w:rsidRPr="000529C6">
        <w:rPr>
          <w:rFonts w:eastAsia="Calibri"/>
          <w:b/>
          <w:bCs/>
          <w:lang w:val="en"/>
        </w:rPr>
        <w:t>Reinforcement of Personnel</w:t>
      </w:r>
      <w:r w:rsidRPr="000529C6">
        <w:rPr>
          <w:rFonts w:eastAsia="Calibri"/>
          <w:lang w:val="en"/>
        </w:rPr>
        <w:t xml:space="preserve"> – Host local authorities recruited numerous members of staff to reinforce the reception system, primarily welfare personnel, social workers, and psychologists. In addition, the employees of the host authorities, at all levels, worked tirelessly and outside regular hours during the initial weeks of the war, in order to receive evacuees and meet their needs.</w:t>
      </w:r>
    </w:p>
    <w:p w:rsidR="0095502F" w:rsidRPr="000529C6" w:rsidP="0095502F">
      <w:pPr>
        <w:pStyle w:val="733"/>
        <w:bidi w:val="0"/>
        <w:rPr>
          <w:rFonts w:eastAsia="Calibri"/>
          <w:rtl/>
        </w:rPr>
      </w:pPr>
      <w:r w:rsidRPr="000529C6">
        <w:rPr>
          <w:rFonts w:eastAsia="Calibri"/>
          <w:b/>
          <w:bCs/>
          <w:lang w:val="en"/>
        </w:rPr>
        <w:t>Provision of Services</w:t>
      </w:r>
      <w:r w:rsidRPr="000529C6">
        <w:rPr>
          <w:rFonts w:eastAsia="Calibri"/>
          <w:b/>
          <w:bCs/>
        </w:rPr>
        <w:t xml:space="preserve"> by the Host Local Authorities </w:t>
      </w:r>
      <w:r w:rsidRPr="000529C6">
        <w:rPr>
          <w:rFonts w:eastAsia="Calibri"/>
          <w:b/>
          <w:bCs/>
          <w:lang w:val="en"/>
        </w:rPr>
        <w:t>Without Distinction between Evacuees and Self-Evacuees</w:t>
      </w:r>
      <w:r w:rsidRPr="000529C6">
        <w:rPr>
          <w:rFonts w:eastAsia="Calibri" w:hint="cs"/>
          <w:lang w:val="en"/>
        </w:rPr>
        <w:t xml:space="preserve"> – In most of the services provided, the host local authorities examined did not distinguish between evacuees and self-evacuees, and </w:t>
      </w:r>
      <w:r w:rsidRPr="000529C6">
        <w:rPr>
          <w:rFonts w:eastAsia="Calibri"/>
          <w:lang w:val="en"/>
        </w:rPr>
        <w:t xml:space="preserve">also </w:t>
      </w:r>
      <w:r w:rsidRPr="000529C6">
        <w:rPr>
          <w:rFonts w:eastAsia="Calibri" w:hint="cs"/>
          <w:lang w:val="en"/>
        </w:rPr>
        <w:t xml:space="preserve">extended services to individuals who were not recognized as eligible under government decisions. </w:t>
      </w:r>
    </w:p>
    <w:p w:rsidR="00047750" w:rsidRPr="00047750" w:rsidP="009A5924">
      <w:pPr>
        <w:pStyle w:val="733"/>
        <w:bidi w:val="0"/>
        <w:rPr>
          <w:rFonts w:eastAsia="Century Gothic"/>
          <w:noProof/>
          <w:color w:val="0D0D0D"/>
        </w:rPr>
      </w:pPr>
      <w:r w:rsidRPr="000529C6">
        <w:rPr>
          <w:rFonts w:eastAsia="Calibri"/>
          <w:b/>
          <w:bCs/>
          <w:lang w:val="en"/>
        </w:rPr>
        <w:t>Establishment of Logistical Centers for Managing the Provision of Supplies to Evacuees</w:t>
      </w:r>
      <w:r w:rsidRPr="000529C6">
        <w:rPr>
          <w:rFonts w:eastAsia="Calibri"/>
          <w:lang w:val="en"/>
        </w:rPr>
        <w:t xml:space="preserve"> – The municipalities of </w:t>
      </w:r>
      <w:r w:rsidRPr="000529C6">
        <w:rPr>
          <w:rFonts w:eastAsia="Calibri" w:hint="cs"/>
          <w:b/>
          <w:bCs/>
          <w:lang w:val="en"/>
        </w:rPr>
        <w:t>E</w:t>
      </w:r>
      <w:r w:rsidRPr="000529C6">
        <w:rPr>
          <w:rFonts w:eastAsia="Calibri"/>
          <w:b/>
          <w:bCs/>
          <w:lang w:val="en"/>
        </w:rPr>
        <w:t>i</w:t>
      </w:r>
      <w:r w:rsidRPr="000529C6">
        <w:rPr>
          <w:rFonts w:eastAsia="Calibri" w:hint="cs"/>
          <w:b/>
          <w:bCs/>
          <w:lang w:val="en"/>
        </w:rPr>
        <w:t>lat, Haifa, Netanya, Ramat Gan</w:t>
      </w:r>
      <w:r w:rsidRPr="000529C6">
        <w:rPr>
          <w:rFonts w:eastAsia="Calibri"/>
          <w:lang w:val="en"/>
        </w:rPr>
        <w:t>, and</w:t>
      </w:r>
      <w:r w:rsidRPr="000529C6">
        <w:rPr>
          <w:rFonts w:eastAsia="Calibri"/>
          <w:b/>
          <w:bCs/>
          <w:lang w:val="en"/>
        </w:rPr>
        <w:t xml:space="preserve"> Tel Aviv–Yaf</w:t>
      </w:r>
      <w:r w:rsidRPr="000529C6">
        <w:rPr>
          <w:rFonts w:eastAsia="Calibri"/>
          <w:lang w:val="en"/>
        </w:rPr>
        <w:t>o; the local council o</w:t>
      </w:r>
      <w:r w:rsidRPr="000529C6">
        <w:rPr>
          <w:rFonts w:eastAsia="Calibri"/>
          <w:b/>
          <w:bCs/>
          <w:lang w:val="en"/>
        </w:rPr>
        <w:t xml:space="preserve">f </w:t>
      </w:r>
      <w:r w:rsidRPr="000529C6">
        <w:rPr>
          <w:rFonts w:eastAsia="Calibri"/>
          <w:b/>
          <w:bCs/>
          <w:lang w:val="en"/>
        </w:rPr>
        <w:t>Zikhron</w:t>
      </w:r>
      <w:r w:rsidRPr="000529C6">
        <w:rPr>
          <w:rFonts w:eastAsia="Calibri"/>
          <w:b/>
          <w:bCs/>
          <w:lang w:val="en"/>
        </w:rPr>
        <w:t xml:space="preserve"> </w:t>
      </w:r>
      <w:r w:rsidRPr="000529C6">
        <w:rPr>
          <w:rFonts w:eastAsia="Calibri"/>
          <w:b/>
          <w:bCs/>
          <w:lang w:val="en"/>
        </w:rPr>
        <w:t>Ya'akov</w:t>
      </w:r>
      <w:r w:rsidRPr="000529C6">
        <w:rPr>
          <w:rFonts w:eastAsia="Calibri"/>
          <w:lang w:val="en"/>
        </w:rPr>
        <w:t>; and th</w:t>
      </w:r>
      <w:r w:rsidRPr="000529C6">
        <w:rPr>
          <w:rFonts w:eastAsia="Calibri"/>
          <w:b/>
          <w:bCs/>
          <w:lang w:val="en"/>
        </w:rPr>
        <w:t>e Tama</w:t>
      </w:r>
      <w:r w:rsidRPr="000529C6">
        <w:rPr>
          <w:rFonts w:eastAsia="Calibri"/>
          <w:lang w:val="en"/>
        </w:rPr>
        <w:t>r Regional Council established logistical centers to manage the provision of supplies to evacuees. Such centers are highly necessary – they enhance and streamline the handling of evacuees, and no other emergency agencies provide such a service.</w:t>
      </w:r>
    </w:p>
    <w:p w:rsidR="00047750" w:rsidRPr="00047750" w:rsidP="00047750">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95502F" w:rsidRPr="007C1BA1" w:rsidP="003132B5">
      <w:pPr>
        <w:pStyle w:val="ListParagraph"/>
        <w:numPr>
          <w:ilvl w:val="0"/>
          <w:numId w:val="26"/>
        </w:numPr>
        <w:bidi w:val="0"/>
        <w:spacing w:before="120" w:after="20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69504"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1611176909" name="תמונה 33"/>
            <wp:cNvGraphicFramePr/>
            <a:graphic xmlns:a="http://schemas.openxmlformats.org/drawingml/2006/main">
              <a:graphicData uri="http://schemas.openxmlformats.org/drawingml/2006/picture">
                <pic:pic xmlns:pic="http://schemas.openxmlformats.org/drawingml/2006/picture">
                  <pic:nvPicPr>
                    <pic:cNvPr id="1611176909"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 w:name="_Hlk213933437"/>
      <w:r w:rsidRPr="007C1BA1">
        <w:rPr>
          <w:rFonts w:ascii="Tahoma" w:hAnsi="Tahoma" w:cs="Tahoma" w:hint="cs"/>
          <w:sz w:val="18"/>
          <w:szCs w:val="18"/>
          <w:lang w:val="en"/>
        </w:rPr>
        <w:t>It is recommended that the Ministry of Interior explicitly define the basic services to be provided to populations in need due to their inability to remain in their homes as a result of emergency conditions in the home front</w:t>
      </w:r>
      <w:r w:rsidRPr="007C1BA1">
        <w:rPr>
          <w:rFonts w:ascii="Tahoma" w:hAnsi="Tahoma" w:cs="Tahoma"/>
          <w:sz w:val="18"/>
          <w:szCs w:val="18"/>
          <w:lang w:val="en"/>
        </w:rPr>
        <w:t>. The Ministry should</w:t>
      </w:r>
      <w:r w:rsidRPr="007C1BA1">
        <w:rPr>
          <w:rFonts w:ascii="Tahoma" w:hAnsi="Tahoma" w:cs="Tahoma" w:hint="cs"/>
          <w:sz w:val="18"/>
          <w:szCs w:val="18"/>
          <w:lang w:val="en"/>
        </w:rPr>
        <w:t xml:space="preserve"> address the circumstances of evacuation and the manner of </w:t>
      </w:r>
      <w:r w:rsidRPr="007C1BA1">
        <w:rPr>
          <w:rFonts w:ascii="Tahoma" w:hAnsi="Tahoma" w:cs="Tahoma"/>
          <w:sz w:val="18"/>
          <w:szCs w:val="18"/>
          <w:lang w:val="en"/>
        </w:rPr>
        <w:t xml:space="preserve">reception, </w:t>
      </w:r>
      <w:r w:rsidRPr="007C1BA1">
        <w:rPr>
          <w:rFonts w:ascii="Tahoma" w:hAnsi="Tahoma" w:cs="Tahoma" w:hint="cs"/>
          <w:sz w:val="18"/>
          <w:szCs w:val="18"/>
          <w:lang w:val="en"/>
        </w:rPr>
        <w:t>define the various population groups</w:t>
      </w:r>
      <w:r w:rsidRPr="007C1BA1">
        <w:rPr>
          <w:rFonts w:ascii="Tahoma" w:hAnsi="Tahoma" w:cs="Tahoma"/>
          <w:sz w:val="18"/>
          <w:szCs w:val="18"/>
          <w:lang w:val="en"/>
        </w:rPr>
        <w:t xml:space="preserve">, </w:t>
      </w:r>
      <w:r w:rsidRPr="007C1BA1">
        <w:rPr>
          <w:rFonts w:ascii="Tahoma" w:hAnsi="Tahoma" w:cs="Tahoma" w:hint="cs"/>
          <w:sz w:val="18"/>
          <w:szCs w:val="18"/>
          <w:lang w:val="en"/>
        </w:rPr>
        <w:t>determine the scope of services</w:t>
      </w:r>
      <w:r w:rsidRPr="007C1BA1">
        <w:rPr>
          <w:rFonts w:ascii="Tahoma" w:hAnsi="Tahoma" w:cs="Tahoma"/>
          <w:sz w:val="18"/>
          <w:szCs w:val="18"/>
          <w:lang w:val="en"/>
        </w:rPr>
        <w:t>,</w:t>
      </w:r>
      <w:r w:rsidRPr="007C1BA1">
        <w:rPr>
          <w:rFonts w:ascii="Tahoma" w:hAnsi="Tahoma" w:cs="Tahoma" w:hint="cs"/>
          <w:sz w:val="18"/>
          <w:szCs w:val="18"/>
          <w:lang w:val="en"/>
        </w:rPr>
        <w:t xml:space="preserve"> and examine how to ensure that such services are provided during emergencies.</w:t>
      </w:r>
    </w:p>
    <w:p w:rsidR="0095502F" w:rsidRPr="007C1BA1" w:rsidP="003132B5">
      <w:pPr>
        <w:pStyle w:val="ListParagraph"/>
        <w:numPr>
          <w:ilvl w:val="0"/>
          <w:numId w:val="26"/>
        </w:numPr>
        <w:bidi w:val="0"/>
        <w:spacing w:before="120" w:after="20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0528"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1611176910" name="תמונה 33"/>
            <wp:cNvGraphicFramePr/>
            <a:graphic xmlns:a="http://schemas.openxmlformats.org/drawingml/2006/main">
              <a:graphicData uri="http://schemas.openxmlformats.org/drawingml/2006/picture">
                <pic:pic xmlns:pic="http://schemas.openxmlformats.org/drawingml/2006/picture">
                  <pic:nvPicPr>
                    <pic:cNvPr id="1611176910"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1BA1">
        <w:rPr>
          <w:rFonts w:ascii="Tahoma" w:hAnsi="Tahoma" w:cs="Tahoma" w:hint="cs"/>
          <w:sz w:val="18"/>
          <w:szCs w:val="18"/>
          <w:lang w:val="en"/>
        </w:rPr>
        <w:t xml:space="preserve">It is recommended that local authorities formalize in advance their channels of cooperation with civil society organizations during emergencies. This would enhance certainty and synergy and lead to the optimal and orderly allocation of overall resources, thereby </w:t>
      </w:r>
      <w:r w:rsidRPr="007C1BA1">
        <w:rPr>
          <w:rFonts w:ascii="Tahoma" w:hAnsi="Tahoma" w:cs="Tahoma"/>
          <w:sz w:val="18"/>
          <w:szCs w:val="18"/>
          <w:lang w:val="en"/>
        </w:rPr>
        <w:t>meeting</w:t>
      </w:r>
      <w:r w:rsidRPr="007C1BA1">
        <w:rPr>
          <w:rFonts w:ascii="Tahoma" w:hAnsi="Tahoma" w:cs="Tahoma" w:hint="cs"/>
          <w:sz w:val="18"/>
          <w:szCs w:val="18"/>
          <w:lang w:val="en"/>
        </w:rPr>
        <w:t xml:space="preserve"> immediate needs.</w:t>
      </w:r>
    </w:p>
    <w:p w:rsidR="0095502F" w:rsidP="003132B5">
      <w:pPr>
        <w:pStyle w:val="ListParagraph"/>
        <w:numPr>
          <w:ilvl w:val="0"/>
          <w:numId w:val="26"/>
        </w:numPr>
        <w:bidi w:val="0"/>
        <w:spacing w:before="120" w:after="20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1552"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1611176911" name="תמונה 33"/>
            <wp:cNvGraphicFramePr/>
            <a:graphic xmlns:a="http://schemas.openxmlformats.org/drawingml/2006/main">
              <a:graphicData uri="http://schemas.openxmlformats.org/drawingml/2006/picture">
                <pic:pic xmlns:pic="http://schemas.openxmlformats.org/drawingml/2006/picture">
                  <pic:nvPicPr>
                    <pic:cNvPr id="1611176911"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1BA1">
        <w:rPr>
          <w:rFonts w:ascii="Tahoma" w:hAnsi="Tahoma" w:cs="Tahoma" w:hint="cs"/>
          <w:sz w:val="18"/>
          <w:szCs w:val="18"/>
          <w:lang w:val="en"/>
        </w:rPr>
        <w:t>It is recommended that the Ministries of Interior and Finance, as well as the Ministry of Tourism, in accordance with its responsibilities</w:t>
      </w:r>
      <w:r w:rsidRPr="007C1BA1">
        <w:rPr>
          <w:rFonts w:ascii="Tahoma" w:hAnsi="Tahoma" w:cs="Tahoma"/>
          <w:sz w:val="18"/>
          <w:szCs w:val="18"/>
          <w:lang w:val="en"/>
        </w:rPr>
        <w:t>, to the extent that such responsibilities are</w:t>
      </w:r>
      <w:r w:rsidRPr="007C1BA1">
        <w:rPr>
          <w:rFonts w:ascii="Tahoma" w:hAnsi="Tahoma" w:cs="Tahoma" w:hint="cs"/>
          <w:sz w:val="18"/>
          <w:szCs w:val="18"/>
          <w:lang w:val="en"/>
        </w:rPr>
        <w:t xml:space="preserve"> assigned to it, ensure during emergencies the provision of three meals per day to all those requiring this basic service. In any event, efforts should be made to ensure that the services provided in practice to all those staying in the same accommodation facility are uniform.</w:t>
      </w:r>
    </w:p>
    <w:p w:rsidR="002E1884" w:rsidP="003132B5">
      <w:pPr>
        <w:pStyle w:val="ListParagraph"/>
        <w:numPr>
          <w:ilvl w:val="0"/>
          <w:numId w:val="26"/>
        </w:numPr>
        <w:bidi w:val="0"/>
        <w:spacing w:before="120" w:after="20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257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1611176913" name="תמונה 33"/>
            <wp:cNvGraphicFramePr/>
            <a:graphic xmlns:a="http://schemas.openxmlformats.org/drawingml/2006/main">
              <a:graphicData uri="http://schemas.openxmlformats.org/drawingml/2006/picture">
                <pic:pic xmlns:pic="http://schemas.openxmlformats.org/drawingml/2006/picture">
                  <pic:nvPicPr>
                    <pic:cNvPr id="1611176913"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1BA1">
        <w:rPr>
          <w:rFonts w:ascii="Tahoma" w:hAnsi="Tahoma" w:cs="Tahoma" w:hint="cs"/>
          <w:sz w:val="18"/>
          <w:szCs w:val="18"/>
          <w:lang w:val="en"/>
        </w:rPr>
        <w:t xml:space="preserve">The Ministry of Interior, in cooperation with NEMA and the Home Front Command, should regulate through procedures the provision of immediate food </w:t>
      </w:r>
      <w:r w:rsidRPr="007C1BA1">
        <w:rPr>
          <w:rFonts w:ascii="Tahoma" w:hAnsi="Tahoma" w:cs="Tahoma"/>
          <w:sz w:val="18"/>
          <w:szCs w:val="18"/>
          <w:lang w:val="en"/>
        </w:rPr>
        <w:t>supplies</w:t>
      </w:r>
      <w:r w:rsidRPr="007C1BA1">
        <w:rPr>
          <w:rFonts w:ascii="Tahoma" w:hAnsi="Tahoma" w:cs="Tahoma" w:hint="cs"/>
          <w:sz w:val="18"/>
          <w:szCs w:val="18"/>
          <w:lang w:val="en"/>
        </w:rPr>
        <w:t xml:space="preserve"> to evacuees and self-evacuees during emergencies. </w:t>
      </w:r>
    </w:p>
    <w:p w:rsidR="002E1884" w:rsidP="003132B5">
      <w:pPr>
        <w:pStyle w:val="ListParagraph"/>
        <w:numPr>
          <w:ilvl w:val="0"/>
          <w:numId w:val="26"/>
        </w:numPr>
        <w:bidi w:val="0"/>
        <w:spacing w:before="120" w:after="20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3600"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1611176914" name="תמונה 33"/>
            <wp:cNvGraphicFramePr/>
            <a:graphic xmlns:a="http://schemas.openxmlformats.org/drawingml/2006/main">
              <a:graphicData uri="http://schemas.openxmlformats.org/drawingml/2006/picture">
                <pic:pic xmlns:pic="http://schemas.openxmlformats.org/drawingml/2006/picture">
                  <pic:nvPicPr>
                    <pic:cNvPr id="1611176914"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1BA1">
        <w:rPr>
          <w:rFonts w:ascii="Tahoma" w:hAnsi="Tahoma" w:cs="Tahoma" w:hint="cs"/>
          <w:sz w:val="18"/>
          <w:szCs w:val="18"/>
          <w:lang w:val="en"/>
        </w:rPr>
        <w:t xml:space="preserve">It is recommended that the Ministries of Interior and Finance examine how to ensure a needs-based </w:t>
      </w:r>
      <w:r w:rsidRPr="007C1BA1">
        <w:rPr>
          <w:rFonts w:ascii="Tahoma" w:hAnsi="Tahoma" w:cs="Tahoma"/>
          <w:sz w:val="18"/>
          <w:szCs w:val="18"/>
          <w:lang w:val="en"/>
        </w:rPr>
        <w:t>reception</w:t>
      </w:r>
      <w:r w:rsidRPr="007C1BA1">
        <w:rPr>
          <w:rFonts w:ascii="Tahoma" w:hAnsi="Tahoma" w:cs="Tahoma" w:hint="cs"/>
          <w:sz w:val="18"/>
          <w:szCs w:val="18"/>
          <w:lang w:val="en"/>
        </w:rPr>
        <w:t xml:space="preserve"> package.</w:t>
      </w:r>
    </w:p>
    <w:p w:rsidR="007E3247" w:rsidP="007E3247">
      <w:pPr>
        <w:pStyle w:val="ListParagraph"/>
        <w:numPr>
          <w:ilvl w:val="0"/>
          <w:numId w:val="26"/>
        </w:numPr>
        <w:bidi w:val="0"/>
        <w:spacing w:after="240" w:line="288" w:lineRule="auto"/>
        <w:ind w:left="515" w:right="173" w:hanging="515"/>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4624"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1611176915" name="תמונה 33"/>
            <wp:cNvGraphicFramePr/>
            <a:graphic xmlns:a="http://schemas.openxmlformats.org/drawingml/2006/main">
              <a:graphicData uri="http://schemas.openxmlformats.org/drawingml/2006/picture">
                <pic:pic xmlns:pic="http://schemas.openxmlformats.org/drawingml/2006/picture">
                  <pic:nvPicPr>
                    <pic:cNvPr id="1611176915"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1884">
        <w:rPr>
          <w:rFonts w:ascii="Tahoma" w:hAnsi="Tahoma" w:cs="Tahoma" w:hint="cs"/>
          <w:sz w:val="18"/>
          <w:szCs w:val="18"/>
          <w:lang w:val="en"/>
        </w:rPr>
        <w:t xml:space="preserve">The Ministries of Interior and Finance should incorporate payment arrangements for laundry services into </w:t>
      </w:r>
      <w:r w:rsidRPr="002E1884">
        <w:rPr>
          <w:rFonts w:ascii="Tahoma" w:hAnsi="Tahoma" w:cs="Tahoma"/>
          <w:sz w:val="18"/>
          <w:szCs w:val="18"/>
          <w:lang w:val="en"/>
        </w:rPr>
        <w:t>evacuee reception</w:t>
      </w:r>
      <w:r w:rsidRPr="002E1884">
        <w:rPr>
          <w:rFonts w:ascii="Tahoma" w:hAnsi="Tahoma" w:cs="Tahoma" w:hint="cs"/>
          <w:sz w:val="18"/>
          <w:szCs w:val="18"/>
          <w:lang w:val="en"/>
        </w:rPr>
        <w:t xml:space="preserve"> procedures and, accordingly, regulate these arrangements with the relevant </w:t>
      </w:r>
      <w:r w:rsidRPr="002E1884">
        <w:rPr>
          <w:rFonts w:ascii="Tahoma" w:hAnsi="Tahoma" w:cs="Tahoma"/>
          <w:sz w:val="18"/>
          <w:szCs w:val="18"/>
          <w:lang w:val="en"/>
        </w:rPr>
        <w:t>parties</w:t>
      </w:r>
      <w:r w:rsidRPr="002E1884">
        <w:rPr>
          <w:rFonts w:ascii="Tahoma" w:hAnsi="Tahoma" w:cs="Tahoma" w:hint="cs"/>
          <w:sz w:val="18"/>
          <w:szCs w:val="18"/>
          <w:lang w:val="en"/>
        </w:rPr>
        <w:t xml:space="preserve">, including local authorities and reception facilities. It is further recommended that local authorities </w:t>
      </w:r>
      <w:r w:rsidRPr="002E1884">
        <w:rPr>
          <w:rFonts w:ascii="Tahoma" w:hAnsi="Tahoma" w:cs="Tahoma"/>
          <w:sz w:val="18"/>
          <w:szCs w:val="18"/>
          <w:lang w:val="en"/>
        </w:rPr>
        <w:t>make preparation</w:t>
      </w:r>
      <w:r w:rsidRPr="002E1884">
        <w:rPr>
          <w:rFonts w:ascii="Tahoma" w:hAnsi="Tahoma" w:cs="Tahoma" w:hint="cs"/>
          <w:sz w:val="18"/>
          <w:szCs w:val="18"/>
          <w:lang w:val="en"/>
        </w:rPr>
        <w:t xml:space="preserve"> in advance to provide solutions for laundry services for residents who are compelled to evacuate their homes, whether from within or outside their jurisdiction</w:t>
      </w:r>
      <w:r w:rsidRPr="002E1884">
        <w:rPr>
          <w:rFonts w:ascii="Tahoma" w:hAnsi="Tahoma" w:cs="Tahoma"/>
          <w:sz w:val="18"/>
          <w:szCs w:val="18"/>
        </w:rPr>
        <w:t>.</w:t>
      </w:r>
    </w:p>
    <w:p w:rsidR="002E1884" w:rsidRPr="007C1BA1" w:rsidP="002E1884">
      <w:pPr>
        <w:pStyle w:val="ListParagraph"/>
        <w:numPr>
          <w:ilvl w:val="0"/>
          <w:numId w:val="26"/>
        </w:numPr>
        <w:bidi w:val="0"/>
        <w:spacing w:after="240" w:line="288" w:lineRule="auto"/>
        <w:ind w:left="516" w:right="176" w:hanging="516"/>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6672"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1611176917" name="תמונה 33"/>
            <wp:cNvGraphicFramePr/>
            <a:graphic xmlns:a="http://schemas.openxmlformats.org/drawingml/2006/main">
              <a:graphicData uri="http://schemas.openxmlformats.org/drawingml/2006/picture">
                <pic:pic xmlns:pic="http://schemas.openxmlformats.org/drawingml/2006/picture">
                  <pic:nvPicPr>
                    <pic:cNvPr id="1611176917"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1BA1">
        <w:rPr>
          <w:rFonts w:ascii="Tahoma" w:hAnsi="Tahoma" w:cs="Tahoma" w:hint="cs"/>
          <w:sz w:val="18"/>
          <w:szCs w:val="18"/>
          <w:lang w:val="en"/>
        </w:rPr>
        <w:t xml:space="preserve">The Ministries of Interior and Finance should examine the need to reimburse host local authorities for food and basic supplies provided as an initial response, including to self-evacuees during the early days when evacuee </w:t>
      </w:r>
      <w:r w:rsidRPr="007C1BA1">
        <w:rPr>
          <w:rFonts w:ascii="Tahoma" w:hAnsi="Tahoma" w:cs="Tahoma"/>
          <w:sz w:val="18"/>
          <w:szCs w:val="18"/>
          <w:lang w:val="en"/>
        </w:rPr>
        <w:t>rights</w:t>
      </w:r>
      <w:r w:rsidRPr="007C1BA1">
        <w:rPr>
          <w:rFonts w:ascii="Tahoma" w:hAnsi="Tahoma" w:cs="Tahoma" w:hint="cs"/>
          <w:sz w:val="18"/>
          <w:szCs w:val="18"/>
          <w:lang w:val="en"/>
        </w:rPr>
        <w:t xml:space="preserve"> had not yet been clarified. With regard to reimbursement for services provided to evacuees, these ministries should consider establishing a mechanism for reimbursing local authorities during emergencies, such as the provision of an immediate advance</w:t>
      </w:r>
      <w:r w:rsidRPr="007C1BA1">
        <w:rPr>
          <w:rFonts w:ascii="Tahoma" w:hAnsi="Tahoma" w:cs="Tahoma"/>
          <w:sz w:val="18"/>
          <w:szCs w:val="18"/>
          <w:lang w:val="en"/>
        </w:rPr>
        <w:t xml:space="preserve"> payment</w:t>
      </w:r>
      <w:r w:rsidRPr="007C1BA1">
        <w:rPr>
          <w:rFonts w:ascii="Tahoma" w:hAnsi="Tahoma" w:cs="Tahoma" w:hint="cs"/>
          <w:sz w:val="18"/>
          <w:szCs w:val="18"/>
          <w:lang w:val="en"/>
        </w:rPr>
        <w:t xml:space="preserve">, in order to remove cash-flow constraints faced by host local authorities due to interim financing. This is particularly necessary for authorities that received </w:t>
      </w:r>
      <w:r w:rsidRPr="007C1BA1">
        <w:rPr>
          <w:rFonts w:ascii="Tahoma" w:hAnsi="Tahoma" w:cs="Tahoma"/>
          <w:sz w:val="18"/>
          <w:szCs w:val="18"/>
          <w:lang w:val="en"/>
        </w:rPr>
        <w:t>a large number of people</w:t>
      </w:r>
      <w:r w:rsidRPr="007C1BA1">
        <w:rPr>
          <w:rFonts w:ascii="Tahoma" w:hAnsi="Tahoma" w:cs="Tahoma" w:hint="cs"/>
          <w:sz w:val="18"/>
          <w:szCs w:val="18"/>
          <w:lang w:val="en"/>
        </w:rPr>
        <w:t xml:space="preserve"> and whose financial position is not robust. </w:t>
      </w:r>
    </w:p>
    <w:p w:rsidR="0095502F" w:rsidRPr="007C1BA1" w:rsidP="0095502F">
      <w:pPr>
        <w:pStyle w:val="ListParagraph"/>
        <w:numPr>
          <w:ilvl w:val="0"/>
          <w:numId w:val="26"/>
        </w:numPr>
        <w:bidi w:val="0"/>
        <w:spacing w:after="240" w:line="288" w:lineRule="auto"/>
        <w:ind w:left="515" w:right="173" w:hanging="515"/>
        <w:contextualSpacing w:val="0"/>
        <w:rPr>
          <w:rFonts w:ascii="Tahoma"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5648" behindDoc="0" locked="0" layoutInCell="1" allowOverlap="1">
            <wp:simplePos x="0" y="0"/>
            <wp:positionH relativeFrom="margin">
              <wp:align>left</wp:align>
            </wp:positionH>
            <wp:positionV relativeFrom="paragraph">
              <wp:posOffset>9580</wp:posOffset>
            </wp:positionV>
            <wp:extent cx="182880" cy="185779"/>
            <wp:effectExtent l="0" t="0" r="7620" b="5080"/>
            <wp:wrapNone/>
            <wp:docPr id="1611176916" name="תמונה 33"/>
            <wp:cNvGraphicFramePr/>
            <a:graphic xmlns:a="http://schemas.openxmlformats.org/drawingml/2006/main">
              <a:graphicData uri="http://schemas.openxmlformats.org/drawingml/2006/picture">
                <pic:pic xmlns:pic="http://schemas.openxmlformats.org/drawingml/2006/picture">
                  <pic:nvPicPr>
                    <pic:cNvPr id="1611176916"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1BA1">
        <w:rPr>
          <w:rFonts w:ascii="Tahoma" w:hAnsi="Tahoma" w:cs="Tahoma" w:hint="cs"/>
          <w:sz w:val="18"/>
          <w:szCs w:val="18"/>
          <w:lang w:val="en"/>
        </w:rPr>
        <w:t>It is recommended that the Ministries of Interior and Finance examine ways to increase the autonomy granted to host local authorities during emergencies, enabling them to act immediately to provide essential and immediate services.</w:t>
      </w:r>
    </w:p>
    <w:bookmarkEnd w:id="1"/>
    <w:p w:rsidR="00CE0712" w:rsidRPr="0095502F" w:rsidP="0095502F">
      <w:pPr>
        <w:bidi w:val="0"/>
        <w:spacing w:after="200" w:line="276" w:lineRule="auto"/>
        <w:rPr>
          <w:rFonts w:ascii="Tahoma" w:eastAsia="Times New Roman" w:hAnsi="Tahoma" w:cs="Tahoma"/>
          <w:spacing w:val="-2"/>
          <w:sz w:val="18"/>
          <w:szCs w:val="18"/>
        </w:rPr>
      </w:pPr>
      <w:r w:rsidRPr="00CE0712">
        <w:rPr>
          <w:rFonts w:ascii="Tahoma" w:eastAsia="Times New Roman" w:hAnsi="Tahoma" w:cs="Tahoma"/>
          <w:b/>
          <w:bCs/>
          <w:noProof/>
          <w:color w:val="FFFFFF"/>
          <w:sz w:val="22"/>
          <w:szCs w:val="22"/>
        </w:rPr>
        <w:t>eficiencies Noted in the Previous port were Rectified</w:t>
      </w: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95502F">
      <w:pPr>
        <w:bidi w:val="0"/>
        <w:spacing w:before="120" w:after="24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95502F" w:rsidRPr="0095502F" w:rsidP="0095502F">
      <w:pPr>
        <w:bidi w:val="0"/>
        <w:spacing w:after="120" w:line="288" w:lineRule="auto"/>
        <w:rPr>
          <w:rFonts w:ascii="Tahoma" w:hAnsi="Tahoma" w:cs="Tahoma"/>
          <w:color w:val="0D0D0D" w:themeColor="text1" w:themeTint="F2"/>
          <w:sz w:val="19"/>
          <w:szCs w:val="19"/>
          <w:rtl/>
        </w:rPr>
      </w:pPr>
      <w:r w:rsidRPr="0095502F">
        <w:rPr>
          <w:rFonts w:ascii="Tahoma" w:hAnsi="Tahoma" w:cs="Tahoma"/>
          <w:color w:val="0D0D0D" w:themeColor="text1" w:themeTint="F2"/>
          <w:sz w:val="19"/>
          <w:szCs w:val="19"/>
          <w:lang w:val="en"/>
        </w:rPr>
        <w:t xml:space="preserve">Although it was already clear from the first days that evacuation would not be to the planned local reception facilities but rather to hotels and other accommodation facilities, and although a large proportion of evacuees arrived with nothing – without basic supplies and amid uncertainty regarding the provision of essential services and equipment – NEMA, including through the IDF (the Home Front Command, which deployed teams to hotels), and the Ministry of Interior did not provide an optimal response to the various aspects involved; to the provision of basic services in the initial days, and to  issues concerning prolonged stays in hotels, including food, laundry services, clothing, personal hygiene supplies, and digital accessibility. </w:t>
      </w:r>
    </w:p>
    <w:p w:rsidR="0095502F" w:rsidRPr="0095502F" w:rsidP="0095502F">
      <w:pPr>
        <w:bidi w:val="0"/>
        <w:spacing w:after="120" w:line="288" w:lineRule="auto"/>
        <w:rPr>
          <w:rFonts w:ascii="Tahoma" w:hAnsi="Tahoma" w:cs="Tahoma"/>
          <w:color w:val="0D0D0D" w:themeColor="text1" w:themeTint="F2"/>
          <w:sz w:val="19"/>
          <w:szCs w:val="19"/>
          <w:rtl/>
        </w:rPr>
      </w:pPr>
      <w:r w:rsidRPr="0095502F">
        <w:rPr>
          <w:rFonts w:ascii="Tahoma" w:hAnsi="Tahoma" w:cs="Tahoma"/>
          <w:color w:val="0D0D0D" w:themeColor="text1" w:themeTint="F2"/>
          <w:sz w:val="19"/>
          <w:szCs w:val="19"/>
          <w:lang w:val="en"/>
        </w:rPr>
        <w:t>Due to the Ministry of Interior's failure to activate the ERC system, the responsibility for the treatment of evacuees and the provision of services to them, amid the chaos that characterized the initial days of reception and thereafter, fell to local authorities and the many volunteers. In the absence of prior preparedness by another government body to coordinate the response and create a unified framework for the provision of basic services to evacuees, the distress of evacuees and self-evacuees was considerable. Statements by some participants in focus groups reflected feelings of frustration and helplessness.</w:t>
      </w:r>
    </w:p>
    <w:p w:rsidR="0095502F" w:rsidRPr="0095502F" w:rsidP="0095502F">
      <w:pPr>
        <w:bidi w:val="0"/>
        <w:spacing w:after="180" w:line="288" w:lineRule="auto"/>
        <w:rPr>
          <w:rFonts w:ascii="Tahoma" w:hAnsi="Tahoma" w:cs="Tahoma"/>
          <w:color w:val="0D0D0D" w:themeColor="text1" w:themeTint="F2"/>
          <w:sz w:val="19"/>
          <w:szCs w:val="19"/>
          <w:rtl/>
        </w:rPr>
      </w:pPr>
      <w:r w:rsidRPr="0095502F">
        <w:rPr>
          <w:rFonts w:ascii="Tahoma" w:hAnsi="Tahoma" w:cs="Tahoma"/>
          <w:color w:val="0D0D0D" w:themeColor="text1" w:themeTint="F2"/>
          <w:sz w:val="19"/>
          <w:szCs w:val="19"/>
          <w:lang w:val="en"/>
        </w:rPr>
        <w:t>Thus, the role of the host local authority in emergencies is significant. Its capacity to transition rapidly and in an orderly manner from routine to emergency conditions, and to prepare within a very short time to establish and maintain functional continuity – both for its own residents and for populations received within its jurisdiction – is greater than that of government bodies. In light of the above, it is recommended that the Ministries of Interior and Finance examine ways to increase the autonomy granted to host local authorities during emergencies, enabling them to act immediately to provide essential and basic services.</w:t>
      </w:r>
    </w:p>
    <w:p w:rsidR="0095502F" w:rsidRPr="0095502F" w:rsidP="0095502F">
      <w:pPr>
        <w:bidi w:val="0"/>
        <w:spacing w:after="200" w:line="276" w:lineRule="auto"/>
        <w:jc w:val="center"/>
        <w:rPr>
          <w:rFonts w:ascii="Tahoma" w:hAnsi="Tahoma" w:cs="Tahoma"/>
          <w:sz w:val="19"/>
          <w:szCs w:val="19"/>
        </w:rPr>
      </w:pPr>
    </w:p>
    <w:p w:rsidR="0095502F" w:rsidRPr="0095502F" w:rsidP="0095502F">
      <w:pPr>
        <w:bidi w:val="0"/>
        <w:spacing w:after="200" w:line="276" w:lineRule="auto"/>
        <w:rPr>
          <w:rFonts w:ascii="Tahoma" w:hAnsi="Tahoma" w:cs="Tahoma"/>
          <w:b/>
          <w:bCs/>
          <w:sz w:val="36"/>
          <w:szCs w:val="36"/>
        </w:rPr>
        <w:sectPr w:rsidSect="0095502F">
          <w:headerReference w:type="even" r:id="rId23"/>
          <w:headerReference w:type="default" r:id="rId24"/>
          <w:headerReference w:type="first" r:id="rId25"/>
          <w:footerReference w:type="first" r:id="rId26"/>
          <w:type w:val="continuous"/>
          <w:pgSz w:w="11340" w:h="14175" w:code="9"/>
          <w:pgMar w:top="2268" w:right="1276" w:bottom="1588" w:left="1134" w:header="709" w:footer="709" w:gutter="0"/>
          <w:cols w:space="708"/>
          <w:titlePg/>
          <w:bidi/>
          <w:rtlGutter/>
          <w:docGrid w:linePitch="360"/>
        </w:sectPr>
      </w:pPr>
    </w:p>
    <w:p w:rsidR="0095502F" w:rsidRPr="0095502F" w:rsidP="0095502F">
      <w:pPr>
        <w:spacing w:after="160" w:line="259" w:lineRule="auto"/>
        <w:jc w:val="left"/>
        <w:rPr>
          <w:rFonts w:ascii="Tahoma" w:hAnsi="Tahoma" w:cs="Tahoma"/>
          <w:noProof/>
          <w:rtl/>
        </w:rPr>
      </w:pPr>
    </w:p>
    <w:sectPr w:rsidSect="00475836">
      <w:headerReference w:type="default" r:id="rId27"/>
      <w:headerReference w:type="first" r:id="rId28"/>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EF5365" w:rsidP="00C23CC9">
      <w:pPr>
        <w:spacing w:line="240" w:lineRule="auto"/>
      </w:pPr>
      <w:r>
        <w:separator/>
      </w:r>
    </w:p>
  </w:endnote>
  <w:endnote w:type="continuationSeparator" w:id="1">
    <w:p w:rsidR="00EF5365"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MDL2 Assets">
    <w:panose1 w:val="050A0102010101010101"/>
    <w:charset w:val="00"/>
    <w:family w:val="roman"/>
    <w:pitch w:val="variable"/>
    <w:sig w:usb0="00000003" w:usb1="10000000" w:usb2="00000000" w:usb3="00000000" w:csb0="00000001"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D2" w:rsidP="00846ED2">
    <w:pPr>
      <w:pStyle w:val="Footer"/>
    </w:pPr>
    <w:r>
      <w:rPr>
        <w:noProof/>
      </w:rPr>
      <mc:AlternateContent>
        <mc:Choice Requires="wps">
          <w:drawing>
            <wp:anchor distT="0" distB="0" distL="114300" distR="114300" simplePos="0" relativeHeight="251660288" behindDoc="0" locked="0" layoutInCell="1" allowOverlap="1">
              <wp:simplePos x="0" y="0"/>
              <wp:positionH relativeFrom="column">
                <wp:posOffset>-139065</wp:posOffset>
              </wp:positionH>
              <wp:positionV relativeFrom="paragraph">
                <wp:posOffset>-165100</wp:posOffset>
              </wp:positionV>
              <wp:extent cx="5953125" cy="304800"/>
              <wp:effectExtent l="0" t="0" r="9525" b="0"/>
              <wp:wrapNone/>
              <wp:docPr id="28" name="tbMMHF"/>
              <wp:cNvGraphicFramePr/>
              <a:graphic xmlns:a="http://schemas.openxmlformats.org/drawingml/2006/main">
                <a:graphicData uri="http://schemas.microsoft.com/office/word/2010/wordprocessingShape">
                  <wps:wsp xmlns:wps="http://schemas.microsoft.com/office/word/2010/wordprocessingShape">
                    <wps:cNvSpPr txBox="1"/>
                    <wps:spPr>
                      <a:xfrm>
                        <a:off x="0" y="0"/>
                        <a:ext cx="5953125" cy="304800"/>
                      </a:xfrm>
                      <a:prstGeom prst="rect">
                        <a:avLst/>
                      </a:prstGeom>
                      <a:solidFill>
                        <a:schemeClr val="bg1"/>
                      </a:solidFill>
                      <a:ln w="6350">
                        <a:noFill/>
                      </a:ln>
                    </wps:spPr>
                    <wps:txbx>
                      <w:txbxContent>
                        <w:p w:rsidR="00846ED2" w:rsidRPr="002F7576" w:rsidP="00846ED2">
                          <w:pPr>
                            <w:bidi w:val="0"/>
                            <w:jc w:val="center"/>
                            <w:rPr>
                              <w:rFonts w:ascii="Calibri" w:hAnsi="Calibri" w:cs="Calibri"/>
                              <w:color w:val="002060"/>
                              <w:sz w:val="24"/>
                            </w:rPr>
                          </w:pPr>
                          <w:r w:rsidRPr="0011074F">
                            <w:rPr>
                              <w:rFonts w:ascii="Calibri" w:hAnsi="Calibri" w:cs="Calibri" w:hint="cs"/>
                              <w:color w:val="002060"/>
                              <w:sz w:val="24"/>
                              <w:lang w:val="en"/>
                            </w:rPr>
                            <w:t xml:space="preserve">Special Report – </w:t>
                          </w:r>
                          <w:r w:rsidRPr="0011074F">
                            <w:rPr>
                              <w:rFonts w:ascii="Calibri" w:hAnsi="Calibri" w:cs="Calibri"/>
                              <w:color w:val="002060"/>
                              <w:sz w:val="24"/>
                              <w:lang w:val="en"/>
                            </w:rPr>
                            <w:t>Population Evacuation</w:t>
                          </w:r>
                          <w:r w:rsidRPr="0011074F">
                            <w:rPr>
                              <w:rFonts w:ascii="Calibri" w:hAnsi="Calibri" w:cs="Calibri" w:hint="cs"/>
                              <w:color w:val="002060"/>
                              <w:sz w:val="24"/>
                              <w:lang w:val="en"/>
                            </w:rPr>
                            <w:t xml:space="preserve"> and </w:t>
                          </w:r>
                          <w:r w:rsidR="002F7576">
                            <w:rPr>
                              <w:rFonts w:ascii="Calibri" w:hAnsi="Calibri" w:cs="Calibri"/>
                              <w:color w:val="002060"/>
                              <w:sz w:val="24"/>
                              <w:lang w:val="en"/>
                            </w:rPr>
                            <w:t>Reception</w:t>
                          </w:r>
                        </w:p>
                        <w:p w:rsidR="00846ED2" w:rsidRPr="0011074F" w:rsidP="00846ED2">
                          <w:pPr>
                            <w:spacing w:line="240" w:lineRule="auto"/>
                            <w:jc w:val="center"/>
                            <w:rPr>
                              <w:rFonts w:asciiTheme="minorHAnsi" w:hAnsiTheme="minorHAnsi" w:cstheme="minorHAnsi"/>
                              <w:color w:val="002060"/>
                              <w:spacing w:val="20"/>
                              <w:sz w:val="24"/>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bMMHF" o:spid="_x0000_s2058" type="#_x0000_t202" style="width:468.75pt;height:24pt;margin-top:-13pt;margin-left:-10.95pt;mso-width-percent:0;mso-width-relative:margin;mso-wrap-distance-bottom:0;mso-wrap-distance-left:9pt;mso-wrap-distance-right:9pt;mso-wrap-distance-top:0;mso-wrap-style:square;position:absolute;visibility:visible;v-text-anchor:top;z-index:251661312" fillcolor="white" stroked="f" strokeweight="0.5pt">
              <v:textbox>
                <w:txbxContent>
                  <w:p w:rsidR="00846ED2" w:rsidRPr="002F7576" w:rsidP="00846ED2">
                    <w:pPr>
                      <w:bidi w:val="0"/>
                      <w:jc w:val="center"/>
                      <w:rPr>
                        <w:rFonts w:ascii="Calibri" w:hAnsi="Calibri" w:cs="Calibri"/>
                        <w:color w:val="002060"/>
                        <w:sz w:val="24"/>
                      </w:rPr>
                    </w:pPr>
                    <w:r w:rsidRPr="0011074F">
                      <w:rPr>
                        <w:rFonts w:ascii="Calibri" w:hAnsi="Calibri" w:cs="Calibri" w:hint="cs"/>
                        <w:color w:val="002060"/>
                        <w:sz w:val="24"/>
                        <w:lang w:val="en"/>
                      </w:rPr>
                      <w:t xml:space="preserve">Special Report – </w:t>
                    </w:r>
                    <w:r w:rsidRPr="0011074F">
                      <w:rPr>
                        <w:rFonts w:ascii="Calibri" w:hAnsi="Calibri" w:cs="Calibri"/>
                        <w:color w:val="002060"/>
                        <w:sz w:val="24"/>
                        <w:lang w:val="en"/>
                      </w:rPr>
                      <w:t>Population Evacuation</w:t>
                    </w:r>
                    <w:r w:rsidRPr="0011074F">
                      <w:rPr>
                        <w:rFonts w:ascii="Calibri" w:hAnsi="Calibri" w:cs="Calibri" w:hint="cs"/>
                        <w:color w:val="002060"/>
                        <w:sz w:val="24"/>
                        <w:lang w:val="en"/>
                      </w:rPr>
                      <w:t xml:space="preserve"> and </w:t>
                    </w:r>
                    <w:r w:rsidR="002F7576">
                      <w:rPr>
                        <w:rFonts w:ascii="Calibri" w:hAnsi="Calibri" w:cs="Calibri"/>
                        <w:color w:val="002060"/>
                        <w:sz w:val="24"/>
                        <w:lang w:val="en"/>
                      </w:rPr>
                      <w:t>Reception</w:t>
                    </w:r>
                  </w:p>
                  <w:p w:rsidR="00846ED2" w:rsidRPr="0011074F" w:rsidP="00846ED2">
                    <w:pPr>
                      <w:spacing w:line="240" w:lineRule="auto"/>
                      <w:jc w:val="center"/>
                      <w:rPr>
                        <w:rFonts w:asciiTheme="minorHAnsi" w:hAnsiTheme="minorHAnsi" w:cstheme="minorHAnsi"/>
                        <w:color w:val="002060"/>
                        <w:spacing w:val="20"/>
                        <w:sz w:val="24"/>
                        <w:rtl/>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1384662</wp:posOffset>
              </wp:positionH>
              <wp:positionV relativeFrom="paragraph">
                <wp:posOffset>-352879</wp:posOffset>
              </wp:positionV>
              <wp:extent cx="2996838" cy="0"/>
              <wp:effectExtent l="0" t="0" r="0" b="0"/>
              <wp:wrapNone/>
              <wp:docPr id="29" name="מחבר ישר 29"/>
              <wp:cNvGraphicFramePr/>
              <a:graphic xmlns:a="http://schemas.openxmlformats.org/drawingml/2006/main">
                <a:graphicData uri="http://schemas.microsoft.com/office/word/2010/wordprocessingShape">
                  <wps:wsp xmlns:wps="http://schemas.microsoft.com/office/word/2010/wordprocessingShape">
                    <wps:cNvCnPr/>
                    <wps:spPr>
                      <a:xfrm>
                        <a:off x="0" y="0"/>
                        <a:ext cx="2996838"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מחבר ישר 29" o:spid="_x0000_s2059" style="mso-width-percent:0;mso-width-relative:margin;mso-wrap-distance-bottom:0;mso-wrap-distance-left:9pt;mso-wrap-distance-right:9pt;mso-wrap-distance-top:0;mso-wrap-style:square;position:absolute;visibility:visible;z-index:251663360" from="109.05pt,-27.8pt" to="345pt,-27.8pt" strokecolor="#002060" strokeweight="1.25p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24785164" name="תיבת טקסט 24785164"/>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846ED2" w:rsidRPr="00A222E2" w:rsidP="00846ED2">
                          <w:pPr>
                            <w:bidi w:val="0"/>
                            <w:jc w:val="center"/>
                            <w:rPr>
                              <w:rFonts w:ascii="Calibri" w:hAnsi="Calibri" w:cs="Calibri"/>
                              <w:color w:val="FFFFFF" w:themeColor="background1"/>
                              <w:spacing w:val="80"/>
                            </w:rPr>
                          </w:pPr>
                          <w:r w:rsidRPr="00A222E2">
                            <w:rPr>
                              <w:rFonts w:ascii="Calibri" w:hAnsi="Calibri" w:cs="Calibri" w:hint="cs"/>
                              <w:color w:val="FFFFFF" w:themeColor="background1"/>
                              <w:spacing w:val="80"/>
                              <w:lang w:val="en"/>
                            </w:rPr>
                            <w:t>75 C</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24785164" o:spid="_x0000_s2060"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846ED2" w:rsidRPr="00A222E2" w:rsidP="00846ED2">
                    <w:pPr>
                      <w:bidi w:val="0"/>
                      <w:jc w:val="center"/>
                      <w:rPr>
                        <w:rFonts w:ascii="Calibri" w:hAnsi="Calibri" w:cs="Calibri"/>
                        <w:color w:val="FFFFFF" w:themeColor="background1"/>
                        <w:spacing w:val="80"/>
                      </w:rPr>
                    </w:pPr>
                    <w:r w:rsidRPr="00A222E2">
                      <w:rPr>
                        <w:rFonts w:ascii="Calibri" w:hAnsi="Calibri" w:cs="Calibri" w:hint="cs"/>
                        <w:color w:val="FFFFFF" w:themeColor="background1"/>
                        <w:spacing w:val="80"/>
                        <w:lang w:val="en"/>
                      </w:rPr>
                      <w:t>75 C</w:t>
                    </w:r>
                  </w:p>
                </w:txbxContent>
              </v:textbox>
            </v:shape>
          </w:pict>
        </mc:Fallback>
      </mc:AlternateContent>
    </w:r>
  </w:p>
  <w:p w:rsidR="00A222E2" w:rsidRPr="00846ED2" w:rsidP="00846ED2">
    <w:pPr>
      <w:pStyle w:val="Footer"/>
    </w:pPr>
  </w:p>
  <w:p w:rsidR="005C04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AE5" w:rsidP="00846ED2">
    <w:pPr>
      <w:pStyle w:val="Footer"/>
    </w:pPr>
    <w:r>
      <w:rPr>
        <w:noProof/>
      </w:rPr>
      <mc:AlternateContent>
        <mc:Choice Requires="wps">
          <w:drawing>
            <wp:anchor distT="0" distB="0" distL="114300" distR="114300" simplePos="0" relativeHeight="251670528"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611176902" name="תיבת טקסט 1611176902"/>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884AE5" w:rsidRPr="00A222E2" w:rsidP="00846ED2">
                          <w:pPr>
                            <w:bidi w:val="0"/>
                            <w:jc w:val="center"/>
                            <w:rPr>
                              <w:rFonts w:ascii="Calibri" w:hAnsi="Calibri" w:cs="Calibri"/>
                              <w:color w:val="FFFFFF" w:themeColor="background1"/>
                              <w:spacing w:val="80"/>
                            </w:rPr>
                          </w:pPr>
                          <w:r w:rsidRPr="00A222E2">
                            <w:rPr>
                              <w:rFonts w:ascii="Calibri" w:hAnsi="Calibri" w:cs="Calibri" w:hint="cs"/>
                              <w:color w:val="FFFFFF" w:themeColor="background1"/>
                              <w:spacing w:val="80"/>
                              <w:lang w:val="en"/>
                            </w:rPr>
                            <w:t>75 C</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611176902" o:spid="_x0000_s2071"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71552" filled="f" stroked="f" strokeweight="0.5pt">
              <v:textbox>
                <w:txbxContent>
                  <w:p w:rsidR="00884AE5" w:rsidRPr="00A222E2" w:rsidP="00846ED2">
                    <w:pPr>
                      <w:bidi w:val="0"/>
                      <w:jc w:val="center"/>
                      <w:rPr>
                        <w:rFonts w:ascii="Calibri" w:hAnsi="Calibri" w:cs="Calibri"/>
                        <w:color w:val="FFFFFF" w:themeColor="background1"/>
                        <w:spacing w:val="80"/>
                      </w:rPr>
                    </w:pPr>
                    <w:r w:rsidRPr="00A222E2">
                      <w:rPr>
                        <w:rFonts w:ascii="Calibri" w:hAnsi="Calibri" w:cs="Calibri" w:hint="cs"/>
                        <w:color w:val="FFFFFF" w:themeColor="background1"/>
                        <w:spacing w:val="80"/>
                        <w:lang w:val="en"/>
                      </w:rPr>
                      <w:t>75 C</w:t>
                    </w:r>
                  </w:p>
                </w:txbxContent>
              </v:textbox>
            </v:shape>
          </w:pict>
        </mc:Fallback>
      </mc:AlternateContent>
    </w:r>
  </w:p>
  <w:p w:rsidR="00884AE5" w:rsidRPr="00846ED2" w:rsidP="00846ED2">
    <w:pPr>
      <w:pStyle w:val="Footer"/>
    </w:pPr>
  </w:p>
  <w:p w:rsidR="00884A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02F">
    <w:pPr>
      <w:pStyle w:val="Footer"/>
    </w:pPr>
    <w:r>
      <w:rPr>
        <w:noProof/>
      </w:rPr>
      <mc:AlternateContent>
        <mc:Choice Requires="wps">
          <w:drawing>
            <wp:anchor distT="0" distB="0" distL="114300" distR="114300" simplePos="0" relativeHeight="251666432" behindDoc="0" locked="0" layoutInCell="1" allowOverlap="1">
              <wp:simplePos x="0" y="0"/>
              <wp:positionH relativeFrom="column">
                <wp:posOffset>-139065</wp:posOffset>
              </wp:positionH>
              <wp:positionV relativeFrom="paragraph">
                <wp:posOffset>-165100</wp:posOffset>
              </wp:positionV>
              <wp:extent cx="5953125" cy="304800"/>
              <wp:effectExtent l="0" t="0" r="9525" b="0"/>
              <wp:wrapNone/>
              <wp:docPr id="47" name="tbMMHF"/>
              <wp:cNvGraphicFramePr/>
              <a:graphic xmlns:a="http://schemas.openxmlformats.org/drawingml/2006/main">
                <a:graphicData uri="http://schemas.microsoft.com/office/word/2010/wordprocessingShape">
                  <wps:wsp xmlns:wps="http://schemas.microsoft.com/office/word/2010/wordprocessingShape">
                    <wps:cNvSpPr txBox="1"/>
                    <wps:spPr>
                      <a:xfrm>
                        <a:off x="0" y="0"/>
                        <a:ext cx="5953125" cy="304800"/>
                      </a:xfrm>
                      <a:prstGeom prst="rect">
                        <a:avLst/>
                      </a:prstGeom>
                      <a:solidFill>
                        <a:sysClr val="window" lastClr="FFFFFF"/>
                      </a:solidFill>
                      <a:ln w="6350">
                        <a:noFill/>
                      </a:ln>
                    </wps:spPr>
                    <wps:txbx>
                      <w:txbxContent>
                        <w:p w:rsidR="0095502F" w:rsidRPr="0011074F" w:rsidP="0011074F">
                          <w:pPr>
                            <w:bidi w:val="0"/>
                            <w:jc w:val="center"/>
                            <w:rPr>
                              <w:rFonts w:ascii="Calibri" w:hAnsi="Calibri" w:cs="Calibri"/>
                              <w:color w:val="002060"/>
                              <w:sz w:val="24"/>
                              <w:rtl/>
                            </w:rPr>
                          </w:pPr>
                          <w:r w:rsidRPr="0011074F">
                            <w:rPr>
                              <w:rFonts w:ascii="Calibri" w:hAnsi="Calibri" w:cs="Calibri" w:hint="cs"/>
                              <w:color w:val="002060"/>
                              <w:sz w:val="24"/>
                              <w:lang w:val="en"/>
                            </w:rPr>
                            <w:t xml:space="preserve">Special Report – </w:t>
                          </w:r>
                          <w:r w:rsidRPr="0011074F">
                            <w:rPr>
                              <w:rFonts w:ascii="Calibri" w:hAnsi="Calibri" w:cs="Calibri"/>
                              <w:color w:val="002060"/>
                              <w:sz w:val="24"/>
                              <w:lang w:val="en"/>
                            </w:rPr>
                            <w:t>Population Evacuation</w:t>
                          </w:r>
                          <w:r w:rsidRPr="0011074F">
                            <w:rPr>
                              <w:rFonts w:ascii="Calibri" w:hAnsi="Calibri" w:cs="Calibri" w:hint="cs"/>
                              <w:color w:val="002060"/>
                              <w:sz w:val="24"/>
                              <w:lang w:val="en"/>
                            </w:rPr>
                            <w:t xml:space="preserve"> and </w:t>
                          </w:r>
                          <w:r>
                            <w:rPr>
                              <w:rFonts w:ascii="Calibri" w:hAnsi="Calibri" w:cs="Calibri"/>
                              <w:color w:val="002060"/>
                              <w:sz w:val="24"/>
                              <w:lang w:val="en"/>
                            </w:rPr>
                            <w:t>Reception</w:t>
                          </w:r>
                        </w:p>
                        <w:p w:rsidR="0095502F" w:rsidRPr="0011074F" w:rsidP="0011074F">
                          <w:pPr>
                            <w:spacing w:line="240" w:lineRule="auto"/>
                            <w:jc w:val="center"/>
                            <w:rPr>
                              <w:rFonts w:asciiTheme="minorHAnsi" w:hAnsiTheme="minorHAnsi" w:cstheme="minorHAnsi"/>
                              <w:color w:val="002060"/>
                              <w:spacing w:val="20"/>
                              <w:sz w:val="24"/>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_x0000_s2086" type="#_x0000_t202" style="width:468.75pt;height:24pt;margin-top:-13pt;margin-left:-10.95pt;mso-width-percent:0;mso-width-relative:margin;mso-wrap-distance-bottom:0;mso-wrap-distance-left:9pt;mso-wrap-distance-right:9pt;mso-wrap-distance-top:0;mso-wrap-style:square;position:absolute;visibility:visible;v-text-anchor:top;z-index:251667456" fillcolor="window" stroked="f" strokeweight="0.5pt">
              <v:textbox>
                <w:txbxContent>
                  <w:p w:rsidR="0095502F" w:rsidRPr="0011074F" w:rsidP="0011074F">
                    <w:pPr>
                      <w:bidi w:val="0"/>
                      <w:jc w:val="center"/>
                      <w:rPr>
                        <w:rFonts w:ascii="Calibri" w:hAnsi="Calibri" w:cs="Calibri"/>
                        <w:color w:val="002060"/>
                        <w:sz w:val="24"/>
                        <w:rtl/>
                      </w:rPr>
                    </w:pPr>
                    <w:r w:rsidRPr="0011074F">
                      <w:rPr>
                        <w:rFonts w:ascii="Calibri" w:hAnsi="Calibri" w:cs="Calibri" w:hint="cs"/>
                        <w:color w:val="002060"/>
                        <w:sz w:val="24"/>
                        <w:lang w:val="en"/>
                      </w:rPr>
                      <w:t xml:space="preserve">Special Report – </w:t>
                    </w:r>
                    <w:r w:rsidRPr="0011074F">
                      <w:rPr>
                        <w:rFonts w:ascii="Calibri" w:hAnsi="Calibri" w:cs="Calibri"/>
                        <w:color w:val="002060"/>
                        <w:sz w:val="24"/>
                        <w:lang w:val="en"/>
                      </w:rPr>
                      <w:t>Population Evacuation</w:t>
                    </w:r>
                    <w:r w:rsidRPr="0011074F">
                      <w:rPr>
                        <w:rFonts w:ascii="Calibri" w:hAnsi="Calibri" w:cs="Calibri" w:hint="cs"/>
                        <w:color w:val="002060"/>
                        <w:sz w:val="24"/>
                        <w:lang w:val="en"/>
                      </w:rPr>
                      <w:t xml:space="preserve"> and </w:t>
                    </w:r>
                    <w:r>
                      <w:rPr>
                        <w:rFonts w:ascii="Calibri" w:hAnsi="Calibri" w:cs="Calibri"/>
                        <w:color w:val="002060"/>
                        <w:sz w:val="24"/>
                        <w:lang w:val="en"/>
                      </w:rPr>
                      <w:t>Reception</w:t>
                    </w:r>
                  </w:p>
                  <w:p w:rsidR="0095502F" w:rsidRPr="0011074F" w:rsidP="0011074F">
                    <w:pPr>
                      <w:spacing w:line="240" w:lineRule="auto"/>
                      <w:jc w:val="center"/>
                      <w:rPr>
                        <w:rFonts w:asciiTheme="minorHAnsi" w:hAnsiTheme="minorHAnsi" w:cstheme="minorHAnsi"/>
                        <w:color w:val="002060"/>
                        <w:spacing w:val="20"/>
                        <w:sz w:val="24"/>
                        <w:rtl/>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1384662</wp:posOffset>
              </wp:positionH>
              <wp:positionV relativeFrom="paragraph">
                <wp:posOffset>-352879</wp:posOffset>
              </wp:positionV>
              <wp:extent cx="2996838" cy="0"/>
              <wp:effectExtent l="0" t="0" r="0" b="0"/>
              <wp:wrapNone/>
              <wp:docPr id="48" name="מחבר ישר 48"/>
              <wp:cNvGraphicFramePr/>
              <a:graphic xmlns:a="http://schemas.openxmlformats.org/drawingml/2006/main">
                <a:graphicData uri="http://schemas.microsoft.com/office/word/2010/wordprocessingShape">
                  <wps:wsp xmlns:wps="http://schemas.microsoft.com/office/word/2010/wordprocessingShape">
                    <wps:cNvCnPr/>
                    <wps:spPr>
                      <a:xfrm>
                        <a:off x="0" y="0"/>
                        <a:ext cx="2996838" cy="0"/>
                      </a:xfrm>
                      <a:prstGeom prst="line">
                        <a:avLst/>
                      </a:prstGeom>
                      <a:noFill/>
                      <a:ln w="15875">
                        <a:solidFill>
                          <a:srgbClr val="002060"/>
                        </a:solidFill>
                        <a:prstDash val="solid"/>
                      </a:ln>
                      <a:effectLst/>
                    </wps:spPr>
                    <wps:bodyPr/>
                  </wps:wsp>
                </a:graphicData>
              </a:graphic>
              <wp14:sizeRelH relativeFrom="margin">
                <wp14:pctWidth>0</wp14:pctWidth>
              </wp14:sizeRelH>
            </wp:anchor>
          </w:drawing>
        </mc:Choice>
        <mc:Fallback>
          <w:pict>
            <v:line id="מחבר ישר 48" o:spid="_x0000_s2087" style="mso-width-percent:0;mso-width-relative:margin;mso-wrap-distance-bottom:0;mso-wrap-distance-left:9pt;mso-wrap-distance-right:9pt;mso-wrap-distance-top:0;mso-wrap-style:square;position:absolute;visibility:visible;z-index:251669504" from="109.05pt,-27.8pt" to="345pt,-27.8pt" strokecolor="#002060" strokeweight="1.25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49" name="תיבת טקסט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95502F" w:rsidRPr="00A222E2" w:rsidP="00A222E2">
                          <w:pPr>
                            <w:bidi w:val="0"/>
                            <w:jc w:val="center"/>
                            <w:rPr>
                              <w:rFonts w:ascii="Calibri" w:hAnsi="Calibri" w:cs="Calibri"/>
                              <w:color w:val="FFFFFF" w:themeColor="background1"/>
                              <w:spacing w:val="80"/>
                            </w:rPr>
                          </w:pPr>
                          <w:r w:rsidRPr="00A222E2">
                            <w:rPr>
                              <w:rFonts w:ascii="Calibri" w:hAnsi="Calibri" w:cs="Calibri" w:hint="cs"/>
                              <w:color w:val="FFFFFF" w:themeColor="background1"/>
                              <w:spacing w:val="80"/>
                              <w:lang w:val="en"/>
                            </w:rPr>
                            <w:t>75 C</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49" o:spid="_x0000_s2088"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5408" filled="f" stroked="f" strokeweight="0.5pt">
              <v:textbox>
                <w:txbxContent>
                  <w:p w:rsidR="0095502F" w:rsidRPr="00A222E2" w:rsidP="00A222E2">
                    <w:pPr>
                      <w:bidi w:val="0"/>
                      <w:jc w:val="center"/>
                      <w:rPr>
                        <w:rFonts w:ascii="Calibri" w:hAnsi="Calibri" w:cs="Calibri"/>
                        <w:color w:val="FFFFFF" w:themeColor="background1"/>
                        <w:spacing w:val="80"/>
                      </w:rPr>
                    </w:pPr>
                    <w:r w:rsidRPr="00A222E2">
                      <w:rPr>
                        <w:rFonts w:ascii="Calibri" w:hAnsi="Calibri" w:cs="Calibri" w:hint="cs"/>
                        <w:color w:val="FFFFFF" w:themeColor="background1"/>
                        <w:spacing w:val="80"/>
                        <w:lang w:val="en"/>
                      </w:rPr>
                      <w:t>75 C</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F5365" w:rsidP="00475836">
      <w:pPr>
        <w:bidi w:val="0"/>
        <w:spacing w:line="240" w:lineRule="auto"/>
      </w:pPr>
      <w:r>
        <w:separator/>
      </w:r>
    </w:p>
  </w:footnote>
  <w:footnote w:type="continuationSeparator" w:id="1">
    <w:p w:rsidR="00EF5365" w:rsidP="00C23C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884AE5">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8240" behindDoc="0" locked="0" layoutInCell="1" allowOverlap="1">
              <wp:simplePos x="0" y="0"/>
              <wp:positionH relativeFrom="column">
                <wp:posOffset>-187353</wp:posOffset>
              </wp:positionH>
              <wp:positionV relativeFrom="paragraph">
                <wp:posOffset>-76504</wp:posOffset>
              </wp:positionV>
              <wp:extent cx="6182346" cy="715375"/>
              <wp:effectExtent l="0" t="0" r="0"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182346" cy="715375"/>
                        <a:chOff x="33353" y="19047"/>
                        <a:chExt cx="6182346" cy="715375"/>
                      </a:xfrm>
                    </wpg:grpSpPr>
                    <wps:wsp xmlns:wps="http://schemas.microsoft.com/office/word/2010/wordprocessingShape">
                      <wps:cNvPr id="4" name="מחבר ישר 4"/>
                      <wps:cNvCnPr/>
                      <wps:spPr>
                        <a:xfrm>
                          <a:off x="100476" y="304790"/>
                          <a:ext cx="5896357" cy="17"/>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8D07A0" w:rsidP="00A66258">
                            <w:pPr>
                              <w:bidi w:val="0"/>
                              <w:rPr>
                                <w:rFonts w:ascii="Calibri" w:hAnsi="Calibri" w:cs="Calibri"/>
                                <w:color w:val="002060"/>
                                <w:sz w:val="22"/>
                                <w:szCs w:val="22"/>
                                <w:lang w:val="en"/>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r w:rsidRPr="0062451B" w:rsidR="008D07A0">
                              <w:rPr>
                                <w:rFonts w:ascii="Calibri" w:hAnsi="Calibri" w:cs="Calibri"/>
                                <w:color w:val="002060"/>
                                <w:sz w:val="22"/>
                                <w:szCs w:val="22"/>
                                <w:lang w:val="en"/>
                              </w:rPr>
                              <w:t xml:space="preserve">| Special Report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962082"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February</w:t>
                            </w:r>
                            <w:r w:rsidR="00A66258">
                              <w:rPr>
                                <w:rFonts w:ascii="Calibri" w:hAnsi="Calibri" w:cs="Calibri"/>
                                <w:color w:val="002060"/>
                                <w:szCs w:val="20"/>
                              </w:rPr>
                              <w:t xml:space="preserve"> 202</w:t>
                            </w:r>
                            <w:r>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3" y="304541"/>
                          <a:ext cx="3999506" cy="429881"/>
                        </a:xfrm>
                        <a:prstGeom prst="rect">
                          <a:avLst/>
                        </a:prstGeom>
                        <a:noFill/>
                        <a:ln w="9525">
                          <a:noFill/>
                          <a:miter lim="800000"/>
                          <a:headEnd/>
                          <a:tailEnd/>
                        </a:ln>
                      </wps:spPr>
                      <wps:txbx>
                        <w:txbxContent>
                          <w:p w:rsidR="001E204F" w:rsidP="00A2381E">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w:t>
                            </w:r>
                            <w:r w:rsidR="002F7576">
                              <w:rPr>
                                <w:rFonts w:ascii="Calibri" w:hAnsi="Calibri" w:cs="Calibri"/>
                                <w:color w:val="002060"/>
                                <w:szCs w:val="20"/>
                              </w:rPr>
                              <w:t>Reception</w:t>
                            </w:r>
                            <w:r w:rsidRPr="008D07A0">
                              <w:rPr>
                                <w:rFonts w:ascii="Calibri" w:hAnsi="Calibri" w:cs="Calibri"/>
                                <w:color w:val="002060"/>
                                <w:szCs w:val="20"/>
                              </w:rPr>
                              <w:t xml:space="preserve"> </w:t>
                            </w:r>
                            <w:r w:rsidR="002F7576">
                              <w:rPr>
                                <w:rFonts w:ascii="Calibri" w:hAnsi="Calibri" w:cs="Calibri"/>
                                <w:color w:val="002060"/>
                                <w:szCs w:val="20"/>
                              </w:rPr>
                              <w:t>by</w:t>
                            </w:r>
                            <w:r w:rsidRPr="008D07A0">
                              <w:rPr>
                                <w:rFonts w:ascii="Calibri" w:hAnsi="Calibri" w:cs="Calibri"/>
                                <w:color w:val="002060"/>
                                <w:szCs w:val="20"/>
                              </w:rPr>
                              <w:t xml:space="preserve"> Local Authorities</w:t>
                            </w:r>
                          </w:p>
                          <w:p w:rsidR="009A5924" w:rsidP="009A5924">
                            <w:pPr>
                              <w:bidi w:val="0"/>
                              <w:spacing w:line="240" w:lineRule="auto"/>
                              <w:rPr>
                                <w:rFonts w:ascii="Calibri" w:hAnsi="Calibri" w:cs="Calibri"/>
                                <w:color w:val="002060"/>
                                <w:szCs w:val="20"/>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86.8pt;height:56.35pt;margin-top:-6pt;margin-left:-14.75pt;mso-height-relative:margin;mso-width-relative:margin;position:absolute;z-index:251659264" coordorigin="333,190" coordsize="61823,7153">
              <v:line id="מחבר ישר 4" o:spid="_x0000_s2050" style="mso-wrap-style:square;position:absolute;visibility:visible" from="1004,3047" to="59968,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62451B" w:rsidRPr="008D07A0" w:rsidP="00A66258">
                      <w:pPr>
                        <w:bidi w:val="0"/>
                        <w:rPr>
                          <w:rFonts w:ascii="Calibri" w:hAnsi="Calibri" w:cs="Calibri"/>
                          <w:color w:val="002060"/>
                          <w:sz w:val="22"/>
                          <w:szCs w:val="22"/>
                          <w:lang w:val="en"/>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r w:rsidRPr="0062451B" w:rsidR="008D07A0">
                        <w:rPr>
                          <w:rFonts w:ascii="Calibri" w:hAnsi="Calibri" w:cs="Calibri"/>
                          <w:color w:val="002060"/>
                          <w:sz w:val="22"/>
                          <w:szCs w:val="22"/>
                          <w:lang w:val="en"/>
                        </w:rPr>
                        <w:t xml:space="preserve">| Special Report  </w:t>
                      </w:r>
                    </w:p>
                  </w:txbxContent>
                </v:textbox>
              </v:shape>
              <v:shape id="תיבת טקסט 2" o:spid="_x0000_s2052" type="#_x0000_t202" style="width:12536;height:2857;flip:x;left:49620;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February</w:t>
                      </w:r>
                      <w:r w:rsidR="00A66258">
                        <w:rPr>
                          <w:rFonts w:ascii="Calibri" w:hAnsi="Calibri" w:cs="Calibri"/>
                          <w:color w:val="002060"/>
                          <w:szCs w:val="20"/>
                        </w:rPr>
                        <w:t xml:space="preserve"> 202</w:t>
                      </w:r>
                      <w:r>
                        <w:rPr>
                          <w:rFonts w:ascii="Calibri" w:hAnsi="Calibri" w:cs="Calibri"/>
                          <w:color w:val="002060"/>
                          <w:szCs w:val="20"/>
                        </w:rPr>
                        <w:t>6</w:t>
                      </w:r>
                      <w:r w:rsidRPr="0062451B">
                        <w:rPr>
                          <w:rFonts w:ascii="Calibri" w:hAnsi="Calibri" w:cs="Calibri" w:hint="cs"/>
                          <w:color w:val="002060"/>
                          <w:szCs w:val="20"/>
                          <w:rtl/>
                        </w:rPr>
                        <w:t xml:space="preserve"> </w:t>
                      </w:r>
                    </w:p>
                  </w:txbxContent>
                </v:textbox>
              </v:shape>
              <v:shape id="תיבת טקסט 2" o:spid="_x0000_s2053" type="#_x0000_t202" style="width:39995;height:4299;flip:x;left:333;mso-wrap-style:square;position:absolute;top:3045;visibility:visible;v-text-anchor:top" filled="f" stroked="f">
                <v:textbox>
                  <w:txbxContent>
                    <w:p w:rsidR="001E204F" w:rsidP="00A2381E">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w:t>
                      </w:r>
                      <w:r w:rsidR="002F7576">
                        <w:rPr>
                          <w:rFonts w:ascii="Calibri" w:hAnsi="Calibri" w:cs="Calibri"/>
                          <w:color w:val="002060"/>
                          <w:szCs w:val="20"/>
                        </w:rPr>
                        <w:t>Reception</w:t>
                      </w:r>
                      <w:r w:rsidRPr="008D07A0">
                        <w:rPr>
                          <w:rFonts w:ascii="Calibri" w:hAnsi="Calibri" w:cs="Calibri"/>
                          <w:color w:val="002060"/>
                          <w:szCs w:val="20"/>
                        </w:rPr>
                        <w:t xml:space="preserve"> </w:t>
                      </w:r>
                      <w:r w:rsidR="002F7576">
                        <w:rPr>
                          <w:rFonts w:ascii="Calibri" w:hAnsi="Calibri" w:cs="Calibri"/>
                          <w:color w:val="002060"/>
                          <w:szCs w:val="20"/>
                        </w:rPr>
                        <w:t>by</w:t>
                      </w:r>
                      <w:r w:rsidRPr="008D07A0">
                        <w:rPr>
                          <w:rFonts w:ascii="Calibri" w:hAnsi="Calibri" w:cs="Calibri"/>
                          <w:color w:val="002060"/>
                          <w:szCs w:val="20"/>
                        </w:rPr>
                        <w:t xml:space="preserve"> Local Authorities</w:t>
                      </w:r>
                    </w:p>
                    <w:p w:rsidR="009A5924" w:rsidP="009A5924">
                      <w:pPr>
                        <w:bidi w:val="0"/>
                        <w:spacing w:line="240" w:lineRule="auto"/>
                        <w:rPr>
                          <w:rFonts w:ascii="Calibri" w:hAnsi="Calibri" w:cs="Calibri"/>
                          <w:color w:val="002060"/>
                          <w:szCs w:val="20"/>
                        </w:rPr>
                      </w:pPr>
                    </w:p>
                  </w:txbxContent>
                </v:textbox>
              </v:shape>
            </v:group>
          </w:pict>
        </mc:Fallback>
      </mc:AlternateContent>
    </w:r>
    <w:r w:rsidR="00884AE5">
      <w:rPr>
        <w:rFonts w:asciiTheme="minorHAnsi" w:hAnsiTheme="minorHAnsi" w:cstheme="minorHAnsi" w:hint="cs"/>
        <w:color w:val="002060"/>
        <w:szCs w:val="20"/>
        <w:rtl/>
      </w:rPr>
      <w:t xml:space="preserve">  </w: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p>
  <w:p w:rsidR="00255371"/>
  <w:p w:rsidR="005C0416" w:rsidP="008D07A0">
    <w:pPr>
      <w:tabs>
        <w:tab w:val="left" w:pos="3771"/>
      </w:tabs>
    </w:pPr>
    <w:r>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D2" w:rsidRPr="00FB414E" w:rsidP="00846ED2">
    <w:pPr>
      <w:pStyle w:val="Header"/>
      <w:tabs>
        <w:tab w:val="clear" w:pos="8306"/>
      </w:tabs>
      <w:ind w:right="-142"/>
      <w:jc w:val="right"/>
      <w:rPr>
        <w:rFonts w:asciiTheme="minorHAnsi" w:hAnsiTheme="minorHAnsi" w:cstheme="minorHAnsi"/>
        <w:color w:val="002060"/>
        <w:szCs w:val="20"/>
      </w:rPr>
    </w:pPr>
    <w:r>
      <w:rPr>
        <w:noProof/>
      </w:rPr>
      <mc:AlternateContent>
        <mc:Choice Requires="wps">
          <w:drawing>
            <wp:anchor distT="0" distB="0" distL="114300" distR="114300" simplePos="0" relativeHeight="251670528" behindDoc="0" locked="0" layoutInCell="1" allowOverlap="1">
              <wp:simplePos x="0" y="0"/>
              <wp:positionH relativeFrom="page">
                <wp:posOffset>2022475</wp:posOffset>
              </wp:positionH>
              <wp:positionV relativeFrom="paragraph">
                <wp:posOffset>2412365</wp:posOffset>
              </wp:positionV>
              <wp:extent cx="3156858" cy="10886"/>
              <wp:effectExtent l="0" t="0" r="24765" b="27305"/>
              <wp:wrapNone/>
              <wp:docPr id="5" name="מחבר ישר 5"/>
              <wp:cNvGraphicFramePr/>
              <a:graphic xmlns:a="http://schemas.openxmlformats.org/drawingml/2006/main">
                <a:graphicData uri="http://schemas.microsoft.com/office/word/2010/wordprocessingShape">
                  <wps:wsp xmlns:wps="http://schemas.microsoft.com/office/word/2010/wordprocessingShape">
                    <wps:cNvCnPr/>
                    <wps:spPr>
                      <a:xfrm>
                        <a:off x="0" y="0"/>
                        <a:ext cx="3156858" cy="10886"/>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מחבר ישר 5" o:spid="_x0000_s2054" style="mso-height-percent:0;mso-height-relative:margin;mso-position-horizontal-relative:page;mso-width-percent:0;mso-width-relative:margin;mso-wrap-distance-bottom:0;mso-wrap-distance-left:9pt;mso-wrap-distance-right:9pt;mso-wrap-distance-top:0;mso-wrap-style:square;position:absolute;visibility:visible;z-index:251671552" from="159.25pt,189.95pt" to="407.8pt,190.8pt" strokecolor="#002060" strokeweight="1.25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2029934</wp:posOffset>
              </wp:positionH>
              <wp:positionV relativeFrom="paragraph">
                <wp:posOffset>1269402</wp:posOffset>
              </wp:positionV>
              <wp:extent cx="1691005" cy="719825"/>
              <wp:effectExtent l="0" t="0" r="4445" b="4445"/>
              <wp:wrapNone/>
              <wp:docPr id="11" name="מלבן 11"/>
              <wp:cNvGraphicFramePr/>
              <a:graphic xmlns:a="http://schemas.openxmlformats.org/drawingml/2006/main">
                <a:graphicData uri="http://schemas.microsoft.com/office/word/2010/wordprocessingShape">
                  <wps:wsp xmlns:wps="http://schemas.microsoft.com/office/word/2010/wordprocessingShape">
                    <wps:cNvSpPr/>
                    <wps:spPr>
                      <a:xfrm>
                        <a:off x="0" y="0"/>
                        <a:ext cx="1691005" cy="71982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מלבן 11" o:spid="_x0000_s2055" style="width:133.15pt;height:56.7pt;margin-top:99.95pt;margin-left:159.85pt;mso-height-percent:0;mso-height-relative:margin;mso-wrap-distance-bottom:0;mso-wrap-distance-left:9pt;mso-wrap-distance-right:9pt;mso-wrap-distance-top:0;mso-wrap-style:square;position:absolute;visibility:visible;v-text-anchor:middle;z-index:251665408" fillcolor="#002060" stroked="f" strokeweight="2pt"/>
          </w:pict>
        </mc:Fallback>
      </mc:AlternateContent>
    </w:r>
    <w:r w:rsidRPr="00A5605A">
      <w:rPr>
        <w:rFonts w:asciiTheme="minorHAnsi" w:hAnsiTheme="minorHAnsi" w:cs="Calibri"/>
        <w:noProof/>
        <w:color w:val="002060"/>
        <w:szCs w:val="20"/>
        <w:rtl/>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ragraph">
                <wp:posOffset>1447070</wp:posOffset>
              </wp:positionV>
              <wp:extent cx="2959100" cy="455930"/>
              <wp:effectExtent l="0" t="0" r="0" b="1270"/>
              <wp:wrapNone/>
              <wp:docPr id="14" name="תיבת טקסט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455930"/>
                      </a:xfrm>
                      <a:prstGeom prst="rect">
                        <a:avLst/>
                      </a:prstGeom>
                      <a:noFill/>
                      <a:ln w="6350">
                        <a:noFill/>
                      </a:ln>
                    </wps:spPr>
                    <wps:txbx>
                      <w:txbxContent>
                        <w:p w:rsidR="00846ED2" w:rsidRPr="00EE06A0" w:rsidP="00846ED2">
                          <w:pPr>
                            <w:bidi w:val="0"/>
                            <w:jc w:val="center"/>
                            <w:rPr>
                              <w:rFonts w:ascii="Calibri" w:hAnsi="Calibri" w:cs="Calibri"/>
                              <w:color w:val="FFFFFF" w:themeColor="background1"/>
                              <w:spacing w:val="80"/>
                              <w:sz w:val="28"/>
                              <w:szCs w:val="36"/>
                            </w:rPr>
                          </w:pPr>
                          <w:r>
                            <w:rPr>
                              <w:rFonts w:ascii="Calibri" w:hAnsi="Calibri" w:cs="Calibri" w:hint="cs"/>
                              <w:color w:val="FFFFFF" w:themeColor="background1"/>
                              <w:spacing w:val="80"/>
                              <w:sz w:val="28"/>
                              <w:szCs w:val="36"/>
                              <w:lang w:val="en"/>
                            </w:rPr>
                            <w:t>Chapter VIII</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4" o:spid="_x0000_s2056" type="#_x0000_t202" style="width:233pt;height:35.9pt;margin-top:113.95pt;margin-left:0;mso-position-horizontal:center;mso-position-horizontal-relative:page;mso-wrap-distance-bottom:0;mso-wrap-distance-left:9pt;mso-wrap-distance-right:9pt;mso-wrap-distance-top:0;mso-wrap-style:square;position:absolute;visibility:visible;v-text-anchor:top;z-index:251669504" filled="f" stroked="f" strokeweight="0.5pt">
              <v:textbox>
                <w:txbxContent>
                  <w:p w:rsidR="00846ED2" w:rsidRPr="00EE06A0" w:rsidP="00846ED2">
                    <w:pPr>
                      <w:bidi w:val="0"/>
                      <w:jc w:val="center"/>
                      <w:rPr>
                        <w:rFonts w:ascii="Calibri" w:hAnsi="Calibri" w:cs="Calibri"/>
                        <w:color w:val="FFFFFF" w:themeColor="background1"/>
                        <w:spacing w:val="80"/>
                        <w:sz w:val="28"/>
                        <w:szCs w:val="36"/>
                      </w:rPr>
                    </w:pPr>
                    <w:r>
                      <w:rPr>
                        <w:rFonts w:ascii="Calibri" w:hAnsi="Calibri" w:cs="Calibri" w:hint="cs"/>
                        <w:color w:val="FFFFFF" w:themeColor="background1"/>
                        <w:spacing w:val="80"/>
                        <w:sz w:val="28"/>
                        <w:szCs w:val="36"/>
                        <w:lang w:val="en"/>
                      </w:rPr>
                      <w:t>Chapter VIII</w:t>
                    </w:r>
                  </w:p>
                </w:txbxContent>
              </v:textbox>
            </v:shape>
          </w:pict>
        </mc:Fallback>
      </mc:AlternateContent>
    </w:r>
    <w:r>
      <w:rPr>
        <w:rFonts w:asciiTheme="minorHAnsi" w:hAnsiTheme="minorHAnsi" w:cs="Calibri"/>
        <w:noProof/>
        <w:color w:val="002060"/>
        <w:szCs w:val="20"/>
        <w:rtl/>
        <w:lang w:val="he-IL"/>
      </w:rPr>
      <mc:AlternateContent>
        <mc:Choice Requires="wps">
          <w:drawing>
            <wp:anchor distT="0" distB="0" distL="114300" distR="114300" simplePos="0" relativeHeight="251666432" behindDoc="0" locked="0" layoutInCell="1" allowOverlap="1">
              <wp:simplePos x="0" y="0"/>
              <wp:positionH relativeFrom="column">
                <wp:posOffset>2042160</wp:posOffset>
              </wp:positionH>
              <wp:positionV relativeFrom="paragraph">
                <wp:posOffset>1979930</wp:posOffset>
              </wp:positionV>
              <wp:extent cx="1676400" cy="0"/>
              <wp:effectExtent l="0" t="0" r="0" b="0"/>
              <wp:wrapNone/>
              <wp:docPr id="16" name="מחבר ישר 16"/>
              <wp:cNvGraphicFramePr/>
              <a:graphic xmlns:a="http://schemas.openxmlformats.org/drawingml/2006/main">
                <a:graphicData uri="http://schemas.microsoft.com/office/word/2010/wordprocessingShape">
                  <wps:wsp xmlns:wps="http://schemas.microsoft.com/office/word/2010/wordprocessingShape">
                    <wps:cNvCnPr/>
                    <wps:spPr>
                      <a:xfrm>
                        <a:off x="0" y="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16" o:spid="_x0000_s2057" style="mso-wrap-distance-bottom:0;mso-wrap-distance-left:9pt;mso-wrap-distance-right:9pt;mso-wrap-distance-top:0;mso-wrap-style:square;position:absolute;visibility:visible;z-index:251667456" from="160.8pt,155.9pt" to="292.8pt,155.9pt" strokecolor="#002060" strokeweight="2pt"/>
          </w:pict>
        </mc:Fallback>
      </mc:AlternateContent>
    </w:r>
  </w:p>
  <w:p w:rsidR="008C6F75" w:rsidRPr="00846ED2" w:rsidP="00846ED2">
    <w:pPr>
      <w:pStyle w:val="Header"/>
    </w:pPr>
  </w:p>
  <w:p w:rsidR="005C04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924" w:rsidRPr="0062451B" w:rsidP="00884AE5">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86912" behindDoc="0" locked="0" layoutInCell="1" allowOverlap="1">
              <wp:simplePos x="0" y="0"/>
              <wp:positionH relativeFrom="column">
                <wp:posOffset>-187353</wp:posOffset>
              </wp:positionH>
              <wp:positionV relativeFrom="paragraph">
                <wp:posOffset>-76504</wp:posOffset>
              </wp:positionV>
              <wp:extent cx="6182346" cy="715375"/>
              <wp:effectExtent l="0" t="0" r="0" b="0"/>
              <wp:wrapNone/>
              <wp:docPr id="1611176933" name="קבוצה 1611176933"/>
              <wp:cNvGraphicFramePr/>
              <a:graphic xmlns:a="http://schemas.openxmlformats.org/drawingml/2006/main">
                <a:graphicData uri="http://schemas.microsoft.com/office/word/2010/wordprocessingGroup">
                  <wpg:wgp xmlns:wpg="http://schemas.microsoft.com/office/word/2010/wordprocessingGroup">
                    <wpg:cNvGrpSpPr/>
                    <wpg:grpSpPr>
                      <a:xfrm>
                        <a:off x="0" y="0"/>
                        <a:ext cx="6182346" cy="715375"/>
                        <a:chOff x="33353" y="19047"/>
                        <a:chExt cx="6182346" cy="715375"/>
                      </a:xfrm>
                    </wpg:grpSpPr>
                    <wps:wsp xmlns:wps="http://schemas.microsoft.com/office/word/2010/wordprocessingShape">
                      <wps:cNvPr id="1611176934" name="מחבר ישר 1611176934"/>
                      <wps:cNvCnPr/>
                      <wps:spPr>
                        <a:xfrm>
                          <a:off x="100476" y="304790"/>
                          <a:ext cx="5896357" cy="17"/>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161117693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9A5924" w:rsidRPr="008D07A0" w:rsidP="00A66258">
                            <w:pPr>
                              <w:bidi w:val="0"/>
                              <w:rPr>
                                <w:rFonts w:ascii="Calibri" w:hAnsi="Calibri" w:cs="Calibri"/>
                                <w:color w:val="002060"/>
                                <w:sz w:val="22"/>
                                <w:szCs w:val="22"/>
                                <w:lang w:val="en"/>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Pr="0062451B">
                              <w:rPr>
                                <w:rFonts w:ascii="Calibri" w:hAnsi="Calibri" w:cs="Calibri"/>
                                <w:color w:val="002060"/>
                                <w:sz w:val="22"/>
                                <w:szCs w:val="22"/>
                                <w:lang w:val="en"/>
                              </w:rPr>
                              <w:t xml:space="preserve">| Special Report  </w:t>
                            </w:r>
                          </w:p>
                        </w:txbxContent>
                      </wps:txbx>
                      <wps:bodyPr rot="0" vert="horz" wrap="square" lIns="91440" tIns="45720" rIns="91440" bIns="45720" anchor="t" anchorCtr="0"/>
                    </wps:wsp>
                    <wps:wsp xmlns:wps="http://schemas.microsoft.com/office/word/2010/wordprocessingShape">
                      <wps:cNvPr id="1611176937" name="תיבת טקסט 2"/>
                      <wps:cNvSpPr txBox="1">
                        <a:spLocks noChangeArrowheads="1"/>
                      </wps:cNvSpPr>
                      <wps:spPr bwMode="auto">
                        <a:xfrm flipH="1">
                          <a:off x="4962082" y="304817"/>
                          <a:ext cx="1253617" cy="285750"/>
                        </a:xfrm>
                        <a:prstGeom prst="rect">
                          <a:avLst/>
                        </a:prstGeom>
                        <a:noFill/>
                        <a:ln w="9525">
                          <a:noFill/>
                          <a:miter lim="800000"/>
                          <a:headEnd/>
                          <a:tailEnd/>
                        </a:ln>
                      </wps:spPr>
                      <wps:txbx>
                        <w:txbxContent>
                          <w:p w:rsidR="009A592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February 2026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1611176938" name="תיבת טקסט 2"/>
                      <wps:cNvSpPr txBox="1">
                        <a:spLocks noChangeArrowheads="1"/>
                      </wps:cNvSpPr>
                      <wps:spPr bwMode="auto">
                        <a:xfrm flipH="1">
                          <a:off x="33353" y="304541"/>
                          <a:ext cx="3999506" cy="429881"/>
                        </a:xfrm>
                        <a:prstGeom prst="rect">
                          <a:avLst/>
                        </a:prstGeom>
                        <a:noFill/>
                        <a:ln w="9525">
                          <a:noFill/>
                          <a:miter lim="800000"/>
                          <a:headEnd/>
                          <a:tailEnd/>
                        </a:ln>
                      </wps:spPr>
                      <wps:txbx>
                        <w:txbxContent>
                          <w:p w:rsidR="009A5924" w:rsidP="00A2381E">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Reception </w:t>
                            </w:r>
                            <w:r w:rsidR="0031692F">
                              <w:rPr>
                                <w:rFonts w:ascii="Calibri" w:hAnsi="Calibri" w:cs="Calibri"/>
                                <w:color w:val="002060"/>
                                <w:szCs w:val="20"/>
                              </w:rPr>
                              <w:t>by</w:t>
                            </w:r>
                            <w:r w:rsidRPr="008D07A0">
                              <w:rPr>
                                <w:rFonts w:ascii="Calibri" w:hAnsi="Calibri" w:cs="Calibri"/>
                                <w:color w:val="002060"/>
                                <w:szCs w:val="20"/>
                              </w:rPr>
                              <w:t xml:space="preserve"> Local Authorities</w:t>
                            </w:r>
                          </w:p>
                          <w:p w:rsidR="009A5924" w:rsidRPr="00884AE5" w:rsidP="009A5924">
                            <w:pPr>
                              <w:bidi w:val="0"/>
                              <w:spacing w:line="240" w:lineRule="auto"/>
                              <w:rPr>
                                <w:rFonts w:ascii="Calibri" w:hAnsi="Calibri" w:cs="Calibri"/>
                                <w:color w:val="002060"/>
                                <w:sz w:val="19"/>
                                <w:szCs w:val="19"/>
                              </w:rPr>
                            </w:pPr>
                            <w:r w:rsidRPr="00884AE5">
                              <w:rPr>
                                <w:rFonts w:ascii="Calibri" w:hAnsi="Calibri" w:cs="Calibri"/>
                                <w:color w:val="002060"/>
                                <w:sz w:val="19"/>
                                <w:szCs w:val="19"/>
                              </w:rPr>
                              <w:t>Provision of Services to Evacuees – Assistance with Immediate and Basic Needs</w:t>
                            </w:r>
                          </w:p>
                          <w:p w:rsidR="009A5924" w:rsidP="009A5924">
                            <w:pPr>
                              <w:bidi w:val="0"/>
                              <w:spacing w:line="240" w:lineRule="auto"/>
                              <w:rPr>
                                <w:rFonts w:ascii="Calibri" w:hAnsi="Calibri" w:cs="Calibri"/>
                                <w:color w:val="002060"/>
                                <w:szCs w:val="20"/>
                              </w:rPr>
                            </w:pPr>
                          </w:p>
                          <w:p w:rsidR="009A5924" w:rsidP="009A5924">
                            <w:pPr>
                              <w:bidi w:val="0"/>
                              <w:spacing w:line="240" w:lineRule="auto"/>
                              <w:rPr>
                                <w:rFonts w:ascii="Calibri" w:hAnsi="Calibri" w:cs="Calibri"/>
                                <w:color w:val="002060"/>
                                <w:szCs w:val="20"/>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611176933" o:spid="_x0000_s2061" style="width:486.8pt;height:56.35pt;margin-top:-6pt;margin-left:-14.75pt;mso-height-relative:margin;mso-width-relative:margin;position:absolute;z-index:251687936" coordorigin="333,190" coordsize="61823,7153">
              <v:line id="מחבר ישר 1611176934" o:spid="_x0000_s2062" style="mso-wrap-style:square;position:absolute;visibility:visible" from="1004,3047" to="59968,3048" o:connectortype="straight" strokecolor="#4579b8"/>
              <v:shapetype id="_x0000_t202" coordsize="21600,21600" o:spt="202" path="m,l,21600r21600,l21600,xe">
                <v:stroke joinstyle="miter"/>
                <v:path gradientshapeok="t" o:connecttype="rect"/>
              </v:shapetype>
              <v:shape id="תיבת טקסט 2" o:spid="_x0000_s2063" type="#_x0000_t202" style="width:31642;height:2857;flip:x;left:333;mso-wrap-style:square;position:absolute;top:190;visibility:visible;v-text-anchor:top" filled="f" stroked="f">
                <v:textbox>
                  <w:txbxContent>
                    <w:p w:rsidR="009A5924" w:rsidRPr="008D07A0" w:rsidP="00A66258">
                      <w:pPr>
                        <w:bidi w:val="0"/>
                        <w:rPr>
                          <w:rFonts w:ascii="Calibri" w:hAnsi="Calibri" w:cs="Calibri"/>
                          <w:color w:val="002060"/>
                          <w:sz w:val="22"/>
                          <w:szCs w:val="22"/>
                          <w:lang w:val="en"/>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Pr="0062451B">
                        <w:rPr>
                          <w:rFonts w:ascii="Calibri" w:hAnsi="Calibri" w:cs="Calibri"/>
                          <w:color w:val="002060"/>
                          <w:sz w:val="22"/>
                          <w:szCs w:val="22"/>
                          <w:lang w:val="en"/>
                        </w:rPr>
                        <w:t xml:space="preserve">| Special Report  </w:t>
                      </w:r>
                    </w:p>
                  </w:txbxContent>
                </v:textbox>
              </v:shape>
              <v:shape id="תיבת טקסט 2" o:spid="_x0000_s2064" type="#_x0000_t202" style="width:12536;height:2857;flip:x;left:49620;mso-wrap-style:square;position:absolute;top:3048;visibility:visible;v-text-anchor:top" filled="f" stroked="f">
                <v:textbox>
                  <w:txbxContent>
                    <w:p w:rsidR="009A592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February 2026</w:t>
                      </w:r>
                      <w:r w:rsidRPr="0062451B">
                        <w:rPr>
                          <w:rFonts w:ascii="Calibri" w:hAnsi="Calibri" w:cs="Calibri" w:hint="cs"/>
                          <w:color w:val="002060"/>
                          <w:szCs w:val="20"/>
                          <w:rtl/>
                        </w:rPr>
                        <w:t xml:space="preserve"> </w:t>
                      </w:r>
                    </w:p>
                  </w:txbxContent>
                </v:textbox>
              </v:shape>
              <v:shape id="תיבת טקסט 2" o:spid="_x0000_s2065" type="#_x0000_t202" style="width:39995;height:4299;flip:x;left:333;mso-wrap-style:square;position:absolute;top:3045;visibility:visible;v-text-anchor:top" filled="f" stroked="f">
                <v:textbox>
                  <w:txbxContent>
                    <w:p w:rsidR="009A5924" w:rsidP="00A2381E">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Reception </w:t>
                      </w:r>
                      <w:r w:rsidR="0031692F">
                        <w:rPr>
                          <w:rFonts w:ascii="Calibri" w:hAnsi="Calibri" w:cs="Calibri"/>
                          <w:color w:val="002060"/>
                          <w:szCs w:val="20"/>
                        </w:rPr>
                        <w:t>by</w:t>
                      </w:r>
                      <w:r w:rsidRPr="008D07A0">
                        <w:rPr>
                          <w:rFonts w:ascii="Calibri" w:hAnsi="Calibri" w:cs="Calibri"/>
                          <w:color w:val="002060"/>
                          <w:szCs w:val="20"/>
                        </w:rPr>
                        <w:t xml:space="preserve"> Local Authorities</w:t>
                      </w:r>
                    </w:p>
                    <w:p w:rsidR="009A5924" w:rsidRPr="00884AE5" w:rsidP="009A5924">
                      <w:pPr>
                        <w:bidi w:val="0"/>
                        <w:spacing w:line="240" w:lineRule="auto"/>
                        <w:rPr>
                          <w:rFonts w:ascii="Calibri" w:hAnsi="Calibri" w:cs="Calibri"/>
                          <w:color w:val="002060"/>
                          <w:sz w:val="19"/>
                          <w:szCs w:val="19"/>
                        </w:rPr>
                      </w:pPr>
                      <w:r w:rsidRPr="00884AE5">
                        <w:rPr>
                          <w:rFonts w:ascii="Calibri" w:hAnsi="Calibri" w:cs="Calibri"/>
                          <w:color w:val="002060"/>
                          <w:sz w:val="19"/>
                          <w:szCs w:val="19"/>
                        </w:rPr>
                        <w:t>Provision of Services to Evacuees – Assistance with Immediate and Basic Needs</w:t>
                      </w:r>
                    </w:p>
                    <w:p w:rsidR="009A5924" w:rsidP="009A5924">
                      <w:pPr>
                        <w:bidi w:val="0"/>
                        <w:spacing w:line="240" w:lineRule="auto"/>
                        <w:rPr>
                          <w:rFonts w:ascii="Calibri" w:hAnsi="Calibri" w:cs="Calibri"/>
                          <w:color w:val="002060"/>
                          <w:szCs w:val="20"/>
                        </w:rPr>
                      </w:pPr>
                    </w:p>
                    <w:p w:rsidR="009A5924" w:rsidP="009A5924">
                      <w:pPr>
                        <w:bidi w:val="0"/>
                        <w:spacing w:line="240" w:lineRule="auto"/>
                        <w:rPr>
                          <w:rFonts w:ascii="Calibri" w:hAnsi="Calibri" w:cs="Calibri"/>
                          <w:color w:val="002060"/>
                          <w:szCs w:val="20"/>
                        </w:rPr>
                      </w:pPr>
                    </w:p>
                  </w:txbxContent>
                </v:textbox>
              </v:shape>
            </v:group>
          </w:pict>
        </mc:Fallback>
      </mc:AlternateContent>
    </w:r>
    <w:r>
      <w:rPr>
        <w:rFonts w:asciiTheme="minorHAnsi" w:hAnsiTheme="minorHAnsi" w:cstheme="minorHAnsi" w:hint="cs"/>
        <w:color w:val="002060"/>
        <w:szCs w:val="20"/>
        <w:rtl/>
      </w:rPr>
      <w:t xml:space="preserve">  </w: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p>
  <w:p w:rsidR="009A5924"/>
  <w:p w:rsidR="009A5924" w:rsidP="008D07A0">
    <w:pPr>
      <w:tabs>
        <w:tab w:val="left" w:pos="3771"/>
      </w:tabs>
    </w:pPr>
    <w:r>
      <w:rPr>
        <w:rtl/>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7A0" w:rsidRPr="00FB414E" w:rsidP="00846ED2">
    <w:pPr>
      <w:pStyle w:val="Header"/>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82816" behindDoc="0" locked="0" layoutInCell="1" allowOverlap="1">
              <wp:simplePos x="0" y="0"/>
              <wp:positionH relativeFrom="column">
                <wp:posOffset>-187353</wp:posOffset>
              </wp:positionH>
              <wp:positionV relativeFrom="paragraph">
                <wp:posOffset>74571</wp:posOffset>
              </wp:positionV>
              <wp:extent cx="6086475" cy="691515"/>
              <wp:effectExtent l="0" t="0" r="0" b="0"/>
              <wp:wrapNone/>
              <wp:docPr id="63" name="קבוצה 63"/>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475" cy="691515"/>
                        <a:chOff x="33354" y="19047"/>
                        <a:chExt cx="6086929" cy="691763"/>
                      </a:xfrm>
                    </wpg:grpSpPr>
                    <wps:wsp xmlns:wps="http://schemas.microsoft.com/office/word/2010/wordprocessingShape">
                      <wps:cNvPr id="1611176896" name="מחבר ישר 1611176896"/>
                      <wps:cNvCnPr/>
                      <wps:spPr>
                        <a:xfrm>
                          <a:off x="100483" y="304800"/>
                          <a:ext cx="5761612" cy="16505"/>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161117689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8D07A0" w:rsidRPr="003132B5" w:rsidP="008D07A0">
                            <w:pPr>
                              <w:bidi w:val="0"/>
                              <w:rPr>
                                <w:rFonts w:ascii="Calibri" w:hAnsi="Calibri" w:cs="Calibri"/>
                                <w:color w:val="002060"/>
                                <w:sz w:val="22"/>
                                <w:szCs w:val="22"/>
                                <w:rtl/>
                                <w:lang w:val="en"/>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Pr="0062451B" w:rsidR="003132B5">
                              <w:rPr>
                                <w:rFonts w:ascii="Calibri" w:hAnsi="Calibri" w:cs="Calibri"/>
                                <w:color w:val="002060"/>
                                <w:sz w:val="22"/>
                                <w:szCs w:val="22"/>
                                <w:lang w:val="en"/>
                              </w:rPr>
                              <w:t xml:space="preserve">| Special Report  </w:t>
                            </w:r>
                          </w:p>
                        </w:txbxContent>
                      </wps:txbx>
                      <wps:bodyPr rot="0" vert="horz" wrap="square" lIns="91440" tIns="45720" rIns="91440" bIns="45720" anchor="t" anchorCtr="0"/>
                    </wps:wsp>
                    <wps:wsp xmlns:wps="http://schemas.microsoft.com/office/word/2010/wordprocessingShape">
                      <wps:cNvPr id="1611176898" name="תיבת טקסט 2"/>
                      <wps:cNvSpPr txBox="1">
                        <a:spLocks noChangeArrowheads="1"/>
                      </wps:cNvSpPr>
                      <wps:spPr bwMode="auto">
                        <a:xfrm flipH="1">
                          <a:off x="4866666" y="320725"/>
                          <a:ext cx="1253617" cy="285750"/>
                        </a:xfrm>
                        <a:prstGeom prst="rect">
                          <a:avLst/>
                        </a:prstGeom>
                        <a:noFill/>
                        <a:ln w="9525">
                          <a:noFill/>
                          <a:miter lim="800000"/>
                          <a:headEnd/>
                          <a:tailEnd/>
                        </a:ln>
                      </wps:spPr>
                      <wps:txbx>
                        <w:txbxContent>
                          <w:p w:rsidR="008D07A0" w:rsidRPr="0062451B" w:rsidP="008D07A0">
                            <w:pPr>
                              <w:bidi w:val="0"/>
                              <w:spacing w:line="240" w:lineRule="auto"/>
                              <w:ind w:right="186"/>
                              <w:jc w:val="right"/>
                              <w:rPr>
                                <w:rFonts w:ascii="Calibri" w:hAnsi="Calibri" w:cs="Calibri"/>
                                <w:color w:val="002060"/>
                                <w:szCs w:val="20"/>
                                <w:rtl/>
                              </w:rPr>
                            </w:pPr>
                            <w:r>
                              <w:rPr>
                                <w:rFonts w:ascii="Calibri" w:hAnsi="Calibri" w:cs="Calibri"/>
                                <w:color w:val="002060"/>
                                <w:szCs w:val="20"/>
                              </w:rPr>
                              <w:t>February 2026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1611176899" name="תיבת טקסט 2"/>
                      <wps:cNvSpPr txBox="1">
                        <a:spLocks noChangeArrowheads="1"/>
                      </wps:cNvSpPr>
                      <wps:spPr bwMode="auto">
                        <a:xfrm flipH="1">
                          <a:off x="33354" y="304793"/>
                          <a:ext cx="4270169" cy="406017"/>
                        </a:xfrm>
                        <a:prstGeom prst="rect">
                          <a:avLst/>
                        </a:prstGeom>
                        <a:noFill/>
                        <a:ln w="9525">
                          <a:noFill/>
                          <a:miter lim="800000"/>
                          <a:headEnd/>
                          <a:tailEnd/>
                        </a:ln>
                      </wps:spPr>
                      <wps:txbx>
                        <w:txbxContent>
                          <w:p w:rsidR="008D07A0" w:rsidP="008D07A0">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Reception </w:t>
                            </w:r>
                            <w:r w:rsidR="002F7576">
                              <w:rPr>
                                <w:rFonts w:ascii="Calibri" w:hAnsi="Calibri" w:cs="Calibri"/>
                                <w:color w:val="002060"/>
                                <w:szCs w:val="20"/>
                              </w:rPr>
                              <w:t>by</w:t>
                            </w:r>
                            <w:r w:rsidRPr="008D07A0">
                              <w:rPr>
                                <w:rFonts w:ascii="Calibri" w:hAnsi="Calibri" w:cs="Calibri"/>
                                <w:color w:val="002060"/>
                                <w:szCs w:val="20"/>
                              </w:rPr>
                              <w:t xml:space="preserve"> Local Authorities</w:t>
                            </w:r>
                          </w:p>
                          <w:p w:rsidR="008D07A0" w:rsidRPr="00884AE5" w:rsidP="008D07A0">
                            <w:pPr>
                              <w:bidi w:val="0"/>
                              <w:spacing w:line="240" w:lineRule="auto"/>
                              <w:rPr>
                                <w:rFonts w:ascii="Calibri" w:hAnsi="Calibri" w:cs="Calibri"/>
                                <w:color w:val="002060"/>
                                <w:sz w:val="19"/>
                                <w:szCs w:val="19"/>
                              </w:rPr>
                            </w:pPr>
                            <w:r w:rsidRPr="00884AE5">
                              <w:rPr>
                                <w:rFonts w:ascii="Calibri" w:hAnsi="Calibri" w:cs="Calibri"/>
                                <w:color w:val="002060"/>
                                <w:sz w:val="19"/>
                                <w:szCs w:val="19"/>
                              </w:rPr>
                              <w:t>Provision of Services to Evacuees – Assistance with Immediate and Basic Needs</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63" o:spid="_x0000_s2066" style="width:479.25pt;height:54.45pt;margin-top:5.85pt;margin-left:-14.75pt;mso-height-relative:margin;mso-width-relative:margin;position:absolute;z-index:251683840" coordorigin="333,190" coordsize="60869,6917">
              <v:line id="מחבר ישר 1611176896" o:spid="_x0000_s2067" style="mso-wrap-style:square;position:absolute;visibility:visible" from="1004,3048" to="58620,3213" o:connectortype="straight" strokecolor="#4579b8"/>
              <v:shapetype id="_x0000_t202" coordsize="21600,21600" o:spt="202" path="m,l,21600r21600,l21600,xe">
                <v:stroke joinstyle="miter"/>
                <v:path gradientshapeok="t" o:connecttype="rect"/>
              </v:shapetype>
              <v:shape id="תיבת טקסט 2" o:spid="_x0000_s2068" type="#_x0000_t202" style="width:31642;height:2857;flip:x;left:333;mso-wrap-style:square;position:absolute;top:190;visibility:visible;v-text-anchor:top" filled="f" stroked="f">
                <v:textbox>
                  <w:txbxContent>
                    <w:p w:rsidR="008D07A0" w:rsidRPr="003132B5" w:rsidP="008D07A0">
                      <w:pPr>
                        <w:bidi w:val="0"/>
                        <w:rPr>
                          <w:rFonts w:ascii="Calibri" w:hAnsi="Calibri" w:cs="Calibri"/>
                          <w:color w:val="002060"/>
                          <w:sz w:val="22"/>
                          <w:szCs w:val="22"/>
                          <w:rtl/>
                          <w:lang w:val="en"/>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Pr="0062451B" w:rsidR="003132B5">
                        <w:rPr>
                          <w:rFonts w:ascii="Calibri" w:hAnsi="Calibri" w:cs="Calibri"/>
                          <w:color w:val="002060"/>
                          <w:sz w:val="22"/>
                          <w:szCs w:val="22"/>
                          <w:lang w:val="en"/>
                        </w:rPr>
                        <w:t xml:space="preserve">| Special Report  </w:t>
                      </w:r>
                    </w:p>
                  </w:txbxContent>
                </v:textbox>
              </v:shape>
              <v:shape id="תיבת טקסט 2" o:spid="_x0000_s2069" type="#_x0000_t202" style="width:12536;height:2857;flip:x;left:48666;mso-wrap-style:square;position:absolute;top:3207;visibility:visible;v-text-anchor:top" filled="f" stroked="f">
                <v:textbox>
                  <w:txbxContent>
                    <w:p w:rsidR="008D07A0" w:rsidRPr="0062451B" w:rsidP="008D07A0">
                      <w:pPr>
                        <w:bidi w:val="0"/>
                        <w:spacing w:line="240" w:lineRule="auto"/>
                        <w:ind w:right="186"/>
                        <w:jc w:val="right"/>
                        <w:rPr>
                          <w:rFonts w:ascii="Calibri" w:hAnsi="Calibri" w:cs="Calibri"/>
                          <w:color w:val="002060"/>
                          <w:szCs w:val="20"/>
                          <w:rtl/>
                        </w:rPr>
                      </w:pPr>
                      <w:r>
                        <w:rPr>
                          <w:rFonts w:ascii="Calibri" w:hAnsi="Calibri" w:cs="Calibri"/>
                          <w:color w:val="002060"/>
                          <w:szCs w:val="20"/>
                        </w:rPr>
                        <w:t>February 2026</w:t>
                      </w:r>
                      <w:r w:rsidRPr="0062451B">
                        <w:rPr>
                          <w:rFonts w:ascii="Calibri" w:hAnsi="Calibri" w:cs="Calibri" w:hint="cs"/>
                          <w:color w:val="002060"/>
                          <w:szCs w:val="20"/>
                          <w:rtl/>
                        </w:rPr>
                        <w:t xml:space="preserve"> </w:t>
                      </w:r>
                    </w:p>
                  </w:txbxContent>
                </v:textbox>
              </v:shape>
              <v:shape id="תיבת טקסט 2" o:spid="_x0000_s2070" type="#_x0000_t202" style="width:42702;height:4061;flip:x;left:333;mso-wrap-style:square;position:absolute;top:3047;visibility:visible;v-text-anchor:top" filled="f" stroked="f">
                <v:textbox>
                  <w:txbxContent>
                    <w:p w:rsidR="008D07A0" w:rsidP="008D07A0">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Reception </w:t>
                      </w:r>
                      <w:r w:rsidR="002F7576">
                        <w:rPr>
                          <w:rFonts w:ascii="Calibri" w:hAnsi="Calibri" w:cs="Calibri"/>
                          <w:color w:val="002060"/>
                          <w:szCs w:val="20"/>
                        </w:rPr>
                        <w:t>by</w:t>
                      </w:r>
                      <w:r w:rsidRPr="008D07A0">
                        <w:rPr>
                          <w:rFonts w:ascii="Calibri" w:hAnsi="Calibri" w:cs="Calibri"/>
                          <w:color w:val="002060"/>
                          <w:szCs w:val="20"/>
                        </w:rPr>
                        <w:t xml:space="preserve"> Local Authorities</w:t>
                      </w:r>
                    </w:p>
                    <w:p w:rsidR="008D07A0" w:rsidRPr="00884AE5" w:rsidP="008D07A0">
                      <w:pPr>
                        <w:bidi w:val="0"/>
                        <w:spacing w:line="240" w:lineRule="auto"/>
                        <w:rPr>
                          <w:rFonts w:ascii="Calibri" w:hAnsi="Calibri" w:cs="Calibri"/>
                          <w:color w:val="002060"/>
                          <w:sz w:val="19"/>
                          <w:szCs w:val="19"/>
                        </w:rPr>
                      </w:pPr>
                      <w:r w:rsidRPr="00884AE5">
                        <w:rPr>
                          <w:rFonts w:ascii="Calibri" w:hAnsi="Calibri" w:cs="Calibri"/>
                          <w:color w:val="002060"/>
                          <w:sz w:val="19"/>
                          <w:szCs w:val="19"/>
                        </w:rPr>
                        <w:t>Provision of Services to Evacuees – Assistance with Immediate and Basic Needs</w:t>
                      </w:r>
                    </w:p>
                  </w:txbxContent>
                </v:textbox>
              </v:shape>
            </v:group>
          </w:pict>
        </mc:Fallback>
      </mc:AlternateContent>
    </w:r>
  </w:p>
  <w:p w:rsidR="008D07A0" w:rsidRPr="0062451B" w:rsidP="008D07A0">
    <w:pPr>
      <w:pStyle w:val="Header"/>
      <w:bidi w:val="0"/>
      <w:ind w:right="-1"/>
      <w:jc w:val="right"/>
      <w:rPr>
        <w:rFonts w:asciiTheme="minorHAnsi" w:hAnsiTheme="minorHAnsi" w:cstheme="minorHAnsi"/>
        <w:color w:val="002060"/>
        <w:szCs w:val="20"/>
      </w:rPr>
    </w:pP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8D07A0" w:rsidP="008D07A0"/>
  <w:p w:rsidR="008D07A0" w:rsidRPr="00846ED2" w:rsidP="008D07A0">
    <w:pPr>
      <w:tabs>
        <w:tab w:val="left" w:pos="3771"/>
      </w:tabs>
    </w:pPr>
    <w:r>
      <w:rPr>
        <w:rtl/>
      </w:rPr>
      <w:tab/>
    </w:r>
  </w:p>
  <w:p w:rsidR="008D07A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02F" w:rsidRPr="005C3049" w:rsidP="005C3049">
    <w:pPr>
      <w:pStyle w:val="Header"/>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4624" behindDoc="0" locked="0" layoutInCell="1" allowOverlap="1">
              <wp:simplePos x="0" y="0"/>
              <wp:positionH relativeFrom="column">
                <wp:posOffset>-193040</wp:posOffset>
              </wp:positionH>
              <wp:positionV relativeFrom="paragraph">
                <wp:posOffset>-94615</wp:posOffset>
              </wp:positionV>
              <wp:extent cx="6150310" cy="604586"/>
              <wp:effectExtent l="0" t="0" r="3175" b="5080"/>
              <wp:wrapNone/>
              <wp:docPr id="453847227" name="קבוצה 453847227"/>
              <wp:cNvGraphicFramePr/>
              <a:graphic xmlns:a="http://schemas.openxmlformats.org/drawingml/2006/main">
                <a:graphicData uri="http://schemas.microsoft.com/office/word/2010/wordprocessingGroup">
                  <wpg:wgp xmlns:wpg="http://schemas.microsoft.com/office/word/2010/wordprocessingGroup">
                    <wpg:cNvGrpSpPr/>
                    <wpg:grpSpPr>
                      <a:xfrm>
                        <a:off x="0" y="0"/>
                        <a:ext cx="6150310" cy="604586"/>
                        <a:chOff x="31750" y="0"/>
                        <a:chExt cx="6150310" cy="604586"/>
                      </a:xfrm>
                    </wpg:grpSpPr>
                    <wps:wsp xmlns:wps="http://schemas.microsoft.com/office/word/2010/wordprocessingShape">
                      <wps:cNvPr id="1834351669" name="מחבר ישר 1834351669"/>
                      <wps:cNvCnPr/>
                      <wps:spPr>
                        <a:xfrm>
                          <a:off x="100483" y="304800"/>
                          <a:ext cx="6019800" cy="0"/>
                        </a:xfrm>
                        <a:prstGeom prst="line">
                          <a:avLst/>
                        </a:prstGeom>
                        <a:noFill/>
                        <a:ln w="9525">
                          <a:solidFill>
                            <a:srgbClr val="4F81BD">
                              <a:shade val="95000"/>
                              <a:satMod val="105000"/>
                            </a:srgbClr>
                          </a:solidFill>
                          <a:prstDash val="solid"/>
                        </a:ln>
                        <a:effectLst/>
                      </wps:spPr>
                      <wps:bodyPr/>
                    </wps:wsp>
                    <wps:wsp xmlns:wps="http://schemas.microsoft.com/office/word/2010/wordprocessingShape">
                      <wps:cNvPr id="1611176935"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95502F" w:rsidRPr="0062451B" w:rsidP="005C3049">
                            <w:pPr>
                              <w:bidi w:val="0"/>
                              <w:rPr>
                                <w:rFonts w:ascii="Calibri" w:hAnsi="Calibri" w:cs="Calibri"/>
                                <w:color w:val="002060"/>
                                <w:sz w:val="22"/>
                                <w:szCs w:val="22"/>
                                <w:rtl/>
                              </w:rPr>
                            </w:pPr>
                            <w:r w:rsidRPr="0062451B">
                              <w:rPr>
                                <w:rFonts w:ascii="Calibri" w:hAnsi="Calibri" w:cs="Calibri"/>
                                <w:color w:val="002060"/>
                                <w:sz w:val="22"/>
                                <w:szCs w:val="22"/>
                                <w:lang w:val="en"/>
                              </w:rPr>
                              <w:t xml:space="preserve">State Comptroller | Special Report </w:t>
                            </w:r>
                          </w:p>
                        </w:txbxContent>
                      </wps:txbx>
                      <wps:bodyPr rot="0" vert="horz" wrap="square" lIns="91440" tIns="45720" rIns="91440" bIns="45720" anchor="t" anchorCtr="0"/>
                    </wps:wsp>
                    <wps:wsp xmlns:wps="http://schemas.microsoft.com/office/word/2010/wordprocessingShape">
                      <wps:cNvPr id="1940763087"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rsidR="0095502F" w:rsidRPr="0062451B" w:rsidP="005C3049">
                            <w:pPr>
                              <w:bidi w:val="0"/>
                              <w:spacing w:line="240" w:lineRule="auto"/>
                              <w:jc w:val="right"/>
                              <w:rPr>
                                <w:rFonts w:ascii="Calibri" w:hAnsi="Calibri" w:cs="Calibri"/>
                                <w:color w:val="002060"/>
                                <w:szCs w:val="20"/>
                                <w:rtl/>
                              </w:rPr>
                            </w:pPr>
                            <w:r>
                              <w:rPr>
                                <w:rFonts w:ascii="Calibri" w:hAnsi="Calibri" w:cs="Calibri" w:hint="cs"/>
                                <w:color w:val="002060"/>
                                <w:szCs w:val="20"/>
                                <w:lang w:val="en"/>
                              </w:rPr>
                              <w:t xml:space="preserve">September </w:t>
                            </w:r>
                            <w:r w:rsidRPr="0062451B">
                              <w:rPr>
                                <w:rFonts w:ascii="Wingdings" w:hAnsi="Wingdings" w:cstheme="minorHAnsi"/>
                                <w:color w:val="002060"/>
                                <w:spacing w:val="20"/>
                                <w:sz w:val="22"/>
                                <w:szCs w:val="22"/>
                                <w:lang w:val="en"/>
                              </w:rPr>
                              <w:sym w:font="Wingdings" w:char="F0A7"/>
                            </w:r>
                            <w:r>
                              <w:rPr>
                                <w:rFonts w:ascii="Calibri" w:hAnsi="Calibri" w:cs="Calibri" w:hint="cs"/>
                                <w:color w:val="002060"/>
                                <w:szCs w:val="20"/>
                                <w:lang w:val="en"/>
                              </w:rPr>
                              <w:t xml:space="preserve">2025 </w:t>
                            </w:r>
                          </w:p>
                        </w:txbxContent>
                      </wps:txbx>
                      <wps:bodyPr rot="0" vert="horz" wrap="square" lIns="91440" tIns="45720" rIns="91440" bIns="45720" anchor="t" anchorCtr="0"/>
                    </wps:wsp>
                    <wps:wsp xmlns:wps="http://schemas.microsoft.com/office/word/2010/wordprocessingShape">
                      <wps:cNvPr id="1052732476"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rsidR="0095502F" w:rsidRPr="001E204F" w:rsidP="005C3049">
                            <w:pPr>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53847227" o:spid="_x0000_s2072" style="width:484.3pt;height:47.6pt;margin-top:-7.45pt;margin-left:-15.2pt;mso-height-relative:margin;mso-width-relative:margin;position:absolute;z-index:251675648" coordorigin="317,0" coordsize="61503,6045">
              <v:line id="מחבר ישר 1834351669" o:spid="_x0000_s2073" style="mso-wrap-style:square;position:absolute;visibility:visible" from="1004,3048" to="61202,3048" o:connectortype="straight" strokecolor="#4a7ebb"/>
              <v:shapetype id="_x0000_t202" coordsize="21600,21600" o:spt="202" path="m,l,21600r21600,l21600,xe">
                <v:stroke joinstyle="miter"/>
                <v:path gradientshapeok="t" o:connecttype="rect"/>
              </v:shapetype>
              <v:shape id="תיבת טקסט 2" o:spid="_x0000_s2074" type="#_x0000_t202" style="width:31642;height:2857;flip:x;left:30178;mso-wrap-style:square;position:absolute;visibility:visible;v-text-anchor:top" filled="f" stroked="f">
                <v:textbox>
                  <w:txbxContent>
                    <w:p w:rsidR="0095502F" w:rsidRPr="0062451B" w:rsidP="005C3049">
                      <w:pPr>
                        <w:bidi w:val="0"/>
                        <w:rPr>
                          <w:rFonts w:ascii="Calibri" w:hAnsi="Calibri" w:cs="Calibri"/>
                          <w:color w:val="002060"/>
                          <w:sz w:val="22"/>
                          <w:szCs w:val="22"/>
                          <w:rtl/>
                        </w:rPr>
                      </w:pPr>
                      <w:r w:rsidRPr="0062451B">
                        <w:rPr>
                          <w:rFonts w:ascii="Calibri" w:hAnsi="Calibri" w:cs="Calibri"/>
                          <w:color w:val="002060"/>
                          <w:sz w:val="22"/>
                          <w:szCs w:val="22"/>
                          <w:lang w:val="en"/>
                        </w:rPr>
                        <w:t xml:space="preserve">State Comptroller | Special Report </w:t>
                      </w:r>
                    </w:p>
                  </w:txbxContent>
                </v:textbox>
              </v:shape>
              <v:shape id="תיבת טקסט 2" o:spid="_x0000_s2075" type="#_x0000_t202" style="width:31642;height:2857;flip:x;left:317;mso-wrap-style:square;position:absolute;top:3188;visibility:visible;v-text-anchor:top" filled="f" stroked="f">
                <v:textbox>
                  <w:txbxContent>
                    <w:p w:rsidR="0095502F" w:rsidRPr="0062451B" w:rsidP="005C3049">
                      <w:pPr>
                        <w:bidi w:val="0"/>
                        <w:spacing w:line="240" w:lineRule="auto"/>
                        <w:jc w:val="right"/>
                        <w:rPr>
                          <w:rFonts w:ascii="Calibri" w:hAnsi="Calibri" w:cs="Calibri"/>
                          <w:color w:val="002060"/>
                          <w:szCs w:val="20"/>
                          <w:rtl/>
                        </w:rPr>
                      </w:pPr>
                      <w:r>
                        <w:rPr>
                          <w:rFonts w:ascii="Calibri" w:hAnsi="Calibri" w:cs="Calibri" w:hint="cs"/>
                          <w:color w:val="002060"/>
                          <w:szCs w:val="20"/>
                          <w:lang w:val="en"/>
                        </w:rPr>
                        <w:t xml:space="preserve">September </w:t>
                      </w:r>
                      <w:r w:rsidRPr="0062451B">
                        <w:rPr>
                          <w:rFonts w:ascii="Wingdings" w:hAnsi="Wingdings" w:cstheme="minorHAnsi"/>
                          <w:color w:val="002060"/>
                          <w:spacing w:val="20"/>
                          <w:sz w:val="22"/>
                          <w:szCs w:val="22"/>
                          <w:lang w:val="en"/>
                        </w:rPr>
                        <w:sym w:font="Wingdings" w:char="F0A7"/>
                      </w:r>
                      <w:r>
                        <w:rPr>
                          <w:rFonts w:ascii="Calibri" w:hAnsi="Calibri" w:cs="Calibri" w:hint="cs"/>
                          <w:color w:val="002060"/>
                          <w:szCs w:val="20"/>
                          <w:lang w:val="en"/>
                        </w:rPr>
                        <w:t xml:space="preserve">2025 </w:t>
                      </w:r>
                    </w:p>
                  </w:txbxContent>
                </v:textbox>
              </v:shape>
              <v:shape id="תיבת טקסט 2" o:spid="_x0000_s2076" type="#_x0000_t202" style="width:35452;height:2858;flip:x;left:26326;mso-wrap-style:square;position:absolute;top:3181;visibility:visible;v-text-anchor:top" filled="f" stroked="f">
                <v:textbox>
                  <w:txbxContent>
                    <w:p w:rsidR="0095502F" w:rsidRPr="001E204F" w:rsidP="005C3049">
                      <w:pPr>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PAGE  \* MERGEFORMAT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81E" w:rsidRPr="0062451B" w:rsidP="00A2381E">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84864" behindDoc="0" locked="0" layoutInCell="1" allowOverlap="1">
              <wp:simplePos x="0" y="0"/>
              <wp:positionH relativeFrom="column">
                <wp:posOffset>-187353</wp:posOffset>
              </wp:positionH>
              <wp:positionV relativeFrom="paragraph">
                <wp:posOffset>-76504</wp:posOffset>
              </wp:positionV>
              <wp:extent cx="6182346" cy="771134"/>
              <wp:effectExtent l="0" t="0" r="0" b="0"/>
              <wp:wrapNone/>
              <wp:docPr id="1611176918" name="קבוצה 1611176918"/>
              <wp:cNvGraphicFramePr/>
              <a:graphic xmlns:a="http://schemas.openxmlformats.org/drawingml/2006/main">
                <a:graphicData uri="http://schemas.microsoft.com/office/word/2010/wordprocessingGroup">
                  <wpg:wgp xmlns:wpg="http://schemas.microsoft.com/office/word/2010/wordprocessingGroup">
                    <wpg:cNvGrpSpPr/>
                    <wpg:grpSpPr>
                      <a:xfrm>
                        <a:off x="0" y="0"/>
                        <a:ext cx="6182346" cy="771134"/>
                        <a:chOff x="33353" y="19047"/>
                        <a:chExt cx="6182346" cy="771134"/>
                      </a:xfrm>
                    </wpg:grpSpPr>
                    <wps:wsp xmlns:wps="http://schemas.microsoft.com/office/word/2010/wordprocessingShape">
                      <wps:cNvPr id="1611176919" name="מחבר ישר 1611176919"/>
                      <wps:cNvCnPr/>
                      <wps:spPr>
                        <a:xfrm>
                          <a:off x="100476" y="304790"/>
                          <a:ext cx="5896357" cy="17"/>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16111769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A2381E" w:rsidRPr="008D07A0" w:rsidP="00A2381E">
                            <w:pPr>
                              <w:bidi w:val="0"/>
                              <w:rPr>
                                <w:rFonts w:ascii="Calibri" w:hAnsi="Calibri" w:cs="Calibri"/>
                                <w:color w:val="002060"/>
                                <w:sz w:val="22"/>
                                <w:szCs w:val="22"/>
                                <w:lang w:val="en"/>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Pr="0062451B">
                              <w:rPr>
                                <w:rFonts w:ascii="Calibri" w:hAnsi="Calibri" w:cs="Calibri"/>
                                <w:color w:val="002060"/>
                                <w:sz w:val="22"/>
                                <w:szCs w:val="22"/>
                                <w:lang w:val="en"/>
                              </w:rPr>
                              <w:t>|</w:t>
                            </w:r>
                            <w:r>
                              <w:rPr>
                                <w:rFonts w:ascii="Calibri" w:hAnsi="Calibri" w:cs="Calibri"/>
                                <w:color w:val="002060"/>
                                <w:sz w:val="22"/>
                                <w:szCs w:val="22"/>
                                <w:lang w:val="en"/>
                              </w:rPr>
                              <w:t xml:space="preserve"> </w:t>
                            </w:r>
                            <w:r w:rsidRPr="0062451B">
                              <w:rPr>
                                <w:rFonts w:ascii="Calibri" w:hAnsi="Calibri" w:cs="Calibri"/>
                                <w:color w:val="002060"/>
                                <w:sz w:val="22"/>
                                <w:szCs w:val="22"/>
                                <w:lang w:val="en"/>
                              </w:rPr>
                              <w:t xml:space="preserve">Special Report  </w:t>
                            </w:r>
                          </w:p>
                        </w:txbxContent>
                      </wps:txbx>
                      <wps:bodyPr rot="0" vert="horz" wrap="square" lIns="91440" tIns="45720" rIns="91440" bIns="45720" anchor="t" anchorCtr="0"/>
                    </wps:wsp>
                    <wps:wsp xmlns:wps="http://schemas.microsoft.com/office/word/2010/wordprocessingShape">
                      <wps:cNvPr id="1611176921" name="תיבת טקסט 2"/>
                      <wps:cNvSpPr txBox="1">
                        <a:spLocks noChangeArrowheads="1"/>
                      </wps:cNvSpPr>
                      <wps:spPr bwMode="auto">
                        <a:xfrm flipH="1">
                          <a:off x="4962082" y="304817"/>
                          <a:ext cx="1253617" cy="285750"/>
                        </a:xfrm>
                        <a:prstGeom prst="rect">
                          <a:avLst/>
                        </a:prstGeom>
                        <a:noFill/>
                        <a:ln w="9525">
                          <a:noFill/>
                          <a:miter lim="800000"/>
                          <a:headEnd/>
                          <a:tailEnd/>
                        </a:ln>
                      </wps:spPr>
                      <wps:txbx>
                        <w:txbxContent>
                          <w:p w:rsidR="00A2381E" w:rsidRPr="0062451B" w:rsidP="00A2381E">
                            <w:pPr>
                              <w:bidi w:val="0"/>
                              <w:spacing w:line="240" w:lineRule="auto"/>
                              <w:ind w:right="186"/>
                              <w:jc w:val="right"/>
                              <w:rPr>
                                <w:rFonts w:ascii="Calibri" w:hAnsi="Calibri" w:cs="Calibri"/>
                                <w:color w:val="002060"/>
                                <w:szCs w:val="20"/>
                                <w:rtl/>
                              </w:rPr>
                            </w:pPr>
                            <w:r>
                              <w:rPr>
                                <w:rFonts w:ascii="Calibri" w:hAnsi="Calibri" w:cs="Calibri"/>
                                <w:color w:val="002060"/>
                                <w:szCs w:val="20"/>
                              </w:rPr>
                              <w:t>February 2026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1611176922" name="תיבת טקסט 2"/>
                      <wps:cNvSpPr txBox="1">
                        <a:spLocks noChangeArrowheads="1"/>
                      </wps:cNvSpPr>
                      <wps:spPr bwMode="auto">
                        <a:xfrm flipH="1">
                          <a:off x="33353" y="304641"/>
                          <a:ext cx="4047214" cy="485540"/>
                        </a:xfrm>
                        <a:prstGeom prst="rect">
                          <a:avLst/>
                        </a:prstGeom>
                        <a:noFill/>
                        <a:ln w="9525">
                          <a:noFill/>
                          <a:miter lim="800000"/>
                          <a:headEnd/>
                          <a:tailEnd/>
                        </a:ln>
                      </wps:spPr>
                      <wps:txbx>
                        <w:txbxContent>
                          <w:p w:rsidR="00A2381E" w:rsidP="009A5924">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Reception </w:t>
                            </w:r>
                            <w:r w:rsidR="0031692F">
                              <w:rPr>
                                <w:rFonts w:ascii="Calibri" w:hAnsi="Calibri" w:cs="Calibri"/>
                                <w:color w:val="002060"/>
                                <w:szCs w:val="20"/>
                              </w:rPr>
                              <w:t>by</w:t>
                            </w:r>
                            <w:r w:rsidRPr="008D07A0">
                              <w:rPr>
                                <w:rFonts w:ascii="Calibri" w:hAnsi="Calibri" w:cs="Calibri"/>
                                <w:color w:val="002060"/>
                                <w:szCs w:val="20"/>
                              </w:rPr>
                              <w:t xml:space="preserve"> Local Authorities</w:t>
                            </w:r>
                          </w:p>
                          <w:p w:rsidR="009A5924" w:rsidRPr="00884AE5" w:rsidP="009A5924">
                            <w:pPr>
                              <w:bidi w:val="0"/>
                              <w:spacing w:line="240" w:lineRule="auto"/>
                              <w:rPr>
                                <w:rFonts w:ascii="Calibri" w:hAnsi="Calibri" w:cs="Calibri"/>
                                <w:color w:val="002060"/>
                                <w:sz w:val="19"/>
                                <w:szCs w:val="19"/>
                              </w:rPr>
                            </w:pPr>
                            <w:r w:rsidRPr="00884AE5">
                              <w:rPr>
                                <w:rFonts w:ascii="Calibri" w:hAnsi="Calibri" w:cs="Calibri"/>
                                <w:color w:val="002060"/>
                                <w:sz w:val="19"/>
                                <w:szCs w:val="19"/>
                              </w:rPr>
                              <w:t>Provision of Services to Evacuees – Assistance with Immediate and Basic Needs</w:t>
                            </w:r>
                          </w:p>
                          <w:p w:rsidR="009A5924" w:rsidRPr="008D07A0" w:rsidP="009A5924">
                            <w:pPr>
                              <w:bidi w:val="0"/>
                              <w:rPr>
                                <w:rFonts w:ascii="Calibri" w:hAnsi="Calibri" w:cs="Calibri"/>
                                <w:color w:val="002060"/>
                                <w:szCs w:val="20"/>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611176918" o:spid="_x0000_s2077" style="width:486.8pt;height:60.7pt;margin-top:-6pt;margin-left:-14.75pt;mso-height-relative:margin;mso-width-relative:margin;position:absolute;z-index:251685888" coordorigin="333,190" coordsize="61823,7711">
              <v:line id="מחבר ישר 1611176919" o:spid="_x0000_s2078" style="mso-wrap-style:square;position:absolute;visibility:visible" from="1004,3047" to="59968,3048" o:connectortype="straight" strokecolor="#4579b8"/>
              <v:shapetype id="_x0000_t202" coordsize="21600,21600" o:spt="202" path="m,l,21600r21600,l21600,xe">
                <v:stroke joinstyle="miter"/>
                <v:path gradientshapeok="t" o:connecttype="rect"/>
              </v:shapetype>
              <v:shape id="תיבת טקסט 2" o:spid="_x0000_s2079" type="#_x0000_t202" style="width:31642;height:2857;flip:x;left:333;mso-wrap-style:square;position:absolute;top:190;visibility:visible;v-text-anchor:top" filled="f" stroked="f">
                <v:textbox>
                  <w:txbxContent>
                    <w:p w:rsidR="00A2381E" w:rsidRPr="008D07A0" w:rsidP="00A2381E">
                      <w:pPr>
                        <w:bidi w:val="0"/>
                        <w:rPr>
                          <w:rFonts w:ascii="Calibri" w:hAnsi="Calibri" w:cs="Calibri"/>
                          <w:color w:val="002060"/>
                          <w:sz w:val="22"/>
                          <w:szCs w:val="22"/>
                          <w:lang w:val="en"/>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Pr="0062451B">
                        <w:rPr>
                          <w:rFonts w:ascii="Calibri" w:hAnsi="Calibri" w:cs="Calibri"/>
                          <w:color w:val="002060"/>
                          <w:sz w:val="22"/>
                          <w:szCs w:val="22"/>
                          <w:lang w:val="en"/>
                        </w:rPr>
                        <w:t>|</w:t>
                      </w:r>
                      <w:r>
                        <w:rPr>
                          <w:rFonts w:ascii="Calibri" w:hAnsi="Calibri" w:cs="Calibri"/>
                          <w:color w:val="002060"/>
                          <w:sz w:val="22"/>
                          <w:szCs w:val="22"/>
                          <w:lang w:val="en"/>
                        </w:rPr>
                        <w:t xml:space="preserve"> </w:t>
                      </w:r>
                      <w:r w:rsidRPr="0062451B">
                        <w:rPr>
                          <w:rFonts w:ascii="Calibri" w:hAnsi="Calibri" w:cs="Calibri"/>
                          <w:color w:val="002060"/>
                          <w:sz w:val="22"/>
                          <w:szCs w:val="22"/>
                          <w:lang w:val="en"/>
                        </w:rPr>
                        <w:t xml:space="preserve">Special Report  </w:t>
                      </w:r>
                    </w:p>
                  </w:txbxContent>
                </v:textbox>
              </v:shape>
              <v:shape id="תיבת טקסט 2" o:spid="_x0000_s2080" type="#_x0000_t202" style="width:12536;height:2857;flip:x;left:49620;mso-wrap-style:square;position:absolute;top:3048;visibility:visible;v-text-anchor:top" filled="f" stroked="f">
                <v:textbox>
                  <w:txbxContent>
                    <w:p w:rsidR="00A2381E" w:rsidRPr="0062451B" w:rsidP="00A2381E">
                      <w:pPr>
                        <w:bidi w:val="0"/>
                        <w:spacing w:line="240" w:lineRule="auto"/>
                        <w:ind w:right="186"/>
                        <w:jc w:val="right"/>
                        <w:rPr>
                          <w:rFonts w:ascii="Calibri" w:hAnsi="Calibri" w:cs="Calibri"/>
                          <w:color w:val="002060"/>
                          <w:szCs w:val="20"/>
                          <w:rtl/>
                        </w:rPr>
                      </w:pPr>
                      <w:r>
                        <w:rPr>
                          <w:rFonts w:ascii="Calibri" w:hAnsi="Calibri" w:cs="Calibri"/>
                          <w:color w:val="002060"/>
                          <w:szCs w:val="20"/>
                        </w:rPr>
                        <w:t>February 2026</w:t>
                      </w:r>
                      <w:r w:rsidRPr="0062451B">
                        <w:rPr>
                          <w:rFonts w:ascii="Calibri" w:hAnsi="Calibri" w:cs="Calibri" w:hint="cs"/>
                          <w:color w:val="002060"/>
                          <w:szCs w:val="20"/>
                          <w:rtl/>
                        </w:rPr>
                        <w:t xml:space="preserve"> </w:t>
                      </w:r>
                    </w:p>
                  </w:txbxContent>
                </v:textbox>
              </v:shape>
              <v:shape id="תיבת טקסט 2" o:spid="_x0000_s2081" type="#_x0000_t202" style="width:40472;height:4855;flip:x;left:333;mso-wrap-style:square;position:absolute;top:3046;visibility:visible;v-text-anchor:top" filled="f" stroked="f">
                <v:textbox>
                  <w:txbxContent>
                    <w:p w:rsidR="00A2381E" w:rsidP="009A5924">
                      <w:pPr>
                        <w:bidi w:val="0"/>
                        <w:spacing w:line="240" w:lineRule="auto"/>
                        <w:rPr>
                          <w:rFonts w:ascii="Calibri" w:hAnsi="Calibri" w:cs="Calibri"/>
                          <w:color w:val="002060"/>
                          <w:szCs w:val="20"/>
                        </w:rPr>
                      </w:pPr>
                      <w:r w:rsidRPr="008D07A0">
                        <w:rPr>
                          <w:rFonts w:ascii="Calibri" w:hAnsi="Calibri" w:cs="Calibri"/>
                          <w:color w:val="002060"/>
                          <w:szCs w:val="20"/>
                        </w:rPr>
                        <w:t xml:space="preserve">Population Evacuation and Reception </w:t>
                      </w:r>
                      <w:r w:rsidR="0031692F">
                        <w:rPr>
                          <w:rFonts w:ascii="Calibri" w:hAnsi="Calibri" w:cs="Calibri"/>
                          <w:color w:val="002060"/>
                          <w:szCs w:val="20"/>
                        </w:rPr>
                        <w:t>by</w:t>
                      </w:r>
                      <w:r w:rsidRPr="008D07A0">
                        <w:rPr>
                          <w:rFonts w:ascii="Calibri" w:hAnsi="Calibri" w:cs="Calibri"/>
                          <w:color w:val="002060"/>
                          <w:szCs w:val="20"/>
                        </w:rPr>
                        <w:t xml:space="preserve"> Local Authorities</w:t>
                      </w:r>
                    </w:p>
                    <w:p w:rsidR="009A5924" w:rsidRPr="00884AE5" w:rsidP="009A5924">
                      <w:pPr>
                        <w:bidi w:val="0"/>
                        <w:spacing w:line="240" w:lineRule="auto"/>
                        <w:rPr>
                          <w:rFonts w:ascii="Calibri" w:hAnsi="Calibri" w:cs="Calibri"/>
                          <w:color w:val="002060"/>
                          <w:sz w:val="19"/>
                          <w:szCs w:val="19"/>
                        </w:rPr>
                      </w:pPr>
                      <w:r w:rsidRPr="00884AE5">
                        <w:rPr>
                          <w:rFonts w:ascii="Calibri" w:hAnsi="Calibri" w:cs="Calibri"/>
                          <w:color w:val="002060"/>
                          <w:sz w:val="19"/>
                          <w:szCs w:val="19"/>
                        </w:rPr>
                        <w:t>Provision of Services to Evacuees – Assistance with Immediate and Basic Needs</w:t>
                      </w:r>
                    </w:p>
                    <w:p w:rsidR="009A5924" w:rsidRPr="008D07A0" w:rsidP="009A5924">
                      <w:pPr>
                        <w:bidi w:val="0"/>
                        <w:rPr>
                          <w:rFonts w:ascii="Calibri" w:hAnsi="Calibri" w:cs="Calibri"/>
                          <w:color w:val="002060"/>
                          <w:szCs w:val="20"/>
                        </w:rPr>
                      </w:pPr>
                    </w:p>
                  </w:txbxContent>
                </v:textbox>
              </v:shape>
            </v:group>
          </w:pict>
        </mc:Fallback>
      </mc:AlternateContent>
    </w:r>
    <w:r>
      <w:rPr>
        <w:rFonts w:asciiTheme="minorHAnsi" w:hAnsiTheme="minorHAnsi" w:cstheme="minorHAnsi" w:hint="cs"/>
        <w:color w:val="002060"/>
        <w:szCs w:val="20"/>
        <w:rtl/>
      </w:rPr>
      <w:t xml:space="preserve">  </w: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4</w:t>
    </w:r>
    <w:r w:rsidRPr="0062451B">
      <w:rPr>
        <w:rFonts w:asciiTheme="minorHAnsi" w:hAnsiTheme="minorHAnsi" w:cstheme="minorHAnsi"/>
        <w:color w:val="002060"/>
        <w:szCs w:val="20"/>
        <w:rtl/>
      </w:rPr>
      <w:fldChar w:fldCharType="end"/>
    </w:r>
  </w:p>
  <w:p w:rsidR="00A2381E" w:rsidP="00A2381E"/>
  <w:p w:rsidR="00A2381E" w:rsidP="00A2381E">
    <w:pPr>
      <w:tabs>
        <w:tab w:val="left" w:pos="3771"/>
      </w:tabs>
    </w:pPr>
    <w:r>
      <w:rPr>
        <w:rtl/>
      </w:rPr>
      <w:tab/>
    </w:r>
  </w:p>
  <w:p w:rsidR="0095502F" w:rsidRPr="00A2381E" w:rsidP="00A238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02F" w:rsidRPr="00FB414E" w:rsidP="00FB414E">
    <w:pPr>
      <w:pStyle w:val="Header"/>
      <w:tabs>
        <w:tab w:val="clear" w:pos="8306"/>
      </w:tabs>
      <w:ind w:right="-142"/>
      <w:jc w:val="right"/>
      <w:rPr>
        <w:rFonts w:asciiTheme="minorHAnsi" w:hAnsiTheme="minorHAnsi" w:cstheme="minorHAnsi"/>
        <w:color w:val="002060"/>
        <w:szCs w:val="20"/>
      </w:rPr>
    </w:pPr>
    <w:r>
      <w:rPr>
        <w:noProof/>
      </w:rPr>
      <mc:AlternateContent>
        <mc:Choice Requires="wps">
          <w:drawing>
            <wp:anchor distT="0" distB="0" distL="114300" distR="114300" simplePos="0" relativeHeight="251680768" behindDoc="0" locked="0" layoutInCell="1" allowOverlap="1">
              <wp:simplePos x="0" y="0"/>
              <wp:positionH relativeFrom="page">
                <wp:posOffset>2022475</wp:posOffset>
              </wp:positionH>
              <wp:positionV relativeFrom="paragraph">
                <wp:posOffset>2412365</wp:posOffset>
              </wp:positionV>
              <wp:extent cx="3156858" cy="10886"/>
              <wp:effectExtent l="0" t="0" r="24765" b="27305"/>
              <wp:wrapNone/>
              <wp:docPr id="10" name="מחבר ישר 10"/>
              <wp:cNvGraphicFramePr/>
              <a:graphic xmlns:a="http://schemas.openxmlformats.org/drawingml/2006/main">
                <a:graphicData uri="http://schemas.microsoft.com/office/word/2010/wordprocessingShape">
                  <wps:wsp xmlns:wps="http://schemas.microsoft.com/office/word/2010/wordprocessingShape">
                    <wps:cNvCnPr/>
                    <wps:spPr>
                      <a:xfrm>
                        <a:off x="0" y="0"/>
                        <a:ext cx="3156858" cy="10886"/>
                      </a:xfrm>
                      <a:prstGeom prst="line">
                        <a:avLst/>
                      </a:prstGeom>
                      <a:noFill/>
                      <a:ln w="15875">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מחבר ישר 10" o:spid="_x0000_s2082" style="mso-height-percent:0;mso-height-relative:margin;mso-position-horizontal-relative:page;mso-width-percent:0;mso-width-relative:margin;mso-wrap-distance-bottom:0;mso-wrap-distance-left:9pt;mso-wrap-distance-right:9pt;mso-wrap-distance-top:0;mso-wrap-style:square;position:absolute;visibility:visible;z-index:251681792" from="159.25pt,189.95pt" to="407.8pt,190.8pt" strokecolor="#002060" strokeweight="1.25p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2029934</wp:posOffset>
              </wp:positionH>
              <wp:positionV relativeFrom="paragraph">
                <wp:posOffset>1269402</wp:posOffset>
              </wp:positionV>
              <wp:extent cx="1691005" cy="719825"/>
              <wp:effectExtent l="0" t="0" r="4445" b="4445"/>
              <wp:wrapNone/>
              <wp:docPr id="34" name="מלבן 34"/>
              <wp:cNvGraphicFramePr/>
              <a:graphic xmlns:a="http://schemas.openxmlformats.org/drawingml/2006/main">
                <a:graphicData uri="http://schemas.microsoft.com/office/word/2010/wordprocessingShape">
                  <wps:wsp xmlns:wps="http://schemas.microsoft.com/office/word/2010/wordprocessingShape">
                    <wps:cNvSpPr/>
                    <wps:spPr>
                      <a:xfrm>
                        <a:off x="0" y="0"/>
                        <a:ext cx="1691005" cy="719825"/>
                      </a:xfrm>
                      <a:prstGeom prst="rect">
                        <a:avLst/>
                      </a:prstGeom>
                      <a:solidFill>
                        <a:srgbClr val="002060"/>
                      </a:solidFill>
                      <a:ln w="25400">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מלבן 34" o:spid="_x0000_s2083" style="width:133.15pt;height:56.7pt;margin-top:99.95pt;margin-left:159.85pt;mso-height-percent:0;mso-height-relative:margin;mso-wrap-distance-bottom:0;mso-wrap-distance-left:9pt;mso-wrap-distance-right:9pt;mso-wrap-distance-top:0;mso-wrap-style:square;position:absolute;visibility:visible;v-text-anchor:middle;z-index:251673600" fillcolor="#002060" stroked="f" strokeweight="2pt"/>
          </w:pict>
        </mc:Fallback>
      </mc:AlternateContent>
    </w:r>
    <w:r w:rsidRPr="00A5605A">
      <w:rPr>
        <w:rFonts w:asciiTheme="minorHAnsi" w:hAnsiTheme="minorHAnsi" w:cs="Calibri"/>
        <w:noProof/>
        <w:color w:val="002060"/>
        <w:szCs w:val="20"/>
        <w:rtl/>
      </w:rPr>
      <mc:AlternateContent>
        <mc:Choice Requires="wps">
          <w:drawing>
            <wp:anchor distT="0" distB="0" distL="114300" distR="114300" simplePos="0" relativeHeight="251678720" behindDoc="0" locked="0" layoutInCell="1" allowOverlap="1">
              <wp:simplePos x="0" y="0"/>
              <wp:positionH relativeFrom="page">
                <wp:align>center</wp:align>
              </wp:positionH>
              <wp:positionV relativeFrom="paragraph">
                <wp:posOffset>1447070</wp:posOffset>
              </wp:positionV>
              <wp:extent cx="2959100" cy="455930"/>
              <wp:effectExtent l="0" t="0" r="0" b="1270"/>
              <wp:wrapNone/>
              <wp:docPr id="35" name="תיבת טקסט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455930"/>
                      </a:xfrm>
                      <a:prstGeom prst="rect">
                        <a:avLst/>
                      </a:prstGeom>
                      <a:noFill/>
                      <a:ln w="6350">
                        <a:noFill/>
                      </a:ln>
                    </wps:spPr>
                    <wps:txbx>
                      <w:txbxContent>
                        <w:p w:rsidR="0095502F" w:rsidRPr="00EE06A0" w:rsidP="00846FFB">
                          <w:pPr>
                            <w:bidi w:val="0"/>
                            <w:jc w:val="center"/>
                            <w:rPr>
                              <w:rFonts w:ascii="Calibri" w:hAnsi="Calibri" w:cs="Calibri"/>
                              <w:color w:val="FFFFFF" w:themeColor="background1"/>
                              <w:spacing w:val="80"/>
                              <w:sz w:val="28"/>
                              <w:szCs w:val="36"/>
                            </w:rPr>
                          </w:pPr>
                          <w:r>
                            <w:rPr>
                              <w:rFonts w:ascii="Calibri" w:hAnsi="Calibri" w:cs="Calibri" w:hint="cs"/>
                              <w:color w:val="FFFFFF" w:themeColor="background1"/>
                              <w:spacing w:val="80"/>
                              <w:sz w:val="28"/>
                              <w:szCs w:val="36"/>
                              <w:lang w:val="en"/>
                            </w:rPr>
                            <w:t>Chapter VIII</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35" o:spid="_x0000_s2084" type="#_x0000_t202" style="width:233pt;height:35.9pt;margin-top:113.95pt;margin-left:0;mso-position-horizontal:center;mso-position-horizontal-relative:page;mso-wrap-distance-bottom:0;mso-wrap-distance-left:9pt;mso-wrap-distance-right:9pt;mso-wrap-distance-top:0;mso-wrap-style:square;position:absolute;visibility:visible;v-text-anchor:top;z-index:251679744" filled="f" stroked="f" strokeweight="0.5pt">
              <v:textbox>
                <w:txbxContent>
                  <w:p w:rsidR="0095502F" w:rsidRPr="00EE06A0" w:rsidP="00846FFB">
                    <w:pPr>
                      <w:bidi w:val="0"/>
                      <w:jc w:val="center"/>
                      <w:rPr>
                        <w:rFonts w:ascii="Calibri" w:hAnsi="Calibri" w:cs="Calibri"/>
                        <w:color w:val="FFFFFF" w:themeColor="background1"/>
                        <w:spacing w:val="80"/>
                        <w:sz w:val="28"/>
                        <w:szCs w:val="36"/>
                      </w:rPr>
                    </w:pPr>
                    <w:r>
                      <w:rPr>
                        <w:rFonts w:ascii="Calibri" w:hAnsi="Calibri" w:cs="Calibri" w:hint="cs"/>
                        <w:color w:val="FFFFFF" w:themeColor="background1"/>
                        <w:spacing w:val="80"/>
                        <w:sz w:val="28"/>
                        <w:szCs w:val="36"/>
                        <w:lang w:val="en"/>
                      </w:rPr>
                      <w:t>Chapter VIII</w:t>
                    </w:r>
                  </w:p>
                </w:txbxContent>
              </v:textbox>
            </v:shape>
          </w:pict>
        </mc:Fallback>
      </mc:AlternateContent>
    </w:r>
    <w:r>
      <w:rPr>
        <w:rFonts w:asciiTheme="minorHAnsi" w:hAnsiTheme="minorHAnsi" w:cs="Calibri"/>
        <w:noProof/>
        <w:color w:val="002060"/>
        <w:szCs w:val="20"/>
        <w:rtl/>
        <w:lang w:val="he-IL"/>
      </w:rPr>
      <mc:AlternateContent>
        <mc:Choice Requires="wps">
          <w:drawing>
            <wp:anchor distT="0" distB="0" distL="114300" distR="114300" simplePos="0" relativeHeight="251676672" behindDoc="0" locked="0" layoutInCell="1" allowOverlap="1">
              <wp:simplePos x="0" y="0"/>
              <wp:positionH relativeFrom="column">
                <wp:posOffset>2042160</wp:posOffset>
              </wp:positionH>
              <wp:positionV relativeFrom="paragraph">
                <wp:posOffset>1979930</wp:posOffset>
              </wp:positionV>
              <wp:extent cx="1676400" cy="0"/>
              <wp:effectExtent l="0" t="0" r="0" b="0"/>
              <wp:wrapNone/>
              <wp:docPr id="36" name="מחבר ישר 36"/>
              <wp:cNvGraphicFramePr/>
              <a:graphic xmlns:a="http://schemas.openxmlformats.org/drawingml/2006/main">
                <a:graphicData uri="http://schemas.microsoft.com/office/word/2010/wordprocessingShape">
                  <wps:wsp xmlns:wps="http://schemas.microsoft.com/office/word/2010/wordprocessingShape">
                    <wps:cNvCnPr/>
                    <wps:spPr>
                      <a:xfrm>
                        <a:off x="0" y="0"/>
                        <a:ext cx="1676400" cy="0"/>
                      </a:xfrm>
                      <a:prstGeom prst="line">
                        <a:avLst/>
                      </a:prstGeom>
                      <a:noFill/>
                      <a:ln w="25400">
                        <a:solidFill>
                          <a:srgbClr val="002060"/>
                        </a:solidFill>
                        <a:prstDash val="solid"/>
                      </a:ln>
                      <a:effectLst/>
                    </wps:spPr>
                    <wps:bodyPr/>
                  </wps:wsp>
                </a:graphicData>
              </a:graphic>
            </wp:anchor>
          </w:drawing>
        </mc:Choice>
        <mc:Fallback>
          <w:pict>
            <v:line id="מחבר ישר 36" o:spid="_x0000_s2085" style="mso-wrap-distance-bottom:0;mso-wrap-distance-left:9pt;mso-wrap-distance-right:9pt;mso-wrap-distance-top:0;mso-wrap-style:square;position:absolute;visibility:visible;z-index:251677696" from="160.8pt,155.9pt" to="292.8pt,155.9pt" strokecolor="#002060" strokeweight="2p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2336" behindDoc="0" locked="0" layoutInCell="1" allowOverlap="1">
              <wp:simplePos x="0" y="0"/>
              <wp:positionH relativeFrom="column">
                <wp:posOffset>-195304</wp:posOffset>
              </wp:positionH>
              <wp:positionV relativeFrom="paragraph">
                <wp:posOffset>-80479</wp:posOffset>
              </wp:positionV>
              <wp:extent cx="6094881" cy="57152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B37355">
                              <w:rPr>
                                <w:rFonts w:ascii="Calibri" w:hAnsi="Calibri" w:cs="Calibri"/>
                                <w:color w:val="002060"/>
                                <w:szCs w:val="20"/>
                                <w:highlight w:val="yellow"/>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7849E4" w:rsidRPr="00846ED2" w:rsidP="00475836">
                            <w:pPr>
                              <w:bidi w:val="0"/>
                              <w:rPr>
                                <w:rFonts w:ascii="Calibri" w:hAnsi="Calibri" w:cs="Calibri"/>
                                <w:color w:val="002060"/>
                                <w:szCs w:val="20"/>
                                <w:rtl/>
                              </w:rPr>
                            </w:pPr>
                            <w:r w:rsidRPr="00846ED2">
                              <w:rPr>
                                <w:rFonts w:ascii="Calibri" w:hAnsi="Calibri" w:cs="Calibri"/>
                                <w:color w:val="002060"/>
                                <w:szCs w:val="20"/>
                              </w:rPr>
                              <w:t>Provision of Services to Evacuees – Assistance with Immediate and Basic Needs</w:t>
                            </w:r>
                          </w:p>
                          <w:p w:rsidR="007849E4"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89" style="width:479.9pt;height:45pt;margin-top:-6.35pt;margin-left:-15.4pt;mso-height-relative:margin;mso-width-relative:margin;position:absolute;z-index:251663360" coordorigin="254,190" coordsize="60948,5715">
              <v:line id="מחבר ישר 25" o:spid="_x0000_s2090"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91"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92"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B37355">
                        <w:rPr>
                          <w:rFonts w:ascii="Calibri" w:hAnsi="Calibri" w:cs="Calibri"/>
                          <w:color w:val="002060"/>
                          <w:szCs w:val="20"/>
                          <w:highlight w:val="yellow"/>
                        </w:rPr>
                        <w:t>July 2025</w:t>
                      </w:r>
                      <w:r w:rsidRPr="0062451B">
                        <w:rPr>
                          <w:rFonts w:ascii="Calibri" w:hAnsi="Calibri" w:cs="Calibri" w:hint="cs"/>
                          <w:color w:val="002060"/>
                          <w:szCs w:val="20"/>
                          <w:rtl/>
                        </w:rPr>
                        <w:t xml:space="preserve"> </w:t>
                      </w:r>
                    </w:p>
                  </w:txbxContent>
                </v:textbox>
              </v:shape>
              <v:shape id="תיבת טקסט 2" o:spid="_x0000_s2093" type="#_x0000_t202" style="width:47339;height:2857;flip:x;left:254;mso-wrap-style:square;position:absolute;top:3048;visibility:visible;v-text-anchor:top" filled="f" stroked="f">
                <v:textbox>
                  <w:txbxContent>
                    <w:p w:rsidR="007849E4" w:rsidRPr="00846ED2" w:rsidP="00475836">
                      <w:pPr>
                        <w:bidi w:val="0"/>
                        <w:rPr>
                          <w:rFonts w:ascii="Calibri" w:hAnsi="Calibri" w:cs="Calibri"/>
                          <w:color w:val="002060"/>
                          <w:szCs w:val="20"/>
                          <w:rtl/>
                        </w:rPr>
                      </w:pPr>
                      <w:r w:rsidRPr="00846ED2">
                        <w:rPr>
                          <w:rFonts w:ascii="Calibri" w:hAnsi="Calibri" w:cs="Calibri"/>
                          <w:color w:val="002060"/>
                          <w:szCs w:val="20"/>
                        </w:rPr>
                        <w:t>Provision of Services to Evacuees – Assistance with Immediate and Basic Needs</w:t>
                      </w:r>
                    </w:p>
                    <w:p w:rsidR="007849E4"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94" style="width:479.3pt;height:45pt;margin-top:-0.05pt;margin-left:-0.3pt;mso-height-relative:margin;mso-width-relative:margin;position:absolute;z-index:251661312" coordorigin="333,190" coordsize="60869,5715">
              <v:line id="מחבר ישר 19" o:spid="_x0000_s209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96"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97"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nsid w:val="392E622D"/>
    <w:multiLevelType w:val="hybridMultilevel"/>
    <w:tmpl w:val="7D5E01EA"/>
    <w:lvl w:ilvl="0">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8">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9">
    <w:nsid w:val="3B0B597E"/>
    <w:multiLevelType w:val="hybridMultilevel"/>
    <w:tmpl w:val="C582C6B2"/>
    <w:lvl w:ilvl="0">
      <w:start w:val="0"/>
      <w:numFmt w:val="bullet"/>
      <w:lvlText w:val="•"/>
      <w:lvlJc w:val="left"/>
      <w:pPr>
        <w:ind w:left="1003" w:hanging="360"/>
      </w:pPr>
      <w:rPr>
        <w:rFonts w:ascii="Tahoma" w:hAnsi="Tahoma" w:eastAsiaTheme="minorHAnsi" w:cs="Tahoma" w:hint="default"/>
        <w:b/>
        <w:i w:val="0"/>
        <w:caps w:val="0"/>
        <w:strike w:val="0"/>
        <w:dstrike w:val="0"/>
        <w:vanish w:val="0"/>
        <w:color w:val="FF0000"/>
        <w:position w:val="0"/>
        <w:sz w:val="21"/>
        <w:szCs w:val="25"/>
        <w:vertAlign w:val="baseline"/>
        <w14:ligatures w14:val="all"/>
        <w14:numForm w14:val="default"/>
        <w14:numSpacing w14:val="default"/>
        <w14:stylisticSets xmlns:w14="http://schemas.microsoft.com/office/word/2010/wordml"/>
      </w:rPr>
    </w:lvl>
    <w:lvl w:ilvl="1">
      <w:start w:val="0"/>
      <w:numFmt w:val="bullet"/>
      <w:lvlText w:val="•"/>
      <w:lvlJc w:val="left"/>
      <w:pPr>
        <w:ind w:left="1528" w:hanging="165"/>
      </w:pPr>
      <w:rPr>
        <w:rFonts w:ascii="Tahoma" w:hAnsi="Tahoma" w:eastAsiaTheme="minorHAnsi" w:cs="Tahoma" w:hint="default"/>
        <w:b/>
        <w:color w:val="FF0000"/>
        <w:sz w:val="21"/>
      </w:rPr>
    </w:lvl>
    <w:lvl w:ilvl="2" w:tentative="1">
      <w:start w:val="1"/>
      <w:numFmt w:val="bullet"/>
      <w:lvlText w:val=""/>
      <w:lvlJc w:val="left"/>
      <w:pPr>
        <w:ind w:left="2443" w:hanging="360"/>
      </w:pPr>
      <w:rPr>
        <w:rFonts w:ascii="Wingdings" w:hAnsi="Wingdings" w:hint="default"/>
      </w:rPr>
    </w:lvl>
    <w:lvl w:ilvl="3" w:tentative="1">
      <w:start w:val="1"/>
      <w:numFmt w:val="bullet"/>
      <w:lvlText w:val=""/>
      <w:lvlJc w:val="left"/>
      <w:pPr>
        <w:ind w:left="3163" w:hanging="360"/>
      </w:pPr>
      <w:rPr>
        <w:rFonts w:ascii="Symbol" w:hAnsi="Symbol" w:hint="default"/>
      </w:rPr>
    </w:lvl>
    <w:lvl w:ilvl="4" w:tentative="1">
      <w:start w:val="1"/>
      <w:numFmt w:val="bullet"/>
      <w:lvlText w:val="o"/>
      <w:lvlJc w:val="left"/>
      <w:pPr>
        <w:ind w:left="3883" w:hanging="360"/>
      </w:pPr>
      <w:rPr>
        <w:rFonts w:ascii="Courier New" w:hAnsi="Courier New" w:cs="Courier New" w:hint="default"/>
      </w:rPr>
    </w:lvl>
    <w:lvl w:ilvl="5" w:tentative="1">
      <w:start w:val="1"/>
      <w:numFmt w:val="bullet"/>
      <w:lvlText w:val=""/>
      <w:lvlJc w:val="left"/>
      <w:pPr>
        <w:ind w:left="4603" w:hanging="360"/>
      </w:pPr>
      <w:rPr>
        <w:rFonts w:ascii="Wingdings" w:hAnsi="Wingdings" w:hint="default"/>
      </w:rPr>
    </w:lvl>
    <w:lvl w:ilvl="6" w:tentative="1">
      <w:start w:val="1"/>
      <w:numFmt w:val="bullet"/>
      <w:lvlText w:val=""/>
      <w:lvlJc w:val="left"/>
      <w:pPr>
        <w:ind w:left="5323" w:hanging="360"/>
      </w:pPr>
      <w:rPr>
        <w:rFonts w:ascii="Symbol" w:hAnsi="Symbol" w:hint="default"/>
      </w:rPr>
    </w:lvl>
    <w:lvl w:ilvl="7" w:tentative="1">
      <w:start w:val="1"/>
      <w:numFmt w:val="bullet"/>
      <w:lvlText w:val="o"/>
      <w:lvlJc w:val="left"/>
      <w:pPr>
        <w:ind w:left="6043" w:hanging="360"/>
      </w:pPr>
      <w:rPr>
        <w:rFonts w:ascii="Courier New" w:hAnsi="Courier New" w:cs="Courier New" w:hint="default"/>
      </w:rPr>
    </w:lvl>
    <w:lvl w:ilvl="8" w:tentative="1">
      <w:start w:val="1"/>
      <w:numFmt w:val="bullet"/>
      <w:lvlText w:val=""/>
      <w:lvlJc w:val="left"/>
      <w:pPr>
        <w:ind w:left="6763" w:hanging="360"/>
      </w:pPr>
      <w:rPr>
        <w:rFonts w:ascii="Wingdings" w:hAnsi="Wingdings" w:hint="default"/>
      </w:rPr>
    </w:lvl>
  </w:abstractNum>
  <w:abstractNum w:abstractNumId="20">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2">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3">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7">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4">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5">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7">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8">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40"/>
  </w:num>
  <w:num w:numId="2">
    <w:abstractNumId w:val="26"/>
  </w:num>
  <w:num w:numId="3">
    <w:abstractNumId w:val="21"/>
  </w:num>
  <w:num w:numId="4">
    <w:abstractNumId w:val="2"/>
  </w:num>
  <w:num w:numId="5">
    <w:abstractNumId w:val="22"/>
  </w:num>
  <w:num w:numId="6">
    <w:abstractNumId w:val="33"/>
  </w:num>
  <w:num w:numId="7">
    <w:abstractNumId w:val="18"/>
  </w:num>
  <w:num w:numId="8">
    <w:abstractNumId w:val="15"/>
  </w:num>
  <w:num w:numId="9">
    <w:abstractNumId w:val="14"/>
  </w:num>
  <w:num w:numId="10">
    <w:abstractNumId w:val="16"/>
  </w:num>
  <w:num w:numId="11">
    <w:abstractNumId w:val="1"/>
  </w:num>
  <w:num w:numId="12">
    <w:abstractNumId w:val="10"/>
  </w:num>
  <w:num w:numId="13">
    <w:abstractNumId w:val="25"/>
  </w:num>
  <w:num w:numId="14">
    <w:abstractNumId w:val="7"/>
  </w:num>
  <w:num w:numId="15">
    <w:abstractNumId w:val="23"/>
  </w:num>
  <w:num w:numId="16">
    <w:abstractNumId w:val="9"/>
  </w:num>
  <w:num w:numId="17">
    <w:abstractNumId w:val="4"/>
  </w:num>
  <w:num w:numId="18">
    <w:abstractNumId w:val="30"/>
  </w:num>
  <w:num w:numId="19">
    <w:abstractNumId w:val="27"/>
  </w:num>
  <w:num w:numId="20">
    <w:abstractNumId w:val="37"/>
  </w:num>
  <w:num w:numId="21">
    <w:abstractNumId w:val="36"/>
  </w:num>
  <w:num w:numId="22">
    <w:abstractNumId w:val="8"/>
  </w:num>
  <w:num w:numId="23">
    <w:abstractNumId w:val="28"/>
  </w:num>
  <w:num w:numId="24">
    <w:abstractNumId w:val="29"/>
  </w:num>
  <w:num w:numId="25">
    <w:abstractNumId w:val="35"/>
  </w:num>
  <w:num w:numId="26">
    <w:abstractNumId w:val="31"/>
  </w:num>
  <w:num w:numId="27">
    <w:abstractNumId w:val="32"/>
  </w:num>
  <w:num w:numId="28">
    <w:abstractNumId w:val="34"/>
  </w:num>
  <w:num w:numId="29">
    <w:abstractNumId w:val="39"/>
  </w:num>
  <w:num w:numId="30">
    <w:abstractNumId w:val="12"/>
  </w:num>
  <w:num w:numId="31">
    <w:abstractNumId w:val="0"/>
  </w:num>
  <w:num w:numId="32">
    <w:abstractNumId w:val="11"/>
  </w:num>
  <w:num w:numId="33">
    <w:abstractNumId w:val="24"/>
  </w:num>
  <w:num w:numId="34">
    <w:abstractNumId w:val="5"/>
  </w:num>
  <w:num w:numId="35">
    <w:abstractNumId w:val="6"/>
  </w:num>
  <w:num w:numId="36">
    <w:abstractNumId w:val="20"/>
  </w:num>
  <w:num w:numId="37">
    <w:abstractNumId w:val="13"/>
  </w:num>
  <w:num w:numId="38">
    <w:abstractNumId w:val="38"/>
  </w:num>
  <w:num w:numId="39">
    <w:abstractNumId w:val="3"/>
  </w:num>
  <w:num w:numId="40">
    <w:abstractNumId w:val="17"/>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29C6"/>
    <w:rsid w:val="000532AA"/>
    <w:rsid w:val="00067509"/>
    <w:rsid w:val="000757DD"/>
    <w:rsid w:val="000A3382"/>
    <w:rsid w:val="000B1102"/>
    <w:rsid w:val="000C7459"/>
    <w:rsid w:val="000E013E"/>
    <w:rsid w:val="000F7725"/>
    <w:rsid w:val="001006A9"/>
    <w:rsid w:val="00101D0F"/>
    <w:rsid w:val="0011074F"/>
    <w:rsid w:val="00113E28"/>
    <w:rsid w:val="00114325"/>
    <w:rsid w:val="001610D5"/>
    <w:rsid w:val="00166477"/>
    <w:rsid w:val="001730B0"/>
    <w:rsid w:val="001915F2"/>
    <w:rsid w:val="00192EA7"/>
    <w:rsid w:val="001960B4"/>
    <w:rsid w:val="001A613C"/>
    <w:rsid w:val="001B2821"/>
    <w:rsid w:val="001C057E"/>
    <w:rsid w:val="001C6185"/>
    <w:rsid w:val="001E204F"/>
    <w:rsid w:val="00203604"/>
    <w:rsid w:val="00204489"/>
    <w:rsid w:val="002044E9"/>
    <w:rsid w:val="002064F7"/>
    <w:rsid w:val="00216E7C"/>
    <w:rsid w:val="00235772"/>
    <w:rsid w:val="00240887"/>
    <w:rsid w:val="00254192"/>
    <w:rsid w:val="00255371"/>
    <w:rsid w:val="00263521"/>
    <w:rsid w:val="00276705"/>
    <w:rsid w:val="00296D97"/>
    <w:rsid w:val="002A7D21"/>
    <w:rsid w:val="002C0FD0"/>
    <w:rsid w:val="002C1EE0"/>
    <w:rsid w:val="002C4139"/>
    <w:rsid w:val="002E1884"/>
    <w:rsid w:val="002F7576"/>
    <w:rsid w:val="00301153"/>
    <w:rsid w:val="003132B5"/>
    <w:rsid w:val="00313DEA"/>
    <w:rsid w:val="0031692F"/>
    <w:rsid w:val="00323027"/>
    <w:rsid w:val="00336C8D"/>
    <w:rsid w:val="00365AA8"/>
    <w:rsid w:val="00366AB8"/>
    <w:rsid w:val="0037370B"/>
    <w:rsid w:val="0037752E"/>
    <w:rsid w:val="00380052"/>
    <w:rsid w:val="00383E60"/>
    <w:rsid w:val="0039415D"/>
    <w:rsid w:val="003D61C6"/>
    <w:rsid w:val="003E58C2"/>
    <w:rsid w:val="003F2775"/>
    <w:rsid w:val="00475715"/>
    <w:rsid w:val="00475836"/>
    <w:rsid w:val="004779AA"/>
    <w:rsid w:val="004842C7"/>
    <w:rsid w:val="004851BF"/>
    <w:rsid w:val="0049794D"/>
    <w:rsid w:val="004A0385"/>
    <w:rsid w:val="004B0A2A"/>
    <w:rsid w:val="004C7D9F"/>
    <w:rsid w:val="004D4C86"/>
    <w:rsid w:val="005006C5"/>
    <w:rsid w:val="0051779B"/>
    <w:rsid w:val="00551B42"/>
    <w:rsid w:val="00551FF7"/>
    <w:rsid w:val="00552FFC"/>
    <w:rsid w:val="00564496"/>
    <w:rsid w:val="00574579"/>
    <w:rsid w:val="00580C5C"/>
    <w:rsid w:val="005A021D"/>
    <w:rsid w:val="005C0416"/>
    <w:rsid w:val="005C3049"/>
    <w:rsid w:val="005D1D6E"/>
    <w:rsid w:val="005D4B4A"/>
    <w:rsid w:val="0062451B"/>
    <w:rsid w:val="00634DAD"/>
    <w:rsid w:val="00640B60"/>
    <w:rsid w:val="006457EB"/>
    <w:rsid w:val="006531CB"/>
    <w:rsid w:val="0066416E"/>
    <w:rsid w:val="00666B77"/>
    <w:rsid w:val="00673993"/>
    <w:rsid w:val="006914FD"/>
    <w:rsid w:val="006A646E"/>
    <w:rsid w:val="006C515F"/>
    <w:rsid w:val="006D4161"/>
    <w:rsid w:val="006D786C"/>
    <w:rsid w:val="006E1414"/>
    <w:rsid w:val="006F285F"/>
    <w:rsid w:val="0072219B"/>
    <w:rsid w:val="007474F0"/>
    <w:rsid w:val="00753ADE"/>
    <w:rsid w:val="00773A61"/>
    <w:rsid w:val="00773F61"/>
    <w:rsid w:val="007849E4"/>
    <w:rsid w:val="007A2DC9"/>
    <w:rsid w:val="007A4EBD"/>
    <w:rsid w:val="007B112B"/>
    <w:rsid w:val="007B5B26"/>
    <w:rsid w:val="007B691A"/>
    <w:rsid w:val="007C1BA1"/>
    <w:rsid w:val="007C1FF6"/>
    <w:rsid w:val="007D61B8"/>
    <w:rsid w:val="007E3247"/>
    <w:rsid w:val="007F7FF2"/>
    <w:rsid w:val="00805B42"/>
    <w:rsid w:val="008102AD"/>
    <w:rsid w:val="00837997"/>
    <w:rsid w:val="00846ED2"/>
    <w:rsid w:val="00846FFB"/>
    <w:rsid w:val="008654CB"/>
    <w:rsid w:val="00867FC5"/>
    <w:rsid w:val="00884AE5"/>
    <w:rsid w:val="00892F80"/>
    <w:rsid w:val="00897698"/>
    <w:rsid w:val="008B4F41"/>
    <w:rsid w:val="008C6F75"/>
    <w:rsid w:val="008D07A0"/>
    <w:rsid w:val="009015B2"/>
    <w:rsid w:val="00902625"/>
    <w:rsid w:val="00906E90"/>
    <w:rsid w:val="0091051D"/>
    <w:rsid w:val="00936F84"/>
    <w:rsid w:val="00940851"/>
    <w:rsid w:val="0095502F"/>
    <w:rsid w:val="00964016"/>
    <w:rsid w:val="009679D9"/>
    <w:rsid w:val="009A5924"/>
    <w:rsid w:val="009C6066"/>
    <w:rsid w:val="009D73F5"/>
    <w:rsid w:val="009E04D4"/>
    <w:rsid w:val="009E1A3F"/>
    <w:rsid w:val="009E53CF"/>
    <w:rsid w:val="009F0506"/>
    <w:rsid w:val="009F0BD3"/>
    <w:rsid w:val="00A222E2"/>
    <w:rsid w:val="00A2381E"/>
    <w:rsid w:val="00A2530F"/>
    <w:rsid w:val="00A32C98"/>
    <w:rsid w:val="00A61AD5"/>
    <w:rsid w:val="00A66258"/>
    <w:rsid w:val="00A73038"/>
    <w:rsid w:val="00A76C99"/>
    <w:rsid w:val="00A81EBE"/>
    <w:rsid w:val="00AB17AB"/>
    <w:rsid w:val="00AC1CEF"/>
    <w:rsid w:val="00AC6B95"/>
    <w:rsid w:val="00AD1BFA"/>
    <w:rsid w:val="00AE5F94"/>
    <w:rsid w:val="00AF2AC9"/>
    <w:rsid w:val="00B00E5C"/>
    <w:rsid w:val="00B253B7"/>
    <w:rsid w:val="00B37355"/>
    <w:rsid w:val="00B4321D"/>
    <w:rsid w:val="00B52F9B"/>
    <w:rsid w:val="00B666B9"/>
    <w:rsid w:val="00B76DC1"/>
    <w:rsid w:val="00B862C0"/>
    <w:rsid w:val="00BD4683"/>
    <w:rsid w:val="00BE2DD8"/>
    <w:rsid w:val="00BE7BBC"/>
    <w:rsid w:val="00C2305A"/>
    <w:rsid w:val="00C23457"/>
    <w:rsid w:val="00C23CC9"/>
    <w:rsid w:val="00C30B3D"/>
    <w:rsid w:val="00C33AE2"/>
    <w:rsid w:val="00C52BC9"/>
    <w:rsid w:val="00C8096C"/>
    <w:rsid w:val="00C8100B"/>
    <w:rsid w:val="00CA41D2"/>
    <w:rsid w:val="00CA4F20"/>
    <w:rsid w:val="00CE0712"/>
    <w:rsid w:val="00D22748"/>
    <w:rsid w:val="00D26918"/>
    <w:rsid w:val="00D37121"/>
    <w:rsid w:val="00D779F7"/>
    <w:rsid w:val="00D85EF3"/>
    <w:rsid w:val="00D87542"/>
    <w:rsid w:val="00D95C20"/>
    <w:rsid w:val="00D97C16"/>
    <w:rsid w:val="00DE1DAB"/>
    <w:rsid w:val="00DE20A2"/>
    <w:rsid w:val="00DF0B89"/>
    <w:rsid w:val="00E30FE7"/>
    <w:rsid w:val="00E35682"/>
    <w:rsid w:val="00E46EA3"/>
    <w:rsid w:val="00E51C1B"/>
    <w:rsid w:val="00E53DA7"/>
    <w:rsid w:val="00E61558"/>
    <w:rsid w:val="00E74214"/>
    <w:rsid w:val="00E8067D"/>
    <w:rsid w:val="00E903B4"/>
    <w:rsid w:val="00EC6B44"/>
    <w:rsid w:val="00ED37D4"/>
    <w:rsid w:val="00EE06A0"/>
    <w:rsid w:val="00EE37A3"/>
    <w:rsid w:val="00EF5365"/>
    <w:rsid w:val="00F14ABF"/>
    <w:rsid w:val="00F4385E"/>
    <w:rsid w:val="00F627EB"/>
    <w:rsid w:val="00F74EE0"/>
    <w:rsid w:val="00F75A10"/>
    <w:rsid w:val="00F77276"/>
    <w:rsid w:val="00F95853"/>
    <w:rsid w:val="00FB3F26"/>
    <w:rsid w:val="00FB414E"/>
    <w:rsid w:val="00FC3213"/>
    <w:rsid w:val="00FC48C6"/>
    <w:rsid w:val="00FD2055"/>
    <w:rsid w:val="00FE2E59"/>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7335B719"/>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1,FOOTNOTES,Footnote Text - Sharp,Footnote Text - Sharp Char,Footnote Text - Sharp Char Char,Footnote Text Char Char Char Char Char,Footnote reference,Sharp - Footnote Text,Sharp - Footnote Text1 Char,fn,footnote text"/>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3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table" w:customStyle="1" w:styleId="44">
    <w:name w:val="רשת טבלה4"/>
    <w:basedOn w:val="TableNormal"/>
    <w:next w:val="TableGrid"/>
    <w:uiPriority w:val="59"/>
    <w:rsid w:val="00B52F9B"/>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33">
    <w:name w:val="73א הזחה ראשונה ללא מספר"/>
    <w:basedOn w:val="Normal"/>
    <w:qFormat/>
    <w:rsid w:val="0095502F"/>
    <w:pPr>
      <w:spacing w:after="240" w:line="288" w:lineRule="auto"/>
      <w:ind w:left="397"/>
    </w:pPr>
    <w:rPr>
      <w:rFonts w:ascii="Tahoma" w:hAnsi="Tahoma" w:cs="Tahoma"/>
      <w:color w:val="0D0D0D" w:themeColor="text1" w:themeTint="F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6.jpeg"/><Relationship Id="rId26" Type="http://schemas.openxmlformats.org/officeDocument/2006/relationships/footer" Target="footer3.xml"/><Relationship Id="rId21" Type="http://schemas.openxmlformats.org/officeDocument/2006/relationships/image" Target="media/image9.jpeg"/><Relationship Id="rId3" Type="http://schemas.openxmlformats.org/officeDocument/2006/relationships/settings" Target="settings.xml"/><Relationship Id="rId34" Type="http://schemas.openxmlformats.org/officeDocument/2006/relationships/customXml" Target="../customXml/item4.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header" Target="header7.xml"/><Relationship Id="rId7" Type="http://schemas.openxmlformats.org/officeDocument/2006/relationships/image" Target="media/image1.jpeg"/><Relationship Id="rId33" Type="http://schemas.openxmlformats.org/officeDocument/2006/relationships/customXml" Target="../customXml/item3.xml"/><Relationship Id="rId16" Type="http://schemas.openxmlformats.org/officeDocument/2006/relationships/image" Target="media/image4.jpeg"/><Relationship Id="rId2" Type="http://schemas.openxmlformats.org/officeDocument/2006/relationships/endnotes" Target="endnotes.xml"/><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6.xml"/><Relationship Id="rId6" Type="http://schemas.openxmlformats.org/officeDocument/2006/relationships/customXml" Target="../customXml/item1.xml"/><Relationship Id="rId32" Type="http://schemas.openxmlformats.org/officeDocument/2006/relationships/customXml" Target="../customXml/item2.xml"/><Relationship Id="rId15" Type="http://schemas.openxmlformats.org/officeDocument/2006/relationships/image" Target="media/image3.png"/><Relationship Id="rId23" Type="http://schemas.openxmlformats.org/officeDocument/2006/relationships/header" Target="header5.xml"/><Relationship Id="rId28" Type="http://schemas.openxmlformats.org/officeDocument/2006/relationships/header" Target="header9.xml"/><Relationship Id="rId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styles" Target="styles.xml"/><Relationship Id="rId14" Type="http://schemas.openxmlformats.org/officeDocument/2006/relationships/footer" Target="footer2.xml"/><Relationship Id="rId22" Type="http://schemas.openxmlformats.org/officeDocument/2006/relationships/image" Target="media/image10.jpeg"/><Relationship Id="rId27" Type="http://schemas.openxmlformats.org/officeDocument/2006/relationships/header" Target="header8.xml"/><Relationship Id="rId30"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AF2F1A-6E5B-491B-90E5-ED0763F00DD5}">
  <ds:schemaRefs>
    <ds:schemaRef ds:uri="http://schemas.openxmlformats.org/officeDocument/2006/bibliography"/>
  </ds:schemaRefs>
</ds:datastoreItem>
</file>

<file path=customXml/itemProps2.xml><?xml version="1.0" encoding="utf-8"?>
<ds:datastoreItem xmlns:ds="http://schemas.openxmlformats.org/officeDocument/2006/customXml" ds:itemID="{44B1FEE7-48B6-492C-B6A0-A99883804D3A}"/>
</file>

<file path=customXml/itemProps3.xml><?xml version="1.0" encoding="utf-8"?>
<ds:datastoreItem xmlns:ds="http://schemas.openxmlformats.org/officeDocument/2006/customXml" ds:itemID="{FC0CE65B-B79A-4716-9841-9F2AA623B5D0}"/>
</file>

<file path=customXml/itemProps4.xml><?xml version="1.0" encoding="utf-8"?>
<ds:datastoreItem xmlns:ds="http://schemas.openxmlformats.org/officeDocument/2006/customXml" ds:itemID="{69F4EF9C-F225-45D6-A5E0-AE4CA7BDF8E3}"/>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